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楷体" w:hAnsi="楷体" w:eastAsia="楷体" w:cs="楷体"/>
          <w:b/>
          <w:bCs/>
          <w:sz w:val="32"/>
          <w:szCs w:val="32"/>
        </w:rPr>
        <w:id w:val="147458949"/>
        <w:docPartObj>
          <w:docPartGallery w:val="Table of Contents"/>
          <w:docPartUnique/>
        </w:docPartObj>
      </w:sdtPr>
      <w:sdtEndPr>
        <w:rPr>
          <w:rFonts w:hint="eastAsia" w:ascii="楷体" w:hAnsi="楷体" w:eastAsia="楷体" w:cs="楷体"/>
          <w:b/>
          <w:bCs/>
          <w:sz w:val="20"/>
          <w:szCs w:val="20"/>
        </w:rPr>
      </w:sdtEndPr>
      <w:sdtContent>
        <w:p>
          <w:pPr>
            <w:widowControl/>
            <w:spacing w:line="360" w:lineRule="auto"/>
            <w:jc w:val="center"/>
            <w:rPr>
              <w:rFonts w:ascii="楷体" w:hAnsi="楷体" w:eastAsia="楷体" w:cs="楷体"/>
              <w:b/>
              <w:bCs/>
              <w:sz w:val="32"/>
              <w:szCs w:val="32"/>
            </w:rPr>
          </w:pPr>
          <w:r>
            <w:rPr>
              <w:rFonts w:hint="eastAsia" w:ascii="楷体" w:hAnsi="楷体" w:eastAsia="楷体" w:cs="楷体"/>
              <w:b/>
              <w:bCs/>
              <w:sz w:val="32"/>
              <w:szCs w:val="32"/>
            </w:rPr>
            <w:t>目 录</w:t>
          </w:r>
        </w:p>
        <w:p>
          <w:pPr>
            <w:pStyle w:val="16"/>
            <w:tabs>
              <w:tab w:val="right" w:leader="dot" w:pos="8306"/>
            </w:tabs>
            <w:rPr>
              <w:rFonts w:ascii="Times New Roman" w:hAnsi="Times New Roman" w:cs="Times New Roman"/>
            </w:rPr>
          </w:pPr>
          <w:r>
            <w:rPr>
              <w:rFonts w:ascii="Times New Roman" w:hAnsi="Times New Roman" w:eastAsia="楷体" w:cs="Times New Roman"/>
              <w:b/>
              <w:bCs/>
              <w:sz w:val="20"/>
              <w:szCs w:val="20"/>
            </w:rPr>
            <w:fldChar w:fldCharType="begin"/>
          </w:r>
          <w:r>
            <w:rPr>
              <w:rFonts w:ascii="Times New Roman" w:hAnsi="Times New Roman" w:eastAsia="楷体" w:cs="Times New Roman"/>
              <w:b/>
              <w:bCs/>
              <w:sz w:val="20"/>
              <w:szCs w:val="20"/>
            </w:rPr>
            <w:instrText xml:space="preserve">TOC \o "1-4" \h \u </w:instrText>
          </w:r>
          <w:r>
            <w:rPr>
              <w:rFonts w:ascii="Times New Roman" w:hAnsi="Times New Roman" w:eastAsia="楷体" w:cs="Times New Roman"/>
              <w:b/>
              <w:bCs/>
              <w:sz w:val="20"/>
              <w:szCs w:val="20"/>
            </w:rPr>
            <w:fldChar w:fldCharType="separate"/>
          </w:r>
          <w:r>
            <w:fldChar w:fldCharType="begin"/>
          </w:r>
          <w:r>
            <w:instrText xml:space="preserve"> HYPERLINK \l "_Toc30706" </w:instrText>
          </w:r>
          <w:r>
            <w:fldChar w:fldCharType="separate"/>
          </w:r>
          <w:r>
            <w:rPr>
              <w:rFonts w:ascii="Times New Roman" w:hAnsi="Times New Roman" w:eastAsia="宋体" w:cs="Times New Roman"/>
              <w:szCs w:val="36"/>
            </w:rPr>
            <w:t xml:space="preserve">1 </w:t>
          </w:r>
          <w:r>
            <w:rPr>
              <w:rFonts w:ascii="Times New Roman" w:hAnsi="Times New Roman" w:cs="Times New Roman"/>
              <w:szCs w:val="36"/>
            </w:rPr>
            <w:t>数学与自然科学类课程教学大纲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_Toc30706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"_Toc5178" </w:instrText>
          </w:r>
          <w:r>
            <w:fldChar w:fldCharType="separate"/>
          </w:r>
          <w:r>
            <w:rPr>
              <w:rFonts w:ascii="Times New Roman" w:hAnsi="Times New Roman" w:eastAsia="宋体" w:cs="Times New Roman"/>
            </w:rPr>
            <w:t>19221101《高等数学Ⅰ》课程教学大纲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_Toc5178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"_Toc28442" </w:instrText>
          </w:r>
          <w:r>
            <w:fldChar w:fldCharType="separate"/>
          </w:r>
          <w:r>
            <w:rPr>
              <w:rFonts w:ascii="Times New Roman" w:hAnsi="Times New Roman" w:cs="Times New Roman"/>
            </w:rPr>
            <w:t>33410301x1《工程数学Ⅰ》课程教学大纲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_Toc28442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"_Toc30148" </w:instrText>
          </w:r>
          <w:r>
            <w:fldChar w:fldCharType="separate"/>
          </w:r>
          <w:r>
            <w:rPr>
              <w:rFonts w:ascii="Times New Roman" w:hAnsi="Times New Roman" w:eastAsia="宋体" w:cs="Times New Roman"/>
            </w:rPr>
            <w:t>33410301x2《工程数学II》课程教学大纲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_Toc30148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"_Toc21928" </w:instrText>
          </w:r>
          <w:r>
            <w:fldChar w:fldCharType="separate"/>
          </w:r>
          <w:r>
            <w:rPr>
              <w:rFonts w:ascii="Times New Roman" w:hAnsi="Times New Roman" w:cs="Times New Roman"/>
            </w:rPr>
            <w:t>33410301x3《工程数学Ⅲ》课程教学大纲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_Toc21928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"_Toc28682" </w:instrText>
          </w:r>
          <w:r>
            <w:fldChar w:fldCharType="separate"/>
          </w:r>
          <w:r>
            <w:rPr>
              <w:rFonts w:ascii="Times New Roman" w:hAnsi="Times New Roman" w:cs="Times New Roman"/>
            </w:rPr>
            <w:t>33410301x4《工程数学</w:t>
          </w:r>
          <w:r>
            <w:rPr>
              <w:rFonts w:ascii="Times New Roman" w:hAnsi="Times New Roman" w:eastAsia="宋体" w:cs="Times New Roman"/>
            </w:rPr>
            <w:t>Ⅳ</w:t>
          </w:r>
          <w:r>
            <w:rPr>
              <w:rFonts w:ascii="Times New Roman" w:hAnsi="Times New Roman" w:cs="Times New Roman"/>
            </w:rPr>
            <w:t>》课程教学大纲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_Toc28682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"_Toc9601" </w:instrText>
          </w:r>
          <w:r>
            <w:fldChar w:fldCharType="separate"/>
          </w:r>
          <w:r>
            <w:rPr>
              <w:rFonts w:ascii="Times New Roman" w:hAnsi="Times New Roman" w:eastAsia="宋体" w:cs="Times New Roman"/>
            </w:rPr>
            <w:t>19121102《大学物理II》课程教学大纲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_Toc9601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"_Toc15094" </w:instrText>
          </w:r>
          <w:r>
            <w:fldChar w:fldCharType="separate"/>
          </w:r>
          <w:r>
            <w:rPr>
              <w:rFonts w:ascii="Times New Roman" w:hAnsi="Times New Roman" w:cs="Times New Roman"/>
            </w:rPr>
            <w:t>33431002《数学物理方程》课程教学大纲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_Toc15094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306"/>
            </w:tabs>
            <w:rPr>
              <w:rFonts w:ascii="Times New Roman" w:hAnsi="Times New Roman" w:cs="Times New Roman"/>
            </w:rPr>
          </w:pPr>
          <w:r>
            <w:fldChar w:fldCharType="begin"/>
          </w:r>
          <w:r>
            <w:instrText xml:space="preserve"> HYPERLINK \l "_Toc19964" </w:instrText>
          </w:r>
          <w:r>
            <w:fldChar w:fldCharType="separate"/>
          </w:r>
          <w:r>
            <w:rPr>
              <w:rFonts w:ascii="Times New Roman" w:hAnsi="Times New Roman" w:eastAsia="宋体" w:cs="Times New Roman"/>
              <w:szCs w:val="36"/>
            </w:rPr>
            <w:t xml:space="preserve">2 </w:t>
          </w:r>
          <w:r>
            <w:rPr>
              <w:rFonts w:ascii="Times New Roman" w:hAnsi="Times New Roman" w:cs="Times New Roman"/>
              <w:szCs w:val="36"/>
            </w:rPr>
            <w:t>工程基础类课程、专业基础类课程与专业类课程教学大纲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_Toc19964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"_Toc31720" </w:instrText>
          </w:r>
          <w:r>
            <w:fldChar w:fldCharType="separate"/>
          </w:r>
          <w:r>
            <w:rPr>
              <w:rFonts w:ascii="Times New Roman" w:hAnsi="Times New Roman" w:eastAsia="宋体" w:cs="Times New Roman"/>
              <w:szCs w:val="36"/>
            </w:rPr>
            <w:t>2.1工程基础类课程教学大纲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_Toc31720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"_Toc22943" </w:instrText>
          </w:r>
          <w:r>
            <w:fldChar w:fldCharType="separate"/>
          </w:r>
          <w:r>
            <w:rPr>
              <w:rFonts w:ascii="Times New Roman" w:hAnsi="Times New Roman" w:eastAsia="宋体" w:cs="Times New Roman"/>
            </w:rPr>
            <w:t>33410302《工程制图与计算机辅助设计》课程教学大纲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_Toc22943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"_Toc29881" </w:instrText>
          </w:r>
          <w:r>
            <w:fldChar w:fldCharType="separate"/>
          </w:r>
          <w:r>
            <w:rPr>
              <w:rFonts w:ascii="Times New Roman" w:hAnsi="Times New Roman" w:cs="Times New Roman"/>
              <w:szCs w:val="32"/>
            </w:rPr>
            <w:t>33441601《大数据与云计算技术》课程教学大纲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_Toc29881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"_Toc1694" </w:instrText>
          </w:r>
          <w:r>
            <w:fldChar w:fldCharType="separate"/>
          </w:r>
          <w:r>
            <w:rPr>
              <w:rFonts w:ascii="Times New Roman" w:hAnsi="Times New Roman" w:eastAsia="宋体" w:cs="Times New Roman"/>
            </w:rPr>
            <w:t>33410303《工程伦理与道德》课程教学大纲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_Toc1694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"_Toc26503" </w:instrText>
          </w:r>
          <w:r>
            <w:fldChar w:fldCharType="separate"/>
          </w:r>
          <w:r>
            <w:rPr>
              <w:rFonts w:ascii="Times New Roman" w:hAnsi="Times New Roman" w:eastAsia="宋体" w:cs="Times New Roman"/>
            </w:rPr>
            <w:t>16141102《电子信息工程专业外语》课程教学大纲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_Toc26503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"_Toc112" </w:instrText>
          </w:r>
          <w:r>
            <w:fldChar w:fldCharType="separate"/>
          </w:r>
          <w:r>
            <w:rPr>
              <w:rFonts w:ascii="Times New Roman" w:hAnsi="Times New Roman" w:eastAsia="宋体" w:cs="Times New Roman"/>
            </w:rPr>
            <w:t>33431503《电子信息工程专业科技写作》课程教学大纲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_Toc112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"_Toc17528" </w:instrText>
          </w:r>
          <w:r>
            <w:fldChar w:fldCharType="separate"/>
          </w:r>
          <w:r>
            <w:rPr>
              <w:rFonts w:ascii="Times New Roman" w:hAnsi="Times New Roman" w:eastAsia="宋体" w:cs="Times New Roman"/>
            </w:rPr>
            <w:t>33422101《C语言程序设计》课程教学大纲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_Toc17528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"_Toc18184" </w:instrText>
          </w:r>
          <w:r>
            <w:fldChar w:fldCharType="separate"/>
          </w:r>
          <w:r>
            <w:rPr>
              <w:rFonts w:ascii="Times New Roman" w:hAnsi="Times New Roman" w:eastAsia="宋体" w:cs="Times New Roman"/>
              <w:szCs w:val="36"/>
            </w:rPr>
            <w:t>2.2专业基础类课程教学大纲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_Toc18184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"_Toc8842" </w:instrText>
          </w:r>
          <w:r>
            <w:fldChar w:fldCharType="separate"/>
          </w:r>
          <w:r>
            <w:rPr>
              <w:rFonts w:ascii="Times New Roman" w:hAnsi="Times New Roman" w:eastAsia="宋体" w:cs="Times New Roman"/>
            </w:rPr>
            <w:t>16181901《电子信息工程专业导论》课程教学大纲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_Toc8842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"_Toc14559" </w:instrText>
          </w:r>
          <w:r>
            <w:fldChar w:fldCharType="separate"/>
          </w:r>
          <w:r>
            <w:rPr>
              <w:rFonts w:ascii="Times New Roman" w:hAnsi="Times New Roman" w:cs="Times New Roman"/>
            </w:rPr>
            <w:t>33442001《电路分析》课程教学大纲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_Toc14559 \h </w:instrText>
          </w:r>
          <w:r>
            <w:rPr>
              <w:rFonts w:ascii="Times New Roman" w:hAnsi="Times New Roman" w:cs="Times New Roman"/>
            </w:rPr>
            <w:fldChar w:fldCharType="separate"/>
          </w:r>
          <w:r>
            <w:rPr>
              <w:rFonts w:ascii="Times New Roman" w:hAnsi="Times New Roman" w:cs="Times New Roman"/>
            </w:rPr>
            <w:t>88</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"_Toc17408" </w:instrText>
          </w:r>
          <w:r>
            <w:fldChar w:fldCharType="separate"/>
          </w:r>
          <w:r>
            <w:rPr>
              <w:rFonts w:ascii="Times New Roman" w:hAnsi="Times New Roman" w:eastAsia="宋体" w:cs="Times New Roman"/>
            </w:rPr>
            <w:t>16132108《信号与系统》课程教学大纲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_Toc17408 \h </w:instrText>
          </w:r>
          <w:r>
            <w:rPr>
              <w:rFonts w:ascii="Times New Roman" w:hAnsi="Times New Roman" w:cs="Times New Roman"/>
            </w:rPr>
            <w:fldChar w:fldCharType="separate"/>
          </w:r>
          <w:r>
            <w:rPr>
              <w:rFonts w:ascii="Times New Roman" w:hAnsi="Times New Roman" w:cs="Times New Roman"/>
            </w:rPr>
            <w:t>95</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"_Toc7723" </w:instrText>
          </w:r>
          <w:r>
            <w:fldChar w:fldCharType="separate"/>
          </w:r>
          <w:r>
            <w:rPr>
              <w:rFonts w:ascii="Times New Roman" w:hAnsi="Times New Roman" w:cs="Times New Roman"/>
            </w:rPr>
            <w:t>16632230《模拟电子技术》课程教学大纲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_Toc7723 \h </w:instrText>
          </w:r>
          <w:r>
            <w:rPr>
              <w:rFonts w:ascii="Times New Roman" w:hAnsi="Times New Roman" w:cs="Times New Roman"/>
            </w:rPr>
            <w:fldChar w:fldCharType="separate"/>
          </w:r>
          <w:r>
            <w:rPr>
              <w:rFonts w:ascii="Times New Roman" w:hAnsi="Times New Roman" w:cs="Times New Roman"/>
            </w:rPr>
            <w:t>102</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"_Toc11058" </w:instrText>
          </w:r>
          <w:r>
            <w:fldChar w:fldCharType="separate"/>
          </w:r>
          <w:r>
            <w:rPr>
              <w:rFonts w:ascii="Times New Roman" w:hAnsi="Times New Roman" w:eastAsia="宋体" w:cs="Times New Roman"/>
            </w:rPr>
            <w:t>16632206《数字电子技术基础》课程教学大纲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_Toc11058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"_Toc18170" </w:instrText>
          </w:r>
          <w:r>
            <w:fldChar w:fldCharType="separate"/>
          </w:r>
          <w:r>
            <w:rPr>
              <w:rFonts w:ascii="Times New Roman" w:hAnsi="Times New Roman" w:eastAsia="宋体" w:cs="Times New Roman"/>
            </w:rPr>
            <w:t>16632209《高频电子线路》课程教学大纲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_Toc18170 \h </w:instrText>
          </w:r>
          <w:r>
            <w:rPr>
              <w:rFonts w:ascii="Times New Roman" w:hAnsi="Times New Roman" w:cs="Times New Roman"/>
            </w:rPr>
            <w:fldChar w:fldCharType="separate"/>
          </w:r>
          <w:r>
            <w:rPr>
              <w:rFonts w:ascii="Times New Roman" w:hAnsi="Times New Roman" w:cs="Times New Roman"/>
            </w:rPr>
            <w:t>115</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"_Toc10942" </w:instrText>
          </w:r>
          <w:r>
            <w:fldChar w:fldCharType="separate"/>
          </w:r>
          <w:r>
            <w:rPr>
              <w:rFonts w:ascii="Times New Roman" w:hAnsi="Times New Roman" w:cs="Times New Roman"/>
            </w:rPr>
            <w:t>33442006《数字信号处理》课程教学大纲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_Toc10942 \h </w:instrText>
          </w:r>
          <w:r>
            <w:rPr>
              <w:rFonts w:ascii="Times New Roman" w:hAnsi="Times New Roman" w:cs="Times New Roman"/>
            </w:rPr>
            <w:fldChar w:fldCharType="separate"/>
          </w:r>
          <w:r>
            <w:rPr>
              <w:rFonts w:ascii="Times New Roman" w:hAnsi="Times New Roman" w:cs="Times New Roman"/>
            </w:rPr>
            <w:t>122</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"_Toc6926" </w:instrText>
          </w:r>
          <w:r>
            <w:fldChar w:fldCharType="separate"/>
          </w:r>
          <w:r>
            <w:rPr>
              <w:rFonts w:ascii="Times New Roman" w:hAnsi="Times New Roman" w:eastAsia="宋体" w:cs="Times New Roman"/>
            </w:rPr>
            <w:t>33442004《信息论与编码》课程教学大纲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_Toc6926 \h </w:instrText>
          </w:r>
          <w:r>
            <w:rPr>
              <w:rFonts w:ascii="Times New Roman" w:hAnsi="Times New Roman" w:cs="Times New Roman"/>
            </w:rPr>
            <w:fldChar w:fldCharType="separate"/>
          </w:r>
          <w:r>
            <w:rPr>
              <w:rFonts w:ascii="Times New Roman" w:hAnsi="Times New Roman" w:cs="Times New Roman"/>
            </w:rPr>
            <w:t>127</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"_Toc29812" </w:instrText>
          </w:r>
          <w:r>
            <w:fldChar w:fldCharType="separate"/>
          </w:r>
          <w:r>
            <w:rPr>
              <w:rFonts w:ascii="Times New Roman" w:hAnsi="Times New Roman" w:cs="Times New Roman"/>
            </w:rPr>
            <w:t>33442003《通信原理》课程教学大纲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_Toc29812 \h </w:instrText>
          </w:r>
          <w:r>
            <w:rPr>
              <w:rFonts w:ascii="Times New Roman" w:hAnsi="Times New Roman" w:cs="Times New Roman"/>
            </w:rPr>
            <w:fldChar w:fldCharType="separate"/>
          </w:r>
          <w:r>
            <w:rPr>
              <w:rFonts w:ascii="Times New Roman" w:hAnsi="Times New Roman" w:cs="Times New Roman"/>
            </w:rPr>
            <w:t>132</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"_Toc12717" </w:instrText>
          </w:r>
          <w:r>
            <w:fldChar w:fldCharType="separate"/>
          </w:r>
          <w:r>
            <w:rPr>
              <w:rFonts w:ascii="Times New Roman" w:hAnsi="Times New Roman" w:cs="Times New Roman"/>
            </w:rPr>
            <w:t>33442007《微机原理与接口技术》课程教学大纲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_Toc12717 \h </w:instrText>
          </w:r>
          <w:r>
            <w:rPr>
              <w:rFonts w:ascii="Times New Roman" w:hAnsi="Times New Roman" w:cs="Times New Roman"/>
            </w:rPr>
            <w:fldChar w:fldCharType="separate"/>
          </w:r>
          <w:r>
            <w:rPr>
              <w:rFonts w:ascii="Times New Roman" w:hAnsi="Times New Roman" w:cs="Times New Roman"/>
            </w:rPr>
            <w:t>140</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"_Toc1140" </w:instrText>
          </w:r>
          <w:r>
            <w:fldChar w:fldCharType="separate"/>
          </w:r>
          <w:r>
            <w:rPr>
              <w:rFonts w:ascii="Times New Roman" w:hAnsi="Times New Roman" w:eastAsia="宋体" w:cs="Times New Roman"/>
              <w:szCs w:val="32"/>
            </w:rPr>
            <w:t>33421101《电磁场与电磁波》课程教学大纲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_Toc1140 \h </w:instrText>
          </w:r>
          <w:r>
            <w:rPr>
              <w:rFonts w:ascii="Times New Roman" w:hAnsi="Times New Roman" w:cs="Times New Roman"/>
            </w:rPr>
            <w:fldChar w:fldCharType="separate"/>
          </w:r>
          <w:r>
            <w:rPr>
              <w:rFonts w:ascii="Times New Roman" w:hAnsi="Times New Roman" w:cs="Times New Roman"/>
            </w:rPr>
            <w:t>147</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"_Toc30905" </w:instrText>
          </w:r>
          <w:r>
            <w:fldChar w:fldCharType="separate"/>
          </w:r>
          <w:r>
            <w:rPr>
              <w:rFonts w:ascii="Times New Roman" w:hAnsi="Times New Roman" w:eastAsia="宋体" w:cs="Times New Roman"/>
              <w:szCs w:val="36"/>
            </w:rPr>
            <w:t>2.3专业类课程教学大纲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_Toc30905 \h </w:instrText>
          </w:r>
          <w:r>
            <w:rPr>
              <w:rFonts w:ascii="Times New Roman" w:hAnsi="Times New Roman" w:cs="Times New Roman"/>
            </w:rPr>
            <w:fldChar w:fldCharType="separate"/>
          </w:r>
          <w:r>
            <w:rPr>
              <w:rFonts w:ascii="Times New Roman" w:hAnsi="Times New Roman" w:cs="Times New Roman"/>
            </w:rPr>
            <w:t>153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"_Toc29263" </w:instrText>
          </w:r>
          <w:r>
            <w:fldChar w:fldCharType="separate"/>
          </w:r>
          <w:r>
            <w:rPr>
              <w:rFonts w:ascii="Times New Roman" w:hAnsi="Times New Roman" w:cs="Times New Roman"/>
            </w:rPr>
            <w:t>2.3.1专业限选课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_Toc29263 \h </w:instrText>
          </w:r>
          <w:r>
            <w:rPr>
              <w:rFonts w:ascii="Times New Roman" w:hAnsi="Times New Roman" w:cs="Times New Roman"/>
            </w:rPr>
            <w:fldChar w:fldCharType="separate"/>
          </w:r>
          <w:r>
            <w:rPr>
              <w:rFonts w:ascii="Times New Roman" w:hAnsi="Times New Roman" w:cs="Times New Roman"/>
            </w:rPr>
            <w:t>153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"_Toc28112" </w:instrText>
          </w:r>
          <w:r>
            <w:fldChar w:fldCharType="separate"/>
          </w:r>
          <w:r>
            <w:rPr>
              <w:rFonts w:ascii="Times New Roman" w:hAnsi="Times New Roman" w:eastAsia="宋体" w:cs="Times New Roman"/>
            </w:rPr>
            <w:t>33431001《海洋电子信息前沿技术》课程教学大纲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_Toc28112 \h </w:instrText>
          </w:r>
          <w:r>
            <w:rPr>
              <w:rFonts w:ascii="Times New Roman" w:hAnsi="Times New Roman" w:cs="Times New Roman"/>
            </w:rPr>
            <w:fldChar w:fldCharType="separate"/>
          </w:r>
          <w:r>
            <w:rPr>
              <w:rFonts w:ascii="Times New Roman" w:hAnsi="Times New Roman" w:cs="Times New Roman"/>
            </w:rPr>
            <w:t>153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"_Toc16432" </w:instrText>
          </w:r>
          <w:r>
            <w:fldChar w:fldCharType="separate"/>
          </w:r>
          <w:r>
            <w:rPr>
              <w:rFonts w:ascii="Times New Roman" w:hAnsi="Times New Roman" w:eastAsia="宋体" w:cs="Times New Roman"/>
            </w:rPr>
            <w:t>33452001《算法与数据结构》课程教学大纲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_Toc16432 \h </w:instrText>
          </w:r>
          <w:r>
            <w:rPr>
              <w:rFonts w:ascii="Times New Roman" w:hAnsi="Times New Roman" w:cs="Times New Roman"/>
            </w:rPr>
            <w:fldChar w:fldCharType="separate"/>
          </w:r>
          <w:r>
            <w:rPr>
              <w:rFonts w:ascii="Times New Roman" w:hAnsi="Times New Roman" w:cs="Times New Roman"/>
            </w:rPr>
            <w:t>157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"_Toc16721" </w:instrText>
          </w:r>
          <w:r>
            <w:fldChar w:fldCharType="separate"/>
          </w:r>
          <w:r>
            <w:rPr>
              <w:rFonts w:ascii="Times New Roman" w:hAnsi="Times New Roman" w:eastAsia="宋体" w:cs="Times New Roman"/>
            </w:rPr>
            <w:t>33422100《面向对象的高级语言程序设计》课程教学大纲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_Toc16721 \h </w:instrText>
          </w:r>
          <w:r>
            <w:rPr>
              <w:rFonts w:ascii="Times New Roman" w:hAnsi="Times New Roman" w:cs="Times New Roman"/>
            </w:rPr>
            <w:fldChar w:fldCharType="separate"/>
          </w:r>
          <w:r>
            <w:rPr>
              <w:rFonts w:ascii="Times New Roman" w:hAnsi="Times New Roman" w:cs="Times New Roman"/>
            </w:rPr>
            <w:t>162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"_Toc16476" </w:instrText>
          </w:r>
          <w:r>
            <w:fldChar w:fldCharType="separate"/>
          </w:r>
          <w:r>
            <w:rPr>
              <w:rFonts w:ascii="Times New Roman" w:hAnsi="Times New Roman" w:cs="Times New Roman" w:eastAsiaTheme="majorEastAsia"/>
              <w:bCs/>
              <w:szCs w:val="32"/>
            </w:rPr>
            <w:t>33424005《计算机网络与数据通信》课程教学大纲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_Toc16476 \h </w:instrText>
          </w:r>
          <w:r>
            <w:rPr>
              <w:rFonts w:ascii="Times New Roman" w:hAnsi="Times New Roman" w:cs="Times New Roman"/>
            </w:rPr>
            <w:fldChar w:fldCharType="separate"/>
          </w:r>
          <w:r>
            <w:rPr>
              <w:rFonts w:ascii="Times New Roman" w:hAnsi="Times New Roman" w:cs="Times New Roman"/>
            </w:rPr>
            <w:t>168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"_Toc14949" </w:instrText>
          </w:r>
          <w:r>
            <w:fldChar w:fldCharType="separate"/>
          </w:r>
          <w:r>
            <w:rPr>
              <w:rFonts w:ascii="Times New Roman" w:hAnsi="Times New Roman" w:cs="Times New Roman"/>
              <w:szCs w:val="32"/>
            </w:rPr>
            <w:t>33462002《电子线路CAD》课程教学大纲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_Toc14949 \h </w:instrText>
          </w:r>
          <w:r>
            <w:rPr>
              <w:rFonts w:ascii="Times New Roman" w:hAnsi="Times New Roman" w:cs="Times New Roman"/>
            </w:rPr>
            <w:fldChar w:fldCharType="separate"/>
          </w:r>
          <w:r>
            <w:rPr>
              <w:rFonts w:ascii="Times New Roman" w:hAnsi="Times New Roman" w:cs="Times New Roman"/>
            </w:rPr>
            <w:t>175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"_Toc11135" </w:instrText>
          </w:r>
          <w:r>
            <w:fldChar w:fldCharType="separate"/>
          </w:r>
          <w:r>
            <w:rPr>
              <w:rFonts w:ascii="Times New Roman" w:hAnsi="Times New Roman" w:cs="Times New Roman"/>
              <w:szCs w:val="32"/>
            </w:rPr>
            <w:t>33462001《数字图像处理》课程教学大纲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_Toc11135 \h </w:instrText>
          </w:r>
          <w:r>
            <w:rPr>
              <w:rFonts w:ascii="Times New Roman" w:hAnsi="Times New Roman" w:cs="Times New Roman"/>
            </w:rPr>
            <w:fldChar w:fldCharType="separate"/>
          </w:r>
          <w:r>
            <w:rPr>
              <w:rFonts w:ascii="Times New Roman" w:hAnsi="Times New Roman" w:cs="Times New Roman"/>
            </w:rPr>
            <w:t>181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"_Toc11396" </w:instrText>
          </w:r>
          <w:r>
            <w:fldChar w:fldCharType="separate"/>
          </w:r>
          <w:r>
            <w:rPr>
              <w:rFonts w:ascii="Times New Roman" w:hAnsi="Times New Roman" w:cs="Times New Roman"/>
              <w:szCs w:val="32"/>
            </w:rPr>
            <w:t>33431504《电子系统创新设计方法》课程教学大纲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_Toc11396 \h </w:instrText>
          </w:r>
          <w:r>
            <w:rPr>
              <w:rFonts w:ascii="Times New Roman" w:hAnsi="Times New Roman" w:cs="Times New Roman"/>
            </w:rPr>
            <w:fldChar w:fldCharType="separate"/>
          </w:r>
          <w:r>
            <w:rPr>
              <w:rFonts w:ascii="Times New Roman" w:hAnsi="Times New Roman" w:cs="Times New Roman"/>
            </w:rPr>
            <w:t>187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"_Toc5799" </w:instrText>
          </w:r>
          <w:r>
            <w:fldChar w:fldCharType="separate"/>
          </w:r>
          <w:r>
            <w:rPr>
              <w:rFonts w:ascii="Times New Roman" w:hAnsi="Times New Roman" w:cs="Times New Roman"/>
              <w:szCs w:val="32"/>
            </w:rPr>
            <w:t>33431505《工程与科研方法》课程教学大纲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_Toc5799 \h </w:instrText>
          </w:r>
          <w:r>
            <w:rPr>
              <w:rFonts w:ascii="Times New Roman" w:hAnsi="Times New Roman" w:cs="Times New Roman"/>
            </w:rPr>
            <w:fldChar w:fldCharType="separate"/>
          </w:r>
          <w:r>
            <w:rPr>
              <w:rFonts w:ascii="Times New Roman" w:hAnsi="Times New Roman" w:cs="Times New Roman"/>
            </w:rPr>
            <w:t>193</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306"/>
            </w:tabs>
            <w:rPr>
              <w:rFonts w:ascii="Times New Roman" w:hAnsi="Times New Roman" w:cs="Times New Roman"/>
            </w:rPr>
          </w:pPr>
          <w:r>
            <w:fldChar w:fldCharType="begin"/>
          </w:r>
          <w:r>
            <w:instrText xml:space="preserve"> HYPERLINK \l "_Toc4634" </w:instrText>
          </w:r>
          <w:r>
            <w:fldChar w:fldCharType="separate"/>
          </w:r>
          <w:r>
            <w:rPr>
              <w:rFonts w:ascii="Times New Roman" w:hAnsi="Times New Roman" w:cs="Times New Roman"/>
            </w:rPr>
            <w:t>2.3.2专业任选课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_Toc4634 \h </w:instrText>
          </w:r>
          <w:r>
            <w:rPr>
              <w:rFonts w:ascii="Times New Roman" w:hAnsi="Times New Roman" w:cs="Times New Roman"/>
            </w:rPr>
            <w:fldChar w:fldCharType="separate"/>
          </w:r>
          <w:r>
            <w:rPr>
              <w:rFonts w:ascii="Times New Roman" w:hAnsi="Times New Roman" w:cs="Times New Roman"/>
            </w:rPr>
            <w:t>198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"_Toc11742" </w:instrText>
          </w:r>
          <w:r>
            <w:fldChar w:fldCharType="separate"/>
          </w:r>
          <w:r>
            <w:rPr>
              <w:rFonts w:ascii="Times New Roman" w:hAnsi="Times New Roman" w:cs="Times New Roman"/>
              <w:szCs w:val="32"/>
            </w:rPr>
            <w:t>33452002《单片机原理与应用》课程教学大纲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_Toc11742 \h </w:instrText>
          </w:r>
          <w:r>
            <w:rPr>
              <w:rFonts w:ascii="Times New Roman" w:hAnsi="Times New Roman" w:cs="Times New Roman"/>
            </w:rPr>
            <w:fldChar w:fldCharType="separate"/>
          </w:r>
          <w:r>
            <w:rPr>
              <w:rFonts w:ascii="Times New Roman" w:hAnsi="Times New Roman" w:cs="Times New Roman"/>
            </w:rPr>
            <w:t>198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"_Toc15656" </w:instrText>
          </w:r>
          <w:r>
            <w:fldChar w:fldCharType="separate"/>
          </w:r>
          <w:r>
            <w:rPr>
              <w:rFonts w:ascii="Times New Roman" w:hAnsi="Times New Roman" w:eastAsia="宋体" w:cs="Times New Roman"/>
              <w:bCs/>
              <w:szCs w:val="32"/>
            </w:rPr>
            <w:t>16142107《传感器原理与技术》课程教学大纲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_Toc15656 \h </w:instrText>
          </w:r>
          <w:r>
            <w:rPr>
              <w:rFonts w:ascii="Times New Roman" w:hAnsi="Times New Roman" w:cs="Times New Roman"/>
            </w:rPr>
            <w:fldChar w:fldCharType="separate"/>
          </w:r>
          <w:r>
            <w:rPr>
              <w:rFonts w:ascii="Times New Roman" w:hAnsi="Times New Roman" w:cs="Times New Roman"/>
            </w:rPr>
            <w:t>204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"_Toc189" </w:instrText>
          </w:r>
          <w:r>
            <w:fldChar w:fldCharType="separate"/>
          </w:r>
          <w:r>
            <w:rPr>
              <w:rFonts w:ascii="Times New Roman" w:hAnsi="Times New Roman" w:cs="Times New Roman" w:eastAsiaTheme="majorEastAsia"/>
              <w:bCs/>
              <w:szCs w:val="32"/>
            </w:rPr>
            <w:t>16142109《嵌入式系统》课程教学大纲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_Toc189 \h </w:instrText>
          </w:r>
          <w:r>
            <w:rPr>
              <w:rFonts w:ascii="Times New Roman" w:hAnsi="Times New Roman" w:cs="Times New Roman"/>
            </w:rPr>
            <w:fldChar w:fldCharType="separate"/>
          </w:r>
          <w:r>
            <w:rPr>
              <w:rFonts w:ascii="Times New Roman" w:hAnsi="Times New Roman" w:cs="Times New Roman"/>
            </w:rPr>
            <w:t>210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"_Toc22038" </w:instrText>
          </w:r>
          <w:r>
            <w:fldChar w:fldCharType="separate"/>
          </w:r>
          <w:r>
            <w:rPr>
              <w:rFonts w:ascii="Times New Roman" w:hAnsi="Times New Roman" w:cs="Times New Roman" w:eastAsiaTheme="majorEastAsia"/>
              <w:bCs/>
              <w:szCs w:val="32"/>
            </w:rPr>
            <w:t>16142111《嵌入式操作系统》课程教学大纲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_Toc22038 \h </w:instrText>
          </w:r>
          <w:r>
            <w:rPr>
              <w:rFonts w:ascii="Times New Roman" w:hAnsi="Times New Roman" w:cs="Times New Roman"/>
            </w:rPr>
            <w:fldChar w:fldCharType="separate"/>
          </w:r>
          <w:r>
            <w:rPr>
              <w:rFonts w:ascii="Times New Roman" w:hAnsi="Times New Roman" w:cs="Times New Roman"/>
            </w:rPr>
            <w:t>214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"_Toc22641" </w:instrText>
          </w:r>
          <w:r>
            <w:fldChar w:fldCharType="separate"/>
          </w:r>
          <w:r>
            <w:rPr>
              <w:rFonts w:ascii="Times New Roman" w:hAnsi="Times New Roman" w:cs="Times New Roman" w:eastAsiaTheme="majorEastAsia"/>
              <w:bCs/>
              <w:szCs w:val="32"/>
            </w:rPr>
            <w:t>33452004《无线传感器网络》课程教学大纲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_Toc22641 \h </w:instrText>
          </w:r>
          <w:r>
            <w:rPr>
              <w:rFonts w:ascii="Times New Roman" w:hAnsi="Times New Roman" w:cs="Times New Roman"/>
            </w:rPr>
            <w:fldChar w:fldCharType="separate"/>
          </w:r>
          <w:r>
            <w:rPr>
              <w:rFonts w:ascii="Times New Roman" w:hAnsi="Times New Roman" w:cs="Times New Roman"/>
            </w:rPr>
            <w:t>220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"_Toc25118" </w:instrText>
          </w:r>
          <w:r>
            <w:fldChar w:fldCharType="separate"/>
          </w:r>
          <w:r>
            <w:rPr>
              <w:rFonts w:ascii="Times New Roman" w:hAnsi="Times New Roman" w:cs="Times New Roman"/>
              <w:szCs w:val="32"/>
            </w:rPr>
            <w:t>33462010《DSP技术与应用》课程教学大纲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_Toc25118 \h </w:instrText>
          </w:r>
          <w:r>
            <w:rPr>
              <w:rFonts w:ascii="Times New Roman" w:hAnsi="Times New Roman" w:cs="Times New Roman"/>
            </w:rPr>
            <w:fldChar w:fldCharType="separate"/>
          </w:r>
          <w:r>
            <w:rPr>
              <w:rFonts w:ascii="Times New Roman" w:hAnsi="Times New Roman" w:cs="Times New Roman"/>
            </w:rPr>
            <w:t>227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"_Toc2822" </w:instrText>
          </w:r>
          <w:r>
            <w:fldChar w:fldCharType="separate"/>
          </w:r>
          <w:r>
            <w:rPr>
              <w:rFonts w:ascii="Times New Roman" w:hAnsi="Times New Roman" w:cs="Times New Roman" w:eastAsiaTheme="majorEastAsia"/>
              <w:bCs/>
              <w:szCs w:val="32"/>
            </w:rPr>
            <w:t>33462011《无线电工程的现代方法》课程教学大纲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_Toc2822 \h </w:instrText>
          </w:r>
          <w:r>
            <w:rPr>
              <w:rFonts w:ascii="Times New Roman" w:hAnsi="Times New Roman" w:cs="Times New Roman"/>
            </w:rPr>
            <w:fldChar w:fldCharType="separate"/>
          </w:r>
          <w:r>
            <w:rPr>
              <w:rFonts w:ascii="Times New Roman" w:hAnsi="Times New Roman" w:cs="Times New Roman"/>
            </w:rPr>
            <w:t>233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"_Toc5617" </w:instrText>
          </w:r>
          <w:r>
            <w:fldChar w:fldCharType="separate"/>
          </w:r>
          <w:r>
            <w:rPr>
              <w:rFonts w:ascii="Times New Roman" w:hAnsi="Times New Roman" w:eastAsia="宋体" w:cs="Times New Roman"/>
              <w:szCs w:val="32"/>
            </w:rPr>
            <w:t>16152403《信号检测与估计》课程教学大纲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_Toc5617 \h </w:instrText>
          </w:r>
          <w:r>
            <w:rPr>
              <w:rFonts w:ascii="Times New Roman" w:hAnsi="Times New Roman" w:cs="Times New Roman"/>
            </w:rPr>
            <w:fldChar w:fldCharType="separate"/>
          </w:r>
          <w:r>
            <w:rPr>
              <w:rFonts w:ascii="Times New Roman" w:hAnsi="Times New Roman" w:cs="Times New Roman"/>
            </w:rPr>
            <w:t>237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"_Toc7672" </w:instrText>
          </w:r>
          <w:r>
            <w:fldChar w:fldCharType="separate"/>
          </w:r>
          <w:r>
            <w:rPr>
              <w:rFonts w:ascii="Times New Roman" w:hAnsi="Times New Roman" w:cs="Times New Roman" w:eastAsiaTheme="majorEastAsia"/>
              <w:bCs/>
              <w:szCs w:val="32"/>
            </w:rPr>
            <w:t>16152104《现代电源技术》课程教学大纲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_Toc7672 \h </w:instrText>
          </w:r>
          <w:r>
            <w:rPr>
              <w:rFonts w:ascii="Times New Roman" w:hAnsi="Times New Roman" w:cs="Times New Roman"/>
            </w:rPr>
            <w:fldChar w:fldCharType="separate"/>
          </w:r>
          <w:r>
            <w:rPr>
              <w:rFonts w:ascii="Times New Roman" w:hAnsi="Times New Roman" w:cs="Times New Roman"/>
            </w:rPr>
            <w:t>243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"_Toc7805" </w:instrText>
          </w:r>
          <w:r>
            <w:fldChar w:fldCharType="separate"/>
          </w:r>
          <w:r>
            <w:rPr>
              <w:rFonts w:ascii="Times New Roman" w:hAnsi="Times New Roman" w:eastAsia="宋体" w:cs="Times New Roman"/>
              <w:szCs w:val="32"/>
            </w:rPr>
            <w:t>16152108《FPGA与硬件描述语言》课程教学大纲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_Toc7805 \h </w:instrText>
          </w:r>
          <w:r>
            <w:rPr>
              <w:rFonts w:ascii="Times New Roman" w:hAnsi="Times New Roman" w:cs="Times New Roman"/>
            </w:rPr>
            <w:fldChar w:fldCharType="separate"/>
          </w:r>
          <w:r>
            <w:rPr>
              <w:rFonts w:ascii="Times New Roman" w:hAnsi="Times New Roman" w:cs="Times New Roman"/>
            </w:rPr>
            <w:t>247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"_Toc23125" </w:instrText>
          </w:r>
          <w:r>
            <w:fldChar w:fldCharType="separate"/>
          </w:r>
          <w:r>
            <w:rPr>
              <w:rFonts w:ascii="Times New Roman" w:hAnsi="Times New Roman" w:eastAsia="宋体" w:cs="Times New Roman"/>
              <w:bCs/>
              <w:szCs w:val="32"/>
            </w:rPr>
            <w:t>33462003《语音信号处理技术与应用》课程教学大纲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_Toc23125 \h </w:instrText>
          </w:r>
          <w:r>
            <w:rPr>
              <w:rFonts w:ascii="Times New Roman" w:hAnsi="Times New Roman" w:cs="Times New Roman"/>
            </w:rPr>
            <w:fldChar w:fldCharType="separate"/>
          </w:r>
          <w:r>
            <w:rPr>
              <w:rFonts w:ascii="Times New Roman" w:hAnsi="Times New Roman" w:cs="Times New Roman"/>
            </w:rPr>
            <w:t>257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"_Toc6404" </w:instrText>
          </w:r>
          <w:r>
            <w:fldChar w:fldCharType="separate"/>
          </w:r>
          <w:r>
            <w:rPr>
              <w:rFonts w:ascii="Times New Roman" w:hAnsi="Times New Roman" w:eastAsia="宋体" w:cs="Times New Roman"/>
            </w:rPr>
            <w:t>33462004《模式识别与人工智能》课程教学大纲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_Toc6404 \h </w:instrText>
          </w:r>
          <w:r>
            <w:rPr>
              <w:rFonts w:ascii="Times New Roman" w:hAnsi="Times New Roman" w:cs="Times New Roman"/>
            </w:rPr>
            <w:fldChar w:fldCharType="separate"/>
          </w:r>
          <w:r>
            <w:rPr>
              <w:rFonts w:ascii="Times New Roman" w:hAnsi="Times New Roman" w:cs="Times New Roman"/>
            </w:rPr>
            <w:t>262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"_Toc18174" </w:instrText>
          </w:r>
          <w:r>
            <w:fldChar w:fldCharType="separate"/>
          </w:r>
          <w:r>
            <w:rPr>
              <w:rFonts w:ascii="Times New Roman" w:hAnsi="Times New Roman" w:cs="Times New Roman" w:eastAsiaTheme="majorEastAsia"/>
              <w:bCs/>
              <w:szCs w:val="32"/>
            </w:rPr>
            <w:t>33452003《MATLAB语言与应用》课程教学大纲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_Toc18174 \h </w:instrText>
          </w:r>
          <w:r>
            <w:rPr>
              <w:rFonts w:ascii="Times New Roman" w:hAnsi="Times New Roman" w:cs="Times New Roman"/>
            </w:rPr>
            <w:fldChar w:fldCharType="separate"/>
          </w:r>
          <w:r>
            <w:rPr>
              <w:rFonts w:ascii="Times New Roman" w:hAnsi="Times New Roman" w:cs="Times New Roman"/>
            </w:rPr>
            <w:t>268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"_Toc31980" </w:instrText>
          </w:r>
          <w:r>
            <w:fldChar w:fldCharType="separate"/>
          </w:r>
          <w:r>
            <w:rPr>
              <w:rFonts w:ascii="Times New Roman" w:hAnsi="Times New Roman" w:cs="Times New Roman" w:eastAsiaTheme="majorEastAsia"/>
              <w:bCs/>
              <w:szCs w:val="32"/>
            </w:rPr>
            <w:t>33462006《图像与音频编码技术》课程教学大纲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_Toc31980 \h </w:instrText>
          </w:r>
          <w:r>
            <w:rPr>
              <w:rFonts w:ascii="Times New Roman" w:hAnsi="Times New Roman" w:cs="Times New Roman"/>
            </w:rPr>
            <w:fldChar w:fldCharType="separate"/>
          </w:r>
          <w:r>
            <w:rPr>
              <w:rFonts w:ascii="Times New Roman" w:hAnsi="Times New Roman" w:cs="Times New Roman"/>
            </w:rPr>
            <w:t>275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"_Toc25022" </w:instrText>
          </w:r>
          <w:r>
            <w:fldChar w:fldCharType="separate"/>
          </w:r>
          <w:r>
            <w:rPr>
              <w:rFonts w:ascii="Times New Roman" w:hAnsi="Times New Roman" w:cs="Times New Roman" w:eastAsiaTheme="majorEastAsia"/>
              <w:bCs/>
              <w:szCs w:val="32"/>
            </w:rPr>
            <w:t>33441602《移动互联网技术》课程教学大纲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_Toc25022 \h </w:instrText>
          </w:r>
          <w:r>
            <w:rPr>
              <w:rFonts w:ascii="Times New Roman" w:hAnsi="Times New Roman" w:cs="Times New Roman"/>
            </w:rPr>
            <w:fldChar w:fldCharType="separate"/>
          </w:r>
          <w:r>
            <w:rPr>
              <w:rFonts w:ascii="Times New Roman" w:hAnsi="Times New Roman" w:cs="Times New Roman"/>
            </w:rPr>
            <w:t>283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"_Toc3300" </w:instrText>
          </w:r>
          <w:r>
            <w:fldChar w:fldCharType="separate"/>
          </w:r>
          <w:r>
            <w:rPr>
              <w:rFonts w:ascii="Times New Roman" w:hAnsi="Times New Roman" w:cs="Times New Roman" w:eastAsiaTheme="majorEastAsia"/>
              <w:bCs/>
              <w:szCs w:val="32"/>
            </w:rPr>
            <w:t>33462008《WEB编程》课程教学大纲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_Toc3300 \h </w:instrText>
          </w:r>
          <w:r>
            <w:rPr>
              <w:rFonts w:ascii="Times New Roman" w:hAnsi="Times New Roman" w:cs="Times New Roman"/>
            </w:rPr>
            <w:fldChar w:fldCharType="separate"/>
          </w:r>
          <w:r>
            <w:rPr>
              <w:rFonts w:ascii="Times New Roman" w:hAnsi="Times New Roman" w:cs="Times New Roman"/>
            </w:rPr>
            <w:t>289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"_Toc30291" </w:instrText>
          </w:r>
          <w:r>
            <w:fldChar w:fldCharType="separate"/>
          </w:r>
          <w:r>
            <w:rPr>
              <w:rFonts w:ascii="Times New Roman" w:hAnsi="Times New Roman" w:eastAsia="宋体" w:cs="Times New Roman"/>
            </w:rPr>
            <w:t>33462009《数据库原理与应用》课程教学大纲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_Toc30291 \h </w:instrText>
          </w:r>
          <w:r>
            <w:rPr>
              <w:rFonts w:ascii="Times New Roman" w:hAnsi="Times New Roman" w:cs="Times New Roman"/>
            </w:rPr>
            <w:fldChar w:fldCharType="separate"/>
          </w:r>
          <w:r>
            <w:rPr>
              <w:rFonts w:ascii="Times New Roman" w:hAnsi="Times New Roman" w:cs="Times New Roman"/>
            </w:rPr>
            <w:t>295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"_Toc21072" </w:instrText>
          </w:r>
          <w:r>
            <w:fldChar w:fldCharType="separate"/>
          </w:r>
          <w:r>
            <w:rPr>
              <w:rFonts w:ascii="Times New Roman" w:hAnsi="Times New Roman" w:cs="Times New Roman"/>
              <w:szCs w:val="32"/>
            </w:rPr>
            <w:t>33441603《海洋遥感与电子技术》课程教学大纲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_Toc21072 \h </w:instrText>
          </w:r>
          <w:r>
            <w:rPr>
              <w:rFonts w:ascii="Times New Roman" w:hAnsi="Times New Roman" w:cs="Times New Roman"/>
            </w:rPr>
            <w:fldChar w:fldCharType="separate"/>
          </w:r>
          <w:r>
            <w:rPr>
              <w:rFonts w:ascii="Times New Roman" w:hAnsi="Times New Roman" w:cs="Times New Roman"/>
            </w:rPr>
            <w:t>300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8306"/>
            </w:tabs>
            <w:rPr>
              <w:rFonts w:ascii="Times New Roman" w:hAnsi="Times New Roman" w:cs="Times New Roman"/>
            </w:rPr>
          </w:pPr>
          <w:r>
            <w:fldChar w:fldCharType="begin"/>
          </w:r>
          <w:r>
            <w:instrText xml:space="preserve"> HYPERLINK \l "_Toc10920" </w:instrText>
          </w:r>
          <w:r>
            <w:fldChar w:fldCharType="separate"/>
          </w:r>
          <w:r>
            <w:rPr>
              <w:rFonts w:ascii="Times New Roman" w:hAnsi="Times New Roman" w:cs="Times New Roman"/>
              <w:szCs w:val="32"/>
            </w:rPr>
            <w:t>16152101《水声通信及信号处理技术》课程教学大纲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_Toc10920 \h </w:instrText>
          </w:r>
          <w:r>
            <w:rPr>
              <w:rFonts w:ascii="Times New Roman" w:hAnsi="Times New Roman" w:cs="Times New Roman"/>
            </w:rPr>
            <w:fldChar w:fldCharType="separate"/>
          </w:r>
          <w:r>
            <w:rPr>
              <w:rFonts w:ascii="Times New Roman" w:hAnsi="Times New Roman" w:cs="Times New Roman"/>
            </w:rPr>
            <w:t>306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306"/>
            </w:tabs>
            <w:rPr>
              <w:rFonts w:ascii="Times New Roman" w:hAnsi="Times New Roman" w:cs="Times New Roman"/>
            </w:rPr>
          </w:pPr>
          <w:r>
            <w:fldChar w:fldCharType="begin"/>
          </w:r>
          <w:r>
            <w:instrText xml:space="preserve"> HYPERLINK \l "_Toc20925" </w:instrText>
          </w:r>
          <w:r>
            <w:fldChar w:fldCharType="separate"/>
          </w:r>
          <w:r>
            <w:rPr>
              <w:rFonts w:ascii="Times New Roman" w:hAnsi="Times New Roman" w:cs="Times New Roman"/>
              <w:szCs w:val="36"/>
            </w:rPr>
            <w:t>3工程实践与毕业设计（论文）教学大纲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_Toc20925 \h </w:instrText>
          </w:r>
          <w:r>
            <w:rPr>
              <w:rFonts w:ascii="Times New Roman" w:hAnsi="Times New Roman" w:cs="Times New Roman"/>
            </w:rPr>
            <w:fldChar w:fldCharType="separate"/>
          </w:r>
          <w:r>
            <w:rPr>
              <w:rFonts w:ascii="Times New Roman" w:hAnsi="Times New Roman" w:cs="Times New Roman"/>
            </w:rPr>
            <w:t>313</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"_Toc5032" </w:instrText>
          </w:r>
          <w:r>
            <w:fldChar w:fldCharType="separate"/>
          </w:r>
          <w:r>
            <w:rPr>
              <w:rFonts w:ascii="Times New Roman" w:hAnsi="Times New Roman" w:eastAsia="宋体" w:cs="Times New Roman"/>
            </w:rPr>
            <w:t>19123101《大学物理实验Ⅱ》课程教学大纲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_Toc5032 \h </w:instrText>
          </w:r>
          <w:r>
            <w:rPr>
              <w:rFonts w:ascii="Times New Roman" w:hAnsi="Times New Roman" w:cs="Times New Roman"/>
            </w:rPr>
            <w:fldChar w:fldCharType="separate"/>
          </w:r>
          <w:r>
            <w:rPr>
              <w:rFonts w:ascii="Times New Roman" w:hAnsi="Times New Roman" w:cs="Times New Roman"/>
            </w:rPr>
            <w:t>313</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"_Toc25378" </w:instrText>
          </w:r>
          <w:r>
            <w:fldChar w:fldCharType="separate"/>
          </w:r>
          <w:r>
            <w:rPr>
              <w:rFonts w:ascii="Times New Roman" w:hAnsi="Times New Roman" w:cs="Times New Roman"/>
            </w:rPr>
            <w:t>j1610101《电子工艺实习》实习教学大纲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_Toc25378 \h </w:instrText>
          </w:r>
          <w:r>
            <w:rPr>
              <w:rFonts w:ascii="Times New Roman" w:hAnsi="Times New Roman" w:cs="Times New Roman"/>
            </w:rPr>
            <w:fldChar w:fldCharType="separate"/>
          </w:r>
          <w:r>
            <w:rPr>
              <w:rFonts w:ascii="Times New Roman" w:hAnsi="Times New Roman" w:cs="Times New Roman"/>
            </w:rPr>
            <w:t>318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"_Toc30836" </w:instrText>
          </w:r>
          <w:r>
            <w:fldChar w:fldCharType="separate"/>
          </w:r>
          <w:r>
            <w:rPr>
              <w:rFonts w:ascii="Times New Roman" w:hAnsi="Times New Roman" w:eastAsia="宋体" w:cs="Times New Roman"/>
            </w:rPr>
            <w:t>j3340107《工程项目实训》实训教学大纲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_Toc30836 \h </w:instrText>
          </w:r>
          <w:r>
            <w:rPr>
              <w:rFonts w:ascii="Times New Roman" w:hAnsi="Times New Roman" w:cs="Times New Roman"/>
            </w:rPr>
            <w:fldChar w:fldCharType="separate"/>
          </w:r>
          <w:r>
            <w:rPr>
              <w:rFonts w:ascii="Times New Roman" w:hAnsi="Times New Roman" w:cs="Times New Roman"/>
            </w:rPr>
            <w:t>322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"_Toc8939" </w:instrText>
          </w:r>
          <w:r>
            <w:fldChar w:fldCharType="separate"/>
          </w:r>
          <w:r>
            <w:rPr>
              <w:rFonts w:ascii="Times New Roman" w:hAnsi="Times New Roman" w:cs="Times New Roman"/>
            </w:rPr>
            <w:t>j3341701《C语言程序设计实习》实习教学大纲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_Toc8939 \h </w:instrText>
          </w:r>
          <w:r>
            <w:rPr>
              <w:rFonts w:ascii="Times New Roman" w:hAnsi="Times New Roman" w:cs="Times New Roman"/>
            </w:rPr>
            <w:fldChar w:fldCharType="separate"/>
          </w:r>
          <w:r>
            <w:rPr>
              <w:rFonts w:ascii="Times New Roman" w:hAnsi="Times New Roman" w:cs="Times New Roman"/>
            </w:rPr>
            <w:t>326</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"_Toc17204" </w:instrText>
          </w:r>
          <w:r>
            <w:fldChar w:fldCharType="separate"/>
          </w:r>
          <w:r>
            <w:rPr>
              <w:rFonts w:ascii="Times New Roman" w:hAnsi="Times New Roman" w:cs="Times New Roman"/>
            </w:rPr>
            <w:t>j3340101《电子技术基础综合实习（模拟、数字）》实习教学大纲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_Toc17204 \h </w:instrText>
          </w:r>
          <w:r>
            <w:rPr>
              <w:rFonts w:ascii="Times New Roman" w:hAnsi="Times New Roman" w:cs="Times New Roman"/>
            </w:rPr>
            <w:fldChar w:fldCharType="separate"/>
          </w:r>
          <w:r>
            <w:rPr>
              <w:rFonts w:ascii="Times New Roman" w:hAnsi="Times New Roman" w:cs="Times New Roman"/>
            </w:rPr>
            <w:t>332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"_Toc9851" </w:instrText>
          </w:r>
          <w:r>
            <w:fldChar w:fldCharType="separate"/>
          </w:r>
          <w:r>
            <w:rPr>
              <w:rFonts w:ascii="Times New Roman" w:hAnsi="Times New Roman" w:cs="Times New Roman"/>
            </w:rPr>
            <w:t>j3341702《微机原理与单片机课程实习》实习教学大纲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_Toc9851 \h </w:instrText>
          </w:r>
          <w:r>
            <w:rPr>
              <w:rFonts w:ascii="Times New Roman" w:hAnsi="Times New Roman" w:cs="Times New Roman"/>
            </w:rPr>
            <w:fldChar w:fldCharType="separate"/>
          </w:r>
          <w:r>
            <w:rPr>
              <w:rFonts w:ascii="Times New Roman" w:hAnsi="Times New Roman" w:cs="Times New Roman"/>
            </w:rPr>
            <w:t>336</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"_Toc1712" </w:instrText>
          </w:r>
          <w:r>
            <w:fldChar w:fldCharType="separate"/>
          </w:r>
          <w:r>
            <w:rPr>
              <w:rFonts w:ascii="Times New Roman" w:hAnsi="Times New Roman" w:cs="Times New Roman"/>
            </w:rPr>
            <w:t>j3340102《高频电子线路课程实习》实习教学大纲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_Toc1712 \h </w:instrText>
          </w:r>
          <w:r>
            <w:rPr>
              <w:rFonts w:ascii="Times New Roman" w:hAnsi="Times New Roman" w:cs="Times New Roman"/>
            </w:rPr>
            <w:fldChar w:fldCharType="separate"/>
          </w:r>
          <w:r>
            <w:rPr>
              <w:rFonts w:ascii="Times New Roman" w:hAnsi="Times New Roman" w:cs="Times New Roman"/>
            </w:rPr>
            <w:t>340</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"_Toc1194" </w:instrText>
          </w:r>
          <w:r>
            <w:fldChar w:fldCharType="separate"/>
          </w:r>
          <w:r>
            <w:rPr>
              <w:rFonts w:ascii="Times New Roman" w:hAnsi="Times New Roman" w:cs="Times New Roman"/>
            </w:rPr>
            <w:t>j3341703《通信原理课程实习》实习教学大纲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_Toc1194 \h </w:instrText>
          </w:r>
          <w:r>
            <w:rPr>
              <w:rFonts w:ascii="Times New Roman" w:hAnsi="Times New Roman" w:cs="Times New Roman"/>
            </w:rPr>
            <w:fldChar w:fldCharType="separate"/>
          </w:r>
          <w:r>
            <w:rPr>
              <w:rFonts w:ascii="Times New Roman" w:hAnsi="Times New Roman" w:cs="Times New Roman"/>
            </w:rPr>
            <w:t>345</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"_Toc13324" </w:instrText>
          </w:r>
          <w:r>
            <w:fldChar w:fldCharType="separate"/>
          </w:r>
          <w:r>
            <w:rPr>
              <w:rFonts w:ascii="Times New Roman" w:hAnsi="Times New Roman" w:cs="Times New Roman"/>
            </w:rPr>
            <w:t>j3341705《海洋遥感与海洋物联网课程实习》实习教学大纲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_Toc13324 \h </w:instrText>
          </w:r>
          <w:r>
            <w:rPr>
              <w:rFonts w:ascii="Times New Roman" w:hAnsi="Times New Roman" w:cs="Times New Roman"/>
            </w:rPr>
            <w:fldChar w:fldCharType="separate"/>
          </w:r>
          <w:r>
            <w:rPr>
              <w:rFonts w:ascii="Times New Roman" w:hAnsi="Times New Roman" w:cs="Times New Roman"/>
            </w:rPr>
            <w:t>350</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"_Toc21655" </w:instrText>
          </w:r>
          <w:r>
            <w:fldChar w:fldCharType="separate"/>
          </w:r>
          <w:r>
            <w:rPr>
              <w:rFonts w:ascii="Times New Roman" w:hAnsi="Times New Roman" w:cs="Times New Roman"/>
            </w:rPr>
            <w:t>j3341706《大学生素质与技能训练》实习教学大纲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_Toc21655 \h </w:instrText>
          </w:r>
          <w:r>
            <w:rPr>
              <w:rFonts w:ascii="Times New Roman" w:hAnsi="Times New Roman" w:cs="Times New Roman"/>
            </w:rPr>
            <w:fldChar w:fldCharType="separate"/>
          </w:r>
          <w:r>
            <w:rPr>
              <w:rFonts w:ascii="Times New Roman" w:hAnsi="Times New Roman" w:cs="Times New Roman"/>
            </w:rPr>
            <w:t>355</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"_Toc18897" </w:instrText>
          </w:r>
          <w:r>
            <w:fldChar w:fldCharType="separate"/>
          </w:r>
          <w:r>
            <w:rPr>
              <w:rFonts w:ascii="Times New Roman" w:hAnsi="Times New Roman" w:cs="Times New Roman"/>
            </w:rPr>
            <w:t>j3341704《嵌入式系统课程实习》实习教学大纲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_Toc18897 \h </w:instrText>
          </w:r>
          <w:r>
            <w:rPr>
              <w:rFonts w:ascii="Times New Roman" w:hAnsi="Times New Roman" w:cs="Times New Roman"/>
            </w:rPr>
            <w:fldChar w:fldCharType="separate"/>
          </w:r>
          <w:r>
            <w:rPr>
              <w:rFonts w:ascii="Times New Roman" w:hAnsi="Times New Roman" w:cs="Times New Roman"/>
            </w:rPr>
            <w:t>360</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"_Toc14456" </w:instrText>
          </w:r>
          <w:r>
            <w:fldChar w:fldCharType="separate"/>
          </w:r>
          <w:r>
            <w:rPr>
              <w:rFonts w:ascii="Times New Roman" w:hAnsi="Times New Roman" w:cs="Times New Roman"/>
            </w:rPr>
            <w:t>j3341708《FPGA与DSP实习》实习教学大纲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_Toc14456 \h </w:instrText>
          </w:r>
          <w:r>
            <w:rPr>
              <w:rFonts w:ascii="Times New Roman" w:hAnsi="Times New Roman" w:cs="Times New Roman"/>
            </w:rPr>
            <w:fldChar w:fldCharType="separate"/>
          </w:r>
          <w:r>
            <w:rPr>
              <w:rFonts w:ascii="Times New Roman" w:hAnsi="Times New Roman" w:cs="Times New Roman"/>
            </w:rPr>
            <w:t>364</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"_Toc16293" </w:instrText>
          </w:r>
          <w:r>
            <w:fldChar w:fldCharType="separate"/>
          </w:r>
          <w:r>
            <w:rPr>
              <w:rFonts w:ascii="Times New Roman" w:hAnsi="Times New Roman" w:cs="Times New Roman"/>
            </w:rPr>
            <w:t>j3341709《语音与图像处理实习》实习教学大纲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_Toc16293 \h </w:instrText>
          </w:r>
          <w:r>
            <w:rPr>
              <w:rFonts w:ascii="Times New Roman" w:hAnsi="Times New Roman" w:cs="Times New Roman"/>
            </w:rPr>
            <w:fldChar w:fldCharType="separate"/>
          </w:r>
          <w:r>
            <w:rPr>
              <w:rFonts w:ascii="Times New Roman" w:hAnsi="Times New Roman" w:cs="Times New Roman"/>
            </w:rPr>
            <w:t>370</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"_Toc3161" </w:instrText>
          </w:r>
          <w:r>
            <w:fldChar w:fldCharType="separate"/>
          </w:r>
          <w:r>
            <w:rPr>
              <w:rFonts w:ascii="Times New Roman" w:hAnsi="Times New Roman" w:cs="Times New Roman"/>
            </w:rPr>
            <w:t>j3341710《生产实习》实训教学大纲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_Toc3161 \h </w:instrText>
          </w:r>
          <w:r>
            <w:rPr>
              <w:rFonts w:ascii="Times New Roman" w:hAnsi="Times New Roman" w:cs="Times New Roman"/>
            </w:rPr>
            <w:fldChar w:fldCharType="separate"/>
          </w:r>
          <w:r>
            <w:rPr>
              <w:rFonts w:ascii="Times New Roman" w:hAnsi="Times New Roman" w:cs="Times New Roman"/>
            </w:rPr>
            <w:t>374</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"_Toc29752" </w:instrText>
          </w:r>
          <w:r>
            <w:fldChar w:fldCharType="separate"/>
          </w:r>
          <w:r>
            <w:rPr>
              <w:rFonts w:ascii="Times New Roman" w:hAnsi="Times New Roman" w:cs="Times New Roman"/>
            </w:rPr>
            <w:t>j3340109《毕业实习》实训教学大纲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_Toc29752 \h </w:instrText>
          </w:r>
          <w:r>
            <w:rPr>
              <w:rFonts w:ascii="Times New Roman" w:hAnsi="Times New Roman" w:cs="Times New Roman"/>
            </w:rPr>
            <w:fldChar w:fldCharType="separate"/>
          </w:r>
          <w:r>
            <w:rPr>
              <w:rFonts w:ascii="Times New Roman" w:hAnsi="Times New Roman" w:cs="Times New Roman"/>
            </w:rPr>
            <w:t>380</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"_Toc30311" </w:instrText>
          </w:r>
          <w:r>
            <w:fldChar w:fldCharType="separate"/>
          </w:r>
          <w:r>
            <w:rPr>
              <w:rFonts w:ascii="Times New Roman" w:hAnsi="Times New Roman" w:cs="Times New Roman"/>
            </w:rPr>
            <w:t>j3340110《毕业设计》教学大纲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_Toc30311 \h </w:instrText>
          </w:r>
          <w:r>
            <w:rPr>
              <w:rFonts w:ascii="Times New Roman" w:hAnsi="Times New Roman" w:cs="Times New Roman"/>
            </w:rPr>
            <w:fldChar w:fldCharType="separate"/>
          </w:r>
          <w:r>
            <w:rPr>
              <w:rFonts w:ascii="Times New Roman" w:hAnsi="Times New Roman" w:cs="Times New Roman"/>
            </w:rPr>
            <w:t>386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306"/>
            </w:tabs>
            <w:rPr>
              <w:rFonts w:ascii="Times New Roman" w:hAnsi="Times New Roman" w:cs="Times New Roman"/>
            </w:rPr>
          </w:pPr>
          <w:r>
            <w:fldChar w:fldCharType="begin"/>
          </w:r>
          <w:r>
            <w:instrText xml:space="preserve"> HYPERLINK \l "_Toc20241" </w:instrText>
          </w:r>
          <w:r>
            <w:fldChar w:fldCharType="separate"/>
          </w:r>
          <w:r>
            <w:rPr>
              <w:rFonts w:ascii="Times New Roman" w:hAnsi="Times New Roman" w:cs="Times New Roman"/>
              <w:szCs w:val="32"/>
            </w:rPr>
            <w:t>4人文社会科学类通识教育课程教学大纲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_Toc20241 \h </w:instrText>
          </w:r>
          <w:r>
            <w:rPr>
              <w:rFonts w:ascii="Times New Roman" w:hAnsi="Times New Roman" w:cs="Times New Roman"/>
            </w:rPr>
            <w:fldChar w:fldCharType="separate"/>
          </w:r>
          <w:r>
            <w:rPr>
              <w:rFonts w:ascii="Times New Roman" w:hAnsi="Times New Roman" w:cs="Times New Roman"/>
            </w:rPr>
            <w:t>397</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"_Toc22680" </w:instrText>
          </w:r>
          <w:r>
            <w:fldChar w:fldCharType="separate"/>
          </w:r>
          <w:r>
            <w:rPr>
              <w:rFonts w:ascii="Times New Roman" w:hAnsi="Times New Roman" w:eastAsia="宋体" w:cs="Times New Roman"/>
            </w:rPr>
            <w:t>28111401《思想道德与法治》课程教学大纲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_Toc22680 \h </w:instrText>
          </w:r>
          <w:r>
            <w:rPr>
              <w:rFonts w:ascii="Times New Roman" w:hAnsi="Times New Roman" w:cs="Times New Roman"/>
            </w:rPr>
            <w:fldChar w:fldCharType="separate"/>
          </w:r>
          <w:r>
            <w:rPr>
              <w:rFonts w:ascii="Times New Roman" w:hAnsi="Times New Roman" w:cs="Times New Roman"/>
            </w:rPr>
            <w:t>397</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"_Toc26865" </w:instrText>
          </w:r>
          <w:r>
            <w:fldChar w:fldCharType="separate"/>
          </w:r>
          <w:r>
            <w:rPr>
              <w:rFonts w:ascii="Times New Roman" w:hAnsi="Times New Roman" w:eastAsia="宋体" w:cs="Times New Roman"/>
            </w:rPr>
            <w:t>28411401《中国近现代史纲要》课程教学大纲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_Toc26865 \h </w:instrText>
          </w:r>
          <w:r>
            <w:rPr>
              <w:rFonts w:ascii="Times New Roman" w:hAnsi="Times New Roman" w:cs="Times New Roman"/>
            </w:rPr>
            <w:fldChar w:fldCharType="separate"/>
          </w:r>
          <w:r>
            <w:rPr>
              <w:rFonts w:ascii="Times New Roman" w:hAnsi="Times New Roman" w:cs="Times New Roman"/>
            </w:rPr>
            <w:t>402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"_Toc18191" </w:instrText>
          </w:r>
          <w:r>
            <w:fldChar w:fldCharType="separate"/>
          </w:r>
          <w:r>
            <w:rPr>
              <w:rFonts w:ascii="Times New Roman" w:hAnsi="Times New Roman" w:eastAsia="宋体" w:cs="Times New Roman"/>
            </w:rPr>
            <w:t>27111301《马克思主义基本原理》课程教学大纲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_Toc18191 \h </w:instrText>
          </w:r>
          <w:r>
            <w:rPr>
              <w:rFonts w:ascii="Times New Roman" w:hAnsi="Times New Roman" w:cs="Times New Roman"/>
            </w:rPr>
            <w:fldChar w:fldCharType="separate"/>
          </w:r>
          <w:r>
            <w:rPr>
              <w:rFonts w:ascii="Times New Roman" w:hAnsi="Times New Roman" w:cs="Times New Roman"/>
            </w:rPr>
            <w:t>408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"_Toc32104" </w:instrText>
          </w:r>
          <w:r>
            <w:fldChar w:fldCharType="separate"/>
          </w:r>
          <w:r>
            <w:rPr>
              <w:rFonts w:ascii="Times New Roman" w:hAnsi="Times New Roman" w:eastAsia="宋体" w:cs="Times New Roman"/>
            </w:rPr>
            <w:t>27111302《毛泽东思想和中国特色社会主义理论体系概论》课程教学大纲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_Toc32104 \h </w:instrText>
          </w:r>
          <w:r>
            <w:rPr>
              <w:rFonts w:ascii="Times New Roman" w:hAnsi="Times New Roman" w:cs="Times New Roman"/>
            </w:rPr>
            <w:fldChar w:fldCharType="separate"/>
          </w:r>
          <w:r>
            <w:rPr>
              <w:rFonts w:ascii="Times New Roman" w:hAnsi="Times New Roman" w:cs="Times New Roman"/>
            </w:rPr>
            <w:t>412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"_Toc11701" </w:instrText>
          </w:r>
          <w:r>
            <w:fldChar w:fldCharType="separate"/>
          </w:r>
          <w:r>
            <w:rPr>
              <w:rFonts w:ascii="Times New Roman" w:hAnsi="Times New Roman" w:eastAsia="宋体" w:cs="Times New Roman"/>
            </w:rPr>
            <w:t>28511401《形势与政策教育》课程教学大纲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_Toc11701 \h </w:instrText>
          </w:r>
          <w:r>
            <w:rPr>
              <w:rFonts w:ascii="Times New Roman" w:hAnsi="Times New Roman" w:cs="Times New Roman"/>
            </w:rPr>
            <w:fldChar w:fldCharType="separate"/>
          </w:r>
          <w:r>
            <w:rPr>
              <w:rFonts w:ascii="Times New Roman" w:hAnsi="Times New Roman" w:cs="Times New Roman"/>
            </w:rPr>
            <w:t>421</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"_Toc4723" </w:instrText>
          </w:r>
          <w:r>
            <w:fldChar w:fldCharType="separate"/>
          </w:r>
          <w:r>
            <w:rPr>
              <w:rFonts w:ascii="Times New Roman" w:hAnsi="Times New Roman" w:eastAsia="宋体" w:cs="Times New Roman"/>
            </w:rPr>
            <w:t>28300000《马克思主义中国化进程与青年学生使命担当》课程教学大纲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_Toc4723 \h </w:instrText>
          </w:r>
          <w:r>
            <w:rPr>
              <w:rFonts w:ascii="Times New Roman" w:hAnsi="Times New Roman" w:cs="Times New Roman"/>
            </w:rPr>
            <w:fldChar w:fldCharType="separate"/>
          </w:r>
          <w:r>
            <w:rPr>
              <w:rFonts w:ascii="Times New Roman" w:hAnsi="Times New Roman" w:cs="Times New Roman"/>
            </w:rPr>
            <w:t>427</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"_Toc29748" </w:instrText>
          </w:r>
          <w:r>
            <w:fldChar w:fldCharType="separate"/>
          </w:r>
          <w:r>
            <w:rPr>
              <w:rFonts w:ascii="Times New Roman" w:hAnsi="Times New Roman" w:eastAsia="宋体" w:cs="Times New Roman"/>
            </w:rPr>
            <w:t>56011106《军事理论》课程教学大纲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_Toc29748 \h </w:instrText>
          </w:r>
          <w:r>
            <w:rPr>
              <w:rFonts w:ascii="Times New Roman" w:hAnsi="Times New Roman" w:cs="Times New Roman"/>
            </w:rPr>
            <w:fldChar w:fldCharType="separate"/>
          </w:r>
          <w:r>
            <w:rPr>
              <w:rFonts w:ascii="Times New Roman" w:hAnsi="Times New Roman" w:cs="Times New Roman"/>
            </w:rPr>
            <w:t>434</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"_Toc3126" </w:instrText>
          </w:r>
          <w:r>
            <w:fldChar w:fldCharType="separate"/>
          </w:r>
          <w:r>
            <w:rPr>
              <w:rFonts w:ascii="Times New Roman" w:hAnsi="Times New Roman" w:eastAsia="宋体" w:cs="Times New Roman"/>
            </w:rPr>
            <w:t>56011107《青年学生健康教育》课程教学大纲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_Toc3126 \h </w:instrText>
          </w:r>
          <w:r>
            <w:rPr>
              <w:rFonts w:ascii="Times New Roman" w:hAnsi="Times New Roman" w:cs="Times New Roman"/>
            </w:rPr>
            <w:fldChar w:fldCharType="separate"/>
          </w:r>
          <w:r>
            <w:rPr>
              <w:rFonts w:ascii="Times New Roman" w:hAnsi="Times New Roman" w:cs="Times New Roman"/>
            </w:rPr>
            <w:t>439</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"_Toc1237" </w:instrText>
          </w:r>
          <w:r>
            <w:fldChar w:fldCharType="separate"/>
          </w:r>
          <w:r>
            <w:rPr>
              <w:rFonts w:ascii="Times New Roman" w:hAnsi="Times New Roman" w:eastAsia="宋体" w:cs="Times New Roman"/>
            </w:rPr>
            <w:t>56011109《大学生心理健康教育》课程教学大纲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_Toc1237 \h </w:instrText>
          </w:r>
          <w:r>
            <w:rPr>
              <w:rFonts w:ascii="Times New Roman" w:hAnsi="Times New Roman" w:cs="Times New Roman"/>
            </w:rPr>
            <w:fldChar w:fldCharType="separate"/>
          </w:r>
          <w:r>
            <w:rPr>
              <w:rFonts w:ascii="Times New Roman" w:hAnsi="Times New Roman" w:cs="Times New Roman"/>
            </w:rPr>
            <w:t>445</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"_Toc12213" </w:instrText>
          </w:r>
          <w:r>
            <w:fldChar w:fldCharType="separate"/>
          </w:r>
          <w:r>
            <w:rPr>
              <w:rFonts w:ascii="Times New Roman" w:hAnsi="Times New Roman" w:eastAsia="宋体" w:cs="Times New Roman"/>
            </w:rPr>
            <w:t>56011103《大学生职业发展与就业指导》课程教学大纲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_Toc12213 \h </w:instrText>
          </w:r>
          <w:r>
            <w:rPr>
              <w:rFonts w:ascii="Times New Roman" w:hAnsi="Times New Roman" w:cs="Times New Roman"/>
            </w:rPr>
            <w:fldChar w:fldCharType="separate"/>
          </w:r>
          <w:r>
            <w:rPr>
              <w:rFonts w:ascii="Times New Roman" w:hAnsi="Times New Roman" w:cs="Times New Roman"/>
            </w:rPr>
            <w:t>452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"_Toc11465" </w:instrText>
          </w:r>
          <w:r>
            <w:fldChar w:fldCharType="separate"/>
          </w:r>
          <w:r>
            <w:rPr>
              <w:rFonts w:ascii="Times New Roman" w:hAnsi="Times New Roman" w:eastAsia="宋体" w:cs="Times New Roman"/>
            </w:rPr>
            <w:t>57000000《创新创业教育》课程教学大纲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_Toc11465 \h </w:instrText>
          </w:r>
          <w:r>
            <w:rPr>
              <w:rFonts w:ascii="Times New Roman" w:hAnsi="Times New Roman" w:cs="Times New Roman"/>
            </w:rPr>
            <w:fldChar w:fldCharType="separate"/>
          </w:r>
          <w:r>
            <w:rPr>
              <w:rFonts w:ascii="Times New Roman" w:hAnsi="Times New Roman" w:cs="Times New Roman"/>
            </w:rPr>
            <w:t>458</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"_Toc18590" </w:instrText>
          </w:r>
          <w:r>
            <w:fldChar w:fldCharType="separate"/>
          </w:r>
          <w:r>
            <w:rPr>
              <w:rFonts w:ascii="Times New Roman" w:hAnsi="Times New Roman" w:eastAsia="宋体" w:cs="Times New Roman"/>
            </w:rPr>
            <w:t>23112301《大学英语读写（І,Ⅱ,Ⅲ）》课程教学大纲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_Toc18590 \h </w:instrText>
          </w:r>
          <w:r>
            <w:rPr>
              <w:rFonts w:ascii="Times New Roman" w:hAnsi="Times New Roman" w:cs="Times New Roman"/>
            </w:rPr>
            <w:fldChar w:fldCharType="separate"/>
          </w:r>
          <w:r>
            <w:rPr>
              <w:rFonts w:ascii="Times New Roman" w:hAnsi="Times New Roman" w:cs="Times New Roman"/>
            </w:rPr>
            <w:t>462</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"_Toc22368" </w:instrText>
          </w:r>
          <w:r>
            <w:fldChar w:fldCharType="separate"/>
          </w:r>
          <w:r>
            <w:rPr>
              <w:rFonts w:ascii="Times New Roman" w:hAnsi="Times New Roman" w:eastAsia="宋体" w:cs="Times New Roman"/>
            </w:rPr>
            <w:t>23112401《大学英语听说（І,Ⅱ,Ⅲ）》课程教学大纲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_Toc22368 \h </w:instrText>
          </w:r>
          <w:r>
            <w:rPr>
              <w:rFonts w:ascii="Times New Roman" w:hAnsi="Times New Roman" w:cs="Times New Roman"/>
            </w:rPr>
            <w:fldChar w:fldCharType="separate"/>
          </w:r>
          <w:r>
            <w:rPr>
              <w:rFonts w:ascii="Times New Roman" w:hAnsi="Times New Roman" w:cs="Times New Roman"/>
            </w:rPr>
            <w:t>466</w:t>
          </w:r>
          <w:r>
            <w:rPr>
              <w:rFonts w:ascii="Times New Roman" w:hAnsi="Times New Roman" w:cs="Times New Roman"/>
            </w:rPr>
            <w:fldChar w:fldCharType="end"/>
          </w:r>
          <w:r>
            <w:rPr>
              <w:rFonts w:ascii="Times New Roman" w:hAnsi="Times New Roman" w:cs="Times New Roman"/>
            </w:rPr>
            <w:fldChar w:fldCharType="end"/>
          </w:r>
        </w:p>
        <w:p>
          <w:pPr>
            <w:pStyle w:val="19"/>
            <w:tabs>
              <w:tab w:val="right" w:leader="dot" w:pos="8306"/>
            </w:tabs>
            <w:rPr>
              <w:rFonts w:ascii="Times New Roman" w:hAnsi="Times New Roman" w:cs="Times New Roman"/>
            </w:rPr>
          </w:pPr>
          <w:r>
            <w:fldChar w:fldCharType="begin"/>
          </w:r>
          <w:r>
            <w:instrText xml:space="preserve"> HYPERLINK \l "_Toc29193" </w:instrText>
          </w:r>
          <w:r>
            <w:fldChar w:fldCharType="separate"/>
          </w:r>
          <w:r>
            <w:rPr>
              <w:rFonts w:ascii="Times New Roman" w:hAnsi="Times New Roman" w:eastAsia="宋体" w:cs="Times New Roman"/>
              <w:kern w:val="0"/>
              <w:szCs w:val="21"/>
            </w:rPr>
            <w:t>33431506</w:t>
          </w:r>
          <w:r>
            <w:rPr>
              <w:rFonts w:ascii="Times New Roman" w:hAnsi="Times New Roman" w:eastAsia="宋体" w:cs="Times New Roman"/>
            </w:rPr>
            <w:t>《管理经济学概论》课程教学大纲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_Toc29193 \h </w:instrText>
          </w:r>
          <w:r>
            <w:rPr>
              <w:rFonts w:ascii="Times New Roman" w:hAnsi="Times New Roman" w:cs="Times New Roman"/>
            </w:rPr>
            <w:fldChar w:fldCharType="separate"/>
          </w:r>
          <w:r>
            <w:rPr>
              <w:rFonts w:ascii="Times New Roman" w:hAnsi="Times New Roman" w:cs="Times New Roman"/>
            </w:rPr>
            <w:t>472</w:t>
          </w:r>
          <w:r>
            <w:rPr>
              <w:rFonts w:ascii="Times New Roman" w:hAnsi="Times New Roman" w:cs="Times New Roman"/>
            </w:rPr>
            <w:fldChar w:fldCharType="end"/>
          </w:r>
          <w:r>
            <w:rPr>
              <w:rFonts w:ascii="Times New Roman" w:hAnsi="Times New Roman" w:cs="Times New Roman"/>
            </w:rPr>
            <w:fldChar w:fldCharType="end"/>
          </w:r>
        </w:p>
        <w:p>
          <w:pPr>
            <w:rPr>
              <w:rStyle w:val="31"/>
              <w:rFonts w:ascii="Times New Roman" w:hAnsi="Times New Roman" w:eastAsia="宋体" w:cs="Times New Roman"/>
              <w:szCs w:val="44"/>
            </w:rPr>
          </w:pPr>
          <w:r>
            <w:rPr>
              <w:rFonts w:ascii="Times New Roman" w:hAnsi="Times New Roman" w:eastAsia="楷体" w:cs="Times New Roman"/>
              <w:bCs/>
              <w:szCs w:val="20"/>
            </w:rPr>
            <w:fldChar w:fldCharType="end"/>
          </w:r>
        </w:p>
      </w:sdtContent>
    </w:sdt>
    <w:p>
      <w:pPr>
        <w:rPr>
          <w:rStyle w:val="31"/>
          <w:rFonts w:ascii="Times New Roman" w:hAnsi="Times New Roman" w:eastAsia="宋体" w:cs="Times New Roman"/>
          <w:szCs w:val="44"/>
        </w:rPr>
      </w:pPr>
    </w:p>
    <w:p>
      <w:pPr>
        <w:rPr>
          <w:rStyle w:val="31"/>
          <w:rFonts w:ascii="Times New Roman" w:hAnsi="Times New Roman" w:eastAsia="宋体" w:cs="Times New Roman"/>
          <w:szCs w:val="44"/>
        </w:rPr>
      </w:pPr>
    </w:p>
    <w:p>
      <w:pPr>
        <w:rPr>
          <w:rStyle w:val="31"/>
          <w:rFonts w:ascii="Times New Roman" w:hAnsi="Times New Roman" w:eastAsia="宋体" w:cs="Times New Roman"/>
          <w:szCs w:val="44"/>
        </w:rPr>
      </w:pPr>
    </w:p>
    <w:p>
      <w:pPr>
        <w:rPr>
          <w:rStyle w:val="31"/>
          <w:rFonts w:ascii="Times New Roman" w:hAnsi="Times New Roman" w:eastAsia="宋体" w:cs="Times New Roman"/>
          <w:szCs w:val="44"/>
        </w:rPr>
      </w:pPr>
    </w:p>
    <w:p>
      <w:pPr>
        <w:rPr>
          <w:rStyle w:val="31"/>
          <w:rFonts w:ascii="Times New Roman" w:hAnsi="Times New Roman" w:eastAsia="宋体" w:cs="Times New Roman"/>
          <w:szCs w:val="44"/>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pgNumType w:fmt="upperRoman"/>
          <w:cols w:space="425" w:num="1"/>
          <w:docGrid w:type="lines" w:linePitch="312" w:charSpace="0"/>
        </w:sectPr>
      </w:pPr>
    </w:p>
    <w:p>
      <w:pPr>
        <w:rPr>
          <w:rStyle w:val="31"/>
          <w:rFonts w:ascii="Times New Roman" w:hAnsi="Times New Roman" w:eastAsia="宋体" w:cs="Times New Roman"/>
          <w:szCs w:val="44"/>
        </w:rPr>
        <w:sectPr>
          <w:footerReference r:id="rId8" w:type="default"/>
          <w:type w:val="continuous"/>
          <w:pgSz w:w="11906" w:h="16838"/>
          <w:pgMar w:top="1440" w:right="1800" w:bottom="1440" w:left="1800" w:header="851" w:footer="992" w:gutter="0"/>
          <w:cols w:space="425" w:num="1"/>
          <w:docGrid w:type="lines" w:linePitch="312" w:charSpace="0"/>
        </w:sectPr>
      </w:pPr>
    </w:p>
    <w:p>
      <w:pPr>
        <w:pStyle w:val="45"/>
        <w:tabs>
          <w:tab w:val="right" w:leader="dot" w:pos="8306"/>
        </w:tabs>
      </w:pPr>
      <w:bookmarkStart w:id="0" w:name="_Toc27173"/>
      <w:bookmarkStart w:id="1" w:name="_Toc19666"/>
    </w:p>
    <w:p>
      <w:pPr>
        <w:rPr>
          <w:rFonts w:ascii="Times New Roman" w:hAnsi="Times New Roman"/>
          <w:sz w:val="36"/>
          <w:szCs w:val="36"/>
        </w:rPr>
      </w:pPr>
    </w:p>
    <w:p>
      <w:pPr>
        <w:rPr>
          <w:rFonts w:ascii="Times New Roman" w:hAnsi="Times New Roman"/>
          <w:sz w:val="36"/>
          <w:szCs w:val="36"/>
        </w:rPr>
      </w:pPr>
    </w:p>
    <w:p>
      <w:pPr>
        <w:rPr>
          <w:rFonts w:ascii="Times New Roman" w:hAnsi="Times New Roman"/>
          <w:sz w:val="36"/>
          <w:szCs w:val="36"/>
        </w:rPr>
      </w:pPr>
    </w:p>
    <w:p>
      <w:pPr>
        <w:rPr>
          <w:rFonts w:ascii="Times New Roman" w:hAnsi="Times New Roman"/>
          <w:sz w:val="36"/>
          <w:szCs w:val="36"/>
        </w:rPr>
      </w:pPr>
    </w:p>
    <w:p>
      <w:pPr>
        <w:rPr>
          <w:rFonts w:ascii="Times New Roman" w:hAnsi="Times New Roman"/>
          <w:sz w:val="36"/>
          <w:szCs w:val="36"/>
        </w:rPr>
      </w:pPr>
    </w:p>
    <w:p>
      <w:pPr>
        <w:rPr>
          <w:rFonts w:ascii="Times New Roman" w:hAnsi="Times New Roman"/>
        </w:rPr>
        <w:sectPr>
          <w:footerReference r:id="rId9" w:type="default"/>
          <w:type w:val="continuous"/>
          <w:pgSz w:w="11906" w:h="16838"/>
          <w:pgMar w:top="1440" w:right="1587" w:bottom="1440" w:left="1587" w:header="851" w:footer="992" w:gutter="0"/>
          <w:cols w:space="720" w:num="1"/>
          <w:docGrid w:type="lines" w:linePitch="312" w:charSpace="0"/>
        </w:sectPr>
      </w:pPr>
      <w:bookmarkStart w:id="2" w:name="_Toc31062"/>
    </w:p>
    <w:p>
      <w:pPr>
        <w:pStyle w:val="2"/>
        <w:spacing w:before="0" w:after="0" w:line="360" w:lineRule="auto"/>
        <w:rPr>
          <w:rFonts w:ascii="Times New Roman" w:hAnsi="Times New Roman"/>
          <w:sz w:val="36"/>
          <w:szCs w:val="36"/>
        </w:rPr>
      </w:pPr>
      <w:bookmarkStart w:id="3" w:name="_Toc30706"/>
      <w:bookmarkStart w:id="4" w:name="_Toc25042"/>
      <w:bookmarkStart w:id="5" w:name="_Toc2851"/>
      <w:r>
        <w:rPr>
          <w:rFonts w:ascii="Times New Roman" w:hAnsi="Times New Roman"/>
          <w:sz w:val="36"/>
          <w:szCs w:val="36"/>
        </w:rPr>
        <w:t>数学与自然科学类课程教学大纲</w:t>
      </w:r>
      <w:bookmarkEnd w:id="2"/>
      <w:bookmarkEnd w:id="3"/>
      <w:bookmarkEnd w:id="4"/>
      <w:bookmarkEnd w:id="5"/>
    </w:p>
    <w:p>
      <w:pPr>
        <w:pStyle w:val="3"/>
        <w:jc w:val="center"/>
        <w:rPr>
          <w:rFonts w:ascii="Times New Roman" w:hAnsi="Times New Roman" w:eastAsia="宋体"/>
        </w:rPr>
      </w:pPr>
      <w:bookmarkStart w:id="6" w:name="_Toc23210"/>
      <w:bookmarkStart w:id="7" w:name="_Toc5178"/>
      <w:r>
        <w:rPr>
          <w:rFonts w:ascii="Times New Roman" w:hAnsi="Times New Roman" w:eastAsia="宋体"/>
        </w:rPr>
        <w:t>19221101《高等数学Ⅰ》课程教学大纲</w:t>
      </w:r>
      <w:bookmarkEnd w:id="6"/>
      <w:bookmarkEnd w:id="7"/>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szCs w:val="21"/>
              </w:rPr>
            </w:pPr>
            <w:r>
              <w:rPr>
                <w:rFonts w:ascii="Times New Roman" w:hAnsi="Times New Roman"/>
                <w:szCs w:val="21"/>
              </w:rPr>
              <w:t>课程编号</w:t>
            </w:r>
          </w:p>
        </w:tc>
        <w:tc>
          <w:tcPr>
            <w:tcW w:w="3441" w:type="dxa"/>
            <w:vAlign w:val="center"/>
          </w:tcPr>
          <w:p>
            <w:pPr>
              <w:jc w:val="center"/>
              <w:rPr>
                <w:rFonts w:ascii="Times New Roman" w:hAnsi="Times New Roman"/>
                <w:szCs w:val="21"/>
              </w:rPr>
            </w:pPr>
            <w:r>
              <w:rPr>
                <w:rFonts w:ascii="Times New Roman" w:hAnsi="Times New Roman"/>
                <w:szCs w:val="21"/>
              </w:rPr>
              <w:t>19221101</w:t>
            </w:r>
          </w:p>
        </w:tc>
        <w:tc>
          <w:tcPr>
            <w:tcW w:w="1198" w:type="dxa"/>
            <w:vAlign w:val="center"/>
          </w:tcPr>
          <w:p>
            <w:pPr>
              <w:jc w:val="center"/>
              <w:rPr>
                <w:rFonts w:ascii="Times New Roman" w:hAnsi="Times New Roman"/>
                <w:szCs w:val="21"/>
              </w:rPr>
            </w:pPr>
            <w:r>
              <w:rPr>
                <w:rFonts w:ascii="Times New Roman" w:hAnsi="Times New Roman"/>
                <w:szCs w:val="21"/>
              </w:rPr>
              <w:t>课程名称</w:t>
            </w:r>
          </w:p>
        </w:tc>
        <w:tc>
          <w:tcPr>
            <w:tcW w:w="2695" w:type="dxa"/>
            <w:vAlign w:val="center"/>
          </w:tcPr>
          <w:p>
            <w:pPr>
              <w:jc w:val="center"/>
              <w:rPr>
                <w:rFonts w:ascii="Times New Roman" w:hAnsi="Times New Roman"/>
                <w:szCs w:val="21"/>
              </w:rPr>
            </w:pPr>
            <w:r>
              <w:rPr>
                <w:rFonts w:ascii="Times New Roman" w:hAnsi="Times New Roman"/>
                <w:szCs w:val="21"/>
              </w:rPr>
              <w:t>高等数学Ⅰ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szCs w:val="21"/>
              </w:rPr>
            </w:pPr>
            <w:r>
              <w:rPr>
                <w:rFonts w:ascii="Times New Roman" w:hAnsi="Times New Roman"/>
                <w:szCs w:val="21"/>
              </w:rPr>
              <w:t>课程性质*</w:t>
            </w:r>
          </w:p>
        </w:tc>
        <w:tc>
          <w:tcPr>
            <w:tcW w:w="3441" w:type="dxa"/>
            <w:vAlign w:val="center"/>
          </w:tcPr>
          <w:p>
            <w:pPr>
              <w:jc w:val="center"/>
              <w:rPr>
                <w:rFonts w:ascii="Times New Roman" w:hAnsi="Times New Roman"/>
                <w:szCs w:val="21"/>
              </w:rPr>
            </w:pPr>
            <w:r>
              <w:rPr>
                <w:rFonts w:ascii="Times New Roman" w:hAnsi="Times New Roman"/>
                <w:szCs w:val="21"/>
              </w:rPr>
              <w:t>数学与自然科学类</w:t>
            </w:r>
          </w:p>
        </w:tc>
        <w:tc>
          <w:tcPr>
            <w:tcW w:w="1198" w:type="dxa"/>
            <w:vAlign w:val="center"/>
          </w:tcPr>
          <w:p>
            <w:pPr>
              <w:jc w:val="center"/>
              <w:rPr>
                <w:rFonts w:ascii="Times New Roman" w:hAnsi="Times New Roman"/>
                <w:szCs w:val="21"/>
              </w:rPr>
            </w:pPr>
            <w:r>
              <w:rPr>
                <w:rFonts w:ascii="Times New Roman" w:hAnsi="Times New Roman"/>
                <w:szCs w:val="21"/>
              </w:rPr>
              <w:t>英文名称</w:t>
            </w:r>
          </w:p>
        </w:tc>
        <w:tc>
          <w:tcPr>
            <w:tcW w:w="2695" w:type="dxa"/>
            <w:vAlign w:val="center"/>
          </w:tcPr>
          <w:p>
            <w:pPr>
              <w:jc w:val="center"/>
              <w:rPr>
                <w:rFonts w:ascii="Times New Roman" w:hAnsi="Times New Roman"/>
                <w:bCs/>
                <w:szCs w:val="21"/>
              </w:rPr>
            </w:pPr>
            <w:r>
              <w:rPr>
                <w:rFonts w:ascii="Times New Roman" w:hAnsi="Times New Roman"/>
                <w:szCs w:val="21"/>
              </w:rPr>
              <w:t>Higher Mathematics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ascii="Times New Roman" w:hAnsi="Times New Roman"/>
                <w:szCs w:val="21"/>
              </w:rPr>
            </w:pPr>
            <w:r>
              <w:rPr>
                <w:rFonts w:ascii="Times New Roman" w:hAnsi="Times New Roman"/>
                <w:szCs w:val="21"/>
              </w:rPr>
              <w:t>学分学时</w:t>
            </w:r>
          </w:p>
        </w:tc>
        <w:tc>
          <w:tcPr>
            <w:tcW w:w="3441" w:type="dxa"/>
            <w:vAlign w:val="center"/>
          </w:tcPr>
          <w:p>
            <w:pPr>
              <w:jc w:val="center"/>
              <w:rPr>
                <w:rFonts w:ascii="Times New Roman" w:hAnsi="Times New Roman"/>
                <w:szCs w:val="21"/>
              </w:rPr>
            </w:pPr>
            <w:r>
              <w:rPr>
                <w:rFonts w:ascii="Times New Roman" w:hAnsi="Times New Roman"/>
                <w:bCs/>
                <w:szCs w:val="21"/>
              </w:rPr>
              <w:t>9.5 : 152（0）</w:t>
            </w:r>
          </w:p>
        </w:tc>
        <w:tc>
          <w:tcPr>
            <w:tcW w:w="1198" w:type="dxa"/>
            <w:vAlign w:val="center"/>
          </w:tcPr>
          <w:p>
            <w:pPr>
              <w:jc w:val="center"/>
              <w:rPr>
                <w:rFonts w:ascii="Times New Roman" w:hAnsi="Times New Roman"/>
                <w:szCs w:val="21"/>
                <w:highlight w:val="yellow"/>
              </w:rPr>
            </w:pPr>
            <w:r>
              <w:rPr>
                <w:rFonts w:ascii="Times New Roman" w:hAnsi="Times New Roman"/>
                <w:szCs w:val="21"/>
              </w:rPr>
              <w:t>任课教师</w:t>
            </w:r>
          </w:p>
        </w:tc>
        <w:tc>
          <w:tcPr>
            <w:tcW w:w="2695" w:type="dxa"/>
            <w:vAlign w:val="center"/>
          </w:tcPr>
          <w:p>
            <w:pPr>
              <w:widowControl/>
              <w:jc w:val="left"/>
              <w:rPr>
                <w:rFonts w:ascii="Times New Roman" w:hAnsi="Times New Roman"/>
                <w:szCs w:val="21"/>
              </w:rPr>
            </w:pPr>
            <w:r>
              <w:rPr>
                <w:rFonts w:ascii="Times New Roman" w:hAnsi="Times New Roman"/>
                <w:szCs w:val="21"/>
              </w:rPr>
              <w:t>周展宏、刘昌东、梁海花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ascii="Times New Roman" w:hAnsi="Times New Roman"/>
                <w:bCs/>
                <w:szCs w:val="21"/>
              </w:rPr>
            </w:pPr>
            <w:r>
              <w:rPr>
                <w:rFonts w:ascii="Times New Roman" w:hAnsi="Times New Roman"/>
                <w:bCs/>
                <w:szCs w:val="21"/>
              </w:rPr>
              <w:t>企业专家</w:t>
            </w:r>
          </w:p>
        </w:tc>
        <w:tc>
          <w:tcPr>
            <w:tcW w:w="3441" w:type="dxa"/>
            <w:vAlign w:val="center"/>
          </w:tcPr>
          <w:p>
            <w:pPr>
              <w:widowControl/>
              <w:jc w:val="center"/>
              <w:rPr>
                <w:rFonts w:ascii="Times New Roman" w:hAnsi="Times New Roman"/>
                <w:szCs w:val="21"/>
              </w:rPr>
            </w:pPr>
            <w:r>
              <w:rPr>
                <w:rFonts w:ascii="Times New Roman" w:hAnsi="Times New Roman"/>
                <w:szCs w:val="21"/>
              </w:rPr>
              <w:t>曾耿滨</w:t>
            </w:r>
          </w:p>
        </w:tc>
        <w:tc>
          <w:tcPr>
            <w:tcW w:w="1198" w:type="dxa"/>
            <w:vAlign w:val="center"/>
          </w:tcPr>
          <w:p>
            <w:pPr>
              <w:jc w:val="center"/>
              <w:rPr>
                <w:rFonts w:ascii="Times New Roman" w:hAnsi="Times New Roman"/>
                <w:bCs/>
                <w:szCs w:val="21"/>
              </w:rPr>
            </w:pPr>
            <w:r>
              <w:rPr>
                <w:rFonts w:ascii="Times New Roman" w:hAnsi="Times New Roman"/>
                <w:bCs/>
                <w:szCs w:val="21"/>
              </w:rPr>
              <w:t>行业专家</w:t>
            </w:r>
          </w:p>
        </w:tc>
        <w:tc>
          <w:tcPr>
            <w:tcW w:w="2695" w:type="dxa"/>
            <w:vAlign w:val="center"/>
          </w:tcPr>
          <w:p>
            <w:pPr>
              <w:widowControl/>
              <w:jc w:val="center"/>
              <w:rPr>
                <w:rFonts w:ascii="Times New Roman" w:hAnsi="Times New Roman"/>
                <w:szCs w:val="21"/>
              </w:rPr>
            </w:pPr>
            <w:r>
              <w:rPr>
                <w:rFonts w:ascii="Times New Roman" w:hAnsi="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bCs/>
                <w:szCs w:val="21"/>
              </w:rPr>
            </w:pPr>
            <w:r>
              <w:rPr>
                <w:rFonts w:ascii="Times New Roman" w:hAnsi="Times New Roman"/>
                <w:bCs/>
                <w:szCs w:val="21"/>
              </w:rPr>
              <w:t>执笔教师</w:t>
            </w:r>
          </w:p>
        </w:tc>
        <w:tc>
          <w:tcPr>
            <w:tcW w:w="3441" w:type="dxa"/>
            <w:vAlign w:val="center"/>
          </w:tcPr>
          <w:p>
            <w:pPr>
              <w:widowControl/>
              <w:jc w:val="center"/>
              <w:rPr>
                <w:rFonts w:ascii="Times New Roman" w:hAnsi="Times New Roman"/>
                <w:szCs w:val="21"/>
              </w:rPr>
            </w:pPr>
            <w:r>
              <w:rPr>
                <w:rFonts w:ascii="Times New Roman" w:hAnsi="Times New Roman"/>
                <w:szCs w:val="21"/>
              </w:rPr>
              <w:t>陈奋光</w:t>
            </w:r>
          </w:p>
        </w:tc>
        <w:tc>
          <w:tcPr>
            <w:tcW w:w="1198" w:type="dxa"/>
            <w:vAlign w:val="center"/>
          </w:tcPr>
          <w:p>
            <w:pPr>
              <w:widowControl/>
              <w:jc w:val="center"/>
              <w:rPr>
                <w:rFonts w:ascii="Times New Roman" w:hAnsi="Times New Roman"/>
                <w:bCs/>
                <w:szCs w:val="21"/>
              </w:rPr>
            </w:pPr>
            <w:r>
              <w:rPr>
                <w:rFonts w:ascii="Times New Roman" w:hAnsi="Times New Roman"/>
                <w:bCs/>
                <w:szCs w:val="21"/>
              </w:rPr>
              <w:t>责任教授</w:t>
            </w:r>
          </w:p>
        </w:tc>
        <w:tc>
          <w:tcPr>
            <w:tcW w:w="2695" w:type="dxa"/>
            <w:vAlign w:val="center"/>
          </w:tcPr>
          <w:p>
            <w:pPr>
              <w:widowControl/>
              <w:jc w:val="center"/>
              <w:rPr>
                <w:rFonts w:ascii="Times New Roman" w:hAnsi="Times New Roman"/>
                <w:szCs w:val="21"/>
              </w:rPr>
            </w:pPr>
            <w:r>
              <w:rPr>
                <w:rFonts w:ascii="Times New Roman" w:hAnsi="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bCs/>
                <w:szCs w:val="21"/>
              </w:rPr>
            </w:pPr>
            <w:r>
              <w:rPr>
                <w:rFonts w:ascii="Times New Roman" w:hAnsi="Times New Roman"/>
                <w:bCs/>
                <w:szCs w:val="21"/>
              </w:rPr>
              <w:t>适用专业</w:t>
            </w:r>
          </w:p>
        </w:tc>
        <w:tc>
          <w:tcPr>
            <w:tcW w:w="3441" w:type="dxa"/>
            <w:vAlign w:val="center"/>
          </w:tcPr>
          <w:p>
            <w:pPr>
              <w:widowControl/>
              <w:jc w:val="center"/>
              <w:rPr>
                <w:rFonts w:ascii="Times New Roman" w:hAnsi="Times New Roman"/>
                <w:szCs w:val="21"/>
              </w:rPr>
            </w:pPr>
            <w:r>
              <w:rPr>
                <w:rFonts w:ascii="Times New Roman" w:hAnsi="Times New Roman"/>
                <w:szCs w:val="21"/>
              </w:rPr>
              <w:t>非数学专业的理工类专业</w:t>
            </w:r>
          </w:p>
        </w:tc>
        <w:tc>
          <w:tcPr>
            <w:tcW w:w="1198" w:type="dxa"/>
            <w:vAlign w:val="center"/>
          </w:tcPr>
          <w:p>
            <w:pPr>
              <w:widowControl/>
              <w:jc w:val="center"/>
              <w:rPr>
                <w:rFonts w:ascii="Times New Roman" w:hAnsi="Times New Roman"/>
                <w:bCs/>
                <w:szCs w:val="21"/>
              </w:rPr>
            </w:pPr>
            <w:r>
              <w:rPr>
                <w:rFonts w:ascii="Times New Roman" w:hAnsi="Times New Roman"/>
                <w:bCs/>
                <w:szCs w:val="21"/>
              </w:rPr>
              <w:t>适用对象</w:t>
            </w:r>
          </w:p>
        </w:tc>
        <w:tc>
          <w:tcPr>
            <w:tcW w:w="2695" w:type="dxa"/>
            <w:vAlign w:val="center"/>
          </w:tcPr>
          <w:p>
            <w:pPr>
              <w:widowControl/>
              <w:jc w:val="center"/>
              <w:rPr>
                <w:rFonts w:ascii="Times New Roman" w:hAnsi="Times New Roman"/>
                <w:szCs w:val="21"/>
              </w:rPr>
            </w:pPr>
            <w:r>
              <w:rPr>
                <w:rFonts w:ascii="Times New Roman" w:hAnsi="Times New Roman"/>
                <w:szCs w:val="21"/>
              </w:rPr>
              <w:t>理工科专业本科生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tcPr>
          <w:p>
            <w:pPr>
              <w:jc w:val="center"/>
              <w:rPr>
                <w:rFonts w:ascii="Times New Roman" w:hAnsi="Times New Roman"/>
                <w:b/>
                <w:szCs w:val="21"/>
              </w:rPr>
            </w:pPr>
            <w:r>
              <w:rPr>
                <w:rFonts w:ascii="Times New Roman" w:hAnsi="Times New Roman"/>
                <w:szCs w:val="21"/>
              </w:rPr>
              <w:t>先修课程</w:t>
            </w:r>
          </w:p>
        </w:tc>
        <w:tc>
          <w:tcPr>
            <w:tcW w:w="3441" w:type="dxa"/>
            <w:vAlign w:val="center"/>
          </w:tcPr>
          <w:p>
            <w:pPr>
              <w:widowControl/>
              <w:jc w:val="center"/>
              <w:rPr>
                <w:rFonts w:ascii="Times New Roman" w:hAnsi="Times New Roman"/>
                <w:bCs/>
                <w:szCs w:val="21"/>
              </w:rPr>
            </w:pPr>
            <w:r>
              <w:rPr>
                <w:rFonts w:ascii="Times New Roman" w:hAnsi="Times New Roman"/>
                <w:bCs/>
                <w:szCs w:val="21"/>
              </w:rPr>
              <w:t>无</w:t>
            </w:r>
          </w:p>
        </w:tc>
        <w:tc>
          <w:tcPr>
            <w:tcW w:w="1198" w:type="dxa"/>
          </w:tcPr>
          <w:p>
            <w:pPr>
              <w:snapToGrid w:val="0"/>
              <w:spacing w:line="300" w:lineRule="auto"/>
              <w:jc w:val="center"/>
              <w:rPr>
                <w:rFonts w:ascii="Times New Roman" w:hAnsi="Times New Roman"/>
                <w:b/>
                <w:szCs w:val="21"/>
              </w:rPr>
            </w:pPr>
            <w:r>
              <w:rPr>
                <w:rFonts w:ascii="Times New Roman" w:hAnsi="Times New Roman"/>
                <w:szCs w:val="21"/>
              </w:rPr>
              <w:t>同修课程</w:t>
            </w:r>
          </w:p>
        </w:tc>
        <w:tc>
          <w:tcPr>
            <w:tcW w:w="2695" w:type="dxa"/>
          </w:tcPr>
          <w:p>
            <w:pPr>
              <w:widowControl/>
              <w:jc w:val="center"/>
              <w:rPr>
                <w:rFonts w:ascii="Times New Roman" w:hAnsi="Times New Roman"/>
                <w:szCs w:val="21"/>
              </w:rPr>
            </w:pPr>
            <w:r>
              <w:rPr>
                <w:rFonts w:ascii="Times New Roman" w:hAnsi="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tcPr>
          <w:p>
            <w:pPr>
              <w:jc w:val="center"/>
              <w:rPr>
                <w:rFonts w:ascii="Times New Roman" w:hAnsi="Times New Roman"/>
                <w:szCs w:val="21"/>
              </w:rPr>
            </w:pPr>
            <w:r>
              <w:rPr>
                <w:rFonts w:ascii="Times New Roman" w:hAnsi="Times New Roman"/>
                <w:szCs w:val="21"/>
              </w:rPr>
              <w:t>排斥课程</w:t>
            </w:r>
          </w:p>
        </w:tc>
        <w:tc>
          <w:tcPr>
            <w:tcW w:w="3441" w:type="dxa"/>
          </w:tcPr>
          <w:p>
            <w:pPr>
              <w:widowControl/>
              <w:jc w:val="center"/>
              <w:rPr>
                <w:rFonts w:ascii="Times New Roman" w:hAnsi="Times New Roman"/>
                <w:szCs w:val="21"/>
              </w:rPr>
            </w:pPr>
            <w:r>
              <w:rPr>
                <w:rFonts w:ascii="Times New Roman" w:hAnsi="Times New Roman"/>
                <w:szCs w:val="21"/>
              </w:rPr>
              <w:t>无</w:t>
            </w:r>
          </w:p>
        </w:tc>
        <w:tc>
          <w:tcPr>
            <w:tcW w:w="1198" w:type="dxa"/>
          </w:tcPr>
          <w:p>
            <w:pPr>
              <w:snapToGrid w:val="0"/>
              <w:spacing w:line="300" w:lineRule="auto"/>
              <w:jc w:val="center"/>
              <w:rPr>
                <w:rFonts w:ascii="Times New Roman" w:hAnsi="Times New Roman"/>
                <w:szCs w:val="21"/>
              </w:rPr>
            </w:pPr>
            <w:r>
              <w:rPr>
                <w:rFonts w:ascii="Times New Roman" w:hAnsi="Times New Roman"/>
                <w:szCs w:val="21"/>
              </w:rPr>
              <w:t>定稿日期</w:t>
            </w:r>
          </w:p>
        </w:tc>
        <w:tc>
          <w:tcPr>
            <w:tcW w:w="2695" w:type="dxa"/>
          </w:tcPr>
          <w:p>
            <w:pPr>
              <w:widowControl/>
              <w:jc w:val="center"/>
              <w:rPr>
                <w:rFonts w:ascii="Times New Roman" w:hAnsi="Times New Roman" w:eastAsia="宋体"/>
                <w:szCs w:val="21"/>
              </w:rPr>
            </w:pPr>
            <w:r>
              <w:rPr>
                <w:rFonts w:ascii="Times New Roman" w:hAnsi="Times New Roman"/>
                <w:szCs w:val="21"/>
              </w:rPr>
              <w:t>202</w:t>
            </w:r>
            <w:r>
              <w:rPr>
                <w:rFonts w:hint="eastAsia" w:ascii="Times New Roman" w:hAnsi="Times New Roman"/>
                <w:szCs w:val="21"/>
              </w:rPr>
              <w:t>2</w:t>
            </w:r>
            <w:r>
              <w:rPr>
                <w:rFonts w:ascii="Times New Roman" w:hAnsi="Times New Roman"/>
                <w:szCs w:val="21"/>
              </w:rPr>
              <w:t>.0</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10</w:t>
            </w:r>
          </w:p>
        </w:tc>
      </w:tr>
    </w:tbl>
    <w:p>
      <w:pPr>
        <w:snapToGrid w:val="0"/>
        <w:spacing w:line="300" w:lineRule="auto"/>
        <w:ind w:firstLine="480"/>
        <w:rPr>
          <w:rFonts w:ascii="Times New Roman" w:hAnsi="Times New Roman"/>
          <w:b/>
          <w:szCs w:val="21"/>
        </w:rPr>
      </w:pPr>
      <w:r>
        <w:rPr>
          <w:rFonts w:ascii="Times New Roman" w:hAnsi="Times New Roman"/>
          <w:kern w:val="0"/>
          <w:szCs w:val="20"/>
        </w:rPr>
        <w:t>*</w:t>
      </w:r>
      <w:r>
        <w:rPr>
          <w:rFonts w:ascii="Times New Roman" w:hAnsi="Times New Roman"/>
          <w:sz w:val="18"/>
          <w:szCs w:val="18"/>
        </w:rPr>
        <w:t>数学与自然科学类、工程基础类、专业基础类、专业类、工程实践与毕业设计（论文）、人文社会科学类；学分学时处（）内为实验学时。</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一、课程简介</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高等数学》是一门学时多、涉及面广的重要的基础理论课，该课程在自然科学、工程技术、经济和社会科学等领域中具有广泛的应用。它的主要研究对象为实变量实值函数，尤其是连续的实变量实值函数。本课程包括的主要内容有：一元函数的极限与连续、导数与微分、中值定理与导数的应用、不定积分、定积分、定积分的应用、无穷级数及多元函数的极限与连续、微分法及其应用和多元函数积分学（含重积分、曲线积分和曲面积分），空间解析几何以及微分方程。</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二、课程教学目标</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 xml:space="preserve">通过本课程的学习，使学生掌握本学科的基本理论、基本知识和基本方法，培养学生逻辑思维能力以及分析问题和解决问题的能力，为后续相关课程的学习奠定基础。讲授过程植入数学史上杰出中国学者，爱国精神。旨在培育学生创新精神，使学生的学习能力提升的同时，精神层面也得到升华。 </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本课程的具体教学目标如下：</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1.系统学习一元函数的极限与连续、导数与微分、中值定理与导数的应用、不定积分、定积分、定积分的应用。[1.1]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2.系统学习无穷级数及多元函数的极限与连续、微分法及其应用和多元函数积分学（含重积分、曲线积分和曲面积分），空间解析几何以及微分方程，掌握本学科的基本理论、基本知识和基本方法。[2.1]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3.培养学生抽象思维能力、逻辑推理能力、空间想象能力、数学运算能力。[3.1]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4.培养综合解题能力、数学建模能力、分析问题和解决问题的能力以及创新能力。[4.1]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课程教学目标与毕业要求的对应关系见表1：</w:t>
      </w:r>
    </w:p>
    <w:p>
      <w:pPr>
        <w:widowControl/>
        <w:tabs>
          <w:tab w:val="left" w:pos="426"/>
          <w:tab w:val="left" w:pos="5245"/>
          <w:tab w:val="left" w:pos="5387"/>
        </w:tabs>
        <w:adjustRightInd w:val="0"/>
        <w:snapToGrid w:val="0"/>
        <w:spacing w:before="159" w:beforeLines="50" w:line="300" w:lineRule="auto"/>
        <w:ind w:firstLine="361" w:firstLineChars="200"/>
        <w:jc w:val="center"/>
        <w:rPr>
          <w:rFonts w:ascii="Times New Roman" w:hAnsi="Times New Roman"/>
          <w:b/>
          <w:sz w:val="18"/>
          <w:szCs w:val="18"/>
        </w:rPr>
      </w:pPr>
      <w:r>
        <w:rPr>
          <w:rFonts w:ascii="Times New Roman" w:hAnsi="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noWrap/>
            <w:vAlign w:val="center"/>
          </w:tcPr>
          <w:p>
            <w:pPr>
              <w:adjustRightInd w:val="0"/>
              <w:snapToGrid w:val="0"/>
              <w:spacing w:line="300" w:lineRule="auto"/>
              <w:rPr>
                <w:rFonts w:ascii="Times New Roman" w:hAnsi="Times New Roman"/>
                <w:b/>
                <w:bCs/>
                <w:sz w:val="18"/>
                <w:szCs w:val="18"/>
              </w:rPr>
            </w:pPr>
            <w:r>
              <w:rPr>
                <w:rFonts w:ascii="Times New Roman" w:hAnsi="Times New Roman"/>
                <w:b/>
                <w:bCs/>
                <w:sz w:val="18"/>
                <w:szCs w:val="18"/>
              </w:rPr>
              <w:t>毕业要求</w:t>
            </w:r>
          </w:p>
        </w:tc>
        <w:tc>
          <w:tcPr>
            <w:tcW w:w="6143"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毕业要求指标点</w:t>
            </w:r>
          </w:p>
        </w:tc>
        <w:tc>
          <w:tcPr>
            <w:tcW w:w="689" w:type="dxa"/>
            <w:noWrap/>
            <w:vAlign w:val="center"/>
          </w:tcPr>
          <w:p>
            <w:pPr>
              <w:adjustRightInd w:val="0"/>
              <w:snapToGrid w:val="0"/>
              <w:spacing w:line="300" w:lineRule="auto"/>
              <w:jc w:val="left"/>
              <w:rPr>
                <w:rFonts w:ascii="Times New Roman" w:hAnsi="Times New Roman"/>
                <w:b/>
                <w:bCs/>
                <w:sz w:val="18"/>
                <w:szCs w:val="18"/>
              </w:rPr>
            </w:pPr>
            <w:r>
              <w:rPr>
                <w:rFonts w:ascii="Times New Roman" w:hAnsi="Times New Roman"/>
                <w:b/>
                <w:bCs/>
                <w:sz w:val="18"/>
                <w:szCs w:val="18"/>
              </w:rPr>
              <w:t>课程目标</w:t>
            </w:r>
          </w:p>
        </w:tc>
        <w:tc>
          <w:tcPr>
            <w:tcW w:w="656" w:type="dxa"/>
            <w:noWrap/>
            <w:vAlign w:val="center"/>
          </w:tcPr>
          <w:p>
            <w:pPr>
              <w:adjustRightInd w:val="0"/>
              <w:snapToGrid w:val="0"/>
              <w:spacing w:line="300" w:lineRule="auto"/>
              <w:rPr>
                <w:rFonts w:ascii="Times New Roman" w:hAnsi="Times New Roman"/>
                <w:b/>
                <w:bCs/>
                <w:sz w:val="18"/>
                <w:szCs w:val="18"/>
              </w:rPr>
            </w:pPr>
            <w:r>
              <w:rPr>
                <w:rFonts w:ascii="Times New Roman" w:hAnsi="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1．工程知识</w:t>
            </w:r>
          </w:p>
        </w:tc>
        <w:tc>
          <w:tcPr>
            <w:tcW w:w="6143" w:type="dxa"/>
            <w:noWrap/>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1.1掌握电子信息工程专业理论和知识体系的数学和自然科学知识，将其应用于信息技术（IT）行业知识和专业知识的学习。</w:t>
            </w:r>
          </w:p>
        </w:tc>
        <w:tc>
          <w:tcPr>
            <w:tcW w:w="68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w:t>
            </w:r>
          </w:p>
        </w:tc>
        <w:tc>
          <w:tcPr>
            <w:tcW w:w="656"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2．问题分析</w:t>
            </w:r>
          </w:p>
        </w:tc>
        <w:tc>
          <w:tcPr>
            <w:tcW w:w="6143" w:type="dxa"/>
            <w:noWrap/>
          </w:tcPr>
          <w:p>
            <w:pPr>
              <w:adjustRightInd w:val="0"/>
              <w:snapToGrid w:val="0"/>
              <w:spacing w:line="300" w:lineRule="auto"/>
              <w:rPr>
                <w:rFonts w:ascii="Times New Roman" w:hAnsi="Times New Roman"/>
                <w:sz w:val="18"/>
                <w:szCs w:val="18"/>
              </w:rPr>
            </w:pPr>
            <w:r>
              <w:rPr>
                <w:rFonts w:ascii="Times New Roman" w:hAnsi="Times New Roman"/>
                <w:sz w:val="18"/>
                <w:szCs w:val="18"/>
              </w:rPr>
              <w:t>2.1具备应用数学、自然科学和工程科学的基本原理，对电子信息工程的复杂工程问题进行识别、表达和分析，并获得有效结论的能力。</w:t>
            </w:r>
          </w:p>
        </w:tc>
        <w:tc>
          <w:tcPr>
            <w:tcW w:w="68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2</w:t>
            </w:r>
          </w:p>
        </w:tc>
        <w:tc>
          <w:tcPr>
            <w:tcW w:w="656" w:type="dxa"/>
            <w:noWrap/>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3．设计/开发解决方案</w:t>
            </w:r>
          </w:p>
        </w:tc>
        <w:tc>
          <w:tcPr>
            <w:tcW w:w="6143" w:type="dxa"/>
            <w:noWrap/>
            <w:vAlign w:val="center"/>
          </w:tcPr>
          <w:p>
            <w:pPr>
              <w:adjustRightInd w:val="0"/>
              <w:snapToGrid w:val="0"/>
              <w:spacing w:line="300" w:lineRule="auto"/>
              <w:ind w:right="-334"/>
              <w:rPr>
                <w:rFonts w:ascii="Times New Roman" w:hAnsi="Times New Roman"/>
                <w:sz w:val="18"/>
                <w:szCs w:val="18"/>
              </w:rPr>
            </w:pPr>
            <w:r>
              <w:rPr>
                <w:rFonts w:ascii="Times New Roman" w:hAnsi="Times New Roman"/>
                <w:sz w:val="18"/>
                <w:szCs w:val="18"/>
              </w:rPr>
              <w:t>3.1能够利用专业知识，针对给定需求，设计出满足要求的系统总体方案与系统拓扑图、单元子系统（或单元电路）、软硬件模块或工艺。</w:t>
            </w:r>
          </w:p>
        </w:tc>
        <w:tc>
          <w:tcPr>
            <w:tcW w:w="68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3</w:t>
            </w:r>
          </w:p>
        </w:tc>
        <w:tc>
          <w:tcPr>
            <w:tcW w:w="656"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193"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4．研究</w:t>
            </w:r>
          </w:p>
        </w:tc>
        <w:tc>
          <w:tcPr>
            <w:tcW w:w="6143"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4.1具备基于电子信息科学原理并采用科学方法对复杂工程问题的技术路线，实验方案、软/硬件模块和存在的问题进行研究的能力。</w:t>
            </w:r>
          </w:p>
        </w:tc>
        <w:tc>
          <w:tcPr>
            <w:tcW w:w="68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4</w:t>
            </w:r>
          </w:p>
        </w:tc>
        <w:tc>
          <w:tcPr>
            <w:tcW w:w="656"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三、课程教学目标达成途径（或教学设计）</w:t>
      </w:r>
    </w:p>
    <w:p>
      <w:pPr>
        <w:widowControl/>
        <w:adjustRightInd w:val="0"/>
        <w:snapToGrid w:val="0"/>
        <w:spacing w:before="159" w:beforeLines="50" w:line="300" w:lineRule="auto"/>
        <w:jc w:val="center"/>
        <w:rPr>
          <w:rFonts w:ascii="Times New Roman" w:hAnsi="Times New Roman"/>
          <w:b/>
          <w:bCs/>
          <w:sz w:val="18"/>
          <w:szCs w:val="18"/>
          <w:shd w:val="clear" w:color="auto" w:fill="FEFEFF"/>
        </w:rPr>
      </w:pPr>
      <w:r>
        <w:rPr>
          <w:rFonts w:ascii="Times New Roman" w:hAnsi="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239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8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课程教学目标</w:t>
            </w:r>
          </w:p>
        </w:tc>
        <w:tc>
          <w:tcPr>
            <w:tcW w:w="23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1．系统学习一元函数的极限与连续、导数与微分、中值定理与导数的应用、不定积分、定积分、定积分的应用。</w:t>
            </w:r>
          </w:p>
        </w:tc>
        <w:tc>
          <w:tcPr>
            <w:tcW w:w="2394"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通过课堂讲授作业等达成。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2．系统学习无穷级数及多元函数的极限与连续、微分法及其应用和多元函数积分学（含重积分、曲线积分和曲面积分），空间解析几何以及微分方程，掌握本学科的基本理论、基本知识和基本方法。</w:t>
            </w:r>
          </w:p>
        </w:tc>
        <w:tc>
          <w:tcPr>
            <w:tcW w:w="2394"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通过课堂讲授作业等达成。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3．培养学生抽象思维能力、逻辑推理能力、空间想象能力、数学运算能力。</w:t>
            </w:r>
          </w:p>
        </w:tc>
        <w:tc>
          <w:tcPr>
            <w:tcW w:w="2394"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讲授、作业等达成。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4．培养综合解题能力、数学建模能力、分析问题和解决问题的能力以及创新能力。</w:t>
            </w:r>
          </w:p>
        </w:tc>
        <w:tc>
          <w:tcPr>
            <w:tcW w:w="2394" w:type="dxa"/>
            <w:tcBorders>
              <w:top w:val="single" w:color="auto" w:sz="4" w:space="0"/>
              <w:left w:val="single" w:color="auto" w:sz="4" w:space="0"/>
              <w:bottom w:val="single" w:color="auto" w:sz="4" w:space="0"/>
              <w:right w:val="single" w:color="auto" w:sz="4" w:space="0"/>
            </w:tcBorders>
            <w:shd w:val="clear" w:color="auto" w:fill="FFFFFF"/>
            <w:noWrap/>
          </w:tcPr>
          <w:p>
            <w:pPr>
              <w:adjustRightInd w:val="0"/>
              <w:snapToGrid w:val="0"/>
              <w:spacing w:line="300" w:lineRule="auto"/>
              <w:rPr>
                <w:rFonts w:ascii="Times New Roman" w:hAnsi="Times New Roman"/>
                <w:sz w:val="18"/>
                <w:szCs w:val="18"/>
              </w:rPr>
            </w:pPr>
            <w:r>
              <w:rPr>
                <w:rFonts w:ascii="Times New Roman" w:hAnsi="Times New Roman"/>
                <w:sz w:val="18"/>
                <w:szCs w:val="18"/>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课堂表现、习题作业与方案报告。</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四、课程教学内容、教与学的要求</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课堂讲授为主，网络多媒体教学、课程独立网站（含教学视频）以及“雨课堂”同步学习为辅，注重与专业相关工程实践教学环节和场景配合的案例教学，由浅入深，结合课程中的相应知识点进行分析，培养学生对复杂工程问题的应用能力。案例见教学内容部分。</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2．根据课程特点采用启发式教学、任务驱动教学、案例教学法进行教学方法创新；核心能力知识点采用“原理描述-方法分析-应用案例展示”相互呼应的教学模式。</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本课程理论教学内容与教学要求见表3。</w:t>
      </w:r>
    </w:p>
    <w:p>
      <w:pPr>
        <w:adjustRightInd w:val="0"/>
        <w:snapToGrid w:val="0"/>
        <w:spacing w:before="159" w:beforeLines="50" w:line="300" w:lineRule="auto"/>
        <w:jc w:val="center"/>
        <w:rPr>
          <w:rFonts w:ascii="Times New Roman" w:hAnsi="Times New Roman"/>
          <w:sz w:val="18"/>
          <w:szCs w:val="18"/>
        </w:rPr>
      </w:pPr>
      <w:r>
        <w:rPr>
          <w:rFonts w:ascii="Times New Roman" w:hAnsi="Times New Roman"/>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3564"/>
        <w:gridCol w:w="3857"/>
        <w:gridCol w:w="443"/>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序号</w:t>
            </w:r>
          </w:p>
        </w:tc>
        <w:tc>
          <w:tcPr>
            <w:tcW w:w="3564" w:type="dxa"/>
            <w:noWrap/>
            <w:vAlign w:val="center"/>
          </w:tcPr>
          <w:p>
            <w:pPr>
              <w:adjustRightInd w:val="0"/>
              <w:snapToGrid w:val="0"/>
              <w:spacing w:line="300" w:lineRule="auto"/>
              <w:ind w:firstLine="361" w:firstLineChars="200"/>
              <w:rPr>
                <w:rFonts w:ascii="Times New Roman" w:hAnsi="Times New Roman"/>
                <w:b/>
                <w:bCs/>
                <w:sz w:val="18"/>
                <w:szCs w:val="18"/>
              </w:rPr>
            </w:pPr>
            <w:r>
              <w:rPr>
                <w:rFonts w:ascii="Times New Roman" w:hAnsi="Times New Roman"/>
                <w:b/>
                <w:bCs/>
                <w:sz w:val="18"/>
                <w:szCs w:val="18"/>
              </w:rPr>
              <w:t>教学内容</w:t>
            </w:r>
          </w:p>
        </w:tc>
        <w:tc>
          <w:tcPr>
            <w:tcW w:w="3857" w:type="dxa"/>
            <w:noWrap/>
            <w:vAlign w:val="center"/>
          </w:tcPr>
          <w:p>
            <w:pPr>
              <w:adjustRightInd w:val="0"/>
              <w:snapToGrid w:val="0"/>
              <w:spacing w:line="300" w:lineRule="auto"/>
              <w:ind w:firstLine="361" w:firstLineChars="200"/>
              <w:jc w:val="center"/>
              <w:rPr>
                <w:rFonts w:ascii="Times New Roman" w:hAnsi="Times New Roman"/>
                <w:b/>
                <w:bCs/>
                <w:sz w:val="18"/>
                <w:szCs w:val="18"/>
              </w:rPr>
            </w:pPr>
            <w:r>
              <w:rPr>
                <w:rFonts w:ascii="Times New Roman" w:hAnsi="Times New Roman"/>
                <w:b/>
                <w:bCs/>
                <w:sz w:val="18"/>
                <w:szCs w:val="18"/>
              </w:rPr>
              <w:t>教与学的要求</w:t>
            </w:r>
          </w:p>
        </w:tc>
        <w:tc>
          <w:tcPr>
            <w:tcW w:w="443"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学时</w:t>
            </w:r>
          </w:p>
        </w:tc>
        <w:tc>
          <w:tcPr>
            <w:tcW w:w="595"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 函数、极限与连续</w:t>
            </w:r>
          </w:p>
          <w:p>
            <w:pPr>
              <w:adjustRightInd w:val="0"/>
              <w:snapToGrid w:val="0"/>
              <w:spacing w:line="300" w:lineRule="auto"/>
              <w:rPr>
                <w:rFonts w:ascii="Times New Roman" w:hAnsi="Times New Roman"/>
                <w:sz w:val="18"/>
                <w:szCs w:val="18"/>
              </w:rPr>
            </w:pPr>
            <w:r>
              <w:rPr>
                <w:rFonts w:ascii="Times New Roman" w:hAnsi="Times New Roman"/>
                <w:sz w:val="18"/>
                <w:szCs w:val="18"/>
              </w:rPr>
              <w:t>1.1函数概念,函数几种特性,基本初等函数,初等函数.</w:t>
            </w:r>
          </w:p>
          <w:p>
            <w:pPr>
              <w:adjustRightInd w:val="0"/>
              <w:snapToGrid w:val="0"/>
              <w:spacing w:line="300" w:lineRule="auto"/>
              <w:rPr>
                <w:rFonts w:ascii="Times New Roman" w:hAnsi="Times New Roman"/>
                <w:sz w:val="18"/>
                <w:szCs w:val="18"/>
              </w:rPr>
            </w:pPr>
            <w:r>
              <w:rPr>
                <w:rFonts w:ascii="Times New Roman" w:hAnsi="Times New Roman"/>
                <w:sz w:val="18"/>
                <w:szCs w:val="18"/>
              </w:rPr>
              <w:t>1.2数列极限的定义,收敛数列的性质.函数极限的定义,函数极限的性质.</w:t>
            </w:r>
          </w:p>
          <w:p>
            <w:pPr>
              <w:adjustRightInd w:val="0"/>
              <w:snapToGrid w:val="0"/>
              <w:spacing w:line="300" w:lineRule="auto"/>
              <w:rPr>
                <w:rFonts w:ascii="Times New Roman" w:hAnsi="Times New Roman"/>
                <w:sz w:val="18"/>
                <w:szCs w:val="18"/>
              </w:rPr>
            </w:pPr>
            <w:r>
              <w:rPr>
                <w:rFonts w:ascii="Times New Roman" w:hAnsi="Times New Roman"/>
                <w:sz w:val="18"/>
                <w:szCs w:val="18"/>
              </w:rPr>
              <w:t>1.3无穷大量与无穷小量,无穷小量的性质.无穷小量的比较.极限的四则运算法则,复合函数的极限.</w:t>
            </w:r>
          </w:p>
          <w:p>
            <w:pPr>
              <w:adjustRightInd w:val="0"/>
              <w:snapToGrid w:val="0"/>
              <w:spacing w:line="300" w:lineRule="auto"/>
              <w:rPr>
                <w:rFonts w:ascii="Times New Roman" w:hAnsi="Times New Roman"/>
                <w:sz w:val="18"/>
                <w:szCs w:val="18"/>
              </w:rPr>
            </w:pPr>
            <w:r>
              <w:rPr>
                <w:rFonts w:ascii="Times New Roman" w:hAnsi="Times New Roman"/>
                <w:sz w:val="18"/>
                <w:szCs w:val="18"/>
              </w:rPr>
              <w:t>1.4极限存在的准则,两个重要极限.</w:t>
            </w:r>
          </w:p>
          <w:p>
            <w:pPr>
              <w:adjustRightInd w:val="0"/>
              <w:snapToGrid w:val="0"/>
              <w:spacing w:line="300" w:lineRule="auto"/>
              <w:rPr>
                <w:rFonts w:ascii="Times New Roman" w:hAnsi="Times New Roman"/>
                <w:sz w:val="18"/>
                <w:szCs w:val="18"/>
              </w:rPr>
            </w:pPr>
            <w:r>
              <w:rPr>
                <w:rFonts w:ascii="Times New Roman" w:hAnsi="Times New Roman"/>
                <w:sz w:val="18"/>
                <w:szCs w:val="18"/>
              </w:rPr>
              <w:t>函数的连续性,间断点.连续函数的基本性质,初等函数的连续性.闭区间上连续函数的性质.</w:t>
            </w:r>
          </w:p>
          <w:p>
            <w:pPr>
              <w:adjustRightInd w:val="0"/>
              <w:snapToGrid w:val="0"/>
              <w:spacing w:line="300" w:lineRule="auto"/>
              <w:rPr>
                <w:rFonts w:ascii="Times New Roman" w:hAnsi="Times New Roman"/>
                <w:sz w:val="18"/>
                <w:szCs w:val="18"/>
              </w:rPr>
            </w:pPr>
            <w:r>
              <w:rPr>
                <w:rFonts w:ascii="Times New Roman" w:hAnsi="Times New Roman"/>
                <w:sz w:val="18"/>
                <w:szCs w:val="18"/>
              </w:rPr>
              <w:t>1.5学习我国著名科学家杨乐等的科学精神</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（1）了解：函数和反函数的关系，函数的几种特性，函数的四则运算和复合运算，数列极限的性质；</w:t>
            </w:r>
          </w:p>
          <w:p>
            <w:pPr>
              <w:adjustRightInd w:val="0"/>
              <w:snapToGrid w:val="0"/>
              <w:spacing w:line="300" w:lineRule="auto"/>
              <w:rPr>
                <w:rFonts w:ascii="Times New Roman" w:hAnsi="Times New Roman"/>
                <w:sz w:val="18"/>
                <w:szCs w:val="18"/>
              </w:rPr>
            </w:pPr>
            <w:r>
              <w:rPr>
                <w:rFonts w:ascii="Times New Roman" w:hAnsi="Times New Roman"/>
                <w:sz w:val="18"/>
                <w:szCs w:val="18"/>
              </w:rPr>
              <w:t>（2）理解：函数的概念，初等函数的概念，极限的概念，无穷大和无穷小的概念，函数的连续性和间断点的概念，闭区间上连续函数的性质；</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（3）掌握：两个重要极限以及用两个重要极限求极限的方法，无穷小的性质以及用等价无穷小求极限的方法，用零点定理推理一些命题。 </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（1）学习和了解高等数学的发展历程；</w:t>
            </w:r>
          </w:p>
          <w:p>
            <w:pPr>
              <w:adjustRightInd w:val="0"/>
              <w:snapToGrid w:val="0"/>
              <w:spacing w:line="300" w:lineRule="auto"/>
              <w:rPr>
                <w:rFonts w:ascii="Times New Roman" w:hAnsi="Times New Roman"/>
                <w:sz w:val="18"/>
                <w:szCs w:val="18"/>
              </w:rPr>
            </w:pPr>
            <w:r>
              <w:rPr>
                <w:rFonts w:ascii="Times New Roman" w:hAnsi="Times New Roman"/>
                <w:sz w:val="18"/>
                <w:szCs w:val="18"/>
              </w:rPr>
              <w:t>（2）复习第一章内容；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（3）完成教材第一章作业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采用讲授式和启发式教学手段，兼有课堂讨论和课堂提问；板书或多媒体教学。</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14</w:t>
            </w:r>
          </w:p>
        </w:tc>
        <w:tc>
          <w:tcPr>
            <w:tcW w:w="595"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2</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2 导数与微分</w:t>
            </w:r>
          </w:p>
          <w:p>
            <w:pPr>
              <w:adjustRightInd w:val="0"/>
              <w:snapToGrid w:val="0"/>
              <w:spacing w:line="300" w:lineRule="auto"/>
              <w:rPr>
                <w:rFonts w:ascii="Times New Roman" w:hAnsi="Times New Roman"/>
                <w:sz w:val="18"/>
                <w:szCs w:val="18"/>
              </w:rPr>
            </w:pPr>
            <w:r>
              <w:rPr>
                <w:rFonts w:ascii="Times New Roman" w:hAnsi="Times New Roman"/>
                <w:sz w:val="18"/>
                <w:szCs w:val="18"/>
              </w:rPr>
              <w:t>2.1导数的概念</w:t>
            </w:r>
          </w:p>
          <w:p>
            <w:pPr>
              <w:adjustRightInd w:val="0"/>
              <w:snapToGrid w:val="0"/>
              <w:spacing w:line="300" w:lineRule="auto"/>
              <w:rPr>
                <w:rFonts w:ascii="Times New Roman" w:hAnsi="Times New Roman"/>
                <w:sz w:val="18"/>
                <w:szCs w:val="18"/>
              </w:rPr>
            </w:pPr>
            <w:r>
              <w:rPr>
                <w:rFonts w:ascii="Times New Roman" w:hAnsi="Times New Roman"/>
                <w:sz w:val="18"/>
                <w:szCs w:val="18"/>
              </w:rPr>
              <w:t>2.2基本初等函数的求导公式</w:t>
            </w:r>
          </w:p>
          <w:p>
            <w:pPr>
              <w:adjustRightInd w:val="0"/>
              <w:snapToGrid w:val="0"/>
              <w:spacing w:line="300" w:lineRule="auto"/>
              <w:rPr>
                <w:rFonts w:ascii="Times New Roman" w:hAnsi="Times New Roman"/>
                <w:sz w:val="18"/>
                <w:szCs w:val="18"/>
              </w:rPr>
            </w:pPr>
            <w:r>
              <w:rPr>
                <w:rFonts w:ascii="Times New Roman" w:hAnsi="Times New Roman"/>
                <w:sz w:val="18"/>
                <w:szCs w:val="18"/>
              </w:rPr>
              <w:t>2.3函数的和、差、积、商的求导法则和复合函数求导法则</w:t>
            </w:r>
          </w:p>
          <w:p>
            <w:pPr>
              <w:adjustRightInd w:val="0"/>
              <w:snapToGrid w:val="0"/>
              <w:spacing w:line="300" w:lineRule="auto"/>
              <w:rPr>
                <w:rFonts w:ascii="Times New Roman" w:hAnsi="Times New Roman"/>
                <w:sz w:val="18"/>
                <w:szCs w:val="18"/>
              </w:rPr>
            </w:pPr>
            <w:r>
              <w:rPr>
                <w:rFonts w:ascii="Times New Roman" w:hAnsi="Times New Roman"/>
                <w:sz w:val="18"/>
                <w:szCs w:val="18"/>
              </w:rPr>
              <w:t>2.4初等函数的求导方法,隐函数及参数方程求导方法</w:t>
            </w:r>
          </w:p>
          <w:p>
            <w:pPr>
              <w:adjustRightInd w:val="0"/>
              <w:snapToGrid w:val="0"/>
              <w:spacing w:line="300" w:lineRule="auto"/>
              <w:rPr>
                <w:rFonts w:ascii="Times New Roman" w:hAnsi="Times New Roman"/>
                <w:sz w:val="18"/>
                <w:szCs w:val="18"/>
              </w:rPr>
            </w:pPr>
            <w:r>
              <w:rPr>
                <w:rFonts w:ascii="Times New Roman" w:hAnsi="Times New Roman"/>
                <w:sz w:val="18"/>
                <w:szCs w:val="18"/>
              </w:rPr>
              <w:t>2.5高阶导数和函数的微分的计算。</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（1）了解：导数的物理意义，泰勒公式.</w:t>
            </w:r>
          </w:p>
          <w:p>
            <w:pPr>
              <w:adjustRightInd w:val="0"/>
              <w:snapToGrid w:val="0"/>
              <w:spacing w:line="300" w:lineRule="auto"/>
              <w:rPr>
                <w:rFonts w:ascii="Times New Roman" w:hAnsi="Times New Roman"/>
                <w:sz w:val="18"/>
                <w:szCs w:val="18"/>
              </w:rPr>
            </w:pPr>
            <w:r>
              <w:rPr>
                <w:rFonts w:ascii="Times New Roman" w:hAnsi="Times New Roman"/>
                <w:sz w:val="18"/>
                <w:szCs w:val="18"/>
              </w:rPr>
              <w:t>（2）理解：导数的概念及其几何意义，理解高阶导数的概念和微分的概念；</w:t>
            </w:r>
          </w:p>
          <w:p>
            <w:pPr>
              <w:adjustRightInd w:val="0"/>
              <w:snapToGrid w:val="0"/>
              <w:spacing w:line="300" w:lineRule="auto"/>
              <w:rPr>
                <w:rFonts w:ascii="Times New Roman" w:hAnsi="Times New Roman"/>
                <w:sz w:val="18"/>
                <w:szCs w:val="18"/>
              </w:rPr>
            </w:pPr>
            <w:r>
              <w:rPr>
                <w:rFonts w:ascii="Times New Roman" w:hAnsi="Times New Roman"/>
                <w:sz w:val="18"/>
                <w:szCs w:val="18"/>
              </w:rPr>
              <w:t>（3）掌握：</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（1）复习第二章内容；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（2）完成教材第二章作业。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采用讲授式和启发式教学手段，兼有课堂讨论和课堂提问；</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3</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3微分中值定理与导数的应用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3.1学习中值定理,</w:t>
            </w:r>
          </w:p>
          <w:p>
            <w:pPr>
              <w:adjustRightInd w:val="0"/>
              <w:snapToGrid w:val="0"/>
              <w:spacing w:line="300" w:lineRule="auto"/>
              <w:rPr>
                <w:rFonts w:ascii="Times New Roman" w:hAnsi="Times New Roman"/>
                <w:sz w:val="18"/>
                <w:szCs w:val="18"/>
              </w:rPr>
            </w:pPr>
            <w:r>
              <w:rPr>
                <w:rFonts w:ascii="Times New Roman" w:hAnsi="Times New Roman"/>
                <w:sz w:val="18"/>
                <w:szCs w:val="18"/>
              </w:rPr>
              <w:t>3..2学习利用导数研究函数及其曲线的性质和形态,</w:t>
            </w:r>
          </w:p>
          <w:p>
            <w:pPr>
              <w:adjustRightInd w:val="0"/>
              <w:snapToGrid w:val="0"/>
              <w:spacing w:line="300" w:lineRule="auto"/>
              <w:rPr>
                <w:rFonts w:ascii="Times New Roman" w:hAnsi="Times New Roman"/>
                <w:sz w:val="18"/>
                <w:szCs w:val="18"/>
              </w:rPr>
            </w:pPr>
            <w:r>
              <w:rPr>
                <w:rFonts w:ascii="Times New Roman" w:hAnsi="Times New Roman"/>
                <w:sz w:val="18"/>
                <w:szCs w:val="18"/>
              </w:rPr>
              <w:t>3.3学习用洛必达法则计算极限.</w:t>
            </w:r>
          </w:p>
          <w:p>
            <w:pPr>
              <w:adjustRightInd w:val="0"/>
              <w:snapToGrid w:val="0"/>
              <w:spacing w:line="300" w:lineRule="auto"/>
              <w:rPr>
                <w:rFonts w:ascii="Times New Roman" w:hAnsi="Times New Roman"/>
                <w:sz w:val="18"/>
                <w:szCs w:val="18"/>
              </w:rPr>
            </w:pPr>
            <w:r>
              <w:rPr>
                <w:rFonts w:ascii="Times New Roman" w:hAnsi="Times New Roman"/>
                <w:sz w:val="18"/>
                <w:szCs w:val="18"/>
              </w:rPr>
              <w:t>3.4罗尔定理,拉格朗日中值定理,柯西中值定理.</w:t>
            </w:r>
          </w:p>
          <w:p>
            <w:pPr>
              <w:adjustRightInd w:val="0"/>
              <w:snapToGrid w:val="0"/>
              <w:spacing w:line="300" w:lineRule="auto"/>
              <w:rPr>
                <w:rFonts w:ascii="Times New Roman" w:hAnsi="Times New Roman"/>
                <w:sz w:val="18"/>
                <w:szCs w:val="18"/>
              </w:rPr>
            </w:pPr>
            <w:r>
              <w:rPr>
                <w:rFonts w:ascii="Times New Roman" w:hAnsi="Times New Roman"/>
                <w:sz w:val="18"/>
                <w:szCs w:val="18"/>
              </w:rPr>
              <w:t>3.5洛必达法则.</w:t>
            </w:r>
          </w:p>
          <w:p>
            <w:pPr>
              <w:adjustRightInd w:val="0"/>
              <w:snapToGrid w:val="0"/>
              <w:spacing w:line="300" w:lineRule="auto"/>
              <w:rPr>
                <w:rFonts w:ascii="Times New Roman" w:hAnsi="Times New Roman"/>
                <w:sz w:val="18"/>
                <w:szCs w:val="18"/>
              </w:rPr>
            </w:pPr>
            <w:r>
              <w:rPr>
                <w:rFonts w:ascii="Times New Roman" w:hAnsi="Times New Roman"/>
                <w:sz w:val="18"/>
                <w:szCs w:val="18"/>
              </w:rPr>
              <w:t>3.6函数的单调性与极值.,函数的最大值和最小值.</w:t>
            </w:r>
          </w:p>
          <w:p>
            <w:pPr>
              <w:adjustRightInd w:val="0"/>
              <w:snapToGrid w:val="0"/>
              <w:spacing w:line="300" w:lineRule="auto"/>
              <w:rPr>
                <w:rFonts w:ascii="Times New Roman" w:hAnsi="Times New Roman"/>
                <w:sz w:val="18"/>
                <w:szCs w:val="18"/>
              </w:rPr>
            </w:pPr>
            <w:r>
              <w:rPr>
                <w:rFonts w:ascii="Times New Roman" w:hAnsi="Times New Roman"/>
                <w:sz w:val="18"/>
                <w:szCs w:val="18"/>
              </w:rPr>
              <w:t>3.7曲线的凹凸性和拐点.</w:t>
            </w:r>
          </w:p>
          <w:p>
            <w:pPr>
              <w:adjustRightInd w:val="0"/>
              <w:snapToGrid w:val="0"/>
              <w:spacing w:line="300" w:lineRule="auto"/>
              <w:rPr>
                <w:rFonts w:ascii="Times New Roman" w:hAnsi="Times New Roman"/>
                <w:sz w:val="18"/>
                <w:szCs w:val="18"/>
              </w:rPr>
            </w:pPr>
            <w:r>
              <w:rPr>
                <w:rFonts w:ascii="Times New Roman" w:hAnsi="Times New Roman"/>
                <w:sz w:val="18"/>
                <w:szCs w:val="18"/>
              </w:rPr>
              <w:t>3.8曲线的渐近线,函数图形的描绘.</w:t>
            </w:r>
          </w:p>
          <w:p>
            <w:pPr>
              <w:adjustRightInd w:val="0"/>
              <w:snapToGrid w:val="0"/>
              <w:spacing w:line="300" w:lineRule="auto"/>
              <w:rPr>
                <w:rFonts w:ascii="Times New Roman" w:hAnsi="Times New Roman"/>
                <w:sz w:val="18"/>
                <w:szCs w:val="18"/>
              </w:rPr>
            </w:pPr>
            <w:r>
              <w:rPr>
                <w:rFonts w:ascii="Times New Roman" w:hAnsi="Times New Roman"/>
                <w:sz w:val="18"/>
                <w:szCs w:val="18"/>
              </w:rPr>
              <w:t>弧微分公式,曲率</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（1）了解：函数图形的描绘；</w:t>
            </w:r>
          </w:p>
          <w:p>
            <w:pPr>
              <w:adjustRightInd w:val="0"/>
              <w:snapToGrid w:val="0"/>
              <w:spacing w:line="300" w:lineRule="auto"/>
              <w:rPr>
                <w:rFonts w:ascii="Times New Roman" w:hAnsi="Times New Roman"/>
                <w:sz w:val="18"/>
                <w:szCs w:val="18"/>
              </w:rPr>
            </w:pPr>
            <w:r>
              <w:rPr>
                <w:rFonts w:ascii="Times New Roman" w:hAnsi="Times New Roman"/>
                <w:sz w:val="18"/>
                <w:szCs w:val="18"/>
              </w:rPr>
              <w:t>（2）理解：微分中值定理；函数的渐近线；</w:t>
            </w:r>
          </w:p>
          <w:p>
            <w:pPr>
              <w:adjustRightInd w:val="0"/>
              <w:snapToGrid w:val="0"/>
              <w:spacing w:line="300" w:lineRule="auto"/>
              <w:rPr>
                <w:rFonts w:ascii="Times New Roman" w:hAnsi="Times New Roman"/>
                <w:sz w:val="18"/>
                <w:szCs w:val="18"/>
              </w:rPr>
            </w:pPr>
            <w:r>
              <w:rPr>
                <w:rFonts w:ascii="Times New Roman" w:hAnsi="Times New Roman"/>
                <w:sz w:val="18"/>
                <w:szCs w:val="18"/>
              </w:rPr>
              <w:t>（3）掌握：洛必达法则，函数的单调性与极值，曲线的凸凹与拐点，函数的最大最小值及其应用。</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（1）复习第三章内容；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（2）完成教材第三章作业。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采用讲授式和启发式教学手段，兼有课堂讨论和课堂提问</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14</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4</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第四章 函数的积分</w:t>
            </w:r>
          </w:p>
          <w:p>
            <w:pPr>
              <w:adjustRightInd w:val="0"/>
              <w:snapToGrid w:val="0"/>
              <w:spacing w:line="300" w:lineRule="auto"/>
              <w:rPr>
                <w:rFonts w:ascii="Times New Roman" w:hAnsi="Times New Roman"/>
                <w:sz w:val="18"/>
                <w:szCs w:val="18"/>
              </w:rPr>
            </w:pPr>
            <w:r>
              <w:rPr>
                <w:rFonts w:ascii="Times New Roman" w:hAnsi="Times New Roman"/>
                <w:sz w:val="18"/>
                <w:szCs w:val="18"/>
              </w:rPr>
              <w:t>4.1学习定积分和不定积分的概念和计算方法.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4.2曲边梯形的面积,定积分的定义,定积分的性质,原函数,不定积分的定义.</w:t>
            </w:r>
          </w:p>
          <w:p>
            <w:pPr>
              <w:adjustRightInd w:val="0"/>
              <w:snapToGrid w:val="0"/>
              <w:spacing w:line="300" w:lineRule="auto"/>
              <w:rPr>
                <w:rFonts w:ascii="Times New Roman" w:hAnsi="Times New Roman"/>
                <w:sz w:val="18"/>
                <w:szCs w:val="18"/>
              </w:rPr>
            </w:pPr>
            <w:r>
              <w:rPr>
                <w:rFonts w:ascii="Times New Roman" w:hAnsi="Times New Roman"/>
                <w:sz w:val="18"/>
                <w:szCs w:val="18"/>
              </w:rPr>
              <w:t>4.3变限积分及其性质,微积分学基本定理.</w:t>
            </w:r>
          </w:p>
          <w:p>
            <w:pPr>
              <w:adjustRightInd w:val="0"/>
              <w:snapToGrid w:val="0"/>
              <w:spacing w:line="300" w:lineRule="auto"/>
              <w:rPr>
                <w:rFonts w:ascii="Times New Roman" w:hAnsi="Times New Roman"/>
                <w:sz w:val="18"/>
                <w:szCs w:val="18"/>
              </w:rPr>
            </w:pPr>
            <w:r>
              <w:rPr>
                <w:rFonts w:ascii="Times New Roman" w:hAnsi="Times New Roman"/>
                <w:sz w:val="18"/>
                <w:szCs w:val="18"/>
              </w:rPr>
              <w:t>4.4不定积分的换元积分法和分部积分法.有理函数的不定积分的计算.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4.5定积分的换元积分法和分部积分法.</w:t>
            </w:r>
          </w:p>
          <w:p>
            <w:pPr>
              <w:adjustRightInd w:val="0"/>
              <w:snapToGrid w:val="0"/>
              <w:spacing w:line="300" w:lineRule="auto"/>
              <w:rPr>
                <w:rFonts w:ascii="Times New Roman" w:hAnsi="Times New Roman"/>
                <w:sz w:val="18"/>
                <w:szCs w:val="18"/>
              </w:rPr>
            </w:pPr>
            <w:r>
              <w:rPr>
                <w:rFonts w:ascii="Times New Roman" w:hAnsi="Times New Roman"/>
                <w:sz w:val="18"/>
                <w:szCs w:val="18"/>
              </w:rPr>
              <w:t>4.6广义积分.</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（1）了解：积分表的使用；</w:t>
            </w:r>
          </w:p>
          <w:p>
            <w:pPr>
              <w:adjustRightInd w:val="0"/>
              <w:snapToGrid w:val="0"/>
              <w:spacing w:line="300" w:lineRule="auto"/>
              <w:rPr>
                <w:rFonts w:ascii="Times New Roman" w:hAnsi="Times New Roman"/>
                <w:sz w:val="18"/>
                <w:szCs w:val="18"/>
              </w:rPr>
            </w:pPr>
            <w:r>
              <w:rPr>
                <w:rFonts w:ascii="Times New Roman" w:hAnsi="Times New Roman"/>
                <w:sz w:val="18"/>
                <w:szCs w:val="18"/>
              </w:rPr>
              <w:t>（2）理解：定积分的概念和性质，不定积分的概念和性质；</w:t>
            </w:r>
          </w:p>
          <w:p>
            <w:pPr>
              <w:adjustRightInd w:val="0"/>
              <w:snapToGrid w:val="0"/>
              <w:spacing w:line="300" w:lineRule="auto"/>
              <w:rPr>
                <w:rFonts w:ascii="Times New Roman" w:hAnsi="Times New Roman"/>
                <w:sz w:val="18"/>
                <w:szCs w:val="18"/>
              </w:rPr>
            </w:pPr>
            <w:r>
              <w:rPr>
                <w:rFonts w:ascii="Times New Roman" w:hAnsi="Times New Roman"/>
                <w:sz w:val="18"/>
                <w:szCs w:val="18"/>
              </w:rPr>
              <w:t>（3）掌握：不定积分和原函数的求法，微积分学基本定理，定积分的计算，反常积分。</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（1）复习第四章内容；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（2）完成教材第四章作业。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5</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5 定积分的应用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5.1定积分的几何应用</w:t>
            </w:r>
          </w:p>
          <w:p>
            <w:pPr>
              <w:adjustRightInd w:val="0"/>
              <w:snapToGrid w:val="0"/>
              <w:spacing w:line="300" w:lineRule="auto"/>
              <w:rPr>
                <w:rFonts w:ascii="Times New Roman" w:hAnsi="Times New Roman"/>
                <w:sz w:val="18"/>
                <w:szCs w:val="18"/>
              </w:rPr>
            </w:pPr>
            <w:r>
              <w:rPr>
                <w:rFonts w:ascii="Times New Roman" w:hAnsi="Times New Roman"/>
                <w:sz w:val="18"/>
                <w:szCs w:val="18"/>
              </w:rPr>
              <w:t>5.2微分元素法</w:t>
            </w:r>
          </w:p>
          <w:p>
            <w:pPr>
              <w:adjustRightInd w:val="0"/>
              <w:snapToGrid w:val="0"/>
              <w:spacing w:line="300" w:lineRule="auto"/>
              <w:rPr>
                <w:rFonts w:ascii="Times New Roman" w:hAnsi="Times New Roman"/>
                <w:sz w:val="18"/>
                <w:szCs w:val="18"/>
              </w:rPr>
            </w:pPr>
            <w:r>
              <w:rPr>
                <w:rFonts w:ascii="Times New Roman" w:hAnsi="Times New Roman"/>
                <w:sz w:val="18"/>
                <w:szCs w:val="18"/>
              </w:rPr>
              <w:t>5.3平面图形的面积</w:t>
            </w:r>
          </w:p>
          <w:p>
            <w:pPr>
              <w:adjustRightInd w:val="0"/>
              <w:snapToGrid w:val="0"/>
              <w:spacing w:line="300" w:lineRule="auto"/>
              <w:rPr>
                <w:rFonts w:ascii="Times New Roman" w:hAnsi="Times New Roman"/>
                <w:sz w:val="18"/>
                <w:szCs w:val="18"/>
              </w:rPr>
            </w:pPr>
            <w:r>
              <w:rPr>
                <w:rFonts w:ascii="Times New Roman" w:hAnsi="Times New Roman"/>
                <w:sz w:val="18"/>
                <w:szCs w:val="18"/>
              </w:rPr>
              <w:t>5.4几何体的体积</w:t>
            </w:r>
          </w:p>
          <w:p>
            <w:pPr>
              <w:adjustRightInd w:val="0"/>
              <w:snapToGrid w:val="0"/>
              <w:spacing w:line="300" w:lineRule="auto"/>
              <w:rPr>
                <w:rFonts w:ascii="Times New Roman" w:hAnsi="Times New Roman"/>
                <w:sz w:val="18"/>
                <w:szCs w:val="18"/>
              </w:rPr>
            </w:pPr>
            <w:r>
              <w:rPr>
                <w:rFonts w:ascii="Times New Roman" w:hAnsi="Times New Roman"/>
                <w:sz w:val="18"/>
                <w:szCs w:val="18"/>
              </w:rPr>
              <w:t>5.5平行截面面积为已知的立体体积旋转体的体积</w:t>
            </w:r>
          </w:p>
          <w:p>
            <w:pPr>
              <w:adjustRightInd w:val="0"/>
              <w:snapToGrid w:val="0"/>
              <w:spacing w:line="300" w:lineRule="auto"/>
              <w:rPr>
                <w:rFonts w:ascii="Times New Roman" w:hAnsi="Times New Roman"/>
                <w:sz w:val="18"/>
                <w:szCs w:val="18"/>
              </w:rPr>
            </w:pPr>
            <w:r>
              <w:rPr>
                <w:rFonts w:ascii="Times New Roman" w:hAnsi="Times New Roman"/>
                <w:sz w:val="18"/>
                <w:szCs w:val="18"/>
              </w:rPr>
              <w:t>5.6曲线的弧长。</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（1）了解：微元法的条件；</w:t>
            </w:r>
          </w:p>
          <w:p>
            <w:pPr>
              <w:adjustRightInd w:val="0"/>
              <w:snapToGrid w:val="0"/>
              <w:spacing w:line="300" w:lineRule="auto"/>
              <w:rPr>
                <w:rFonts w:ascii="Times New Roman" w:hAnsi="Times New Roman"/>
                <w:sz w:val="18"/>
                <w:szCs w:val="18"/>
              </w:rPr>
            </w:pPr>
            <w:r>
              <w:rPr>
                <w:rFonts w:ascii="Times New Roman" w:hAnsi="Times New Roman"/>
                <w:sz w:val="18"/>
                <w:szCs w:val="18"/>
              </w:rPr>
              <w:t>（2）理解：微分元素法。</w:t>
            </w:r>
          </w:p>
          <w:p>
            <w:pPr>
              <w:adjustRightInd w:val="0"/>
              <w:snapToGrid w:val="0"/>
              <w:spacing w:line="300" w:lineRule="auto"/>
              <w:rPr>
                <w:rFonts w:ascii="Times New Roman" w:hAnsi="Times New Roman"/>
                <w:sz w:val="18"/>
                <w:szCs w:val="18"/>
              </w:rPr>
            </w:pPr>
            <w:r>
              <w:rPr>
                <w:rFonts w:ascii="Times New Roman" w:hAnsi="Times New Roman"/>
                <w:sz w:val="18"/>
                <w:szCs w:val="18"/>
              </w:rPr>
              <w:t>（3）掌握：平面图形的面积，几何体的体积，曲线的弧长</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（1）复习第五章内容；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（2）完成教材第五章作业。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讲授式、讨论式、案例式与启发式相结合。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6</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6无穷级数</w:t>
            </w:r>
          </w:p>
          <w:p>
            <w:pPr>
              <w:adjustRightInd w:val="0"/>
              <w:snapToGrid w:val="0"/>
              <w:spacing w:line="300" w:lineRule="auto"/>
              <w:rPr>
                <w:rFonts w:ascii="Times New Roman" w:hAnsi="Times New Roman"/>
                <w:sz w:val="18"/>
                <w:szCs w:val="18"/>
              </w:rPr>
            </w:pPr>
            <w:r>
              <w:rPr>
                <w:rFonts w:ascii="Times New Roman" w:hAnsi="Times New Roman"/>
                <w:sz w:val="18"/>
                <w:szCs w:val="18"/>
              </w:rPr>
              <w:t>6.1学习常数项级数和函数项级数的基本知识和计算方法.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6.2常数项级数的概念和性质, 正项级数敛散性判别法, 6.3任意项级数敛散性判别法,交错级数收敛性判别法,绝对收敛与条件收敛。</w:t>
            </w:r>
          </w:p>
          <w:p>
            <w:pPr>
              <w:adjustRightInd w:val="0"/>
              <w:snapToGrid w:val="0"/>
              <w:spacing w:line="300" w:lineRule="auto"/>
              <w:rPr>
                <w:rFonts w:ascii="Times New Roman" w:hAnsi="Times New Roman"/>
                <w:sz w:val="18"/>
                <w:szCs w:val="18"/>
              </w:rPr>
            </w:pPr>
            <w:r>
              <w:rPr>
                <w:rFonts w:ascii="Times New Roman" w:hAnsi="Times New Roman"/>
                <w:sz w:val="18"/>
                <w:szCs w:val="18"/>
              </w:rPr>
              <w:t>6.4函数项级数的概念,幂级数及其收敛性,幂级数的和函数的性质, 幂级数的运算。</w:t>
            </w:r>
          </w:p>
          <w:p>
            <w:pPr>
              <w:adjustRightInd w:val="0"/>
              <w:snapToGrid w:val="0"/>
              <w:spacing w:line="300" w:lineRule="auto"/>
              <w:rPr>
                <w:rFonts w:ascii="Times New Roman" w:hAnsi="Times New Roman"/>
                <w:sz w:val="18"/>
                <w:szCs w:val="18"/>
              </w:rPr>
            </w:pPr>
            <w:r>
              <w:rPr>
                <w:rFonts w:ascii="Times New Roman" w:hAnsi="Times New Roman"/>
                <w:sz w:val="18"/>
                <w:szCs w:val="18"/>
              </w:rPr>
              <w:t>6.5函数展开成幂级数,泰勒级数,函数展开成幂级数。</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（1）了解：级数求和的方法; </w:t>
            </w:r>
          </w:p>
          <w:p>
            <w:pPr>
              <w:adjustRightInd w:val="0"/>
              <w:snapToGrid w:val="0"/>
              <w:spacing w:line="300" w:lineRule="auto"/>
              <w:rPr>
                <w:rFonts w:ascii="Times New Roman" w:hAnsi="Times New Roman"/>
                <w:sz w:val="18"/>
                <w:szCs w:val="18"/>
              </w:rPr>
            </w:pPr>
            <w:r>
              <w:rPr>
                <w:rFonts w:ascii="Times New Roman" w:hAnsi="Times New Roman"/>
                <w:sz w:val="18"/>
                <w:szCs w:val="18"/>
              </w:rPr>
              <w:t>（2）理解：常数项级数的概念和性质，函数项级数的概念和性质；</w:t>
            </w:r>
          </w:p>
          <w:p>
            <w:pPr>
              <w:adjustRightInd w:val="0"/>
              <w:snapToGrid w:val="0"/>
              <w:spacing w:line="300" w:lineRule="auto"/>
              <w:rPr>
                <w:rFonts w:ascii="Times New Roman" w:hAnsi="Times New Roman"/>
                <w:sz w:val="18"/>
                <w:szCs w:val="18"/>
              </w:rPr>
            </w:pPr>
            <w:r>
              <w:rPr>
                <w:rFonts w:ascii="Times New Roman" w:hAnsi="Times New Roman"/>
                <w:sz w:val="18"/>
                <w:szCs w:val="18"/>
              </w:rPr>
              <w:t>（3）掌握：常数项级数的审敛法，函数项级数的收敛性，函数展开幂级数的方法。</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（1）复习第六章内容；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（2）完成教材第六章作业。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3.教学方法 </w:t>
            </w:r>
          </w:p>
          <w:p>
            <w:pPr>
              <w:adjustRightInd w:val="0"/>
              <w:snapToGrid w:val="0"/>
              <w:spacing w:line="300" w:lineRule="auto"/>
              <w:rPr>
                <w:rFonts w:ascii="Times New Roman" w:hAnsi="Times New Roman"/>
                <w:sz w:val="18"/>
                <w:szCs w:val="18"/>
              </w:rPr>
            </w:pPr>
            <w:r>
              <w:rPr>
                <w:rFonts w:ascii="Times New Roman" w:hAnsi="Times New Roman"/>
                <w:sz w:val="18"/>
                <w:szCs w:val="18"/>
              </w:rPr>
              <w:t>采用讲授式和启发式教学手段，</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7</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7向量与空间解析几何</w:t>
            </w:r>
          </w:p>
          <w:p>
            <w:pPr>
              <w:adjustRightInd w:val="0"/>
              <w:snapToGrid w:val="0"/>
              <w:spacing w:line="300" w:lineRule="auto"/>
              <w:rPr>
                <w:rFonts w:ascii="Times New Roman" w:hAnsi="Times New Roman"/>
                <w:sz w:val="18"/>
                <w:szCs w:val="18"/>
              </w:rPr>
            </w:pPr>
            <w:r>
              <w:rPr>
                <w:rFonts w:ascii="Times New Roman" w:hAnsi="Times New Roman"/>
                <w:sz w:val="18"/>
                <w:szCs w:val="18"/>
              </w:rPr>
              <w:t>7.1向量与空间解析几何的基本知识和计算方法;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7.2空间直角坐标系,空间两点间的距离;</w:t>
            </w:r>
          </w:p>
          <w:p>
            <w:pPr>
              <w:adjustRightInd w:val="0"/>
              <w:snapToGrid w:val="0"/>
              <w:spacing w:line="300" w:lineRule="auto"/>
              <w:rPr>
                <w:rFonts w:ascii="Times New Roman" w:hAnsi="Times New Roman"/>
                <w:sz w:val="18"/>
                <w:szCs w:val="18"/>
              </w:rPr>
            </w:pPr>
            <w:r>
              <w:rPr>
                <w:rFonts w:ascii="Times New Roman" w:hAnsi="Times New Roman"/>
                <w:sz w:val="18"/>
                <w:szCs w:val="18"/>
              </w:rPr>
              <w:t>7.3向量及其线性运算,向量的坐标表示,向量的数量积、向量积;</w:t>
            </w:r>
          </w:p>
          <w:p>
            <w:pPr>
              <w:adjustRightInd w:val="0"/>
              <w:snapToGrid w:val="0"/>
              <w:spacing w:line="300" w:lineRule="auto"/>
              <w:rPr>
                <w:rFonts w:ascii="Times New Roman" w:hAnsi="Times New Roman"/>
                <w:sz w:val="18"/>
                <w:szCs w:val="18"/>
              </w:rPr>
            </w:pPr>
            <w:r>
              <w:rPr>
                <w:rFonts w:ascii="Times New Roman" w:hAnsi="Times New Roman"/>
                <w:sz w:val="18"/>
                <w:szCs w:val="18"/>
              </w:rPr>
              <w:t>7.4曲面方程和曲线方程;</w:t>
            </w:r>
          </w:p>
          <w:p>
            <w:pPr>
              <w:adjustRightInd w:val="0"/>
              <w:snapToGrid w:val="0"/>
              <w:spacing w:line="300" w:lineRule="auto"/>
              <w:rPr>
                <w:rFonts w:ascii="Times New Roman" w:hAnsi="Times New Roman"/>
                <w:sz w:val="18"/>
                <w:szCs w:val="18"/>
              </w:rPr>
            </w:pPr>
            <w:r>
              <w:rPr>
                <w:rFonts w:ascii="Times New Roman" w:hAnsi="Times New Roman"/>
                <w:sz w:val="18"/>
                <w:szCs w:val="18"/>
              </w:rPr>
              <w:t>7.5空间直线的方程,平面及其方程,有关平面与直线的位置关系</w:t>
            </w:r>
          </w:p>
          <w:p>
            <w:pPr>
              <w:adjustRightInd w:val="0"/>
              <w:snapToGrid w:val="0"/>
              <w:spacing w:line="300" w:lineRule="auto"/>
              <w:rPr>
                <w:rFonts w:ascii="Times New Roman" w:hAnsi="Times New Roman"/>
                <w:sz w:val="18"/>
                <w:szCs w:val="18"/>
              </w:rPr>
            </w:pPr>
            <w:r>
              <w:rPr>
                <w:rFonts w:ascii="Times New Roman" w:hAnsi="Times New Roman"/>
                <w:sz w:val="18"/>
                <w:szCs w:val="18"/>
              </w:rPr>
              <w:t>7.6空间曲面与曲线,柱面, 旋转曲面,二次曲面举例;</w:t>
            </w:r>
          </w:p>
          <w:p>
            <w:pPr>
              <w:adjustRightInd w:val="0"/>
              <w:snapToGrid w:val="0"/>
              <w:spacing w:line="300" w:lineRule="auto"/>
              <w:rPr>
                <w:rFonts w:ascii="Times New Roman" w:hAnsi="Times New Roman"/>
                <w:sz w:val="18"/>
                <w:szCs w:val="18"/>
              </w:rPr>
            </w:pPr>
            <w:r>
              <w:rPr>
                <w:rFonts w:ascii="Times New Roman" w:hAnsi="Times New Roman"/>
                <w:sz w:val="18"/>
                <w:szCs w:val="18"/>
              </w:rPr>
              <w:t>7.7空间曲线,空间曲线在坐标平面的投影.</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（1）了解：直线的一般方程，常用二次曲面的方程及其图形，空间曲线在坐标平面上的投影； </w:t>
            </w:r>
          </w:p>
          <w:p>
            <w:pPr>
              <w:adjustRightInd w:val="0"/>
              <w:snapToGrid w:val="0"/>
              <w:spacing w:line="300" w:lineRule="auto"/>
              <w:rPr>
                <w:rFonts w:ascii="Times New Roman" w:hAnsi="Times New Roman"/>
                <w:sz w:val="18"/>
                <w:szCs w:val="18"/>
              </w:rPr>
            </w:pPr>
            <w:r>
              <w:rPr>
                <w:rFonts w:ascii="Times New Roman" w:hAnsi="Times New Roman"/>
                <w:sz w:val="18"/>
                <w:szCs w:val="18"/>
              </w:rPr>
              <w:t>（2）理解：空间直角坐标系，向量的概念，曲面方程和曲线方程；</w:t>
            </w:r>
          </w:p>
          <w:p>
            <w:pPr>
              <w:adjustRightInd w:val="0"/>
              <w:snapToGrid w:val="0"/>
              <w:spacing w:line="300" w:lineRule="auto"/>
              <w:rPr>
                <w:rFonts w:ascii="Times New Roman" w:hAnsi="Times New Roman"/>
                <w:sz w:val="18"/>
                <w:szCs w:val="18"/>
              </w:rPr>
            </w:pPr>
            <w:r>
              <w:rPr>
                <w:rFonts w:ascii="Times New Roman" w:hAnsi="Times New Roman"/>
                <w:sz w:val="18"/>
                <w:szCs w:val="18"/>
              </w:rPr>
              <w:t>（3）掌握：向量的运算,平面方程和直线方程的表示,直线和平面相互的空间位置关系的描述。</w:t>
            </w:r>
          </w:p>
          <w:p>
            <w:pPr>
              <w:adjustRightInd w:val="0"/>
              <w:snapToGrid w:val="0"/>
              <w:spacing w:line="300" w:lineRule="auto"/>
              <w:rPr>
                <w:rFonts w:ascii="Times New Roman" w:hAnsi="Times New Roman"/>
                <w:sz w:val="18"/>
                <w:szCs w:val="18"/>
              </w:rPr>
            </w:pPr>
            <w:r>
              <w:rPr>
                <w:rFonts w:ascii="Times New Roman" w:hAnsi="Times New Roman"/>
                <w:sz w:val="18"/>
                <w:szCs w:val="18"/>
              </w:rPr>
              <w:t>和全响应。</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（1）复习第七章内容；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（2）完成教材第七章作业。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讲授式、讨论式、案例式与启发式相结合。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8 多元函数微分学</w:t>
            </w:r>
          </w:p>
          <w:p>
            <w:pPr>
              <w:adjustRightInd w:val="0"/>
              <w:snapToGrid w:val="0"/>
              <w:spacing w:line="300" w:lineRule="auto"/>
              <w:rPr>
                <w:rFonts w:ascii="Times New Roman" w:hAnsi="Times New Roman"/>
                <w:sz w:val="18"/>
                <w:szCs w:val="18"/>
              </w:rPr>
            </w:pPr>
            <w:r>
              <w:rPr>
                <w:rFonts w:ascii="Times New Roman" w:hAnsi="Times New Roman"/>
                <w:sz w:val="18"/>
                <w:szCs w:val="18"/>
              </w:rPr>
              <w:t>8.1多元函数微分学的基本知识和计算方法;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8.2平面点集,n维空间;</w:t>
            </w:r>
          </w:p>
          <w:p>
            <w:pPr>
              <w:adjustRightInd w:val="0"/>
              <w:snapToGrid w:val="0"/>
              <w:spacing w:line="300" w:lineRule="auto"/>
              <w:rPr>
                <w:rFonts w:ascii="Times New Roman" w:hAnsi="Times New Roman"/>
                <w:sz w:val="18"/>
                <w:szCs w:val="18"/>
              </w:rPr>
            </w:pPr>
            <w:r>
              <w:rPr>
                <w:rFonts w:ascii="Times New Roman" w:hAnsi="Times New Roman"/>
                <w:sz w:val="18"/>
                <w:szCs w:val="18"/>
              </w:rPr>
              <w:t>8.3多元函数定义,多元复合函数及隐函数;</w:t>
            </w:r>
          </w:p>
          <w:p>
            <w:pPr>
              <w:adjustRightInd w:val="0"/>
              <w:snapToGrid w:val="0"/>
              <w:spacing w:line="300" w:lineRule="auto"/>
              <w:rPr>
                <w:rFonts w:ascii="Times New Roman" w:hAnsi="Times New Roman"/>
                <w:sz w:val="18"/>
                <w:szCs w:val="18"/>
              </w:rPr>
            </w:pPr>
            <w:r>
              <w:rPr>
                <w:rFonts w:ascii="Times New Roman" w:hAnsi="Times New Roman"/>
                <w:sz w:val="18"/>
                <w:szCs w:val="18"/>
              </w:rPr>
              <w:t>8.4多元函数的极限与连续性;</w:t>
            </w:r>
          </w:p>
          <w:p>
            <w:pPr>
              <w:adjustRightInd w:val="0"/>
              <w:snapToGrid w:val="0"/>
              <w:spacing w:line="300" w:lineRule="auto"/>
              <w:rPr>
                <w:rFonts w:ascii="Times New Roman" w:hAnsi="Times New Roman"/>
                <w:sz w:val="18"/>
                <w:szCs w:val="18"/>
              </w:rPr>
            </w:pPr>
            <w:r>
              <w:rPr>
                <w:rFonts w:ascii="Times New Roman" w:hAnsi="Times New Roman"/>
                <w:sz w:val="18"/>
                <w:szCs w:val="18"/>
              </w:rPr>
              <w:t>8.5偏导数的定义及其计算法,高阶偏导数,全微分;</w:t>
            </w:r>
          </w:p>
          <w:p>
            <w:pPr>
              <w:adjustRightInd w:val="0"/>
              <w:snapToGrid w:val="0"/>
              <w:spacing w:line="300" w:lineRule="auto"/>
              <w:rPr>
                <w:rFonts w:ascii="Times New Roman" w:hAnsi="Times New Roman"/>
                <w:sz w:val="18"/>
                <w:szCs w:val="18"/>
              </w:rPr>
            </w:pPr>
            <w:r>
              <w:rPr>
                <w:rFonts w:ascii="Times New Roman" w:hAnsi="Times New Roman"/>
                <w:sz w:val="18"/>
                <w:szCs w:val="18"/>
              </w:rPr>
              <w:t>8.6复合函数的微分法,隐函数的导数。</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（1）了解：多元函数的概念，多元函数的极限和连续概念； </w:t>
            </w:r>
          </w:p>
          <w:p>
            <w:pPr>
              <w:adjustRightInd w:val="0"/>
              <w:snapToGrid w:val="0"/>
              <w:spacing w:line="300" w:lineRule="auto"/>
              <w:rPr>
                <w:rFonts w:ascii="Times New Roman" w:hAnsi="Times New Roman"/>
                <w:sz w:val="18"/>
                <w:szCs w:val="18"/>
              </w:rPr>
            </w:pPr>
            <w:r>
              <w:rPr>
                <w:rFonts w:ascii="Times New Roman" w:hAnsi="Times New Roman"/>
                <w:sz w:val="18"/>
                <w:szCs w:val="18"/>
              </w:rPr>
              <w:t>（2）理解：理解多元函数偏导数和全微分的概念；</w:t>
            </w:r>
          </w:p>
          <w:p>
            <w:pPr>
              <w:adjustRightInd w:val="0"/>
              <w:snapToGrid w:val="0"/>
              <w:spacing w:line="300" w:lineRule="auto"/>
              <w:rPr>
                <w:rFonts w:ascii="Times New Roman" w:hAnsi="Times New Roman"/>
                <w:sz w:val="18"/>
                <w:szCs w:val="18"/>
              </w:rPr>
            </w:pPr>
            <w:r>
              <w:rPr>
                <w:rFonts w:ascii="Times New Roman" w:hAnsi="Times New Roman"/>
                <w:sz w:val="18"/>
                <w:szCs w:val="18"/>
              </w:rPr>
              <w:t>（3）掌握：多元函数偏导数和全微分的计算，多元复合函数和隐函数的微分法。</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（1）复习第八章内容；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（2）完成教材第八章作业。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讲授式、讨论式、案例式与启发式相结合。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14</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9</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9多元函数微分学的应用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9.1多元函数微分法的应用；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9.2空间曲线的切线与法平面，空间曲面的切平面与法线；</w:t>
            </w:r>
          </w:p>
          <w:p>
            <w:pPr>
              <w:adjustRightInd w:val="0"/>
              <w:snapToGrid w:val="0"/>
              <w:spacing w:line="300" w:lineRule="auto"/>
              <w:rPr>
                <w:rFonts w:ascii="Times New Roman" w:hAnsi="Times New Roman"/>
                <w:sz w:val="18"/>
                <w:szCs w:val="18"/>
              </w:rPr>
            </w:pPr>
            <w:r>
              <w:rPr>
                <w:rFonts w:ascii="Times New Roman" w:hAnsi="Times New Roman"/>
                <w:sz w:val="18"/>
                <w:szCs w:val="18"/>
              </w:rPr>
              <w:t>9.3方向导数；</w:t>
            </w:r>
          </w:p>
          <w:p>
            <w:pPr>
              <w:adjustRightInd w:val="0"/>
              <w:snapToGrid w:val="0"/>
              <w:spacing w:line="300" w:lineRule="auto"/>
              <w:rPr>
                <w:rFonts w:ascii="Times New Roman" w:hAnsi="Times New Roman"/>
                <w:sz w:val="18"/>
                <w:szCs w:val="18"/>
              </w:rPr>
            </w:pPr>
            <w:r>
              <w:rPr>
                <w:rFonts w:ascii="Times New Roman" w:hAnsi="Times New Roman"/>
                <w:sz w:val="18"/>
                <w:szCs w:val="18"/>
              </w:rPr>
              <w:t>9.4无约束极值，条件极值，拉格朗日乘数法。</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（1）了解：方向导数的概念； </w:t>
            </w:r>
          </w:p>
          <w:p>
            <w:pPr>
              <w:adjustRightInd w:val="0"/>
              <w:snapToGrid w:val="0"/>
              <w:spacing w:line="300" w:lineRule="auto"/>
              <w:rPr>
                <w:rFonts w:ascii="Times New Roman" w:hAnsi="Times New Roman"/>
                <w:sz w:val="18"/>
                <w:szCs w:val="18"/>
              </w:rPr>
            </w:pPr>
            <w:r>
              <w:rPr>
                <w:rFonts w:ascii="Times New Roman" w:hAnsi="Times New Roman"/>
                <w:sz w:val="18"/>
                <w:szCs w:val="18"/>
              </w:rPr>
              <w:t>（2）理解：多元函数极值和条件极值的概念；</w:t>
            </w:r>
          </w:p>
          <w:p>
            <w:pPr>
              <w:adjustRightInd w:val="0"/>
              <w:snapToGrid w:val="0"/>
              <w:spacing w:line="300" w:lineRule="auto"/>
              <w:rPr>
                <w:rFonts w:ascii="Times New Roman" w:hAnsi="Times New Roman"/>
                <w:sz w:val="18"/>
                <w:szCs w:val="18"/>
              </w:rPr>
            </w:pPr>
            <w:r>
              <w:rPr>
                <w:rFonts w:ascii="Times New Roman" w:hAnsi="Times New Roman"/>
                <w:sz w:val="18"/>
                <w:szCs w:val="18"/>
              </w:rPr>
              <w:t>（3）掌握：空间曲线的切线与法平面方程的求法，空间曲面的切平面与法线方程的求法。</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（1）复习第九章内容；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（2）完成教材第九章作业。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2"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10</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10多元函数积分学（I）</w:t>
            </w:r>
          </w:p>
          <w:p>
            <w:pPr>
              <w:adjustRightInd w:val="0"/>
              <w:snapToGrid w:val="0"/>
              <w:spacing w:line="300" w:lineRule="auto"/>
              <w:rPr>
                <w:rFonts w:ascii="Times New Roman" w:hAnsi="Times New Roman"/>
                <w:sz w:val="18"/>
                <w:szCs w:val="18"/>
              </w:rPr>
            </w:pPr>
            <w:r>
              <w:rPr>
                <w:rFonts w:ascii="Times New Roman" w:hAnsi="Times New Roman"/>
                <w:sz w:val="18"/>
                <w:szCs w:val="18"/>
              </w:rPr>
              <w:t>10.1学习多元函数积分学有关二重积分三重积分对弧长的曲线积分和对面积的曲面积分的概念和计算方法；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10.2二重积分的概念，二重积分的性质，直角坐标系下二重积分的计算，二重积分的换元法（利用极坐标计算）；</w:t>
            </w:r>
          </w:p>
          <w:p>
            <w:pPr>
              <w:adjustRightInd w:val="0"/>
              <w:snapToGrid w:val="0"/>
              <w:spacing w:line="300" w:lineRule="auto"/>
              <w:rPr>
                <w:rFonts w:ascii="Times New Roman" w:hAnsi="Times New Roman"/>
                <w:sz w:val="18"/>
                <w:szCs w:val="18"/>
              </w:rPr>
            </w:pPr>
            <w:r>
              <w:rPr>
                <w:rFonts w:ascii="Times New Roman" w:hAnsi="Times New Roman"/>
                <w:sz w:val="18"/>
                <w:szCs w:val="18"/>
              </w:rPr>
              <w:t>10.3三重积分，三重积分的概念，三重积分的计算，三重积分的换元法（利用柱面坐标、利用球面坐标计算）；</w:t>
            </w:r>
          </w:p>
          <w:p>
            <w:pPr>
              <w:adjustRightInd w:val="0"/>
              <w:snapToGrid w:val="0"/>
              <w:spacing w:line="300" w:lineRule="auto"/>
              <w:rPr>
                <w:rFonts w:ascii="Times New Roman" w:hAnsi="Times New Roman"/>
                <w:sz w:val="18"/>
                <w:szCs w:val="18"/>
              </w:rPr>
            </w:pPr>
            <w:r>
              <w:rPr>
                <w:rFonts w:ascii="Times New Roman" w:hAnsi="Times New Roman"/>
                <w:sz w:val="18"/>
                <w:szCs w:val="18"/>
              </w:rPr>
              <w:t>10.4重积分的应用，平面薄片的重心；</w:t>
            </w:r>
          </w:p>
          <w:p>
            <w:pPr>
              <w:adjustRightInd w:val="0"/>
              <w:snapToGrid w:val="0"/>
              <w:spacing w:line="300" w:lineRule="auto"/>
              <w:rPr>
                <w:rFonts w:ascii="Times New Roman" w:hAnsi="Times New Roman"/>
                <w:sz w:val="18"/>
                <w:szCs w:val="18"/>
              </w:rPr>
            </w:pPr>
            <w:r>
              <w:rPr>
                <w:rFonts w:ascii="Times New Roman" w:hAnsi="Times New Roman"/>
                <w:sz w:val="18"/>
                <w:szCs w:val="18"/>
              </w:rPr>
              <w:t>10.5对弧长的曲线积分的概念，对弧长的曲线积分的性质，对弧长的曲线积分的计算；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10.6对面积的曲面积分的概念，对面积的曲面积分的计算。</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（1）了解：二重积分、三重积分、曲线积分和曲面积分的概念； </w:t>
            </w:r>
          </w:p>
          <w:p>
            <w:pPr>
              <w:adjustRightInd w:val="0"/>
              <w:snapToGrid w:val="0"/>
              <w:spacing w:line="300" w:lineRule="auto"/>
              <w:rPr>
                <w:rFonts w:ascii="Times New Roman" w:hAnsi="Times New Roman"/>
                <w:sz w:val="18"/>
                <w:szCs w:val="18"/>
              </w:rPr>
            </w:pPr>
            <w:r>
              <w:rPr>
                <w:rFonts w:ascii="Times New Roman" w:hAnsi="Times New Roman"/>
                <w:sz w:val="18"/>
                <w:szCs w:val="18"/>
              </w:rPr>
              <w:t>（2）理解：各种积分的性质；</w:t>
            </w:r>
          </w:p>
          <w:p>
            <w:pPr>
              <w:adjustRightInd w:val="0"/>
              <w:snapToGrid w:val="0"/>
              <w:spacing w:line="300" w:lineRule="auto"/>
              <w:rPr>
                <w:rFonts w:ascii="Times New Roman" w:hAnsi="Times New Roman"/>
                <w:sz w:val="18"/>
                <w:szCs w:val="18"/>
              </w:rPr>
            </w:pPr>
            <w:r>
              <w:rPr>
                <w:rFonts w:ascii="Times New Roman" w:hAnsi="Times New Roman"/>
                <w:sz w:val="18"/>
                <w:szCs w:val="18"/>
              </w:rPr>
              <w:t>（3）掌握：二重积分、三重积分、曲线积分和曲面积分的计算。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（1）复习第十章内容；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（2）完成教材第十章作业。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讲授式、讨论式、案例式与启发式相结合。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14</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11</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11 多元函数积分学（II）</w:t>
            </w:r>
          </w:p>
          <w:p>
            <w:pPr>
              <w:adjustRightInd w:val="0"/>
              <w:snapToGrid w:val="0"/>
              <w:spacing w:line="300" w:lineRule="auto"/>
              <w:rPr>
                <w:rFonts w:ascii="Times New Roman" w:hAnsi="Times New Roman"/>
                <w:sz w:val="18"/>
                <w:szCs w:val="18"/>
              </w:rPr>
            </w:pPr>
            <w:r>
              <w:rPr>
                <w:rFonts w:ascii="Times New Roman" w:hAnsi="Times New Roman"/>
                <w:sz w:val="18"/>
                <w:szCs w:val="18"/>
              </w:rPr>
              <w:t>11.1多元函数积分学有关对坐标的曲线积分和对坐标的曲面积分的基本知识和计算方法。</w:t>
            </w:r>
          </w:p>
          <w:p>
            <w:pPr>
              <w:adjustRightInd w:val="0"/>
              <w:snapToGrid w:val="0"/>
              <w:spacing w:line="300" w:lineRule="auto"/>
              <w:rPr>
                <w:rFonts w:ascii="Times New Roman" w:hAnsi="Times New Roman"/>
                <w:sz w:val="18"/>
                <w:szCs w:val="18"/>
              </w:rPr>
            </w:pPr>
            <w:r>
              <w:rPr>
                <w:rFonts w:ascii="Times New Roman" w:hAnsi="Times New Roman"/>
                <w:sz w:val="18"/>
                <w:szCs w:val="18"/>
              </w:rPr>
              <w:t>对坐标的曲线积分的定义，对坐标的曲线积分的性质，对坐标的曲线积分的计算；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11.2格林公式，平面上曲线积分与路径无关的条件；</w:t>
            </w:r>
          </w:p>
          <w:p>
            <w:pPr>
              <w:adjustRightInd w:val="0"/>
              <w:snapToGrid w:val="0"/>
              <w:spacing w:line="300" w:lineRule="auto"/>
              <w:rPr>
                <w:rFonts w:ascii="Times New Roman" w:hAnsi="Times New Roman"/>
                <w:sz w:val="18"/>
                <w:szCs w:val="18"/>
              </w:rPr>
            </w:pPr>
            <w:r>
              <w:rPr>
                <w:rFonts w:ascii="Times New Roman" w:hAnsi="Times New Roman"/>
                <w:sz w:val="18"/>
                <w:szCs w:val="18"/>
              </w:rPr>
              <w:t>有向曲面，对面积的曲面积分的概念，对坐标的曲面积分的计算；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11.3高斯公式，两类曲线积分、曲面积分的联系。</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 xml:space="preserve">（1）了解：对坐标的曲线积分和对坐标的曲面积分的定义； </w:t>
            </w:r>
          </w:p>
          <w:p>
            <w:pPr>
              <w:adjustRightInd w:val="0"/>
              <w:snapToGrid w:val="0"/>
              <w:spacing w:line="300" w:lineRule="auto"/>
              <w:rPr>
                <w:rFonts w:ascii="Times New Roman" w:hAnsi="Times New Roman"/>
                <w:sz w:val="18"/>
                <w:szCs w:val="18"/>
              </w:rPr>
            </w:pPr>
            <w:r>
              <w:rPr>
                <w:rFonts w:ascii="Times New Roman" w:hAnsi="Times New Roman"/>
                <w:sz w:val="18"/>
                <w:szCs w:val="18"/>
              </w:rPr>
              <w:t>（2）理解：格林公式，高斯公式；</w:t>
            </w:r>
          </w:p>
          <w:p>
            <w:pPr>
              <w:adjustRightInd w:val="0"/>
              <w:snapToGrid w:val="0"/>
              <w:spacing w:line="300" w:lineRule="auto"/>
              <w:rPr>
                <w:rFonts w:ascii="Times New Roman" w:hAnsi="Times New Roman"/>
                <w:sz w:val="18"/>
                <w:szCs w:val="18"/>
              </w:rPr>
            </w:pPr>
            <w:r>
              <w:rPr>
                <w:rFonts w:ascii="Times New Roman" w:hAnsi="Times New Roman"/>
                <w:sz w:val="18"/>
                <w:szCs w:val="18"/>
              </w:rPr>
              <w:t>（3）掌握：曲线积分和曲面积分的计算。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（1）复习第十一且章内容；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（2）完成教材第十一章作业。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w:t>
            </w:r>
          </w:p>
          <w:p>
            <w:pPr>
              <w:adjustRightInd w:val="0"/>
              <w:snapToGrid w:val="0"/>
              <w:spacing w:line="300" w:lineRule="auto"/>
              <w:rPr>
                <w:rFonts w:ascii="Times New Roman" w:hAnsi="Times New Roman"/>
                <w:sz w:val="18"/>
                <w:szCs w:val="18"/>
              </w:rPr>
            </w:pPr>
            <w:r>
              <w:rPr>
                <w:rFonts w:ascii="Times New Roman" w:hAnsi="Times New Roman"/>
                <w:sz w:val="18"/>
                <w:szCs w:val="18"/>
              </w:rPr>
              <w:t>讲授式、讨论式、案例式与启发式相结合。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85" w:type="dxa"/>
            <w:noWrap/>
            <w:tcMar>
              <w:left w:w="57" w:type="dxa"/>
              <w:right w:w="57" w:type="dxa"/>
            </w:tcMar>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3564"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12常微分方程</w:t>
            </w:r>
          </w:p>
          <w:p>
            <w:pPr>
              <w:adjustRightInd w:val="0"/>
              <w:snapToGrid w:val="0"/>
              <w:spacing w:line="300" w:lineRule="auto"/>
              <w:rPr>
                <w:rFonts w:ascii="Times New Roman" w:hAnsi="Times New Roman"/>
                <w:sz w:val="18"/>
                <w:szCs w:val="18"/>
              </w:rPr>
            </w:pPr>
            <w:r>
              <w:rPr>
                <w:rFonts w:ascii="Times New Roman" w:hAnsi="Times New Roman"/>
                <w:sz w:val="18"/>
                <w:szCs w:val="18"/>
              </w:rPr>
              <w:t>12.1常微分方程的基本知识和常见的常微分方程的解法；</w:t>
            </w:r>
          </w:p>
          <w:p>
            <w:pPr>
              <w:adjustRightInd w:val="0"/>
              <w:snapToGrid w:val="0"/>
              <w:spacing w:line="300" w:lineRule="auto"/>
              <w:rPr>
                <w:rFonts w:ascii="Times New Roman" w:hAnsi="Times New Roman"/>
                <w:sz w:val="18"/>
                <w:szCs w:val="18"/>
              </w:rPr>
            </w:pPr>
            <w:r>
              <w:rPr>
                <w:rFonts w:ascii="Times New Roman" w:hAnsi="Times New Roman"/>
                <w:sz w:val="18"/>
                <w:szCs w:val="18"/>
              </w:rPr>
              <w:t>微分方程,微分方程的解,微分方程的通解；</w:t>
            </w:r>
          </w:p>
          <w:p>
            <w:pPr>
              <w:adjustRightInd w:val="0"/>
              <w:snapToGrid w:val="0"/>
              <w:spacing w:line="300" w:lineRule="auto"/>
              <w:rPr>
                <w:rFonts w:ascii="Times New Roman" w:hAnsi="Times New Roman"/>
                <w:sz w:val="18"/>
                <w:szCs w:val="18"/>
              </w:rPr>
            </w:pPr>
            <w:r>
              <w:rPr>
                <w:rFonts w:ascii="Times New Roman" w:hAnsi="Times New Roman"/>
                <w:sz w:val="18"/>
                <w:szCs w:val="18"/>
              </w:rPr>
              <w:t>12.2可分离变量的微分方程及其求解方法；</w:t>
            </w:r>
          </w:p>
          <w:p>
            <w:pPr>
              <w:adjustRightInd w:val="0"/>
              <w:snapToGrid w:val="0"/>
              <w:spacing w:line="300" w:lineRule="auto"/>
              <w:rPr>
                <w:rFonts w:ascii="Times New Roman" w:hAnsi="Times New Roman"/>
                <w:sz w:val="18"/>
                <w:szCs w:val="18"/>
              </w:rPr>
            </w:pPr>
            <w:r>
              <w:rPr>
                <w:rFonts w:ascii="Times New Roman" w:hAnsi="Times New Roman"/>
                <w:sz w:val="18"/>
                <w:szCs w:val="18"/>
              </w:rPr>
              <w:t>12.3齐次方程,可化为齐次微分方程的微分方程,一阶线性微分方程,伯努利方程,全微分方程；</w:t>
            </w:r>
          </w:p>
          <w:p>
            <w:pPr>
              <w:adjustRightInd w:val="0"/>
              <w:snapToGrid w:val="0"/>
              <w:spacing w:line="300" w:lineRule="auto"/>
              <w:rPr>
                <w:rFonts w:ascii="Times New Roman" w:hAnsi="Times New Roman"/>
                <w:sz w:val="18"/>
                <w:szCs w:val="18"/>
              </w:rPr>
            </w:pPr>
            <w:r>
              <w:rPr>
                <w:rFonts w:ascii="Times New Roman" w:hAnsi="Times New Roman"/>
                <w:sz w:val="18"/>
                <w:szCs w:val="18"/>
              </w:rPr>
              <w:t>12.4微分方程的降阶法,</w:t>
            </w:r>
            <w:r>
              <w:rPr>
                <w:rFonts w:ascii="Times New Roman" w:hAnsi="Times New Roman"/>
                <w:position w:val="-10"/>
                <w:sz w:val="18"/>
                <w:szCs w:val="18"/>
              </w:rPr>
              <w:object>
                <v:shape id="_x0000_i1025" o:spt="75" type="#_x0000_t75" style="height:21.75pt;width:54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r>
              <w:rPr>
                <w:rFonts w:ascii="Times New Roman" w:hAnsi="Times New Roman"/>
                <w:sz w:val="18"/>
                <w:szCs w:val="18"/>
              </w:rPr>
              <w:t>型的微分方程,不显含未知函数的微分方程,不显含自变量的微分方程；线性微分方程解的结构；二阶常系数齐次线性微分方程,二阶常系数非齐次线性微分方程。</w:t>
            </w:r>
          </w:p>
        </w:tc>
        <w:tc>
          <w:tcPr>
            <w:tcW w:w="3857"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（1）了解：微分方程的概念， 齐次方程，线性微分方程解的结构；</w:t>
            </w:r>
          </w:p>
          <w:p>
            <w:pPr>
              <w:adjustRightInd w:val="0"/>
              <w:snapToGrid w:val="0"/>
              <w:spacing w:line="300" w:lineRule="auto"/>
              <w:rPr>
                <w:rFonts w:ascii="Times New Roman" w:hAnsi="Times New Roman"/>
                <w:sz w:val="18"/>
                <w:szCs w:val="18"/>
              </w:rPr>
            </w:pPr>
            <w:r>
              <w:rPr>
                <w:rFonts w:ascii="Times New Roman" w:hAnsi="Times New Roman"/>
                <w:sz w:val="18"/>
                <w:szCs w:val="18"/>
              </w:rPr>
              <w:t>（2）理解：微分方程的解、通解和特解；</w:t>
            </w:r>
          </w:p>
          <w:p>
            <w:pPr>
              <w:adjustRightInd w:val="0"/>
              <w:snapToGrid w:val="0"/>
              <w:spacing w:line="300" w:lineRule="auto"/>
              <w:rPr>
                <w:rFonts w:ascii="Times New Roman" w:hAnsi="Times New Roman"/>
                <w:sz w:val="18"/>
                <w:szCs w:val="18"/>
              </w:rPr>
            </w:pPr>
            <w:r>
              <w:rPr>
                <w:rFonts w:ascii="Times New Roman" w:hAnsi="Times New Roman"/>
                <w:sz w:val="18"/>
                <w:szCs w:val="18"/>
              </w:rPr>
              <w:t>（3）掌握：可分离变量微分方程、一阶线性微分方程、可降阶的微分方程及二阶常系数齐次和非齐次线性微分方程的求解。</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w:t>
            </w:r>
          </w:p>
          <w:p>
            <w:pPr>
              <w:adjustRightInd w:val="0"/>
              <w:snapToGrid w:val="0"/>
              <w:spacing w:line="300" w:lineRule="auto"/>
              <w:rPr>
                <w:rFonts w:ascii="Times New Roman" w:hAnsi="Times New Roman"/>
                <w:sz w:val="18"/>
                <w:szCs w:val="18"/>
              </w:rPr>
            </w:pPr>
            <w:r>
              <w:rPr>
                <w:rFonts w:ascii="Times New Roman" w:hAnsi="Times New Roman"/>
                <w:sz w:val="18"/>
                <w:szCs w:val="18"/>
              </w:rPr>
              <w:t>（1）复习第十二章内容；</w:t>
            </w:r>
          </w:p>
          <w:p>
            <w:pPr>
              <w:adjustRightInd w:val="0"/>
              <w:snapToGrid w:val="0"/>
              <w:spacing w:line="300" w:lineRule="auto"/>
              <w:rPr>
                <w:rFonts w:ascii="Times New Roman" w:hAnsi="Times New Roman"/>
                <w:sz w:val="18"/>
                <w:szCs w:val="18"/>
              </w:rPr>
            </w:pPr>
            <w:r>
              <w:rPr>
                <w:rFonts w:ascii="Times New Roman" w:hAnsi="Times New Roman"/>
                <w:sz w:val="18"/>
                <w:szCs w:val="18"/>
              </w:rPr>
              <w:t>（2）完成教材第十二章作业。</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 讲授式、讨论式、案例式式相结合。</w:t>
            </w:r>
          </w:p>
        </w:tc>
        <w:tc>
          <w:tcPr>
            <w:tcW w:w="443"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12</w:t>
            </w:r>
          </w:p>
        </w:tc>
        <w:tc>
          <w:tcPr>
            <w:tcW w:w="595"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五、课程考核及成绩评定</w:t>
      </w:r>
    </w:p>
    <w:p>
      <w:pPr>
        <w:adjustRightInd w:val="0"/>
        <w:snapToGrid w:val="0"/>
        <w:spacing w:line="300" w:lineRule="auto"/>
        <w:ind w:firstLine="420" w:firstLineChars="200"/>
        <w:rPr>
          <w:rFonts w:ascii="Times New Roman" w:hAnsi="Times New Roman"/>
        </w:rPr>
      </w:pPr>
      <w:r>
        <w:rPr>
          <w:rFonts w:ascii="Times New Roman" w:hAnsi="Times New Roman"/>
        </w:rPr>
        <w:t>1．考核方式：闭卷笔试，平时测验及作业。</w:t>
      </w:r>
    </w:p>
    <w:p>
      <w:pPr>
        <w:adjustRightInd w:val="0"/>
        <w:snapToGrid w:val="0"/>
        <w:spacing w:line="300" w:lineRule="auto"/>
        <w:ind w:firstLine="420" w:firstLineChars="200"/>
        <w:rPr>
          <w:rFonts w:ascii="Times New Roman" w:hAnsi="Times New Roman"/>
        </w:rPr>
      </w:pPr>
      <w:r>
        <w:rPr>
          <w:rFonts w:ascii="Times New Roman" w:hAnsi="Times New Roman"/>
        </w:rPr>
        <w:t>2．成绩构成：笔试成绩70%，平时成绩30%（课后作业、课堂表现、随堂测验、口头报告等）。</w:t>
      </w:r>
    </w:p>
    <w:p>
      <w:pPr>
        <w:adjustRightInd w:val="0"/>
        <w:snapToGrid w:val="0"/>
        <w:spacing w:line="300" w:lineRule="auto"/>
        <w:ind w:firstLine="420" w:firstLineChars="200"/>
        <w:rPr>
          <w:rFonts w:ascii="Times New Roman" w:hAnsi="Times New Roman"/>
        </w:rPr>
      </w:pPr>
      <w:r>
        <w:rPr>
          <w:rFonts w:ascii="Times New Roman" w:hAnsi="Times New Roman"/>
        </w:rPr>
        <w:t>3．考核评价标准见表4所示。</w:t>
      </w:r>
    </w:p>
    <w:p>
      <w:pPr>
        <w:adjustRightInd w:val="0"/>
        <w:snapToGrid w:val="0"/>
        <w:spacing w:before="159" w:beforeLines="50" w:line="300" w:lineRule="auto"/>
        <w:ind w:firstLine="361" w:firstLineChars="200"/>
        <w:jc w:val="center"/>
        <w:rPr>
          <w:rFonts w:ascii="Times New Roman" w:hAnsi="Times New Roman"/>
          <w:b/>
          <w:bCs/>
          <w:sz w:val="18"/>
          <w:szCs w:val="18"/>
        </w:rPr>
      </w:pPr>
      <w:r>
        <w:rPr>
          <w:rFonts w:ascii="Times New Roman" w:hAnsi="Times New Roman"/>
          <w:b/>
          <w:bCs/>
          <w:sz w:val="18"/>
          <w:szCs w:val="18"/>
        </w:rPr>
        <w:t>表4教学目标评价标准</w:t>
      </w:r>
    </w:p>
    <w:tbl>
      <w:tblPr>
        <w:tblStyle w:val="22"/>
        <w:tblW w:w="852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7"/>
        <w:gridCol w:w="657"/>
        <w:gridCol w:w="639"/>
        <w:gridCol w:w="540"/>
        <w:gridCol w:w="3540"/>
        <w:gridCol w:w="92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657"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成绩</w:t>
            </w:r>
          </w:p>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类型</w:t>
            </w:r>
          </w:p>
        </w:tc>
        <w:tc>
          <w:tcPr>
            <w:tcW w:w="657"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分值</w:t>
            </w:r>
          </w:p>
        </w:tc>
        <w:tc>
          <w:tcPr>
            <w:tcW w:w="657"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权重</w:t>
            </w:r>
          </w:p>
        </w:tc>
        <w:tc>
          <w:tcPr>
            <w:tcW w:w="639"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类别</w:t>
            </w:r>
          </w:p>
        </w:tc>
        <w:tc>
          <w:tcPr>
            <w:tcW w:w="540"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权重</w:t>
            </w:r>
          </w:p>
        </w:tc>
        <w:tc>
          <w:tcPr>
            <w:tcW w:w="3540"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考核/评价细则</w:t>
            </w:r>
          </w:p>
        </w:tc>
        <w:tc>
          <w:tcPr>
            <w:tcW w:w="922"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课程目标</w:t>
            </w:r>
          </w:p>
        </w:tc>
        <w:tc>
          <w:tcPr>
            <w:tcW w:w="912"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57" w:type="dxa"/>
            <w:vMerge w:val="restart"/>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平时成绩</w:t>
            </w:r>
          </w:p>
        </w:tc>
        <w:tc>
          <w:tcPr>
            <w:tcW w:w="657" w:type="dxa"/>
            <w:vMerge w:val="restart"/>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100</w:t>
            </w:r>
          </w:p>
        </w:tc>
        <w:tc>
          <w:tcPr>
            <w:tcW w:w="657" w:type="dxa"/>
            <w:vMerge w:val="restart"/>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63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课堂表现</w:t>
            </w:r>
          </w:p>
        </w:tc>
        <w:tc>
          <w:tcPr>
            <w:tcW w:w="540"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c>
          <w:tcPr>
            <w:tcW w:w="3540"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根据学生课堂表现打分，满分100。</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1，2，4</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657" w:type="dxa"/>
            <w:vMerge w:val="continue"/>
            <w:noWrap/>
            <w:vAlign w:val="center"/>
          </w:tcPr>
          <w:p>
            <w:pPr>
              <w:adjustRightInd w:val="0"/>
              <w:snapToGrid w:val="0"/>
              <w:spacing w:line="300" w:lineRule="auto"/>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3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作业</w:t>
            </w:r>
          </w:p>
        </w:tc>
        <w:tc>
          <w:tcPr>
            <w:tcW w:w="540"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3540"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主要考核学生对每章节知识点的理解和掌握程度；每次作业按100分制单独评分，取各次成绩的平均值作为书面作业成绩。</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1，2，3，4</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57" w:type="dxa"/>
            <w:vMerge w:val="continue"/>
            <w:noWrap/>
            <w:vAlign w:val="center"/>
          </w:tcPr>
          <w:p>
            <w:pPr>
              <w:adjustRightInd w:val="0"/>
              <w:snapToGrid w:val="0"/>
              <w:spacing w:line="300" w:lineRule="auto"/>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3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报告</w:t>
            </w:r>
          </w:p>
        </w:tc>
        <w:tc>
          <w:tcPr>
            <w:tcW w:w="540"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3540"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根据报告完成质量，以及报告质量评分，满分100分。</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right"/>
        </w:trPr>
        <w:tc>
          <w:tcPr>
            <w:tcW w:w="657" w:type="dxa"/>
            <w:vMerge w:val="continue"/>
            <w:noWrap/>
            <w:vAlign w:val="center"/>
          </w:tcPr>
          <w:p>
            <w:pPr>
              <w:adjustRightInd w:val="0"/>
              <w:snapToGrid w:val="0"/>
              <w:spacing w:line="300" w:lineRule="auto"/>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3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平时测验</w:t>
            </w:r>
          </w:p>
        </w:tc>
        <w:tc>
          <w:tcPr>
            <w:tcW w:w="540"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540"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做两三次平时测验，每次满分100分。</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right"/>
        </w:trPr>
        <w:tc>
          <w:tcPr>
            <w:tcW w:w="657" w:type="dxa"/>
            <w:vMerge w:val="continue"/>
            <w:noWrap/>
            <w:vAlign w:val="center"/>
          </w:tcPr>
          <w:p>
            <w:pPr>
              <w:adjustRightInd w:val="0"/>
              <w:snapToGrid w:val="0"/>
              <w:spacing w:line="300" w:lineRule="auto"/>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57" w:type="dxa"/>
            <w:vMerge w:val="continue"/>
            <w:noWrap/>
            <w:vAlign w:val="center"/>
          </w:tcPr>
          <w:p>
            <w:pPr>
              <w:adjustRightInd w:val="0"/>
              <w:snapToGrid w:val="0"/>
              <w:spacing w:line="300" w:lineRule="auto"/>
              <w:jc w:val="center"/>
              <w:rPr>
                <w:rFonts w:ascii="Times New Roman" w:hAnsi="Times New Roman"/>
                <w:sz w:val="18"/>
                <w:szCs w:val="18"/>
              </w:rPr>
            </w:pPr>
          </w:p>
        </w:tc>
        <w:tc>
          <w:tcPr>
            <w:tcW w:w="639"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项目研究</w:t>
            </w:r>
          </w:p>
        </w:tc>
        <w:tc>
          <w:tcPr>
            <w:tcW w:w="540"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c>
          <w:tcPr>
            <w:tcW w:w="3540"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以小组为单位选题，并撰写报告，设计PPT，最高分100分。</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right"/>
        </w:trPr>
        <w:tc>
          <w:tcPr>
            <w:tcW w:w="657"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期末考试成绩</w:t>
            </w:r>
          </w:p>
        </w:tc>
        <w:tc>
          <w:tcPr>
            <w:tcW w:w="657"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100</w:t>
            </w:r>
          </w:p>
        </w:tc>
        <w:tc>
          <w:tcPr>
            <w:tcW w:w="657"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0.7</w:t>
            </w:r>
          </w:p>
        </w:tc>
        <w:tc>
          <w:tcPr>
            <w:tcW w:w="639"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闭卷考试</w:t>
            </w:r>
          </w:p>
        </w:tc>
        <w:tc>
          <w:tcPr>
            <w:tcW w:w="540" w:type="dxa"/>
            <w:noWrap/>
            <w:vAlign w:val="center"/>
          </w:tcPr>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w:t>
            </w:r>
          </w:p>
        </w:tc>
        <w:tc>
          <w:tcPr>
            <w:tcW w:w="3540" w:type="dxa"/>
            <w:noWrap/>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(1)卷面成绩100分。卷面成绩按比例计入课程总评成绩。</w:t>
            </w:r>
          </w:p>
          <w:p>
            <w:pPr>
              <w:adjustRightInd w:val="0"/>
              <w:snapToGrid w:val="0"/>
              <w:spacing w:line="300" w:lineRule="auto"/>
              <w:rPr>
                <w:rFonts w:ascii="Times New Roman" w:hAnsi="Times New Roman"/>
                <w:sz w:val="18"/>
                <w:szCs w:val="18"/>
              </w:rPr>
            </w:pPr>
            <w:r>
              <w:rPr>
                <w:rFonts w:ascii="Times New Roman" w:hAnsi="Times New Roman"/>
                <w:sz w:val="18"/>
                <w:szCs w:val="18"/>
              </w:rPr>
              <w:t>(2)考核内容包括： 第1-12章，第16章。</w:t>
            </w:r>
          </w:p>
          <w:p>
            <w:pPr>
              <w:adjustRightInd w:val="0"/>
              <w:snapToGrid w:val="0"/>
              <w:spacing w:line="300" w:lineRule="auto"/>
              <w:rPr>
                <w:rFonts w:ascii="Times New Roman" w:hAnsi="Times New Roman"/>
                <w:sz w:val="18"/>
                <w:szCs w:val="18"/>
              </w:rPr>
            </w:pPr>
            <w:r>
              <w:rPr>
                <w:rFonts w:ascii="Times New Roman" w:hAnsi="Times New Roman"/>
                <w:sz w:val="18"/>
                <w:szCs w:val="18"/>
              </w:rPr>
              <w:t>(3)建议考试题型包括：选择题、填空题、分析判断、综合计算题、证明题等其中某几种题型。</w:t>
            </w:r>
          </w:p>
        </w:tc>
        <w:tc>
          <w:tcPr>
            <w:tcW w:w="92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1，2，3，4</w:t>
            </w:r>
          </w:p>
        </w:tc>
        <w:tc>
          <w:tcPr>
            <w:tcW w:w="912" w:type="dxa"/>
            <w:noWrap/>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1.1，2.1，3.1，4.1</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六、课程教学目标达成情况评价</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w:t>
      </w:r>
      <w:r>
        <w:rPr>
          <w:rFonts w:ascii="Times New Roman" w:hAnsi="Times New Roman"/>
        </w:rPr>
        <w:t>．</w:t>
      </w:r>
      <w:r>
        <w:rPr>
          <w:rFonts w:ascii="Times New Roman" w:hAnsi="Times New Roman"/>
          <w:szCs w:val="21"/>
        </w:rPr>
        <w:t>评价依据和方法</w:t>
      </w:r>
    </w:p>
    <w:p>
      <w:pPr>
        <w:adjustRightInd w:val="0"/>
        <w:snapToGrid w:val="0"/>
        <w:spacing w:line="300" w:lineRule="auto"/>
        <w:ind w:firstLine="420" w:firstLineChars="200"/>
        <w:rPr>
          <w:rFonts w:ascii="Times New Roman" w:hAnsi="Times New Roman"/>
        </w:rPr>
      </w:pPr>
      <w:r>
        <w:rPr>
          <w:rFonts w:ascii="Times New Roman" w:hAnsi="Times New Roman"/>
        </w:rPr>
        <w:t>课程各目标达成情况为该项目学生的平均得分率，其计算公式为：</w:t>
      </w:r>
    </w:p>
    <w:p>
      <w:pPr>
        <w:adjustRightInd w:val="0"/>
        <w:snapToGrid w:val="0"/>
        <w:spacing w:line="300" w:lineRule="auto"/>
        <w:jc w:val="center"/>
        <w:rPr>
          <w:rFonts w:ascii="Times New Roman" w:hAnsi="Times New Roman"/>
        </w:rPr>
      </w:pPr>
      <w:r>
        <w:rPr>
          <w:rFonts w:ascii="Times New Roman" w:hAnsi="Times New Roman"/>
          <w:position w:val="-24"/>
        </w:rPr>
        <w:object>
          <v:shape id="_x0000_i1026" o:spt="75" type="#_x0000_t75" style="height:29.25pt;width:339.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pPr>
        <w:adjustRightInd w:val="0"/>
        <w:snapToGrid w:val="0"/>
        <w:spacing w:line="300" w:lineRule="auto"/>
        <w:ind w:firstLine="420" w:firstLineChars="200"/>
        <w:rPr>
          <w:rFonts w:ascii="Times New Roman" w:hAnsi="Times New Roman"/>
        </w:rPr>
      </w:pPr>
      <w:r>
        <w:rPr>
          <w:rFonts w:ascii="Times New Roman" w:hAnsi="Times New Roman"/>
        </w:rPr>
        <w:t>课程总目标达成情况为4个课程目标的加权得分率，其计算公式为：</w:t>
      </w:r>
    </w:p>
    <w:p>
      <w:pPr>
        <w:adjustRightInd w:val="0"/>
        <w:snapToGrid w:val="0"/>
        <w:spacing w:line="300" w:lineRule="auto"/>
        <w:jc w:val="center"/>
        <w:rPr>
          <w:rFonts w:ascii="Times New Roman" w:hAnsi="Times New Roman"/>
        </w:rPr>
      </w:pPr>
      <w:r>
        <w:rPr>
          <w:rFonts w:ascii="Times New Roman" w:hAnsi="Times New Roman"/>
          <w:position w:val="-14"/>
        </w:rPr>
        <w:object>
          <v:shape id="_x0000_i1027" o:spt="75" type="#_x0000_t75" style="height:19.5pt;width:230.2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pPr>
        <w:adjustRightInd w:val="0"/>
        <w:snapToGrid w:val="0"/>
        <w:spacing w:line="300" w:lineRule="auto"/>
        <w:rPr>
          <w:rFonts w:ascii="Times New Roman" w:hAnsi="Times New Roman"/>
          <w:b/>
          <w:bCs/>
          <w:sz w:val="18"/>
          <w:szCs w:val="18"/>
        </w:rPr>
      </w:pPr>
      <w:r>
        <w:rPr>
          <w:rFonts w:ascii="Times New Roman" w:hAnsi="Times New Roman"/>
        </w:rPr>
        <w:t>其中权重系数按照表5设定。</w:t>
      </w:r>
    </w:p>
    <w:p>
      <w:pPr>
        <w:adjustRightInd w:val="0"/>
        <w:snapToGrid w:val="0"/>
        <w:spacing w:before="159" w:beforeLines="50" w:line="300" w:lineRule="auto"/>
        <w:jc w:val="center"/>
        <w:rPr>
          <w:rFonts w:ascii="Times New Roman" w:hAnsi="Times New Roman"/>
          <w:b/>
          <w:bCs/>
          <w:sz w:val="18"/>
          <w:szCs w:val="18"/>
        </w:rPr>
      </w:pPr>
      <w:r>
        <w:rPr>
          <w:rFonts w:ascii="Times New Roman" w:hAnsi="Times New Roman"/>
          <w:b/>
          <w:bCs/>
          <w:sz w:val="18"/>
          <w:szCs w:val="18"/>
        </w:rPr>
        <w:t>表5课程目标权重系数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7"/>
        <w:gridCol w:w="1584"/>
        <w:gridCol w:w="1875"/>
        <w:gridCol w:w="1858"/>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497"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课程目标</w:t>
            </w:r>
          </w:p>
        </w:tc>
        <w:tc>
          <w:tcPr>
            <w:tcW w:w="1584"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w:t>
            </w:r>
          </w:p>
        </w:tc>
        <w:tc>
          <w:tcPr>
            <w:tcW w:w="1875"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2</w:t>
            </w:r>
          </w:p>
        </w:tc>
        <w:tc>
          <w:tcPr>
            <w:tcW w:w="1858"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3</w:t>
            </w:r>
          </w:p>
        </w:tc>
        <w:tc>
          <w:tcPr>
            <w:tcW w:w="1864"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497" w:type="dxa"/>
            <w:noWrap/>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权重系数</w:t>
            </w:r>
          </w:p>
        </w:tc>
        <w:tc>
          <w:tcPr>
            <w:tcW w:w="1584"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0.5</w:t>
            </w:r>
          </w:p>
        </w:tc>
        <w:tc>
          <w:tcPr>
            <w:tcW w:w="1875"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1858"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c>
          <w:tcPr>
            <w:tcW w:w="1864" w:type="dxa"/>
            <w:noWrap/>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r>
    </w:tbl>
    <w:p>
      <w:pPr>
        <w:adjustRightInd w:val="0"/>
        <w:snapToGrid w:val="0"/>
        <w:spacing w:line="300" w:lineRule="auto"/>
        <w:rPr>
          <w:rFonts w:ascii="Times New Roman" w:hAnsi="Times New Roman"/>
        </w:rPr>
      </w:pPr>
      <w:r>
        <w:rPr>
          <w:rFonts w:ascii="Times New Roman" w:hAnsi="Times New Roman"/>
        </w:rPr>
        <w:t>课程毕业要求指标点达成情况评价：</w:t>
      </w:r>
    </w:p>
    <w:p>
      <w:pPr>
        <w:adjustRightInd w:val="0"/>
        <w:snapToGrid w:val="0"/>
        <w:spacing w:line="300" w:lineRule="auto"/>
        <w:ind w:firstLine="420" w:firstLineChars="200"/>
        <w:rPr>
          <w:rFonts w:ascii="Times New Roman" w:hAnsi="Times New Roman"/>
        </w:rPr>
      </w:pPr>
      <w:r>
        <w:rPr>
          <w:rFonts w:ascii="Times New Roman" w:hAnsi="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rPr>
      </w:pPr>
      <w:r>
        <w:rPr>
          <w:rFonts w:ascii="Times New Roman" w:hAnsi="Times New Roman"/>
          <w:position w:val="-14"/>
        </w:rPr>
        <w:object>
          <v:shape id="_x0000_i1028" o:spt="75" type="#_x0000_t75" style="height:19.5pt;width:252.7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w:t>
      </w:r>
      <w:r>
        <w:rPr>
          <w:rFonts w:ascii="Times New Roman" w:hAnsi="Times New Roman"/>
        </w:rPr>
        <w:t>．</w:t>
      </w:r>
      <w:r>
        <w:rPr>
          <w:rFonts w:ascii="Times New Roman" w:hAnsi="Times New Roman"/>
          <w:szCs w:val="21"/>
        </w:rPr>
        <w:t>课程总结要求</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依据达成情况评价、教师自评、学生评价，以及课程教学情况、考试情况，对课程进行有针对性的总结，每学年撰写试卷分析、课程总结与自我评价表，提出持续改进课程教学的措施。</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七、教材及参考资料</w:t>
      </w:r>
    </w:p>
    <w:p>
      <w:pPr>
        <w:adjustRightInd w:val="0"/>
        <w:snapToGrid w:val="0"/>
        <w:spacing w:line="300" w:lineRule="auto"/>
        <w:ind w:firstLine="420" w:firstLineChars="200"/>
        <w:rPr>
          <w:rFonts w:ascii="Times New Roman" w:hAnsi="Times New Roman"/>
        </w:rPr>
      </w:pPr>
      <w:r>
        <w:rPr>
          <w:rFonts w:ascii="Times New Roman" w:hAnsi="Times New Roman"/>
        </w:rPr>
        <w:t>1．教材</w:t>
      </w:r>
    </w:p>
    <w:p>
      <w:pPr>
        <w:adjustRightInd w:val="0"/>
        <w:snapToGrid w:val="0"/>
        <w:spacing w:line="300" w:lineRule="auto"/>
        <w:rPr>
          <w:rFonts w:ascii="Times New Roman" w:hAnsi="Times New Roman"/>
          <w:szCs w:val="21"/>
        </w:rPr>
      </w:pPr>
      <w:r>
        <w:rPr>
          <w:rFonts w:ascii="Times New Roman" w:hAnsi="Times New Roman"/>
          <w:szCs w:val="21"/>
        </w:rPr>
        <w:t xml:space="preserve">    [1] 高等数学上下册.黄立宏主编[M].复旦大学出版社2017。</w:t>
      </w:r>
    </w:p>
    <w:p>
      <w:pPr>
        <w:adjustRightInd w:val="0"/>
        <w:snapToGrid w:val="0"/>
        <w:spacing w:line="300" w:lineRule="auto"/>
        <w:ind w:firstLine="420" w:firstLineChars="200"/>
        <w:rPr>
          <w:rFonts w:ascii="Times New Roman" w:hAnsi="Times New Roman"/>
        </w:rPr>
      </w:pPr>
      <w:r>
        <w:rPr>
          <w:rFonts w:ascii="Times New Roman" w:hAnsi="Times New Roman"/>
        </w:rPr>
        <w:t>2．参考资料</w:t>
      </w:r>
    </w:p>
    <w:p>
      <w:pPr>
        <w:adjustRightInd w:val="0"/>
        <w:snapToGrid w:val="0"/>
        <w:spacing w:line="300" w:lineRule="auto"/>
        <w:ind w:firstLine="420" w:firstLineChars="200"/>
        <w:jc w:val="left"/>
        <w:rPr>
          <w:rFonts w:ascii="Times New Roman" w:hAnsi="Times New Roman"/>
          <w:kern w:val="0"/>
          <w:szCs w:val="21"/>
        </w:rPr>
      </w:pPr>
      <w:r>
        <w:rPr>
          <w:rFonts w:ascii="Times New Roman" w:hAnsi="Times New Roman"/>
          <w:kern w:val="0"/>
          <w:szCs w:val="21"/>
        </w:rPr>
        <w:t>[1] 高等数学 (第五版) [M].同济大学应用数学系主编，高等教育出版社2016；</w:t>
      </w:r>
    </w:p>
    <w:p>
      <w:pPr>
        <w:adjustRightInd w:val="0"/>
        <w:snapToGrid w:val="0"/>
        <w:spacing w:line="300" w:lineRule="auto"/>
        <w:ind w:firstLine="420" w:firstLineChars="200"/>
        <w:jc w:val="left"/>
        <w:rPr>
          <w:rFonts w:ascii="Times New Roman" w:hAnsi="Times New Roman"/>
          <w:kern w:val="0"/>
          <w:szCs w:val="21"/>
        </w:rPr>
      </w:pPr>
      <w:r>
        <w:rPr>
          <w:rFonts w:ascii="Times New Roman" w:hAnsi="Times New Roman"/>
          <w:kern w:val="0"/>
          <w:szCs w:val="21"/>
        </w:rPr>
        <w:t>[2] 高等数学解题方法与同步训练 [M].同济大学出版社2015；</w:t>
      </w:r>
    </w:p>
    <w:p>
      <w:pPr>
        <w:adjustRightInd w:val="0"/>
        <w:snapToGrid w:val="0"/>
        <w:spacing w:line="300" w:lineRule="auto"/>
        <w:ind w:firstLine="420" w:firstLineChars="200"/>
        <w:jc w:val="left"/>
        <w:rPr>
          <w:rFonts w:ascii="Times New Roman" w:hAnsi="Times New Roman"/>
          <w:kern w:val="0"/>
          <w:szCs w:val="21"/>
        </w:rPr>
      </w:pPr>
      <w:r>
        <w:rPr>
          <w:rFonts w:ascii="Times New Roman" w:hAnsi="Times New Roman"/>
          <w:kern w:val="0"/>
          <w:szCs w:val="21"/>
        </w:rPr>
        <w:t>[3] 高等数学习题全解[M]大连理工大学出版社2014。</w:t>
      </w:r>
    </w:p>
    <w:tbl>
      <w:tblPr>
        <w:tblStyle w:val="40"/>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szCs w:val="21"/>
              </w:rPr>
            </w:pPr>
            <w:r>
              <w:rPr>
                <w:rFonts w:ascii="Times New Roman" w:hAnsi="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szCs w:val="21"/>
              </w:rPr>
            </w:pPr>
            <w:r>
              <w:rPr>
                <w:rFonts w:ascii="Times New Roman" w:hAnsi="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szCs w:val="21"/>
              </w:rPr>
            </w:pPr>
            <w:r>
              <w:rPr>
                <w:rFonts w:ascii="Times New Roman" w:hAnsi="Times New Roman"/>
                <w:szCs w:val="21"/>
              </w:rPr>
              <w:t>日 期：202</w:t>
            </w:r>
            <w:r>
              <w:rPr>
                <w:rFonts w:hint="eastAsia" w:ascii="Times New Roman" w:hAnsi="Times New Roman"/>
                <w:szCs w:val="21"/>
              </w:rPr>
              <w:t>2</w:t>
            </w:r>
            <w:r>
              <w:rPr>
                <w:rFonts w:ascii="Times New Roman" w:hAnsi="Times New Roman"/>
                <w:szCs w:val="21"/>
              </w:rPr>
              <w:t>.0</w:t>
            </w:r>
            <w:r>
              <w:rPr>
                <w:rFonts w:hint="eastAsia" w:ascii="Times New Roman" w:hAnsi="Times New Roman"/>
                <w:szCs w:val="21"/>
              </w:rPr>
              <w:t>4</w:t>
            </w:r>
            <w:r>
              <w:rPr>
                <w:rFonts w:ascii="Times New Roman" w:hAnsi="Times New Roman"/>
                <w:szCs w:val="21"/>
              </w:rPr>
              <w:t>.2</w:t>
            </w:r>
            <w:r>
              <w:rPr>
                <w:rFonts w:hint="eastAsia" w:ascii="Times New Roman" w:hAnsi="Times New Roman"/>
                <w:szCs w:val="21"/>
              </w:rPr>
              <w:t>0</w:t>
            </w:r>
          </w:p>
          <w:p>
            <w:pPr>
              <w:snapToGrid w:val="0"/>
              <w:spacing w:line="300" w:lineRule="auto"/>
              <w:ind w:right="200"/>
              <w:jc w:val="right"/>
              <w:rPr>
                <w:rFonts w:ascii="Times New Roman" w:hAnsi="Times New Roman"/>
                <w:szCs w:val="21"/>
              </w:rPr>
            </w:pPr>
          </w:p>
        </w:tc>
      </w:tr>
    </w:tbl>
    <w:p>
      <w:pPr>
        <w:rPr>
          <w:rFonts w:ascii="Times New Roman" w:hAnsi="Times New Roman"/>
        </w:rPr>
      </w:pPr>
    </w:p>
    <w:p>
      <w:pPr>
        <w:widowControl/>
        <w:jc w:val="left"/>
        <w:rPr>
          <w:rFonts w:ascii="Times New Roman" w:hAnsi="Times New Roman"/>
          <w:b/>
          <w:sz w:val="32"/>
        </w:rPr>
      </w:pPr>
      <w:r>
        <w:rPr>
          <w:rFonts w:ascii="Times New Roman" w:hAnsi="Times New Roman"/>
          <w:b/>
          <w:sz w:val="32"/>
        </w:rPr>
        <w:br w:type="page"/>
      </w:r>
    </w:p>
    <w:p>
      <w:pPr>
        <w:pStyle w:val="3"/>
        <w:jc w:val="center"/>
      </w:pPr>
      <w:bookmarkStart w:id="8" w:name="_Toc28442"/>
      <w:bookmarkStart w:id="9" w:name="_Toc8358"/>
      <w:bookmarkStart w:id="10" w:name="_Toc15765"/>
      <w:bookmarkStart w:id="11" w:name="_Toc11520"/>
      <w:r>
        <w:t>33410301x1《工程数学Ⅰ》课程教学大纲</w:t>
      </w:r>
      <w:bookmarkEnd w:id="8"/>
      <w:bookmarkEnd w:id="9"/>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eastAsia="等线"/>
                <w:kern w:val="0"/>
                <w:sz w:val="20"/>
                <w:szCs w:val="21"/>
              </w:rPr>
            </w:pPr>
            <w:r>
              <w:rPr>
                <w:rFonts w:eastAsia="等线"/>
                <w:kern w:val="0"/>
                <w:sz w:val="20"/>
                <w:szCs w:val="21"/>
              </w:rPr>
              <w:t>课程编号</w:t>
            </w:r>
          </w:p>
        </w:tc>
        <w:tc>
          <w:tcPr>
            <w:tcW w:w="3441" w:type="dxa"/>
            <w:vAlign w:val="center"/>
          </w:tcPr>
          <w:p>
            <w:pPr>
              <w:jc w:val="center"/>
              <w:rPr>
                <w:rFonts w:eastAsia="等线"/>
                <w:kern w:val="0"/>
                <w:sz w:val="20"/>
                <w:szCs w:val="21"/>
              </w:rPr>
            </w:pPr>
            <w:r>
              <w:rPr>
                <w:rFonts w:eastAsia="等线"/>
                <w:kern w:val="0"/>
                <w:sz w:val="20"/>
                <w:szCs w:val="21"/>
              </w:rPr>
              <w:t>33410301</w:t>
            </w:r>
            <w:r>
              <w:rPr>
                <w:rFonts w:eastAsia="等线"/>
                <w:kern w:val="0"/>
                <w:sz w:val="20"/>
                <w:szCs w:val="20"/>
              </w:rPr>
              <w:t>x1</w:t>
            </w:r>
          </w:p>
        </w:tc>
        <w:tc>
          <w:tcPr>
            <w:tcW w:w="1198" w:type="dxa"/>
            <w:vAlign w:val="center"/>
          </w:tcPr>
          <w:p>
            <w:pPr>
              <w:jc w:val="center"/>
              <w:rPr>
                <w:rFonts w:eastAsia="等线"/>
                <w:kern w:val="0"/>
                <w:sz w:val="20"/>
                <w:szCs w:val="21"/>
              </w:rPr>
            </w:pPr>
            <w:r>
              <w:rPr>
                <w:rFonts w:eastAsia="等线"/>
                <w:kern w:val="0"/>
                <w:sz w:val="20"/>
                <w:szCs w:val="21"/>
              </w:rPr>
              <w:t>课程名称</w:t>
            </w:r>
          </w:p>
        </w:tc>
        <w:tc>
          <w:tcPr>
            <w:tcW w:w="2695" w:type="dxa"/>
            <w:vAlign w:val="center"/>
          </w:tcPr>
          <w:p>
            <w:pPr>
              <w:jc w:val="center"/>
              <w:rPr>
                <w:rFonts w:eastAsia="等线"/>
                <w:kern w:val="0"/>
                <w:sz w:val="20"/>
                <w:szCs w:val="21"/>
              </w:rPr>
            </w:pPr>
            <w:r>
              <w:rPr>
                <w:rFonts w:eastAsia="等线"/>
                <w:kern w:val="0"/>
                <w:sz w:val="20"/>
                <w:szCs w:val="21"/>
              </w:rPr>
              <w:t>工程数学Ⅰ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eastAsia="等线"/>
                <w:kern w:val="0"/>
                <w:sz w:val="20"/>
                <w:szCs w:val="21"/>
              </w:rPr>
            </w:pPr>
            <w:r>
              <w:rPr>
                <w:rFonts w:eastAsia="等线"/>
                <w:kern w:val="0"/>
                <w:sz w:val="20"/>
                <w:szCs w:val="21"/>
              </w:rPr>
              <w:t>课程性质*</w:t>
            </w:r>
          </w:p>
        </w:tc>
        <w:tc>
          <w:tcPr>
            <w:tcW w:w="3441" w:type="dxa"/>
            <w:vAlign w:val="center"/>
          </w:tcPr>
          <w:p>
            <w:pPr>
              <w:jc w:val="center"/>
              <w:rPr>
                <w:rFonts w:eastAsia="等线"/>
                <w:kern w:val="0"/>
                <w:sz w:val="20"/>
                <w:szCs w:val="21"/>
              </w:rPr>
            </w:pPr>
            <w:r>
              <w:rPr>
                <w:rFonts w:eastAsia="等线"/>
                <w:kern w:val="0"/>
                <w:sz w:val="20"/>
                <w:szCs w:val="21"/>
              </w:rPr>
              <w:t>数学与自然科学类课程</w:t>
            </w:r>
          </w:p>
        </w:tc>
        <w:tc>
          <w:tcPr>
            <w:tcW w:w="1198" w:type="dxa"/>
            <w:vAlign w:val="center"/>
          </w:tcPr>
          <w:p>
            <w:pPr>
              <w:jc w:val="center"/>
              <w:rPr>
                <w:rFonts w:eastAsia="等线"/>
                <w:kern w:val="0"/>
                <w:sz w:val="20"/>
                <w:szCs w:val="21"/>
              </w:rPr>
            </w:pPr>
            <w:r>
              <w:rPr>
                <w:rFonts w:eastAsia="等线"/>
                <w:kern w:val="0"/>
                <w:sz w:val="20"/>
                <w:szCs w:val="21"/>
              </w:rPr>
              <w:t>英文名称</w:t>
            </w:r>
          </w:p>
        </w:tc>
        <w:tc>
          <w:tcPr>
            <w:tcW w:w="2695" w:type="dxa"/>
            <w:vAlign w:val="center"/>
          </w:tcPr>
          <w:p>
            <w:pPr>
              <w:jc w:val="center"/>
              <w:rPr>
                <w:rFonts w:eastAsia="等线"/>
                <w:kern w:val="0"/>
                <w:sz w:val="20"/>
                <w:szCs w:val="21"/>
              </w:rPr>
            </w:pPr>
            <w:r>
              <w:rPr>
                <w:rFonts w:eastAsia="等线"/>
                <w:kern w:val="0"/>
                <w:sz w:val="20"/>
                <w:szCs w:val="21"/>
              </w:rPr>
              <w:t>Engineering Mathematics 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eastAsia="等线"/>
                <w:kern w:val="0"/>
                <w:sz w:val="20"/>
                <w:szCs w:val="21"/>
              </w:rPr>
            </w:pPr>
            <w:r>
              <w:rPr>
                <w:rFonts w:eastAsia="等线"/>
                <w:kern w:val="0"/>
                <w:sz w:val="20"/>
                <w:szCs w:val="21"/>
              </w:rPr>
              <w:t>学分学时</w:t>
            </w:r>
          </w:p>
        </w:tc>
        <w:tc>
          <w:tcPr>
            <w:tcW w:w="3441" w:type="dxa"/>
            <w:vAlign w:val="center"/>
          </w:tcPr>
          <w:p>
            <w:pPr>
              <w:jc w:val="center"/>
              <w:rPr>
                <w:rFonts w:eastAsia="等线"/>
                <w:kern w:val="0"/>
                <w:sz w:val="20"/>
                <w:szCs w:val="21"/>
              </w:rPr>
            </w:pPr>
            <w:r>
              <w:rPr>
                <w:rFonts w:eastAsia="等线"/>
                <w:kern w:val="0"/>
                <w:sz w:val="20"/>
                <w:szCs w:val="21"/>
              </w:rPr>
              <w:t>2 : 32（0）</w:t>
            </w:r>
          </w:p>
        </w:tc>
        <w:tc>
          <w:tcPr>
            <w:tcW w:w="1198" w:type="dxa"/>
            <w:vAlign w:val="center"/>
          </w:tcPr>
          <w:p>
            <w:pPr>
              <w:jc w:val="center"/>
              <w:rPr>
                <w:rFonts w:eastAsia="等线"/>
                <w:kern w:val="0"/>
                <w:sz w:val="20"/>
                <w:szCs w:val="21"/>
                <w:highlight w:val="yellow"/>
              </w:rPr>
            </w:pPr>
            <w:r>
              <w:rPr>
                <w:rFonts w:eastAsia="等线"/>
                <w:kern w:val="0"/>
                <w:sz w:val="20"/>
                <w:szCs w:val="21"/>
              </w:rPr>
              <w:t>任课教师</w:t>
            </w:r>
          </w:p>
        </w:tc>
        <w:tc>
          <w:tcPr>
            <w:tcW w:w="2695" w:type="dxa"/>
            <w:vAlign w:val="center"/>
          </w:tcPr>
          <w:p>
            <w:pPr>
              <w:jc w:val="center"/>
              <w:rPr>
                <w:rFonts w:eastAsia="等线"/>
                <w:kern w:val="0"/>
                <w:sz w:val="20"/>
                <w:szCs w:val="21"/>
                <w:highlight w:val="yellow"/>
              </w:rPr>
            </w:pPr>
            <w:r>
              <w:rPr>
                <w:rFonts w:eastAsia="等线"/>
                <w:kern w:val="0"/>
                <w:sz w:val="20"/>
                <w:szCs w:val="21"/>
              </w:rPr>
              <w:t>李颖、郭磊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eastAsia="等线"/>
                <w:kern w:val="0"/>
                <w:sz w:val="20"/>
                <w:szCs w:val="21"/>
              </w:rPr>
            </w:pPr>
            <w:r>
              <w:rPr>
                <w:rFonts w:eastAsia="等线"/>
                <w:kern w:val="0"/>
                <w:sz w:val="20"/>
                <w:szCs w:val="21"/>
              </w:rPr>
              <w:t>企业专家</w:t>
            </w:r>
          </w:p>
        </w:tc>
        <w:tc>
          <w:tcPr>
            <w:tcW w:w="3441" w:type="dxa"/>
            <w:vAlign w:val="center"/>
          </w:tcPr>
          <w:p>
            <w:pPr>
              <w:widowControl/>
              <w:jc w:val="center"/>
              <w:rPr>
                <w:rFonts w:eastAsia="等线"/>
                <w:kern w:val="0"/>
                <w:sz w:val="20"/>
                <w:szCs w:val="21"/>
              </w:rPr>
            </w:pPr>
            <w:r>
              <w:rPr>
                <w:rFonts w:eastAsia="等线"/>
                <w:kern w:val="0"/>
                <w:sz w:val="20"/>
                <w:szCs w:val="21"/>
              </w:rPr>
              <w:t>曾耿滨</w:t>
            </w:r>
          </w:p>
        </w:tc>
        <w:tc>
          <w:tcPr>
            <w:tcW w:w="1198" w:type="dxa"/>
            <w:vAlign w:val="center"/>
          </w:tcPr>
          <w:p>
            <w:pPr>
              <w:jc w:val="center"/>
              <w:rPr>
                <w:rFonts w:eastAsia="等线"/>
                <w:kern w:val="0"/>
                <w:sz w:val="20"/>
                <w:szCs w:val="21"/>
              </w:rPr>
            </w:pPr>
            <w:r>
              <w:rPr>
                <w:rFonts w:eastAsia="等线"/>
                <w:kern w:val="0"/>
                <w:sz w:val="20"/>
                <w:szCs w:val="21"/>
              </w:rPr>
              <w:t>行业专家</w:t>
            </w:r>
          </w:p>
        </w:tc>
        <w:tc>
          <w:tcPr>
            <w:tcW w:w="2695" w:type="dxa"/>
            <w:vAlign w:val="center"/>
          </w:tcPr>
          <w:p>
            <w:pPr>
              <w:widowControl/>
              <w:jc w:val="center"/>
              <w:rPr>
                <w:rFonts w:eastAsia="等线"/>
                <w:kern w:val="0"/>
                <w:sz w:val="20"/>
                <w:szCs w:val="21"/>
              </w:rPr>
            </w:pPr>
            <w:r>
              <w:rPr>
                <w:rFonts w:eastAsia="等线"/>
                <w:kern w:val="0"/>
                <w:sz w:val="2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eastAsia="等线"/>
                <w:kern w:val="0"/>
                <w:sz w:val="20"/>
                <w:szCs w:val="21"/>
              </w:rPr>
            </w:pPr>
            <w:r>
              <w:rPr>
                <w:rFonts w:eastAsia="等线"/>
                <w:kern w:val="0"/>
                <w:sz w:val="20"/>
                <w:szCs w:val="21"/>
              </w:rPr>
              <w:t>执笔教师</w:t>
            </w:r>
          </w:p>
        </w:tc>
        <w:tc>
          <w:tcPr>
            <w:tcW w:w="3441" w:type="dxa"/>
            <w:vAlign w:val="center"/>
          </w:tcPr>
          <w:p>
            <w:pPr>
              <w:widowControl/>
              <w:jc w:val="center"/>
              <w:rPr>
                <w:rFonts w:eastAsia="等线"/>
                <w:kern w:val="0"/>
                <w:sz w:val="20"/>
                <w:szCs w:val="21"/>
              </w:rPr>
            </w:pPr>
            <w:r>
              <w:rPr>
                <w:rFonts w:eastAsia="等线"/>
                <w:kern w:val="0"/>
                <w:sz w:val="20"/>
                <w:szCs w:val="21"/>
              </w:rPr>
              <w:t>李颖</w:t>
            </w:r>
          </w:p>
        </w:tc>
        <w:tc>
          <w:tcPr>
            <w:tcW w:w="1198" w:type="dxa"/>
            <w:vAlign w:val="center"/>
          </w:tcPr>
          <w:p>
            <w:pPr>
              <w:widowControl/>
              <w:jc w:val="center"/>
              <w:rPr>
                <w:rFonts w:eastAsia="等线"/>
                <w:kern w:val="0"/>
                <w:sz w:val="20"/>
                <w:szCs w:val="21"/>
              </w:rPr>
            </w:pPr>
            <w:r>
              <w:rPr>
                <w:rFonts w:eastAsia="等线"/>
                <w:kern w:val="0"/>
                <w:sz w:val="20"/>
                <w:szCs w:val="21"/>
              </w:rPr>
              <w:t>责任教授</w:t>
            </w:r>
          </w:p>
        </w:tc>
        <w:tc>
          <w:tcPr>
            <w:tcW w:w="2695" w:type="dxa"/>
            <w:vAlign w:val="center"/>
          </w:tcPr>
          <w:p>
            <w:pPr>
              <w:widowControl/>
              <w:jc w:val="center"/>
              <w:rPr>
                <w:rFonts w:eastAsia="等线"/>
                <w:kern w:val="0"/>
                <w:sz w:val="20"/>
                <w:szCs w:val="21"/>
              </w:rPr>
            </w:pPr>
            <w:r>
              <w:rPr>
                <w:rFonts w:eastAsia="等线"/>
                <w:kern w:val="0"/>
                <w:sz w:val="2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eastAsia="等线"/>
                <w:kern w:val="0"/>
                <w:sz w:val="20"/>
                <w:szCs w:val="21"/>
              </w:rPr>
            </w:pPr>
            <w:r>
              <w:rPr>
                <w:rFonts w:eastAsia="等线"/>
                <w:kern w:val="0"/>
                <w:sz w:val="20"/>
                <w:szCs w:val="21"/>
              </w:rPr>
              <w:t>适用专业</w:t>
            </w:r>
          </w:p>
        </w:tc>
        <w:tc>
          <w:tcPr>
            <w:tcW w:w="3441" w:type="dxa"/>
            <w:vAlign w:val="center"/>
          </w:tcPr>
          <w:p>
            <w:pPr>
              <w:widowControl/>
              <w:jc w:val="center"/>
              <w:rPr>
                <w:rFonts w:eastAsia="等线"/>
                <w:kern w:val="0"/>
                <w:sz w:val="20"/>
                <w:szCs w:val="21"/>
              </w:rPr>
            </w:pPr>
            <w:r>
              <w:rPr>
                <w:rFonts w:eastAsia="等线"/>
                <w:kern w:val="0"/>
                <w:sz w:val="20"/>
                <w:szCs w:val="21"/>
              </w:rPr>
              <w:t>电子信息工程</w:t>
            </w:r>
          </w:p>
        </w:tc>
        <w:tc>
          <w:tcPr>
            <w:tcW w:w="1198" w:type="dxa"/>
            <w:vAlign w:val="center"/>
          </w:tcPr>
          <w:p>
            <w:pPr>
              <w:widowControl/>
              <w:jc w:val="center"/>
              <w:rPr>
                <w:rFonts w:eastAsia="等线"/>
                <w:kern w:val="0"/>
                <w:sz w:val="20"/>
                <w:szCs w:val="21"/>
              </w:rPr>
            </w:pPr>
            <w:r>
              <w:rPr>
                <w:rFonts w:eastAsia="等线"/>
                <w:kern w:val="0"/>
                <w:sz w:val="20"/>
                <w:szCs w:val="21"/>
              </w:rPr>
              <w:t>适用对象</w:t>
            </w:r>
          </w:p>
        </w:tc>
        <w:tc>
          <w:tcPr>
            <w:tcW w:w="2695" w:type="dxa"/>
            <w:vAlign w:val="center"/>
          </w:tcPr>
          <w:p>
            <w:pPr>
              <w:widowControl/>
              <w:jc w:val="center"/>
              <w:rPr>
                <w:rFonts w:eastAsia="等线"/>
                <w:kern w:val="0"/>
                <w:sz w:val="20"/>
                <w:szCs w:val="21"/>
              </w:rPr>
            </w:pPr>
            <w:r>
              <w:rPr>
                <w:rFonts w:eastAsia="等线"/>
                <w:kern w:val="0"/>
                <w:sz w:val="2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rFonts w:eastAsia="等线"/>
                <w:kern w:val="0"/>
                <w:sz w:val="20"/>
                <w:szCs w:val="21"/>
              </w:rPr>
            </w:pPr>
            <w:r>
              <w:rPr>
                <w:rFonts w:eastAsia="等线"/>
                <w:kern w:val="0"/>
                <w:sz w:val="20"/>
                <w:szCs w:val="21"/>
              </w:rPr>
              <w:t>先修课程</w:t>
            </w:r>
          </w:p>
        </w:tc>
        <w:tc>
          <w:tcPr>
            <w:tcW w:w="3441" w:type="dxa"/>
            <w:vAlign w:val="center"/>
          </w:tcPr>
          <w:p>
            <w:pPr>
              <w:widowControl/>
              <w:jc w:val="center"/>
              <w:rPr>
                <w:rFonts w:eastAsia="等线"/>
                <w:kern w:val="0"/>
                <w:sz w:val="20"/>
                <w:szCs w:val="21"/>
              </w:rPr>
            </w:pPr>
            <w:r>
              <w:rPr>
                <w:rFonts w:eastAsia="等线"/>
                <w:kern w:val="0"/>
                <w:sz w:val="20"/>
                <w:szCs w:val="21"/>
              </w:rPr>
              <w:t>无</w:t>
            </w:r>
          </w:p>
        </w:tc>
        <w:tc>
          <w:tcPr>
            <w:tcW w:w="1198" w:type="dxa"/>
            <w:vAlign w:val="center"/>
          </w:tcPr>
          <w:p>
            <w:pPr>
              <w:jc w:val="center"/>
              <w:rPr>
                <w:rFonts w:eastAsia="等线"/>
                <w:kern w:val="0"/>
                <w:sz w:val="20"/>
                <w:szCs w:val="21"/>
              </w:rPr>
            </w:pPr>
            <w:r>
              <w:rPr>
                <w:rFonts w:eastAsia="等线"/>
                <w:kern w:val="0"/>
                <w:sz w:val="20"/>
                <w:szCs w:val="21"/>
              </w:rPr>
              <w:t>同修课程</w:t>
            </w:r>
          </w:p>
        </w:tc>
        <w:tc>
          <w:tcPr>
            <w:tcW w:w="2695" w:type="dxa"/>
            <w:vAlign w:val="center"/>
          </w:tcPr>
          <w:p>
            <w:pPr>
              <w:widowControl/>
              <w:jc w:val="center"/>
              <w:rPr>
                <w:rFonts w:eastAsia="等线"/>
                <w:kern w:val="0"/>
                <w:sz w:val="20"/>
                <w:szCs w:val="21"/>
              </w:rPr>
            </w:pPr>
            <w:r>
              <w:rPr>
                <w:rFonts w:eastAsia="等线"/>
                <w:kern w:val="0"/>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rFonts w:eastAsia="等线"/>
                <w:kern w:val="0"/>
                <w:sz w:val="20"/>
                <w:szCs w:val="21"/>
              </w:rPr>
            </w:pPr>
            <w:r>
              <w:rPr>
                <w:rFonts w:eastAsia="等线"/>
                <w:kern w:val="0"/>
                <w:sz w:val="20"/>
                <w:szCs w:val="21"/>
              </w:rPr>
              <w:t>排斥课程</w:t>
            </w:r>
          </w:p>
        </w:tc>
        <w:tc>
          <w:tcPr>
            <w:tcW w:w="3441" w:type="dxa"/>
            <w:vAlign w:val="center"/>
          </w:tcPr>
          <w:p>
            <w:pPr>
              <w:widowControl/>
              <w:jc w:val="center"/>
              <w:rPr>
                <w:rFonts w:eastAsia="等线"/>
                <w:kern w:val="0"/>
                <w:sz w:val="20"/>
                <w:szCs w:val="21"/>
              </w:rPr>
            </w:pPr>
            <w:r>
              <w:rPr>
                <w:rFonts w:eastAsia="等线"/>
                <w:kern w:val="0"/>
                <w:sz w:val="20"/>
                <w:szCs w:val="21"/>
              </w:rPr>
              <w:t>无</w:t>
            </w:r>
          </w:p>
        </w:tc>
        <w:tc>
          <w:tcPr>
            <w:tcW w:w="1198" w:type="dxa"/>
            <w:vAlign w:val="center"/>
          </w:tcPr>
          <w:p>
            <w:pPr>
              <w:jc w:val="center"/>
              <w:rPr>
                <w:rFonts w:eastAsia="等线"/>
                <w:kern w:val="0"/>
                <w:sz w:val="20"/>
                <w:szCs w:val="21"/>
              </w:rPr>
            </w:pPr>
            <w:r>
              <w:rPr>
                <w:rFonts w:eastAsia="等线"/>
                <w:kern w:val="0"/>
                <w:sz w:val="20"/>
                <w:szCs w:val="21"/>
              </w:rPr>
              <w:t>定稿日期</w:t>
            </w:r>
          </w:p>
        </w:tc>
        <w:tc>
          <w:tcPr>
            <w:tcW w:w="2695" w:type="dxa"/>
            <w:vAlign w:val="center"/>
          </w:tcPr>
          <w:p>
            <w:pPr>
              <w:widowControl/>
              <w:jc w:val="center"/>
              <w:rPr>
                <w:rFonts w:eastAsia="等线"/>
                <w:kern w:val="0"/>
                <w:sz w:val="20"/>
                <w:szCs w:val="21"/>
              </w:rPr>
            </w:pPr>
            <w:r>
              <w:rPr>
                <w:rFonts w:hint="eastAsia"/>
                <w:kern w:val="0"/>
                <w:szCs w:val="21"/>
              </w:rPr>
              <w:t>2022.5.10</w:t>
            </w:r>
          </w:p>
        </w:tc>
      </w:tr>
    </w:tbl>
    <w:p>
      <w:pPr>
        <w:snapToGrid w:val="0"/>
        <w:spacing w:line="300" w:lineRule="auto"/>
        <w:ind w:firstLine="480"/>
        <w:rPr>
          <w:szCs w:val="21"/>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szCs w:val="21"/>
        </w:rPr>
      </w:pPr>
      <w:r>
        <w:rPr>
          <w:szCs w:val="21"/>
        </w:rPr>
        <w:t>《工程数学</w:t>
      </w:r>
      <w:r>
        <w:rPr>
          <w:sz w:val="20"/>
          <w:szCs w:val="21"/>
        </w:rPr>
        <w:t>Ⅰ》</w:t>
      </w:r>
      <w:r>
        <w:rPr>
          <w:szCs w:val="21"/>
        </w:rPr>
        <w:t>课程内容是</w:t>
      </w:r>
      <w:r>
        <w:rPr>
          <w:kern w:val="0"/>
          <w:szCs w:val="21"/>
        </w:rPr>
        <w:t>线性代数</w:t>
      </w:r>
      <w:r>
        <w:rPr>
          <w:szCs w:val="21"/>
        </w:rPr>
        <w:t>。《</w:t>
      </w:r>
      <w:r>
        <w:rPr>
          <w:kern w:val="0"/>
          <w:szCs w:val="21"/>
        </w:rPr>
        <w:t>工程数学</w:t>
      </w:r>
      <w:r>
        <w:rPr>
          <w:sz w:val="20"/>
          <w:szCs w:val="21"/>
        </w:rPr>
        <w:t>Ⅰ》</w:t>
      </w:r>
      <w:r>
        <w:rPr>
          <w:kern w:val="0"/>
          <w:szCs w:val="21"/>
        </w:rPr>
        <w:t>是电子信息工程专业本科</w:t>
      </w:r>
      <w:r>
        <w:rPr>
          <w:szCs w:val="21"/>
        </w:rPr>
        <w:t>一年级学生</w:t>
      </w:r>
      <w:r>
        <w:rPr>
          <w:kern w:val="0"/>
          <w:szCs w:val="21"/>
        </w:rPr>
        <w:t>必修的一门专业基础课</w:t>
      </w:r>
      <w:r>
        <w:rPr>
          <w:szCs w:val="21"/>
        </w:rPr>
        <w:t>。线性问题广泛存在于科学技术的各个领域，而非线性问题在一定条件下也可转化为线性问题，所以</w:t>
      </w:r>
      <w:r>
        <w:rPr>
          <w:kern w:val="0"/>
          <w:szCs w:val="21"/>
        </w:rPr>
        <w:t>线性代数是处理和解决工程技术中的实际问题不可缺少的有力工具，也是学生学习后续专业课程所需的必备知识。</w:t>
      </w:r>
      <w:r>
        <w:rPr>
          <w:szCs w:val="21"/>
        </w:rPr>
        <w:t>通过本课程的学习，使学生获得数学应用中常用的行列式、矩阵、向量组和向量空间等理论知识，以及具有熟练的矩阵运算能力、求解线性方程组的能力，和用线性空间的方法解决一些实际问题的能力。</w:t>
      </w:r>
      <w:r>
        <w:rPr>
          <w:kern w:val="0"/>
          <w:szCs w:val="21"/>
        </w:rPr>
        <w:t>本课程通过对线性代数的基本概念的建立，基本理论的证明，基本方法的运用，培养学生数学思维能力，</w:t>
      </w:r>
      <w:r>
        <w:rPr>
          <w:szCs w:val="21"/>
        </w:rPr>
        <w:t>为人才培养提供数学中线性关系的经典知识，建立进一步的专业学习所需的数学基础理论。</w:t>
      </w:r>
    </w:p>
    <w:p>
      <w:pPr>
        <w:snapToGrid w:val="0"/>
        <w:spacing w:before="159" w:beforeLines="50" w:after="159" w:afterLines="50" w:line="300" w:lineRule="auto"/>
        <w:rPr>
          <w:b/>
          <w:sz w:val="24"/>
        </w:rPr>
      </w:pPr>
      <w:r>
        <w:rPr>
          <w:b/>
          <w:sz w:val="24"/>
        </w:rPr>
        <w:t>二、课程教学目标</w:t>
      </w:r>
    </w:p>
    <w:p>
      <w:pPr>
        <w:widowControl/>
        <w:spacing w:line="300" w:lineRule="auto"/>
        <w:ind w:firstLine="420" w:firstLineChars="200"/>
        <w:jc w:val="left"/>
        <w:rPr>
          <w:kern w:val="0"/>
          <w:szCs w:val="21"/>
        </w:rPr>
      </w:pPr>
      <w:r>
        <w:rPr>
          <w:szCs w:val="21"/>
        </w:rPr>
        <w:t>学生通过本课程可以了解到线性空间（或向量空间）的概念，理解向量空间的基及坐标的知识，掌握基及坐标变换的方法，并运用向量组的知识求解工程实践中的线性方程组（含齐次及非齐次线性方程组）。课程上半段培养学生学习矩阵基本运算及应用的基础知识，下半段在向量组的知识基础上，培养学生学习向量空间的知识，从而建立起向量空间的概念，初步具备构建以向量为客观对象的思维能力和应用能力。教学要求学生具体掌握高斯消元法，线性变换的一般方法和向量空间基及坐标变换等的方法。培养学生数学思维能力，特别是线性空间思维的建立。从而为学习后继课程及进一步扩大数学知识面奠定必要的数学基础。本课程的</w:t>
      </w:r>
      <w:r>
        <w:rPr>
          <w:kern w:val="0"/>
          <w:szCs w:val="21"/>
        </w:rPr>
        <w:t>具体教学目标如下：</w:t>
      </w:r>
    </w:p>
    <w:p>
      <w:pPr>
        <w:widowControl/>
        <w:spacing w:line="300" w:lineRule="auto"/>
        <w:ind w:firstLine="420" w:firstLineChars="200"/>
        <w:jc w:val="left"/>
        <w:rPr>
          <w:kern w:val="0"/>
          <w:szCs w:val="21"/>
        </w:rPr>
      </w:pPr>
      <w:r>
        <w:rPr>
          <w:kern w:val="0"/>
          <w:szCs w:val="21"/>
        </w:rPr>
        <w:t>1.掌握行列式和矩阵的概念、性质和运算方法；掌握矩阵的初等变换和求解线性方程组的方法。[1.1, 2.1]</w:t>
      </w:r>
    </w:p>
    <w:p>
      <w:pPr>
        <w:widowControl/>
        <w:spacing w:line="300" w:lineRule="auto"/>
        <w:ind w:firstLine="420" w:firstLineChars="200"/>
        <w:jc w:val="left"/>
        <w:rPr>
          <w:kern w:val="0"/>
          <w:szCs w:val="21"/>
        </w:rPr>
      </w:pPr>
      <w:r>
        <w:rPr>
          <w:kern w:val="0"/>
          <w:szCs w:val="21"/>
        </w:rPr>
        <w:t xml:space="preserve">2. 了解到线性空间（或向量空间）的概念，理解向量空间的基及坐标的知识，掌握基及坐标变换的方法，并运用向量组的知识求解工程实践中的线性方程组（含齐次及非齐次线性方程组）。[1.1, 2.1] </w:t>
      </w:r>
    </w:p>
    <w:p>
      <w:pPr>
        <w:widowControl/>
        <w:spacing w:line="300" w:lineRule="auto"/>
        <w:ind w:firstLine="420" w:firstLineChars="200"/>
        <w:jc w:val="left"/>
        <w:rPr>
          <w:kern w:val="0"/>
          <w:szCs w:val="21"/>
        </w:rPr>
      </w:pPr>
      <w:r>
        <w:rPr>
          <w:kern w:val="0"/>
          <w:szCs w:val="21"/>
        </w:rPr>
        <w:t>3. 初步具备构建以向量为客观对象的思维和应用能力，能分析实际应用问题，并具备一定的科研思维。[3.1, 4.3]</w:t>
      </w:r>
    </w:p>
    <w:p>
      <w:pPr>
        <w:widowControl/>
        <w:spacing w:line="300" w:lineRule="auto"/>
        <w:ind w:firstLine="420" w:firstLineChars="200"/>
        <w:jc w:val="left"/>
        <w:rPr>
          <w:szCs w:val="21"/>
        </w:rPr>
      </w:pPr>
      <w:r>
        <w:rPr>
          <w:kern w:val="0"/>
          <w:szCs w:val="21"/>
        </w:rPr>
        <w:t>4. 培养学生数学思维能力，特别是线性空间思维的建立。从而为学习后继课程及进一步扩大数学知识面奠定必要的数学基础。[12.1]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5740"/>
        <w:gridCol w:w="966"/>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72" w:type="dxa"/>
            <w:vAlign w:val="center"/>
          </w:tcPr>
          <w:p>
            <w:pPr>
              <w:snapToGrid w:val="0"/>
              <w:spacing w:line="300" w:lineRule="auto"/>
              <w:rPr>
                <w:b/>
                <w:bCs/>
                <w:sz w:val="18"/>
                <w:szCs w:val="18"/>
              </w:rPr>
            </w:pPr>
            <w:r>
              <w:rPr>
                <w:b/>
                <w:bCs/>
                <w:sz w:val="18"/>
                <w:szCs w:val="18"/>
              </w:rPr>
              <w:t>毕业要求</w:t>
            </w:r>
          </w:p>
        </w:tc>
        <w:tc>
          <w:tcPr>
            <w:tcW w:w="5740" w:type="dxa"/>
            <w:vAlign w:val="center"/>
          </w:tcPr>
          <w:p>
            <w:pPr>
              <w:snapToGrid w:val="0"/>
              <w:spacing w:line="300" w:lineRule="auto"/>
              <w:jc w:val="center"/>
              <w:rPr>
                <w:b/>
                <w:bCs/>
                <w:sz w:val="18"/>
                <w:szCs w:val="18"/>
              </w:rPr>
            </w:pPr>
            <w:r>
              <w:rPr>
                <w:b/>
                <w:bCs/>
                <w:sz w:val="18"/>
                <w:szCs w:val="18"/>
              </w:rPr>
              <w:t>毕业要求指标点</w:t>
            </w:r>
          </w:p>
        </w:tc>
        <w:tc>
          <w:tcPr>
            <w:tcW w:w="966" w:type="dxa"/>
            <w:vAlign w:val="center"/>
          </w:tcPr>
          <w:p>
            <w:pPr>
              <w:snapToGrid w:val="0"/>
              <w:spacing w:line="300" w:lineRule="auto"/>
              <w:jc w:val="left"/>
              <w:rPr>
                <w:b/>
                <w:bCs/>
                <w:sz w:val="18"/>
                <w:szCs w:val="18"/>
              </w:rPr>
            </w:pPr>
            <w:r>
              <w:rPr>
                <w:b/>
                <w:bCs/>
                <w:sz w:val="18"/>
                <w:szCs w:val="18"/>
              </w:rPr>
              <w:t>课程目标</w:t>
            </w:r>
          </w:p>
        </w:tc>
        <w:tc>
          <w:tcPr>
            <w:tcW w:w="644"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pPr>
              <w:snapToGrid w:val="0"/>
              <w:spacing w:line="300" w:lineRule="auto"/>
              <w:rPr>
                <w:sz w:val="18"/>
                <w:szCs w:val="18"/>
              </w:rPr>
            </w:pPr>
            <w:r>
              <w:rPr>
                <w:sz w:val="18"/>
                <w:szCs w:val="18"/>
              </w:rPr>
              <w:t>1.工程知识</w:t>
            </w:r>
          </w:p>
        </w:tc>
        <w:tc>
          <w:tcPr>
            <w:tcW w:w="5740" w:type="dxa"/>
            <w:vAlign w:val="center"/>
          </w:tcPr>
          <w:p>
            <w:pPr>
              <w:snapToGrid w:val="0"/>
              <w:spacing w:line="300" w:lineRule="auto"/>
              <w:rPr>
                <w:sz w:val="18"/>
                <w:szCs w:val="18"/>
              </w:rPr>
            </w:pPr>
            <w:r>
              <w:rPr>
                <w:sz w:val="18"/>
                <w:szCs w:val="18"/>
              </w:rPr>
              <w:t>1.1掌握电子信息工程专业理论和知识体系的数学和自然科学知识，将其应用于信息技术（IT）行业知识和专业知识的学习。</w:t>
            </w:r>
          </w:p>
        </w:tc>
        <w:tc>
          <w:tcPr>
            <w:tcW w:w="966" w:type="dxa"/>
            <w:vAlign w:val="center"/>
          </w:tcPr>
          <w:p>
            <w:pPr>
              <w:snapToGrid w:val="0"/>
              <w:spacing w:line="300" w:lineRule="auto"/>
              <w:jc w:val="center"/>
              <w:rPr>
                <w:sz w:val="18"/>
                <w:szCs w:val="18"/>
              </w:rPr>
            </w:pPr>
            <w:r>
              <w:rPr>
                <w:sz w:val="18"/>
                <w:szCs w:val="18"/>
              </w:rPr>
              <w:t>1，2</w:t>
            </w:r>
          </w:p>
        </w:tc>
        <w:tc>
          <w:tcPr>
            <w:tcW w:w="644" w:type="dxa"/>
            <w:vAlign w:val="center"/>
          </w:tcPr>
          <w:p>
            <w:pPr>
              <w:snapToGrid w:val="0"/>
              <w:spacing w:line="300" w:lineRule="auto"/>
              <w:jc w:val="center"/>
              <w:rPr>
                <w:sz w:val="18"/>
                <w:szCs w:val="18"/>
              </w:rPr>
            </w:pPr>
            <w:r>
              <w:rPr>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72" w:type="dxa"/>
            <w:vAlign w:val="center"/>
          </w:tcPr>
          <w:p>
            <w:pPr>
              <w:snapToGrid w:val="0"/>
              <w:spacing w:line="300" w:lineRule="auto"/>
              <w:rPr>
                <w:sz w:val="18"/>
                <w:szCs w:val="18"/>
              </w:rPr>
            </w:pPr>
            <w:r>
              <w:rPr>
                <w:sz w:val="18"/>
                <w:szCs w:val="18"/>
              </w:rPr>
              <w:t>2.问题分析</w:t>
            </w:r>
          </w:p>
        </w:tc>
        <w:tc>
          <w:tcPr>
            <w:tcW w:w="5740" w:type="dxa"/>
            <w:vAlign w:val="center"/>
          </w:tcPr>
          <w:p>
            <w:pPr>
              <w:snapToGrid w:val="0"/>
              <w:spacing w:line="300" w:lineRule="auto"/>
              <w:rPr>
                <w:sz w:val="18"/>
                <w:szCs w:val="18"/>
              </w:rPr>
            </w:pPr>
            <w:r>
              <w:rPr>
                <w:sz w:val="18"/>
                <w:szCs w:val="18"/>
              </w:rPr>
              <w:t>2.1具备应用数学、自然科学和工程科学的基本原理和方法，认识与判断电子信息工程（含海洋电子信息）相关领域复杂工程问题中的关键环节，使用数学模型和专业知识解释与描述复杂工程问题的能力。</w:t>
            </w:r>
          </w:p>
        </w:tc>
        <w:tc>
          <w:tcPr>
            <w:tcW w:w="966" w:type="dxa"/>
            <w:vAlign w:val="center"/>
          </w:tcPr>
          <w:p>
            <w:pPr>
              <w:snapToGrid w:val="0"/>
              <w:spacing w:line="300" w:lineRule="auto"/>
              <w:jc w:val="center"/>
              <w:rPr>
                <w:sz w:val="18"/>
                <w:szCs w:val="18"/>
              </w:rPr>
            </w:pPr>
            <w:r>
              <w:rPr>
                <w:sz w:val="18"/>
                <w:szCs w:val="18"/>
              </w:rPr>
              <w:t>1，2</w:t>
            </w:r>
          </w:p>
        </w:tc>
        <w:tc>
          <w:tcPr>
            <w:tcW w:w="644" w:type="dxa"/>
            <w:vAlign w:val="center"/>
          </w:tcPr>
          <w:p>
            <w:pPr>
              <w:widowControl/>
              <w:snapToGrid w:val="0"/>
              <w:spacing w:line="300" w:lineRule="auto"/>
              <w:jc w:val="center"/>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72" w:type="dxa"/>
            <w:vAlign w:val="center"/>
          </w:tcPr>
          <w:p>
            <w:pPr>
              <w:snapToGrid w:val="0"/>
              <w:spacing w:line="300" w:lineRule="auto"/>
              <w:rPr>
                <w:sz w:val="18"/>
                <w:szCs w:val="18"/>
              </w:rPr>
            </w:pPr>
            <w:r>
              <w:rPr>
                <w:sz w:val="18"/>
                <w:szCs w:val="18"/>
              </w:rPr>
              <w:t>3．设计/开发解决方案</w:t>
            </w:r>
          </w:p>
        </w:tc>
        <w:tc>
          <w:tcPr>
            <w:tcW w:w="5740" w:type="dxa"/>
            <w:vAlign w:val="center"/>
          </w:tcPr>
          <w:p>
            <w:pPr>
              <w:snapToGrid w:val="0"/>
              <w:spacing w:line="300" w:lineRule="auto"/>
              <w:rPr>
                <w:sz w:val="18"/>
                <w:szCs w:val="18"/>
              </w:rPr>
            </w:pPr>
            <w:r>
              <w:rPr>
                <w:sz w:val="18"/>
                <w:szCs w:val="18"/>
              </w:rPr>
              <w:t>3.1能够利用专业知识，针对给定需求，设计出满足要求的系统总体方案与系统拓扑图、单元子系统（或单元电路）、软硬件模块或工艺。</w:t>
            </w:r>
          </w:p>
        </w:tc>
        <w:tc>
          <w:tcPr>
            <w:tcW w:w="966" w:type="dxa"/>
            <w:vAlign w:val="center"/>
          </w:tcPr>
          <w:p>
            <w:pPr>
              <w:snapToGrid w:val="0"/>
              <w:spacing w:line="300" w:lineRule="auto"/>
              <w:jc w:val="center"/>
              <w:rPr>
                <w:sz w:val="18"/>
                <w:szCs w:val="18"/>
              </w:rPr>
            </w:pPr>
            <w:r>
              <w:rPr>
                <w:sz w:val="18"/>
                <w:szCs w:val="18"/>
              </w:rPr>
              <w:t>3</w:t>
            </w:r>
          </w:p>
        </w:tc>
        <w:tc>
          <w:tcPr>
            <w:tcW w:w="644" w:type="dxa"/>
            <w:vAlign w:val="center"/>
          </w:tcPr>
          <w:p>
            <w:pPr>
              <w:snapToGrid w:val="0"/>
              <w:spacing w:line="30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72" w:type="dxa"/>
            <w:vAlign w:val="center"/>
          </w:tcPr>
          <w:p>
            <w:pPr>
              <w:snapToGrid w:val="0"/>
              <w:spacing w:line="300" w:lineRule="auto"/>
              <w:rPr>
                <w:sz w:val="18"/>
                <w:szCs w:val="18"/>
              </w:rPr>
            </w:pPr>
            <w:r>
              <w:rPr>
                <w:sz w:val="18"/>
                <w:szCs w:val="18"/>
              </w:rPr>
              <w:t>4.研究</w:t>
            </w:r>
          </w:p>
        </w:tc>
        <w:tc>
          <w:tcPr>
            <w:tcW w:w="5740" w:type="dxa"/>
            <w:vAlign w:val="center"/>
          </w:tcPr>
          <w:p>
            <w:pPr>
              <w:snapToGrid w:val="0"/>
              <w:spacing w:line="300" w:lineRule="auto"/>
              <w:rPr>
                <w:sz w:val="18"/>
                <w:szCs w:val="18"/>
              </w:rPr>
            </w:pPr>
            <w:r>
              <w:rPr>
                <w:sz w:val="18"/>
                <w:szCs w:val="18"/>
              </w:rPr>
              <w:t>4.3具有对实验数据进行分析、解释，并通过信息综合得到合理有效的结论的研究能力。</w:t>
            </w:r>
          </w:p>
        </w:tc>
        <w:tc>
          <w:tcPr>
            <w:tcW w:w="966" w:type="dxa"/>
            <w:vAlign w:val="center"/>
          </w:tcPr>
          <w:p>
            <w:pPr>
              <w:snapToGrid w:val="0"/>
              <w:spacing w:line="300" w:lineRule="auto"/>
              <w:jc w:val="center"/>
              <w:rPr>
                <w:sz w:val="18"/>
                <w:szCs w:val="18"/>
              </w:rPr>
            </w:pPr>
            <w:r>
              <w:rPr>
                <w:sz w:val="18"/>
                <w:szCs w:val="18"/>
              </w:rPr>
              <w:t>3</w:t>
            </w:r>
          </w:p>
        </w:tc>
        <w:tc>
          <w:tcPr>
            <w:tcW w:w="644" w:type="dxa"/>
            <w:vAlign w:val="center"/>
          </w:tcPr>
          <w:p>
            <w:pPr>
              <w:snapToGrid w:val="0"/>
              <w:spacing w:line="300" w:lineRule="auto"/>
              <w:jc w:val="center"/>
              <w:rPr>
                <w:sz w:val="18"/>
                <w:szCs w:val="18"/>
              </w:rPr>
            </w:pPr>
            <w:r>
              <w:rPr>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pPr>
              <w:snapToGrid w:val="0"/>
              <w:spacing w:line="300" w:lineRule="auto"/>
              <w:rPr>
                <w:sz w:val="18"/>
                <w:szCs w:val="18"/>
              </w:rPr>
            </w:pPr>
            <w:r>
              <w:rPr>
                <w:sz w:val="18"/>
                <w:szCs w:val="18"/>
              </w:rPr>
              <w:t>12．终身学习</w:t>
            </w:r>
          </w:p>
        </w:tc>
        <w:tc>
          <w:tcPr>
            <w:tcW w:w="5740" w:type="dxa"/>
            <w:vAlign w:val="center"/>
          </w:tcPr>
          <w:p>
            <w:pPr>
              <w:snapToGrid w:val="0"/>
              <w:spacing w:line="300" w:lineRule="auto"/>
              <w:rPr>
                <w:sz w:val="18"/>
                <w:szCs w:val="18"/>
              </w:rPr>
            </w:pPr>
            <w:r>
              <w:rPr>
                <w:sz w:val="18"/>
                <w:szCs w:val="18"/>
              </w:rPr>
              <w:t>12.1具有自主学习和终身学习的意识，掌握拓展知识和能力的基本方法和途径。</w:t>
            </w:r>
          </w:p>
        </w:tc>
        <w:tc>
          <w:tcPr>
            <w:tcW w:w="966" w:type="dxa"/>
            <w:vAlign w:val="center"/>
          </w:tcPr>
          <w:p>
            <w:pPr>
              <w:snapToGrid w:val="0"/>
              <w:spacing w:line="300" w:lineRule="auto"/>
              <w:jc w:val="center"/>
              <w:rPr>
                <w:sz w:val="18"/>
                <w:szCs w:val="18"/>
              </w:rPr>
            </w:pPr>
            <w:r>
              <w:rPr>
                <w:sz w:val="18"/>
                <w:szCs w:val="18"/>
              </w:rPr>
              <w:t>4</w:t>
            </w:r>
          </w:p>
        </w:tc>
        <w:tc>
          <w:tcPr>
            <w:tcW w:w="644" w:type="dxa"/>
            <w:vAlign w:val="center"/>
          </w:tcPr>
          <w:p>
            <w:pPr>
              <w:snapToGrid w:val="0"/>
              <w:spacing w:line="300" w:lineRule="auto"/>
              <w:jc w:val="center"/>
              <w:rPr>
                <w:sz w:val="18"/>
                <w:szCs w:val="18"/>
              </w:rPr>
            </w:pPr>
            <w:r>
              <w:rPr>
                <w:sz w:val="18"/>
                <w:szCs w:val="18"/>
              </w:rPr>
              <w:t>0.05</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6"/>
        <w:gridCol w:w="2350"/>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0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5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6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1.掌握行列式和矩阵的概念、性质和运算方法；掌握矩阵的初等变换和求解线性方程组的方法；</w:t>
            </w:r>
          </w:p>
        </w:tc>
        <w:tc>
          <w:tcPr>
            <w:tcW w:w="23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通过课堂讲授等达成。</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6"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2. 了解到线性空间（或向量空间）的概念，理解向量空间的基及坐标的知识，掌握基及坐标变换的方法，并运用向量组的知识求解工程实践中的线性方程组（含齐次及非齐次线性方程组）；</w:t>
            </w:r>
          </w:p>
        </w:tc>
        <w:tc>
          <w:tcPr>
            <w:tcW w:w="23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通过课堂讲授、案例研讨等达成。</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3. 初步具备构建以向量为客观对象的思维和应用能力，能分析实际应用问题，并具备一定的科研思维；</w:t>
            </w:r>
          </w:p>
        </w:tc>
        <w:tc>
          <w:tcPr>
            <w:tcW w:w="23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通过案例分析、小组讨论等达成。</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4. 培养学生数学思维能力，特别是线性空间思维的建立。从而为学习后继课程及进一步扩大数学知识面奠定必要的数学基础。</w:t>
            </w:r>
          </w:p>
        </w:tc>
        <w:tc>
          <w:tcPr>
            <w:tcW w:w="235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通过研究型学习，小组讨论、案例研讨等达成。</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习题作业。</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pPr>
      <w:r>
        <w:t>课堂以多媒体教学为主，辅以实例研究和课堂讨论。根据课程特点采用启发式教学、任务驱动教学、案例教学法。重视实验教学，采用“原理描述-设计要点分析-应用案例展示”相互呼应的教学模式。</w:t>
      </w:r>
    </w:p>
    <w:p>
      <w:pPr>
        <w:snapToGrid w:val="0"/>
        <w:spacing w:line="300" w:lineRule="auto"/>
        <w:ind w:firstLine="420" w:firstLineChars="200"/>
        <w:rPr>
          <w:szCs w:val="21"/>
        </w:rPr>
      </w:pPr>
      <w:r>
        <w:rPr>
          <w:szCs w:val="21"/>
        </w:rPr>
        <w:t>本课程理论教学内容与教学要求见表3。</w:t>
      </w:r>
    </w:p>
    <w:p>
      <w:pPr>
        <w:snapToGrid w:val="0"/>
        <w:spacing w:before="159" w:beforeLines="50" w:line="300" w:lineRule="auto"/>
        <w:jc w:val="center"/>
        <w:rPr>
          <w:sz w:val="18"/>
          <w:szCs w:val="18"/>
        </w:rPr>
      </w:pPr>
      <w:r>
        <w:rPr>
          <w:b/>
          <w:bCs/>
          <w:sz w:val="18"/>
          <w:szCs w:val="18"/>
        </w:rPr>
        <w:t>表3教学内容与教学</w:t>
      </w:r>
    </w:p>
    <w:tbl>
      <w:tblPr>
        <w:tblStyle w:val="22"/>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3185"/>
        <w:gridCol w:w="2990"/>
        <w:gridCol w:w="717"/>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74"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3185" w:type="dxa"/>
            <w:vAlign w:val="center"/>
          </w:tcPr>
          <w:p>
            <w:pPr>
              <w:snapToGrid w:val="0"/>
              <w:spacing w:line="300" w:lineRule="auto"/>
              <w:ind w:firstLine="361" w:firstLineChars="200"/>
              <w:rPr>
                <w:b/>
                <w:bCs/>
                <w:sz w:val="18"/>
                <w:szCs w:val="18"/>
              </w:rPr>
            </w:pPr>
            <w:r>
              <w:rPr>
                <w:b/>
                <w:bCs/>
                <w:sz w:val="18"/>
                <w:szCs w:val="18"/>
              </w:rPr>
              <w:t>教学内容</w:t>
            </w:r>
          </w:p>
        </w:tc>
        <w:tc>
          <w:tcPr>
            <w:tcW w:w="2990"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17" w:type="dxa"/>
            <w:vAlign w:val="center"/>
          </w:tcPr>
          <w:p>
            <w:pPr>
              <w:snapToGrid w:val="0"/>
              <w:spacing w:line="300" w:lineRule="auto"/>
              <w:jc w:val="center"/>
              <w:rPr>
                <w:b/>
                <w:bCs/>
                <w:sz w:val="18"/>
                <w:szCs w:val="18"/>
              </w:rPr>
            </w:pPr>
            <w:r>
              <w:rPr>
                <w:b/>
                <w:bCs/>
                <w:sz w:val="18"/>
                <w:szCs w:val="18"/>
              </w:rPr>
              <w:t>学时</w:t>
            </w:r>
          </w:p>
        </w:tc>
        <w:tc>
          <w:tcPr>
            <w:tcW w:w="1005"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tcMar>
              <w:left w:w="57" w:type="dxa"/>
              <w:right w:w="57" w:type="dxa"/>
            </w:tcMar>
            <w:vAlign w:val="center"/>
          </w:tcPr>
          <w:p>
            <w:pPr>
              <w:snapToGrid w:val="0"/>
              <w:spacing w:line="300" w:lineRule="auto"/>
              <w:rPr>
                <w:sz w:val="18"/>
                <w:szCs w:val="18"/>
              </w:rPr>
            </w:pPr>
            <w:r>
              <w:rPr>
                <w:sz w:val="18"/>
                <w:szCs w:val="18"/>
              </w:rPr>
              <w:t>1</w:t>
            </w:r>
          </w:p>
        </w:tc>
        <w:tc>
          <w:tcPr>
            <w:tcW w:w="3185" w:type="dxa"/>
            <w:vAlign w:val="center"/>
          </w:tcPr>
          <w:p>
            <w:pPr>
              <w:snapToGrid w:val="0"/>
              <w:spacing w:line="300" w:lineRule="auto"/>
              <w:rPr>
                <w:bCs/>
                <w:kern w:val="0"/>
                <w:sz w:val="18"/>
                <w:szCs w:val="18"/>
              </w:rPr>
            </w:pPr>
            <w:r>
              <w:rPr>
                <w:bCs/>
                <w:kern w:val="0"/>
                <w:sz w:val="18"/>
                <w:szCs w:val="18"/>
              </w:rPr>
              <w:t>1 行列式</w:t>
            </w:r>
          </w:p>
          <w:p>
            <w:pPr>
              <w:snapToGrid w:val="0"/>
              <w:spacing w:line="360" w:lineRule="exact"/>
              <w:rPr>
                <w:bCs/>
                <w:kern w:val="0"/>
                <w:sz w:val="18"/>
                <w:szCs w:val="18"/>
              </w:rPr>
            </w:pPr>
            <w:r>
              <w:rPr>
                <w:bCs/>
                <w:kern w:val="0"/>
                <w:sz w:val="18"/>
                <w:szCs w:val="18"/>
              </w:rPr>
              <w:t>1.1 行列式的概念，逆序数的计算及奇偶性的判定，n阶行列式的定义；</w:t>
            </w:r>
          </w:p>
          <w:p>
            <w:pPr>
              <w:snapToGrid w:val="0"/>
              <w:spacing w:line="360" w:lineRule="exact"/>
              <w:rPr>
                <w:bCs/>
                <w:kern w:val="0"/>
                <w:sz w:val="18"/>
                <w:szCs w:val="18"/>
              </w:rPr>
            </w:pPr>
            <w:r>
              <w:rPr>
                <w:bCs/>
                <w:kern w:val="0"/>
                <w:sz w:val="18"/>
                <w:szCs w:val="18"/>
              </w:rPr>
              <w:t>1.2行列式的性质；</w:t>
            </w:r>
          </w:p>
          <w:p>
            <w:pPr>
              <w:snapToGrid w:val="0"/>
              <w:spacing w:line="360" w:lineRule="exact"/>
              <w:rPr>
                <w:bCs/>
                <w:kern w:val="0"/>
                <w:sz w:val="18"/>
                <w:szCs w:val="18"/>
              </w:rPr>
            </w:pPr>
            <w:r>
              <w:rPr>
                <w:bCs/>
                <w:kern w:val="0"/>
                <w:sz w:val="18"/>
                <w:szCs w:val="18"/>
              </w:rPr>
              <w:t>1.3 行列式的运算方法；</w:t>
            </w:r>
          </w:p>
          <w:p>
            <w:pPr>
              <w:snapToGrid w:val="0"/>
              <w:spacing w:line="300" w:lineRule="auto"/>
              <w:rPr>
                <w:bCs/>
                <w:kern w:val="0"/>
                <w:sz w:val="18"/>
                <w:szCs w:val="18"/>
              </w:rPr>
            </w:pPr>
            <w:r>
              <w:rPr>
                <w:bCs/>
                <w:kern w:val="0"/>
                <w:sz w:val="18"/>
                <w:szCs w:val="18"/>
              </w:rPr>
              <w:t>1.4克拉默法则。</w:t>
            </w:r>
          </w:p>
        </w:tc>
        <w:tc>
          <w:tcPr>
            <w:tcW w:w="2990" w:type="dxa"/>
            <w:vAlign w:val="center"/>
          </w:tcPr>
          <w:p>
            <w:pPr>
              <w:snapToGrid w:val="0"/>
              <w:spacing w:line="360" w:lineRule="exact"/>
              <w:rPr>
                <w:bCs/>
                <w:kern w:val="0"/>
                <w:sz w:val="18"/>
                <w:szCs w:val="18"/>
              </w:rPr>
            </w:pPr>
            <w:r>
              <w:rPr>
                <w:bCs/>
                <w:kern w:val="0"/>
                <w:sz w:val="18"/>
                <w:szCs w:val="18"/>
              </w:rPr>
              <w:t>1. 要求</w:t>
            </w:r>
          </w:p>
          <w:p>
            <w:pPr>
              <w:snapToGrid w:val="0"/>
              <w:spacing w:line="360" w:lineRule="exact"/>
              <w:rPr>
                <w:bCs/>
                <w:kern w:val="0"/>
                <w:sz w:val="18"/>
                <w:szCs w:val="18"/>
              </w:rPr>
            </w:pPr>
            <w:r>
              <w:rPr>
                <w:bCs/>
                <w:kern w:val="0"/>
                <w:sz w:val="18"/>
                <w:szCs w:val="18"/>
              </w:rPr>
              <w:t>（1）了解行列式的概念，</w:t>
            </w:r>
          </w:p>
          <w:p>
            <w:pPr>
              <w:snapToGrid w:val="0"/>
              <w:spacing w:line="360" w:lineRule="exact"/>
              <w:rPr>
                <w:bCs/>
                <w:kern w:val="0"/>
                <w:sz w:val="18"/>
                <w:szCs w:val="18"/>
              </w:rPr>
            </w:pPr>
            <w:r>
              <w:rPr>
                <w:bCs/>
                <w:kern w:val="0"/>
                <w:sz w:val="18"/>
                <w:szCs w:val="18"/>
              </w:rPr>
              <w:t>（2）理解行列式的七条性质，</w:t>
            </w:r>
          </w:p>
          <w:p>
            <w:pPr>
              <w:snapToGrid w:val="0"/>
              <w:spacing w:line="360" w:lineRule="exact"/>
              <w:rPr>
                <w:bCs/>
                <w:kern w:val="0"/>
                <w:sz w:val="18"/>
                <w:szCs w:val="18"/>
              </w:rPr>
            </w:pPr>
            <w:r>
              <w:rPr>
                <w:bCs/>
                <w:kern w:val="0"/>
                <w:sz w:val="18"/>
                <w:szCs w:val="18"/>
              </w:rPr>
              <w:t>（3）掌握行列式的运算方式。</w:t>
            </w:r>
          </w:p>
          <w:p>
            <w:pPr>
              <w:widowControl/>
              <w:snapToGrid w:val="0"/>
              <w:spacing w:line="360" w:lineRule="exact"/>
              <w:rPr>
                <w:bCs/>
                <w:kern w:val="0"/>
                <w:sz w:val="18"/>
                <w:szCs w:val="18"/>
              </w:rPr>
            </w:pPr>
            <w:r>
              <w:rPr>
                <w:bCs/>
                <w:kern w:val="0"/>
                <w:sz w:val="18"/>
                <w:szCs w:val="18"/>
              </w:rPr>
              <w:t>2.作业内容</w:t>
            </w:r>
          </w:p>
          <w:p>
            <w:pPr>
              <w:widowControl/>
              <w:snapToGrid w:val="0"/>
              <w:spacing w:line="360" w:lineRule="exact"/>
              <w:rPr>
                <w:bCs/>
                <w:kern w:val="0"/>
                <w:sz w:val="18"/>
                <w:szCs w:val="18"/>
              </w:rPr>
            </w:pPr>
            <w:r>
              <w:rPr>
                <w:bCs/>
                <w:kern w:val="0"/>
                <w:sz w:val="18"/>
                <w:szCs w:val="18"/>
              </w:rPr>
              <w:t>（1）复习第一章内容；</w:t>
            </w:r>
          </w:p>
          <w:p>
            <w:pPr>
              <w:widowControl/>
              <w:snapToGrid w:val="0"/>
              <w:spacing w:line="360" w:lineRule="exact"/>
              <w:rPr>
                <w:bCs/>
                <w:kern w:val="0"/>
                <w:sz w:val="18"/>
                <w:szCs w:val="18"/>
              </w:rPr>
            </w:pPr>
            <w:r>
              <w:rPr>
                <w:bCs/>
                <w:kern w:val="0"/>
                <w:sz w:val="18"/>
                <w:szCs w:val="18"/>
              </w:rPr>
              <w:t>（2）完成教材第一章作业</w:t>
            </w:r>
          </w:p>
          <w:p>
            <w:pPr>
              <w:widowControl/>
              <w:snapToGrid w:val="0"/>
              <w:spacing w:line="360" w:lineRule="exact"/>
              <w:rPr>
                <w:bCs/>
                <w:kern w:val="0"/>
                <w:sz w:val="18"/>
                <w:szCs w:val="18"/>
              </w:rPr>
            </w:pPr>
            <w:r>
              <w:rPr>
                <w:bCs/>
                <w:kern w:val="0"/>
                <w:sz w:val="18"/>
                <w:szCs w:val="18"/>
              </w:rPr>
              <w:t xml:space="preserve">3.教学方法 </w:t>
            </w:r>
          </w:p>
          <w:p>
            <w:pPr>
              <w:widowControl/>
              <w:snapToGrid w:val="0"/>
              <w:spacing w:line="360" w:lineRule="exact"/>
              <w:rPr>
                <w:bCs/>
                <w:kern w:val="0"/>
                <w:sz w:val="18"/>
                <w:szCs w:val="18"/>
              </w:rPr>
            </w:pPr>
            <w:r>
              <w:rPr>
                <w:bCs/>
                <w:kern w:val="0"/>
                <w:sz w:val="18"/>
                <w:szCs w:val="18"/>
              </w:rPr>
              <w:t>讲授式、讨论式、案例式与启发式相结合。</w:t>
            </w:r>
          </w:p>
          <w:p>
            <w:pPr>
              <w:snapToGrid w:val="0"/>
              <w:spacing w:line="300" w:lineRule="auto"/>
              <w:rPr>
                <w:bCs/>
                <w:kern w:val="0"/>
                <w:sz w:val="18"/>
                <w:szCs w:val="18"/>
              </w:rPr>
            </w:pPr>
          </w:p>
        </w:tc>
        <w:tc>
          <w:tcPr>
            <w:tcW w:w="717" w:type="dxa"/>
            <w:vAlign w:val="center"/>
          </w:tcPr>
          <w:p>
            <w:pPr>
              <w:snapToGrid w:val="0"/>
              <w:spacing w:line="300" w:lineRule="auto"/>
              <w:jc w:val="center"/>
              <w:rPr>
                <w:sz w:val="18"/>
                <w:szCs w:val="18"/>
              </w:rPr>
            </w:pPr>
            <w:r>
              <w:rPr>
                <w:sz w:val="18"/>
                <w:szCs w:val="18"/>
              </w:rPr>
              <w:t>6</w:t>
            </w:r>
          </w:p>
        </w:tc>
        <w:tc>
          <w:tcPr>
            <w:tcW w:w="100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4" w:type="dxa"/>
            <w:tcMar>
              <w:left w:w="57" w:type="dxa"/>
              <w:right w:w="57" w:type="dxa"/>
            </w:tcMar>
            <w:vAlign w:val="center"/>
          </w:tcPr>
          <w:p>
            <w:pPr>
              <w:snapToGrid w:val="0"/>
              <w:spacing w:line="300" w:lineRule="auto"/>
              <w:rPr>
                <w:sz w:val="18"/>
                <w:szCs w:val="18"/>
              </w:rPr>
            </w:pPr>
            <w:r>
              <w:rPr>
                <w:sz w:val="18"/>
                <w:szCs w:val="18"/>
              </w:rPr>
              <w:t>2</w:t>
            </w:r>
          </w:p>
        </w:tc>
        <w:tc>
          <w:tcPr>
            <w:tcW w:w="3185" w:type="dxa"/>
            <w:vAlign w:val="center"/>
          </w:tcPr>
          <w:p>
            <w:pPr>
              <w:spacing w:line="300" w:lineRule="auto"/>
              <w:rPr>
                <w:bCs/>
                <w:sz w:val="18"/>
                <w:szCs w:val="18"/>
              </w:rPr>
            </w:pPr>
            <w:r>
              <w:rPr>
                <w:bCs/>
                <w:sz w:val="18"/>
                <w:szCs w:val="18"/>
              </w:rPr>
              <w:t>2矩阵</w:t>
            </w:r>
          </w:p>
          <w:p>
            <w:pPr>
              <w:spacing w:line="360" w:lineRule="exact"/>
              <w:rPr>
                <w:bCs/>
                <w:kern w:val="0"/>
                <w:sz w:val="18"/>
                <w:szCs w:val="18"/>
              </w:rPr>
            </w:pPr>
            <w:r>
              <w:rPr>
                <w:bCs/>
                <w:kern w:val="0"/>
                <w:sz w:val="18"/>
                <w:szCs w:val="18"/>
              </w:rPr>
              <w:t>2.1矩阵的概念，对角阵，单位阵，对称阵及行或列矩阵，上三角或下三角矩阵等概念，矩阵的类型概念；</w:t>
            </w:r>
          </w:p>
          <w:p>
            <w:pPr>
              <w:spacing w:line="360" w:lineRule="exact"/>
              <w:rPr>
                <w:bCs/>
                <w:kern w:val="0"/>
                <w:sz w:val="18"/>
                <w:szCs w:val="18"/>
              </w:rPr>
            </w:pPr>
            <w:r>
              <w:rPr>
                <w:bCs/>
                <w:kern w:val="0"/>
                <w:sz w:val="18"/>
                <w:szCs w:val="18"/>
              </w:rPr>
              <w:t>2.2矩阵基本运算及其性质；</w:t>
            </w:r>
          </w:p>
          <w:p>
            <w:pPr>
              <w:spacing w:line="360" w:lineRule="exact"/>
              <w:rPr>
                <w:bCs/>
                <w:kern w:val="0"/>
                <w:sz w:val="18"/>
                <w:szCs w:val="18"/>
              </w:rPr>
            </w:pPr>
            <w:r>
              <w:rPr>
                <w:bCs/>
                <w:kern w:val="0"/>
                <w:sz w:val="18"/>
                <w:szCs w:val="18"/>
              </w:rPr>
              <w:t>2.3初等矩阵的左乘右乘含义，伴随矩阵法求矩阵逆，矩阵逆成立的条件；</w:t>
            </w:r>
          </w:p>
          <w:p>
            <w:pPr>
              <w:spacing w:line="360" w:lineRule="exact"/>
              <w:rPr>
                <w:bCs/>
                <w:kern w:val="0"/>
                <w:sz w:val="18"/>
                <w:szCs w:val="18"/>
              </w:rPr>
            </w:pPr>
            <w:r>
              <w:rPr>
                <w:bCs/>
                <w:kern w:val="0"/>
                <w:sz w:val="18"/>
                <w:szCs w:val="18"/>
              </w:rPr>
              <w:t>2.4矩阵的秩；</w:t>
            </w:r>
          </w:p>
          <w:p>
            <w:pPr>
              <w:snapToGrid w:val="0"/>
              <w:spacing w:line="300" w:lineRule="auto"/>
              <w:rPr>
                <w:bCs/>
                <w:sz w:val="18"/>
                <w:szCs w:val="18"/>
              </w:rPr>
            </w:pPr>
            <w:r>
              <w:rPr>
                <w:bCs/>
                <w:kern w:val="0"/>
                <w:sz w:val="18"/>
                <w:szCs w:val="18"/>
              </w:rPr>
              <w:t>2.5矩阵分块。</w:t>
            </w:r>
          </w:p>
        </w:tc>
        <w:tc>
          <w:tcPr>
            <w:tcW w:w="2990" w:type="dxa"/>
            <w:vAlign w:val="center"/>
          </w:tcPr>
          <w:p>
            <w:pPr>
              <w:snapToGrid w:val="0"/>
              <w:spacing w:line="300" w:lineRule="auto"/>
              <w:rPr>
                <w:bCs/>
                <w:kern w:val="0"/>
                <w:sz w:val="18"/>
                <w:szCs w:val="18"/>
              </w:rPr>
            </w:pPr>
            <w:r>
              <w:rPr>
                <w:bCs/>
                <w:kern w:val="0"/>
                <w:sz w:val="18"/>
                <w:szCs w:val="18"/>
              </w:rPr>
              <w:t>1.要求</w:t>
            </w:r>
          </w:p>
          <w:p>
            <w:pPr>
              <w:snapToGrid w:val="0"/>
              <w:spacing w:line="300" w:lineRule="auto"/>
              <w:rPr>
                <w:bCs/>
                <w:kern w:val="0"/>
                <w:sz w:val="18"/>
                <w:szCs w:val="18"/>
              </w:rPr>
            </w:pPr>
            <w:r>
              <w:rPr>
                <w:bCs/>
                <w:kern w:val="0"/>
                <w:sz w:val="18"/>
                <w:szCs w:val="18"/>
              </w:rPr>
              <w:t>（1）了解矩阵及矩阵类型的概念，</w:t>
            </w:r>
          </w:p>
          <w:p>
            <w:pPr>
              <w:snapToGrid w:val="0"/>
              <w:spacing w:line="300" w:lineRule="auto"/>
              <w:rPr>
                <w:bCs/>
                <w:kern w:val="0"/>
                <w:sz w:val="18"/>
                <w:szCs w:val="18"/>
              </w:rPr>
            </w:pPr>
            <w:r>
              <w:rPr>
                <w:bCs/>
                <w:kern w:val="0"/>
                <w:sz w:val="18"/>
                <w:szCs w:val="18"/>
              </w:rPr>
              <w:t>（2）理解矩阵乘的三有三无性质，</w:t>
            </w:r>
          </w:p>
          <w:p>
            <w:pPr>
              <w:snapToGrid w:val="0"/>
              <w:spacing w:line="300" w:lineRule="auto"/>
              <w:rPr>
                <w:bCs/>
                <w:kern w:val="0"/>
                <w:sz w:val="18"/>
                <w:szCs w:val="18"/>
              </w:rPr>
            </w:pPr>
            <w:r>
              <w:rPr>
                <w:bCs/>
                <w:kern w:val="0"/>
                <w:sz w:val="18"/>
                <w:szCs w:val="18"/>
              </w:rPr>
              <w:t>（3）掌握矩阵的基本运算，即加减乘，数乘，对称，幂，逆，价及秩等运算。</w:t>
            </w:r>
          </w:p>
          <w:p>
            <w:pPr>
              <w:snapToGrid w:val="0"/>
              <w:spacing w:line="300" w:lineRule="auto"/>
              <w:rPr>
                <w:bCs/>
                <w:kern w:val="0"/>
                <w:sz w:val="18"/>
                <w:szCs w:val="18"/>
              </w:rPr>
            </w:pPr>
            <w:r>
              <w:rPr>
                <w:bCs/>
                <w:kern w:val="0"/>
                <w:sz w:val="18"/>
                <w:szCs w:val="18"/>
              </w:rPr>
              <w:t>2.作业内容</w:t>
            </w:r>
          </w:p>
          <w:p>
            <w:pPr>
              <w:snapToGrid w:val="0"/>
              <w:spacing w:line="300" w:lineRule="auto"/>
              <w:rPr>
                <w:bCs/>
                <w:kern w:val="0"/>
                <w:sz w:val="18"/>
                <w:szCs w:val="18"/>
              </w:rPr>
            </w:pPr>
            <w:r>
              <w:rPr>
                <w:bCs/>
                <w:kern w:val="0"/>
                <w:sz w:val="18"/>
                <w:szCs w:val="18"/>
              </w:rPr>
              <w:t>（1）复习第二章内容；</w:t>
            </w:r>
          </w:p>
          <w:p>
            <w:pPr>
              <w:snapToGrid w:val="0"/>
              <w:spacing w:line="300" w:lineRule="auto"/>
              <w:rPr>
                <w:bCs/>
                <w:kern w:val="0"/>
                <w:sz w:val="18"/>
                <w:szCs w:val="18"/>
              </w:rPr>
            </w:pPr>
            <w:r>
              <w:rPr>
                <w:bCs/>
                <w:kern w:val="0"/>
                <w:sz w:val="18"/>
                <w:szCs w:val="18"/>
              </w:rPr>
              <w:t>（2）完成教材第二章作业</w:t>
            </w:r>
          </w:p>
          <w:p>
            <w:pPr>
              <w:snapToGrid w:val="0"/>
              <w:spacing w:line="300" w:lineRule="auto"/>
              <w:rPr>
                <w:bCs/>
                <w:kern w:val="0"/>
                <w:sz w:val="18"/>
                <w:szCs w:val="18"/>
              </w:rPr>
            </w:pPr>
            <w:r>
              <w:rPr>
                <w:bCs/>
                <w:kern w:val="0"/>
                <w:sz w:val="18"/>
                <w:szCs w:val="18"/>
              </w:rPr>
              <w:t xml:space="preserve">3.教学方法 </w:t>
            </w:r>
          </w:p>
          <w:p>
            <w:pPr>
              <w:snapToGrid w:val="0"/>
              <w:spacing w:line="300" w:lineRule="auto"/>
              <w:rPr>
                <w:bCs/>
                <w:kern w:val="0"/>
                <w:sz w:val="18"/>
                <w:szCs w:val="18"/>
              </w:rPr>
            </w:pPr>
            <w:r>
              <w:rPr>
                <w:bCs/>
                <w:kern w:val="0"/>
                <w:sz w:val="18"/>
                <w:szCs w:val="18"/>
              </w:rPr>
              <w:t>讲授式、讨论式、案例式与启发式相结合。</w:t>
            </w:r>
          </w:p>
          <w:p>
            <w:pPr>
              <w:snapToGrid w:val="0"/>
              <w:spacing w:line="300" w:lineRule="auto"/>
              <w:rPr>
                <w:sz w:val="18"/>
                <w:szCs w:val="18"/>
              </w:rPr>
            </w:pPr>
          </w:p>
        </w:tc>
        <w:tc>
          <w:tcPr>
            <w:tcW w:w="717" w:type="dxa"/>
            <w:vAlign w:val="center"/>
          </w:tcPr>
          <w:p>
            <w:pPr>
              <w:snapToGrid w:val="0"/>
              <w:spacing w:line="300" w:lineRule="auto"/>
              <w:jc w:val="center"/>
              <w:rPr>
                <w:sz w:val="18"/>
                <w:szCs w:val="18"/>
              </w:rPr>
            </w:pPr>
            <w:r>
              <w:rPr>
                <w:sz w:val="18"/>
                <w:szCs w:val="18"/>
              </w:rPr>
              <w:t>6</w:t>
            </w:r>
          </w:p>
        </w:tc>
        <w:tc>
          <w:tcPr>
            <w:tcW w:w="100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74" w:type="dxa"/>
            <w:tcMar>
              <w:left w:w="57" w:type="dxa"/>
              <w:right w:w="57" w:type="dxa"/>
            </w:tcMar>
            <w:vAlign w:val="center"/>
          </w:tcPr>
          <w:p>
            <w:pPr>
              <w:snapToGrid w:val="0"/>
              <w:spacing w:line="300" w:lineRule="auto"/>
              <w:rPr>
                <w:sz w:val="18"/>
                <w:szCs w:val="18"/>
              </w:rPr>
            </w:pPr>
            <w:r>
              <w:rPr>
                <w:sz w:val="18"/>
                <w:szCs w:val="18"/>
              </w:rPr>
              <w:t>3</w:t>
            </w:r>
          </w:p>
        </w:tc>
        <w:tc>
          <w:tcPr>
            <w:tcW w:w="3185" w:type="dxa"/>
            <w:vAlign w:val="center"/>
          </w:tcPr>
          <w:p>
            <w:pPr>
              <w:spacing w:line="300" w:lineRule="auto"/>
              <w:rPr>
                <w:bCs/>
                <w:sz w:val="18"/>
                <w:szCs w:val="18"/>
              </w:rPr>
            </w:pPr>
            <w:r>
              <w:rPr>
                <w:bCs/>
                <w:sz w:val="18"/>
                <w:szCs w:val="18"/>
              </w:rPr>
              <w:t>3 矩阵初等变换</w:t>
            </w:r>
          </w:p>
          <w:p>
            <w:pPr>
              <w:spacing w:line="300" w:lineRule="auto"/>
              <w:rPr>
                <w:bCs/>
                <w:kern w:val="0"/>
                <w:sz w:val="18"/>
                <w:szCs w:val="18"/>
              </w:rPr>
            </w:pPr>
            <w:r>
              <w:rPr>
                <w:bCs/>
                <w:kern w:val="0"/>
                <w:sz w:val="18"/>
                <w:szCs w:val="18"/>
              </w:rPr>
              <w:t>3.1矩阵的初等变换法，矩阵的行阶梯形，行最简形和标准型；</w:t>
            </w:r>
          </w:p>
          <w:p>
            <w:pPr>
              <w:spacing w:line="300" w:lineRule="auto"/>
              <w:rPr>
                <w:bCs/>
                <w:kern w:val="0"/>
                <w:sz w:val="18"/>
                <w:szCs w:val="18"/>
              </w:rPr>
            </w:pPr>
            <w:r>
              <w:rPr>
                <w:bCs/>
                <w:kern w:val="0"/>
                <w:sz w:val="18"/>
                <w:szCs w:val="18"/>
              </w:rPr>
              <w:t>3.2利用初等变换法求矩阵的秩；</w:t>
            </w:r>
          </w:p>
          <w:p>
            <w:pPr>
              <w:spacing w:line="300" w:lineRule="auto"/>
              <w:rPr>
                <w:bCs/>
                <w:kern w:val="0"/>
                <w:sz w:val="18"/>
                <w:szCs w:val="18"/>
              </w:rPr>
            </w:pPr>
            <w:r>
              <w:rPr>
                <w:bCs/>
                <w:kern w:val="0"/>
                <w:sz w:val="18"/>
                <w:szCs w:val="18"/>
              </w:rPr>
              <w:t>3.3利用初等变换法求解矩阵的逆；</w:t>
            </w:r>
          </w:p>
          <w:p>
            <w:pPr>
              <w:spacing w:line="300" w:lineRule="auto"/>
              <w:rPr>
                <w:bCs/>
                <w:kern w:val="0"/>
                <w:sz w:val="18"/>
                <w:szCs w:val="18"/>
              </w:rPr>
            </w:pPr>
            <w:r>
              <w:rPr>
                <w:bCs/>
                <w:kern w:val="0"/>
                <w:sz w:val="18"/>
                <w:szCs w:val="18"/>
              </w:rPr>
              <w:t>3.4利用增广矩阵的秩分析齐次线性方程组有唯一解、无穷解及无解的条件，利用增广矩阵的秩分析非齐次线性方程组有唯一零解、无穷解的条件。</w:t>
            </w:r>
          </w:p>
          <w:p>
            <w:pPr>
              <w:snapToGrid w:val="0"/>
              <w:spacing w:line="300" w:lineRule="auto"/>
              <w:rPr>
                <w:bCs/>
                <w:sz w:val="18"/>
                <w:szCs w:val="18"/>
              </w:rPr>
            </w:pPr>
            <w:r>
              <w:rPr>
                <w:bCs/>
                <w:kern w:val="0"/>
                <w:sz w:val="18"/>
                <w:szCs w:val="18"/>
              </w:rPr>
              <w:t>3.5 解空间概念。</w:t>
            </w:r>
          </w:p>
        </w:tc>
        <w:tc>
          <w:tcPr>
            <w:tcW w:w="2990" w:type="dxa"/>
            <w:vAlign w:val="center"/>
          </w:tcPr>
          <w:p>
            <w:pPr>
              <w:snapToGrid w:val="0"/>
              <w:spacing w:line="300" w:lineRule="auto"/>
              <w:rPr>
                <w:bCs/>
                <w:kern w:val="0"/>
                <w:sz w:val="18"/>
                <w:szCs w:val="18"/>
              </w:rPr>
            </w:pPr>
            <w:r>
              <w:rPr>
                <w:bCs/>
                <w:kern w:val="0"/>
                <w:sz w:val="18"/>
                <w:szCs w:val="18"/>
              </w:rPr>
              <w:t>1.要求</w:t>
            </w:r>
          </w:p>
          <w:p>
            <w:pPr>
              <w:spacing w:line="360" w:lineRule="exact"/>
              <w:rPr>
                <w:bCs/>
                <w:kern w:val="0"/>
                <w:sz w:val="18"/>
                <w:szCs w:val="18"/>
              </w:rPr>
            </w:pPr>
            <w:r>
              <w:rPr>
                <w:bCs/>
                <w:kern w:val="0"/>
                <w:sz w:val="18"/>
                <w:szCs w:val="18"/>
              </w:rPr>
              <w:t>（1）了解矩阵初等变换的概念。</w:t>
            </w:r>
          </w:p>
          <w:p>
            <w:pPr>
              <w:spacing w:line="360" w:lineRule="exact"/>
              <w:rPr>
                <w:bCs/>
                <w:kern w:val="0"/>
                <w:sz w:val="18"/>
                <w:szCs w:val="18"/>
              </w:rPr>
            </w:pPr>
            <w:r>
              <w:rPr>
                <w:bCs/>
                <w:kern w:val="0"/>
                <w:sz w:val="18"/>
                <w:szCs w:val="18"/>
              </w:rPr>
              <w:t>（2）掌握矩阵的行阶梯形，行最简形和标准型。利用消元法求解线性方程组。</w:t>
            </w:r>
          </w:p>
          <w:p>
            <w:pPr>
              <w:widowControl/>
              <w:spacing w:line="360" w:lineRule="exact"/>
              <w:rPr>
                <w:bCs/>
                <w:kern w:val="0"/>
                <w:sz w:val="18"/>
                <w:szCs w:val="18"/>
              </w:rPr>
            </w:pPr>
            <w:r>
              <w:rPr>
                <w:bCs/>
                <w:kern w:val="0"/>
                <w:sz w:val="18"/>
                <w:szCs w:val="18"/>
              </w:rPr>
              <w:t>2.作业内容</w:t>
            </w:r>
          </w:p>
          <w:p>
            <w:pPr>
              <w:widowControl/>
              <w:spacing w:line="360" w:lineRule="exact"/>
              <w:rPr>
                <w:bCs/>
                <w:kern w:val="0"/>
                <w:sz w:val="18"/>
                <w:szCs w:val="18"/>
              </w:rPr>
            </w:pPr>
            <w:r>
              <w:rPr>
                <w:bCs/>
                <w:kern w:val="0"/>
                <w:sz w:val="18"/>
                <w:szCs w:val="18"/>
              </w:rPr>
              <w:t>（1）复习第三章内容。</w:t>
            </w:r>
          </w:p>
          <w:p>
            <w:pPr>
              <w:widowControl/>
              <w:spacing w:line="360" w:lineRule="exact"/>
              <w:rPr>
                <w:bCs/>
                <w:kern w:val="0"/>
                <w:sz w:val="18"/>
                <w:szCs w:val="18"/>
              </w:rPr>
            </w:pPr>
            <w:r>
              <w:rPr>
                <w:bCs/>
                <w:kern w:val="0"/>
                <w:sz w:val="18"/>
                <w:szCs w:val="18"/>
              </w:rPr>
              <w:t>（2）完成教材第三章作业。</w:t>
            </w:r>
          </w:p>
          <w:p>
            <w:pPr>
              <w:widowControl/>
              <w:spacing w:line="360" w:lineRule="exact"/>
              <w:rPr>
                <w:bCs/>
                <w:kern w:val="0"/>
                <w:sz w:val="18"/>
                <w:szCs w:val="18"/>
              </w:rPr>
            </w:pPr>
            <w:r>
              <w:rPr>
                <w:bCs/>
                <w:kern w:val="0"/>
                <w:sz w:val="18"/>
                <w:szCs w:val="18"/>
              </w:rPr>
              <w:t xml:space="preserve">3.教学方法 </w:t>
            </w:r>
          </w:p>
          <w:p>
            <w:pPr>
              <w:widowControl/>
              <w:spacing w:line="360" w:lineRule="exact"/>
              <w:rPr>
                <w:bCs/>
                <w:kern w:val="0"/>
                <w:sz w:val="18"/>
                <w:szCs w:val="18"/>
              </w:rPr>
            </w:pPr>
            <w:r>
              <w:rPr>
                <w:bCs/>
                <w:kern w:val="0"/>
                <w:sz w:val="18"/>
                <w:szCs w:val="18"/>
              </w:rPr>
              <w:t>讲授式、讨论式、案例式与启发式相结合。</w:t>
            </w:r>
          </w:p>
          <w:p>
            <w:pPr>
              <w:snapToGrid w:val="0"/>
              <w:spacing w:line="300" w:lineRule="auto"/>
              <w:rPr>
                <w:bCs/>
                <w:kern w:val="0"/>
                <w:sz w:val="18"/>
                <w:szCs w:val="18"/>
              </w:rPr>
            </w:pPr>
          </w:p>
        </w:tc>
        <w:tc>
          <w:tcPr>
            <w:tcW w:w="717" w:type="dxa"/>
            <w:vAlign w:val="center"/>
          </w:tcPr>
          <w:p>
            <w:pPr>
              <w:snapToGrid w:val="0"/>
              <w:spacing w:line="300" w:lineRule="auto"/>
              <w:jc w:val="center"/>
              <w:rPr>
                <w:sz w:val="18"/>
                <w:szCs w:val="18"/>
              </w:rPr>
            </w:pPr>
            <w:r>
              <w:rPr>
                <w:sz w:val="18"/>
                <w:szCs w:val="18"/>
              </w:rPr>
              <w:t>8</w:t>
            </w:r>
          </w:p>
        </w:tc>
        <w:tc>
          <w:tcPr>
            <w:tcW w:w="1005" w:type="dxa"/>
            <w:vAlign w:val="center"/>
          </w:tcPr>
          <w:p>
            <w:pPr>
              <w:snapToGrid w:val="0"/>
              <w:spacing w:line="300" w:lineRule="auto"/>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74" w:type="dxa"/>
            <w:tcMar>
              <w:left w:w="57" w:type="dxa"/>
              <w:right w:w="57" w:type="dxa"/>
            </w:tcMar>
            <w:vAlign w:val="center"/>
          </w:tcPr>
          <w:p>
            <w:pPr>
              <w:snapToGrid w:val="0"/>
              <w:spacing w:line="300" w:lineRule="auto"/>
              <w:rPr>
                <w:sz w:val="18"/>
                <w:szCs w:val="18"/>
              </w:rPr>
            </w:pPr>
            <w:r>
              <w:rPr>
                <w:sz w:val="18"/>
                <w:szCs w:val="18"/>
              </w:rPr>
              <w:t>4</w:t>
            </w:r>
          </w:p>
        </w:tc>
        <w:tc>
          <w:tcPr>
            <w:tcW w:w="3185" w:type="dxa"/>
            <w:vAlign w:val="center"/>
          </w:tcPr>
          <w:p>
            <w:pPr>
              <w:spacing w:line="300" w:lineRule="auto"/>
              <w:rPr>
                <w:bCs/>
                <w:sz w:val="18"/>
                <w:szCs w:val="18"/>
              </w:rPr>
            </w:pPr>
            <w:r>
              <w:rPr>
                <w:bCs/>
                <w:sz w:val="18"/>
                <w:szCs w:val="18"/>
              </w:rPr>
              <w:t>4 向量组及向量空间</w:t>
            </w:r>
          </w:p>
          <w:p>
            <w:pPr>
              <w:spacing w:line="360" w:lineRule="exact"/>
              <w:rPr>
                <w:bCs/>
                <w:kern w:val="0"/>
                <w:sz w:val="18"/>
                <w:szCs w:val="18"/>
              </w:rPr>
            </w:pPr>
            <w:r>
              <w:rPr>
                <w:bCs/>
                <w:kern w:val="0"/>
                <w:sz w:val="18"/>
                <w:szCs w:val="18"/>
              </w:rPr>
              <w:t>4.1线性相关与线性无关的概念及性质；</w:t>
            </w:r>
          </w:p>
          <w:p>
            <w:pPr>
              <w:spacing w:line="360" w:lineRule="exact"/>
              <w:rPr>
                <w:bCs/>
                <w:kern w:val="0"/>
                <w:sz w:val="18"/>
                <w:szCs w:val="18"/>
              </w:rPr>
            </w:pPr>
            <w:r>
              <w:rPr>
                <w:bCs/>
                <w:kern w:val="0"/>
                <w:sz w:val="18"/>
                <w:szCs w:val="18"/>
              </w:rPr>
              <w:t>4.2极大线性无关组的概念，极大线性无关组的性质与求解；</w:t>
            </w:r>
          </w:p>
          <w:p>
            <w:pPr>
              <w:spacing w:line="360" w:lineRule="exact"/>
              <w:rPr>
                <w:bCs/>
                <w:kern w:val="0"/>
                <w:sz w:val="18"/>
                <w:szCs w:val="18"/>
              </w:rPr>
            </w:pPr>
            <w:r>
              <w:rPr>
                <w:bCs/>
                <w:kern w:val="0"/>
                <w:sz w:val="18"/>
                <w:szCs w:val="18"/>
              </w:rPr>
              <w:t>4.3向量组的秩与矩阵的秩的关系；</w:t>
            </w:r>
          </w:p>
          <w:p>
            <w:pPr>
              <w:spacing w:line="360" w:lineRule="exact"/>
              <w:rPr>
                <w:bCs/>
                <w:kern w:val="0"/>
                <w:sz w:val="18"/>
                <w:szCs w:val="18"/>
              </w:rPr>
            </w:pPr>
            <w:r>
              <w:rPr>
                <w:bCs/>
                <w:kern w:val="0"/>
                <w:sz w:val="18"/>
                <w:szCs w:val="18"/>
              </w:rPr>
              <w:t>4.4向量空间，线性空间及线性变换的概念；</w:t>
            </w:r>
          </w:p>
          <w:p>
            <w:pPr>
              <w:spacing w:line="360" w:lineRule="exact"/>
              <w:rPr>
                <w:bCs/>
                <w:kern w:val="0"/>
                <w:sz w:val="18"/>
                <w:szCs w:val="18"/>
              </w:rPr>
            </w:pPr>
            <w:r>
              <w:rPr>
                <w:bCs/>
                <w:kern w:val="0"/>
                <w:sz w:val="18"/>
                <w:szCs w:val="18"/>
              </w:rPr>
              <w:t>4.5线性变换的矩阵表示，基变换与坐标变换公式；</w:t>
            </w:r>
          </w:p>
          <w:p>
            <w:pPr>
              <w:snapToGrid w:val="0"/>
              <w:spacing w:line="300" w:lineRule="auto"/>
              <w:rPr>
                <w:bCs/>
                <w:sz w:val="18"/>
                <w:szCs w:val="18"/>
              </w:rPr>
            </w:pPr>
            <w:r>
              <w:rPr>
                <w:bCs/>
                <w:kern w:val="0"/>
                <w:sz w:val="18"/>
                <w:szCs w:val="18"/>
              </w:rPr>
              <w:t>4.6线性方程组有解的判定条件，齐次线性方程组基础解系的求法，会用解的结构来表示线性方程组的一般解。</w:t>
            </w:r>
          </w:p>
        </w:tc>
        <w:tc>
          <w:tcPr>
            <w:tcW w:w="2990"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（1）了解向量空间及其维度的概念。</w:t>
            </w:r>
          </w:p>
          <w:p>
            <w:pPr>
              <w:snapToGrid w:val="0"/>
              <w:spacing w:line="300" w:lineRule="auto"/>
              <w:rPr>
                <w:sz w:val="18"/>
                <w:szCs w:val="18"/>
              </w:rPr>
            </w:pPr>
            <w:r>
              <w:rPr>
                <w:sz w:val="18"/>
                <w:szCs w:val="18"/>
              </w:rPr>
              <w:t>（2）了解向量空间基与坐标的概念。</w:t>
            </w:r>
          </w:p>
          <w:p>
            <w:pPr>
              <w:snapToGrid w:val="0"/>
              <w:spacing w:line="300" w:lineRule="auto"/>
              <w:rPr>
                <w:sz w:val="18"/>
                <w:szCs w:val="18"/>
              </w:rPr>
            </w:pPr>
            <w:r>
              <w:rPr>
                <w:sz w:val="18"/>
                <w:szCs w:val="18"/>
              </w:rPr>
              <w:t>（3）掌握线性方程组解空间及解的求解。</w:t>
            </w:r>
          </w:p>
          <w:p>
            <w:pPr>
              <w:snapToGrid w:val="0"/>
              <w:spacing w:line="300" w:lineRule="auto"/>
              <w:rPr>
                <w:sz w:val="18"/>
                <w:szCs w:val="18"/>
              </w:rPr>
            </w:pPr>
            <w:r>
              <w:rPr>
                <w:sz w:val="18"/>
                <w:szCs w:val="18"/>
              </w:rPr>
              <w:t>（4）掌握基与坐标变换方法。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（1）复习第四章内容。</w:t>
            </w:r>
          </w:p>
          <w:p>
            <w:pPr>
              <w:snapToGrid w:val="0"/>
              <w:spacing w:line="300" w:lineRule="auto"/>
              <w:rPr>
                <w:sz w:val="18"/>
                <w:szCs w:val="18"/>
              </w:rPr>
            </w:pPr>
            <w:r>
              <w:rPr>
                <w:sz w:val="18"/>
                <w:szCs w:val="18"/>
              </w:rPr>
              <w:t>（2）完成教材第四章作业。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p>
        </w:tc>
        <w:tc>
          <w:tcPr>
            <w:tcW w:w="717" w:type="dxa"/>
            <w:vAlign w:val="center"/>
          </w:tcPr>
          <w:p>
            <w:pPr>
              <w:snapToGrid w:val="0"/>
              <w:spacing w:line="300" w:lineRule="auto"/>
              <w:jc w:val="center"/>
              <w:rPr>
                <w:sz w:val="18"/>
                <w:szCs w:val="18"/>
              </w:rPr>
            </w:pPr>
            <w:r>
              <w:rPr>
                <w:sz w:val="18"/>
                <w:szCs w:val="18"/>
              </w:rPr>
              <w:t>6</w:t>
            </w:r>
          </w:p>
        </w:tc>
        <w:tc>
          <w:tcPr>
            <w:tcW w:w="1005" w:type="dxa"/>
            <w:vAlign w:val="center"/>
          </w:tcPr>
          <w:p>
            <w:pPr>
              <w:snapToGrid w:val="0"/>
              <w:spacing w:line="300" w:lineRule="auto"/>
              <w:rPr>
                <w:sz w:val="18"/>
                <w:szCs w:val="18"/>
              </w:rPr>
            </w:pPr>
            <w:r>
              <w:rPr>
                <w:sz w:val="18"/>
                <w:szCs w:val="18"/>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74" w:type="dxa"/>
            <w:tcMar>
              <w:left w:w="57" w:type="dxa"/>
              <w:right w:w="57" w:type="dxa"/>
            </w:tcMar>
            <w:vAlign w:val="center"/>
          </w:tcPr>
          <w:p>
            <w:pPr>
              <w:snapToGrid w:val="0"/>
              <w:spacing w:line="300" w:lineRule="auto"/>
              <w:rPr>
                <w:sz w:val="18"/>
                <w:szCs w:val="18"/>
              </w:rPr>
            </w:pPr>
            <w:r>
              <w:rPr>
                <w:sz w:val="18"/>
                <w:szCs w:val="18"/>
              </w:rPr>
              <w:t>5</w:t>
            </w:r>
          </w:p>
        </w:tc>
        <w:tc>
          <w:tcPr>
            <w:tcW w:w="3185" w:type="dxa"/>
            <w:vAlign w:val="center"/>
          </w:tcPr>
          <w:p>
            <w:pPr>
              <w:spacing w:line="300" w:lineRule="auto"/>
              <w:rPr>
                <w:bCs/>
                <w:sz w:val="18"/>
                <w:szCs w:val="18"/>
              </w:rPr>
            </w:pPr>
            <w:r>
              <w:rPr>
                <w:bCs/>
                <w:sz w:val="18"/>
                <w:szCs w:val="18"/>
              </w:rPr>
              <w:t>5 相似矩阵</w:t>
            </w:r>
          </w:p>
          <w:p>
            <w:pPr>
              <w:spacing w:line="300" w:lineRule="auto"/>
              <w:rPr>
                <w:bCs/>
                <w:sz w:val="18"/>
                <w:szCs w:val="18"/>
              </w:rPr>
            </w:pPr>
            <w:r>
              <w:rPr>
                <w:bCs/>
                <w:sz w:val="18"/>
                <w:szCs w:val="18"/>
              </w:rPr>
              <w:t>5.1向量的内积、长度及正交性</w:t>
            </w:r>
          </w:p>
          <w:p>
            <w:pPr>
              <w:spacing w:line="300" w:lineRule="auto"/>
              <w:rPr>
                <w:bCs/>
                <w:sz w:val="18"/>
                <w:szCs w:val="18"/>
              </w:rPr>
            </w:pPr>
            <w:r>
              <w:rPr>
                <w:bCs/>
                <w:sz w:val="18"/>
                <w:szCs w:val="18"/>
              </w:rPr>
              <w:t>5.2 方阵的特征值与特征向量</w:t>
            </w:r>
          </w:p>
          <w:p>
            <w:pPr>
              <w:spacing w:line="300" w:lineRule="auto"/>
              <w:rPr>
                <w:bCs/>
                <w:sz w:val="18"/>
                <w:szCs w:val="18"/>
              </w:rPr>
            </w:pPr>
            <w:r>
              <w:rPr>
                <w:bCs/>
                <w:sz w:val="18"/>
                <w:szCs w:val="18"/>
              </w:rPr>
              <w:t>5.3 相似矩阵</w:t>
            </w:r>
          </w:p>
        </w:tc>
        <w:tc>
          <w:tcPr>
            <w:tcW w:w="2990"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（1）了解向量的内积、长度、正交、规范正交基、正交矩阵的概念。</w:t>
            </w:r>
          </w:p>
          <w:p>
            <w:pPr>
              <w:snapToGrid w:val="0"/>
              <w:spacing w:line="300" w:lineRule="auto"/>
              <w:rPr>
                <w:sz w:val="18"/>
                <w:szCs w:val="18"/>
              </w:rPr>
            </w:pPr>
            <w:r>
              <w:rPr>
                <w:sz w:val="18"/>
                <w:szCs w:val="18"/>
              </w:rPr>
              <w:t>（2）理解矩阵的特征值与特征向量的概念，并掌握其求法。</w:t>
            </w:r>
          </w:p>
          <w:p>
            <w:pPr>
              <w:snapToGrid w:val="0"/>
              <w:spacing w:line="300" w:lineRule="auto"/>
              <w:rPr>
                <w:sz w:val="18"/>
                <w:szCs w:val="18"/>
              </w:rPr>
            </w:pPr>
            <w:r>
              <w:rPr>
                <w:sz w:val="18"/>
                <w:szCs w:val="18"/>
              </w:rPr>
              <w:t>（3）了解相似矩阵的概念和性质，了解矩阵可相似对角化的充要条件。</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（1）复习第五章内容。</w:t>
            </w:r>
          </w:p>
          <w:p>
            <w:pPr>
              <w:snapToGrid w:val="0"/>
              <w:spacing w:line="300" w:lineRule="auto"/>
              <w:rPr>
                <w:sz w:val="18"/>
                <w:szCs w:val="18"/>
              </w:rPr>
            </w:pPr>
            <w:r>
              <w:rPr>
                <w:sz w:val="18"/>
                <w:szCs w:val="18"/>
              </w:rPr>
              <w:t>（2）完成教材第五章作业。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p>
        </w:tc>
        <w:tc>
          <w:tcPr>
            <w:tcW w:w="717" w:type="dxa"/>
            <w:vAlign w:val="center"/>
          </w:tcPr>
          <w:p>
            <w:pPr>
              <w:snapToGrid w:val="0"/>
              <w:spacing w:line="300" w:lineRule="auto"/>
              <w:jc w:val="center"/>
              <w:rPr>
                <w:sz w:val="18"/>
                <w:szCs w:val="18"/>
              </w:rPr>
            </w:pPr>
            <w:r>
              <w:rPr>
                <w:sz w:val="18"/>
                <w:szCs w:val="18"/>
              </w:rPr>
              <w:t>6</w:t>
            </w:r>
          </w:p>
        </w:tc>
        <w:tc>
          <w:tcPr>
            <w:tcW w:w="1005" w:type="dxa"/>
            <w:vAlign w:val="center"/>
          </w:tcPr>
          <w:p>
            <w:pPr>
              <w:snapToGrid w:val="0"/>
              <w:spacing w:line="300" w:lineRule="auto"/>
              <w:rPr>
                <w:sz w:val="18"/>
                <w:szCs w:val="18"/>
              </w:rPr>
            </w:pPr>
            <w:r>
              <w:rPr>
                <w:sz w:val="18"/>
                <w:szCs w:val="18"/>
              </w:rPr>
              <w:t>3，4</w:t>
            </w:r>
          </w:p>
        </w:tc>
      </w:tr>
    </w:tbl>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pPr>
      <w:r>
        <w:t>1．考核方式：闭卷笔试。</w:t>
      </w:r>
    </w:p>
    <w:p>
      <w:pPr>
        <w:snapToGrid w:val="0"/>
        <w:spacing w:line="300" w:lineRule="auto"/>
        <w:ind w:firstLine="420" w:firstLineChars="200"/>
      </w:pPr>
      <w:r>
        <w:t>2．成绩构成：笔试成绩70%，平时成绩30%（课后作业、课堂表现等）。</w:t>
      </w:r>
    </w:p>
    <w:p>
      <w:pPr>
        <w:snapToGrid w:val="0"/>
        <w:spacing w:line="300" w:lineRule="auto"/>
        <w:ind w:firstLine="420" w:firstLineChars="200"/>
      </w:pPr>
      <w:r>
        <w:t>3．考核评价标准见表4所示。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852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6"/>
        <w:gridCol w:w="656"/>
        <w:gridCol w:w="639"/>
        <w:gridCol w:w="540"/>
        <w:gridCol w:w="3339"/>
        <w:gridCol w:w="992"/>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657" w:type="dxa"/>
            <w:vAlign w:val="center"/>
          </w:tcPr>
          <w:p>
            <w:pPr>
              <w:snapToGrid w:val="0"/>
              <w:spacing w:line="300" w:lineRule="auto"/>
              <w:jc w:val="center"/>
              <w:rPr>
                <w:b/>
                <w:bCs/>
                <w:sz w:val="18"/>
                <w:szCs w:val="18"/>
              </w:rPr>
            </w:pPr>
            <w:r>
              <w:rPr>
                <w:b/>
                <w:bCs/>
                <w:sz w:val="18"/>
                <w:szCs w:val="18"/>
              </w:rPr>
              <w:t>成绩</w:t>
            </w:r>
          </w:p>
        </w:tc>
        <w:tc>
          <w:tcPr>
            <w:tcW w:w="656" w:type="dxa"/>
            <w:vAlign w:val="center"/>
          </w:tcPr>
          <w:p>
            <w:pPr>
              <w:snapToGrid w:val="0"/>
              <w:spacing w:line="300" w:lineRule="auto"/>
              <w:jc w:val="center"/>
              <w:rPr>
                <w:b/>
                <w:bCs/>
                <w:sz w:val="18"/>
                <w:szCs w:val="18"/>
              </w:rPr>
            </w:pPr>
            <w:r>
              <w:rPr>
                <w:b/>
                <w:bCs/>
                <w:sz w:val="18"/>
                <w:szCs w:val="18"/>
              </w:rPr>
              <w:t>分值</w:t>
            </w:r>
          </w:p>
        </w:tc>
        <w:tc>
          <w:tcPr>
            <w:tcW w:w="656" w:type="dxa"/>
            <w:vAlign w:val="center"/>
          </w:tcPr>
          <w:p>
            <w:pPr>
              <w:snapToGrid w:val="0"/>
              <w:spacing w:line="300" w:lineRule="auto"/>
              <w:jc w:val="center"/>
              <w:rPr>
                <w:b/>
                <w:bCs/>
                <w:sz w:val="18"/>
                <w:szCs w:val="18"/>
              </w:rPr>
            </w:pPr>
            <w:r>
              <w:rPr>
                <w:b/>
                <w:bCs/>
                <w:sz w:val="18"/>
                <w:szCs w:val="18"/>
              </w:rPr>
              <w:t>权重</w:t>
            </w:r>
          </w:p>
        </w:tc>
        <w:tc>
          <w:tcPr>
            <w:tcW w:w="639" w:type="dxa"/>
            <w:vAlign w:val="center"/>
          </w:tcPr>
          <w:p>
            <w:pPr>
              <w:snapToGrid w:val="0"/>
              <w:spacing w:line="300" w:lineRule="auto"/>
              <w:jc w:val="center"/>
              <w:rPr>
                <w:b/>
                <w:bCs/>
                <w:sz w:val="18"/>
                <w:szCs w:val="18"/>
              </w:rPr>
            </w:pPr>
            <w:r>
              <w:rPr>
                <w:b/>
                <w:bCs/>
                <w:sz w:val="18"/>
                <w:szCs w:val="18"/>
              </w:rPr>
              <w:t>类别</w:t>
            </w:r>
          </w:p>
        </w:tc>
        <w:tc>
          <w:tcPr>
            <w:tcW w:w="540" w:type="dxa"/>
            <w:vAlign w:val="center"/>
          </w:tcPr>
          <w:p>
            <w:pPr>
              <w:snapToGrid w:val="0"/>
              <w:spacing w:line="300" w:lineRule="auto"/>
              <w:jc w:val="center"/>
              <w:rPr>
                <w:b/>
                <w:bCs/>
                <w:sz w:val="18"/>
                <w:szCs w:val="18"/>
              </w:rPr>
            </w:pPr>
            <w:r>
              <w:rPr>
                <w:b/>
                <w:bCs/>
                <w:sz w:val="18"/>
                <w:szCs w:val="18"/>
              </w:rPr>
              <w:t>权重</w:t>
            </w:r>
          </w:p>
        </w:tc>
        <w:tc>
          <w:tcPr>
            <w:tcW w:w="3339" w:type="dxa"/>
            <w:vAlign w:val="center"/>
          </w:tcPr>
          <w:p>
            <w:pPr>
              <w:snapToGrid w:val="0"/>
              <w:spacing w:line="300" w:lineRule="auto"/>
              <w:jc w:val="center"/>
              <w:rPr>
                <w:b/>
                <w:bCs/>
                <w:sz w:val="18"/>
                <w:szCs w:val="18"/>
              </w:rPr>
            </w:pPr>
            <w:r>
              <w:rPr>
                <w:b/>
                <w:bCs/>
                <w:sz w:val="18"/>
                <w:szCs w:val="18"/>
              </w:rPr>
              <w:t>考核/评价细则</w:t>
            </w:r>
          </w:p>
        </w:tc>
        <w:tc>
          <w:tcPr>
            <w:tcW w:w="992" w:type="dxa"/>
            <w:vAlign w:val="center"/>
          </w:tcPr>
          <w:p>
            <w:pPr>
              <w:snapToGrid w:val="0"/>
              <w:spacing w:line="300" w:lineRule="auto"/>
              <w:jc w:val="center"/>
              <w:rPr>
                <w:b/>
                <w:bCs/>
                <w:sz w:val="18"/>
                <w:szCs w:val="18"/>
              </w:rPr>
            </w:pPr>
            <w:r>
              <w:rPr>
                <w:b/>
                <w:bCs/>
                <w:sz w:val="18"/>
                <w:szCs w:val="18"/>
              </w:rPr>
              <w:t>课程目标</w:t>
            </w:r>
          </w:p>
        </w:tc>
        <w:tc>
          <w:tcPr>
            <w:tcW w:w="1043" w:type="dxa"/>
            <w:vAlign w:val="center"/>
          </w:tcPr>
          <w:p>
            <w:pPr>
              <w:snapToGrid w:val="0"/>
              <w:spacing w:line="300" w:lineRule="auto"/>
              <w:jc w:val="center"/>
              <w:rPr>
                <w:b/>
                <w:bCs/>
                <w:sz w:val="18"/>
                <w:szCs w:val="18"/>
              </w:rPr>
            </w:pPr>
            <w:r>
              <w:rPr>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57" w:type="dxa"/>
            <w:vMerge w:val="restart"/>
            <w:vAlign w:val="center"/>
          </w:tcPr>
          <w:p>
            <w:pPr>
              <w:snapToGrid w:val="0"/>
              <w:spacing w:line="300" w:lineRule="auto"/>
              <w:rPr>
                <w:sz w:val="18"/>
                <w:szCs w:val="18"/>
              </w:rPr>
            </w:pPr>
            <w:r>
              <w:rPr>
                <w:sz w:val="18"/>
                <w:szCs w:val="18"/>
              </w:rPr>
              <w:t>平时成绩</w:t>
            </w:r>
          </w:p>
        </w:tc>
        <w:tc>
          <w:tcPr>
            <w:tcW w:w="656" w:type="dxa"/>
            <w:vMerge w:val="restart"/>
            <w:vAlign w:val="center"/>
          </w:tcPr>
          <w:p>
            <w:pPr>
              <w:snapToGrid w:val="0"/>
              <w:spacing w:line="300" w:lineRule="auto"/>
              <w:rPr>
                <w:sz w:val="18"/>
                <w:szCs w:val="18"/>
              </w:rPr>
            </w:pPr>
            <w:r>
              <w:rPr>
                <w:sz w:val="18"/>
                <w:szCs w:val="18"/>
              </w:rPr>
              <w:t>100</w:t>
            </w:r>
          </w:p>
        </w:tc>
        <w:tc>
          <w:tcPr>
            <w:tcW w:w="656" w:type="dxa"/>
            <w:vMerge w:val="restart"/>
            <w:vAlign w:val="center"/>
          </w:tcPr>
          <w:p>
            <w:pPr>
              <w:snapToGrid w:val="0"/>
              <w:spacing w:line="300" w:lineRule="auto"/>
              <w:rPr>
                <w:sz w:val="18"/>
                <w:szCs w:val="18"/>
              </w:rPr>
            </w:pPr>
            <w:r>
              <w:rPr>
                <w:sz w:val="18"/>
                <w:szCs w:val="18"/>
              </w:rPr>
              <w:t>0.3</w:t>
            </w:r>
          </w:p>
        </w:tc>
        <w:tc>
          <w:tcPr>
            <w:tcW w:w="639" w:type="dxa"/>
            <w:vAlign w:val="center"/>
          </w:tcPr>
          <w:p>
            <w:pPr>
              <w:snapToGrid w:val="0"/>
              <w:spacing w:line="300" w:lineRule="auto"/>
              <w:jc w:val="center"/>
              <w:rPr>
                <w:sz w:val="18"/>
                <w:szCs w:val="18"/>
              </w:rPr>
            </w:pPr>
            <w:r>
              <w:rPr>
                <w:sz w:val="18"/>
                <w:szCs w:val="18"/>
              </w:rPr>
              <w:t>课堂表现</w:t>
            </w:r>
          </w:p>
        </w:tc>
        <w:tc>
          <w:tcPr>
            <w:tcW w:w="540" w:type="dxa"/>
            <w:vAlign w:val="center"/>
          </w:tcPr>
          <w:p>
            <w:pPr>
              <w:snapToGrid w:val="0"/>
              <w:spacing w:line="300" w:lineRule="auto"/>
              <w:jc w:val="center"/>
              <w:rPr>
                <w:sz w:val="18"/>
                <w:szCs w:val="18"/>
              </w:rPr>
            </w:pPr>
            <w:r>
              <w:rPr>
                <w:sz w:val="18"/>
                <w:szCs w:val="18"/>
              </w:rPr>
              <w:t>0.5</w:t>
            </w:r>
          </w:p>
        </w:tc>
        <w:tc>
          <w:tcPr>
            <w:tcW w:w="3339" w:type="dxa"/>
            <w:vAlign w:val="center"/>
          </w:tcPr>
          <w:p>
            <w:pPr>
              <w:snapToGrid w:val="0"/>
              <w:spacing w:line="300" w:lineRule="auto"/>
              <w:rPr>
                <w:sz w:val="18"/>
                <w:szCs w:val="18"/>
              </w:rPr>
            </w:pPr>
            <w:r>
              <w:rPr>
                <w:sz w:val="18"/>
                <w:szCs w:val="18"/>
              </w:rPr>
              <w:t>根据学生课堂讨论表现打分，满分100。</w:t>
            </w:r>
          </w:p>
        </w:tc>
        <w:tc>
          <w:tcPr>
            <w:tcW w:w="992" w:type="dxa"/>
            <w:vAlign w:val="center"/>
          </w:tcPr>
          <w:p>
            <w:pPr>
              <w:snapToGrid w:val="0"/>
              <w:spacing w:line="300" w:lineRule="auto"/>
              <w:jc w:val="center"/>
              <w:rPr>
                <w:sz w:val="18"/>
                <w:szCs w:val="18"/>
              </w:rPr>
            </w:pPr>
            <w:r>
              <w:rPr>
                <w:sz w:val="18"/>
                <w:szCs w:val="18"/>
              </w:rPr>
              <w:t>3</w:t>
            </w:r>
          </w:p>
        </w:tc>
        <w:tc>
          <w:tcPr>
            <w:tcW w:w="1043" w:type="dxa"/>
            <w:vAlign w:val="center"/>
          </w:tcPr>
          <w:p>
            <w:pPr>
              <w:snapToGrid w:val="0"/>
              <w:spacing w:line="300" w:lineRule="auto"/>
              <w:jc w:val="center"/>
              <w:rPr>
                <w:sz w:val="18"/>
                <w:szCs w:val="18"/>
              </w:rPr>
            </w:pPr>
            <w:r>
              <w:rPr>
                <w:sz w:val="18"/>
                <w:szCs w:val="18"/>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657"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39" w:type="dxa"/>
            <w:vAlign w:val="center"/>
          </w:tcPr>
          <w:p>
            <w:pPr>
              <w:snapToGrid w:val="0"/>
              <w:spacing w:line="300" w:lineRule="auto"/>
              <w:jc w:val="center"/>
              <w:rPr>
                <w:sz w:val="18"/>
                <w:szCs w:val="18"/>
              </w:rPr>
            </w:pPr>
            <w:r>
              <w:rPr>
                <w:sz w:val="18"/>
                <w:szCs w:val="18"/>
              </w:rPr>
              <w:t>作业</w:t>
            </w:r>
          </w:p>
        </w:tc>
        <w:tc>
          <w:tcPr>
            <w:tcW w:w="540" w:type="dxa"/>
            <w:vAlign w:val="center"/>
          </w:tcPr>
          <w:p>
            <w:pPr>
              <w:snapToGrid w:val="0"/>
              <w:spacing w:line="300" w:lineRule="auto"/>
              <w:jc w:val="center"/>
              <w:rPr>
                <w:sz w:val="18"/>
                <w:szCs w:val="18"/>
              </w:rPr>
            </w:pPr>
            <w:r>
              <w:rPr>
                <w:sz w:val="18"/>
                <w:szCs w:val="18"/>
              </w:rPr>
              <w:t>0.5</w:t>
            </w:r>
          </w:p>
        </w:tc>
        <w:tc>
          <w:tcPr>
            <w:tcW w:w="3339"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992" w:type="dxa"/>
            <w:vAlign w:val="center"/>
          </w:tcPr>
          <w:p>
            <w:pPr>
              <w:snapToGrid w:val="0"/>
              <w:spacing w:line="300" w:lineRule="auto"/>
              <w:jc w:val="center"/>
              <w:rPr>
                <w:sz w:val="18"/>
                <w:szCs w:val="18"/>
              </w:rPr>
            </w:pPr>
            <w:r>
              <w:rPr>
                <w:sz w:val="18"/>
                <w:szCs w:val="18"/>
              </w:rPr>
              <w:t>1、2、3、4</w:t>
            </w:r>
          </w:p>
        </w:tc>
        <w:tc>
          <w:tcPr>
            <w:tcW w:w="1043" w:type="dxa"/>
            <w:vAlign w:val="center"/>
          </w:tcPr>
          <w:p>
            <w:pPr>
              <w:snapToGrid w:val="0"/>
              <w:spacing w:line="300" w:lineRule="auto"/>
              <w:jc w:val="center"/>
              <w:rPr>
                <w:sz w:val="18"/>
                <w:szCs w:val="18"/>
              </w:rPr>
            </w:pPr>
            <w:r>
              <w:rPr>
                <w:sz w:val="18"/>
                <w:szCs w:val="18"/>
              </w:rPr>
              <w:t>1.1，2.1，3.1，4.3，12.1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right"/>
        </w:trPr>
        <w:tc>
          <w:tcPr>
            <w:tcW w:w="657" w:type="dxa"/>
            <w:vAlign w:val="center"/>
          </w:tcPr>
          <w:p>
            <w:pPr>
              <w:snapToGrid w:val="0"/>
              <w:spacing w:line="300" w:lineRule="auto"/>
              <w:rPr>
                <w:sz w:val="18"/>
                <w:szCs w:val="18"/>
              </w:rPr>
            </w:pPr>
            <w:r>
              <w:rPr>
                <w:sz w:val="18"/>
                <w:szCs w:val="18"/>
              </w:rPr>
              <w:t>期末考试成绩</w:t>
            </w:r>
          </w:p>
        </w:tc>
        <w:tc>
          <w:tcPr>
            <w:tcW w:w="656" w:type="dxa"/>
            <w:vAlign w:val="center"/>
          </w:tcPr>
          <w:p>
            <w:pPr>
              <w:snapToGrid w:val="0"/>
              <w:spacing w:line="300" w:lineRule="auto"/>
              <w:rPr>
                <w:sz w:val="18"/>
                <w:szCs w:val="18"/>
              </w:rPr>
            </w:pPr>
            <w:r>
              <w:rPr>
                <w:sz w:val="18"/>
                <w:szCs w:val="18"/>
              </w:rPr>
              <w:t>100</w:t>
            </w:r>
          </w:p>
        </w:tc>
        <w:tc>
          <w:tcPr>
            <w:tcW w:w="656" w:type="dxa"/>
            <w:vAlign w:val="center"/>
          </w:tcPr>
          <w:p>
            <w:pPr>
              <w:snapToGrid w:val="0"/>
              <w:spacing w:line="300" w:lineRule="auto"/>
              <w:rPr>
                <w:sz w:val="18"/>
                <w:szCs w:val="18"/>
              </w:rPr>
            </w:pPr>
            <w:r>
              <w:rPr>
                <w:sz w:val="18"/>
                <w:szCs w:val="18"/>
              </w:rPr>
              <w:t>0.7</w:t>
            </w:r>
          </w:p>
        </w:tc>
        <w:tc>
          <w:tcPr>
            <w:tcW w:w="639" w:type="dxa"/>
            <w:vAlign w:val="center"/>
          </w:tcPr>
          <w:p>
            <w:pPr>
              <w:snapToGrid w:val="0"/>
              <w:spacing w:line="300" w:lineRule="auto"/>
              <w:jc w:val="left"/>
              <w:rPr>
                <w:sz w:val="18"/>
                <w:szCs w:val="18"/>
              </w:rPr>
            </w:pPr>
            <w:r>
              <w:rPr>
                <w:sz w:val="18"/>
                <w:szCs w:val="18"/>
              </w:rPr>
              <w:t>闭卷考试</w:t>
            </w:r>
          </w:p>
        </w:tc>
        <w:tc>
          <w:tcPr>
            <w:tcW w:w="540" w:type="dxa"/>
            <w:vAlign w:val="center"/>
          </w:tcPr>
          <w:p>
            <w:pPr>
              <w:snapToGrid w:val="0"/>
              <w:spacing w:line="300" w:lineRule="auto"/>
              <w:rPr>
                <w:sz w:val="18"/>
                <w:szCs w:val="18"/>
              </w:rPr>
            </w:pPr>
            <w:r>
              <w:rPr>
                <w:sz w:val="18"/>
                <w:szCs w:val="18"/>
              </w:rPr>
              <w:t>1</w:t>
            </w:r>
          </w:p>
        </w:tc>
        <w:tc>
          <w:tcPr>
            <w:tcW w:w="3339"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(2)建议考试题型包括：选择题、填空题、分析判断、综合计算题、证明题等其中某几种题型。</w:t>
            </w:r>
          </w:p>
        </w:tc>
        <w:tc>
          <w:tcPr>
            <w:tcW w:w="992" w:type="dxa"/>
            <w:vAlign w:val="center"/>
          </w:tcPr>
          <w:p>
            <w:pPr>
              <w:snapToGrid w:val="0"/>
              <w:spacing w:line="300" w:lineRule="auto"/>
              <w:jc w:val="center"/>
              <w:rPr>
                <w:sz w:val="18"/>
                <w:szCs w:val="18"/>
              </w:rPr>
            </w:pPr>
            <w:r>
              <w:rPr>
                <w:sz w:val="18"/>
                <w:szCs w:val="18"/>
              </w:rPr>
              <w:t>1、2、3、4</w:t>
            </w:r>
          </w:p>
        </w:tc>
        <w:tc>
          <w:tcPr>
            <w:tcW w:w="1043" w:type="dxa"/>
            <w:vAlign w:val="center"/>
          </w:tcPr>
          <w:p>
            <w:pPr>
              <w:snapToGrid w:val="0"/>
              <w:spacing w:line="300" w:lineRule="auto"/>
              <w:jc w:val="center"/>
              <w:rPr>
                <w:sz w:val="18"/>
                <w:szCs w:val="18"/>
              </w:rPr>
            </w:pPr>
            <w:r>
              <w:rPr>
                <w:sz w:val="18"/>
                <w:szCs w:val="18"/>
              </w:rPr>
              <w:t>1.1，2.1，3.1，4.3，12.1</w:t>
            </w:r>
          </w:p>
        </w:tc>
      </w:tr>
    </w:tbl>
    <w:p>
      <w:pPr>
        <w:snapToGrid w:val="0"/>
        <w:spacing w:before="159" w:beforeLines="50" w:after="159" w:afterLines="50" w:line="300" w:lineRule="auto"/>
        <w:rPr>
          <w:rFonts w:eastAsia="等线"/>
          <w:b/>
          <w:sz w:val="24"/>
        </w:rPr>
      </w:pPr>
      <w:r>
        <w:rPr>
          <w:rFonts w:eastAsia="等线"/>
          <w:b/>
          <w:sz w:val="24"/>
        </w:rPr>
        <w:t>六、课程教学目标达成情况评价</w:t>
      </w:r>
    </w:p>
    <w:p>
      <w:pPr>
        <w:snapToGrid w:val="0"/>
        <w:spacing w:line="300" w:lineRule="auto"/>
        <w:ind w:firstLine="420" w:firstLineChars="200"/>
        <w:rPr>
          <w:szCs w:val="21"/>
        </w:rPr>
      </w:pPr>
      <w:r>
        <w:rPr>
          <w:szCs w:val="21"/>
        </w:rPr>
        <w:t>1</w:t>
      </w:r>
      <w:r>
        <w:t>．</w:t>
      </w:r>
      <w:r>
        <w:rPr>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rPr>
          <w:rFonts w:eastAsia="等线"/>
        </w:rPr>
      </w:pPr>
      <w:r>
        <w:rPr>
          <w:position w:val="-24"/>
        </w:rPr>
        <w:object>
          <v:shape id="_x0000_i1029" o:spt="75" type="#_x0000_t75" style="height:29.25pt;width:344.25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rPr>
          <w:rFonts w:eastAsia="等线"/>
        </w:rPr>
      </w:pPr>
      <w:r>
        <w:rPr>
          <w:rFonts w:eastAsia="等线"/>
        </w:rPr>
        <w:t xml:space="preserve"> </w:t>
      </w:r>
      <w:r>
        <w:rPr>
          <w:position w:val="-14"/>
        </w:rPr>
        <w:object>
          <v:shape id="_x0000_i1030" o:spt="75" type="#_x0000_t75" style="height:19.5pt;width:231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33">
            <o:LockedField>false</o:LockedField>
          </o:OLEObject>
        </w:object>
      </w:r>
    </w:p>
    <w:p>
      <w:pPr>
        <w:snapToGrid w:val="0"/>
        <w:spacing w:line="300" w:lineRule="auto"/>
      </w:pPr>
      <w:r>
        <w:t>其中权重系数按照表6设定。</w:t>
      </w:r>
    </w:p>
    <w:p>
      <w:pPr>
        <w:snapToGrid w:val="0"/>
        <w:spacing w:line="300" w:lineRule="auto"/>
        <w:jc w:val="center"/>
        <w:rPr>
          <w:b/>
          <w:bCs/>
          <w:sz w:val="18"/>
          <w:szCs w:val="18"/>
        </w:rPr>
      </w:pPr>
      <w:r>
        <w:rPr>
          <w:b/>
          <w:bCs/>
          <w:sz w:val="18"/>
          <w:szCs w:val="18"/>
        </w:rPr>
        <w:t>表6课程目标权重系数</w:t>
      </w:r>
    </w:p>
    <w:tbl>
      <w:tblPr>
        <w:tblStyle w:val="22"/>
        <w:tblW w:w="6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06"/>
        <w:gridCol w:w="1273"/>
        <w:gridCol w:w="1509"/>
        <w:gridCol w:w="149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206" w:type="dxa"/>
            <w:vAlign w:val="center"/>
          </w:tcPr>
          <w:p>
            <w:pPr>
              <w:snapToGrid w:val="0"/>
              <w:spacing w:line="300" w:lineRule="auto"/>
              <w:jc w:val="center"/>
              <w:rPr>
                <w:b/>
                <w:bCs/>
                <w:sz w:val="18"/>
                <w:szCs w:val="18"/>
              </w:rPr>
            </w:pPr>
            <w:r>
              <w:rPr>
                <w:b/>
                <w:bCs/>
                <w:sz w:val="18"/>
                <w:szCs w:val="18"/>
              </w:rPr>
              <w:t>课程目标</w:t>
            </w:r>
          </w:p>
        </w:tc>
        <w:tc>
          <w:tcPr>
            <w:tcW w:w="1273" w:type="dxa"/>
            <w:vAlign w:val="center"/>
          </w:tcPr>
          <w:p>
            <w:pPr>
              <w:snapToGrid w:val="0"/>
              <w:spacing w:line="300" w:lineRule="auto"/>
              <w:jc w:val="center"/>
              <w:rPr>
                <w:sz w:val="18"/>
                <w:szCs w:val="18"/>
              </w:rPr>
            </w:pPr>
            <w:r>
              <w:rPr>
                <w:sz w:val="18"/>
                <w:szCs w:val="18"/>
              </w:rPr>
              <w:t>1</w:t>
            </w:r>
          </w:p>
        </w:tc>
        <w:tc>
          <w:tcPr>
            <w:tcW w:w="1509" w:type="dxa"/>
            <w:vAlign w:val="center"/>
          </w:tcPr>
          <w:p>
            <w:pPr>
              <w:snapToGrid w:val="0"/>
              <w:spacing w:line="300" w:lineRule="auto"/>
              <w:jc w:val="center"/>
              <w:rPr>
                <w:sz w:val="18"/>
                <w:szCs w:val="18"/>
              </w:rPr>
            </w:pPr>
            <w:r>
              <w:rPr>
                <w:sz w:val="18"/>
                <w:szCs w:val="18"/>
              </w:rPr>
              <w:t>2</w:t>
            </w:r>
          </w:p>
        </w:tc>
        <w:tc>
          <w:tcPr>
            <w:tcW w:w="1495" w:type="dxa"/>
            <w:vAlign w:val="center"/>
          </w:tcPr>
          <w:p>
            <w:pPr>
              <w:snapToGrid w:val="0"/>
              <w:spacing w:line="300" w:lineRule="auto"/>
              <w:jc w:val="center"/>
              <w:rPr>
                <w:sz w:val="18"/>
                <w:szCs w:val="18"/>
              </w:rPr>
            </w:pPr>
            <w:r>
              <w:rPr>
                <w:sz w:val="18"/>
                <w:szCs w:val="18"/>
              </w:rPr>
              <w:t>3</w:t>
            </w:r>
          </w:p>
        </w:tc>
        <w:tc>
          <w:tcPr>
            <w:tcW w:w="1496" w:type="dxa"/>
            <w:vAlign w:val="center"/>
          </w:tcPr>
          <w:p>
            <w:pPr>
              <w:snapToGrid w:val="0"/>
              <w:spacing w:line="300" w:lineRule="auto"/>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206" w:type="dxa"/>
            <w:vAlign w:val="center"/>
          </w:tcPr>
          <w:p>
            <w:pPr>
              <w:snapToGrid w:val="0"/>
              <w:spacing w:line="300" w:lineRule="auto"/>
              <w:jc w:val="center"/>
              <w:rPr>
                <w:b/>
                <w:bCs/>
                <w:sz w:val="18"/>
                <w:szCs w:val="18"/>
              </w:rPr>
            </w:pPr>
            <w:r>
              <w:rPr>
                <w:b/>
                <w:bCs/>
                <w:sz w:val="18"/>
                <w:szCs w:val="18"/>
              </w:rPr>
              <w:t>权重系数</w:t>
            </w:r>
          </w:p>
        </w:tc>
        <w:tc>
          <w:tcPr>
            <w:tcW w:w="1273" w:type="dxa"/>
            <w:vAlign w:val="center"/>
          </w:tcPr>
          <w:p>
            <w:pPr>
              <w:snapToGrid w:val="0"/>
              <w:spacing w:line="300" w:lineRule="auto"/>
              <w:jc w:val="center"/>
              <w:rPr>
                <w:sz w:val="18"/>
                <w:szCs w:val="18"/>
              </w:rPr>
            </w:pPr>
            <w:r>
              <w:rPr>
                <w:sz w:val="18"/>
                <w:szCs w:val="18"/>
              </w:rPr>
              <w:t>0.4</w:t>
            </w:r>
          </w:p>
        </w:tc>
        <w:tc>
          <w:tcPr>
            <w:tcW w:w="1509" w:type="dxa"/>
            <w:vAlign w:val="center"/>
          </w:tcPr>
          <w:p>
            <w:pPr>
              <w:snapToGrid w:val="0"/>
              <w:spacing w:line="300" w:lineRule="auto"/>
              <w:jc w:val="center"/>
              <w:rPr>
                <w:sz w:val="18"/>
                <w:szCs w:val="18"/>
              </w:rPr>
            </w:pPr>
            <w:r>
              <w:rPr>
                <w:sz w:val="18"/>
                <w:szCs w:val="18"/>
              </w:rPr>
              <w:t>0.3</w:t>
            </w:r>
          </w:p>
        </w:tc>
        <w:tc>
          <w:tcPr>
            <w:tcW w:w="1495" w:type="dxa"/>
            <w:vAlign w:val="center"/>
          </w:tcPr>
          <w:p>
            <w:pPr>
              <w:snapToGrid w:val="0"/>
              <w:spacing w:line="300" w:lineRule="auto"/>
              <w:jc w:val="center"/>
              <w:rPr>
                <w:sz w:val="18"/>
                <w:szCs w:val="18"/>
              </w:rPr>
            </w:pPr>
            <w:r>
              <w:rPr>
                <w:sz w:val="18"/>
                <w:szCs w:val="18"/>
              </w:rPr>
              <w:t>0.15</w:t>
            </w:r>
          </w:p>
        </w:tc>
        <w:tc>
          <w:tcPr>
            <w:tcW w:w="1496" w:type="dxa"/>
            <w:vAlign w:val="center"/>
          </w:tcPr>
          <w:p>
            <w:pPr>
              <w:snapToGrid w:val="0"/>
              <w:spacing w:line="300" w:lineRule="auto"/>
              <w:jc w:val="center"/>
              <w:rPr>
                <w:sz w:val="18"/>
                <w:szCs w:val="18"/>
              </w:rPr>
            </w:pPr>
            <w:r>
              <w:rPr>
                <w:sz w:val="18"/>
                <w:szCs w:val="18"/>
              </w:rPr>
              <w:t>0.05</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rPr>
          <w:rFonts w:eastAsia="等线"/>
        </w:rPr>
      </w:pPr>
      <w:r>
        <w:rPr>
          <w:position w:val="-14"/>
        </w:rPr>
        <w:object>
          <v:shape id="_x0000_i1031" o:spt="75" type="#_x0000_t75" style="height:20.25pt;width:270.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34">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依据达成情况评价、教师自评、学生评价，以及课程教学情况、考试情况，对课程进行有针对性的总结，每学年撰写试卷分析、课程总结与自我评价表，提出持续改进课程教学的措施。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pPr>
      <w:r>
        <w:t>1．教材</w:t>
      </w:r>
    </w:p>
    <w:p>
      <w:pPr>
        <w:snapToGrid w:val="0"/>
        <w:spacing w:line="300" w:lineRule="auto"/>
        <w:ind w:firstLine="420" w:firstLineChars="200"/>
        <w:rPr>
          <w:szCs w:val="21"/>
        </w:rPr>
      </w:pPr>
      <w:r>
        <w:rPr>
          <w:szCs w:val="21"/>
        </w:rPr>
        <w:t>[1] 同济大学数学系编. 《工程数学_线性代数》（第六版）[M]，北京：高等教育出版社出版，2014。</w:t>
      </w:r>
    </w:p>
    <w:p>
      <w:pPr>
        <w:snapToGrid w:val="0"/>
        <w:spacing w:line="300" w:lineRule="auto"/>
        <w:ind w:firstLine="420" w:firstLineChars="200"/>
      </w:pPr>
      <w:r>
        <w:t>2．参考资料</w:t>
      </w:r>
    </w:p>
    <w:p>
      <w:pPr>
        <w:snapToGrid w:val="0"/>
        <w:spacing w:line="300" w:lineRule="auto"/>
        <w:ind w:firstLine="420" w:firstLineChars="200"/>
      </w:pPr>
      <w:r>
        <w:t>[1] 同济大学数学系编. 《线性代数附册-学习辅导与习题全解》（第六版），北京：高等教育出版社出版，2014。</w:t>
      </w:r>
    </w:p>
    <w:p>
      <w:pPr>
        <w:snapToGrid w:val="0"/>
        <w:spacing w:line="300" w:lineRule="auto"/>
        <w:ind w:firstLine="420" w:firstLineChars="200"/>
        <w:rPr>
          <w:szCs w:val="21"/>
        </w:rPr>
      </w:pPr>
      <w:r>
        <w:rPr>
          <w:szCs w:val="21"/>
        </w:rPr>
        <w:t>[2] http://abook.hep.com.cn/21218</w:t>
      </w:r>
    </w:p>
    <w:p>
      <w:pPr>
        <w:snapToGrid w:val="0"/>
        <w:spacing w:line="300" w:lineRule="auto"/>
        <w:ind w:firstLine="420" w:firstLineChars="200"/>
        <w:rPr>
          <w:szCs w:val="21"/>
        </w:rPr>
      </w:pP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eastAsia="等线"/>
                <w:kern w:val="0"/>
                <w:sz w:val="20"/>
                <w:szCs w:val="21"/>
              </w:rPr>
            </w:pPr>
            <w:r>
              <w:rPr>
                <w:rFonts w:eastAsia="等线"/>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eastAsia="等线"/>
                <w:kern w:val="0"/>
                <w:sz w:val="20"/>
                <w:szCs w:val="21"/>
              </w:rPr>
            </w:pPr>
            <w:r>
              <w:rPr>
                <w:rFonts w:eastAsia="等线"/>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eastAsia="等线"/>
                <w:kern w:val="0"/>
                <w:sz w:val="20"/>
                <w:szCs w:val="21"/>
              </w:rPr>
            </w:pPr>
            <w:r>
              <w:rPr>
                <w:rFonts w:eastAsia="等线"/>
                <w:kern w:val="0"/>
                <w:sz w:val="20"/>
                <w:szCs w:val="21"/>
              </w:rPr>
              <w:t>日 期：</w:t>
            </w:r>
            <w:r>
              <w:rPr>
                <w:kern w:val="0"/>
                <w:sz w:val="20"/>
                <w:szCs w:val="21"/>
              </w:rPr>
              <w:t>2022.0</w:t>
            </w:r>
            <w:r>
              <w:rPr>
                <w:rFonts w:hint="eastAsia"/>
                <w:kern w:val="0"/>
                <w:sz w:val="20"/>
                <w:szCs w:val="21"/>
              </w:rPr>
              <w:t>4.20</w:t>
            </w:r>
          </w:p>
        </w:tc>
      </w:tr>
    </w:tbl>
    <w:p>
      <w:pPr>
        <w:snapToGrid w:val="0"/>
        <w:spacing w:line="300" w:lineRule="auto"/>
        <w:ind w:firstLine="420" w:firstLineChars="200"/>
        <w:rPr>
          <w:szCs w:val="21"/>
          <w:shd w:val="clear" w:color="auto" w:fill="FEFEFF"/>
        </w:rPr>
      </w:pPr>
    </w:p>
    <w:p>
      <w:pPr>
        <w:widowControl/>
        <w:jc w:val="left"/>
        <w:rPr>
          <w:b/>
          <w:sz w:val="32"/>
        </w:rPr>
      </w:pPr>
    </w:p>
    <w:p/>
    <w:p>
      <w:pPr>
        <w:sectPr>
          <w:footerReference r:id="rId10" w:type="default"/>
          <w:pgSz w:w="11906" w:h="16838"/>
          <w:pgMar w:top="1417" w:right="1361" w:bottom="1417" w:left="1361" w:header="851" w:footer="992" w:gutter="0"/>
          <w:pgNumType w:start="1"/>
          <w:cols w:space="720" w:num="1"/>
          <w:docGrid w:type="lines" w:linePitch="318" w:charSpace="0"/>
        </w:sectPr>
      </w:pPr>
      <w:r>
        <w:rPr>
          <w:rFonts w:hint="eastAsia"/>
        </w:rPr>
        <w:br w:type="textWrapping"/>
      </w:r>
    </w:p>
    <w:p>
      <w:pPr>
        <w:pStyle w:val="3"/>
        <w:jc w:val="center"/>
        <w:rPr>
          <w:rFonts w:ascii="Times New Roman" w:hAnsi="Times New Roman" w:eastAsia="宋体" w:cs="Times New Roman"/>
        </w:rPr>
      </w:pPr>
      <w:bookmarkStart w:id="12" w:name="_Toc30148"/>
      <w:bookmarkStart w:id="13" w:name="_Toc24411"/>
      <w:r>
        <w:rPr>
          <w:rFonts w:ascii="Times New Roman" w:hAnsi="Times New Roman" w:eastAsia="宋体" w:cs="Times New Roman"/>
        </w:rPr>
        <w:t>33410301x2《</w:t>
      </w:r>
      <w:r>
        <w:rPr>
          <w:rFonts w:hint="eastAsia" w:ascii="Times New Roman" w:hAnsi="Times New Roman" w:eastAsia="宋体" w:cs="Times New Roman"/>
        </w:rPr>
        <w:t>工程数学</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 2 \* ROMAN</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ascii="Times New Roman" w:hAnsi="Times New Roman" w:eastAsia="宋体" w:cs="Times New Roman"/>
        </w:rPr>
        <w:t>II</w:t>
      </w:r>
      <w:r>
        <w:rPr>
          <w:rFonts w:ascii="Times New Roman" w:hAnsi="Times New Roman" w:eastAsia="宋体" w:cs="Times New Roman"/>
        </w:rPr>
        <w:fldChar w:fldCharType="end"/>
      </w:r>
      <w:r>
        <w:rPr>
          <w:rFonts w:ascii="Times New Roman" w:hAnsi="Times New Roman" w:eastAsia="宋体" w:cs="Times New Roman"/>
        </w:rPr>
        <w:t>》课程教学大纲</w:t>
      </w:r>
      <w:bookmarkEnd w:id="12"/>
      <w:bookmarkEnd w:id="13"/>
    </w:p>
    <w:tbl>
      <w:tblPr>
        <w:tblStyle w:val="22"/>
        <w:tblW w:w="5000" w:type="pct"/>
        <w:tblInd w:w="1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59"/>
        <w:gridCol w:w="3726"/>
        <w:gridCol w:w="1297"/>
        <w:gridCol w:w="29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776" w:type="pct"/>
          </w:tcPr>
          <w:p>
            <w:pPr>
              <w:jc w:val="center"/>
              <w:rPr>
                <w:szCs w:val="21"/>
              </w:rPr>
            </w:pPr>
            <w:r>
              <w:rPr>
                <w:szCs w:val="21"/>
              </w:rPr>
              <w:t>课程编号</w:t>
            </w:r>
          </w:p>
        </w:tc>
        <w:tc>
          <w:tcPr>
            <w:tcW w:w="1982" w:type="pct"/>
          </w:tcPr>
          <w:p>
            <w:pPr>
              <w:jc w:val="center"/>
              <w:rPr>
                <w:szCs w:val="21"/>
              </w:rPr>
            </w:pPr>
            <w:r>
              <w:rPr>
                <w:szCs w:val="21"/>
              </w:rPr>
              <w:t>33410301x2</w:t>
            </w:r>
          </w:p>
        </w:tc>
        <w:tc>
          <w:tcPr>
            <w:tcW w:w="690" w:type="pct"/>
          </w:tcPr>
          <w:p>
            <w:pPr>
              <w:jc w:val="center"/>
              <w:rPr>
                <w:szCs w:val="21"/>
              </w:rPr>
            </w:pPr>
            <w:r>
              <w:rPr>
                <w:szCs w:val="21"/>
              </w:rPr>
              <w:t>课程名称</w:t>
            </w:r>
          </w:p>
        </w:tc>
        <w:tc>
          <w:tcPr>
            <w:tcW w:w="1552" w:type="pct"/>
          </w:tcPr>
          <w:p>
            <w:pPr>
              <w:jc w:val="center"/>
              <w:rPr>
                <w:szCs w:val="21"/>
              </w:rPr>
            </w:pPr>
            <w:r>
              <w:rPr>
                <w:szCs w:val="21"/>
              </w:rPr>
              <w:t>工程数学x2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76" w:type="pct"/>
          </w:tcPr>
          <w:p>
            <w:pPr>
              <w:jc w:val="center"/>
              <w:rPr>
                <w:szCs w:val="21"/>
              </w:rPr>
            </w:pPr>
            <w:r>
              <w:rPr>
                <w:szCs w:val="21"/>
              </w:rPr>
              <w:t>课程性质</w:t>
            </w:r>
            <w:r>
              <w:t>*</w:t>
            </w:r>
          </w:p>
        </w:tc>
        <w:tc>
          <w:tcPr>
            <w:tcW w:w="1982" w:type="pct"/>
          </w:tcPr>
          <w:p>
            <w:pPr>
              <w:jc w:val="center"/>
              <w:rPr>
                <w:szCs w:val="21"/>
              </w:rPr>
            </w:pPr>
            <w:r>
              <w:rPr>
                <w:szCs w:val="21"/>
              </w:rPr>
              <w:t>通识教育核心课程</w:t>
            </w:r>
          </w:p>
        </w:tc>
        <w:tc>
          <w:tcPr>
            <w:tcW w:w="690" w:type="pct"/>
          </w:tcPr>
          <w:p>
            <w:pPr>
              <w:jc w:val="center"/>
              <w:rPr>
                <w:szCs w:val="21"/>
              </w:rPr>
            </w:pPr>
            <w:r>
              <w:rPr>
                <w:szCs w:val="21"/>
              </w:rPr>
              <w:t>英文名称</w:t>
            </w:r>
          </w:p>
        </w:tc>
        <w:tc>
          <w:tcPr>
            <w:tcW w:w="1552" w:type="pct"/>
            <w:vAlign w:val="center"/>
          </w:tcPr>
          <w:p>
            <w:pPr>
              <w:jc w:val="center"/>
              <w:rPr>
                <w:bCs/>
                <w:szCs w:val="21"/>
              </w:rPr>
            </w:pPr>
            <w:r>
              <w:rPr>
                <w:szCs w:val="21"/>
              </w:rPr>
              <w:t>Engineering Mathematics _II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trPr>
        <w:tc>
          <w:tcPr>
            <w:tcW w:w="776" w:type="pct"/>
          </w:tcPr>
          <w:p>
            <w:pPr>
              <w:jc w:val="center"/>
              <w:rPr>
                <w:szCs w:val="21"/>
              </w:rPr>
            </w:pPr>
            <w:r>
              <w:rPr>
                <w:szCs w:val="21"/>
              </w:rPr>
              <w:t>学分学时</w:t>
            </w:r>
          </w:p>
        </w:tc>
        <w:tc>
          <w:tcPr>
            <w:tcW w:w="1982" w:type="pct"/>
          </w:tcPr>
          <w:p>
            <w:pPr>
              <w:jc w:val="center"/>
              <w:rPr>
                <w:szCs w:val="21"/>
              </w:rPr>
            </w:pPr>
            <w:r>
              <w:rPr>
                <w:bCs/>
                <w:szCs w:val="21"/>
              </w:rPr>
              <w:t xml:space="preserve">3 </w:t>
            </w:r>
            <w:r>
              <w:rPr>
                <w:rFonts w:hint="eastAsia"/>
                <w:szCs w:val="21"/>
              </w:rPr>
              <w:t>;</w:t>
            </w:r>
            <w:r>
              <w:rPr>
                <w:szCs w:val="21"/>
              </w:rPr>
              <w:t xml:space="preserve"> 48</w:t>
            </w:r>
          </w:p>
        </w:tc>
        <w:tc>
          <w:tcPr>
            <w:tcW w:w="690" w:type="pct"/>
          </w:tcPr>
          <w:p>
            <w:pPr>
              <w:jc w:val="center"/>
              <w:rPr>
                <w:szCs w:val="21"/>
              </w:rPr>
            </w:pPr>
            <w:r>
              <w:rPr>
                <w:szCs w:val="21"/>
              </w:rPr>
              <w:t>任课教师</w:t>
            </w:r>
          </w:p>
        </w:tc>
        <w:tc>
          <w:tcPr>
            <w:tcW w:w="1552" w:type="pct"/>
          </w:tcPr>
          <w:p>
            <w:pPr>
              <w:jc w:val="center"/>
              <w:rPr>
                <w:szCs w:val="21"/>
              </w:rPr>
            </w:pPr>
            <w:r>
              <w:rPr>
                <w:rFonts w:hint="eastAsia"/>
                <w:szCs w:val="21"/>
              </w:rPr>
              <w:t>郭磊、王峰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776" w:type="pct"/>
          </w:tcPr>
          <w:p>
            <w:pPr>
              <w:jc w:val="center"/>
              <w:rPr>
                <w:bCs/>
                <w:szCs w:val="21"/>
              </w:rPr>
            </w:pPr>
            <w:r>
              <w:rPr>
                <w:bCs/>
                <w:szCs w:val="21"/>
              </w:rPr>
              <w:t>企业专家</w:t>
            </w:r>
          </w:p>
        </w:tc>
        <w:tc>
          <w:tcPr>
            <w:tcW w:w="1982" w:type="pct"/>
          </w:tcPr>
          <w:p>
            <w:pPr>
              <w:widowControl/>
              <w:jc w:val="center"/>
              <w:rPr>
                <w:szCs w:val="21"/>
              </w:rPr>
            </w:pPr>
            <w:r>
              <w:rPr>
                <w:szCs w:val="21"/>
              </w:rPr>
              <w:t>曾耿滨</w:t>
            </w:r>
          </w:p>
        </w:tc>
        <w:tc>
          <w:tcPr>
            <w:tcW w:w="690" w:type="pct"/>
          </w:tcPr>
          <w:p>
            <w:pPr>
              <w:jc w:val="center"/>
              <w:rPr>
                <w:bCs/>
                <w:szCs w:val="21"/>
              </w:rPr>
            </w:pPr>
            <w:r>
              <w:rPr>
                <w:bCs/>
                <w:szCs w:val="21"/>
              </w:rPr>
              <w:t>行业专家</w:t>
            </w:r>
          </w:p>
        </w:tc>
        <w:tc>
          <w:tcPr>
            <w:tcW w:w="1552" w:type="pct"/>
          </w:tcPr>
          <w:p>
            <w:pPr>
              <w:widowControl/>
              <w:jc w:val="center"/>
              <w:rPr>
                <w:szCs w:val="21"/>
              </w:rPr>
            </w:pPr>
            <w:r>
              <w:rPr>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776" w:type="pct"/>
          </w:tcPr>
          <w:p>
            <w:pPr>
              <w:widowControl/>
              <w:jc w:val="center"/>
              <w:rPr>
                <w:bCs/>
                <w:szCs w:val="21"/>
              </w:rPr>
            </w:pPr>
            <w:r>
              <w:rPr>
                <w:bCs/>
                <w:szCs w:val="21"/>
              </w:rPr>
              <w:t>执笔教师</w:t>
            </w:r>
          </w:p>
        </w:tc>
        <w:tc>
          <w:tcPr>
            <w:tcW w:w="1982" w:type="pct"/>
          </w:tcPr>
          <w:p>
            <w:pPr>
              <w:widowControl/>
              <w:jc w:val="center"/>
              <w:rPr>
                <w:szCs w:val="21"/>
              </w:rPr>
            </w:pPr>
            <w:r>
              <w:rPr>
                <w:rFonts w:hint="eastAsia"/>
                <w:szCs w:val="21"/>
              </w:rPr>
              <w:t>郭磊、王峰</w:t>
            </w:r>
          </w:p>
        </w:tc>
        <w:tc>
          <w:tcPr>
            <w:tcW w:w="690" w:type="pct"/>
          </w:tcPr>
          <w:p>
            <w:pPr>
              <w:widowControl/>
              <w:jc w:val="center"/>
              <w:rPr>
                <w:bCs/>
                <w:szCs w:val="21"/>
              </w:rPr>
            </w:pPr>
            <w:r>
              <w:rPr>
                <w:bCs/>
                <w:szCs w:val="21"/>
              </w:rPr>
              <w:t>责任教授</w:t>
            </w:r>
          </w:p>
        </w:tc>
        <w:tc>
          <w:tcPr>
            <w:tcW w:w="1552" w:type="pct"/>
          </w:tcPr>
          <w:p>
            <w:pPr>
              <w:widowControl/>
              <w:jc w:val="center"/>
              <w:rPr>
                <w:szCs w:val="21"/>
              </w:rPr>
            </w:pPr>
            <w:r>
              <w:rPr>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776" w:type="pct"/>
            <w:tcBorders>
              <w:bottom w:val="single" w:color="auto" w:sz="4" w:space="0"/>
            </w:tcBorders>
          </w:tcPr>
          <w:p>
            <w:pPr>
              <w:widowControl/>
              <w:jc w:val="center"/>
              <w:rPr>
                <w:bCs/>
                <w:szCs w:val="21"/>
              </w:rPr>
            </w:pPr>
            <w:r>
              <w:rPr>
                <w:bCs/>
                <w:szCs w:val="21"/>
              </w:rPr>
              <w:t>适用专业</w:t>
            </w:r>
          </w:p>
        </w:tc>
        <w:tc>
          <w:tcPr>
            <w:tcW w:w="1982" w:type="pct"/>
            <w:tcBorders>
              <w:bottom w:val="single" w:color="auto" w:sz="4" w:space="0"/>
            </w:tcBorders>
          </w:tcPr>
          <w:p>
            <w:pPr>
              <w:widowControl/>
              <w:jc w:val="center"/>
              <w:rPr>
                <w:szCs w:val="21"/>
              </w:rPr>
            </w:pPr>
            <w:r>
              <w:rPr>
                <w:szCs w:val="21"/>
              </w:rPr>
              <w:t>电子信息工程</w:t>
            </w:r>
          </w:p>
        </w:tc>
        <w:tc>
          <w:tcPr>
            <w:tcW w:w="690" w:type="pct"/>
            <w:tcBorders>
              <w:bottom w:val="single" w:color="auto" w:sz="4" w:space="0"/>
            </w:tcBorders>
          </w:tcPr>
          <w:p>
            <w:pPr>
              <w:widowControl/>
              <w:jc w:val="center"/>
              <w:rPr>
                <w:bCs/>
                <w:szCs w:val="21"/>
              </w:rPr>
            </w:pPr>
            <w:r>
              <w:rPr>
                <w:bCs/>
                <w:szCs w:val="21"/>
              </w:rPr>
              <w:t>适用对象</w:t>
            </w:r>
          </w:p>
        </w:tc>
        <w:tc>
          <w:tcPr>
            <w:tcW w:w="1552" w:type="pct"/>
            <w:tcBorders>
              <w:bottom w:val="single" w:color="auto" w:sz="4" w:space="0"/>
            </w:tcBorders>
          </w:tcPr>
          <w:p>
            <w:pPr>
              <w:widowControl/>
              <w:jc w:val="center"/>
              <w:rPr>
                <w:szCs w:val="21"/>
              </w:rPr>
            </w:pPr>
            <w:r>
              <w:rPr>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776" w:type="pct"/>
            <w:tcBorders>
              <w:top w:val="single" w:color="auto" w:sz="4" w:space="0"/>
              <w:bottom w:val="single" w:color="auto" w:sz="4" w:space="0"/>
            </w:tcBorders>
          </w:tcPr>
          <w:p>
            <w:pPr>
              <w:jc w:val="center"/>
              <w:rPr>
                <w:b/>
                <w:szCs w:val="21"/>
              </w:rPr>
            </w:pPr>
            <w:r>
              <w:rPr>
                <w:szCs w:val="21"/>
              </w:rPr>
              <w:t>先修课程</w:t>
            </w:r>
          </w:p>
        </w:tc>
        <w:tc>
          <w:tcPr>
            <w:tcW w:w="1982" w:type="pct"/>
            <w:tcBorders>
              <w:top w:val="single" w:color="auto" w:sz="4" w:space="0"/>
              <w:bottom w:val="single" w:color="auto" w:sz="4" w:space="0"/>
            </w:tcBorders>
            <w:vAlign w:val="center"/>
          </w:tcPr>
          <w:p>
            <w:pPr>
              <w:widowControl/>
              <w:jc w:val="center"/>
              <w:rPr>
                <w:bCs/>
                <w:szCs w:val="21"/>
              </w:rPr>
            </w:pPr>
            <w:r>
              <w:rPr>
                <w:bCs/>
                <w:szCs w:val="21"/>
              </w:rPr>
              <w:t>高等数学</w:t>
            </w:r>
          </w:p>
        </w:tc>
        <w:tc>
          <w:tcPr>
            <w:tcW w:w="690" w:type="pct"/>
            <w:tcBorders>
              <w:top w:val="single" w:color="auto" w:sz="4" w:space="0"/>
              <w:bottom w:val="single" w:color="auto" w:sz="4" w:space="0"/>
            </w:tcBorders>
          </w:tcPr>
          <w:p>
            <w:pPr>
              <w:snapToGrid w:val="0"/>
              <w:spacing w:line="300" w:lineRule="auto"/>
              <w:jc w:val="center"/>
              <w:rPr>
                <w:b/>
                <w:szCs w:val="21"/>
              </w:rPr>
            </w:pPr>
            <w:r>
              <w:rPr>
                <w:szCs w:val="21"/>
              </w:rPr>
              <w:t>同修课程</w:t>
            </w:r>
          </w:p>
        </w:tc>
        <w:tc>
          <w:tcPr>
            <w:tcW w:w="1552" w:type="pct"/>
            <w:tcBorders>
              <w:top w:val="single" w:color="auto" w:sz="4" w:space="0"/>
              <w:bottom w:val="single" w:color="auto" w:sz="4" w:space="0"/>
            </w:tcBorders>
          </w:tcPr>
          <w:p>
            <w:pPr>
              <w:widowControl/>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trPr>
        <w:tc>
          <w:tcPr>
            <w:tcW w:w="776" w:type="pct"/>
            <w:tcBorders>
              <w:top w:val="single" w:color="auto" w:sz="4" w:space="0"/>
            </w:tcBorders>
          </w:tcPr>
          <w:p>
            <w:pPr>
              <w:jc w:val="center"/>
              <w:rPr>
                <w:szCs w:val="21"/>
              </w:rPr>
            </w:pPr>
            <w:r>
              <w:rPr>
                <w:szCs w:val="21"/>
              </w:rPr>
              <w:t>排斥课程</w:t>
            </w:r>
          </w:p>
        </w:tc>
        <w:tc>
          <w:tcPr>
            <w:tcW w:w="1982" w:type="pct"/>
            <w:tcBorders>
              <w:top w:val="single" w:color="auto" w:sz="4" w:space="0"/>
            </w:tcBorders>
          </w:tcPr>
          <w:p>
            <w:pPr>
              <w:widowControl/>
              <w:jc w:val="center"/>
              <w:rPr>
                <w:szCs w:val="21"/>
              </w:rPr>
            </w:pPr>
            <w:r>
              <w:rPr>
                <w:szCs w:val="21"/>
              </w:rPr>
              <w:t>无</w:t>
            </w:r>
          </w:p>
        </w:tc>
        <w:tc>
          <w:tcPr>
            <w:tcW w:w="690" w:type="pct"/>
            <w:tcBorders>
              <w:top w:val="single" w:color="auto" w:sz="4" w:space="0"/>
            </w:tcBorders>
          </w:tcPr>
          <w:p>
            <w:pPr>
              <w:snapToGrid w:val="0"/>
              <w:spacing w:line="300" w:lineRule="auto"/>
              <w:jc w:val="center"/>
              <w:rPr>
                <w:szCs w:val="21"/>
              </w:rPr>
            </w:pPr>
            <w:r>
              <w:rPr>
                <w:szCs w:val="21"/>
              </w:rPr>
              <w:t>定稿日期</w:t>
            </w:r>
          </w:p>
        </w:tc>
        <w:tc>
          <w:tcPr>
            <w:tcW w:w="1552" w:type="pct"/>
            <w:tcBorders>
              <w:top w:val="single" w:color="auto" w:sz="4" w:space="0"/>
            </w:tcBorders>
          </w:tcPr>
          <w:p>
            <w:pPr>
              <w:widowControl/>
              <w:jc w:val="center"/>
              <w:rPr>
                <w:szCs w:val="21"/>
              </w:rPr>
            </w:pPr>
            <w:r>
              <w:rPr>
                <w:rFonts w:hint="eastAsia"/>
                <w:kern w:val="0"/>
                <w:szCs w:val="21"/>
              </w:rPr>
              <w:t>2022.5.10</w:t>
            </w:r>
          </w:p>
        </w:tc>
      </w:tr>
    </w:tbl>
    <w:p>
      <w:pPr>
        <w:snapToGrid w:val="0"/>
        <w:spacing w:line="300" w:lineRule="auto"/>
        <w:ind w:firstLine="480"/>
        <w:rPr>
          <w:szCs w:val="21"/>
        </w:rPr>
      </w:pPr>
      <w:bookmarkStart w:id="14" w:name="_Hlk34728468"/>
      <w:r>
        <w:rPr>
          <w:kern w:val="0"/>
          <w:szCs w:val="20"/>
        </w:rPr>
        <w:t>*</w:t>
      </w:r>
      <w:r>
        <w:rPr>
          <w:rFonts w:hint="eastAsia"/>
          <w:sz w:val="18"/>
          <w:szCs w:val="18"/>
        </w:rPr>
        <w:t>数学与自然科学类、工程基础类、专业基础类、专业类、工程实践与毕业设计（论文）、人文社会科学类；学分学时处（）内为实验学时。</w:t>
      </w:r>
      <w:bookmarkEnd w:id="14"/>
    </w:p>
    <w:p>
      <w:pPr>
        <w:snapToGrid w:val="0"/>
        <w:spacing w:before="159" w:beforeLines="50" w:after="159" w:afterLines="50" w:line="300" w:lineRule="auto"/>
        <w:rPr>
          <w:b/>
          <w:sz w:val="24"/>
        </w:rPr>
      </w:pPr>
      <w:r>
        <w:rPr>
          <w:b/>
          <w:sz w:val="24"/>
        </w:rPr>
        <w:t>一、课程简介</w:t>
      </w:r>
    </w:p>
    <w:p>
      <w:pPr>
        <w:widowControl/>
        <w:spacing w:line="300" w:lineRule="auto"/>
        <w:ind w:firstLine="420" w:firstLineChars="200"/>
        <w:rPr>
          <w:kern w:val="0"/>
          <w:szCs w:val="21"/>
        </w:rPr>
      </w:pPr>
      <w:r>
        <w:rPr>
          <w:rFonts w:hint="eastAsia"/>
          <w:kern w:val="0"/>
          <w:szCs w:val="21"/>
        </w:rPr>
        <w:t>《</w:t>
      </w:r>
      <w:r>
        <w:rPr>
          <w:szCs w:val="21"/>
        </w:rPr>
        <w:t>工程数学X2</w:t>
      </w:r>
      <w:r>
        <w:rPr>
          <w:rFonts w:hint="eastAsia"/>
          <w:kern w:val="0"/>
          <w:szCs w:val="21"/>
        </w:rPr>
        <w:t>》的理论和方法广泛应用于电子信息工程、电气工程、通讯工程、自动化等相关学科，并且已经成为解决众多理论和实际问题的强有力工具，成为众多工科专业的一门重要的基础理论课程。对于本专业而言，该课程是学习《信号与系统》、《通信原理》、《电磁场与电磁波》等许多相关课程的必须先修课程之一。</w:t>
      </w:r>
    </w:p>
    <w:p>
      <w:pPr>
        <w:snapToGrid w:val="0"/>
        <w:spacing w:line="300" w:lineRule="auto"/>
        <w:ind w:firstLine="420" w:firstLineChars="200"/>
        <w:rPr>
          <w:szCs w:val="21"/>
        </w:rPr>
      </w:pPr>
      <w:r>
        <w:rPr>
          <w:rFonts w:hint="eastAsia"/>
          <w:kern w:val="0"/>
          <w:szCs w:val="21"/>
        </w:rPr>
        <w:t>《</w:t>
      </w:r>
      <w:r>
        <w:rPr>
          <w:szCs w:val="21"/>
        </w:rPr>
        <w:t>工程数学X2</w:t>
      </w:r>
      <w:r>
        <w:rPr>
          <w:rFonts w:hint="eastAsia"/>
          <w:kern w:val="0"/>
          <w:szCs w:val="21"/>
        </w:rPr>
        <w:t>》</w:t>
      </w:r>
      <w:r>
        <w:rPr>
          <w:szCs w:val="21"/>
        </w:rPr>
        <w:t>由</w:t>
      </w:r>
      <w:r>
        <w:rPr>
          <w:kern w:val="0"/>
          <w:szCs w:val="21"/>
        </w:rPr>
        <w:t>复变函数及积分变换</w:t>
      </w:r>
      <w:r>
        <w:rPr>
          <w:rFonts w:hint="eastAsia"/>
          <w:kern w:val="0"/>
          <w:szCs w:val="21"/>
        </w:rPr>
        <w:t>两</w:t>
      </w:r>
      <w:r>
        <w:rPr>
          <w:kern w:val="0"/>
          <w:szCs w:val="21"/>
        </w:rPr>
        <w:t>门科目构成，</w:t>
      </w:r>
      <w:r>
        <w:rPr>
          <w:szCs w:val="21"/>
        </w:rPr>
        <w:t>是电子信息工程专业的通识教育核心课程之一</w:t>
      </w:r>
      <w:r>
        <w:rPr>
          <w:kern w:val="0"/>
          <w:szCs w:val="21"/>
        </w:rPr>
        <w:t>。</w:t>
      </w:r>
      <w:r>
        <w:rPr>
          <w:rFonts w:hint="eastAsia"/>
          <w:szCs w:val="21"/>
        </w:rPr>
        <w:t>本</w:t>
      </w:r>
      <w:r>
        <w:rPr>
          <w:szCs w:val="21"/>
        </w:rPr>
        <w:t>课程可以为本科生提供数学在工程应用的经典知识，建立进一步专业学习所必需的数学基础理论。通过本课程的学习，使学生获得数学应用中常用的</w:t>
      </w:r>
      <w:r>
        <w:rPr>
          <w:kern w:val="0"/>
          <w:szCs w:val="21"/>
        </w:rPr>
        <w:t>复变函数及积分变换</w:t>
      </w:r>
      <w:r>
        <w:rPr>
          <w:szCs w:val="21"/>
        </w:rPr>
        <w:t>等</w:t>
      </w:r>
      <w:r>
        <w:rPr>
          <w:rFonts w:hint="eastAsia"/>
          <w:szCs w:val="21"/>
        </w:rPr>
        <w:t>理论</w:t>
      </w:r>
      <w:r>
        <w:rPr>
          <w:szCs w:val="21"/>
        </w:rPr>
        <w:t>，具有熟练的复数和积分变换域运算能力和应用复数和积分变换域运算方法解决一些实际问题的能力。</w:t>
      </w:r>
      <w:r>
        <w:rPr>
          <w:rFonts w:hint="eastAsia"/>
          <w:kern w:val="0"/>
          <w:szCs w:val="21"/>
        </w:rPr>
        <w:t>《</w:t>
      </w:r>
      <w:r>
        <w:rPr>
          <w:szCs w:val="21"/>
        </w:rPr>
        <w:t>工程数学X2</w:t>
      </w:r>
      <w:r>
        <w:rPr>
          <w:rFonts w:hint="eastAsia"/>
          <w:kern w:val="0"/>
          <w:szCs w:val="21"/>
        </w:rPr>
        <w:t>》</w:t>
      </w:r>
      <w:r>
        <w:rPr>
          <w:szCs w:val="21"/>
        </w:rPr>
        <w:t>课程</w:t>
      </w:r>
      <w:r>
        <w:rPr>
          <w:kern w:val="0"/>
          <w:szCs w:val="21"/>
        </w:rPr>
        <w:t>同时通过其基本概念的建立，基本理论的证明，基本方法的运用，培养学生的数学思维能力。</w:t>
      </w:r>
      <w:r>
        <w:rPr>
          <w:szCs w:val="21"/>
        </w:rPr>
        <w:t>从而为学习后继课程及进一步扩大数学知识面奠定必要的数学基础。</w:t>
      </w:r>
    </w:p>
    <w:p>
      <w:pPr>
        <w:snapToGrid w:val="0"/>
        <w:spacing w:before="159" w:beforeLines="50" w:after="159" w:afterLines="50" w:line="300" w:lineRule="auto"/>
        <w:rPr>
          <w:b/>
          <w:sz w:val="24"/>
        </w:rPr>
      </w:pPr>
      <w:r>
        <w:rPr>
          <w:b/>
          <w:sz w:val="24"/>
        </w:rPr>
        <w:t>二、课程教学目标</w:t>
      </w:r>
    </w:p>
    <w:p>
      <w:pPr>
        <w:widowControl/>
        <w:snapToGrid w:val="0"/>
        <w:spacing w:line="300" w:lineRule="auto"/>
        <w:ind w:firstLine="480" w:firstLineChars="200"/>
        <w:rPr>
          <w:szCs w:val="21"/>
        </w:rPr>
      </w:pPr>
      <w:r>
        <w:rPr>
          <w:rFonts w:hint="eastAsia" w:ascii="宋体" w:hAnsi="宋体"/>
          <w:kern w:val="0"/>
          <w:sz w:val="24"/>
          <w:szCs w:val="21"/>
        </w:rPr>
        <w:t>《</w:t>
      </w:r>
      <w:r>
        <w:rPr>
          <w:szCs w:val="21"/>
        </w:rPr>
        <w:t>工程数学X2</w:t>
      </w:r>
      <w:r>
        <w:rPr>
          <w:rFonts w:hint="eastAsia"/>
          <w:szCs w:val="21"/>
        </w:rPr>
        <w:t>》以培养学生掌握</w:t>
      </w:r>
      <w:r>
        <w:rPr>
          <w:szCs w:val="21"/>
        </w:rPr>
        <w:t>复变函数</w:t>
      </w:r>
      <w:r>
        <w:rPr>
          <w:rFonts w:hint="eastAsia"/>
          <w:szCs w:val="21"/>
        </w:rPr>
        <w:t>以</w:t>
      </w:r>
      <w:r>
        <w:rPr>
          <w:szCs w:val="21"/>
        </w:rPr>
        <w:t>及积分变换的基本理论</w:t>
      </w:r>
      <w:r>
        <w:rPr>
          <w:rFonts w:hint="eastAsia"/>
          <w:szCs w:val="21"/>
        </w:rPr>
        <w:t>并与训练学生</w:t>
      </w:r>
      <w:r>
        <w:rPr>
          <w:szCs w:val="21"/>
        </w:rPr>
        <w:t>分析</w:t>
      </w:r>
      <w:r>
        <w:rPr>
          <w:rFonts w:hint="eastAsia"/>
          <w:szCs w:val="21"/>
        </w:rPr>
        <w:t>工程问题的数学思维相结合，使学生达到能对</w:t>
      </w:r>
      <w:r>
        <w:rPr>
          <w:szCs w:val="21"/>
        </w:rPr>
        <w:t>电子信息领域工程问题</w:t>
      </w:r>
      <w:r>
        <w:rPr>
          <w:rFonts w:hint="eastAsia"/>
          <w:szCs w:val="21"/>
        </w:rPr>
        <w:t>中的简单数学问题进行</w:t>
      </w:r>
      <w:r>
        <w:rPr>
          <w:szCs w:val="21"/>
        </w:rPr>
        <w:t>分析与</w:t>
      </w:r>
      <w:r>
        <w:rPr>
          <w:rFonts w:hint="eastAsia"/>
          <w:szCs w:val="21"/>
        </w:rPr>
        <w:t>求解，同时也能够应用工程数学的理论对</w:t>
      </w:r>
      <w:r>
        <w:rPr>
          <w:szCs w:val="21"/>
        </w:rPr>
        <w:t>复杂工程问题进行</w:t>
      </w:r>
      <w:r>
        <w:rPr>
          <w:rFonts w:hint="eastAsia"/>
          <w:szCs w:val="21"/>
        </w:rPr>
        <w:t>识别、表达</w:t>
      </w:r>
      <w:r>
        <w:rPr>
          <w:szCs w:val="21"/>
        </w:rPr>
        <w:t>，并获得</w:t>
      </w:r>
      <w:r>
        <w:rPr>
          <w:rFonts w:hint="eastAsia"/>
          <w:szCs w:val="21"/>
        </w:rPr>
        <w:t>初步</w:t>
      </w:r>
      <w:r>
        <w:rPr>
          <w:szCs w:val="21"/>
        </w:rPr>
        <w:t>有效结论的能力。通过学习，学生能够运用复变函数的基本理论对复数域下的函数进行简单的分析；运用积分变换的基本理论对常系数微</w:t>
      </w:r>
      <w:r>
        <w:rPr>
          <w:rFonts w:hint="eastAsia"/>
          <w:szCs w:val="21"/>
        </w:rPr>
        <w:t>积</w:t>
      </w:r>
      <w:r>
        <w:rPr>
          <w:szCs w:val="21"/>
        </w:rPr>
        <w:t>分方程进行求解。</w:t>
      </w:r>
      <w:r>
        <w:rPr>
          <w:rFonts w:hint="eastAsia"/>
          <w:szCs w:val="21"/>
        </w:rPr>
        <w:t>讲授过程植入我国数学史上杰出学者（如华罗庚、许宝騄二位先生）的爱国与担当精神。旨在培育学生创新精神，使学生的学习能力提升的同时，精神层面也得到升华。</w:t>
      </w:r>
      <w:r>
        <w:rPr>
          <w:szCs w:val="21"/>
        </w:rPr>
        <w:t xml:space="preserve">本课程的具体教学目标如下： </w:t>
      </w:r>
    </w:p>
    <w:p>
      <w:pPr>
        <w:widowControl/>
        <w:snapToGrid w:val="0"/>
        <w:spacing w:line="300" w:lineRule="auto"/>
        <w:ind w:firstLine="420" w:firstLineChars="200"/>
        <w:jc w:val="left"/>
        <w:rPr>
          <w:szCs w:val="21"/>
        </w:rPr>
      </w:pPr>
      <w:r>
        <w:rPr>
          <w:szCs w:val="21"/>
        </w:rPr>
        <w:t>1．</w:t>
      </w:r>
      <w:r>
        <w:rPr>
          <w:rFonts w:hint="eastAsia"/>
          <w:szCs w:val="21"/>
        </w:rPr>
        <w:t>掌握复数域下的函数以及时域到频域的基本概念，</w:t>
      </w:r>
      <w:r>
        <w:rPr>
          <w:szCs w:val="21"/>
        </w:rPr>
        <w:t>将其应用于信息技术（IT）行业知识和专业知识的学习。</w:t>
      </w:r>
      <w:r>
        <w:rPr>
          <w:rFonts w:hint="eastAsia"/>
          <w:szCs w:val="21"/>
        </w:rPr>
        <w:t>①</w:t>
      </w:r>
      <w:r>
        <w:rPr>
          <w:szCs w:val="21"/>
        </w:rPr>
        <w:t>学生能够描述复数、区域、单连通域、多连通域、复变函数以及映射的概念，说明复平面和复球面的定义；</w:t>
      </w:r>
      <w:r>
        <w:rPr>
          <w:rFonts w:hint="eastAsia"/>
          <w:szCs w:val="21"/>
        </w:rPr>
        <w:t>②</w:t>
      </w:r>
      <w:r>
        <w:rPr>
          <w:szCs w:val="21"/>
        </w:rPr>
        <w:t>学生能够描述傅里叶积分、傅里叶变换和拉普拉斯变换的定义</w:t>
      </w:r>
      <w:r>
        <w:rPr>
          <w:rFonts w:hint="eastAsia"/>
          <w:szCs w:val="21"/>
        </w:rPr>
        <w:t>；</w:t>
      </w:r>
      <w:r>
        <w:rPr>
          <w:szCs w:val="21"/>
        </w:rPr>
        <w:t>能够解释傅里叶变换的物理意义</w:t>
      </w:r>
      <w:r>
        <w:rPr>
          <w:rFonts w:hint="eastAsia"/>
          <w:szCs w:val="21"/>
        </w:rPr>
        <w:t>。</w:t>
      </w:r>
      <w:r>
        <w:rPr>
          <w:szCs w:val="21"/>
        </w:rPr>
        <w:t>[1.1]</w:t>
      </w:r>
    </w:p>
    <w:p>
      <w:pPr>
        <w:widowControl/>
        <w:snapToGrid w:val="0"/>
        <w:spacing w:line="300" w:lineRule="auto"/>
        <w:ind w:firstLine="420" w:firstLineChars="200"/>
        <w:rPr>
          <w:szCs w:val="21"/>
        </w:rPr>
      </w:pPr>
      <w:r>
        <w:rPr>
          <w:szCs w:val="21"/>
        </w:rPr>
        <w:t>2．</w:t>
      </w:r>
      <w:r>
        <w:rPr>
          <w:rFonts w:hint="eastAsia"/>
          <w:szCs w:val="21"/>
        </w:rPr>
        <w:t>掌握复变函数的定义和复变函数微积分的计算方法以及傅里叶变换和拉普拉斯变换的变换方式和常用性质，并用于在</w:t>
      </w:r>
      <w:r>
        <w:rPr>
          <w:szCs w:val="21"/>
        </w:rPr>
        <w:t>工程问题</w:t>
      </w:r>
      <w:r>
        <w:rPr>
          <w:rFonts w:hint="eastAsia"/>
          <w:szCs w:val="21"/>
        </w:rPr>
        <w:t>中</w:t>
      </w:r>
      <w:r>
        <w:rPr>
          <w:szCs w:val="21"/>
        </w:rPr>
        <w:t>建立合适的数学模型。</w:t>
      </w:r>
      <w:r>
        <w:rPr>
          <w:rFonts w:hint="eastAsia"/>
          <w:szCs w:val="21"/>
        </w:rPr>
        <w:t>①</w:t>
      </w:r>
      <w:r>
        <w:rPr>
          <w:szCs w:val="21"/>
        </w:rPr>
        <w:t>能够表达复数的代数运算、乘积与商、幂与根，解释复变函数的极限、连续性、导数、微分以及积分，理解解析函数的概念、函数解析的充要条件、复变函数中的初等函数的定义及计算方法、积分的存在条件及其计算方法；能够演算复数的代数运算、乘积与商、幂与根，判断复变函数的连续性，计算复变函数的极限、导数、微分以及积分，熟练运用复变函数积分的性质、柯西-古萨基本定理、复合闭路定理、原函数与不定积分、柯西积分公式以及高阶导数公式</w:t>
      </w:r>
      <w:r>
        <w:rPr>
          <w:rFonts w:hint="eastAsia"/>
          <w:szCs w:val="21"/>
        </w:rPr>
        <w:t>。②</w:t>
      </w:r>
      <w:r>
        <w:rPr>
          <w:szCs w:val="21"/>
        </w:rPr>
        <w:t>学生能够熟练运用傅里叶变换和拉普拉斯变换的主要性质，计算一般函数的傅里叶正反变换和拉普拉斯正法变换并能计算卷积、相关函数以及多重傅里叶变换。[1.2]</w:t>
      </w:r>
    </w:p>
    <w:p>
      <w:pPr>
        <w:snapToGrid w:val="0"/>
        <w:spacing w:line="300" w:lineRule="auto"/>
        <w:ind w:firstLine="420" w:firstLineChars="200"/>
      </w:pPr>
      <w:r>
        <w:rPr>
          <w:szCs w:val="21"/>
        </w:rPr>
        <w:t>3．</w:t>
      </w:r>
      <w:r>
        <w:rPr>
          <w:rFonts w:hint="eastAsia"/>
          <w:szCs w:val="21"/>
        </w:rPr>
        <w:t>掌握</w:t>
      </w:r>
      <w:r>
        <w:rPr>
          <w:kern w:val="0"/>
          <w:szCs w:val="21"/>
        </w:rPr>
        <w:t>复变函数</w:t>
      </w:r>
      <w:r>
        <w:rPr>
          <w:rFonts w:hint="eastAsia"/>
          <w:kern w:val="0"/>
          <w:szCs w:val="21"/>
        </w:rPr>
        <w:t>以</w:t>
      </w:r>
      <w:r>
        <w:rPr>
          <w:kern w:val="0"/>
          <w:szCs w:val="21"/>
        </w:rPr>
        <w:t>及积分变换</w:t>
      </w:r>
      <w:r>
        <w:rPr>
          <w:rFonts w:hint="eastAsia"/>
          <w:szCs w:val="21"/>
        </w:rPr>
        <w:t>进阶知识点，使学生</w:t>
      </w:r>
      <w:r>
        <w:rPr>
          <w:rFonts w:hint="eastAsia"/>
        </w:rPr>
        <w:t>能够应用工程数学的理论对</w:t>
      </w:r>
      <w:r>
        <w:t>复杂工程问题</w:t>
      </w:r>
      <w:r>
        <w:rPr>
          <w:rFonts w:hint="eastAsia"/>
        </w:rPr>
        <w:t>中的数学问题</w:t>
      </w:r>
      <w:r>
        <w:t>进行</w:t>
      </w:r>
      <w:r>
        <w:rPr>
          <w:rFonts w:hint="eastAsia"/>
        </w:rPr>
        <w:t>识别、表达</w:t>
      </w:r>
      <w:r>
        <w:t>，并获得</w:t>
      </w:r>
      <w:r>
        <w:rPr>
          <w:rFonts w:hint="eastAsia"/>
        </w:rPr>
        <w:t>初步</w:t>
      </w:r>
      <w:r>
        <w:t>有效结论的能力。</w:t>
      </w:r>
      <w:r>
        <w:rPr>
          <w:rFonts w:hint="eastAsia"/>
        </w:rPr>
        <w:t>①</w:t>
      </w:r>
      <w:r>
        <w:rPr>
          <w:szCs w:val="21"/>
        </w:rPr>
        <w:t>学生能够利用解析函数的性质以及与调和函数的关系推演出调和函数</w:t>
      </w:r>
      <w:r>
        <w:rPr>
          <w:rFonts w:hint="eastAsia"/>
          <w:szCs w:val="21"/>
        </w:rPr>
        <w:t>。②</w:t>
      </w:r>
      <w:r>
        <w:rPr>
          <w:szCs w:val="21"/>
        </w:rPr>
        <w:t>学生能够利用傅里叶变换和拉普拉斯变换的性质推演出线性常系数微</w:t>
      </w:r>
      <w:r>
        <w:rPr>
          <w:rFonts w:hint="eastAsia"/>
          <w:szCs w:val="21"/>
        </w:rPr>
        <w:t>积</w:t>
      </w:r>
      <w:r>
        <w:rPr>
          <w:szCs w:val="21"/>
        </w:rPr>
        <w:t>分方程的解。[2.1</w:t>
      </w:r>
      <w:r>
        <w:rPr>
          <w:rFonts w:hint="eastAsia"/>
          <w:szCs w:val="21"/>
        </w:rPr>
        <w:t>、4</w:t>
      </w:r>
      <w:r>
        <w:rPr>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kern w:val="0"/>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719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43" w:type="pct"/>
            <w:vAlign w:val="center"/>
          </w:tcPr>
          <w:p>
            <w:pPr>
              <w:snapToGrid w:val="0"/>
              <w:spacing w:line="300" w:lineRule="auto"/>
              <w:rPr>
                <w:b/>
                <w:bCs/>
                <w:sz w:val="18"/>
                <w:szCs w:val="18"/>
              </w:rPr>
            </w:pPr>
            <w:r>
              <w:rPr>
                <w:rFonts w:hint="eastAsia"/>
                <w:b/>
                <w:bCs/>
                <w:sz w:val="18"/>
                <w:szCs w:val="18"/>
              </w:rPr>
              <w:t>毕业要求</w:t>
            </w:r>
          </w:p>
        </w:tc>
        <w:tc>
          <w:tcPr>
            <w:tcW w:w="3827" w:type="pct"/>
            <w:vAlign w:val="center"/>
          </w:tcPr>
          <w:p>
            <w:pPr>
              <w:snapToGrid w:val="0"/>
              <w:spacing w:line="300" w:lineRule="auto"/>
              <w:jc w:val="center"/>
              <w:rPr>
                <w:b/>
                <w:bCs/>
                <w:sz w:val="18"/>
                <w:szCs w:val="18"/>
              </w:rPr>
            </w:pPr>
            <w:r>
              <w:rPr>
                <w:rFonts w:hint="eastAsia"/>
                <w:b/>
                <w:bCs/>
                <w:sz w:val="18"/>
                <w:szCs w:val="18"/>
              </w:rPr>
              <w:t>毕业要求指标点</w:t>
            </w:r>
          </w:p>
        </w:tc>
        <w:tc>
          <w:tcPr>
            <w:tcW w:w="430" w:type="pct"/>
            <w:vAlign w:val="center"/>
          </w:tcPr>
          <w:p>
            <w:pPr>
              <w:snapToGrid w:val="0"/>
              <w:spacing w:line="300" w:lineRule="auto"/>
              <w:jc w:val="left"/>
              <w:rPr>
                <w:b/>
                <w:bCs/>
                <w:sz w:val="18"/>
                <w:szCs w:val="18"/>
              </w:rPr>
            </w:pPr>
            <w:r>
              <w:rPr>
                <w:rFonts w:hint="eastAsia"/>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pPr>
              <w:snapToGrid w:val="0"/>
              <w:spacing w:line="300" w:lineRule="auto"/>
              <w:rPr>
                <w:sz w:val="18"/>
                <w:szCs w:val="18"/>
              </w:rPr>
            </w:pPr>
            <w:r>
              <w:rPr>
                <w:sz w:val="18"/>
                <w:szCs w:val="18"/>
              </w:rPr>
              <w:t>1</w:t>
            </w:r>
            <w:r>
              <w:rPr>
                <w:rFonts w:hint="eastAsia"/>
                <w:sz w:val="18"/>
                <w:szCs w:val="18"/>
              </w:rPr>
              <w:t>．</w:t>
            </w:r>
            <w:r>
              <w:rPr>
                <w:sz w:val="18"/>
                <w:szCs w:val="18"/>
              </w:rPr>
              <w:t>工程知识</w:t>
            </w:r>
          </w:p>
        </w:tc>
        <w:tc>
          <w:tcPr>
            <w:tcW w:w="3827" w:type="pct"/>
          </w:tcPr>
          <w:p>
            <w:pPr>
              <w:snapToGrid w:val="0"/>
              <w:spacing w:line="300" w:lineRule="auto"/>
              <w:rPr>
                <w:sz w:val="18"/>
                <w:szCs w:val="18"/>
              </w:rPr>
            </w:pPr>
            <w:r>
              <w:rPr>
                <w:sz w:val="18"/>
                <w:szCs w:val="18"/>
              </w:rPr>
              <w:t>1.1</w:t>
            </w:r>
            <w:r>
              <w:rPr>
                <w:rFonts w:hint="eastAsia"/>
                <w:sz w:val="18"/>
                <w:szCs w:val="18"/>
              </w:rPr>
              <w:t>掌握电子信息工程专业理论和知识体系的数学和自然科学知识，将其应用于信息技术（IT）行业知识和专业知识的学习。</w:t>
            </w:r>
          </w:p>
        </w:tc>
        <w:tc>
          <w:tcPr>
            <w:tcW w:w="430" w:type="pct"/>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vAlign w:val="center"/>
          </w:tcPr>
          <w:p>
            <w:pPr>
              <w:snapToGrid w:val="0"/>
              <w:spacing w:line="300" w:lineRule="auto"/>
              <w:rPr>
                <w:sz w:val="18"/>
                <w:szCs w:val="18"/>
              </w:rPr>
            </w:pPr>
          </w:p>
        </w:tc>
        <w:tc>
          <w:tcPr>
            <w:tcW w:w="3827" w:type="pct"/>
          </w:tcPr>
          <w:p>
            <w:pPr>
              <w:snapToGrid w:val="0"/>
              <w:spacing w:line="300" w:lineRule="auto"/>
              <w:rPr>
                <w:sz w:val="18"/>
                <w:szCs w:val="18"/>
              </w:rPr>
            </w:pPr>
            <w:r>
              <w:rPr>
                <w:sz w:val="18"/>
                <w:szCs w:val="18"/>
              </w:rPr>
              <w:t>1.2</w:t>
            </w:r>
            <w:r>
              <w:rPr>
                <w:rFonts w:hint="eastAsia"/>
                <w:sz w:val="18"/>
                <w:szCs w:val="18"/>
              </w:rPr>
              <w:t>掌握计算机、电子、信息、通信、测控及其它工程基础知识，并有效将其应用于电子信息领域工程问题（含海洋电子信息领域）的软硬件分析与设计。</w:t>
            </w:r>
          </w:p>
        </w:tc>
        <w:tc>
          <w:tcPr>
            <w:tcW w:w="430"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3" w:type="pct"/>
            <w:vAlign w:val="center"/>
          </w:tcPr>
          <w:p>
            <w:pPr>
              <w:snapToGrid w:val="0"/>
              <w:spacing w:line="300" w:lineRule="auto"/>
              <w:rPr>
                <w:sz w:val="18"/>
                <w:szCs w:val="18"/>
              </w:rPr>
            </w:pPr>
            <w:r>
              <w:rPr>
                <w:sz w:val="18"/>
                <w:szCs w:val="18"/>
              </w:rPr>
              <w:t>2</w:t>
            </w:r>
            <w:r>
              <w:rPr>
                <w:rFonts w:hint="eastAsia"/>
                <w:sz w:val="18"/>
                <w:szCs w:val="18"/>
              </w:rPr>
              <w:t>．问题分析</w:t>
            </w:r>
          </w:p>
        </w:tc>
        <w:tc>
          <w:tcPr>
            <w:tcW w:w="3827" w:type="pct"/>
          </w:tcPr>
          <w:p>
            <w:pPr>
              <w:snapToGrid w:val="0"/>
              <w:spacing w:line="300" w:lineRule="auto"/>
              <w:rPr>
                <w:sz w:val="18"/>
                <w:szCs w:val="18"/>
              </w:rPr>
            </w:pPr>
            <w:r>
              <w:rPr>
                <w:sz w:val="18"/>
                <w:szCs w:val="18"/>
              </w:rPr>
              <w:t>2.1</w:t>
            </w:r>
            <w:r>
              <w:rPr>
                <w:rFonts w:hint="eastAsia"/>
                <w:sz w:val="18"/>
                <w:szCs w:val="18"/>
              </w:rPr>
              <w:t>具备应用数学、自然科学和工程科学的基本原理，对电子信息领域的复杂工程问题（含海洋电子信息领域）进行识别、表达和分析，并获得有效结论的能力。</w:t>
            </w:r>
          </w:p>
        </w:tc>
        <w:tc>
          <w:tcPr>
            <w:tcW w:w="430"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3" w:type="pct"/>
            <w:vAlign w:val="center"/>
          </w:tcPr>
          <w:p>
            <w:pPr>
              <w:snapToGrid w:val="0"/>
              <w:spacing w:line="300" w:lineRule="auto"/>
              <w:rPr>
                <w:sz w:val="18"/>
                <w:szCs w:val="18"/>
              </w:rPr>
            </w:pPr>
            <w:r>
              <w:rPr>
                <w:sz w:val="18"/>
                <w:szCs w:val="18"/>
              </w:rPr>
              <w:t>4．研究</w:t>
            </w:r>
          </w:p>
        </w:tc>
        <w:tc>
          <w:tcPr>
            <w:tcW w:w="3827" w:type="pct"/>
            <w:vAlign w:val="center"/>
          </w:tcPr>
          <w:p>
            <w:pPr>
              <w:snapToGrid w:val="0"/>
              <w:spacing w:line="300" w:lineRule="auto"/>
              <w:rPr>
                <w:sz w:val="18"/>
                <w:szCs w:val="18"/>
              </w:rPr>
            </w:pPr>
            <w:r>
              <w:rPr>
                <w:sz w:val="18"/>
                <w:szCs w:val="18"/>
              </w:rPr>
              <w:t>4.1具备基于电子信息科学原理并采用科学方法对复杂工程问题的技术路线</w:t>
            </w:r>
            <w:r>
              <w:rPr>
                <w:rFonts w:hint="eastAsia"/>
                <w:sz w:val="18"/>
                <w:szCs w:val="18"/>
              </w:rPr>
              <w:t>、</w:t>
            </w:r>
            <w:r>
              <w:rPr>
                <w:sz w:val="18"/>
                <w:szCs w:val="18"/>
              </w:rPr>
              <w:t>实验方案、软/硬件模块和存在的问题进行研究的能力。</w:t>
            </w:r>
          </w:p>
        </w:tc>
        <w:tc>
          <w:tcPr>
            <w:tcW w:w="430" w:type="pct"/>
            <w:vAlign w:val="center"/>
          </w:tcPr>
          <w:p>
            <w:pPr>
              <w:snapToGrid w:val="0"/>
              <w:spacing w:line="300" w:lineRule="auto"/>
              <w:jc w:val="center"/>
              <w:rPr>
                <w:sz w:val="18"/>
                <w:szCs w:val="18"/>
              </w:rPr>
            </w:pPr>
            <w:r>
              <w:rPr>
                <w:rFonts w:hint="eastAsia"/>
                <w:sz w:val="18"/>
                <w:szCs w:val="18"/>
              </w:rPr>
              <w:t>3</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rPr>
      </w:pPr>
      <w:r>
        <w:rPr>
          <w:b/>
          <w:bCs/>
          <w:sz w:val="18"/>
          <w:szCs w:val="18"/>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1"/>
        <w:gridCol w:w="112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5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59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64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1．</w:t>
            </w:r>
            <w:r>
              <w:rPr>
                <w:rFonts w:hint="eastAsia"/>
                <w:sz w:val="18"/>
                <w:szCs w:val="18"/>
              </w:rPr>
              <w:t>掌握简单复数域下的函数以及时域到频域的基本概念，</w:t>
            </w:r>
            <w:r>
              <w:rPr>
                <w:sz w:val="18"/>
                <w:szCs w:val="18"/>
              </w:rPr>
              <w:t>将其应用于信息技术（IT）行业知识和专业知识的学习。</w:t>
            </w:r>
            <w:r>
              <w:rPr>
                <w:rFonts w:hint="eastAsia"/>
                <w:sz w:val="18"/>
                <w:szCs w:val="18"/>
              </w:rPr>
              <w:t>①</w:t>
            </w:r>
            <w:r>
              <w:rPr>
                <w:sz w:val="18"/>
                <w:szCs w:val="18"/>
              </w:rPr>
              <w:t>学生能够描述复数、区域、单连通域、多连通域、复变函数以及映射的概念，说明复平面和复球面的定义；</w:t>
            </w:r>
            <w:r>
              <w:rPr>
                <w:rFonts w:hint="eastAsia"/>
                <w:sz w:val="18"/>
                <w:szCs w:val="18"/>
              </w:rPr>
              <w:t>②</w:t>
            </w:r>
            <w:r>
              <w:rPr>
                <w:sz w:val="18"/>
                <w:szCs w:val="18"/>
              </w:rPr>
              <w:t>学生能够描述傅里叶积分、傅里叶变换和拉普拉斯变换的定义</w:t>
            </w:r>
            <w:r>
              <w:rPr>
                <w:rFonts w:hint="eastAsia"/>
                <w:sz w:val="18"/>
                <w:szCs w:val="18"/>
              </w:rPr>
              <w:t>；</w:t>
            </w:r>
            <w:r>
              <w:rPr>
                <w:sz w:val="18"/>
                <w:szCs w:val="18"/>
              </w:rPr>
              <w:t>能够解释傅里叶变换的物理意义</w:t>
            </w:r>
            <w:r>
              <w:rPr>
                <w:rFonts w:hint="eastAsia"/>
                <w:sz w:val="18"/>
                <w:szCs w:val="18"/>
              </w:rPr>
              <w:t>。</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highlight w:val="yellow"/>
              </w:rPr>
            </w:pPr>
            <w:r>
              <w:rPr>
                <w:rFonts w:hint="eastAsia"/>
                <w:sz w:val="18"/>
                <w:szCs w:val="18"/>
              </w:rPr>
              <w:t>课堂表现与考试</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rPr>
            </w:pPr>
            <w:r>
              <w:rPr>
                <w:sz w:val="18"/>
                <w:szCs w:val="18"/>
              </w:rPr>
              <w:t>2．</w:t>
            </w:r>
            <w:r>
              <w:rPr>
                <w:rFonts w:hint="eastAsia"/>
                <w:sz w:val="18"/>
                <w:szCs w:val="18"/>
              </w:rPr>
              <w:t>掌握复变函数的定义和复变函数微积分的计算方法以及傅里叶变换和拉普拉斯变换的变换方式和常用性质，并用于在</w:t>
            </w:r>
            <w:r>
              <w:rPr>
                <w:sz w:val="18"/>
                <w:szCs w:val="18"/>
              </w:rPr>
              <w:t>工程问题</w:t>
            </w:r>
            <w:r>
              <w:rPr>
                <w:rFonts w:hint="eastAsia"/>
                <w:sz w:val="18"/>
                <w:szCs w:val="18"/>
              </w:rPr>
              <w:t>中</w:t>
            </w:r>
            <w:r>
              <w:rPr>
                <w:sz w:val="18"/>
                <w:szCs w:val="18"/>
              </w:rPr>
              <w:t>建立合适的数学模型。</w:t>
            </w:r>
            <w:r>
              <w:rPr>
                <w:rFonts w:hint="eastAsia"/>
                <w:sz w:val="18"/>
                <w:szCs w:val="18"/>
              </w:rPr>
              <w:t>①</w:t>
            </w:r>
            <w:r>
              <w:rPr>
                <w:sz w:val="18"/>
                <w:szCs w:val="18"/>
              </w:rPr>
              <w:t>能够表达复数的代数运算、乘积与商、幂与根，解释复变函数的极限、连续性、导数、微分以及积分，理解解析函数的概念、函数解析的充要条件、复变函数中的初等函数的定义及计算方法、积分的存在条件及其计算方法；能够演算复数的代数运算、乘积与商、幂与根，判断复变函数的连续性，计算复变函数的极限、导数、微分以及积分，熟练运用复变函数积分的性质、柯西-古萨基本定理、复合闭路定理、原函数与不定积分、柯西积分公式以及高阶导数公式</w:t>
            </w:r>
            <w:r>
              <w:rPr>
                <w:rFonts w:hint="eastAsia"/>
                <w:sz w:val="18"/>
                <w:szCs w:val="18"/>
              </w:rPr>
              <w:t>。②</w:t>
            </w:r>
            <w:r>
              <w:rPr>
                <w:sz w:val="18"/>
                <w:szCs w:val="18"/>
              </w:rPr>
              <w:t>学生能够熟练运用傅里叶变换和拉普拉斯变换的主要性质，计算一般函数的傅里叶正反变换和拉普拉斯正法变换并能计算卷积、相关函数以及多重傅里叶变换。</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通过前导课程回顾与课堂讲授并结合学生学习（网络学习）等达成。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highlight w:val="yellow"/>
              </w:rPr>
            </w:pPr>
            <w:r>
              <w:rPr>
                <w:sz w:val="18"/>
                <w:szCs w:val="18"/>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3．</w:t>
            </w:r>
            <w:r>
              <w:rPr>
                <w:rFonts w:hint="eastAsia"/>
                <w:sz w:val="18"/>
                <w:szCs w:val="18"/>
              </w:rPr>
              <w:t>掌握</w:t>
            </w:r>
            <w:r>
              <w:rPr>
                <w:kern w:val="0"/>
                <w:sz w:val="18"/>
                <w:szCs w:val="18"/>
              </w:rPr>
              <w:t>复变函数</w:t>
            </w:r>
            <w:r>
              <w:rPr>
                <w:rFonts w:hint="eastAsia"/>
                <w:kern w:val="0"/>
                <w:sz w:val="18"/>
                <w:szCs w:val="18"/>
              </w:rPr>
              <w:t>以</w:t>
            </w:r>
            <w:r>
              <w:rPr>
                <w:kern w:val="0"/>
                <w:sz w:val="18"/>
                <w:szCs w:val="18"/>
              </w:rPr>
              <w:t>及积分变换</w:t>
            </w:r>
            <w:r>
              <w:rPr>
                <w:rFonts w:hint="eastAsia"/>
                <w:sz w:val="18"/>
                <w:szCs w:val="18"/>
              </w:rPr>
              <w:t>进阶知识点，使学生能够应用工程数学的理论对</w:t>
            </w:r>
            <w:r>
              <w:rPr>
                <w:sz w:val="18"/>
                <w:szCs w:val="18"/>
              </w:rPr>
              <w:t>复杂工程问题</w:t>
            </w:r>
            <w:r>
              <w:rPr>
                <w:rFonts w:hint="eastAsia"/>
                <w:sz w:val="18"/>
                <w:szCs w:val="18"/>
              </w:rPr>
              <w:t>中的数学问题</w:t>
            </w:r>
            <w:r>
              <w:rPr>
                <w:sz w:val="18"/>
                <w:szCs w:val="18"/>
              </w:rPr>
              <w:t>进行</w:t>
            </w:r>
            <w:r>
              <w:rPr>
                <w:rFonts w:hint="eastAsia"/>
                <w:sz w:val="18"/>
                <w:szCs w:val="18"/>
              </w:rPr>
              <w:t>识别、表达</w:t>
            </w:r>
            <w:r>
              <w:rPr>
                <w:sz w:val="18"/>
                <w:szCs w:val="18"/>
              </w:rPr>
              <w:t>，并获得</w:t>
            </w:r>
            <w:r>
              <w:rPr>
                <w:rFonts w:hint="eastAsia"/>
                <w:sz w:val="18"/>
                <w:szCs w:val="18"/>
              </w:rPr>
              <w:t>初步</w:t>
            </w:r>
            <w:r>
              <w:rPr>
                <w:sz w:val="18"/>
                <w:szCs w:val="18"/>
              </w:rPr>
              <w:t>有效结论的能力。</w:t>
            </w:r>
            <w:r>
              <w:rPr>
                <w:rFonts w:hint="eastAsia"/>
                <w:sz w:val="18"/>
                <w:szCs w:val="18"/>
              </w:rPr>
              <w:t>①</w:t>
            </w:r>
            <w:r>
              <w:rPr>
                <w:sz w:val="18"/>
                <w:szCs w:val="18"/>
              </w:rPr>
              <w:t>学生能够利用解析函数的性质以及与调和函数的关系推演出调和函数</w:t>
            </w:r>
            <w:r>
              <w:rPr>
                <w:rFonts w:hint="eastAsia"/>
                <w:sz w:val="18"/>
                <w:szCs w:val="18"/>
              </w:rPr>
              <w:t>。②</w:t>
            </w:r>
            <w:r>
              <w:rPr>
                <w:sz w:val="18"/>
                <w:szCs w:val="18"/>
              </w:rPr>
              <w:t>学生能够利用傅里叶变换和拉普拉斯变换的性质推演出线性常系数微</w:t>
            </w:r>
            <w:r>
              <w:rPr>
                <w:rFonts w:hint="eastAsia"/>
                <w:sz w:val="18"/>
                <w:szCs w:val="18"/>
              </w:rPr>
              <w:t>积</w:t>
            </w:r>
            <w:r>
              <w:rPr>
                <w:sz w:val="18"/>
                <w:szCs w:val="18"/>
              </w:rPr>
              <w:t>分方程的解。</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highlight w:val="yellow"/>
              </w:rPr>
            </w:pPr>
            <w:r>
              <w:rPr>
                <w:sz w:val="18"/>
                <w:szCs w:val="18"/>
              </w:rPr>
              <w:t>习题作业与考试。</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本课程是一门专注于理论教学的课程，目前理论教学为48学时，强调学生的扎实理论功底的养成和分析并解决实际问题的能力的培养。课堂授课以讲授式教学为主：</w:t>
      </w:r>
      <w:r>
        <w:t>基于电子信息工程专业后续专业课程的需要构建课程教学体系，根据课程特点采用启发式教学、任务驱动教学、</w:t>
      </w:r>
      <w:r>
        <w:rPr>
          <w:rFonts w:hint="eastAsia"/>
        </w:rPr>
        <w:t>微课</w:t>
      </w:r>
      <w:r>
        <w:t>教学法进行教学方法创新，核心能力知识点采用“原理描述-</w:t>
      </w:r>
      <w:r>
        <w:rPr>
          <w:rFonts w:hint="eastAsia"/>
        </w:rPr>
        <w:t>知识</w:t>
      </w:r>
      <w:r>
        <w:t>要点分析-</w:t>
      </w:r>
      <w:r>
        <w:rPr>
          <w:rFonts w:hint="eastAsia"/>
        </w:rPr>
        <w:t>工程</w:t>
      </w:r>
      <w:r>
        <w:t>应用展示”相互呼应的教学模式；辅以网络多媒体教学、课程独立网站（含教学视频）同步学习，每周平均讲授6学时。</w:t>
      </w:r>
    </w:p>
    <w:p>
      <w:pPr>
        <w:snapToGrid w:val="0"/>
        <w:spacing w:line="300" w:lineRule="auto"/>
        <w:ind w:firstLine="420" w:firstLineChars="200"/>
        <w:rPr>
          <w:szCs w:val="21"/>
        </w:rPr>
      </w:pPr>
      <w:r>
        <w:rPr>
          <w:szCs w:val="21"/>
        </w:rPr>
        <w:t>本课程理论教学内容与教学要求见表3。</w:t>
      </w:r>
    </w:p>
    <w:p>
      <w:pPr>
        <w:snapToGrid w:val="0"/>
        <w:spacing w:before="159" w:beforeLines="50" w:line="300" w:lineRule="auto"/>
        <w:jc w:val="center"/>
        <w:rPr>
          <w:sz w:val="18"/>
          <w:szCs w:val="18"/>
        </w:rPr>
      </w:pPr>
      <w:r>
        <w:rPr>
          <w:b/>
          <w:bCs/>
          <w:sz w:val="18"/>
          <w:szCs w:val="18"/>
        </w:rPr>
        <w:t>表3教学内容与教学</w:t>
      </w:r>
    </w:p>
    <w:tbl>
      <w:tblPr>
        <w:tblStyle w:val="22"/>
        <w:tblW w:w="5000"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917"/>
        <w:gridCol w:w="4899"/>
        <w:gridCol w:w="791"/>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39"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025" w:type="pct"/>
            <w:vAlign w:val="center"/>
          </w:tcPr>
          <w:p>
            <w:pPr>
              <w:snapToGrid w:val="0"/>
              <w:spacing w:line="300" w:lineRule="auto"/>
              <w:jc w:val="center"/>
              <w:rPr>
                <w:b/>
                <w:bCs/>
                <w:sz w:val="18"/>
                <w:szCs w:val="18"/>
              </w:rPr>
            </w:pPr>
            <w:r>
              <w:rPr>
                <w:b/>
                <w:bCs/>
                <w:sz w:val="18"/>
                <w:szCs w:val="18"/>
              </w:rPr>
              <w:t>教学内容</w:t>
            </w:r>
          </w:p>
        </w:tc>
        <w:tc>
          <w:tcPr>
            <w:tcW w:w="2620" w:type="pct"/>
            <w:vAlign w:val="center"/>
          </w:tcPr>
          <w:p>
            <w:pPr>
              <w:snapToGrid w:val="0"/>
              <w:spacing w:line="300" w:lineRule="auto"/>
              <w:ind w:firstLine="361" w:firstLineChars="200"/>
              <w:jc w:val="center"/>
              <w:rPr>
                <w:b/>
                <w:bCs/>
                <w:sz w:val="18"/>
                <w:szCs w:val="18"/>
              </w:rPr>
            </w:pPr>
            <w:r>
              <w:rPr>
                <w:b/>
                <w:bCs/>
                <w:sz w:val="18"/>
                <w:szCs w:val="18"/>
              </w:rPr>
              <w:t>教与学的要求</w:t>
            </w:r>
          </w:p>
        </w:tc>
        <w:tc>
          <w:tcPr>
            <w:tcW w:w="423" w:type="pct"/>
            <w:vAlign w:val="center"/>
          </w:tcPr>
          <w:p>
            <w:pPr>
              <w:snapToGrid w:val="0"/>
              <w:spacing w:line="300" w:lineRule="auto"/>
              <w:jc w:val="center"/>
              <w:rPr>
                <w:b/>
                <w:bCs/>
                <w:sz w:val="18"/>
                <w:szCs w:val="18"/>
              </w:rPr>
            </w:pPr>
            <w:r>
              <w:rPr>
                <w:b/>
                <w:bCs/>
                <w:sz w:val="18"/>
                <w:szCs w:val="18"/>
              </w:rPr>
              <w:t>学时</w:t>
            </w:r>
          </w:p>
        </w:tc>
        <w:tc>
          <w:tcPr>
            <w:tcW w:w="593"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339" w:type="pct"/>
            <w:tcMar>
              <w:left w:w="57" w:type="dxa"/>
              <w:right w:w="57" w:type="dxa"/>
            </w:tcMar>
            <w:vAlign w:val="center"/>
          </w:tcPr>
          <w:p>
            <w:pPr>
              <w:snapToGrid w:val="0"/>
              <w:spacing w:line="300" w:lineRule="auto"/>
              <w:rPr>
                <w:sz w:val="18"/>
                <w:szCs w:val="18"/>
              </w:rPr>
            </w:pPr>
            <w:r>
              <w:rPr>
                <w:sz w:val="18"/>
                <w:szCs w:val="18"/>
              </w:rPr>
              <w:t>1</w:t>
            </w:r>
          </w:p>
        </w:tc>
        <w:tc>
          <w:tcPr>
            <w:tcW w:w="1025" w:type="pct"/>
            <w:vAlign w:val="center"/>
          </w:tcPr>
          <w:p>
            <w:pPr>
              <w:adjustRightInd w:val="0"/>
              <w:snapToGrid w:val="0"/>
              <w:spacing w:line="300" w:lineRule="auto"/>
              <w:rPr>
                <w:bCs/>
                <w:sz w:val="18"/>
                <w:szCs w:val="18"/>
              </w:rPr>
            </w:pPr>
            <w:r>
              <w:rPr>
                <w:bCs/>
                <w:sz w:val="18"/>
                <w:szCs w:val="18"/>
              </w:rPr>
              <w:t>1复数与复变函数</w:t>
            </w:r>
          </w:p>
          <w:p>
            <w:pPr>
              <w:adjustRightInd w:val="0"/>
              <w:snapToGrid w:val="0"/>
              <w:spacing w:line="300" w:lineRule="auto"/>
              <w:rPr>
                <w:bCs/>
                <w:sz w:val="18"/>
                <w:szCs w:val="18"/>
              </w:rPr>
            </w:pPr>
            <w:r>
              <w:rPr>
                <w:bCs/>
                <w:sz w:val="18"/>
                <w:szCs w:val="18"/>
              </w:rPr>
              <w:t xml:space="preserve">1.1 复数及其代数运算 </w:t>
            </w:r>
          </w:p>
          <w:p>
            <w:pPr>
              <w:adjustRightInd w:val="0"/>
              <w:snapToGrid w:val="0"/>
              <w:spacing w:line="300" w:lineRule="auto"/>
              <w:rPr>
                <w:bCs/>
                <w:sz w:val="18"/>
                <w:szCs w:val="18"/>
              </w:rPr>
            </w:pPr>
            <w:r>
              <w:rPr>
                <w:bCs/>
                <w:sz w:val="18"/>
                <w:szCs w:val="18"/>
              </w:rPr>
              <w:t>1.2 复数的几何表示</w:t>
            </w:r>
          </w:p>
          <w:p>
            <w:pPr>
              <w:adjustRightInd w:val="0"/>
              <w:snapToGrid w:val="0"/>
              <w:spacing w:line="300" w:lineRule="auto"/>
              <w:rPr>
                <w:bCs/>
                <w:sz w:val="18"/>
                <w:szCs w:val="18"/>
              </w:rPr>
            </w:pPr>
            <w:r>
              <w:rPr>
                <w:bCs/>
                <w:sz w:val="18"/>
                <w:szCs w:val="18"/>
              </w:rPr>
              <w:t>1.3 复数的乘幂与方根</w:t>
            </w:r>
          </w:p>
          <w:p>
            <w:pPr>
              <w:adjustRightInd w:val="0"/>
              <w:snapToGrid w:val="0"/>
              <w:spacing w:line="300" w:lineRule="auto"/>
              <w:rPr>
                <w:bCs/>
                <w:sz w:val="18"/>
                <w:szCs w:val="18"/>
              </w:rPr>
            </w:pPr>
            <w:r>
              <w:rPr>
                <w:bCs/>
                <w:sz w:val="18"/>
                <w:szCs w:val="18"/>
              </w:rPr>
              <w:t>1.4 区域</w:t>
            </w:r>
          </w:p>
          <w:p>
            <w:pPr>
              <w:adjustRightInd w:val="0"/>
              <w:snapToGrid w:val="0"/>
              <w:spacing w:line="300" w:lineRule="auto"/>
              <w:rPr>
                <w:bCs/>
                <w:sz w:val="18"/>
                <w:szCs w:val="18"/>
              </w:rPr>
            </w:pPr>
            <w:r>
              <w:rPr>
                <w:bCs/>
                <w:sz w:val="18"/>
                <w:szCs w:val="18"/>
              </w:rPr>
              <w:t>1.5 复变函数</w:t>
            </w:r>
            <w:r>
              <w:rPr>
                <w:rFonts w:hint="eastAsia" w:ascii="宋体" w:hAnsi="宋体"/>
                <w:bCs/>
                <w:sz w:val="18"/>
                <w:szCs w:val="18"/>
              </w:rPr>
              <w:t>（介绍我国</w:t>
            </w:r>
            <w:r>
              <w:rPr>
                <w:rFonts w:hint="eastAsia"/>
                <w:bCs/>
                <w:sz w:val="18"/>
                <w:szCs w:val="18"/>
              </w:rPr>
              <w:t>多复变的奠基人——</w:t>
            </w:r>
            <w:r>
              <w:rPr>
                <w:rFonts w:hint="eastAsia" w:ascii="宋体" w:hAnsi="宋体"/>
                <w:bCs/>
                <w:sz w:val="18"/>
                <w:szCs w:val="18"/>
              </w:rPr>
              <w:t>著名数学家华罗庚先生）</w:t>
            </w:r>
          </w:p>
          <w:p>
            <w:pPr>
              <w:snapToGrid w:val="0"/>
              <w:spacing w:line="300" w:lineRule="auto"/>
              <w:rPr>
                <w:sz w:val="18"/>
                <w:szCs w:val="18"/>
              </w:rPr>
            </w:pPr>
            <w:r>
              <w:rPr>
                <w:bCs/>
                <w:sz w:val="18"/>
                <w:szCs w:val="18"/>
              </w:rPr>
              <w:t>1.6 复变函数的极限和连续性</w:t>
            </w:r>
          </w:p>
        </w:tc>
        <w:tc>
          <w:tcPr>
            <w:tcW w:w="2620"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w:t>
            </w:r>
            <w:r>
              <w:rPr>
                <w:bCs/>
                <w:sz w:val="18"/>
                <w:szCs w:val="18"/>
              </w:rPr>
              <w:t xml:space="preserve">学生能够描述复数、区域、单连通域、多连通域、复变函数以及映射的概念； </w:t>
            </w:r>
          </w:p>
          <w:p>
            <w:pPr>
              <w:adjustRightInd w:val="0"/>
              <w:snapToGrid w:val="0"/>
              <w:spacing w:line="300" w:lineRule="auto"/>
              <w:rPr>
                <w:bCs/>
                <w:sz w:val="18"/>
                <w:szCs w:val="18"/>
              </w:rPr>
            </w:pPr>
            <w:r>
              <w:rPr>
                <w:rFonts w:hint="eastAsia"/>
                <w:bCs/>
                <w:sz w:val="18"/>
                <w:szCs w:val="18"/>
              </w:rPr>
              <w:t>（2）</w:t>
            </w:r>
            <w:r>
              <w:rPr>
                <w:bCs/>
                <w:sz w:val="18"/>
                <w:szCs w:val="18"/>
              </w:rPr>
              <w:t xml:space="preserve">学生能够说明复平面和复球面的定义； </w:t>
            </w:r>
          </w:p>
          <w:p>
            <w:pPr>
              <w:adjustRightInd w:val="0"/>
              <w:snapToGrid w:val="0"/>
              <w:spacing w:line="300" w:lineRule="auto"/>
              <w:rPr>
                <w:bCs/>
                <w:sz w:val="18"/>
                <w:szCs w:val="18"/>
              </w:rPr>
            </w:pPr>
            <w:r>
              <w:rPr>
                <w:rFonts w:hint="eastAsia"/>
                <w:bCs/>
                <w:sz w:val="18"/>
                <w:szCs w:val="18"/>
              </w:rPr>
              <w:t>（3）</w:t>
            </w:r>
            <w:r>
              <w:rPr>
                <w:bCs/>
                <w:sz w:val="18"/>
                <w:szCs w:val="18"/>
              </w:rPr>
              <w:t xml:space="preserve">学生能够计算复数的代数运算、乘积与商、幂与根以及复变函数的极限； </w:t>
            </w:r>
          </w:p>
          <w:p>
            <w:pPr>
              <w:adjustRightInd w:val="0"/>
              <w:snapToGrid w:val="0"/>
              <w:spacing w:line="300" w:lineRule="auto"/>
              <w:rPr>
                <w:bCs/>
                <w:sz w:val="18"/>
                <w:szCs w:val="18"/>
              </w:rPr>
            </w:pPr>
            <w:r>
              <w:rPr>
                <w:rFonts w:hint="eastAsia"/>
                <w:bCs/>
                <w:sz w:val="18"/>
                <w:szCs w:val="18"/>
              </w:rPr>
              <w:t>（4）</w:t>
            </w:r>
            <w:r>
              <w:rPr>
                <w:bCs/>
                <w:sz w:val="18"/>
                <w:szCs w:val="18"/>
              </w:rPr>
              <w:t xml:space="preserve">学生能够理解复变函数的极限和连续性的概念； </w:t>
            </w:r>
          </w:p>
          <w:p>
            <w:pPr>
              <w:snapToGrid w:val="0"/>
              <w:spacing w:line="300" w:lineRule="auto"/>
              <w:rPr>
                <w:sz w:val="18"/>
                <w:szCs w:val="18"/>
              </w:rPr>
            </w:pPr>
            <w:r>
              <w:rPr>
                <w:rFonts w:hint="eastAsia"/>
                <w:bCs/>
                <w:sz w:val="18"/>
                <w:szCs w:val="18"/>
              </w:rPr>
              <w:t>（5）</w:t>
            </w:r>
            <w:r>
              <w:rPr>
                <w:bCs/>
                <w:sz w:val="18"/>
                <w:szCs w:val="18"/>
              </w:rPr>
              <w:t>学生能够判断复变函数的连续性。</w:t>
            </w:r>
          </w:p>
          <w:p>
            <w:pPr>
              <w:snapToGrid w:val="0"/>
              <w:spacing w:line="300" w:lineRule="auto"/>
              <w:rPr>
                <w:sz w:val="18"/>
                <w:szCs w:val="18"/>
              </w:rPr>
            </w:pPr>
            <w:r>
              <w:rPr>
                <w:sz w:val="18"/>
                <w:szCs w:val="18"/>
              </w:rPr>
              <w:t>2.作业内容</w:t>
            </w:r>
          </w:p>
          <w:p>
            <w:pPr>
              <w:snapToGrid w:val="0"/>
              <w:spacing w:line="300" w:lineRule="auto"/>
              <w:ind w:firstLine="360" w:firstLineChars="200"/>
              <w:rPr>
                <w:sz w:val="18"/>
                <w:szCs w:val="18"/>
              </w:rPr>
            </w:pPr>
            <w:r>
              <w:rPr>
                <w:bCs/>
                <w:sz w:val="18"/>
                <w:szCs w:val="18"/>
              </w:rPr>
              <w:t>复数的代数运算、乘积与商、幂与根以及复变函数的极限的计算，复变函数连续性的判断。</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39" w:type="pct"/>
            <w:tcMar>
              <w:left w:w="57" w:type="dxa"/>
              <w:right w:w="57" w:type="dxa"/>
            </w:tcMar>
            <w:vAlign w:val="center"/>
          </w:tcPr>
          <w:p>
            <w:pPr>
              <w:snapToGrid w:val="0"/>
              <w:spacing w:line="300" w:lineRule="auto"/>
              <w:rPr>
                <w:sz w:val="18"/>
                <w:szCs w:val="18"/>
              </w:rPr>
            </w:pPr>
            <w:r>
              <w:rPr>
                <w:sz w:val="18"/>
                <w:szCs w:val="18"/>
              </w:rPr>
              <w:t>2</w:t>
            </w:r>
          </w:p>
        </w:tc>
        <w:tc>
          <w:tcPr>
            <w:tcW w:w="1025" w:type="pct"/>
            <w:vAlign w:val="center"/>
          </w:tcPr>
          <w:p>
            <w:pPr>
              <w:adjustRightInd w:val="0"/>
              <w:snapToGrid w:val="0"/>
              <w:spacing w:line="300" w:lineRule="auto"/>
              <w:rPr>
                <w:bCs/>
                <w:sz w:val="18"/>
                <w:szCs w:val="18"/>
              </w:rPr>
            </w:pPr>
            <w:r>
              <w:rPr>
                <w:bCs/>
                <w:sz w:val="18"/>
                <w:szCs w:val="18"/>
              </w:rPr>
              <w:t>2解析函数</w:t>
            </w:r>
          </w:p>
          <w:p>
            <w:pPr>
              <w:adjustRightInd w:val="0"/>
              <w:snapToGrid w:val="0"/>
              <w:spacing w:line="300" w:lineRule="auto"/>
              <w:rPr>
                <w:bCs/>
                <w:sz w:val="18"/>
                <w:szCs w:val="18"/>
              </w:rPr>
            </w:pPr>
            <w:r>
              <w:rPr>
                <w:bCs/>
                <w:sz w:val="18"/>
                <w:szCs w:val="18"/>
              </w:rPr>
              <w:t>2.1 解析函数的概念</w:t>
            </w:r>
          </w:p>
          <w:p>
            <w:pPr>
              <w:adjustRightInd w:val="0"/>
              <w:snapToGrid w:val="0"/>
              <w:spacing w:line="300" w:lineRule="auto"/>
              <w:rPr>
                <w:bCs/>
                <w:sz w:val="18"/>
                <w:szCs w:val="18"/>
              </w:rPr>
            </w:pPr>
            <w:r>
              <w:rPr>
                <w:bCs/>
                <w:sz w:val="18"/>
                <w:szCs w:val="18"/>
              </w:rPr>
              <w:t>2.2 函数解析的充要条件</w:t>
            </w:r>
          </w:p>
          <w:p>
            <w:pPr>
              <w:snapToGrid w:val="0"/>
              <w:spacing w:line="300" w:lineRule="auto"/>
              <w:rPr>
                <w:sz w:val="18"/>
                <w:szCs w:val="18"/>
              </w:rPr>
            </w:pPr>
            <w:r>
              <w:rPr>
                <w:bCs/>
                <w:sz w:val="18"/>
                <w:szCs w:val="18"/>
              </w:rPr>
              <w:t>2.3 初等函数</w:t>
            </w:r>
          </w:p>
        </w:tc>
        <w:tc>
          <w:tcPr>
            <w:tcW w:w="2620"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w:t>
            </w:r>
            <w:r>
              <w:rPr>
                <w:bCs/>
                <w:sz w:val="18"/>
                <w:szCs w:val="18"/>
              </w:rPr>
              <w:t xml:space="preserve">学生能够理解复变函数的导数和微分、解析函数的概念以及函数解析的充要条件； </w:t>
            </w:r>
          </w:p>
          <w:p>
            <w:pPr>
              <w:adjustRightInd w:val="0"/>
              <w:snapToGrid w:val="0"/>
              <w:spacing w:line="300" w:lineRule="auto"/>
              <w:rPr>
                <w:bCs/>
                <w:sz w:val="18"/>
                <w:szCs w:val="18"/>
              </w:rPr>
            </w:pPr>
            <w:r>
              <w:rPr>
                <w:rFonts w:hint="eastAsia"/>
                <w:bCs/>
                <w:sz w:val="18"/>
                <w:szCs w:val="18"/>
              </w:rPr>
              <w:t>（2）</w:t>
            </w:r>
            <w:r>
              <w:rPr>
                <w:bCs/>
                <w:sz w:val="18"/>
                <w:szCs w:val="18"/>
              </w:rPr>
              <w:t xml:space="preserve">学生能够计算复变函数的导数； </w:t>
            </w:r>
          </w:p>
          <w:p>
            <w:pPr>
              <w:snapToGrid w:val="0"/>
              <w:spacing w:line="300" w:lineRule="auto"/>
              <w:rPr>
                <w:sz w:val="18"/>
                <w:szCs w:val="18"/>
              </w:rPr>
            </w:pPr>
            <w:r>
              <w:rPr>
                <w:rFonts w:hint="eastAsia"/>
                <w:bCs/>
                <w:sz w:val="18"/>
                <w:szCs w:val="18"/>
              </w:rPr>
              <w:t>（3）</w:t>
            </w:r>
            <w:r>
              <w:rPr>
                <w:bCs/>
                <w:sz w:val="18"/>
                <w:szCs w:val="18"/>
              </w:rPr>
              <w:t>学生能够掌握复变函数中的初等函数的定义及计算方法。</w:t>
            </w:r>
          </w:p>
          <w:p>
            <w:pPr>
              <w:snapToGrid w:val="0"/>
              <w:spacing w:line="300" w:lineRule="auto"/>
              <w:rPr>
                <w:sz w:val="18"/>
                <w:szCs w:val="18"/>
              </w:rPr>
            </w:pPr>
            <w:r>
              <w:rPr>
                <w:sz w:val="18"/>
                <w:szCs w:val="18"/>
              </w:rPr>
              <w:t>2.作业内容</w:t>
            </w:r>
          </w:p>
          <w:p>
            <w:pPr>
              <w:snapToGrid w:val="0"/>
              <w:spacing w:line="300" w:lineRule="auto"/>
              <w:ind w:firstLine="360" w:firstLineChars="200"/>
              <w:rPr>
                <w:sz w:val="18"/>
                <w:szCs w:val="18"/>
              </w:rPr>
            </w:pPr>
            <w:r>
              <w:rPr>
                <w:bCs/>
                <w:sz w:val="18"/>
                <w:szCs w:val="18"/>
              </w:rPr>
              <w:t>复变函数的极限和导数的计算，解析函数的判断以及初等函数的计算</w:t>
            </w:r>
            <w:r>
              <w:rPr>
                <w:rFonts w:hint="eastAsia"/>
                <w:bCs/>
                <w:sz w:val="18"/>
                <w:szCs w:val="18"/>
              </w:rPr>
              <w:t>。</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39" w:type="pct"/>
            <w:tcMar>
              <w:left w:w="57" w:type="dxa"/>
              <w:right w:w="57" w:type="dxa"/>
            </w:tcMar>
            <w:vAlign w:val="center"/>
          </w:tcPr>
          <w:p>
            <w:pPr>
              <w:snapToGrid w:val="0"/>
              <w:spacing w:line="300" w:lineRule="auto"/>
              <w:rPr>
                <w:sz w:val="18"/>
                <w:szCs w:val="18"/>
              </w:rPr>
            </w:pPr>
            <w:r>
              <w:rPr>
                <w:sz w:val="18"/>
                <w:szCs w:val="18"/>
              </w:rPr>
              <w:t>3</w:t>
            </w:r>
          </w:p>
        </w:tc>
        <w:tc>
          <w:tcPr>
            <w:tcW w:w="1025" w:type="pct"/>
            <w:vAlign w:val="center"/>
          </w:tcPr>
          <w:p>
            <w:pPr>
              <w:adjustRightInd w:val="0"/>
              <w:snapToGrid w:val="0"/>
              <w:spacing w:line="300" w:lineRule="auto"/>
              <w:rPr>
                <w:bCs/>
                <w:sz w:val="18"/>
                <w:szCs w:val="18"/>
              </w:rPr>
            </w:pPr>
            <w:r>
              <w:rPr>
                <w:bCs/>
                <w:sz w:val="18"/>
                <w:szCs w:val="18"/>
              </w:rPr>
              <w:t>3复变函数的积分</w:t>
            </w:r>
          </w:p>
          <w:p>
            <w:pPr>
              <w:adjustRightInd w:val="0"/>
              <w:snapToGrid w:val="0"/>
              <w:spacing w:line="300" w:lineRule="auto"/>
              <w:rPr>
                <w:bCs/>
                <w:sz w:val="18"/>
                <w:szCs w:val="18"/>
              </w:rPr>
            </w:pPr>
            <w:r>
              <w:rPr>
                <w:bCs/>
                <w:sz w:val="18"/>
                <w:szCs w:val="18"/>
              </w:rPr>
              <w:t xml:space="preserve">3.1 复变函数积分的概念 </w:t>
            </w:r>
          </w:p>
          <w:p>
            <w:pPr>
              <w:adjustRightInd w:val="0"/>
              <w:snapToGrid w:val="0"/>
              <w:spacing w:line="300" w:lineRule="auto"/>
              <w:rPr>
                <w:rFonts w:ascii="宋体" w:hAnsi="宋体"/>
                <w:bCs/>
                <w:sz w:val="18"/>
                <w:szCs w:val="18"/>
              </w:rPr>
            </w:pPr>
            <w:r>
              <w:rPr>
                <w:bCs/>
                <w:sz w:val="18"/>
                <w:szCs w:val="18"/>
              </w:rPr>
              <w:t xml:space="preserve">3.2 </w:t>
            </w:r>
            <w:r>
              <w:rPr>
                <w:rFonts w:ascii="宋体" w:hAnsi="宋体"/>
                <w:bCs/>
                <w:sz w:val="18"/>
                <w:szCs w:val="18"/>
              </w:rPr>
              <w:t>柯西—古萨基本定理</w:t>
            </w:r>
          </w:p>
          <w:p>
            <w:pPr>
              <w:adjustRightInd w:val="0"/>
              <w:snapToGrid w:val="0"/>
              <w:spacing w:line="300" w:lineRule="auto"/>
              <w:rPr>
                <w:bCs/>
                <w:sz w:val="18"/>
                <w:szCs w:val="18"/>
              </w:rPr>
            </w:pPr>
            <w:r>
              <w:rPr>
                <w:bCs/>
                <w:sz w:val="18"/>
                <w:szCs w:val="18"/>
              </w:rPr>
              <w:t>3.3 基本定理的推广——复合闭路定理</w:t>
            </w:r>
          </w:p>
          <w:p>
            <w:pPr>
              <w:adjustRightInd w:val="0"/>
              <w:snapToGrid w:val="0"/>
              <w:spacing w:line="300" w:lineRule="auto"/>
              <w:rPr>
                <w:bCs/>
                <w:sz w:val="18"/>
                <w:szCs w:val="18"/>
              </w:rPr>
            </w:pPr>
            <w:r>
              <w:rPr>
                <w:bCs/>
                <w:sz w:val="18"/>
                <w:szCs w:val="18"/>
              </w:rPr>
              <w:t>3.4 原函数与不定积分</w:t>
            </w:r>
          </w:p>
          <w:p>
            <w:pPr>
              <w:adjustRightInd w:val="0"/>
              <w:snapToGrid w:val="0"/>
              <w:spacing w:line="300" w:lineRule="auto"/>
              <w:rPr>
                <w:bCs/>
                <w:sz w:val="18"/>
                <w:szCs w:val="18"/>
              </w:rPr>
            </w:pPr>
            <w:r>
              <w:rPr>
                <w:bCs/>
                <w:sz w:val="18"/>
                <w:szCs w:val="18"/>
              </w:rPr>
              <w:t>3.5 柯西积分公式</w:t>
            </w:r>
          </w:p>
          <w:p>
            <w:pPr>
              <w:adjustRightInd w:val="0"/>
              <w:snapToGrid w:val="0"/>
              <w:spacing w:line="300" w:lineRule="auto"/>
              <w:rPr>
                <w:bCs/>
                <w:sz w:val="18"/>
                <w:szCs w:val="18"/>
              </w:rPr>
            </w:pPr>
            <w:r>
              <w:rPr>
                <w:bCs/>
                <w:sz w:val="18"/>
                <w:szCs w:val="18"/>
              </w:rPr>
              <w:t>3.6 解析函数的高阶导数</w:t>
            </w:r>
          </w:p>
          <w:p>
            <w:pPr>
              <w:snapToGrid w:val="0"/>
              <w:spacing w:line="300" w:lineRule="auto"/>
              <w:rPr>
                <w:sz w:val="18"/>
                <w:szCs w:val="18"/>
              </w:rPr>
            </w:pPr>
            <w:r>
              <w:rPr>
                <w:bCs/>
                <w:sz w:val="18"/>
                <w:szCs w:val="18"/>
              </w:rPr>
              <w:t>3.7 解析函数与调和函数的关系</w:t>
            </w:r>
          </w:p>
        </w:tc>
        <w:tc>
          <w:tcPr>
            <w:tcW w:w="2620"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w:t>
            </w:r>
            <w:r>
              <w:rPr>
                <w:bCs/>
                <w:sz w:val="18"/>
                <w:szCs w:val="18"/>
              </w:rPr>
              <w:t xml:space="preserve">学生能够理解复变函数的积分的定义、存在条件及其计算方法； </w:t>
            </w:r>
          </w:p>
          <w:p>
            <w:pPr>
              <w:adjustRightInd w:val="0"/>
              <w:snapToGrid w:val="0"/>
              <w:spacing w:line="300" w:lineRule="auto"/>
              <w:rPr>
                <w:bCs/>
                <w:sz w:val="18"/>
                <w:szCs w:val="18"/>
              </w:rPr>
            </w:pPr>
            <w:r>
              <w:rPr>
                <w:rFonts w:hint="eastAsia"/>
                <w:bCs/>
                <w:sz w:val="18"/>
                <w:szCs w:val="18"/>
              </w:rPr>
              <w:t>（2）</w:t>
            </w:r>
            <w:r>
              <w:rPr>
                <w:bCs/>
                <w:sz w:val="18"/>
                <w:szCs w:val="18"/>
              </w:rPr>
              <w:t xml:space="preserve">学生能够熟练运用复变函数积分的性质、柯西-古萨基本定理、复合闭路定理、原函数与不定积分、柯西积分公式以及高阶导数公式； </w:t>
            </w:r>
          </w:p>
          <w:p>
            <w:pPr>
              <w:snapToGrid w:val="0"/>
              <w:spacing w:line="300" w:lineRule="auto"/>
              <w:rPr>
                <w:sz w:val="18"/>
                <w:szCs w:val="18"/>
              </w:rPr>
            </w:pPr>
            <w:r>
              <w:rPr>
                <w:rFonts w:hint="eastAsia"/>
                <w:bCs/>
                <w:sz w:val="18"/>
                <w:szCs w:val="18"/>
              </w:rPr>
              <w:t>（3）</w:t>
            </w:r>
            <w:r>
              <w:rPr>
                <w:bCs/>
                <w:sz w:val="18"/>
                <w:szCs w:val="18"/>
              </w:rPr>
              <w:t>学生能够利用解析函数的性质以及与调和函数的关系推演出调和函数。</w:t>
            </w:r>
          </w:p>
          <w:p>
            <w:pPr>
              <w:snapToGrid w:val="0"/>
              <w:spacing w:line="300" w:lineRule="auto"/>
              <w:rPr>
                <w:sz w:val="18"/>
                <w:szCs w:val="18"/>
              </w:rPr>
            </w:pPr>
            <w:r>
              <w:rPr>
                <w:sz w:val="18"/>
                <w:szCs w:val="18"/>
              </w:rPr>
              <w:t>2.作业内容</w:t>
            </w:r>
          </w:p>
          <w:p>
            <w:pPr>
              <w:snapToGrid w:val="0"/>
              <w:spacing w:line="300" w:lineRule="auto"/>
              <w:ind w:firstLine="360" w:firstLineChars="200"/>
              <w:rPr>
                <w:sz w:val="18"/>
                <w:szCs w:val="18"/>
              </w:rPr>
            </w:pPr>
            <w:r>
              <w:rPr>
                <w:bCs/>
                <w:sz w:val="18"/>
                <w:szCs w:val="18"/>
              </w:rPr>
              <w:t>运用复变函数积分的性质、柯西-古萨基本定理、复合闭路定理、原函数与不定积分、柯西积分公式以及高阶导数公式求解或证明出相应的复变函数，调和函数的计算。</w:t>
            </w:r>
          </w:p>
          <w:p>
            <w:pPr>
              <w:snapToGrid w:val="0"/>
              <w:spacing w:line="300" w:lineRule="auto"/>
              <w:rPr>
                <w:sz w:val="18"/>
                <w:szCs w:val="18"/>
              </w:rPr>
            </w:pPr>
            <w:r>
              <w:rPr>
                <w:sz w:val="18"/>
                <w:szCs w:val="18"/>
              </w:rPr>
              <w:t>3.教学方法：</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12</w:t>
            </w:r>
          </w:p>
        </w:tc>
        <w:tc>
          <w:tcPr>
            <w:tcW w:w="593" w:type="pct"/>
            <w:vAlign w:val="center"/>
          </w:tcPr>
          <w:p>
            <w:pPr>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339" w:type="pct"/>
            <w:tcMar>
              <w:left w:w="57" w:type="dxa"/>
              <w:right w:w="57" w:type="dxa"/>
            </w:tcMar>
            <w:vAlign w:val="center"/>
          </w:tcPr>
          <w:p>
            <w:pPr>
              <w:snapToGrid w:val="0"/>
              <w:spacing w:line="300" w:lineRule="auto"/>
              <w:rPr>
                <w:sz w:val="18"/>
                <w:szCs w:val="18"/>
              </w:rPr>
            </w:pPr>
            <w:r>
              <w:rPr>
                <w:sz w:val="18"/>
                <w:szCs w:val="18"/>
              </w:rPr>
              <w:t>4</w:t>
            </w:r>
          </w:p>
        </w:tc>
        <w:tc>
          <w:tcPr>
            <w:tcW w:w="1025" w:type="pct"/>
            <w:vAlign w:val="center"/>
          </w:tcPr>
          <w:p>
            <w:pPr>
              <w:adjustRightInd w:val="0"/>
              <w:snapToGrid w:val="0"/>
              <w:spacing w:line="300" w:lineRule="auto"/>
              <w:rPr>
                <w:bCs/>
                <w:sz w:val="18"/>
                <w:szCs w:val="18"/>
              </w:rPr>
            </w:pPr>
            <w:r>
              <w:rPr>
                <w:bCs/>
                <w:sz w:val="18"/>
                <w:szCs w:val="18"/>
              </w:rPr>
              <w:t>4 Fourier变换</w:t>
            </w:r>
          </w:p>
          <w:p>
            <w:pPr>
              <w:adjustRightInd w:val="0"/>
              <w:snapToGrid w:val="0"/>
              <w:spacing w:line="300" w:lineRule="auto"/>
              <w:rPr>
                <w:bCs/>
                <w:sz w:val="18"/>
                <w:szCs w:val="18"/>
              </w:rPr>
            </w:pPr>
            <w:r>
              <w:rPr>
                <w:bCs/>
                <w:sz w:val="18"/>
                <w:szCs w:val="18"/>
              </w:rPr>
              <w:t xml:space="preserve">4.1 Fourier积分 </w:t>
            </w:r>
          </w:p>
          <w:p>
            <w:pPr>
              <w:adjustRightInd w:val="0"/>
              <w:snapToGrid w:val="0"/>
              <w:spacing w:line="300" w:lineRule="auto"/>
              <w:rPr>
                <w:bCs/>
                <w:sz w:val="18"/>
                <w:szCs w:val="18"/>
              </w:rPr>
            </w:pPr>
            <w:r>
              <w:rPr>
                <w:bCs/>
                <w:sz w:val="18"/>
                <w:szCs w:val="18"/>
              </w:rPr>
              <w:t>4.2 Fourier变换</w:t>
            </w:r>
          </w:p>
          <w:p>
            <w:pPr>
              <w:adjustRightInd w:val="0"/>
              <w:snapToGrid w:val="0"/>
              <w:spacing w:line="300" w:lineRule="auto"/>
              <w:rPr>
                <w:bCs/>
                <w:sz w:val="18"/>
                <w:szCs w:val="18"/>
              </w:rPr>
            </w:pPr>
            <w:r>
              <w:rPr>
                <w:bCs/>
                <w:sz w:val="18"/>
                <w:szCs w:val="18"/>
              </w:rPr>
              <w:t>4.3 Fourier变换的性质</w:t>
            </w:r>
          </w:p>
          <w:p>
            <w:pPr>
              <w:adjustRightInd w:val="0"/>
              <w:snapToGrid w:val="0"/>
              <w:spacing w:line="300" w:lineRule="auto"/>
              <w:rPr>
                <w:bCs/>
                <w:sz w:val="18"/>
                <w:szCs w:val="18"/>
              </w:rPr>
            </w:pPr>
            <w:r>
              <w:rPr>
                <w:bCs/>
                <w:sz w:val="18"/>
                <w:szCs w:val="18"/>
              </w:rPr>
              <w:t>4.4 卷积与相关函数</w:t>
            </w:r>
          </w:p>
          <w:p>
            <w:pPr>
              <w:adjustRightInd w:val="0"/>
              <w:snapToGrid w:val="0"/>
              <w:spacing w:line="300" w:lineRule="auto"/>
              <w:rPr>
                <w:bCs/>
                <w:sz w:val="18"/>
                <w:szCs w:val="18"/>
              </w:rPr>
            </w:pPr>
            <w:r>
              <w:rPr>
                <w:bCs/>
                <w:sz w:val="18"/>
                <w:szCs w:val="18"/>
              </w:rPr>
              <w:t>4.5 多重Fourier变换</w:t>
            </w:r>
          </w:p>
          <w:p>
            <w:pPr>
              <w:snapToGrid w:val="0"/>
              <w:spacing w:line="300" w:lineRule="auto"/>
              <w:rPr>
                <w:sz w:val="18"/>
                <w:szCs w:val="18"/>
              </w:rPr>
            </w:pPr>
            <w:r>
              <w:rPr>
                <w:bCs/>
                <w:sz w:val="18"/>
                <w:szCs w:val="18"/>
              </w:rPr>
              <w:t>4.6 Fourier变换的应用</w:t>
            </w:r>
          </w:p>
        </w:tc>
        <w:tc>
          <w:tcPr>
            <w:tcW w:w="2620"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w:t>
            </w:r>
            <w:r>
              <w:rPr>
                <w:bCs/>
                <w:sz w:val="18"/>
                <w:szCs w:val="18"/>
              </w:rPr>
              <w:t xml:space="preserve">学生能够描述傅里叶积分和傅里叶变换的定义； </w:t>
            </w:r>
          </w:p>
          <w:p>
            <w:pPr>
              <w:adjustRightInd w:val="0"/>
              <w:snapToGrid w:val="0"/>
              <w:spacing w:line="300" w:lineRule="auto"/>
              <w:rPr>
                <w:bCs/>
                <w:sz w:val="18"/>
                <w:szCs w:val="18"/>
              </w:rPr>
            </w:pPr>
            <w:r>
              <w:rPr>
                <w:rFonts w:hint="eastAsia"/>
                <w:bCs/>
                <w:sz w:val="18"/>
                <w:szCs w:val="18"/>
              </w:rPr>
              <w:t>（2）</w:t>
            </w:r>
            <w:r>
              <w:rPr>
                <w:bCs/>
                <w:sz w:val="18"/>
                <w:szCs w:val="18"/>
              </w:rPr>
              <w:t xml:space="preserve">学生能够解释傅里叶变换的物理意义； </w:t>
            </w:r>
          </w:p>
          <w:p>
            <w:pPr>
              <w:adjustRightInd w:val="0"/>
              <w:snapToGrid w:val="0"/>
              <w:spacing w:line="300" w:lineRule="auto"/>
              <w:rPr>
                <w:bCs/>
                <w:sz w:val="18"/>
                <w:szCs w:val="18"/>
              </w:rPr>
            </w:pPr>
            <w:r>
              <w:rPr>
                <w:rFonts w:hint="eastAsia"/>
                <w:bCs/>
                <w:sz w:val="18"/>
                <w:szCs w:val="18"/>
              </w:rPr>
              <w:t>（3）</w:t>
            </w:r>
            <w:r>
              <w:rPr>
                <w:bCs/>
                <w:sz w:val="18"/>
                <w:szCs w:val="18"/>
              </w:rPr>
              <w:t xml:space="preserve">学生能够熟练运用傅里叶变换的主要性质； </w:t>
            </w:r>
          </w:p>
          <w:p>
            <w:pPr>
              <w:adjustRightInd w:val="0"/>
              <w:snapToGrid w:val="0"/>
              <w:spacing w:line="300" w:lineRule="auto"/>
              <w:rPr>
                <w:bCs/>
                <w:sz w:val="18"/>
                <w:szCs w:val="18"/>
              </w:rPr>
            </w:pPr>
            <w:r>
              <w:rPr>
                <w:rFonts w:hint="eastAsia"/>
                <w:bCs/>
                <w:sz w:val="18"/>
                <w:szCs w:val="18"/>
              </w:rPr>
              <w:t>（4）</w:t>
            </w:r>
            <w:r>
              <w:rPr>
                <w:bCs/>
                <w:sz w:val="18"/>
                <w:szCs w:val="18"/>
              </w:rPr>
              <w:t xml:space="preserve">学生能够计算一般函数的傅里叶正反变换并能计算卷积、相关函数以及多重傅里叶变换； </w:t>
            </w:r>
          </w:p>
          <w:p>
            <w:pPr>
              <w:snapToGrid w:val="0"/>
              <w:spacing w:line="300" w:lineRule="auto"/>
              <w:rPr>
                <w:sz w:val="18"/>
                <w:szCs w:val="18"/>
              </w:rPr>
            </w:pPr>
            <w:r>
              <w:rPr>
                <w:rFonts w:hint="eastAsia"/>
                <w:bCs/>
                <w:sz w:val="18"/>
                <w:szCs w:val="18"/>
              </w:rPr>
              <w:t>（5）</w:t>
            </w:r>
            <w:r>
              <w:rPr>
                <w:bCs/>
                <w:sz w:val="18"/>
                <w:szCs w:val="18"/>
              </w:rPr>
              <w:t>学生能够利用傅里叶变换的性质推演出线性常系数微分方程的解。</w:t>
            </w:r>
          </w:p>
          <w:p>
            <w:pPr>
              <w:snapToGrid w:val="0"/>
              <w:spacing w:line="300" w:lineRule="auto"/>
              <w:rPr>
                <w:sz w:val="18"/>
                <w:szCs w:val="18"/>
              </w:rPr>
            </w:pPr>
            <w:r>
              <w:rPr>
                <w:sz w:val="18"/>
                <w:szCs w:val="18"/>
              </w:rPr>
              <w:t>2.作业内容</w:t>
            </w:r>
          </w:p>
          <w:p>
            <w:pPr>
              <w:snapToGrid w:val="0"/>
              <w:spacing w:line="300" w:lineRule="auto"/>
              <w:ind w:firstLine="360" w:firstLineChars="200"/>
              <w:rPr>
                <w:sz w:val="18"/>
                <w:szCs w:val="18"/>
              </w:rPr>
            </w:pPr>
            <w:r>
              <w:rPr>
                <w:bCs/>
                <w:sz w:val="18"/>
                <w:szCs w:val="18"/>
              </w:rPr>
              <w:t>一般函数的傅里叶正反变换、卷积、相关函数以及多重傅里叶变换的计算，利用傅里叶变换的性质推演出线性常系数微分方程的解。</w:t>
            </w:r>
          </w:p>
          <w:p>
            <w:pPr>
              <w:snapToGrid w:val="0"/>
              <w:spacing w:line="300" w:lineRule="auto"/>
              <w:rPr>
                <w:sz w:val="18"/>
                <w:szCs w:val="18"/>
              </w:rPr>
            </w:pPr>
            <w:r>
              <w:rPr>
                <w:sz w:val="18"/>
                <w:szCs w:val="18"/>
              </w:rPr>
              <w:t>3.教学方法</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14</w:t>
            </w:r>
          </w:p>
        </w:tc>
        <w:tc>
          <w:tcPr>
            <w:tcW w:w="593" w:type="pct"/>
            <w:vAlign w:val="center"/>
          </w:tcPr>
          <w:p>
            <w:pPr>
              <w:snapToGrid w:val="0"/>
              <w:spacing w:line="300" w:lineRule="auto"/>
              <w:jc w:val="center"/>
              <w:rPr>
                <w:sz w:val="18"/>
                <w:szCs w:val="18"/>
              </w:rPr>
            </w:pPr>
            <w:r>
              <w:rPr>
                <w:sz w:val="18"/>
                <w:szCs w:val="18"/>
              </w:rPr>
              <w:t>1，2</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339" w:type="pct"/>
            <w:tcMar>
              <w:left w:w="57" w:type="dxa"/>
              <w:right w:w="57" w:type="dxa"/>
            </w:tcMar>
            <w:vAlign w:val="center"/>
          </w:tcPr>
          <w:p>
            <w:pPr>
              <w:snapToGrid w:val="0"/>
              <w:spacing w:line="300" w:lineRule="auto"/>
              <w:rPr>
                <w:sz w:val="18"/>
                <w:szCs w:val="18"/>
              </w:rPr>
            </w:pPr>
            <w:r>
              <w:rPr>
                <w:sz w:val="18"/>
                <w:szCs w:val="18"/>
              </w:rPr>
              <w:t>5</w:t>
            </w:r>
          </w:p>
        </w:tc>
        <w:tc>
          <w:tcPr>
            <w:tcW w:w="1025" w:type="pct"/>
            <w:vAlign w:val="center"/>
          </w:tcPr>
          <w:p>
            <w:pPr>
              <w:adjustRightInd w:val="0"/>
              <w:snapToGrid w:val="0"/>
              <w:spacing w:line="300" w:lineRule="auto"/>
              <w:rPr>
                <w:bCs/>
                <w:sz w:val="18"/>
                <w:szCs w:val="18"/>
              </w:rPr>
            </w:pPr>
            <w:r>
              <w:rPr>
                <w:bCs/>
                <w:sz w:val="18"/>
                <w:szCs w:val="18"/>
              </w:rPr>
              <w:t>5 Laplace变换</w:t>
            </w:r>
          </w:p>
          <w:p>
            <w:pPr>
              <w:adjustRightInd w:val="0"/>
              <w:snapToGrid w:val="0"/>
              <w:spacing w:line="300" w:lineRule="auto"/>
              <w:rPr>
                <w:bCs/>
                <w:sz w:val="18"/>
                <w:szCs w:val="18"/>
              </w:rPr>
            </w:pPr>
            <w:r>
              <w:rPr>
                <w:bCs/>
                <w:sz w:val="18"/>
                <w:szCs w:val="18"/>
              </w:rPr>
              <w:t xml:space="preserve">5.1 Laplace变换的概念 </w:t>
            </w:r>
          </w:p>
          <w:p>
            <w:pPr>
              <w:adjustRightInd w:val="0"/>
              <w:snapToGrid w:val="0"/>
              <w:spacing w:line="300" w:lineRule="auto"/>
              <w:rPr>
                <w:bCs/>
                <w:sz w:val="18"/>
                <w:szCs w:val="18"/>
              </w:rPr>
            </w:pPr>
            <w:r>
              <w:rPr>
                <w:bCs/>
                <w:sz w:val="18"/>
                <w:szCs w:val="18"/>
              </w:rPr>
              <w:t>5.2 Laplace变换的性质</w:t>
            </w:r>
          </w:p>
          <w:p>
            <w:pPr>
              <w:adjustRightInd w:val="0"/>
              <w:snapToGrid w:val="0"/>
              <w:spacing w:line="300" w:lineRule="auto"/>
              <w:rPr>
                <w:bCs/>
                <w:sz w:val="18"/>
                <w:szCs w:val="18"/>
              </w:rPr>
            </w:pPr>
            <w:r>
              <w:rPr>
                <w:bCs/>
                <w:sz w:val="18"/>
                <w:szCs w:val="18"/>
              </w:rPr>
              <w:t>5.3 卷积</w:t>
            </w:r>
          </w:p>
          <w:p>
            <w:pPr>
              <w:adjustRightInd w:val="0"/>
              <w:snapToGrid w:val="0"/>
              <w:spacing w:line="300" w:lineRule="auto"/>
              <w:rPr>
                <w:bCs/>
                <w:sz w:val="18"/>
                <w:szCs w:val="18"/>
              </w:rPr>
            </w:pPr>
            <w:r>
              <w:rPr>
                <w:bCs/>
                <w:sz w:val="18"/>
                <w:szCs w:val="18"/>
              </w:rPr>
              <w:t>5.4 Laplace逆变换</w:t>
            </w:r>
          </w:p>
          <w:p>
            <w:pPr>
              <w:snapToGrid w:val="0"/>
              <w:spacing w:line="300" w:lineRule="auto"/>
              <w:rPr>
                <w:sz w:val="18"/>
                <w:szCs w:val="18"/>
              </w:rPr>
            </w:pPr>
            <w:r>
              <w:rPr>
                <w:bCs/>
                <w:sz w:val="18"/>
                <w:szCs w:val="18"/>
              </w:rPr>
              <w:t>5.5 Laplace变换的应用</w:t>
            </w:r>
          </w:p>
        </w:tc>
        <w:tc>
          <w:tcPr>
            <w:tcW w:w="2620"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w:t>
            </w:r>
            <w:r>
              <w:rPr>
                <w:bCs/>
                <w:sz w:val="18"/>
                <w:szCs w:val="18"/>
              </w:rPr>
              <w:t xml:space="preserve">学生能够描述拉普拉斯变换的定义； </w:t>
            </w:r>
          </w:p>
          <w:p>
            <w:pPr>
              <w:adjustRightInd w:val="0"/>
              <w:snapToGrid w:val="0"/>
              <w:spacing w:line="300" w:lineRule="auto"/>
              <w:rPr>
                <w:bCs/>
                <w:sz w:val="18"/>
                <w:szCs w:val="18"/>
              </w:rPr>
            </w:pPr>
            <w:r>
              <w:rPr>
                <w:rFonts w:hint="eastAsia"/>
                <w:bCs/>
                <w:sz w:val="18"/>
                <w:szCs w:val="18"/>
              </w:rPr>
              <w:t>（2）</w:t>
            </w:r>
            <w:r>
              <w:rPr>
                <w:bCs/>
                <w:sz w:val="18"/>
                <w:szCs w:val="18"/>
              </w:rPr>
              <w:t xml:space="preserve">学生能够熟练运用拉普拉斯变换的主要性质； </w:t>
            </w:r>
          </w:p>
          <w:p>
            <w:pPr>
              <w:adjustRightInd w:val="0"/>
              <w:snapToGrid w:val="0"/>
              <w:spacing w:line="300" w:lineRule="auto"/>
              <w:rPr>
                <w:bCs/>
                <w:sz w:val="18"/>
                <w:szCs w:val="18"/>
              </w:rPr>
            </w:pPr>
            <w:r>
              <w:rPr>
                <w:rFonts w:hint="eastAsia"/>
                <w:bCs/>
                <w:sz w:val="18"/>
                <w:szCs w:val="18"/>
              </w:rPr>
              <w:t>（3）</w:t>
            </w:r>
            <w:r>
              <w:rPr>
                <w:bCs/>
                <w:sz w:val="18"/>
                <w:szCs w:val="18"/>
              </w:rPr>
              <w:t>学生能够算一般函数的拉普拉斯正</w:t>
            </w:r>
            <w:r>
              <w:rPr>
                <w:rFonts w:hint="eastAsia"/>
                <w:bCs/>
                <w:sz w:val="18"/>
                <w:szCs w:val="18"/>
              </w:rPr>
              <w:t>反</w:t>
            </w:r>
            <w:r>
              <w:rPr>
                <w:bCs/>
                <w:sz w:val="18"/>
                <w:szCs w:val="18"/>
              </w:rPr>
              <w:t xml:space="preserve">变换并能计算卷积； </w:t>
            </w:r>
          </w:p>
          <w:p>
            <w:pPr>
              <w:snapToGrid w:val="0"/>
              <w:spacing w:line="300" w:lineRule="auto"/>
              <w:rPr>
                <w:sz w:val="18"/>
                <w:szCs w:val="18"/>
              </w:rPr>
            </w:pPr>
            <w:r>
              <w:rPr>
                <w:rFonts w:hint="eastAsia"/>
                <w:bCs/>
                <w:sz w:val="18"/>
                <w:szCs w:val="18"/>
              </w:rPr>
              <w:t>（4）</w:t>
            </w:r>
            <w:r>
              <w:rPr>
                <w:bCs/>
                <w:sz w:val="18"/>
                <w:szCs w:val="18"/>
              </w:rPr>
              <w:t>学生能够利用拉普拉斯变换的性质推演出线性常系数微分方程的解。</w:t>
            </w:r>
          </w:p>
          <w:p>
            <w:pPr>
              <w:snapToGrid w:val="0"/>
              <w:spacing w:line="300" w:lineRule="auto"/>
              <w:rPr>
                <w:sz w:val="18"/>
                <w:szCs w:val="18"/>
              </w:rPr>
            </w:pPr>
            <w:r>
              <w:rPr>
                <w:sz w:val="18"/>
                <w:szCs w:val="18"/>
              </w:rPr>
              <w:t>2.作业内容</w:t>
            </w:r>
          </w:p>
          <w:p>
            <w:pPr>
              <w:snapToGrid w:val="0"/>
              <w:spacing w:line="300" w:lineRule="auto"/>
              <w:ind w:firstLine="360" w:firstLineChars="200"/>
              <w:rPr>
                <w:sz w:val="18"/>
                <w:szCs w:val="18"/>
              </w:rPr>
            </w:pPr>
            <w:r>
              <w:rPr>
                <w:bCs/>
                <w:sz w:val="18"/>
                <w:szCs w:val="18"/>
              </w:rPr>
              <w:t>一般函数的拉普拉斯正反变换、卷积，利用拉普拉斯变换的性质推演出线性常系数微分方程的解。</w:t>
            </w:r>
          </w:p>
          <w:p>
            <w:pPr>
              <w:snapToGrid w:val="0"/>
              <w:spacing w:line="300" w:lineRule="auto"/>
              <w:rPr>
                <w:sz w:val="18"/>
                <w:szCs w:val="18"/>
              </w:rPr>
            </w:pPr>
            <w:r>
              <w:rPr>
                <w:sz w:val="18"/>
                <w:szCs w:val="18"/>
              </w:rPr>
              <w:t>3.教学方法</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10</w:t>
            </w:r>
          </w:p>
        </w:tc>
        <w:tc>
          <w:tcPr>
            <w:tcW w:w="593" w:type="pct"/>
            <w:vAlign w:val="center"/>
          </w:tcPr>
          <w:p>
            <w:pPr>
              <w:snapToGrid w:val="0"/>
              <w:spacing w:line="300" w:lineRule="auto"/>
              <w:jc w:val="center"/>
              <w:rPr>
                <w:sz w:val="18"/>
                <w:szCs w:val="18"/>
              </w:rPr>
            </w:pPr>
            <w:r>
              <w:rPr>
                <w:sz w:val="18"/>
                <w:szCs w:val="18"/>
              </w:rPr>
              <w:t>1</w:t>
            </w:r>
            <w:r>
              <w:rPr>
                <w:rFonts w:hint="eastAsia"/>
                <w:sz w:val="18"/>
                <w:szCs w:val="18"/>
              </w:rPr>
              <w:t>，</w:t>
            </w:r>
            <w:r>
              <w:rPr>
                <w:sz w:val="18"/>
                <w:szCs w:val="18"/>
              </w:rPr>
              <w:t>2，3</w:t>
            </w:r>
          </w:p>
        </w:tc>
      </w:tr>
    </w:tbl>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pPr>
      <w:r>
        <w:t>1．考核方式：闭卷笔试，平时测验及作业。</w:t>
      </w:r>
    </w:p>
    <w:p>
      <w:pPr>
        <w:snapToGrid w:val="0"/>
        <w:spacing w:line="300" w:lineRule="auto"/>
        <w:ind w:firstLine="420" w:firstLineChars="200"/>
      </w:pPr>
      <w:r>
        <w:t>2．成绩构成：</w:t>
      </w:r>
      <w:r>
        <w:rPr>
          <w:bCs/>
          <w:szCs w:val="21"/>
        </w:rPr>
        <w:t>笔试成绩60%，平时成绩40%（课后作业、课堂表现等）</w:t>
      </w:r>
      <w:r>
        <w:t>。</w:t>
      </w:r>
    </w:p>
    <w:p>
      <w:pPr>
        <w:snapToGrid w:val="0"/>
        <w:spacing w:line="300" w:lineRule="auto"/>
        <w:ind w:firstLine="420" w:firstLineChars="200"/>
      </w:pPr>
      <w:r>
        <w:t>3．考核评价标准见表4所示。</w:t>
      </w: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line="300" w:lineRule="auto"/>
        <w:ind w:firstLine="420" w:firstLineChars="200"/>
      </w:pP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4"/>
        <w:gridCol w:w="720"/>
        <w:gridCol w:w="703"/>
        <w:gridCol w:w="602"/>
        <w:gridCol w:w="3897"/>
        <w:gridCol w:w="101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5" w:type="pct"/>
            <w:vAlign w:val="center"/>
          </w:tcPr>
          <w:p>
            <w:pPr>
              <w:snapToGrid w:val="0"/>
              <w:spacing w:line="300" w:lineRule="auto"/>
              <w:jc w:val="center"/>
              <w:rPr>
                <w:b/>
                <w:bCs/>
                <w:sz w:val="18"/>
                <w:szCs w:val="18"/>
              </w:rPr>
            </w:pPr>
            <w:r>
              <w:rPr>
                <w:b/>
                <w:bCs/>
                <w:sz w:val="18"/>
                <w:szCs w:val="18"/>
              </w:rPr>
              <w:t>成绩</w:t>
            </w:r>
          </w:p>
        </w:tc>
        <w:tc>
          <w:tcPr>
            <w:tcW w:w="385" w:type="pct"/>
            <w:vAlign w:val="center"/>
          </w:tcPr>
          <w:p>
            <w:pPr>
              <w:snapToGrid w:val="0"/>
              <w:spacing w:line="300" w:lineRule="auto"/>
              <w:jc w:val="center"/>
              <w:rPr>
                <w:b/>
                <w:bCs/>
                <w:sz w:val="18"/>
                <w:szCs w:val="18"/>
              </w:rPr>
            </w:pPr>
            <w:r>
              <w:rPr>
                <w:b/>
                <w:bCs/>
                <w:sz w:val="18"/>
                <w:szCs w:val="18"/>
              </w:rPr>
              <w:t>分值</w:t>
            </w:r>
          </w:p>
        </w:tc>
        <w:tc>
          <w:tcPr>
            <w:tcW w:w="383" w:type="pct"/>
            <w:vAlign w:val="center"/>
          </w:tcPr>
          <w:p>
            <w:pPr>
              <w:snapToGrid w:val="0"/>
              <w:spacing w:line="300" w:lineRule="auto"/>
              <w:jc w:val="center"/>
              <w:rPr>
                <w:b/>
                <w:bCs/>
                <w:sz w:val="18"/>
                <w:szCs w:val="18"/>
              </w:rPr>
            </w:pPr>
            <w:r>
              <w:rPr>
                <w:b/>
                <w:bCs/>
                <w:sz w:val="18"/>
                <w:szCs w:val="18"/>
              </w:rPr>
              <w:t>权重</w:t>
            </w:r>
          </w:p>
        </w:tc>
        <w:tc>
          <w:tcPr>
            <w:tcW w:w="374" w:type="pct"/>
            <w:vAlign w:val="center"/>
          </w:tcPr>
          <w:p>
            <w:pPr>
              <w:snapToGrid w:val="0"/>
              <w:spacing w:line="300" w:lineRule="auto"/>
              <w:jc w:val="center"/>
              <w:rPr>
                <w:b/>
                <w:bCs/>
                <w:sz w:val="18"/>
                <w:szCs w:val="18"/>
              </w:rPr>
            </w:pPr>
            <w:r>
              <w:rPr>
                <w:b/>
                <w:bCs/>
                <w:sz w:val="18"/>
                <w:szCs w:val="18"/>
              </w:rPr>
              <w:t>类别</w:t>
            </w:r>
          </w:p>
        </w:tc>
        <w:tc>
          <w:tcPr>
            <w:tcW w:w="320" w:type="pct"/>
            <w:vAlign w:val="center"/>
          </w:tcPr>
          <w:p>
            <w:pPr>
              <w:snapToGrid w:val="0"/>
              <w:spacing w:line="300" w:lineRule="auto"/>
              <w:jc w:val="center"/>
              <w:rPr>
                <w:b/>
                <w:bCs/>
                <w:sz w:val="18"/>
                <w:szCs w:val="18"/>
              </w:rPr>
            </w:pPr>
            <w:r>
              <w:rPr>
                <w:b/>
                <w:bCs/>
                <w:sz w:val="18"/>
                <w:szCs w:val="18"/>
              </w:rPr>
              <w:t>权重</w:t>
            </w:r>
          </w:p>
        </w:tc>
        <w:tc>
          <w:tcPr>
            <w:tcW w:w="2073" w:type="pct"/>
            <w:vAlign w:val="center"/>
          </w:tcPr>
          <w:p>
            <w:pPr>
              <w:snapToGrid w:val="0"/>
              <w:spacing w:line="300" w:lineRule="auto"/>
              <w:jc w:val="center"/>
              <w:rPr>
                <w:b/>
                <w:bCs/>
                <w:sz w:val="18"/>
                <w:szCs w:val="18"/>
              </w:rPr>
            </w:pPr>
            <w:r>
              <w:rPr>
                <w:b/>
                <w:bCs/>
                <w:sz w:val="18"/>
                <w:szCs w:val="18"/>
              </w:rPr>
              <w:t>考核/评价细则</w:t>
            </w:r>
          </w:p>
        </w:tc>
        <w:tc>
          <w:tcPr>
            <w:tcW w:w="540"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40" w:type="pct"/>
            <w:vAlign w:val="center"/>
          </w:tcPr>
          <w:p>
            <w:pPr>
              <w:snapToGrid w:val="0"/>
              <w:spacing w:line="300" w:lineRule="auto"/>
              <w:jc w:val="center"/>
              <w:rPr>
                <w:b/>
                <w:bCs/>
                <w:sz w:val="18"/>
                <w:szCs w:val="18"/>
              </w:rPr>
            </w:pPr>
            <w:r>
              <w:rPr>
                <w:rFonts w:hint="eastAsia"/>
                <w:b/>
                <w:bCs/>
                <w:sz w:val="18"/>
                <w:szCs w:val="18"/>
              </w:rPr>
              <w:t>毕业</w:t>
            </w:r>
          </w:p>
          <w:p>
            <w:pPr>
              <w:snapToGrid w:val="0"/>
              <w:spacing w:line="300" w:lineRule="auto"/>
              <w:jc w:val="center"/>
              <w:rPr>
                <w:b/>
                <w:bCs/>
                <w:sz w:val="18"/>
                <w:szCs w:val="18"/>
              </w:rPr>
            </w:pPr>
            <w:r>
              <w:rPr>
                <w:rFonts w:hint="eastAsia"/>
                <w:b/>
                <w:bCs/>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vAlign w:val="center"/>
          </w:tcPr>
          <w:p>
            <w:pPr>
              <w:snapToGrid w:val="0"/>
              <w:spacing w:line="300" w:lineRule="auto"/>
              <w:rPr>
                <w:sz w:val="18"/>
                <w:szCs w:val="18"/>
              </w:rPr>
            </w:pPr>
            <w:r>
              <w:rPr>
                <w:sz w:val="18"/>
                <w:szCs w:val="18"/>
              </w:rPr>
              <w:t>类型</w:t>
            </w:r>
          </w:p>
          <w:p>
            <w:pPr>
              <w:snapToGrid w:val="0"/>
              <w:spacing w:line="300" w:lineRule="auto"/>
              <w:rPr>
                <w:sz w:val="18"/>
                <w:szCs w:val="18"/>
              </w:rPr>
            </w:pPr>
            <w:r>
              <w:rPr>
                <w:sz w:val="18"/>
                <w:szCs w:val="18"/>
              </w:rPr>
              <w:t>平时成绩</w:t>
            </w:r>
          </w:p>
        </w:tc>
        <w:tc>
          <w:tcPr>
            <w:tcW w:w="385" w:type="pct"/>
            <w:vMerge w:val="restart"/>
            <w:vAlign w:val="center"/>
          </w:tcPr>
          <w:p>
            <w:pPr>
              <w:snapToGrid w:val="0"/>
              <w:spacing w:line="300" w:lineRule="auto"/>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0.4</w:t>
            </w:r>
          </w:p>
        </w:tc>
        <w:tc>
          <w:tcPr>
            <w:tcW w:w="374" w:type="pct"/>
            <w:vAlign w:val="center"/>
          </w:tcPr>
          <w:p>
            <w:pPr>
              <w:snapToGrid w:val="0"/>
              <w:spacing w:line="300" w:lineRule="auto"/>
              <w:jc w:val="center"/>
              <w:rPr>
                <w:sz w:val="18"/>
                <w:szCs w:val="18"/>
              </w:rPr>
            </w:pPr>
            <w:r>
              <w:rPr>
                <w:sz w:val="18"/>
                <w:szCs w:val="18"/>
              </w:rPr>
              <w:t>课堂表现</w:t>
            </w:r>
          </w:p>
        </w:tc>
        <w:tc>
          <w:tcPr>
            <w:tcW w:w="320" w:type="pct"/>
            <w:vAlign w:val="center"/>
          </w:tcPr>
          <w:p>
            <w:pPr>
              <w:snapToGrid w:val="0"/>
              <w:spacing w:line="300" w:lineRule="auto"/>
              <w:jc w:val="center"/>
              <w:rPr>
                <w:sz w:val="18"/>
                <w:szCs w:val="18"/>
              </w:rPr>
            </w:pPr>
            <w:r>
              <w:rPr>
                <w:sz w:val="18"/>
                <w:szCs w:val="18"/>
              </w:rPr>
              <w:t>0.08</w:t>
            </w:r>
          </w:p>
        </w:tc>
        <w:tc>
          <w:tcPr>
            <w:tcW w:w="2073" w:type="pct"/>
            <w:vAlign w:val="center"/>
          </w:tcPr>
          <w:p>
            <w:pPr>
              <w:snapToGrid w:val="0"/>
              <w:spacing w:line="300" w:lineRule="auto"/>
              <w:rPr>
                <w:sz w:val="18"/>
                <w:szCs w:val="18"/>
              </w:rPr>
            </w:pPr>
            <w:r>
              <w:rPr>
                <w:sz w:val="18"/>
                <w:szCs w:val="18"/>
              </w:rPr>
              <w:t>根据学生课堂表现打分，满分100。</w:t>
            </w:r>
          </w:p>
        </w:tc>
        <w:tc>
          <w:tcPr>
            <w:tcW w:w="540" w:type="pct"/>
            <w:vAlign w:val="center"/>
          </w:tcPr>
          <w:p>
            <w:pPr>
              <w:snapToGrid w:val="0"/>
              <w:spacing w:line="300" w:lineRule="auto"/>
              <w:jc w:val="center"/>
              <w:rPr>
                <w:sz w:val="18"/>
                <w:szCs w:val="18"/>
              </w:rPr>
            </w:pPr>
            <w:r>
              <w:rPr>
                <w:sz w:val="18"/>
                <w:szCs w:val="18"/>
              </w:rPr>
              <w:t>1</w:t>
            </w:r>
          </w:p>
        </w:tc>
        <w:tc>
          <w:tcPr>
            <w:tcW w:w="540" w:type="pct"/>
            <w:vAlign w:val="center"/>
          </w:tcPr>
          <w:p>
            <w:pPr>
              <w:snapToGrid w:val="0"/>
              <w:spacing w:line="300" w:lineRule="auto"/>
              <w:jc w:val="center"/>
              <w:rPr>
                <w:sz w:val="18"/>
                <w:szCs w:val="18"/>
              </w:rPr>
            </w:pPr>
            <w:r>
              <w:rPr>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restart"/>
            <w:vAlign w:val="center"/>
          </w:tcPr>
          <w:p>
            <w:pPr>
              <w:snapToGrid w:val="0"/>
              <w:spacing w:line="300" w:lineRule="auto"/>
              <w:jc w:val="center"/>
              <w:rPr>
                <w:sz w:val="18"/>
                <w:szCs w:val="18"/>
              </w:rPr>
            </w:pPr>
            <w:r>
              <w:rPr>
                <w:sz w:val="18"/>
                <w:szCs w:val="18"/>
              </w:rPr>
              <w:t>作业</w:t>
            </w: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.24</w:t>
            </w:r>
          </w:p>
        </w:tc>
        <w:tc>
          <w:tcPr>
            <w:tcW w:w="2073" w:type="pct"/>
            <w:vMerge w:val="restart"/>
            <w:vAlign w:val="center"/>
          </w:tcPr>
          <w:p>
            <w:pPr>
              <w:snapToGrid w:val="0"/>
              <w:spacing w:line="300" w:lineRule="auto"/>
              <w:jc w:val="left"/>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w:t>
            </w:r>
            <w:r>
              <w:rPr>
                <w:sz w:val="18"/>
                <w:szCs w:val="18"/>
              </w:rPr>
              <w:t>4</w:t>
            </w:r>
            <w:r>
              <w:rPr>
                <w:rFonts w:hint="eastAsia"/>
                <w:sz w:val="18"/>
                <w:szCs w:val="18"/>
              </w:rPr>
              <w:t>次作业，</w:t>
            </w:r>
            <w:r>
              <w:rPr>
                <w:sz w:val="18"/>
                <w:szCs w:val="18"/>
              </w:rPr>
              <w:t>每次作业</w:t>
            </w:r>
            <w:r>
              <w:rPr>
                <w:rFonts w:hint="eastAsia"/>
                <w:sz w:val="18"/>
                <w:szCs w:val="18"/>
              </w:rPr>
              <w:t>满分</w:t>
            </w:r>
            <w:r>
              <w:rPr>
                <w:sz w:val="18"/>
                <w:szCs w:val="18"/>
              </w:rPr>
              <w:t>25分</w:t>
            </w:r>
            <w:r>
              <w:rPr>
                <w:rFonts w:hint="eastAsia"/>
                <w:sz w:val="18"/>
                <w:szCs w:val="18"/>
              </w:rPr>
              <w:t>，作业总成绩1</w:t>
            </w:r>
            <w:r>
              <w:rPr>
                <w:sz w:val="18"/>
                <w:szCs w:val="18"/>
              </w:rPr>
              <w:t>00</w:t>
            </w:r>
            <w:r>
              <w:rPr>
                <w:rFonts w:hint="eastAsia"/>
                <w:sz w:val="18"/>
                <w:szCs w:val="18"/>
              </w:rPr>
              <w:t>分。</w:t>
            </w:r>
          </w:p>
        </w:tc>
        <w:tc>
          <w:tcPr>
            <w:tcW w:w="540" w:type="pct"/>
            <w:vAlign w:val="center"/>
          </w:tcPr>
          <w:p>
            <w:pPr>
              <w:snapToGrid w:val="0"/>
              <w:spacing w:line="300" w:lineRule="auto"/>
              <w:jc w:val="center"/>
              <w:rPr>
                <w:sz w:val="18"/>
                <w:szCs w:val="18"/>
              </w:rPr>
            </w:pPr>
            <w:r>
              <w:rPr>
                <w:rFonts w:hint="eastAsia"/>
                <w:sz w:val="18"/>
                <w:szCs w:val="18"/>
              </w:rPr>
              <w:t>2</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center"/>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.08</w:t>
            </w:r>
          </w:p>
        </w:tc>
        <w:tc>
          <w:tcPr>
            <w:tcW w:w="2073" w:type="pct"/>
            <w:vMerge w:val="continue"/>
            <w:vAlign w:val="center"/>
          </w:tcPr>
          <w:p>
            <w:pPr>
              <w:snapToGrid w:val="0"/>
              <w:spacing w:line="300" w:lineRule="auto"/>
              <w:jc w:val="left"/>
              <w:rPr>
                <w:sz w:val="18"/>
                <w:szCs w:val="18"/>
              </w:rPr>
            </w:pPr>
          </w:p>
        </w:tc>
        <w:tc>
          <w:tcPr>
            <w:tcW w:w="540" w:type="pct"/>
            <w:vAlign w:val="center"/>
          </w:tcPr>
          <w:p>
            <w:pPr>
              <w:snapToGrid w:val="0"/>
              <w:spacing w:line="300" w:lineRule="auto"/>
              <w:jc w:val="center"/>
              <w:rPr>
                <w:sz w:val="18"/>
                <w:szCs w:val="18"/>
              </w:rPr>
            </w:pPr>
            <w:r>
              <w:rPr>
                <w:rFonts w:hint="eastAsia"/>
                <w:sz w:val="18"/>
                <w:szCs w:val="18"/>
              </w:rPr>
              <w:t>3</w:t>
            </w:r>
          </w:p>
        </w:tc>
        <w:tc>
          <w:tcPr>
            <w:tcW w:w="540" w:type="pct"/>
            <w:vAlign w:val="center"/>
          </w:tcPr>
          <w:p>
            <w:pPr>
              <w:snapToGrid w:val="0"/>
              <w:spacing w:line="300" w:lineRule="auto"/>
              <w:jc w:val="cente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85" w:type="pct"/>
            <w:vMerge w:val="restart"/>
            <w:vAlign w:val="center"/>
          </w:tcPr>
          <w:p>
            <w:pPr>
              <w:snapToGrid w:val="0"/>
              <w:spacing w:line="300" w:lineRule="auto"/>
              <w:rPr>
                <w:sz w:val="18"/>
                <w:szCs w:val="18"/>
              </w:rPr>
            </w:pPr>
            <w:r>
              <w:rPr>
                <w:sz w:val="18"/>
                <w:szCs w:val="18"/>
              </w:rPr>
              <w:t>期末考试成绩</w:t>
            </w:r>
          </w:p>
        </w:tc>
        <w:tc>
          <w:tcPr>
            <w:tcW w:w="385" w:type="pct"/>
            <w:vMerge w:val="restart"/>
            <w:vAlign w:val="center"/>
          </w:tcPr>
          <w:p>
            <w:pPr>
              <w:snapToGrid w:val="0"/>
              <w:spacing w:line="300" w:lineRule="auto"/>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0.6</w:t>
            </w:r>
          </w:p>
        </w:tc>
        <w:tc>
          <w:tcPr>
            <w:tcW w:w="374" w:type="pct"/>
            <w:vMerge w:val="restart"/>
            <w:vAlign w:val="center"/>
          </w:tcPr>
          <w:p>
            <w:pPr>
              <w:snapToGrid w:val="0"/>
              <w:spacing w:line="300" w:lineRule="auto"/>
              <w:jc w:val="left"/>
              <w:rPr>
                <w:sz w:val="18"/>
                <w:szCs w:val="18"/>
              </w:rPr>
            </w:pPr>
            <w:r>
              <w:rPr>
                <w:sz w:val="18"/>
                <w:szCs w:val="18"/>
              </w:rPr>
              <w:t>闭卷考试</w:t>
            </w:r>
          </w:p>
        </w:tc>
        <w:tc>
          <w:tcPr>
            <w:tcW w:w="320" w:type="pct"/>
            <w:vAlign w:val="center"/>
          </w:tcPr>
          <w:p>
            <w:pPr>
              <w:snapToGrid w:val="0"/>
              <w:spacing w:line="300" w:lineRule="auto"/>
              <w:jc w:val="center"/>
              <w:rPr>
                <w:sz w:val="18"/>
                <w:szCs w:val="18"/>
              </w:rPr>
            </w:pPr>
            <w:r>
              <w:rPr>
                <w:sz w:val="18"/>
                <w:szCs w:val="18"/>
              </w:rPr>
              <w:t>0.06</w:t>
            </w:r>
          </w:p>
        </w:tc>
        <w:tc>
          <w:tcPr>
            <w:tcW w:w="2073" w:type="pct"/>
            <w:vMerge w:val="restart"/>
            <w:vAlign w:val="center"/>
          </w:tcPr>
          <w:p>
            <w:pPr>
              <w:snapToGrid w:val="0"/>
              <w:spacing w:line="300" w:lineRule="auto"/>
              <w:rPr>
                <w:sz w:val="18"/>
                <w:szCs w:val="18"/>
              </w:rPr>
            </w:pPr>
            <w:r>
              <w:rPr>
                <w:sz w:val="18"/>
                <w:szCs w:val="18"/>
              </w:rPr>
              <w:t>(1)卷面成绩100分。卷面成绩按比例计入课程总评成绩</w:t>
            </w:r>
            <w:r>
              <w:rPr>
                <w:rFonts w:hint="eastAsia"/>
                <w:sz w:val="18"/>
                <w:szCs w:val="18"/>
              </w:rPr>
              <w:t>。</w:t>
            </w:r>
          </w:p>
          <w:p>
            <w:pPr>
              <w:snapToGrid w:val="0"/>
              <w:spacing w:line="300" w:lineRule="auto"/>
              <w:rPr>
                <w:sz w:val="18"/>
                <w:szCs w:val="18"/>
              </w:rPr>
            </w:pPr>
            <w:r>
              <w:rPr>
                <w:sz w:val="18"/>
                <w:szCs w:val="18"/>
              </w:rPr>
              <w:t>(2)考核内容包括： 第1-5章</w:t>
            </w:r>
            <w:r>
              <w:rPr>
                <w:rFonts w:hint="eastAsia"/>
                <w:sz w:val="18"/>
                <w:szCs w:val="18"/>
              </w:rPr>
              <w:t>。</w:t>
            </w:r>
          </w:p>
          <w:p>
            <w:pPr>
              <w:snapToGrid w:val="0"/>
              <w:spacing w:line="300" w:lineRule="auto"/>
              <w:rPr>
                <w:sz w:val="18"/>
                <w:szCs w:val="18"/>
              </w:rPr>
            </w:pPr>
            <w:r>
              <w:rPr>
                <w:sz w:val="18"/>
                <w:szCs w:val="18"/>
              </w:rPr>
              <w:t>(3)建议考试题型包括：填空题、选择题、综合计算题、证明题等其中某几种题型</w:t>
            </w:r>
            <w:r>
              <w:rPr>
                <w:rFonts w:hint="eastAsia"/>
                <w:sz w:val="18"/>
                <w:szCs w:val="18"/>
              </w:rPr>
              <w:t>。</w:t>
            </w:r>
          </w:p>
        </w:tc>
        <w:tc>
          <w:tcPr>
            <w:tcW w:w="540" w:type="pct"/>
            <w:vAlign w:val="center"/>
          </w:tcPr>
          <w:p>
            <w:pPr>
              <w:snapToGrid w:val="0"/>
              <w:spacing w:line="300" w:lineRule="auto"/>
              <w:jc w:val="center"/>
              <w:rPr>
                <w:sz w:val="18"/>
                <w:szCs w:val="18"/>
              </w:rPr>
            </w:pPr>
            <w:r>
              <w:rPr>
                <w:sz w:val="18"/>
                <w:szCs w:val="18"/>
              </w:rPr>
              <w:t>1</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.42</w:t>
            </w:r>
          </w:p>
        </w:tc>
        <w:tc>
          <w:tcPr>
            <w:tcW w:w="2073"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rFonts w:hint="eastAsia"/>
                <w:sz w:val="18"/>
                <w:szCs w:val="18"/>
              </w:rPr>
              <w:t>2</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.12</w:t>
            </w:r>
          </w:p>
        </w:tc>
        <w:tc>
          <w:tcPr>
            <w:tcW w:w="2073"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rFonts w:hint="eastAsia"/>
                <w:sz w:val="18"/>
                <w:szCs w:val="18"/>
              </w:rPr>
              <w:t>3</w:t>
            </w:r>
          </w:p>
        </w:tc>
        <w:tc>
          <w:tcPr>
            <w:tcW w:w="540" w:type="pct"/>
            <w:vAlign w:val="center"/>
          </w:tcPr>
          <w:p>
            <w:pPr>
              <w:snapToGrid w:val="0"/>
              <w:spacing w:line="300" w:lineRule="auto"/>
              <w:jc w:val="cente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bl>
    <w:p>
      <w:pPr>
        <w:snapToGrid w:val="0"/>
        <w:spacing w:before="159" w:beforeLines="50" w:after="159"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32"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rPr>
          <w:bCs/>
          <w:szCs w:val="21"/>
        </w:rPr>
        <w:object>
          <v:shape id="_x0000_i1033" o:spt="75" type="#_x0000_t75" style="height:17.25pt;width:276.75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p>
    <w:p>
      <w:pPr>
        <w:snapToGrid w:val="0"/>
        <w:spacing w:line="300" w:lineRule="auto"/>
      </w:pPr>
      <w:r>
        <w:t>其中权重系数按照表5设定。</w:t>
      </w:r>
    </w:p>
    <w:p>
      <w:pPr>
        <w:snapToGrid w:val="0"/>
        <w:spacing w:line="300" w:lineRule="auto"/>
        <w:jc w:val="center"/>
        <w:rPr>
          <w:b/>
          <w:bCs/>
          <w:sz w:val="18"/>
          <w:szCs w:val="18"/>
        </w:rPr>
      </w:pPr>
      <w:r>
        <w:rPr>
          <w:b/>
          <w:bCs/>
          <w:sz w:val="18"/>
          <w:szCs w:val="18"/>
        </w:rPr>
        <w:t>表5课程目标权重系数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060"/>
        <w:gridCol w:w="2172"/>
        <w:gridCol w:w="2574"/>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101" w:type="pct"/>
            <w:vAlign w:val="center"/>
          </w:tcPr>
          <w:p>
            <w:pPr>
              <w:snapToGrid w:val="0"/>
              <w:spacing w:line="300" w:lineRule="auto"/>
              <w:jc w:val="center"/>
              <w:rPr>
                <w:b/>
                <w:bCs/>
                <w:sz w:val="18"/>
                <w:szCs w:val="18"/>
              </w:rPr>
            </w:pPr>
            <w:r>
              <w:rPr>
                <w:b/>
                <w:bCs/>
                <w:sz w:val="18"/>
                <w:szCs w:val="18"/>
              </w:rPr>
              <w:t>课程目标</w:t>
            </w:r>
          </w:p>
        </w:tc>
        <w:tc>
          <w:tcPr>
            <w:tcW w:w="1161" w:type="pct"/>
            <w:vAlign w:val="center"/>
          </w:tcPr>
          <w:p>
            <w:pPr>
              <w:snapToGrid w:val="0"/>
              <w:spacing w:line="300" w:lineRule="auto"/>
              <w:jc w:val="center"/>
              <w:rPr>
                <w:sz w:val="18"/>
                <w:szCs w:val="18"/>
              </w:rPr>
            </w:pPr>
            <w:r>
              <w:rPr>
                <w:sz w:val="18"/>
                <w:szCs w:val="18"/>
              </w:rPr>
              <w:t>1</w:t>
            </w:r>
          </w:p>
        </w:tc>
        <w:tc>
          <w:tcPr>
            <w:tcW w:w="1376" w:type="pct"/>
            <w:vAlign w:val="center"/>
          </w:tcPr>
          <w:p>
            <w:pPr>
              <w:snapToGrid w:val="0"/>
              <w:spacing w:line="300" w:lineRule="auto"/>
              <w:jc w:val="center"/>
              <w:rPr>
                <w:sz w:val="18"/>
                <w:szCs w:val="18"/>
              </w:rPr>
            </w:pPr>
            <w:r>
              <w:rPr>
                <w:sz w:val="18"/>
                <w:szCs w:val="18"/>
              </w:rPr>
              <w:t>2</w:t>
            </w:r>
          </w:p>
        </w:tc>
        <w:tc>
          <w:tcPr>
            <w:tcW w:w="1363"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101" w:type="pct"/>
            <w:vAlign w:val="center"/>
          </w:tcPr>
          <w:p>
            <w:pPr>
              <w:snapToGrid w:val="0"/>
              <w:spacing w:line="300" w:lineRule="auto"/>
              <w:jc w:val="center"/>
              <w:rPr>
                <w:b/>
                <w:bCs/>
                <w:sz w:val="18"/>
                <w:szCs w:val="18"/>
              </w:rPr>
            </w:pPr>
            <w:r>
              <w:rPr>
                <w:b/>
                <w:bCs/>
                <w:sz w:val="18"/>
                <w:szCs w:val="18"/>
              </w:rPr>
              <w:t>权重系数</w:t>
            </w:r>
          </w:p>
        </w:tc>
        <w:tc>
          <w:tcPr>
            <w:tcW w:w="1161" w:type="pct"/>
            <w:vAlign w:val="center"/>
          </w:tcPr>
          <w:p>
            <w:pPr>
              <w:snapToGrid w:val="0"/>
              <w:spacing w:line="300" w:lineRule="auto"/>
              <w:jc w:val="center"/>
              <w:rPr>
                <w:sz w:val="18"/>
                <w:szCs w:val="18"/>
              </w:rPr>
            </w:pPr>
            <w:r>
              <w:rPr>
                <w:rFonts w:hint="eastAsia"/>
                <w:sz w:val="18"/>
                <w:szCs w:val="18"/>
              </w:rPr>
              <w:t>0</w:t>
            </w:r>
            <w:r>
              <w:rPr>
                <w:sz w:val="18"/>
                <w:szCs w:val="18"/>
              </w:rPr>
              <w:t>.14</w:t>
            </w:r>
          </w:p>
        </w:tc>
        <w:tc>
          <w:tcPr>
            <w:tcW w:w="1376" w:type="pct"/>
            <w:vAlign w:val="center"/>
          </w:tcPr>
          <w:p>
            <w:pPr>
              <w:snapToGrid w:val="0"/>
              <w:spacing w:line="300" w:lineRule="auto"/>
              <w:jc w:val="center"/>
              <w:rPr>
                <w:sz w:val="18"/>
                <w:szCs w:val="18"/>
              </w:rPr>
            </w:pPr>
            <w:r>
              <w:rPr>
                <w:rFonts w:hint="eastAsia"/>
                <w:sz w:val="18"/>
                <w:szCs w:val="18"/>
              </w:rPr>
              <w:t>0</w:t>
            </w:r>
            <w:r>
              <w:rPr>
                <w:sz w:val="18"/>
                <w:szCs w:val="18"/>
              </w:rPr>
              <w:t>.66</w:t>
            </w:r>
          </w:p>
        </w:tc>
        <w:tc>
          <w:tcPr>
            <w:tcW w:w="1363" w:type="pct"/>
            <w:vAlign w:val="center"/>
          </w:tcPr>
          <w:p>
            <w:pPr>
              <w:snapToGrid w:val="0"/>
              <w:spacing w:line="300" w:lineRule="auto"/>
              <w:jc w:val="center"/>
              <w:rPr>
                <w:sz w:val="18"/>
                <w:szCs w:val="18"/>
              </w:rPr>
            </w:pPr>
            <w:r>
              <w:rPr>
                <w:rFonts w:hint="eastAsia"/>
                <w:sz w:val="18"/>
                <w:szCs w:val="18"/>
              </w:rPr>
              <w:t>0</w:t>
            </w:r>
            <w:r>
              <w:rPr>
                <w:sz w:val="18"/>
                <w:szCs w:val="18"/>
              </w:rPr>
              <w:t>.2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34"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034" DrawAspect="Content" ObjectID="_1468075734" r:id="rId39">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pPr>
      <w:r>
        <w:rPr>
          <w:rFonts w:hint="eastAsia"/>
        </w:rPr>
        <w:t>1</w:t>
      </w:r>
      <w:r>
        <w:t>．教材</w:t>
      </w:r>
    </w:p>
    <w:p>
      <w:pPr>
        <w:spacing w:line="300" w:lineRule="auto"/>
        <w:ind w:left="840" w:leftChars="200" w:hanging="420" w:hangingChars="200"/>
        <w:rPr>
          <w:bCs/>
          <w:kern w:val="0"/>
          <w:szCs w:val="21"/>
        </w:rPr>
      </w:pPr>
      <w:r>
        <w:rPr>
          <w:bCs/>
          <w:kern w:val="0"/>
          <w:szCs w:val="21"/>
        </w:rPr>
        <w:t>[1]</w:t>
      </w:r>
      <w:r>
        <w:rPr>
          <w:rFonts w:hint="eastAsia"/>
          <w:bCs/>
          <w:kern w:val="0"/>
          <w:szCs w:val="21"/>
        </w:rPr>
        <w:t xml:space="preserve"> </w:t>
      </w:r>
      <w:bookmarkStart w:id="15" w:name="_Hlk102229676"/>
      <w:r>
        <w:rPr>
          <w:bCs/>
          <w:kern w:val="0"/>
          <w:szCs w:val="21"/>
        </w:rPr>
        <w:t>西安交通大学高等数学教研室编. 复变函数</w:t>
      </w:r>
      <w:r>
        <w:rPr>
          <w:rFonts w:hint="eastAsia"/>
          <w:bCs/>
          <w:kern w:val="0"/>
          <w:szCs w:val="21"/>
        </w:rPr>
        <w:t>（</w:t>
      </w:r>
      <w:r>
        <w:rPr>
          <w:bCs/>
          <w:kern w:val="0"/>
          <w:szCs w:val="21"/>
        </w:rPr>
        <w:t>第四版</w:t>
      </w:r>
      <w:r>
        <w:rPr>
          <w:rFonts w:hint="eastAsia"/>
          <w:bCs/>
          <w:kern w:val="0"/>
          <w:szCs w:val="21"/>
        </w:rPr>
        <w:t>）</w:t>
      </w:r>
      <w:r>
        <w:rPr>
          <w:szCs w:val="21"/>
        </w:rPr>
        <w:t xml:space="preserve">[M]. </w:t>
      </w:r>
      <w:r>
        <w:t>北京：</w:t>
      </w:r>
      <w:r>
        <w:rPr>
          <w:bCs/>
          <w:kern w:val="0"/>
          <w:szCs w:val="21"/>
        </w:rPr>
        <w:t>高等教育出版社，2017年6月。</w:t>
      </w:r>
      <w:bookmarkEnd w:id="15"/>
    </w:p>
    <w:p>
      <w:pPr>
        <w:snapToGrid w:val="0"/>
        <w:spacing w:line="300" w:lineRule="auto"/>
        <w:ind w:left="840" w:leftChars="200" w:hanging="420" w:hangingChars="200"/>
        <w:rPr>
          <w:bCs/>
          <w:kern w:val="0"/>
          <w:szCs w:val="21"/>
        </w:rPr>
      </w:pPr>
      <w:r>
        <w:rPr>
          <w:bCs/>
          <w:kern w:val="0"/>
          <w:szCs w:val="21"/>
        </w:rPr>
        <w:t xml:space="preserve">[2] </w:t>
      </w:r>
      <w:bookmarkStart w:id="16" w:name="_Hlk102229686"/>
      <w:r>
        <w:rPr>
          <w:bCs/>
          <w:kern w:val="0"/>
          <w:szCs w:val="21"/>
        </w:rPr>
        <w:t>东南大学数学系张元林编．</w:t>
      </w:r>
      <w:r>
        <w:rPr>
          <w:rFonts w:hint="eastAsia"/>
          <w:bCs/>
          <w:kern w:val="0"/>
          <w:szCs w:val="21"/>
        </w:rPr>
        <w:t xml:space="preserve"> </w:t>
      </w:r>
      <w:r>
        <w:rPr>
          <w:bCs/>
          <w:kern w:val="0"/>
          <w:szCs w:val="21"/>
        </w:rPr>
        <w:t>工程数学-积分变换</w:t>
      </w:r>
      <w:r>
        <w:rPr>
          <w:rFonts w:hint="eastAsia"/>
          <w:bCs/>
          <w:kern w:val="0"/>
          <w:szCs w:val="21"/>
        </w:rPr>
        <w:t>（</w:t>
      </w:r>
      <w:r>
        <w:rPr>
          <w:bCs/>
          <w:kern w:val="0"/>
          <w:szCs w:val="21"/>
        </w:rPr>
        <w:t>第五版</w:t>
      </w:r>
      <w:r>
        <w:rPr>
          <w:rFonts w:hint="eastAsia"/>
          <w:bCs/>
          <w:kern w:val="0"/>
          <w:szCs w:val="21"/>
        </w:rPr>
        <w:t>）</w:t>
      </w:r>
      <w:r>
        <w:rPr>
          <w:szCs w:val="21"/>
        </w:rPr>
        <w:t xml:space="preserve">[M]. </w:t>
      </w:r>
      <w:r>
        <w:t>北京：</w:t>
      </w:r>
      <w:r>
        <w:rPr>
          <w:bCs/>
          <w:kern w:val="0"/>
          <w:szCs w:val="21"/>
        </w:rPr>
        <w:t>高等教育出版社，2012年6月。</w:t>
      </w:r>
      <w:bookmarkEnd w:id="16"/>
    </w:p>
    <w:p>
      <w:pPr>
        <w:snapToGrid w:val="0"/>
        <w:spacing w:line="300" w:lineRule="auto"/>
        <w:ind w:firstLine="420" w:firstLineChars="200"/>
      </w:pPr>
      <w:r>
        <w:rPr>
          <w:rFonts w:hint="eastAsia"/>
        </w:rPr>
        <w:t>2</w:t>
      </w:r>
      <w:r>
        <w:t>．参考资料</w:t>
      </w:r>
    </w:p>
    <w:p>
      <w:pPr>
        <w:snapToGrid w:val="0"/>
        <w:spacing w:line="300" w:lineRule="auto"/>
        <w:ind w:left="840" w:leftChars="200" w:hanging="420" w:hangingChars="200"/>
        <w:rPr>
          <w:szCs w:val="21"/>
        </w:rPr>
      </w:pPr>
      <w:r>
        <w:rPr>
          <w:rFonts w:eastAsia="微软雅黑"/>
          <w:szCs w:val="21"/>
        </w:rPr>
        <w:t xml:space="preserve">[1] </w:t>
      </w:r>
      <w:bookmarkStart w:id="17" w:name="_Hlk102229694"/>
      <w:r>
        <w:rPr>
          <w:bCs/>
          <w:kern w:val="0"/>
          <w:szCs w:val="21"/>
        </w:rPr>
        <w:t>苏志平等编. 工程数学 复变函数.积分变换-（第四版）同步辅导及习题全解</w:t>
      </w:r>
      <w:r>
        <w:rPr>
          <w:szCs w:val="21"/>
        </w:rPr>
        <w:t xml:space="preserve">[M]. </w:t>
      </w:r>
      <w:r>
        <w:t>北京：</w:t>
      </w:r>
      <w:r>
        <w:rPr>
          <w:bCs/>
          <w:kern w:val="0"/>
          <w:szCs w:val="21"/>
        </w:rPr>
        <w:t>中国水利水电出版社出版，2013年5月第四版。</w:t>
      </w:r>
      <w:bookmarkEnd w:id="17"/>
    </w:p>
    <w:p>
      <w:pPr>
        <w:snapToGrid w:val="0"/>
        <w:spacing w:line="300" w:lineRule="auto"/>
        <w:ind w:left="840" w:leftChars="200" w:hanging="420" w:hangingChars="200"/>
        <w:rPr>
          <w:bCs/>
          <w:kern w:val="0"/>
          <w:szCs w:val="21"/>
        </w:rPr>
      </w:pPr>
      <w:r>
        <w:rPr>
          <w:szCs w:val="21"/>
        </w:rPr>
        <w:t xml:space="preserve">[2] </w:t>
      </w:r>
      <w:bookmarkStart w:id="18" w:name="_Hlk102229700"/>
      <w:r>
        <w:rPr>
          <w:bCs/>
          <w:kern w:val="0"/>
          <w:szCs w:val="21"/>
        </w:rPr>
        <w:t>东南大学数学系张元林编．积分变换-习题全解指南</w:t>
      </w:r>
      <w:r>
        <w:rPr>
          <w:rFonts w:hint="eastAsia"/>
          <w:bCs/>
          <w:kern w:val="0"/>
          <w:szCs w:val="21"/>
        </w:rPr>
        <w:t>（</w:t>
      </w:r>
      <w:r>
        <w:rPr>
          <w:bCs/>
          <w:kern w:val="0"/>
          <w:szCs w:val="21"/>
        </w:rPr>
        <w:t>第五版</w:t>
      </w:r>
      <w:r>
        <w:rPr>
          <w:rFonts w:hint="eastAsia"/>
          <w:bCs/>
          <w:kern w:val="0"/>
          <w:szCs w:val="21"/>
        </w:rPr>
        <w:t>）</w:t>
      </w:r>
      <w:r>
        <w:rPr>
          <w:szCs w:val="21"/>
        </w:rPr>
        <w:t xml:space="preserve">[M]. </w:t>
      </w:r>
      <w:r>
        <w:t>北京：</w:t>
      </w:r>
      <w:r>
        <w:rPr>
          <w:bCs/>
          <w:kern w:val="0"/>
          <w:szCs w:val="21"/>
        </w:rPr>
        <w:t>高等教育出版社，2012年7月。</w:t>
      </w:r>
      <w:bookmarkEnd w:id="18"/>
    </w:p>
    <w:p>
      <w:pPr>
        <w:snapToGrid w:val="0"/>
        <w:spacing w:line="300" w:lineRule="auto"/>
        <w:ind w:left="840" w:leftChars="200" w:hanging="420" w:hangingChars="200"/>
        <w:rPr>
          <w:szCs w:val="21"/>
        </w:rPr>
      </w:pPr>
      <w:r>
        <w:rPr>
          <w:bCs/>
          <w:kern w:val="0"/>
          <w:szCs w:val="21"/>
        </w:rPr>
        <w:t xml:space="preserve">[3] </w:t>
      </w:r>
      <w:bookmarkStart w:id="19" w:name="_Hlk102229711"/>
      <w:r>
        <w:rPr>
          <w:bCs/>
          <w:kern w:val="0"/>
          <w:szCs w:val="21"/>
        </w:rPr>
        <w:t>徐国宝等编. 教育部高等学校电子信息类专业教学指导委员会规划教材</w:t>
      </w:r>
      <w:r>
        <w:rPr>
          <w:rFonts w:hint="eastAsia"/>
          <w:bCs/>
          <w:kern w:val="0"/>
          <w:szCs w:val="21"/>
        </w:rPr>
        <w:t>：</w:t>
      </w:r>
      <w:r>
        <w:rPr>
          <w:bCs/>
          <w:kern w:val="0"/>
          <w:szCs w:val="21"/>
        </w:rPr>
        <w:t>MATLAB/Simulink实用教程</w:t>
      </w:r>
      <w:r>
        <w:rPr>
          <w:szCs w:val="21"/>
        </w:rPr>
        <w:t xml:space="preserve">[M]. </w:t>
      </w:r>
      <w:r>
        <w:t>北京：</w:t>
      </w:r>
      <w:r>
        <w:rPr>
          <w:bCs/>
          <w:kern w:val="0"/>
          <w:szCs w:val="21"/>
        </w:rPr>
        <w:t>清华大学出版社出版，2017年10月。</w:t>
      </w:r>
      <w:bookmarkEnd w:id="19"/>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szCs w:val="21"/>
              </w:rPr>
            </w:pPr>
            <w:r>
              <w:rPr>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szCs w:val="21"/>
              </w:rPr>
            </w:pPr>
            <w:r>
              <w:rPr>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szCs w:val="21"/>
              </w:rPr>
            </w:pPr>
            <w:r>
              <w:rPr>
                <w:szCs w:val="21"/>
              </w:rPr>
              <w:t>日 期：</w:t>
            </w:r>
            <w:r>
              <w:rPr>
                <w:kern w:val="0"/>
                <w:sz w:val="20"/>
                <w:szCs w:val="21"/>
              </w:rPr>
              <w:t>2022.0</w:t>
            </w:r>
            <w:r>
              <w:rPr>
                <w:rFonts w:hint="eastAsia"/>
                <w:kern w:val="0"/>
                <w:sz w:val="20"/>
                <w:szCs w:val="21"/>
              </w:rPr>
              <w:t>4.20</w:t>
            </w:r>
          </w:p>
        </w:tc>
      </w:tr>
    </w:tbl>
    <w:p>
      <w:pPr>
        <w:pStyle w:val="2"/>
        <w:spacing w:line="360" w:lineRule="auto"/>
        <w:jc w:val="center"/>
        <w:rPr>
          <w:rFonts w:ascii="Times New Roman" w:hAnsi="Times New Roman" w:cs="Times New Roman"/>
        </w:rPr>
        <w:sectPr>
          <w:footerReference r:id="rId11" w:type="default"/>
          <w:pgSz w:w="11906" w:h="16838"/>
          <w:pgMar w:top="1417" w:right="1361" w:bottom="1417" w:left="1361" w:header="851" w:footer="992" w:gutter="0"/>
          <w:cols w:space="720" w:num="1"/>
          <w:docGrid w:type="lines" w:linePitch="318" w:charSpace="0"/>
        </w:sectPr>
      </w:pPr>
    </w:p>
    <w:p>
      <w:pPr>
        <w:pStyle w:val="3"/>
        <w:jc w:val="center"/>
      </w:pPr>
      <w:bookmarkStart w:id="20" w:name="_Hlk102229776"/>
      <w:bookmarkStart w:id="21" w:name="_Toc21928"/>
      <w:bookmarkStart w:id="22" w:name="_Toc17901"/>
      <w:bookmarkStart w:id="23" w:name="_Toc62659294"/>
      <w:r>
        <w:t>33410301x3</w:t>
      </w:r>
      <w:bookmarkEnd w:id="20"/>
      <w:r>
        <w:t>《</w:t>
      </w:r>
      <w:bookmarkStart w:id="24" w:name="_Hlk102229785"/>
      <w:r>
        <w:rPr>
          <w:rFonts w:hint="eastAsia"/>
        </w:rPr>
        <w:t>工程数学Ⅲ</w:t>
      </w:r>
      <w:bookmarkEnd w:id="24"/>
      <w:r>
        <w:rPr>
          <w:rFonts w:hint="eastAsia"/>
        </w:rPr>
        <w:t>》课程教学大纲</w:t>
      </w:r>
      <w:bookmarkEnd w:id="21"/>
      <w:bookmarkEnd w:id="22"/>
      <w:bookmarkEnd w:id="23"/>
    </w:p>
    <w:tbl>
      <w:tblPr>
        <w:tblStyle w:val="22"/>
        <w:tblW w:w="5000" w:type="pct"/>
        <w:tblInd w:w="1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59"/>
        <w:gridCol w:w="3032"/>
        <w:gridCol w:w="1609"/>
        <w:gridCol w:w="33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776" w:type="pct"/>
          </w:tcPr>
          <w:p>
            <w:pPr>
              <w:jc w:val="center"/>
              <w:rPr>
                <w:szCs w:val="21"/>
              </w:rPr>
            </w:pPr>
            <w:r>
              <w:rPr>
                <w:rFonts w:hint="eastAsia"/>
                <w:szCs w:val="21"/>
              </w:rPr>
              <w:t>课程编号</w:t>
            </w:r>
          </w:p>
        </w:tc>
        <w:tc>
          <w:tcPr>
            <w:tcW w:w="1613" w:type="pct"/>
          </w:tcPr>
          <w:p>
            <w:pPr>
              <w:jc w:val="center"/>
              <w:rPr>
                <w:szCs w:val="21"/>
              </w:rPr>
            </w:pPr>
            <w:r>
              <w:rPr>
                <w:szCs w:val="21"/>
              </w:rPr>
              <w:t>33410301x3</w:t>
            </w:r>
          </w:p>
        </w:tc>
        <w:tc>
          <w:tcPr>
            <w:tcW w:w="856" w:type="pct"/>
          </w:tcPr>
          <w:p>
            <w:pPr>
              <w:jc w:val="center"/>
              <w:rPr>
                <w:szCs w:val="21"/>
              </w:rPr>
            </w:pPr>
            <w:r>
              <w:rPr>
                <w:rFonts w:hint="eastAsia"/>
                <w:szCs w:val="21"/>
              </w:rPr>
              <w:t>课程名称</w:t>
            </w:r>
          </w:p>
        </w:tc>
        <w:tc>
          <w:tcPr>
            <w:tcW w:w="1755" w:type="pct"/>
          </w:tcPr>
          <w:p>
            <w:pPr>
              <w:jc w:val="center"/>
              <w:rPr>
                <w:szCs w:val="21"/>
              </w:rPr>
            </w:pPr>
            <w:r>
              <w:rPr>
                <w:rFonts w:hint="eastAsia"/>
                <w:szCs w:val="21"/>
              </w:rPr>
              <w:t>工程数学</w:t>
            </w:r>
            <w:r>
              <w:rPr>
                <w:szCs w:val="21"/>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76" w:type="pct"/>
          </w:tcPr>
          <w:p>
            <w:pPr>
              <w:jc w:val="center"/>
              <w:rPr>
                <w:szCs w:val="21"/>
              </w:rPr>
            </w:pPr>
            <w:r>
              <w:rPr>
                <w:rFonts w:hint="eastAsia"/>
                <w:szCs w:val="21"/>
              </w:rPr>
              <w:t>课程性质</w:t>
            </w:r>
            <w:r>
              <w:t>*</w:t>
            </w:r>
          </w:p>
        </w:tc>
        <w:tc>
          <w:tcPr>
            <w:tcW w:w="1613" w:type="pct"/>
          </w:tcPr>
          <w:p>
            <w:pPr>
              <w:jc w:val="center"/>
              <w:rPr>
                <w:szCs w:val="21"/>
              </w:rPr>
            </w:pPr>
            <w:r>
              <w:rPr>
                <w:rFonts w:hint="eastAsia"/>
                <w:szCs w:val="21"/>
              </w:rPr>
              <w:t>数学与自然科学类</w:t>
            </w:r>
          </w:p>
        </w:tc>
        <w:tc>
          <w:tcPr>
            <w:tcW w:w="856" w:type="pct"/>
          </w:tcPr>
          <w:p>
            <w:pPr>
              <w:jc w:val="center"/>
              <w:rPr>
                <w:szCs w:val="21"/>
              </w:rPr>
            </w:pPr>
            <w:r>
              <w:rPr>
                <w:rFonts w:hint="eastAsia"/>
                <w:szCs w:val="21"/>
              </w:rPr>
              <w:t>英文名称</w:t>
            </w:r>
          </w:p>
        </w:tc>
        <w:tc>
          <w:tcPr>
            <w:tcW w:w="1755" w:type="pct"/>
            <w:vAlign w:val="center"/>
          </w:tcPr>
          <w:p>
            <w:pPr>
              <w:jc w:val="center"/>
              <w:rPr>
                <w:bCs/>
                <w:szCs w:val="21"/>
              </w:rPr>
            </w:pPr>
            <w:r>
              <w:rPr>
                <w:szCs w:val="21"/>
              </w:rPr>
              <w:t>Engineering Mathematics _Ⅲ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776" w:type="pct"/>
          </w:tcPr>
          <w:p>
            <w:pPr>
              <w:jc w:val="center"/>
              <w:rPr>
                <w:szCs w:val="21"/>
              </w:rPr>
            </w:pPr>
            <w:r>
              <w:rPr>
                <w:rFonts w:hint="eastAsia"/>
                <w:szCs w:val="21"/>
              </w:rPr>
              <w:t>学分学时</w:t>
            </w:r>
          </w:p>
        </w:tc>
        <w:tc>
          <w:tcPr>
            <w:tcW w:w="1613" w:type="pct"/>
          </w:tcPr>
          <w:p>
            <w:pPr>
              <w:jc w:val="center"/>
              <w:rPr>
                <w:szCs w:val="21"/>
              </w:rPr>
            </w:pPr>
            <w:r>
              <w:rPr>
                <w:szCs w:val="21"/>
              </w:rPr>
              <w:t>2 : 32（0）</w:t>
            </w:r>
          </w:p>
        </w:tc>
        <w:tc>
          <w:tcPr>
            <w:tcW w:w="856" w:type="pct"/>
          </w:tcPr>
          <w:p>
            <w:pPr>
              <w:jc w:val="center"/>
              <w:rPr>
                <w:szCs w:val="21"/>
              </w:rPr>
            </w:pPr>
            <w:r>
              <w:rPr>
                <w:rFonts w:hint="eastAsia"/>
                <w:szCs w:val="21"/>
              </w:rPr>
              <w:t>任课教师</w:t>
            </w:r>
          </w:p>
        </w:tc>
        <w:tc>
          <w:tcPr>
            <w:tcW w:w="1755" w:type="pct"/>
          </w:tcPr>
          <w:p>
            <w:pPr>
              <w:jc w:val="center"/>
              <w:rPr>
                <w:szCs w:val="21"/>
              </w:rPr>
            </w:pPr>
            <w:r>
              <w:rPr>
                <w:rFonts w:hint="eastAsia"/>
                <w:szCs w:val="21"/>
              </w:rPr>
              <w:t>郭磊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776" w:type="pct"/>
          </w:tcPr>
          <w:p>
            <w:pPr>
              <w:jc w:val="center"/>
              <w:rPr>
                <w:bCs/>
                <w:szCs w:val="21"/>
              </w:rPr>
            </w:pPr>
            <w:r>
              <w:rPr>
                <w:rFonts w:hint="eastAsia"/>
                <w:bCs/>
                <w:szCs w:val="21"/>
              </w:rPr>
              <w:t>企业专家</w:t>
            </w:r>
          </w:p>
        </w:tc>
        <w:tc>
          <w:tcPr>
            <w:tcW w:w="1613" w:type="pct"/>
          </w:tcPr>
          <w:p>
            <w:pPr>
              <w:widowControl/>
              <w:jc w:val="center"/>
              <w:rPr>
                <w:szCs w:val="21"/>
              </w:rPr>
            </w:pPr>
            <w:r>
              <w:rPr>
                <w:rFonts w:hint="eastAsia"/>
                <w:szCs w:val="21"/>
              </w:rPr>
              <w:t>曾耿滨</w:t>
            </w:r>
          </w:p>
        </w:tc>
        <w:tc>
          <w:tcPr>
            <w:tcW w:w="856" w:type="pct"/>
          </w:tcPr>
          <w:p>
            <w:pPr>
              <w:jc w:val="center"/>
              <w:rPr>
                <w:bCs/>
                <w:szCs w:val="21"/>
              </w:rPr>
            </w:pPr>
            <w:r>
              <w:rPr>
                <w:rFonts w:hint="eastAsia"/>
                <w:bCs/>
                <w:szCs w:val="21"/>
              </w:rPr>
              <w:t>行业专家</w:t>
            </w:r>
          </w:p>
        </w:tc>
        <w:tc>
          <w:tcPr>
            <w:tcW w:w="1755" w:type="pct"/>
          </w:tcPr>
          <w:p>
            <w:pPr>
              <w:widowControl/>
              <w:jc w:val="center"/>
              <w:rPr>
                <w:szCs w:val="21"/>
              </w:rPr>
            </w:pPr>
            <w:r>
              <w:rPr>
                <w:rFonts w:hint="eastAsia"/>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776" w:type="pct"/>
          </w:tcPr>
          <w:p>
            <w:pPr>
              <w:widowControl/>
              <w:jc w:val="center"/>
              <w:rPr>
                <w:bCs/>
                <w:szCs w:val="21"/>
              </w:rPr>
            </w:pPr>
            <w:r>
              <w:rPr>
                <w:rFonts w:hint="eastAsia"/>
                <w:bCs/>
                <w:szCs w:val="21"/>
              </w:rPr>
              <w:t>执笔教师</w:t>
            </w:r>
          </w:p>
        </w:tc>
        <w:tc>
          <w:tcPr>
            <w:tcW w:w="1613" w:type="pct"/>
          </w:tcPr>
          <w:p>
            <w:pPr>
              <w:widowControl/>
              <w:jc w:val="center"/>
              <w:rPr>
                <w:szCs w:val="21"/>
              </w:rPr>
            </w:pPr>
            <w:r>
              <w:rPr>
                <w:rFonts w:hint="eastAsia"/>
                <w:szCs w:val="21"/>
              </w:rPr>
              <w:t>郭磊</w:t>
            </w:r>
          </w:p>
        </w:tc>
        <w:tc>
          <w:tcPr>
            <w:tcW w:w="856" w:type="pct"/>
          </w:tcPr>
          <w:p>
            <w:pPr>
              <w:widowControl/>
              <w:jc w:val="center"/>
              <w:rPr>
                <w:bCs/>
                <w:szCs w:val="21"/>
              </w:rPr>
            </w:pPr>
            <w:r>
              <w:rPr>
                <w:rFonts w:hint="eastAsia"/>
                <w:bCs/>
                <w:szCs w:val="21"/>
              </w:rPr>
              <w:t>责任教授</w:t>
            </w:r>
          </w:p>
        </w:tc>
        <w:tc>
          <w:tcPr>
            <w:tcW w:w="1755" w:type="pct"/>
          </w:tcPr>
          <w:p>
            <w:pPr>
              <w:widowControl/>
              <w:jc w:val="center"/>
              <w:rPr>
                <w:szCs w:val="21"/>
              </w:rPr>
            </w:pPr>
            <w:r>
              <w:rPr>
                <w:rFonts w:hint="eastAsia"/>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776" w:type="pct"/>
            <w:tcBorders>
              <w:bottom w:val="single" w:color="auto" w:sz="4" w:space="0"/>
            </w:tcBorders>
          </w:tcPr>
          <w:p>
            <w:pPr>
              <w:widowControl/>
              <w:jc w:val="center"/>
              <w:rPr>
                <w:bCs/>
                <w:szCs w:val="21"/>
              </w:rPr>
            </w:pPr>
            <w:r>
              <w:rPr>
                <w:rFonts w:hint="eastAsia"/>
                <w:bCs/>
                <w:szCs w:val="21"/>
              </w:rPr>
              <w:t>适用专业</w:t>
            </w:r>
          </w:p>
        </w:tc>
        <w:tc>
          <w:tcPr>
            <w:tcW w:w="1613" w:type="pct"/>
            <w:tcBorders>
              <w:bottom w:val="single" w:color="auto" w:sz="4" w:space="0"/>
            </w:tcBorders>
          </w:tcPr>
          <w:p>
            <w:pPr>
              <w:widowControl/>
              <w:jc w:val="center"/>
              <w:rPr>
                <w:szCs w:val="21"/>
              </w:rPr>
            </w:pPr>
            <w:r>
              <w:rPr>
                <w:rFonts w:hint="eastAsia"/>
                <w:szCs w:val="21"/>
              </w:rPr>
              <w:t>电子信息工程</w:t>
            </w:r>
          </w:p>
        </w:tc>
        <w:tc>
          <w:tcPr>
            <w:tcW w:w="856" w:type="pct"/>
            <w:tcBorders>
              <w:bottom w:val="single" w:color="auto" w:sz="4" w:space="0"/>
            </w:tcBorders>
          </w:tcPr>
          <w:p>
            <w:pPr>
              <w:widowControl/>
              <w:jc w:val="center"/>
              <w:rPr>
                <w:bCs/>
                <w:szCs w:val="21"/>
              </w:rPr>
            </w:pPr>
            <w:r>
              <w:rPr>
                <w:rFonts w:hint="eastAsia"/>
                <w:bCs/>
                <w:szCs w:val="21"/>
              </w:rPr>
              <w:t>适用对象</w:t>
            </w:r>
          </w:p>
        </w:tc>
        <w:tc>
          <w:tcPr>
            <w:tcW w:w="1755" w:type="pct"/>
            <w:tcBorders>
              <w:bottom w:val="single" w:color="auto" w:sz="4" w:space="0"/>
            </w:tcBorders>
          </w:tcPr>
          <w:p>
            <w:pPr>
              <w:widowControl/>
              <w:jc w:val="center"/>
              <w:rPr>
                <w:szCs w:val="21"/>
              </w:rPr>
            </w:pPr>
            <w:r>
              <w:rPr>
                <w:rFonts w:hint="eastAsia"/>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776" w:type="pct"/>
            <w:tcBorders>
              <w:top w:val="single" w:color="auto" w:sz="4" w:space="0"/>
              <w:bottom w:val="single" w:color="auto" w:sz="4" w:space="0"/>
            </w:tcBorders>
          </w:tcPr>
          <w:p>
            <w:pPr>
              <w:jc w:val="center"/>
              <w:rPr>
                <w:b/>
                <w:szCs w:val="21"/>
              </w:rPr>
            </w:pPr>
            <w:r>
              <w:rPr>
                <w:rFonts w:hint="eastAsia"/>
                <w:szCs w:val="21"/>
              </w:rPr>
              <w:t>先修课程</w:t>
            </w:r>
          </w:p>
        </w:tc>
        <w:tc>
          <w:tcPr>
            <w:tcW w:w="1613" w:type="pct"/>
            <w:tcBorders>
              <w:top w:val="single" w:color="auto" w:sz="4" w:space="0"/>
              <w:bottom w:val="single" w:color="auto" w:sz="4" w:space="0"/>
            </w:tcBorders>
            <w:vAlign w:val="center"/>
          </w:tcPr>
          <w:p>
            <w:pPr>
              <w:widowControl/>
              <w:jc w:val="center"/>
              <w:rPr>
                <w:bCs/>
                <w:szCs w:val="21"/>
              </w:rPr>
            </w:pPr>
            <w:r>
              <w:rPr>
                <w:rFonts w:hint="eastAsia"/>
                <w:bCs/>
                <w:szCs w:val="21"/>
              </w:rPr>
              <w:t>高等数学</w:t>
            </w:r>
          </w:p>
        </w:tc>
        <w:tc>
          <w:tcPr>
            <w:tcW w:w="856" w:type="pct"/>
            <w:tcBorders>
              <w:top w:val="single" w:color="auto" w:sz="4" w:space="0"/>
              <w:bottom w:val="single" w:color="auto" w:sz="4" w:space="0"/>
            </w:tcBorders>
          </w:tcPr>
          <w:p>
            <w:pPr>
              <w:snapToGrid w:val="0"/>
              <w:spacing w:line="300" w:lineRule="auto"/>
              <w:jc w:val="center"/>
              <w:rPr>
                <w:b/>
                <w:szCs w:val="21"/>
              </w:rPr>
            </w:pPr>
            <w:r>
              <w:rPr>
                <w:rFonts w:hint="eastAsia"/>
                <w:szCs w:val="21"/>
              </w:rPr>
              <w:t>同修课程</w:t>
            </w:r>
          </w:p>
        </w:tc>
        <w:tc>
          <w:tcPr>
            <w:tcW w:w="1755" w:type="pct"/>
            <w:tcBorders>
              <w:top w:val="single" w:color="auto" w:sz="4" w:space="0"/>
              <w:bottom w:val="single" w:color="auto" w:sz="4" w:space="0"/>
            </w:tcBorders>
          </w:tcPr>
          <w:p>
            <w:pPr>
              <w:widowControl/>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trPr>
        <w:tc>
          <w:tcPr>
            <w:tcW w:w="776" w:type="pct"/>
            <w:tcBorders>
              <w:top w:val="single" w:color="auto" w:sz="4" w:space="0"/>
            </w:tcBorders>
          </w:tcPr>
          <w:p>
            <w:pPr>
              <w:jc w:val="center"/>
              <w:rPr>
                <w:szCs w:val="21"/>
              </w:rPr>
            </w:pPr>
            <w:r>
              <w:rPr>
                <w:rFonts w:hint="eastAsia"/>
                <w:szCs w:val="21"/>
              </w:rPr>
              <w:t>排斥课程</w:t>
            </w:r>
          </w:p>
        </w:tc>
        <w:tc>
          <w:tcPr>
            <w:tcW w:w="1613" w:type="pct"/>
            <w:tcBorders>
              <w:top w:val="single" w:color="auto" w:sz="4" w:space="0"/>
            </w:tcBorders>
          </w:tcPr>
          <w:p>
            <w:pPr>
              <w:widowControl/>
              <w:jc w:val="center"/>
              <w:rPr>
                <w:szCs w:val="21"/>
              </w:rPr>
            </w:pPr>
            <w:r>
              <w:rPr>
                <w:rFonts w:hint="eastAsia"/>
                <w:szCs w:val="21"/>
              </w:rPr>
              <w:t>无</w:t>
            </w:r>
          </w:p>
        </w:tc>
        <w:tc>
          <w:tcPr>
            <w:tcW w:w="856" w:type="pct"/>
            <w:tcBorders>
              <w:top w:val="single" w:color="auto" w:sz="4" w:space="0"/>
            </w:tcBorders>
          </w:tcPr>
          <w:p>
            <w:pPr>
              <w:snapToGrid w:val="0"/>
              <w:spacing w:line="300" w:lineRule="auto"/>
              <w:jc w:val="center"/>
              <w:rPr>
                <w:szCs w:val="21"/>
              </w:rPr>
            </w:pPr>
            <w:r>
              <w:rPr>
                <w:rFonts w:hint="eastAsia"/>
                <w:szCs w:val="21"/>
              </w:rPr>
              <w:t>定稿日期</w:t>
            </w:r>
          </w:p>
        </w:tc>
        <w:tc>
          <w:tcPr>
            <w:tcW w:w="1755" w:type="pct"/>
            <w:tcBorders>
              <w:top w:val="single" w:color="auto" w:sz="4" w:space="0"/>
            </w:tcBorders>
          </w:tcPr>
          <w:p>
            <w:pPr>
              <w:widowControl/>
              <w:jc w:val="center"/>
              <w:rPr>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9" w:beforeLines="50" w:after="159" w:afterLines="50" w:line="300" w:lineRule="auto"/>
        <w:rPr>
          <w:b/>
          <w:sz w:val="24"/>
        </w:rPr>
      </w:pPr>
      <w:r>
        <w:rPr>
          <w:rFonts w:hint="eastAsia"/>
          <w:b/>
          <w:sz w:val="24"/>
        </w:rPr>
        <w:t>一、课程简介</w:t>
      </w:r>
    </w:p>
    <w:p>
      <w:pPr>
        <w:widowControl/>
        <w:spacing w:line="300" w:lineRule="auto"/>
        <w:ind w:firstLine="420" w:firstLineChars="200"/>
        <w:rPr>
          <w:szCs w:val="21"/>
        </w:rPr>
      </w:pPr>
      <w:r>
        <w:rPr>
          <w:rFonts w:hint="eastAsia"/>
          <w:kern w:val="0"/>
          <w:szCs w:val="21"/>
        </w:rPr>
        <w:t>《</w:t>
      </w:r>
      <w:r>
        <w:rPr>
          <w:rFonts w:hint="eastAsia"/>
          <w:szCs w:val="21"/>
        </w:rPr>
        <w:t>工程数学</w:t>
      </w:r>
      <w:r>
        <w:rPr>
          <w:sz w:val="20"/>
          <w:szCs w:val="21"/>
        </w:rPr>
        <w:t>Ⅲ</w:t>
      </w:r>
      <w:r>
        <w:rPr>
          <w:rFonts w:hint="eastAsia"/>
          <w:kern w:val="0"/>
          <w:szCs w:val="21"/>
        </w:rPr>
        <w:t>》</w:t>
      </w:r>
      <w:r>
        <w:rPr>
          <w:rFonts w:hint="eastAsia"/>
          <w:szCs w:val="21"/>
        </w:rPr>
        <w:t>由</w:t>
      </w:r>
      <w:r>
        <w:rPr>
          <w:rFonts w:hint="eastAsia"/>
          <w:kern w:val="0"/>
          <w:szCs w:val="21"/>
        </w:rPr>
        <w:t>概率论与数理统计科目构成，</w:t>
      </w:r>
      <w:r>
        <w:rPr>
          <w:rFonts w:hint="eastAsia"/>
          <w:szCs w:val="21"/>
        </w:rPr>
        <w:t>是电子信息工程专业的专业基础课程之一</w:t>
      </w:r>
      <w:r>
        <w:rPr>
          <w:rFonts w:hint="eastAsia"/>
          <w:kern w:val="0"/>
          <w:szCs w:val="21"/>
        </w:rPr>
        <w:t>。</w:t>
      </w:r>
      <w:r>
        <w:rPr>
          <w:rFonts w:hint="eastAsia"/>
          <w:szCs w:val="21"/>
        </w:rPr>
        <w:t>本课程可以为本科生提供</w:t>
      </w:r>
      <w:r>
        <w:rPr>
          <w:rFonts w:hint="eastAsia"/>
          <w:kern w:val="0"/>
          <w:szCs w:val="21"/>
        </w:rPr>
        <w:t>概率论与数理统计</w:t>
      </w:r>
      <w:r>
        <w:rPr>
          <w:rFonts w:hint="eastAsia"/>
          <w:szCs w:val="21"/>
        </w:rPr>
        <w:t>在工程应用的经典知识，建立进一步专业学习所必需的数学基础理论。通过本课程的学习，使学生获得数学应用中常用的</w:t>
      </w:r>
      <w:r>
        <w:rPr>
          <w:rFonts w:hint="eastAsia"/>
          <w:kern w:val="0"/>
          <w:szCs w:val="21"/>
        </w:rPr>
        <w:t>概率知识与初步数理统计</w:t>
      </w:r>
      <w:r>
        <w:rPr>
          <w:rFonts w:hint="eastAsia"/>
          <w:szCs w:val="21"/>
        </w:rPr>
        <w:t>理论，具有熟练的</w:t>
      </w:r>
      <w:r>
        <w:rPr>
          <w:rFonts w:hint="eastAsia"/>
          <w:kern w:val="0"/>
          <w:szCs w:val="21"/>
        </w:rPr>
        <w:t>概率</w:t>
      </w:r>
      <w:r>
        <w:rPr>
          <w:rFonts w:hint="eastAsia"/>
          <w:szCs w:val="21"/>
        </w:rPr>
        <w:t>运算能力和应用概率论方法解决一些实际问题的能力。</w:t>
      </w:r>
      <w:r>
        <w:rPr>
          <w:rFonts w:hint="eastAsia"/>
          <w:kern w:val="0"/>
          <w:szCs w:val="21"/>
        </w:rPr>
        <w:t>《</w:t>
      </w:r>
      <w:r>
        <w:rPr>
          <w:rFonts w:hint="eastAsia"/>
          <w:szCs w:val="21"/>
        </w:rPr>
        <w:t>工程数学</w:t>
      </w:r>
      <w:r>
        <w:rPr>
          <w:sz w:val="20"/>
          <w:szCs w:val="21"/>
        </w:rPr>
        <w:t>Ⅲ</w:t>
      </w:r>
      <w:r>
        <w:rPr>
          <w:rFonts w:hint="eastAsia"/>
          <w:kern w:val="0"/>
          <w:szCs w:val="21"/>
        </w:rPr>
        <w:t>》</w:t>
      </w:r>
      <w:r>
        <w:rPr>
          <w:rFonts w:hint="eastAsia"/>
          <w:szCs w:val="21"/>
        </w:rPr>
        <w:t>课程</w:t>
      </w:r>
      <w:r>
        <w:rPr>
          <w:rFonts w:hint="eastAsia"/>
          <w:kern w:val="0"/>
          <w:szCs w:val="21"/>
        </w:rPr>
        <w:t>同时通过其基本概念的建立，基本理论的证明，基本方法的运用，培养学生的数学思维能力。</w:t>
      </w:r>
      <w:r>
        <w:rPr>
          <w:rFonts w:hint="eastAsia"/>
          <w:szCs w:val="21"/>
        </w:rPr>
        <w:t>从而为学习后继课程及进一步扩大数学知识面奠定必要的数学基础。</w:t>
      </w:r>
    </w:p>
    <w:p>
      <w:pPr>
        <w:widowControl/>
        <w:spacing w:line="300" w:lineRule="auto"/>
        <w:ind w:firstLine="420" w:firstLineChars="200"/>
        <w:rPr>
          <w:kern w:val="0"/>
          <w:szCs w:val="21"/>
        </w:rPr>
      </w:pPr>
      <w:r>
        <w:rPr>
          <w:rFonts w:hint="eastAsia"/>
          <w:kern w:val="0"/>
          <w:szCs w:val="21"/>
        </w:rPr>
        <w:t>《</w:t>
      </w:r>
      <w:r>
        <w:rPr>
          <w:rFonts w:hint="eastAsia"/>
          <w:szCs w:val="21"/>
        </w:rPr>
        <w:t>工程数学</w:t>
      </w:r>
      <w:r>
        <w:rPr>
          <w:sz w:val="20"/>
          <w:szCs w:val="21"/>
        </w:rPr>
        <w:t>Ⅲ</w:t>
      </w:r>
      <w:r>
        <w:rPr>
          <w:rFonts w:hint="eastAsia"/>
          <w:kern w:val="0"/>
          <w:szCs w:val="21"/>
        </w:rPr>
        <w:t>》的理论和方法广泛应用于电子信息工程、电气工程、通讯工程、自动化等相关学科，并且已经成为解决众多理论和实际问题的强有力工具，成为众多工科专业的一门重要的基础理论课程。对于本专业而言，该课程是学习《信息论与编码》、《通信原理》以及《语音信号处理技术与应用》等许多相关课程的必须先修课程之一。</w:t>
      </w:r>
    </w:p>
    <w:p>
      <w:pPr>
        <w:snapToGrid w:val="0"/>
        <w:spacing w:before="159" w:beforeLines="50" w:after="159" w:afterLines="50" w:line="300" w:lineRule="auto"/>
        <w:rPr>
          <w:b/>
          <w:sz w:val="24"/>
        </w:rPr>
      </w:pPr>
      <w:r>
        <w:rPr>
          <w:rFonts w:hint="eastAsia"/>
          <w:b/>
          <w:sz w:val="24"/>
        </w:rPr>
        <w:t>二、课程教学目标</w:t>
      </w:r>
    </w:p>
    <w:p>
      <w:pPr>
        <w:widowControl/>
        <w:snapToGrid w:val="0"/>
        <w:spacing w:line="300" w:lineRule="auto"/>
        <w:ind w:firstLine="480" w:firstLineChars="200"/>
        <w:rPr>
          <w:szCs w:val="21"/>
        </w:rPr>
      </w:pPr>
      <w:r>
        <w:rPr>
          <w:rFonts w:hint="eastAsia"/>
          <w:kern w:val="0"/>
          <w:sz w:val="24"/>
          <w:szCs w:val="21"/>
        </w:rPr>
        <w:t>《</w:t>
      </w:r>
      <w:r>
        <w:rPr>
          <w:rFonts w:hint="eastAsia"/>
          <w:szCs w:val="21"/>
        </w:rPr>
        <w:t>工程数学</w:t>
      </w:r>
      <w:r>
        <w:rPr>
          <w:sz w:val="20"/>
          <w:szCs w:val="21"/>
        </w:rPr>
        <w:t>Ⅲ</w:t>
      </w:r>
      <w:r>
        <w:rPr>
          <w:rFonts w:hint="eastAsia"/>
          <w:szCs w:val="21"/>
        </w:rPr>
        <w:t>》以培养学生掌握概率论的基本知识和简单数理统计方法为目标并与训练学生分析工程问题的数学思维相结合，使学生达到能对电子信息领域工程问题中的简单数学问题进行分析与求解，同时也能够应用工程数学的理论对复杂工程问题进行识别、表达，并获得初步有效结论的能力。通过学习，学生能够运用概率论的基本理论简单分析随机现象。讲授过程植入我国数学史上杰出学者（如许宝騄先生）的爱国与担当精神。旨在培育学生创新精神，使学生的学习能力提升的同时，精神层面也得到升华。本课程的具体教学目标如下：</w:t>
      </w:r>
      <w:r>
        <w:rPr>
          <w:szCs w:val="21"/>
        </w:rPr>
        <w:t xml:space="preserve"> </w:t>
      </w:r>
    </w:p>
    <w:p>
      <w:pPr>
        <w:widowControl/>
        <w:snapToGrid w:val="0"/>
        <w:spacing w:line="300" w:lineRule="auto"/>
        <w:ind w:firstLine="420" w:firstLineChars="200"/>
        <w:rPr>
          <w:szCs w:val="21"/>
        </w:rPr>
      </w:pPr>
      <w:r>
        <w:rPr>
          <w:szCs w:val="21"/>
        </w:rPr>
        <w:t>1</w:t>
      </w:r>
      <w:r>
        <w:rPr>
          <w:rFonts w:hint="eastAsia"/>
          <w:szCs w:val="21"/>
        </w:rPr>
        <w:t>．学生能够利用简单随机现象的基本概念，将其应用于信息技术（</w:t>
      </w:r>
      <w:r>
        <w:rPr>
          <w:szCs w:val="21"/>
        </w:rPr>
        <w:t>IT</w:t>
      </w:r>
      <w:r>
        <w:rPr>
          <w:rFonts w:hint="eastAsia"/>
          <w:szCs w:val="21"/>
        </w:rPr>
        <w:t>）行业知识和专业知识的学习。学生能够识别确定性现象和随机现象，描述随机试验、样本空间、随机事件和随机变量，指出频率和概率的区别。</w:t>
      </w:r>
      <w:r>
        <w:rPr>
          <w:szCs w:val="21"/>
        </w:rPr>
        <w:t>[1.1]</w:t>
      </w:r>
    </w:p>
    <w:p>
      <w:pPr>
        <w:widowControl/>
        <w:snapToGrid w:val="0"/>
        <w:spacing w:line="300" w:lineRule="auto"/>
        <w:ind w:firstLine="420" w:firstLineChars="200"/>
        <w:rPr>
          <w:szCs w:val="21"/>
        </w:rPr>
      </w:pPr>
      <w:r>
        <w:rPr>
          <w:szCs w:val="21"/>
        </w:rPr>
        <w:t>2</w:t>
      </w:r>
      <w:r>
        <w:rPr>
          <w:rFonts w:hint="eastAsia"/>
          <w:szCs w:val="21"/>
        </w:rPr>
        <w:t>．学生能够归纳概率的基本定义以及常用的概率分布形式，并用于在工程问题中建立合适的数学模型。学生能够区别概率和条件概率、离散型随机变量和连续型随机变量以及随机变量的独立性和线性无关，理解等可能概型、离散型随机变量的分布律、连续型随机变量的概率密度以及随机变量的分布函数、期望、方差、协方差、相关系数、矩以及协方差矩阵的定义；能够计算离散型随机变量的分布律、连续型随机变量的概率密度、随机变量的分布函数以及等可能概型的概率，熟练运用随机变量间的相互独立性。</w:t>
      </w:r>
      <w:r>
        <w:rPr>
          <w:szCs w:val="21"/>
        </w:rPr>
        <w:t>[1.2]</w:t>
      </w:r>
    </w:p>
    <w:p>
      <w:pPr>
        <w:snapToGrid w:val="0"/>
        <w:spacing w:line="300" w:lineRule="auto"/>
        <w:ind w:firstLine="420" w:firstLineChars="200"/>
      </w:pPr>
      <w:r>
        <w:rPr>
          <w:szCs w:val="21"/>
        </w:rPr>
        <w:t>3</w:t>
      </w:r>
      <w:r>
        <w:rPr>
          <w:rFonts w:hint="eastAsia"/>
          <w:szCs w:val="21"/>
        </w:rPr>
        <w:t>．学生能够运用简单的</w:t>
      </w:r>
      <w:r>
        <w:rPr>
          <w:rFonts w:hint="eastAsia"/>
        </w:rPr>
        <w:t>概率论与数理统计的理论对复杂工程问题中的数学问题进行识别、表达，并获得初步有效结论的能力。</w:t>
      </w:r>
      <w:r>
        <w:rPr>
          <w:rFonts w:hint="eastAsia"/>
          <w:szCs w:val="21"/>
        </w:rPr>
        <w:t>学生能够推演多维随机变量的边缘分布和条件分布、随机变量的函数的分布以及随机变量的期望、方差、协方差、相关系数、矩和协方差矩阵，能够在实际生活中应用大数定律</w:t>
      </w:r>
      <w:r>
        <w:rPr>
          <w:rFonts w:hint="eastAsia"/>
        </w:rPr>
        <w:t>及中心极限定理</w:t>
      </w:r>
      <w:r>
        <w:rPr>
          <w:rFonts w:hint="eastAsia"/>
          <w:szCs w:val="21"/>
        </w:rPr>
        <w:t>。</w:t>
      </w:r>
      <w:r>
        <w:rPr>
          <w:szCs w:val="21"/>
        </w:rPr>
        <w:t>[2.1</w:t>
      </w:r>
      <w:r>
        <w:rPr>
          <w:rFonts w:hint="eastAsia"/>
          <w:szCs w:val="21"/>
        </w:rPr>
        <w:t>、4</w:t>
      </w:r>
      <w:r>
        <w:rPr>
          <w:szCs w:val="21"/>
        </w:rPr>
        <w:t>.1]</w:t>
      </w:r>
    </w:p>
    <w:p>
      <w:pPr>
        <w:snapToGrid w:val="0"/>
        <w:spacing w:line="300" w:lineRule="auto"/>
        <w:ind w:firstLine="420" w:firstLineChars="200"/>
        <w:rPr>
          <w:szCs w:val="21"/>
        </w:rPr>
      </w:pPr>
      <w:r>
        <w:rPr>
          <w:rFonts w:hint="eastAsia"/>
          <w:szCs w:val="21"/>
        </w:rPr>
        <w:t>课程教学目标与毕业要求的对应关系见表</w:t>
      </w:r>
      <w:r>
        <w:rPr>
          <w:szCs w:val="21"/>
        </w:rPr>
        <w:t>1</w:t>
      </w:r>
      <w:r>
        <w:rPr>
          <w:rFonts w:hint="eastAsia"/>
          <w:szCs w:val="21"/>
        </w:rPr>
        <w:t>：</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rFonts w:hint="eastAsia"/>
          <w:b/>
          <w:kern w:val="0"/>
          <w:sz w:val="18"/>
          <w:szCs w:val="18"/>
        </w:rPr>
        <w:t>表</w:t>
      </w:r>
      <w:r>
        <w:rPr>
          <w:b/>
          <w:kern w:val="0"/>
          <w:sz w:val="18"/>
          <w:szCs w:val="18"/>
        </w:rPr>
        <w:t xml:space="preserve">1 </w:t>
      </w:r>
      <w:r>
        <w:rPr>
          <w:rFonts w:hint="eastAsia"/>
          <w:b/>
          <w:kern w:val="0"/>
          <w:sz w:val="18"/>
          <w:szCs w:val="18"/>
        </w:rPr>
        <w:t>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719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43" w:type="pct"/>
            <w:vAlign w:val="center"/>
          </w:tcPr>
          <w:p>
            <w:pPr>
              <w:snapToGrid w:val="0"/>
              <w:spacing w:line="300" w:lineRule="auto"/>
              <w:rPr>
                <w:b/>
                <w:bCs/>
                <w:sz w:val="18"/>
                <w:szCs w:val="18"/>
              </w:rPr>
            </w:pPr>
            <w:r>
              <w:rPr>
                <w:rFonts w:hint="eastAsia"/>
                <w:b/>
                <w:bCs/>
                <w:sz w:val="18"/>
                <w:szCs w:val="18"/>
              </w:rPr>
              <w:t>毕业要求</w:t>
            </w:r>
          </w:p>
        </w:tc>
        <w:tc>
          <w:tcPr>
            <w:tcW w:w="3827" w:type="pct"/>
            <w:vAlign w:val="center"/>
          </w:tcPr>
          <w:p>
            <w:pPr>
              <w:snapToGrid w:val="0"/>
              <w:spacing w:line="300" w:lineRule="auto"/>
              <w:jc w:val="center"/>
              <w:rPr>
                <w:b/>
                <w:bCs/>
                <w:sz w:val="18"/>
                <w:szCs w:val="18"/>
              </w:rPr>
            </w:pPr>
            <w:r>
              <w:rPr>
                <w:rFonts w:hint="eastAsia"/>
                <w:b/>
                <w:bCs/>
                <w:sz w:val="18"/>
                <w:szCs w:val="18"/>
              </w:rPr>
              <w:t>毕业要求指标点</w:t>
            </w:r>
          </w:p>
        </w:tc>
        <w:tc>
          <w:tcPr>
            <w:tcW w:w="430" w:type="pct"/>
            <w:vAlign w:val="center"/>
          </w:tcPr>
          <w:p>
            <w:pPr>
              <w:snapToGrid w:val="0"/>
              <w:spacing w:line="300" w:lineRule="auto"/>
              <w:jc w:val="left"/>
              <w:rPr>
                <w:b/>
                <w:bCs/>
                <w:sz w:val="18"/>
                <w:szCs w:val="18"/>
              </w:rPr>
            </w:pPr>
            <w:r>
              <w:rPr>
                <w:rFonts w:hint="eastAsia"/>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pPr>
              <w:snapToGrid w:val="0"/>
              <w:spacing w:line="300" w:lineRule="auto"/>
              <w:rPr>
                <w:sz w:val="18"/>
                <w:szCs w:val="18"/>
              </w:rPr>
            </w:pPr>
            <w:r>
              <w:rPr>
                <w:sz w:val="18"/>
                <w:szCs w:val="18"/>
              </w:rPr>
              <w:t>1</w:t>
            </w:r>
            <w:r>
              <w:rPr>
                <w:rFonts w:hint="eastAsia"/>
                <w:sz w:val="18"/>
                <w:szCs w:val="18"/>
              </w:rPr>
              <w:t>．</w:t>
            </w:r>
            <w:r>
              <w:rPr>
                <w:sz w:val="18"/>
                <w:szCs w:val="18"/>
              </w:rPr>
              <w:t>工程知识</w:t>
            </w:r>
          </w:p>
        </w:tc>
        <w:tc>
          <w:tcPr>
            <w:tcW w:w="3827" w:type="pct"/>
          </w:tcPr>
          <w:p>
            <w:pPr>
              <w:snapToGrid w:val="0"/>
              <w:spacing w:line="300" w:lineRule="auto"/>
              <w:rPr>
                <w:sz w:val="18"/>
                <w:szCs w:val="18"/>
              </w:rPr>
            </w:pPr>
            <w:r>
              <w:rPr>
                <w:sz w:val="18"/>
                <w:szCs w:val="18"/>
              </w:rPr>
              <w:t>1.1</w:t>
            </w:r>
            <w:r>
              <w:rPr>
                <w:rFonts w:hint="eastAsia"/>
                <w:sz w:val="18"/>
                <w:szCs w:val="18"/>
              </w:rPr>
              <w:t>掌握电子信息工程专业理论和知识体系的数学和自然科学知识，将其应用于信息技术（IT）行业知识和专业知识的学习。</w:t>
            </w:r>
          </w:p>
        </w:tc>
        <w:tc>
          <w:tcPr>
            <w:tcW w:w="430" w:type="pct"/>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vAlign w:val="center"/>
          </w:tcPr>
          <w:p>
            <w:pPr>
              <w:snapToGrid w:val="0"/>
              <w:spacing w:line="300" w:lineRule="auto"/>
              <w:rPr>
                <w:sz w:val="18"/>
                <w:szCs w:val="18"/>
              </w:rPr>
            </w:pPr>
          </w:p>
        </w:tc>
        <w:tc>
          <w:tcPr>
            <w:tcW w:w="3827" w:type="pct"/>
          </w:tcPr>
          <w:p>
            <w:pPr>
              <w:snapToGrid w:val="0"/>
              <w:spacing w:line="300" w:lineRule="auto"/>
              <w:rPr>
                <w:sz w:val="18"/>
                <w:szCs w:val="18"/>
              </w:rPr>
            </w:pPr>
            <w:r>
              <w:rPr>
                <w:sz w:val="18"/>
                <w:szCs w:val="18"/>
              </w:rPr>
              <w:t>1.2</w:t>
            </w:r>
            <w:r>
              <w:rPr>
                <w:rFonts w:hint="eastAsia"/>
                <w:sz w:val="18"/>
                <w:szCs w:val="18"/>
              </w:rPr>
              <w:t>掌握计算机、电子、信息、通信、测控及其它工程基础知识，并有效将其应用于电子信息领域工程问题（含海洋电子信息领域）的软硬件分析与设计。</w:t>
            </w:r>
          </w:p>
        </w:tc>
        <w:tc>
          <w:tcPr>
            <w:tcW w:w="430"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3" w:type="pct"/>
            <w:vAlign w:val="center"/>
          </w:tcPr>
          <w:p>
            <w:pPr>
              <w:snapToGrid w:val="0"/>
              <w:spacing w:line="300" w:lineRule="auto"/>
              <w:rPr>
                <w:sz w:val="18"/>
                <w:szCs w:val="18"/>
              </w:rPr>
            </w:pPr>
            <w:r>
              <w:rPr>
                <w:sz w:val="18"/>
                <w:szCs w:val="18"/>
              </w:rPr>
              <w:t>2</w:t>
            </w:r>
            <w:r>
              <w:rPr>
                <w:rFonts w:hint="eastAsia"/>
                <w:sz w:val="18"/>
                <w:szCs w:val="18"/>
              </w:rPr>
              <w:t>．问题分析</w:t>
            </w:r>
          </w:p>
        </w:tc>
        <w:tc>
          <w:tcPr>
            <w:tcW w:w="3827" w:type="pct"/>
          </w:tcPr>
          <w:p>
            <w:pPr>
              <w:snapToGrid w:val="0"/>
              <w:spacing w:line="300" w:lineRule="auto"/>
              <w:rPr>
                <w:sz w:val="18"/>
                <w:szCs w:val="18"/>
              </w:rPr>
            </w:pPr>
            <w:r>
              <w:rPr>
                <w:sz w:val="18"/>
                <w:szCs w:val="18"/>
              </w:rPr>
              <w:t>2.1</w:t>
            </w:r>
            <w:r>
              <w:rPr>
                <w:rFonts w:hint="eastAsia"/>
                <w:sz w:val="18"/>
                <w:szCs w:val="18"/>
              </w:rPr>
              <w:t>具备应用数学、自然科学和工程科学的基本原理，对电子信息领域的复杂工程问题（含海洋电子信息领域）进行识别、表达和分析，并获得有效结论的能力。</w:t>
            </w:r>
          </w:p>
        </w:tc>
        <w:tc>
          <w:tcPr>
            <w:tcW w:w="430"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3" w:type="pct"/>
            <w:vAlign w:val="center"/>
          </w:tcPr>
          <w:p>
            <w:pPr>
              <w:snapToGrid w:val="0"/>
              <w:spacing w:line="300" w:lineRule="auto"/>
              <w:rPr>
                <w:sz w:val="18"/>
                <w:szCs w:val="18"/>
              </w:rPr>
            </w:pPr>
            <w:r>
              <w:rPr>
                <w:sz w:val="18"/>
                <w:szCs w:val="18"/>
              </w:rPr>
              <w:t>4．研究</w:t>
            </w:r>
          </w:p>
        </w:tc>
        <w:tc>
          <w:tcPr>
            <w:tcW w:w="3827" w:type="pct"/>
            <w:vAlign w:val="center"/>
          </w:tcPr>
          <w:p>
            <w:pPr>
              <w:snapToGrid w:val="0"/>
              <w:spacing w:line="300" w:lineRule="auto"/>
              <w:rPr>
                <w:sz w:val="18"/>
                <w:szCs w:val="18"/>
              </w:rPr>
            </w:pPr>
            <w:r>
              <w:rPr>
                <w:sz w:val="18"/>
                <w:szCs w:val="18"/>
              </w:rPr>
              <w:t>4.1具备基于电子信息科学原理并采用科学方法对复杂工程问题的技术路线</w:t>
            </w:r>
            <w:r>
              <w:rPr>
                <w:rFonts w:hint="eastAsia"/>
                <w:sz w:val="18"/>
                <w:szCs w:val="18"/>
              </w:rPr>
              <w:t>、</w:t>
            </w:r>
            <w:r>
              <w:rPr>
                <w:sz w:val="18"/>
                <w:szCs w:val="18"/>
              </w:rPr>
              <w:t>实验方案、软/硬件模块和存在的问题进行研究的能力。</w:t>
            </w:r>
          </w:p>
        </w:tc>
        <w:tc>
          <w:tcPr>
            <w:tcW w:w="430" w:type="pct"/>
            <w:vAlign w:val="center"/>
          </w:tcPr>
          <w:p>
            <w:pPr>
              <w:snapToGrid w:val="0"/>
              <w:spacing w:line="300" w:lineRule="auto"/>
              <w:jc w:val="center"/>
              <w:rPr>
                <w:sz w:val="18"/>
                <w:szCs w:val="18"/>
              </w:rPr>
            </w:pPr>
            <w:r>
              <w:rPr>
                <w:rFonts w:hint="eastAsia"/>
                <w:sz w:val="18"/>
                <w:szCs w:val="18"/>
              </w:rPr>
              <w:t>3</w:t>
            </w:r>
          </w:p>
        </w:tc>
      </w:tr>
    </w:tbl>
    <w:p>
      <w:pPr>
        <w:snapToGrid w:val="0"/>
        <w:spacing w:before="159" w:beforeLines="50" w:after="159" w:afterLines="50" w:line="300" w:lineRule="auto"/>
        <w:rPr>
          <w:b/>
          <w:sz w:val="24"/>
        </w:rPr>
      </w:pPr>
      <w:r>
        <w:rPr>
          <w:rFonts w:hint="eastAsia"/>
          <w:b/>
          <w:sz w:val="24"/>
        </w:rPr>
        <w:t>三、课程教学目标达成途径（或教学设计）</w:t>
      </w:r>
    </w:p>
    <w:p>
      <w:pPr>
        <w:widowControl/>
        <w:snapToGrid w:val="0"/>
        <w:spacing w:before="159" w:beforeLines="50" w:line="300" w:lineRule="auto"/>
        <w:jc w:val="center"/>
        <w:rPr>
          <w:b/>
          <w:bCs/>
          <w:sz w:val="18"/>
          <w:szCs w:val="18"/>
        </w:rPr>
      </w:pPr>
      <w:r>
        <w:rPr>
          <w:rFonts w:hint="eastAsia"/>
          <w:b/>
          <w:bCs/>
          <w:sz w:val="18"/>
          <w:szCs w:val="18"/>
        </w:rPr>
        <w:t>表</w:t>
      </w:r>
      <w:r>
        <w:rPr>
          <w:b/>
          <w:bCs/>
          <w:sz w:val="18"/>
          <w:szCs w:val="18"/>
        </w:rPr>
        <w:t xml:space="preserve">2 </w:t>
      </w:r>
      <w:r>
        <w:rPr>
          <w:rFonts w:hint="eastAsia"/>
          <w:b/>
          <w:bCs/>
          <w:sz w:val="18"/>
          <w:szCs w:val="18"/>
        </w:rPr>
        <w:t>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1"/>
        <w:gridCol w:w="112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5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rFonts w:hint="eastAsia"/>
                <w:b/>
                <w:sz w:val="18"/>
                <w:szCs w:val="18"/>
              </w:rPr>
              <w:t>课程教学目标</w:t>
            </w:r>
          </w:p>
        </w:tc>
        <w:tc>
          <w:tcPr>
            <w:tcW w:w="59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rFonts w:hint="eastAsia"/>
                <w:b/>
                <w:sz w:val="18"/>
                <w:szCs w:val="18"/>
              </w:rPr>
              <w:t>达成途径</w:t>
            </w:r>
          </w:p>
        </w:tc>
        <w:tc>
          <w:tcPr>
            <w:tcW w:w="64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rPr>
                <w:b/>
                <w:sz w:val="18"/>
                <w:szCs w:val="18"/>
              </w:rPr>
            </w:pPr>
            <w:r>
              <w:rPr>
                <w:rFonts w:hint="eastAsia"/>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1</w:t>
            </w:r>
            <w:r>
              <w:rPr>
                <w:rFonts w:hint="eastAsia"/>
                <w:sz w:val="18"/>
                <w:szCs w:val="18"/>
              </w:rPr>
              <w:t>．掌握简单随机现象的基本概念，将其应用于信息技术（</w:t>
            </w:r>
            <w:r>
              <w:rPr>
                <w:sz w:val="18"/>
                <w:szCs w:val="18"/>
              </w:rPr>
              <w:t>IT</w:t>
            </w:r>
            <w:r>
              <w:rPr>
                <w:rFonts w:hint="eastAsia"/>
                <w:sz w:val="18"/>
                <w:szCs w:val="18"/>
              </w:rPr>
              <w:t>）行业知识和专业知识的学习。学生能够识别确定性现象和随机现象，描述随机试验、样本空间、随机事件和随机变量，指出频率和概率的区别。</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rFonts w:hint="eastAsia"/>
                <w:sz w:val="18"/>
                <w:szCs w:val="18"/>
              </w:rPr>
              <w:t>平时测验、</w:t>
            </w:r>
            <w:r>
              <w:rPr>
                <w:sz w:val="18"/>
                <w:szCs w:val="18"/>
              </w:rPr>
              <w:t>习题作业</w:t>
            </w:r>
            <w:r>
              <w:rPr>
                <w:rFonts w:hint="eastAsia"/>
                <w:sz w:val="18"/>
                <w:szCs w:val="18"/>
              </w:rPr>
              <w:t>与考试</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2</w:t>
            </w:r>
            <w:r>
              <w:rPr>
                <w:rFonts w:hint="eastAsia"/>
                <w:sz w:val="18"/>
                <w:szCs w:val="18"/>
              </w:rPr>
              <w:t>．掌握概率的基本定义以及常用的概率分布形式并用于在工程问题中建立合适的数学模型。学生能够区别概率和条件概率、离散型随机变量和连续型随机变量以及随机变量的独立性和线性无关，理解等可能概型、离散型随机变量的分布律、连续型随机变量的概率密度以及随机变量的分布函数、期望、方差、协方差、相关系数、矩以及协方差矩阵的定义；能够计算离散型随机变量的分布律、连续型随机变量的概率密度、随机变量的分布函数以及等可能概型的概率，熟练运用随机变量间的相互独立性。</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通过前导课程回顾与课堂讲授并结合学生学习（网络学习）等达成。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课堂表现、</w:t>
            </w:r>
            <w:r>
              <w:rPr>
                <w:rFonts w:hint="eastAsia"/>
                <w:sz w:val="18"/>
                <w:szCs w:val="18"/>
              </w:rPr>
              <w:t>平时测验、</w:t>
            </w:r>
            <w:r>
              <w:rPr>
                <w:sz w:val="18"/>
                <w:szCs w:val="18"/>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3</w:t>
            </w:r>
            <w:r>
              <w:rPr>
                <w:rFonts w:hint="eastAsia"/>
                <w:sz w:val="18"/>
                <w:szCs w:val="18"/>
              </w:rPr>
              <w:t>．掌握概率论</w:t>
            </w:r>
            <w:r>
              <w:rPr>
                <w:rFonts w:hint="eastAsia"/>
                <w:kern w:val="0"/>
                <w:sz w:val="18"/>
                <w:szCs w:val="18"/>
              </w:rPr>
              <w:t>的</w:t>
            </w:r>
            <w:r>
              <w:rPr>
                <w:rFonts w:hint="eastAsia"/>
                <w:sz w:val="18"/>
                <w:szCs w:val="18"/>
              </w:rPr>
              <w:t>进阶知识点以及简单的数理统计方法，使学生能够应用工程数学的理论对复杂工程问题中的数学问题进行识别、表达，并获得初步有效结论的能力。学生能够推演多维随机变量的边缘分布和条件分布、随机变量的函数的分布以及随机变量的期望、方差、协方差、相关系数、矩和协方差矩阵</w:t>
            </w:r>
            <w:r>
              <w:rPr>
                <w:rFonts w:hint="eastAsia"/>
                <w:szCs w:val="21"/>
              </w:rPr>
              <w:t>，</w:t>
            </w:r>
            <w:r>
              <w:rPr>
                <w:rFonts w:hint="eastAsia"/>
                <w:sz w:val="18"/>
                <w:szCs w:val="18"/>
              </w:rPr>
              <w:t>能够在实际生活中应用大数定律及中心极限定理。</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习题作业与考试。</w:t>
            </w:r>
          </w:p>
        </w:tc>
      </w:tr>
    </w:tbl>
    <w:p>
      <w:pPr>
        <w:snapToGrid w:val="0"/>
        <w:spacing w:before="159" w:beforeLines="50" w:after="159" w:afterLines="50" w:line="300" w:lineRule="auto"/>
        <w:rPr>
          <w:b/>
          <w:sz w:val="24"/>
        </w:rPr>
      </w:pPr>
      <w:r>
        <w:rPr>
          <w:rFonts w:hint="eastAsia"/>
          <w:b/>
          <w:sz w:val="24"/>
        </w:rPr>
        <w:t>四、课程教学内容、教与学的要求</w:t>
      </w:r>
    </w:p>
    <w:p>
      <w:pPr>
        <w:snapToGrid w:val="0"/>
        <w:spacing w:line="300" w:lineRule="auto"/>
        <w:ind w:firstLine="420" w:firstLineChars="200"/>
        <w:rPr>
          <w:szCs w:val="21"/>
        </w:rPr>
      </w:pPr>
      <w:r>
        <w:rPr>
          <w:rFonts w:hint="eastAsia"/>
          <w:szCs w:val="21"/>
        </w:rPr>
        <w:t>本课程是一门专注于理论教学的课程，本课程理论教学为</w:t>
      </w:r>
      <w:r>
        <w:rPr>
          <w:szCs w:val="21"/>
        </w:rPr>
        <w:t>32</w:t>
      </w:r>
      <w:r>
        <w:rPr>
          <w:rFonts w:hint="eastAsia"/>
          <w:szCs w:val="21"/>
        </w:rPr>
        <w:t>学时，强调学生的扎实理论功底的养成和分析并解决实际问题的能力的培养。课堂授课以讲授式教学为主：</w:t>
      </w:r>
      <w:r>
        <w:rPr>
          <w:rFonts w:hint="eastAsia"/>
        </w:rPr>
        <w:t>基于电子信息工程专业后续专业课程的需要构建课程教学体系，根据课程特点采用启发式教学、任务驱动教学、微课教学法进行教学方法创新，核心能力知识点采用</w:t>
      </w:r>
      <w:r>
        <w:t>“</w:t>
      </w:r>
      <w:r>
        <w:rPr>
          <w:rFonts w:hint="eastAsia"/>
        </w:rPr>
        <w:t>原理描述</w:t>
      </w:r>
      <w:r>
        <w:t>-</w:t>
      </w:r>
      <w:r>
        <w:rPr>
          <w:rFonts w:hint="eastAsia"/>
        </w:rPr>
        <w:t>知识要点分析</w:t>
      </w:r>
      <w:r>
        <w:t>-</w:t>
      </w:r>
      <w:r>
        <w:rPr>
          <w:rFonts w:hint="eastAsia"/>
        </w:rPr>
        <w:t>工程应用展示</w:t>
      </w:r>
      <w:r>
        <w:t>”</w:t>
      </w:r>
      <w:r>
        <w:rPr>
          <w:rFonts w:hint="eastAsia"/>
        </w:rPr>
        <w:t>相互呼应的教学模式；辅以网络多媒体教学、课程独立网站（含教学视频）同步学习，每周平均讲授</w:t>
      </w:r>
      <w:r>
        <w:t>2</w:t>
      </w:r>
      <w:r>
        <w:rPr>
          <w:rFonts w:hint="eastAsia"/>
        </w:rPr>
        <w:t>学时。</w:t>
      </w:r>
    </w:p>
    <w:p>
      <w:pPr>
        <w:snapToGrid w:val="0"/>
        <w:spacing w:line="300" w:lineRule="auto"/>
        <w:ind w:firstLine="420" w:firstLineChars="200"/>
        <w:rPr>
          <w:szCs w:val="21"/>
        </w:rPr>
      </w:pPr>
      <w:r>
        <w:rPr>
          <w:rFonts w:hint="eastAsia"/>
          <w:szCs w:val="21"/>
        </w:rPr>
        <w:t>本课程理论教学内容与教学要求见表</w:t>
      </w:r>
      <w:r>
        <w:rPr>
          <w:szCs w:val="21"/>
        </w:rPr>
        <w:t>3</w:t>
      </w:r>
      <w:r>
        <w:rPr>
          <w:rFonts w:hint="eastAsia"/>
          <w:szCs w:val="21"/>
        </w:rPr>
        <w:t>。</w:t>
      </w:r>
    </w:p>
    <w:p>
      <w:pPr>
        <w:snapToGrid w:val="0"/>
        <w:spacing w:before="159" w:beforeLines="50" w:line="300" w:lineRule="auto"/>
        <w:jc w:val="center"/>
        <w:rPr>
          <w:sz w:val="18"/>
          <w:szCs w:val="18"/>
        </w:rPr>
      </w:pPr>
      <w:r>
        <w:rPr>
          <w:rFonts w:hint="eastAsia"/>
          <w:b/>
          <w:bCs/>
          <w:sz w:val="18"/>
          <w:szCs w:val="18"/>
        </w:rPr>
        <w:t>表</w:t>
      </w:r>
      <w:r>
        <w:rPr>
          <w:b/>
          <w:bCs/>
          <w:sz w:val="18"/>
          <w:szCs w:val="18"/>
        </w:rPr>
        <w:t>3</w:t>
      </w:r>
      <w:r>
        <w:rPr>
          <w:rFonts w:hint="eastAsia"/>
          <w:b/>
          <w:bCs/>
          <w:sz w:val="18"/>
          <w:szCs w:val="18"/>
        </w:rPr>
        <w:t>教学内容与教学</w:t>
      </w:r>
    </w:p>
    <w:tbl>
      <w:tblPr>
        <w:tblStyle w:val="22"/>
        <w:tblW w:w="5000"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917"/>
        <w:gridCol w:w="4899"/>
        <w:gridCol w:w="791"/>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39" w:type="pct"/>
            <w:tcMar>
              <w:left w:w="57" w:type="dxa"/>
              <w:right w:w="57" w:type="dxa"/>
            </w:tcMar>
            <w:vAlign w:val="center"/>
          </w:tcPr>
          <w:p>
            <w:pPr>
              <w:snapToGrid w:val="0"/>
              <w:spacing w:line="300" w:lineRule="auto"/>
              <w:jc w:val="center"/>
              <w:rPr>
                <w:b/>
                <w:bCs/>
                <w:sz w:val="18"/>
                <w:szCs w:val="18"/>
              </w:rPr>
            </w:pPr>
            <w:r>
              <w:rPr>
                <w:rFonts w:hint="eastAsia"/>
                <w:b/>
                <w:bCs/>
                <w:sz w:val="18"/>
                <w:szCs w:val="18"/>
              </w:rPr>
              <w:t>序号</w:t>
            </w:r>
          </w:p>
        </w:tc>
        <w:tc>
          <w:tcPr>
            <w:tcW w:w="1025" w:type="pct"/>
            <w:vAlign w:val="center"/>
          </w:tcPr>
          <w:p>
            <w:pPr>
              <w:snapToGrid w:val="0"/>
              <w:spacing w:line="300" w:lineRule="auto"/>
              <w:jc w:val="center"/>
              <w:rPr>
                <w:b/>
                <w:bCs/>
                <w:sz w:val="18"/>
                <w:szCs w:val="18"/>
              </w:rPr>
            </w:pPr>
            <w:r>
              <w:rPr>
                <w:rFonts w:hint="eastAsia"/>
                <w:b/>
                <w:bCs/>
                <w:sz w:val="18"/>
                <w:szCs w:val="18"/>
              </w:rPr>
              <w:t>教学内容</w:t>
            </w:r>
          </w:p>
        </w:tc>
        <w:tc>
          <w:tcPr>
            <w:tcW w:w="2620" w:type="pct"/>
            <w:vAlign w:val="center"/>
          </w:tcPr>
          <w:p>
            <w:pPr>
              <w:snapToGrid w:val="0"/>
              <w:spacing w:line="300" w:lineRule="auto"/>
              <w:ind w:firstLine="361" w:firstLineChars="200"/>
              <w:jc w:val="center"/>
              <w:rPr>
                <w:b/>
                <w:bCs/>
                <w:sz w:val="18"/>
                <w:szCs w:val="18"/>
              </w:rPr>
            </w:pPr>
            <w:r>
              <w:rPr>
                <w:rFonts w:hint="eastAsia"/>
                <w:b/>
                <w:bCs/>
                <w:sz w:val="18"/>
                <w:szCs w:val="18"/>
              </w:rPr>
              <w:t>教与学的要求</w:t>
            </w:r>
          </w:p>
        </w:tc>
        <w:tc>
          <w:tcPr>
            <w:tcW w:w="423" w:type="pct"/>
            <w:vAlign w:val="center"/>
          </w:tcPr>
          <w:p>
            <w:pPr>
              <w:snapToGrid w:val="0"/>
              <w:spacing w:line="300" w:lineRule="auto"/>
              <w:jc w:val="center"/>
              <w:rPr>
                <w:b/>
                <w:bCs/>
                <w:sz w:val="18"/>
                <w:szCs w:val="18"/>
              </w:rPr>
            </w:pPr>
            <w:r>
              <w:rPr>
                <w:rFonts w:hint="eastAsia"/>
                <w:b/>
                <w:bCs/>
                <w:sz w:val="18"/>
                <w:szCs w:val="18"/>
              </w:rPr>
              <w:t>学时</w:t>
            </w:r>
          </w:p>
        </w:tc>
        <w:tc>
          <w:tcPr>
            <w:tcW w:w="593" w:type="pct"/>
            <w:vAlign w:val="center"/>
          </w:tcPr>
          <w:p>
            <w:pPr>
              <w:snapToGrid w:val="0"/>
              <w:spacing w:line="300" w:lineRule="auto"/>
              <w:jc w:val="center"/>
              <w:rPr>
                <w:b/>
                <w:bCs/>
                <w:sz w:val="18"/>
                <w:szCs w:val="18"/>
              </w:rPr>
            </w:pPr>
            <w:r>
              <w:rPr>
                <w:rFonts w:hint="eastAsia"/>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tcMar>
              <w:left w:w="57" w:type="dxa"/>
              <w:right w:w="57" w:type="dxa"/>
            </w:tcMar>
            <w:vAlign w:val="center"/>
          </w:tcPr>
          <w:p>
            <w:pPr>
              <w:snapToGrid w:val="0"/>
              <w:spacing w:line="300" w:lineRule="auto"/>
              <w:rPr>
                <w:sz w:val="18"/>
                <w:szCs w:val="18"/>
              </w:rPr>
            </w:pPr>
            <w:r>
              <w:rPr>
                <w:sz w:val="18"/>
                <w:szCs w:val="18"/>
              </w:rPr>
              <w:t>1</w:t>
            </w:r>
          </w:p>
        </w:tc>
        <w:tc>
          <w:tcPr>
            <w:tcW w:w="1025" w:type="pct"/>
            <w:vAlign w:val="center"/>
          </w:tcPr>
          <w:p>
            <w:pPr>
              <w:snapToGrid w:val="0"/>
              <w:spacing w:line="300" w:lineRule="auto"/>
              <w:rPr>
                <w:sz w:val="18"/>
                <w:szCs w:val="18"/>
              </w:rPr>
            </w:pPr>
            <w:r>
              <w:rPr>
                <w:sz w:val="18"/>
                <w:szCs w:val="18"/>
              </w:rPr>
              <w:t>1</w:t>
            </w:r>
            <w:r>
              <w:rPr>
                <w:rFonts w:hint="eastAsia"/>
                <w:sz w:val="18"/>
                <w:szCs w:val="18"/>
              </w:rPr>
              <w:t>概率论的基本概念</w:t>
            </w:r>
            <w:r>
              <w:rPr>
                <w:rFonts w:hint="eastAsia"/>
                <w:bCs/>
                <w:sz w:val="18"/>
                <w:szCs w:val="18"/>
              </w:rPr>
              <w:t>（介绍</w:t>
            </w:r>
            <w:r>
              <w:rPr>
                <w:rFonts w:hint="eastAsia"/>
                <w:sz w:val="18"/>
                <w:szCs w:val="18"/>
              </w:rPr>
              <w:t>我国概率论与数理统计领域的教学和研究工作的开创人</w:t>
            </w:r>
            <w:r>
              <w:rPr>
                <w:rFonts w:hint="eastAsia"/>
                <w:bCs/>
                <w:sz w:val="18"/>
                <w:szCs w:val="18"/>
              </w:rPr>
              <w:t>——著名数学家</w:t>
            </w:r>
            <w:r>
              <w:rPr>
                <w:rFonts w:hint="eastAsia"/>
                <w:sz w:val="18"/>
                <w:szCs w:val="18"/>
              </w:rPr>
              <w:t>许宝騄先生</w:t>
            </w:r>
            <w:r>
              <w:rPr>
                <w:rFonts w:hint="eastAsia"/>
                <w:bCs/>
                <w:sz w:val="18"/>
                <w:szCs w:val="18"/>
              </w:rPr>
              <w:t>）</w:t>
            </w:r>
          </w:p>
          <w:p>
            <w:pPr>
              <w:snapToGrid w:val="0"/>
              <w:spacing w:line="300" w:lineRule="auto"/>
              <w:rPr>
                <w:sz w:val="18"/>
                <w:szCs w:val="18"/>
              </w:rPr>
            </w:pPr>
            <w:r>
              <w:rPr>
                <w:sz w:val="18"/>
                <w:szCs w:val="18"/>
              </w:rPr>
              <w:t xml:space="preserve">1.1 </w:t>
            </w:r>
            <w:r>
              <w:rPr>
                <w:rFonts w:hint="eastAsia"/>
                <w:sz w:val="18"/>
                <w:szCs w:val="18"/>
              </w:rPr>
              <w:t>随机试验</w:t>
            </w:r>
            <w:r>
              <w:rPr>
                <w:sz w:val="18"/>
                <w:szCs w:val="18"/>
              </w:rPr>
              <w:t xml:space="preserve"> </w:t>
            </w:r>
          </w:p>
          <w:p>
            <w:pPr>
              <w:snapToGrid w:val="0"/>
              <w:spacing w:line="300" w:lineRule="auto"/>
              <w:rPr>
                <w:sz w:val="18"/>
                <w:szCs w:val="18"/>
              </w:rPr>
            </w:pPr>
            <w:r>
              <w:rPr>
                <w:sz w:val="18"/>
                <w:szCs w:val="18"/>
              </w:rPr>
              <w:t xml:space="preserve">1.2 </w:t>
            </w:r>
            <w:r>
              <w:rPr>
                <w:rFonts w:hint="eastAsia"/>
                <w:sz w:val="18"/>
                <w:szCs w:val="18"/>
              </w:rPr>
              <w:t>样本空间、随机事件</w:t>
            </w:r>
          </w:p>
          <w:p>
            <w:pPr>
              <w:snapToGrid w:val="0"/>
              <w:spacing w:line="300" w:lineRule="auto"/>
              <w:rPr>
                <w:sz w:val="18"/>
                <w:szCs w:val="18"/>
              </w:rPr>
            </w:pPr>
            <w:r>
              <w:rPr>
                <w:sz w:val="18"/>
                <w:szCs w:val="18"/>
              </w:rPr>
              <w:t xml:space="preserve">1.3 </w:t>
            </w:r>
            <w:r>
              <w:rPr>
                <w:rFonts w:hint="eastAsia"/>
                <w:sz w:val="18"/>
                <w:szCs w:val="18"/>
              </w:rPr>
              <w:t>频率与概率</w:t>
            </w:r>
          </w:p>
          <w:p>
            <w:pPr>
              <w:snapToGrid w:val="0"/>
              <w:spacing w:line="300" w:lineRule="auto"/>
              <w:rPr>
                <w:sz w:val="18"/>
                <w:szCs w:val="18"/>
              </w:rPr>
            </w:pPr>
            <w:r>
              <w:rPr>
                <w:sz w:val="18"/>
                <w:szCs w:val="18"/>
              </w:rPr>
              <w:t xml:space="preserve">1.4 </w:t>
            </w:r>
            <w:r>
              <w:rPr>
                <w:rFonts w:hint="eastAsia"/>
                <w:sz w:val="18"/>
                <w:szCs w:val="18"/>
              </w:rPr>
              <w:t>等可能概型（古典概型）</w:t>
            </w:r>
          </w:p>
          <w:p>
            <w:pPr>
              <w:snapToGrid w:val="0"/>
              <w:spacing w:line="300" w:lineRule="auto"/>
              <w:rPr>
                <w:sz w:val="18"/>
                <w:szCs w:val="18"/>
              </w:rPr>
            </w:pPr>
            <w:r>
              <w:rPr>
                <w:sz w:val="18"/>
                <w:szCs w:val="18"/>
              </w:rPr>
              <w:t xml:space="preserve">1.5 </w:t>
            </w:r>
            <w:r>
              <w:rPr>
                <w:rFonts w:hint="eastAsia"/>
                <w:sz w:val="18"/>
                <w:szCs w:val="18"/>
              </w:rPr>
              <w:t>条件概率</w:t>
            </w:r>
          </w:p>
          <w:p>
            <w:pPr>
              <w:snapToGrid w:val="0"/>
              <w:spacing w:line="300" w:lineRule="auto"/>
              <w:rPr>
                <w:sz w:val="18"/>
                <w:szCs w:val="18"/>
              </w:rPr>
            </w:pPr>
            <w:r>
              <w:rPr>
                <w:sz w:val="18"/>
                <w:szCs w:val="18"/>
              </w:rPr>
              <w:t xml:space="preserve">1.6 </w:t>
            </w:r>
            <w:r>
              <w:rPr>
                <w:rFonts w:hint="eastAsia"/>
                <w:sz w:val="18"/>
                <w:szCs w:val="18"/>
              </w:rPr>
              <w:t>独立性</w:t>
            </w:r>
          </w:p>
        </w:tc>
        <w:tc>
          <w:tcPr>
            <w:tcW w:w="2620" w:type="pct"/>
            <w:vAlign w:val="center"/>
          </w:tcPr>
          <w:p>
            <w:pPr>
              <w:snapToGrid w:val="0"/>
              <w:spacing w:line="300" w:lineRule="auto"/>
              <w:rPr>
                <w:sz w:val="18"/>
                <w:szCs w:val="18"/>
              </w:rPr>
            </w:pPr>
            <w:r>
              <w:rPr>
                <w:sz w:val="18"/>
                <w:szCs w:val="18"/>
              </w:rPr>
              <w:t>1.</w:t>
            </w:r>
            <w:r>
              <w:rPr>
                <w:rFonts w:hint="eastAsia"/>
                <w:sz w:val="18"/>
                <w:szCs w:val="18"/>
              </w:rPr>
              <w:t>要求</w:t>
            </w:r>
          </w:p>
          <w:p>
            <w:pPr>
              <w:adjustRightInd w:val="0"/>
              <w:snapToGrid w:val="0"/>
              <w:spacing w:line="300" w:lineRule="auto"/>
              <w:rPr>
                <w:bCs/>
                <w:sz w:val="18"/>
                <w:szCs w:val="18"/>
              </w:rPr>
            </w:pPr>
            <w:r>
              <w:rPr>
                <w:rFonts w:hint="eastAsia"/>
                <w:bCs/>
                <w:sz w:val="18"/>
                <w:szCs w:val="18"/>
              </w:rPr>
              <w:t>（</w:t>
            </w:r>
            <w:r>
              <w:rPr>
                <w:bCs/>
                <w:sz w:val="18"/>
                <w:szCs w:val="18"/>
              </w:rPr>
              <w:t>1</w:t>
            </w:r>
            <w:r>
              <w:rPr>
                <w:rFonts w:hint="eastAsia"/>
                <w:bCs/>
                <w:sz w:val="18"/>
                <w:szCs w:val="18"/>
              </w:rPr>
              <w:t>）学生能够识别确定性现象和随机现象；</w:t>
            </w:r>
          </w:p>
          <w:p>
            <w:pPr>
              <w:adjustRightInd w:val="0"/>
              <w:snapToGrid w:val="0"/>
              <w:spacing w:line="300" w:lineRule="auto"/>
              <w:rPr>
                <w:bCs/>
                <w:sz w:val="18"/>
                <w:szCs w:val="18"/>
              </w:rPr>
            </w:pPr>
            <w:r>
              <w:rPr>
                <w:rFonts w:hint="eastAsia"/>
                <w:bCs/>
                <w:sz w:val="18"/>
                <w:szCs w:val="18"/>
              </w:rPr>
              <w:t>（</w:t>
            </w:r>
            <w:r>
              <w:rPr>
                <w:bCs/>
                <w:sz w:val="18"/>
                <w:szCs w:val="18"/>
              </w:rPr>
              <w:t>2</w:t>
            </w:r>
            <w:r>
              <w:rPr>
                <w:rFonts w:hint="eastAsia"/>
                <w:bCs/>
                <w:sz w:val="18"/>
                <w:szCs w:val="18"/>
              </w:rPr>
              <w:t>）学生能够描述随机试验、样本空间和随机事件；</w:t>
            </w:r>
          </w:p>
          <w:p>
            <w:pPr>
              <w:adjustRightInd w:val="0"/>
              <w:snapToGrid w:val="0"/>
              <w:spacing w:line="300" w:lineRule="auto"/>
              <w:rPr>
                <w:bCs/>
                <w:sz w:val="18"/>
                <w:szCs w:val="18"/>
              </w:rPr>
            </w:pPr>
            <w:r>
              <w:rPr>
                <w:rFonts w:hint="eastAsia"/>
                <w:bCs/>
                <w:sz w:val="18"/>
                <w:szCs w:val="18"/>
              </w:rPr>
              <w:t>（</w:t>
            </w:r>
            <w:r>
              <w:rPr>
                <w:bCs/>
                <w:sz w:val="18"/>
                <w:szCs w:val="18"/>
              </w:rPr>
              <w:t>3</w:t>
            </w:r>
            <w:r>
              <w:rPr>
                <w:rFonts w:hint="eastAsia"/>
                <w:bCs/>
                <w:sz w:val="18"/>
                <w:szCs w:val="18"/>
              </w:rPr>
              <w:t>）学生能够指出频率和概率的区别；</w:t>
            </w:r>
          </w:p>
          <w:p>
            <w:pPr>
              <w:adjustRightInd w:val="0"/>
              <w:snapToGrid w:val="0"/>
              <w:spacing w:line="300" w:lineRule="auto"/>
              <w:rPr>
                <w:bCs/>
                <w:sz w:val="18"/>
                <w:szCs w:val="18"/>
              </w:rPr>
            </w:pPr>
            <w:r>
              <w:rPr>
                <w:rFonts w:hint="eastAsia"/>
                <w:bCs/>
                <w:sz w:val="18"/>
                <w:szCs w:val="18"/>
              </w:rPr>
              <w:t>（</w:t>
            </w:r>
            <w:r>
              <w:rPr>
                <w:bCs/>
                <w:sz w:val="18"/>
                <w:szCs w:val="18"/>
              </w:rPr>
              <w:t>4</w:t>
            </w:r>
            <w:r>
              <w:rPr>
                <w:rFonts w:hint="eastAsia"/>
                <w:bCs/>
                <w:sz w:val="18"/>
                <w:szCs w:val="18"/>
              </w:rPr>
              <w:t>）学生能够区别概率和条件概率；</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5</w:t>
            </w:r>
            <w:r>
              <w:rPr>
                <w:rFonts w:hint="eastAsia"/>
                <w:bCs/>
                <w:sz w:val="18"/>
                <w:szCs w:val="18"/>
              </w:rPr>
              <w:t>）学生能够理解等可能概型并计算等可能概型的概率。</w:t>
            </w:r>
          </w:p>
          <w:p>
            <w:pPr>
              <w:snapToGrid w:val="0"/>
              <w:spacing w:line="300" w:lineRule="auto"/>
              <w:rPr>
                <w:bCs/>
                <w:sz w:val="18"/>
                <w:szCs w:val="18"/>
              </w:rPr>
            </w:pPr>
            <w:r>
              <w:rPr>
                <w:rFonts w:hint="eastAsia"/>
                <w:bCs/>
                <w:sz w:val="18"/>
                <w:szCs w:val="18"/>
              </w:rPr>
              <w:t>（</w:t>
            </w:r>
            <w:r>
              <w:rPr>
                <w:bCs/>
                <w:sz w:val="18"/>
                <w:szCs w:val="18"/>
              </w:rPr>
              <w:t>6</w:t>
            </w:r>
            <w:r>
              <w:rPr>
                <w:rFonts w:hint="eastAsia"/>
                <w:bCs/>
                <w:sz w:val="18"/>
                <w:szCs w:val="18"/>
              </w:rPr>
              <w:t>）学生能够运用事件的独立性。</w:t>
            </w:r>
          </w:p>
          <w:p>
            <w:pPr>
              <w:snapToGrid w:val="0"/>
              <w:spacing w:line="300" w:lineRule="auto"/>
              <w:rPr>
                <w:sz w:val="18"/>
                <w:szCs w:val="18"/>
              </w:rPr>
            </w:pPr>
            <w:r>
              <w:rPr>
                <w:sz w:val="18"/>
                <w:szCs w:val="18"/>
              </w:rPr>
              <w:t>2.</w:t>
            </w:r>
            <w:r>
              <w:rPr>
                <w:rFonts w:hint="eastAsia"/>
                <w:sz w:val="18"/>
                <w:szCs w:val="18"/>
              </w:rPr>
              <w:t>作业内容</w:t>
            </w:r>
          </w:p>
          <w:p>
            <w:pPr>
              <w:snapToGrid w:val="0"/>
              <w:spacing w:line="300" w:lineRule="auto"/>
              <w:ind w:firstLine="360" w:firstLineChars="200"/>
              <w:rPr>
                <w:sz w:val="18"/>
                <w:szCs w:val="18"/>
              </w:rPr>
            </w:pPr>
            <w:r>
              <w:rPr>
                <w:rFonts w:hint="eastAsia"/>
                <w:bCs/>
                <w:sz w:val="18"/>
                <w:szCs w:val="18"/>
              </w:rPr>
              <w:t>计算等可能概型的概率。</w:t>
            </w:r>
          </w:p>
          <w:p>
            <w:pPr>
              <w:snapToGrid w:val="0"/>
              <w:spacing w:line="300" w:lineRule="auto"/>
              <w:rPr>
                <w:sz w:val="18"/>
                <w:szCs w:val="18"/>
              </w:rPr>
            </w:pPr>
            <w:r>
              <w:rPr>
                <w:sz w:val="18"/>
                <w:szCs w:val="18"/>
              </w:rPr>
              <w:t>3.</w:t>
            </w:r>
            <w:r>
              <w:rPr>
                <w:rFonts w:hint="eastAsia"/>
                <w:sz w:val="18"/>
                <w:szCs w:val="18"/>
              </w:rPr>
              <w:t>教学方法</w:t>
            </w:r>
            <w:r>
              <w:rPr>
                <w:sz w:val="18"/>
                <w:szCs w:val="18"/>
              </w:rPr>
              <w:t xml:space="preserve"> </w:t>
            </w:r>
          </w:p>
          <w:p>
            <w:pPr>
              <w:snapToGrid w:val="0"/>
              <w:spacing w:line="300" w:lineRule="auto"/>
              <w:ind w:firstLine="360" w:firstLineChars="200"/>
              <w:rPr>
                <w:sz w:val="18"/>
                <w:szCs w:val="18"/>
              </w:rPr>
            </w:pPr>
            <w:r>
              <w:rPr>
                <w:rFonts w:hint="eastAsia"/>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jc w:val="center"/>
              <w:rPr>
                <w:sz w:val="18"/>
                <w:szCs w:val="18"/>
              </w:rPr>
            </w:pPr>
            <w:r>
              <w:rPr>
                <w:sz w:val="18"/>
                <w:szCs w:val="18"/>
              </w:rPr>
              <w:t>1</w:t>
            </w:r>
            <w:r>
              <w:rPr>
                <w:rFonts w:hint="eastAsia"/>
                <w:sz w:val="18"/>
                <w:szCs w:val="18"/>
              </w:rPr>
              <w:t>，</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9" w:type="pct"/>
            <w:tcMar>
              <w:left w:w="57" w:type="dxa"/>
              <w:right w:w="57" w:type="dxa"/>
            </w:tcMar>
            <w:vAlign w:val="center"/>
          </w:tcPr>
          <w:p>
            <w:pPr>
              <w:snapToGrid w:val="0"/>
              <w:spacing w:line="300" w:lineRule="auto"/>
              <w:rPr>
                <w:sz w:val="18"/>
                <w:szCs w:val="18"/>
              </w:rPr>
            </w:pPr>
            <w:r>
              <w:rPr>
                <w:sz w:val="18"/>
                <w:szCs w:val="18"/>
              </w:rPr>
              <w:t>2</w:t>
            </w:r>
          </w:p>
        </w:tc>
        <w:tc>
          <w:tcPr>
            <w:tcW w:w="1025" w:type="pct"/>
            <w:vAlign w:val="center"/>
          </w:tcPr>
          <w:p>
            <w:pPr>
              <w:adjustRightInd w:val="0"/>
              <w:snapToGrid w:val="0"/>
              <w:spacing w:line="300" w:lineRule="auto"/>
              <w:rPr>
                <w:sz w:val="18"/>
                <w:szCs w:val="18"/>
              </w:rPr>
            </w:pPr>
            <w:r>
              <w:rPr>
                <w:sz w:val="18"/>
                <w:szCs w:val="18"/>
              </w:rPr>
              <w:t>2</w:t>
            </w:r>
            <w:r>
              <w:rPr>
                <w:rFonts w:hint="eastAsia"/>
                <w:sz w:val="18"/>
                <w:szCs w:val="18"/>
              </w:rPr>
              <w:t>随机变量及其分布</w:t>
            </w:r>
          </w:p>
          <w:p>
            <w:pPr>
              <w:adjustRightInd w:val="0"/>
              <w:snapToGrid w:val="0"/>
              <w:spacing w:line="300" w:lineRule="auto"/>
              <w:rPr>
                <w:sz w:val="18"/>
                <w:szCs w:val="18"/>
              </w:rPr>
            </w:pPr>
            <w:r>
              <w:rPr>
                <w:sz w:val="18"/>
                <w:szCs w:val="18"/>
              </w:rPr>
              <w:t xml:space="preserve">2.1 </w:t>
            </w:r>
            <w:r>
              <w:rPr>
                <w:rFonts w:hint="eastAsia"/>
                <w:sz w:val="18"/>
                <w:szCs w:val="18"/>
              </w:rPr>
              <w:t>随机变量</w:t>
            </w:r>
            <w:r>
              <w:rPr>
                <w:sz w:val="18"/>
                <w:szCs w:val="18"/>
              </w:rPr>
              <w:t xml:space="preserve"> </w:t>
            </w:r>
          </w:p>
          <w:p>
            <w:pPr>
              <w:adjustRightInd w:val="0"/>
              <w:snapToGrid w:val="0"/>
              <w:spacing w:line="300" w:lineRule="auto"/>
              <w:rPr>
                <w:sz w:val="18"/>
                <w:szCs w:val="18"/>
              </w:rPr>
            </w:pPr>
            <w:r>
              <w:rPr>
                <w:sz w:val="18"/>
                <w:szCs w:val="18"/>
              </w:rPr>
              <w:t xml:space="preserve">2.2 </w:t>
            </w:r>
            <w:r>
              <w:rPr>
                <w:rFonts w:hint="eastAsia"/>
                <w:sz w:val="18"/>
                <w:szCs w:val="18"/>
              </w:rPr>
              <w:t>离散型随机变量及其分布律</w:t>
            </w:r>
          </w:p>
          <w:p>
            <w:pPr>
              <w:adjustRightInd w:val="0"/>
              <w:snapToGrid w:val="0"/>
              <w:spacing w:line="300" w:lineRule="auto"/>
              <w:rPr>
                <w:sz w:val="18"/>
                <w:szCs w:val="18"/>
              </w:rPr>
            </w:pPr>
            <w:r>
              <w:rPr>
                <w:sz w:val="18"/>
                <w:szCs w:val="18"/>
              </w:rPr>
              <w:t xml:space="preserve">2.3 </w:t>
            </w:r>
            <w:r>
              <w:rPr>
                <w:rFonts w:hint="eastAsia"/>
                <w:sz w:val="18"/>
                <w:szCs w:val="18"/>
              </w:rPr>
              <w:t>随机变量的分布函数</w:t>
            </w:r>
          </w:p>
          <w:p>
            <w:pPr>
              <w:adjustRightInd w:val="0"/>
              <w:snapToGrid w:val="0"/>
              <w:spacing w:line="300" w:lineRule="auto"/>
              <w:rPr>
                <w:sz w:val="18"/>
                <w:szCs w:val="18"/>
              </w:rPr>
            </w:pPr>
            <w:r>
              <w:rPr>
                <w:sz w:val="18"/>
                <w:szCs w:val="18"/>
              </w:rPr>
              <w:t xml:space="preserve">2.4 </w:t>
            </w:r>
            <w:r>
              <w:rPr>
                <w:rFonts w:hint="eastAsia"/>
                <w:sz w:val="18"/>
                <w:szCs w:val="18"/>
              </w:rPr>
              <w:t>连续型随机变量及其概率密度</w:t>
            </w:r>
          </w:p>
          <w:p>
            <w:pPr>
              <w:snapToGrid w:val="0"/>
              <w:spacing w:line="300" w:lineRule="auto"/>
              <w:rPr>
                <w:sz w:val="18"/>
                <w:szCs w:val="18"/>
              </w:rPr>
            </w:pPr>
            <w:r>
              <w:rPr>
                <w:sz w:val="18"/>
                <w:szCs w:val="18"/>
              </w:rPr>
              <w:t xml:space="preserve">2.5 </w:t>
            </w:r>
            <w:r>
              <w:rPr>
                <w:rFonts w:hint="eastAsia"/>
                <w:sz w:val="18"/>
                <w:szCs w:val="18"/>
              </w:rPr>
              <w:t>随机变量的函数的分布</w:t>
            </w:r>
          </w:p>
        </w:tc>
        <w:tc>
          <w:tcPr>
            <w:tcW w:w="2620" w:type="pct"/>
            <w:vAlign w:val="center"/>
          </w:tcPr>
          <w:p>
            <w:pPr>
              <w:snapToGrid w:val="0"/>
              <w:spacing w:line="300" w:lineRule="auto"/>
              <w:rPr>
                <w:sz w:val="18"/>
                <w:szCs w:val="18"/>
              </w:rPr>
            </w:pPr>
            <w:r>
              <w:rPr>
                <w:sz w:val="18"/>
                <w:szCs w:val="18"/>
              </w:rPr>
              <w:t>1.</w:t>
            </w:r>
            <w:r>
              <w:rPr>
                <w:rFonts w:hint="eastAsia"/>
                <w:sz w:val="18"/>
                <w:szCs w:val="18"/>
              </w:rPr>
              <w:t>要求</w:t>
            </w:r>
          </w:p>
          <w:p>
            <w:pPr>
              <w:adjustRightInd w:val="0"/>
              <w:snapToGrid w:val="0"/>
              <w:spacing w:line="300" w:lineRule="auto"/>
              <w:rPr>
                <w:bCs/>
                <w:sz w:val="18"/>
                <w:szCs w:val="18"/>
              </w:rPr>
            </w:pPr>
            <w:r>
              <w:rPr>
                <w:rFonts w:hint="eastAsia"/>
                <w:bCs/>
                <w:sz w:val="18"/>
                <w:szCs w:val="18"/>
              </w:rPr>
              <w:t>（</w:t>
            </w:r>
            <w:r>
              <w:rPr>
                <w:bCs/>
                <w:sz w:val="18"/>
                <w:szCs w:val="18"/>
              </w:rPr>
              <w:t>1</w:t>
            </w:r>
            <w:r>
              <w:rPr>
                <w:rFonts w:hint="eastAsia"/>
                <w:bCs/>
                <w:sz w:val="18"/>
                <w:szCs w:val="18"/>
              </w:rPr>
              <w:t>）学生能够描述随机变量的定义；</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2</w:t>
            </w:r>
            <w:r>
              <w:rPr>
                <w:rFonts w:hint="eastAsia"/>
                <w:bCs/>
                <w:sz w:val="18"/>
                <w:szCs w:val="18"/>
              </w:rPr>
              <w:t>）学生能够区别离散型随机变量和连续型随机变量；</w:t>
            </w:r>
          </w:p>
          <w:p>
            <w:pPr>
              <w:adjustRightInd w:val="0"/>
              <w:snapToGrid w:val="0"/>
              <w:spacing w:line="300" w:lineRule="auto"/>
              <w:rPr>
                <w:bCs/>
                <w:sz w:val="18"/>
                <w:szCs w:val="18"/>
              </w:rPr>
            </w:pPr>
            <w:r>
              <w:rPr>
                <w:rFonts w:hint="eastAsia"/>
                <w:bCs/>
                <w:sz w:val="18"/>
                <w:szCs w:val="18"/>
              </w:rPr>
              <w:t>（</w:t>
            </w:r>
            <w:r>
              <w:rPr>
                <w:bCs/>
                <w:sz w:val="18"/>
                <w:szCs w:val="18"/>
              </w:rPr>
              <w:t>3</w:t>
            </w:r>
            <w:r>
              <w:rPr>
                <w:rFonts w:hint="eastAsia"/>
                <w:bCs/>
                <w:sz w:val="18"/>
                <w:szCs w:val="18"/>
              </w:rPr>
              <w:t>）学生能够理解离散型随机变量的分布律、连续型随机变量的概率密度以及随机变量的分布函数的定义；</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4</w:t>
            </w:r>
            <w:r>
              <w:rPr>
                <w:rFonts w:hint="eastAsia"/>
                <w:bCs/>
                <w:sz w:val="18"/>
                <w:szCs w:val="18"/>
              </w:rPr>
              <w:t>）学生能够计算离散型随机变量的分布律、连续型随机变量的概率密度以及一维随机变量的分布函数；</w:t>
            </w:r>
            <w:r>
              <w:rPr>
                <w:bCs/>
                <w:sz w:val="18"/>
                <w:szCs w:val="18"/>
              </w:rPr>
              <w:t xml:space="preserve"> </w:t>
            </w:r>
          </w:p>
          <w:p>
            <w:pPr>
              <w:snapToGrid w:val="0"/>
              <w:spacing w:line="300" w:lineRule="auto"/>
              <w:rPr>
                <w:sz w:val="18"/>
                <w:szCs w:val="18"/>
              </w:rPr>
            </w:pPr>
            <w:r>
              <w:rPr>
                <w:rFonts w:hint="eastAsia"/>
                <w:bCs/>
                <w:sz w:val="18"/>
                <w:szCs w:val="18"/>
              </w:rPr>
              <w:t>（</w:t>
            </w:r>
            <w:r>
              <w:rPr>
                <w:bCs/>
                <w:sz w:val="18"/>
                <w:szCs w:val="18"/>
              </w:rPr>
              <w:t>5</w:t>
            </w:r>
            <w:r>
              <w:rPr>
                <w:rFonts w:hint="eastAsia"/>
                <w:bCs/>
                <w:sz w:val="18"/>
                <w:szCs w:val="18"/>
              </w:rPr>
              <w:t>）学生能够推演一维随机变量的函数的分布。</w:t>
            </w:r>
          </w:p>
          <w:p>
            <w:pPr>
              <w:snapToGrid w:val="0"/>
              <w:spacing w:line="300" w:lineRule="auto"/>
              <w:rPr>
                <w:sz w:val="18"/>
                <w:szCs w:val="18"/>
              </w:rPr>
            </w:pPr>
            <w:r>
              <w:rPr>
                <w:sz w:val="18"/>
                <w:szCs w:val="18"/>
              </w:rPr>
              <w:t>2.</w:t>
            </w:r>
            <w:r>
              <w:rPr>
                <w:rFonts w:hint="eastAsia"/>
                <w:sz w:val="18"/>
                <w:szCs w:val="18"/>
              </w:rPr>
              <w:t>作业内容</w:t>
            </w:r>
          </w:p>
          <w:p>
            <w:pPr>
              <w:snapToGrid w:val="0"/>
              <w:spacing w:line="300" w:lineRule="auto"/>
              <w:ind w:firstLine="360" w:firstLineChars="200"/>
              <w:rPr>
                <w:sz w:val="18"/>
                <w:szCs w:val="18"/>
              </w:rPr>
            </w:pPr>
            <w:r>
              <w:rPr>
                <w:rFonts w:hint="eastAsia"/>
                <w:bCs/>
                <w:sz w:val="18"/>
                <w:szCs w:val="18"/>
              </w:rPr>
              <w:t>离散型随机变量的分布律、连续型随机变量的概率密度以及一维随机变量的分布函数和一维随机变量的函数的分布的计算。</w:t>
            </w:r>
          </w:p>
          <w:p>
            <w:pPr>
              <w:snapToGrid w:val="0"/>
              <w:spacing w:line="300" w:lineRule="auto"/>
              <w:rPr>
                <w:sz w:val="18"/>
                <w:szCs w:val="18"/>
              </w:rPr>
            </w:pPr>
            <w:r>
              <w:rPr>
                <w:sz w:val="18"/>
                <w:szCs w:val="18"/>
              </w:rPr>
              <w:t>3.</w:t>
            </w:r>
            <w:r>
              <w:rPr>
                <w:rFonts w:hint="eastAsia"/>
                <w:sz w:val="18"/>
                <w:szCs w:val="18"/>
              </w:rPr>
              <w:t>教学方法</w:t>
            </w:r>
            <w:r>
              <w:rPr>
                <w:sz w:val="18"/>
                <w:szCs w:val="18"/>
              </w:rPr>
              <w:t xml:space="preserve"> </w:t>
            </w:r>
          </w:p>
          <w:p>
            <w:pPr>
              <w:snapToGrid w:val="0"/>
              <w:spacing w:line="300" w:lineRule="auto"/>
              <w:ind w:firstLine="360" w:firstLineChars="200"/>
              <w:rPr>
                <w:sz w:val="18"/>
                <w:szCs w:val="18"/>
              </w:rPr>
            </w:pPr>
            <w:r>
              <w:rPr>
                <w:rFonts w:hint="eastAsia"/>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8</w:t>
            </w:r>
          </w:p>
        </w:tc>
        <w:tc>
          <w:tcPr>
            <w:tcW w:w="593" w:type="pct"/>
            <w:vAlign w:val="center"/>
          </w:tcPr>
          <w:p>
            <w:pPr>
              <w:snapToGrid w:val="0"/>
              <w:spacing w:line="300" w:lineRule="auto"/>
              <w:jc w:val="center"/>
              <w:rPr>
                <w:sz w:val="18"/>
                <w:szCs w:val="18"/>
              </w:rPr>
            </w:pPr>
            <w:r>
              <w:rPr>
                <w:sz w:val="18"/>
                <w:szCs w:val="18"/>
              </w:rPr>
              <w:t>1</w:t>
            </w:r>
            <w:r>
              <w:rPr>
                <w:rFonts w:hint="eastAsia"/>
                <w:sz w:val="18"/>
                <w:szCs w:val="18"/>
              </w:rPr>
              <w:t>，</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39" w:type="pct"/>
            <w:tcMar>
              <w:left w:w="57" w:type="dxa"/>
              <w:right w:w="57" w:type="dxa"/>
            </w:tcMar>
            <w:vAlign w:val="center"/>
          </w:tcPr>
          <w:p>
            <w:pPr>
              <w:snapToGrid w:val="0"/>
              <w:spacing w:line="300" w:lineRule="auto"/>
              <w:rPr>
                <w:sz w:val="18"/>
                <w:szCs w:val="18"/>
              </w:rPr>
            </w:pPr>
            <w:r>
              <w:rPr>
                <w:sz w:val="18"/>
                <w:szCs w:val="18"/>
              </w:rPr>
              <w:t>3</w:t>
            </w:r>
          </w:p>
        </w:tc>
        <w:tc>
          <w:tcPr>
            <w:tcW w:w="1025" w:type="pct"/>
            <w:vAlign w:val="center"/>
          </w:tcPr>
          <w:p>
            <w:pPr>
              <w:adjustRightInd w:val="0"/>
              <w:snapToGrid w:val="0"/>
              <w:spacing w:line="300" w:lineRule="auto"/>
              <w:rPr>
                <w:bCs/>
                <w:sz w:val="18"/>
                <w:szCs w:val="18"/>
              </w:rPr>
            </w:pPr>
            <w:r>
              <w:rPr>
                <w:bCs/>
                <w:sz w:val="18"/>
                <w:szCs w:val="18"/>
              </w:rPr>
              <w:t>3</w:t>
            </w:r>
            <w:r>
              <w:rPr>
                <w:rFonts w:hint="eastAsia"/>
                <w:bCs/>
                <w:sz w:val="18"/>
                <w:szCs w:val="18"/>
              </w:rPr>
              <w:t>多维随机变量及其分布</w:t>
            </w:r>
          </w:p>
          <w:p>
            <w:pPr>
              <w:adjustRightInd w:val="0"/>
              <w:snapToGrid w:val="0"/>
              <w:spacing w:line="300" w:lineRule="auto"/>
              <w:rPr>
                <w:bCs/>
                <w:sz w:val="18"/>
                <w:szCs w:val="18"/>
              </w:rPr>
            </w:pPr>
            <w:r>
              <w:rPr>
                <w:bCs/>
                <w:sz w:val="18"/>
                <w:szCs w:val="18"/>
              </w:rPr>
              <w:t xml:space="preserve">3.1 </w:t>
            </w:r>
            <w:r>
              <w:rPr>
                <w:rFonts w:hint="eastAsia"/>
                <w:bCs/>
                <w:sz w:val="18"/>
                <w:szCs w:val="18"/>
              </w:rPr>
              <w:t>二维随机变量</w:t>
            </w:r>
            <w:r>
              <w:rPr>
                <w:bCs/>
                <w:sz w:val="18"/>
                <w:szCs w:val="18"/>
              </w:rPr>
              <w:t xml:space="preserve"> </w:t>
            </w:r>
          </w:p>
          <w:p>
            <w:pPr>
              <w:adjustRightInd w:val="0"/>
              <w:snapToGrid w:val="0"/>
              <w:spacing w:line="300" w:lineRule="auto"/>
              <w:rPr>
                <w:bCs/>
                <w:sz w:val="18"/>
                <w:szCs w:val="18"/>
              </w:rPr>
            </w:pPr>
            <w:r>
              <w:rPr>
                <w:bCs/>
                <w:sz w:val="18"/>
                <w:szCs w:val="18"/>
              </w:rPr>
              <w:t xml:space="preserve">3.2 </w:t>
            </w:r>
            <w:r>
              <w:rPr>
                <w:rFonts w:hint="eastAsia"/>
                <w:bCs/>
                <w:sz w:val="18"/>
                <w:szCs w:val="18"/>
              </w:rPr>
              <w:t>边缘分布</w:t>
            </w:r>
          </w:p>
          <w:p>
            <w:pPr>
              <w:adjustRightInd w:val="0"/>
              <w:snapToGrid w:val="0"/>
              <w:spacing w:line="300" w:lineRule="auto"/>
              <w:rPr>
                <w:bCs/>
                <w:sz w:val="18"/>
                <w:szCs w:val="18"/>
              </w:rPr>
            </w:pPr>
            <w:r>
              <w:rPr>
                <w:bCs/>
                <w:sz w:val="18"/>
                <w:szCs w:val="18"/>
              </w:rPr>
              <w:t xml:space="preserve">3.3 </w:t>
            </w:r>
            <w:r>
              <w:rPr>
                <w:rFonts w:hint="eastAsia"/>
                <w:bCs/>
                <w:sz w:val="18"/>
                <w:szCs w:val="18"/>
              </w:rPr>
              <w:t>条件分布</w:t>
            </w:r>
          </w:p>
          <w:p>
            <w:pPr>
              <w:adjustRightInd w:val="0"/>
              <w:snapToGrid w:val="0"/>
              <w:spacing w:line="300" w:lineRule="auto"/>
              <w:rPr>
                <w:bCs/>
                <w:sz w:val="18"/>
                <w:szCs w:val="18"/>
              </w:rPr>
            </w:pPr>
            <w:r>
              <w:rPr>
                <w:bCs/>
                <w:sz w:val="18"/>
                <w:szCs w:val="18"/>
              </w:rPr>
              <w:t xml:space="preserve">3.4 </w:t>
            </w:r>
            <w:r>
              <w:rPr>
                <w:rFonts w:hint="eastAsia"/>
                <w:bCs/>
                <w:sz w:val="18"/>
                <w:szCs w:val="18"/>
              </w:rPr>
              <w:t>相互独立的随机变量</w:t>
            </w:r>
          </w:p>
          <w:p>
            <w:pPr>
              <w:snapToGrid w:val="0"/>
              <w:spacing w:line="300" w:lineRule="auto"/>
              <w:rPr>
                <w:sz w:val="18"/>
                <w:szCs w:val="18"/>
              </w:rPr>
            </w:pPr>
            <w:r>
              <w:rPr>
                <w:bCs/>
                <w:sz w:val="18"/>
                <w:szCs w:val="18"/>
              </w:rPr>
              <w:t xml:space="preserve">3.5 </w:t>
            </w:r>
            <w:r>
              <w:rPr>
                <w:rFonts w:hint="eastAsia"/>
                <w:bCs/>
                <w:sz w:val="18"/>
                <w:szCs w:val="18"/>
              </w:rPr>
              <w:t>两个随机变量的函数的分布</w:t>
            </w:r>
          </w:p>
        </w:tc>
        <w:tc>
          <w:tcPr>
            <w:tcW w:w="2620" w:type="pct"/>
            <w:vAlign w:val="center"/>
          </w:tcPr>
          <w:p>
            <w:pPr>
              <w:snapToGrid w:val="0"/>
              <w:spacing w:line="300" w:lineRule="auto"/>
              <w:rPr>
                <w:sz w:val="18"/>
                <w:szCs w:val="18"/>
              </w:rPr>
            </w:pPr>
            <w:r>
              <w:rPr>
                <w:sz w:val="18"/>
                <w:szCs w:val="18"/>
              </w:rPr>
              <w:t>1.</w:t>
            </w:r>
            <w:r>
              <w:rPr>
                <w:rFonts w:hint="eastAsia"/>
                <w:sz w:val="18"/>
                <w:szCs w:val="18"/>
              </w:rPr>
              <w:t>要求</w:t>
            </w:r>
          </w:p>
          <w:p>
            <w:pPr>
              <w:adjustRightInd w:val="0"/>
              <w:snapToGrid w:val="0"/>
              <w:spacing w:line="300" w:lineRule="auto"/>
              <w:rPr>
                <w:bCs/>
                <w:sz w:val="18"/>
                <w:szCs w:val="18"/>
              </w:rPr>
            </w:pPr>
            <w:r>
              <w:rPr>
                <w:rFonts w:hint="eastAsia"/>
                <w:bCs/>
                <w:sz w:val="18"/>
                <w:szCs w:val="18"/>
              </w:rPr>
              <w:t>（</w:t>
            </w:r>
            <w:r>
              <w:rPr>
                <w:bCs/>
                <w:sz w:val="18"/>
                <w:szCs w:val="18"/>
              </w:rPr>
              <w:t>1</w:t>
            </w:r>
            <w:r>
              <w:rPr>
                <w:rFonts w:hint="eastAsia"/>
                <w:bCs/>
                <w:sz w:val="18"/>
                <w:szCs w:val="18"/>
              </w:rPr>
              <w:t>）学生能够描述多维随机变量的定义；</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2</w:t>
            </w:r>
            <w:r>
              <w:rPr>
                <w:rFonts w:hint="eastAsia"/>
                <w:bCs/>
                <w:sz w:val="18"/>
                <w:szCs w:val="18"/>
              </w:rPr>
              <w:t>）学生能够计算二维随机变量的边缘分布和条件分布；</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3</w:t>
            </w:r>
            <w:r>
              <w:rPr>
                <w:rFonts w:hint="eastAsia"/>
                <w:bCs/>
                <w:sz w:val="18"/>
                <w:szCs w:val="18"/>
              </w:rPr>
              <w:t>）学生能够推演两个随机变量的函数的分布；</w:t>
            </w:r>
          </w:p>
          <w:p>
            <w:pPr>
              <w:snapToGrid w:val="0"/>
              <w:spacing w:line="300" w:lineRule="auto"/>
              <w:rPr>
                <w:sz w:val="18"/>
                <w:szCs w:val="18"/>
              </w:rPr>
            </w:pPr>
            <w:r>
              <w:rPr>
                <w:rFonts w:hint="eastAsia"/>
                <w:bCs/>
                <w:sz w:val="18"/>
                <w:szCs w:val="18"/>
              </w:rPr>
              <w:t>（</w:t>
            </w:r>
            <w:r>
              <w:rPr>
                <w:bCs/>
                <w:sz w:val="18"/>
                <w:szCs w:val="18"/>
              </w:rPr>
              <w:t>4</w:t>
            </w:r>
            <w:r>
              <w:rPr>
                <w:rFonts w:hint="eastAsia"/>
                <w:bCs/>
                <w:sz w:val="18"/>
                <w:szCs w:val="18"/>
              </w:rPr>
              <w:t>）学生能够熟练运用随机变量间的相互独立性。</w:t>
            </w:r>
          </w:p>
          <w:p>
            <w:pPr>
              <w:snapToGrid w:val="0"/>
              <w:spacing w:line="300" w:lineRule="auto"/>
              <w:rPr>
                <w:sz w:val="18"/>
                <w:szCs w:val="18"/>
              </w:rPr>
            </w:pPr>
            <w:r>
              <w:rPr>
                <w:sz w:val="18"/>
                <w:szCs w:val="18"/>
              </w:rPr>
              <w:t>2.</w:t>
            </w:r>
            <w:r>
              <w:rPr>
                <w:rFonts w:hint="eastAsia"/>
                <w:sz w:val="18"/>
                <w:szCs w:val="18"/>
              </w:rPr>
              <w:t>作业内容</w:t>
            </w:r>
          </w:p>
          <w:p>
            <w:pPr>
              <w:snapToGrid w:val="0"/>
              <w:spacing w:line="300" w:lineRule="auto"/>
              <w:ind w:firstLine="360" w:firstLineChars="200"/>
              <w:rPr>
                <w:sz w:val="18"/>
                <w:szCs w:val="18"/>
              </w:rPr>
            </w:pPr>
            <w:r>
              <w:rPr>
                <w:rFonts w:hint="eastAsia"/>
                <w:bCs/>
                <w:sz w:val="18"/>
                <w:szCs w:val="18"/>
              </w:rPr>
              <w:t>二维随机变量的边缘分布和条件分布的计算以及两个随机变量的函数的分布的计算。</w:t>
            </w:r>
          </w:p>
          <w:p>
            <w:pPr>
              <w:snapToGrid w:val="0"/>
              <w:spacing w:line="300" w:lineRule="auto"/>
              <w:rPr>
                <w:sz w:val="18"/>
                <w:szCs w:val="18"/>
              </w:rPr>
            </w:pPr>
            <w:r>
              <w:rPr>
                <w:sz w:val="18"/>
                <w:szCs w:val="18"/>
              </w:rPr>
              <w:t>3.</w:t>
            </w:r>
            <w:r>
              <w:rPr>
                <w:rFonts w:hint="eastAsia"/>
                <w:sz w:val="18"/>
                <w:szCs w:val="18"/>
              </w:rPr>
              <w:t>教学方法</w:t>
            </w:r>
            <w:r>
              <w:rPr>
                <w:sz w:val="18"/>
                <w:szCs w:val="18"/>
              </w:rPr>
              <w:t xml:space="preserve"> </w:t>
            </w:r>
          </w:p>
          <w:p>
            <w:pPr>
              <w:snapToGrid w:val="0"/>
              <w:spacing w:line="300" w:lineRule="auto"/>
              <w:ind w:firstLine="360" w:firstLineChars="200"/>
              <w:rPr>
                <w:sz w:val="18"/>
                <w:szCs w:val="18"/>
              </w:rPr>
            </w:pPr>
            <w:r>
              <w:rPr>
                <w:rFonts w:hint="eastAsia"/>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8</w:t>
            </w:r>
          </w:p>
        </w:tc>
        <w:tc>
          <w:tcPr>
            <w:tcW w:w="593" w:type="pct"/>
            <w:vAlign w:val="center"/>
          </w:tcPr>
          <w:p>
            <w:pPr>
              <w:snapToGrid w:val="0"/>
              <w:spacing w:line="300" w:lineRule="auto"/>
              <w:jc w:val="center"/>
              <w:rPr>
                <w:sz w:val="18"/>
                <w:szCs w:val="18"/>
              </w:rPr>
            </w:pPr>
            <w:r>
              <w:rPr>
                <w:sz w:val="18"/>
                <w:szCs w:val="18"/>
              </w:rPr>
              <w:t>2</w:t>
            </w:r>
            <w:r>
              <w:rPr>
                <w:rFonts w:hint="eastAsia"/>
                <w:sz w:val="18"/>
                <w:szCs w:val="18"/>
              </w:rPr>
              <w:t>，</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9" w:type="pct"/>
            <w:tcMar>
              <w:left w:w="57" w:type="dxa"/>
              <w:right w:w="57" w:type="dxa"/>
            </w:tcMar>
            <w:vAlign w:val="center"/>
          </w:tcPr>
          <w:p>
            <w:pPr>
              <w:snapToGrid w:val="0"/>
              <w:spacing w:line="300" w:lineRule="auto"/>
              <w:rPr>
                <w:sz w:val="18"/>
                <w:szCs w:val="18"/>
              </w:rPr>
            </w:pPr>
            <w:r>
              <w:rPr>
                <w:sz w:val="18"/>
                <w:szCs w:val="18"/>
              </w:rPr>
              <w:t>4</w:t>
            </w:r>
          </w:p>
        </w:tc>
        <w:tc>
          <w:tcPr>
            <w:tcW w:w="1025" w:type="pct"/>
            <w:vAlign w:val="center"/>
          </w:tcPr>
          <w:p>
            <w:pPr>
              <w:adjustRightInd w:val="0"/>
              <w:snapToGrid w:val="0"/>
              <w:spacing w:line="300" w:lineRule="auto"/>
              <w:rPr>
                <w:bCs/>
                <w:sz w:val="18"/>
                <w:szCs w:val="18"/>
              </w:rPr>
            </w:pPr>
            <w:r>
              <w:rPr>
                <w:bCs/>
                <w:sz w:val="18"/>
                <w:szCs w:val="18"/>
              </w:rPr>
              <w:t>4</w:t>
            </w:r>
            <w:r>
              <w:rPr>
                <w:rFonts w:hint="eastAsia"/>
                <w:bCs/>
                <w:sz w:val="18"/>
                <w:szCs w:val="18"/>
              </w:rPr>
              <w:t>随机变量的数字特征</w:t>
            </w:r>
          </w:p>
          <w:p>
            <w:pPr>
              <w:adjustRightInd w:val="0"/>
              <w:snapToGrid w:val="0"/>
              <w:spacing w:line="300" w:lineRule="auto"/>
              <w:rPr>
                <w:bCs/>
                <w:sz w:val="18"/>
                <w:szCs w:val="18"/>
              </w:rPr>
            </w:pPr>
            <w:r>
              <w:rPr>
                <w:bCs/>
                <w:sz w:val="18"/>
                <w:szCs w:val="18"/>
              </w:rPr>
              <w:t xml:space="preserve">4.1 </w:t>
            </w:r>
            <w:r>
              <w:rPr>
                <w:rFonts w:hint="eastAsia"/>
                <w:bCs/>
                <w:sz w:val="18"/>
                <w:szCs w:val="18"/>
              </w:rPr>
              <w:t>数学期望</w:t>
            </w:r>
            <w:r>
              <w:rPr>
                <w:bCs/>
                <w:sz w:val="18"/>
                <w:szCs w:val="18"/>
              </w:rPr>
              <w:t xml:space="preserve"> </w:t>
            </w:r>
          </w:p>
          <w:p>
            <w:pPr>
              <w:adjustRightInd w:val="0"/>
              <w:snapToGrid w:val="0"/>
              <w:spacing w:line="300" w:lineRule="auto"/>
              <w:rPr>
                <w:bCs/>
                <w:sz w:val="18"/>
                <w:szCs w:val="18"/>
              </w:rPr>
            </w:pPr>
            <w:r>
              <w:rPr>
                <w:bCs/>
                <w:sz w:val="18"/>
                <w:szCs w:val="18"/>
              </w:rPr>
              <w:t xml:space="preserve">4.2 </w:t>
            </w:r>
            <w:r>
              <w:rPr>
                <w:rFonts w:hint="eastAsia"/>
                <w:bCs/>
                <w:sz w:val="18"/>
                <w:szCs w:val="18"/>
              </w:rPr>
              <w:t>方差</w:t>
            </w:r>
          </w:p>
          <w:p>
            <w:pPr>
              <w:adjustRightInd w:val="0"/>
              <w:snapToGrid w:val="0"/>
              <w:spacing w:line="300" w:lineRule="auto"/>
              <w:rPr>
                <w:bCs/>
                <w:sz w:val="18"/>
                <w:szCs w:val="18"/>
              </w:rPr>
            </w:pPr>
            <w:r>
              <w:rPr>
                <w:bCs/>
                <w:sz w:val="18"/>
                <w:szCs w:val="18"/>
              </w:rPr>
              <w:t xml:space="preserve">4.3 </w:t>
            </w:r>
            <w:r>
              <w:rPr>
                <w:rFonts w:hint="eastAsia"/>
                <w:bCs/>
                <w:sz w:val="18"/>
                <w:szCs w:val="18"/>
              </w:rPr>
              <w:t>协方差及相关系数</w:t>
            </w:r>
          </w:p>
          <w:p>
            <w:pPr>
              <w:adjustRightInd w:val="0"/>
              <w:snapToGrid w:val="0"/>
              <w:spacing w:line="300" w:lineRule="auto"/>
              <w:rPr>
                <w:bCs/>
                <w:sz w:val="18"/>
                <w:szCs w:val="18"/>
              </w:rPr>
            </w:pPr>
            <w:r>
              <w:rPr>
                <w:bCs/>
                <w:sz w:val="18"/>
                <w:szCs w:val="18"/>
              </w:rPr>
              <w:t xml:space="preserve">4.4 </w:t>
            </w:r>
            <w:r>
              <w:rPr>
                <w:rFonts w:hint="eastAsia"/>
                <w:bCs/>
                <w:sz w:val="18"/>
                <w:szCs w:val="18"/>
              </w:rPr>
              <w:t>矩、协方差矩阵</w:t>
            </w:r>
          </w:p>
        </w:tc>
        <w:tc>
          <w:tcPr>
            <w:tcW w:w="2620" w:type="pct"/>
            <w:vAlign w:val="center"/>
          </w:tcPr>
          <w:p>
            <w:pPr>
              <w:snapToGrid w:val="0"/>
              <w:spacing w:line="300" w:lineRule="auto"/>
              <w:rPr>
                <w:sz w:val="18"/>
                <w:szCs w:val="18"/>
              </w:rPr>
            </w:pPr>
            <w:r>
              <w:rPr>
                <w:sz w:val="18"/>
                <w:szCs w:val="18"/>
              </w:rPr>
              <w:t>1.</w:t>
            </w:r>
            <w:r>
              <w:rPr>
                <w:rFonts w:hint="eastAsia"/>
                <w:sz w:val="18"/>
                <w:szCs w:val="18"/>
              </w:rPr>
              <w:t>要求</w:t>
            </w:r>
          </w:p>
          <w:p>
            <w:pPr>
              <w:adjustRightInd w:val="0"/>
              <w:snapToGrid w:val="0"/>
              <w:spacing w:line="300" w:lineRule="auto"/>
              <w:rPr>
                <w:bCs/>
                <w:sz w:val="18"/>
                <w:szCs w:val="18"/>
              </w:rPr>
            </w:pPr>
            <w:r>
              <w:rPr>
                <w:rFonts w:hint="eastAsia"/>
                <w:bCs/>
                <w:sz w:val="18"/>
                <w:szCs w:val="18"/>
              </w:rPr>
              <w:t>（</w:t>
            </w:r>
            <w:r>
              <w:rPr>
                <w:bCs/>
                <w:sz w:val="18"/>
                <w:szCs w:val="18"/>
              </w:rPr>
              <w:t>1</w:t>
            </w:r>
            <w:r>
              <w:rPr>
                <w:rFonts w:hint="eastAsia"/>
                <w:bCs/>
                <w:sz w:val="18"/>
                <w:szCs w:val="18"/>
              </w:rPr>
              <w:t>）学生能够理解随机变量的期望、方差、协方差、相关系数、矩以及协方差矩阵的定义；</w:t>
            </w:r>
            <w:r>
              <w:rPr>
                <w:bCs/>
                <w:sz w:val="18"/>
                <w:szCs w:val="18"/>
              </w:rPr>
              <w:t xml:space="preserve"> </w:t>
            </w:r>
          </w:p>
          <w:p>
            <w:pPr>
              <w:snapToGrid w:val="0"/>
              <w:spacing w:line="300" w:lineRule="auto"/>
              <w:rPr>
                <w:sz w:val="18"/>
                <w:szCs w:val="18"/>
              </w:rPr>
            </w:pPr>
            <w:r>
              <w:rPr>
                <w:rFonts w:hint="eastAsia"/>
                <w:bCs/>
                <w:sz w:val="18"/>
                <w:szCs w:val="18"/>
              </w:rPr>
              <w:t>（</w:t>
            </w:r>
            <w:r>
              <w:rPr>
                <w:bCs/>
                <w:sz w:val="18"/>
                <w:szCs w:val="18"/>
              </w:rPr>
              <w:t>2</w:t>
            </w:r>
            <w:r>
              <w:rPr>
                <w:rFonts w:hint="eastAsia"/>
                <w:bCs/>
                <w:sz w:val="18"/>
                <w:szCs w:val="18"/>
              </w:rPr>
              <w:t>）学生能够熟练计算随机变量的期望、方差、协方差、相关系数。</w:t>
            </w:r>
          </w:p>
          <w:p>
            <w:pPr>
              <w:snapToGrid w:val="0"/>
              <w:spacing w:line="300" w:lineRule="auto"/>
              <w:rPr>
                <w:sz w:val="18"/>
                <w:szCs w:val="18"/>
              </w:rPr>
            </w:pPr>
            <w:r>
              <w:rPr>
                <w:sz w:val="18"/>
                <w:szCs w:val="18"/>
              </w:rPr>
              <w:t>2.</w:t>
            </w:r>
            <w:r>
              <w:rPr>
                <w:rFonts w:hint="eastAsia"/>
                <w:sz w:val="18"/>
                <w:szCs w:val="18"/>
              </w:rPr>
              <w:t>作业内容</w:t>
            </w:r>
          </w:p>
          <w:p>
            <w:pPr>
              <w:snapToGrid w:val="0"/>
              <w:spacing w:line="300" w:lineRule="auto"/>
              <w:ind w:firstLine="360" w:firstLineChars="200"/>
              <w:rPr>
                <w:sz w:val="18"/>
                <w:szCs w:val="18"/>
              </w:rPr>
            </w:pPr>
            <w:r>
              <w:rPr>
                <w:rFonts w:hint="eastAsia"/>
                <w:bCs/>
                <w:sz w:val="18"/>
                <w:szCs w:val="18"/>
              </w:rPr>
              <w:t>随机变量的期望、方差、协方差、相关系数的计算。</w:t>
            </w:r>
          </w:p>
          <w:p>
            <w:pPr>
              <w:snapToGrid w:val="0"/>
              <w:spacing w:line="300" w:lineRule="auto"/>
              <w:rPr>
                <w:sz w:val="18"/>
                <w:szCs w:val="18"/>
              </w:rPr>
            </w:pPr>
            <w:r>
              <w:rPr>
                <w:sz w:val="18"/>
                <w:szCs w:val="18"/>
              </w:rPr>
              <w:t>3.</w:t>
            </w:r>
            <w:r>
              <w:rPr>
                <w:rFonts w:hint="eastAsia"/>
                <w:sz w:val="18"/>
                <w:szCs w:val="18"/>
              </w:rPr>
              <w:t>教学方法</w:t>
            </w:r>
            <w:r>
              <w:rPr>
                <w:sz w:val="18"/>
                <w:szCs w:val="18"/>
              </w:rPr>
              <w:t xml:space="preserve"> </w:t>
            </w:r>
          </w:p>
          <w:p>
            <w:pPr>
              <w:snapToGrid w:val="0"/>
              <w:spacing w:line="300" w:lineRule="auto"/>
              <w:ind w:firstLine="360" w:firstLineChars="200"/>
              <w:rPr>
                <w:sz w:val="18"/>
                <w:szCs w:val="18"/>
              </w:rPr>
            </w:pPr>
            <w:r>
              <w:rPr>
                <w:rFonts w:hint="eastAsia"/>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jc w:val="center"/>
              <w:rPr>
                <w:sz w:val="18"/>
                <w:szCs w:val="18"/>
              </w:rPr>
            </w:pPr>
            <w:r>
              <w:rPr>
                <w:sz w:val="18"/>
                <w:szCs w:val="18"/>
              </w:rPr>
              <w:t>1</w:t>
            </w:r>
            <w:r>
              <w:rPr>
                <w:rFonts w:hint="eastAsia"/>
                <w:sz w:val="18"/>
                <w:szCs w:val="18"/>
              </w:rPr>
              <w:t>，</w:t>
            </w:r>
            <w:r>
              <w:rPr>
                <w:sz w:val="18"/>
                <w:szCs w:val="18"/>
              </w:rPr>
              <w:t>2</w:t>
            </w:r>
            <w:r>
              <w:rPr>
                <w:rFonts w:hint="eastAsia"/>
                <w:sz w:val="18"/>
                <w:szCs w:val="18"/>
              </w:rPr>
              <w:t>，</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339" w:type="pct"/>
            <w:tcMar>
              <w:left w:w="57" w:type="dxa"/>
              <w:right w:w="57" w:type="dxa"/>
            </w:tcMar>
            <w:vAlign w:val="center"/>
          </w:tcPr>
          <w:p>
            <w:pPr>
              <w:snapToGrid w:val="0"/>
              <w:spacing w:line="300" w:lineRule="auto"/>
              <w:rPr>
                <w:sz w:val="18"/>
                <w:szCs w:val="18"/>
              </w:rPr>
            </w:pPr>
            <w:r>
              <w:rPr>
                <w:sz w:val="18"/>
                <w:szCs w:val="18"/>
              </w:rPr>
              <w:t>5</w:t>
            </w:r>
          </w:p>
        </w:tc>
        <w:tc>
          <w:tcPr>
            <w:tcW w:w="1025" w:type="pct"/>
            <w:vAlign w:val="center"/>
          </w:tcPr>
          <w:p>
            <w:pPr>
              <w:adjustRightInd w:val="0"/>
              <w:snapToGrid w:val="0"/>
              <w:spacing w:line="300" w:lineRule="auto"/>
              <w:rPr>
                <w:bCs/>
                <w:sz w:val="18"/>
                <w:szCs w:val="18"/>
              </w:rPr>
            </w:pPr>
            <w:r>
              <w:rPr>
                <w:bCs/>
                <w:sz w:val="18"/>
                <w:szCs w:val="18"/>
              </w:rPr>
              <w:t>5</w:t>
            </w:r>
            <w:r>
              <w:rPr>
                <w:rFonts w:hint="eastAsia"/>
                <w:bCs/>
                <w:sz w:val="18"/>
                <w:szCs w:val="18"/>
              </w:rPr>
              <w:t>大数定律及中心极限定理</w:t>
            </w:r>
          </w:p>
          <w:p>
            <w:pPr>
              <w:adjustRightInd w:val="0"/>
              <w:snapToGrid w:val="0"/>
              <w:spacing w:line="300" w:lineRule="auto"/>
              <w:rPr>
                <w:bCs/>
                <w:sz w:val="18"/>
                <w:szCs w:val="18"/>
              </w:rPr>
            </w:pPr>
            <w:r>
              <w:rPr>
                <w:bCs/>
                <w:sz w:val="18"/>
                <w:szCs w:val="18"/>
              </w:rPr>
              <w:t xml:space="preserve">5.1 </w:t>
            </w:r>
            <w:r>
              <w:rPr>
                <w:rFonts w:hint="eastAsia"/>
                <w:bCs/>
                <w:sz w:val="18"/>
                <w:szCs w:val="18"/>
              </w:rPr>
              <w:t>大数定律</w:t>
            </w:r>
          </w:p>
          <w:p>
            <w:pPr>
              <w:adjustRightInd w:val="0"/>
              <w:snapToGrid w:val="0"/>
              <w:spacing w:line="300" w:lineRule="auto"/>
              <w:rPr>
                <w:bCs/>
                <w:sz w:val="18"/>
                <w:szCs w:val="18"/>
              </w:rPr>
            </w:pPr>
            <w:r>
              <w:rPr>
                <w:bCs/>
                <w:sz w:val="18"/>
                <w:szCs w:val="18"/>
              </w:rPr>
              <w:t xml:space="preserve">5.2 </w:t>
            </w:r>
            <w:r>
              <w:rPr>
                <w:rFonts w:hint="eastAsia"/>
                <w:bCs/>
                <w:sz w:val="18"/>
                <w:szCs w:val="18"/>
              </w:rPr>
              <w:t>中心极限定理</w:t>
            </w:r>
          </w:p>
          <w:p>
            <w:pPr>
              <w:snapToGrid w:val="0"/>
              <w:spacing w:line="300" w:lineRule="auto"/>
              <w:rPr>
                <w:sz w:val="18"/>
                <w:szCs w:val="18"/>
              </w:rPr>
            </w:pPr>
          </w:p>
        </w:tc>
        <w:tc>
          <w:tcPr>
            <w:tcW w:w="2620" w:type="pct"/>
            <w:vAlign w:val="center"/>
          </w:tcPr>
          <w:p>
            <w:pPr>
              <w:snapToGrid w:val="0"/>
              <w:spacing w:line="300" w:lineRule="auto"/>
              <w:rPr>
                <w:sz w:val="18"/>
                <w:szCs w:val="18"/>
              </w:rPr>
            </w:pPr>
            <w:r>
              <w:rPr>
                <w:sz w:val="18"/>
                <w:szCs w:val="18"/>
              </w:rPr>
              <w:t>1.</w:t>
            </w:r>
            <w:r>
              <w:rPr>
                <w:rFonts w:hint="eastAsia"/>
                <w:sz w:val="18"/>
                <w:szCs w:val="18"/>
              </w:rPr>
              <w:t>要求</w:t>
            </w:r>
          </w:p>
          <w:p>
            <w:pPr>
              <w:adjustRightInd w:val="0"/>
              <w:snapToGrid w:val="0"/>
              <w:spacing w:line="300" w:lineRule="auto"/>
              <w:rPr>
                <w:bCs/>
                <w:sz w:val="18"/>
                <w:szCs w:val="18"/>
              </w:rPr>
            </w:pPr>
            <w:r>
              <w:rPr>
                <w:rFonts w:hint="eastAsia"/>
                <w:bCs/>
                <w:sz w:val="18"/>
                <w:szCs w:val="18"/>
              </w:rPr>
              <w:t>（</w:t>
            </w:r>
            <w:r>
              <w:rPr>
                <w:bCs/>
                <w:sz w:val="18"/>
                <w:szCs w:val="18"/>
              </w:rPr>
              <w:t>1</w:t>
            </w:r>
            <w:r>
              <w:rPr>
                <w:rFonts w:hint="eastAsia"/>
                <w:bCs/>
                <w:sz w:val="18"/>
                <w:szCs w:val="18"/>
              </w:rPr>
              <w:t>）学生能够描述大数定律与中心极限定理的定义；</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2</w:t>
            </w:r>
            <w:r>
              <w:rPr>
                <w:rFonts w:hint="eastAsia"/>
                <w:bCs/>
                <w:sz w:val="18"/>
                <w:szCs w:val="18"/>
              </w:rPr>
              <w:t>）学生能够说明大数定律与中心极限定理的含义；</w:t>
            </w:r>
            <w:r>
              <w:rPr>
                <w:bCs/>
                <w:sz w:val="18"/>
                <w:szCs w:val="18"/>
              </w:rPr>
              <w:t xml:space="preserve"> </w:t>
            </w:r>
          </w:p>
          <w:p>
            <w:pPr>
              <w:adjustRightInd w:val="0"/>
              <w:snapToGrid w:val="0"/>
              <w:spacing w:line="300" w:lineRule="auto"/>
              <w:rPr>
                <w:bCs/>
                <w:sz w:val="18"/>
                <w:szCs w:val="18"/>
              </w:rPr>
            </w:pPr>
            <w:r>
              <w:rPr>
                <w:rFonts w:hint="eastAsia"/>
                <w:bCs/>
                <w:sz w:val="18"/>
                <w:szCs w:val="18"/>
              </w:rPr>
              <w:t>（</w:t>
            </w:r>
            <w:r>
              <w:rPr>
                <w:bCs/>
                <w:sz w:val="18"/>
                <w:szCs w:val="18"/>
              </w:rPr>
              <w:t>3</w:t>
            </w:r>
            <w:r>
              <w:rPr>
                <w:rFonts w:hint="eastAsia"/>
                <w:bCs/>
                <w:sz w:val="18"/>
                <w:szCs w:val="18"/>
              </w:rPr>
              <w:t>）学生能够利用大数定律与中心极限定理解决工程实际问题。</w:t>
            </w:r>
            <w:r>
              <w:rPr>
                <w:bCs/>
                <w:sz w:val="18"/>
                <w:szCs w:val="18"/>
              </w:rPr>
              <w:t xml:space="preserve"> </w:t>
            </w:r>
          </w:p>
          <w:p>
            <w:pPr>
              <w:snapToGrid w:val="0"/>
              <w:spacing w:line="300" w:lineRule="auto"/>
              <w:rPr>
                <w:sz w:val="18"/>
                <w:szCs w:val="18"/>
              </w:rPr>
            </w:pPr>
            <w:r>
              <w:rPr>
                <w:sz w:val="18"/>
                <w:szCs w:val="18"/>
              </w:rPr>
              <w:t>2.</w:t>
            </w:r>
            <w:r>
              <w:rPr>
                <w:rFonts w:hint="eastAsia"/>
                <w:sz w:val="18"/>
                <w:szCs w:val="18"/>
              </w:rPr>
              <w:t>作业内容</w:t>
            </w:r>
          </w:p>
          <w:p>
            <w:pPr>
              <w:snapToGrid w:val="0"/>
              <w:spacing w:line="300" w:lineRule="auto"/>
              <w:ind w:firstLine="360" w:firstLineChars="200"/>
              <w:rPr>
                <w:sz w:val="18"/>
                <w:szCs w:val="18"/>
              </w:rPr>
            </w:pPr>
            <w:r>
              <w:rPr>
                <w:rFonts w:hint="eastAsia"/>
                <w:bCs/>
                <w:sz w:val="18"/>
                <w:szCs w:val="18"/>
              </w:rPr>
              <w:t>大数定律与中心极限定理在实际问题中的应用。</w:t>
            </w:r>
          </w:p>
          <w:p>
            <w:pPr>
              <w:snapToGrid w:val="0"/>
              <w:spacing w:line="300" w:lineRule="auto"/>
              <w:rPr>
                <w:sz w:val="18"/>
                <w:szCs w:val="18"/>
              </w:rPr>
            </w:pPr>
            <w:r>
              <w:rPr>
                <w:sz w:val="18"/>
                <w:szCs w:val="18"/>
              </w:rPr>
              <w:t>3.</w:t>
            </w:r>
            <w:r>
              <w:rPr>
                <w:rFonts w:hint="eastAsia"/>
                <w:sz w:val="18"/>
                <w:szCs w:val="18"/>
              </w:rPr>
              <w:t>教学方法</w:t>
            </w:r>
            <w:r>
              <w:rPr>
                <w:sz w:val="18"/>
                <w:szCs w:val="18"/>
              </w:rPr>
              <w:t xml:space="preserve"> </w:t>
            </w:r>
          </w:p>
          <w:p>
            <w:pPr>
              <w:snapToGrid w:val="0"/>
              <w:spacing w:line="300" w:lineRule="auto"/>
              <w:ind w:firstLine="360" w:firstLineChars="200"/>
              <w:rPr>
                <w:sz w:val="18"/>
                <w:szCs w:val="18"/>
              </w:rPr>
            </w:pPr>
            <w:r>
              <w:rPr>
                <w:rFonts w:hint="eastAsia"/>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4</w:t>
            </w:r>
          </w:p>
        </w:tc>
        <w:tc>
          <w:tcPr>
            <w:tcW w:w="593" w:type="pct"/>
            <w:vAlign w:val="center"/>
          </w:tcPr>
          <w:p>
            <w:pPr>
              <w:snapToGrid w:val="0"/>
              <w:spacing w:line="300" w:lineRule="auto"/>
              <w:jc w:val="center"/>
              <w:rPr>
                <w:sz w:val="18"/>
                <w:szCs w:val="18"/>
              </w:rPr>
            </w:pPr>
            <w:r>
              <w:rPr>
                <w:sz w:val="18"/>
                <w:szCs w:val="18"/>
              </w:rPr>
              <w:t>2</w:t>
            </w:r>
            <w:r>
              <w:rPr>
                <w:rFonts w:hint="eastAsia"/>
                <w:sz w:val="18"/>
                <w:szCs w:val="18"/>
              </w:rPr>
              <w:t>，</w:t>
            </w:r>
            <w:r>
              <w:rPr>
                <w:sz w:val="18"/>
                <w:szCs w:val="18"/>
              </w:rPr>
              <w:t>3</w:t>
            </w:r>
          </w:p>
        </w:tc>
      </w:tr>
    </w:tbl>
    <w:p>
      <w:pPr>
        <w:snapToGrid w:val="0"/>
        <w:spacing w:before="159" w:beforeLines="50" w:after="159" w:afterLines="50" w:line="300" w:lineRule="auto"/>
        <w:rPr>
          <w:b/>
          <w:sz w:val="24"/>
        </w:rPr>
      </w:pPr>
      <w:r>
        <w:rPr>
          <w:rFonts w:hint="eastAsia"/>
          <w:b/>
          <w:sz w:val="24"/>
        </w:rPr>
        <w:t>五、课程考核及成绩评定</w:t>
      </w:r>
    </w:p>
    <w:p>
      <w:pPr>
        <w:snapToGrid w:val="0"/>
        <w:spacing w:line="300" w:lineRule="auto"/>
        <w:ind w:firstLine="420" w:firstLineChars="200"/>
      </w:pPr>
      <w:r>
        <w:t>1</w:t>
      </w:r>
      <w:r>
        <w:rPr>
          <w:rFonts w:hint="eastAsia"/>
        </w:rPr>
        <w:t>．考核方式：闭卷笔试，平时测验及作业。</w:t>
      </w:r>
    </w:p>
    <w:p>
      <w:pPr>
        <w:snapToGrid w:val="0"/>
        <w:spacing w:line="300" w:lineRule="auto"/>
        <w:ind w:firstLine="420" w:firstLineChars="200"/>
      </w:pPr>
      <w:r>
        <w:t>2</w:t>
      </w:r>
      <w:r>
        <w:rPr>
          <w:rFonts w:hint="eastAsia"/>
        </w:rPr>
        <w:t>．成绩构成：</w:t>
      </w:r>
      <w:r>
        <w:rPr>
          <w:rFonts w:hint="eastAsia"/>
          <w:bCs/>
          <w:szCs w:val="21"/>
        </w:rPr>
        <w:t>笔试成绩</w:t>
      </w:r>
      <w:r>
        <w:rPr>
          <w:bCs/>
          <w:szCs w:val="21"/>
        </w:rPr>
        <w:t>60%</w:t>
      </w:r>
      <w:r>
        <w:rPr>
          <w:rFonts w:hint="eastAsia"/>
          <w:bCs/>
          <w:szCs w:val="21"/>
        </w:rPr>
        <w:t>，平时成绩</w:t>
      </w:r>
      <w:r>
        <w:rPr>
          <w:bCs/>
          <w:szCs w:val="21"/>
        </w:rPr>
        <w:t>40%</w:t>
      </w:r>
      <w:r>
        <w:rPr>
          <w:rFonts w:hint="eastAsia"/>
          <w:bCs/>
          <w:szCs w:val="21"/>
        </w:rPr>
        <w:t>（课后作业、课堂表现等）</w:t>
      </w:r>
      <w:r>
        <w:rPr>
          <w:rFonts w:hint="eastAsia"/>
        </w:rPr>
        <w:t>。</w:t>
      </w:r>
    </w:p>
    <w:p>
      <w:pPr>
        <w:snapToGrid w:val="0"/>
        <w:spacing w:line="300" w:lineRule="auto"/>
        <w:ind w:firstLine="420" w:firstLineChars="200"/>
      </w:pPr>
      <w:r>
        <w:t>3</w:t>
      </w:r>
      <w:r>
        <w:rPr>
          <w:rFonts w:hint="eastAsia"/>
        </w:rPr>
        <w:t>．考核评价标准见表</w:t>
      </w:r>
      <w:r>
        <w:t>4</w:t>
      </w:r>
      <w:r>
        <w:rPr>
          <w:rFonts w:hint="eastAsia"/>
        </w:rPr>
        <w:t>所示。</w:t>
      </w:r>
    </w:p>
    <w:p>
      <w:pPr>
        <w:snapToGrid w:val="0"/>
        <w:spacing w:before="159" w:beforeLines="50" w:line="300" w:lineRule="auto"/>
        <w:ind w:firstLine="361" w:firstLineChars="200"/>
        <w:jc w:val="center"/>
        <w:rPr>
          <w:b/>
          <w:bCs/>
          <w:sz w:val="18"/>
          <w:szCs w:val="18"/>
        </w:rPr>
      </w:pPr>
      <w:r>
        <w:rPr>
          <w:rFonts w:hint="eastAsia"/>
          <w:b/>
          <w:bCs/>
          <w:sz w:val="18"/>
          <w:szCs w:val="18"/>
        </w:rPr>
        <w:t>表</w:t>
      </w:r>
      <w:r>
        <w:rPr>
          <w:b/>
          <w:bCs/>
          <w:sz w:val="18"/>
          <w:szCs w:val="18"/>
        </w:rPr>
        <w:t>4</w:t>
      </w:r>
      <w:r>
        <w:rPr>
          <w:rFonts w:hint="eastAsia"/>
          <w:b/>
          <w:bCs/>
          <w:sz w:val="18"/>
          <w:szCs w:val="18"/>
        </w:rPr>
        <w:t>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4"/>
        <w:gridCol w:w="720"/>
        <w:gridCol w:w="703"/>
        <w:gridCol w:w="602"/>
        <w:gridCol w:w="3897"/>
        <w:gridCol w:w="101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5" w:type="pct"/>
            <w:vAlign w:val="center"/>
          </w:tcPr>
          <w:p>
            <w:pPr>
              <w:snapToGrid w:val="0"/>
              <w:spacing w:line="300" w:lineRule="auto"/>
              <w:jc w:val="center"/>
              <w:rPr>
                <w:b/>
                <w:bCs/>
                <w:sz w:val="18"/>
                <w:szCs w:val="18"/>
              </w:rPr>
            </w:pPr>
            <w:r>
              <w:rPr>
                <w:b/>
                <w:bCs/>
                <w:sz w:val="18"/>
                <w:szCs w:val="18"/>
              </w:rPr>
              <w:t>成绩</w:t>
            </w:r>
          </w:p>
        </w:tc>
        <w:tc>
          <w:tcPr>
            <w:tcW w:w="385" w:type="pct"/>
            <w:vAlign w:val="center"/>
          </w:tcPr>
          <w:p>
            <w:pPr>
              <w:snapToGrid w:val="0"/>
              <w:spacing w:line="300" w:lineRule="auto"/>
              <w:jc w:val="center"/>
              <w:rPr>
                <w:b/>
                <w:bCs/>
                <w:sz w:val="18"/>
                <w:szCs w:val="18"/>
              </w:rPr>
            </w:pPr>
            <w:r>
              <w:rPr>
                <w:b/>
                <w:bCs/>
                <w:sz w:val="18"/>
                <w:szCs w:val="18"/>
              </w:rPr>
              <w:t>分值</w:t>
            </w:r>
          </w:p>
        </w:tc>
        <w:tc>
          <w:tcPr>
            <w:tcW w:w="383" w:type="pct"/>
            <w:vAlign w:val="center"/>
          </w:tcPr>
          <w:p>
            <w:pPr>
              <w:snapToGrid w:val="0"/>
              <w:spacing w:line="300" w:lineRule="auto"/>
              <w:jc w:val="center"/>
              <w:rPr>
                <w:b/>
                <w:bCs/>
                <w:sz w:val="18"/>
                <w:szCs w:val="18"/>
              </w:rPr>
            </w:pPr>
            <w:r>
              <w:rPr>
                <w:b/>
                <w:bCs/>
                <w:sz w:val="18"/>
                <w:szCs w:val="18"/>
              </w:rPr>
              <w:t>权重</w:t>
            </w:r>
          </w:p>
        </w:tc>
        <w:tc>
          <w:tcPr>
            <w:tcW w:w="374" w:type="pct"/>
            <w:vAlign w:val="center"/>
          </w:tcPr>
          <w:p>
            <w:pPr>
              <w:snapToGrid w:val="0"/>
              <w:spacing w:line="300" w:lineRule="auto"/>
              <w:jc w:val="center"/>
              <w:rPr>
                <w:b/>
                <w:bCs/>
                <w:sz w:val="18"/>
                <w:szCs w:val="18"/>
              </w:rPr>
            </w:pPr>
            <w:r>
              <w:rPr>
                <w:b/>
                <w:bCs/>
                <w:sz w:val="18"/>
                <w:szCs w:val="18"/>
              </w:rPr>
              <w:t>类别</w:t>
            </w:r>
          </w:p>
        </w:tc>
        <w:tc>
          <w:tcPr>
            <w:tcW w:w="320" w:type="pct"/>
            <w:vAlign w:val="center"/>
          </w:tcPr>
          <w:p>
            <w:pPr>
              <w:snapToGrid w:val="0"/>
              <w:spacing w:line="300" w:lineRule="auto"/>
              <w:jc w:val="center"/>
              <w:rPr>
                <w:b/>
                <w:bCs/>
                <w:sz w:val="18"/>
                <w:szCs w:val="18"/>
              </w:rPr>
            </w:pPr>
            <w:r>
              <w:rPr>
                <w:b/>
                <w:bCs/>
                <w:sz w:val="18"/>
                <w:szCs w:val="18"/>
              </w:rPr>
              <w:t>权重</w:t>
            </w:r>
          </w:p>
        </w:tc>
        <w:tc>
          <w:tcPr>
            <w:tcW w:w="2073" w:type="pct"/>
            <w:vAlign w:val="center"/>
          </w:tcPr>
          <w:p>
            <w:pPr>
              <w:snapToGrid w:val="0"/>
              <w:spacing w:line="300" w:lineRule="auto"/>
              <w:jc w:val="center"/>
              <w:rPr>
                <w:b/>
                <w:bCs/>
                <w:sz w:val="18"/>
                <w:szCs w:val="18"/>
              </w:rPr>
            </w:pPr>
            <w:r>
              <w:rPr>
                <w:b/>
                <w:bCs/>
                <w:sz w:val="18"/>
                <w:szCs w:val="18"/>
              </w:rPr>
              <w:t>考核/评价细则</w:t>
            </w:r>
          </w:p>
        </w:tc>
        <w:tc>
          <w:tcPr>
            <w:tcW w:w="540"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40" w:type="pct"/>
            <w:vAlign w:val="center"/>
          </w:tcPr>
          <w:p>
            <w:pPr>
              <w:snapToGrid w:val="0"/>
              <w:spacing w:line="300" w:lineRule="auto"/>
              <w:jc w:val="center"/>
              <w:rPr>
                <w:b/>
                <w:bCs/>
                <w:sz w:val="18"/>
                <w:szCs w:val="18"/>
              </w:rPr>
            </w:pPr>
            <w:r>
              <w:rPr>
                <w:rFonts w:hint="eastAsia"/>
                <w:b/>
                <w:bCs/>
                <w:sz w:val="18"/>
                <w:szCs w:val="18"/>
              </w:rPr>
              <w:t>毕业</w:t>
            </w:r>
          </w:p>
          <w:p>
            <w:pPr>
              <w:snapToGrid w:val="0"/>
              <w:spacing w:line="300" w:lineRule="auto"/>
              <w:jc w:val="center"/>
              <w:rPr>
                <w:b/>
                <w:bCs/>
                <w:sz w:val="18"/>
                <w:szCs w:val="18"/>
              </w:rPr>
            </w:pPr>
            <w:r>
              <w:rPr>
                <w:rFonts w:hint="eastAsia"/>
                <w:b/>
                <w:bCs/>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vAlign w:val="center"/>
          </w:tcPr>
          <w:p>
            <w:pPr>
              <w:snapToGrid w:val="0"/>
              <w:spacing w:line="300" w:lineRule="auto"/>
              <w:rPr>
                <w:sz w:val="18"/>
                <w:szCs w:val="18"/>
              </w:rPr>
            </w:pPr>
            <w:r>
              <w:rPr>
                <w:sz w:val="18"/>
                <w:szCs w:val="18"/>
              </w:rPr>
              <w:t>类型</w:t>
            </w:r>
          </w:p>
          <w:p>
            <w:pPr>
              <w:snapToGrid w:val="0"/>
              <w:spacing w:line="300" w:lineRule="auto"/>
              <w:rPr>
                <w:sz w:val="18"/>
                <w:szCs w:val="18"/>
              </w:rPr>
            </w:pPr>
            <w:r>
              <w:rPr>
                <w:sz w:val="18"/>
                <w:szCs w:val="18"/>
              </w:rPr>
              <w:t>平时成绩</w:t>
            </w:r>
          </w:p>
        </w:tc>
        <w:tc>
          <w:tcPr>
            <w:tcW w:w="385" w:type="pct"/>
            <w:vMerge w:val="restart"/>
            <w:vAlign w:val="center"/>
          </w:tcPr>
          <w:p>
            <w:pPr>
              <w:snapToGrid w:val="0"/>
              <w:spacing w:line="300" w:lineRule="auto"/>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0.4</w:t>
            </w:r>
          </w:p>
        </w:tc>
        <w:tc>
          <w:tcPr>
            <w:tcW w:w="374" w:type="pct"/>
            <w:vAlign w:val="center"/>
          </w:tcPr>
          <w:p>
            <w:pPr>
              <w:snapToGrid w:val="0"/>
              <w:spacing w:line="300" w:lineRule="auto"/>
              <w:jc w:val="center"/>
              <w:rPr>
                <w:sz w:val="18"/>
                <w:szCs w:val="18"/>
              </w:rPr>
            </w:pPr>
            <w:r>
              <w:rPr>
                <w:sz w:val="18"/>
                <w:szCs w:val="18"/>
              </w:rPr>
              <w:t>课堂表现</w:t>
            </w:r>
          </w:p>
        </w:tc>
        <w:tc>
          <w:tcPr>
            <w:tcW w:w="320" w:type="pct"/>
            <w:vAlign w:val="center"/>
          </w:tcPr>
          <w:p>
            <w:pPr>
              <w:snapToGrid w:val="0"/>
              <w:spacing w:line="300" w:lineRule="auto"/>
              <w:jc w:val="center"/>
              <w:rPr>
                <w:sz w:val="18"/>
                <w:szCs w:val="18"/>
              </w:rPr>
            </w:pPr>
            <w:r>
              <w:rPr>
                <w:sz w:val="18"/>
                <w:szCs w:val="18"/>
              </w:rPr>
              <w:t>0.08</w:t>
            </w:r>
          </w:p>
        </w:tc>
        <w:tc>
          <w:tcPr>
            <w:tcW w:w="2073" w:type="pct"/>
            <w:vAlign w:val="center"/>
          </w:tcPr>
          <w:p>
            <w:pPr>
              <w:snapToGrid w:val="0"/>
              <w:spacing w:line="300" w:lineRule="auto"/>
              <w:rPr>
                <w:sz w:val="18"/>
                <w:szCs w:val="18"/>
              </w:rPr>
            </w:pPr>
            <w:r>
              <w:rPr>
                <w:sz w:val="18"/>
                <w:szCs w:val="18"/>
              </w:rPr>
              <w:t>根据学生课堂表现打分，满分100。</w:t>
            </w:r>
          </w:p>
        </w:tc>
        <w:tc>
          <w:tcPr>
            <w:tcW w:w="540" w:type="pct"/>
            <w:vAlign w:val="center"/>
          </w:tcPr>
          <w:p>
            <w:pPr>
              <w:snapToGrid w:val="0"/>
              <w:spacing w:line="300" w:lineRule="auto"/>
              <w:jc w:val="center"/>
              <w:rPr>
                <w:sz w:val="18"/>
                <w:szCs w:val="18"/>
              </w:rPr>
            </w:pPr>
            <w:r>
              <w:rPr>
                <w:sz w:val="18"/>
                <w:szCs w:val="18"/>
              </w:rPr>
              <w:t>1</w:t>
            </w:r>
          </w:p>
        </w:tc>
        <w:tc>
          <w:tcPr>
            <w:tcW w:w="540" w:type="pct"/>
            <w:vAlign w:val="center"/>
          </w:tcPr>
          <w:p>
            <w:pPr>
              <w:snapToGrid w:val="0"/>
              <w:spacing w:line="300" w:lineRule="auto"/>
              <w:jc w:val="center"/>
              <w:rPr>
                <w:sz w:val="18"/>
                <w:szCs w:val="18"/>
              </w:rPr>
            </w:pPr>
            <w:r>
              <w:rPr>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restart"/>
            <w:vAlign w:val="center"/>
          </w:tcPr>
          <w:p>
            <w:pPr>
              <w:snapToGrid w:val="0"/>
              <w:spacing w:line="300" w:lineRule="auto"/>
              <w:jc w:val="center"/>
              <w:rPr>
                <w:sz w:val="18"/>
                <w:szCs w:val="18"/>
              </w:rPr>
            </w:pPr>
            <w:r>
              <w:rPr>
                <w:sz w:val="18"/>
                <w:szCs w:val="18"/>
              </w:rPr>
              <w:t>作业</w:t>
            </w: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.24</w:t>
            </w:r>
          </w:p>
        </w:tc>
        <w:tc>
          <w:tcPr>
            <w:tcW w:w="2073" w:type="pct"/>
            <w:vMerge w:val="restart"/>
            <w:vAlign w:val="center"/>
          </w:tcPr>
          <w:p>
            <w:pPr>
              <w:snapToGrid w:val="0"/>
              <w:spacing w:line="300" w:lineRule="auto"/>
              <w:jc w:val="left"/>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w:t>
            </w:r>
            <w:r>
              <w:rPr>
                <w:sz w:val="18"/>
                <w:szCs w:val="18"/>
              </w:rPr>
              <w:t>4</w:t>
            </w:r>
            <w:r>
              <w:rPr>
                <w:rFonts w:hint="eastAsia"/>
                <w:sz w:val="18"/>
                <w:szCs w:val="18"/>
              </w:rPr>
              <w:t>次作业，</w:t>
            </w:r>
            <w:r>
              <w:rPr>
                <w:sz w:val="18"/>
                <w:szCs w:val="18"/>
              </w:rPr>
              <w:t>每次作业</w:t>
            </w:r>
            <w:r>
              <w:rPr>
                <w:rFonts w:hint="eastAsia"/>
                <w:sz w:val="18"/>
                <w:szCs w:val="18"/>
              </w:rPr>
              <w:t>满分</w:t>
            </w:r>
            <w:r>
              <w:rPr>
                <w:sz w:val="18"/>
                <w:szCs w:val="18"/>
              </w:rPr>
              <w:t>25分</w:t>
            </w:r>
            <w:r>
              <w:rPr>
                <w:rFonts w:hint="eastAsia"/>
                <w:sz w:val="18"/>
                <w:szCs w:val="18"/>
              </w:rPr>
              <w:t>，作业总成绩1</w:t>
            </w:r>
            <w:r>
              <w:rPr>
                <w:sz w:val="18"/>
                <w:szCs w:val="18"/>
              </w:rPr>
              <w:t>00</w:t>
            </w:r>
            <w:r>
              <w:rPr>
                <w:rFonts w:hint="eastAsia"/>
                <w:sz w:val="18"/>
                <w:szCs w:val="18"/>
              </w:rPr>
              <w:t>分。</w:t>
            </w:r>
          </w:p>
        </w:tc>
        <w:tc>
          <w:tcPr>
            <w:tcW w:w="540" w:type="pct"/>
            <w:vAlign w:val="center"/>
          </w:tcPr>
          <w:p>
            <w:pPr>
              <w:snapToGrid w:val="0"/>
              <w:spacing w:line="300" w:lineRule="auto"/>
              <w:jc w:val="center"/>
              <w:rPr>
                <w:sz w:val="18"/>
                <w:szCs w:val="18"/>
              </w:rPr>
            </w:pPr>
            <w:r>
              <w:rPr>
                <w:rFonts w:hint="eastAsia"/>
                <w:sz w:val="18"/>
                <w:szCs w:val="18"/>
              </w:rPr>
              <w:t>2</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center"/>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.08</w:t>
            </w:r>
          </w:p>
        </w:tc>
        <w:tc>
          <w:tcPr>
            <w:tcW w:w="2073" w:type="pct"/>
            <w:vMerge w:val="continue"/>
            <w:vAlign w:val="center"/>
          </w:tcPr>
          <w:p>
            <w:pPr>
              <w:snapToGrid w:val="0"/>
              <w:spacing w:line="300" w:lineRule="auto"/>
              <w:jc w:val="left"/>
              <w:rPr>
                <w:sz w:val="18"/>
                <w:szCs w:val="18"/>
              </w:rPr>
            </w:pPr>
          </w:p>
        </w:tc>
        <w:tc>
          <w:tcPr>
            <w:tcW w:w="540" w:type="pct"/>
            <w:vAlign w:val="center"/>
          </w:tcPr>
          <w:p>
            <w:pPr>
              <w:snapToGrid w:val="0"/>
              <w:spacing w:line="300" w:lineRule="auto"/>
              <w:jc w:val="center"/>
              <w:rPr>
                <w:sz w:val="18"/>
                <w:szCs w:val="18"/>
              </w:rPr>
            </w:pPr>
            <w:r>
              <w:rPr>
                <w:rFonts w:hint="eastAsia"/>
                <w:sz w:val="18"/>
                <w:szCs w:val="18"/>
              </w:rPr>
              <w:t>3</w:t>
            </w:r>
          </w:p>
        </w:tc>
        <w:tc>
          <w:tcPr>
            <w:tcW w:w="540" w:type="pct"/>
            <w:vAlign w:val="center"/>
          </w:tcPr>
          <w:p>
            <w:pPr>
              <w:snapToGrid w:val="0"/>
              <w:spacing w:line="300" w:lineRule="auto"/>
              <w:jc w:val="cente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85" w:type="pct"/>
            <w:vMerge w:val="restart"/>
            <w:vAlign w:val="center"/>
          </w:tcPr>
          <w:p>
            <w:pPr>
              <w:snapToGrid w:val="0"/>
              <w:spacing w:line="300" w:lineRule="auto"/>
              <w:rPr>
                <w:sz w:val="18"/>
                <w:szCs w:val="18"/>
              </w:rPr>
            </w:pPr>
            <w:r>
              <w:rPr>
                <w:sz w:val="18"/>
                <w:szCs w:val="18"/>
              </w:rPr>
              <w:t>期末考试成绩</w:t>
            </w:r>
          </w:p>
        </w:tc>
        <w:tc>
          <w:tcPr>
            <w:tcW w:w="385" w:type="pct"/>
            <w:vMerge w:val="restart"/>
            <w:vAlign w:val="center"/>
          </w:tcPr>
          <w:p>
            <w:pPr>
              <w:snapToGrid w:val="0"/>
              <w:spacing w:line="300" w:lineRule="auto"/>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0.6</w:t>
            </w:r>
          </w:p>
        </w:tc>
        <w:tc>
          <w:tcPr>
            <w:tcW w:w="374" w:type="pct"/>
            <w:vMerge w:val="restart"/>
            <w:vAlign w:val="center"/>
          </w:tcPr>
          <w:p>
            <w:pPr>
              <w:snapToGrid w:val="0"/>
              <w:spacing w:line="300" w:lineRule="auto"/>
              <w:jc w:val="left"/>
              <w:rPr>
                <w:sz w:val="18"/>
                <w:szCs w:val="18"/>
              </w:rPr>
            </w:pPr>
            <w:r>
              <w:rPr>
                <w:sz w:val="18"/>
                <w:szCs w:val="18"/>
              </w:rPr>
              <w:t>闭卷考试</w:t>
            </w:r>
          </w:p>
        </w:tc>
        <w:tc>
          <w:tcPr>
            <w:tcW w:w="320" w:type="pct"/>
            <w:vAlign w:val="center"/>
          </w:tcPr>
          <w:p>
            <w:pPr>
              <w:snapToGrid w:val="0"/>
              <w:spacing w:line="300" w:lineRule="auto"/>
              <w:jc w:val="center"/>
              <w:rPr>
                <w:sz w:val="18"/>
                <w:szCs w:val="18"/>
              </w:rPr>
            </w:pPr>
            <w:r>
              <w:rPr>
                <w:sz w:val="18"/>
                <w:szCs w:val="18"/>
              </w:rPr>
              <w:t>0.06</w:t>
            </w:r>
          </w:p>
        </w:tc>
        <w:tc>
          <w:tcPr>
            <w:tcW w:w="2073" w:type="pct"/>
            <w:vMerge w:val="restart"/>
            <w:vAlign w:val="center"/>
          </w:tcPr>
          <w:p>
            <w:pPr>
              <w:snapToGrid w:val="0"/>
              <w:spacing w:line="300" w:lineRule="auto"/>
              <w:rPr>
                <w:sz w:val="18"/>
                <w:szCs w:val="18"/>
              </w:rPr>
            </w:pPr>
            <w:r>
              <w:rPr>
                <w:sz w:val="18"/>
                <w:szCs w:val="18"/>
              </w:rPr>
              <w:t>(1)卷面成绩100分。卷面成绩按比例计入课程总评成绩</w:t>
            </w:r>
            <w:r>
              <w:rPr>
                <w:rFonts w:hint="eastAsia"/>
                <w:sz w:val="18"/>
                <w:szCs w:val="18"/>
              </w:rPr>
              <w:t>。</w:t>
            </w:r>
          </w:p>
          <w:p>
            <w:pPr>
              <w:snapToGrid w:val="0"/>
              <w:spacing w:line="300" w:lineRule="auto"/>
              <w:rPr>
                <w:sz w:val="18"/>
                <w:szCs w:val="18"/>
              </w:rPr>
            </w:pPr>
            <w:r>
              <w:rPr>
                <w:sz w:val="18"/>
                <w:szCs w:val="18"/>
              </w:rPr>
              <w:t>(2)考核内容包括： 第1-5章</w:t>
            </w:r>
            <w:r>
              <w:rPr>
                <w:rFonts w:hint="eastAsia"/>
                <w:sz w:val="18"/>
                <w:szCs w:val="18"/>
              </w:rPr>
              <w:t>。</w:t>
            </w:r>
          </w:p>
          <w:p>
            <w:pPr>
              <w:snapToGrid w:val="0"/>
              <w:spacing w:line="300" w:lineRule="auto"/>
              <w:rPr>
                <w:sz w:val="18"/>
                <w:szCs w:val="18"/>
              </w:rPr>
            </w:pPr>
            <w:r>
              <w:rPr>
                <w:sz w:val="18"/>
                <w:szCs w:val="18"/>
              </w:rPr>
              <w:t>(3)建议考试题型包括：填空题、选择题、综合计算题、证明题等其中某几种题型</w:t>
            </w:r>
            <w:r>
              <w:rPr>
                <w:rFonts w:hint="eastAsia"/>
                <w:sz w:val="18"/>
                <w:szCs w:val="18"/>
              </w:rPr>
              <w:t>。</w:t>
            </w:r>
          </w:p>
        </w:tc>
        <w:tc>
          <w:tcPr>
            <w:tcW w:w="540" w:type="pct"/>
            <w:vAlign w:val="center"/>
          </w:tcPr>
          <w:p>
            <w:pPr>
              <w:snapToGrid w:val="0"/>
              <w:spacing w:line="300" w:lineRule="auto"/>
              <w:jc w:val="center"/>
              <w:rPr>
                <w:sz w:val="18"/>
                <w:szCs w:val="18"/>
              </w:rPr>
            </w:pPr>
            <w:r>
              <w:rPr>
                <w:sz w:val="18"/>
                <w:szCs w:val="18"/>
              </w:rPr>
              <w:t>1</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.42</w:t>
            </w:r>
          </w:p>
        </w:tc>
        <w:tc>
          <w:tcPr>
            <w:tcW w:w="2073"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rFonts w:hint="eastAsia"/>
                <w:sz w:val="18"/>
                <w:szCs w:val="18"/>
              </w:rPr>
              <w:t>2</w:t>
            </w:r>
          </w:p>
        </w:tc>
        <w:tc>
          <w:tcPr>
            <w:tcW w:w="540"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.12</w:t>
            </w:r>
          </w:p>
        </w:tc>
        <w:tc>
          <w:tcPr>
            <w:tcW w:w="2073"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rFonts w:hint="eastAsia"/>
                <w:sz w:val="18"/>
                <w:szCs w:val="18"/>
              </w:rPr>
              <w:t>3</w:t>
            </w:r>
          </w:p>
        </w:tc>
        <w:tc>
          <w:tcPr>
            <w:tcW w:w="540" w:type="pct"/>
            <w:vAlign w:val="center"/>
          </w:tcPr>
          <w:p>
            <w:pPr>
              <w:snapToGrid w:val="0"/>
              <w:spacing w:line="300" w:lineRule="auto"/>
              <w:jc w:val="cente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bl>
    <w:p>
      <w:pPr>
        <w:snapToGrid w:val="0"/>
        <w:spacing w:before="159" w:beforeLines="50" w:after="159" w:afterLines="50" w:line="300" w:lineRule="auto"/>
        <w:rPr>
          <w:b/>
          <w:sz w:val="24"/>
        </w:rPr>
      </w:pPr>
    </w:p>
    <w:p>
      <w:pPr>
        <w:snapToGrid w:val="0"/>
        <w:spacing w:before="159" w:beforeLines="50" w:after="159" w:afterLines="50" w:line="300" w:lineRule="auto"/>
        <w:rPr>
          <w:b/>
          <w:sz w:val="24"/>
        </w:rPr>
      </w:pPr>
      <w:r>
        <w:rPr>
          <w:rFonts w:hint="eastAsia"/>
          <w:b/>
          <w:sz w:val="24"/>
        </w:rPr>
        <w:t>六、课程教学目标达成度评价</w:t>
      </w:r>
    </w:p>
    <w:p>
      <w:pPr>
        <w:snapToGrid w:val="0"/>
        <w:spacing w:line="300" w:lineRule="auto"/>
        <w:ind w:firstLine="420" w:firstLineChars="200"/>
        <w:rPr>
          <w:szCs w:val="21"/>
        </w:rPr>
      </w:pPr>
      <w:r>
        <w:rPr>
          <w:szCs w:val="21"/>
        </w:rPr>
        <w:t>1</w:t>
      </w:r>
      <w:r>
        <w:rPr>
          <w:rFonts w:hint="eastAsia"/>
        </w:rPr>
        <w:t>．</w:t>
      </w:r>
      <w:r>
        <w:rPr>
          <w:rFonts w:hint="eastAsia"/>
          <w:szCs w:val="21"/>
        </w:rPr>
        <w:t>达成度评价依据和方法</w:t>
      </w:r>
    </w:p>
    <w:p>
      <w:pPr>
        <w:snapToGrid w:val="0"/>
        <w:spacing w:line="300" w:lineRule="auto"/>
        <w:ind w:firstLine="420" w:firstLineChars="200"/>
      </w:pPr>
      <w:r>
        <w:rPr>
          <w:rFonts w:hint="eastAsia"/>
        </w:rPr>
        <w:t>课程各目标达成情况为该项目学生的平均得分率，其计算公式为：</w:t>
      </w:r>
    </w:p>
    <w:p>
      <w:pPr>
        <w:snapToGrid w:val="0"/>
        <w:spacing w:line="300" w:lineRule="auto"/>
        <w:jc w:val="center"/>
      </w:pPr>
      <w:r>
        <w:rPr>
          <w:position w:val="-26"/>
        </w:rPr>
        <w:object>
          <v:shape id="_x0000_i1035"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41">
            <o:LockedField>false</o:LockedField>
          </o:OLEObject>
        </w:object>
      </w:r>
    </w:p>
    <w:p>
      <w:pPr>
        <w:snapToGrid w:val="0"/>
        <w:spacing w:line="300" w:lineRule="auto"/>
        <w:ind w:firstLine="420" w:firstLineChars="200"/>
      </w:pPr>
      <w:r>
        <w:rPr>
          <w:rFonts w:hint="eastAsia"/>
        </w:rPr>
        <w:t>课程总目标达成情况为</w:t>
      </w:r>
      <w:r>
        <w:t>3</w:t>
      </w:r>
      <w:r>
        <w:rPr>
          <w:rFonts w:hint="eastAsia"/>
        </w:rPr>
        <w:t>个课程目标的加权得分率，其计算公式为：</w:t>
      </w:r>
    </w:p>
    <w:p>
      <w:pPr>
        <w:snapToGrid w:val="0"/>
        <w:spacing w:line="300" w:lineRule="auto"/>
        <w:jc w:val="center"/>
      </w:pPr>
      <w:r>
        <w:t xml:space="preserve"> </w:t>
      </w:r>
      <w:r>
        <w:rPr>
          <w:bCs/>
          <w:szCs w:val="21"/>
        </w:rPr>
        <w:object>
          <v:shape id="_x0000_i1036" o:spt="75" type="#_x0000_t75" style="height:17.25pt;width:276.7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42">
            <o:LockedField>false</o:LockedField>
          </o:OLEObject>
        </w:object>
      </w:r>
    </w:p>
    <w:p>
      <w:pPr>
        <w:snapToGrid w:val="0"/>
        <w:spacing w:line="300" w:lineRule="auto"/>
      </w:pPr>
      <w:r>
        <w:rPr>
          <w:rFonts w:hint="eastAsia"/>
        </w:rPr>
        <w:t>其中权重系数按照表</w:t>
      </w:r>
      <w:r>
        <w:t>5</w:t>
      </w:r>
      <w:r>
        <w:rPr>
          <w:rFonts w:hint="eastAsia"/>
        </w:rPr>
        <w:t>设定。</w:t>
      </w:r>
    </w:p>
    <w:p>
      <w:pPr>
        <w:snapToGrid w:val="0"/>
        <w:spacing w:line="300" w:lineRule="auto"/>
        <w:jc w:val="center"/>
        <w:rPr>
          <w:b/>
          <w:bCs/>
          <w:sz w:val="18"/>
          <w:szCs w:val="18"/>
        </w:rPr>
      </w:pPr>
      <w:r>
        <w:rPr>
          <w:rFonts w:hint="eastAsia"/>
          <w:b/>
          <w:bCs/>
          <w:sz w:val="18"/>
          <w:szCs w:val="18"/>
        </w:rPr>
        <w:t>表</w:t>
      </w:r>
      <w:r>
        <w:rPr>
          <w:b/>
          <w:bCs/>
          <w:sz w:val="18"/>
          <w:szCs w:val="18"/>
        </w:rPr>
        <w:t>5</w:t>
      </w:r>
      <w:r>
        <w:rPr>
          <w:rFonts w:hint="eastAsia"/>
          <w:b/>
          <w:bCs/>
          <w:sz w:val="18"/>
          <w:szCs w:val="18"/>
        </w:rPr>
        <w:t>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060"/>
        <w:gridCol w:w="2172"/>
        <w:gridCol w:w="2574"/>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101" w:type="pct"/>
            <w:vAlign w:val="center"/>
          </w:tcPr>
          <w:p>
            <w:pPr>
              <w:snapToGrid w:val="0"/>
              <w:spacing w:line="300" w:lineRule="auto"/>
              <w:jc w:val="center"/>
              <w:rPr>
                <w:b/>
                <w:bCs/>
                <w:sz w:val="18"/>
                <w:szCs w:val="18"/>
              </w:rPr>
            </w:pPr>
            <w:r>
              <w:rPr>
                <w:rFonts w:hint="eastAsia"/>
                <w:b/>
                <w:bCs/>
                <w:sz w:val="18"/>
                <w:szCs w:val="18"/>
              </w:rPr>
              <w:t>课程目标</w:t>
            </w:r>
          </w:p>
        </w:tc>
        <w:tc>
          <w:tcPr>
            <w:tcW w:w="1161" w:type="pct"/>
            <w:vAlign w:val="center"/>
          </w:tcPr>
          <w:p>
            <w:pPr>
              <w:snapToGrid w:val="0"/>
              <w:spacing w:line="300" w:lineRule="auto"/>
              <w:jc w:val="center"/>
              <w:rPr>
                <w:sz w:val="18"/>
                <w:szCs w:val="18"/>
              </w:rPr>
            </w:pPr>
            <w:r>
              <w:rPr>
                <w:sz w:val="18"/>
                <w:szCs w:val="18"/>
              </w:rPr>
              <w:t>1</w:t>
            </w:r>
          </w:p>
        </w:tc>
        <w:tc>
          <w:tcPr>
            <w:tcW w:w="1376" w:type="pct"/>
            <w:vAlign w:val="center"/>
          </w:tcPr>
          <w:p>
            <w:pPr>
              <w:snapToGrid w:val="0"/>
              <w:spacing w:line="300" w:lineRule="auto"/>
              <w:jc w:val="center"/>
              <w:rPr>
                <w:sz w:val="18"/>
                <w:szCs w:val="18"/>
              </w:rPr>
            </w:pPr>
            <w:r>
              <w:rPr>
                <w:sz w:val="18"/>
                <w:szCs w:val="18"/>
              </w:rPr>
              <w:t>2</w:t>
            </w:r>
          </w:p>
        </w:tc>
        <w:tc>
          <w:tcPr>
            <w:tcW w:w="1363"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101" w:type="pct"/>
            <w:vAlign w:val="center"/>
          </w:tcPr>
          <w:p>
            <w:pPr>
              <w:snapToGrid w:val="0"/>
              <w:spacing w:line="300" w:lineRule="auto"/>
              <w:jc w:val="center"/>
              <w:rPr>
                <w:b/>
                <w:bCs/>
                <w:sz w:val="18"/>
                <w:szCs w:val="18"/>
              </w:rPr>
            </w:pPr>
            <w:r>
              <w:rPr>
                <w:rFonts w:hint="eastAsia"/>
                <w:b/>
                <w:bCs/>
                <w:sz w:val="18"/>
                <w:szCs w:val="18"/>
              </w:rPr>
              <w:t>权重系数</w:t>
            </w:r>
          </w:p>
        </w:tc>
        <w:tc>
          <w:tcPr>
            <w:tcW w:w="1161" w:type="pct"/>
            <w:vAlign w:val="center"/>
          </w:tcPr>
          <w:p>
            <w:pPr>
              <w:snapToGrid w:val="0"/>
              <w:spacing w:line="300" w:lineRule="auto"/>
              <w:jc w:val="center"/>
              <w:rPr>
                <w:sz w:val="18"/>
                <w:szCs w:val="18"/>
              </w:rPr>
            </w:pPr>
            <w:r>
              <w:rPr>
                <w:sz w:val="18"/>
                <w:szCs w:val="18"/>
              </w:rPr>
              <w:t>0.14</w:t>
            </w:r>
          </w:p>
        </w:tc>
        <w:tc>
          <w:tcPr>
            <w:tcW w:w="1376" w:type="pct"/>
            <w:vAlign w:val="center"/>
          </w:tcPr>
          <w:p>
            <w:pPr>
              <w:snapToGrid w:val="0"/>
              <w:spacing w:line="300" w:lineRule="auto"/>
              <w:jc w:val="center"/>
              <w:rPr>
                <w:sz w:val="18"/>
                <w:szCs w:val="18"/>
              </w:rPr>
            </w:pPr>
            <w:r>
              <w:rPr>
                <w:sz w:val="18"/>
                <w:szCs w:val="18"/>
              </w:rPr>
              <w:t>0.66</w:t>
            </w:r>
          </w:p>
        </w:tc>
        <w:tc>
          <w:tcPr>
            <w:tcW w:w="1363" w:type="pct"/>
            <w:vAlign w:val="center"/>
          </w:tcPr>
          <w:p>
            <w:pPr>
              <w:snapToGrid w:val="0"/>
              <w:spacing w:line="300" w:lineRule="auto"/>
              <w:jc w:val="center"/>
              <w:rPr>
                <w:sz w:val="18"/>
                <w:szCs w:val="18"/>
              </w:rPr>
            </w:pPr>
            <w:r>
              <w:rPr>
                <w:sz w:val="18"/>
                <w:szCs w:val="18"/>
              </w:rPr>
              <w:t>0.2</w:t>
            </w:r>
          </w:p>
        </w:tc>
      </w:tr>
    </w:tbl>
    <w:p>
      <w:pPr>
        <w:snapToGrid w:val="0"/>
        <w:spacing w:line="300" w:lineRule="auto"/>
      </w:pPr>
      <w:r>
        <w:rPr>
          <w:rFonts w:hint="eastAsia"/>
        </w:rPr>
        <w:t>课程毕业要求指标点达成情况评价：</w:t>
      </w:r>
    </w:p>
    <w:p>
      <w:pPr>
        <w:snapToGrid w:val="0"/>
        <w:spacing w:line="300" w:lineRule="auto"/>
        <w:ind w:firstLine="420" w:firstLineChars="200"/>
      </w:pPr>
      <w:r>
        <w:rPr>
          <w:rFonts w:hint="eastAsia"/>
        </w:rPr>
        <w:t>课程支撑毕业要求指标点的达成情况为对应的课程目标达成情况的加权值，其计算公式为：</w:t>
      </w:r>
    </w:p>
    <w:p>
      <w:pPr>
        <w:snapToGrid w:val="0"/>
        <w:spacing w:line="300" w:lineRule="auto"/>
        <w:jc w:val="center"/>
      </w:pPr>
      <w:r>
        <w:object>
          <v:shape id="_x0000_i1037" o:spt="75" type="#_x0000_t75" style="height:18.75pt;width:281.25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43">
            <o:LockedField>false</o:LockedField>
          </o:OLEObject>
        </w:object>
      </w:r>
    </w:p>
    <w:p>
      <w:pPr>
        <w:snapToGrid w:val="0"/>
        <w:spacing w:line="300" w:lineRule="auto"/>
        <w:ind w:firstLine="420" w:firstLineChars="200"/>
        <w:rPr>
          <w:szCs w:val="21"/>
        </w:rPr>
      </w:pPr>
      <w:r>
        <w:rPr>
          <w:szCs w:val="21"/>
        </w:rPr>
        <w:t>2</w:t>
      </w:r>
      <w:r>
        <w:rPr>
          <w:rFonts w:hint="eastAsia"/>
        </w:rPr>
        <w:t>．</w:t>
      </w:r>
      <w:r>
        <w:rPr>
          <w:rFonts w:hint="eastAsia"/>
          <w:szCs w:val="21"/>
        </w:rPr>
        <w:t>课程总结要求</w:t>
      </w:r>
    </w:p>
    <w:p>
      <w:pPr>
        <w:snapToGrid w:val="0"/>
        <w:spacing w:line="300" w:lineRule="auto"/>
        <w:ind w:firstLine="420" w:firstLineChars="200"/>
        <w:rPr>
          <w:szCs w:val="21"/>
        </w:rPr>
      </w:pPr>
      <w:r>
        <w:rPr>
          <w:rFonts w:hint="eastAsia"/>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rFonts w:hint="eastAsia"/>
          <w:b/>
          <w:sz w:val="24"/>
        </w:rPr>
        <w:t>七、教材及参考资料</w:t>
      </w:r>
    </w:p>
    <w:p>
      <w:pPr>
        <w:snapToGrid w:val="0"/>
        <w:spacing w:line="300" w:lineRule="auto"/>
        <w:ind w:firstLine="420" w:firstLineChars="200"/>
      </w:pPr>
      <w:r>
        <w:t>1</w:t>
      </w:r>
      <w:r>
        <w:rPr>
          <w:rFonts w:hint="eastAsia"/>
        </w:rPr>
        <w:t>．教材</w:t>
      </w:r>
    </w:p>
    <w:p>
      <w:pPr>
        <w:spacing w:line="300" w:lineRule="auto"/>
        <w:ind w:left="840" w:leftChars="200" w:hanging="420" w:hangingChars="200"/>
        <w:rPr>
          <w:bCs/>
          <w:kern w:val="0"/>
          <w:szCs w:val="21"/>
        </w:rPr>
      </w:pPr>
      <w:r>
        <w:rPr>
          <w:bCs/>
          <w:kern w:val="0"/>
          <w:szCs w:val="21"/>
        </w:rPr>
        <w:t xml:space="preserve">[1] </w:t>
      </w:r>
      <w:r>
        <w:rPr>
          <w:rFonts w:hint="eastAsia"/>
          <w:bCs/>
          <w:kern w:val="0"/>
          <w:szCs w:val="21"/>
        </w:rPr>
        <w:t>盛聚等编</w:t>
      </w:r>
      <w:r>
        <w:rPr>
          <w:bCs/>
          <w:kern w:val="0"/>
          <w:szCs w:val="21"/>
        </w:rPr>
        <w:t xml:space="preserve">. </w:t>
      </w:r>
      <w:r>
        <w:rPr>
          <w:rFonts w:hint="eastAsia"/>
          <w:bCs/>
          <w:kern w:val="0"/>
          <w:szCs w:val="21"/>
        </w:rPr>
        <w:t>概率论及数理统计（第四版）简明本</w:t>
      </w:r>
      <w:r>
        <w:rPr>
          <w:szCs w:val="21"/>
        </w:rPr>
        <w:t xml:space="preserve">[M]. </w:t>
      </w:r>
      <w:r>
        <w:rPr>
          <w:rFonts w:hint="eastAsia"/>
        </w:rPr>
        <w:t>北京：</w:t>
      </w:r>
      <w:r>
        <w:rPr>
          <w:rFonts w:hint="eastAsia"/>
          <w:bCs/>
          <w:kern w:val="0"/>
          <w:szCs w:val="21"/>
        </w:rPr>
        <w:t>高等教育出版社出版，</w:t>
      </w:r>
      <w:r>
        <w:rPr>
          <w:bCs/>
          <w:kern w:val="0"/>
          <w:szCs w:val="21"/>
        </w:rPr>
        <w:t>2009</w:t>
      </w:r>
      <w:r>
        <w:rPr>
          <w:rFonts w:hint="eastAsia"/>
          <w:bCs/>
          <w:kern w:val="0"/>
          <w:szCs w:val="21"/>
        </w:rPr>
        <w:t>年</w:t>
      </w:r>
      <w:r>
        <w:rPr>
          <w:bCs/>
          <w:kern w:val="0"/>
          <w:szCs w:val="21"/>
        </w:rPr>
        <w:t>8</w:t>
      </w:r>
      <w:r>
        <w:rPr>
          <w:rFonts w:hint="eastAsia"/>
          <w:bCs/>
          <w:kern w:val="0"/>
          <w:szCs w:val="21"/>
        </w:rPr>
        <w:t>月。</w:t>
      </w:r>
    </w:p>
    <w:p>
      <w:pPr>
        <w:snapToGrid w:val="0"/>
        <w:spacing w:line="300" w:lineRule="auto"/>
        <w:ind w:firstLine="420" w:firstLineChars="200"/>
      </w:pPr>
      <w:r>
        <w:t>2</w:t>
      </w:r>
      <w:r>
        <w:rPr>
          <w:rFonts w:hint="eastAsia"/>
        </w:rPr>
        <w:t>．参考资料</w:t>
      </w:r>
    </w:p>
    <w:p>
      <w:pPr>
        <w:snapToGrid w:val="0"/>
        <w:spacing w:line="300" w:lineRule="auto"/>
        <w:ind w:left="840" w:leftChars="200" w:hanging="420" w:hangingChars="200"/>
      </w:pPr>
      <w:r>
        <w:t xml:space="preserve">[1] </w:t>
      </w:r>
      <w:r>
        <w:rPr>
          <w:rFonts w:hint="eastAsia"/>
          <w:bCs/>
          <w:kern w:val="0"/>
          <w:szCs w:val="21"/>
        </w:rPr>
        <w:t>盛聚等编</w:t>
      </w:r>
      <w:r>
        <w:rPr>
          <w:bCs/>
          <w:kern w:val="0"/>
          <w:szCs w:val="21"/>
        </w:rPr>
        <w:t xml:space="preserve">. </w:t>
      </w:r>
      <w:r>
        <w:rPr>
          <w:rFonts w:hint="eastAsia"/>
          <w:bCs/>
          <w:kern w:val="0"/>
          <w:szCs w:val="21"/>
        </w:rPr>
        <w:t>概率论及数理统计（第四版）</w:t>
      </w:r>
      <w:r>
        <w:rPr>
          <w:bCs/>
          <w:kern w:val="0"/>
          <w:szCs w:val="21"/>
        </w:rPr>
        <w:t>-</w:t>
      </w:r>
      <w:r>
        <w:rPr>
          <w:rFonts w:hint="eastAsia"/>
          <w:bCs/>
          <w:kern w:val="0"/>
          <w:szCs w:val="21"/>
        </w:rPr>
        <w:t>习题全解指南</w:t>
      </w:r>
      <w:r>
        <w:rPr>
          <w:szCs w:val="21"/>
        </w:rPr>
        <w:t xml:space="preserve">[M]. </w:t>
      </w:r>
      <w:r>
        <w:rPr>
          <w:rFonts w:hint="eastAsia"/>
        </w:rPr>
        <w:t>北京：</w:t>
      </w:r>
      <w:r>
        <w:rPr>
          <w:rFonts w:hint="eastAsia"/>
          <w:bCs/>
          <w:kern w:val="0"/>
          <w:szCs w:val="21"/>
        </w:rPr>
        <w:t>高等教育出版社出版，</w:t>
      </w:r>
      <w:r>
        <w:rPr>
          <w:bCs/>
          <w:kern w:val="0"/>
          <w:szCs w:val="21"/>
        </w:rPr>
        <w:t>2008</w:t>
      </w:r>
      <w:r>
        <w:rPr>
          <w:rFonts w:hint="eastAsia"/>
          <w:bCs/>
          <w:kern w:val="0"/>
          <w:szCs w:val="21"/>
        </w:rPr>
        <w:t>年</w:t>
      </w:r>
      <w:r>
        <w:rPr>
          <w:bCs/>
          <w:kern w:val="0"/>
          <w:szCs w:val="21"/>
        </w:rPr>
        <w:t>6</w:t>
      </w:r>
      <w:r>
        <w:rPr>
          <w:rFonts w:hint="eastAsia"/>
          <w:bCs/>
          <w:kern w:val="0"/>
          <w:szCs w:val="21"/>
        </w:rPr>
        <w:t>月。</w:t>
      </w:r>
    </w:p>
    <w:p>
      <w:pPr>
        <w:snapToGrid w:val="0"/>
        <w:spacing w:line="300" w:lineRule="auto"/>
        <w:ind w:left="840" w:leftChars="200" w:hanging="420" w:hangingChars="200"/>
        <w:rPr>
          <w:szCs w:val="21"/>
        </w:rPr>
      </w:pPr>
      <w:r>
        <w:rPr>
          <w:rFonts w:eastAsia="微软雅黑"/>
          <w:szCs w:val="21"/>
        </w:rPr>
        <w:t xml:space="preserve">[2] </w:t>
      </w:r>
      <w:r>
        <w:rPr>
          <w:rFonts w:hint="eastAsia"/>
          <w:bCs/>
          <w:kern w:val="0"/>
          <w:szCs w:val="21"/>
        </w:rPr>
        <w:t>徐国宝等编</w:t>
      </w:r>
      <w:r>
        <w:rPr>
          <w:bCs/>
          <w:kern w:val="0"/>
          <w:szCs w:val="21"/>
        </w:rPr>
        <w:t xml:space="preserve">. </w:t>
      </w:r>
      <w:r>
        <w:rPr>
          <w:rFonts w:hint="eastAsia"/>
          <w:bCs/>
          <w:kern w:val="0"/>
          <w:szCs w:val="21"/>
        </w:rPr>
        <w:t>教育部高等学校电子信息类专业教学指导委员会规划教材：</w:t>
      </w:r>
      <w:r>
        <w:rPr>
          <w:bCs/>
          <w:kern w:val="0"/>
          <w:szCs w:val="21"/>
        </w:rPr>
        <w:t>MATLAB/Simulink</w:t>
      </w:r>
      <w:r>
        <w:rPr>
          <w:rFonts w:hint="eastAsia"/>
          <w:bCs/>
          <w:kern w:val="0"/>
          <w:szCs w:val="21"/>
        </w:rPr>
        <w:t>实用教程</w:t>
      </w:r>
      <w:r>
        <w:rPr>
          <w:szCs w:val="21"/>
        </w:rPr>
        <w:t xml:space="preserve">[M]. </w:t>
      </w:r>
      <w:r>
        <w:rPr>
          <w:rFonts w:hint="eastAsia"/>
        </w:rPr>
        <w:t>北京：</w:t>
      </w:r>
      <w:r>
        <w:rPr>
          <w:rFonts w:hint="eastAsia"/>
          <w:bCs/>
          <w:kern w:val="0"/>
          <w:szCs w:val="21"/>
        </w:rPr>
        <w:t>清华大学出版社出版，</w:t>
      </w:r>
      <w:r>
        <w:rPr>
          <w:bCs/>
          <w:kern w:val="0"/>
          <w:szCs w:val="21"/>
        </w:rPr>
        <w:t>2017</w:t>
      </w:r>
      <w:r>
        <w:rPr>
          <w:rFonts w:hint="eastAsia"/>
          <w:bCs/>
          <w:kern w:val="0"/>
          <w:szCs w:val="21"/>
        </w:rPr>
        <w:t>年</w:t>
      </w:r>
      <w:r>
        <w:rPr>
          <w:bCs/>
          <w:kern w:val="0"/>
          <w:szCs w:val="21"/>
        </w:rPr>
        <w:t>10</w:t>
      </w:r>
      <w:r>
        <w:rPr>
          <w:rFonts w:hint="eastAsia"/>
          <w:bCs/>
          <w:kern w:val="0"/>
          <w:szCs w:val="21"/>
        </w:rPr>
        <w:t>月。</w:t>
      </w:r>
    </w:p>
    <w:p>
      <w:pPr>
        <w:snapToGrid w:val="0"/>
        <w:spacing w:line="300" w:lineRule="auto"/>
        <w:ind w:left="210" w:leftChars="100"/>
        <w:rPr>
          <w:szCs w:val="21"/>
        </w:rPr>
      </w:pP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szCs w:val="21"/>
              </w:rPr>
            </w:pPr>
            <w:r>
              <w:rPr>
                <w:rFonts w:hint="eastAsia"/>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szCs w:val="21"/>
              </w:rPr>
            </w:pPr>
            <w:r>
              <w:rPr>
                <w:rFonts w:hint="eastAsia"/>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szCs w:val="21"/>
              </w:rPr>
            </w:pPr>
            <w:r>
              <w:rPr>
                <w:rFonts w:hint="eastAsia"/>
                <w:szCs w:val="21"/>
              </w:rPr>
              <w:t>日</w:t>
            </w:r>
            <w:r>
              <w:rPr>
                <w:szCs w:val="21"/>
              </w:rPr>
              <w:t xml:space="preserve"> </w:t>
            </w:r>
            <w:r>
              <w:rPr>
                <w:rFonts w:hint="eastAsia"/>
                <w:szCs w:val="21"/>
              </w:rPr>
              <w:t>期：</w:t>
            </w:r>
            <w:r>
              <w:rPr>
                <w:kern w:val="0"/>
                <w:sz w:val="20"/>
                <w:szCs w:val="21"/>
              </w:rPr>
              <w:t>2022.0</w:t>
            </w:r>
            <w:r>
              <w:rPr>
                <w:rFonts w:hint="eastAsia"/>
                <w:kern w:val="0"/>
                <w:sz w:val="20"/>
                <w:szCs w:val="21"/>
              </w:rPr>
              <w:t>4.20</w:t>
            </w:r>
          </w:p>
        </w:tc>
      </w:tr>
    </w:tbl>
    <w:p>
      <w:pPr>
        <w:snapToGrid w:val="0"/>
        <w:spacing w:line="300" w:lineRule="auto"/>
        <w:ind w:firstLine="420" w:firstLineChars="200"/>
        <w:rPr>
          <w:szCs w:val="21"/>
        </w:rPr>
      </w:pPr>
    </w:p>
    <w:p>
      <w:pPr>
        <w:sectPr>
          <w:pgSz w:w="11906" w:h="16838"/>
          <w:pgMar w:top="1417" w:right="1361" w:bottom="1417" w:left="1361" w:header="851" w:footer="992" w:gutter="0"/>
          <w:cols w:space="720" w:num="1"/>
          <w:docGrid w:type="lines" w:linePitch="318" w:charSpace="0"/>
        </w:sectPr>
      </w:pPr>
    </w:p>
    <w:p>
      <w:pPr>
        <w:pStyle w:val="3"/>
        <w:ind w:firstLine="1285" w:firstLineChars="400"/>
        <w:rPr>
          <w:rFonts w:ascii="Times New Roman" w:hAnsi="Times New Roman" w:eastAsia="宋体"/>
        </w:rPr>
      </w:pPr>
      <w:bookmarkStart w:id="25" w:name="_Toc16741"/>
      <w:bookmarkStart w:id="26" w:name="_Toc28682"/>
      <w:bookmarkStart w:id="27" w:name="_Toc62659292"/>
      <w:r>
        <mc:AlternateContent>
          <mc:Choice Requires="wps">
            <w:drawing>
              <wp:anchor distT="0" distB="0" distL="114300" distR="114300" simplePos="0" relativeHeight="251672576" behindDoc="0" locked="0" layoutInCell="1" allowOverlap="1">
                <wp:simplePos x="0" y="0"/>
                <wp:positionH relativeFrom="column">
                  <wp:posOffset>-217170</wp:posOffset>
                </wp:positionH>
                <wp:positionV relativeFrom="paragraph">
                  <wp:posOffset>-535305</wp:posOffset>
                </wp:positionV>
                <wp:extent cx="5229225" cy="527050"/>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5229225" cy="527050"/>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42.15pt;height:41.5pt;width:411.75pt;z-index:251672576;mso-width-relative:page;mso-height-relative:page;" filled="f" stroked="f" coordsize="21600,21600" o:gfxdata="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17C91wAAAAoB&#10;AAAPAAAAAAAAAAEAIAAAACIAAABkcnMvZG93bnJldi54bWxQSwECFAAUAAAACACHTuJAH4HPshwC&#10;AAAlBAAADgAAAAAAAAABACAAAAAmAQAAZHJzL2Uyb0RvYy54bWxQSwUGAAAAAAYABgBZAQAAtAUA&#10;AAAA&#10;">
                <v:fill on="f" focussize="0,0"/>
                <v:stroke on="f"/>
                <v:imagedata o:title=""/>
                <o:lock v:ext="edit" aspectratio="f"/>
                <v:textbox>
                  <w:txbxContent>
                    <w:p/>
                  </w:txbxContent>
                </v:textbox>
              </v:shape>
            </w:pict>
          </mc:Fallback>
        </mc:AlternateContent>
      </w:r>
      <w:r>
        <w:t>33410301x</w:t>
      </w:r>
      <w:r>
        <w:rPr>
          <w:rFonts w:hint="eastAsia"/>
        </w:rPr>
        <w:t>4</w:t>
      </w:r>
      <w:r>
        <w:t>《</w:t>
      </w:r>
      <w:r>
        <w:rPr>
          <w:rFonts w:hint="eastAsia"/>
        </w:rPr>
        <w:t>工程数学</w:t>
      </w:r>
      <w:r>
        <w:rPr>
          <w:rFonts w:hint="eastAsia" w:ascii="Times New Roman" w:hAnsi="Times New Roman" w:eastAsia="宋体"/>
        </w:rPr>
        <w:t>Ⅳ</w:t>
      </w:r>
      <w:r>
        <w:t>》课程教学大纲</w:t>
      </w:r>
      <w:bookmarkEnd w:id="25"/>
      <w:bookmarkEnd w:id="26"/>
    </w:p>
    <w:tbl>
      <w:tblPr>
        <w:tblStyle w:val="22"/>
        <w:tblW w:w="5034"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59"/>
        <w:gridCol w:w="2760"/>
        <w:gridCol w:w="1844"/>
        <w:gridCol w:w="34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771" w:type="pct"/>
          </w:tcPr>
          <w:p>
            <w:pPr>
              <w:jc w:val="center"/>
              <w:rPr>
                <w:szCs w:val="21"/>
              </w:rPr>
            </w:pPr>
            <w:r>
              <w:rPr>
                <w:szCs w:val="21"/>
              </w:rPr>
              <w:t>课程编号</w:t>
            </w:r>
          </w:p>
        </w:tc>
        <w:tc>
          <w:tcPr>
            <w:tcW w:w="1458" w:type="pct"/>
          </w:tcPr>
          <w:p>
            <w:pPr>
              <w:jc w:val="center"/>
              <w:rPr>
                <w:szCs w:val="21"/>
              </w:rPr>
            </w:pPr>
            <w:r>
              <w:rPr>
                <w:szCs w:val="21"/>
              </w:rPr>
              <w:t>33410301x</w:t>
            </w:r>
            <w:r>
              <w:rPr>
                <w:rFonts w:hint="eastAsia"/>
                <w:szCs w:val="21"/>
              </w:rPr>
              <w:t>4</w:t>
            </w:r>
          </w:p>
        </w:tc>
        <w:tc>
          <w:tcPr>
            <w:tcW w:w="974" w:type="pct"/>
          </w:tcPr>
          <w:p>
            <w:pPr>
              <w:jc w:val="center"/>
              <w:rPr>
                <w:szCs w:val="21"/>
              </w:rPr>
            </w:pPr>
            <w:r>
              <w:rPr>
                <w:szCs w:val="21"/>
              </w:rPr>
              <w:t>课程名称</w:t>
            </w:r>
          </w:p>
        </w:tc>
        <w:tc>
          <w:tcPr>
            <w:tcW w:w="1797" w:type="pct"/>
          </w:tcPr>
          <w:p>
            <w:pPr>
              <w:jc w:val="center"/>
              <w:rPr>
                <w:szCs w:val="21"/>
              </w:rPr>
            </w:pPr>
            <w:r>
              <w:rPr>
                <w:szCs w:val="21"/>
              </w:rPr>
              <w:t>工程数学x</w:t>
            </w:r>
            <w:r>
              <w:rPr>
                <w:rFonts w:hint="eastAsia"/>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71" w:type="pct"/>
          </w:tcPr>
          <w:p>
            <w:pPr>
              <w:jc w:val="center"/>
              <w:rPr>
                <w:szCs w:val="21"/>
              </w:rPr>
            </w:pPr>
            <w:r>
              <w:rPr>
                <w:szCs w:val="21"/>
              </w:rPr>
              <w:t>课程性质</w:t>
            </w:r>
            <w:r>
              <w:t>*</w:t>
            </w:r>
          </w:p>
        </w:tc>
        <w:tc>
          <w:tcPr>
            <w:tcW w:w="1458" w:type="pct"/>
          </w:tcPr>
          <w:p>
            <w:pPr>
              <w:jc w:val="center"/>
              <w:rPr>
                <w:szCs w:val="21"/>
              </w:rPr>
            </w:pPr>
            <w:r>
              <w:rPr>
                <w:szCs w:val="21"/>
              </w:rPr>
              <w:t>通识教育核心课程</w:t>
            </w:r>
          </w:p>
        </w:tc>
        <w:tc>
          <w:tcPr>
            <w:tcW w:w="974" w:type="pct"/>
          </w:tcPr>
          <w:p>
            <w:pPr>
              <w:jc w:val="center"/>
              <w:rPr>
                <w:szCs w:val="21"/>
              </w:rPr>
            </w:pPr>
            <w:r>
              <w:rPr>
                <w:szCs w:val="21"/>
              </w:rPr>
              <w:t>英文名称</w:t>
            </w:r>
          </w:p>
        </w:tc>
        <w:tc>
          <w:tcPr>
            <w:tcW w:w="1797" w:type="pct"/>
            <w:vAlign w:val="center"/>
          </w:tcPr>
          <w:p>
            <w:pPr>
              <w:jc w:val="center"/>
              <w:rPr>
                <w:bCs/>
                <w:szCs w:val="21"/>
              </w:rPr>
            </w:pPr>
            <w:r>
              <w:rPr>
                <w:szCs w:val="21"/>
              </w:rPr>
              <w:t>Engineering Mathematics _</w:t>
            </w:r>
            <w:r>
              <w:rPr>
                <w:rFonts w:hint="eastAsia" w:ascii="仿宋" w:hAnsi="仿宋" w:eastAsia="仿宋"/>
                <w:szCs w:val="21"/>
              </w:rPr>
              <w:t>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trPr>
        <w:tc>
          <w:tcPr>
            <w:tcW w:w="771" w:type="pct"/>
          </w:tcPr>
          <w:p>
            <w:pPr>
              <w:jc w:val="center"/>
              <w:rPr>
                <w:szCs w:val="21"/>
              </w:rPr>
            </w:pPr>
            <w:r>
              <w:rPr>
                <w:szCs w:val="21"/>
              </w:rPr>
              <w:t>学分学时</w:t>
            </w:r>
          </w:p>
        </w:tc>
        <w:tc>
          <w:tcPr>
            <w:tcW w:w="1458" w:type="pct"/>
          </w:tcPr>
          <w:p>
            <w:pPr>
              <w:jc w:val="center"/>
              <w:rPr>
                <w:szCs w:val="21"/>
              </w:rPr>
            </w:pPr>
            <w:r>
              <w:rPr>
                <w:rFonts w:hint="eastAsia"/>
                <w:bCs/>
                <w:szCs w:val="21"/>
              </w:rPr>
              <w:t>2</w:t>
            </w:r>
            <w:r>
              <w:rPr>
                <w:bCs/>
                <w:szCs w:val="21"/>
              </w:rPr>
              <w:t xml:space="preserve"> </w:t>
            </w:r>
            <w:r>
              <w:rPr>
                <w:rFonts w:hint="eastAsia"/>
                <w:szCs w:val="21"/>
              </w:rPr>
              <w:t>;</w:t>
            </w:r>
            <w:r>
              <w:rPr>
                <w:szCs w:val="21"/>
              </w:rPr>
              <w:t xml:space="preserve"> </w:t>
            </w:r>
            <w:r>
              <w:rPr>
                <w:rFonts w:hint="eastAsia"/>
                <w:szCs w:val="21"/>
              </w:rPr>
              <w:t>32</w:t>
            </w:r>
          </w:p>
        </w:tc>
        <w:tc>
          <w:tcPr>
            <w:tcW w:w="974" w:type="pct"/>
          </w:tcPr>
          <w:p>
            <w:pPr>
              <w:jc w:val="center"/>
              <w:rPr>
                <w:szCs w:val="21"/>
              </w:rPr>
            </w:pPr>
            <w:r>
              <w:rPr>
                <w:szCs w:val="21"/>
              </w:rPr>
              <w:t>任课教师</w:t>
            </w:r>
          </w:p>
        </w:tc>
        <w:tc>
          <w:tcPr>
            <w:tcW w:w="1797" w:type="pct"/>
          </w:tcPr>
          <w:p>
            <w:pPr>
              <w:jc w:val="center"/>
              <w:rPr>
                <w:szCs w:val="21"/>
              </w:rPr>
            </w:pPr>
            <w:r>
              <w:rPr>
                <w:rFonts w:hint="eastAsia"/>
                <w:szCs w:val="21"/>
              </w:rPr>
              <w:t>邹阿金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771" w:type="pct"/>
          </w:tcPr>
          <w:p>
            <w:pPr>
              <w:jc w:val="center"/>
              <w:rPr>
                <w:bCs/>
                <w:szCs w:val="21"/>
              </w:rPr>
            </w:pPr>
            <w:r>
              <w:rPr>
                <w:bCs/>
                <w:szCs w:val="21"/>
              </w:rPr>
              <w:t>企业专家</w:t>
            </w:r>
          </w:p>
        </w:tc>
        <w:tc>
          <w:tcPr>
            <w:tcW w:w="1458" w:type="pct"/>
          </w:tcPr>
          <w:p>
            <w:pPr>
              <w:widowControl/>
              <w:jc w:val="center"/>
              <w:rPr>
                <w:szCs w:val="21"/>
              </w:rPr>
            </w:pPr>
            <w:r>
              <w:rPr>
                <w:szCs w:val="21"/>
              </w:rPr>
              <w:t>曾耿滨</w:t>
            </w:r>
          </w:p>
        </w:tc>
        <w:tc>
          <w:tcPr>
            <w:tcW w:w="974" w:type="pct"/>
          </w:tcPr>
          <w:p>
            <w:pPr>
              <w:jc w:val="center"/>
              <w:rPr>
                <w:bCs/>
                <w:szCs w:val="21"/>
              </w:rPr>
            </w:pPr>
            <w:r>
              <w:rPr>
                <w:bCs/>
                <w:szCs w:val="21"/>
              </w:rPr>
              <w:t>行业专家</w:t>
            </w:r>
          </w:p>
        </w:tc>
        <w:tc>
          <w:tcPr>
            <w:tcW w:w="1797" w:type="pct"/>
          </w:tcPr>
          <w:p>
            <w:pPr>
              <w:widowControl/>
              <w:jc w:val="center"/>
              <w:rPr>
                <w:szCs w:val="21"/>
              </w:rPr>
            </w:pPr>
            <w:r>
              <w:rPr>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771" w:type="pct"/>
          </w:tcPr>
          <w:p>
            <w:pPr>
              <w:widowControl/>
              <w:jc w:val="center"/>
              <w:rPr>
                <w:bCs/>
                <w:szCs w:val="21"/>
              </w:rPr>
            </w:pPr>
            <w:r>
              <w:rPr>
                <w:bCs/>
                <w:szCs w:val="21"/>
              </w:rPr>
              <w:t>执笔教师</w:t>
            </w:r>
          </w:p>
        </w:tc>
        <w:tc>
          <w:tcPr>
            <w:tcW w:w="1458" w:type="pct"/>
          </w:tcPr>
          <w:p>
            <w:pPr>
              <w:widowControl/>
              <w:jc w:val="center"/>
              <w:rPr>
                <w:szCs w:val="21"/>
              </w:rPr>
            </w:pPr>
            <w:r>
              <w:rPr>
                <w:rFonts w:hint="eastAsia"/>
                <w:szCs w:val="21"/>
              </w:rPr>
              <w:t>邹阿金</w:t>
            </w:r>
          </w:p>
        </w:tc>
        <w:tc>
          <w:tcPr>
            <w:tcW w:w="974" w:type="pct"/>
          </w:tcPr>
          <w:p>
            <w:pPr>
              <w:widowControl/>
              <w:jc w:val="center"/>
              <w:rPr>
                <w:bCs/>
                <w:szCs w:val="21"/>
              </w:rPr>
            </w:pPr>
            <w:r>
              <w:rPr>
                <w:bCs/>
                <w:szCs w:val="21"/>
              </w:rPr>
              <w:t>责任教授</w:t>
            </w:r>
          </w:p>
        </w:tc>
        <w:tc>
          <w:tcPr>
            <w:tcW w:w="1797" w:type="pct"/>
          </w:tcPr>
          <w:p>
            <w:pPr>
              <w:widowControl/>
              <w:jc w:val="center"/>
              <w:rPr>
                <w:szCs w:val="21"/>
              </w:rPr>
            </w:pPr>
            <w:r>
              <w:rPr>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771" w:type="pct"/>
            <w:tcBorders>
              <w:bottom w:val="single" w:color="auto" w:sz="4" w:space="0"/>
            </w:tcBorders>
          </w:tcPr>
          <w:p>
            <w:pPr>
              <w:widowControl/>
              <w:jc w:val="center"/>
              <w:rPr>
                <w:bCs/>
                <w:szCs w:val="21"/>
              </w:rPr>
            </w:pPr>
            <w:r>
              <w:rPr>
                <w:bCs/>
                <w:szCs w:val="21"/>
              </w:rPr>
              <w:t>适用专业</w:t>
            </w:r>
          </w:p>
        </w:tc>
        <w:tc>
          <w:tcPr>
            <w:tcW w:w="1458" w:type="pct"/>
            <w:tcBorders>
              <w:bottom w:val="single" w:color="auto" w:sz="4" w:space="0"/>
            </w:tcBorders>
          </w:tcPr>
          <w:p>
            <w:pPr>
              <w:widowControl/>
              <w:jc w:val="center"/>
              <w:rPr>
                <w:szCs w:val="21"/>
              </w:rPr>
            </w:pPr>
            <w:r>
              <w:rPr>
                <w:szCs w:val="21"/>
              </w:rPr>
              <w:t>电子信息工程</w:t>
            </w:r>
          </w:p>
        </w:tc>
        <w:tc>
          <w:tcPr>
            <w:tcW w:w="974" w:type="pct"/>
            <w:tcBorders>
              <w:bottom w:val="single" w:color="auto" w:sz="4" w:space="0"/>
            </w:tcBorders>
          </w:tcPr>
          <w:p>
            <w:pPr>
              <w:widowControl/>
              <w:jc w:val="center"/>
              <w:rPr>
                <w:bCs/>
                <w:szCs w:val="21"/>
              </w:rPr>
            </w:pPr>
            <w:r>
              <w:rPr>
                <w:bCs/>
                <w:szCs w:val="21"/>
              </w:rPr>
              <w:t>适用对象</w:t>
            </w:r>
          </w:p>
        </w:tc>
        <w:tc>
          <w:tcPr>
            <w:tcW w:w="1797" w:type="pct"/>
            <w:tcBorders>
              <w:bottom w:val="single" w:color="auto" w:sz="4" w:space="0"/>
            </w:tcBorders>
          </w:tcPr>
          <w:p>
            <w:pPr>
              <w:widowControl/>
              <w:jc w:val="center"/>
              <w:rPr>
                <w:szCs w:val="21"/>
              </w:rPr>
            </w:pPr>
            <w:r>
              <w:rPr>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771" w:type="pct"/>
            <w:tcBorders>
              <w:top w:val="single" w:color="auto" w:sz="4" w:space="0"/>
              <w:bottom w:val="single" w:color="auto" w:sz="4" w:space="0"/>
            </w:tcBorders>
          </w:tcPr>
          <w:p>
            <w:pPr>
              <w:jc w:val="center"/>
              <w:rPr>
                <w:b/>
                <w:szCs w:val="21"/>
              </w:rPr>
            </w:pPr>
            <w:r>
              <w:rPr>
                <w:szCs w:val="21"/>
              </w:rPr>
              <w:t>先修课程</w:t>
            </w:r>
          </w:p>
        </w:tc>
        <w:tc>
          <w:tcPr>
            <w:tcW w:w="1458" w:type="pct"/>
            <w:tcBorders>
              <w:top w:val="single" w:color="auto" w:sz="4" w:space="0"/>
              <w:bottom w:val="single" w:color="auto" w:sz="4" w:space="0"/>
            </w:tcBorders>
            <w:vAlign w:val="center"/>
          </w:tcPr>
          <w:p>
            <w:pPr>
              <w:widowControl/>
              <w:jc w:val="center"/>
              <w:rPr>
                <w:bCs/>
                <w:szCs w:val="21"/>
              </w:rPr>
            </w:pPr>
            <w:r>
              <w:rPr>
                <w:bCs/>
                <w:szCs w:val="21"/>
              </w:rPr>
              <w:t>高等数学</w:t>
            </w:r>
          </w:p>
        </w:tc>
        <w:tc>
          <w:tcPr>
            <w:tcW w:w="974" w:type="pct"/>
            <w:tcBorders>
              <w:top w:val="single" w:color="auto" w:sz="4" w:space="0"/>
              <w:bottom w:val="single" w:color="auto" w:sz="4" w:space="0"/>
            </w:tcBorders>
          </w:tcPr>
          <w:p>
            <w:pPr>
              <w:snapToGrid w:val="0"/>
              <w:spacing w:line="300" w:lineRule="auto"/>
              <w:jc w:val="center"/>
              <w:rPr>
                <w:b/>
                <w:szCs w:val="21"/>
              </w:rPr>
            </w:pPr>
            <w:r>
              <w:rPr>
                <w:szCs w:val="21"/>
              </w:rPr>
              <w:t>同修课程</w:t>
            </w:r>
          </w:p>
        </w:tc>
        <w:tc>
          <w:tcPr>
            <w:tcW w:w="1797" w:type="pct"/>
            <w:tcBorders>
              <w:top w:val="single" w:color="auto" w:sz="4" w:space="0"/>
              <w:bottom w:val="single" w:color="auto" w:sz="4" w:space="0"/>
            </w:tcBorders>
          </w:tcPr>
          <w:p>
            <w:pPr>
              <w:widowControl/>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trPr>
        <w:tc>
          <w:tcPr>
            <w:tcW w:w="771" w:type="pct"/>
            <w:tcBorders>
              <w:top w:val="single" w:color="auto" w:sz="4" w:space="0"/>
            </w:tcBorders>
          </w:tcPr>
          <w:p>
            <w:pPr>
              <w:jc w:val="center"/>
              <w:rPr>
                <w:szCs w:val="21"/>
              </w:rPr>
            </w:pPr>
            <w:r>
              <w:rPr>
                <w:szCs w:val="21"/>
              </w:rPr>
              <w:t>排斥课程</w:t>
            </w:r>
          </w:p>
        </w:tc>
        <w:tc>
          <w:tcPr>
            <w:tcW w:w="1458" w:type="pct"/>
            <w:tcBorders>
              <w:top w:val="single" w:color="auto" w:sz="4" w:space="0"/>
            </w:tcBorders>
          </w:tcPr>
          <w:p>
            <w:pPr>
              <w:widowControl/>
              <w:jc w:val="center"/>
              <w:rPr>
                <w:szCs w:val="21"/>
              </w:rPr>
            </w:pPr>
            <w:r>
              <w:rPr>
                <w:szCs w:val="21"/>
              </w:rPr>
              <w:t>无</w:t>
            </w:r>
          </w:p>
        </w:tc>
        <w:tc>
          <w:tcPr>
            <w:tcW w:w="974" w:type="pct"/>
            <w:tcBorders>
              <w:top w:val="single" w:color="auto" w:sz="4" w:space="0"/>
            </w:tcBorders>
          </w:tcPr>
          <w:p>
            <w:pPr>
              <w:snapToGrid w:val="0"/>
              <w:spacing w:line="300" w:lineRule="auto"/>
              <w:jc w:val="center"/>
              <w:rPr>
                <w:szCs w:val="21"/>
              </w:rPr>
            </w:pPr>
            <w:r>
              <w:rPr>
                <w:szCs w:val="21"/>
              </w:rPr>
              <w:t>定稿日期</w:t>
            </w:r>
          </w:p>
        </w:tc>
        <w:tc>
          <w:tcPr>
            <w:tcW w:w="1797" w:type="pct"/>
            <w:tcBorders>
              <w:top w:val="single" w:color="auto" w:sz="4" w:space="0"/>
            </w:tcBorders>
          </w:tcPr>
          <w:p>
            <w:pPr>
              <w:widowControl/>
              <w:jc w:val="center"/>
              <w:rPr>
                <w:szCs w:val="21"/>
              </w:rPr>
            </w:pPr>
            <w:r>
              <w:rPr>
                <w:rFonts w:hint="eastAsia"/>
                <w:kern w:val="0"/>
                <w:szCs w:val="21"/>
              </w:rPr>
              <w:t>2022.5.10</w:t>
            </w:r>
          </w:p>
        </w:tc>
      </w:tr>
    </w:tbl>
    <w:p>
      <w:r>
        <w:rPr>
          <w:rFonts w:hint="eastAsia"/>
        </w:rPr>
        <w:t>一、课程简介</w:t>
      </w:r>
    </w:p>
    <w:p>
      <w:pPr>
        <w:spacing w:line="360" w:lineRule="auto"/>
        <w:ind w:firstLine="420" w:firstLineChars="200"/>
        <w:rPr>
          <w:szCs w:val="21"/>
        </w:rPr>
      </w:pPr>
      <w:r>
        <w:rPr>
          <w:szCs w:val="21"/>
        </w:rPr>
        <w:t>《工程数学</w:t>
      </w:r>
      <w:r>
        <w:rPr>
          <w:rFonts w:hint="eastAsia" w:ascii="仿宋" w:hAnsi="仿宋" w:eastAsia="仿宋"/>
          <w:szCs w:val="21"/>
        </w:rPr>
        <w:t>Ⅳ</w:t>
      </w:r>
      <w:r>
        <w:rPr>
          <w:szCs w:val="21"/>
        </w:rPr>
        <w:t>》由</w:t>
      </w:r>
      <w:r>
        <w:rPr>
          <w:rFonts w:hint="eastAsia"/>
          <w:szCs w:val="21"/>
        </w:rPr>
        <w:t>离散数学</w:t>
      </w:r>
      <w:r>
        <w:rPr>
          <w:szCs w:val="21"/>
        </w:rPr>
        <w:t>构成，</w:t>
      </w:r>
      <w:r>
        <w:rPr>
          <w:rFonts w:hint="eastAsia"/>
          <w:szCs w:val="21"/>
        </w:rPr>
        <w:t>是信息类专业</w:t>
      </w:r>
      <w:r>
        <w:rPr>
          <w:szCs w:val="21"/>
        </w:rPr>
        <w:t>最为重要的基础课之一</w:t>
      </w:r>
      <w:r>
        <w:rPr>
          <w:rFonts w:hint="eastAsia"/>
          <w:szCs w:val="21"/>
        </w:rPr>
        <w:t>，</w:t>
      </w:r>
      <w:r>
        <w:rPr>
          <w:szCs w:val="21"/>
        </w:rPr>
        <w:t>其理论和方法广泛应用于电子信息工程、电气工程、通讯工程、自动化等相关学科，已成为解决众多理论和实际问题的强有力的工具</w:t>
      </w:r>
      <w:r>
        <w:rPr>
          <w:rFonts w:hint="eastAsia"/>
          <w:szCs w:val="21"/>
        </w:rPr>
        <w:t>。主要内容包括数理逻辑、集合论、代数系统和图论的基本概念、基本性质和基本原理。</w:t>
      </w:r>
      <w:r>
        <w:rPr>
          <w:szCs w:val="21"/>
        </w:rPr>
        <w:t>该课程是学习</w:t>
      </w:r>
      <w:r>
        <w:rPr>
          <w:rFonts w:hint="eastAsia"/>
          <w:szCs w:val="21"/>
        </w:rPr>
        <w:t>《算法与数据结构》、《数据库原理及应用》等</w:t>
      </w:r>
      <w:r>
        <w:rPr>
          <w:szCs w:val="21"/>
        </w:rPr>
        <w:t>相关课程的必要先修课程</w:t>
      </w:r>
      <w:r>
        <w:rPr>
          <w:rFonts w:hint="eastAsia"/>
          <w:szCs w:val="21"/>
        </w:rPr>
        <w:t>；要求学生能够从逻辑的层面表示实际问题中的研究对象及其关系，建立数学模型，并利用相关知识进行推理和求解。本课程可以培养学生的抽象思维能力和逻辑推理能力。</w:t>
      </w:r>
    </w:p>
    <w:p>
      <w:pPr>
        <w:spacing w:line="360" w:lineRule="auto"/>
        <w:ind w:firstLine="420" w:firstLineChars="200"/>
        <w:rPr>
          <w:szCs w:val="21"/>
        </w:rPr>
      </w:pPr>
      <w:r>
        <w:rPr>
          <w:rFonts w:hint="eastAsia"/>
          <w:szCs w:val="21"/>
        </w:rPr>
        <w:t>课程采用理论授课为主、引导学生查阅文献等方式，在讲授离散数学基础知识的同时引导学生了解对问题建模、求解的方法；培养学生解决问题的能力，提升学生的自主学习、终身学习意识。</w:t>
      </w:r>
    </w:p>
    <w:p>
      <w:pPr>
        <w:rPr>
          <w:rFonts w:ascii="楷体" w:hAnsi="楷体" w:eastAsia="楷体"/>
        </w:rPr>
      </w:pPr>
      <w:r>
        <w:rPr>
          <w:rFonts w:hint="eastAsia" w:ascii="楷体" w:hAnsi="楷体" w:eastAsia="楷体"/>
        </w:rPr>
        <w:t>二</w:t>
      </w:r>
      <w:r>
        <w:rPr>
          <w:rFonts w:ascii="楷体" w:hAnsi="楷体" w:eastAsia="楷体"/>
        </w:rPr>
        <w:t>. 课程教学目标</w:t>
      </w:r>
    </w:p>
    <w:p>
      <w:pPr>
        <w:rPr>
          <w:kern w:val="0"/>
          <w:szCs w:val="21"/>
        </w:rPr>
      </w:pPr>
      <w:r>
        <w:rPr>
          <w:rFonts w:hint="eastAsia"/>
          <w:kern w:val="0"/>
          <w:szCs w:val="21"/>
        </w:rPr>
        <w:t>教学目标1：掌握数理逻辑、集合论、代数结构、图论的基本概念、性质、定理，能够运用离散数学的知识理解和表述实际问题。</w:t>
      </w:r>
      <w:r>
        <w:rPr>
          <w:szCs w:val="21"/>
        </w:rPr>
        <w:t>[1.1]</w:t>
      </w:r>
    </w:p>
    <w:p>
      <w:pPr>
        <w:rPr>
          <w:szCs w:val="21"/>
        </w:rPr>
      </w:pPr>
      <w:r>
        <w:rPr>
          <w:rFonts w:hint="eastAsia"/>
          <w:kern w:val="0"/>
          <w:szCs w:val="21"/>
        </w:rPr>
        <w:t>教学目标2：掌握数理逻辑中符号化方法、并基于符号化进行逻辑推理；掌握等价关系、偏序关系的判别方法；掌握图论中</w:t>
      </w:r>
      <w:r>
        <w:rPr>
          <w:rFonts w:hint="eastAsia"/>
          <w:szCs w:val="21"/>
        </w:rPr>
        <w:t>最小生成树算法、哈夫曼算法等经典</w:t>
      </w:r>
      <w:r>
        <w:rPr>
          <w:rFonts w:hint="eastAsia"/>
          <w:kern w:val="0"/>
          <w:szCs w:val="21"/>
        </w:rPr>
        <w:t>算法；能够从集合、关系、树、图的角度抽象出实际问题中研究对象以及对象之间内在联系，建立数学模型，并基于模型对问题推理、求解。</w:t>
      </w:r>
      <w:r>
        <w:rPr>
          <w:szCs w:val="21"/>
        </w:rPr>
        <w:t>[1.2]</w:t>
      </w:r>
    </w:p>
    <w:p>
      <w:pPr>
        <w:rPr>
          <w:kern w:val="0"/>
          <w:szCs w:val="21"/>
        </w:rPr>
      </w:pPr>
      <w:r>
        <w:rPr>
          <w:rFonts w:hint="eastAsia"/>
          <w:kern w:val="0"/>
          <w:szCs w:val="21"/>
        </w:rPr>
        <w:t>教学目标3：通过教师引导、学习自主查阅文献等方式，了解离散数学在电子信息领域的应用，理解离散数学对后续课程的意义，理解自主学习和终身学习的必要性。能够应用离散数学的理论对</w:t>
      </w:r>
      <w:r>
        <w:rPr>
          <w:kern w:val="0"/>
          <w:szCs w:val="21"/>
        </w:rPr>
        <w:t>复杂工程问题</w:t>
      </w:r>
      <w:r>
        <w:rPr>
          <w:rFonts w:hint="eastAsia"/>
          <w:kern w:val="0"/>
          <w:szCs w:val="21"/>
        </w:rPr>
        <w:t>中的数学问题</w:t>
      </w:r>
      <w:r>
        <w:rPr>
          <w:kern w:val="0"/>
          <w:szCs w:val="21"/>
        </w:rPr>
        <w:t>进行</w:t>
      </w:r>
      <w:r>
        <w:rPr>
          <w:rFonts w:hint="eastAsia"/>
          <w:kern w:val="0"/>
          <w:szCs w:val="21"/>
        </w:rPr>
        <w:t>识别、表达</w:t>
      </w:r>
      <w:r>
        <w:rPr>
          <w:kern w:val="0"/>
          <w:szCs w:val="21"/>
        </w:rPr>
        <w:t>，并获得</w:t>
      </w:r>
      <w:r>
        <w:rPr>
          <w:rFonts w:hint="eastAsia"/>
          <w:kern w:val="0"/>
          <w:szCs w:val="21"/>
        </w:rPr>
        <w:t>初步</w:t>
      </w:r>
      <w:r>
        <w:rPr>
          <w:kern w:val="0"/>
          <w:szCs w:val="21"/>
        </w:rPr>
        <w:t>有效结论的能力。[2.1</w:t>
      </w:r>
      <w:r>
        <w:rPr>
          <w:rFonts w:hint="eastAsia"/>
          <w:kern w:val="0"/>
          <w:szCs w:val="21"/>
        </w:rPr>
        <w:t>、4</w:t>
      </w:r>
      <w:r>
        <w:rPr>
          <w:kern w:val="0"/>
          <w:szCs w:val="21"/>
        </w:rPr>
        <w:t>.1]</w:t>
      </w:r>
    </w:p>
    <w:p>
      <w:pPr>
        <w:rPr>
          <w:szCs w:val="21"/>
        </w:rPr>
      </w:pPr>
      <w:r>
        <w:rPr>
          <w:szCs w:val="21"/>
        </w:rPr>
        <w:t>课程教学目标与毕业要求的对应关系见表1：</w:t>
      </w:r>
    </w:p>
    <w:p>
      <w:pPr>
        <w:rPr>
          <w:kern w:val="0"/>
          <w:szCs w:val="21"/>
        </w:rPr>
      </w:pPr>
      <w:r>
        <w:rPr>
          <w:kern w:val="0"/>
          <w:szCs w:val="21"/>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088"/>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61" w:type="pct"/>
            <w:vAlign w:val="center"/>
          </w:tcPr>
          <w:p>
            <w:pPr>
              <w:rPr>
                <w:sz w:val="18"/>
                <w:szCs w:val="18"/>
              </w:rPr>
            </w:pPr>
            <w:r>
              <w:rPr>
                <w:rFonts w:hint="eastAsia"/>
                <w:sz w:val="18"/>
                <w:szCs w:val="18"/>
              </w:rPr>
              <w:t>毕业要求</w:t>
            </w:r>
          </w:p>
        </w:tc>
        <w:tc>
          <w:tcPr>
            <w:tcW w:w="3770" w:type="pct"/>
            <w:vAlign w:val="center"/>
          </w:tcPr>
          <w:p>
            <w:pPr>
              <w:rPr>
                <w:sz w:val="18"/>
                <w:szCs w:val="18"/>
              </w:rPr>
            </w:pPr>
            <w:r>
              <w:rPr>
                <w:rFonts w:hint="eastAsia"/>
                <w:sz w:val="18"/>
                <w:szCs w:val="18"/>
              </w:rPr>
              <w:t>毕业要求指标点</w:t>
            </w:r>
          </w:p>
        </w:tc>
        <w:tc>
          <w:tcPr>
            <w:tcW w:w="569" w:type="pct"/>
            <w:vAlign w:val="center"/>
          </w:tcPr>
          <w:p>
            <w:pPr>
              <w:rPr>
                <w:sz w:val="18"/>
                <w:szCs w:val="18"/>
              </w:rPr>
            </w:pPr>
            <w:r>
              <w:rPr>
                <w:rFonts w:hint="eastAsia"/>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pct"/>
            <w:vMerge w:val="restart"/>
            <w:vAlign w:val="center"/>
          </w:tcPr>
          <w:p>
            <w:pPr>
              <w:rPr>
                <w:sz w:val="18"/>
                <w:szCs w:val="18"/>
              </w:rPr>
            </w:pPr>
            <w:r>
              <w:rPr>
                <w:sz w:val="18"/>
                <w:szCs w:val="18"/>
              </w:rPr>
              <w:t>1</w:t>
            </w:r>
            <w:r>
              <w:rPr>
                <w:rFonts w:hint="eastAsia"/>
                <w:sz w:val="18"/>
                <w:szCs w:val="18"/>
              </w:rPr>
              <w:t>．</w:t>
            </w:r>
            <w:r>
              <w:rPr>
                <w:sz w:val="18"/>
                <w:szCs w:val="18"/>
              </w:rPr>
              <w:t>工程知识</w:t>
            </w:r>
          </w:p>
        </w:tc>
        <w:tc>
          <w:tcPr>
            <w:tcW w:w="3770" w:type="pct"/>
          </w:tcPr>
          <w:p>
            <w:pPr>
              <w:rPr>
                <w:sz w:val="18"/>
                <w:szCs w:val="18"/>
              </w:rPr>
            </w:pPr>
            <w:r>
              <w:rPr>
                <w:sz w:val="18"/>
                <w:szCs w:val="18"/>
              </w:rPr>
              <w:t>1.1掌握电子信息工程专业理论和知识体系的数学和自然科学知识，将其应用于信息技术（IT）行业知识和专业知识的学习。</w:t>
            </w:r>
          </w:p>
        </w:tc>
        <w:tc>
          <w:tcPr>
            <w:tcW w:w="569" w:type="pct"/>
            <w:vAlign w:val="center"/>
          </w:tcPr>
          <w:p>
            <w:pP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pct"/>
            <w:vMerge w:val="continue"/>
            <w:vAlign w:val="center"/>
          </w:tcPr>
          <w:p>
            <w:pPr>
              <w:rPr>
                <w:sz w:val="18"/>
                <w:szCs w:val="18"/>
              </w:rPr>
            </w:pPr>
          </w:p>
        </w:tc>
        <w:tc>
          <w:tcPr>
            <w:tcW w:w="3770" w:type="pct"/>
          </w:tcPr>
          <w:p>
            <w:pPr>
              <w:rPr>
                <w:sz w:val="18"/>
                <w:szCs w:val="18"/>
              </w:rPr>
            </w:pPr>
            <w:r>
              <w:rPr>
                <w:sz w:val="18"/>
                <w:szCs w:val="18"/>
              </w:rPr>
              <w:t>1.2掌握计算机、电子、信息、通信、测控及其它工程基础知识，并有效将其应用于电子信息领域工程问题</w:t>
            </w:r>
            <w:r>
              <w:rPr>
                <w:rFonts w:hint="eastAsia"/>
                <w:sz w:val="18"/>
                <w:szCs w:val="18"/>
              </w:rPr>
              <w:t>（含海洋电子信息领域）</w:t>
            </w:r>
            <w:r>
              <w:rPr>
                <w:sz w:val="18"/>
                <w:szCs w:val="18"/>
              </w:rPr>
              <w:t>的软硬件分析与设计。</w:t>
            </w:r>
          </w:p>
        </w:tc>
        <w:tc>
          <w:tcPr>
            <w:tcW w:w="569" w:type="pct"/>
            <w:vAlign w:val="center"/>
          </w:tcPr>
          <w:p>
            <w:pP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1" w:type="pct"/>
            <w:vAlign w:val="center"/>
          </w:tcPr>
          <w:p>
            <w:pPr>
              <w:rPr>
                <w:sz w:val="18"/>
                <w:szCs w:val="18"/>
              </w:rPr>
            </w:pPr>
            <w:r>
              <w:rPr>
                <w:sz w:val="18"/>
                <w:szCs w:val="18"/>
              </w:rPr>
              <w:t>2</w:t>
            </w:r>
            <w:r>
              <w:rPr>
                <w:rFonts w:hint="eastAsia"/>
                <w:sz w:val="18"/>
                <w:szCs w:val="18"/>
              </w:rPr>
              <w:t>．问题分析</w:t>
            </w:r>
          </w:p>
        </w:tc>
        <w:tc>
          <w:tcPr>
            <w:tcW w:w="3770" w:type="pct"/>
          </w:tcPr>
          <w:p>
            <w:pPr>
              <w:rPr>
                <w:sz w:val="18"/>
                <w:szCs w:val="18"/>
              </w:rPr>
            </w:pPr>
            <w:r>
              <w:rPr>
                <w:sz w:val="18"/>
                <w:szCs w:val="18"/>
              </w:rPr>
              <w:t>2.1具备应用数学、自然科学和工程科学的基本原理，对电子信息</w:t>
            </w:r>
            <w:r>
              <w:rPr>
                <w:rFonts w:hint="eastAsia"/>
                <w:sz w:val="18"/>
                <w:szCs w:val="18"/>
              </w:rPr>
              <w:t>领域</w:t>
            </w:r>
            <w:r>
              <w:rPr>
                <w:sz w:val="18"/>
                <w:szCs w:val="18"/>
              </w:rPr>
              <w:t>的复杂工程问题</w:t>
            </w:r>
            <w:r>
              <w:rPr>
                <w:rFonts w:hint="eastAsia"/>
                <w:sz w:val="18"/>
                <w:szCs w:val="18"/>
              </w:rPr>
              <w:t>（含海洋电子信息领域）</w:t>
            </w:r>
            <w:r>
              <w:rPr>
                <w:sz w:val="18"/>
                <w:szCs w:val="18"/>
              </w:rPr>
              <w:t>进行识别、表达和分析，并获得有效结论的能力。</w:t>
            </w:r>
          </w:p>
        </w:tc>
        <w:tc>
          <w:tcPr>
            <w:tcW w:w="569" w:type="pct"/>
            <w:vAlign w:val="center"/>
          </w:tcPr>
          <w:p>
            <w:pP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1" w:type="pct"/>
            <w:vAlign w:val="center"/>
          </w:tcPr>
          <w:p>
            <w:pPr>
              <w:rPr>
                <w:sz w:val="18"/>
                <w:szCs w:val="18"/>
              </w:rPr>
            </w:pPr>
            <w:r>
              <w:rPr>
                <w:sz w:val="18"/>
                <w:szCs w:val="18"/>
              </w:rPr>
              <w:t>4．研究</w:t>
            </w:r>
          </w:p>
        </w:tc>
        <w:tc>
          <w:tcPr>
            <w:tcW w:w="3770" w:type="pct"/>
            <w:vAlign w:val="center"/>
          </w:tcPr>
          <w:p>
            <w:pPr>
              <w:rPr>
                <w:sz w:val="18"/>
                <w:szCs w:val="18"/>
              </w:rPr>
            </w:pPr>
            <w:r>
              <w:rPr>
                <w:sz w:val="18"/>
                <w:szCs w:val="18"/>
              </w:rPr>
              <w:t>4.1具备基于电子信息科学原理采用科学方法对复杂工程问题的技术路线</w:t>
            </w:r>
            <w:r>
              <w:rPr>
                <w:rFonts w:hint="eastAsia"/>
                <w:sz w:val="18"/>
                <w:szCs w:val="18"/>
              </w:rPr>
              <w:t>、</w:t>
            </w:r>
            <w:r>
              <w:rPr>
                <w:sz w:val="18"/>
                <w:szCs w:val="18"/>
              </w:rPr>
              <w:t>实验方案、软/硬件模块和存在的问题进行研究的能力。</w:t>
            </w:r>
          </w:p>
        </w:tc>
        <w:tc>
          <w:tcPr>
            <w:tcW w:w="569" w:type="pct"/>
            <w:vAlign w:val="center"/>
          </w:tcPr>
          <w:p>
            <w:pPr>
              <w:rPr>
                <w:sz w:val="18"/>
                <w:szCs w:val="18"/>
              </w:rPr>
            </w:pPr>
            <w:r>
              <w:rPr>
                <w:rFonts w:hint="eastAsia"/>
                <w:sz w:val="18"/>
                <w:szCs w:val="18"/>
              </w:rPr>
              <w:t>3</w:t>
            </w:r>
          </w:p>
        </w:tc>
      </w:tr>
    </w:tbl>
    <w:p>
      <w:bookmarkStart w:id="28" w:name="_Hlk518478620"/>
      <w:r>
        <w:t>三、</w:t>
      </w:r>
      <w:bookmarkEnd w:id="28"/>
      <w:r>
        <w:t>课程教学目标达成途径（或教学设计）</w:t>
      </w:r>
    </w:p>
    <w:p>
      <w:pPr>
        <w:rPr>
          <w:kern w:val="0"/>
          <w:szCs w:val="21"/>
        </w:rPr>
      </w:pPr>
      <w:r>
        <w:rPr>
          <w:kern w:val="0"/>
          <w:szCs w:val="21"/>
        </w:rPr>
        <w:t>表</w:t>
      </w:r>
      <w:r>
        <w:rPr>
          <w:rFonts w:hint="eastAsia"/>
          <w:kern w:val="0"/>
          <w:szCs w:val="21"/>
        </w:rPr>
        <w:t>2</w:t>
      </w:r>
      <w:r>
        <w:rPr>
          <w:kern w:val="0"/>
          <w:szCs w:val="21"/>
        </w:rPr>
        <w:t>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1"/>
        <w:gridCol w:w="112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56" w:type="pct"/>
            <w:tcBorders>
              <w:top w:val="single" w:color="auto" w:sz="4" w:space="0"/>
              <w:left w:val="single" w:color="auto" w:sz="4" w:space="0"/>
              <w:bottom w:val="single" w:color="auto" w:sz="4" w:space="0"/>
              <w:right w:val="single" w:color="auto" w:sz="4" w:space="0"/>
            </w:tcBorders>
            <w:vAlign w:val="center"/>
          </w:tcPr>
          <w:p>
            <w:pPr>
              <w:rPr>
                <w:sz w:val="18"/>
                <w:szCs w:val="18"/>
              </w:rPr>
            </w:pPr>
            <w:r>
              <w:rPr>
                <w:sz w:val="18"/>
                <w:szCs w:val="18"/>
              </w:rPr>
              <w:t>课程教学目标</w:t>
            </w:r>
          </w:p>
        </w:tc>
        <w:tc>
          <w:tcPr>
            <w:tcW w:w="599" w:type="pct"/>
            <w:tcBorders>
              <w:top w:val="single" w:color="auto" w:sz="4" w:space="0"/>
              <w:left w:val="single" w:color="auto" w:sz="4" w:space="0"/>
              <w:bottom w:val="single" w:color="auto" w:sz="4" w:space="0"/>
              <w:right w:val="single" w:color="auto" w:sz="4" w:space="0"/>
            </w:tcBorders>
            <w:vAlign w:val="center"/>
          </w:tcPr>
          <w:p>
            <w:pPr>
              <w:rPr>
                <w:sz w:val="18"/>
                <w:szCs w:val="18"/>
              </w:rPr>
            </w:pPr>
            <w:r>
              <w:rPr>
                <w:sz w:val="18"/>
                <w:szCs w:val="18"/>
              </w:rPr>
              <w:t>达成途径</w:t>
            </w:r>
          </w:p>
        </w:tc>
        <w:tc>
          <w:tcPr>
            <w:tcW w:w="645" w:type="pct"/>
            <w:tcBorders>
              <w:top w:val="single" w:color="auto" w:sz="4" w:space="0"/>
              <w:left w:val="single" w:color="auto" w:sz="4" w:space="0"/>
              <w:bottom w:val="single" w:color="auto" w:sz="4" w:space="0"/>
              <w:right w:val="single" w:color="auto" w:sz="4" w:space="0"/>
            </w:tcBorders>
            <w:vAlign w:val="center"/>
          </w:tcPr>
          <w:p>
            <w:pPr>
              <w:rPr>
                <w:sz w:val="18"/>
                <w:szCs w:val="18"/>
              </w:rPr>
            </w:pPr>
            <w:r>
              <w:rPr>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rPr>
                <w:kern w:val="0"/>
                <w:szCs w:val="21"/>
              </w:rPr>
            </w:pPr>
            <w:r>
              <w:rPr>
                <w:rFonts w:hint="eastAsia"/>
                <w:kern w:val="0"/>
                <w:szCs w:val="21"/>
              </w:rPr>
              <w:t>1.掌握数理逻辑、集合论、代数结构、图论的基本概念、性质、定理，能够运用离散数学的知识理解和表述实际问题。</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highlight w:val="yellow"/>
              </w:rPr>
            </w:pPr>
            <w:r>
              <w:rPr>
                <w:rFonts w:hint="eastAsia"/>
                <w:sz w:val="18"/>
                <w:szCs w:val="18"/>
              </w:rPr>
              <w:t>课堂表现与考试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rPr>
                <w:kern w:val="0"/>
                <w:szCs w:val="21"/>
              </w:rPr>
            </w:pPr>
            <w:r>
              <w:rPr>
                <w:kern w:val="0"/>
                <w:szCs w:val="21"/>
              </w:rPr>
              <w:t>2．</w:t>
            </w:r>
            <w:r>
              <w:rPr>
                <w:rFonts w:hint="eastAsia"/>
                <w:kern w:val="0"/>
                <w:szCs w:val="21"/>
              </w:rPr>
              <w:t>掌握数理逻辑中符号化方法、并基于符号化进行逻辑推理；掌握等价关系、偏序关系的判别方法；掌握图论中最小生成树算法、哈夫曼算法等经典算法；能够从集合、关系、树、图的角度抽象出实际问题中研究对象以及对象之间内在联系，建立数学模型，并基于模型对问题推理、求解。</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highlight w:val="yellow"/>
              </w:rPr>
            </w:pPr>
            <w:r>
              <w:rPr>
                <w:sz w:val="18"/>
                <w:szCs w:val="18"/>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rPr>
                <w:kern w:val="0"/>
                <w:szCs w:val="21"/>
              </w:rPr>
            </w:pPr>
            <w:r>
              <w:rPr>
                <w:kern w:val="0"/>
                <w:szCs w:val="21"/>
              </w:rPr>
              <w:t>3．</w:t>
            </w:r>
            <w:r>
              <w:rPr>
                <w:rFonts w:hint="eastAsia"/>
                <w:kern w:val="0"/>
                <w:szCs w:val="21"/>
              </w:rPr>
              <w:t>通过教师引导、学习自主查阅文献等方式，了解离散数学在电子信息领域的应用，理解离散数学对后续课程的意义，理解自主学习和终身学习的必要性。能够应用离散数学的理论对</w:t>
            </w:r>
            <w:r>
              <w:rPr>
                <w:kern w:val="0"/>
                <w:szCs w:val="21"/>
              </w:rPr>
              <w:t>复杂工程问题</w:t>
            </w:r>
            <w:r>
              <w:rPr>
                <w:rFonts w:hint="eastAsia"/>
                <w:kern w:val="0"/>
                <w:szCs w:val="21"/>
              </w:rPr>
              <w:t>中的数学问题</w:t>
            </w:r>
            <w:r>
              <w:rPr>
                <w:kern w:val="0"/>
                <w:szCs w:val="21"/>
              </w:rPr>
              <w:t>进行</w:t>
            </w:r>
            <w:r>
              <w:rPr>
                <w:rFonts w:hint="eastAsia"/>
                <w:kern w:val="0"/>
                <w:szCs w:val="21"/>
              </w:rPr>
              <w:t>识别、表达</w:t>
            </w:r>
            <w:r>
              <w:rPr>
                <w:kern w:val="0"/>
                <w:szCs w:val="21"/>
              </w:rPr>
              <w:t>，并获得</w:t>
            </w:r>
            <w:r>
              <w:rPr>
                <w:rFonts w:hint="eastAsia"/>
                <w:kern w:val="0"/>
                <w:szCs w:val="21"/>
              </w:rPr>
              <w:t>初步</w:t>
            </w:r>
            <w:r>
              <w:rPr>
                <w:kern w:val="0"/>
                <w:szCs w:val="21"/>
              </w:rPr>
              <w:t>有效结论的能力。</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rPr>
            </w:pPr>
            <w:r>
              <w:rPr>
                <w:sz w:val="18"/>
                <w:szCs w:val="18"/>
              </w:rPr>
              <w:t>通过课堂讲授、学生学习等达成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highlight w:val="yellow"/>
              </w:rPr>
            </w:pPr>
            <w:r>
              <w:rPr>
                <w:sz w:val="18"/>
                <w:szCs w:val="18"/>
              </w:rPr>
              <w:t>习题作业与考试</w:t>
            </w:r>
          </w:p>
        </w:tc>
      </w:tr>
    </w:tbl>
    <w:p>
      <w:r>
        <w:t>四、课程教学内容、教与学的要求</w:t>
      </w:r>
    </w:p>
    <w:p>
      <w:pPr>
        <w:rPr>
          <w:szCs w:val="21"/>
        </w:rPr>
      </w:pPr>
      <w:r>
        <w:rPr>
          <w:szCs w:val="21"/>
        </w:rPr>
        <w:t>本课程是一门专注于理论教学的课程，理论教学为</w:t>
      </w:r>
      <w:r>
        <w:rPr>
          <w:rFonts w:hint="eastAsia"/>
          <w:szCs w:val="21"/>
        </w:rPr>
        <w:t>32</w:t>
      </w:r>
      <w:r>
        <w:rPr>
          <w:szCs w:val="21"/>
        </w:rPr>
        <w:t>学时，强调培养学生的理论分析</w:t>
      </w:r>
      <w:r>
        <w:rPr>
          <w:rFonts w:hint="eastAsia"/>
          <w:szCs w:val="21"/>
        </w:rPr>
        <w:t>、逻辑</w:t>
      </w:r>
      <w:r>
        <w:rPr>
          <w:szCs w:val="21"/>
        </w:rPr>
        <w:t>思维、分析</w:t>
      </w:r>
      <w:r>
        <w:rPr>
          <w:rFonts w:hint="eastAsia"/>
          <w:szCs w:val="21"/>
        </w:rPr>
        <w:t>问题</w:t>
      </w:r>
      <w:r>
        <w:rPr>
          <w:szCs w:val="21"/>
        </w:rPr>
        <w:t>和解决实际问题的能力。课堂授课以讲授式教学为主：基于电子信息工程专业后续专业课程的需要构建课程教学体系，根据课程特点采用启发式教学、任务驱动教学</w:t>
      </w:r>
      <w:r>
        <w:rPr>
          <w:rFonts w:hint="eastAsia"/>
          <w:szCs w:val="21"/>
        </w:rPr>
        <w:t>等</w:t>
      </w:r>
      <w:r>
        <w:rPr>
          <w:szCs w:val="21"/>
        </w:rPr>
        <w:t>教学方法，核心能力知识点采用“原理描述-</w:t>
      </w:r>
      <w:r>
        <w:rPr>
          <w:rFonts w:hint="eastAsia"/>
          <w:szCs w:val="21"/>
        </w:rPr>
        <w:t>知识</w:t>
      </w:r>
      <w:r>
        <w:rPr>
          <w:szCs w:val="21"/>
        </w:rPr>
        <w:t>要点分析-</w:t>
      </w:r>
      <w:r>
        <w:rPr>
          <w:rFonts w:hint="eastAsia"/>
          <w:szCs w:val="21"/>
        </w:rPr>
        <w:t>工程</w:t>
      </w:r>
      <w:r>
        <w:rPr>
          <w:szCs w:val="21"/>
        </w:rPr>
        <w:t>应用展示”相互呼应的教学模式。</w:t>
      </w:r>
    </w:p>
    <w:p>
      <w:pPr>
        <w:rPr>
          <w:szCs w:val="21"/>
        </w:rPr>
      </w:pPr>
      <w:r>
        <w:rPr>
          <w:szCs w:val="21"/>
        </w:rPr>
        <w:t>本课程理论教学内容与教学要求见表3。</w:t>
      </w:r>
    </w:p>
    <w:p>
      <w:pPr>
        <w:rPr>
          <w:sz w:val="18"/>
          <w:szCs w:val="18"/>
        </w:rPr>
      </w:pPr>
      <w:r>
        <w:rPr>
          <w:sz w:val="18"/>
          <w:szCs w:val="18"/>
        </w:rPr>
        <w:t>表3教学内容与教学</w:t>
      </w:r>
    </w:p>
    <w:tbl>
      <w:tblPr>
        <w:tblStyle w:val="2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01"/>
        <w:gridCol w:w="5387"/>
        <w:gridCol w:w="70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trPr>
        <w:tc>
          <w:tcPr>
            <w:tcW w:w="675" w:type="dxa"/>
            <w:vAlign w:val="center"/>
          </w:tcPr>
          <w:p>
            <w:pPr>
              <w:rPr>
                <w:szCs w:val="21"/>
              </w:rPr>
            </w:pPr>
            <w:r>
              <w:rPr>
                <w:szCs w:val="21"/>
              </w:rPr>
              <w:t>序号</w:t>
            </w:r>
          </w:p>
        </w:tc>
        <w:tc>
          <w:tcPr>
            <w:tcW w:w="1701" w:type="dxa"/>
            <w:vAlign w:val="center"/>
          </w:tcPr>
          <w:p>
            <w:pPr>
              <w:rPr>
                <w:szCs w:val="21"/>
              </w:rPr>
            </w:pPr>
            <w:r>
              <w:rPr>
                <w:szCs w:val="21"/>
              </w:rPr>
              <w:t>教学内容</w:t>
            </w:r>
          </w:p>
        </w:tc>
        <w:tc>
          <w:tcPr>
            <w:tcW w:w="5387" w:type="dxa"/>
            <w:vAlign w:val="center"/>
          </w:tcPr>
          <w:p>
            <w:pPr>
              <w:rPr>
                <w:szCs w:val="21"/>
              </w:rPr>
            </w:pPr>
            <w:r>
              <w:rPr>
                <w:sz w:val="18"/>
                <w:szCs w:val="18"/>
              </w:rPr>
              <w:t>教与学的要求</w:t>
            </w:r>
          </w:p>
        </w:tc>
        <w:tc>
          <w:tcPr>
            <w:tcW w:w="709" w:type="dxa"/>
            <w:vAlign w:val="center"/>
          </w:tcPr>
          <w:p>
            <w:pPr>
              <w:rPr>
                <w:szCs w:val="21"/>
              </w:rPr>
            </w:pPr>
            <w:r>
              <w:rPr>
                <w:rFonts w:hint="eastAsia" w:ascii="宋体" w:hAnsi="宋体"/>
                <w:szCs w:val="21"/>
              </w:rPr>
              <w:t>学时</w:t>
            </w:r>
          </w:p>
        </w:tc>
        <w:tc>
          <w:tcPr>
            <w:tcW w:w="1134" w:type="dxa"/>
            <w:vAlign w:val="center"/>
          </w:tcPr>
          <w:p>
            <w:pPr>
              <w:rPr>
                <w:szCs w:val="21"/>
              </w:rPr>
            </w:pPr>
            <w:r>
              <w:rPr>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675" w:type="dxa"/>
            <w:vAlign w:val="center"/>
          </w:tcPr>
          <w:p>
            <w:pPr>
              <w:rPr>
                <w:szCs w:val="21"/>
              </w:rPr>
            </w:pPr>
            <w:r>
              <w:rPr>
                <w:rFonts w:hint="eastAsia"/>
                <w:szCs w:val="21"/>
              </w:rPr>
              <w:t>1</w:t>
            </w:r>
          </w:p>
        </w:tc>
        <w:tc>
          <w:tcPr>
            <w:tcW w:w="1701" w:type="dxa"/>
            <w:vAlign w:val="center"/>
          </w:tcPr>
          <w:p>
            <w:pPr>
              <w:rPr>
                <w:szCs w:val="21"/>
              </w:rPr>
            </w:pPr>
            <w:r>
              <w:rPr>
                <w:rFonts w:hint="eastAsia"/>
                <w:szCs w:val="21"/>
              </w:rPr>
              <w:t>1数理逻辑</w:t>
            </w:r>
          </w:p>
          <w:p>
            <w:pPr>
              <w:rPr>
                <w:szCs w:val="21"/>
              </w:rPr>
            </w:pPr>
            <w:r>
              <w:rPr>
                <w:rFonts w:hint="eastAsia"/>
                <w:szCs w:val="21"/>
              </w:rPr>
              <w:t>1.1命题逻辑基本概念</w:t>
            </w:r>
          </w:p>
          <w:p>
            <w:pPr>
              <w:rPr>
                <w:szCs w:val="21"/>
              </w:rPr>
            </w:pPr>
            <w:r>
              <w:rPr>
                <w:rFonts w:hint="eastAsia"/>
                <w:szCs w:val="21"/>
              </w:rPr>
              <w:t>1.2命题逻辑等值演算</w:t>
            </w:r>
          </w:p>
          <w:p>
            <w:pPr>
              <w:rPr>
                <w:szCs w:val="21"/>
              </w:rPr>
            </w:pPr>
            <w:r>
              <w:rPr>
                <w:rFonts w:hint="eastAsia"/>
                <w:szCs w:val="21"/>
              </w:rPr>
              <w:t>1.3命题逻辑推理理论</w:t>
            </w:r>
          </w:p>
        </w:tc>
        <w:tc>
          <w:tcPr>
            <w:tcW w:w="5387" w:type="dxa"/>
            <w:vAlign w:val="center"/>
          </w:tcPr>
          <w:p>
            <w:pPr>
              <w:rPr>
                <w:szCs w:val="21"/>
              </w:rPr>
            </w:pPr>
            <w:r>
              <w:rPr>
                <w:rFonts w:hint="eastAsia"/>
                <w:szCs w:val="21"/>
              </w:rPr>
              <w:t>1.要求</w:t>
            </w:r>
          </w:p>
          <w:p>
            <w:pPr>
              <w:rPr>
                <w:szCs w:val="21"/>
              </w:rPr>
            </w:pPr>
            <w:r>
              <w:rPr>
                <w:szCs w:val="21"/>
              </w:rPr>
              <w:t>理解</w:t>
            </w:r>
            <w:r>
              <w:rPr>
                <w:rFonts w:hint="eastAsia"/>
                <w:szCs w:val="21"/>
              </w:rPr>
              <w:t>命题逻辑的基本概念、</w:t>
            </w:r>
            <w:r>
              <w:rPr>
                <w:szCs w:val="21"/>
              </w:rPr>
              <w:t>等值式的概念</w:t>
            </w:r>
          </w:p>
          <w:p>
            <w:pPr>
              <w:rPr>
                <w:szCs w:val="21"/>
              </w:rPr>
            </w:pPr>
            <w:r>
              <w:rPr>
                <w:rFonts w:hint="eastAsia"/>
                <w:szCs w:val="21"/>
              </w:rPr>
              <w:t>掌握命题的符号化、等值演算、命题逻辑的推理</w:t>
            </w:r>
          </w:p>
          <w:p>
            <w:pPr>
              <w:rPr>
                <w:szCs w:val="21"/>
              </w:rPr>
            </w:pPr>
            <w:r>
              <w:rPr>
                <w:rFonts w:hint="eastAsia"/>
                <w:szCs w:val="21"/>
              </w:rPr>
              <w:t>2.作业内容</w:t>
            </w:r>
          </w:p>
          <w:p>
            <w:pPr>
              <w:rPr>
                <w:szCs w:val="21"/>
              </w:rPr>
            </w:pPr>
            <w:r>
              <w:rPr>
                <w:rFonts w:hint="eastAsia"/>
                <w:kern w:val="0"/>
                <w:szCs w:val="21"/>
              </w:rPr>
              <w:t>命题符号化、</w:t>
            </w:r>
            <w:r>
              <w:rPr>
                <w:rFonts w:hint="eastAsia"/>
                <w:szCs w:val="21"/>
              </w:rPr>
              <w:t>等值演算、命题逻辑的推理</w:t>
            </w:r>
          </w:p>
          <w:p>
            <w:pPr>
              <w:rPr>
                <w:szCs w:val="21"/>
              </w:rPr>
            </w:pPr>
            <w:r>
              <w:rPr>
                <w:rFonts w:hint="eastAsia"/>
                <w:szCs w:val="21"/>
              </w:rPr>
              <w:t>3.</w:t>
            </w:r>
            <w:r>
              <w:rPr>
                <w:szCs w:val="21"/>
              </w:rPr>
              <w:t xml:space="preserve">教学方法 </w:t>
            </w:r>
          </w:p>
          <w:p>
            <w:pPr>
              <w:rPr>
                <w:szCs w:val="21"/>
              </w:rPr>
            </w:pPr>
            <w:r>
              <w:rPr>
                <w:szCs w:val="21"/>
              </w:rPr>
              <w:t>讲授式、讨论式与启发式相结合</w:t>
            </w:r>
          </w:p>
        </w:tc>
        <w:tc>
          <w:tcPr>
            <w:tcW w:w="709" w:type="dxa"/>
            <w:vAlign w:val="center"/>
          </w:tcPr>
          <w:p>
            <w:pPr>
              <w:rPr>
                <w:szCs w:val="21"/>
              </w:rPr>
            </w:pPr>
            <w:r>
              <w:rPr>
                <w:rFonts w:hint="eastAsia"/>
                <w:szCs w:val="21"/>
              </w:rPr>
              <w:t>10</w:t>
            </w:r>
          </w:p>
        </w:tc>
        <w:tc>
          <w:tcPr>
            <w:tcW w:w="1134" w:type="dxa"/>
            <w:vAlign w:val="center"/>
          </w:tcPr>
          <w:p>
            <w:pPr>
              <w:rPr>
                <w:szCs w:val="21"/>
              </w:rPr>
            </w:pPr>
            <w:r>
              <w:rPr>
                <w:szCs w:val="21"/>
              </w:rPr>
              <w:t>1</w:t>
            </w: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rPr>
                <w:szCs w:val="21"/>
              </w:rPr>
            </w:pPr>
            <w:r>
              <w:rPr>
                <w:rFonts w:hint="eastAsia"/>
                <w:szCs w:val="21"/>
              </w:rPr>
              <w:t>2</w:t>
            </w:r>
          </w:p>
        </w:tc>
        <w:tc>
          <w:tcPr>
            <w:tcW w:w="1701" w:type="dxa"/>
            <w:vAlign w:val="center"/>
          </w:tcPr>
          <w:p>
            <w:pPr>
              <w:rPr>
                <w:szCs w:val="21"/>
              </w:rPr>
            </w:pPr>
            <w:r>
              <w:rPr>
                <w:rFonts w:hint="eastAsia"/>
                <w:szCs w:val="21"/>
              </w:rPr>
              <w:t>2.集合论</w:t>
            </w:r>
          </w:p>
          <w:p>
            <w:pPr>
              <w:rPr>
                <w:szCs w:val="21"/>
              </w:rPr>
            </w:pPr>
            <w:r>
              <w:rPr>
                <w:rFonts w:hint="eastAsia"/>
                <w:szCs w:val="21"/>
              </w:rPr>
              <w:t>2.1集合的基本概念与运算</w:t>
            </w:r>
          </w:p>
          <w:p>
            <w:pPr>
              <w:rPr>
                <w:szCs w:val="21"/>
              </w:rPr>
            </w:pPr>
            <w:r>
              <w:rPr>
                <w:rFonts w:hint="eastAsia"/>
                <w:szCs w:val="21"/>
              </w:rPr>
              <w:t>2.2二元关系的运算与性质</w:t>
            </w:r>
          </w:p>
          <w:p>
            <w:pPr>
              <w:rPr>
                <w:szCs w:val="21"/>
              </w:rPr>
            </w:pPr>
            <w:r>
              <w:rPr>
                <w:rFonts w:hint="eastAsia"/>
                <w:szCs w:val="21"/>
              </w:rPr>
              <w:t>2.3等价关系与偏序关系</w:t>
            </w:r>
          </w:p>
        </w:tc>
        <w:tc>
          <w:tcPr>
            <w:tcW w:w="5387" w:type="dxa"/>
            <w:vAlign w:val="center"/>
          </w:tcPr>
          <w:p>
            <w:pPr>
              <w:rPr>
                <w:szCs w:val="21"/>
              </w:rPr>
            </w:pPr>
            <w:r>
              <w:rPr>
                <w:rFonts w:hint="eastAsia"/>
                <w:szCs w:val="21"/>
              </w:rPr>
              <w:t>1.要求</w:t>
            </w:r>
          </w:p>
          <w:p>
            <w:pPr>
              <w:rPr>
                <w:szCs w:val="21"/>
              </w:rPr>
            </w:pPr>
            <w:r>
              <w:rPr>
                <w:rFonts w:hint="eastAsia"/>
                <w:szCs w:val="21"/>
              </w:rPr>
              <w:t>理解集合、二元关系的基本概念</w:t>
            </w:r>
          </w:p>
          <w:p>
            <w:pPr>
              <w:rPr>
                <w:szCs w:val="21"/>
              </w:rPr>
            </w:pPr>
            <w:r>
              <w:rPr>
                <w:rFonts w:hint="eastAsia"/>
                <w:szCs w:val="21"/>
              </w:rPr>
              <w:t>掌握集合恒等式、关系的性质与运算、等价关系、偏序关系</w:t>
            </w:r>
          </w:p>
          <w:p>
            <w:pPr>
              <w:rPr>
                <w:szCs w:val="21"/>
              </w:rPr>
            </w:pPr>
            <w:r>
              <w:rPr>
                <w:rFonts w:hint="eastAsia"/>
                <w:szCs w:val="21"/>
              </w:rPr>
              <w:t>2.作业内容</w:t>
            </w:r>
          </w:p>
          <w:p>
            <w:pPr>
              <w:rPr>
                <w:szCs w:val="21"/>
              </w:rPr>
            </w:pPr>
            <w:r>
              <w:rPr>
                <w:rFonts w:hint="eastAsia"/>
                <w:kern w:val="0"/>
                <w:szCs w:val="21"/>
              </w:rPr>
              <w:t>集合、关系运算</w:t>
            </w:r>
            <w:r>
              <w:rPr>
                <w:rFonts w:hint="eastAsia"/>
                <w:szCs w:val="21"/>
              </w:rPr>
              <w:t>、等价关系与偏序关系判断</w:t>
            </w:r>
          </w:p>
          <w:p>
            <w:pPr>
              <w:rPr>
                <w:szCs w:val="21"/>
              </w:rPr>
            </w:pPr>
            <w:r>
              <w:rPr>
                <w:rFonts w:hint="eastAsia"/>
                <w:szCs w:val="21"/>
              </w:rPr>
              <w:t>3.</w:t>
            </w:r>
            <w:r>
              <w:rPr>
                <w:szCs w:val="21"/>
              </w:rPr>
              <w:t xml:space="preserve">教学方法 </w:t>
            </w:r>
          </w:p>
          <w:p>
            <w:pPr>
              <w:rPr>
                <w:szCs w:val="21"/>
              </w:rPr>
            </w:pPr>
            <w:r>
              <w:rPr>
                <w:szCs w:val="21"/>
              </w:rPr>
              <w:t>讲授式、讨论式与启发式相结合</w:t>
            </w:r>
          </w:p>
        </w:tc>
        <w:tc>
          <w:tcPr>
            <w:tcW w:w="709" w:type="dxa"/>
            <w:vAlign w:val="center"/>
          </w:tcPr>
          <w:p>
            <w:pPr>
              <w:rPr>
                <w:szCs w:val="21"/>
              </w:rPr>
            </w:pPr>
            <w:r>
              <w:rPr>
                <w:rFonts w:hint="eastAsia"/>
                <w:szCs w:val="21"/>
              </w:rPr>
              <w:t>8</w:t>
            </w:r>
          </w:p>
        </w:tc>
        <w:tc>
          <w:tcPr>
            <w:tcW w:w="1134" w:type="dxa"/>
            <w:vAlign w:val="center"/>
          </w:tcPr>
          <w:p>
            <w:pPr>
              <w:rPr>
                <w:szCs w:val="21"/>
              </w:rPr>
            </w:pPr>
            <w:r>
              <w:rPr>
                <w:szCs w:val="21"/>
              </w:rPr>
              <w:t>1</w:t>
            </w: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75" w:type="dxa"/>
            <w:vAlign w:val="center"/>
          </w:tcPr>
          <w:p>
            <w:pPr>
              <w:rPr>
                <w:szCs w:val="21"/>
              </w:rPr>
            </w:pPr>
            <w:r>
              <w:rPr>
                <w:rFonts w:hint="eastAsia"/>
                <w:szCs w:val="21"/>
              </w:rPr>
              <w:t>3</w:t>
            </w:r>
          </w:p>
        </w:tc>
        <w:tc>
          <w:tcPr>
            <w:tcW w:w="1701" w:type="dxa"/>
            <w:vAlign w:val="center"/>
          </w:tcPr>
          <w:p>
            <w:pPr>
              <w:rPr>
                <w:szCs w:val="21"/>
              </w:rPr>
            </w:pPr>
            <w:r>
              <w:rPr>
                <w:rFonts w:hint="eastAsia"/>
                <w:szCs w:val="21"/>
              </w:rPr>
              <w:t>3.代数系统</w:t>
            </w:r>
          </w:p>
          <w:p>
            <w:pPr>
              <w:rPr>
                <w:szCs w:val="21"/>
              </w:rPr>
            </w:pPr>
            <w:r>
              <w:rPr>
                <w:rFonts w:hint="eastAsia"/>
                <w:szCs w:val="21"/>
              </w:rPr>
              <w:t>3.1二元运算及其性质</w:t>
            </w:r>
          </w:p>
          <w:p>
            <w:pPr>
              <w:rPr>
                <w:szCs w:val="21"/>
              </w:rPr>
            </w:pPr>
            <w:r>
              <w:rPr>
                <w:rFonts w:hint="eastAsia"/>
                <w:szCs w:val="21"/>
              </w:rPr>
              <w:t>3.2群与循环群</w:t>
            </w:r>
          </w:p>
        </w:tc>
        <w:tc>
          <w:tcPr>
            <w:tcW w:w="5387" w:type="dxa"/>
            <w:vAlign w:val="center"/>
          </w:tcPr>
          <w:p>
            <w:pPr>
              <w:rPr>
                <w:szCs w:val="21"/>
              </w:rPr>
            </w:pPr>
            <w:r>
              <w:rPr>
                <w:rFonts w:hint="eastAsia"/>
                <w:szCs w:val="21"/>
              </w:rPr>
              <w:t>1.要求</w:t>
            </w:r>
          </w:p>
          <w:p>
            <w:pPr>
              <w:rPr>
                <w:szCs w:val="21"/>
              </w:rPr>
            </w:pPr>
            <w:r>
              <w:rPr>
                <w:szCs w:val="21"/>
              </w:rPr>
              <w:t>了解</w:t>
            </w:r>
            <w:r>
              <w:rPr>
                <w:rFonts w:hint="eastAsia"/>
                <w:szCs w:val="21"/>
              </w:rPr>
              <w:t>群、有限域在计算机领域的应用</w:t>
            </w:r>
          </w:p>
          <w:p>
            <w:pPr>
              <w:rPr>
                <w:szCs w:val="21"/>
              </w:rPr>
            </w:pPr>
            <w:r>
              <w:rPr>
                <w:rFonts w:hint="eastAsia"/>
                <w:szCs w:val="21"/>
              </w:rPr>
              <w:t>理解代数系统、群的定义</w:t>
            </w:r>
          </w:p>
          <w:p>
            <w:pPr>
              <w:rPr>
                <w:szCs w:val="21"/>
              </w:rPr>
            </w:pPr>
            <w:r>
              <w:rPr>
                <w:rFonts w:hint="eastAsia"/>
                <w:szCs w:val="21"/>
              </w:rPr>
              <w:t>掌握二元运算及其性质、群与循环群的运算及其性质</w:t>
            </w:r>
          </w:p>
          <w:p>
            <w:pPr>
              <w:rPr>
                <w:szCs w:val="21"/>
              </w:rPr>
            </w:pPr>
            <w:r>
              <w:rPr>
                <w:rFonts w:hint="eastAsia"/>
                <w:szCs w:val="21"/>
              </w:rPr>
              <w:t>2.作业内容</w:t>
            </w:r>
          </w:p>
          <w:p>
            <w:pPr>
              <w:rPr>
                <w:szCs w:val="21"/>
              </w:rPr>
            </w:pPr>
            <w:r>
              <w:rPr>
                <w:szCs w:val="21"/>
              </w:rPr>
              <w:t>代数系统、</w:t>
            </w:r>
            <w:r>
              <w:rPr>
                <w:rFonts w:hint="eastAsia"/>
                <w:szCs w:val="21"/>
              </w:rPr>
              <w:t>二元运算、群、循环群的运算3.</w:t>
            </w:r>
            <w:r>
              <w:rPr>
                <w:szCs w:val="21"/>
              </w:rPr>
              <w:t xml:space="preserve">教学方法 </w:t>
            </w:r>
          </w:p>
          <w:p>
            <w:pPr>
              <w:rPr>
                <w:szCs w:val="21"/>
              </w:rPr>
            </w:pPr>
            <w:r>
              <w:rPr>
                <w:szCs w:val="21"/>
              </w:rPr>
              <w:t>讲授式、讨论式与启发式相结合</w:t>
            </w:r>
          </w:p>
        </w:tc>
        <w:tc>
          <w:tcPr>
            <w:tcW w:w="709" w:type="dxa"/>
            <w:vAlign w:val="center"/>
          </w:tcPr>
          <w:p>
            <w:pPr>
              <w:rPr>
                <w:szCs w:val="21"/>
              </w:rPr>
            </w:pPr>
            <w:r>
              <w:rPr>
                <w:rFonts w:hint="eastAsia"/>
                <w:szCs w:val="21"/>
              </w:rPr>
              <w:t>6</w:t>
            </w:r>
          </w:p>
        </w:tc>
        <w:tc>
          <w:tcPr>
            <w:tcW w:w="1134" w:type="dxa"/>
            <w:vAlign w:val="center"/>
          </w:tcPr>
          <w:p>
            <w:pPr>
              <w:rPr>
                <w:szCs w:val="21"/>
              </w:rPr>
            </w:pPr>
            <w:r>
              <w:rPr>
                <w:szCs w:val="21"/>
              </w:rPr>
              <w:t>1、</w:t>
            </w: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rPr>
                <w:szCs w:val="21"/>
              </w:rPr>
            </w:pPr>
            <w:r>
              <w:rPr>
                <w:rFonts w:hint="eastAsia"/>
                <w:szCs w:val="21"/>
              </w:rPr>
              <w:t>4</w:t>
            </w:r>
          </w:p>
        </w:tc>
        <w:tc>
          <w:tcPr>
            <w:tcW w:w="1701" w:type="dxa"/>
            <w:vAlign w:val="center"/>
          </w:tcPr>
          <w:p>
            <w:pPr>
              <w:rPr>
                <w:szCs w:val="21"/>
              </w:rPr>
            </w:pPr>
            <w:r>
              <w:rPr>
                <w:rFonts w:hint="eastAsia"/>
                <w:szCs w:val="21"/>
              </w:rPr>
              <w:t>4.图</w:t>
            </w:r>
          </w:p>
          <w:p>
            <w:pPr>
              <w:rPr>
                <w:szCs w:val="21"/>
              </w:rPr>
            </w:pPr>
            <w:r>
              <w:rPr>
                <w:rFonts w:hint="eastAsia"/>
                <w:szCs w:val="21"/>
              </w:rPr>
              <w:t>4.1图的基本概念</w:t>
            </w:r>
          </w:p>
          <w:p>
            <w:pPr>
              <w:rPr>
                <w:szCs w:val="21"/>
              </w:rPr>
            </w:pPr>
            <w:r>
              <w:rPr>
                <w:rFonts w:hint="eastAsia"/>
                <w:szCs w:val="21"/>
              </w:rPr>
              <w:t>4.2欧拉图与平面图</w:t>
            </w:r>
          </w:p>
          <w:p>
            <w:pPr>
              <w:rPr>
                <w:szCs w:val="21"/>
              </w:rPr>
            </w:pPr>
            <w:r>
              <w:rPr>
                <w:rFonts w:hint="eastAsia"/>
                <w:szCs w:val="21"/>
              </w:rPr>
              <w:t>4.3树与生成树</w:t>
            </w:r>
          </w:p>
        </w:tc>
        <w:tc>
          <w:tcPr>
            <w:tcW w:w="5387" w:type="dxa"/>
            <w:vAlign w:val="center"/>
          </w:tcPr>
          <w:p>
            <w:pPr>
              <w:rPr>
                <w:szCs w:val="21"/>
              </w:rPr>
            </w:pPr>
            <w:r>
              <w:rPr>
                <w:rFonts w:hint="eastAsia"/>
                <w:szCs w:val="21"/>
              </w:rPr>
              <w:t>1.要求</w:t>
            </w:r>
          </w:p>
          <w:p>
            <w:pPr>
              <w:rPr>
                <w:szCs w:val="21"/>
              </w:rPr>
            </w:pPr>
            <w:r>
              <w:rPr>
                <w:rFonts w:hint="eastAsia"/>
                <w:szCs w:val="21"/>
              </w:rPr>
              <w:t>理解图、树的基本概念及表示方法</w:t>
            </w:r>
          </w:p>
          <w:p>
            <w:pPr>
              <w:rPr>
                <w:szCs w:val="21"/>
              </w:rPr>
            </w:pPr>
            <w:r>
              <w:rPr>
                <w:rFonts w:hint="eastAsia"/>
                <w:szCs w:val="21"/>
              </w:rPr>
              <w:t>掌握欧拉图、平面图的判断方法</w:t>
            </w:r>
          </w:p>
          <w:p>
            <w:pPr>
              <w:numPr>
                <w:ilvl w:val="0"/>
                <w:numId w:val="2"/>
              </w:numPr>
              <w:spacing w:line="300" w:lineRule="auto"/>
              <w:rPr>
                <w:szCs w:val="21"/>
              </w:rPr>
            </w:pPr>
            <w:r>
              <w:rPr>
                <w:rFonts w:hint="eastAsia"/>
                <w:szCs w:val="21"/>
              </w:rPr>
              <w:t>掌握树的遍历算法、最小生成树算法、哈夫曼算法</w:t>
            </w:r>
          </w:p>
          <w:p>
            <w:pPr>
              <w:rPr>
                <w:szCs w:val="21"/>
              </w:rPr>
            </w:pPr>
            <w:r>
              <w:rPr>
                <w:rFonts w:hint="eastAsia"/>
                <w:szCs w:val="21"/>
              </w:rPr>
              <w:t>2.作业内容</w:t>
            </w:r>
          </w:p>
          <w:p>
            <w:pPr>
              <w:rPr>
                <w:szCs w:val="21"/>
              </w:rPr>
            </w:pPr>
            <w:r>
              <w:rPr>
                <w:szCs w:val="21"/>
              </w:rPr>
              <w:t>顶点的度</w:t>
            </w:r>
            <w:r>
              <w:rPr>
                <w:rFonts w:hint="eastAsia"/>
                <w:szCs w:val="21"/>
              </w:rPr>
              <w:t>、</w:t>
            </w:r>
            <w:r>
              <w:rPr>
                <w:szCs w:val="21"/>
              </w:rPr>
              <w:t>图的矩阵表示、</w:t>
            </w:r>
            <w:r>
              <w:rPr>
                <w:rFonts w:hint="eastAsia"/>
                <w:szCs w:val="21"/>
              </w:rPr>
              <w:t>欧拉图与平面图的判断、最小生成树的构造、哈夫曼编码</w:t>
            </w:r>
          </w:p>
          <w:p>
            <w:pPr>
              <w:rPr>
                <w:szCs w:val="21"/>
              </w:rPr>
            </w:pPr>
            <w:r>
              <w:rPr>
                <w:rFonts w:hint="eastAsia"/>
                <w:szCs w:val="21"/>
              </w:rPr>
              <w:t>3.</w:t>
            </w:r>
            <w:r>
              <w:rPr>
                <w:szCs w:val="21"/>
              </w:rPr>
              <w:t xml:space="preserve">教学方法 </w:t>
            </w:r>
          </w:p>
          <w:p>
            <w:pPr>
              <w:spacing w:line="300" w:lineRule="auto"/>
              <w:rPr>
                <w:szCs w:val="21"/>
              </w:rPr>
            </w:pPr>
            <w:r>
              <w:rPr>
                <w:szCs w:val="21"/>
              </w:rPr>
              <w:t>讲授式、讨论式与启发式相结合</w:t>
            </w:r>
          </w:p>
        </w:tc>
        <w:tc>
          <w:tcPr>
            <w:tcW w:w="709" w:type="dxa"/>
            <w:vAlign w:val="center"/>
          </w:tcPr>
          <w:p>
            <w:pPr>
              <w:rPr>
                <w:szCs w:val="21"/>
              </w:rPr>
            </w:pPr>
            <w:r>
              <w:rPr>
                <w:rFonts w:hint="eastAsia"/>
                <w:szCs w:val="21"/>
              </w:rPr>
              <w:t>8</w:t>
            </w:r>
          </w:p>
        </w:tc>
        <w:tc>
          <w:tcPr>
            <w:tcW w:w="1134" w:type="dxa"/>
            <w:vAlign w:val="center"/>
          </w:tcPr>
          <w:p>
            <w:pPr>
              <w:rPr>
                <w:szCs w:val="21"/>
              </w:rPr>
            </w:pPr>
            <w:r>
              <w:rPr>
                <w:szCs w:val="21"/>
              </w:rPr>
              <w:t>1</w:t>
            </w:r>
            <w:r>
              <w:rPr>
                <w:rFonts w:hint="eastAsia"/>
                <w:szCs w:val="21"/>
              </w:rPr>
              <w:t>、2、3</w:t>
            </w:r>
          </w:p>
        </w:tc>
      </w:tr>
    </w:tbl>
    <w:p>
      <w:r>
        <w:t>五、课程考核及成绩评定</w:t>
      </w:r>
    </w:p>
    <w:p>
      <w:pPr>
        <w:rPr>
          <w:spacing w:val="5"/>
          <w:szCs w:val="21"/>
        </w:rPr>
      </w:pPr>
      <w:r>
        <w:rPr>
          <w:spacing w:val="5"/>
          <w:szCs w:val="21"/>
        </w:rPr>
        <w:t>1．考核方式：闭卷笔试，平时测验及作业。</w:t>
      </w:r>
    </w:p>
    <w:p>
      <w:pPr>
        <w:rPr>
          <w:spacing w:val="5"/>
          <w:szCs w:val="21"/>
        </w:rPr>
      </w:pPr>
      <w:r>
        <w:rPr>
          <w:spacing w:val="5"/>
          <w:szCs w:val="21"/>
        </w:rPr>
        <w:t>2．成绩构成：笔试成绩60%，平时成绩40%（课后作业、课堂表现等）。</w:t>
      </w:r>
    </w:p>
    <w:p>
      <w:pPr>
        <w:rPr>
          <w:spacing w:val="5"/>
          <w:szCs w:val="21"/>
        </w:rPr>
      </w:pPr>
      <w:r>
        <w:rPr>
          <w:spacing w:val="5"/>
          <w:szCs w:val="21"/>
        </w:rPr>
        <w:t>3．考核评价标准见表4所示。</w:t>
      </w:r>
    </w:p>
    <w:p>
      <w:pPr>
        <w:rPr>
          <w:sz w:val="18"/>
          <w:szCs w:val="18"/>
        </w:rPr>
      </w:pPr>
      <w:r>
        <w:rPr>
          <w:sz w:val="18"/>
          <w:szCs w:val="18"/>
        </w:rPr>
        <w:t>表4教学目标评价标准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4"/>
        <w:gridCol w:w="720"/>
        <w:gridCol w:w="703"/>
        <w:gridCol w:w="602"/>
        <w:gridCol w:w="4148"/>
        <w:gridCol w:w="763"/>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5" w:type="pct"/>
            <w:vAlign w:val="center"/>
          </w:tcPr>
          <w:p>
            <w:pPr>
              <w:rPr>
                <w:sz w:val="18"/>
                <w:szCs w:val="18"/>
              </w:rPr>
            </w:pPr>
            <w:r>
              <w:rPr>
                <w:sz w:val="18"/>
                <w:szCs w:val="18"/>
              </w:rPr>
              <w:t>成绩</w:t>
            </w:r>
          </w:p>
        </w:tc>
        <w:tc>
          <w:tcPr>
            <w:tcW w:w="385" w:type="pct"/>
            <w:vAlign w:val="center"/>
          </w:tcPr>
          <w:p>
            <w:pPr>
              <w:rPr>
                <w:sz w:val="18"/>
                <w:szCs w:val="18"/>
              </w:rPr>
            </w:pPr>
            <w:r>
              <w:rPr>
                <w:sz w:val="18"/>
                <w:szCs w:val="18"/>
              </w:rPr>
              <w:t>分值</w:t>
            </w:r>
          </w:p>
        </w:tc>
        <w:tc>
          <w:tcPr>
            <w:tcW w:w="383" w:type="pct"/>
            <w:vAlign w:val="center"/>
          </w:tcPr>
          <w:p>
            <w:pPr>
              <w:rPr>
                <w:sz w:val="18"/>
                <w:szCs w:val="18"/>
              </w:rPr>
            </w:pPr>
            <w:r>
              <w:rPr>
                <w:sz w:val="18"/>
                <w:szCs w:val="18"/>
              </w:rPr>
              <w:t>权重</w:t>
            </w:r>
          </w:p>
        </w:tc>
        <w:tc>
          <w:tcPr>
            <w:tcW w:w="374" w:type="pct"/>
            <w:vAlign w:val="center"/>
          </w:tcPr>
          <w:p>
            <w:pPr>
              <w:rPr>
                <w:sz w:val="18"/>
                <w:szCs w:val="18"/>
              </w:rPr>
            </w:pPr>
            <w:r>
              <w:rPr>
                <w:sz w:val="18"/>
                <w:szCs w:val="18"/>
              </w:rPr>
              <w:t>类别</w:t>
            </w:r>
          </w:p>
        </w:tc>
        <w:tc>
          <w:tcPr>
            <w:tcW w:w="320" w:type="pct"/>
            <w:vAlign w:val="center"/>
          </w:tcPr>
          <w:p>
            <w:pPr>
              <w:rPr>
                <w:sz w:val="18"/>
                <w:szCs w:val="18"/>
              </w:rPr>
            </w:pPr>
            <w:r>
              <w:rPr>
                <w:sz w:val="18"/>
                <w:szCs w:val="18"/>
              </w:rPr>
              <w:t>权重</w:t>
            </w:r>
          </w:p>
        </w:tc>
        <w:tc>
          <w:tcPr>
            <w:tcW w:w="2206" w:type="pct"/>
            <w:vAlign w:val="center"/>
          </w:tcPr>
          <w:p>
            <w:pPr>
              <w:rPr>
                <w:sz w:val="18"/>
                <w:szCs w:val="18"/>
              </w:rPr>
            </w:pPr>
            <w:r>
              <w:rPr>
                <w:sz w:val="18"/>
                <w:szCs w:val="18"/>
              </w:rPr>
              <w:t>考核/评价细则</w:t>
            </w:r>
          </w:p>
        </w:tc>
        <w:tc>
          <w:tcPr>
            <w:tcW w:w="406" w:type="pct"/>
            <w:vAlign w:val="center"/>
          </w:tcPr>
          <w:p>
            <w:pPr>
              <w:rPr>
                <w:sz w:val="18"/>
                <w:szCs w:val="18"/>
              </w:rPr>
            </w:pPr>
            <w:r>
              <w:rPr>
                <w:sz w:val="18"/>
                <w:szCs w:val="18"/>
              </w:rPr>
              <w:t>课程</w:t>
            </w:r>
          </w:p>
          <w:p>
            <w:pPr>
              <w:rPr>
                <w:sz w:val="18"/>
                <w:szCs w:val="18"/>
              </w:rPr>
            </w:pPr>
            <w:r>
              <w:rPr>
                <w:sz w:val="18"/>
                <w:szCs w:val="18"/>
              </w:rPr>
              <w:t>目标</w:t>
            </w:r>
          </w:p>
        </w:tc>
        <w:tc>
          <w:tcPr>
            <w:tcW w:w="540" w:type="pct"/>
            <w:vAlign w:val="center"/>
          </w:tcPr>
          <w:p>
            <w:pPr>
              <w:rPr>
                <w:sz w:val="18"/>
                <w:szCs w:val="18"/>
              </w:rPr>
            </w:pPr>
            <w:r>
              <w:rPr>
                <w:rFonts w:hint="eastAsia"/>
                <w:sz w:val="18"/>
                <w:szCs w:val="18"/>
              </w:rPr>
              <w:t>毕业</w:t>
            </w:r>
          </w:p>
          <w:p>
            <w:pPr>
              <w:rPr>
                <w:sz w:val="18"/>
                <w:szCs w:val="18"/>
              </w:rPr>
            </w:pPr>
            <w:r>
              <w:rPr>
                <w:rFonts w:hint="eastAsia"/>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vAlign w:val="center"/>
          </w:tcPr>
          <w:p>
            <w:pPr>
              <w:rPr>
                <w:sz w:val="18"/>
                <w:szCs w:val="18"/>
              </w:rPr>
            </w:pPr>
            <w:r>
              <w:rPr>
                <w:sz w:val="18"/>
                <w:szCs w:val="18"/>
              </w:rPr>
              <w:t>平时成绩</w:t>
            </w:r>
          </w:p>
        </w:tc>
        <w:tc>
          <w:tcPr>
            <w:tcW w:w="385" w:type="pct"/>
            <w:vMerge w:val="restart"/>
            <w:vAlign w:val="center"/>
          </w:tcPr>
          <w:p>
            <w:pPr>
              <w:rPr>
                <w:sz w:val="18"/>
                <w:szCs w:val="18"/>
              </w:rPr>
            </w:pPr>
            <w:r>
              <w:rPr>
                <w:sz w:val="18"/>
                <w:szCs w:val="18"/>
              </w:rPr>
              <w:t>100</w:t>
            </w:r>
          </w:p>
        </w:tc>
        <w:tc>
          <w:tcPr>
            <w:tcW w:w="383" w:type="pct"/>
            <w:vMerge w:val="restart"/>
            <w:vAlign w:val="center"/>
          </w:tcPr>
          <w:p>
            <w:pPr>
              <w:rPr>
                <w:sz w:val="18"/>
                <w:szCs w:val="18"/>
              </w:rPr>
            </w:pPr>
            <w:r>
              <w:rPr>
                <w:sz w:val="18"/>
                <w:szCs w:val="18"/>
              </w:rPr>
              <w:t>0.4</w:t>
            </w:r>
          </w:p>
        </w:tc>
        <w:tc>
          <w:tcPr>
            <w:tcW w:w="374" w:type="pct"/>
            <w:vAlign w:val="center"/>
          </w:tcPr>
          <w:p>
            <w:pPr>
              <w:rPr>
                <w:sz w:val="18"/>
                <w:szCs w:val="18"/>
              </w:rPr>
            </w:pPr>
            <w:r>
              <w:rPr>
                <w:sz w:val="18"/>
                <w:szCs w:val="18"/>
              </w:rPr>
              <w:t>课堂表现</w:t>
            </w:r>
          </w:p>
        </w:tc>
        <w:tc>
          <w:tcPr>
            <w:tcW w:w="320" w:type="pct"/>
            <w:vAlign w:val="center"/>
          </w:tcPr>
          <w:p>
            <w:pPr>
              <w:rPr>
                <w:sz w:val="18"/>
                <w:szCs w:val="18"/>
              </w:rPr>
            </w:pPr>
            <w:r>
              <w:rPr>
                <w:sz w:val="18"/>
                <w:szCs w:val="18"/>
              </w:rPr>
              <w:t>0.08</w:t>
            </w:r>
          </w:p>
        </w:tc>
        <w:tc>
          <w:tcPr>
            <w:tcW w:w="2206" w:type="pct"/>
            <w:vAlign w:val="center"/>
          </w:tcPr>
          <w:p>
            <w:pPr>
              <w:rPr>
                <w:sz w:val="18"/>
                <w:szCs w:val="18"/>
              </w:rPr>
            </w:pPr>
            <w:r>
              <w:rPr>
                <w:sz w:val="18"/>
                <w:szCs w:val="18"/>
              </w:rPr>
              <w:t>根据学生课堂表现打分，满分100。</w:t>
            </w:r>
          </w:p>
        </w:tc>
        <w:tc>
          <w:tcPr>
            <w:tcW w:w="406" w:type="pct"/>
            <w:vAlign w:val="center"/>
          </w:tcPr>
          <w:p>
            <w:pPr>
              <w:rPr>
                <w:sz w:val="18"/>
                <w:szCs w:val="18"/>
              </w:rPr>
            </w:pPr>
            <w:r>
              <w:rPr>
                <w:sz w:val="18"/>
                <w:szCs w:val="18"/>
              </w:rPr>
              <w:t>1</w:t>
            </w:r>
          </w:p>
        </w:tc>
        <w:tc>
          <w:tcPr>
            <w:tcW w:w="540" w:type="pct"/>
            <w:vAlign w:val="center"/>
          </w:tcPr>
          <w:p>
            <w:pPr>
              <w:rPr>
                <w:sz w:val="18"/>
                <w:szCs w:val="18"/>
              </w:rPr>
            </w:pPr>
            <w:r>
              <w:rPr>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85" w:type="pct"/>
            <w:vMerge w:val="continue"/>
            <w:vAlign w:val="center"/>
          </w:tcPr>
          <w:p>
            <w:pPr>
              <w:rPr>
                <w:sz w:val="18"/>
                <w:szCs w:val="18"/>
              </w:rPr>
            </w:pPr>
          </w:p>
        </w:tc>
        <w:tc>
          <w:tcPr>
            <w:tcW w:w="385" w:type="pct"/>
            <w:vMerge w:val="continue"/>
            <w:vAlign w:val="center"/>
          </w:tcPr>
          <w:p>
            <w:pPr>
              <w:rPr>
                <w:sz w:val="18"/>
                <w:szCs w:val="18"/>
              </w:rPr>
            </w:pPr>
          </w:p>
        </w:tc>
        <w:tc>
          <w:tcPr>
            <w:tcW w:w="383" w:type="pct"/>
            <w:vMerge w:val="continue"/>
            <w:vAlign w:val="center"/>
          </w:tcPr>
          <w:p>
            <w:pPr>
              <w:rPr>
                <w:sz w:val="18"/>
                <w:szCs w:val="18"/>
              </w:rPr>
            </w:pPr>
          </w:p>
        </w:tc>
        <w:tc>
          <w:tcPr>
            <w:tcW w:w="374" w:type="pct"/>
            <w:vMerge w:val="restart"/>
            <w:vAlign w:val="center"/>
          </w:tcPr>
          <w:p>
            <w:pPr>
              <w:rPr>
                <w:sz w:val="18"/>
                <w:szCs w:val="18"/>
              </w:rPr>
            </w:pPr>
            <w:r>
              <w:rPr>
                <w:sz w:val="18"/>
                <w:szCs w:val="18"/>
              </w:rPr>
              <w:t>作业</w:t>
            </w:r>
          </w:p>
        </w:tc>
        <w:tc>
          <w:tcPr>
            <w:tcW w:w="320" w:type="pct"/>
            <w:vAlign w:val="center"/>
          </w:tcPr>
          <w:p>
            <w:pPr>
              <w:rPr>
                <w:sz w:val="18"/>
                <w:szCs w:val="18"/>
              </w:rPr>
            </w:pPr>
            <w:r>
              <w:rPr>
                <w:rFonts w:hint="eastAsia"/>
                <w:sz w:val="18"/>
                <w:szCs w:val="18"/>
              </w:rPr>
              <w:t>0</w:t>
            </w:r>
            <w:r>
              <w:rPr>
                <w:sz w:val="18"/>
                <w:szCs w:val="18"/>
              </w:rPr>
              <w:t>.24</w:t>
            </w:r>
          </w:p>
        </w:tc>
        <w:tc>
          <w:tcPr>
            <w:tcW w:w="2206" w:type="pct"/>
            <w:vMerge w:val="restart"/>
            <w:vAlign w:val="center"/>
          </w:tcPr>
          <w:p>
            <w:pPr>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w:t>
            </w:r>
            <w:r>
              <w:rPr>
                <w:sz w:val="18"/>
                <w:szCs w:val="18"/>
              </w:rPr>
              <w:t>4</w:t>
            </w:r>
            <w:r>
              <w:rPr>
                <w:rFonts w:hint="eastAsia"/>
                <w:sz w:val="18"/>
                <w:szCs w:val="18"/>
              </w:rPr>
              <w:t>次作业，</w:t>
            </w:r>
            <w:r>
              <w:rPr>
                <w:sz w:val="18"/>
                <w:szCs w:val="18"/>
              </w:rPr>
              <w:t>每次作业</w:t>
            </w:r>
            <w:r>
              <w:rPr>
                <w:rFonts w:hint="eastAsia"/>
                <w:sz w:val="18"/>
                <w:szCs w:val="18"/>
              </w:rPr>
              <w:t>满分</w:t>
            </w:r>
            <w:r>
              <w:rPr>
                <w:sz w:val="18"/>
                <w:szCs w:val="18"/>
              </w:rPr>
              <w:t>25分</w:t>
            </w:r>
            <w:r>
              <w:rPr>
                <w:rFonts w:hint="eastAsia"/>
                <w:sz w:val="18"/>
                <w:szCs w:val="18"/>
              </w:rPr>
              <w:t>，作业总成绩1</w:t>
            </w:r>
            <w:r>
              <w:rPr>
                <w:sz w:val="18"/>
                <w:szCs w:val="18"/>
              </w:rPr>
              <w:t>00</w:t>
            </w:r>
            <w:r>
              <w:rPr>
                <w:rFonts w:hint="eastAsia"/>
                <w:sz w:val="18"/>
                <w:szCs w:val="18"/>
              </w:rPr>
              <w:t>分。</w:t>
            </w:r>
          </w:p>
        </w:tc>
        <w:tc>
          <w:tcPr>
            <w:tcW w:w="406" w:type="pct"/>
            <w:vAlign w:val="center"/>
          </w:tcPr>
          <w:p>
            <w:pPr>
              <w:rPr>
                <w:sz w:val="18"/>
                <w:szCs w:val="18"/>
              </w:rPr>
            </w:pPr>
            <w:r>
              <w:rPr>
                <w:rFonts w:hint="eastAsia"/>
                <w:sz w:val="18"/>
                <w:szCs w:val="18"/>
              </w:rPr>
              <w:t>2</w:t>
            </w:r>
          </w:p>
        </w:tc>
        <w:tc>
          <w:tcPr>
            <w:tcW w:w="540" w:type="pct"/>
            <w:vAlign w:val="center"/>
          </w:tcPr>
          <w:p>
            <w:pP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85" w:type="pct"/>
            <w:vMerge w:val="continue"/>
            <w:vAlign w:val="center"/>
          </w:tcPr>
          <w:p>
            <w:pPr>
              <w:rPr>
                <w:sz w:val="18"/>
                <w:szCs w:val="18"/>
              </w:rPr>
            </w:pPr>
          </w:p>
        </w:tc>
        <w:tc>
          <w:tcPr>
            <w:tcW w:w="385" w:type="pct"/>
            <w:vMerge w:val="continue"/>
            <w:vAlign w:val="center"/>
          </w:tcPr>
          <w:p>
            <w:pPr>
              <w:rPr>
                <w:sz w:val="18"/>
                <w:szCs w:val="18"/>
              </w:rPr>
            </w:pPr>
          </w:p>
        </w:tc>
        <w:tc>
          <w:tcPr>
            <w:tcW w:w="383" w:type="pct"/>
            <w:vMerge w:val="continue"/>
            <w:vAlign w:val="center"/>
          </w:tcPr>
          <w:p>
            <w:pPr>
              <w:rPr>
                <w:sz w:val="18"/>
                <w:szCs w:val="18"/>
              </w:rPr>
            </w:pPr>
          </w:p>
        </w:tc>
        <w:tc>
          <w:tcPr>
            <w:tcW w:w="374" w:type="pct"/>
            <w:vMerge w:val="continue"/>
            <w:vAlign w:val="center"/>
          </w:tcPr>
          <w:p>
            <w:pPr>
              <w:rPr>
                <w:sz w:val="18"/>
                <w:szCs w:val="18"/>
              </w:rPr>
            </w:pPr>
          </w:p>
        </w:tc>
        <w:tc>
          <w:tcPr>
            <w:tcW w:w="320" w:type="pct"/>
            <w:vAlign w:val="center"/>
          </w:tcPr>
          <w:p>
            <w:pPr>
              <w:rPr>
                <w:sz w:val="18"/>
                <w:szCs w:val="18"/>
              </w:rPr>
            </w:pPr>
            <w:r>
              <w:rPr>
                <w:rFonts w:hint="eastAsia"/>
                <w:sz w:val="18"/>
                <w:szCs w:val="18"/>
              </w:rPr>
              <w:t>0</w:t>
            </w:r>
            <w:r>
              <w:rPr>
                <w:sz w:val="18"/>
                <w:szCs w:val="18"/>
              </w:rPr>
              <w:t>.08</w:t>
            </w:r>
          </w:p>
        </w:tc>
        <w:tc>
          <w:tcPr>
            <w:tcW w:w="2206" w:type="pct"/>
            <w:vMerge w:val="continue"/>
            <w:vAlign w:val="center"/>
          </w:tcPr>
          <w:p>
            <w:pPr>
              <w:rPr>
                <w:sz w:val="18"/>
                <w:szCs w:val="18"/>
              </w:rPr>
            </w:pPr>
          </w:p>
        </w:tc>
        <w:tc>
          <w:tcPr>
            <w:tcW w:w="406" w:type="pct"/>
            <w:vAlign w:val="center"/>
          </w:tcPr>
          <w:p>
            <w:pPr>
              <w:rPr>
                <w:sz w:val="18"/>
                <w:szCs w:val="18"/>
              </w:rPr>
            </w:pPr>
            <w:r>
              <w:rPr>
                <w:rFonts w:hint="eastAsia"/>
                <w:sz w:val="18"/>
                <w:szCs w:val="18"/>
              </w:rPr>
              <w:t>3</w:t>
            </w:r>
          </w:p>
        </w:tc>
        <w:tc>
          <w:tcPr>
            <w:tcW w:w="540" w:type="pct"/>
            <w:vAlign w:val="center"/>
          </w:tcPr>
          <w:p>
            <w:pP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85" w:type="pct"/>
            <w:vMerge w:val="restart"/>
            <w:vAlign w:val="center"/>
          </w:tcPr>
          <w:p>
            <w:pPr>
              <w:rPr>
                <w:sz w:val="18"/>
                <w:szCs w:val="18"/>
              </w:rPr>
            </w:pPr>
            <w:r>
              <w:rPr>
                <w:sz w:val="18"/>
                <w:szCs w:val="18"/>
              </w:rPr>
              <w:t>期末考试成绩</w:t>
            </w:r>
          </w:p>
        </w:tc>
        <w:tc>
          <w:tcPr>
            <w:tcW w:w="385" w:type="pct"/>
            <w:vMerge w:val="restart"/>
            <w:vAlign w:val="center"/>
          </w:tcPr>
          <w:p>
            <w:pPr>
              <w:rPr>
                <w:sz w:val="18"/>
                <w:szCs w:val="18"/>
              </w:rPr>
            </w:pPr>
            <w:r>
              <w:rPr>
                <w:sz w:val="18"/>
                <w:szCs w:val="18"/>
              </w:rPr>
              <w:t>100</w:t>
            </w:r>
          </w:p>
        </w:tc>
        <w:tc>
          <w:tcPr>
            <w:tcW w:w="383" w:type="pct"/>
            <w:vMerge w:val="restart"/>
            <w:vAlign w:val="center"/>
          </w:tcPr>
          <w:p>
            <w:pPr>
              <w:rPr>
                <w:sz w:val="18"/>
                <w:szCs w:val="18"/>
              </w:rPr>
            </w:pPr>
            <w:r>
              <w:rPr>
                <w:sz w:val="18"/>
                <w:szCs w:val="18"/>
              </w:rPr>
              <w:t>0.6</w:t>
            </w:r>
          </w:p>
        </w:tc>
        <w:tc>
          <w:tcPr>
            <w:tcW w:w="374" w:type="pct"/>
            <w:vMerge w:val="restart"/>
            <w:vAlign w:val="center"/>
          </w:tcPr>
          <w:p>
            <w:pPr>
              <w:rPr>
                <w:sz w:val="18"/>
                <w:szCs w:val="18"/>
              </w:rPr>
            </w:pPr>
            <w:r>
              <w:rPr>
                <w:sz w:val="18"/>
                <w:szCs w:val="18"/>
              </w:rPr>
              <w:t>闭卷考试</w:t>
            </w:r>
          </w:p>
        </w:tc>
        <w:tc>
          <w:tcPr>
            <w:tcW w:w="320" w:type="pct"/>
            <w:vAlign w:val="center"/>
          </w:tcPr>
          <w:p>
            <w:pPr>
              <w:rPr>
                <w:sz w:val="18"/>
                <w:szCs w:val="18"/>
              </w:rPr>
            </w:pPr>
            <w:r>
              <w:rPr>
                <w:sz w:val="18"/>
                <w:szCs w:val="18"/>
              </w:rPr>
              <w:t>0.06</w:t>
            </w:r>
          </w:p>
        </w:tc>
        <w:tc>
          <w:tcPr>
            <w:tcW w:w="2206" w:type="pct"/>
            <w:vMerge w:val="restart"/>
            <w:vAlign w:val="center"/>
          </w:tcPr>
          <w:p>
            <w:pPr>
              <w:rPr>
                <w:sz w:val="18"/>
                <w:szCs w:val="18"/>
              </w:rPr>
            </w:pPr>
            <w:r>
              <w:rPr>
                <w:sz w:val="18"/>
                <w:szCs w:val="18"/>
              </w:rPr>
              <w:t>(1)卷面成绩100分。卷面成绩按比例计入课程总评成绩</w:t>
            </w:r>
            <w:r>
              <w:rPr>
                <w:rFonts w:hint="eastAsia"/>
                <w:sz w:val="18"/>
                <w:szCs w:val="18"/>
              </w:rPr>
              <w:t>。</w:t>
            </w:r>
          </w:p>
          <w:p>
            <w:pPr>
              <w:rPr>
                <w:sz w:val="18"/>
                <w:szCs w:val="18"/>
              </w:rPr>
            </w:pPr>
            <w:r>
              <w:rPr>
                <w:sz w:val="18"/>
                <w:szCs w:val="18"/>
              </w:rPr>
              <w:t>(2)考核内容包括： 第1-5章</w:t>
            </w:r>
            <w:r>
              <w:rPr>
                <w:rFonts w:hint="eastAsia"/>
                <w:sz w:val="18"/>
                <w:szCs w:val="18"/>
              </w:rPr>
              <w:t>。</w:t>
            </w:r>
          </w:p>
          <w:p>
            <w:pPr>
              <w:rPr>
                <w:sz w:val="18"/>
                <w:szCs w:val="18"/>
              </w:rPr>
            </w:pPr>
            <w:r>
              <w:rPr>
                <w:sz w:val="18"/>
                <w:szCs w:val="18"/>
              </w:rPr>
              <w:t>(3)建议考试题型包括：填空题、选择题、综合计算题、证明题等其中某几种题型</w:t>
            </w:r>
            <w:r>
              <w:rPr>
                <w:rFonts w:hint="eastAsia"/>
                <w:sz w:val="18"/>
                <w:szCs w:val="18"/>
              </w:rPr>
              <w:t>。</w:t>
            </w:r>
          </w:p>
        </w:tc>
        <w:tc>
          <w:tcPr>
            <w:tcW w:w="406" w:type="pct"/>
            <w:vAlign w:val="center"/>
          </w:tcPr>
          <w:p>
            <w:pPr>
              <w:rPr>
                <w:sz w:val="18"/>
                <w:szCs w:val="18"/>
              </w:rPr>
            </w:pPr>
            <w:r>
              <w:rPr>
                <w:sz w:val="18"/>
                <w:szCs w:val="18"/>
              </w:rPr>
              <w:t>1</w:t>
            </w:r>
          </w:p>
        </w:tc>
        <w:tc>
          <w:tcPr>
            <w:tcW w:w="540" w:type="pct"/>
            <w:vAlign w:val="center"/>
          </w:tcPr>
          <w:p>
            <w:pPr>
              <w:rPr>
                <w:sz w:val="18"/>
                <w:szCs w:val="18"/>
              </w:rPr>
            </w:pPr>
            <w:r>
              <w:rPr>
                <w:rFonts w:hint="eastAsia"/>
                <w:sz w:val="18"/>
                <w:szCs w:val="18"/>
              </w:rPr>
              <w:t>1</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rPr>
                <w:sz w:val="18"/>
                <w:szCs w:val="18"/>
              </w:rPr>
            </w:pPr>
          </w:p>
        </w:tc>
        <w:tc>
          <w:tcPr>
            <w:tcW w:w="385" w:type="pct"/>
            <w:vMerge w:val="continue"/>
            <w:vAlign w:val="center"/>
          </w:tcPr>
          <w:p>
            <w:pPr>
              <w:rPr>
                <w:sz w:val="18"/>
                <w:szCs w:val="18"/>
              </w:rPr>
            </w:pPr>
          </w:p>
        </w:tc>
        <w:tc>
          <w:tcPr>
            <w:tcW w:w="383" w:type="pct"/>
            <w:vMerge w:val="continue"/>
            <w:vAlign w:val="center"/>
          </w:tcPr>
          <w:p>
            <w:pPr>
              <w:rPr>
                <w:sz w:val="18"/>
                <w:szCs w:val="18"/>
              </w:rPr>
            </w:pPr>
          </w:p>
        </w:tc>
        <w:tc>
          <w:tcPr>
            <w:tcW w:w="374" w:type="pct"/>
            <w:vMerge w:val="continue"/>
            <w:vAlign w:val="center"/>
          </w:tcPr>
          <w:p>
            <w:pPr>
              <w:rPr>
                <w:sz w:val="18"/>
                <w:szCs w:val="18"/>
              </w:rPr>
            </w:pPr>
          </w:p>
        </w:tc>
        <w:tc>
          <w:tcPr>
            <w:tcW w:w="320" w:type="pct"/>
            <w:vAlign w:val="center"/>
          </w:tcPr>
          <w:p>
            <w:pPr>
              <w:rPr>
                <w:sz w:val="18"/>
                <w:szCs w:val="18"/>
              </w:rPr>
            </w:pPr>
            <w:r>
              <w:rPr>
                <w:rFonts w:hint="eastAsia"/>
                <w:sz w:val="18"/>
                <w:szCs w:val="18"/>
              </w:rPr>
              <w:t>0</w:t>
            </w:r>
            <w:r>
              <w:rPr>
                <w:sz w:val="18"/>
                <w:szCs w:val="18"/>
              </w:rPr>
              <w:t>.42</w:t>
            </w:r>
          </w:p>
        </w:tc>
        <w:tc>
          <w:tcPr>
            <w:tcW w:w="2206" w:type="pct"/>
            <w:vMerge w:val="continue"/>
            <w:vAlign w:val="center"/>
          </w:tcPr>
          <w:p>
            <w:pPr>
              <w:rPr>
                <w:sz w:val="18"/>
                <w:szCs w:val="18"/>
              </w:rPr>
            </w:pPr>
          </w:p>
        </w:tc>
        <w:tc>
          <w:tcPr>
            <w:tcW w:w="406" w:type="pct"/>
            <w:vAlign w:val="center"/>
          </w:tcPr>
          <w:p>
            <w:pPr>
              <w:rPr>
                <w:sz w:val="18"/>
                <w:szCs w:val="18"/>
              </w:rPr>
            </w:pPr>
            <w:r>
              <w:rPr>
                <w:rFonts w:hint="eastAsia"/>
                <w:sz w:val="18"/>
                <w:szCs w:val="18"/>
              </w:rPr>
              <w:t>2</w:t>
            </w:r>
          </w:p>
        </w:tc>
        <w:tc>
          <w:tcPr>
            <w:tcW w:w="540" w:type="pct"/>
            <w:vAlign w:val="center"/>
          </w:tcPr>
          <w:p>
            <w:pP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85" w:type="pct"/>
            <w:vMerge w:val="continue"/>
            <w:vAlign w:val="center"/>
          </w:tcPr>
          <w:p>
            <w:pPr>
              <w:rPr>
                <w:sz w:val="18"/>
                <w:szCs w:val="18"/>
              </w:rPr>
            </w:pPr>
          </w:p>
        </w:tc>
        <w:tc>
          <w:tcPr>
            <w:tcW w:w="385" w:type="pct"/>
            <w:vMerge w:val="continue"/>
            <w:vAlign w:val="center"/>
          </w:tcPr>
          <w:p>
            <w:pPr>
              <w:rPr>
                <w:sz w:val="18"/>
                <w:szCs w:val="18"/>
              </w:rPr>
            </w:pPr>
          </w:p>
        </w:tc>
        <w:tc>
          <w:tcPr>
            <w:tcW w:w="383" w:type="pct"/>
            <w:vMerge w:val="continue"/>
            <w:vAlign w:val="center"/>
          </w:tcPr>
          <w:p>
            <w:pPr>
              <w:rPr>
                <w:sz w:val="18"/>
                <w:szCs w:val="18"/>
              </w:rPr>
            </w:pPr>
          </w:p>
        </w:tc>
        <w:tc>
          <w:tcPr>
            <w:tcW w:w="374" w:type="pct"/>
            <w:vMerge w:val="continue"/>
            <w:vAlign w:val="center"/>
          </w:tcPr>
          <w:p>
            <w:pPr>
              <w:rPr>
                <w:sz w:val="18"/>
                <w:szCs w:val="18"/>
              </w:rPr>
            </w:pPr>
          </w:p>
        </w:tc>
        <w:tc>
          <w:tcPr>
            <w:tcW w:w="320" w:type="pct"/>
            <w:vAlign w:val="center"/>
          </w:tcPr>
          <w:p>
            <w:pPr>
              <w:rPr>
                <w:sz w:val="18"/>
                <w:szCs w:val="18"/>
              </w:rPr>
            </w:pPr>
            <w:r>
              <w:rPr>
                <w:rFonts w:hint="eastAsia"/>
                <w:sz w:val="18"/>
                <w:szCs w:val="18"/>
              </w:rPr>
              <w:t>0</w:t>
            </w:r>
            <w:r>
              <w:rPr>
                <w:sz w:val="18"/>
                <w:szCs w:val="18"/>
              </w:rPr>
              <w:t>.12</w:t>
            </w:r>
          </w:p>
        </w:tc>
        <w:tc>
          <w:tcPr>
            <w:tcW w:w="2206" w:type="pct"/>
            <w:vMerge w:val="continue"/>
            <w:vAlign w:val="center"/>
          </w:tcPr>
          <w:p>
            <w:pPr>
              <w:rPr>
                <w:sz w:val="18"/>
                <w:szCs w:val="18"/>
              </w:rPr>
            </w:pPr>
          </w:p>
        </w:tc>
        <w:tc>
          <w:tcPr>
            <w:tcW w:w="406" w:type="pct"/>
            <w:vAlign w:val="center"/>
          </w:tcPr>
          <w:p>
            <w:pPr>
              <w:rPr>
                <w:sz w:val="18"/>
                <w:szCs w:val="18"/>
              </w:rPr>
            </w:pPr>
            <w:r>
              <w:rPr>
                <w:rFonts w:hint="eastAsia"/>
                <w:sz w:val="18"/>
                <w:szCs w:val="18"/>
              </w:rPr>
              <w:t>3</w:t>
            </w:r>
          </w:p>
        </w:tc>
        <w:tc>
          <w:tcPr>
            <w:tcW w:w="540" w:type="pct"/>
            <w:vAlign w:val="center"/>
          </w:tcPr>
          <w:p>
            <w:pPr>
              <w:rPr>
                <w:sz w:val="18"/>
                <w:szCs w:val="18"/>
              </w:rPr>
            </w:pPr>
            <w:r>
              <w:rPr>
                <w:rFonts w:hint="eastAsia"/>
                <w:sz w:val="18"/>
                <w:szCs w:val="18"/>
              </w:rPr>
              <w:t>2</w:t>
            </w:r>
            <w:r>
              <w:rPr>
                <w:sz w:val="18"/>
                <w:szCs w:val="18"/>
              </w:rPr>
              <w:t>.1</w:t>
            </w:r>
            <w:r>
              <w:rPr>
                <w:rFonts w:hint="eastAsia"/>
                <w:sz w:val="18"/>
                <w:szCs w:val="18"/>
              </w:rPr>
              <w:t>、4</w:t>
            </w:r>
            <w:r>
              <w:rPr>
                <w:sz w:val="18"/>
                <w:szCs w:val="18"/>
              </w:rPr>
              <w:t>.1</w:t>
            </w:r>
          </w:p>
        </w:tc>
      </w:tr>
    </w:tbl>
    <w:p>
      <w:r>
        <w:rPr>
          <w:rFonts w:hint="eastAsia"/>
        </w:rPr>
        <w:t>六、</w:t>
      </w:r>
      <w:r>
        <w:t>课程教学目标达成度评价</w:t>
      </w:r>
    </w:p>
    <w:p>
      <w:pPr>
        <w:rPr>
          <w:szCs w:val="21"/>
        </w:rPr>
      </w:pPr>
      <w:r>
        <w:rPr>
          <w:szCs w:val="21"/>
        </w:rPr>
        <w:t>1．达成度评价依据和方法</w:t>
      </w:r>
    </w:p>
    <w:p>
      <w:pPr>
        <w:rPr>
          <w:szCs w:val="21"/>
        </w:rPr>
      </w:pPr>
      <w:r>
        <w:rPr>
          <w:szCs w:val="21"/>
        </w:rPr>
        <w:t>课程各目标达成情况为该项目学生的平均得分率，其计算公式为：</w:t>
      </w:r>
    </w:p>
    <w:p>
      <w:pPr>
        <w:rPr>
          <w:szCs w:val="21"/>
        </w:rPr>
      </w:pPr>
      <w:r>
        <w:rPr>
          <w:position w:val="-26"/>
          <w:szCs w:val="21"/>
        </w:rPr>
        <w:object>
          <v:shape id="_x0000_i1038"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44">
            <o:LockedField>false</o:LockedField>
          </o:OLEObject>
        </w:object>
      </w:r>
    </w:p>
    <w:p>
      <w:pPr>
        <w:rPr>
          <w:szCs w:val="21"/>
        </w:rPr>
      </w:pPr>
      <w:r>
        <w:rPr>
          <w:szCs w:val="21"/>
        </w:rPr>
        <w:t>课程总目标达成情况为3个课程目标的加权得分率，其计算公式为：</w:t>
      </w:r>
    </w:p>
    <w:p>
      <w:pPr>
        <w:rPr>
          <w:szCs w:val="21"/>
        </w:rPr>
      </w:pPr>
      <w:r>
        <w:rPr>
          <w:szCs w:val="21"/>
        </w:rPr>
        <w:t xml:space="preserve"> </w:t>
      </w:r>
      <w:r>
        <w:rPr>
          <w:szCs w:val="21"/>
        </w:rPr>
        <w:object>
          <v:shape id="_x0000_i1039" o:spt="75" type="#_x0000_t75" style="height:17.25pt;width:276.7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45">
            <o:LockedField>false</o:LockedField>
          </o:OLEObject>
        </w:object>
      </w:r>
    </w:p>
    <w:p>
      <w:pPr>
        <w:rPr>
          <w:szCs w:val="21"/>
        </w:rPr>
      </w:pPr>
      <w:r>
        <w:rPr>
          <w:szCs w:val="21"/>
        </w:rPr>
        <w:t>其中权重系数按照表5设定。</w:t>
      </w:r>
    </w:p>
    <w:p>
      <w:pPr>
        <w:rPr>
          <w:szCs w:val="21"/>
        </w:rPr>
      </w:pPr>
      <w:r>
        <w:rPr>
          <w:szCs w:val="21"/>
        </w:rPr>
        <w:t>表5课程目标权重系数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060"/>
        <w:gridCol w:w="2172"/>
        <w:gridCol w:w="2574"/>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101" w:type="pct"/>
            <w:vAlign w:val="center"/>
          </w:tcPr>
          <w:p>
            <w:pPr>
              <w:rPr>
                <w:szCs w:val="21"/>
              </w:rPr>
            </w:pPr>
            <w:r>
              <w:rPr>
                <w:szCs w:val="21"/>
              </w:rPr>
              <w:t>课程目标</w:t>
            </w:r>
          </w:p>
        </w:tc>
        <w:tc>
          <w:tcPr>
            <w:tcW w:w="1161" w:type="pct"/>
            <w:vAlign w:val="center"/>
          </w:tcPr>
          <w:p>
            <w:pPr>
              <w:rPr>
                <w:szCs w:val="21"/>
              </w:rPr>
            </w:pPr>
            <w:r>
              <w:rPr>
                <w:szCs w:val="21"/>
              </w:rPr>
              <w:t>1</w:t>
            </w:r>
          </w:p>
        </w:tc>
        <w:tc>
          <w:tcPr>
            <w:tcW w:w="1376" w:type="pct"/>
            <w:vAlign w:val="center"/>
          </w:tcPr>
          <w:p>
            <w:pPr>
              <w:rPr>
                <w:szCs w:val="21"/>
              </w:rPr>
            </w:pPr>
            <w:r>
              <w:rPr>
                <w:szCs w:val="21"/>
              </w:rPr>
              <w:t>2</w:t>
            </w:r>
          </w:p>
        </w:tc>
        <w:tc>
          <w:tcPr>
            <w:tcW w:w="1363" w:type="pct"/>
            <w:vAlign w:val="center"/>
          </w:tcPr>
          <w:p>
            <w:pP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101" w:type="pct"/>
            <w:vAlign w:val="center"/>
          </w:tcPr>
          <w:p>
            <w:pPr>
              <w:rPr>
                <w:szCs w:val="21"/>
              </w:rPr>
            </w:pPr>
            <w:r>
              <w:rPr>
                <w:szCs w:val="21"/>
              </w:rPr>
              <w:t>权重系数</w:t>
            </w:r>
          </w:p>
        </w:tc>
        <w:tc>
          <w:tcPr>
            <w:tcW w:w="1161" w:type="pct"/>
            <w:vAlign w:val="center"/>
          </w:tcPr>
          <w:p>
            <w:pPr>
              <w:rPr>
                <w:szCs w:val="21"/>
              </w:rPr>
            </w:pPr>
            <w:r>
              <w:rPr>
                <w:rFonts w:hint="eastAsia"/>
                <w:szCs w:val="21"/>
              </w:rPr>
              <w:t>0</w:t>
            </w:r>
            <w:r>
              <w:rPr>
                <w:szCs w:val="21"/>
              </w:rPr>
              <w:t>.14</w:t>
            </w:r>
          </w:p>
        </w:tc>
        <w:tc>
          <w:tcPr>
            <w:tcW w:w="1376" w:type="pct"/>
            <w:vAlign w:val="center"/>
          </w:tcPr>
          <w:p>
            <w:pPr>
              <w:rPr>
                <w:szCs w:val="21"/>
              </w:rPr>
            </w:pPr>
            <w:r>
              <w:rPr>
                <w:rFonts w:hint="eastAsia"/>
                <w:szCs w:val="21"/>
              </w:rPr>
              <w:t>0</w:t>
            </w:r>
            <w:r>
              <w:rPr>
                <w:szCs w:val="21"/>
              </w:rPr>
              <w:t>.66</w:t>
            </w:r>
          </w:p>
        </w:tc>
        <w:tc>
          <w:tcPr>
            <w:tcW w:w="1363" w:type="pct"/>
            <w:vAlign w:val="center"/>
          </w:tcPr>
          <w:p>
            <w:pPr>
              <w:rPr>
                <w:szCs w:val="21"/>
              </w:rPr>
            </w:pPr>
            <w:r>
              <w:rPr>
                <w:rFonts w:hint="eastAsia"/>
                <w:szCs w:val="21"/>
              </w:rPr>
              <w:t>0</w:t>
            </w:r>
            <w:r>
              <w:rPr>
                <w:szCs w:val="21"/>
              </w:rPr>
              <w:t>.2</w:t>
            </w:r>
          </w:p>
        </w:tc>
      </w:tr>
    </w:tbl>
    <w:p>
      <w:pPr>
        <w:rPr>
          <w:szCs w:val="21"/>
        </w:rPr>
      </w:pPr>
      <w:r>
        <w:rPr>
          <w:szCs w:val="21"/>
        </w:rPr>
        <w:t>课程毕业要求指标点达成情况评价：</w:t>
      </w:r>
    </w:p>
    <w:p>
      <w:pPr>
        <w:rPr>
          <w:szCs w:val="21"/>
        </w:rPr>
      </w:pPr>
      <w:r>
        <w:rPr>
          <w:szCs w:val="21"/>
        </w:rPr>
        <w:t>课程支撑毕业要求指标点的达成情况为对应的课程目标达成情况的加权值，其计算公式为：</w:t>
      </w:r>
    </w:p>
    <w:p>
      <w:pPr>
        <w:rPr>
          <w:szCs w:val="21"/>
        </w:rPr>
      </w:pPr>
      <w:r>
        <w:rPr>
          <w:szCs w:val="21"/>
        </w:rPr>
        <w:object>
          <v:shape id="_x0000_i1040"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46">
            <o:LockedField>false</o:LockedField>
          </o:OLEObject>
        </w:object>
      </w:r>
    </w:p>
    <w:p>
      <w:pPr>
        <w:rPr>
          <w:szCs w:val="21"/>
        </w:rPr>
      </w:pPr>
      <w:r>
        <w:rPr>
          <w:szCs w:val="21"/>
        </w:rPr>
        <w:t>2．课程总结要求</w:t>
      </w:r>
    </w:p>
    <w:p>
      <w:pPr>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r>
        <w:rPr>
          <w:rFonts w:hint="eastAsia"/>
        </w:rPr>
        <w:t>七</w:t>
      </w:r>
      <w:r>
        <w:t>、建议教材及教学参考书</w:t>
      </w:r>
    </w:p>
    <w:p>
      <w:pPr>
        <w:rPr>
          <w:szCs w:val="21"/>
        </w:rPr>
      </w:pPr>
      <w:r>
        <w:rPr>
          <w:spacing w:val="5"/>
          <w:szCs w:val="21"/>
        </w:rPr>
        <w:t xml:space="preserve">[1] </w:t>
      </w:r>
      <w:r>
        <w:rPr>
          <w:rFonts w:hint="eastAsia"/>
          <w:szCs w:val="21"/>
        </w:rPr>
        <w:t>耿素云、屈婉玲、张立昂，《离散数学》，高等教育出版社，2015年</w:t>
      </w:r>
    </w:p>
    <w:p>
      <w:pPr>
        <w:rPr>
          <w:spacing w:val="5"/>
          <w:szCs w:val="21"/>
        </w:rPr>
      </w:pPr>
      <w:r>
        <w:rPr>
          <w:rFonts w:hint="eastAsia"/>
          <w:spacing w:val="5"/>
          <w:szCs w:val="21"/>
        </w:rPr>
        <w:t>[2] 耿素云、屈婉玲、张立昂《离散数学学习指导与习题解析》，高等教育出版社，2015年</w:t>
      </w:r>
    </w:p>
    <w:p>
      <w:r>
        <w:rPr>
          <w:spacing w:val="5"/>
          <w:szCs w:val="21"/>
        </w:rPr>
        <w:t>[</w:t>
      </w:r>
      <w:r>
        <w:rPr>
          <w:rFonts w:hint="eastAsia"/>
          <w:spacing w:val="5"/>
          <w:szCs w:val="21"/>
        </w:rPr>
        <w:t>3</w:t>
      </w:r>
      <w:r>
        <w:rPr>
          <w:spacing w:val="5"/>
          <w:szCs w:val="21"/>
        </w:rPr>
        <w:t>]</w:t>
      </w:r>
      <w:r>
        <w:rPr>
          <w:rFonts w:hint="eastAsia"/>
          <w:spacing w:val="5"/>
          <w:szCs w:val="21"/>
        </w:rPr>
        <w:t xml:space="preserve"> 郝素敏等编，离散数学及其应用，清华大学出版社，2014年</w:t>
      </w:r>
      <w:r>
        <w:rPr>
          <w:spacing w:val="5"/>
          <w:szCs w:val="21"/>
        </w:rPr>
        <w:t xml:space="preserve">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jc w:val="right"/>
              <w:rPr>
                <w:kern w:val="0"/>
                <w:sz w:val="20"/>
                <w:szCs w:val="21"/>
              </w:rPr>
            </w:pPr>
            <w:r>
              <w:rPr>
                <w:kern w:val="0"/>
                <w:sz w:val="20"/>
                <w:szCs w:val="21"/>
              </w:rPr>
              <w:t>日 期：2022.0</w:t>
            </w:r>
            <w:r>
              <w:rPr>
                <w:rFonts w:hint="eastAsia"/>
                <w:kern w:val="0"/>
                <w:sz w:val="20"/>
                <w:szCs w:val="21"/>
              </w:rPr>
              <w:t>4.20</w:t>
            </w:r>
          </w:p>
        </w:tc>
      </w:tr>
    </w:tbl>
    <w:p/>
    <w:p>
      <w:pPr>
        <w:rPr>
          <w:rFonts w:ascii="等线" w:hAnsi="等线" w:eastAsia="等线"/>
        </w:rPr>
      </w:pPr>
    </w:p>
    <w:p>
      <w:pPr>
        <w:widowControl/>
        <w:jc w:val="left"/>
        <w:rPr>
          <w:rFonts w:eastAsia="等线"/>
          <w:b/>
          <w:sz w:val="32"/>
        </w:rPr>
      </w:pPr>
    </w:p>
    <w:p>
      <w:pPr>
        <w:jc w:val="center"/>
        <w:outlineLvl w:val="0"/>
        <w:rPr>
          <w:rFonts w:eastAsia="黑体"/>
          <w:b/>
          <w:kern w:val="0"/>
          <w:sz w:val="32"/>
          <w:szCs w:val="32"/>
        </w:rPr>
        <w:sectPr>
          <w:pgSz w:w="11906" w:h="16838"/>
          <w:pgMar w:top="1417" w:right="1361" w:bottom="1417" w:left="1361" w:header="851" w:footer="992" w:gutter="0"/>
          <w:cols w:space="720" w:num="1"/>
          <w:docGrid w:type="lines" w:linePitch="318" w:charSpace="0"/>
        </w:sectPr>
      </w:pPr>
    </w:p>
    <w:p>
      <w:pPr>
        <w:pStyle w:val="3"/>
        <w:jc w:val="center"/>
        <w:rPr>
          <w:rFonts w:ascii="Times New Roman" w:hAnsi="Times New Roman" w:eastAsia="宋体" w:cs="Times New Roman"/>
        </w:rPr>
      </w:pPr>
      <w:bookmarkStart w:id="29" w:name="_Toc22726"/>
      <w:bookmarkStart w:id="30" w:name="_Toc9601"/>
      <w:r>
        <w:rPr>
          <w:rFonts w:hint="eastAsia" w:ascii="Times New Roman" w:hAnsi="Times New Roman" w:eastAsia="宋体" w:cs="Times New Roman"/>
        </w:rPr>
        <w:t>19121102《大学物理</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2 \* ROMAN </w:instrText>
      </w:r>
      <w:r>
        <w:rPr>
          <w:rFonts w:hint="eastAsia" w:ascii="Times New Roman" w:hAnsi="Times New Roman" w:eastAsia="宋体" w:cs="Times New Roman"/>
        </w:rPr>
        <w:fldChar w:fldCharType="separate"/>
      </w:r>
      <w:r>
        <w:rPr>
          <w:rFonts w:hint="eastAsia" w:ascii="Times New Roman" w:hAnsi="Times New Roman" w:eastAsia="宋体" w:cs="Times New Roman"/>
        </w:rPr>
        <w:t>II</w:t>
      </w:r>
      <w:r>
        <w:rPr>
          <w:rFonts w:hint="eastAsia" w:ascii="Times New Roman" w:hAnsi="Times New Roman" w:eastAsia="宋体" w:cs="Times New Roman"/>
        </w:rPr>
        <w:fldChar w:fldCharType="end"/>
      </w:r>
      <w:r>
        <w:rPr>
          <w:rFonts w:hint="eastAsia" w:ascii="Times New Roman" w:hAnsi="Times New Roman" w:eastAsia="宋体" w:cs="Times New Roman"/>
        </w:rPr>
        <w:t>》课程教学大纲</w:t>
      </w:r>
      <w:bookmarkEnd w:id="29"/>
      <w:bookmarkEnd w:id="30"/>
    </w:p>
    <w:tbl>
      <w:tblPr>
        <w:tblStyle w:val="37"/>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087"/>
        <w:gridCol w:w="1122"/>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课程编号</w:t>
            </w:r>
          </w:p>
        </w:tc>
        <w:tc>
          <w:tcPr>
            <w:tcW w:w="3087" w:type="dxa"/>
            <w:vAlign w:val="center"/>
          </w:tcPr>
          <w:p>
            <w:pPr>
              <w:jc w:val="center"/>
              <w:rPr>
                <w:rFonts w:ascii="Times New Roman" w:hAnsi="Times New Roman" w:eastAsia="等线"/>
                <w:szCs w:val="21"/>
              </w:rPr>
            </w:pPr>
            <w:r>
              <w:rPr>
                <w:rFonts w:ascii="Times New Roman" w:hAnsi="Times New Roman" w:eastAsia="等线"/>
                <w:szCs w:val="21"/>
              </w:rPr>
              <w:t>19121102</w:t>
            </w:r>
          </w:p>
        </w:tc>
        <w:tc>
          <w:tcPr>
            <w:tcW w:w="1122" w:type="dxa"/>
            <w:vAlign w:val="center"/>
          </w:tcPr>
          <w:p>
            <w:pPr>
              <w:jc w:val="center"/>
              <w:rPr>
                <w:rFonts w:ascii="Times New Roman" w:hAnsi="Times New Roman" w:eastAsia="等线"/>
                <w:szCs w:val="21"/>
              </w:rPr>
            </w:pPr>
            <w:r>
              <w:rPr>
                <w:rFonts w:ascii="Times New Roman" w:hAnsi="Times New Roman" w:eastAsia="等线"/>
                <w:szCs w:val="21"/>
              </w:rPr>
              <w:t>课程名称</w:t>
            </w:r>
          </w:p>
        </w:tc>
        <w:tc>
          <w:tcPr>
            <w:tcW w:w="3373" w:type="dxa"/>
            <w:vAlign w:val="center"/>
          </w:tcPr>
          <w:p>
            <w:pPr>
              <w:jc w:val="center"/>
              <w:rPr>
                <w:rFonts w:ascii="Times New Roman" w:hAnsi="Times New Roman" w:eastAsia="等线"/>
                <w:szCs w:val="21"/>
              </w:rPr>
            </w:pPr>
            <w:r>
              <w:rPr>
                <w:rFonts w:ascii="Times New Roman" w:hAnsi="Times New Roman" w:eastAsia="等线"/>
                <w:szCs w:val="21"/>
              </w:rPr>
              <w:t>大学物理Ⅱ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课程性质</w:t>
            </w:r>
          </w:p>
        </w:tc>
        <w:tc>
          <w:tcPr>
            <w:tcW w:w="3087" w:type="dxa"/>
            <w:vAlign w:val="center"/>
          </w:tcPr>
          <w:p>
            <w:pPr>
              <w:jc w:val="center"/>
              <w:rPr>
                <w:rFonts w:ascii="Times New Roman" w:hAnsi="Times New Roman" w:eastAsia="等线"/>
                <w:szCs w:val="21"/>
              </w:rPr>
            </w:pPr>
            <w:r>
              <w:rPr>
                <w:rFonts w:ascii="Times New Roman" w:hAnsi="Times New Roman" w:eastAsia="等线"/>
                <w:szCs w:val="21"/>
              </w:rPr>
              <w:t>数学与自然科学类</w:t>
            </w:r>
          </w:p>
        </w:tc>
        <w:tc>
          <w:tcPr>
            <w:tcW w:w="1122" w:type="dxa"/>
            <w:vAlign w:val="center"/>
          </w:tcPr>
          <w:p>
            <w:pPr>
              <w:jc w:val="center"/>
              <w:rPr>
                <w:rFonts w:ascii="Times New Roman" w:hAnsi="Times New Roman" w:eastAsia="等线"/>
                <w:szCs w:val="21"/>
              </w:rPr>
            </w:pPr>
            <w:r>
              <w:rPr>
                <w:rFonts w:ascii="Times New Roman" w:hAnsi="Times New Roman" w:eastAsia="等线"/>
                <w:szCs w:val="21"/>
              </w:rPr>
              <w:t>英文名称</w:t>
            </w:r>
          </w:p>
        </w:tc>
        <w:tc>
          <w:tcPr>
            <w:tcW w:w="3373" w:type="dxa"/>
            <w:vAlign w:val="center"/>
          </w:tcPr>
          <w:p>
            <w:pPr>
              <w:jc w:val="center"/>
              <w:rPr>
                <w:rFonts w:ascii="Times New Roman" w:hAnsi="Times New Roman" w:eastAsia="等线"/>
                <w:szCs w:val="21"/>
              </w:rPr>
            </w:pPr>
            <w:r>
              <w:rPr>
                <w:rFonts w:ascii="Times New Roman" w:hAnsi="Times New Roman" w:eastAsia="等线"/>
                <w:szCs w:val="21"/>
              </w:rPr>
              <w:t>College Physics 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学分学时</w:t>
            </w:r>
          </w:p>
        </w:tc>
        <w:tc>
          <w:tcPr>
            <w:tcW w:w="3087" w:type="dxa"/>
            <w:vAlign w:val="center"/>
          </w:tcPr>
          <w:p>
            <w:pPr>
              <w:jc w:val="center"/>
              <w:rPr>
                <w:rFonts w:ascii="Times New Roman" w:hAnsi="Times New Roman" w:eastAsia="等线"/>
                <w:szCs w:val="21"/>
              </w:rPr>
            </w:pPr>
            <w:r>
              <w:rPr>
                <w:rFonts w:ascii="Times New Roman" w:hAnsi="Times New Roman" w:eastAsia="等线"/>
                <w:szCs w:val="21"/>
              </w:rPr>
              <w:t>6 : 96（0）</w:t>
            </w:r>
          </w:p>
        </w:tc>
        <w:tc>
          <w:tcPr>
            <w:tcW w:w="1122" w:type="dxa"/>
            <w:vAlign w:val="center"/>
          </w:tcPr>
          <w:p>
            <w:pPr>
              <w:jc w:val="center"/>
              <w:rPr>
                <w:rFonts w:ascii="Times New Roman" w:hAnsi="Times New Roman" w:eastAsia="等线"/>
                <w:szCs w:val="21"/>
              </w:rPr>
            </w:pPr>
            <w:r>
              <w:rPr>
                <w:rFonts w:ascii="Times New Roman" w:hAnsi="Times New Roman" w:eastAsia="等线"/>
                <w:szCs w:val="21"/>
              </w:rPr>
              <w:t>任课教师</w:t>
            </w:r>
          </w:p>
        </w:tc>
        <w:tc>
          <w:tcPr>
            <w:tcW w:w="3373" w:type="dxa"/>
            <w:vAlign w:val="center"/>
          </w:tcPr>
          <w:p>
            <w:pPr>
              <w:jc w:val="center"/>
              <w:rPr>
                <w:rFonts w:ascii="Times New Roman" w:hAnsi="Times New Roman" w:eastAsia="等线"/>
                <w:szCs w:val="21"/>
              </w:rPr>
            </w:pPr>
            <w:r>
              <w:rPr>
                <w:rFonts w:ascii="Times New Roman" w:hAnsi="Times New Roman" w:eastAsia="等线"/>
                <w:szCs w:val="21"/>
              </w:rPr>
              <w:t>师文庆，陈春雷，邵健梅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企业专家</w:t>
            </w:r>
          </w:p>
        </w:tc>
        <w:tc>
          <w:tcPr>
            <w:tcW w:w="3087" w:type="dxa"/>
            <w:vAlign w:val="center"/>
          </w:tcPr>
          <w:p>
            <w:pPr>
              <w:widowControl/>
              <w:jc w:val="center"/>
              <w:rPr>
                <w:rFonts w:ascii="Times New Roman" w:hAnsi="Times New Roman" w:eastAsia="等线"/>
                <w:szCs w:val="21"/>
              </w:rPr>
            </w:pPr>
            <w:r>
              <w:rPr>
                <w:rFonts w:ascii="Times New Roman" w:hAnsi="Times New Roman" w:eastAsia="等线"/>
                <w:szCs w:val="21"/>
              </w:rPr>
              <w:t>曾耿滨</w:t>
            </w:r>
          </w:p>
        </w:tc>
        <w:tc>
          <w:tcPr>
            <w:tcW w:w="1122" w:type="dxa"/>
            <w:vAlign w:val="center"/>
          </w:tcPr>
          <w:p>
            <w:pPr>
              <w:jc w:val="center"/>
              <w:rPr>
                <w:rFonts w:ascii="Times New Roman" w:hAnsi="Times New Roman" w:eastAsia="等线"/>
                <w:szCs w:val="21"/>
              </w:rPr>
            </w:pPr>
            <w:r>
              <w:rPr>
                <w:rFonts w:ascii="Times New Roman" w:hAnsi="Times New Roman" w:eastAsia="等线"/>
                <w:szCs w:val="21"/>
              </w:rPr>
              <w:t>行业专家</w:t>
            </w:r>
          </w:p>
        </w:tc>
        <w:tc>
          <w:tcPr>
            <w:tcW w:w="3373" w:type="dxa"/>
            <w:vAlign w:val="center"/>
          </w:tcPr>
          <w:p>
            <w:pPr>
              <w:widowControl/>
              <w:jc w:val="center"/>
              <w:rPr>
                <w:rFonts w:ascii="Times New Roman" w:hAnsi="Times New Roman" w:eastAsia="等线"/>
                <w:szCs w:val="21"/>
              </w:rPr>
            </w:pPr>
            <w:r>
              <w:rPr>
                <w:rFonts w:ascii="Times New Roman" w:hAnsi="Times New Roman" w:eastAsia="等线"/>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099" w:type="dxa"/>
            <w:vAlign w:val="center"/>
          </w:tcPr>
          <w:p>
            <w:pPr>
              <w:widowControl/>
              <w:jc w:val="center"/>
              <w:rPr>
                <w:rFonts w:ascii="Times New Roman" w:hAnsi="Times New Roman" w:eastAsia="等线"/>
                <w:szCs w:val="21"/>
              </w:rPr>
            </w:pPr>
            <w:r>
              <w:rPr>
                <w:rFonts w:ascii="Times New Roman" w:hAnsi="Times New Roman" w:eastAsia="等线"/>
                <w:szCs w:val="21"/>
              </w:rPr>
              <w:t>执笔教师</w:t>
            </w:r>
          </w:p>
        </w:tc>
        <w:tc>
          <w:tcPr>
            <w:tcW w:w="3087" w:type="dxa"/>
            <w:vAlign w:val="center"/>
          </w:tcPr>
          <w:p>
            <w:pPr>
              <w:widowControl/>
              <w:jc w:val="center"/>
              <w:rPr>
                <w:rFonts w:ascii="Times New Roman" w:hAnsi="Times New Roman" w:eastAsia="等线"/>
                <w:szCs w:val="21"/>
              </w:rPr>
            </w:pPr>
            <w:r>
              <w:rPr>
                <w:rFonts w:ascii="Times New Roman" w:hAnsi="Times New Roman" w:eastAsia="等线"/>
                <w:szCs w:val="21"/>
              </w:rPr>
              <w:t>师文庆，陈春雷，邵健梅</w:t>
            </w:r>
          </w:p>
        </w:tc>
        <w:tc>
          <w:tcPr>
            <w:tcW w:w="1122" w:type="dxa"/>
            <w:vAlign w:val="center"/>
          </w:tcPr>
          <w:p>
            <w:pPr>
              <w:widowControl/>
              <w:jc w:val="center"/>
              <w:rPr>
                <w:rFonts w:ascii="Times New Roman" w:hAnsi="Times New Roman" w:eastAsia="等线"/>
                <w:szCs w:val="21"/>
              </w:rPr>
            </w:pPr>
            <w:r>
              <w:rPr>
                <w:rFonts w:ascii="Times New Roman" w:hAnsi="Times New Roman" w:eastAsia="等线"/>
                <w:szCs w:val="21"/>
              </w:rPr>
              <w:t>责任教授</w:t>
            </w:r>
          </w:p>
        </w:tc>
        <w:tc>
          <w:tcPr>
            <w:tcW w:w="3373" w:type="dxa"/>
            <w:vAlign w:val="center"/>
          </w:tcPr>
          <w:p>
            <w:pPr>
              <w:widowControl/>
              <w:jc w:val="center"/>
              <w:rPr>
                <w:rFonts w:ascii="Times New Roman" w:hAnsi="Times New Roman" w:eastAsia="等线"/>
                <w:szCs w:val="21"/>
              </w:rPr>
            </w:pPr>
            <w:r>
              <w:rPr>
                <w:rFonts w:ascii="Times New Roman" w:hAnsi="Times New Roman" w:eastAsia="等线"/>
                <w:szCs w:val="21"/>
              </w:rPr>
              <w:t>熊正烨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099" w:type="dxa"/>
            <w:vAlign w:val="center"/>
          </w:tcPr>
          <w:p>
            <w:pPr>
              <w:widowControl/>
              <w:jc w:val="center"/>
              <w:rPr>
                <w:rFonts w:ascii="Times New Roman" w:hAnsi="Times New Roman" w:eastAsia="等线"/>
                <w:szCs w:val="21"/>
              </w:rPr>
            </w:pPr>
            <w:r>
              <w:rPr>
                <w:rFonts w:ascii="Times New Roman" w:hAnsi="Times New Roman" w:eastAsia="等线"/>
                <w:szCs w:val="21"/>
              </w:rPr>
              <w:t>适用专业</w:t>
            </w:r>
          </w:p>
        </w:tc>
        <w:tc>
          <w:tcPr>
            <w:tcW w:w="3087" w:type="dxa"/>
            <w:vAlign w:val="center"/>
          </w:tcPr>
          <w:p>
            <w:pPr>
              <w:widowControl/>
              <w:jc w:val="center"/>
              <w:rPr>
                <w:rFonts w:ascii="Times New Roman" w:hAnsi="Times New Roman" w:eastAsia="等线"/>
                <w:szCs w:val="21"/>
              </w:rPr>
            </w:pPr>
            <w:r>
              <w:rPr>
                <w:rFonts w:ascii="Times New Roman" w:hAnsi="Times New Roman" w:eastAsia="等线"/>
                <w:szCs w:val="21"/>
              </w:rPr>
              <w:t>电子信息工程、海洋技术</w:t>
            </w:r>
          </w:p>
        </w:tc>
        <w:tc>
          <w:tcPr>
            <w:tcW w:w="1122" w:type="dxa"/>
            <w:vAlign w:val="center"/>
          </w:tcPr>
          <w:p>
            <w:pPr>
              <w:widowControl/>
              <w:jc w:val="center"/>
              <w:rPr>
                <w:rFonts w:ascii="Times New Roman" w:hAnsi="Times New Roman" w:eastAsia="等线"/>
                <w:szCs w:val="21"/>
              </w:rPr>
            </w:pPr>
            <w:r>
              <w:rPr>
                <w:rFonts w:ascii="Times New Roman" w:hAnsi="Times New Roman" w:eastAsia="等线"/>
                <w:szCs w:val="21"/>
              </w:rPr>
              <w:t>适用对象</w:t>
            </w:r>
          </w:p>
        </w:tc>
        <w:tc>
          <w:tcPr>
            <w:tcW w:w="3373" w:type="dxa"/>
            <w:vAlign w:val="center"/>
          </w:tcPr>
          <w:p>
            <w:pPr>
              <w:widowControl/>
              <w:jc w:val="center"/>
              <w:rPr>
                <w:rFonts w:ascii="Times New Roman" w:hAnsi="Times New Roman" w:eastAsia="等线"/>
                <w:szCs w:val="21"/>
              </w:rPr>
            </w:pPr>
            <w:r>
              <w:rPr>
                <w:rFonts w:ascii="Times New Roman" w:hAnsi="Times New Roman" w:eastAsia="等线"/>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先修课程</w:t>
            </w:r>
          </w:p>
        </w:tc>
        <w:tc>
          <w:tcPr>
            <w:tcW w:w="3087" w:type="dxa"/>
            <w:vAlign w:val="center"/>
          </w:tcPr>
          <w:p>
            <w:pPr>
              <w:widowControl/>
              <w:jc w:val="center"/>
              <w:rPr>
                <w:rFonts w:ascii="Times New Roman" w:hAnsi="Times New Roman" w:eastAsia="等线"/>
                <w:szCs w:val="21"/>
              </w:rPr>
            </w:pPr>
            <w:r>
              <w:rPr>
                <w:rFonts w:ascii="Times New Roman" w:hAnsi="Times New Roman" w:eastAsia="等线"/>
                <w:szCs w:val="21"/>
              </w:rPr>
              <w:t>高等数学</w:t>
            </w:r>
          </w:p>
        </w:tc>
        <w:tc>
          <w:tcPr>
            <w:tcW w:w="1122" w:type="dxa"/>
            <w:vAlign w:val="center"/>
          </w:tcPr>
          <w:p>
            <w:pPr>
              <w:snapToGrid w:val="0"/>
              <w:spacing w:line="300" w:lineRule="auto"/>
              <w:jc w:val="center"/>
              <w:rPr>
                <w:rFonts w:ascii="Times New Roman" w:hAnsi="Times New Roman" w:eastAsia="等线"/>
                <w:szCs w:val="21"/>
              </w:rPr>
            </w:pPr>
            <w:r>
              <w:rPr>
                <w:rFonts w:ascii="Times New Roman" w:hAnsi="Times New Roman" w:eastAsia="等线"/>
                <w:szCs w:val="21"/>
              </w:rPr>
              <w:t>同修课程</w:t>
            </w:r>
          </w:p>
        </w:tc>
        <w:tc>
          <w:tcPr>
            <w:tcW w:w="3373" w:type="dxa"/>
            <w:vAlign w:val="center"/>
          </w:tcPr>
          <w:p>
            <w:pPr>
              <w:widowControl/>
              <w:jc w:val="center"/>
              <w:rPr>
                <w:rFonts w:ascii="Times New Roman" w:hAnsi="Times New Roman" w:eastAsia="等线"/>
                <w:szCs w:val="21"/>
              </w:rPr>
            </w:pPr>
            <w:r>
              <w:rPr>
                <w:rFonts w:ascii="Times New Roman" w:hAnsi="Times New Roman" w:eastAsia="等线"/>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099" w:type="dxa"/>
            <w:vAlign w:val="center"/>
          </w:tcPr>
          <w:p>
            <w:pPr>
              <w:jc w:val="center"/>
              <w:rPr>
                <w:rFonts w:ascii="Times New Roman" w:hAnsi="Times New Roman" w:eastAsia="等线"/>
                <w:szCs w:val="21"/>
              </w:rPr>
            </w:pPr>
            <w:r>
              <w:rPr>
                <w:rFonts w:ascii="Times New Roman" w:hAnsi="Times New Roman" w:eastAsia="等线"/>
                <w:szCs w:val="21"/>
              </w:rPr>
              <w:t>排斥课程</w:t>
            </w:r>
          </w:p>
        </w:tc>
        <w:tc>
          <w:tcPr>
            <w:tcW w:w="3087" w:type="dxa"/>
            <w:vAlign w:val="center"/>
          </w:tcPr>
          <w:p>
            <w:pPr>
              <w:widowControl/>
              <w:jc w:val="center"/>
              <w:rPr>
                <w:rFonts w:ascii="Times New Roman" w:hAnsi="Times New Roman" w:eastAsia="等线"/>
                <w:szCs w:val="21"/>
              </w:rPr>
            </w:pPr>
            <w:r>
              <w:rPr>
                <w:rFonts w:ascii="Times New Roman" w:hAnsi="Times New Roman" w:eastAsia="等线"/>
                <w:szCs w:val="21"/>
              </w:rPr>
              <w:t>无</w:t>
            </w:r>
          </w:p>
        </w:tc>
        <w:tc>
          <w:tcPr>
            <w:tcW w:w="1122" w:type="dxa"/>
            <w:vAlign w:val="center"/>
          </w:tcPr>
          <w:p>
            <w:pPr>
              <w:snapToGrid w:val="0"/>
              <w:spacing w:line="300" w:lineRule="auto"/>
              <w:jc w:val="center"/>
              <w:rPr>
                <w:rFonts w:ascii="Times New Roman" w:hAnsi="Times New Roman" w:eastAsia="等线"/>
                <w:szCs w:val="21"/>
              </w:rPr>
            </w:pPr>
            <w:r>
              <w:rPr>
                <w:rFonts w:ascii="Times New Roman" w:hAnsi="Times New Roman" w:eastAsia="等线"/>
                <w:szCs w:val="21"/>
              </w:rPr>
              <w:t>定稿日期</w:t>
            </w:r>
          </w:p>
        </w:tc>
        <w:tc>
          <w:tcPr>
            <w:tcW w:w="3373" w:type="dxa"/>
            <w:vAlign w:val="center"/>
          </w:tcPr>
          <w:p>
            <w:pPr>
              <w:widowControl/>
              <w:jc w:val="center"/>
              <w:rPr>
                <w:rFonts w:ascii="Times New Roman" w:hAnsi="Times New Roman" w:eastAsia="等线"/>
                <w:szCs w:val="21"/>
              </w:rPr>
            </w:pPr>
            <w:r>
              <w:rPr>
                <w:rFonts w:ascii="Times New Roman" w:hAnsi="Times New Roman" w:eastAsia="等线"/>
                <w:szCs w:val="21"/>
              </w:rPr>
              <w:t>202</w:t>
            </w:r>
            <w:r>
              <w:rPr>
                <w:rFonts w:hint="eastAsia" w:ascii="Times New Roman" w:hAnsi="Times New Roman" w:eastAsia="等线"/>
                <w:szCs w:val="21"/>
              </w:rPr>
              <w:t>2</w:t>
            </w:r>
            <w:r>
              <w:rPr>
                <w:rFonts w:ascii="Times New Roman" w:hAnsi="Times New Roman" w:eastAsia="等线"/>
                <w:szCs w:val="21"/>
              </w:rPr>
              <w:t>.0</w:t>
            </w:r>
            <w:r>
              <w:rPr>
                <w:rFonts w:hint="eastAsia" w:ascii="Times New Roman" w:hAnsi="Times New Roman" w:eastAsia="等线"/>
                <w:szCs w:val="21"/>
              </w:rPr>
              <w:t>5</w:t>
            </w:r>
            <w:r>
              <w:rPr>
                <w:rFonts w:ascii="Times New Roman" w:hAnsi="Times New Roman" w:eastAsia="等线"/>
                <w:szCs w:val="21"/>
              </w:rPr>
              <w:t>.</w:t>
            </w:r>
            <w:r>
              <w:rPr>
                <w:rFonts w:hint="eastAsia" w:ascii="Times New Roman" w:hAnsi="Times New Roman" w:eastAsia="等线"/>
                <w:szCs w:val="21"/>
              </w:rPr>
              <w:t>10</w:t>
            </w:r>
          </w:p>
        </w:tc>
      </w:tr>
    </w:tbl>
    <w:p>
      <w:pPr>
        <w:snapToGrid w:val="0"/>
        <w:spacing w:line="300" w:lineRule="auto"/>
        <w:rPr>
          <w:rFonts w:ascii="Times New Roman" w:hAnsi="Times New Roman"/>
          <w:kern w:val="0"/>
          <w:szCs w:val="20"/>
        </w:rPr>
      </w:pPr>
      <w:r>
        <w:rPr>
          <w:rFonts w:ascii="Times New Roman" w:hAnsi="Times New Roman"/>
          <w:kern w:val="0"/>
          <w:szCs w:val="20"/>
        </w:rPr>
        <w:t>*</w:t>
      </w:r>
      <w:r>
        <w:rPr>
          <w:rFonts w:ascii="Times New Roman" w:hAnsi="Times New Roman"/>
          <w:sz w:val="18"/>
          <w:szCs w:val="18"/>
        </w:rPr>
        <w:t>数学与自然科学类、工程基础类、专业基础类、专业类、工程实践与毕业设计（论文）、人文社会科学类；学分学时处（）内为实验学时。</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一、课程简介</w:t>
      </w:r>
    </w:p>
    <w:p>
      <w:pPr>
        <w:spacing w:line="300" w:lineRule="auto"/>
        <w:ind w:right="4" w:firstLine="420" w:firstLineChars="200"/>
        <w:rPr>
          <w:rFonts w:ascii="Times New Roman" w:hAnsi="Times New Roman"/>
          <w:szCs w:val="21"/>
        </w:rPr>
      </w:pPr>
      <w:r>
        <w:rPr>
          <w:rFonts w:ascii="Times New Roman" w:hAnsi="Times New Roman"/>
          <w:szCs w:val="21"/>
        </w:rPr>
        <w:t>课程内容体系主要包括经典物理的力学、热学、电磁学、光学及近代物理。《大学物理</w:t>
      </w:r>
      <w:r>
        <w:rPr>
          <w:rFonts w:ascii="Times New Roman" w:hAnsi="Times New Roman" w:eastAsia="等线"/>
          <w:szCs w:val="21"/>
        </w:rPr>
        <w:t>Ⅱ</w:t>
      </w:r>
      <w:r>
        <w:rPr>
          <w:rFonts w:ascii="Times New Roman" w:hAnsi="Times New Roman"/>
          <w:szCs w:val="21"/>
        </w:rPr>
        <w:t>》课程的理论体系具有完美性、系统性。它包括的基本理论、科学思维方式、研究方法、物理思想的表述及定律、定理的表达是每位工科大学生必须学习和掌握的；是学习其他后续课程的基础；是一门全面、系统培养学生综合素质的课程。《大学物理</w:t>
      </w:r>
      <w:r>
        <w:rPr>
          <w:rFonts w:ascii="Times New Roman" w:hAnsi="Times New Roman" w:eastAsia="等线"/>
          <w:szCs w:val="21"/>
        </w:rPr>
        <w:t>Ⅱ</w:t>
      </w:r>
      <w:r>
        <w:rPr>
          <w:rFonts w:ascii="Times New Roman" w:hAnsi="Times New Roman"/>
          <w:szCs w:val="21"/>
        </w:rPr>
        <w:t>》的教育理念就是打好扎实的物理基础，努力提高学生的科学素质，使《大学物理</w:t>
      </w:r>
      <w:r>
        <w:rPr>
          <w:rFonts w:ascii="Times New Roman" w:hAnsi="Times New Roman" w:eastAsia="等线"/>
          <w:szCs w:val="21"/>
        </w:rPr>
        <w:t>Ⅱ</w:t>
      </w:r>
      <w:r>
        <w:rPr>
          <w:rFonts w:ascii="Times New Roman" w:hAnsi="Times New Roman"/>
          <w:szCs w:val="21"/>
        </w:rPr>
        <w:t>》教育在培养当代高素质的人才中发挥重要作用。</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二、课程教学目标</w:t>
      </w:r>
    </w:p>
    <w:p>
      <w:pPr>
        <w:adjustRightInd w:val="0"/>
        <w:snapToGrid w:val="0"/>
        <w:spacing w:line="300" w:lineRule="auto"/>
        <w:ind w:firstLine="420" w:firstLineChars="200"/>
        <w:rPr>
          <w:rFonts w:ascii="Times New Roman" w:hAnsi="Times New Roman"/>
        </w:rPr>
      </w:pPr>
      <w:r>
        <w:rPr>
          <w:rFonts w:ascii="Times New Roman" w:hAnsi="Times New Roman"/>
          <w:szCs w:val="21"/>
        </w:rPr>
        <w:t>通过本课程的学习让学生达到以下教学目标，并引导学生形成正确的价值、道德、职责等观念，</w:t>
      </w:r>
      <w:r>
        <w:rPr>
          <w:rFonts w:ascii="Times New Roman" w:hAnsi="Times New Roman"/>
        </w:rPr>
        <w:t>强调科学教育的同时提升人文素养。本课程具体教学目标如下：</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1.掌握物理学基本理论、基础知识和基本技能，了解物理理论在生产技术中的应用，培养学生独立获取知识的能力，</w:t>
      </w:r>
      <w:r>
        <w:rPr>
          <w:rFonts w:ascii="Times New Roman" w:hAnsi="Times New Roman"/>
          <w:kern w:val="0"/>
          <w:szCs w:val="21"/>
        </w:rPr>
        <w:t>为后续进一步学习新理论、新知识、新技术打下必要的物理基础。</w:t>
      </w:r>
      <w:r>
        <w:rPr>
          <w:rFonts w:ascii="Times New Roman" w:hAnsi="Times New Roman"/>
          <w:szCs w:val="21"/>
        </w:rPr>
        <w:t>[1.1]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2.使学生对物理现象有基本的认识，能够熟练运用物理知识分析和解决实际问题，培养学生树立科学解决问题的思维方法</w:t>
      </w:r>
      <w:r>
        <w:rPr>
          <w:rFonts w:ascii="Times New Roman" w:hAnsi="Times New Roman"/>
          <w:kern w:val="0"/>
          <w:szCs w:val="21"/>
        </w:rPr>
        <w:t>。</w:t>
      </w:r>
      <w:r>
        <w:rPr>
          <w:rFonts w:ascii="Times New Roman" w:hAnsi="Times New Roman"/>
          <w:szCs w:val="21"/>
        </w:rPr>
        <w:t>[1.1]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3.使学生对科学实验在物理学研究和发展中的作用有正确的认识，培养学生的逻辑思维能力及初步的分析设计能力，为进一步掌握工程技术知识打下基础。[2.1]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4.</w:t>
      </w:r>
      <w:r>
        <w:rPr>
          <w:rFonts w:ascii="Times New Roman" w:hAnsi="Times New Roman"/>
          <w:kern w:val="0"/>
          <w:szCs w:val="21"/>
        </w:rPr>
        <w:t>培养学生树立正确的学习态度，掌握科学的学习方法，帮助学生建立辩证唯物主义世界观，激发探索和研究精神，以尽快适应大学阶段的学习规律。</w:t>
      </w:r>
      <w:r>
        <w:rPr>
          <w:rFonts w:ascii="Times New Roman" w:hAnsi="Times New Roman"/>
          <w:szCs w:val="21"/>
        </w:rPr>
        <w:t>[2.1]</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课程教学目标与毕业要求的对应关系见表1：</w:t>
      </w:r>
    </w:p>
    <w:p>
      <w:pPr>
        <w:widowControl/>
        <w:tabs>
          <w:tab w:val="left" w:pos="426"/>
          <w:tab w:val="left" w:pos="5245"/>
          <w:tab w:val="left" w:pos="5387"/>
        </w:tabs>
        <w:adjustRightInd w:val="0"/>
        <w:snapToGrid w:val="0"/>
        <w:spacing w:before="159" w:beforeLines="50" w:line="300" w:lineRule="auto"/>
        <w:ind w:firstLine="361" w:firstLineChars="200"/>
        <w:jc w:val="center"/>
        <w:rPr>
          <w:rFonts w:ascii="Times New Roman" w:hAnsi="Times New Roman"/>
          <w:b/>
          <w:sz w:val="18"/>
          <w:szCs w:val="18"/>
        </w:rPr>
      </w:pPr>
      <w:r>
        <w:rPr>
          <w:rFonts w:ascii="Times New Roman" w:hAnsi="Times New Roman"/>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806"/>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0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专业毕业要求</w:t>
            </w:r>
          </w:p>
        </w:tc>
        <w:tc>
          <w:tcPr>
            <w:tcW w:w="362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专业毕业要求指标点</w:t>
            </w:r>
          </w:p>
        </w:tc>
        <w:tc>
          <w:tcPr>
            <w:tcW w:w="48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0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1.工程知识</w:t>
            </w:r>
          </w:p>
        </w:tc>
        <w:tc>
          <w:tcPr>
            <w:tcW w:w="362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1.1掌握电子信息工程专业理论和知识体系的数学和自然科学知识，将其应用于信息技术（IT）行业知识和专业知识的学习。</w:t>
            </w:r>
          </w:p>
        </w:tc>
        <w:tc>
          <w:tcPr>
            <w:tcW w:w="480" w:type="pct"/>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90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2．问题分析</w:t>
            </w:r>
          </w:p>
        </w:tc>
        <w:tc>
          <w:tcPr>
            <w:tcW w:w="3620"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2.1具备应用数学、自然科学和工程科学的基本原理，对电子信息工程的复杂工程问题进行识别、表达和分析，并获得有效结论的能力。</w:t>
            </w:r>
          </w:p>
        </w:tc>
        <w:tc>
          <w:tcPr>
            <w:tcW w:w="48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sz w:val="18"/>
                <w:szCs w:val="18"/>
              </w:rPr>
            </w:pPr>
            <w:r>
              <w:rPr>
                <w:rFonts w:hint="eastAsia" w:ascii="Times New Roman" w:hAnsi="Times New Roman"/>
                <w:sz w:val="18"/>
                <w:szCs w:val="18"/>
              </w:rPr>
              <w:t>3，4</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三、课程教学目标达成途径（或教学设计）</w:t>
      </w:r>
    </w:p>
    <w:p>
      <w:pPr>
        <w:adjustRightInd w:val="0"/>
        <w:snapToGrid w:val="0"/>
        <w:spacing w:before="159" w:beforeLines="50" w:line="300" w:lineRule="auto"/>
        <w:ind w:firstLine="361" w:firstLineChars="200"/>
        <w:jc w:val="center"/>
        <w:rPr>
          <w:rFonts w:ascii="Times New Roman" w:hAnsi="Times New Roman"/>
          <w:b/>
          <w:sz w:val="24"/>
        </w:rPr>
      </w:pPr>
      <w:r>
        <w:rPr>
          <w:rFonts w:ascii="Times New Roman" w:hAnsi="Times New Roman"/>
          <w:b/>
          <w:kern w:val="0"/>
          <w:sz w:val="18"/>
          <w:szCs w:val="18"/>
        </w:rPr>
        <w:t>表2 课程目标达成途径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1"/>
        <w:gridCol w:w="2089"/>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课程教学目标</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达成途径</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b/>
                <w:sz w:val="18"/>
                <w:szCs w:val="18"/>
              </w:rPr>
            </w:pPr>
            <w:r>
              <w:rPr>
                <w:rFonts w:ascii="Times New Roman" w:hAnsi="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1.掌握物理学基本理论、基础知识和基本技能，了解物理理论在生产技术中的应用，培养学生独立获取知识的能力，</w:t>
            </w:r>
            <w:r>
              <w:rPr>
                <w:rFonts w:ascii="Times New Roman" w:hAnsi="Times New Roman"/>
                <w:kern w:val="0"/>
                <w:sz w:val="18"/>
                <w:szCs w:val="18"/>
              </w:rPr>
              <w:t>为后续进一步学习新理论、新知识、新技术打下必要的物理基础。</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
                <w:sz w:val="18"/>
                <w:szCs w:val="18"/>
              </w:rPr>
            </w:pPr>
            <w:r>
              <w:rPr>
                <w:rFonts w:ascii="Times New Roman" w:hAnsi="Times New Roman"/>
                <w:sz w:val="18"/>
                <w:szCs w:val="18"/>
              </w:rPr>
              <w:t>通过课堂讲授、学生自主学习（指定阅读）、作业等达成。</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Cs/>
                <w:sz w:val="18"/>
                <w:szCs w:val="18"/>
              </w:rPr>
            </w:pPr>
            <w:r>
              <w:rPr>
                <w:rFonts w:ascii="Times New Roman" w:hAnsi="Times New Roman"/>
                <w:bCs/>
                <w:sz w:val="18"/>
                <w:szCs w:val="18"/>
              </w:rPr>
              <w:t>课堂表现、习题作业、考试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2.使学生对物理现象有基本的认识，能够熟练运用物理知识分析和解决实际问题，培养学生树立科学解决问题的思维方法。</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
                <w:sz w:val="18"/>
                <w:szCs w:val="18"/>
              </w:rPr>
            </w:pPr>
            <w:r>
              <w:rPr>
                <w:rFonts w:ascii="Times New Roman" w:hAnsi="Times New Roman"/>
                <w:sz w:val="18"/>
                <w:szCs w:val="18"/>
              </w:rPr>
              <w:t>通过课堂讲授、指定阅读、作业等达成。</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Cs/>
                <w:sz w:val="18"/>
                <w:szCs w:val="18"/>
              </w:rPr>
            </w:pPr>
            <w:r>
              <w:rPr>
                <w:rFonts w:ascii="Times New Roman" w:hAnsi="Times New Roman"/>
                <w:bCs/>
                <w:sz w:val="18"/>
                <w:szCs w:val="18"/>
              </w:rPr>
              <w:t>课堂表现、习题作业、大作业、考试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3.使学生对科学实验在物理学研究和发展中的作用有正确的认识，培养学生的逻辑思维能力及初步的分析设计能力，为进一步掌握工程技术知识打下基础。</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
                <w:sz w:val="18"/>
                <w:szCs w:val="18"/>
              </w:rPr>
            </w:pPr>
            <w:r>
              <w:rPr>
                <w:rFonts w:ascii="Times New Roman" w:hAnsi="Times New Roman"/>
                <w:bCs/>
                <w:sz w:val="18"/>
                <w:szCs w:val="18"/>
              </w:rPr>
              <w:t>通过课堂讲授、作业、实验等达成。</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
                <w:sz w:val="18"/>
                <w:szCs w:val="18"/>
              </w:rPr>
            </w:pPr>
            <w:r>
              <w:rPr>
                <w:rFonts w:ascii="Times New Roman" w:hAnsi="Times New Roman"/>
                <w:bCs/>
                <w:sz w:val="18"/>
                <w:szCs w:val="18"/>
              </w:rPr>
              <w:t>课堂表现、习题作业、实验报告、考试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4.培养学生树立正确的学习态度，掌握科学的学习方法，帮助学生建立辩证唯物主义世界观，激发探索和研究精神，以尽快适应大学阶段的学习规律。</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Cs/>
                <w:sz w:val="18"/>
                <w:szCs w:val="18"/>
              </w:rPr>
            </w:pPr>
            <w:r>
              <w:rPr>
                <w:rFonts w:ascii="Times New Roman" w:hAnsi="Times New Roman"/>
                <w:sz w:val="18"/>
                <w:szCs w:val="18"/>
              </w:rPr>
              <w:t>通过课堂讲授、小组讨论、作业室等达成。</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bCs/>
                <w:sz w:val="18"/>
                <w:szCs w:val="18"/>
              </w:rPr>
            </w:pPr>
            <w:r>
              <w:rPr>
                <w:rFonts w:ascii="Times New Roman" w:hAnsi="Times New Roman"/>
                <w:bCs/>
                <w:sz w:val="18"/>
                <w:szCs w:val="18"/>
              </w:rPr>
              <w:t>课堂表现、方案报告、大作业、考试</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四、课程教学内容、教与学的要求</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《大学物理</w:t>
      </w:r>
      <w:r>
        <w:rPr>
          <w:rFonts w:ascii="Times New Roman" w:hAnsi="Times New Roman" w:eastAsia="等线"/>
          <w:szCs w:val="21"/>
        </w:rPr>
        <w:t>Ⅱ》</w:t>
      </w:r>
      <w:r>
        <w:rPr>
          <w:rFonts w:ascii="Times New Roman" w:hAnsi="Times New Roman"/>
          <w:szCs w:val="21"/>
        </w:rPr>
        <w:t>课程总的要求是：建立科学合理的课程体系，实现教学内容的现代化，突出基础特色。《大学物理</w:t>
      </w:r>
      <w:r>
        <w:rPr>
          <w:rFonts w:ascii="Times New Roman" w:hAnsi="Times New Roman" w:eastAsia="等线"/>
          <w:szCs w:val="21"/>
        </w:rPr>
        <w:t>Ⅱ</w:t>
      </w:r>
      <w:r>
        <w:rPr>
          <w:rFonts w:ascii="Times New Roman" w:hAnsi="Times New Roman"/>
          <w:szCs w:val="21"/>
        </w:rPr>
        <w:t>》课程的教学内容包括力学、热学、电磁学、振动与波动、波动光学、近代物理（相对论和量子物理学）、现代高新技术的物理基础专题七部分。通过课程教育，培养学生具备以下能力：</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独立获取知识的能力。通过学习，学生能够掌握科学的学习方法，独立地阅读相当于大学物理水平的物理类教材、参考书和文献资料，不断地扩展知识面，并能理解其主要内容，写出条理较为清晰的读书笔记、小结、心得体会或者小论文。</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科学思维能力。通过学习，学生能够运用物理学的理论、观点和方法，正确分析、研究、计算或估算一般难度的物理问题。能够根据物理概念、问题的性质以及实际需要，抓住主要因素，略去次要因素，对所研究的对象进行合理的简化，建立相应的物理模型，并用物理语言进行表述。能够根据单位（量纲）的分析、数量级的估算、极限情形和特例的讨论等，对实际问题进行定性思考或半定量估算，并判断其结果的合理性。</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3．解决实际问题的能力。通过学习，学生应初步树立工程意识，并能自觉地思索将所学的物理学的理论、观点和行之有效的物理学的研究方法，如分析综合、演绎归纳、科学抽象、类比联想、理想化方法、模型化方法、统计方法等运用于工程技术的实际问题的途径，解决较为简单的实际问题。</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4．创新能力。通过转变传统的教学思维方式，诱导学生敢于提出不同见解和发表创新性意见，敢于向权威挑战。能够大胆地打破常规、设疑猜想，寻求变异，多渠道探索解决问题的方案。</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本课程理论教学内容与教学要求见表3。</w:t>
      </w:r>
    </w:p>
    <w:p>
      <w:pPr>
        <w:adjustRightInd w:val="0"/>
        <w:snapToGrid w:val="0"/>
        <w:spacing w:before="159" w:beforeLines="50" w:line="300" w:lineRule="auto"/>
        <w:ind w:firstLine="3795" w:firstLineChars="2100"/>
        <w:rPr>
          <w:rFonts w:ascii="Times New Roman" w:hAnsi="Times New Roman"/>
          <w:b/>
          <w:bCs/>
          <w:sz w:val="18"/>
          <w:szCs w:val="20"/>
        </w:rPr>
      </w:pPr>
      <w:r>
        <w:rPr>
          <w:rFonts w:ascii="Times New Roman" w:hAnsi="Times New Roman"/>
          <w:b/>
          <w:bCs/>
          <w:sz w:val="18"/>
          <w:szCs w:val="20"/>
        </w:rPr>
        <w:t>表3 教学内容与要求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735"/>
        <w:gridCol w:w="2689"/>
        <w:gridCol w:w="700"/>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b/>
                <w:kern w:val="0"/>
                <w:sz w:val="18"/>
                <w:szCs w:val="18"/>
              </w:rPr>
            </w:pPr>
            <w:r>
              <w:rPr>
                <w:rFonts w:ascii="Times New Roman" w:hAnsi="Times New Roman"/>
                <w:b/>
                <w:kern w:val="0"/>
                <w:sz w:val="18"/>
                <w:szCs w:val="18"/>
              </w:rPr>
              <w:t>序号</w:t>
            </w:r>
          </w:p>
        </w:tc>
        <w:tc>
          <w:tcPr>
            <w:tcW w:w="3735" w:type="dxa"/>
            <w:vAlign w:val="center"/>
          </w:tcPr>
          <w:p>
            <w:pPr>
              <w:widowControl/>
              <w:adjustRightInd w:val="0"/>
              <w:snapToGrid w:val="0"/>
              <w:spacing w:line="300" w:lineRule="auto"/>
              <w:jc w:val="center"/>
              <w:rPr>
                <w:rFonts w:ascii="Times New Roman" w:hAnsi="Times New Roman"/>
                <w:b/>
                <w:kern w:val="0"/>
                <w:sz w:val="18"/>
                <w:szCs w:val="18"/>
              </w:rPr>
            </w:pPr>
            <w:r>
              <w:rPr>
                <w:rFonts w:ascii="Times New Roman" w:hAnsi="Times New Roman"/>
                <w:b/>
                <w:kern w:val="0"/>
                <w:sz w:val="18"/>
                <w:szCs w:val="18"/>
              </w:rPr>
              <w:t>教学内容</w:t>
            </w:r>
          </w:p>
        </w:tc>
        <w:tc>
          <w:tcPr>
            <w:tcW w:w="2689" w:type="dxa"/>
            <w:vAlign w:val="center"/>
          </w:tcPr>
          <w:p>
            <w:pPr>
              <w:widowControl/>
              <w:adjustRightInd w:val="0"/>
              <w:snapToGrid w:val="0"/>
              <w:spacing w:line="300" w:lineRule="auto"/>
              <w:jc w:val="center"/>
              <w:rPr>
                <w:rFonts w:ascii="Times New Roman" w:hAnsi="Times New Roman"/>
                <w:b/>
                <w:kern w:val="0"/>
                <w:sz w:val="18"/>
                <w:szCs w:val="18"/>
              </w:rPr>
            </w:pPr>
            <w:r>
              <w:rPr>
                <w:rFonts w:ascii="Times New Roman" w:hAnsi="Times New Roman"/>
                <w:b/>
                <w:kern w:val="0"/>
                <w:sz w:val="18"/>
                <w:szCs w:val="18"/>
              </w:rPr>
              <w:t>教与学的要求</w:t>
            </w:r>
          </w:p>
        </w:tc>
        <w:tc>
          <w:tcPr>
            <w:tcW w:w="700" w:type="dxa"/>
            <w:vAlign w:val="center"/>
          </w:tcPr>
          <w:p>
            <w:pPr>
              <w:widowControl/>
              <w:adjustRightInd w:val="0"/>
              <w:snapToGrid w:val="0"/>
              <w:spacing w:line="300" w:lineRule="auto"/>
              <w:jc w:val="center"/>
              <w:rPr>
                <w:rFonts w:ascii="Times New Roman" w:hAnsi="Times New Roman"/>
                <w:b/>
                <w:kern w:val="0"/>
                <w:sz w:val="18"/>
                <w:szCs w:val="18"/>
              </w:rPr>
            </w:pPr>
            <w:r>
              <w:rPr>
                <w:rFonts w:ascii="Times New Roman" w:hAnsi="Times New Roman"/>
                <w:b/>
                <w:kern w:val="0"/>
                <w:sz w:val="18"/>
                <w:szCs w:val="18"/>
              </w:rPr>
              <w:t>学时</w:t>
            </w:r>
          </w:p>
        </w:tc>
        <w:tc>
          <w:tcPr>
            <w:tcW w:w="995" w:type="dxa"/>
            <w:vAlign w:val="center"/>
          </w:tcPr>
          <w:p>
            <w:pPr>
              <w:widowControl/>
              <w:adjustRightInd w:val="0"/>
              <w:snapToGrid w:val="0"/>
              <w:spacing w:line="300" w:lineRule="auto"/>
              <w:rPr>
                <w:rFonts w:ascii="Times New Roman" w:hAnsi="Times New Roman"/>
                <w:b/>
                <w:kern w:val="0"/>
                <w:sz w:val="18"/>
                <w:szCs w:val="18"/>
              </w:rPr>
            </w:pPr>
            <w:r>
              <w:rPr>
                <w:rFonts w:ascii="Times New Roman" w:hAnsi="Times New Roman"/>
                <w:b/>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1</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  质点运动学</w:t>
            </w:r>
          </w:p>
          <w:p>
            <w:pPr>
              <w:adjustRightInd w:val="0"/>
              <w:snapToGrid w:val="0"/>
              <w:spacing w:line="300" w:lineRule="auto"/>
              <w:rPr>
                <w:rFonts w:ascii="Times New Roman" w:hAnsi="Times New Roman"/>
                <w:sz w:val="18"/>
                <w:szCs w:val="18"/>
              </w:rPr>
            </w:pPr>
            <w:r>
              <w:rPr>
                <w:rFonts w:ascii="Times New Roman" w:hAnsi="Times New Roman"/>
                <w:sz w:val="18"/>
                <w:szCs w:val="18"/>
              </w:rPr>
              <w:t>1.1运动的描述</w:t>
            </w:r>
          </w:p>
          <w:p>
            <w:pPr>
              <w:adjustRightInd w:val="0"/>
              <w:snapToGrid w:val="0"/>
              <w:spacing w:line="300" w:lineRule="auto"/>
              <w:rPr>
                <w:rFonts w:ascii="Times New Roman" w:hAnsi="Times New Roman"/>
                <w:sz w:val="18"/>
                <w:szCs w:val="18"/>
              </w:rPr>
            </w:pPr>
            <w:r>
              <w:rPr>
                <w:rFonts w:ascii="Times New Roman" w:hAnsi="Times New Roman"/>
                <w:sz w:val="18"/>
                <w:szCs w:val="18"/>
              </w:rPr>
              <w:t>1.2 圆周运动</w:t>
            </w:r>
          </w:p>
          <w:p>
            <w:pPr>
              <w:adjustRightInd w:val="0"/>
              <w:snapToGrid w:val="0"/>
              <w:spacing w:line="300" w:lineRule="auto"/>
              <w:rPr>
                <w:rFonts w:ascii="Times New Roman" w:hAnsi="Times New Roman"/>
                <w:sz w:val="18"/>
                <w:szCs w:val="18"/>
              </w:rPr>
            </w:pPr>
            <w:r>
              <w:rPr>
                <w:rFonts w:ascii="Times New Roman" w:hAnsi="Times New Roman"/>
                <w:sz w:val="18"/>
                <w:szCs w:val="18"/>
              </w:rPr>
              <w:t>1.3 相对运动</w:t>
            </w:r>
          </w:p>
        </w:tc>
        <w:tc>
          <w:tcPr>
            <w:tcW w:w="2689"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（1）了解：相对运动。</w:t>
            </w:r>
          </w:p>
          <w:p>
            <w:pPr>
              <w:adjustRightInd w:val="0"/>
              <w:snapToGrid w:val="0"/>
              <w:spacing w:line="300" w:lineRule="auto"/>
              <w:rPr>
                <w:rFonts w:ascii="Times New Roman" w:hAnsi="Times New Roman"/>
                <w:sz w:val="18"/>
                <w:szCs w:val="18"/>
              </w:rPr>
            </w:pPr>
            <w:r>
              <w:rPr>
                <w:rFonts w:ascii="Times New Roman" w:hAnsi="Times New Roman"/>
                <w:sz w:val="18"/>
                <w:szCs w:val="18"/>
              </w:rPr>
              <w:t>（2）理解：角量与线量的对应关系。</w:t>
            </w:r>
          </w:p>
          <w:p>
            <w:pPr>
              <w:adjustRightInd w:val="0"/>
              <w:snapToGrid w:val="0"/>
              <w:spacing w:line="300" w:lineRule="auto"/>
              <w:rPr>
                <w:rFonts w:ascii="Times New Roman" w:hAnsi="Times New Roman"/>
                <w:sz w:val="18"/>
                <w:szCs w:val="18"/>
              </w:rPr>
            </w:pPr>
            <w:r>
              <w:rPr>
                <w:rFonts w:ascii="Times New Roman" w:hAnsi="Times New Roman"/>
                <w:sz w:val="18"/>
                <w:szCs w:val="18"/>
              </w:rPr>
              <w:t>（3）掌握：质点运动方程、位矢；位移、速度、加速度；切向加速度与法向加速度。</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kern w:val="0"/>
                <w:sz w:val="18"/>
                <w:szCs w:val="18"/>
              </w:rPr>
            </w:pPr>
          </w:p>
          <w:p>
            <w:pPr>
              <w:widowControl/>
              <w:adjustRightInd w:val="0"/>
              <w:snapToGrid w:val="0"/>
              <w:spacing w:line="300" w:lineRule="auto"/>
              <w:jc w:val="center"/>
              <w:rPr>
                <w:rFonts w:ascii="Times New Roman" w:hAnsi="Times New Roman"/>
                <w:kern w:val="0"/>
                <w:sz w:val="18"/>
                <w:szCs w:val="18"/>
              </w:rPr>
            </w:pPr>
          </w:p>
          <w:p>
            <w:pPr>
              <w:widowControl/>
              <w:adjustRightInd w:val="0"/>
              <w:snapToGrid w:val="0"/>
              <w:spacing w:line="300" w:lineRule="auto"/>
              <w:ind w:firstLine="180" w:firstLineChars="100"/>
              <w:rPr>
                <w:rFonts w:ascii="Times New Roman" w:hAnsi="Times New Roman"/>
                <w:kern w:val="0"/>
                <w:sz w:val="18"/>
                <w:szCs w:val="18"/>
              </w:rPr>
            </w:pPr>
            <w:r>
              <w:rPr>
                <w:rFonts w:ascii="Times New Roman" w:hAnsi="Times New Roman"/>
                <w:kern w:val="0"/>
                <w:sz w:val="18"/>
                <w:szCs w:val="18"/>
              </w:rPr>
              <w:t>4</w:t>
            </w:r>
          </w:p>
          <w:p>
            <w:pPr>
              <w:widowControl/>
              <w:adjustRightInd w:val="0"/>
              <w:snapToGrid w:val="0"/>
              <w:spacing w:line="300" w:lineRule="auto"/>
              <w:jc w:val="center"/>
              <w:rPr>
                <w:rFonts w:ascii="Times New Roman" w:hAnsi="Times New Roman"/>
                <w:kern w:val="0"/>
                <w:sz w:val="18"/>
                <w:szCs w:val="18"/>
              </w:rPr>
            </w:pPr>
          </w:p>
          <w:p>
            <w:pPr>
              <w:widowControl/>
              <w:adjustRightInd w:val="0"/>
              <w:snapToGrid w:val="0"/>
              <w:spacing w:line="300" w:lineRule="auto"/>
              <w:jc w:val="center"/>
              <w:rPr>
                <w:rFonts w:ascii="Times New Roman" w:hAnsi="Times New Roman"/>
                <w:kern w:val="0"/>
                <w:sz w:val="18"/>
                <w:szCs w:val="18"/>
              </w:rPr>
            </w:pPr>
          </w:p>
          <w:p>
            <w:pPr>
              <w:widowControl/>
              <w:adjustRightInd w:val="0"/>
              <w:snapToGrid w:val="0"/>
              <w:spacing w:line="300" w:lineRule="auto"/>
              <w:jc w:val="center"/>
              <w:rPr>
                <w:rFonts w:ascii="Times New Roman" w:hAnsi="Times New Roman"/>
                <w:kern w:val="0"/>
                <w:sz w:val="18"/>
                <w:szCs w:val="18"/>
              </w:rPr>
            </w:pPr>
          </w:p>
        </w:tc>
        <w:tc>
          <w:tcPr>
            <w:tcW w:w="995" w:type="dxa"/>
            <w:vAlign w:val="center"/>
          </w:tcPr>
          <w:p>
            <w:pPr>
              <w:widowControl/>
              <w:adjustRightInd w:val="0"/>
              <w:snapToGrid w:val="0"/>
              <w:spacing w:line="300" w:lineRule="auto"/>
              <w:rPr>
                <w:rFonts w:ascii="Times New Roman" w:hAnsi="Times New Roman"/>
                <w:kern w:val="0"/>
                <w:sz w:val="18"/>
                <w:szCs w:val="18"/>
              </w:rPr>
            </w:pPr>
          </w:p>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p>
            <w:pPr>
              <w:widowControl/>
              <w:adjustRightInd w:val="0"/>
              <w:snapToGrid w:val="0"/>
              <w:spacing w:line="300" w:lineRule="auto"/>
              <w:rPr>
                <w:rFonts w:ascii="Times New Roman" w:hAnsi="Times New Roman"/>
                <w:kern w:val="0"/>
                <w:sz w:val="18"/>
                <w:szCs w:val="18"/>
              </w:rPr>
            </w:pPr>
          </w:p>
          <w:p>
            <w:pPr>
              <w:widowControl/>
              <w:adjustRightInd w:val="0"/>
              <w:snapToGrid w:val="0"/>
              <w:spacing w:line="300" w:lineRule="auto"/>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2</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2  质点动力学</w:t>
            </w:r>
          </w:p>
          <w:p>
            <w:pPr>
              <w:adjustRightInd w:val="0"/>
              <w:snapToGrid w:val="0"/>
              <w:spacing w:line="300" w:lineRule="auto"/>
              <w:rPr>
                <w:rFonts w:ascii="Times New Roman" w:hAnsi="Times New Roman"/>
                <w:sz w:val="18"/>
                <w:szCs w:val="18"/>
              </w:rPr>
            </w:pPr>
            <w:r>
              <w:rPr>
                <w:rFonts w:ascii="Times New Roman" w:hAnsi="Times New Roman"/>
                <w:sz w:val="18"/>
                <w:szCs w:val="18"/>
              </w:rPr>
              <w:t>2.1 牛顿运动定律及其应用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（1）牛顿运动定律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（2）几种常见的力</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（3）牛顿运动定律的应用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2.2 动量定理和动量守恒定律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（1）冲量与动量定理</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（2）质点系的动量守恒定律</w:t>
            </w:r>
          </w:p>
          <w:p>
            <w:pPr>
              <w:adjustRightInd w:val="0"/>
              <w:snapToGrid w:val="0"/>
              <w:spacing w:line="300" w:lineRule="auto"/>
              <w:rPr>
                <w:rFonts w:ascii="Times New Roman" w:hAnsi="Times New Roman"/>
                <w:sz w:val="18"/>
                <w:szCs w:val="18"/>
              </w:rPr>
            </w:pPr>
            <w:r>
              <w:rPr>
                <w:rFonts w:ascii="Times New Roman" w:hAnsi="Times New Roman"/>
                <w:sz w:val="18"/>
                <w:szCs w:val="18"/>
              </w:rPr>
              <w:t>2.3 动能定理和能量守恒定律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（1）能量守恒定律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（2）功与动能定理</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（3）势能与机械能守恒定律</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（1）了解：功能原理。</w:t>
            </w:r>
          </w:p>
          <w:p>
            <w:pPr>
              <w:adjustRightInd w:val="0"/>
              <w:snapToGrid w:val="0"/>
              <w:spacing w:line="300" w:lineRule="auto"/>
              <w:rPr>
                <w:rFonts w:ascii="Times New Roman" w:hAnsi="Times New Roman"/>
                <w:sz w:val="18"/>
                <w:szCs w:val="18"/>
              </w:rPr>
            </w:pPr>
            <w:r>
              <w:rPr>
                <w:rFonts w:ascii="Times New Roman" w:hAnsi="Times New Roman"/>
                <w:sz w:val="18"/>
                <w:szCs w:val="18"/>
              </w:rPr>
              <w:t>（2）理解：冲量、功、动量守恒定律、机械能守恒定律。</w:t>
            </w:r>
          </w:p>
          <w:p>
            <w:pPr>
              <w:adjustRightInd w:val="0"/>
              <w:snapToGrid w:val="0"/>
              <w:spacing w:line="300" w:lineRule="auto"/>
              <w:rPr>
                <w:rFonts w:ascii="Times New Roman" w:hAnsi="Times New Roman"/>
                <w:sz w:val="18"/>
                <w:szCs w:val="18"/>
              </w:rPr>
            </w:pPr>
            <w:r>
              <w:rPr>
                <w:rFonts w:ascii="Times New Roman" w:hAnsi="Times New Roman"/>
                <w:sz w:val="18"/>
                <w:szCs w:val="18"/>
              </w:rPr>
              <w:t>（3）掌握：牛顿运动定律、动量定理、动能定理。</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6</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3</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3  刚体力学</w:t>
            </w:r>
          </w:p>
          <w:p>
            <w:pPr>
              <w:adjustRightInd w:val="0"/>
              <w:snapToGrid w:val="0"/>
              <w:spacing w:line="300" w:lineRule="auto"/>
              <w:rPr>
                <w:rFonts w:ascii="Times New Roman" w:hAnsi="Times New Roman"/>
                <w:sz w:val="18"/>
                <w:szCs w:val="18"/>
              </w:rPr>
            </w:pPr>
            <w:r>
              <w:rPr>
                <w:rFonts w:ascii="Times New Roman" w:hAnsi="Times New Roman"/>
                <w:sz w:val="18"/>
                <w:szCs w:val="18"/>
              </w:rPr>
              <w:t>3.1 刚体的定轴转动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（1）刚体、刚体转动、刚体定轴转动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（2）刚体定轴转动的角速度和角加速度</w:t>
            </w:r>
          </w:p>
          <w:p>
            <w:pPr>
              <w:adjustRightInd w:val="0"/>
              <w:snapToGrid w:val="0"/>
              <w:spacing w:line="300" w:lineRule="auto"/>
              <w:rPr>
                <w:rFonts w:ascii="Times New Roman" w:hAnsi="Times New Roman"/>
                <w:sz w:val="18"/>
                <w:szCs w:val="18"/>
              </w:rPr>
            </w:pPr>
            <w:r>
              <w:rPr>
                <w:rFonts w:ascii="Times New Roman" w:hAnsi="Times New Roman"/>
                <w:sz w:val="18"/>
                <w:szCs w:val="18"/>
              </w:rPr>
              <w:t>3.2 力矩、转动定律、转动惯量</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（1）力矩</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（2）刚体定轴转动时的转动定律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（3）质量离散及连续分布的刚体的转动惯量、平行轴定理</w:t>
            </w:r>
          </w:p>
          <w:p>
            <w:pPr>
              <w:adjustRightInd w:val="0"/>
              <w:snapToGrid w:val="0"/>
              <w:spacing w:line="300" w:lineRule="auto"/>
              <w:rPr>
                <w:rFonts w:ascii="Times New Roman" w:hAnsi="Times New Roman"/>
                <w:sz w:val="18"/>
                <w:szCs w:val="18"/>
              </w:rPr>
            </w:pPr>
            <w:r>
              <w:rPr>
                <w:rFonts w:ascii="Times New Roman" w:hAnsi="Times New Roman"/>
                <w:sz w:val="18"/>
                <w:szCs w:val="18"/>
              </w:rPr>
              <w:t>3.3 转动动能、力矩的功、转动动能定理</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（1）刚体转动动能</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（2）力矩的功</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（3）刚体定轴转动的动能定理</w:t>
            </w:r>
          </w:p>
          <w:p>
            <w:pPr>
              <w:adjustRightInd w:val="0"/>
              <w:snapToGrid w:val="0"/>
              <w:spacing w:line="300" w:lineRule="auto"/>
              <w:rPr>
                <w:rFonts w:ascii="Times New Roman" w:hAnsi="Times New Roman"/>
                <w:sz w:val="18"/>
                <w:szCs w:val="18"/>
              </w:rPr>
            </w:pPr>
            <w:r>
              <w:rPr>
                <w:rFonts w:ascii="Times New Roman" w:hAnsi="Times New Roman"/>
                <w:sz w:val="18"/>
                <w:szCs w:val="18"/>
              </w:rPr>
              <w:t>3.4 角动量、角动量定理、角动量守恒定律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（1）角动量、冲量矩</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（2）角动量定理、角动量守恒定律</w:t>
            </w:r>
          </w:p>
        </w:tc>
        <w:tc>
          <w:tcPr>
            <w:tcW w:w="2689"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（1）了解：刚体的定轴转动，力矩、力矩的功、转动动能定理。</w:t>
            </w:r>
          </w:p>
          <w:p>
            <w:pPr>
              <w:adjustRightInd w:val="0"/>
              <w:snapToGrid w:val="0"/>
              <w:spacing w:line="300" w:lineRule="auto"/>
              <w:rPr>
                <w:rFonts w:ascii="Times New Roman" w:hAnsi="Times New Roman"/>
                <w:sz w:val="18"/>
                <w:szCs w:val="18"/>
              </w:rPr>
            </w:pPr>
            <w:r>
              <w:rPr>
                <w:rFonts w:ascii="Times New Roman" w:hAnsi="Times New Roman"/>
                <w:sz w:val="18"/>
                <w:szCs w:val="18"/>
              </w:rPr>
              <w:t>（2）理解：角动量、角动量定理、转动惯量、转动动能。</w:t>
            </w:r>
          </w:p>
          <w:p>
            <w:pPr>
              <w:adjustRightInd w:val="0"/>
              <w:snapToGrid w:val="0"/>
              <w:spacing w:line="300" w:lineRule="auto"/>
              <w:rPr>
                <w:rFonts w:ascii="Times New Roman" w:hAnsi="Times New Roman"/>
                <w:sz w:val="18"/>
                <w:szCs w:val="18"/>
              </w:rPr>
            </w:pPr>
            <w:r>
              <w:rPr>
                <w:rFonts w:ascii="Times New Roman" w:hAnsi="Times New Roman"/>
                <w:sz w:val="18"/>
                <w:szCs w:val="18"/>
              </w:rPr>
              <w:t>（3）掌握：转动定律、角动量守恒定律。</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6</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4</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4  流体动力学基础</w:t>
            </w:r>
          </w:p>
          <w:p>
            <w:pPr>
              <w:adjustRightInd w:val="0"/>
              <w:snapToGrid w:val="0"/>
              <w:spacing w:line="300" w:lineRule="auto"/>
              <w:rPr>
                <w:rFonts w:ascii="Times New Roman" w:hAnsi="Times New Roman"/>
                <w:sz w:val="18"/>
                <w:szCs w:val="18"/>
              </w:rPr>
            </w:pPr>
            <w:r>
              <w:rPr>
                <w:rFonts w:ascii="Times New Roman" w:hAnsi="Times New Roman"/>
                <w:sz w:val="18"/>
                <w:szCs w:val="18"/>
              </w:rPr>
              <w:t>4.1 流体静力学</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（1）静止流体的压强</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（2）液体的表面现象</w:t>
            </w:r>
          </w:p>
          <w:p>
            <w:pPr>
              <w:adjustRightInd w:val="0"/>
              <w:snapToGrid w:val="0"/>
              <w:spacing w:line="300" w:lineRule="auto"/>
              <w:rPr>
                <w:rFonts w:ascii="Times New Roman" w:hAnsi="Times New Roman"/>
                <w:sz w:val="18"/>
                <w:szCs w:val="18"/>
              </w:rPr>
            </w:pPr>
            <w:r>
              <w:rPr>
                <w:rFonts w:ascii="Times New Roman" w:hAnsi="Times New Roman"/>
                <w:sz w:val="18"/>
                <w:szCs w:val="18"/>
              </w:rPr>
              <w:t>4.2 理想流体的流动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（1）理想流体的稳定流动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（2）连续性原理</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（3）伯努利方程及其应用</w:t>
            </w:r>
          </w:p>
          <w:p>
            <w:pPr>
              <w:adjustRightInd w:val="0"/>
              <w:snapToGrid w:val="0"/>
              <w:spacing w:line="300" w:lineRule="auto"/>
              <w:rPr>
                <w:rFonts w:ascii="Times New Roman" w:hAnsi="Times New Roman"/>
                <w:sz w:val="18"/>
                <w:szCs w:val="18"/>
              </w:rPr>
            </w:pPr>
            <w:r>
              <w:rPr>
                <w:rFonts w:ascii="Times New Roman" w:hAnsi="Times New Roman"/>
                <w:sz w:val="18"/>
                <w:szCs w:val="18"/>
              </w:rPr>
              <w:t>4.3 黏滞流体的运动</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（1）黏滞流体的基本规律</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（2）泊肃叶公式</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（3）斯托克斯公式</w:t>
            </w:r>
          </w:p>
        </w:tc>
        <w:tc>
          <w:tcPr>
            <w:tcW w:w="2689"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 静止流体内部的压强特征，牛顿黏滞定律、泊肃叶公式、斯托克斯公式。</w:t>
            </w:r>
          </w:p>
          <w:p>
            <w:pPr>
              <w:adjustRightInd w:val="0"/>
              <w:snapToGrid w:val="0"/>
              <w:spacing w:line="300" w:lineRule="auto"/>
              <w:rPr>
                <w:rFonts w:ascii="Times New Roman" w:hAnsi="Times New Roman"/>
                <w:sz w:val="18"/>
                <w:szCs w:val="18"/>
              </w:rPr>
            </w:pPr>
            <w:r>
              <w:rPr>
                <w:rFonts w:ascii="Times New Roman" w:hAnsi="Times New Roman"/>
                <w:sz w:val="18"/>
                <w:szCs w:val="18"/>
              </w:rPr>
              <w:t>（2）理解：理想流体、流线、流管，液体表面性质、液体的表面张力、润湿与不润湿，球形液面的附加压强、毛细现象。</w:t>
            </w:r>
          </w:p>
          <w:p>
            <w:pPr>
              <w:adjustRightInd w:val="0"/>
              <w:snapToGrid w:val="0"/>
              <w:spacing w:line="300" w:lineRule="auto"/>
              <w:rPr>
                <w:rFonts w:ascii="Times New Roman" w:hAnsi="Times New Roman"/>
                <w:sz w:val="18"/>
                <w:szCs w:val="18"/>
              </w:rPr>
            </w:pPr>
            <w:r>
              <w:rPr>
                <w:rFonts w:ascii="Times New Roman" w:hAnsi="Times New Roman"/>
                <w:sz w:val="18"/>
                <w:szCs w:val="18"/>
              </w:rPr>
              <w:t>（3）掌握：连续性原理、伯努利方程。</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5</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5  气体动理论</w:t>
            </w:r>
          </w:p>
          <w:p>
            <w:pPr>
              <w:adjustRightInd w:val="0"/>
              <w:snapToGrid w:val="0"/>
              <w:spacing w:line="300" w:lineRule="auto"/>
              <w:rPr>
                <w:rFonts w:ascii="Times New Roman" w:hAnsi="Times New Roman"/>
                <w:sz w:val="18"/>
                <w:szCs w:val="18"/>
              </w:rPr>
            </w:pPr>
            <w:r>
              <w:rPr>
                <w:rFonts w:ascii="Times New Roman" w:hAnsi="Times New Roman"/>
                <w:sz w:val="18"/>
                <w:szCs w:val="18"/>
              </w:rPr>
              <w:t>5.1 理想气体的状态方程</w:t>
            </w:r>
          </w:p>
          <w:p>
            <w:pPr>
              <w:adjustRightInd w:val="0"/>
              <w:snapToGrid w:val="0"/>
              <w:spacing w:line="300" w:lineRule="auto"/>
              <w:rPr>
                <w:rFonts w:ascii="Times New Roman" w:hAnsi="Times New Roman"/>
                <w:sz w:val="18"/>
                <w:szCs w:val="18"/>
              </w:rPr>
            </w:pPr>
            <w:r>
              <w:rPr>
                <w:rFonts w:ascii="Times New Roman" w:hAnsi="Times New Roman"/>
                <w:sz w:val="18"/>
                <w:szCs w:val="18"/>
              </w:rPr>
              <w:t>（1）宏观状态参量</w:t>
            </w:r>
          </w:p>
          <w:p>
            <w:pPr>
              <w:adjustRightInd w:val="0"/>
              <w:snapToGrid w:val="0"/>
              <w:spacing w:line="300" w:lineRule="auto"/>
              <w:rPr>
                <w:rFonts w:ascii="Times New Roman" w:hAnsi="Times New Roman"/>
                <w:sz w:val="18"/>
                <w:szCs w:val="18"/>
              </w:rPr>
            </w:pPr>
            <w:r>
              <w:rPr>
                <w:rFonts w:ascii="Times New Roman" w:hAnsi="Times New Roman"/>
                <w:sz w:val="18"/>
                <w:szCs w:val="18"/>
              </w:rPr>
              <w:t>（2）平衡态</w:t>
            </w:r>
          </w:p>
          <w:p>
            <w:pPr>
              <w:adjustRightInd w:val="0"/>
              <w:snapToGrid w:val="0"/>
              <w:spacing w:line="300" w:lineRule="auto"/>
              <w:rPr>
                <w:rFonts w:ascii="Times New Roman" w:hAnsi="Times New Roman"/>
                <w:sz w:val="18"/>
                <w:szCs w:val="18"/>
              </w:rPr>
            </w:pPr>
            <w:r>
              <w:rPr>
                <w:rFonts w:ascii="Times New Roman" w:hAnsi="Times New Roman"/>
                <w:sz w:val="18"/>
                <w:szCs w:val="18"/>
              </w:rPr>
              <w:t>（3）理想气体状态方程</w:t>
            </w:r>
          </w:p>
          <w:p>
            <w:pPr>
              <w:adjustRightInd w:val="0"/>
              <w:snapToGrid w:val="0"/>
              <w:spacing w:line="300" w:lineRule="auto"/>
              <w:rPr>
                <w:rFonts w:ascii="Times New Roman" w:hAnsi="Times New Roman"/>
                <w:sz w:val="18"/>
                <w:szCs w:val="18"/>
              </w:rPr>
            </w:pPr>
            <w:r>
              <w:rPr>
                <w:rFonts w:ascii="Times New Roman" w:hAnsi="Times New Roman"/>
                <w:sz w:val="18"/>
                <w:szCs w:val="18"/>
              </w:rPr>
              <w:t>5.2 理想气体的压强和温度</w:t>
            </w:r>
          </w:p>
          <w:p>
            <w:pPr>
              <w:adjustRightInd w:val="0"/>
              <w:snapToGrid w:val="0"/>
              <w:spacing w:line="300" w:lineRule="auto"/>
              <w:rPr>
                <w:rFonts w:ascii="Times New Roman" w:hAnsi="Times New Roman"/>
                <w:sz w:val="18"/>
                <w:szCs w:val="18"/>
              </w:rPr>
            </w:pPr>
            <w:r>
              <w:rPr>
                <w:rFonts w:ascii="Times New Roman" w:hAnsi="Times New Roman"/>
                <w:sz w:val="18"/>
                <w:szCs w:val="18"/>
              </w:rPr>
              <w:t>（1）理想气体的微观模型与统计假设</w:t>
            </w:r>
          </w:p>
          <w:p>
            <w:pPr>
              <w:adjustRightInd w:val="0"/>
              <w:snapToGrid w:val="0"/>
              <w:spacing w:line="300" w:lineRule="auto"/>
              <w:rPr>
                <w:rFonts w:ascii="Times New Roman" w:hAnsi="Times New Roman"/>
                <w:sz w:val="18"/>
                <w:szCs w:val="18"/>
              </w:rPr>
            </w:pPr>
            <w:r>
              <w:rPr>
                <w:rFonts w:ascii="Times New Roman" w:hAnsi="Times New Roman"/>
                <w:sz w:val="18"/>
                <w:szCs w:val="18"/>
              </w:rPr>
              <w:t>（2）理想气体的压强</w:t>
            </w:r>
          </w:p>
          <w:p>
            <w:pPr>
              <w:adjustRightInd w:val="0"/>
              <w:snapToGrid w:val="0"/>
              <w:spacing w:line="300" w:lineRule="auto"/>
              <w:rPr>
                <w:rFonts w:ascii="Times New Roman" w:hAnsi="Times New Roman"/>
                <w:sz w:val="18"/>
                <w:szCs w:val="18"/>
              </w:rPr>
            </w:pPr>
            <w:r>
              <w:rPr>
                <w:rFonts w:ascii="Times New Roman" w:hAnsi="Times New Roman"/>
                <w:sz w:val="18"/>
                <w:szCs w:val="18"/>
              </w:rPr>
              <w:t>（3）理想气体的温度</w:t>
            </w:r>
          </w:p>
          <w:p>
            <w:pPr>
              <w:adjustRightInd w:val="0"/>
              <w:snapToGrid w:val="0"/>
              <w:spacing w:line="300" w:lineRule="auto"/>
              <w:rPr>
                <w:rFonts w:ascii="Times New Roman" w:hAnsi="Times New Roman"/>
                <w:sz w:val="18"/>
                <w:szCs w:val="18"/>
              </w:rPr>
            </w:pPr>
            <w:r>
              <w:rPr>
                <w:rFonts w:ascii="Times New Roman" w:hAnsi="Times New Roman"/>
                <w:sz w:val="18"/>
                <w:szCs w:val="18"/>
              </w:rPr>
              <w:t>5.3 能量按自由度均分定理和理想气体的内能</w:t>
            </w:r>
          </w:p>
          <w:p>
            <w:pPr>
              <w:adjustRightInd w:val="0"/>
              <w:snapToGrid w:val="0"/>
              <w:spacing w:line="300" w:lineRule="auto"/>
              <w:rPr>
                <w:rFonts w:ascii="Times New Roman" w:hAnsi="Times New Roman"/>
                <w:sz w:val="18"/>
                <w:szCs w:val="18"/>
              </w:rPr>
            </w:pPr>
            <w:r>
              <w:rPr>
                <w:rFonts w:ascii="Times New Roman" w:hAnsi="Times New Roman"/>
                <w:sz w:val="18"/>
                <w:szCs w:val="18"/>
              </w:rPr>
              <w:t>（1）自由度</w:t>
            </w:r>
          </w:p>
          <w:p>
            <w:pPr>
              <w:adjustRightInd w:val="0"/>
              <w:snapToGrid w:val="0"/>
              <w:spacing w:line="300" w:lineRule="auto"/>
              <w:rPr>
                <w:rFonts w:ascii="Times New Roman" w:hAnsi="Times New Roman"/>
                <w:sz w:val="18"/>
                <w:szCs w:val="18"/>
              </w:rPr>
            </w:pPr>
            <w:r>
              <w:rPr>
                <w:rFonts w:ascii="Times New Roman" w:hAnsi="Times New Roman"/>
                <w:sz w:val="18"/>
                <w:szCs w:val="18"/>
              </w:rPr>
              <w:t>（2）能量按自由度均分原理</w:t>
            </w:r>
          </w:p>
          <w:p>
            <w:pPr>
              <w:adjustRightInd w:val="0"/>
              <w:snapToGrid w:val="0"/>
              <w:spacing w:line="300" w:lineRule="auto"/>
              <w:rPr>
                <w:rFonts w:ascii="Times New Roman" w:hAnsi="Times New Roman"/>
                <w:sz w:val="18"/>
                <w:szCs w:val="18"/>
              </w:rPr>
            </w:pPr>
            <w:r>
              <w:rPr>
                <w:rFonts w:ascii="Times New Roman" w:hAnsi="Times New Roman"/>
                <w:sz w:val="18"/>
                <w:szCs w:val="18"/>
              </w:rPr>
              <w:t>（3）理想气体的内能</w:t>
            </w:r>
          </w:p>
          <w:p>
            <w:pPr>
              <w:adjustRightInd w:val="0"/>
              <w:snapToGrid w:val="0"/>
              <w:spacing w:line="300" w:lineRule="auto"/>
              <w:rPr>
                <w:rFonts w:ascii="Times New Roman" w:hAnsi="Times New Roman"/>
                <w:sz w:val="18"/>
                <w:szCs w:val="18"/>
              </w:rPr>
            </w:pPr>
            <w:r>
              <w:rPr>
                <w:rFonts w:ascii="Times New Roman" w:hAnsi="Times New Roman"/>
                <w:sz w:val="18"/>
                <w:szCs w:val="18"/>
              </w:rPr>
              <w:t>5.4 气体分子的速率分布规律</w:t>
            </w:r>
          </w:p>
          <w:p>
            <w:pPr>
              <w:adjustRightInd w:val="0"/>
              <w:snapToGrid w:val="0"/>
              <w:spacing w:line="300" w:lineRule="auto"/>
              <w:rPr>
                <w:rFonts w:ascii="Times New Roman" w:hAnsi="Times New Roman"/>
                <w:sz w:val="18"/>
                <w:szCs w:val="18"/>
              </w:rPr>
            </w:pPr>
            <w:r>
              <w:rPr>
                <w:rFonts w:ascii="Times New Roman" w:hAnsi="Times New Roman"/>
                <w:sz w:val="18"/>
                <w:szCs w:val="18"/>
              </w:rPr>
              <w:t>（1）麦克斯韦速率分布规律</w:t>
            </w:r>
          </w:p>
          <w:p>
            <w:pPr>
              <w:adjustRightInd w:val="0"/>
              <w:snapToGrid w:val="0"/>
              <w:spacing w:line="300" w:lineRule="auto"/>
              <w:rPr>
                <w:rFonts w:ascii="Times New Roman" w:hAnsi="Times New Roman"/>
                <w:sz w:val="18"/>
                <w:szCs w:val="18"/>
              </w:rPr>
            </w:pPr>
            <w:r>
              <w:rPr>
                <w:rFonts w:ascii="Times New Roman" w:hAnsi="Times New Roman"/>
                <w:sz w:val="18"/>
                <w:szCs w:val="18"/>
              </w:rPr>
              <w:t>（2）气体分子速率的三种统计值</w:t>
            </w:r>
          </w:p>
          <w:p>
            <w:pPr>
              <w:adjustRightInd w:val="0"/>
              <w:snapToGrid w:val="0"/>
              <w:spacing w:line="300" w:lineRule="auto"/>
              <w:rPr>
                <w:rFonts w:ascii="Times New Roman" w:hAnsi="Times New Roman"/>
                <w:sz w:val="18"/>
                <w:szCs w:val="18"/>
              </w:rPr>
            </w:pPr>
            <w:r>
              <w:rPr>
                <w:rFonts w:ascii="Times New Roman" w:hAnsi="Times New Roman"/>
                <w:sz w:val="18"/>
                <w:szCs w:val="18"/>
              </w:rPr>
              <w:t>（3）麦克斯韦速率分布规律的实验验证</w:t>
            </w:r>
          </w:p>
          <w:p>
            <w:pPr>
              <w:adjustRightInd w:val="0"/>
              <w:snapToGrid w:val="0"/>
              <w:spacing w:line="300" w:lineRule="auto"/>
              <w:rPr>
                <w:rFonts w:ascii="Times New Roman" w:hAnsi="Times New Roman"/>
                <w:sz w:val="18"/>
                <w:szCs w:val="18"/>
              </w:rPr>
            </w:pPr>
            <w:r>
              <w:rPr>
                <w:rFonts w:ascii="Times New Roman" w:hAnsi="Times New Roman"/>
                <w:sz w:val="18"/>
                <w:szCs w:val="18"/>
              </w:rPr>
              <w:t>5.5 玻尔兹曼分布律</w:t>
            </w:r>
          </w:p>
          <w:p>
            <w:pPr>
              <w:adjustRightInd w:val="0"/>
              <w:snapToGrid w:val="0"/>
              <w:spacing w:line="300" w:lineRule="auto"/>
              <w:rPr>
                <w:rFonts w:ascii="Times New Roman" w:hAnsi="Times New Roman"/>
                <w:sz w:val="18"/>
                <w:szCs w:val="18"/>
              </w:rPr>
            </w:pPr>
            <w:r>
              <w:rPr>
                <w:rFonts w:ascii="Times New Roman" w:hAnsi="Times New Roman"/>
                <w:sz w:val="18"/>
                <w:szCs w:val="18"/>
              </w:rPr>
              <w:t>（1）重力场中分子数按高度的分布</w:t>
            </w:r>
          </w:p>
          <w:p>
            <w:pPr>
              <w:adjustRightInd w:val="0"/>
              <w:snapToGrid w:val="0"/>
              <w:spacing w:line="300" w:lineRule="auto"/>
              <w:rPr>
                <w:rFonts w:ascii="Times New Roman" w:hAnsi="Times New Roman"/>
                <w:sz w:val="18"/>
                <w:szCs w:val="18"/>
              </w:rPr>
            </w:pPr>
            <w:r>
              <w:rPr>
                <w:rFonts w:ascii="Times New Roman" w:hAnsi="Times New Roman"/>
                <w:sz w:val="18"/>
                <w:szCs w:val="18"/>
              </w:rPr>
              <w:t>（2）玻尔兹曼分布律</w:t>
            </w:r>
          </w:p>
          <w:p>
            <w:pPr>
              <w:adjustRightInd w:val="0"/>
              <w:snapToGrid w:val="0"/>
              <w:spacing w:line="300" w:lineRule="auto"/>
              <w:rPr>
                <w:rFonts w:ascii="Times New Roman" w:hAnsi="Times New Roman"/>
                <w:sz w:val="18"/>
                <w:szCs w:val="18"/>
              </w:rPr>
            </w:pPr>
            <w:r>
              <w:rPr>
                <w:rFonts w:ascii="Times New Roman" w:hAnsi="Times New Roman"/>
                <w:sz w:val="18"/>
                <w:szCs w:val="18"/>
              </w:rPr>
              <w:t>5.6 气体内的输运过程</w:t>
            </w:r>
          </w:p>
          <w:p>
            <w:pPr>
              <w:adjustRightInd w:val="0"/>
              <w:snapToGrid w:val="0"/>
              <w:spacing w:line="300" w:lineRule="auto"/>
              <w:rPr>
                <w:rFonts w:ascii="Times New Roman" w:hAnsi="Times New Roman"/>
                <w:sz w:val="18"/>
                <w:szCs w:val="18"/>
              </w:rPr>
            </w:pPr>
            <w:r>
              <w:rPr>
                <w:rFonts w:ascii="Times New Roman" w:hAnsi="Times New Roman"/>
                <w:sz w:val="18"/>
                <w:szCs w:val="18"/>
              </w:rPr>
              <w:t>（1）气体的黏滞现象</w:t>
            </w:r>
          </w:p>
          <w:p>
            <w:pPr>
              <w:adjustRightInd w:val="0"/>
              <w:snapToGrid w:val="0"/>
              <w:spacing w:line="300" w:lineRule="auto"/>
              <w:rPr>
                <w:rFonts w:ascii="Times New Roman" w:hAnsi="Times New Roman"/>
                <w:sz w:val="18"/>
                <w:szCs w:val="18"/>
              </w:rPr>
            </w:pPr>
            <w:r>
              <w:rPr>
                <w:rFonts w:ascii="Times New Roman" w:hAnsi="Times New Roman"/>
                <w:sz w:val="18"/>
                <w:szCs w:val="18"/>
              </w:rPr>
              <w:t>（2）气体分子的扩散</w:t>
            </w:r>
          </w:p>
          <w:p>
            <w:pPr>
              <w:adjustRightInd w:val="0"/>
              <w:snapToGrid w:val="0"/>
              <w:spacing w:line="300" w:lineRule="auto"/>
              <w:rPr>
                <w:rFonts w:ascii="Times New Roman" w:hAnsi="Times New Roman"/>
                <w:sz w:val="18"/>
                <w:szCs w:val="18"/>
              </w:rPr>
            </w:pPr>
            <w:r>
              <w:rPr>
                <w:rFonts w:ascii="Times New Roman" w:hAnsi="Times New Roman"/>
                <w:sz w:val="18"/>
                <w:szCs w:val="18"/>
              </w:rPr>
              <w:t>（3）气体的热传导现象</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（1）了解：平衡态、宏观量与微观量、统计规律；分子的自由程和输运过程。</w:t>
            </w:r>
          </w:p>
          <w:p>
            <w:pPr>
              <w:adjustRightInd w:val="0"/>
              <w:snapToGrid w:val="0"/>
              <w:spacing w:line="300" w:lineRule="auto"/>
              <w:rPr>
                <w:rFonts w:ascii="Times New Roman" w:hAnsi="Times New Roman"/>
                <w:sz w:val="18"/>
                <w:szCs w:val="18"/>
              </w:rPr>
            </w:pPr>
            <w:r>
              <w:rPr>
                <w:rFonts w:ascii="Times New Roman" w:hAnsi="Times New Roman"/>
                <w:sz w:val="18"/>
                <w:szCs w:val="18"/>
              </w:rPr>
              <w:t>（2）理解：理想气体的压强、温度，气体分子速率分布律、三种统计速率。</w:t>
            </w:r>
          </w:p>
          <w:p>
            <w:pPr>
              <w:adjustRightInd w:val="0"/>
              <w:snapToGrid w:val="0"/>
              <w:spacing w:line="300" w:lineRule="auto"/>
              <w:rPr>
                <w:rFonts w:ascii="Times New Roman" w:hAnsi="Times New Roman"/>
                <w:sz w:val="18"/>
                <w:szCs w:val="18"/>
              </w:rPr>
            </w:pPr>
            <w:r>
              <w:rPr>
                <w:rFonts w:ascii="Times New Roman" w:hAnsi="Times New Roman"/>
                <w:sz w:val="18"/>
                <w:szCs w:val="18"/>
              </w:rPr>
              <w:t>（3）掌握：理想气体的状态方程，能量按自由度均分原理，理想气体的内能。</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widowControl/>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6</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6热力学</w:t>
            </w:r>
          </w:p>
          <w:p>
            <w:pPr>
              <w:adjustRightInd w:val="0"/>
              <w:snapToGrid w:val="0"/>
              <w:spacing w:line="300" w:lineRule="auto"/>
              <w:rPr>
                <w:rFonts w:ascii="Times New Roman" w:hAnsi="Times New Roman"/>
                <w:sz w:val="18"/>
                <w:szCs w:val="18"/>
              </w:rPr>
            </w:pPr>
            <w:r>
              <w:rPr>
                <w:rFonts w:ascii="Times New Roman" w:hAnsi="Times New Roman"/>
                <w:sz w:val="18"/>
                <w:szCs w:val="18"/>
              </w:rPr>
              <w:t>6.1 热力学的基本概念</w:t>
            </w:r>
          </w:p>
          <w:p>
            <w:pPr>
              <w:adjustRightInd w:val="0"/>
              <w:snapToGrid w:val="0"/>
              <w:spacing w:line="300" w:lineRule="auto"/>
              <w:rPr>
                <w:rFonts w:ascii="Times New Roman" w:hAnsi="Times New Roman"/>
                <w:sz w:val="18"/>
                <w:szCs w:val="18"/>
              </w:rPr>
            </w:pPr>
            <w:r>
              <w:rPr>
                <w:rFonts w:ascii="Times New Roman" w:hAnsi="Times New Roman"/>
                <w:sz w:val="18"/>
                <w:szCs w:val="18"/>
              </w:rPr>
              <w:t>（1）热力学系统</w:t>
            </w:r>
          </w:p>
          <w:p>
            <w:pPr>
              <w:adjustRightInd w:val="0"/>
              <w:snapToGrid w:val="0"/>
              <w:spacing w:line="300" w:lineRule="auto"/>
              <w:rPr>
                <w:rFonts w:ascii="Times New Roman" w:hAnsi="Times New Roman"/>
                <w:sz w:val="18"/>
                <w:szCs w:val="18"/>
              </w:rPr>
            </w:pPr>
            <w:r>
              <w:rPr>
                <w:rFonts w:ascii="Times New Roman" w:hAnsi="Times New Roman"/>
                <w:sz w:val="18"/>
                <w:szCs w:val="18"/>
              </w:rPr>
              <w:t>（2）准静态过程</w:t>
            </w:r>
          </w:p>
          <w:p>
            <w:pPr>
              <w:adjustRightInd w:val="0"/>
              <w:snapToGrid w:val="0"/>
              <w:spacing w:line="300" w:lineRule="auto"/>
              <w:rPr>
                <w:rFonts w:ascii="Times New Roman" w:hAnsi="Times New Roman"/>
                <w:sz w:val="18"/>
                <w:szCs w:val="18"/>
              </w:rPr>
            </w:pPr>
            <w:r>
              <w:rPr>
                <w:rFonts w:ascii="Times New Roman" w:hAnsi="Times New Roman"/>
                <w:sz w:val="18"/>
                <w:szCs w:val="18"/>
              </w:rPr>
              <w:t>（3）准静态过程的功</w:t>
            </w:r>
          </w:p>
          <w:p>
            <w:pPr>
              <w:adjustRightInd w:val="0"/>
              <w:snapToGrid w:val="0"/>
              <w:spacing w:line="300" w:lineRule="auto"/>
              <w:rPr>
                <w:rFonts w:ascii="Times New Roman" w:hAnsi="Times New Roman"/>
                <w:sz w:val="18"/>
                <w:szCs w:val="18"/>
              </w:rPr>
            </w:pPr>
            <w:r>
              <w:rPr>
                <w:rFonts w:ascii="Times New Roman" w:hAnsi="Times New Roman"/>
                <w:sz w:val="18"/>
                <w:szCs w:val="18"/>
              </w:rPr>
              <w:t>（4）热量</w:t>
            </w:r>
          </w:p>
          <w:p>
            <w:pPr>
              <w:adjustRightInd w:val="0"/>
              <w:snapToGrid w:val="0"/>
              <w:spacing w:line="300" w:lineRule="auto"/>
              <w:rPr>
                <w:rFonts w:ascii="Times New Roman" w:hAnsi="Times New Roman"/>
                <w:sz w:val="18"/>
                <w:szCs w:val="18"/>
              </w:rPr>
            </w:pPr>
            <w:r>
              <w:rPr>
                <w:rFonts w:ascii="Times New Roman" w:hAnsi="Times New Roman"/>
                <w:sz w:val="18"/>
                <w:szCs w:val="18"/>
              </w:rPr>
              <w:t>（5）内能</w:t>
            </w:r>
          </w:p>
          <w:p>
            <w:pPr>
              <w:adjustRightInd w:val="0"/>
              <w:snapToGrid w:val="0"/>
              <w:spacing w:line="300" w:lineRule="auto"/>
              <w:rPr>
                <w:rFonts w:ascii="Times New Roman" w:hAnsi="Times New Roman"/>
                <w:sz w:val="18"/>
                <w:szCs w:val="18"/>
              </w:rPr>
            </w:pPr>
            <w:r>
              <w:rPr>
                <w:rFonts w:ascii="Times New Roman" w:hAnsi="Times New Roman"/>
                <w:sz w:val="18"/>
                <w:szCs w:val="18"/>
              </w:rPr>
              <w:t>6.2 热力学第一定律及应用</w:t>
            </w:r>
          </w:p>
          <w:p>
            <w:pPr>
              <w:adjustRightInd w:val="0"/>
              <w:snapToGrid w:val="0"/>
              <w:spacing w:line="300" w:lineRule="auto"/>
              <w:rPr>
                <w:rFonts w:ascii="Times New Roman" w:hAnsi="Times New Roman"/>
                <w:sz w:val="18"/>
                <w:szCs w:val="18"/>
              </w:rPr>
            </w:pPr>
            <w:r>
              <w:rPr>
                <w:rFonts w:ascii="Times New Roman" w:hAnsi="Times New Roman"/>
                <w:sz w:val="18"/>
                <w:szCs w:val="18"/>
              </w:rPr>
              <w:t>（1）热力学第一定律</w:t>
            </w:r>
          </w:p>
          <w:p>
            <w:pPr>
              <w:adjustRightInd w:val="0"/>
              <w:snapToGrid w:val="0"/>
              <w:spacing w:line="300" w:lineRule="auto"/>
              <w:rPr>
                <w:rFonts w:ascii="Times New Roman" w:hAnsi="Times New Roman"/>
                <w:sz w:val="18"/>
                <w:szCs w:val="18"/>
              </w:rPr>
            </w:pPr>
            <w:r>
              <w:rPr>
                <w:rFonts w:ascii="Times New Roman" w:hAnsi="Times New Roman"/>
                <w:sz w:val="18"/>
                <w:szCs w:val="18"/>
              </w:rPr>
              <w:t>（2）热力学第一定律对理想气体准静态过程的应用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6.3 循环过程及热力学第二定律</w:t>
            </w:r>
          </w:p>
          <w:p>
            <w:pPr>
              <w:adjustRightInd w:val="0"/>
              <w:snapToGrid w:val="0"/>
              <w:spacing w:line="300" w:lineRule="auto"/>
              <w:rPr>
                <w:rFonts w:ascii="Times New Roman" w:hAnsi="Times New Roman"/>
                <w:sz w:val="18"/>
                <w:szCs w:val="18"/>
              </w:rPr>
            </w:pPr>
            <w:r>
              <w:rPr>
                <w:rFonts w:ascii="Times New Roman" w:hAnsi="Times New Roman"/>
                <w:sz w:val="18"/>
                <w:szCs w:val="18"/>
              </w:rPr>
              <w:t>（1）循环过程</w:t>
            </w:r>
          </w:p>
          <w:p>
            <w:pPr>
              <w:adjustRightInd w:val="0"/>
              <w:snapToGrid w:val="0"/>
              <w:spacing w:line="300" w:lineRule="auto"/>
              <w:rPr>
                <w:rFonts w:ascii="Times New Roman" w:hAnsi="Times New Roman"/>
                <w:sz w:val="18"/>
                <w:szCs w:val="18"/>
              </w:rPr>
            </w:pPr>
            <w:r>
              <w:rPr>
                <w:rFonts w:ascii="Times New Roman" w:hAnsi="Times New Roman"/>
                <w:sz w:val="18"/>
                <w:szCs w:val="18"/>
              </w:rPr>
              <w:t>（2）卡诺循环</w:t>
            </w:r>
          </w:p>
          <w:p>
            <w:pPr>
              <w:adjustRightInd w:val="0"/>
              <w:snapToGrid w:val="0"/>
              <w:spacing w:line="300" w:lineRule="auto"/>
              <w:rPr>
                <w:rFonts w:ascii="Times New Roman" w:hAnsi="Times New Roman"/>
                <w:sz w:val="18"/>
                <w:szCs w:val="18"/>
              </w:rPr>
            </w:pPr>
            <w:r>
              <w:rPr>
                <w:rFonts w:ascii="Times New Roman" w:hAnsi="Times New Roman"/>
                <w:sz w:val="18"/>
                <w:szCs w:val="18"/>
              </w:rPr>
              <w:t>（3）热力学第二定律</w:t>
            </w:r>
          </w:p>
          <w:p>
            <w:pPr>
              <w:adjustRightInd w:val="0"/>
              <w:snapToGrid w:val="0"/>
              <w:spacing w:line="300" w:lineRule="auto"/>
              <w:rPr>
                <w:rFonts w:ascii="Times New Roman" w:hAnsi="Times New Roman"/>
                <w:sz w:val="18"/>
                <w:szCs w:val="18"/>
              </w:rPr>
            </w:pPr>
            <w:r>
              <w:rPr>
                <w:rFonts w:ascii="Times New Roman" w:hAnsi="Times New Roman"/>
                <w:sz w:val="18"/>
                <w:szCs w:val="18"/>
              </w:rPr>
              <w:t>6.4 熵</w:t>
            </w:r>
          </w:p>
          <w:p>
            <w:pPr>
              <w:adjustRightInd w:val="0"/>
              <w:snapToGrid w:val="0"/>
              <w:spacing w:line="300" w:lineRule="auto"/>
              <w:rPr>
                <w:rFonts w:ascii="Times New Roman" w:hAnsi="Times New Roman"/>
                <w:sz w:val="18"/>
                <w:szCs w:val="18"/>
              </w:rPr>
            </w:pPr>
            <w:r>
              <w:rPr>
                <w:rFonts w:ascii="Times New Roman" w:hAnsi="Times New Roman"/>
                <w:sz w:val="18"/>
                <w:szCs w:val="18"/>
              </w:rPr>
              <w:t>（1）卡诺定理</w:t>
            </w:r>
          </w:p>
          <w:p>
            <w:pPr>
              <w:adjustRightInd w:val="0"/>
              <w:snapToGrid w:val="0"/>
              <w:spacing w:line="300" w:lineRule="auto"/>
              <w:rPr>
                <w:rFonts w:ascii="Times New Roman" w:hAnsi="Times New Roman"/>
                <w:sz w:val="18"/>
                <w:szCs w:val="18"/>
              </w:rPr>
            </w:pPr>
            <w:r>
              <w:rPr>
                <w:rFonts w:ascii="Times New Roman" w:hAnsi="Times New Roman"/>
                <w:sz w:val="18"/>
                <w:szCs w:val="18"/>
              </w:rPr>
              <w:t>（2）克劳修斯不等式、熵</w:t>
            </w:r>
          </w:p>
          <w:p>
            <w:pPr>
              <w:adjustRightInd w:val="0"/>
              <w:snapToGrid w:val="0"/>
              <w:spacing w:line="300" w:lineRule="auto"/>
              <w:rPr>
                <w:rFonts w:ascii="Times New Roman" w:hAnsi="Times New Roman"/>
                <w:sz w:val="18"/>
                <w:szCs w:val="18"/>
              </w:rPr>
            </w:pPr>
            <w:r>
              <w:rPr>
                <w:rFonts w:ascii="Times New Roman" w:hAnsi="Times New Roman"/>
                <w:sz w:val="18"/>
                <w:szCs w:val="18"/>
              </w:rPr>
              <w:t>（3）熵的微观本质</w:t>
            </w:r>
          </w:p>
          <w:p>
            <w:pPr>
              <w:adjustRightInd w:val="0"/>
              <w:snapToGrid w:val="0"/>
              <w:spacing w:line="300" w:lineRule="auto"/>
              <w:rPr>
                <w:rFonts w:ascii="Times New Roman" w:hAnsi="Times New Roman"/>
                <w:sz w:val="18"/>
                <w:szCs w:val="18"/>
              </w:rPr>
            </w:pPr>
            <w:r>
              <w:rPr>
                <w:rFonts w:ascii="Times New Roman" w:hAnsi="Times New Roman"/>
                <w:sz w:val="18"/>
                <w:szCs w:val="18"/>
              </w:rPr>
              <w:t>（4）熵变的计算</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（1）了解：循环过程，卡诺循环，热力学第二定律、熵</w:t>
            </w:r>
          </w:p>
          <w:p>
            <w:pPr>
              <w:adjustRightInd w:val="0"/>
              <w:snapToGrid w:val="0"/>
              <w:spacing w:line="300" w:lineRule="auto"/>
              <w:rPr>
                <w:rFonts w:ascii="Times New Roman" w:hAnsi="Times New Roman"/>
                <w:sz w:val="18"/>
                <w:szCs w:val="18"/>
              </w:rPr>
            </w:pPr>
            <w:r>
              <w:rPr>
                <w:rFonts w:ascii="Times New Roman" w:hAnsi="Times New Roman"/>
                <w:sz w:val="18"/>
                <w:szCs w:val="18"/>
              </w:rPr>
              <w:t>（2）理解：理想气体的摩尔定压热容、定体热容</w:t>
            </w:r>
          </w:p>
          <w:p>
            <w:pPr>
              <w:adjustRightInd w:val="0"/>
              <w:snapToGrid w:val="0"/>
              <w:spacing w:line="300" w:lineRule="auto"/>
              <w:rPr>
                <w:rFonts w:ascii="Times New Roman" w:hAnsi="Times New Roman"/>
                <w:sz w:val="18"/>
                <w:szCs w:val="18"/>
              </w:rPr>
            </w:pPr>
            <w:r>
              <w:rPr>
                <w:rFonts w:ascii="Times New Roman" w:hAnsi="Times New Roman"/>
                <w:sz w:val="18"/>
                <w:szCs w:val="18"/>
              </w:rPr>
              <w:t>（3）掌握：功和热量、准静态过程、热力学第一定律及其在等值过程中的应用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7</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7 静电场</w:t>
            </w:r>
          </w:p>
          <w:p>
            <w:pPr>
              <w:adjustRightInd w:val="0"/>
              <w:snapToGrid w:val="0"/>
              <w:spacing w:line="300" w:lineRule="auto"/>
              <w:rPr>
                <w:rFonts w:ascii="Times New Roman" w:hAnsi="Times New Roman"/>
                <w:sz w:val="18"/>
                <w:szCs w:val="18"/>
              </w:rPr>
            </w:pPr>
            <w:r>
              <w:rPr>
                <w:rFonts w:ascii="Times New Roman" w:hAnsi="Times New Roman"/>
                <w:sz w:val="18"/>
                <w:szCs w:val="18"/>
              </w:rPr>
              <w:t>7.1 电荷与库仑定律</w:t>
            </w:r>
          </w:p>
          <w:p>
            <w:pPr>
              <w:adjustRightInd w:val="0"/>
              <w:snapToGrid w:val="0"/>
              <w:spacing w:line="300" w:lineRule="auto"/>
              <w:rPr>
                <w:rFonts w:ascii="Times New Roman" w:hAnsi="Times New Roman"/>
                <w:sz w:val="18"/>
                <w:szCs w:val="18"/>
              </w:rPr>
            </w:pPr>
            <w:r>
              <w:rPr>
                <w:rFonts w:ascii="Times New Roman" w:hAnsi="Times New Roman"/>
                <w:sz w:val="18"/>
                <w:szCs w:val="18"/>
              </w:rPr>
              <w:t>（1）电荷</w:t>
            </w:r>
          </w:p>
          <w:p>
            <w:pPr>
              <w:adjustRightInd w:val="0"/>
              <w:snapToGrid w:val="0"/>
              <w:spacing w:line="300" w:lineRule="auto"/>
              <w:rPr>
                <w:rFonts w:ascii="Times New Roman" w:hAnsi="Times New Roman"/>
                <w:sz w:val="18"/>
                <w:szCs w:val="18"/>
              </w:rPr>
            </w:pPr>
            <w:r>
              <w:rPr>
                <w:rFonts w:ascii="Times New Roman" w:hAnsi="Times New Roman"/>
                <w:sz w:val="18"/>
                <w:szCs w:val="18"/>
              </w:rPr>
              <w:t>（2）库仑定律</w:t>
            </w:r>
          </w:p>
          <w:p>
            <w:pPr>
              <w:adjustRightInd w:val="0"/>
              <w:snapToGrid w:val="0"/>
              <w:spacing w:line="300" w:lineRule="auto"/>
              <w:rPr>
                <w:rFonts w:ascii="Times New Roman" w:hAnsi="Times New Roman"/>
                <w:sz w:val="18"/>
                <w:szCs w:val="18"/>
              </w:rPr>
            </w:pPr>
            <w:r>
              <w:rPr>
                <w:rFonts w:ascii="Times New Roman" w:hAnsi="Times New Roman"/>
                <w:sz w:val="18"/>
                <w:szCs w:val="18"/>
              </w:rPr>
              <w:t>7.2 电场强度</w:t>
            </w:r>
          </w:p>
          <w:p>
            <w:pPr>
              <w:adjustRightInd w:val="0"/>
              <w:snapToGrid w:val="0"/>
              <w:spacing w:line="300" w:lineRule="auto"/>
              <w:rPr>
                <w:rFonts w:ascii="Times New Roman" w:hAnsi="Times New Roman"/>
                <w:sz w:val="18"/>
                <w:szCs w:val="18"/>
              </w:rPr>
            </w:pPr>
            <w:r>
              <w:rPr>
                <w:rFonts w:ascii="Times New Roman" w:hAnsi="Times New Roman"/>
                <w:sz w:val="18"/>
                <w:szCs w:val="18"/>
              </w:rPr>
              <w:t>（1）静电场</w:t>
            </w:r>
          </w:p>
          <w:p>
            <w:pPr>
              <w:adjustRightInd w:val="0"/>
              <w:snapToGrid w:val="0"/>
              <w:spacing w:line="300" w:lineRule="auto"/>
              <w:rPr>
                <w:rFonts w:ascii="Times New Roman" w:hAnsi="Times New Roman"/>
                <w:sz w:val="18"/>
                <w:szCs w:val="18"/>
              </w:rPr>
            </w:pPr>
            <w:r>
              <w:rPr>
                <w:rFonts w:ascii="Times New Roman" w:hAnsi="Times New Roman"/>
                <w:sz w:val="18"/>
                <w:szCs w:val="18"/>
              </w:rPr>
              <w:t>（2）电场强度</w:t>
            </w:r>
          </w:p>
          <w:p>
            <w:pPr>
              <w:adjustRightInd w:val="0"/>
              <w:snapToGrid w:val="0"/>
              <w:spacing w:line="300" w:lineRule="auto"/>
              <w:rPr>
                <w:rFonts w:ascii="Times New Roman" w:hAnsi="Times New Roman"/>
                <w:sz w:val="18"/>
                <w:szCs w:val="18"/>
              </w:rPr>
            </w:pPr>
            <w:r>
              <w:rPr>
                <w:rFonts w:ascii="Times New Roman" w:hAnsi="Times New Roman"/>
                <w:sz w:val="18"/>
                <w:szCs w:val="18"/>
              </w:rPr>
              <w:t>（3）电场强度的计算</w:t>
            </w:r>
          </w:p>
          <w:p>
            <w:pPr>
              <w:adjustRightInd w:val="0"/>
              <w:snapToGrid w:val="0"/>
              <w:spacing w:line="300" w:lineRule="auto"/>
              <w:rPr>
                <w:rFonts w:ascii="Times New Roman" w:hAnsi="Times New Roman"/>
                <w:sz w:val="18"/>
                <w:szCs w:val="18"/>
              </w:rPr>
            </w:pPr>
            <w:r>
              <w:rPr>
                <w:rFonts w:ascii="Times New Roman" w:hAnsi="Times New Roman"/>
                <w:sz w:val="18"/>
                <w:szCs w:val="18"/>
              </w:rPr>
              <w:t>7.3 静电场的高斯定理</w:t>
            </w:r>
          </w:p>
          <w:p>
            <w:pPr>
              <w:adjustRightInd w:val="0"/>
              <w:snapToGrid w:val="0"/>
              <w:spacing w:line="300" w:lineRule="auto"/>
              <w:rPr>
                <w:rFonts w:ascii="Times New Roman" w:hAnsi="Times New Roman"/>
                <w:sz w:val="18"/>
                <w:szCs w:val="18"/>
              </w:rPr>
            </w:pPr>
            <w:r>
              <w:rPr>
                <w:rFonts w:ascii="Times New Roman" w:hAnsi="Times New Roman"/>
                <w:sz w:val="18"/>
                <w:szCs w:val="18"/>
              </w:rPr>
              <w:t>（1）电通量</w:t>
            </w:r>
          </w:p>
          <w:p>
            <w:pPr>
              <w:adjustRightInd w:val="0"/>
              <w:snapToGrid w:val="0"/>
              <w:spacing w:line="300" w:lineRule="auto"/>
              <w:rPr>
                <w:rFonts w:ascii="Times New Roman" w:hAnsi="Times New Roman"/>
                <w:sz w:val="18"/>
                <w:szCs w:val="18"/>
              </w:rPr>
            </w:pPr>
            <w:r>
              <w:rPr>
                <w:rFonts w:ascii="Times New Roman" w:hAnsi="Times New Roman"/>
                <w:sz w:val="18"/>
                <w:szCs w:val="18"/>
              </w:rPr>
              <w:t>（2）高斯定理</w:t>
            </w:r>
          </w:p>
          <w:p>
            <w:pPr>
              <w:adjustRightInd w:val="0"/>
              <w:snapToGrid w:val="0"/>
              <w:spacing w:line="300" w:lineRule="auto"/>
              <w:rPr>
                <w:rFonts w:ascii="Times New Roman" w:hAnsi="Times New Roman"/>
                <w:sz w:val="18"/>
                <w:szCs w:val="18"/>
              </w:rPr>
            </w:pPr>
            <w:r>
              <w:rPr>
                <w:rFonts w:ascii="Times New Roman" w:hAnsi="Times New Roman"/>
                <w:sz w:val="18"/>
                <w:szCs w:val="18"/>
              </w:rPr>
              <w:t>（3）高斯定理的应用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7.4 电势</w:t>
            </w:r>
          </w:p>
          <w:p>
            <w:pPr>
              <w:adjustRightInd w:val="0"/>
              <w:snapToGrid w:val="0"/>
              <w:spacing w:line="300" w:lineRule="auto"/>
              <w:rPr>
                <w:rFonts w:ascii="Times New Roman" w:hAnsi="Times New Roman"/>
                <w:sz w:val="18"/>
                <w:szCs w:val="18"/>
              </w:rPr>
            </w:pPr>
            <w:r>
              <w:rPr>
                <w:rFonts w:ascii="Times New Roman" w:hAnsi="Times New Roman"/>
                <w:sz w:val="18"/>
                <w:szCs w:val="18"/>
              </w:rPr>
              <w:t>（1）静电场力的功</w:t>
            </w:r>
          </w:p>
          <w:p>
            <w:pPr>
              <w:adjustRightInd w:val="0"/>
              <w:snapToGrid w:val="0"/>
              <w:spacing w:line="300" w:lineRule="auto"/>
              <w:rPr>
                <w:rFonts w:ascii="Times New Roman" w:hAnsi="Times New Roman"/>
                <w:sz w:val="18"/>
                <w:szCs w:val="18"/>
              </w:rPr>
            </w:pPr>
            <w:r>
              <w:rPr>
                <w:rFonts w:ascii="Times New Roman" w:hAnsi="Times New Roman"/>
                <w:sz w:val="18"/>
                <w:szCs w:val="18"/>
              </w:rPr>
              <w:t>（2）静电场的环路定理</w:t>
            </w:r>
          </w:p>
          <w:p>
            <w:pPr>
              <w:adjustRightInd w:val="0"/>
              <w:snapToGrid w:val="0"/>
              <w:spacing w:line="300" w:lineRule="auto"/>
              <w:rPr>
                <w:rFonts w:ascii="Times New Roman" w:hAnsi="Times New Roman"/>
                <w:sz w:val="18"/>
                <w:szCs w:val="18"/>
              </w:rPr>
            </w:pPr>
            <w:r>
              <w:rPr>
                <w:rFonts w:ascii="Times New Roman" w:hAnsi="Times New Roman"/>
                <w:sz w:val="18"/>
                <w:szCs w:val="18"/>
              </w:rPr>
              <w:t>（3）电势能与电势</w:t>
            </w:r>
          </w:p>
          <w:p>
            <w:pPr>
              <w:adjustRightInd w:val="0"/>
              <w:snapToGrid w:val="0"/>
              <w:spacing w:line="300" w:lineRule="auto"/>
              <w:rPr>
                <w:rFonts w:ascii="Times New Roman" w:hAnsi="Times New Roman"/>
                <w:sz w:val="18"/>
                <w:szCs w:val="18"/>
              </w:rPr>
            </w:pPr>
            <w:r>
              <w:rPr>
                <w:rFonts w:ascii="Times New Roman" w:hAnsi="Times New Roman"/>
                <w:sz w:val="18"/>
                <w:szCs w:val="18"/>
              </w:rPr>
              <w:t>（4）电场强度与电势的微分关系</w:t>
            </w:r>
          </w:p>
          <w:p>
            <w:pPr>
              <w:adjustRightInd w:val="0"/>
              <w:snapToGrid w:val="0"/>
              <w:spacing w:line="300" w:lineRule="auto"/>
              <w:rPr>
                <w:rFonts w:ascii="Times New Roman" w:hAnsi="Times New Roman"/>
                <w:sz w:val="18"/>
                <w:szCs w:val="18"/>
              </w:rPr>
            </w:pPr>
            <w:r>
              <w:rPr>
                <w:rFonts w:ascii="Times New Roman" w:hAnsi="Times New Roman"/>
                <w:sz w:val="18"/>
                <w:szCs w:val="18"/>
              </w:rPr>
              <w:t>7.5 静电场对导体和介电体的作用</w:t>
            </w:r>
          </w:p>
          <w:p>
            <w:pPr>
              <w:adjustRightInd w:val="0"/>
              <w:snapToGrid w:val="0"/>
              <w:spacing w:line="300" w:lineRule="auto"/>
              <w:rPr>
                <w:rFonts w:ascii="Times New Roman" w:hAnsi="Times New Roman"/>
                <w:sz w:val="18"/>
                <w:szCs w:val="18"/>
              </w:rPr>
            </w:pPr>
            <w:r>
              <w:rPr>
                <w:rFonts w:ascii="Times New Roman" w:hAnsi="Times New Roman"/>
                <w:sz w:val="18"/>
                <w:szCs w:val="18"/>
              </w:rPr>
              <w:t>（1）静电场对导体的作用</w:t>
            </w:r>
          </w:p>
          <w:p>
            <w:pPr>
              <w:adjustRightInd w:val="0"/>
              <w:snapToGrid w:val="0"/>
              <w:spacing w:line="300" w:lineRule="auto"/>
              <w:rPr>
                <w:rFonts w:ascii="Times New Roman" w:hAnsi="Times New Roman"/>
                <w:sz w:val="18"/>
                <w:szCs w:val="18"/>
              </w:rPr>
            </w:pPr>
            <w:r>
              <w:rPr>
                <w:rFonts w:ascii="Times New Roman" w:hAnsi="Times New Roman"/>
                <w:sz w:val="18"/>
                <w:szCs w:val="18"/>
              </w:rPr>
              <w:t>（2）静电场对介电体的作用</w:t>
            </w:r>
          </w:p>
          <w:p>
            <w:pPr>
              <w:adjustRightInd w:val="0"/>
              <w:snapToGrid w:val="0"/>
              <w:spacing w:line="300" w:lineRule="auto"/>
              <w:rPr>
                <w:rFonts w:ascii="Times New Roman" w:hAnsi="Times New Roman"/>
                <w:sz w:val="18"/>
                <w:szCs w:val="18"/>
              </w:rPr>
            </w:pPr>
            <w:r>
              <w:rPr>
                <w:rFonts w:ascii="Times New Roman" w:hAnsi="Times New Roman"/>
                <w:sz w:val="18"/>
                <w:szCs w:val="18"/>
              </w:rPr>
              <w:t>（3）电场的能量</w:t>
            </w:r>
          </w:p>
        </w:tc>
        <w:tc>
          <w:tcPr>
            <w:tcW w:w="2689"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（1）了解：库仑定律、静电场中的导体和电介质。</w:t>
            </w:r>
          </w:p>
          <w:p>
            <w:pPr>
              <w:adjustRightInd w:val="0"/>
              <w:snapToGrid w:val="0"/>
              <w:spacing w:line="300" w:lineRule="auto"/>
              <w:rPr>
                <w:rFonts w:ascii="Times New Roman" w:hAnsi="Times New Roman"/>
                <w:sz w:val="18"/>
                <w:szCs w:val="18"/>
              </w:rPr>
            </w:pPr>
            <w:r>
              <w:rPr>
                <w:rFonts w:ascii="Times New Roman" w:hAnsi="Times New Roman"/>
                <w:sz w:val="18"/>
                <w:szCs w:val="18"/>
              </w:rPr>
              <w:t>（2）理解：电场强度、电势、电场力及电场力的功、静电场的高斯定理和环路定理。</w:t>
            </w:r>
          </w:p>
          <w:p>
            <w:pPr>
              <w:adjustRightInd w:val="0"/>
              <w:snapToGrid w:val="0"/>
              <w:spacing w:line="300" w:lineRule="auto"/>
              <w:rPr>
                <w:rFonts w:ascii="Times New Roman" w:hAnsi="Times New Roman"/>
                <w:sz w:val="18"/>
                <w:szCs w:val="18"/>
              </w:rPr>
            </w:pPr>
            <w:r>
              <w:rPr>
                <w:rFonts w:ascii="Times New Roman" w:hAnsi="Times New Roman"/>
                <w:sz w:val="18"/>
                <w:szCs w:val="18"/>
              </w:rPr>
              <w:t>（3）掌握：电场强度叠加原理、电势叠加原理。</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8</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8  恒定磁场</w:t>
            </w:r>
          </w:p>
          <w:p>
            <w:pPr>
              <w:adjustRightInd w:val="0"/>
              <w:snapToGrid w:val="0"/>
              <w:spacing w:line="300" w:lineRule="auto"/>
              <w:rPr>
                <w:rFonts w:ascii="Times New Roman" w:hAnsi="Times New Roman"/>
                <w:sz w:val="18"/>
                <w:szCs w:val="18"/>
              </w:rPr>
            </w:pPr>
            <w:r>
              <w:rPr>
                <w:rFonts w:ascii="Times New Roman" w:hAnsi="Times New Roman"/>
                <w:sz w:val="18"/>
                <w:szCs w:val="18"/>
              </w:rPr>
              <w:t>8.1 恒定电流</w:t>
            </w:r>
          </w:p>
          <w:p>
            <w:pPr>
              <w:adjustRightInd w:val="0"/>
              <w:snapToGrid w:val="0"/>
              <w:spacing w:line="300" w:lineRule="auto"/>
              <w:rPr>
                <w:rFonts w:ascii="Times New Roman" w:hAnsi="Times New Roman"/>
                <w:sz w:val="18"/>
                <w:szCs w:val="18"/>
              </w:rPr>
            </w:pPr>
            <w:r>
              <w:rPr>
                <w:rFonts w:ascii="Times New Roman" w:hAnsi="Times New Roman"/>
                <w:sz w:val="18"/>
                <w:szCs w:val="18"/>
              </w:rPr>
              <w:t>（1）电流</w:t>
            </w:r>
          </w:p>
          <w:p>
            <w:pPr>
              <w:adjustRightInd w:val="0"/>
              <w:snapToGrid w:val="0"/>
              <w:spacing w:line="300" w:lineRule="auto"/>
              <w:rPr>
                <w:rFonts w:ascii="Times New Roman" w:hAnsi="Times New Roman"/>
                <w:sz w:val="18"/>
                <w:szCs w:val="18"/>
              </w:rPr>
            </w:pPr>
            <w:r>
              <w:rPr>
                <w:rFonts w:ascii="Times New Roman" w:hAnsi="Times New Roman"/>
                <w:sz w:val="18"/>
                <w:szCs w:val="18"/>
              </w:rPr>
              <w:t>（2）电流密度</w:t>
            </w:r>
          </w:p>
          <w:p>
            <w:pPr>
              <w:adjustRightInd w:val="0"/>
              <w:snapToGrid w:val="0"/>
              <w:spacing w:line="300" w:lineRule="auto"/>
              <w:rPr>
                <w:rFonts w:ascii="Times New Roman" w:hAnsi="Times New Roman"/>
                <w:sz w:val="18"/>
                <w:szCs w:val="18"/>
              </w:rPr>
            </w:pPr>
            <w:r>
              <w:rPr>
                <w:rFonts w:ascii="Times New Roman" w:hAnsi="Times New Roman"/>
                <w:sz w:val="18"/>
                <w:szCs w:val="18"/>
              </w:rPr>
              <w:t>（3）电动势</w:t>
            </w:r>
          </w:p>
          <w:p>
            <w:pPr>
              <w:adjustRightInd w:val="0"/>
              <w:snapToGrid w:val="0"/>
              <w:spacing w:line="300" w:lineRule="auto"/>
              <w:rPr>
                <w:rFonts w:ascii="Times New Roman" w:hAnsi="Times New Roman"/>
                <w:sz w:val="18"/>
                <w:szCs w:val="18"/>
              </w:rPr>
            </w:pPr>
            <w:r>
              <w:rPr>
                <w:rFonts w:ascii="Times New Roman" w:hAnsi="Times New Roman"/>
                <w:sz w:val="18"/>
                <w:szCs w:val="18"/>
              </w:rPr>
              <w:t>8.2 磁感强度</w:t>
            </w:r>
          </w:p>
          <w:p>
            <w:pPr>
              <w:adjustRightInd w:val="0"/>
              <w:snapToGrid w:val="0"/>
              <w:spacing w:line="300" w:lineRule="auto"/>
              <w:rPr>
                <w:rFonts w:ascii="Times New Roman" w:hAnsi="Times New Roman"/>
                <w:sz w:val="18"/>
                <w:szCs w:val="18"/>
              </w:rPr>
            </w:pPr>
            <w:r>
              <w:rPr>
                <w:rFonts w:ascii="Times New Roman" w:hAnsi="Times New Roman"/>
                <w:sz w:val="18"/>
                <w:szCs w:val="18"/>
              </w:rPr>
              <w:t>（1）磁场及磁感强度</w:t>
            </w:r>
          </w:p>
          <w:p>
            <w:pPr>
              <w:adjustRightInd w:val="0"/>
              <w:snapToGrid w:val="0"/>
              <w:spacing w:line="300" w:lineRule="auto"/>
              <w:rPr>
                <w:rFonts w:ascii="Times New Roman" w:hAnsi="Times New Roman"/>
                <w:sz w:val="18"/>
                <w:szCs w:val="18"/>
              </w:rPr>
            </w:pPr>
            <w:r>
              <w:rPr>
                <w:rFonts w:ascii="Times New Roman" w:hAnsi="Times New Roman"/>
                <w:sz w:val="18"/>
                <w:szCs w:val="18"/>
              </w:rPr>
              <w:t>（2）毕奥-萨伐尔定律</w:t>
            </w:r>
          </w:p>
          <w:p>
            <w:pPr>
              <w:adjustRightInd w:val="0"/>
              <w:snapToGrid w:val="0"/>
              <w:spacing w:line="300" w:lineRule="auto"/>
              <w:rPr>
                <w:rFonts w:ascii="Times New Roman" w:hAnsi="Times New Roman"/>
                <w:sz w:val="18"/>
                <w:szCs w:val="18"/>
              </w:rPr>
            </w:pPr>
            <w:r>
              <w:rPr>
                <w:rFonts w:ascii="Times New Roman" w:hAnsi="Times New Roman"/>
                <w:sz w:val="18"/>
                <w:szCs w:val="18"/>
              </w:rPr>
              <w:t>8.3 磁场的高斯定理与安培环路定理</w:t>
            </w:r>
          </w:p>
          <w:p>
            <w:pPr>
              <w:adjustRightInd w:val="0"/>
              <w:snapToGrid w:val="0"/>
              <w:spacing w:line="300" w:lineRule="auto"/>
              <w:rPr>
                <w:rFonts w:ascii="Times New Roman" w:hAnsi="Times New Roman"/>
                <w:sz w:val="18"/>
                <w:szCs w:val="18"/>
              </w:rPr>
            </w:pPr>
            <w:r>
              <w:rPr>
                <w:rFonts w:ascii="Times New Roman" w:hAnsi="Times New Roman"/>
                <w:sz w:val="18"/>
                <w:szCs w:val="18"/>
              </w:rPr>
              <w:t>（1）磁场的高斯定理</w:t>
            </w:r>
          </w:p>
          <w:p>
            <w:pPr>
              <w:adjustRightInd w:val="0"/>
              <w:snapToGrid w:val="0"/>
              <w:spacing w:line="300" w:lineRule="auto"/>
              <w:rPr>
                <w:rFonts w:ascii="Times New Roman" w:hAnsi="Times New Roman"/>
                <w:sz w:val="18"/>
                <w:szCs w:val="18"/>
              </w:rPr>
            </w:pPr>
            <w:r>
              <w:rPr>
                <w:rFonts w:ascii="Times New Roman" w:hAnsi="Times New Roman"/>
                <w:sz w:val="18"/>
                <w:szCs w:val="18"/>
              </w:rPr>
              <w:t>（2）安培环路定理</w:t>
            </w:r>
          </w:p>
          <w:p>
            <w:pPr>
              <w:adjustRightInd w:val="0"/>
              <w:snapToGrid w:val="0"/>
              <w:spacing w:line="300" w:lineRule="auto"/>
              <w:rPr>
                <w:rFonts w:ascii="Times New Roman" w:hAnsi="Times New Roman"/>
                <w:sz w:val="18"/>
                <w:szCs w:val="18"/>
              </w:rPr>
            </w:pPr>
            <w:r>
              <w:rPr>
                <w:rFonts w:ascii="Times New Roman" w:hAnsi="Times New Roman"/>
                <w:sz w:val="18"/>
                <w:szCs w:val="18"/>
              </w:rPr>
              <w:t>8.4 磁场中的运动电荷及电流与磁介质</w:t>
            </w:r>
          </w:p>
          <w:p>
            <w:pPr>
              <w:adjustRightInd w:val="0"/>
              <w:snapToGrid w:val="0"/>
              <w:spacing w:line="300" w:lineRule="auto"/>
              <w:rPr>
                <w:rFonts w:ascii="Times New Roman" w:hAnsi="Times New Roman"/>
                <w:sz w:val="18"/>
                <w:szCs w:val="18"/>
              </w:rPr>
            </w:pPr>
            <w:r>
              <w:rPr>
                <w:rFonts w:ascii="Times New Roman" w:hAnsi="Times New Roman"/>
                <w:sz w:val="18"/>
                <w:szCs w:val="18"/>
              </w:rPr>
              <w:t>（1）洛伦兹力及其应用</w:t>
            </w:r>
          </w:p>
          <w:p>
            <w:pPr>
              <w:adjustRightInd w:val="0"/>
              <w:snapToGrid w:val="0"/>
              <w:spacing w:line="300" w:lineRule="auto"/>
              <w:rPr>
                <w:rFonts w:ascii="Times New Roman" w:hAnsi="Times New Roman"/>
                <w:sz w:val="18"/>
                <w:szCs w:val="18"/>
              </w:rPr>
            </w:pPr>
            <w:r>
              <w:rPr>
                <w:rFonts w:ascii="Times New Roman" w:hAnsi="Times New Roman"/>
                <w:sz w:val="18"/>
                <w:szCs w:val="18"/>
              </w:rPr>
              <w:t>（2）安培力</w:t>
            </w:r>
          </w:p>
          <w:p>
            <w:pPr>
              <w:adjustRightInd w:val="0"/>
              <w:snapToGrid w:val="0"/>
              <w:spacing w:line="300" w:lineRule="auto"/>
              <w:rPr>
                <w:rFonts w:ascii="Times New Roman" w:hAnsi="Times New Roman"/>
                <w:sz w:val="18"/>
                <w:szCs w:val="18"/>
              </w:rPr>
            </w:pPr>
            <w:r>
              <w:rPr>
                <w:rFonts w:ascii="Times New Roman" w:hAnsi="Times New Roman"/>
                <w:sz w:val="18"/>
                <w:szCs w:val="18"/>
              </w:rPr>
              <w:t>（3）载流线圈在磁场中所受的磁力矩</w:t>
            </w:r>
          </w:p>
          <w:p>
            <w:pPr>
              <w:adjustRightInd w:val="0"/>
              <w:snapToGrid w:val="0"/>
              <w:spacing w:line="300" w:lineRule="auto"/>
              <w:rPr>
                <w:rFonts w:ascii="Times New Roman" w:hAnsi="Times New Roman"/>
                <w:sz w:val="18"/>
                <w:szCs w:val="18"/>
              </w:rPr>
            </w:pPr>
            <w:r>
              <w:rPr>
                <w:rFonts w:ascii="Times New Roman" w:hAnsi="Times New Roman"/>
                <w:sz w:val="18"/>
                <w:szCs w:val="18"/>
              </w:rPr>
              <w:t>（4）磁场中的磁介质</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（1）了解：电流密度、电动势、磁场中的磁介质。</w:t>
            </w:r>
          </w:p>
          <w:p>
            <w:pPr>
              <w:adjustRightInd w:val="0"/>
              <w:snapToGrid w:val="0"/>
              <w:spacing w:line="300" w:lineRule="auto"/>
              <w:rPr>
                <w:rFonts w:ascii="Times New Roman" w:hAnsi="Times New Roman"/>
                <w:sz w:val="18"/>
                <w:szCs w:val="18"/>
              </w:rPr>
            </w:pPr>
            <w:r>
              <w:rPr>
                <w:rFonts w:ascii="Times New Roman" w:hAnsi="Times New Roman"/>
                <w:sz w:val="18"/>
                <w:szCs w:val="18"/>
              </w:rPr>
              <w:t>（2）理解：磁感应强度、磁场的高斯定理、磁场力及磁力矩。</w:t>
            </w:r>
          </w:p>
          <w:p>
            <w:pPr>
              <w:adjustRightInd w:val="0"/>
              <w:snapToGrid w:val="0"/>
              <w:spacing w:line="300" w:lineRule="auto"/>
              <w:rPr>
                <w:rFonts w:ascii="Times New Roman" w:hAnsi="Times New Roman"/>
                <w:sz w:val="18"/>
                <w:szCs w:val="18"/>
              </w:rPr>
            </w:pPr>
            <w:r>
              <w:rPr>
                <w:rFonts w:ascii="Times New Roman" w:hAnsi="Times New Roman"/>
                <w:sz w:val="18"/>
                <w:szCs w:val="18"/>
              </w:rPr>
              <w:t>（3）掌握：毕奥-萨伐尔定律及安培环路定理。</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9</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9  电磁感应</w:t>
            </w:r>
          </w:p>
          <w:p>
            <w:pPr>
              <w:adjustRightInd w:val="0"/>
              <w:snapToGrid w:val="0"/>
              <w:spacing w:line="300" w:lineRule="auto"/>
              <w:rPr>
                <w:rFonts w:ascii="Times New Roman" w:hAnsi="Times New Roman"/>
                <w:sz w:val="18"/>
                <w:szCs w:val="18"/>
              </w:rPr>
            </w:pPr>
            <w:r>
              <w:rPr>
                <w:rFonts w:ascii="Times New Roman" w:hAnsi="Times New Roman"/>
                <w:sz w:val="18"/>
                <w:szCs w:val="18"/>
              </w:rPr>
              <w:t>9.1 电磁感应定律</w:t>
            </w:r>
          </w:p>
          <w:p>
            <w:pPr>
              <w:adjustRightInd w:val="0"/>
              <w:snapToGrid w:val="0"/>
              <w:spacing w:line="300" w:lineRule="auto"/>
              <w:rPr>
                <w:rFonts w:ascii="Times New Roman" w:hAnsi="Times New Roman"/>
                <w:sz w:val="18"/>
                <w:szCs w:val="18"/>
              </w:rPr>
            </w:pPr>
            <w:r>
              <w:rPr>
                <w:rFonts w:ascii="Times New Roman" w:hAnsi="Times New Roman"/>
                <w:sz w:val="18"/>
                <w:szCs w:val="18"/>
              </w:rPr>
              <w:t>（1）法拉第电磁感应定律</w:t>
            </w:r>
          </w:p>
          <w:p>
            <w:pPr>
              <w:adjustRightInd w:val="0"/>
              <w:snapToGrid w:val="0"/>
              <w:spacing w:line="300" w:lineRule="auto"/>
              <w:rPr>
                <w:rFonts w:ascii="Times New Roman" w:hAnsi="Times New Roman"/>
                <w:sz w:val="18"/>
                <w:szCs w:val="18"/>
              </w:rPr>
            </w:pPr>
            <w:r>
              <w:rPr>
                <w:rFonts w:ascii="Times New Roman" w:hAnsi="Times New Roman"/>
                <w:sz w:val="18"/>
                <w:szCs w:val="18"/>
              </w:rPr>
              <w:t>（2）楞次定律</w:t>
            </w:r>
          </w:p>
          <w:p>
            <w:pPr>
              <w:adjustRightInd w:val="0"/>
              <w:snapToGrid w:val="0"/>
              <w:spacing w:line="300" w:lineRule="auto"/>
              <w:rPr>
                <w:rFonts w:ascii="Times New Roman" w:hAnsi="Times New Roman"/>
                <w:sz w:val="18"/>
                <w:szCs w:val="18"/>
              </w:rPr>
            </w:pPr>
            <w:r>
              <w:rPr>
                <w:rFonts w:ascii="Times New Roman" w:hAnsi="Times New Roman"/>
                <w:sz w:val="18"/>
                <w:szCs w:val="18"/>
              </w:rPr>
              <w:t>9.2 感应电动势</w:t>
            </w:r>
          </w:p>
          <w:p>
            <w:pPr>
              <w:adjustRightInd w:val="0"/>
              <w:snapToGrid w:val="0"/>
              <w:spacing w:line="300" w:lineRule="auto"/>
              <w:rPr>
                <w:rFonts w:ascii="Times New Roman" w:hAnsi="Times New Roman"/>
                <w:sz w:val="18"/>
                <w:szCs w:val="18"/>
              </w:rPr>
            </w:pPr>
            <w:r>
              <w:rPr>
                <w:rFonts w:ascii="Times New Roman" w:hAnsi="Times New Roman"/>
                <w:sz w:val="18"/>
                <w:szCs w:val="18"/>
              </w:rPr>
              <w:t>（1）动生电动势</w:t>
            </w:r>
          </w:p>
          <w:p>
            <w:pPr>
              <w:adjustRightInd w:val="0"/>
              <w:snapToGrid w:val="0"/>
              <w:spacing w:line="300" w:lineRule="auto"/>
              <w:rPr>
                <w:rFonts w:ascii="Times New Roman" w:hAnsi="Times New Roman"/>
                <w:sz w:val="18"/>
                <w:szCs w:val="18"/>
              </w:rPr>
            </w:pPr>
            <w:r>
              <w:rPr>
                <w:rFonts w:ascii="Times New Roman" w:hAnsi="Times New Roman"/>
                <w:sz w:val="18"/>
                <w:szCs w:val="18"/>
              </w:rPr>
              <w:t>（2）感生电动势与感生电场</w:t>
            </w:r>
          </w:p>
          <w:p>
            <w:pPr>
              <w:adjustRightInd w:val="0"/>
              <w:snapToGrid w:val="0"/>
              <w:spacing w:line="300" w:lineRule="auto"/>
              <w:rPr>
                <w:rFonts w:ascii="Times New Roman" w:hAnsi="Times New Roman"/>
                <w:sz w:val="18"/>
                <w:szCs w:val="18"/>
              </w:rPr>
            </w:pPr>
            <w:r>
              <w:rPr>
                <w:rFonts w:ascii="Times New Roman" w:hAnsi="Times New Roman"/>
                <w:sz w:val="18"/>
                <w:szCs w:val="18"/>
              </w:rPr>
              <w:t>9.3 自感和互感  磁场能量自感</w:t>
            </w:r>
          </w:p>
          <w:p>
            <w:pPr>
              <w:adjustRightInd w:val="0"/>
              <w:snapToGrid w:val="0"/>
              <w:spacing w:line="300" w:lineRule="auto"/>
              <w:rPr>
                <w:rFonts w:ascii="Times New Roman" w:hAnsi="Times New Roman"/>
                <w:sz w:val="18"/>
                <w:szCs w:val="18"/>
              </w:rPr>
            </w:pPr>
            <w:r>
              <w:rPr>
                <w:rFonts w:ascii="Times New Roman" w:hAnsi="Times New Roman"/>
                <w:sz w:val="18"/>
                <w:szCs w:val="18"/>
              </w:rPr>
              <w:t>（1）互感</w:t>
            </w:r>
          </w:p>
          <w:p>
            <w:pPr>
              <w:adjustRightInd w:val="0"/>
              <w:snapToGrid w:val="0"/>
              <w:spacing w:line="300" w:lineRule="auto"/>
              <w:rPr>
                <w:rFonts w:ascii="Times New Roman" w:hAnsi="Times New Roman"/>
                <w:sz w:val="18"/>
                <w:szCs w:val="18"/>
              </w:rPr>
            </w:pPr>
            <w:r>
              <w:rPr>
                <w:rFonts w:ascii="Times New Roman" w:hAnsi="Times New Roman"/>
                <w:sz w:val="18"/>
                <w:szCs w:val="18"/>
              </w:rPr>
              <w:t>（2）磁场能量</w:t>
            </w:r>
          </w:p>
          <w:p>
            <w:pPr>
              <w:adjustRightInd w:val="0"/>
              <w:snapToGrid w:val="0"/>
              <w:spacing w:line="300" w:lineRule="auto"/>
              <w:rPr>
                <w:rFonts w:ascii="Times New Roman" w:hAnsi="Times New Roman"/>
                <w:sz w:val="18"/>
                <w:szCs w:val="18"/>
              </w:rPr>
            </w:pPr>
            <w:r>
              <w:rPr>
                <w:rFonts w:ascii="Times New Roman" w:hAnsi="Times New Roman"/>
                <w:sz w:val="18"/>
                <w:szCs w:val="18"/>
              </w:rPr>
              <w:t>9.4 电磁场</w:t>
            </w:r>
          </w:p>
          <w:p>
            <w:pPr>
              <w:adjustRightInd w:val="0"/>
              <w:snapToGrid w:val="0"/>
              <w:spacing w:line="300" w:lineRule="auto"/>
              <w:rPr>
                <w:rFonts w:ascii="Times New Roman" w:hAnsi="Times New Roman"/>
                <w:sz w:val="18"/>
                <w:szCs w:val="18"/>
              </w:rPr>
            </w:pPr>
            <w:r>
              <w:rPr>
                <w:rFonts w:ascii="Times New Roman" w:hAnsi="Times New Roman"/>
                <w:sz w:val="18"/>
                <w:szCs w:val="18"/>
              </w:rPr>
              <w:t>（1）位移电流假设</w:t>
            </w:r>
          </w:p>
          <w:p>
            <w:pPr>
              <w:adjustRightInd w:val="0"/>
              <w:snapToGrid w:val="0"/>
              <w:spacing w:line="300" w:lineRule="auto"/>
              <w:rPr>
                <w:rFonts w:ascii="Times New Roman" w:hAnsi="Times New Roman"/>
                <w:sz w:val="18"/>
                <w:szCs w:val="18"/>
              </w:rPr>
            </w:pPr>
            <w:r>
              <w:rPr>
                <w:rFonts w:ascii="Times New Roman" w:hAnsi="Times New Roman"/>
                <w:sz w:val="18"/>
                <w:szCs w:val="18"/>
              </w:rPr>
              <w:t>（2）麦克斯韦方程组</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（1）了解：感生电场、位移电流、麦克斯韦方程组、电磁场。</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（2）理解：电动势、自感、互感、磁场的能量。</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（3）掌握：法拉第电磁感应定律、动生电动势、感生电动势。</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10</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10  机械振动与波动</w:t>
            </w:r>
          </w:p>
          <w:p>
            <w:pPr>
              <w:adjustRightInd w:val="0"/>
              <w:snapToGrid w:val="0"/>
              <w:spacing w:line="300" w:lineRule="auto"/>
              <w:rPr>
                <w:rFonts w:ascii="Times New Roman" w:hAnsi="Times New Roman"/>
                <w:sz w:val="18"/>
                <w:szCs w:val="18"/>
              </w:rPr>
            </w:pPr>
            <w:r>
              <w:rPr>
                <w:rFonts w:ascii="Times New Roman" w:hAnsi="Times New Roman"/>
                <w:sz w:val="18"/>
                <w:szCs w:val="18"/>
              </w:rPr>
              <w:t>10.1 简谐振动</w:t>
            </w:r>
          </w:p>
          <w:p>
            <w:pPr>
              <w:adjustRightInd w:val="0"/>
              <w:snapToGrid w:val="0"/>
              <w:spacing w:line="300" w:lineRule="auto"/>
              <w:rPr>
                <w:rFonts w:ascii="Times New Roman" w:hAnsi="Times New Roman"/>
                <w:sz w:val="18"/>
                <w:szCs w:val="18"/>
              </w:rPr>
            </w:pPr>
            <w:r>
              <w:rPr>
                <w:rFonts w:ascii="Times New Roman" w:hAnsi="Times New Roman"/>
                <w:sz w:val="18"/>
                <w:szCs w:val="18"/>
              </w:rPr>
              <w:t>（1）简谐振动的描述</w:t>
            </w:r>
          </w:p>
          <w:p>
            <w:pPr>
              <w:adjustRightInd w:val="0"/>
              <w:snapToGrid w:val="0"/>
              <w:spacing w:line="300" w:lineRule="auto"/>
              <w:rPr>
                <w:rFonts w:ascii="Times New Roman" w:hAnsi="Times New Roman"/>
                <w:sz w:val="18"/>
                <w:szCs w:val="18"/>
              </w:rPr>
            </w:pPr>
            <w:r>
              <w:rPr>
                <w:rFonts w:ascii="Times New Roman" w:hAnsi="Times New Roman"/>
                <w:sz w:val="18"/>
                <w:szCs w:val="18"/>
              </w:rPr>
              <w:t>（2）简谐振动的旋转矢量表示法</w:t>
            </w:r>
          </w:p>
          <w:p>
            <w:pPr>
              <w:adjustRightInd w:val="0"/>
              <w:snapToGrid w:val="0"/>
              <w:spacing w:line="300" w:lineRule="auto"/>
              <w:rPr>
                <w:rFonts w:ascii="Times New Roman" w:hAnsi="Times New Roman"/>
                <w:sz w:val="18"/>
                <w:szCs w:val="18"/>
              </w:rPr>
            </w:pPr>
            <w:r>
              <w:rPr>
                <w:rFonts w:ascii="Times New Roman" w:hAnsi="Times New Roman"/>
                <w:sz w:val="18"/>
                <w:szCs w:val="18"/>
              </w:rPr>
              <w:t>（3）简谐振动的能量</w:t>
            </w:r>
          </w:p>
          <w:p>
            <w:pPr>
              <w:adjustRightInd w:val="0"/>
              <w:snapToGrid w:val="0"/>
              <w:spacing w:line="300" w:lineRule="auto"/>
              <w:rPr>
                <w:rFonts w:ascii="Times New Roman" w:hAnsi="Times New Roman"/>
                <w:sz w:val="18"/>
                <w:szCs w:val="18"/>
              </w:rPr>
            </w:pPr>
            <w:r>
              <w:rPr>
                <w:rFonts w:ascii="Times New Roman" w:hAnsi="Times New Roman"/>
                <w:sz w:val="18"/>
                <w:szCs w:val="18"/>
              </w:rPr>
              <w:t>10.2 简谐振动的合成和分解</w:t>
            </w:r>
          </w:p>
          <w:p>
            <w:pPr>
              <w:adjustRightInd w:val="0"/>
              <w:snapToGrid w:val="0"/>
              <w:spacing w:line="300" w:lineRule="auto"/>
              <w:rPr>
                <w:rFonts w:ascii="Times New Roman" w:hAnsi="Times New Roman"/>
                <w:sz w:val="18"/>
                <w:szCs w:val="18"/>
              </w:rPr>
            </w:pPr>
            <w:r>
              <w:rPr>
                <w:rFonts w:ascii="Times New Roman" w:hAnsi="Times New Roman"/>
                <w:sz w:val="18"/>
                <w:szCs w:val="18"/>
              </w:rPr>
              <w:t>（1）简谐振动的合成</w:t>
            </w:r>
          </w:p>
          <w:p>
            <w:pPr>
              <w:adjustRightInd w:val="0"/>
              <w:snapToGrid w:val="0"/>
              <w:spacing w:line="300" w:lineRule="auto"/>
              <w:rPr>
                <w:rFonts w:ascii="Times New Roman" w:hAnsi="Times New Roman"/>
                <w:sz w:val="18"/>
                <w:szCs w:val="18"/>
              </w:rPr>
            </w:pPr>
            <w:r>
              <w:rPr>
                <w:rFonts w:ascii="Times New Roman" w:hAnsi="Times New Roman"/>
                <w:sz w:val="18"/>
                <w:szCs w:val="18"/>
              </w:rPr>
              <w:t>（2）简谐振动的分解</w:t>
            </w:r>
          </w:p>
          <w:p>
            <w:pPr>
              <w:adjustRightInd w:val="0"/>
              <w:snapToGrid w:val="0"/>
              <w:spacing w:line="300" w:lineRule="auto"/>
              <w:rPr>
                <w:rFonts w:ascii="Times New Roman" w:hAnsi="Times New Roman"/>
                <w:sz w:val="18"/>
                <w:szCs w:val="18"/>
              </w:rPr>
            </w:pPr>
            <w:r>
              <w:rPr>
                <w:rFonts w:ascii="Times New Roman" w:hAnsi="Times New Roman"/>
                <w:sz w:val="18"/>
                <w:szCs w:val="18"/>
              </w:rPr>
              <w:t>10.3 阻尼振动 受迫振动 共振</w:t>
            </w:r>
          </w:p>
          <w:p>
            <w:pPr>
              <w:adjustRightInd w:val="0"/>
              <w:snapToGrid w:val="0"/>
              <w:spacing w:line="300" w:lineRule="auto"/>
              <w:rPr>
                <w:rFonts w:ascii="Times New Roman" w:hAnsi="Times New Roman"/>
                <w:sz w:val="18"/>
                <w:szCs w:val="18"/>
              </w:rPr>
            </w:pPr>
            <w:r>
              <w:rPr>
                <w:rFonts w:ascii="Times New Roman" w:hAnsi="Times New Roman"/>
                <w:sz w:val="18"/>
                <w:szCs w:val="18"/>
              </w:rPr>
              <w:t>（1）阻尼振动</w:t>
            </w:r>
          </w:p>
          <w:p>
            <w:pPr>
              <w:adjustRightInd w:val="0"/>
              <w:snapToGrid w:val="0"/>
              <w:spacing w:line="300" w:lineRule="auto"/>
              <w:rPr>
                <w:rFonts w:ascii="Times New Roman" w:hAnsi="Times New Roman"/>
                <w:sz w:val="18"/>
                <w:szCs w:val="18"/>
              </w:rPr>
            </w:pPr>
            <w:r>
              <w:rPr>
                <w:rFonts w:ascii="Times New Roman" w:hAnsi="Times New Roman"/>
                <w:sz w:val="18"/>
                <w:szCs w:val="18"/>
              </w:rPr>
              <w:t>（2）受迫振动</w:t>
            </w:r>
          </w:p>
          <w:p>
            <w:pPr>
              <w:adjustRightInd w:val="0"/>
              <w:snapToGrid w:val="0"/>
              <w:spacing w:line="300" w:lineRule="auto"/>
              <w:rPr>
                <w:rFonts w:ascii="Times New Roman" w:hAnsi="Times New Roman"/>
                <w:sz w:val="18"/>
                <w:szCs w:val="18"/>
              </w:rPr>
            </w:pPr>
            <w:r>
              <w:rPr>
                <w:rFonts w:ascii="Times New Roman" w:hAnsi="Times New Roman"/>
                <w:sz w:val="18"/>
                <w:szCs w:val="18"/>
              </w:rPr>
              <w:t>（3）共振</w:t>
            </w:r>
          </w:p>
          <w:p>
            <w:pPr>
              <w:adjustRightInd w:val="0"/>
              <w:snapToGrid w:val="0"/>
              <w:spacing w:line="300" w:lineRule="auto"/>
              <w:rPr>
                <w:rFonts w:ascii="Times New Roman" w:hAnsi="Times New Roman"/>
                <w:sz w:val="18"/>
                <w:szCs w:val="18"/>
              </w:rPr>
            </w:pPr>
            <w:r>
              <w:rPr>
                <w:rFonts w:ascii="Times New Roman" w:hAnsi="Times New Roman"/>
                <w:sz w:val="18"/>
                <w:szCs w:val="18"/>
              </w:rPr>
              <w:t>10.4 机械波的产生和传播</w:t>
            </w:r>
          </w:p>
          <w:p>
            <w:pPr>
              <w:adjustRightInd w:val="0"/>
              <w:snapToGrid w:val="0"/>
              <w:spacing w:line="300" w:lineRule="auto"/>
              <w:rPr>
                <w:rFonts w:ascii="Times New Roman" w:hAnsi="Times New Roman"/>
                <w:sz w:val="18"/>
                <w:szCs w:val="18"/>
              </w:rPr>
            </w:pPr>
            <w:r>
              <w:rPr>
                <w:rFonts w:ascii="Times New Roman" w:hAnsi="Times New Roman"/>
                <w:sz w:val="18"/>
                <w:szCs w:val="18"/>
              </w:rPr>
              <w:t>（1）机械波的产生条件</w:t>
            </w:r>
          </w:p>
          <w:p>
            <w:pPr>
              <w:adjustRightInd w:val="0"/>
              <w:snapToGrid w:val="0"/>
              <w:spacing w:line="300" w:lineRule="auto"/>
              <w:rPr>
                <w:rFonts w:ascii="Times New Roman" w:hAnsi="Times New Roman"/>
                <w:sz w:val="18"/>
                <w:szCs w:val="18"/>
              </w:rPr>
            </w:pPr>
            <w:r>
              <w:rPr>
                <w:rFonts w:ascii="Times New Roman" w:hAnsi="Times New Roman"/>
                <w:sz w:val="18"/>
                <w:szCs w:val="18"/>
              </w:rPr>
              <w:t>（2）波动过程的描述</w:t>
            </w:r>
          </w:p>
          <w:p>
            <w:pPr>
              <w:adjustRightInd w:val="0"/>
              <w:snapToGrid w:val="0"/>
              <w:spacing w:line="300" w:lineRule="auto"/>
              <w:rPr>
                <w:rFonts w:ascii="Times New Roman" w:hAnsi="Times New Roman"/>
                <w:sz w:val="18"/>
                <w:szCs w:val="18"/>
              </w:rPr>
            </w:pPr>
            <w:r>
              <w:rPr>
                <w:rFonts w:ascii="Times New Roman" w:hAnsi="Times New Roman"/>
                <w:sz w:val="18"/>
                <w:szCs w:val="18"/>
              </w:rPr>
              <w:t>（3）平面简谐波的波动方程</w:t>
            </w:r>
          </w:p>
          <w:p>
            <w:pPr>
              <w:adjustRightInd w:val="0"/>
              <w:snapToGrid w:val="0"/>
              <w:spacing w:line="300" w:lineRule="auto"/>
              <w:rPr>
                <w:rFonts w:ascii="Times New Roman" w:hAnsi="Times New Roman"/>
                <w:sz w:val="18"/>
                <w:szCs w:val="18"/>
              </w:rPr>
            </w:pPr>
            <w:r>
              <w:rPr>
                <w:rFonts w:ascii="Times New Roman" w:hAnsi="Times New Roman"/>
                <w:sz w:val="18"/>
                <w:szCs w:val="18"/>
              </w:rPr>
              <w:t>（4）波动方程的物理意义</w:t>
            </w:r>
          </w:p>
          <w:p>
            <w:pPr>
              <w:adjustRightInd w:val="0"/>
              <w:snapToGrid w:val="0"/>
              <w:spacing w:line="300" w:lineRule="auto"/>
              <w:rPr>
                <w:rFonts w:ascii="Times New Roman" w:hAnsi="Times New Roman"/>
                <w:sz w:val="18"/>
                <w:szCs w:val="18"/>
              </w:rPr>
            </w:pPr>
            <w:r>
              <w:rPr>
                <w:rFonts w:ascii="Times New Roman" w:hAnsi="Times New Roman"/>
                <w:sz w:val="18"/>
                <w:szCs w:val="18"/>
              </w:rPr>
              <w:t>（5）波的能量与能流</w:t>
            </w:r>
          </w:p>
          <w:p>
            <w:pPr>
              <w:adjustRightInd w:val="0"/>
              <w:snapToGrid w:val="0"/>
              <w:spacing w:line="300" w:lineRule="auto"/>
              <w:rPr>
                <w:rFonts w:ascii="Times New Roman" w:hAnsi="Times New Roman"/>
                <w:sz w:val="18"/>
                <w:szCs w:val="18"/>
              </w:rPr>
            </w:pPr>
            <w:r>
              <w:rPr>
                <w:rFonts w:ascii="Times New Roman" w:hAnsi="Times New Roman"/>
                <w:sz w:val="18"/>
                <w:szCs w:val="18"/>
              </w:rPr>
              <w:t>10.5 波的干涉和衍射</w:t>
            </w:r>
          </w:p>
          <w:p>
            <w:pPr>
              <w:adjustRightInd w:val="0"/>
              <w:snapToGrid w:val="0"/>
              <w:spacing w:line="300" w:lineRule="auto"/>
              <w:rPr>
                <w:rFonts w:ascii="Times New Roman" w:hAnsi="Times New Roman"/>
                <w:sz w:val="18"/>
                <w:szCs w:val="18"/>
              </w:rPr>
            </w:pPr>
            <w:r>
              <w:rPr>
                <w:rFonts w:ascii="Times New Roman" w:hAnsi="Times New Roman"/>
                <w:sz w:val="18"/>
                <w:szCs w:val="18"/>
              </w:rPr>
              <w:t>（1）波的叠加原理 波的干涉</w:t>
            </w:r>
          </w:p>
          <w:p>
            <w:pPr>
              <w:adjustRightInd w:val="0"/>
              <w:snapToGrid w:val="0"/>
              <w:spacing w:line="300" w:lineRule="auto"/>
              <w:rPr>
                <w:rFonts w:ascii="Times New Roman" w:hAnsi="Times New Roman"/>
                <w:sz w:val="18"/>
                <w:szCs w:val="18"/>
              </w:rPr>
            </w:pPr>
            <w:r>
              <w:rPr>
                <w:rFonts w:ascii="Times New Roman" w:hAnsi="Times New Roman"/>
                <w:sz w:val="18"/>
                <w:szCs w:val="18"/>
              </w:rPr>
              <w:t>（2）驻波和半波损失</w:t>
            </w:r>
          </w:p>
          <w:p>
            <w:pPr>
              <w:adjustRightInd w:val="0"/>
              <w:snapToGrid w:val="0"/>
              <w:spacing w:line="300" w:lineRule="auto"/>
              <w:rPr>
                <w:rFonts w:ascii="Times New Roman" w:hAnsi="Times New Roman"/>
                <w:sz w:val="18"/>
                <w:szCs w:val="18"/>
              </w:rPr>
            </w:pPr>
            <w:r>
              <w:rPr>
                <w:rFonts w:ascii="Times New Roman" w:hAnsi="Times New Roman"/>
                <w:sz w:val="18"/>
                <w:szCs w:val="18"/>
              </w:rPr>
              <w:t>（3）惠更斯原理 波的衍射</w:t>
            </w:r>
          </w:p>
          <w:p>
            <w:pPr>
              <w:adjustRightInd w:val="0"/>
              <w:snapToGrid w:val="0"/>
              <w:spacing w:line="300" w:lineRule="auto"/>
              <w:rPr>
                <w:rFonts w:ascii="Times New Roman" w:hAnsi="Times New Roman"/>
                <w:sz w:val="18"/>
                <w:szCs w:val="18"/>
              </w:rPr>
            </w:pPr>
            <w:r>
              <w:rPr>
                <w:rFonts w:ascii="Times New Roman" w:hAnsi="Times New Roman"/>
                <w:sz w:val="18"/>
                <w:szCs w:val="18"/>
              </w:rPr>
              <w:t>10.6 多普勒效应 声波</w:t>
            </w:r>
          </w:p>
          <w:p>
            <w:pPr>
              <w:adjustRightInd w:val="0"/>
              <w:snapToGrid w:val="0"/>
              <w:spacing w:line="300" w:lineRule="auto"/>
              <w:rPr>
                <w:rFonts w:ascii="Times New Roman" w:hAnsi="Times New Roman"/>
                <w:sz w:val="18"/>
                <w:szCs w:val="18"/>
              </w:rPr>
            </w:pPr>
            <w:r>
              <w:rPr>
                <w:rFonts w:ascii="Times New Roman" w:hAnsi="Times New Roman"/>
                <w:sz w:val="18"/>
                <w:szCs w:val="18"/>
              </w:rPr>
              <w:t>（1）多普勒效应</w:t>
            </w:r>
          </w:p>
          <w:p>
            <w:pPr>
              <w:adjustRightInd w:val="0"/>
              <w:snapToGrid w:val="0"/>
              <w:spacing w:line="300" w:lineRule="auto"/>
              <w:rPr>
                <w:rFonts w:ascii="Times New Roman" w:hAnsi="Times New Roman"/>
                <w:sz w:val="18"/>
                <w:szCs w:val="18"/>
              </w:rPr>
            </w:pPr>
            <w:r>
              <w:rPr>
                <w:rFonts w:ascii="Times New Roman" w:hAnsi="Times New Roman"/>
                <w:sz w:val="18"/>
                <w:szCs w:val="18"/>
              </w:rPr>
              <w:t>（2）声波</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（1）了解：简谐振动的能量、波的能量、多普勒效应。</w:t>
            </w:r>
          </w:p>
          <w:p>
            <w:pPr>
              <w:adjustRightInd w:val="0"/>
              <w:snapToGrid w:val="0"/>
              <w:spacing w:line="300" w:lineRule="auto"/>
              <w:rPr>
                <w:rFonts w:ascii="Times New Roman" w:hAnsi="Times New Roman"/>
                <w:sz w:val="18"/>
                <w:szCs w:val="18"/>
              </w:rPr>
            </w:pPr>
            <w:r>
              <w:rPr>
                <w:rFonts w:ascii="Times New Roman" w:hAnsi="Times New Roman"/>
                <w:sz w:val="18"/>
                <w:szCs w:val="18"/>
              </w:rPr>
              <w:t>（2）理解：旋转矢量法、相位、相位差、简谐振动的合成与分解、波的干涉。</w:t>
            </w:r>
          </w:p>
          <w:p>
            <w:pPr>
              <w:adjustRightInd w:val="0"/>
              <w:snapToGrid w:val="0"/>
              <w:spacing w:line="300" w:lineRule="auto"/>
              <w:rPr>
                <w:rFonts w:ascii="Times New Roman" w:hAnsi="Times New Roman"/>
                <w:sz w:val="18"/>
                <w:szCs w:val="18"/>
              </w:rPr>
            </w:pPr>
            <w:r>
              <w:rPr>
                <w:rFonts w:ascii="Times New Roman" w:hAnsi="Times New Roman"/>
                <w:sz w:val="18"/>
                <w:szCs w:val="18"/>
              </w:rPr>
              <w:t>（3）掌握：简谐振动方程与平面简谐波的波动方程及其物理意义。</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11</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11  波动光学</w:t>
            </w:r>
          </w:p>
          <w:p>
            <w:pPr>
              <w:adjustRightInd w:val="0"/>
              <w:snapToGrid w:val="0"/>
              <w:spacing w:line="300" w:lineRule="auto"/>
              <w:rPr>
                <w:rFonts w:ascii="Times New Roman" w:hAnsi="Times New Roman"/>
                <w:sz w:val="18"/>
                <w:szCs w:val="18"/>
              </w:rPr>
            </w:pPr>
            <w:r>
              <w:rPr>
                <w:rFonts w:ascii="Times New Roman" w:hAnsi="Times New Roman"/>
                <w:sz w:val="18"/>
                <w:szCs w:val="18"/>
              </w:rPr>
              <w:t>11.1 光的本性和相干性</w:t>
            </w:r>
          </w:p>
          <w:p>
            <w:pPr>
              <w:adjustRightInd w:val="0"/>
              <w:snapToGrid w:val="0"/>
              <w:spacing w:line="300" w:lineRule="auto"/>
              <w:rPr>
                <w:rFonts w:ascii="Times New Roman" w:hAnsi="Times New Roman"/>
                <w:sz w:val="18"/>
                <w:szCs w:val="18"/>
              </w:rPr>
            </w:pPr>
            <w:r>
              <w:rPr>
                <w:rFonts w:ascii="Times New Roman" w:hAnsi="Times New Roman"/>
                <w:sz w:val="18"/>
                <w:szCs w:val="18"/>
              </w:rPr>
              <w:t>（1）光源及其发光机理</w:t>
            </w:r>
          </w:p>
          <w:p>
            <w:pPr>
              <w:adjustRightInd w:val="0"/>
              <w:snapToGrid w:val="0"/>
              <w:spacing w:line="300" w:lineRule="auto"/>
              <w:rPr>
                <w:rFonts w:ascii="Times New Roman" w:hAnsi="Times New Roman"/>
                <w:sz w:val="18"/>
                <w:szCs w:val="18"/>
              </w:rPr>
            </w:pPr>
            <w:r>
              <w:rPr>
                <w:rFonts w:ascii="Times New Roman" w:hAnsi="Times New Roman"/>
                <w:sz w:val="18"/>
                <w:szCs w:val="18"/>
              </w:rPr>
              <w:t>（2）光的电磁本性</w:t>
            </w:r>
          </w:p>
          <w:p>
            <w:pPr>
              <w:adjustRightInd w:val="0"/>
              <w:snapToGrid w:val="0"/>
              <w:spacing w:line="300" w:lineRule="auto"/>
              <w:rPr>
                <w:rFonts w:ascii="Times New Roman" w:hAnsi="Times New Roman"/>
                <w:sz w:val="18"/>
                <w:szCs w:val="18"/>
              </w:rPr>
            </w:pPr>
            <w:r>
              <w:rPr>
                <w:rFonts w:ascii="Times New Roman" w:hAnsi="Times New Roman"/>
                <w:sz w:val="18"/>
                <w:szCs w:val="18"/>
              </w:rPr>
              <w:t>（3）光的相干性</w:t>
            </w:r>
          </w:p>
          <w:p>
            <w:pPr>
              <w:adjustRightInd w:val="0"/>
              <w:snapToGrid w:val="0"/>
              <w:spacing w:line="300" w:lineRule="auto"/>
              <w:rPr>
                <w:rFonts w:ascii="Times New Roman" w:hAnsi="Times New Roman"/>
                <w:sz w:val="18"/>
                <w:szCs w:val="18"/>
              </w:rPr>
            </w:pPr>
            <w:r>
              <w:rPr>
                <w:rFonts w:ascii="Times New Roman" w:hAnsi="Times New Roman"/>
                <w:sz w:val="18"/>
                <w:szCs w:val="18"/>
              </w:rPr>
              <w:t>（4）获得相干光的方法</w:t>
            </w:r>
          </w:p>
          <w:p>
            <w:pPr>
              <w:adjustRightInd w:val="0"/>
              <w:snapToGrid w:val="0"/>
              <w:spacing w:line="300" w:lineRule="auto"/>
              <w:rPr>
                <w:rFonts w:ascii="Times New Roman" w:hAnsi="Times New Roman"/>
                <w:sz w:val="18"/>
                <w:szCs w:val="18"/>
              </w:rPr>
            </w:pPr>
            <w:r>
              <w:rPr>
                <w:rFonts w:ascii="Times New Roman" w:hAnsi="Times New Roman"/>
                <w:sz w:val="18"/>
                <w:szCs w:val="18"/>
              </w:rPr>
              <w:t>11.2 杨氏双缝干涉</w:t>
            </w:r>
          </w:p>
          <w:p>
            <w:pPr>
              <w:adjustRightInd w:val="0"/>
              <w:snapToGrid w:val="0"/>
              <w:spacing w:line="300" w:lineRule="auto"/>
              <w:rPr>
                <w:rFonts w:ascii="Times New Roman" w:hAnsi="Times New Roman"/>
                <w:sz w:val="18"/>
                <w:szCs w:val="18"/>
              </w:rPr>
            </w:pPr>
            <w:r>
              <w:rPr>
                <w:rFonts w:ascii="Times New Roman" w:hAnsi="Times New Roman"/>
                <w:sz w:val="18"/>
                <w:szCs w:val="18"/>
              </w:rPr>
              <w:t>（1）光程</w:t>
            </w:r>
          </w:p>
          <w:p>
            <w:pPr>
              <w:adjustRightInd w:val="0"/>
              <w:snapToGrid w:val="0"/>
              <w:spacing w:line="300" w:lineRule="auto"/>
              <w:rPr>
                <w:rFonts w:ascii="Times New Roman" w:hAnsi="Times New Roman"/>
                <w:sz w:val="18"/>
                <w:szCs w:val="18"/>
              </w:rPr>
            </w:pPr>
            <w:r>
              <w:rPr>
                <w:rFonts w:ascii="Times New Roman" w:hAnsi="Times New Roman"/>
                <w:sz w:val="18"/>
                <w:szCs w:val="18"/>
              </w:rPr>
              <w:t>（2）杨氏双缝干涉实验</w:t>
            </w:r>
          </w:p>
          <w:p>
            <w:pPr>
              <w:adjustRightInd w:val="0"/>
              <w:snapToGrid w:val="0"/>
              <w:spacing w:line="300" w:lineRule="auto"/>
              <w:rPr>
                <w:rFonts w:ascii="Times New Roman" w:hAnsi="Times New Roman"/>
                <w:sz w:val="18"/>
                <w:szCs w:val="18"/>
              </w:rPr>
            </w:pPr>
            <w:r>
              <w:rPr>
                <w:rFonts w:ascii="Times New Roman" w:hAnsi="Times New Roman"/>
                <w:sz w:val="18"/>
                <w:szCs w:val="18"/>
              </w:rPr>
              <w:t>（3）洛埃德镜实验</w:t>
            </w:r>
          </w:p>
          <w:p>
            <w:pPr>
              <w:adjustRightInd w:val="0"/>
              <w:snapToGrid w:val="0"/>
              <w:spacing w:line="300" w:lineRule="auto"/>
              <w:rPr>
                <w:rFonts w:ascii="Times New Roman" w:hAnsi="Times New Roman"/>
                <w:sz w:val="18"/>
                <w:szCs w:val="18"/>
              </w:rPr>
            </w:pPr>
            <w:r>
              <w:rPr>
                <w:rFonts w:ascii="Times New Roman" w:hAnsi="Times New Roman"/>
                <w:sz w:val="18"/>
                <w:szCs w:val="18"/>
              </w:rPr>
              <w:t>11.3 薄膜干涉</w:t>
            </w:r>
          </w:p>
          <w:p>
            <w:pPr>
              <w:adjustRightInd w:val="0"/>
              <w:snapToGrid w:val="0"/>
              <w:spacing w:line="300" w:lineRule="auto"/>
              <w:rPr>
                <w:rFonts w:ascii="Times New Roman" w:hAnsi="Times New Roman"/>
                <w:sz w:val="18"/>
                <w:szCs w:val="18"/>
              </w:rPr>
            </w:pPr>
            <w:r>
              <w:rPr>
                <w:rFonts w:ascii="Times New Roman" w:hAnsi="Times New Roman"/>
                <w:sz w:val="18"/>
                <w:szCs w:val="18"/>
              </w:rPr>
              <w:t>（1）匀厚薄膜干涉</w:t>
            </w:r>
          </w:p>
          <w:p>
            <w:pPr>
              <w:adjustRightInd w:val="0"/>
              <w:snapToGrid w:val="0"/>
              <w:spacing w:line="300" w:lineRule="auto"/>
              <w:rPr>
                <w:rFonts w:ascii="Times New Roman" w:hAnsi="Times New Roman"/>
                <w:sz w:val="18"/>
                <w:szCs w:val="18"/>
              </w:rPr>
            </w:pPr>
            <w:r>
              <w:rPr>
                <w:rFonts w:ascii="Times New Roman" w:hAnsi="Times New Roman"/>
                <w:sz w:val="18"/>
                <w:szCs w:val="18"/>
              </w:rPr>
              <w:t>（2）劈尖干涉</w:t>
            </w:r>
          </w:p>
          <w:p>
            <w:pPr>
              <w:adjustRightInd w:val="0"/>
              <w:snapToGrid w:val="0"/>
              <w:spacing w:line="300" w:lineRule="auto"/>
              <w:rPr>
                <w:rFonts w:ascii="Times New Roman" w:hAnsi="Times New Roman"/>
                <w:sz w:val="18"/>
                <w:szCs w:val="18"/>
              </w:rPr>
            </w:pPr>
            <w:r>
              <w:rPr>
                <w:rFonts w:ascii="Times New Roman" w:hAnsi="Times New Roman"/>
                <w:sz w:val="18"/>
                <w:szCs w:val="18"/>
              </w:rPr>
              <w:t>（3）牛顿环</w:t>
            </w:r>
          </w:p>
          <w:p>
            <w:pPr>
              <w:adjustRightInd w:val="0"/>
              <w:snapToGrid w:val="0"/>
              <w:spacing w:line="300" w:lineRule="auto"/>
              <w:rPr>
                <w:rFonts w:ascii="Times New Roman" w:hAnsi="Times New Roman"/>
                <w:sz w:val="18"/>
                <w:szCs w:val="18"/>
              </w:rPr>
            </w:pPr>
            <w:r>
              <w:rPr>
                <w:rFonts w:ascii="Times New Roman" w:hAnsi="Times New Roman"/>
                <w:sz w:val="18"/>
                <w:szCs w:val="18"/>
              </w:rPr>
              <w:t>（4）迈克耳孙干涉仪</w:t>
            </w:r>
          </w:p>
          <w:p>
            <w:pPr>
              <w:adjustRightInd w:val="0"/>
              <w:snapToGrid w:val="0"/>
              <w:spacing w:line="300" w:lineRule="auto"/>
              <w:rPr>
                <w:rFonts w:ascii="Times New Roman" w:hAnsi="Times New Roman"/>
                <w:sz w:val="18"/>
                <w:szCs w:val="18"/>
              </w:rPr>
            </w:pPr>
            <w:r>
              <w:rPr>
                <w:rFonts w:ascii="Times New Roman" w:hAnsi="Times New Roman"/>
                <w:sz w:val="18"/>
                <w:szCs w:val="18"/>
              </w:rPr>
              <w:t>11.4 光的单缝衍射</w:t>
            </w:r>
          </w:p>
          <w:p>
            <w:pPr>
              <w:adjustRightInd w:val="0"/>
              <w:snapToGrid w:val="0"/>
              <w:spacing w:line="300" w:lineRule="auto"/>
              <w:rPr>
                <w:rFonts w:ascii="Times New Roman" w:hAnsi="Times New Roman"/>
                <w:sz w:val="18"/>
                <w:szCs w:val="18"/>
              </w:rPr>
            </w:pPr>
            <w:r>
              <w:rPr>
                <w:rFonts w:ascii="Times New Roman" w:hAnsi="Times New Roman"/>
                <w:sz w:val="18"/>
                <w:szCs w:val="18"/>
              </w:rPr>
              <w:t>（1）光的衍射现象</w:t>
            </w:r>
          </w:p>
          <w:p>
            <w:pPr>
              <w:adjustRightInd w:val="0"/>
              <w:snapToGrid w:val="0"/>
              <w:spacing w:line="300" w:lineRule="auto"/>
              <w:rPr>
                <w:rFonts w:ascii="Times New Roman" w:hAnsi="Times New Roman"/>
                <w:sz w:val="18"/>
                <w:szCs w:val="18"/>
              </w:rPr>
            </w:pPr>
            <w:r>
              <w:rPr>
                <w:rFonts w:ascii="Times New Roman" w:hAnsi="Times New Roman"/>
                <w:sz w:val="18"/>
                <w:szCs w:val="18"/>
              </w:rPr>
              <w:t>（2）惠更斯-菲涅耳原理</w:t>
            </w:r>
          </w:p>
          <w:p>
            <w:pPr>
              <w:adjustRightInd w:val="0"/>
              <w:snapToGrid w:val="0"/>
              <w:spacing w:line="300" w:lineRule="auto"/>
              <w:rPr>
                <w:rFonts w:ascii="Times New Roman" w:hAnsi="Times New Roman"/>
                <w:sz w:val="18"/>
                <w:szCs w:val="18"/>
              </w:rPr>
            </w:pPr>
            <w:r>
              <w:rPr>
                <w:rFonts w:ascii="Times New Roman" w:hAnsi="Times New Roman"/>
                <w:sz w:val="18"/>
                <w:szCs w:val="18"/>
              </w:rPr>
              <w:t>（3）夫琅禾费单缝衍射</w:t>
            </w:r>
          </w:p>
          <w:p>
            <w:pPr>
              <w:adjustRightInd w:val="0"/>
              <w:snapToGrid w:val="0"/>
              <w:spacing w:line="300" w:lineRule="auto"/>
              <w:rPr>
                <w:rFonts w:ascii="Times New Roman" w:hAnsi="Times New Roman"/>
                <w:sz w:val="18"/>
                <w:szCs w:val="18"/>
              </w:rPr>
            </w:pPr>
            <w:r>
              <w:rPr>
                <w:rFonts w:ascii="Times New Roman" w:hAnsi="Times New Roman"/>
                <w:sz w:val="18"/>
                <w:szCs w:val="18"/>
              </w:rPr>
              <w:t>（4）光学仪器的分辨率</w:t>
            </w:r>
          </w:p>
          <w:p>
            <w:pPr>
              <w:adjustRightInd w:val="0"/>
              <w:snapToGrid w:val="0"/>
              <w:spacing w:line="300" w:lineRule="auto"/>
              <w:rPr>
                <w:rFonts w:ascii="Times New Roman" w:hAnsi="Times New Roman"/>
                <w:sz w:val="18"/>
                <w:szCs w:val="18"/>
              </w:rPr>
            </w:pPr>
            <w:r>
              <w:rPr>
                <w:rFonts w:ascii="Times New Roman" w:hAnsi="Times New Roman"/>
                <w:sz w:val="18"/>
                <w:szCs w:val="18"/>
              </w:rPr>
              <w:t>11.5 光栅衍射</w:t>
            </w:r>
          </w:p>
          <w:p>
            <w:pPr>
              <w:adjustRightInd w:val="0"/>
              <w:snapToGrid w:val="0"/>
              <w:spacing w:line="300" w:lineRule="auto"/>
              <w:rPr>
                <w:rFonts w:ascii="Times New Roman" w:hAnsi="Times New Roman"/>
                <w:sz w:val="18"/>
                <w:szCs w:val="18"/>
              </w:rPr>
            </w:pPr>
            <w:r>
              <w:rPr>
                <w:rFonts w:ascii="Times New Roman" w:hAnsi="Times New Roman"/>
                <w:sz w:val="18"/>
                <w:szCs w:val="18"/>
              </w:rPr>
              <w:t>（1）光栅方程</w:t>
            </w:r>
          </w:p>
          <w:p>
            <w:pPr>
              <w:adjustRightInd w:val="0"/>
              <w:snapToGrid w:val="0"/>
              <w:spacing w:line="300" w:lineRule="auto"/>
              <w:rPr>
                <w:rFonts w:ascii="Times New Roman" w:hAnsi="Times New Roman"/>
                <w:sz w:val="18"/>
                <w:szCs w:val="18"/>
              </w:rPr>
            </w:pPr>
            <w:r>
              <w:rPr>
                <w:rFonts w:ascii="Times New Roman" w:hAnsi="Times New Roman"/>
                <w:sz w:val="18"/>
                <w:szCs w:val="18"/>
              </w:rPr>
              <w:t>（2）光栅光谱</w:t>
            </w:r>
          </w:p>
          <w:p>
            <w:pPr>
              <w:adjustRightInd w:val="0"/>
              <w:snapToGrid w:val="0"/>
              <w:spacing w:line="300" w:lineRule="auto"/>
              <w:rPr>
                <w:rFonts w:ascii="Times New Roman" w:hAnsi="Times New Roman"/>
                <w:sz w:val="18"/>
                <w:szCs w:val="18"/>
              </w:rPr>
            </w:pPr>
            <w:r>
              <w:rPr>
                <w:rFonts w:ascii="Times New Roman" w:hAnsi="Times New Roman"/>
                <w:sz w:val="18"/>
                <w:szCs w:val="18"/>
              </w:rPr>
              <w:t>11.6 光的偏振</w:t>
            </w:r>
          </w:p>
          <w:p>
            <w:pPr>
              <w:adjustRightInd w:val="0"/>
              <w:snapToGrid w:val="0"/>
              <w:spacing w:line="300" w:lineRule="auto"/>
              <w:rPr>
                <w:rFonts w:ascii="Times New Roman" w:hAnsi="Times New Roman"/>
                <w:sz w:val="18"/>
                <w:szCs w:val="18"/>
              </w:rPr>
            </w:pPr>
            <w:r>
              <w:rPr>
                <w:rFonts w:ascii="Times New Roman" w:hAnsi="Times New Roman"/>
                <w:sz w:val="18"/>
                <w:szCs w:val="18"/>
              </w:rPr>
              <w:t>（1）自然光与偏振光</w:t>
            </w:r>
          </w:p>
          <w:p>
            <w:pPr>
              <w:adjustRightInd w:val="0"/>
              <w:snapToGrid w:val="0"/>
              <w:spacing w:line="300" w:lineRule="auto"/>
              <w:rPr>
                <w:rFonts w:ascii="Times New Roman" w:hAnsi="Times New Roman"/>
                <w:sz w:val="18"/>
                <w:szCs w:val="18"/>
              </w:rPr>
            </w:pPr>
            <w:r>
              <w:rPr>
                <w:rFonts w:ascii="Times New Roman" w:hAnsi="Times New Roman"/>
                <w:sz w:val="18"/>
                <w:szCs w:val="18"/>
              </w:rPr>
              <w:t>（2）起偏检偏</w:t>
            </w:r>
          </w:p>
          <w:p>
            <w:pPr>
              <w:adjustRightInd w:val="0"/>
              <w:snapToGrid w:val="0"/>
              <w:spacing w:line="300" w:lineRule="auto"/>
              <w:rPr>
                <w:rFonts w:ascii="Times New Roman" w:hAnsi="Times New Roman"/>
                <w:sz w:val="18"/>
                <w:szCs w:val="18"/>
              </w:rPr>
            </w:pPr>
            <w:r>
              <w:rPr>
                <w:rFonts w:ascii="Times New Roman" w:hAnsi="Times New Roman"/>
                <w:sz w:val="18"/>
                <w:szCs w:val="18"/>
              </w:rPr>
              <w:t>（3）马吕斯定律 偏振片的应用</w:t>
            </w:r>
          </w:p>
          <w:p>
            <w:pPr>
              <w:adjustRightInd w:val="0"/>
              <w:snapToGrid w:val="0"/>
              <w:spacing w:line="300" w:lineRule="auto"/>
              <w:rPr>
                <w:rFonts w:ascii="Times New Roman" w:hAnsi="Times New Roman"/>
                <w:sz w:val="18"/>
                <w:szCs w:val="18"/>
              </w:rPr>
            </w:pPr>
            <w:r>
              <w:rPr>
                <w:rFonts w:ascii="Times New Roman" w:hAnsi="Times New Roman"/>
                <w:sz w:val="18"/>
                <w:szCs w:val="18"/>
              </w:rPr>
              <w:t>（4）布儒斯特定律</w:t>
            </w:r>
          </w:p>
          <w:p>
            <w:pPr>
              <w:adjustRightInd w:val="0"/>
              <w:snapToGrid w:val="0"/>
              <w:spacing w:line="300" w:lineRule="auto"/>
              <w:rPr>
                <w:rFonts w:ascii="Times New Roman" w:hAnsi="Times New Roman"/>
                <w:sz w:val="18"/>
                <w:szCs w:val="18"/>
              </w:rPr>
            </w:pPr>
            <w:r>
              <w:rPr>
                <w:rFonts w:ascii="Times New Roman" w:hAnsi="Times New Roman"/>
                <w:sz w:val="18"/>
                <w:szCs w:val="18"/>
              </w:rPr>
              <w:t>（5）旋光现象</w:t>
            </w:r>
            <w:r>
              <w:rPr>
                <w:rFonts w:ascii="Times New Roman" w:hAnsi="Times New Roman"/>
                <w:sz w:val="18"/>
                <w:szCs w:val="18"/>
              </w:rPr>
              <w:tab/>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（1）了解：光学仪器的分辨率、最小分辨角。</w:t>
            </w:r>
          </w:p>
          <w:p>
            <w:pPr>
              <w:adjustRightInd w:val="0"/>
              <w:snapToGrid w:val="0"/>
              <w:spacing w:line="300" w:lineRule="auto"/>
              <w:rPr>
                <w:rFonts w:ascii="Times New Roman" w:hAnsi="Times New Roman"/>
                <w:sz w:val="18"/>
                <w:szCs w:val="18"/>
              </w:rPr>
            </w:pPr>
            <w:r>
              <w:rPr>
                <w:rFonts w:ascii="Times New Roman" w:hAnsi="Times New Roman"/>
                <w:sz w:val="18"/>
                <w:szCs w:val="18"/>
              </w:rPr>
              <w:t>（2）理解：光的相干性、光程、光程差、光的偏振、起偏与检偏、布儒斯特定律。</w:t>
            </w:r>
          </w:p>
          <w:p>
            <w:pPr>
              <w:adjustRightInd w:val="0"/>
              <w:snapToGrid w:val="0"/>
              <w:spacing w:line="300" w:lineRule="auto"/>
              <w:rPr>
                <w:rFonts w:ascii="Times New Roman" w:hAnsi="Times New Roman"/>
                <w:sz w:val="18"/>
                <w:szCs w:val="18"/>
              </w:rPr>
            </w:pPr>
            <w:r>
              <w:rPr>
                <w:rFonts w:ascii="Times New Roman" w:hAnsi="Times New Roman"/>
                <w:sz w:val="18"/>
                <w:szCs w:val="18"/>
              </w:rPr>
              <w:t>（3）掌握：分波阵面干涉——杨氏双逢干涉、分振幅干涉——薄膜干涉、光的单逢衍射、马吕斯定律。</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12</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12 狭义相对论</w:t>
            </w:r>
          </w:p>
          <w:p>
            <w:pPr>
              <w:adjustRightInd w:val="0"/>
              <w:snapToGrid w:val="0"/>
              <w:spacing w:line="300" w:lineRule="auto"/>
              <w:rPr>
                <w:rFonts w:ascii="Times New Roman" w:hAnsi="Times New Roman"/>
                <w:sz w:val="18"/>
                <w:szCs w:val="18"/>
              </w:rPr>
            </w:pPr>
            <w:r>
              <w:rPr>
                <w:rFonts w:ascii="Times New Roman" w:hAnsi="Times New Roman"/>
                <w:sz w:val="18"/>
                <w:szCs w:val="18"/>
              </w:rPr>
              <w:t>12.1 经典力学的相对性原理 牛顿力学时空观</w:t>
            </w:r>
          </w:p>
          <w:p>
            <w:pPr>
              <w:adjustRightInd w:val="0"/>
              <w:snapToGrid w:val="0"/>
              <w:spacing w:line="300" w:lineRule="auto"/>
              <w:rPr>
                <w:rFonts w:ascii="Times New Roman" w:hAnsi="Times New Roman"/>
                <w:sz w:val="18"/>
                <w:szCs w:val="18"/>
              </w:rPr>
            </w:pPr>
            <w:r>
              <w:rPr>
                <w:rFonts w:ascii="Times New Roman" w:hAnsi="Times New Roman"/>
                <w:sz w:val="18"/>
                <w:szCs w:val="18"/>
              </w:rPr>
              <w:t>（1）经典力学的相对性原理</w:t>
            </w:r>
          </w:p>
          <w:p>
            <w:pPr>
              <w:adjustRightInd w:val="0"/>
              <w:snapToGrid w:val="0"/>
              <w:spacing w:line="300" w:lineRule="auto"/>
              <w:rPr>
                <w:rFonts w:ascii="Times New Roman" w:hAnsi="Times New Roman"/>
                <w:sz w:val="18"/>
                <w:szCs w:val="18"/>
              </w:rPr>
            </w:pPr>
            <w:r>
              <w:rPr>
                <w:rFonts w:ascii="Times New Roman" w:hAnsi="Times New Roman"/>
                <w:sz w:val="18"/>
                <w:szCs w:val="18"/>
              </w:rPr>
              <w:t>（2）牛顿力学时空观</w:t>
            </w:r>
          </w:p>
          <w:p>
            <w:pPr>
              <w:adjustRightInd w:val="0"/>
              <w:snapToGrid w:val="0"/>
              <w:spacing w:line="300" w:lineRule="auto"/>
              <w:rPr>
                <w:rFonts w:ascii="Times New Roman" w:hAnsi="Times New Roman"/>
                <w:sz w:val="18"/>
                <w:szCs w:val="18"/>
              </w:rPr>
            </w:pPr>
            <w:r>
              <w:rPr>
                <w:rFonts w:ascii="Times New Roman" w:hAnsi="Times New Roman"/>
                <w:sz w:val="18"/>
                <w:szCs w:val="18"/>
              </w:rPr>
              <w:t>12.2 狭义相对论的基本原理 洛伦茨变换</w:t>
            </w:r>
          </w:p>
          <w:p>
            <w:pPr>
              <w:adjustRightInd w:val="0"/>
              <w:snapToGrid w:val="0"/>
              <w:spacing w:line="300" w:lineRule="auto"/>
              <w:rPr>
                <w:rFonts w:ascii="Times New Roman" w:hAnsi="Times New Roman"/>
                <w:sz w:val="18"/>
                <w:szCs w:val="18"/>
              </w:rPr>
            </w:pPr>
            <w:r>
              <w:rPr>
                <w:rFonts w:ascii="Times New Roman" w:hAnsi="Times New Roman"/>
                <w:sz w:val="18"/>
                <w:szCs w:val="18"/>
              </w:rPr>
              <w:t>（1）狭义相对论的两条基本原理</w:t>
            </w:r>
          </w:p>
          <w:p>
            <w:pPr>
              <w:adjustRightInd w:val="0"/>
              <w:snapToGrid w:val="0"/>
              <w:spacing w:line="300" w:lineRule="auto"/>
              <w:rPr>
                <w:rFonts w:ascii="Times New Roman" w:hAnsi="Times New Roman"/>
                <w:sz w:val="18"/>
                <w:szCs w:val="18"/>
              </w:rPr>
            </w:pPr>
            <w:r>
              <w:rPr>
                <w:rFonts w:ascii="Times New Roman" w:hAnsi="Times New Roman"/>
                <w:sz w:val="18"/>
                <w:szCs w:val="18"/>
              </w:rPr>
              <w:t>（2）洛伦茨变换</w:t>
            </w:r>
          </w:p>
          <w:p>
            <w:pPr>
              <w:adjustRightInd w:val="0"/>
              <w:snapToGrid w:val="0"/>
              <w:spacing w:line="300" w:lineRule="auto"/>
              <w:rPr>
                <w:rFonts w:ascii="Times New Roman" w:hAnsi="Times New Roman"/>
                <w:sz w:val="18"/>
                <w:szCs w:val="18"/>
              </w:rPr>
            </w:pPr>
            <w:r>
              <w:rPr>
                <w:rFonts w:ascii="Times New Roman" w:hAnsi="Times New Roman"/>
                <w:sz w:val="18"/>
                <w:szCs w:val="18"/>
              </w:rPr>
              <w:t>12.3 狭义相对论的时空观</w:t>
            </w:r>
          </w:p>
          <w:p>
            <w:pPr>
              <w:adjustRightInd w:val="0"/>
              <w:snapToGrid w:val="0"/>
              <w:spacing w:line="300" w:lineRule="auto"/>
              <w:rPr>
                <w:rFonts w:ascii="Times New Roman" w:hAnsi="Times New Roman"/>
                <w:sz w:val="18"/>
                <w:szCs w:val="18"/>
              </w:rPr>
            </w:pPr>
            <w:r>
              <w:rPr>
                <w:rFonts w:ascii="Times New Roman" w:hAnsi="Times New Roman"/>
                <w:sz w:val="18"/>
                <w:szCs w:val="18"/>
              </w:rPr>
              <w:t>（1）长度收缩</w:t>
            </w:r>
          </w:p>
          <w:p>
            <w:pPr>
              <w:adjustRightInd w:val="0"/>
              <w:snapToGrid w:val="0"/>
              <w:spacing w:line="300" w:lineRule="auto"/>
              <w:rPr>
                <w:rFonts w:ascii="Times New Roman" w:hAnsi="Times New Roman"/>
                <w:sz w:val="18"/>
                <w:szCs w:val="18"/>
              </w:rPr>
            </w:pPr>
            <w:r>
              <w:rPr>
                <w:rFonts w:ascii="Times New Roman" w:hAnsi="Times New Roman"/>
                <w:sz w:val="18"/>
                <w:szCs w:val="18"/>
              </w:rPr>
              <w:t>（2）时间膨胀</w:t>
            </w:r>
          </w:p>
          <w:p>
            <w:pPr>
              <w:adjustRightInd w:val="0"/>
              <w:snapToGrid w:val="0"/>
              <w:spacing w:line="300" w:lineRule="auto"/>
              <w:rPr>
                <w:rFonts w:ascii="Times New Roman" w:hAnsi="Times New Roman"/>
                <w:sz w:val="18"/>
                <w:szCs w:val="18"/>
              </w:rPr>
            </w:pPr>
            <w:r>
              <w:rPr>
                <w:rFonts w:ascii="Times New Roman" w:hAnsi="Times New Roman"/>
                <w:sz w:val="18"/>
                <w:szCs w:val="18"/>
              </w:rPr>
              <w:t>（3）同时的相对性</w:t>
            </w:r>
          </w:p>
          <w:p>
            <w:pPr>
              <w:adjustRightInd w:val="0"/>
              <w:snapToGrid w:val="0"/>
              <w:spacing w:line="300" w:lineRule="auto"/>
              <w:rPr>
                <w:rFonts w:ascii="Times New Roman" w:hAnsi="Times New Roman"/>
                <w:sz w:val="18"/>
                <w:szCs w:val="18"/>
              </w:rPr>
            </w:pPr>
            <w:r>
              <w:rPr>
                <w:rFonts w:ascii="Times New Roman" w:hAnsi="Times New Roman"/>
                <w:sz w:val="18"/>
                <w:szCs w:val="18"/>
              </w:rPr>
              <w:t>12.4 狭义相对论动力学的基本结论</w:t>
            </w:r>
          </w:p>
          <w:p>
            <w:pPr>
              <w:adjustRightInd w:val="0"/>
              <w:snapToGrid w:val="0"/>
              <w:spacing w:line="300" w:lineRule="auto"/>
              <w:rPr>
                <w:rFonts w:ascii="Times New Roman" w:hAnsi="Times New Roman"/>
                <w:sz w:val="18"/>
                <w:szCs w:val="18"/>
              </w:rPr>
            </w:pPr>
            <w:r>
              <w:rPr>
                <w:rFonts w:ascii="Times New Roman" w:hAnsi="Times New Roman"/>
                <w:sz w:val="18"/>
                <w:szCs w:val="18"/>
              </w:rPr>
              <w:t>（1）质量与速度的关系相对论动力学的基本方程</w:t>
            </w:r>
          </w:p>
          <w:p>
            <w:pPr>
              <w:adjustRightInd w:val="0"/>
              <w:snapToGrid w:val="0"/>
              <w:spacing w:line="300" w:lineRule="auto"/>
              <w:rPr>
                <w:rFonts w:ascii="Times New Roman" w:hAnsi="Times New Roman"/>
                <w:sz w:val="18"/>
                <w:szCs w:val="18"/>
              </w:rPr>
            </w:pPr>
            <w:r>
              <w:rPr>
                <w:rFonts w:ascii="Times New Roman" w:hAnsi="Times New Roman"/>
                <w:sz w:val="18"/>
                <w:szCs w:val="18"/>
              </w:rPr>
              <w:t>（2）质量与能量的关系</w:t>
            </w:r>
          </w:p>
          <w:p>
            <w:pPr>
              <w:adjustRightInd w:val="0"/>
              <w:snapToGrid w:val="0"/>
              <w:spacing w:line="300" w:lineRule="auto"/>
              <w:rPr>
                <w:rFonts w:ascii="Times New Roman" w:hAnsi="Times New Roman"/>
                <w:sz w:val="18"/>
                <w:szCs w:val="18"/>
              </w:rPr>
            </w:pPr>
            <w:r>
              <w:rPr>
                <w:rFonts w:ascii="Times New Roman" w:hAnsi="Times New Roman"/>
                <w:sz w:val="18"/>
                <w:szCs w:val="18"/>
              </w:rPr>
              <w:t>（3）动量与能量的关系</w:t>
            </w:r>
          </w:p>
          <w:p>
            <w:pPr>
              <w:adjustRightInd w:val="0"/>
              <w:snapToGrid w:val="0"/>
              <w:spacing w:line="300" w:lineRule="auto"/>
              <w:rPr>
                <w:rFonts w:ascii="Times New Roman" w:hAnsi="Times New Roman"/>
                <w:sz w:val="18"/>
                <w:szCs w:val="18"/>
              </w:rPr>
            </w:pPr>
            <w:r>
              <w:rPr>
                <w:rFonts w:ascii="Times New Roman" w:hAnsi="Times New Roman"/>
                <w:sz w:val="18"/>
                <w:szCs w:val="18"/>
              </w:rPr>
              <w:t>12.5 广义相对论简介</w:t>
            </w:r>
          </w:p>
          <w:p>
            <w:pPr>
              <w:adjustRightInd w:val="0"/>
              <w:snapToGrid w:val="0"/>
              <w:spacing w:line="300" w:lineRule="auto"/>
              <w:rPr>
                <w:rFonts w:ascii="Times New Roman" w:hAnsi="Times New Roman"/>
                <w:sz w:val="18"/>
                <w:szCs w:val="18"/>
              </w:rPr>
            </w:pPr>
            <w:r>
              <w:rPr>
                <w:rFonts w:ascii="Times New Roman" w:hAnsi="Times New Roman"/>
                <w:sz w:val="18"/>
                <w:szCs w:val="18"/>
              </w:rPr>
              <w:t>（1）广义相对论的等效原理</w:t>
            </w:r>
          </w:p>
          <w:p>
            <w:pPr>
              <w:adjustRightInd w:val="0"/>
              <w:snapToGrid w:val="0"/>
              <w:spacing w:line="300" w:lineRule="auto"/>
              <w:rPr>
                <w:rFonts w:ascii="Times New Roman" w:hAnsi="Times New Roman"/>
                <w:sz w:val="18"/>
                <w:szCs w:val="18"/>
              </w:rPr>
            </w:pPr>
            <w:r>
              <w:rPr>
                <w:rFonts w:ascii="Times New Roman" w:hAnsi="Times New Roman"/>
                <w:sz w:val="18"/>
                <w:szCs w:val="18"/>
              </w:rPr>
              <w:t>（2）广义相对论时空特性的应用</w:t>
            </w:r>
          </w:p>
        </w:tc>
        <w:tc>
          <w:tcPr>
            <w:tcW w:w="2689" w:type="dxa"/>
          </w:tcPr>
          <w:p>
            <w:pPr>
              <w:adjustRightInd w:val="0"/>
              <w:snapToGrid w:val="0"/>
              <w:spacing w:line="300" w:lineRule="auto"/>
              <w:rPr>
                <w:rFonts w:ascii="Times New Roman" w:hAnsi="Times New Roman"/>
                <w:sz w:val="18"/>
                <w:szCs w:val="18"/>
              </w:rPr>
            </w:pPr>
            <w:r>
              <w:rPr>
                <w:rFonts w:ascii="Times New Roman" w:hAnsi="Times New Roman"/>
                <w:sz w:val="18"/>
                <w:szCs w:val="18"/>
              </w:rPr>
              <w:t>1.要求：（1）了解：广义相对论。</w:t>
            </w:r>
          </w:p>
          <w:p>
            <w:pPr>
              <w:adjustRightInd w:val="0"/>
              <w:snapToGrid w:val="0"/>
              <w:spacing w:line="300" w:lineRule="auto"/>
              <w:rPr>
                <w:rFonts w:ascii="Times New Roman" w:hAnsi="Times New Roman"/>
                <w:sz w:val="18"/>
                <w:szCs w:val="18"/>
              </w:rPr>
            </w:pPr>
            <w:r>
              <w:rPr>
                <w:rFonts w:ascii="Times New Roman" w:hAnsi="Times New Roman"/>
                <w:sz w:val="18"/>
                <w:szCs w:val="18"/>
              </w:rPr>
              <w:t>（2）理解：狭义相对论的基本结论。</w:t>
            </w:r>
          </w:p>
          <w:p>
            <w:pPr>
              <w:adjustRightInd w:val="0"/>
              <w:snapToGrid w:val="0"/>
              <w:spacing w:line="300" w:lineRule="auto"/>
              <w:rPr>
                <w:rFonts w:ascii="Times New Roman" w:hAnsi="Times New Roman"/>
                <w:sz w:val="18"/>
                <w:szCs w:val="18"/>
              </w:rPr>
            </w:pPr>
            <w:r>
              <w:rPr>
                <w:rFonts w:ascii="Times New Roman" w:hAnsi="Times New Roman"/>
                <w:sz w:val="18"/>
                <w:szCs w:val="18"/>
              </w:rPr>
              <w:t>（3）掌握：狭义相对论的基本原理、洛伦茨变换；狭义相对论的时空观。</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Mar>
              <w:left w:w="57" w:type="dxa"/>
              <w:right w:w="57" w:type="dxa"/>
            </w:tcMar>
            <w:vAlign w:val="center"/>
          </w:tcPr>
          <w:p>
            <w:pPr>
              <w:widowControl/>
              <w:adjustRightInd w:val="0"/>
              <w:snapToGrid w:val="0"/>
              <w:spacing w:line="300" w:lineRule="auto"/>
              <w:jc w:val="center"/>
              <w:rPr>
                <w:rFonts w:ascii="Times New Roman" w:hAnsi="Times New Roman"/>
                <w:kern w:val="0"/>
                <w:sz w:val="18"/>
                <w:szCs w:val="18"/>
              </w:rPr>
            </w:pPr>
            <w:r>
              <w:rPr>
                <w:rFonts w:ascii="Times New Roman" w:hAnsi="Times New Roman"/>
                <w:kern w:val="0"/>
                <w:sz w:val="18"/>
                <w:szCs w:val="18"/>
              </w:rPr>
              <w:t>13</w:t>
            </w:r>
          </w:p>
        </w:tc>
        <w:tc>
          <w:tcPr>
            <w:tcW w:w="3735"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13 量子物理基础</w:t>
            </w:r>
          </w:p>
          <w:p>
            <w:pPr>
              <w:adjustRightInd w:val="0"/>
              <w:snapToGrid w:val="0"/>
              <w:spacing w:line="300" w:lineRule="auto"/>
              <w:rPr>
                <w:rFonts w:ascii="Times New Roman" w:hAnsi="Times New Roman"/>
                <w:sz w:val="18"/>
                <w:szCs w:val="18"/>
              </w:rPr>
            </w:pPr>
            <w:r>
              <w:rPr>
                <w:rFonts w:ascii="Times New Roman" w:hAnsi="Times New Roman"/>
                <w:sz w:val="18"/>
                <w:szCs w:val="18"/>
              </w:rPr>
              <w:t>13.1 黑体辐射 普朗克能量子假设</w:t>
            </w:r>
          </w:p>
          <w:p>
            <w:pPr>
              <w:adjustRightInd w:val="0"/>
              <w:snapToGrid w:val="0"/>
              <w:spacing w:line="300" w:lineRule="auto"/>
              <w:rPr>
                <w:rFonts w:ascii="Times New Roman" w:hAnsi="Times New Roman"/>
                <w:sz w:val="18"/>
                <w:szCs w:val="18"/>
              </w:rPr>
            </w:pPr>
            <w:r>
              <w:rPr>
                <w:rFonts w:ascii="Times New Roman" w:hAnsi="Times New Roman"/>
                <w:sz w:val="18"/>
                <w:szCs w:val="18"/>
              </w:rPr>
              <w:t>（1）热辐射 黑体辐射的基本规律</w:t>
            </w:r>
          </w:p>
          <w:p>
            <w:pPr>
              <w:adjustRightInd w:val="0"/>
              <w:snapToGrid w:val="0"/>
              <w:spacing w:line="300" w:lineRule="auto"/>
              <w:rPr>
                <w:rFonts w:ascii="Times New Roman" w:hAnsi="Times New Roman"/>
                <w:sz w:val="18"/>
                <w:szCs w:val="18"/>
              </w:rPr>
            </w:pPr>
            <w:r>
              <w:rPr>
                <w:rFonts w:ascii="Times New Roman" w:hAnsi="Times New Roman"/>
                <w:sz w:val="18"/>
                <w:szCs w:val="18"/>
              </w:rPr>
              <w:t>（2）普朗克量子假说</w:t>
            </w:r>
          </w:p>
          <w:p>
            <w:pPr>
              <w:adjustRightInd w:val="0"/>
              <w:snapToGrid w:val="0"/>
              <w:spacing w:line="300" w:lineRule="auto"/>
              <w:rPr>
                <w:rFonts w:ascii="Times New Roman" w:hAnsi="Times New Roman"/>
                <w:sz w:val="18"/>
                <w:szCs w:val="18"/>
              </w:rPr>
            </w:pPr>
            <w:r>
              <w:rPr>
                <w:rFonts w:ascii="Times New Roman" w:hAnsi="Times New Roman"/>
                <w:sz w:val="18"/>
                <w:szCs w:val="18"/>
              </w:rPr>
              <w:t>13.2 光的量子性</w:t>
            </w:r>
          </w:p>
          <w:p>
            <w:pPr>
              <w:adjustRightInd w:val="0"/>
              <w:snapToGrid w:val="0"/>
              <w:spacing w:line="300" w:lineRule="auto"/>
              <w:rPr>
                <w:rFonts w:ascii="Times New Roman" w:hAnsi="Times New Roman"/>
                <w:sz w:val="18"/>
                <w:szCs w:val="18"/>
              </w:rPr>
            </w:pPr>
            <w:r>
              <w:rPr>
                <w:rFonts w:ascii="Times New Roman" w:hAnsi="Times New Roman"/>
                <w:sz w:val="18"/>
                <w:szCs w:val="18"/>
              </w:rPr>
              <w:t>（1）光电效应</w:t>
            </w:r>
          </w:p>
          <w:p>
            <w:pPr>
              <w:adjustRightInd w:val="0"/>
              <w:snapToGrid w:val="0"/>
              <w:spacing w:line="300" w:lineRule="auto"/>
              <w:rPr>
                <w:rFonts w:ascii="Times New Roman" w:hAnsi="Times New Roman"/>
                <w:sz w:val="18"/>
                <w:szCs w:val="18"/>
              </w:rPr>
            </w:pPr>
            <w:r>
              <w:rPr>
                <w:rFonts w:ascii="Times New Roman" w:hAnsi="Times New Roman"/>
                <w:sz w:val="18"/>
                <w:szCs w:val="18"/>
              </w:rPr>
              <w:t>（2）爱因斯坦光子假说</w:t>
            </w:r>
          </w:p>
          <w:p>
            <w:pPr>
              <w:adjustRightInd w:val="0"/>
              <w:snapToGrid w:val="0"/>
              <w:spacing w:line="300" w:lineRule="auto"/>
              <w:rPr>
                <w:rFonts w:ascii="Times New Roman" w:hAnsi="Times New Roman"/>
                <w:sz w:val="18"/>
                <w:szCs w:val="18"/>
              </w:rPr>
            </w:pPr>
            <w:r>
              <w:rPr>
                <w:rFonts w:ascii="Times New Roman" w:hAnsi="Times New Roman"/>
                <w:sz w:val="18"/>
                <w:szCs w:val="18"/>
              </w:rPr>
              <w:t>（3）光的波粒二象性</w:t>
            </w:r>
          </w:p>
          <w:p>
            <w:pPr>
              <w:adjustRightInd w:val="0"/>
              <w:snapToGrid w:val="0"/>
              <w:spacing w:line="300" w:lineRule="auto"/>
              <w:rPr>
                <w:rFonts w:ascii="Times New Roman" w:hAnsi="Times New Roman"/>
                <w:sz w:val="18"/>
                <w:szCs w:val="18"/>
              </w:rPr>
            </w:pPr>
            <w:r>
              <w:rPr>
                <w:rFonts w:ascii="Times New Roman" w:hAnsi="Times New Roman"/>
                <w:sz w:val="18"/>
                <w:szCs w:val="18"/>
              </w:rPr>
              <w:t>13.3 康普顿散射</w:t>
            </w:r>
          </w:p>
          <w:p>
            <w:pPr>
              <w:adjustRightInd w:val="0"/>
              <w:snapToGrid w:val="0"/>
              <w:spacing w:line="300" w:lineRule="auto"/>
              <w:rPr>
                <w:rFonts w:ascii="Times New Roman" w:hAnsi="Times New Roman"/>
                <w:sz w:val="18"/>
                <w:szCs w:val="18"/>
              </w:rPr>
            </w:pPr>
            <w:r>
              <w:rPr>
                <w:rFonts w:ascii="Times New Roman" w:hAnsi="Times New Roman"/>
                <w:sz w:val="18"/>
                <w:szCs w:val="18"/>
              </w:rPr>
              <w:t>13.4 实物粒子的波动性</w:t>
            </w:r>
          </w:p>
          <w:p>
            <w:pPr>
              <w:adjustRightInd w:val="0"/>
              <w:snapToGrid w:val="0"/>
              <w:spacing w:line="300" w:lineRule="auto"/>
              <w:rPr>
                <w:rFonts w:ascii="Times New Roman" w:hAnsi="Times New Roman"/>
                <w:sz w:val="18"/>
                <w:szCs w:val="18"/>
              </w:rPr>
            </w:pPr>
            <w:r>
              <w:rPr>
                <w:rFonts w:ascii="Times New Roman" w:hAnsi="Times New Roman"/>
                <w:sz w:val="18"/>
                <w:szCs w:val="18"/>
              </w:rPr>
              <w:t>（1）德布罗意物质波</w:t>
            </w:r>
          </w:p>
          <w:p>
            <w:pPr>
              <w:adjustRightInd w:val="0"/>
              <w:snapToGrid w:val="0"/>
              <w:spacing w:line="300" w:lineRule="auto"/>
              <w:rPr>
                <w:rFonts w:ascii="Times New Roman" w:hAnsi="Times New Roman"/>
                <w:sz w:val="18"/>
                <w:szCs w:val="18"/>
              </w:rPr>
            </w:pPr>
            <w:r>
              <w:rPr>
                <w:rFonts w:ascii="Times New Roman" w:hAnsi="Times New Roman"/>
                <w:sz w:val="18"/>
                <w:szCs w:val="18"/>
              </w:rPr>
              <w:t>（2）德布罗意波的统计解释</w:t>
            </w:r>
          </w:p>
          <w:p>
            <w:pPr>
              <w:adjustRightInd w:val="0"/>
              <w:snapToGrid w:val="0"/>
              <w:spacing w:line="300" w:lineRule="auto"/>
              <w:rPr>
                <w:rFonts w:ascii="Times New Roman" w:hAnsi="Times New Roman"/>
                <w:sz w:val="18"/>
                <w:szCs w:val="18"/>
              </w:rPr>
            </w:pPr>
            <w:r>
              <w:rPr>
                <w:rFonts w:ascii="Times New Roman" w:hAnsi="Times New Roman"/>
                <w:sz w:val="18"/>
                <w:szCs w:val="18"/>
              </w:rPr>
              <w:t>13.5 薛定谔方程</w:t>
            </w:r>
          </w:p>
          <w:p>
            <w:pPr>
              <w:adjustRightInd w:val="0"/>
              <w:snapToGrid w:val="0"/>
              <w:spacing w:line="300" w:lineRule="auto"/>
              <w:rPr>
                <w:rFonts w:ascii="Times New Roman" w:hAnsi="Times New Roman"/>
                <w:sz w:val="18"/>
                <w:szCs w:val="18"/>
              </w:rPr>
            </w:pPr>
            <w:r>
              <w:rPr>
                <w:rFonts w:ascii="Times New Roman" w:hAnsi="Times New Roman"/>
                <w:sz w:val="18"/>
                <w:szCs w:val="18"/>
              </w:rPr>
              <w:t>（1）不确定关系</w:t>
            </w:r>
          </w:p>
          <w:p>
            <w:pPr>
              <w:adjustRightInd w:val="0"/>
              <w:snapToGrid w:val="0"/>
              <w:spacing w:line="300" w:lineRule="auto"/>
              <w:rPr>
                <w:rFonts w:ascii="Times New Roman" w:hAnsi="Times New Roman"/>
                <w:sz w:val="18"/>
                <w:szCs w:val="18"/>
              </w:rPr>
            </w:pPr>
            <w:r>
              <w:rPr>
                <w:rFonts w:ascii="Times New Roman" w:hAnsi="Times New Roman"/>
                <w:sz w:val="18"/>
                <w:szCs w:val="18"/>
              </w:rPr>
              <w:t>（2）波函数</w:t>
            </w:r>
          </w:p>
          <w:p>
            <w:pPr>
              <w:adjustRightInd w:val="0"/>
              <w:snapToGrid w:val="0"/>
              <w:spacing w:line="300" w:lineRule="auto"/>
              <w:rPr>
                <w:rFonts w:ascii="Times New Roman" w:hAnsi="Times New Roman"/>
                <w:sz w:val="18"/>
                <w:szCs w:val="18"/>
              </w:rPr>
            </w:pPr>
            <w:r>
              <w:rPr>
                <w:rFonts w:ascii="Times New Roman" w:hAnsi="Times New Roman"/>
                <w:sz w:val="18"/>
                <w:szCs w:val="18"/>
              </w:rPr>
              <w:t>（3）薛定谔方程</w:t>
            </w:r>
          </w:p>
          <w:p>
            <w:pPr>
              <w:adjustRightInd w:val="0"/>
              <w:snapToGrid w:val="0"/>
              <w:spacing w:line="300" w:lineRule="auto"/>
              <w:rPr>
                <w:rFonts w:ascii="Times New Roman" w:hAnsi="Times New Roman"/>
                <w:sz w:val="18"/>
                <w:szCs w:val="18"/>
              </w:rPr>
            </w:pPr>
            <w:r>
              <w:rPr>
                <w:rFonts w:ascii="Times New Roman" w:hAnsi="Times New Roman"/>
                <w:sz w:val="18"/>
                <w:szCs w:val="18"/>
              </w:rPr>
              <w:t>13.6 氢原子理论</w:t>
            </w:r>
          </w:p>
          <w:p>
            <w:pPr>
              <w:adjustRightInd w:val="0"/>
              <w:snapToGrid w:val="0"/>
              <w:spacing w:line="300" w:lineRule="auto"/>
              <w:rPr>
                <w:rFonts w:ascii="Times New Roman" w:hAnsi="Times New Roman"/>
                <w:sz w:val="18"/>
                <w:szCs w:val="18"/>
              </w:rPr>
            </w:pPr>
            <w:r>
              <w:rPr>
                <w:rFonts w:ascii="Times New Roman" w:hAnsi="Times New Roman"/>
                <w:sz w:val="18"/>
                <w:szCs w:val="18"/>
              </w:rPr>
              <w:t>（1）氢原子光谱的实验规律</w:t>
            </w:r>
          </w:p>
          <w:p>
            <w:pPr>
              <w:adjustRightInd w:val="0"/>
              <w:snapToGrid w:val="0"/>
              <w:spacing w:line="300" w:lineRule="auto"/>
              <w:rPr>
                <w:rFonts w:ascii="Times New Roman" w:hAnsi="Times New Roman"/>
                <w:sz w:val="18"/>
                <w:szCs w:val="18"/>
              </w:rPr>
            </w:pPr>
            <w:r>
              <w:rPr>
                <w:rFonts w:ascii="Times New Roman" w:hAnsi="Times New Roman"/>
                <w:sz w:val="18"/>
                <w:szCs w:val="18"/>
              </w:rPr>
              <w:t>（2）波尔的氢原子理论</w:t>
            </w:r>
          </w:p>
          <w:p>
            <w:pPr>
              <w:adjustRightInd w:val="0"/>
              <w:snapToGrid w:val="0"/>
              <w:spacing w:line="300" w:lineRule="auto"/>
              <w:rPr>
                <w:rFonts w:ascii="Times New Roman" w:hAnsi="Times New Roman"/>
                <w:sz w:val="18"/>
                <w:szCs w:val="18"/>
              </w:rPr>
            </w:pPr>
            <w:r>
              <w:rPr>
                <w:rFonts w:ascii="Times New Roman" w:hAnsi="Times New Roman"/>
                <w:sz w:val="18"/>
                <w:szCs w:val="18"/>
              </w:rPr>
              <w:t>（3）波尔理论的成功与局限性</w:t>
            </w:r>
          </w:p>
          <w:p>
            <w:pPr>
              <w:adjustRightInd w:val="0"/>
              <w:snapToGrid w:val="0"/>
              <w:spacing w:line="300" w:lineRule="auto"/>
              <w:rPr>
                <w:rFonts w:ascii="Times New Roman" w:hAnsi="Times New Roman"/>
                <w:sz w:val="18"/>
                <w:szCs w:val="18"/>
              </w:rPr>
            </w:pPr>
            <w:r>
              <w:rPr>
                <w:rFonts w:ascii="Times New Roman" w:hAnsi="Times New Roman"/>
                <w:sz w:val="18"/>
                <w:szCs w:val="18"/>
              </w:rPr>
              <w:t>（4）氢原子光谱规律量子力学解释</w:t>
            </w:r>
          </w:p>
          <w:p>
            <w:pPr>
              <w:adjustRightInd w:val="0"/>
              <w:snapToGrid w:val="0"/>
              <w:spacing w:line="300" w:lineRule="auto"/>
              <w:ind w:firstLine="180" w:firstLineChars="100"/>
              <w:rPr>
                <w:rFonts w:ascii="Times New Roman" w:hAnsi="Times New Roman"/>
                <w:sz w:val="18"/>
                <w:szCs w:val="18"/>
              </w:rPr>
            </w:pPr>
            <w:r>
              <w:rPr>
                <w:rFonts w:ascii="Times New Roman" w:hAnsi="Times New Roman"/>
                <w:sz w:val="18"/>
                <w:szCs w:val="18"/>
              </w:rPr>
              <w:t>13.7 原子的壳层结构</w:t>
            </w:r>
          </w:p>
        </w:tc>
        <w:tc>
          <w:tcPr>
            <w:tcW w:w="2689" w:type="dxa"/>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1.要求：</w:t>
            </w:r>
          </w:p>
          <w:p>
            <w:pPr>
              <w:adjustRightInd w:val="0"/>
              <w:snapToGrid w:val="0"/>
              <w:spacing w:line="300" w:lineRule="auto"/>
              <w:rPr>
                <w:rFonts w:ascii="Times New Roman" w:hAnsi="Times New Roman"/>
                <w:sz w:val="18"/>
                <w:szCs w:val="18"/>
              </w:rPr>
            </w:pPr>
            <w:r>
              <w:rPr>
                <w:rFonts w:ascii="Times New Roman" w:hAnsi="Times New Roman"/>
                <w:sz w:val="18"/>
                <w:szCs w:val="18"/>
              </w:rPr>
              <w:t>（1）了解：薛定谔方程。</w:t>
            </w:r>
          </w:p>
          <w:p>
            <w:pPr>
              <w:adjustRightInd w:val="0"/>
              <w:snapToGrid w:val="0"/>
              <w:spacing w:line="300" w:lineRule="auto"/>
              <w:rPr>
                <w:rFonts w:ascii="Times New Roman" w:hAnsi="Times New Roman"/>
                <w:sz w:val="18"/>
                <w:szCs w:val="18"/>
              </w:rPr>
            </w:pPr>
            <w:r>
              <w:rPr>
                <w:rFonts w:ascii="Times New Roman" w:hAnsi="Times New Roman"/>
                <w:sz w:val="18"/>
                <w:szCs w:val="18"/>
              </w:rPr>
              <w:t>（2）理解：康普顿散射，黑体辐射、普朗克能量子假设。</w:t>
            </w:r>
          </w:p>
          <w:p>
            <w:pPr>
              <w:adjustRightInd w:val="0"/>
              <w:snapToGrid w:val="0"/>
              <w:spacing w:line="300" w:lineRule="auto"/>
              <w:rPr>
                <w:rFonts w:ascii="Times New Roman" w:hAnsi="Times New Roman"/>
                <w:sz w:val="18"/>
                <w:szCs w:val="18"/>
              </w:rPr>
            </w:pPr>
            <w:r>
              <w:rPr>
                <w:rFonts w:ascii="Times New Roman" w:hAnsi="Times New Roman"/>
                <w:sz w:val="18"/>
                <w:szCs w:val="18"/>
              </w:rPr>
              <w:t>（3）掌握：光的量子性。</w:t>
            </w:r>
          </w:p>
          <w:p>
            <w:pPr>
              <w:adjustRightInd w:val="0"/>
              <w:snapToGrid w:val="0"/>
              <w:spacing w:line="300" w:lineRule="auto"/>
              <w:rPr>
                <w:rFonts w:ascii="Times New Roman" w:hAnsi="Times New Roman"/>
                <w:sz w:val="18"/>
                <w:szCs w:val="18"/>
              </w:rPr>
            </w:pPr>
            <w:r>
              <w:rPr>
                <w:rFonts w:ascii="Times New Roman" w:hAnsi="Times New Roman"/>
                <w:sz w:val="18"/>
                <w:szCs w:val="18"/>
              </w:rPr>
              <w:t>2.作业内容：每章一次书面作业（要求独立完成、鼓励相互讨论），统一讲解问题集中的题目。</w:t>
            </w:r>
          </w:p>
          <w:p>
            <w:pPr>
              <w:adjustRightInd w:val="0"/>
              <w:snapToGrid w:val="0"/>
              <w:spacing w:line="300" w:lineRule="auto"/>
              <w:ind w:right="-31" w:rightChars="-15"/>
              <w:rPr>
                <w:rFonts w:ascii="Times New Roman" w:hAnsi="Times New Roman"/>
                <w:sz w:val="18"/>
                <w:szCs w:val="18"/>
              </w:rPr>
            </w:pPr>
            <w:r>
              <w:rPr>
                <w:rFonts w:ascii="Times New Roman" w:hAnsi="Times New Roman"/>
                <w:sz w:val="18"/>
                <w:szCs w:val="18"/>
              </w:rPr>
              <w:t>3.教学方法：讲授法、演示法、讨论法。</w:t>
            </w:r>
          </w:p>
        </w:tc>
        <w:tc>
          <w:tcPr>
            <w:tcW w:w="700" w:type="dxa"/>
            <w:vAlign w:val="center"/>
          </w:tcPr>
          <w:p>
            <w:pPr>
              <w:widowControl/>
              <w:adjustRightInd w:val="0"/>
              <w:snapToGrid w:val="0"/>
              <w:spacing w:line="300" w:lineRule="auto"/>
              <w:jc w:val="center"/>
              <w:rPr>
                <w:rFonts w:ascii="Times New Roman" w:hAnsi="Times New Roman"/>
                <w:sz w:val="18"/>
                <w:szCs w:val="18"/>
              </w:rPr>
            </w:pPr>
            <w:r>
              <w:rPr>
                <w:rFonts w:ascii="Times New Roman" w:hAnsi="Times New Roman"/>
                <w:sz w:val="18"/>
                <w:szCs w:val="18"/>
              </w:rPr>
              <w:t>8</w:t>
            </w:r>
          </w:p>
        </w:tc>
        <w:tc>
          <w:tcPr>
            <w:tcW w:w="995" w:type="dxa"/>
            <w:vAlign w:val="center"/>
          </w:tcPr>
          <w:p>
            <w:pPr>
              <w:widowControl/>
              <w:adjustRightInd w:val="0"/>
              <w:snapToGrid w:val="0"/>
              <w:spacing w:line="300" w:lineRule="auto"/>
              <w:rPr>
                <w:rFonts w:ascii="Times New Roman" w:hAnsi="Times New Roman"/>
                <w:kern w:val="0"/>
                <w:sz w:val="18"/>
                <w:szCs w:val="18"/>
              </w:rPr>
            </w:pPr>
            <w:r>
              <w:rPr>
                <w:rFonts w:ascii="Times New Roman" w:hAnsi="Times New Roman"/>
                <w:kern w:val="0"/>
                <w:sz w:val="18"/>
                <w:szCs w:val="18"/>
              </w:rPr>
              <w:t>1，2，3，4</w:t>
            </w: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五、课程考核及成绩评定</w:t>
      </w:r>
    </w:p>
    <w:p>
      <w:pPr>
        <w:adjustRightInd w:val="0"/>
        <w:snapToGrid w:val="0"/>
        <w:spacing w:line="300" w:lineRule="auto"/>
        <w:ind w:firstLine="420" w:firstLineChars="200"/>
        <w:rPr>
          <w:rFonts w:ascii="Times New Roman" w:hAnsi="Times New Roman"/>
          <w:szCs w:val="21"/>
        </w:rPr>
      </w:pPr>
      <w:r>
        <w:rPr>
          <w:rFonts w:ascii="Times New Roman" w:hAnsi="Times New Roman"/>
          <w:bCs/>
          <w:szCs w:val="21"/>
        </w:rPr>
        <w:t>1.考核方式：课堂表现</w:t>
      </w:r>
      <w:r>
        <w:rPr>
          <w:rFonts w:ascii="Times New Roman" w:hAnsi="Times New Roman"/>
          <w:szCs w:val="21"/>
        </w:rPr>
        <w:t>（提问、讨论、出勤考核）、实验环节（实验表现、知识掌握、报告撰写）、平时测验、习题作业（计算题、综合应用题）、大作业（3人一组，提交论文、PPT汇报答辩）、期末考试（闭卷）。</w:t>
      </w:r>
    </w:p>
    <w:p>
      <w:pPr>
        <w:adjustRightInd w:val="0"/>
        <w:snapToGrid w:val="0"/>
        <w:spacing w:line="300" w:lineRule="auto"/>
        <w:ind w:firstLine="420" w:firstLineChars="200"/>
        <w:rPr>
          <w:rFonts w:ascii="Times New Roman" w:hAnsi="Times New Roman"/>
        </w:rPr>
      </w:pPr>
      <w:r>
        <w:rPr>
          <w:rFonts w:ascii="Times New Roman" w:hAnsi="Times New Roman"/>
          <w:bCs/>
          <w:szCs w:val="21"/>
        </w:rPr>
        <w:t>2.成绩构成：</w:t>
      </w:r>
      <w:r>
        <w:rPr>
          <w:rFonts w:ascii="Times New Roman" w:hAnsi="Times New Roman"/>
        </w:rPr>
        <w:t>期末成绩60%+平时成绩40%（课堂表现、实验环节、平时测验、习题作业、大作业）。</w:t>
      </w:r>
    </w:p>
    <w:p>
      <w:pPr>
        <w:adjustRightInd w:val="0"/>
        <w:snapToGrid w:val="0"/>
        <w:spacing w:line="300" w:lineRule="auto"/>
        <w:ind w:firstLine="420" w:firstLineChars="200"/>
        <w:rPr>
          <w:rFonts w:ascii="Times New Roman" w:hAnsi="Times New Roman"/>
          <w:bCs/>
          <w:szCs w:val="21"/>
        </w:rPr>
      </w:pPr>
      <w:r>
        <w:rPr>
          <w:rFonts w:ascii="Times New Roman" w:hAnsi="Times New Roman"/>
          <w:bCs/>
          <w:szCs w:val="21"/>
        </w:rPr>
        <w:t>3.考核评价标准见表4所示。</w:t>
      </w:r>
    </w:p>
    <w:p>
      <w:pPr>
        <w:adjustRightInd w:val="0"/>
        <w:snapToGrid w:val="0"/>
        <w:spacing w:before="159" w:beforeLines="50" w:line="300" w:lineRule="auto"/>
        <w:ind w:firstLine="3072" w:firstLineChars="1700"/>
        <w:rPr>
          <w:rFonts w:ascii="Times New Roman" w:hAnsi="Times New Roman"/>
          <w:b/>
          <w:bCs/>
          <w:sz w:val="18"/>
          <w:szCs w:val="20"/>
        </w:rPr>
      </w:pPr>
      <w:r>
        <w:rPr>
          <w:rFonts w:ascii="Times New Roman" w:hAnsi="Times New Roman"/>
          <w:b/>
          <w:bCs/>
          <w:sz w:val="18"/>
          <w:szCs w:val="20"/>
        </w:rPr>
        <w:t>表4 课程考核与课程目标的关系</w:t>
      </w:r>
    </w:p>
    <w:tbl>
      <w:tblPr>
        <w:tblStyle w:val="2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15"/>
        <w:gridCol w:w="644"/>
        <w:gridCol w:w="628"/>
        <w:gridCol w:w="602"/>
        <w:gridCol w:w="3284"/>
        <w:gridCol w:w="973"/>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800"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成绩</w:t>
            </w:r>
          </w:p>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类型</w:t>
            </w:r>
          </w:p>
        </w:tc>
        <w:tc>
          <w:tcPr>
            <w:tcW w:w="615"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分值</w:t>
            </w:r>
          </w:p>
        </w:tc>
        <w:tc>
          <w:tcPr>
            <w:tcW w:w="644"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权重</w:t>
            </w:r>
          </w:p>
        </w:tc>
        <w:tc>
          <w:tcPr>
            <w:tcW w:w="628"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类别</w:t>
            </w:r>
          </w:p>
        </w:tc>
        <w:tc>
          <w:tcPr>
            <w:tcW w:w="602"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权重</w:t>
            </w:r>
          </w:p>
        </w:tc>
        <w:tc>
          <w:tcPr>
            <w:tcW w:w="3284"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考核/评价细则</w:t>
            </w:r>
          </w:p>
        </w:tc>
        <w:tc>
          <w:tcPr>
            <w:tcW w:w="973"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课程目标</w:t>
            </w:r>
          </w:p>
        </w:tc>
        <w:tc>
          <w:tcPr>
            <w:tcW w:w="973" w:type="dxa"/>
            <w:vAlign w:val="center"/>
          </w:tcPr>
          <w:p>
            <w:pPr>
              <w:adjustRightInd w:val="0"/>
              <w:snapToGrid w:val="0"/>
              <w:spacing w:line="300" w:lineRule="auto"/>
              <w:jc w:val="center"/>
              <w:rPr>
                <w:rFonts w:ascii="Times New Roman" w:hAnsi="Times New Roman"/>
                <w:b/>
                <w:bCs/>
                <w:sz w:val="18"/>
                <w:szCs w:val="18"/>
              </w:rPr>
            </w:pPr>
            <w:r>
              <w:rPr>
                <w:rFonts w:ascii="Times New Roman" w:hAnsi="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Merge w:val="restart"/>
            <w:vAlign w:val="center"/>
          </w:tcPr>
          <w:p>
            <w:pPr>
              <w:adjustRightInd w:val="0"/>
              <w:snapToGrid w:val="0"/>
              <w:spacing w:line="300" w:lineRule="auto"/>
              <w:jc w:val="center"/>
              <w:rPr>
                <w:rFonts w:ascii="Times New Roman" w:hAnsi="Times New Roman"/>
                <w:sz w:val="18"/>
                <w:szCs w:val="18"/>
              </w:rPr>
            </w:pPr>
          </w:p>
          <w:p>
            <w:pPr>
              <w:adjustRightInd w:val="0"/>
              <w:snapToGrid w:val="0"/>
              <w:spacing w:line="300" w:lineRule="auto"/>
              <w:jc w:val="center"/>
              <w:rPr>
                <w:rFonts w:ascii="Times New Roman" w:hAnsi="Times New Roman"/>
                <w:sz w:val="18"/>
                <w:szCs w:val="18"/>
              </w:rPr>
            </w:pPr>
            <w:r>
              <w:rPr>
                <w:rFonts w:ascii="Times New Roman" w:hAnsi="Times New Roman"/>
                <w:sz w:val="18"/>
                <w:szCs w:val="18"/>
              </w:rPr>
              <w:t>平时</w:t>
            </w:r>
          </w:p>
          <w:p>
            <w:pPr>
              <w:adjustRightInd w:val="0"/>
              <w:snapToGrid w:val="0"/>
              <w:spacing w:line="300" w:lineRule="auto"/>
              <w:jc w:val="center"/>
              <w:rPr>
                <w:rFonts w:ascii="Times New Roman" w:hAnsi="Times New Roman"/>
                <w:sz w:val="18"/>
                <w:szCs w:val="18"/>
              </w:rPr>
            </w:pPr>
            <w:r>
              <w:rPr>
                <w:rFonts w:ascii="Times New Roman" w:hAnsi="Times New Roman"/>
                <w:sz w:val="18"/>
                <w:szCs w:val="18"/>
              </w:rPr>
              <w:t>成绩</w:t>
            </w:r>
          </w:p>
        </w:tc>
        <w:tc>
          <w:tcPr>
            <w:tcW w:w="615" w:type="dxa"/>
            <w:vMerge w:val="restart"/>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100</w:t>
            </w:r>
          </w:p>
        </w:tc>
        <w:tc>
          <w:tcPr>
            <w:tcW w:w="644" w:type="dxa"/>
            <w:vMerge w:val="restart"/>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0.4</w:t>
            </w:r>
          </w:p>
        </w:tc>
        <w:tc>
          <w:tcPr>
            <w:tcW w:w="628"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课堂表现</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0.1</w:t>
            </w:r>
          </w:p>
        </w:tc>
        <w:tc>
          <w:tcPr>
            <w:tcW w:w="3284" w:type="dxa"/>
            <w:vAlign w:val="center"/>
          </w:tcPr>
          <w:p>
            <w:pPr>
              <w:widowControl/>
              <w:adjustRightInd w:val="0"/>
              <w:snapToGrid w:val="0"/>
              <w:spacing w:line="300" w:lineRule="auto"/>
              <w:rPr>
                <w:rFonts w:ascii="Times New Roman" w:hAnsi="Times New Roman"/>
                <w:sz w:val="18"/>
                <w:szCs w:val="18"/>
              </w:rPr>
            </w:pPr>
            <w:r>
              <w:rPr>
                <w:rFonts w:ascii="Times New Roman" w:hAnsi="Times New Roman"/>
                <w:sz w:val="18"/>
                <w:szCs w:val="18"/>
              </w:rPr>
              <w:t>能否足量查阅资料;能否熟练运用知识;能否积极参加讨论;能否阐明自己的观点;团队合作程度;出勤率。</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1，2，4</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00" w:type="dxa"/>
            <w:vMerge w:val="continue"/>
            <w:vAlign w:val="center"/>
          </w:tcPr>
          <w:p>
            <w:pPr>
              <w:adjustRightInd w:val="0"/>
              <w:snapToGrid w:val="0"/>
              <w:spacing w:line="300" w:lineRule="auto"/>
              <w:jc w:val="center"/>
              <w:rPr>
                <w:rFonts w:ascii="Times New Roman" w:hAnsi="Times New Roman"/>
                <w:sz w:val="18"/>
                <w:szCs w:val="18"/>
              </w:rPr>
            </w:pPr>
          </w:p>
        </w:tc>
        <w:tc>
          <w:tcPr>
            <w:tcW w:w="615" w:type="dxa"/>
            <w:vMerge w:val="continue"/>
            <w:vAlign w:val="center"/>
          </w:tcPr>
          <w:p>
            <w:pPr>
              <w:adjustRightInd w:val="0"/>
              <w:snapToGrid w:val="0"/>
              <w:spacing w:line="300" w:lineRule="auto"/>
              <w:jc w:val="center"/>
              <w:rPr>
                <w:rFonts w:ascii="Times New Roman" w:hAnsi="Times New Roman"/>
                <w:sz w:val="18"/>
                <w:szCs w:val="18"/>
              </w:rPr>
            </w:pPr>
          </w:p>
        </w:tc>
        <w:tc>
          <w:tcPr>
            <w:tcW w:w="644" w:type="dxa"/>
            <w:vMerge w:val="continue"/>
            <w:vAlign w:val="center"/>
          </w:tcPr>
          <w:p>
            <w:pPr>
              <w:adjustRightInd w:val="0"/>
              <w:snapToGrid w:val="0"/>
              <w:spacing w:line="300" w:lineRule="auto"/>
              <w:jc w:val="center"/>
              <w:rPr>
                <w:rFonts w:ascii="Times New Roman" w:hAnsi="Times New Roman"/>
                <w:sz w:val="18"/>
                <w:szCs w:val="18"/>
              </w:rPr>
            </w:pPr>
          </w:p>
        </w:tc>
        <w:tc>
          <w:tcPr>
            <w:tcW w:w="628"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实验环节</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3284" w:type="dxa"/>
            <w:vAlign w:val="center"/>
          </w:tcPr>
          <w:p>
            <w:pPr>
              <w:widowControl/>
              <w:adjustRightInd w:val="0"/>
              <w:snapToGrid w:val="0"/>
              <w:spacing w:line="300" w:lineRule="auto"/>
              <w:rPr>
                <w:rFonts w:ascii="Times New Roman" w:hAnsi="Times New Roman"/>
                <w:sz w:val="18"/>
                <w:szCs w:val="18"/>
              </w:rPr>
            </w:pPr>
            <w:r>
              <w:rPr>
                <w:rFonts w:ascii="Times New Roman" w:hAnsi="Times New Roman"/>
                <w:sz w:val="18"/>
                <w:szCs w:val="18"/>
              </w:rPr>
              <w:t>实验报告能否完整、规范;实验过程能否协作、合规;实验结果能否准确、清晰。</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00" w:type="dxa"/>
            <w:vMerge w:val="continue"/>
            <w:vAlign w:val="center"/>
          </w:tcPr>
          <w:p>
            <w:pPr>
              <w:adjustRightInd w:val="0"/>
              <w:snapToGrid w:val="0"/>
              <w:spacing w:line="300" w:lineRule="auto"/>
              <w:jc w:val="center"/>
              <w:rPr>
                <w:rFonts w:ascii="Times New Roman" w:hAnsi="Times New Roman"/>
                <w:sz w:val="18"/>
                <w:szCs w:val="18"/>
              </w:rPr>
            </w:pPr>
          </w:p>
        </w:tc>
        <w:tc>
          <w:tcPr>
            <w:tcW w:w="615" w:type="dxa"/>
            <w:vMerge w:val="continue"/>
            <w:vAlign w:val="center"/>
          </w:tcPr>
          <w:p>
            <w:pPr>
              <w:adjustRightInd w:val="0"/>
              <w:snapToGrid w:val="0"/>
              <w:spacing w:line="300" w:lineRule="auto"/>
              <w:jc w:val="center"/>
              <w:rPr>
                <w:rFonts w:ascii="Times New Roman" w:hAnsi="Times New Roman"/>
                <w:sz w:val="18"/>
                <w:szCs w:val="18"/>
              </w:rPr>
            </w:pPr>
          </w:p>
        </w:tc>
        <w:tc>
          <w:tcPr>
            <w:tcW w:w="644" w:type="dxa"/>
            <w:vMerge w:val="continue"/>
            <w:vAlign w:val="center"/>
          </w:tcPr>
          <w:p>
            <w:pPr>
              <w:adjustRightInd w:val="0"/>
              <w:snapToGrid w:val="0"/>
              <w:spacing w:line="300" w:lineRule="auto"/>
              <w:jc w:val="center"/>
              <w:rPr>
                <w:rFonts w:ascii="Times New Roman" w:hAnsi="Times New Roman"/>
                <w:sz w:val="18"/>
                <w:szCs w:val="18"/>
              </w:rPr>
            </w:pPr>
          </w:p>
        </w:tc>
        <w:tc>
          <w:tcPr>
            <w:tcW w:w="628"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平时测验</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284"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做两三次平时测验，每次满分100分。</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0" w:type="dxa"/>
            <w:vMerge w:val="continue"/>
            <w:vAlign w:val="center"/>
          </w:tcPr>
          <w:p>
            <w:pPr>
              <w:adjustRightInd w:val="0"/>
              <w:snapToGrid w:val="0"/>
              <w:spacing w:line="300" w:lineRule="auto"/>
              <w:jc w:val="center"/>
              <w:rPr>
                <w:rFonts w:ascii="Times New Roman" w:hAnsi="Times New Roman"/>
                <w:sz w:val="18"/>
                <w:szCs w:val="18"/>
              </w:rPr>
            </w:pPr>
          </w:p>
        </w:tc>
        <w:tc>
          <w:tcPr>
            <w:tcW w:w="615" w:type="dxa"/>
            <w:vMerge w:val="continue"/>
            <w:vAlign w:val="center"/>
          </w:tcPr>
          <w:p>
            <w:pPr>
              <w:adjustRightInd w:val="0"/>
              <w:snapToGrid w:val="0"/>
              <w:spacing w:line="300" w:lineRule="auto"/>
              <w:jc w:val="center"/>
              <w:rPr>
                <w:rFonts w:ascii="Times New Roman" w:hAnsi="Times New Roman"/>
                <w:sz w:val="18"/>
                <w:szCs w:val="18"/>
              </w:rPr>
            </w:pPr>
          </w:p>
        </w:tc>
        <w:tc>
          <w:tcPr>
            <w:tcW w:w="644" w:type="dxa"/>
            <w:vMerge w:val="continue"/>
            <w:vAlign w:val="center"/>
          </w:tcPr>
          <w:p>
            <w:pPr>
              <w:adjustRightInd w:val="0"/>
              <w:snapToGrid w:val="0"/>
              <w:spacing w:line="300" w:lineRule="auto"/>
              <w:jc w:val="center"/>
              <w:rPr>
                <w:rFonts w:ascii="Times New Roman" w:hAnsi="Times New Roman"/>
                <w:sz w:val="18"/>
                <w:szCs w:val="18"/>
              </w:rPr>
            </w:pPr>
          </w:p>
        </w:tc>
        <w:tc>
          <w:tcPr>
            <w:tcW w:w="628"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习题作业</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284"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能否按要求及时完成;能否清晰掌握基本概念;能否正确运用基本知识。每次作业按10分制单独评分，取各次成绩的平均值作为习题作业成绩。</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00" w:type="dxa"/>
            <w:vMerge w:val="continue"/>
            <w:vAlign w:val="center"/>
          </w:tcPr>
          <w:p>
            <w:pPr>
              <w:adjustRightInd w:val="0"/>
              <w:snapToGrid w:val="0"/>
              <w:spacing w:line="300" w:lineRule="auto"/>
              <w:jc w:val="center"/>
              <w:rPr>
                <w:rFonts w:ascii="Times New Roman" w:hAnsi="Times New Roman"/>
                <w:sz w:val="18"/>
                <w:szCs w:val="18"/>
              </w:rPr>
            </w:pPr>
          </w:p>
        </w:tc>
        <w:tc>
          <w:tcPr>
            <w:tcW w:w="615" w:type="dxa"/>
            <w:vMerge w:val="continue"/>
            <w:vAlign w:val="center"/>
          </w:tcPr>
          <w:p>
            <w:pPr>
              <w:adjustRightInd w:val="0"/>
              <w:snapToGrid w:val="0"/>
              <w:spacing w:line="300" w:lineRule="auto"/>
              <w:jc w:val="center"/>
              <w:rPr>
                <w:rFonts w:ascii="Times New Roman" w:hAnsi="Times New Roman"/>
                <w:sz w:val="18"/>
                <w:szCs w:val="18"/>
              </w:rPr>
            </w:pPr>
          </w:p>
        </w:tc>
        <w:tc>
          <w:tcPr>
            <w:tcW w:w="644" w:type="dxa"/>
            <w:vMerge w:val="continue"/>
            <w:vAlign w:val="center"/>
          </w:tcPr>
          <w:p>
            <w:pPr>
              <w:adjustRightInd w:val="0"/>
              <w:snapToGrid w:val="0"/>
              <w:spacing w:line="300" w:lineRule="auto"/>
              <w:jc w:val="center"/>
              <w:rPr>
                <w:rFonts w:ascii="Times New Roman" w:hAnsi="Times New Roman"/>
                <w:sz w:val="18"/>
                <w:szCs w:val="18"/>
              </w:rPr>
            </w:pPr>
          </w:p>
        </w:tc>
        <w:tc>
          <w:tcPr>
            <w:tcW w:w="628"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大作业</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284"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能否合理提出解决问题方案;能否规范撰写科技论文;能否高质量制作PPT;能否顺利进行汇报答辩。</w:t>
            </w:r>
          </w:p>
        </w:tc>
        <w:tc>
          <w:tcPr>
            <w:tcW w:w="973" w:type="dxa"/>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3，4</w:t>
            </w:r>
          </w:p>
        </w:tc>
        <w:tc>
          <w:tcPr>
            <w:tcW w:w="973" w:type="dxa"/>
            <w:vAlign w:val="center"/>
          </w:tcPr>
          <w:p>
            <w:pPr>
              <w:adjustRightInd w:val="0"/>
              <w:snapToGrid w:val="0"/>
              <w:spacing w:line="300" w:lineRule="auto"/>
              <w:ind w:firstLine="180" w:firstLineChars="100"/>
              <w:jc w:val="left"/>
              <w:rPr>
                <w:rFonts w:ascii="Times New Roman" w:hAnsi="Times New Roman"/>
                <w:sz w:val="18"/>
                <w:szCs w:val="18"/>
              </w:rPr>
            </w:pPr>
            <w:r>
              <w:rPr>
                <w:rFonts w:ascii="Times New Roman" w:hAnsi="Times New Roman"/>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00" w:type="dxa"/>
            <w:vMerge w:val="restart"/>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期末</w:t>
            </w:r>
          </w:p>
          <w:p>
            <w:pPr>
              <w:adjustRightInd w:val="0"/>
              <w:snapToGrid w:val="0"/>
              <w:spacing w:line="300" w:lineRule="auto"/>
              <w:jc w:val="center"/>
              <w:rPr>
                <w:rFonts w:ascii="Times New Roman" w:hAnsi="Times New Roman"/>
                <w:sz w:val="18"/>
                <w:szCs w:val="18"/>
              </w:rPr>
            </w:pPr>
            <w:r>
              <w:rPr>
                <w:rFonts w:ascii="Times New Roman" w:hAnsi="Times New Roman"/>
                <w:sz w:val="18"/>
                <w:szCs w:val="18"/>
              </w:rPr>
              <w:t>成绩</w:t>
            </w:r>
          </w:p>
        </w:tc>
        <w:tc>
          <w:tcPr>
            <w:tcW w:w="615" w:type="dxa"/>
            <w:vMerge w:val="restart"/>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100</w:t>
            </w:r>
          </w:p>
        </w:tc>
        <w:tc>
          <w:tcPr>
            <w:tcW w:w="644" w:type="dxa"/>
            <w:vMerge w:val="restart"/>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0.6</w:t>
            </w:r>
          </w:p>
        </w:tc>
        <w:tc>
          <w:tcPr>
            <w:tcW w:w="628"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填空选择</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3284" w:type="dxa"/>
            <w:vMerge w:val="restart"/>
            <w:vAlign w:val="center"/>
          </w:tcPr>
          <w:p>
            <w:pPr>
              <w:adjustRightInd w:val="0"/>
              <w:snapToGrid w:val="0"/>
              <w:spacing w:line="300" w:lineRule="auto"/>
              <w:rPr>
                <w:rFonts w:ascii="Times New Roman" w:hAnsi="Times New Roman"/>
                <w:sz w:val="18"/>
                <w:szCs w:val="18"/>
              </w:rPr>
            </w:pPr>
            <w:r>
              <w:rPr>
                <w:rFonts w:ascii="Times New Roman" w:hAnsi="Times New Roman"/>
                <w:sz w:val="18"/>
                <w:szCs w:val="18"/>
              </w:rPr>
              <w:t>(1)卷面成绩100分。卷面成绩按比例计入课程总评成绩。</w:t>
            </w:r>
          </w:p>
          <w:p>
            <w:pPr>
              <w:adjustRightInd w:val="0"/>
              <w:snapToGrid w:val="0"/>
              <w:spacing w:line="300" w:lineRule="auto"/>
              <w:rPr>
                <w:rFonts w:ascii="Times New Roman" w:hAnsi="Times New Roman"/>
                <w:sz w:val="18"/>
                <w:szCs w:val="18"/>
              </w:rPr>
            </w:pPr>
            <w:r>
              <w:rPr>
                <w:rFonts w:ascii="Times New Roman" w:hAnsi="Times New Roman"/>
                <w:sz w:val="18"/>
                <w:szCs w:val="18"/>
              </w:rPr>
              <w:t>(2)考核内容分布：除考察基本知识外，应考察</w:t>
            </w:r>
            <w:r>
              <w:rPr>
                <w:rFonts w:ascii="Times New Roman" w:hAnsi="Times New Roman"/>
                <w:kern w:val="0"/>
                <w:sz w:val="18"/>
                <w:szCs w:val="18"/>
              </w:rPr>
              <w:t>学生</w:t>
            </w:r>
            <w:r>
              <w:rPr>
                <w:rFonts w:ascii="Times New Roman" w:hAnsi="Times New Roman"/>
                <w:sz w:val="18"/>
                <w:szCs w:val="18"/>
              </w:rPr>
              <w:t>综合应用能力和逻辑分析能力。建议基础题占45%、综合题30%、较难题10%、开放性题占15%。</w:t>
            </w:r>
          </w:p>
          <w:p>
            <w:pPr>
              <w:adjustRightInd w:val="0"/>
              <w:snapToGrid w:val="0"/>
              <w:spacing w:line="300" w:lineRule="auto"/>
              <w:rPr>
                <w:rFonts w:ascii="Times New Roman" w:hAnsi="Times New Roman"/>
                <w:sz w:val="18"/>
                <w:szCs w:val="18"/>
              </w:rPr>
            </w:pPr>
          </w:p>
        </w:tc>
        <w:tc>
          <w:tcPr>
            <w:tcW w:w="973" w:type="dxa"/>
            <w:vMerge w:val="restart"/>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1，2，3，4</w:t>
            </w:r>
          </w:p>
        </w:tc>
        <w:tc>
          <w:tcPr>
            <w:tcW w:w="973" w:type="dxa"/>
            <w:vMerge w:val="restart"/>
            <w:vAlign w:val="center"/>
          </w:tcPr>
          <w:p>
            <w:pPr>
              <w:adjustRightInd w:val="0"/>
              <w:snapToGrid w:val="0"/>
              <w:spacing w:line="300" w:lineRule="auto"/>
              <w:jc w:val="left"/>
              <w:rPr>
                <w:rFonts w:ascii="Times New Roman" w:hAnsi="Times New Roman"/>
                <w:sz w:val="18"/>
                <w:szCs w:val="18"/>
              </w:rPr>
            </w:pPr>
            <w:r>
              <w:rPr>
                <w:rFonts w:ascii="Times New Roman" w:hAnsi="Times New Roman"/>
                <w:sz w:val="18"/>
                <w:szCs w:val="18"/>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0" w:type="dxa"/>
            <w:vMerge w:val="continue"/>
            <w:vAlign w:val="center"/>
          </w:tcPr>
          <w:p>
            <w:pPr>
              <w:adjustRightInd w:val="0"/>
              <w:snapToGrid w:val="0"/>
              <w:spacing w:line="300" w:lineRule="auto"/>
              <w:rPr>
                <w:rFonts w:ascii="Times New Roman" w:hAnsi="Times New Roman"/>
                <w:sz w:val="18"/>
                <w:szCs w:val="18"/>
              </w:rPr>
            </w:pPr>
          </w:p>
        </w:tc>
        <w:tc>
          <w:tcPr>
            <w:tcW w:w="615" w:type="dxa"/>
            <w:vMerge w:val="continue"/>
            <w:vAlign w:val="center"/>
          </w:tcPr>
          <w:p>
            <w:pPr>
              <w:adjustRightInd w:val="0"/>
              <w:snapToGrid w:val="0"/>
              <w:spacing w:line="300" w:lineRule="auto"/>
              <w:rPr>
                <w:rFonts w:ascii="Times New Roman" w:hAnsi="Times New Roman"/>
                <w:sz w:val="18"/>
                <w:szCs w:val="18"/>
              </w:rPr>
            </w:pPr>
          </w:p>
        </w:tc>
        <w:tc>
          <w:tcPr>
            <w:tcW w:w="644" w:type="dxa"/>
            <w:vMerge w:val="continue"/>
            <w:vAlign w:val="center"/>
          </w:tcPr>
          <w:p>
            <w:pPr>
              <w:adjustRightInd w:val="0"/>
              <w:snapToGrid w:val="0"/>
              <w:spacing w:line="300" w:lineRule="auto"/>
              <w:rPr>
                <w:rFonts w:ascii="Times New Roman" w:hAnsi="Times New Roman"/>
                <w:sz w:val="18"/>
                <w:szCs w:val="18"/>
              </w:rPr>
            </w:pPr>
          </w:p>
        </w:tc>
        <w:tc>
          <w:tcPr>
            <w:tcW w:w="628"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简答</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284" w:type="dxa"/>
            <w:vMerge w:val="continue"/>
            <w:vAlign w:val="center"/>
          </w:tcPr>
          <w:p>
            <w:pPr>
              <w:adjustRightInd w:val="0"/>
              <w:snapToGrid w:val="0"/>
              <w:spacing w:line="300" w:lineRule="auto"/>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00" w:type="dxa"/>
            <w:vMerge w:val="continue"/>
            <w:vAlign w:val="center"/>
          </w:tcPr>
          <w:p>
            <w:pPr>
              <w:adjustRightInd w:val="0"/>
              <w:snapToGrid w:val="0"/>
              <w:spacing w:line="300" w:lineRule="auto"/>
              <w:rPr>
                <w:rFonts w:ascii="Times New Roman" w:hAnsi="Times New Roman"/>
                <w:sz w:val="18"/>
                <w:szCs w:val="18"/>
              </w:rPr>
            </w:pPr>
          </w:p>
        </w:tc>
        <w:tc>
          <w:tcPr>
            <w:tcW w:w="615" w:type="dxa"/>
            <w:vMerge w:val="continue"/>
            <w:vAlign w:val="center"/>
          </w:tcPr>
          <w:p>
            <w:pPr>
              <w:adjustRightInd w:val="0"/>
              <w:snapToGrid w:val="0"/>
              <w:spacing w:line="300" w:lineRule="auto"/>
              <w:rPr>
                <w:rFonts w:ascii="Times New Roman" w:hAnsi="Times New Roman"/>
                <w:sz w:val="18"/>
                <w:szCs w:val="18"/>
              </w:rPr>
            </w:pPr>
          </w:p>
        </w:tc>
        <w:tc>
          <w:tcPr>
            <w:tcW w:w="644" w:type="dxa"/>
            <w:vMerge w:val="continue"/>
            <w:vAlign w:val="center"/>
          </w:tcPr>
          <w:p>
            <w:pPr>
              <w:adjustRightInd w:val="0"/>
              <w:snapToGrid w:val="0"/>
              <w:spacing w:line="300" w:lineRule="auto"/>
              <w:rPr>
                <w:rFonts w:ascii="Times New Roman" w:hAnsi="Times New Roman"/>
                <w:sz w:val="18"/>
                <w:szCs w:val="18"/>
              </w:rPr>
            </w:pPr>
          </w:p>
        </w:tc>
        <w:tc>
          <w:tcPr>
            <w:tcW w:w="628"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计算</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0.3</w:t>
            </w:r>
          </w:p>
        </w:tc>
        <w:tc>
          <w:tcPr>
            <w:tcW w:w="3284" w:type="dxa"/>
            <w:vMerge w:val="continue"/>
            <w:vAlign w:val="center"/>
          </w:tcPr>
          <w:p>
            <w:pPr>
              <w:adjustRightInd w:val="0"/>
              <w:snapToGrid w:val="0"/>
              <w:spacing w:line="300" w:lineRule="auto"/>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0" w:type="dxa"/>
            <w:vMerge w:val="continue"/>
            <w:vAlign w:val="center"/>
          </w:tcPr>
          <w:p>
            <w:pPr>
              <w:adjustRightInd w:val="0"/>
              <w:snapToGrid w:val="0"/>
              <w:spacing w:line="300" w:lineRule="auto"/>
              <w:rPr>
                <w:rFonts w:ascii="Times New Roman" w:hAnsi="Times New Roman"/>
                <w:sz w:val="18"/>
                <w:szCs w:val="18"/>
              </w:rPr>
            </w:pPr>
          </w:p>
        </w:tc>
        <w:tc>
          <w:tcPr>
            <w:tcW w:w="615" w:type="dxa"/>
            <w:vMerge w:val="continue"/>
            <w:vAlign w:val="center"/>
          </w:tcPr>
          <w:p>
            <w:pPr>
              <w:adjustRightInd w:val="0"/>
              <w:snapToGrid w:val="0"/>
              <w:spacing w:line="300" w:lineRule="auto"/>
              <w:rPr>
                <w:rFonts w:ascii="Times New Roman" w:hAnsi="Times New Roman"/>
                <w:sz w:val="18"/>
                <w:szCs w:val="18"/>
              </w:rPr>
            </w:pPr>
          </w:p>
        </w:tc>
        <w:tc>
          <w:tcPr>
            <w:tcW w:w="644" w:type="dxa"/>
            <w:vMerge w:val="continue"/>
            <w:vAlign w:val="center"/>
          </w:tcPr>
          <w:p>
            <w:pPr>
              <w:adjustRightInd w:val="0"/>
              <w:snapToGrid w:val="0"/>
              <w:spacing w:line="300" w:lineRule="auto"/>
              <w:rPr>
                <w:rFonts w:ascii="Times New Roman" w:hAnsi="Times New Roman"/>
                <w:sz w:val="18"/>
                <w:szCs w:val="18"/>
              </w:rPr>
            </w:pPr>
          </w:p>
        </w:tc>
        <w:tc>
          <w:tcPr>
            <w:tcW w:w="628" w:type="dxa"/>
            <w:vAlign w:val="center"/>
          </w:tcPr>
          <w:p>
            <w:pPr>
              <w:widowControl/>
              <w:adjustRightInd w:val="0"/>
              <w:snapToGrid w:val="0"/>
              <w:spacing w:line="300" w:lineRule="auto"/>
              <w:jc w:val="left"/>
              <w:rPr>
                <w:rFonts w:ascii="Times New Roman" w:hAnsi="Times New Roman"/>
                <w:sz w:val="18"/>
                <w:szCs w:val="18"/>
              </w:rPr>
            </w:pPr>
            <w:r>
              <w:rPr>
                <w:rFonts w:ascii="Times New Roman" w:hAnsi="Times New Roman"/>
                <w:sz w:val="18"/>
                <w:szCs w:val="18"/>
              </w:rPr>
              <w:t>综合题</w:t>
            </w:r>
          </w:p>
        </w:tc>
        <w:tc>
          <w:tcPr>
            <w:tcW w:w="602" w:type="dxa"/>
            <w:vAlign w:val="center"/>
          </w:tcPr>
          <w:p>
            <w:pPr>
              <w:adjustRightInd w:val="0"/>
              <w:snapToGrid w:val="0"/>
              <w:spacing w:line="300" w:lineRule="auto"/>
              <w:jc w:val="center"/>
              <w:rPr>
                <w:rFonts w:ascii="Times New Roman" w:hAnsi="Times New Roman"/>
                <w:sz w:val="18"/>
                <w:szCs w:val="18"/>
              </w:rPr>
            </w:pPr>
            <w:r>
              <w:rPr>
                <w:rFonts w:ascii="Times New Roman" w:hAnsi="Times New Roman"/>
                <w:sz w:val="18"/>
                <w:szCs w:val="18"/>
              </w:rPr>
              <w:t>0.2</w:t>
            </w:r>
          </w:p>
        </w:tc>
        <w:tc>
          <w:tcPr>
            <w:tcW w:w="3284" w:type="dxa"/>
            <w:vMerge w:val="continue"/>
            <w:vAlign w:val="center"/>
          </w:tcPr>
          <w:p>
            <w:pPr>
              <w:adjustRightInd w:val="0"/>
              <w:snapToGrid w:val="0"/>
              <w:spacing w:line="300" w:lineRule="auto"/>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c>
          <w:tcPr>
            <w:tcW w:w="973" w:type="dxa"/>
            <w:vMerge w:val="continue"/>
            <w:vAlign w:val="center"/>
          </w:tcPr>
          <w:p>
            <w:pPr>
              <w:adjustRightInd w:val="0"/>
              <w:snapToGrid w:val="0"/>
              <w:spacing w:line="300" w:lineRule="auto"/>
              <w:jc w:val="center"/>
              <w:rPr>
                <w:rFonts w:ascii="Times New Roman" w:hAnsi="Times New Roman"/>
                <w:sz w:val="18"/>
                <w:szCs w:val="18"/>
              </w:rPr>
            </w:pPr>
          </w:p>
        </w:tc>
      </w:tr>
    </w:tbl>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六、课程教学目标达成情况评价</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1.评价依据和方法</w:t>
      </w:r>
    </w:p>
    <w:p>
      <w:pPr>
        <w:adjustRightInd w:val="0"/>
        <w:snapToGrid w:val="0"/>
        <w:spacing w:line="300" w:lineRule="auto"/>
        <w:ind w:right="270" w:firstLine="420" w:firstLineChars="200"/>
        <w:rPr>
          <w:rFonts w:ascii="Times New Roman" w:hAnsi="Times New Roman"/>
          <w:szCs w:val="21"/>
        </w:rPr>
      </w:pPr>
      <w:r>
        <w:rPr>
          <w:rFonts w:ascii="Times New Roman" w:hAnsi="Times New Roman"/>
          <w:szCs w:val="21"/>
        </w:rPr>
        <w:t>教学目标评价方式：教学</w:t>
      </w:r>
      <w:r>
        <w:rPr>
          <w:rFonts w:ascii="Times New Roman" w:hAnsi="Times New Roman"/>
          <w:spacing w:val="2"/>
          <w:szCs w:val="21"/>
        </w:rPr>
        <w:t>目</w:t>
      </w:r>
      <w:r>
        <w:rPr>
          <w:rFonts w:ascii="Times New Roman" w:hAnsi="Times New Roman"/>
          <w:szCs w:val="21"/>
        </w:rPr>
        <w:t>标达成度评价包括课程</w:t>
      </w:r>
      <w:r>
        <w:rPr>
          <w:rFonts w:ascii="Times New Roman" w:hAnsi="Times New Roman"/>
          <w:spacing w:val="2"/>
          <w:szCs w:val="21"/>
        </w:rPr>
        <w:t>分</w:t>
      </w:r>
      <w:r>
        <w:rPr>
          <w:rFonts w:ascii="Times New Roman" w:hAnsi="Times New Roman"/>
          <w:szCs w:val="21"/>
        </w:rPr>
        <w:t>目标达成度评价，以及</w:t>
      </w:r>
      <w:r>
        <w:rPr>
          <w:rFonts w:ascii="Times New Roman" w:hAnsi="Times New Roman"/>
          <w:spacing w:val="2"/>
          <w:szCs w:val="21"/>
        </w:rPr>
        <w:t>课</w:t>
      </w:r>
      <w:r>
        <w:rPr>
          <w:rFonts w:ascii="Times New Roman" w:hAnsi="Times New Roman"/>
          <w:szCs w:val="21"/>
        </w:rPr>
        <w:t>程总目标达成度评价，</w:t>
      </w:r>
      <w:r>
        <w:rPr>
          <w:rFonts w:ascii="Times New Roman" w:hAnsi="Times New Roman"/>
          <w:spacing w:val="2"/>
          <w:szCs w:val="21"/>
        </w:rPr>
        <w:t>具</w:t>
      </w:r>
      <w:r>
        <w:rPr>
          <w:rFonts w:ascii="Times New Roman" w:hAnsi="Times New Roman"/>
          <w:szCs w:val="21"/>
        </w:rPr>
        <w:t>体计算</w:t>
      </w:r>
      <w:r>
        <w:rPr>
          <w:rFonts w:ascii="Times New Roman" w:hAnsi="Times New Roman"/>
          <w:spacing w:val="-2"/>
          <w:szCs w:val="21"/>
        </w:rPr>
        <w:t>方</w:t>
      </w:r>
      <w:r>
        <w:rPr>
          <w:rFonts w:ascii="Times New Roman" w:hAnsi="Times New Roman"/>
          <w:szCs w:val="21"/>
        </w:rPr>
        <w:t>法</w:t>
      </w:r>
      <w:r>
        <w:rPr>
          <w:rFonts w:ascii="Times New Roman" w:hAnsi="Times New Roman"/>
          <w:spacing w:val="-2"/>
          <w:szCs w:val="21"/>
        </w:rPr>
        <w:t>如</w:t>
      </w:r>
      <w:r>
        <w:rPr>
          <w:rFonts w:ascii="Times New Roman" w:hAnsi="Times New Roman"/>
          <w:szCs w:val="21"/>
        </w:rPr>
        <w:t>下：</w:t>
      </w:r>
    </w:p>
    <w:p>
      <w:pPr>
        <w:adjustRightInd w:val="0"/>
        <w:snapToGrid w:val="0"/>
        <w:spacing w:line="300" w:lineRule="auto"/>
        <w:ind w:right="270" w:firstLine="420" w:firstLineChars="200"/>
        <w:rPr>
          <w:rFonts w:ascii="Times New Roman" w:hAnsi="Times New Roman"/>
          <w:szCs w:val="21"/>
        </w:rPr>
      </w:pPr>
      <w:r>
        <w:rPr>
          <w:rFonts w:ascii="Times New Roman" w:hAnsi="Times New Roman"/>
          <w:szCs w:val="21"/>
        </w:rPr>
        <w:t>课程各目标达成情况为该项目学生的平均得分率，其计算公式为：</w:t>
      </w:r>
    </w:p>
    <w:p>
      <w:pPr>
        <w:adjustRightInd w:val="0"/>
        <w:snapToGrid w:val="0"/>
        <w:spacing w:line="300" w:lineRule="auto"/>
        <w:ind w:right="270" w:firstLine="420" w:firstLineChars="200"/>
        <w:jc w:val="center"/>
        <w:rPr>
          <w:rFonts w:ascii="Times New Roman" w:hAnsi="Times New Roman"/>
          <w:szCs w:val="21"/>
        </w:rPr>
      </w:pPr>
      <w:r>
        <w:rPr>
          <w:rFonts w:ascii="Times New Roman" w:hAnsi="Times New Roman"/>
          <w:position w:val="-24"/>
        </w:rPr>
        <w:object>
          <v:shape id="_x0000_i1041" o:spt="75" type="#_x0000_t75" style="height:28.5pt;width:344.25pt;" o:ole="t" filled="f" o:preferrelative="t" stroked="f" coordsize="21600,21600">
            <v:path/>
            <v:fill on="f" focussize="0,0"/>
            <v:stroke on="f" joinstyle="miter"/>
            <v:imagedata r:id="rId26" o:title=""/>
            <o:lock v:ext="edit" aspectratio="t"/>
            <w10:wrap type="none"/>
            <w10:anchorlock/>
          </v:shape>
          <o:OLEObject Type="Embed" ProgID="Equation.3" ShapeID="_x0000_i1041" DrawAspect="Content" ObjectID="_1468075741" r:id="rId47">
            <o:LockedField>false</o:LockedField>
          </o:OLEObject>
        </w:object>
      </w:r>
    </w:p>
    <w:p>
      <w:pPr>
        <w:adjustRightInd w:val="0"/>
        <w:snapToGrid w:val="0"/>
        <w:spacing w:before="70" w:line="300" w:lineRule="auto"/>
        <w:ind w:right="597" w:firstLine="420" w:firstLineChars="200"/>
        <w:rPr>
          <w:rFonts w:ascii="Times New Roman" w:hAnsi="Times New Roman"/>
          <w:szCs w:val="21"/>
        </w:rPr>
      </w:pPr>
      <w:r>
        <w:rPr>
          <w:rFonts w:ascii="Times New Roman" w:hAnsi="Times New Roman"/>
          <w:position w:val="-1"/>
          <w:szCs w:val="21"/>
        </w:rPr>
        <w:t>课程</w:t>
      </w:r>
      <w:r>
        <w:rPr>
          <w:rFonts w:ascii="Times New Roman" w:hAnsi="Times New Roman"/>
          <w:spacing w:val="-2"/>
          <w:position w:val="-1"/>
          <w:szCs w:val="21"/>
        </w:rPr>
        <w:t>总</w:t>
      </w:r>
      <w:r>
        <w:rPr>
          <w:rFonts w:ascii="Times New Roman" w:hAnsi="Times New Roman"/>
          <w:position w:val="-1"/>
          <w:szCs w:val="21"/>
        </w:rPr>
        <w:t>目</w:t>
      </w:r>
      <w:r>
        <w:rPr>
          <w:rFonts w:ascii="Times New Roman" w:hAnsi="Times New Roman"/>
          <w:spacing w:val="-2"/>
          <w:position w:val="-1"/>
          <w:szCs w:val="21"/>
        </w:rPr>
        <w:t>标</w:t>
      </w:r>
      <w:r>
        <w:rPr>
          <w:rFonts w:ascii="Times New Roman" w:hAnsi="Times New Roman"/>
          <w:position w:val="-1"/>
          <w:szCs w:val="21"/>
        </w:rPr>
        <w:t>达</w:t>
      </w:r>
      <w:r>
        <w:rPr>
          <w:rFonts w:ascii="Times New Roman" w:hAnsi="Times New Roman"/>
          <w:spacing w:val="-2"/>
          <w:position w:val="-1"/>
          <w:szCs w:val="21"/>
        </w:rPr>
        <w:t>成度</w:t>
      </w:r>
      <w:r>
        <w:rPr>
          <w:rFonts w:ascii="Times New Roman" w:hAnsi="Times New Roman"/>
          <w:position w:val="-1"/>
          <w:szCs w:val="21"/>
        </w:rPr>
        <w:t>为</w:t>
      </w:r>
      <w:r>
        <w:rPr>
          <w:rFonts w:ascii="Times New Roman" w:hAnsi="Times New Roman"/>
          <w:spacing w:val="-6"/>
          <w:position w:val="-1"/>
          <w:szCs w:val="21"/>
        </w:rPr>
        <w:t xml:space="preserve"> </w:t>
      </w:r>
      <w:r>
        <w:rPr>
          <w:rFonts w:ascii="Times New Roman" w:hAnsi="Times New Roman"/>
          <w:position w:val="-1"/>
          <w:szCs w:val="21"/>
        </w:rPr>
        <w:t>4</w:t>
      </w:r>
      <w:r>
        <w:rPr>
          <w:rFonts w:ascii="Times New Roman" w:hAnsi="Times New Roman"/>
          <w:spacing w:val="-2"/>
          <w:position w:val="-1"/>
          <w:szCs w:val="21"/>
        </w:rPr>
        <w:t>个</w:t>
      </w:r>
      <w:r>
        <w:rPr>
          <w:rFonts w:ascii="Times New Roman" w:hAnsi="Times New Roman"/>
          <w:position w:val="-1"/>
          <w:szCs w:val="21"/>
        </w:rPr>
        <w:t>课程</w:t>
      </w:r>
      <w:r>
        <w:rPr>
          <w:rFonts w:ascii="Times New Roman" w:hAnsi="Times New Roman"/>
          <w:spacing w:val="-2"/>
          <w:position w:val="-1"/>
          <w:szCs w:val="21"/>
        </w:rPr>
        <w:t>目</w:t>
      </w:r>
      <w:r>
        <w:rPr>
          <w:rFonts w:ascii="Times New Roman" w:hAnsi="Times New Roman"/>
          <w:position w:val="-1"/>
          <w:szCs w:val="21"/>
        </w:rPr>
        <w:t>标</w:t>
      </w:r>
      <w:r>
        <w:rPr>
          <w:rFonts w:ascii="Times New Roman" w:hAnsi="Times New Roman"/>
          <w:spacing w:val="-2"/>
          <w:position w:val="-1"/>
          <w:szCs w:val="21"/>
        </w:rPr>
        <w:t>的</w:t>
      </w:r>
      <w:r>
        <w:rPr>
          <w:rFonts w:ascii="Times New Roman" w:hAnsi="Times New Roman"/>
          <w:position w:val="-1"/>
          <w:szCs w:val="21"/>
        </w:rPr>
        <w:t>加</w:t>
      </w:r>
      <w:r>
        <w:rPr>
          <w:rFonts w:ascii="Times New Roman" w:hAnsi="Times New Roman"/>
          <w:spacing w:val="-2"/>
          <w:position w:val="-1"/>
          <w:szCs w:val="21"/>
        </w:rPr>
        <w:t>权</w:t>
      </w:r>
      <w:r>
        <w:rPr>
          <w:rFonts w:ascii="Times New Roman" w:hAnsi="Times New Roman"/>
          <w:position w:val="-1"/>
          <w:szCs w:val="21"/>
        </w:rPr>
        <w:t>得</w:t>
      </w:r>
      <w:r>
        <w:rPr>
          <w:rFonts w:ascii="Times New Roman" w:hAnsi="Times New Roman"/>
          <w:spacing w:val="-2"/>
          <w:position w:val="-1"/>
          <w:szCs w:val="21"/>
        </w:rPr>
        <w:t>分</w:t>
      </w:r>
      <w:r>
        <w:rPr>
          <w:rFonts w:ascii="Times New Roman" w:hAnsi="Times New Roman"/>
          <w:position w:val="-1"/>
          <w:szCs w:val="21"/>
        </w:rPr>
        <w:t>率</w:t>
      </w:r>
      <w:r>
        <w:rPr>
          <w:rFonts w:ascii="Times New Roman" w:hAnsi="Times New Roman"/>
          <w:spacing w:val="-2"/>
          <w:position w:val="-1"/>
          <w:szCs w:val="21"/>
        </w:rPr>
        <w:t>，</w:t>
      </w:r>
      <w:r>
        <w:rPr>
          <w:rFonts w:ascii="Times New Roman" w:hAnsi="Times New Roman"/>
          <w:position w:val="-1"/>
          <w:szCs w:val="21"/>
        </w:rPr>
        <w:t>其计</w:t>
      </w:r>
      <w:r>
        <w:rPr>
          <w:rFonts w:ascii="Times New Roman" w:hAnsi="Times New Roman"/>
          <w:spacing w:val="-2"/>
          <w:position w:val="-1"/>
          <w:szCs w:val="21"/>
        </w:rPr>
        <w:t>算</w:t>
      </w:r>
      <w:r>
        <w:rPr>
          <w:rFonts w:ascii="Times New Roman" w:hAnsi="Times New Roman"/>
          <w:position w:val="-1"/>
          <w:szCs w:val="21"/>
        </w:rPr>
        <w:t>公</w:t>
      </w:r>
      <w:r>
        <w:rPr>
          <w:rFonts w:ascii="Times New Roman" w:hAnsi="Times New Roman"/>
          <w:spacing w:val="-2"/>
          <w:position w:val="-1"/>
          <w:szCs w:val="21"/>
        </w:rPr>
        <w:t>式</w:t>
      </w:r>
      <w:r>
        <w:rPr>
          <w:rFonts w:ascii="Times New Roman" w:hAnsi="Times New Roman"/>
          <w:position w:val="-1"/>
          <w:szCs w:val="21"/>
        </w:rPr>
        <w:t>为：</w:t>
      </w:r>
    </w:p>
    <w:p>
      <w:pPr>
        <w:adjustRightInd w:val="0"/>
        <w:snapToGrid w:val="0"/>
        <w:spacing w:before="72" w:line="300" w:lineRule="auto"/>
        <w:ind w:right="-20" w:firstLine="1050" w:firstLineChars="500"/>
        <w:jc w:val="center"/>
        <w:rPr>
          <w:rFonts w:ascii="Times New Roman" w:hAnsi="Times New Roman"/>
          <w:sz w:val="24"/>
        </w:rPr>
      </w:pPr>
      <w:r>
        <w:rPr>
          <w:rFonts w:ascii="Times New Roman" w:hAnsi="Times New Roman"/>
          <w:position w:val="-14"/>
        </w:rPr>
        <w:object>
          <v:shape id="_x0000_i1042" o:spt="75" type="#_x0000_t75" style="height:19.5pt;width:231pt;" o:ole="t" filled="f" o:preferrelative="t" stroked="f" coordsize="21600,21600">
            <v:path/>
            <v:fill on="f" focussize="0,0"/>
            <v:stroke on="f" joinstyle="miter"/>
            <v:imagedata r:id="rId28" o:title=""/>
            <o:lock v:ext="edit" aspectratio="t"/>
            <w10:wrap type="none"/>
            <w10:anchorlock/>
          </v:shape>
          <o:OLEObject Type="Embed" ProgID="Equation.3" ShapeID="_x0000_i1042" DrawAspect="Content" ObjectID="_1468075742" r:id="rId48">
            <o:LockedField>false</o:LockedField>
          </o:OLEObject>
        </w:object>
      </w:r>
    </w:p>
    <w:p>
      <w:pPr>
        <w:adjustRightInd w:val="0"/>
        <w:snapToGrid w:val="0"/>
        <w:spacing w:before="72" w:line="300" w:lineRule="auto"/>
        <w:ind w:right="-20"/>
        <w:rPr>
          <w:rFonts w:ascii="Times New Roman" w:hAnsi="Times New Roman"/>
          <w:sz w:val="24"/>
        </w:rPr>
      </w:pPr>
      <w:r>
        <w:rPr>
          <w:rFonts w:ascii="Times New Roman" w:hAnsi="Times New Roman"/>
          <w:szCs w:val="21"/>
        </w:rPr>
        <w:t>其中权重系数按表5设定。</w:t>
      </w:r>
    </w:p>
    <w:p>
      <w:pPr>
        <w:adjustRightInd w:val="0"/>
        <w:snapToGrid w:val="0"/>
        <w:spacing w:before="159" w:beforeLines="50" w:line="300" w:lineRule="auto"/>
        <w:jc w:val="center"/>
        <w:rPr>
          <w:rFonts w:ascii="Times New Roman" w:hAnsi="Times New Roman"/>
          <w:b/>
          <w:bCs/>
          <w:position w:val="-3"/>
          <w:sz w:val="18"/>
          <w:szCs w:val="18"/>
        </w:rPr>
      </w:pPr>
      <w:r>
        <w:rPr>
          <w:rFonts w:ascii="Times New Roman" w:hAnsi="Times New Roman"/>
          <w:b/>
          <w:bCs/>
          <w:position w:val="-3"/>
          <w:sz w:val="18"/>
          <w:szCs w:val="18"/>
        </w:rPr>
        <w:t>表5 课程目标考核</w:t>
      </w:r>
      <w:r>
        <w:rPr>
          <w:rFonts w:ascii="Times New Roman" w:hAnsi="Times New Roman"/>
          <w:b/>
          <w:bCs/>
          <w:spacing w:val="-2"/>
          <w:position w:val="-3"/>
          <w:sz w:val="18"/>
          <w:szCs w:val="18"/>
        </w:rPr>
        <w:t>权</w:t>
      </w:r>
      <w:r>
        <w:rPr>
          <w:rFonts w:ascii="Times New Roman" w:hAnsi="Times New Roman"/>
          <w:b/>
          <w:bCs/>
          <w:position w:val="-3"/>
          <w:sz w:val="18"/>
          <w:szCs w:val="18"/>
        </w:rPr>
        <w:t>重</w:t>
      </w:r>
      <w:r>
        <w:rPr>
          <w:rFonts w:ascii="Times New Roman" w:hAnsi="Times New Roman"/>
          <w:b/>
          <w:bCs/>
          <w:spacing w:val="-2"/>
          <w:position w:val="-3"/>
          <w:sz w:val="18"/>
          <w:szCs w:val="18"/>
        </w:rPr>
        <w:t>系</w:t>
      </w:r>
      <w:r>
        <w:rPr>
          <w:rFonts w:ascii="Times New Roman" w:hAnsi="Times New Roman"/>
          <w:b/>
          <w:bCs/>
          <w:position w:val="-3"/>
          <w:sz w:val="18"/>
          <w:szCs w:val="18"/>
        </w:rPr>
        <w:t>数</w:t>
      </w:r>
    </w:p>
    <w:tbl>
      <w:tblPr>
        <w:tblStyle w:val="22"/>
        <w:tblW w:w="8681" w:type="dxa"/>
        <w:tblInd w:w="0" w:type="dxa"/>
        <w:tblLayout w:type="fixed"/>
        <w:tblCellMar>
          <w:top w:w="0" w:type="dxa"/>
          <w:left w:w="0" w:type="dxa"/>
          <w:bottom w:w="0" w:type="dxa"/>
          <w:right w:w="0" w:type="dxa"/>
        </w:tblCellMar>
      </w:tblPr>
      <w:tblGrid>
        <w:gridCol w:w="2006"/>
        <w:gridCol w:w="1671"/>
        <w:gridCol w:w="1668"/>
        <w:gridCol w:w="1668"/>
        <w:gridCol w:w="1668"/>
      </w:tblGrid>
      <w:tr>
        <w:tblPrEx>
          <w:tblCellMar>
            <w:top w:w="0" w:type="dxa"/>
            <w:left w:w="0" w:type="dxa"/>
            <w:bottom w:w="0" w:type="dxa"/>
            <w:right w:w="0" w:type="dxa"/>
          </w:tblCellMar>
        </w:tblPrEx>
        <w:trPr>
          <w:trHeight w:val="437" w:hRule="exact"/>
        </w:trPr>
        <w:tc>
          <w:tcPr>
            <w:tcW w:w="200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firstLine="542" w:firstLineChars="300"/>
              <w:rPr>
                <w:rFonts w:ascii="Times New Roman" w:hAnsi="Times New Roman"/>
                <w:b/>
                <w:bCs/>
                <w:sz w:val="18"/>
                <w:szCs w:val="20"/>
              </w:rPr>
            </w:pPr>
            <w:r>
              <w:rPr>
                <w:rFonts w:ascii="Times New Roman" w:hAnsi="Times New Roman"/>
                <w:b/>
                <w:bCs/>
                <w:sz w:val="18"/>
                <w:szCs w:val="20"/>
              </w:rPr>
              <w:t>课程目标</w:t>
            </w:r>
          </w:p>
        </w:tc>
        <w:tc>
          <w:tcPr>
            <w:tcW w:w="167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3" w:right="-20"/>
              <w:jc w:val="center"/>
              <w:rPr>
                <w:rFonts w:ascii="Times New Roman" w:hAnsi="Times New Roman"/>
                <w:sz w:val="18"/>
                <w:szCs w:val="20"/>
              </w:rPr>
            </w:pPr>
            <w:r>
              <w:rPr>
                <w:rFonts w:ascii="Times New Roman" w:hAnsi="Times New Roman"/>
                <w:sz w:val="18"/>
                <w:szCs w:val="20"/>
              </w:rPr>
              <w:t>1</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3" w:right="-20"/>
              <w:jc w:val="center"/>
              <w:rPr>
                <w:rFonts w:ascii="Times New Roman" w:hAnsi="Times New Roman"/>
                <w:sz w:val="18"/>
                <w:szCs w:val="20"/>
              </w:rPr>
            </w:pPr>
            <w:r>
              <w:rPr>
                <w:rFonts w:ascii="Times New Roman" w:hAnsi="Times New Roman"/>
                <w:sz w:val="18"/>
                <w:szCs w:val="20"/>
              </w:rPr>
              <w:t>2</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1" w:right="-20"/>
              <w:jc w:val="center"/>
              <w:rPr>
                <w:rFonts w:ascii="Times New Roman" w:hAnsi="Times New Roman"/>
                <w:sz w:val="18"/>
                <w:szCs w:val="20"/>
              </w:rPr>
            </w:pPr>
            <w:r>
              <w:rPr>
                <w:rFonts w:ascii="Times New Roman" w:hAnsi="Times New Roman"/>
                <w:sz w:val="18"/>
                <w:szCs w:val="20"/>
              </w:rPr>
              <w:t>3</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3" w:right="-20"/>
              <w:jc w:val="center"/>
              <w:rPr>
                <w:rFonts w:ascii="Times New Roman" w:hAnsi="Times New Roman"/>
                <w:sz w:val="18"/>
                <w:szCs w:val="20"/>
              </w:rPr>
            </w:pPr>
            <w:r>
              <w:rPr>
                <w:rFonts w:ascii="Times New Roman" w:hAnsi="Times New Roman"/>
                <w:sz w:val="18"/>
                <w:szCs w:val="20"/>
              </w:rPr>
              <w:t>4</w:t>
            </w:r>
          </w:p>
        </w:tc>
      </w:tr>
      <w:tr>
        <w:tblPrEx>
          <w:tblCellMar>
            <w:top w:w="0" w:type="dxa"/>
            <w:left w:w="0" w:type="dxa"/>
            <w:bottom w:w="0" w:type="dxa"/>
            <w:right w:w="0" w:type="dxa"/>
          </w:tblCellMar>
        </w:tblPrEx>
        <w:trPr>
          <w:trHeight w:val="482" w:hRule="exact"/>
        </w:trPr>
        <w:tc>
          <w:tcPr>
            <w:tcW w:w="200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firstLine="181" w:firstLineChars="100"/>
              <w:jc w:val="center"/>
              <w:rPr>
                <w:rFonts w:ascii="Times New Roman" w:hAnsi="Times New Roman"/>
                <w:b/>
                <w:bCs/>
                <w:sz w:val="18"/>
                <w:szCs w:val="20"/>
              </w:rPr>
            </w:pPr>
            <w:r>
              <w:rPr>
                <w:rFonts w:ascii="Times New Roman" w:hAnsi="Times New Roman"/>
                <w:b/>
                <w:bCs/>
                <w:sz w:val="18"/>
                <w:szCs w:val="20"/>
              </w:rPr>
              <w:t>权重系数</w:t>
            </w:r>
          </w:p>
        </w:tc>
        <w:tc>
          <w:tcPr>
            <w:tcW w:w="167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sz w:val="18"/>
                <w:szCs w:val="20"/>
              </w:rPr>
            </w:pPr>
            <w:r>
              <w:rPr>
                <w:rFonts w:ascii="Times New Roman" w:hAnsi="Times New Roman"/>
                <w:sz w:val="18"/>
                <w:szCs w:val="20"/>
              </w:rPr>
              <w:t xml:space="preserve">     0.5</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sz w:val="18"/>
                <w:szCs w:val="20"/>
              </w:rPr>
            </w:pPr>
            <w:r>
              <w:rPr>
                <w:rFonts w:ascii="Times New Roman" w:hAnsi="Times New Roman"/>
                <w:sz w:val="18"/>
                <w:szCs w:val="20"/>
              </w:rPr>
              <w:t xml:space="preserve">     0.3</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sz w:val="18"/>
                <w:szCs w:val="20"/>
              </w:rPr>
            </w:pPr>
            <w:r>
              <w:rPr>
                <w:rFonts w:ascii="Times New Roman" w:hAnsi="Times New Roman"/>
                <w:sz w:val="18"/>
                <w:szCs w:val="20"/>
              </w:rPr>
              <w:t xml:space="preserve">     0.1</w:t>
            </w:r>
          </w:p>
        </w:tc>
        <w:tc>
          <w:tcPr>
            <w:tcW w:w="16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sz w:val="18"/>
                <w:szCs w:val="20"/>
              </w:rPr>
            </w:pPr>
            <w:r>
              <w:rPr>
                <w:rFonts w:ascii="Times New Roman" w:hAnsi="Times New Roman"/>
                <w:sz w:val="18"/>
                <w:szCs w:val="20"/>
              </w:rPr>
              <w:t xml:space="preserve">     0.1</w:t>
            </w:r>
          </w:p>
        </w:tc>
      </w:tr>
    </w:tbl>
    <w:p>
      <w:pPr>
        <w:adjustRightInd w:val="0"/>
        <w:snapToGrid w:val="0"/>
        <w:spacing w:line="300" w:lineRule="auto"/>
        <w:rPr>
          <w:rFonts w:ascii="Times New Roman" w:hAnsi="Times New Roman"/>
        </w:rPr>
      </w:pPr>
      <w:r>
        <w:rPr>
          <w:rFonts w:ascii="Times New Roman" w:hAnsi="Times New Roman"/>
        </w:rPr>
        <w:t>课程毕业要求指标点达成情况评价：</w:t>
      </w:r>
    </w:p>
    <w:p>
      <w:pPr>
        <w:adjustRightInd w:val="0"/>
        <w:snapToGrid w:val="0"/>
        <w:spacing w:line="300" w:lineRule="auto"/>
        <w:ind w:firstLine="420" w:firstLineChars="200"/>
        <w:rPr>
          <w:rFonts w:ascii="Times New Roman" w:hAnsi="Times New Roman"/>
        </w:rPr>
      </w:pPr>
      <w:r>
        <w:rPr>
          <w:rFonts w:ascii="Times New Roman" w:hAnsi="Times New Roman"/>
        </w:rPr>
        <w:t>课程支撑毕业要求指标点的达成情况为对应的课程目标达成情况的加权值，其计算公式为：</w:t>
      </w:r>
    </w:p>
    <w:p>
      <w:pPr>
        <w:adjustRightInd w:val="0"/>
        <w:snapToGrid w:val="0"/>
        <w:spacing w:line="300" w:lineRule="auto"/>
        <w:ind w:firstLine="840" w:firstLineChars="400"/>
        <w:jc w:val="center"/>
        <w:rPr>
          <w:rFonts w:ascii="Times New Roman" w:hAnsi="Times New Roman"/>
        </w:rPr>
      </w:pPr>
      <w:r>
        <w:rPr>
          <w:rFonts w:ascii="Times New Roman" w:hAnsi="Times New Roman"/>
          <w:position w:val="-14"/>
        </w:rPr>
        <w:object>
          <v:shape id="_x0000_i1043" o:spt="75" type="#_x0000_t75" style="height:21pt;width:279pt;" o:ole="t" filled="f" o:preferrelative="t" stroked="f" coordsize="21600,21600">
            <v:path/>
            <v:fill on="f" focussize="0,0"/>
            <v:stroke on="f" joinstyle="miter"/>
            <v:imagedata r:id="rId30" o:title=""/>
            <o:lock v:ext="edit" aspectratio="t"/>
            <w10:wrap type="none"/>
            <w10:anchorlock/>
          </v:shape>
          <o:OLEObject Type="Embed" ProgID="Equation.3" ShapeID="_x0000_i1043" DrawAspect="Content" ObjectID="_1468075743" r:id="rId49">
            <o:LockedField>false</o:LockedField>
          </o:OLEObject>
        </w:objec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2.课程总结要求</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依据达成情况评价、教师自评、学生评价，以及课程教学情况、考试情况，对课程进行有针对性的总结，每学年撰写试卷分析、课程总结与自我评价表，提出持续改进课程教学的措施。</w:t>
      </w:r>
    </w:p>
    <w:p>
      <w:pPr>
        <w:adjustRightInd w:val="0"/>
        <w:snapToGrid w:val="0"/>
        <w:spacing w:before="159" w:beforeLines="50" w:after="159" w:afterLines="50" w:line="300" w:lineRule="auto"/>
        <w:rPr>
          <w:rFonts w:ascii="Times New Roman" w:hAnsi="Times New Roman"/>
          <w:b/>
          <w:sz w:val="24"/>
        </w:rPr>
      </w:pPr>
      <w:r>
        <w:rPr>
          <w:rFonts w:ascii="Times New Roman" w:hAnsi="Times New Roman"/>
          <w:b/>
          <w:sz w:val="24"/>
        </w:rPr>
        <w:t>七、教材及参考资料</w:t>
      </w:r>
    </w:p>
    <w:p>
      <w:pPr>
        <w:adjustRightInd w:val="0"/>
        <w:snapToGrid w:val="0"/>
        <w:spacing w:line="300" w:lineRule="auto"/>
        <w:ind w:firstLine="422" w:firstLineChars="200"/>
        <w:rPr>
          <w:rFonts w:ascii="Times New Roman" w:hAnsi="Times New Roman"/>
          <w:b/>
          <w:szCs w:val="21"/>
        </w:rPr>
      </w:pPr>
      <w:r>
        <w:rPr>
          <w:rFonts w:ascii="Times New Roman" w:hAnsi="Times New Roman"/>
          <w:b/>
          <w:szCs w:val="21"/>
        </w:rPr>
        <w:t>1. 教材：</w:t>
      </w:r>
    </w:p>
    <w:p>
      <w:pPr>
        <w:numPr>
          <w:ilvl w:val="0"/>
          <w:numId w:val="3"/>
        </w:numPr>
        <w:adjustRightInd w:val="0"/>
        <w:snapToGrid w:val="0"/>
        <w:spacing w:line="300" w:lineRule="auto"/>
        <w:rPr>
          <w:rFonts w:ascii="Times New Roman" w:hAnsi="Times New Roman"/>
        </w:rPr>
      </w:pPr>
      <w:r>
        <w:rPr>
          <w:rFonts w:ascii="Times New Roman" w:hAnsi="Times New Roman"/>
          <w:bCs/>
          <w:szCs w:val="21"/>
        </w:rPr>
        <w:t>陈春雷等</w:t>
      </w:r>
      <w:r>
        <w:rPr>
          <w:rFonts w:ascii="Times New Roman" w:hAnsi="Times New Roman"/>
          <w:szCs w:val="21"/>
        </w:rPr>
        <w:t>主编．</w:t>
      </w:r>
      <w:r>
        <w:rPr>
          <w:rFonts w:ascii="Times New Roman" w:hAnsi="Times New Roman"/>
          <w:bCs/>
          <w:szCs w:val="21"/>
        </w:rPr>
        <w:t>《大学基础物理教程》</w:t>
      </w:r>
      <w:r>
        <w:rPr>
          <w:rFonts w:ascii="Times New Roman" w:hAnsi="Times New Roman"/>
          <w:szCs w:val="21"/>
        </w:rPr>
        <w:t>[M]</w:t>
      </w:r>
      <w:r>
        <w:rPr>
          <w:rFonts w:ascii="Times New Roman" w:hAnsi="Times New Roman"/>
        </w:rPr>
        <w:t>．北京：</w:t>
      </w:r>
      <w:r>
        <w:rPr>
          <w:rFonts w:ascii="Times New Roman" w:hAnsi="Times New Roman"/>
          <w:bCs/>
          <w:szCs w:val="21"/>
        </w:rPr>
        <w:t>中国农业出版社</w:t>
      </w:r>
      <w:r>
        <w:rPr>
          <w:rFonts w:ascii="Times New Roman" w:hAnsi="Times New Roman"/>
        </w:rPr>
        <w:t>，</w:t>
      </w:r>
      <w:r>
        <w:rPr>
          <w:rFonts w:ascii="Times New Roman" w:hAnsi="Times New Roman"/>
          <w:bCs/>
          <w:szCs w:val="21"/>
        </w:rPr>
        <w:t>2014.03</w:t>
      </w:r>
      <w:r>
        <w:rPr>
          <w:rFonts w:ascii="Times New Roman" w:hAnsi="Times New Roman"/>
          <w:szCs w:val="21"/>
        </w:rPr>
        <w:t>。</w:t>
      </w:r>
    </w:p>
    <w:p>
      <w:pPr>
        <w:adjustRightInd w:val="0"/>
        <w:snapToGrid w:val="0"/>
        <w:spacing w:line="300" w:lineRule="auto"/>
        <w:ind w:firstLine="422" w:firstLineChars="200"/>
        <w:rPr>
          <w:rFonts w:ascii="Times New Roman" w:hAnsi="Times New Roman"/>
          <w:b/>
          <w:szCs w:val="21"/>
        </w:rPr>
      </w:pPr>
      <w:r>
        <w:rPr>
          <w:rFonts w:ascii="Times New Roman" w:hAnsi="Times New Roman"/>
          <w:b/>
          <w:szCs w:val="21"/>
        </w:rPr>
        <w:t>2.</w:t>
      </w:r>
      <w:r>
        <w:rPr>
          <w:rFonts w:ascii="Times New Roman" w:hAnsi="Times New Roman"/>
          <w:szCs w:val="21"/>
        </w:rPr>
        <w:t xml:space="preserve"> </w:t>
      </w:r>
      <w:r>
        <w:rPr>
          <w:rFonts w:ascii="Times New Roman" w:hAnsi="Times New Roman"/>
          <w:b/>
          <w:szCs w:val="21"/>
        </w:rPr>
        <w:t>参考资料</w:t>
      </w:r>
    </w:p>
    <w:p>
      <w:pPr>
        <w:numPr>
          <w:ilvl w:val="0"/>
          <w:numId w:val="4"/>
        </w:numPr>
        <w:adjustRightInd w:val="0"/>
        <w:snapToGrid w:val="0"/>
        <w:spacing w:line="300" w:lineRule="auto"/>
        <w:rPr>
          <w:rFonts w:ascii="Times New Roman" w:hAnsi="Times New Roman"/>
        </w:rPr>
      </w:pPr>
      <w:r>
        <w:rPr>
          <w:rFonts w:ascii="Times New Roman" w:hAnsi="Times New Roman"/>
          <w:szCs w:val="21"/>
        </w:rPr>
        <w:t>马文尉主编．《物理学教程》（第二版）[M]</w:t>
      </w:r>
      <w:r>
        <w:rPr>
          <w:rFonts w:ascii="Times New Roman" w:hAnsi="Times New Roman"/>
        </w:rPr>
        <w:t>．北京：高等教育出版社，</w:t>
      </w:r>
      <w:r>
        <w:rPr>
          <w:rFonts w:ascii="Times New Roman" w:hAnsi="Times New Roman"/>
          <w:szCs w:val="21"/>
        </w:rPr>
        <w:t>2006.11。</w:t>
      </w:r>
    </w:p>
    <w:p>
      <w:pPr>
        <w:numPr>
          <w:ilvl w:val="0"/>
          <w:numId w:val="4"/>
        </w:numPr>
        <w:adjustRightInd w:val="0"/>
        <w:snapToGrid w:val="0"/>
        <w:spacing w:line="300" w:lineRule="auto"/>
        <w:rPr>
          <w:rFonts w:ascii="Times New Roman" w:hAnsi="Times New Roman"/>
        </w:rPr>
      </w:pPr>
      <w:r>
        <w:rPr>
          <w:rFonts w:ascii="Times New Roman" w:hAnsi="Times New Roman"/>
          <w:szCs w:val="21"/>
        </w:rPr>
        <w:t>祝之光主编．《物理学》（第二版）[M]</w:t>
      </w:r>
      <w:r>
        <w:rPr>
          <w:rFonts w:ascii="Times New Roman" w:hAnsi="Times New Roman"/>
        </w:rPr>
        <w:t>．北京：高等教育出版社，</w:t>
      </w:r>
      <w:r>
        <w:rPr>
          <w:rFonts w:ascii="Times New Roman" w:hAnsi="Times New Roman"/>
          <w:szCs w:val="21"/>
        </w:rPr>
        <w:t>2004.07。</w:t>
      </w:r>
    </w:p>
    <w:p>
      <w:pPr>
        <w:numPr>
          <w:ilvl w:val="0"/>
          <w:numId w:val="4"/>
        </w:numPr>
        <w:adjustRightInd w:val="0"/>
        <w:snapToGrid w:val="0"/>
        <w:spacing w:line="300" w:lineRule="auto"/>
        <w:rPr>
          <w:rFonts w:ascii="Times New Roman" w:hAnsi="Times New Roman"/>
        </w:rPr>
      </w:pPr>
      <w:r>
        <w:rPr>
          <w:rFonts w:ascii="Times New Roman" w:hAnsi="Times New Roman"/>
          <w:szCs w:val="21"/>
        </w:rPr>
        <w:t>毛骏健主编．《大学物理学》 [M]</w:t>
      </w:r>
      <w:r>
        <w:rPr>
          <w:rFonts w:ascii="Times New Roman" w:hAnsi="Times New Roman"/>
        </w:rPr>
        <w:t>．北京：高等教育出版社，</w:t>
      </w:r>
      <w:r>
        <w:rPr>
          <w:rFonts w:ascii="Times New Roman" w:hAnsi="Times New Roman"/>
          <w:szCs w:val="21"/>
        </w:rPr>
        <w:t>2006.01。</w:t>
      </w:r>
    </w:p>
    <w:p>
      <w:pPr>
        <w:numPr>
          <w:ilvl w:val="0"/>
          <w:numId w:val="4"/>
        </w:numPr>
        <w:adjustRightInd w:val="0"/>
        <w:snapToGrid w:val="0"/>
        <w:spacing w:line="300" w:lineRule="auto"/>
        <w:rPr>
          <w:rFonts w:ascii="Times New Roman" w:hAnsi="Times New Roman"/>
        </w:rPr>
      </w:pPr>
      <w:r>
        <w:rPr>
          <w:rFonts w:ascii="Times New Roman" w:hAnsi="Times New Roman"/>
          <w:kern w:val="0"/>
          <w:szCs w:val="21"/>
        </w:rPr>
        <w:t>程守洙，江之永</w:t>
      </w:r>
      <w:r>
        <w:rPr>
          <w:rFonts w:ascii="Times New Roman" w:hAnsi="Times New Roman"/>
          <w:szCs w:val="21"/>
        </w:rPr>
        <w:t>主编．《</w:t>
      </w:r>
      <w:r>
        <w:rPr>
          <w:rFonts w:ascii="Times New Roman" w:hAnsi="Times New Roman"/>
          <w:kern w:val="0"/>
          <w:szCs w:val="21"/>
        </w:rPr>
        <w:t>普通</w:t>
      </w:r>
      <w:r>
        <w:rPr>
          <w:rFonts w:ascii="Times New Roman" w:hAnsi="Times New Roman"/>
          <w:szCs w:val="21"/>
        </w:rPr>
        <w:t>物理学》（第二版）[M]</w:t>
      </w:r>
      <w:r>
        <w:rPr>
          <w:rFonts w:ascii="Times New Roman" w:hAnsi="Times New Roman"/>
        </w:rPr>
        <w:t>．北京：高等教育出版社，</w:t>
      </w:r>
      <w:r>
        <w:rPr>
          <w:rFonts w:ascii="Times New Roman" w:hAnsi="Times New Roman"/>
          <w:szCs w:val="21"/>
        </w:rPr>
        <w:t>2006。</w:t>
      </w:r>
    </w:p>
    <w:p>
      <w:pPr>
        <w:numPr>
          <w:ilvl w:val="0"/>
          <w:numId w:val="4"/>
        </w:numPr>
        <w:adjustRightInd w:val="0"/>
        <w:snapToGrid w:val="0"/>
        <w:spacing w:line="300" w:lineRule="auto"/>
        <w:rPr>
          <w:rFonts w:ascii="Times New Roman" w:hAnsi="Times New Roman"/>
        </w:rPr>
      </w:pPr>
      <w:r>
        <w:rPr>
          <w:rFonts w:ascii="Times New Roman" w:hAnsi="Times New Roman"/>
          <w:kern w:val="0"/>
          <w:szCs w:val="21"/>
        </w:rPr>
        <w:t>王少杰</w:t>
      </w:r>
      <w:r>
        <w:rPr>
          <w:rFonts w:ascii="Times New Roman" w:hAnsi="Times New Roman"/>
          <w:szCs w:val="21"/>
        </w:rPr>
        <w:t>主编．《</w:t>
      </w:r>
      <w:r>
        <w:rPr>
          <w:rFonts w:ascii="Times New Roman" w:hAnsi="Times New Roman"/>
          <w:kern w:val="0"/>
          <w:szCs w:val="21"/>
        </w:rPr>
        <w:t>新编基础</w:t>
      </w:r>
      <w:r>
        <w:rPr>
          <w:rFonts w:ascii="Times New Roman" w:hAnsi="Times New Roman"/>
          <w:szCs w:val="21"/>
        </w:rPr>
        <w:t>物理学》（第二版）[M]</w:t>
      </w:r>
      <w:r>
        <w:rPr>
          <w:rFonts w:ascii="Times New Roman" w:hAnsi="Times New Roman"/>
        </w:rPr>
        <w:t>．北京：</w:t>
      </w:r>
      <w:r>
        <w:rPr>
          <w:rFonts w:ascii="Times New Roman" w:hAnsi="Times New Roman"/>
          <w:kern w:val="0"/>
          <w:szCs w:val="21"/>
        </w:rPr>
        <w:t>科学出版社</w:t>
      </w:r>
      <w:r>
        <w:rPr>
          <w:rFonts w:ascii="Times New Roman" w:hAnsi="Times New Roman"/>
        </w:rPr>
        <w:t>，</w:t>
      </w:r>
      <w:r>
        <w:rPr>
          <w:rFonts w:ascii="Times New Roman" w:hAnsi="Times New Roman"/>
          <w:szCs w:val="21"/>
        </w:rPr>
        <w:t>2014。</w:t>
      </w:r>
    </w:p>
    <w:p>
      <w:pPr>
        <w:numPr>
          <w:ilvl w:val="0"/>
          <w:numId w:val="4"/>
        </w:numPr>
        <w:adjustRightInd w:val="0"/>
        <w:snapToGrid w:val="0"/>
        <w:spacing w:line="300" w:lineRule="auto"/>
        <w:rPr>
          <w:rFonts w:ascii="Times New Roman" w:hAnsi="Times New Roman"/>
        </w:rPr>
      </w:pPr>
      <w:r>
        <w:rPr>
          <w:rFonts w:ascii="Times New Roman" w:hAnsi="Times New Roman"/>
          <w:kern w:val="0"/>
          <w:szCs w:val="21"/>
        </w:rPr>
        <w:t>黄亦斌</w:t>
      </w:r>
      <w:r>
        <w:rPr>
          <w:rFonts w:ascii="Times New Roman" w:hAnsi="Times New Roman"/>
          <w:szCs w:val="21"/>
        </w:rPr>
        <w:t>主编．《</w:t>
      </w:r>
      <w:r>
        <w:rPr>
          <w:rFonts w:ascii="Times New Roman" w:hAnsi="Times New Roman"/>
          <w:kern w:val="0"/>
          <w:szCs w:val="21"/>
        </w:rPr>
        <w:t>新编大学物理教程</w:t>
      </w:r>
      <w:r>
        <w:rPr>
          <w:rFonts w:ascii="Times New Roman" w:hAnsi="Times New Roman"/>
          <w:szCs w:val="21"/>
        </w:rPr>
        <w:t>》（第二版）[M]</w:t>
      </w:r>
      <w:r>
        <w:rPr>
          <w:rFonts w:ascii="Times New Roman" w:hAnsi="Times New Roman"/>
        </w:rPr>
        <w:t>．北京：</w:t>
      </w:r>
      <w:r>
        <w:rPr>
          <w:rFonts w:ascii="Times New Roman" w:hAnsi="Times New Roman"/>
          <w:kern w:val="0"/>
          <w:szCs w:val="21"/>
        </w:rPr>
        <w:t>科学出版社</w:t>
      </w:r>
      <w:r>
        <w:rPr>
          <w:rFonts w:ascii="Times New Roman" w:hAnsi="Times New Roman"/>
        </w:rPr>
        <w:t>，</w:t>
      </w:r>
      <w:r>
        <w:rPr>
          <w:rFonts w:ascii="Times New Roman" w:hAnsi="Times New Roman"/>
          <w:szCs w:val="21"/>
        </w:rPr>
        <w:t>2017。</w:t>
      </w:r>
    </w:p>
    <w:p>
      <w:pPr>
        <w:numPr>
          <w:ilvl w:val="0"/>
          <w:numId w:val="4"/>
        </w:numPr>
        <w:adjustRightInd w:val="0"/>
        <w:snapToGrid w:val="0"/>
        <w:spacing w:line="300" w:lineRule="auto"/>
        <w:rPr>
          <w:rFonts w:ascii="Times New Roman" w:hAnsi="Times New Roman"/>
        </w:rPr>
      </w:pPr>
      <w:r>
        <w:rPr>
          <w:rFonts w:ascii="Times New Roman" w:hAnsi="Times New Roman"/>
          <w:kern w:val="0"/>
          <w:szCs w:val="21"/>
        </w:rPr>
        <w:t>费恩曼，莱顿，桑兹著，潘笃武，李洪芳译</w:t>
      </w:r>
      <w:r>
        <w:rPr>
          <w:rFonts w:ascii="Times New Roman" w:hAnsi="Times New Roman"/>
          <w:szCs w:val="21"/>
        </w:rPr>
        <w:t>．</w:t>
      </w:r>
      <w:r>
        <w:rPr>
          <w:rFonts w:ascii="Times New Roman" w:hAnsi="Times New Roman"/>
          <w:kern w:val="0"/>
          <w:szCs w:val="21"/>
        </w:rPr>
        <w:t>《费恩曼物理学讲义》[美]</w:t>
      </w:r>
      <w:r>
        <w:rPr>
          <w:rFonts w:ascii="Times New Roman" w:hAnsi="Times New Roman"/>
          <w:szCs w:val="21"/>
        </w:rPr>
        <w:t xml:space="preserve"> [M]</w:t>
      </w:r>
      <w:r>
        <w:rPr>
          <w:rFonts w:ascii="Times New Roman" w:hAnsi="Times New Roman"/>
        </w:rPr>
        <w:t>．北京：</w:t>
      </w:r>
      <w:r>
        <w:rPr>
          <w:rFonts w:ascii="Times New Roman" w:hAnsi="Times New Roman"/>
          <w:kern w:val="0"/>
          <w:szCs w:val="21"/>
        </w:rPr>
        <w:t>科学出版社</w:t>
      </w:r>
      <w:r>
        <w:rPr>
          <w:rFonts w:ascii="Times New Roman" w:hAnsi="Times New Roman"/>
        </w:rPr>
        <w:t>，</w:t>
      </w:r>
      <w:r>
        <w:rPr>
          <w:rFonts w:ascii="Times New Roman" w:hAnsi="Times New Roman"/>
          <w:szCs w:val="21"/>
        </w:rPr>
        <w:t>2017。</w:t>
      </w:r>
    </w:p>
    <w:p>
      <w:pPr>
        <w:numPr>
          <w:ilvl w:val="0"/>
          <w:numId w:val="4"/>
        </w:numPr>
        <w:adjustRightInd w:val="0"/>
        <w:snapToGrid w:val="0"/>
        <w:spacing w:line="300" w:lineRule="auto"/>
        <w:rPr>
          <w:rFonts w:ascii="Times New Roman" w:hAnsi="Times New Roman"/>
        </w:rPr>
      </w:pPr>
      <w:r>
        <w:rPr>
          <w:rFonts w:ascii="Times New Roman" w:hAnsi="Times New Roman"/>
          <w:szCs w:val="21"/>
        </w:rPr>
        <w:t>学习网站：http://www1.gdou.edu.cn/lxy/jpkc-wuli/index.htm</w:t>
      </w:r>
    </w:p>
    <w:tbl>
      <w:tblPr>
        <w:tblStyle w:val="4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eastAsia="等线"/>
                <w:szCs w:val="21"/>
              </w:rPr>
            </w:pPr>
            <w:r>
              <w:rPr>
                <w:rFonts w:ascii="Times New Roman" w:hAnsi="Times New Roman" w:eastAsia="等线"/>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等线"/>
                <w:szCs w:val="21"/>
              </w:rPr>
            </w:pPr>
            <w:r>
              <w:rPr>
                <w:rFonts w:ascii="Times New Roman" w:hAnsi="Times New Roman" w:eastAsia="等线"/>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等线"/>
                <w:szCs w:val="21"/>
              </w:rPr>
            </w:pPr>
            <w:r>
              <w:rPr>
                <w:rFonts w:ascii="Times New Roman" w:hAnsi="Times New Roman" w:eastAsia="等线"/>
                <w:szCs w:val="21"/>
              </w:rPr>
              <w:t>日 期：202</w:t>
            </w:r>
            <w:r>
              <w:rPr>
                <w:rFonts w:hint="eastAsia" w:ascii="Times New Roman" w:hAnsi="Times New Roman" w:eastAsia="等线"/>
                <w:szCs w:val="21"/>
              </w:rPr>
              <w:t>2</w:t>
            </w:r>
            <w:r>
              <w:rPr>
                <w:rFonts w:ascii="Times New Roman" w:hAnsi="Times New Roman" w:eastAsia="等线"/>
                <w:szCs w:val="21"/>
              </w:rPr>
              <w:t>.0</w:t>
            </w:r>
            <w:r>
              <w:rPr>
                <w:rFonts w:hint="eastAsia" w:ascii="Times New Roman" w:hAnsi="Times New Roman" w:eastAsia="等线"/>
                <w:szCs w:val="21"/>
              </w:rPr>
              <w:t>4</w:t>
            </w:r>
            <w:r>
              <w:rPr>
                <w:rFonts w:ascii="Times New Roman" w:hAnsi="Times New Roman" w:eastAsia="等线"/>
                <w:szCs w:val="21"/>
              </w:rPr>
              <w:t>.2</w:t>
            </w:r>
            <w:r>
              <w:rPr>
                <w:rFonts w:hint="eastAsia" w:ascii="Times New Roman" w:hAnsi="Times New Roman" w:eastAsia="等线"/>
                <w:szCs w:val="21"/>
              </w:rPr>
              <w:t>0</w:t>
            </w:r>
          </w:p>
        </w:tc>
      </w:tr>
    </w:tbl>
    <w:p>
      <w:pPr>
        <w:keepNext/>
        <w:keepLines/>
        <w:tabs>
          <w:tab w:val="left" w:pos="0"/>
          <w:tab w:val="left" w:pos="420"/>
        </w:tabs>
        <w:spacing w:before="159" w:beforeLines="50" w:after="159" w:afterLines="50" w:line="360" w:lineRule="auto"/>
        <w:jc w:val="center"/>
        <w:outlineLvl w:val="0"/>
        <w:rPr>
          <w:b/>
          <w:sz w:val="32"/>
        </w:rPr>
        <w:sectPr>
          <w:footerReference r:id="rId12" w:type="default"/>
          <w:pgSz w:w="11906" w:h="16838"/>
          <w:pgMar w:top="1417" w:right="1361" w:bottom="1417" w:left="1361" w:header="851" w:footer="992" w:gutter="0"/>
          <w:cols w:space="720" w:num="1"/>
          <w:docGrid w:type="lines" w:linePitch="318" w:charSpace="0"/>
        </w:sectPr>
      </w:pPr>
    </w:p>
    <w:p>
      <w:pPr>
        <w:pStyle w:val="3"/>
        <w:jc w:val="center"/>
      </w:pPr>
      <w:bookmarkStart w:id="31" w:name="_Toc16825"/>
      <w:bookmarkStart w:id="32" w:name="_Toc15094"/>
      <w:r>
        <w:rPr>
          <w:rFonts w:hint="eastAsia"/>
        </w:rPr>
        <w:t>33431002</w:t>
      </w:r>
      <w:r>
        <w:t>《</w:t>
      </w:r>
      <w:r>
        <w:rPr>
          <w:rFonts w:hint="eastAsia"/>
        </w:rPr>
        <w:t>数学</w:t>
      </w:r>
      <w:r>
        <w:t>物理方程》课程教学大纲</w:t>
      </w:r>
      <w:bookmarkEnd w:id="27"/>
      <w:bookmarkEnd w:id="31"/>
      <w:bookmarkEnd w:id="32"/>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课程编号</w:t>
            </w:r>
          </w:p>
        </w:tc>
        <w:tc>
          <w:tcPr>
            <w:tcW w:w="3441" w:type="dxa"/>
            <w:vAlign w:val="center"/>
          </w:tcPr>
          <w:p>
            <w:pPr>
              <w:jc w:val="center"/>
              <w:rPr>
                <w:rFonts w:ascii="宋体" w:hAnsi="宋体" w:cs="宋体"/>
                <w:kern w:val="0"/>
                <w:szCs w:val="21"/>
              </w:rPr>
            </w:pPr>
            <w:r>
              <w:rPr>
                <w:rFonts w:hint="eastAsia" w:ascii="宋体" w:hAnsi="宋体" w:cs="宋体"/>
                <w:kern w:val="0"/>
                <w:szCs w:val="21"/>
              </w:rPr>
              <w:t>33431002</w:t>
            </w:r>
          </w:p>
        </w:tc>
        <w:tc>
          <w:tcPr>
            <w:tcW w:w="1198" w:type="dxa"/>
            <w:vAlign w:val="center"/>
          </w:tcPr>
          <w:p>
            <w:pPr>
              <w:jc w:val="center"/>
              <w:rPr>
                <w:rFonts w:ascii="宋体" w:hAnsi="宋体" w:cs="宋体"/>
                <w:kern w:val="0"/>
                <w:szCs w:val="21"/>
              </w:rPr>
            </w:pPr>
            <w:r>
              <w:rPr>
                <w:rFonts w:hint="eastAsia" w:ascii="宋体" w:hAnsi="宋体" w:cs="宋体"/>
                <w:kern w:val="0"/>
                <w:szCs w:val="21"/>
              </w:rPr>
              <w:t>课程名称</w:t>
            </w:r>
          </w:p>
        </w:tc>
        <w:tc>
          <w:tcPr>
            <w:tcW w:w="2695" w:type="dxa"/>
            <w:vAlign w:val="center"/>
          </w:tcPr>
          <w:p>
            <w:pPr>
              <w:jc w:val="center"/>
              <w:rPr>
                <w:rFonts w:ascii="宋体" w:hAnsi="宋体" w:cs="宋体"/>
                <w:kern w:val="0"/>
                <w:szCs w:val="21"/>
              </w:rPr>
            </w:pPr>
            <w:r>
              <w:rPr>
                <w:rFonts w:hint="eastAsia" w:ascii="宋体" w:hAnsi="宋体" w:cs="宋体"/>
                <w:kern w:val="0"/>
                <w:szCs w:val="21"/>
              </w:rPr>
              <w:t>数学物理方程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课程性质*</w:t>
            </w:r>
          </w:p>
        </w:tc>
        <w:tc>
          <w:tcPr>
            <w:tcW w:w="3441" w:type="dxa"/>
            <w:vAlign w:val="center"/>
          </w:tcPr>
          <w:p>
            <w:pPr>
              <w:jc w:val="center"/>
              <w:rPr>
                <w:rFonts w:ascii="宋体" w:hAnsi="宋体" w:cs="宋体"/>
                <w:kern w:val="0"/>
                <w:szCs w:val="21"/>
              </w:rPr>
            </w:pPr>
            <w:r>
              <w:rPr>
                <w:rFonts w:hint="eastAsia" w:ascii="宋体" w:hAnsi="宋体" w:cs="宋体"/>
                <w:kern w:val="0"/>
                <w:szCs w:val="21"/>
              </w:rPr>
              <w:t>数学与自然科学类课程</w:t>
            </w:r>
          </w:p>
        </w:tc>
        <w:tc>
          <w:tcPr>
            <w:tcW w:w="1198" w:type="dxa"/>
            <w:vAlign w:val="center"/>
          </w:tcPr>
          <w:p>
            <w:pPr>
              <w:jc w:val="center"/>
              <w:rPr>
                <w:rFonts w:ascii="宋体" w:hAnsi="宋体" w:cs="宋体"/>
                <w:kern w:val="0"/>
                <w:szCs w:val="21"/>
              </w:rPr>
            </w:pPr>
            <w:r>
              <w:rPr>
                <w:rFonts w:hint="eastAsia" w:ascii="宋体" w:hAnsi="宋体" w:cs="宋体"/>
                <w:kern w:val="0"/>
                <w:szCs w:val="21"/>
              </w:rPr>
              <w:t>英文名称</w:t>
            </w:r>
          </w:p>
        </w:tc>
        <w:tc>
          <w:tcPr>
            <w:tcW w:w="2695" w:type="dxa"/>
            <w:vAlign w:val="center"/>
          </w:tcPr>
          <w:p>
            <w:pPr>
              <w:jc w:val="center"/>
              <w:rPr>
                <w:rFonts w:ascii="宋体" w:hAnsi="宋体" w:cs="宋体"/>
                <w:kern w:val="0"/>
                <w:szCs w:val="21"/>
              </w:rPr>
            </w:pPr>
            <w:r>
              <w:rPr>
                <w:rFonts w:hint="eastAsia" w:ascii="宋体" w:hAnsi="宋体" w:cs="宋体"/>
                <w:kern w:val="0"/>
                <w:szCs w:val="21"/>
              </w:rPr>
              <w:t>Mathematical Physics Equations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学分学时</w:t>
            </w:r>
          </w:p>
        </w:tc>
        <w:tc>
          <w:tcPr>
            <w:tcW w:w="3441" w:type="dxa"/>
            <w:vAlign w:val="center"/>
          </w:tcPr>
          <w:p>
            <w:pPr>
              <w:jc w:val="center"/>
              <w:rPr>
                <w:rFonts w:ascii="宋体" w:hAnsi="宋体" w:cs="宋体"/>
                <w:kern w:val="0"/>
                <w:szCs w:val="21"/>
              </w:rPr>
            </w:pPr>
            <w:r>
              <w:rPr>
                <w:rFonts w:hint="eastAsia" w:ascii="宋体" w:hAnsi="宋体" w:cs="宋体"/>
                <w:kern w:val="0"/>
                <w:szCs w:val="21"/>
              </w:rPr>
              <w:t>2 : 32（0）</w:t>
            </w:r>
          </w:p>
        </w:tc>
        <w:tc>
          <w:tcPr>
            <w:tcW w:w="1198" w:type="dxa"/>
            <w:vAlign w:val="center"/>
          </w:tcPr>
          <w:p>
            <w:pPr>
              <w:jc w:val="center"/>
              <w:rPr>
                <w:rFonts w:ascii="宋体" w:hAnsi="宋体" w:cs="宋体"/>
                <w:kern w:val="0"/>
                <w:szCs w:val="21"/>
                <w:highlight w:val="yellow"/>
              </w:rPr>
            </w:pPr>
            <w:r>
              <w:rPr>
                <w:rFonts w:hint="eastAsia" w:ascii="宋体" w:hAnsi="宋体" w:cs="宋体"/>
                <w:kern w:val="0"/>
                <w:szCs w:val="21"/>
              </w:rPr>
              <w:t>任课教师</w:t>
            </w:r>
          </w:p>
        </w:tc>
        <w:tc>
          <w:tcPr>
            <w:tcW w:w="2695" w:type="dxa"/>
            <w:vAlign w:val="center"/>
          </w:tcPr>
          <w:p>
            <w:pPr>
              <w:ind w:firstLine="420" w:firstLineChars="200"/>
              <w:rPr>
                <w:rFonts w:ascii="宋体" w:hAnsi="宋体" w:cs="宋体"/>
                <w:kern w:val="0"/>
                <w:szCs w:val="21"/>
                <w:highlight w:val="yellow"/>
              </w:rPr>
            </w:pPr>
            <w:r>
              <w:rPr>
                <w:rFonts w:hint="eastAsia" w:ascii="宋体" w:hAnsi="宋体" w:cs="宋体"/>
                <w:kern w:val="0"/>
                <w:szCs w:val="21"/>
              </w:rPr>
              <w:t>刘雯景、郭磊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企业专家</w:t>
            </w:r>
          </w:p>
        </w:tc>
        <w:tc>
          <w:tcPr>
            <w:tcW w:w="3441" w:type="dxa"/>
            <w:vAlign w:val="center"/>
          </w:tcPr>
          <w:p>
            <w:pPr>
              <w:widowControl/>
              <w:jc w:val="center"/>
              <w:rPr>
                <w:rFonts w:ascii="宋体" w:hAnsi="宋体" w:cs="宋体"/>
                <w:kern w:val="0"/>
                <w:szCs w:val="21"/>
              </w:rPr>
            </w:pPr>
            <w:r>
              <w:rPr>
                <w:rFonts w:hint="eastAsia" w:ascii="宋体" w:hAnsi="宋体" w:cs="宋体"/>
                <w:kern w:val="0"/>
                <w:szCs w:val="21"/>
              </w:rPr>
              <w:t>曾耿滨</w:t>
            </w:r>
          </w:p>
        </w:tc>
        <w:tc>
          <w:tcPr>
            <w:tcW w:w="1198" w:type="dxa"/>
            <w:vAlign w:val="center"/>
          </w:tcPr>
          <w:p>
            <w:pPr>
              <w:jc w:val="center"/>
              <w:rPr>
                <w:rFonts w:ascii="宋体" w:hAnsi="宋体" w:cs="宋体"/>
                <w:kern w:val="0"/>
                <w:szCs w:val="21"/>
              </w:rPr>
            </w:pPr>
            <w:r>
              <w:rPr>
                <w:rFonts w:hint="eastAsia" w:ascii="宋体" w:hAnsi="宋体" w:cs="宋体"/>
                <w:kern w:val="0"/>
                <w:szCs w:val="21"/>
              </w:rPr>
              <w:t>行业专家</w:t>
            </w:r>
          </w:p>
        </w:tc>
        <w:tc>
          <w:tcPr>
            <w:tcW w:w="2695" w:type="dxa"/>
            <w:vAlign w:val="center"/>
          </w:tcPr>
          <w:p>
            <w:pPr>
              <w:widowControl/>
              <w:jc w:val="center"/>
              <w:rPr>
                <w:rFonts w:ascii="宋体" w:hAnsi="宋体" w:cs="宋体"/>
                <w:kern w:val="0"/>
                <w:szCs w:val="21"/>
              </w:rPr>
            </w:pPr>
            <w:r>
              <w:rPr>
                <w:rFonts w:hint="eastAsia" w:ascii="宋体" w:hAnsi="宋体" w:cs="宋体"/>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rFonts w:ascii="宋体" w:hAnsi="宋体" w:cs="宋体"/>
                <w:kern w:val="0"/>
                <w:szCs w:val="21"/>
              </w:rPr>
            </w:pPr>
            <w:r>
              <w:rPr>
                <w:rFonts w:hint="eastAsia" w:ascii="宋体" w:hAnsi="宋体" w:cs="宋体"/>
                <w:kern w:val="0"/>
                <w:szCs w:val="21"/>
              </w:rPr>
              <w:t>执笔教师</w:t>
            </w:r>
          </w:p>
        </w:tc>
        <w:tc>
          <w:tcPr>
            <w:tcW w:w="3441" w:type="dxa"/>
            <w:vAlign w:val="center"/>
          </w:tcPr>
          <w:p>
            <w:pPr>
              <w:widowControl/>
              <w:jc w:val="center"/>
              <w:rPr>
                <w:rFonts w:ascii="宋体" w:hAnsi="宋体" w:cs="宋体"/>
                <w:kern w:val="0"/>
                <w:szCs w:val="21"/>
              </w:rPr>
            </w:pPr>
            <w:r>
              <w:rPr>
                <w:rFonts w:hint="eastAsia" w:ascii="宋体" w:hAnsi="宋体" w:cs="宋体"/>
                <w:kern w:val="0"/>
                <w:szCs w:val="21"/>
              </w:rPr>
              <w:t>卢庆杰</w:t>
            </w:r>
          </w:p>
        </w:tc>
        <w:tc>
          <w:tcPr>
            <w:tcW w:w="1198" w:type="dxa"/>
            <w:vAlign w:val="center"/>
          </w:tcPr>
          <w:p>
            <w:pPr>
              <w:widowControl/>
              <w:jc w:val="center"/>
              <w:rPr>
                <w:rFonts w:ascii="宋体" w:hAnsi="宋体" w:cs="宋体"/>
                <w:kern w:val="0"/>
                <w:szCs w:val="21"/>
              </w:rPr>
            </w:pPr>
            <w:r>
              <w:rPr>
                <w:rFonts w:hint="eastAsia" w:ascii="宋体" w:hAnsi="宋体" w:cs="宋体"/>
                <w:kern w:val="0"/>
                <w:szCs w:val="21"/>
              </w:rPr>
              <w:t>责任教授</w:t>
            </w:r>
          </w:p>
        </w:tc>
        <w:tc>
          <w:tcPr>
            <w:tcW w:w="2695" w:type="dxa"/>
            <w:vAlign w:val="center"/>
          </w:tcPr>
          <w:p>
            <w:pPr>
              <w:widowControl/>
              <w:jc w:val="center"/>
              <w:rPr>
                <w:rFonts w:ascii="宋体" w:hAnsi="宋体" w:cs="宋体"/>
                <w:kern w:val="0"/>
                <w:szCs w:val="21"/>
              </w:rPr>
            </w:pPr>
            <w:r>
              <w:rPr>
                <w:rFonts w:hint="eastAsia" w:ascii="宋体" w:hAnsi="宋体" w:cs="宋体"/>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rFonts w:ascii="宋体" w:hAnsi="宋体" w:cs="宋体"/>
                <w:kern w:val="0"/>
                <w:szCs w:val="21"/>
              </w:rPr>
            </w:pPr>
            <w:r>
              <w:rPr>
                <w:rFonts w:hint="eastAsia" w:ascii="宋体" w:hAnsi="宋体" w:cs="宋体"/>
                <w:kern w:val="0"/>
                <w:szCs w:val="21"/>
              </w:rPr>
              <w:t>适用专业</w:t>
            </w:r>
          </w:p>
        </w:tc>
        <w:tc>
          <w:tcPr>
            <w:tcW w:w="3441" w:type="dxa"/>
            <w:vAlign w:val="center"/>
          </w:tcPr>
          <w:p>
            <w:pPr>
              <w:widowControl/>
              <w:jc w:val="center"/>
              <w:rPr>
                <w:rFonts w:ascii="宋体" w:hAnsi="宋体" w:cs="宋体"/>
                <w:kern w:val="0"/>
                <w:szCs w:val="21"/>
              </w:rPr>
            </w:pPr>
            <w:r>
              <w:rPr>
                <w:rFonts w:hint="eastAsia" w:ascii="宋体" w:hAnsi="宋体" w:cs="宋体"/>
                <w:kern w:val="0"/>
                <w:szCs w:val="21"/>
              </w:rPr>
              <w:t>电子信息工程</w:t>
            </w:r>
          </w:p>
        </w:tc>
        <w:tc>
          <w:tcPr>
            <w:tcW w:w="1198" w:type="dxa"/>
            <w:vAlign w:val="center"/>
          </w:tcPr>
          <w:p>
            <w:pPr>
              <w:widowControl/>
              <w:jc w:val="center"/>
              <w:rPr>
                <w:rFonts w:ascii="宋体" w:hAnsi="宋体" w:cs="宋体"/>
                <w:kern w:val="0"/>
                <w:szCs w:val="21"/>
              </w:rPr>
            </w:pPr>
            <w:r>
              <w:rPr>
                <w:rFonts w:hint="eastAsia" w:ascii="宋体" w:hAnsi="宋体" w:cs="宋体"/>
                <w:kern w:val="0"/>
                <w:szCs w:val="21"/>
              </w:rPr>
              <w:t>适用对象</w:t>
            </w:r>
          </w:p>
        </w:tc>
        <w:tc>
          <w:tcPr>
            <w:tcW w:w="2695" w:type="dxa"/>
            <w:vAlign w:val="center"/>
          </w:tcPr>
          <w:p>
            <w:pPr>
              <w:widowControl/>
              <w:jc w:val="center"/>
              <w:rPr>
                <w:rFonts w:ascii="宋体" w:hAnsi="宋体" w:cs="宋体"/>
                <w:kern w:val="0"/>
                <w:szCs w:val="21"/>
              </w:rPr>
            </w:pPr>
            <w:r>
              <w:rPr>
                <w:rFonts w:hint="eastAsia" w:ascii="宋体" w:hAnsi="宋体" w:cs="宋体"/>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先修课程</w:t>
            </w:r>
          </w:p>
        </w:tc>
        <w:tc>
          <w:tcPr>
            <w:tcW w:w="3441" w:type="dxa"/>
            <w:vAlign w:val="center"/>
          </w:tcPr>
          <w:p>
            <w:pPr>
              <w:widowControl/>
              <w:jc w:val="center"/>
              <w:rPr>
                <w:rFonts w:ascii="宋体" w:hAnsi="宋体" w:cs="宋体"/>
                <w:kern w:val="0"/>
                <w:szCs w:val="21"/>
              </w:rPr>
            </w:pPr>
            <w:r>
              <w:rPr>
                <w:rFonts w:hint="eastAsia" w:ascii="宋体" w:hAnsi="宋体" w:cs="宋体"/>
                <w:kern w:val="0"/>
                <w:szCs w:val="21"/>
              </w:rPr>
              <w:t>无</w:t>
            </w:r>
          </w:p>
        </w:tc>
        <w:tc>
          <w:tcPr>
            <w:tcW w:w="1198" w:type="dxa"/>
            <w:vAlign w:val="center"/>
          </w:tcPr>
          <w:p>
            <w:pPr>
              <w:snapToGrid w:val="0"/>
              <w:jc w:val="center"/>
              <w:rPr>
                <w:rFonts w:ascii="宋体" w:hAnsi="宋体" w:cs="宋体"/>
                <w:kern w:val="0"/>
                <w:szCs w:val="21"/>
              </w:rPr>
            </w:pPr>
            <w:r>
              <w:rPr>
                <w:rFonts w:hint="eastAsia" w:ascii="宋体" w:hAnsi="宋体" w:cs="宋体"/>
                <w:kern w:val="0"/>
                <w:szCs w:val="21"/>
              </w:rPr>
              <w:t>同修课程</w:t>
            </w:r>
          </w:p>
        </w:tc>
        <w:tc>
          <w:tcPr>
            <w:tcW w:w="2695" w:type="dxa"/>
            <w:vAlign w:val="center"/>
          </w:tcPr>
          <w:p>
            <w:pPr>
              <w:widowControl/>
              <w:jc w:val="center"/>
              <w:rPr>
                <w:rFonts w:ascii="宋体" w:hAnsi="宋体" w:cs="宋体"/>
                <w:kern w:val="0"/>
                <w:szCs w:val="21"/>
              </w:rPr>
            </w:pPr>
            <w:r>
              <w:rPr>
                <w:rFonts w:hint="eastAsia" w:ascii="宋体" w:hAnsi="宋体" w:cs="宋体"/>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rFonts w:ascii="宋体" w:hAnsi="宋体" w:cs="宋体"/>
                <w:kern w:val="0"/>
                <w:szCs w:val="21"/>
              </w:rPr>
            </w:pPr>
            <w:r>
              <w:rPr>
                <w:rFonts w:hint="eastAsia" w:ascii="宋体" w:hAnsi="宋体" w:cs="宋体"/>
                <w:kern w:val="0"/>
                <w:szCs w:val="21"/>
              </w:rPr>
              <w:t>排斥课程</w:t>
            </w:r>
          </w:p>
        </w:tc>
        <w:tc>
          <w:tcPr>
            <w:tcW w:w="3441" w:type="dxa"/>
            <w:vAlign w:val="center"/>
          </w:tcPr>
          <w:p>
            <w:pPr>
              <w:widowControl/>
              <w:jc w:val="center"/>
              <w:rPr>
                <w:rFonts w:ascii="宋体" w:hAnsi="宋体" w:cs="宋体"/>
                <w:kern w:val="0"/>
                <w:szCs w:val="21"/>
              </w:rPr>
            </w:pPr>
            <w:r>
              <w:rPr>
                <w:rFonts w:hint="eastAsia" w:ascii="宋体" w:hAnsi="宋体" w:cs="宋体"/>
                <w:kern w:val="0"/>
                <w:szCs w:val="21"/>
              </w:rPr>
              <w:t>无</w:t>
            </w:r>
          </w:p>
        </w:tc>
        <w:tc>
          <w:tcPr>
            <w:tcW w:w="1198" w:type="dxa"/>
            <w:vAlign w:val="center"/>
          </w:tcPr>
          <w:p>
            <w:pPr>
              <w:snapToGrid w:val="0"/>
              <w:jc w:val="center"/>
              <w:rPr>
                <w:rFonts w:ascii="宋体" w:hAnsi="宋体" w:cs="宋体"/>
                <w:kern w:val="0"/>
                <w:szCs w:val="21"/>
              </w:rPr>
            </w:pPr>
            <w:r>
              <w:rPr>
                <w:rFonts w:hint="eastAsia" w:ascii="宋体" w:hAnsi="宋体" w:cs="宋体"/>
                <w:kern w:val="0"/>
                <w:szCs w:val="21"/>
              </w:rPr>
              <w:t>定稿日期</w:t>
            </w:r>
          </w:p>
        </w:tc>
        <w:tc>
          <w:tcPr>
            <w:tcW w:w="2695" w:type="dxa"/>
            <w:vAlign w:val="center"/>
          </w:tcPr>
          <w:p>
            <w:pPr>
              <w:widowControl/>
              <w:jc w:val="center"/>
              <w:rPr>
                <w:rFonts w:ascii="宋体" w:hAnsi="宋体" w:cs="宋体"/>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rFonts w:hint="eastAsia"/>
          <w:szCs w:val="21"/>
        </w:rPr>
        <w:t>《数学物理</w:t>
      </w:r>
      <w:r>
        <w:rPr>
          <w:szCs w:val="21"/>
        </w:rPr>
        <w:t>方程</w:t>
      </w:r>
      <w:r>
        <w:rPr>
          <w:rFonts w:hint="eastAsia"/>
          <w:sz w:val="20"/>
          <w:szCs w:val="21"/>
        </w:rPr>
        <w:t>》是</w:t>
      </w:r>
      <w:r>
        <w:rPr>
          <w:sz w:val="20"/>
          <w:szCs w:val="21"/>
        </w:rPr>
        <w:t>电子</w:t>
      </w:r>
      <w:r>
        <w:rPr>
          <w:rFonts w:hint="eastAsia"/>
          <w:sz w:val="20"/>
          <w:szCs w:val="21"/>
        </w:rPr>
        <w:t>信息</w:t>
      </w:r>
      <w:r>
        <w:rPr>
          <w:sz w:val="20"/>
          <w:szCs w:val="21"/>
        </w:rPr>
        <w:t>工程专业</w:t>
      </w:r>
      <w:r>
        <w:rPr>
          <w:rFonts w:hint="eastAsia"/>
          <w:sz w:val="20"/>
          <w:szCs w:val="21"/>
        </w:rPr>
        <w:t>的基础数学</w:t>
      </w:r>
      <w:r>
        <w:rPr>
          <w:sz w:val="20"/>
          <w:szCs w:val="21"/>
        </w:rPr>
        <w:t>课程。</w:t>
      </w:r>
      <w:r>
        <w:rPr>
          <w:rFonts w:hint="eastAsia"/>
          <w:sz w:val="20"/>
          <w:szCs w:val="21"/>
        </w:rPr>
        <w:t>数理</w:t>
      </w:r>
      <w:r>
        <w:rPr>
          <w:sz w:val="20"/>
          <w:szCs w:val="21"/>
        </w:rPr>
        <w:t>方程</w:t>
      </w:r>
      <w:r>
        <w:rPr>
          <w:rFonts w:hint="eastAsia"/>
          <w:sz w:val="20"/>
          <w:szCs w:val="21"/>
        </w:rPr>
        <w:t>主要</w:t>
      </w:r>
      <w:r>
        <w:rPr>
          <w:sz w:val="20"/>
          <w:szCs w:val="21"/>
        </w:rPr>
        <w:t>是指在物理学、力学以及工程技术中常见的一些偏微分方程。</w:t>
      </w:r>
      <w:r>
        <w:rPr>
          <w:rFonts w:hint="eastAsia"/>
          <w:sz w:val="20"/>
          <w:szCs w:val="21"/>
        </w:rPr>
        <w:t>它们</w:t>
      </w:r>
      <w:r>
        <w:rPr>
          <w:sz w:val="20"/>
          <w:szCs w:val="21"/>
        </w:rPr>
        <w:t>反映了有关的未知</w:t>
      </w:r>
      <w:r>
        <w:rPr>
          <w:rFonts w:hint="eastAsia"/>
          <w:sz w:val="20"/>
          <w:szCs w:val="21"/>
        </w:rPr>
        <w:t>变量</w:t>
      </w:r>
      <w:r>
        <w:rPr>
          <w:sz w:val="20"/>
          <w:szCs w:val="21"/>
        </w:rPr>
        <w:t>关于时间的导数与空间变量的导数之间的制约关系</w:t>
      </w:r>
      <w:r>
        <w:rPr>
          <w:rFonts w:hint="eastAsia"/>
          <w:sz w:val="20"/>
          <w:szCs w:val="21"/>
        </w:rPr>
        <w:t>。</w:t>
      </w:r>
      <w:r>
        <w:rPr>
          <w:sz w:val="20"/>
          <w:szCs w:val="21"/>
        </w:rPr>
        <w:t>通过</w:t>
      </w:r>
      <w:r>
        <w:rPr>
          <w:rFonts w:hint="eastAsia"/>
          <w:sz w:val="20"/>
          <w:szCs w:val="21"/>
        </w:rPr>
        <w:t>本课程</w:t>
      </w:r>
      <w:r>
        <w:rPr>
          <w:sz w:val="20"/>
          <w:szCs w:val="21"/>
        </w:rPr>
        <w:t>的学</w:t>
      </w:r>
      <w:r>
        <w:rPr>
          <w:rFonts w:hint="eastAsia"/>
          <w:sz w:val="20"/>
          <w:szCs w:val="21"/>
        </w:rPr>
        <w:t>习</w:t>
      </w:r>
      <w:r>
        <w:rPr>
          <w:sz w:val="20"/>
          <w:szCs w:val="21"/>
        </w:rPr>
        <w:t>，要求学生掌握数学物理方程的基本知识、解偏微分方程的经典方法与技巧。</w:t>
      </w:r>
      <w:r>
        <w:rPr>
          <w:rFonts w:hint="eastAsia"/>
          <w:sz w:val="20"/>
          <w:szCs w:val="21"/>
        </w:rPr>
        <w:t>教学</w:t>
      </w:r>
      <w:r>
        <w:rPr>
          <w:sz w:val="20"/>
          <w:szCs w:val="21"/>
        </w:rPr>
        <w:t>内容方面</w:t>
      </w:r>
      <w:r>
        <w:rPr>
          <w:rFonts w:hint="eastAsia"/>
          <w:sz w:val="20"/>
          <w:szCs w:val="21"/>
        </w:rPr>
        <w:t>，</w:t>
      </w:r>
      <w:r>
        <w:rPr>
          <w:sz w:val="20"/>
          <w:szCs w:val="21"/>
        </w:rPr>
        <w:t>课程从常微分方程的一般理论和级数</w:t>
      </w:r>
      <w:r>
        <w:rPr>
          <w:rFonts w:hint="eastAsia"/>
          <w:sz w:val="20"/>
          <w:szCs w:val="21"/>
        </w:rPr>
        <w:t>解法出发</w:t>
      </w:r>
      <w:r>
        <w:rPr>
          <w:sz w:val="20"/>
          <w:szCs w:val="21"/>
        </w:rPr>
        <w:t>，讨论边值</w:t>
      </w:r>
      <w:r>
        <w:rPr>
          <w:rFonts w:hint="eastAsia"/>
          <w:sz w:val="20"/>
          <w:szCs w:val="21"/>
        </w:rPr>
        <w:t>问题</w:t>
      </w:r>
      <w:r>
        <w:rPr>
          <w:sz w:val="20"/>
          <w:szCs w:val="21"/>
        </w:rPr>
        <w:t>，并引出物理和数学上常用的贝塞尔函数和勒让德多项式。更进一步</w:t>
      </w:r>
      <w:r>
        <w:rPr>
          <w:rFonts w:hint="eastAsia"/>
          <w:sz w:val="20"/>
          <w:szCs w:val="21"/>
        </w:rPr>
        <w:t>，</w:t>
      </w:r>
      <w:r>
        <w:rPr>
          <w:sz w:val="20"/>
          <w:szCs w:val="21"/>
        </w:rPr>
        <w:t>课程</w:t>
      </w:r>
      <w:r>
        <w:rPr>
          <w:rFonts w:hint="eastAsia"/>
          <w:sz w:val="20"/>
          <w:szCs w:val="21"/>
        </w:rPr>
        <w:t>将</w:t>
      </w:r>
      <w:r>
        <w:rPr>
          <w:sz w:val="20"/>
          <w:szCs w:val="21"/>
        </w:rPr>
        <w:t>从电磁学、声学、流体力学、量子力学的一些问题出发，确定波动方程、热传递方程、泊松方程、拉普拉斯方程等偏微分方程的定解问题，并通过分离变量方法，讨论这些方程在直角坐标系、极坐标系和柱坐标系、求坐标系中</w:t>
      </w:r>
      <w:r>
        <w:rPr>
          <w:rFonts w:hint="eastAsia"/>
          <w:sz w:val="20"/>
          <w:szCs w:val="21"/>
        </w:rPr>
        <w:t>解</w:t>
      </w:r>
      <w:r>
        <w:rPr>
          <w:sz w:val="20"/>
          <w:szCs w:val="21"/>
        </w:rPr>
        <w:t>的性质。</w:t>
      </w:r>
    </w:p>
    <w:p>
      <w:pPr>
        <w:snapToGrid w:val="0"/>
        <w:spacing w:before="156" w:beforeLines="50" w:after="156" w:afterLines="50" w:line="300" w:lineRule="auto"/>
        <w:rPr>
          <w:b/>
          <w:sz w:val="24"/>
        </w:rPr>
      </w:pPr>
      <w:r>
        <w:rPr>
          <w:b/>
          <w:sz w:val="24"/>
        </w:rPr>
        <w:t>二、课程教学目标</w:t>
      </w:r>
    </w:p>
    <w:p>
      <w:pPr>
        <w:widowControl/>
        <w:spacing w:line="360" w:lineRule="exact"/>
        <w:ind w:firstLine="420" w:firstLineChars="200"/>
        <w:jc w:val="left"/>
        <w:rPr>
          <w:kern w:val="0"/>
          <w:szCs w:val="21"/>
        </w:rPr>
      </w:pPr>
      <w:r>
        <w:rPr>
          <w:rFonts w:hint="eastAsia"/>
          <w:szCs w:val="21"/>
        </w:rPr>
        <w:t>数学物理</w:t>
      </w:r>
      <w:r>
        <w:rPr>
          <w:szCs w:val="21"/>
        </w:rPr>
        <w:t>微分</w:t>
      </w:r>
      <w:r>
        <w:rPr>
          <w:rFonts w:hint="eastAsia"/>
          <w:szCs w:val="21"/>
        </w:rPr>
        <w:t>方程是系统培养电子专业</w:t>
      </w:r>
      <w:r>
        <w:rPr>
          <w:szCs w:val="21"/>
        </w:rPr>
        <w:t>人才</w:t>
      </w:r>
      <w:r>
        <w:rPr>
          <w:rFonts w:hint="eastAsia"/>
          <w:szCs w:val="21"/>
        </w:rPr>
        <w:t>重要的基础课程之一。本课程</w:t>
      </w:r>
      <w:r>
        <w:rPr>
          <w:szCs w:val="21"/>
        </w:rPr>
        <w:t>将尽可能地结合物理背景，系统地对</w:t>
      </w:r>
      <w:r>
        <w:rPr>
          <w:rFonts w:hint="eastAsia"/>
          <w:szCs w:val="21"/>
        </w:rPr>
        <w:t>几类</w:t>
      </w:r>
      <w:r>
        <w:rPr>
          <w:szCs w:val="21"/>
        </w:rPr>
        <w:t>典型方程</w:t>
      </w:r>
      <w:r>
        <w:rPr>
          <w:rFonts w:hint="eastAsia"/>
          <w:szCs w:val="21"/>
        </w:rPr>
        <w:t>数学</w:t>
      </w:r>
      <w:r>
        <w:rPr>
          <w:szCs w:val="21"/>
        </w:rPr>
        <w:t>结构</w:t>
      </w:r>
      <w:r>
        <w:rPr>
          <w:rFonts w:hint="eastAsia"/>
          <w:szCs w:val="21"/>
        </w:rPr>
        <w:t>、求解</w:t>
      </w:r>
      <w:r>
        <w:rPr>
          <w:szCs w:val="21"/>
        </w:rPr>
        <w:t>方法</w:t>
      </w:r>
      <w:r>
        <w:rPr>
          <w:rFonts w:hint="eastAsia"/>
          <w:szCs w:val="21"/>
        </w:rPr>
        <w:t>及物理</w:t>
      </w:r>
      <w:r>
        <w:rPr>
          <w:szCs w:val="21"/>
        </w:rPr>
        <w:t>意义进行</w:t>
      </w:r>
      <w:r>
        <w:rPr>
          <w:rFonts w:hint="eastAsia"/>
          <w:szCs w:val="21"/>
        </w:rPr>
        <w:t>详细</w:t>
      </w:r>
      <w:r>
        <w:rPr>
          <w:szCs w:val="21"/>
        </w:rPr>
        <w:t>的阐述。</w:t>
      </w:r>
      <w:r>
        <w:rPr>
          <w:rFonts w:hint="eastAsia"/>
          <w:szCs w:val="21"/>
        </w:rPr>
        <w:t>通过本课程</w:t>
      </w:r>
      <w:r>
        <w:rPr>
          <w:szCs w:val="21"/>
        </w:rPr>
        <w:t>的学习，使学生掌握处理物理问题的一些基本数学方法，为进一步</w:t>
      </w:r>
      <w:r>
        <w:rPr>
          <w:rFonts w:hint="eastAsia"/>
          <w:szCs w:val="21"/>
        </w:rPr>
        <w:t>了解和</w:t>
      </w:r>
      <w:r>
        <w:rPr>
          <w:szCs w:val="21"/>
        </w:rPr>
        <w:t>应用</w:t>
      </w:r>
      <w:r>
        <w:rPr>
          <w:rFonts w:hint="eastAsia"/>
          <w:szCs w:val="21"/>
        </w:rPr>
        <w:t>现代</w:t>
      </w:r>
      <w:r>
        <w:rPr>
          <w:szCs w:val="21"/>
        </w:rPr>
        <w:t>微分方程的有关内容提供重要帮助。</w:t>
      </w:r>
      <w:r>
        <w:rPr>
          <w:rFonts w:hint="eastAsia"/>
          <w:szCs w:val="21"/>
        </w:rPr>
        <w:t>通过本课程</w:t>
      </w:r>
      <w:r>
        <w:rPr>
          <w:szCs w:val="21"/>
        </w:rPr>
        <w:t>的教学使学生获得有关偏微分的一些基本概念、基本方法，掌握三个典型方程定解问题的解法，为后续课程进一步扩大数学知识面提供了必要的数学基础。</w:t>
      </w:r>
    </w:p>
    <w:p>
      <w:pPr>
        <w:widowControl/>
        <w:spacing w:line="360" w:lineRule="exact"/>
        <w:ind w:firstLine="420" w:firstLineChars="200"/>
        <w:jc w:val="left"/>
        <w:rPr>
          <w:kern w:val="0"/>
          <w:szCs w:val="21"/>
        </w:rPr>
      </w:pPr>
      <w:r>
        <w:rPr>
          <w:kern w:val="0"/>
          <w:szCs w:val="21"/>
        </w:rPr>
        <w:t>1.</w:t>
      </w:r>
      <w:r>
        <w:rPr>
          <w:rFonts w:hint="eastAsia" w:cs="宋体"/>
          <w:kern w:val="0"/>
          <w:szCs w:val="21"/>
        </w:rPr>
        <w:t>了解数理</w:t>
      </w:r>
      <w:r>
        <w:rPr>
          <w:rFonts w:cs="宋体"/>
          <w:kern w:val="0"/>
          <w:szCs w:val="21"/>
        </w:rPr>
        <w:t>微</w:t>
      </w:r>
      <w:r>
        <w:rPr>
          <w:rFonts w:hint="eastAsia" w:cs="宋体"/>
          <w:kern w:val="0"/>
          <w:szCs w:val="21"/>
        </w:rPr>
        <w:t>分</w:t>
      </w:r>
      <w:r>
        <w:rPr>
          <w:rFonts w:cs="宋体"/>
          <w:kern w:val="0"/>
          <w:szCs w:val="21"/>
        </w:rPr>
        <w:t>方程基本概念，主要有：三类典型方程的建立及其定解问题的提法，定解条件的物理意义</w:t>
      </w:r>
      <w:r>
        <w:rPr>
          <w:rFonts w:hint="eastAsia" w:cs="宋体"/>
          <w:kern w:val="0"/>
          <w:szCs w:val="21"/>
        </w:rPr>
        <w:t>；</w:t>
      </w:r>
      <w:r>
        <w:rPr>
          <w:rFonts w:cs="宋体"/>
          <w:kern w:val="0"/>
          <w:szCs w:val="21"/>
        </w:rPr>
        <w:t>偏微分方程的解、阶、维数、线性与非线性、齐次与非齐次的概念，线性问题的叠加原理</w:t>
      </w:r>
      <w:r>
        <w:rPr>
          <w:rFonts w:hint="eastAsia" w:cs="宋体"/>
          <w:kern w:val="0"/>
          <w:szCs w:val="21"/>
        </w:rPr>
        <w:t>；</w:t>
      </w:r>
      <w:r>
        <w:rPr>
          <w:rFonts w:cs="宋体"/>
          <w:kern w:val="0"/>
          <w:szCs w:val="21"/>
        </w:rPr>
        <w:t>施特姆-刘维尔固有</w:t>
      </w:r>
      <w:r>
        <w:rPr>
          <w:rFonts w:hint="eastAsia" w:cs="宋体"/>
          <w:kern w:val="0"/>
          <w:szCs w:val="21"/>
        </w:rPr>
        <w:t>值</w:t>
      </w:r>
      <w:r>
        <w:rPr>
          <w:rFonts w:cs="宋体"/>
          <w:kern w:val="0"/>
          <w:szCs w:val="21"/>
        </w:rPr>
        <w:t>理论要点（</w:t>
      </w:r>
      <w:r>
        <w:rPr>
          <w:rFonts w:hint="eastAsia" w:cs="宋体"/>
          <w:kern w:val="0"/>
          <w:szCs w:val="21"/>
        </w:rPr>
        <w:t>固有值</w:t>
      </w:r>
      <w:r>
        <w:rPr>
          <w:rFonts w:cs="宋体"/>
          <w:kern w:val="0"/>
          <w:szCs w:val="21"/>
        </w:rPr>
        <w:t>的存在与分布，固有系数</w:t>
      </w:r>
      <w:r>
        <w:rPr>
          <w:rFonts w:hint="eastAsia" w:cs="宋体"/>
          <w:kern w:val="0"/>
          <w:szCs w:val="21"/>
        </w:rPr>
        <w:t>的</w:t>
      </w:r>
      <w:r>
        <w:rPr>
          <w:rFonts w:cs="宋体"/>
          <w:kern w:val="0"/>
          <w:szCs w:val="21"/>
        </w:rPr>
        <w:t>正交性，函数按固有</w:t>
      </w:r>
      <w:r>
        <w:rPr>
          <w:rFonts w:hint="eastAsia" w:cs="宋体"/>
          <w:kern w:val="0"/>
          <w:szCs w:val="21"/>
        </w:rPr>
        <w:t>函数</w:t>
      </w:r>
      <w:r>
        <w:rPr>
          <w:rFonts w:cs="宋体"/>
          <w:kern w:val="0"/>
          <w:szCs w:val="21"/>
        </w:rPr>
        <w:t>系展开）</w:t>
      </w:r>
      <w:r>
        <w:rPr>
          <w:rFonts w:hint="eastAsia" w:cs="宋体"/>
          <w:kern w:val="0"/>
          <w:szCs w:val="21"/>
        </w:rPr>
        <w:t>；调和</w:t>
      </w:r>
      <w:r>
        <w:rPr>
          <w:rFonts w:cs="宋体"/>
          <w:kern w:val="0"/>
          <w:szCs w:val="21"/>
        </w:rPr>
        <w:t>函数的概念及其基本性质</w:t>
      </w:r>
      <w:r>
        <w:rPr>
          <w:rFonts w:hint="eastAsia"/>
          <w:kern w:val="0"/>
          <w:szCs w:val="21"/>
        </w:rPr>
        <w:t>。</w:t>
      </w:r>
      <w:r>
        <w:rPr>
          <w:rFonts w:hint="eastAsia" w:cs="宋体"/>
          <w:kern w:val="0"/>
          <w:szCs w:val="21"/>
        </w:rPr>
        <w:t>[</w:t>
      </w:r>
      <w:r>
        <w:rPr>
          <w:rFonts w:cs="宋体"/>
          <w:kern w:val="0"/>
          <w:szCs w:val="21"/>
        </w:rPr>
        <w:t>1</w:t>
      </w:r>
      <w:r>
        <w:rPr>
          <w:rFonts w:hint="eastAsia" w:cs="宋体"/>
          <w:kern w:val="0"/>
          <w:szCs w:val="21"/>
        </w:rPr>
        <w:t>.</w:t>
      </w:r>
      <w:r>
        <w:rPr>
          <w:rFonts w:cs="宋体"/>
          <w:kern w:val="0"/>
          <w:szCs w:val="21"/>
        </w:rPr>
        <w:t>1]</w:t>
      </w:r>
    </w:p>
    <w:p>
      <w:pPr>
        <w:widowControl/>
        <w:spacing w:line="360" w:lineRule="exact"/>
        <w:ind w:firstLine="420" w:firstLineChars="200"/>
        <w:jc w:val="left"/>
        <w:rPr>
          <w:szCs w:val="21"/>
        </w:rPr>
      </w:pPr>
      <w:r>
        <w:rPr>
          <w:rFonts w:hint="eastAsia"/>
          <w:kern w:val="0"/>
          <w:szCs w:val="21"/>
        </w:rPr>
        <w:t>2.掌握基本</w:t>
      </w:r>
      <w:r>
        <w:rPr>
          <w:kern w:val="0"/>
          <w:szCs w:val="21"/>
        </w:rPr>
        <w:t>解法，主要有：会用分离变量法解</w:t>
      </w:r>
      <w:r>
        <w:rPr>
          <w:rFonts w:hint="eastAsia"/>
          <w:kern w:val="0"/>
          <w:szCs w:val="21"/>
        </w:rPr>
        <w:t>有</w:t>
      </w:r>
      <w:r>
        <w:rPr>
          <w:kern w:val="0"/>
          <w:szCs w:val="21"/>
        </w:rPr>
        <w:t>界弦自由振动问题、有限长杆上热传</w:t>
      </w:r>
      <w:r>
        <w:rPr>
          <w:rFonts w:hint="eastAsia"/>
          <w:kern w:val="0"/>
          <w:szCs w:val="21"/>
        </w:rPr>
        <w:t>导</w:t>
      </w:r>
      <w:r>
        <w:rPr>
          <w:kern w:val="0"/>
          <w:szCs w:val="21"/>
        </w:rPr>
        <w:t>问题以及矩形域、圆形域内拉普拉斯</w:t>
      </w:r>
      <w:r>
        <w:rPr>
          <w:rFonts w:hint="eastAsia"/>
          <w:kern w:val="0"/>
          <w:szCs w:val="21"/>
        </w:rPr>
        <w:t>狄</w:t>
      </w:r>
      <w:r>
        <w:rPr>
          <w:kern w:val="0"/>
          <w:szCs w:val="21"/>
        </w:rPr>
        <w:t>利克雷问题；会用固有函数法解非齐次方程</w:t>
      </w:r>
      <w:r>
        <w:rPr>
          <w:rFonts w:hint="eastAsia"/>
          <w:kern w:val="0"/>
          <w:szCs w:val="21"/>
        </w:rPr>
        <w:t>的</w:t>
      </w:r>
      <w:r>
        <w:rPr>
          <w:kern w:val="0"/>
          <w:szCs w:val="21"/>
        </w:rPr>
        <w:t>定值问题，会用辅助函数和叠加原理处理非齐次边值问题；会用行波法解无界弦自由振动问题；会用傅里叶变换法及拉普拉斯</w:t>
      </w:r>
      <w:r>
        <w:rPr>
          <w:szCs w:val="21"/>
        </w:rPr>
        <w:t>变</w:t>
      </w:r>
      <w:r>
        <w:rPr>
          <w:rFonts w:hint="eastAsia"/>
          <w:szCs w:val="21"/>
        </w:rPr>
        <w:t>换</w:t>
      </w:r>
      <w:r>
        <w:rPr>
          <w:szCs w:val="21"/>
        </w:rPr>
        <w:t>法</w:t>
      </w:r>
      <w:r>
        <w:rPr>
          <w:rFonts w:hint="eastAsia"/>
          <w:szCs w:val="21"/>
        </w:rPr>
        <w:t>解无</w:t>
      </w:r>
      <w:r>
        <w:rPr>
          <w:szCs w:val="21"/>
        </w:rPr>
        <w:t>界域上的热传导</w:t>
      </w:r>
      <w:r>
        <w:rPr>
          <w:rFonts w:hint="eastAsia"/>
          <w:szCs w:val="21"/>
        </w:rPr>
        <w:t>问题</w:t>
      </w:r>
      <w:r>
        <w:rPr>
          <w:szCs w:val="21"/>
        </w:rPr>
        <w:t>及</w:t>
      </w:r>
      <w:r>
        <w:rPr>
          <w:rFonts w:hint="eastAsia"/>
          <w:szCs w:val="21"/>
        </w:rPr>
        <w:t>弦</w:t>
      </w:r>
      <w:r>
        <w:rPr>
          <w:szCs w:val="21"/>
        </w:rPr>
        <w:t>振动问题</w:t>
      </w:r>
      <w:r>
        <w:rPr>
          <w:rFonts w:hint="eastAsia"/>
          <w:szCs w:val="21"/>
        </w:rPr>
        <w:t>。[2.1</w:t>
      </w:r>
      <w:r>
        <w:rPr>
          <w:szCs w:val="21"/>
        </w:rPr>
        <w:t>]</w:t>
      </w:r>
    </w:p>
    <w:p>
      <w:pPr>
        <w:widowControl/>
        <w:spacing w:line="360" w:lineRule="exact"/>
        <w:ind w:firstLine="420" w:firstLineChars="200"/>
        <w:jc w:val="left"/>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6028"/>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44" w:type="pct"/>
            <w:vAlign w:val="center"/>
          </w:tcPr>
          <w:p>
            <w:pPr>
              <w:snapToGrid w:val="0"/>
              <w:spacing w:line="300" w:lineRule="auto"/>
              <w:rPr>
                <w:b/>
                <w:bCs/>
                <w:sz w:val="18"/>
                <w:szCs w:val="18"/>
              </w:rPr>
            </w:pPr>
            <w:r>
              <w:rPr>
                <w:b/>
                <w:bCs/>
                <w:sz w:val="18"/>
                <w:szCs w:val="18"/>
              </w:rPr>
              <w:t>毕业要求</w:t>
            </w:r>
          </w:p>
        </w:tc>
        <w:tc>
          <w:tcPr>
            <w:tcW w:w="3643" w:type="pct"/>
            <w:vAlign w:val="center"/>
          </w:tcPr>
          <w:p>
            <w:pPr>
              <w:snapToGrid w:val="0"/>
              <w:spacing w:line="300" w:lineRule="auto"/>
              <w:jc w:val="center"/>
              <w:rPr>
                <w:b/>
                <w:bCs/>
                <w:sz w:val="18"/>
                <w:szCs w:val="18"/>
              </w:rPr>
            </w:pPr>
            <w:r>
              <w:rPr>
                <w:b/>
                <w:bCs/>
                <w:sz w:val="18"/>
                <w:szCs w:val="18"/>
              </w:rPr>
              <w:t>毕业要求指标点</w:t>
            </w:r>
          </w:p>
        </w:tc>
        <w:tc>
          <w:tcPr>
            <w:tcW w:w="613" w:type="pct"/>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vAlign w:val="center"/>
          </w:tcPr>
          <w:p>
            <w:pPr>
              <w:snapToGrid w:val="0"/>
              <w:spacing w:line="300" w:lineRule="auto"/>
              <w:rPr>
                <w:sz w:val="18"/>
                <w:szCs w:val="18"/>
              </w:rPr>
            </w:pPr>
            <w:r>
              <w:rPr>
                <w:sz w:val="18"/>
                <w:szCs w:val="18"/>
              </w:rPr>
              <w:t>1.</w:t>
            </w:r>
            <w:r>
              <w:rPr>
                <w:rFonts w:hint="eastAsia"/>
                <w:sz w:val="18"/>
                <w:szCs w:val="18"/>
              </w:rPr>
              <w:t>工程知识</w:t>
            </w:r>
          </w:p>
        </w:tc>
        <w:tc>
          <w:tcPr>
            <w:tcW w:w="3643" w:type="pct"/>
            <w:vAlign w:val="center"/>
          </w:tcPr>
          <w:p>
            <w:pPr>
              <w:snapToGrid w:val="0"/>
              <w:spacing w:line="300" w:lineRule="auto"/>
              <w:rPr>
                <w:sz w:val="18"/>
                <w:szCs w:val="18"/>
              </w:rPr>
            </w:pPr>
            <w:r>
              <w:rPr>
                <w:sz w:val="18"/>
                <w:szCs w:val="18"/>
              </w:rPr>
              <w:t>1</w:t>
            </w:r>
            <w:r>
              <w:rPr>
                <w:rFonts w:hint="eastAsia"/>
                <w:sz w:val="18"/>
                <w:szCs w:val="18"/>
              </w:rPr>
              <w:t>.</w:t>
            </w:r>
            <w:r>
              <w:rPr>
                <w:sz w:val="18"/>
                <w:szCs w:val="18"/>
              </w:rPr>
              <w:t>1</w:t>
            </w:r>
            <w:r>
              <w:rPr>
                <w:rFonts w:hint="eastAsia"/>
                <w:sz w:val="18"/>
                <w:szCs w:val="18"/>
              </w:rPr>
              <w:t>掌握电子信息工程专业理论和知识体系的数学和自然科学知识，将其应用于信息技术（</w:t>
            </w:r>
            <w:r>
              <w:rPr>
                <w:sz w:val="18"/>
                <w:szCs w:val="18"/>
              </w:rPr>
              <w:t>IT</w:t>
            </w:r>
            <w:r>
              <w:rPr>
                <w:rFonts w:hint="eastAsia"/>
                <w:sz w:val="18"/>
                <w:szCs w:val="18"/>
              </w:rPr>
              <w:t>）行业知识和专业知识的学习。</w:t>
            </w:r>
          </w:p>
        </w:tc>
        <w:tc>
          <w:tcPr>
            <w:tcW w:w="613" w:type="pct"/>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4" w:type="pct"/>
            <w:vAlign w:val="center"/>
          </w:tcPr>
          <w:p>
            <w:pPr>
              <w:snapToGrid w:val="0"/>
              <w:spacing w:line="300" w:lineRule="auto"/>
              <w:rPr>
                <w:sz w:val="18"/>
                <w:szCs w:val="18"/>
              </w:rPr>
            </w:pPr>
            <w:r>
              <w:rPr>
                <w:sz w:val="18"/>
                <w:szCs w:val="18"/>
              </w:rPr>
              <w:t>2.</w:t>
            </w:r>
            <w:r>
              <w:rPr>
                <w:rFonts w:hint="eastAsia"/>
                <w:sz w:val="18"/>
                <w:szCs w:val="18"/>
              </w:rPr>
              <w:t>问题分析</w:t>
            </w:r>
          </w:p>
        </w:tc>
        <w:tc>
          <w:tcPr>
            <w:tcW w:w="3643" w:type="pct"/>
            <w:vAlign w:val="center"/>
          </w:tcPr>
          <w:p>
            <w:pPr>
              <w:snapToGrid w:val="0"/>
              <w:spacing w:line="300" w:lineRule="auto"/>
              <w:rPr>
                <w:sz w:val="18"/>
                <w:szCs w:val="18"/>
              </w:rPr>
            </w:pPr>
            <w:r>
              <w:rPr>
                <w:sz w:val="18"/>
                <w:szCs w:val="18"/>
              </w:rPr>
              <w:t>2</w:t>
            </w:r>
            <w:r>
              <w:rPr>
                <w:rFonts w:hint="eastAsia"/>
                <w:sz w:val="18"/>
                <w:szCs w:val="18"/>
              </w:rPr>
              <w:t>.</w:t>
            </w:r>
            <w:r>
              <w:rPr>
                <w:sz w:val="18"/>
                <w:szCs w:val="18"/>
              </w:rPr>
              <w:t>1</w:t>
            </w:r>
            <w:r>
              <w:rPr>
                <w:rFonts w:hint="eastAsia"/>
                <w:sz w:val="18"/>
                <w:szCs w:val="18"/>
              </w:rPr>
              <w:t>具备应用数学、自然科学和工程科学的基本原理和方法，认识与判断电子信息工程（含海洋电子信息）相关领域复杂工程问题中的关键环节，使用数学模型和专业知识解释与描述复杂工程问题的能力。</w:t>
            </w:r>
          </w:p>
        </w:tc>
        <w:tc>
          <w:tcPr>
            <w:tcW w:w="613" w:type="pct"/>
            <w:vAlign w:val="center"/>
          </w:tcPr>
          <w:p>
            <w:pPr>
              <w:snapToGrid w:val="0"/>
              <w:spacing w:line="300" w:lineRule="auto"/>
              <w:jc w:val="center"/>
              <w:rPr>
                <w:sz w:val="18"/>
                <w:szCs w:val="18"/>
              </w:rPr>
            </w:pPr>
            <w:r>
              <w:rPr>
                <w:rFonts w:hint="eastAsia"/>
                <w:sz w:val="18"/>
                <w:szCs w:val="18"/>
              </w:rPr>
              <w:t>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2468"/>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8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37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03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w:t>
            </w:r>
            <w:r>
              <w:rPr>
                <w:rFonts w:hint="eastAsia"/>
                <w:sz w:val="18"/>
                <w:szCs w:val="18"/>
                <w:shd w:val="clear" w:color="auto" w:fill="FEFEFF"/>
              </w:rPr>
              <w:t>了解数理</w:t>
            </w:r>
            <w:r>
              <w:rPr>
                <w:sz w:val="18"/>
                <w:szCs w:val="18"/>
                <w:shd w:val="clear" w:color="auto" w:fill="FEFEFF"/>
              </w:rPr>
              <w:t>微</w:t>
            </w:r>
            <w:r>
              <w:rPr>
                <w:rFonts w:hint="eastAsia"/>
                <w:sz w:val="18"/>
                <w:szCs w:val="18"/>
                <w:shd w:val="clear" w:color="auto" w:fill="FEFEFF"/>
              </w:rPr>
              <w:t>分</w:t>
            </w:r>
            <w:r>
              <w:rPr>
                <w:sz w:val="18"/>
                <w:szCs w:val="18"/>
                <w:shd w:val="clear" w:color="auto" w:fill="FEFEFF"/>
              </w:rPr>
              <w:t>方程基本概念，主要有：三类典型方程的建立及其定解问题的提法，定解条件的物理意义</w:t>
            </w:r>
            <w:r>
              <w:rPr>
                <w:rFonts w:hint="eastAsia"/>
                <w:sz w:val="18"/>
                <w:szCs w:val="18"/>
                <w:shd w:val="clear" w:color="auto" w:fill="FEFEFF"/>
              </w:rPr>
              <w:t>；</w:t>
            </w:r>
            <w:r>
              <w:rPr>
                <w:sz w:val="18"/>
                <w:szCs w:val="18"/>
                <w:shd w:val="clear" w:color="auto" w:fill="FEFEFF"/>
              </w:rPr>
              <w:t>偏微分方程的解、阶、维数、线性与非线性、齐次与非齐次的概念，线性问题的叠加原理</w:t>
            </w:r>
            <w:r>
              <w:rPr>
                <w:rFonts w:hint="eastAsia"/>
                <w:sz w:val="18"/>
                <w:szCs w:val="18"/>
                <w:shd w:val="clear" w:color="auto" w:fill="FEFEFF"/>
              </w:rPr>
              <w:t>；</w:t>
            </w:r>
            <w:r>
              <w:rPr>
                <w:sz w:val="18"/>
                <w:szCs w:val="18"/>
                <w:shd w:val="clear" w:color="auto" w:fill="FEFEFF"/>
              </w:rPr>
              <w:t>施特姆-刘维尔固有</w:t>
            </w:r>
            <w:r>
              <w:rPr>
                <w:rFonts w:hint="eastAsia"/>
                <w:sz w:val="18"/>
                <w:szCs w:val="18"/>
                <w:shd w:val="clear" w:color="auto" w:fill="FEFEFF"/>
              </w:rPr>
              <w:t>值</w:t>
            </w:r>
            <w:r>
              <w:rPr>
                <w:sz w:val="18"/>
                <w:szCs w:val="18"/>
                <w:shd w:val="clear" w:color="auto" w:fill="FEFEFF"/>
              </w:rPr>
              <w:t>理论要点（</w:t>
            </w:r>
            <w:r>
              <w:rPr>
                <w:rFonts w:hint="eastAsia"/>
                <w:sz w:val="18"/>
                <w:szCs w:val="18"/>
                <w:shd w:val="clear" w:color="auto" w:fill="FEFEFF"/>
              </w:rPr>
              <w:t>固有值</w:t>
            </w:r>
            <w:r>
              <w:rPr>
                <w:sz w:val="18"/>
                <w:szCs w:val="18"/>
                <w:shd w:val="clear" w:color="auto" w:fill="FEFEFF"/>
              </w:rPr>
              <w:t>的存在与分布，固有系数</w:t>
            </w:r>
            <w:r>
              <w:rPr>
                <w:rFonts w:hint="eastAsia"/>
                <w:sz w:val="18"/>
                <w:szCs w:val="18"/>
                <w:shd w:val="clear" w:color="auto" w:fill="FEFEFF"/>
              </w:rPr>
              <w:t>的</w:t>
            </w:r>
            <w:r>
              <w:rPr>
                <w:sz w:val="18"/>
                <w:szCs w:val="18"/>
                <w:shd w:val="clear" w:color="auto" w:fill="FEFEFF"/>
              </w:rPr>
              <w:t>正交性，函数按固有</w:t>
            </w:r>
            <w:r>
              <w:rPr>
                <w:rFonts w:hint="eastAsia"/>
                <w:sz w:val="18"/>
                <w:szCs w:val="18"/>
                <w:shd w:val="clear" w:color="auto" w:fill="FEFEFF"/>
              </w:rPr>
              <w:t>函数</w:t>
            </w:r>
            <w:r>
              <w:rPr>
                <w:sz w:val="18"/>
                <w:szCs w:val="18"/>
                <w:shd w:val="clear" w:color="auto" w:fill="FEFEFF"/>
              </w:rPr>
              <w:t>系展开）</w:t>
            </w:r>
            <w:r>
              <w:rPr>
                <w:rFonts w:hint="eastAsia"/>
                <w:sz w:val="18"/>
                <w:szCs w:val="18"/>
                <w:shd w:val="clear" w:color="auto" w:fill="FEFEFF"/>
              </w:rPr>
              <w:t>；调和</w:t>
            </w:r>
            <w:r>
              <w:rPr>
                <w:sz w:val="18"/>
                <w:szCs w:val="18"/>
                <w:shd w:val="clear" w:color="auto" w:fill="FEFEFF"/>
              </w:rPr>
              <w:t>函数的概念及其基本性质</w:t>
            </w:r>
            <w:r>
              <w:rPr>
                <w:rFonts w:hint="eastAsia"/>
                <w:sz w:val="18"/>
                <w:szCs w:val="18"/>
                <w:shd w:val="clear" w:color="auto" w:fill="FEFEFF"/>
              </w:rPr>
              <w:t>；</w:t>
            </w:r>
          </w:p>
        </w:tc>
        <w:tc>
          <w:tcPr>
            <w:tcW w:w="137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通过课堂讲授等达成。</w:t>
            </w:r>
          </w:p>
        </w:tc>
        <w:tc>
          <w:tcPr>
            <w:tcW w:w="103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rFonts w:hint="eastAsia"/>
                <w:sz w:val="18"/>
                <w:szCs w:val="18"/>
                <w:shd w:val="clear" w:color="auto" w:fill="FEFEFF"/>
              </w:rPr>
              <w:t>2.掌握基本</w:t>
            </w:r>
            <w:r>
              <w:rPr>
                <w:sz w:val="18"/>
                <w:szCs w:val="18"/>
                <w:shd w:val="clear" w:color="auto" w:fill="FEFEFF"/>
              </w:rPr>
              <w:t>解法，主要有：会用分离变量法解</w:t>
            </w:r>
            <w:r>
              <w:rPr>
                <w:rFonts w:hint="eastAsia"/>
                <w:sz w:val="18"/>
                <w:szCs w:val="18"/>
                <w:shd w:val="clear" w:color="auto" w:fill="FEFEFF"/>
              </w:rPr>
              <w:t>有</w:t>
            </w:r>
            <w:r>
              <w:rPr>
                <w:sz w:val="18"/>
                <w:szCs w:val="18"/>
                <w:shd w:val="clear" w:color="auto" w:fill="FEFEFF"/>
              </w:rPr>
              <w:t>界弦自由振动问题、有限长杆上热传</w:t>
            </w:r>
            <w:r>
              <w:rPr>
                <w:rFonts w:hint="eastAsia"/>
                <w:sz w:val="18"/>
                <w:szCs w:val="18"/>
                <w:shd w:val="clear" w:color="auto" w:fill="FEFEFF"/>
              </w:rPr>
              <w:t>导</w:t>
            </w:r>
            <w:r>
              <w:rPr>
                <w:sz w:val="18"/>
                <w:szCs w:val="18"/>
                <w:shd w:val="clear" w:color="auto" w:fill="FEFEFF"/>
              </w:rPr>
              <w:t>问题以及矩形域、圆形域内拉普拉斯</w:t>
            </w:r>
            <w:r>
              <w:rPr>
                <w:rFonts w:hint="eastAsia"/>
                <w:sz w:val="18"/>
                <w:szCs w:val="18"/>
                <w:shd w:val="clear" w:color="auto" w:fill="FEFEFF"/>
              </w:rPr>
              <w:t>狄</w:t>
            </w:r>
            <w:r>
              <w:rPr>
                <w:sz w:val="18"/>
                <w:szCs w:val="18"/>
                <w:shd w:val="clear" w:color="auto" w:fill="FEFEFF"/>
              </w:rPr>
              <w:t>利克雷问题；会用固有函数法解非齐次方程</w:t>
            </w:r>
            <w:r>
              <w:rPr>
                <w:rFonts w:hint="eastAsia"/>
                <w:sz w:val="18"/>
                <w:szCs w:val="18"/>
                <w:shd w:val="clear" w:color="auto" w:fill="FEFEFF"/>
              </w:rPr>
              <w:t>的</w:t>
            </w:r>
            <w:r>
              <w:rPr>
                <w:sz w:val="18"/>
                <w:szCs w:val="18"/>
                <w:shd w:val="clear" w:color="auto" w:fill="FEFEFF"/>
              </w:rPr>
              <w:t>定值问题，会用辅助函数和叠加原理处理非齐次边值问题；会用行波法解无界弦自由振动问题；会用傅里叶变换法及拉普拉斯变</w:t>
            </w:r>
            <w:r>
              <w:rPr>
                <w:rFonts w:hint="eastAsia"/>
                <w:sz w:val="18"/>
                <w:szCs w:val="18"/>
                <w:shd w:val="clear" w:color="auto" w:fill="FEFEFF"/>
              </w:rPr>
              <w:t>换</w:t>
            </w:r>
            <w:r>
              <w:rPr>
                <w:sz w:val="18"/>
                <w:szCs w:val="18"/>
                <w:shd w:val="clear" w:color="auto" w:fill="FEFEFF"/>
              </w:rPr>
              <w:t>法</w:t>
            </w:r>
            <w:r>
              <w:rPr>
                <w:rFonts w:hint="eastAsia"/>
                <w:sz w:val="18"/>
                <w:szCs w:val="18"/>
                <w:shd w:val="clear" w:color="auto" w:fill="FEFEFF"/>
              </w:rPr>
              <w:t>解无</w:t>
            </w:r>
            <w:r>
              <w:rPr>
                <w:sz w:val="18"/>
                <w:szCs w:val="18"/>
                <w:shd w:val="clear" w:color="auto" w:fill="FEFEFF"/>
              </w:rPr>
              <w:t>界域上的热传导</w:t>
            </w:r>
            <w:r>
              <w:rPr>
                <w:rFonts w:hint="eastAsia"/>
                <w:sz w:val="18"/>
                <w:szCs w:val="18"/>
                <w:shd w:val="clear" w:color="auto" w:fill="FEFEFF"/>
              </w:rPr>
              <w:t>问题</w:t>
            </w:r>
            <w:r>
              <w:rPr>
                <w:sz w:val="18"/>
                <w:szCs w:val="18"/>
                <w:shd w:val="clear" w:color="auto" w:fill="FEFEFF"/>
              </w:rPr>
              <w:t>及</w:t>
            </w:r>
            <w:r>
              <w:rPr>
                <w:rFonts w:hint="eastAsia"/>
                <w:sz w:val="18"/>
                <w:szCs w:val="18"/>
                <w:shd w:val="clear" w:color="auto" w:fill="FEFEFF"/>
              </w:rPr>
              <w:t>弦</w:t>
            </w:r>
            <w:r>
              <w:rPr>
                <w:sz w:val="18"/>
                <w:szCs w:val="18"/>
                <w:shd w:val="clear" w:color="auto" w:fill="FEFEFF"/>
              </w:rPr>
              <w:t>振动问题</w:t>
            </w:r>
            <w:r>
              <w:rPr>
                <w:rFonts w:hint="eastAsia"/>
                <w:sz w:val="18"/>
                <w:szCs w:val="18"/>
                <w:shd w:val="clear" w:color="auto" w:fill="FEFEFF"/>
              </w:rPr>
              <w:t>；</w:t>
            </w:r>
          </w:p>
        </w:tc>
        <w:tc>
          <w:tcPr>
            <w:tcW w:w="137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通过课堂讲授、案例研讨等达成。</w:t>
            </w:r>
          </w:p>
        </w:tc>
        <w:tc>
          <w:tcPr>
            <w:tcW w:w="103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课堂表现、习题作业与考试。</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pPr>
      <w:r>
        <w:rPr>
          <w:rFonts w:hint="eastAsia"/>
        </w:rPr>
        <w:t>课堂以多媒体教学为主，辅以实例研究和课堂讨论。根据课程特点采用启发式教学、任务驱动教学、案例教学法。重视实验教学，采用“原理描述</w:t>
      </w:r>
      <w:r>
        <w:t>-</w:t>
      </w:r>
      <w:r>
        <w:rPr>
          <w:rFonts w:hint="eastAsia"/>
        </w:rPr>
        <w:t>设计要点分析</w:t>
      </w:r>
      <w:r>
        <w:t>-</w:t>
      </w:r>
      <w:r>
        <w:rPr>
          <w:rFonts w:hint="eastAsia"/>
        </w:rPr>
        <w:t>应用案例展示”相互呼应的教学模式。</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3345"/>
        <w:gridCol w:w="3141"/>
        <w:gridCol w:w="75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39"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880" w:type="pct"/>
            <w:vAlign w:val="center"/>
          </w:tcPr>
          <w:p>
            <w:pPr>
              <w:snapToGrid w:val="0"/>
              <w:spacing w:line="300" w:lineRule="auto"/>
              <w:ind w:firstLine="361" w:firstLineChars="200"/>
              <w:rPr>
                <w:b/>
                <w:bCs/>
                <w:sz w:val="18"/>
                <w:szCs w:val="18"/>
              </w:rPr>
            </w:pPr>
            <w:r>
              <w:rPr>
                <w:b/>
                <w:bCs/>
                <w:sz w:val="18"/>
                <w:szCs w:val="18"/>
              </w:rPr>
              <w:t>教学内容</w:t>
            </w:r>
          </w:p>
        </w:tc>
        <w:tc>
          <w:tcPr>
            <w:tcW w:w="1765" w:type="pct"/>
            <w:vAlign w:val="center"/>
          </w:tcPr>
          <w:p>
            <w:pPr>
              <w:snapToGrid w:val="0"/>
              <w:spacing w:line="300" w:lineRule="auto"/>
              <w:ind w:firstLine="361" w:firstLineChars="200"/>
              <w:jc w:val="center"/>
              <w:rPr>
                <w:b/>
                <w:bCs/>
                <w:sz w:val="18"/>
                <w:szCs w:val="18"/>
              </w:rPr>
            </w:pPr>
            <w:r>
              <w:rPr>
                <w:b/>
                <w:bCs/>
                <w:sz w:val="18"/>
                <w:szCs w:val="18"/>
              </w:rPr>
              <w:t>教与学的要求</w:t>
            </w:r>
          </w:p>
        </w:tc>
        <w:tc>
          <w:tcPr>
            <w:tcW w:w="423" w:type="pct"/>
            <w:vAlign w:val="center"/>
          </w:tcPr>
          <w:p>
            <w:pPr>
              <w:snapToGrid w:val="0"/>
              <w:spacing w:line="300" w:lineRule="auto"/>
              <w:jc w:val="center"/>
              <w:rPr>
                <w:b/>
                <w:bCs/>
                <w:sz w:val="18"/>
                <w:szCs w:val="18"/>
              </w:rPr>
            </w:pPr>
            <w:r>
              <w:rPr>
                <w:b/>
                <w:bCs/>
                <w:sz w:val="18"/>
                <w:szCs w:val="18"/>
              </w:rPr>
              <w:t>学时</w:t>
            </w:r>
          </w:p>
        </w:tc>
        <w:tc>
          <w:tcPr>
            <w:tcW w:w="593"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tcMar>
              <w:left w:w="57" w:type="dxa"/>
              <w:right w:w="57" w:type="dxa"/>
            </w:tcMar>
            <w:vAlign w:val="center"/>
          </w:tcPr>
          <w:p>
            <w:pPr>
              <w:snapToGrid w:val="0"/>
              <w:spacing w:line="300" w:lineRule="auto"/>
              <w:rPr>
                <w:sz w:val="18"/>
                <w:szCs w:val="18"/>
              </w:rPr>
            </w:pPr>
            <w:r>
              <w:rPr>
                <w:sz w:val="18"/>
                <w:szCs w:val="18"/>
              </w:rPr>
              <w:t>1</w:t>
            </w:r>
          </w:p>
        </w:tc>
        <w:tc>
          <w:tcPr>
            <w:tcW w:w="1880" w:type="pct"/>
            <w:vAlign w:val="center"/>
          </w:tcPr>
          <w:p>
            <w:pPr>
              <w:snapToGrid w:val="0"/>
              <w:spacing w:line="300" w:lineRule="auto"/>
              <w:rPr>
                <w:bCs/>
                <w:kern w:val="0"/>
                <w:sz w:val="18"/>
                <w:szCs w:val="18"/>
              </w:rPr>
            </w:pPr>
            <w:r>
              <w:rPr>
                <w:bCs/>
                <w:kern w:val="0"/>
                <w:sz w:val="18"/>
                <w:szCs w:val="18"/>
              </w:rPr>
              <w:t>1</w:t>
            </w:r>
            <w:r>
              <w:rPr>
                <w:rFonts w:hint="eastAsia"/>
                <w:bCs/>
                <w:kern w:val="0"/>
                <w:sz w:val="18"/>
                <w:szCs w:val="18"/>
              </w:rPr>
              <w:t>波动方程</w:t>
            </w:r>
          </w:p>
          <w:p>
            <w:pPr>
              <w:snapToGrid w:val="0"/>
              <w:spacing w:line="360" w:lineRule="exact"/>
              <w:rPr>
                <w:bCs/>
                <w:kern w:val="0"/>
                <w:sz w:val="18"/>
                <w:szCs w:val="18"/>
              </w:rPr>
            </w:pPr>
            <w:r>
              <w:rPr>
                <w:bCs/>
                <w:kern w:val="0"/>
                <w:sz w:val="18"/>
                <w:szCs w:val="18"/>
              </w:rPr>
              <w:t xml:space="preserve">1.1 </w:t>
            </w:r>
            <w:r>
              <w:rPr>
                <w:rFonts w:hint="eastAsia"/>
                <w:bCs/>
                <w:kern w:val="0"/>
                <w:sz w:val="18"/>
                <w:szCs w:val="18"/>
              </w:rPr>
              <w:t>方程的</w:t>
            </w:r>
            <w:r>
              <w:rPr>
                <w:bCs/>
                <w:kern w:val="0"/>
                <w:sz w:val="18"/>
                <w:szCs w:val="18"/>
              </w:rPr>
              <w:t>导出、定解条件；</w:t>
            </w:r>
          </w:p>
          <w:p>
            <w:pPr>
              <w:snapToGrid w:val="0"/>
              <w:spacing w:line="360" w:lineRule="exact"/>
              <w:rPr>
                <w:bCs/>
                <w:kern w:val="0"/>
                <w:sz w:val="18"/>
                <w:szCs w:val="18"/>
              </w:rPr>
            </w:pPr>
            <w:r>
              <w:rPr>
                <w:bCs/>
                <w:kern w:val="0"/>
                <w:sz w:val="18"/>
                <w:szCs w:val="18"/>
              </w:rPr>
              <w:t>1.2</w:t>
            </w:r>
            <w:r>
              <w:rPr>
                <w:rFonts w:hint="eastAsia"/>
                <w:bCs/>
                <w:kern w:val="0"/>
                <w:sz w:val="18"/>
                <w:szCs w:val="18"/>
              </w:rPr>
              <w:t>达郎</w:t>
            </w:r>
            <w:r>
              <w:rPr>
                <w:bCs/>
                <w:kern w:val="0"/>
                <w:sz w:val="18"/>
                <w:szCs w:val="18"/>
              </w:rPr>
              <w:t>贝尔公式、波</w:t>
            </w:r>
            <w:r>
              <w:rPr>
                <w:rFonts w:hint="eastAsia"/>
                <w:bCs/>
                <w:kern w:val="0"/>
                <w:sz w:val="18"/>
                <w:szCs w:val="18"/>
              </w:rPr>
              <w:t>的</w:t>
            </w:r>
            <w:r>
              <w:rPr>
                <w:bCs/>
                <w:kern w:val="0"/>
                <w:sz w:val="18"/>
                <w:szCs w:val="18"/>
              </w:rPr>
              <w:t>传播；</w:t>
            </w:r>
          </w:p>
          <w:p>
            <w:pPr>
              <w:snapToGrid w:val="0"/>
              <w:spacing w:line="360" w:lineRule="exact"/>
              <w:rPr>
                <w:bCs/>
                <w:kern w:val="0"/>
                <w:sz w:val="18"/>
                <w:szCs w:val="18"/>
              </w:rPr>
            </w:pPr>
            <w:r>
              <w:rPr>
                <w:bCs/>
                <w:kern w:val="0"/>
                <w:sz w:val="18"/>
                <w:szCs w:val="18"/>
              </w:rPr>
              <w:t xml:space="preserve">1.3 </w:t>
            </w:r>
            <w:r>
              <w:rPr>
                <w:rFonts w:hint="eastAsia"/>
                <w:bCs/>
                <w:kern w:val="0"/>
                <w:sz w:val="18"/>
                <w:szCs w:val="18"/>
              </w:rPr>
              <w:t>初边值问题</w:t>
            </w:r>
            <w:r>
              <w:rPr>
                <w:bCs/>
                <w:kern w:val="0"/>
                <w:sz w:val="18"/>
                <w:szCs w:val="18"/>
              </w:rPr>
              <w:t>的分离变量法；</w:t>
            </w:r>
          </w:p>
          <w:p>
            <w:pPr>
              <w:snapToGrid w:val="0"/>
              <w:spacing w:line="300" w:lineRule="auto"/>
              <w:rPr>
                <w:bCs/>
                <w:kern w:val="0"/>
                <w:sz w:val="18"/>
                <w:szCs w:val="18"/>
              </w:rPr>
            </w:pPr>
            <w:r>
              <w:rPr>
                <w:bCs/>
                <w:kern w:val="0"/>
                <w:sz w:val="18"/>
                <w:szCs w:val="18"/>
              </w:rPr>
              <w:t>1.4</w:t>
            </w:r>
            <w:r>
              <w:rPr>
                <w:rFonts w:hint="eastAsia"/>
                <w:bCs/>
                <w:kern w:val="0"/>
                <w:sz w:val="18"/>
                <w:szCs w:val="18"/>
              </w:rPr>
              <w:t>高维波动</w:t>
            </w:r>
            <w:r>
              <w:rPr>
                <w:bCs/>
                <w:kern w:val="0"/>
                <w:sz w:val="18"/>
                <w:szCs w:val="18"/>
              </w:rPr>
              <w:t>方程的柯西问题；</w:t>
            </w:r>
          </w:p>
          <w:p>
            <w:pPr>
              <w:snapToGrid w:val="0"/>
              <w:spacing w:line="300" w:lineRule="auto"/>
              <w:rPr>
                <w:bCs/>
                <w:kern w:val="0"/>
                <w:sz w:val="18"/>
                <w:szCs w:val="18"/>
              </w:rPr>
            </w:pPr>
            <w:r>
              <w:rPr>
                <w:bCs/>
                <w:kern w:val="0"/>
                <w:sz w:val="18"/>
                <w:szCs w:val="18"/>
              </w:rPr>
              <w:t xml:space="preserve">1.5 </w:t>
            </w:r>
            <w:r>
              <w:rPr>
                <w:rFonts w:hint="eastAsia"/>
                <w:bCs/>
                <w:kern w:val="0"/>
                <w:sz w:val="18"/>
                <w:szCs w:val="18"/>
              </w:rPr>
              <w:t>波</w:t>
            </w:r>
            <w:r>
              <w:rPr>
                <w:bCs/>
                <w:kern w:val="0"/>
                <w:sz w:val="18"/>
                <w:szCs w:val="18"/>
              </w:rPr>
              <w:t>的传导</w:t>
            </w:r>
            <w:r>
              <w:rPr>
                <w:rFonts w:hint="eastAsia"/>
                <w:bCs/>
                <w:kern w:val="0"/>
                <w:sz w:val="18"/>
                <w:szCs w:val="18"/>
              </w:rPr>
              <w:t>与</w:t>
            </w:r>
            <w:r>
              <w:rPr>
                <w:bCs/>
                <w:kern w:val="0"/>
                <w:sz w:val="18"/>
                <w:szCs w:val="18"/>
              </w:rPr>
              <w:t>衰减；</w:t>
            </w:r>
          </w:p>
          <w:p>
            <w:pPr>
              <w:snapToGrid w:val="0"/>
              <w:spacing w:line="300" w:lineRule="auto"/>
              <w:rPr>
                <w:bCs/>
                <w:kern w:val="0"/>
                <w:sz w:val="18"/>
                <w:szCs w:val="18"/>
              </w:rPr>
            </w:pPr>
            <w:r>
              <w:rPr>
                <w:rFonts w:hint="eastAsia"/>
                <w:bCs/>
                <w:kern w:val="0"/>
                <w:sz w:val="18"/>
                <w:szCs w:val="18"/>
              </w:rPr>
              <w:t>1.6 能量</w:t>
            </w:r>
            <w:r>
              <w:rPr>
                <w:bCs/>
                <w:kern w:val="0"/>
                <w:sz w:val="18"/>
                <w:szCs w:val="18"/>
              </w:rPr>
              <w:t>不等式、波动方程解的</w:t>
            </w:r>
            <w:r>
              <w:rPr>
                <w:rFonts w:hint="eastAsia"/>
                <w:bCs/>
                <w:kern w:val="0"/>
                <w:sz w:val="18"/>
                <w:szCs w:val="18"/>
              </w:rPr>
              <w:t>唯一性</w:t>
            </w:r>
            <w:r>
              <w:rPr>
                <w:bCs/>
                <w:kern w:val="0"/>
                <w:sz w:val="18"/>
                <w:szCs w:val="18"/>
              </w:rPr>
              <w:t>和稳定性。</w:t>
            </w:r>
          </w:p>
        </w:tc>
        <w:tc>
          <w:tcPr>
            <w:tcW w:w="1765" w:type="pct"/>
            <w:vAlign w:val="center"/>
          </w:tcPr>
          <w:p>
            <w:pPr>
              <w:snapToGrid w:val="0"/>
              <w:spacing w:line="360" w:lineRule="exact"/>
              <w:rPr>
                <w:bCs/>
                <w:kern w:val="0"/>
                <w:sz w:val="18"/>
                <w:szCs w:val="18"/>
              </w:rPr>
            </w:pPr>
            <w:r>
              <w:rPr>
                <w:rFonts w:hint="eastAsia"/>
                <w:bCs/>
                <w:kern w:val="0"/>
                <w:sz w:val="18"/>
                <w:szCs w:val="18"/>
              </w:rPr>
              <w:t>1</w:t>
            </w:r>
            <w:r>
              <w:rPr>
                <w:bCs/>
                <w:kern w:val="0"/>
                <w:sz w:val="18"/>
                <w:szCs w:val="18"/>
              </w:rPr>
              <w:t xml:space="preserve">. </w:t>
            </w:r>
            <w:r>
              <w:rPr>
                <w:rFonts w:hint="eastAsia"/>
                <w:bCs/>
                <w:kern w:val="0"/>
                <w:sz w:val="18"/>
                <w:szCs w:val="18"/>
              </w:rPr>
              <w:t>要求</w:t>
            </w:r>
          </w:p>
          <w:p>
            <w:pPr>
              <w:snapToGrid w:val="0"/>
              <w:spacing w:line="360" w:lineRule="exact"/>
              <w:rPr>
                <w:bCs/>
                <w:kern w:val="0"/>
                <w:sz w:val="18"/>
                <w:szCs w:val="18"/>
              </w:rPr>
            </w:pPr>
            <w:r>
              <w:rPr>
                <w:rFonts w:hint="eastAsia"/>
                <w:bCs/>
                <w:kern w:val="0"/>
                <w:sz w:val="18"/>
                <w:szCs w:val="18"/>
              </w:rPr>
              <w:t>（1）了解波动</w:t>
            </w:r>
            <w:r>
              <w:rPr>
                <w:bCs/>
                <w:kern w:val="0"/>
                <w:sz w:val="18"/>
                <w:szCs w:val="18"/>
              </w:rPr>
              <w:t>方程的</w:t>
            </w:r>
            <w:r>
              <w:rPr>
                <w:rFonts w:hint="eastAsia"/>
                <w:bCs/>
                <w:kern w:val="0"/>
                <w:sz w:val="18"/>
                <w:szCs w:val="18"/>
              </w:rPr>
              <w:t>导出</w:t>
            </w:r>
            <w:r>
              <w:rPr>
                <w:bCs/>
                <w:kern w:val="0"/>
                <w:sz w:val="18"/>
                <w:szCs w:val="18"/>
              </w:rPr>
              <w:t>方法</w:t>
            </w:r>
            <w:r>
              <w:rPr>
                <w:rFonts w:hint="eastAsia"/>
                <w:bCs/>
                <w:kern w:val="0"/>
                <w:sz w:val="18"/>
                <w:szCs w:val="18"/>
              </w:rPr>
              <w:t>，</w:t>
            </w:r>
          </w:p>
          <w:p>
            <w:pPr>
              <w:snapToGrid w:val="0"/>
              <w:spacing w:line="360" w:lineRule="exact"/>
              <w:rPr>
                <w:bCs/>
                <w:kern w:val="0"/>
                <w:sz w:val="18"/>
                <w:szCs w:val="18"/>
              </w:rPr>
            </w:pPr>
            <w:r>
              <w:rPr>
                <w:rFonts w:hint="eastAsia"/>
                <w:bCs/>
                <w:kern w:val="0"/>
                <w:sz w:val="18"/>
                <w:szCs w:val="18"/>
              </w:rPr>
              <w:t>（2）领会定</w:t>
            </w:r>
            <w:r>
              <w:rPr>
                <w:bCs/>
                <w:kern w:val="0"/>
                <w:sz w:val="18"/>
                <w:szCs w:val="18"/>
              </w:rPr>
              <w:t>解条件的意义</w:t>
            </w:r>
            <w:r>
              <w:rPr>
                <w:rFonts w:hint="eastAsia"/>
                <w:bCs/>
                <w:kern w:val="0"/>
                <w:sz w:val="18"/>
                <w:szCs w:val="18"/>
              </w:rPr>
              <w:t>，</w:t>
            </w:r>
          </w:p>
          <w:p>
            <w:pPr>
              <w:snapToGrid w:val="0"/>
              <w:spacing w:line="360" w:lineRule="exact"/>
              <w:rPr>
                <w:bCs/>
                <w:kern w:val="0"/>
                <w:sz w:val="18"/>
                <w:szCs w:val="18"/>
              </w:rPr>
            </w:pPr>
            <w:r>
              <w:rPr>
                <w:rFonts w:hint="eastAsia"/>
                <w:bCs/>
                <w:kern w:val="0"/>
                <w:sz w:val="18"/>
                <w:szCs w:val="18"/>
              </w:rPr>
              <w:t>（3）熟练掌握初</w:t>
            </w:r>
            <w:r>
              <w:rPr>
                <w:bCs/>
                <w:kern w:val="0"/>
                <w:sz w:val="18"/>
                <w:szCs w:val="18"/>
              </w:rPr>
              <w:t>边值问题的分离变量法解方程</w:t>
            </w:r>
            <w:r>
              <w:rPr>
                <w:rFonts w:hint="eastAsia"/>
                <w:bCs/>
                <w:kern w:val="0"/>
                <w:sz w:val="18"/>
                <w:szCs w:val="18"/>
              </w:rPr>
              <w:t>，</w:t>
            </w:r>
          </w:p>
          <w:p>
            <w:pPr>
              <w:snapToGrid w:val="0"/>
              <w:spacing w:line="360" w:lineRule="exact"/>
              <w:rPr>
                <w:bCs/>
                <w:kern w:val="0"/>
                <w:sz w:val="18"/>
                <w:szCs w:val="18"/>
              </w:rPr>
            </w:pPr>
            <w:r>
              <w:rPr>
                <w:rFonts w:hint="eastAsia"/>
                <w:bCs/>
                <w:kern w:val="0"/>
                <w:sz w:val="18"/>
                <w:szCs w:val="18"/>
              </w:rPr>
              <w:t>（4）能</w:t>
            </w:r>
            <w:r>
              <w:rPr>
                <w:bCs/>
                <w:kern w:val="0"/>
                <w:sz w:val="18"/>
                <w:szCs w:val="18"/>
              </w:rPr>
              <w:t>解高维波动方程的柯西问题，</w:t>
            </w:r>
          </w:p>
          <w:p>
            <w:pPr>
              <w:snapToGrid w:val="0"/>
              <w:spacing w:line="360" w:lineRule="exact"/>
              <w:rPr>
                <w:bCs/>
                <w:kern w:val="0"/>
                <w:sz w:val="18"/>
                <w:szCs w:val="18"/>
              </w:rPr>
            </w:pPr>
            <w:r>
              <w:rPr>
                <w:rFonts w:hint="eastAsia"/>
                <w:bCs/>
                <w:kern w:val="0"/>
                <w:sz w:val="18"/>
                <w:szCs w:val="18"/>
              </w:rPr>
              <w:t>（5）明确</w:t>
            </w:r>
            <w:r>
              <w:rPr>
                <w:bCs/>
                <w:kern w:val="0"/>
                <w:sz w:val="18"/>
                <w:szCs w:val="18"/>
              </w:rPr>
              <w:t>波的传播与衰减的意义，</w:t>
            </w:r>
          </w:p>
          <w:p>
            <w:pPr>
              <w:snapToGrid w:val="0"/>
              <w:spacing w:line="360" w:lineRule="exact"/>
              <w:rPr>
                <w:bCs/>
                <w:kern w:val="0"/>
                <w:sz w:val="18"/>
                <w:szCs w:val="18"/>
              </w:rPr>
            </w:pPr>
            <w:r>
              <w:rPr>
                <w:rFonts w:hint="eastAsia"/>
                <w:bCs/>
                <w:kern w:val="0"/>
                <w:sz w:val="18"/>
                <w:szCs w:val="18"/>
              </w:rPr>
              <w:t>（6）用</w:t>
            </w:r>
            <w:r>
              <w:rPr>
                <w:bCs/>
                <w:kern w:val="0"/>
                <w:sz w:val="18"/>
                <w:szCs w:val="18"/>
              </w:rPr>
              <w:t>能</w:t>
            </w:r>
            <w:r>
              <w:rPr>
                <w:rFonts w:hint="eastAsia"/>
                <w:bCs/>
                <w:kern w:val="0"/>
                <w:sz w:val="18"/>
                <w:szCs w:val="18"/>
              </w:rPr>
              <w:t>量</w:t>
            </w:r>
            <w:r>
              <w:rPr>
                <w:bCs/>
                <w:kern w:val="0"/>
                <w:sz w:val="18"/>
                <w:szCs w:val="18"/>
              </w:rPr>
              <w:t>不等式确定方程的唯一性与稳定性。</w:t>
            </w:r>
          </w:p>
          <w:p>
            <w:pPr>
              <w:widowControl/>
              <w:snapToGrid w:val="0"/>
              <w:spacing w:line="360" w:lineRule="exact"/>
              <w:rPr>
                <w:bCs/>
                <w:kern w:val="0"/>
                <w:sz w:val="18"/>
                <w:szCs w:val="18"/>
              </w:rPr>
            </w:pPr>
            <w:r>
              <w:rPr>
                <w:rFonts w:hint="eastAsia"/>
                <w:bCs/>
                <w:kern w:val="0"/>
                <w:sz w:val="18"/>
                <w:szCs w:val="18"/>
              </w:rPr>
              <w:t>2.作业内容</w:t>
            </w:r>
          </w:p>
          <w:p>
            <w:pPr>
              <w:widowControl/>
              <w:snapToGrid w:val="0"/>
              <w:spacing w:line="360" w:lineRule="exact"/>
              <w:rPr>
                <w:bCs/>
                <w:kern w:val="0"/>
                <w:sz w:val="18"/>
                <w:szCs w:val="18"/>
              </w:rPr>
            </w:pPr>
            <w:r>
              <w:rPr>
                <w:rFonts w:hint="eastAsia"/>
                <w:bCs/>
                <w:kern w:val="0"/>
                <w:sz w:val="18"/>
                <w:szCs w:val="18"/>
              </w:rPr>
              <w:t>（1）复习第一章内容；</w:t>
            </w:r>
          </w:p>
          <w:p>
            <w:pPr>
              <w:widowControl/>
              <w:snapToGrid w:val="0"/>
              <w:spacing w:line="360" w:lineRule="exact"/>
              <w:rPr>
                <w:bCs/>
                <w:kern w:val="0"/>
                <w:sz w:val="18"/>
                <w:szCs w:val="18"/>
              </w:rPr>
            </w:pPr>
            <w:r>
              <w:rPr>
                <w:rFonts w:hint="eastAsia"/>
                <w:bCs/>
                <w:kern w:val="0"/>
                <w:sz w:val="18"/>
                <w:szCs w:val="18"/>
              </w:rPr>
              <w:t>（2）完成教材第一章作业。</w:t>
            </w:r>
          </w:p>
          <w:p>
            <w:pPr>
              <w:widowControl/>
              <w:snapToGrid w:val="0"/>
              <w:spacing w:line="360" w:lineRule="exact"/>
              <w:rPr>
                <w:bCs/>
                <w:kern w:val="0"/>
                <w:sz w:val="18"/>
                <w:szCs w:val="18"/>
              </w:rPr>
            </w:pPr>
            <w:r>
              <w:rPr>
                <w:rFonts w:hint="eastAsia"/>
                <w:bCs/>
                <w:kern w:val="0"/>
                <w:sz w:val="18"/>
                <w:szCs w:val="18"/>
              </w:rPr>
              <w:t>3.教学方法</w:t>
            </w:r>
          </w:p>
          <w:p>
            <w:pPr>
              <w:widowControl/>
              <w:snapToGrid w:val="0"/>
              <w:spacing w:line="360" w:lineRule="exact"/>
              <w:rPr>
                <w:bCs/>
                <w:kern w:val="0"/>
                <w:sz w:val="18"/>
                <w:szCs w:val="18"/>
              </w:rPr>
            </w:pPr>
            <w:r>
              <w:rPr>
                <w:rFonts w:hint="eastAsia"/>
                <w:bCs/>
                <w:kern w:val="0"/>
                <w:sz w:val="18"/>
                <w:szCs w:val="18"/>
              </w:rPr>
              <w:t>讲授式、讨论式、案例式与启发式相结合。</w:t>
            </w:r>
          </w:p>
          <w:p>
            <w:pPr>
              <w:snapToGrid w:val="0"/>
              <w:spacing w:line="300" w:lineRule="auto"/>
              <w:rPr>
                <w:bCs/>
                <w:kern w:val="0"/>
                <w:sz w:val="18"/>
                <w:szCs w:val="18"/>
              </w:rPr>
            </w:pPr>
          </w:p>
        </w:tc>
        <w:tc>
          <w:tcPr>
            <w:tcW w:w="423" w:type="pct"/>
            <w:vAlign w:val="center"/>
          </w:tcPr>
          <w:p>
            <w:pPr>
              <w:snapToGrid w:val="0"/>
              <w:spacing w:line="300" w:lineRule="auto"/>
              <w:jc w:val="center"/>
              <w:rPr>
                <w:sz w:val="18"/>
                <w:szCs w:val="18"/>
              </w:rPr>
            </w:pPr>
            <w:r>
              <w:rPr>
                <w:sz w:val="18"/>
                <w:szCs w:val="18"/>
              </w:rPr>
              <w:t>8</w:t>
            </w:r>
          </w:p>
        </w:tc>
        <w:tc>
          <w:tcPr>
            <w:tcW w:w="593" w:type="pct"/>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9" w:type="pct"/>
            <w:tcMar>
              <w:left w:w="57" w:type="dxa"/>
              <w:right w:w="57" w:type="dxa"/>
            </w:tcMar>
            <w:vAlign w:val="center"/>
          </w:tcPr>
          <w:p>
            <w:pPr>
              <w:snapToGrid w:val="0"/>
              <w:spacing w:line="300" w:lineRule="auto"/>
              <w:rPr>
                <w:sz w:val="18"/>
                <w:szCs w:val="18"/>
              </w:rPr>
            </w:pPr>
            <w:r>
              <w:rPr>
                <w:sz w:val="18"/>
                <w:szCs w:val="18"/>
              </w:rPr>
              <w:t>2</w:t>
            </w:r>
          </w:p>
        </w:tc>
        <w:tc>
          <w:tcPr>
            <w:tcW w:w="1880" w:type="pct"/>
            <w:vAlign w:val="center"/>
          </w:tcPr>
          <w:p>
            <w:pPr>
              <w:spacing w:line="300" w:lineRule="auto"/>
              <w:rPr>
                <w:bCs/>
                <w:sz w:val="18"/>
                <w:szCs w:val="18"/>
              </w:rPr>
            </w:pPr>
            <w:r>
              <w:rPr>
                <w:bCs/>
                <w:sz w:val="18"/>
                <w:szCs w:val="18"/>
              </w:rPr>
              <w:t>2</w:t>
            </w:r>
            <w:r>
              <w:rPr>
                <w:rFonts w:hint="eastAsia"/>
                <w:bCs/>
                <w:sz w:val="18"/>
                <w:szCs w:val="18"/>
              </w:rPr>
              <w:t>热传导</w:t>
            </w:r>
            <w:r>
              <w:rPr>
                <w:bCs/>
                <w:sz w:val="18"/>
                <w:szCs w:val="18"/>
              </w:rPr>
              <w:t>方程</w:t>
            </w:r>
          </w:p>
          <w:p>
            <w:pPr>
              <w:spacing w:line="360" w:lineRule="exact"/>
              <w:rPr>
                <w:bCs/>
                <w:kern w:val="0"/>
                <w:sz w:val="18"/>
                <w:szCs w:val="18"/>
              </w:rPr>
            </w:pPr>
            <w:r>
              <w:rPr>
                <w:bCs/>
                <w:kern w:val="0"/>
                <w:sz w:val="18"/>
                <w:szCs w:val="18"/>
              </w:rPr>
              <w:t>2.1</w:t>
            </w:r>
            <w:r>
              <w:rPr>
                <w:rFonts w:hint="eastAsia"/>
                <w:bCs/>
                <w:kern w:val="0"/>
                <w:sz w:val="18"/>
                <w:szCs w:val="18"/>
              </w:rPr>
              <w:t>热传导</w:t>
            </w:r>
            <w:r>
              <w:rPr>
                <w:bCs/>
                <w:kern w:val="0"/>
                <w:sz w:val="18"/>
                <w:szCs w:val="18"/>
              </w:rPr>
              <w:t>方程及其定解问题的导出；</w:t>
            </w:r>
          </w:p>
          <w:p>
            <w:pPr>
              <w:spacing w:line="360" w:lineRule="exact"/>
              <w:rPr>
                <w:bCs/>
                <w:kern w:val="0"/>
                <w:sz w:val="18"/>
                <w:szCs w:val="18"/>
              </w:rPr>
            </w:pPr>
            <w:r>
              <w:rPr>
                <w:bCs/>
                <w:kern w:val="0"/>
                <w:sz w:val="18"/>
                <w:szCs w:val="18"/>
              </w:rPr>
              <w:t>2.2</w:t>
            </w:r>
            <w:r>
              <w:rPr>
                <w:rFonts w:hint="eastAsia"/>
                <w:bCs/>
                <w:kern w:val="0"/>
                <w:sz w:val="18"/>
                <w:szCs w:val="18"/>
              </w:rPr>
              <w:t>初边</w:t>
            </w:r>
            <w:r>
              <w:rPr>
                <w:bCs/>
                <w:kern w:val="0"/>
                <w:sz w:val="18"/>
                <w:szCs w:val="18"/>
              </w:rPr>
              <w:t>值问题的分离变量法；</w:t>
            </w:r>
          </w:p>
          <w:p>
            <w:pPr>
              <w:spacing w:line="360" w:lineRule="exact"/>
              <w:rPr>
                <w:bCs/>
                <w:kern w:val="0"/>
                <w:sz w:val="18"/>
                <w:szCs w:val="18"/>
              </w:rPr>
            </w:pPr>
            <w:r>
              <w:rPr>
                <w:bCs/>
                <w:kern w:val="0"/>
                <w:sz w:val="18"/>
                <w:szCs w:val="18"/>
              </w:rPr>
              <w:t>2.3</w:t>
            </w:r>
            <w:r>
              <w:rPr>
                <w:rFonts w:hint="eastAsia"/>
                <w:bCs/>
                <w:kern w:val="0"/>
                <w:sz w:val="18"/>
                <w:szCs w:val="18"/>
              </w:rPr>
              <w:t>柯西问题</w:t>
            </w:r>
            <w:r>
              <w:rPr>
                <w:bCs/>
                <w:kern w:val="0"/>
                <w:sz w:val="18"/>
                <w:szCs w:val="18"/>
              </w:rPr>
              <w:t>；</w:t>
            </w:r>
          </w:p>
          <w:p>
            <w:pPr>
              <w:snapToGrid w:val="0"/>
              <w:spacing w:line="300" w:lineRule="auto"/>
              <w:rPr>
                <w:bCs/>
                <w:sz w:val="18"/>
                <w:szCs w:val="18"/>
              </w:rPr>
            </w:pPr>
            <w:r>
              <w:rPr>
                <w:bCs/>
                <w:kern w:val="0"/>
                <w:sz w:val="18"/>
                <w:szCs w:val="18"/>
              </w:rPr>
              <w:t>2.4</w:t>
            </w:r>
            <w:r>
              <w:rPr>
                <w:rFonts w:hint="eastAsia"/>
                <w:bCs/>
                <w:kern w:val="0"/>
                <w:sz w:val="18"/>
                <w:szCs w:val="18"/>
              </w:rPr>
              <w:t>极值</w:t>
            </w:r>
            <w:r>
              <w:rPr>
                <w:bCs/>
                <w:kern w:val="0"/>
                <w:sz w:val="18"/>
                <w:szCs w:val="18"/>
              </w:rPr>
              <w:t>问题、定解问题解的唯一性和稳定性。</w:t>
            </w:r>
          </w:p>
        </w:tc>
        <w:tc>
          <w:tcPr>
            <w:tcW w:w="1765" w:type="pct"/>
            <w:vAlign w:val="center"/>
          </w:tcPr>
          <w:p>
            <w:pPr>
              <w:snapToGrid w:val="0"/>
              <w:spacing w:line="300" w:lineRule="auto"/>
              <w:rPr>
                <w:bCs/>
                <w:kern w:val="0"/>
                <w:sz w:val="18"/>
                <w:szCs w:val="18"/>
              </w:rPr>
            </w:pPr>
            <w:r>
              <w:rPr>
                <w:bCs/>
                <w:kern w:val="0"/>
                <w:sz w:val="18"/>
                <w:szCs w:val="18"/>
              </w:rPr>
              <w:t>1.要求</w:t>
            </w:r>
          </w:p>
          <w:p>
            <w:pPr>
              <w:snapToGrid w:val="0"/>
              <w:spacing w:line="300" w:lineRule="auto"/>
              <w:rPr>
                <w:bCs/>
                <w:kern w:val="0"/>
                <w:sz w:val="18"/>
                <w:szCs w:val="18"/>
              </w:rPr>
            </w:pPr>
            <w:r>
              <w:rPr>
                <w:rFonts w:hint="eastAsia"/>
                <w:bCs/>
                <w:kern w:val="0"/>
                <w:sz w:val="18"/>
                <w:szCs w:val="18"/>
              </w:rPr>
              <w:t>（1）了解通过物理</w:t>
            </w:r>
            <w:r>
              <w:rPr>
                <w:bCs/>
                <w:kern w:val="0"/>
                <w:sz w:val="18"/>
                <w:szCs w:val="18"/>
              </w:rPr>
              <w:t>原理建立热传导方程</w:t>
            </w:r>
            <w:r>
              <w:rPr>
                <w:rFonts w:hint="eastAsia"/>
                <w:bCs/>
                <w:kern w:val="0"/>
                <w:sz w:val="18"/>
                <w:szCs w:val="18"/>
              </w:rPr>
              <w:t>，</w:t>
            </w:r>
          </w:p>
          <w:p>
            <w:pPr>
              <w:snapToGrid w:val="0"/>
              <w:spacing w:line="300" w:lineRule="auto"/>
              <w:rPr>
                <w:bCs/>
                <w:kern w:val="0"/>
                <w:sz w:val="18"/>
                <w:szCs w:val="18"/>
              </w:rPr>
            </w:pPr>
            <w:r>
              <w:rPr>
                <w:rFonts w:hint="eastAsia"/>
                <w:bCs/>
                <w:kern w:val="0"/>
                <w:sz w:val="18"/>
                <w:szCs w:val="18"/>
              </w:rPr>
              <w:t>（2）能用分离</w:t>
            </w:r>
            <w:r>
              <w:rPr>
                <w:bCs/>
                <w:kern w:val="0"/>
                <w:sz w:val="18"/>
                <w:szCs w:val="18"/>
              </w:rPr>
              <w:t>变量法解初边值问题</w:t>
            </w:r>
            <w:r>
              <w:rPr>
                <w:rFonts w:hint="eastAsia"/>
                <w:bCs/>
                <w:kern w:val="0"/>
                <w:sz w:val="18"/>
                <w:szCs w:val="18"/>
              </w:rPr>
              <w:t>，</w:t>
            </w:r>
          </w:p>
          <w:p>
            <w:pPr>
              <w:snapToGrid w:val="0"/>
              <w:spacing w:line="300" w:lineRule="auto"/>
              <w:rPr>
                <w:bCs/>
                <w:kern w:val="0"/>
                <w:sz w:val="18"/>
                <w:szCs w:val="18"/>
              </w:rPr>
            </w:pPr>
            <w:r>
              <w:rPr>
                <w:rFonts w:hint="eastAsia"/>
                <w:bCs/>
                <w:kern w:val="0"/>
                <w:sz w:val="18"/>
                <w:szCs w:val="18"/>
              </w:rPr>
              <w:t>（3）用傅里叶变换</w:t>
            </w:r>
            <w:r>
              <w:rPr>
                <w:bCs/>
                <w:kern w:val="0"/>
                <w:sz w:val="18"/>
                <w:szCs w:val="18"/>
              </w:rPr>
              <w:t>对柯西问题求解</w:t>
            </w:r>
            <w:r>
              <w:rPr>
                <w:rFonts w:hint="eastAsia"/>
                <w:bCs/>
                <w:kern w:val="0"/>
                <w:sz w:val="18"/>
                <w:szCs w:val="18"/>
              </w:rPr>
              <w:t>；</w:t>
            </w:r>
          </w:p>
          <w:p>
            <w:pPr>
              <w:snapToGrid w:val="0"/>
              <w:spacing w:line="300" w:lineRule="auto"/>
              <w:rPr>
                <w:bCs/>
                <w:kern w:val="0"/>
                <w:sz w:val="18"/>
                <w:szCs w:val="18"/>
              </w:rPr>
            </w:pPr>
            <w:r>
              <w:rPr>
                <w:rFonts w:hint="eastAsia"/>
                <w:bCs/>
                <w:kern w:val="0"/>
                <w:sz w:val="18"/>
                <w:szCs w:val="18"/>
              </w:rPr>
              <w:t>（4）用</w:t>
            </w:r>
            <w:r>
              <w:rPr>
                <w:bCs/>
                <w:kern w:val="0"/>
                <w:sz w:val="18"/>
                <w:szCs w:val="18"/>
              </w:rPr>
              <w:t>极</w:t>
            </w:r>
            <w:r>
              <w:rPr>
                <w:rFonts w:hint="eastAsia"/>
                <w:bCs/>
                <w:kern w:val="0"/>
                <w:sz w:val="18"/>
                <w:szCs w:val="18"/>
              </w:rPr>
              <w:t>值</w:t>
            </w:r>
            <w:r>
              <w:rPr>
                <w:bCs/>
                <w:kern w:val="0"/>
                <w:sz w:val="18"/>
                <w:szCs w:val="18"/>
              </w:rPr>
              <w:t>原理确定</w:t>
            </w:r>
            <w:r>
              <w:rPr>
                <w:rFonts w:hint="eastAsia"/>
                <w:bCs/>
                <w:kern w:val="0"/>
                <w:sz w:val="18"/>
                <w:szCs w:val="18"/>
              </w:rPr>
              <w:t>定</w:t>
            </w:r>
            <w:r>
              <w:rPr>
                <w:bCs/>
                <w:kern w:val="0"/>
                <w:sz w:val="18"/>
                <w:szCs w:val="18"/>
              </w:rPr>
              <w:t>解问题的唯一性和稳定性。</w:t>
            </w:r>
          </w:p>
          <w:p>
            <w:pPr>
              <w:snapToGrid w:val="0"/>
              <w:spacing w:line="300" w:lineRule="auto"/>
              <w:rPr>
                <w:bCs/>
                <w:kern w:val="0"/>
                <w:sz w:val="18"/>
                <w:szCs w:val="18"/>
              </w:rPr>
            </w:pPr>
            <w:r>
              <w:rPr>
                <w:rFonts w:hint="eastAsia"/>
                <w:bCs/>
                <w:kern w:val="0"/>
                <w:sz w:val="18"/>
                <w:szCs w:val="18"/>
              </w:rPr>
              <w:t>2.作业内容</w:t>
            </w:r>
          </w:p>
          <w:p>
            <w:pPr>
              <w:snapToGrid w:val="0"/>
              <w:spacing w:line="300" w:lineRule="auto"/>
              <w:rPr>
                <w:bCs/>
                <w:kern w:val="0"/>
                <w:sz w:val="18"/>
                <w:szCs w:val="18"/>
              </w:rPr>
            </w:pPr>
            <w:r>
              <w:rPr>
                <w:rFonts w:hint="eastAsia"/>
                <w:bCs/>
                <w:kern w:val="0"/>
                <w:sz w:val="18"/>
                <w:szCs w:val="18"/>
              </w:rPr>
              <w:t>（1）复习第二章内容；</w:t>
            </w:r>
          </w:p>
          <w:p>
            <w:pPr>
              <w:snapToGrid w:val="0"/>
              <w:spacing w:line="300" w:lineRule="auto"/>
              <w:rPr>
                <w:bCs/>
                <w:kern w:val="0"/>
                <w:sz w:val="18"/>
                <w:szCs w:val="18"/>
              </w:rPr>
            </w:pPr>
            <w:r>
              <w:rPr>
                <w:rFonts w:hint="eastAsia"/>
                <w:bCs/>
                <w:kern w:val="0"/>
                <w:sz w:val="18"/>
                <w:szCs w:val="18"/>
              </w:rPr>
              <w:t>（2）完成教材第二章作业。</w:t>
            </w:r>
          </w:p>
          <w:p>
            <w:pPr>
              <w:snapToGrid w:val="0"/>
              <w:spacing w:line="300" w:lineRule="auto"/>
              <w:rPr>
                <w:bCs/>
                <w:kern w:val="0"/>
                <w:sz w:val="18"/>
                <w:szCs w:val="18"/>
              </w:rPr>
            </w:pPr>
            <w:r>
              <w:rPr>
                <w:rFonts w:hint="eastAsia"/>
                <w:bCs/>
                <w:kern w:val="0"/>
                <w:sz w:val="18"/>
                <w:szCs w:val="18"/>
              </w:rPr>
              <w:t>3.教学方法</w:t>
            </w:r>
          </w:p>
          <w:p>
            <w:pPr>
              <w:snapToGrid w:val="0"/>
              <w:spacing w:line="300" w:lineRule="auto"/>
              <w:rPr>
                <w:bCs/>
                <w:kern w:val="0"/>
                <w:sz w:val="18"/>
                <w:szCs w:val="18"/>
              </w:rPr>
            </w:pPr>
            <w:r>
              <w:rPr>
                <w:rFonts w:hint="eastAsia"/>
                <w:bCs/>
                <w:kern w:val="0"/>
                <w:sz w:val="18"/>
                <w:szCs w:val="18"/>
              </w:rPr>
              <w:t>讲授式、讨论式、案例式与启发式相结合。</w:t>
            </w:r>
          </w:p>
          <w:p>
            <w:pPr>
              <w:snapToGrid w:val="0"/>
              <w:spacing w:line="300" w:lineRule="auto"/>
              <w:rPr>
                <w:sz w:val="18"/>
                <w:szCs w:val="18"/>
              </w:rPr>
            </w:pPr>
          </w:p>
        </w:tc>
        <w:tc>
          <w:tcPr>
            <w:tcW w:w="423" w:type="pct"/>
            <w:vAlign w:val="center"/>
          </w:tcPr>
          <w:p>
            <w:pPr>
              <w:snapToGrid w:val="0"/>
              <w:spacing w:line="300" w:lineRule="auto"/>
              <w:jc w:val="center"/>
              <w:rPr>
                <w:sz w:val="18"/>
                <w:szCs w:val="18"/>
              </w:rPr>
            </w:pPr>
            <w:r>
              <w:rPr>
                <w:sz w:val="18"/>
                <w:szCs w:val="18"/>
              </w:rPr>
              <w:t>8</w:t>
            </w:r>
          </w:p>
        </w:tc>
        <w:tc>
          <w:tcPr>
            <w:tcW w:w="593" w:type="pct"/>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39" w:type="pct"/>
            <w:tcMar>
              <w:left w:w="57" w:type="dxa"/>
              <w:right w:w="57" w:type="dxa"/>
            </w:tcMar>
            <w:vAlign w:val="center"/>
          </w:tcPr>
          <w:p>
            <w:pPr>
              <w:snapToGrid w:val="0"/>
              <w:spacing w:line="300" w:lineRule="auto"/>
              <w:rPr>
                <w:sz w:val="18"/>
                <w:szCs w:val="18"/>
              </w:rPr>
            </w:pPr>
            <w:r>
              <w:rPr>
                <w:sz w:val="18"/>
                <w:szCs w:val="18"/>
              </w:rPr>
              <w:t>3</w:t>
            </w:r>
          </w:p>
        </w:tc>
        <w:tc>
          <w:tcPr>
            <w:tcW w:w="1880" w:type="pct"/>
            <w:vAlign w:val="center"/>
          </w:tcPr>
          <w:p>
            <w:pPr>
              <w:spacing w:line="300" w:lineRule="auto"/>
              <w:rPr>
                <w:bCs/>
                <w:sz w:val="18"/>
                <w:szCs w:val="18"/>
              </w:rPr>
            </w:pPr>
            <w:r>
              <w:rPr>
                <w:bCs/>
                <w:sz w:val="18"/>
                <w:szCs w:val="18"/>
              </w:rPr>
              <w:t xml:space="preserve">3 </w:t>
            </w:r>
            <w:r>
              <w:rPr>
                <w:rFonts w:hint="eastAsia"/>
                <w:bCs/>
                <w:sz w:val="18"/>
                <w:szCs w:val="18"/>
              </w:rPr>
              <w:t>调和方程</w:t>
            </w:r>
          </w:p>
          <w:p>
            <w:pPr>
              <w:spacing w:line="300" w:lineRule="auto"/>
              <w:rPr>
                <w:bCs/>
                <w:kern w:val="0"/>
                <w:sz w:val="18"/>
                <w:szCs w:val="18"/>
              </w:rPr>
            </w:pPr>
            <w:r>
              <w:rPr>
                <w:bCs/>
                <w:kern w:val="0"/>
                <w:sz w:val="18"/>
                <w:szCs w:val="18"/>
              </w:rPr>
              <w:t>3.1</w:t>
            </w:r>
            <w:r>
              <w:rPr>
                <w:rFonts w:hint="eastAsia"/>
                <w:bCs/>
                <w:kern w:val="0"/>
                <w:sz w:val="18"/>
                <w:szCs w:val="18"/>
              </w:rPr>
              <w:t>建立方程</w:t>
            </w:r>
            <w:r>
              <w:rPr>
                <w:bCs/>
                <w:kern w:val="0"/>
                <w:sz w:val="18"/>
                <w:szCs w:val="18"/>
              </w:rPr>
              <w:t>、定解条件；</w:t>
            </w:r>
          </w:p>
          <w:p>
            <w:pPr>
              <w:spacing w:line="300" w:lineRule="auto"/>
              <w:rPr>
                <w:bCs/>
                <w:kern w:val="0"/>
                <w:sz w:val="18"/>
                <w:szCs w:val="18"/>
              </w:rPr>
            </w:pPr>
            <w:r>
              <w:rPr>
                <w:bCs/>
                <w:kern w:val="0"/>
                <w:sz w:val="18"/>
                <w:szCs w:val="18"/>
              </w:rPr>
              <w:t>3.2</w:t>
            </w:r>
            <w:r>
              <w:rPr>
                <w:rFonts w:hint="eastAsia"/>
                <w:bCs/>
                <w:kern w:val="0"/>
                <w:sz w:val="18"/>
                <w:szCs w:val="18"/>
              </w:rPr>
              <w:t>格林公式</w:t>
            </w:r>
            <w:r>
              <w:rPr>
                <w:bCs/>
                <w:kern w:val="0"/>
                <w:sz w:val="18"/>
                <w:szCs w:val="18"/>
              </w:rPr>
              <w:t>及其应用；</w:t>
            </w:r>
          </w:p>
          <w:p>
            <w:pPr>
              <w:spacing w:line="300" w:lineRule="auto"/>
              <w:rPr>
                <w:bCs/>
                <w:kern w:val="0"/>
                <w:sz w:val="18"/>
                <w:szCs w:val="18"/>
              </w:rPr>
            </w:pPr>
            <w:r>
              <w:rPr>
                <w:bCs/>
                <w:kern w:val="0"/>
                <w:sz w:val="18"/>
                <w:szCs w:val="18"/>
              </w:rPr>
              <w:t>3.3</w:t>
            </w:r>
            <w:r>
              <w:rPr>
                <w:rFonts w:hint="eastAsia"/>
                <w:bCs/>
                <w:kern w:val="0"/>
                <w:sz w:val="18"/>
                <w:szCs w:val="18"/>
              </w:rPr>
              <w:t>格林函数</w:t>
            </w:r>
            <w:r>
              <w:rPr>
                <w:bCs/>
                <w:kern w:val="0"/>
                <w:sz w:val="18"/>
                <w:szCs w:val="18"/>
              </w:rPr>
              <w:t>；</w:t>
            </w:r>
          </w:p>
          <w:p>
            <w:pPr>
              <w:spacing w:line="300" w:lineRule="auto"/>
              <w:rPr>
                <w:bCs/>
                <w:sz w:val="18"/>
                <w:szCs w:val="18"/>
              </w:rPr>
            </w:pPr>
            <w:r>
              <w:rPr>
                <w:bCs/>
                <w:kern w:val="0"/>
                <w:sz w:val="18"/>
                <w:szCs w:val="18"/>
              </w:rPr>
              <w:t>3.4</w:t>
            </w:r>
            <w:r>
              <w:rPr>
                <w:rFonts w:hint="eastAsia"/>
                <w:bCs/>
                <w:kern w:val="0"/>
                <w:sz w:val="18"/>
                <w:szCs w:val="18"/>
              </w:rPr>
              <w:t>强极</w:t>
            </w:r>
            <w:r>
              <w:rPr>
                <w:bCs/>
                <w:kern w:val="0"/>
                <w:sz w:val="18"/>
                <w:szCs w:val="18"/>
              </w:rPr>
              <w:t>值原理、第二边值问题的唯一性</w:t>
            </w:r>
            <w:r>
              <w:rPr>
                <w:rFonts w:hint="eastAsia"/>
                <w:bCs/>
                <w:kern w:val="0"/>
                <w:sz w:val="18"/>
                <w:szCs w:val="18"/>
              </w:rPr>
              <w:t>。</w:t>
            </w:r>
          </w:p>
          <w:p>
            <w:pPr>
              <w:snapToGrid w:val="0"/>
              <w:spacing w:line="300" w:lineRule="auto"/>
              <w:rPr>
                <w:bCs/>
                <w:sz w:val="18"/>
                <w:szCs w:val="18"/>
              </w:rPr>
            </w:pPr>
          </w:p>
        </w:tc>
        <w:tc>
          <w:tcPr>
            <w:tcW w:w="1765" w:type="pct"/>
            <w:vAlign w:val="center"/>
          </w:tcPr>
          <w:p>
            <w:pPr>
              <w:snapToGrid w:val="0"/>
              <w:spacing w:line="300" w:lineRule="auto"/>
              <w:rPr>
                <w:bCs/>
                <w:kern w:val="0"/>
                <w:sz w:val="18"/>
                <w:szCs w:val="18"/>
              </w:rPr>
            </w:pPr>
            <w:r>
              <w:rPr>
                <w:bCs/>
                <w:kern w:val="0"/>
                <w:sz w:val="18"/>
                <w:szCs w:val="18"/>
              </w:rPr>
              <w:t>1.要求</w:t>
            </w:r>
          </w:p>
          <w:p>
            <w:pPr>
              <w:spacing w:line="360" w:lineRule="exact"/>
              <w:rPr>
                <w:bCs/>
                <w:kern w:val="0"/>
                <w:sz w:val="18"/>
                <w:szCs w:val="18"/>
              </w:rPr>
            </w:pPr>
            <w:r>
              <w:rPr>
                <w:rFonts w:hint="eastAsia"/>
                <w:bCs/>
                <w:kern w:val="0"/>
                <w:sz w:val="18"/>
                <w:szCs w:val="18"/>
              </w:rPr>
              <w:t>（1）能够建立</w:t>
            </w:r>
            <w:r>
              <w:rPr>
                <w:bCs/>
                <w:kern w:val="0"/>
                <w:sz w:val="18"/>
                <w:szCs w:val="18"/>
              </w:rPr>
              <w:t>调和方程，明确定解条件</w:t>
            </w:r>
            <w:r>
              <w:rPr>
                <w:rFonts w:hint="eastAsia"/>
                <w:bCs/>
                <w:kern w:val="0"/>
                <w:sz w:val="18"/>
                <w:szCs w:val="18"/>
              </w:rPr>
              <w:t>；</w:t>
            </w:r>
          </w:p>
          <w:p>
            <w:pPr>
              <w:spacing w:line="360" w:lineRule="exact"/>
              <w:rPr>
                <w:bCs/>
                <w:kern w:val="0"/>
                <w:sz w:val="18"/>
                <w:szCs w:val="18"/>
              </w:rPr>
            </w:pPr>
            <w:r>
              <w:rPr>
                <w:rFonts w:hint="eastAsia"/>
                <w:bCs/>
                <w:kern w:val="0"/>
                <w:sz w:val="18"/>
                <w:szCs w:val="18"/>
              </w:rPr>
              <w:t>（2）熟练掌握格林公式</w:t>
            </w:r>
            <w:r>
              <w:rPr>
                <w:bCs/>
                <w:kern w:val="0"/>
                <w:sz w:val="18"/>
                <w:szCs w:val="18"/>
              </w:rPr>
              <w:t>及其应用</w:t>
            </w:r>
            <w:r>
              <w:rPr>
                <w:rFonts w:hint="eastAsia"/>
                <w:bCs/>
                <w:kern w:val="0"/>
                <w:sz w:val="18"/>
                <w:szCs w:val="18"/>
              </w:rPr>
              <w:t>；</w:t>
            </w:r>
          </w:p>
          <w:p>
            <w:pPr>
              <w:spacing w:line="360" w:lineRule="exact"/>
              <w:rPr>
                <w:bCs/>
                <w:kern w:val="0"/>
                <w:sz w:val="18"/>
                <w:szCs w:val="18"/>
              </w:rPr>
            </w:pPr>
            <w:r>
              <w:rPr>
                <w:rFonts w:hint="eastAsia"/>
                <w:bCs/>
                <w:kern w:val="0"/>
                <w:sz w:val="18"/>
                <w:szCs w:val="18"/>
              </w:rPr>
              <w:t>（3）</w:t>
            </w:r>
            <w:r>
              <w:rPr>
                <w:bCs/>
                <w:kern w:val="0"/>
                <w:sz w:val="18"/>
                <w:szCs w:val="18"/>
              </w:rPr>
              <w:t>了解格林函数；</w:t>
            </w:r>
          </w:p>
          <w:p>
            <w:pPr>
              <w:spacing w:line="360" w:lineRule="exact"/>
              <w:rPr>
                <w:bCs/>
                <w:kern w:val="0"/>
                <w:sz w:val="18"/>
                <w:szCs w:val="18"/>
              </w:rPr>
            </w:pPr>
            <w:r>
              <w:rPr>
                <w:rFonts w:hint="eastAsia"/>
                <w:bCs/>
                <w:kern w:val="0"/>
                <w:sz w:val="18"/>
                <w:szCs w:val="18"/>
              </w:rPr>
              <w:t>（4）能用</w:t>
            </w:r>
            <w:r>
              <w:rPr>
                <w:bCs/>
                <w:kern w:val="0"/>
                <w:sz w:val="18"/>
                <w:szCs w:val="18"/>
              </w:rPr>
              <w:t>强极值原理判定第二</w:t>
            </w:r>
            <w:r>
              <w:rPr>
                <w:rFonts w:hint="eastAsia"/>
                <w:bCs/>
                <w:kern w:val="0"/>
                <w:sz w:val="18"/>
                <w:szCs w:val="18"/>
              </w:rPr>
              <w:t>边</w:t>
            </w:r>
            <w:r>
              <w:rPr>
                <w:bCs/>
                <w:kern w:val="0"/>
                <w:sz w:val="18"/>
                <w:szCs w:val="18"/>
              </w:rPr>
              <w:t>值问题解的</w:t>
            </w:r>
            <w:r>
              <w:rPr>
                <w:rFonts w:hint="eastAsia"/>
                <w:bCs/>
                <w:kern w:val="0"/>
                <w:sz w:val="18"/>
                <w:szCs w:val="18"/>
              </w:rPr>
              <w:t>唯一</w:t>
            </w:r>
            <w:r>
              <w:rPr>
                <w:bCs/>
                <w:kern w:val="0"/>
                <w:sz w:val="18"/>
                <w:szCs w:val="18"/>
              </w:rPr>
              <w:t>性。</w:t>
            </w:r>
          </w:p>
          <w:p>
            <w:pPr>
              <w:widowControl/>
              <w:spacing w:line="360" w:lineRule="exact"/>
              <w:rPr>
                <w:bCs/>
                <w:kern w:val="0"/>
                <w:sz w:val="18"/>
                <w:szCs w:val="18"/>
              </w:rPr>
            </w:pPr>
            <w:r>
              <w:rPr>
                <w:rFonts w:hint="eastAsia"/>
                <w:bCs/>
                <w:kern w:val="0"/>
                <w:sz w:val="18"/>
                <w:szCs w:val="18"/>
              </w:rPr>
              <w:t>2.作业内容</w:t>
            </w:r>
          </w:p>
          <w:p>
            <w:pPr>
              <w:widowControl/>
              <w:spacing w:line="360" w:lineRule="exact"/>
              <w:rPr>
                <w:bCs/>
                <w:kern w:val="0"/>
                <w:sz w:val="18"/>
                <w:szCs w:val="18"/>
              </w:rPr>
            </w:pPr>
            <w:r>
              <w:rPr>
                <w:rFonts w:hint="eastAsia"/>
                <w:bCs/>
                <w:kern w:val="0"/>
                <w:sz w:val="18"/>
                <w:szCs w:val="18"/>
              </w:rPr>
              <w:t>（1）复习第三章内容；</w:t>
            </w:r>
          </w:p>
          <w:p>
            <w:pPr>
              <w:widowControl/>
              <w:spacing w:line="360" w:lineRule="exact"/>
              <w:rPr>
                <w:bCs/>
                <w:kern w:val="0"/>
                <w:sz w:val="18"/>
                <w:szCs w:val="18"/>
              </w:rPr>
            </w:pPr>
            <w:r>
              <w:rPr>
                <w:rFonts w:hint="eastAsia"/>
                <w:bCs/>
                <w:kern w:val="0"/>
                <w:sz w:val="18"/>
                <w:szCs w:val="18"/>
              </w:rPr>
              <w:t>（2）完成教材第三章作业。</w:t>
            </w:r>
          </w:p>
          <w:p>
            <w:pPr>
              <w:widowControl/>
              <w:spacing w:line="360" w:lineRule="exact"/>
              <w:rPr>
                <w:bCs/>
                <w:kern w:val="0"/>
                <w:sz w:val="18"/>
                <w:szCs w:val="18"/>
              </w:rPr>
            </w:pPr>
            <w:r>
              <w:rPr>
                <w:rFonts w:hint="eastAsia"/>
                <w:bCs/>
                <w:kern w:val="0"/>
                <w:sz w:val="18"/>
                <w:szCs w:val="18"/>
              </w:rPr>
              <w:t>3.教学方法</w:t>
            </w:r>
          </w:p>
          <w:p>
            <w:pPr>
              <w:widowControl/>
              <w:spacing w:line="360" w:lineRule="exact"/>
              <w:rPr>
                <w:bCs/>
                <w:kern w:val="0"/>
                <w:sz w:val="18"/>
                <w:szCs w:val="18"/>
              </w:rPr>
            </w:pPr>
            <w:r>
              <w:rPr>
                <w:rFonts w:hint="eastAsia"/>
                <w:bCs/>
                <w:kern w:val="0"/>
                <w:sz w:val="18"/>
                <w:szCs w:val="18"/>
              </w:rPr>
              <w:t>讲授式、讨论式、案例式与启发式相结合。</w:t>
            </w:r>
          </w:p>
          <w:p>
            <w:pPr>
              <w:snapToGrid w:val="0"/>
              <w:spacing w:line="300" w:lineRule="auto"/>
              <w:rPr>
                <w:bCs/>
                <w:kern w:val="0"/>
                <w:sz w:val="18"/>
                <w:szCs w:val="18"/>
              </w:rPr>
            </w:pP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9" w:type="pct"/>
            <w:tcMar>
              <w:left w:w="57" w:type="dxa"/>
              <w:right w:w="57" w:type="dxa"/>
            </w:tcMar>
            <w:vAlign w:val="center"/>
          </w:tcPr>
          <w:p>
            <w:pPr>
              <w:snapToGrid w:val="0"/>
              <w:spacing w:line="300" w:lineRule="auto"/>
              <w:rPr>
                <w:sz w:val="18"/>
                <w:szCs w:val="18"/>
              </w:rPr>
            </w:pPr>
            <w:r>
              <w:rPr>
                <w:sz w:val="18"/>
                <w:szCs w:val="18"/>
              </w:rPr>
              <w:t>4</w:t>
            </w:r>
          </w:p>
        </w:tc>
        <w:tc>
          <w:tcPr>
            <w:tcW w:w="1880" w:type="pct"/>
            <w:vAlign w:val="center"/>
          </w:tcPr>
          <w:p>
            <w:pPr>
              <w:spacing w:line="300" w:lineRule="auto"/>
              <w:rPr>
                <w:bCs/>
                <w:sz w:val="18"/>
                <w:szCs w:val="18"/>
              </w:rPr>
            </w:pPr>
            <w:r>
              <w:rPr>
                <w:bCs/>
                <w:sz w:val="18"/>
                <w:szCs w:val="18"/>
              </w:rPr>
              <w:t xml:space="preserve">4 </w:t>
            </w:r>
            <w:r>
              <w:rPr>
                <w:rFonts w:hint="eastAsia"/>
                <w:bCs/>
                <w:sz w:val="18"/>
                <w:szCs w:val="18"/>
              </w:rPr>
              <w:t>二阶线性</w:t>
            </w:r>
            <w:r>
              <w:rPr>
                <w:bCs/>
                <w:sz w:val="18"/>
                <w:szCs w:val="18"/>
              </w:rPr>
              <w:t>偏微分方程的分</w:t>
            </w:r>
            <w:r>
              <w:rPr>
                <w:rFonts w:hint="eastAsia"/>
                <w:bCs/>
                <w:sz w:val="18"/>
                <w:szCs w:val="18"/>
              </w:rPr>
              <w:t>类</w:t>
            </w:r>
            <w:r>
              <w:rPr>
                <w:bCs/>
                <w:sz w:val="18"/>
                <w:szCs w:val="18"/>
              </w:rPr>
              <w:t>与总结</w:t>
            </w:r>
          </w:p>
          <w:p>
            <w:pPr>
              <w:spacing w:line="360" w:lineRule="exact"/>
              <w:rPr>
                <w:bCs/>
                <w:kern w:val="0"/>
                <w:sz w:val="18"/>
                <w:szCs w:val="18"/>
              </w:rPr>
            </w:pPr>
            <w:r>
              <w:rPr>
                <w:bCs/>
                <w:kern w:val="0"/>
                <w:sz w:val="18"/>
                <w:szCs w:val="18"/>
              </w:rPr>
              <w:t>4.1</w:t>
            </w:r>
            <w:r>
              <w:rPr>
                <w:rFonts w:hint="eastAsia"/>
                <w:bCs/>
                <w:kern w:val="0"/>
                <w:sz w:val="18"/>
                <w:szCs w:val="18"/>
              </w:rPr>
              <w:t>二阶线性</w:t>
            </w:r>
            <w:r>
              <w:rPr>
                <w:bCs/>
                <w:kern w:val="0"/>
                <w:sz w:val="18"/>
                <w:szCs w:val="18"/>
              </w:rPr>
              <w:t>方程的分类；</w:t>
            </w:r>
          </w:p>
          <w:p>
            <w:pPr>
              <w:spacing w:line="360" w:lineRule="exact"/>
              <w:rPr>
                <w:bCs/>
                <w:kern w:val="0"/>
                <w:sz w:val="18"/>
                <w:szCs w:val="18"/>
              </w:rPr>
            </w:pPr>
            <w:r>
              <w:rPr>
                <w:bCs/>
                <w:kern w:val="0"/>
                <w:sz w:val="18"/>
                <w:szCs w:val="18"/>
              </w:rPr>
              <w:t>4.2</w:t>
            </w:r>
            <w:r>
              <w:rPr>
                <w:rFonts w:hint="eastAsia"/>
                <w:bCs/>
                <w:kern w:val="0"/>
                <w:sz w:val="18"/>
                <w:szCs w:val="18"/>
              </w:rPr>
              <w:t>二阶线性</w:t>
            </w:r>
            <w:r>
              <w:rPr>
                <w:bCs/>
                <w:kern w:val="0"/>
                <w:sz w:val="18"/>
                <w:szCs w:val="18"/>
              </w:rPr>
              <w:t>方程的特征理论；</w:t>
            </w:r>
          </w:p>
          <w:p>
            <w:pPr>
              <w:spacing w:line="360" w:lineRule="exact"/>
              <w:rPr>
                <w:bCs/>
                <w:kern w:val="0"/>
                <w:sz w:val="18"/>
                <w:szCs w:val="18"/>
              </w:rPr>
            </w:pPr>
            <w:r>
              <w:rPr>
                <w:bCs/>
                <w:kern w:val="0"/>
                <w:sz w:val="18"/>
                <w:szCs w:val="18"/>
              </w:rPr>
              <w:t>4.3</w:t>
            </w:r>
            <w:r>
              <w:rPr>
                <w:rFonts w:hint="eastAsia"/>
                <w:bCs/>
                <w:kern w:val="0"/>
                <w:sz w:val="18"/>
                <w:szCs w:val="18"/>
              </w:rPr>
              <w:t>三类</w:t>
            </w:r>
            <w:r>
              <w:rPr>
                <w:bCs/>
                <w:kern w:val="0"/>
                <w:sz w:val="18"/>
                <w:szCs w:val="18"/>
              </w:rPr>
              <w:t>方程比较。</w:t>
            </w:r>
          </w:p>
          <w:p>
            <w:pPr>
              <w:snapToGrid w:val="0"/>
              <w:spacing w:line="300" w:lineRule="auto"/>
              <w:rPr>
                <w:bCs/>
                <w:sz w:val="18"/>
                <w:szCs w:val="18"/>
              </w:rPr>
            </w:pPr>
          </w:p>
        </w:tc>
        <w:tc>
          <w:tcPr>
            <w:tcW w:w="1765"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rFonts w:hint="eastAsia"/>
                <w:sz w:val="18"/>
                <w:szCs w:val="18"/>
              </w:rPr>
              <w:t>（1）初步掌握</w:t>
            </w:r>
            <w:r>
              <w:rPr>
                <w:sz w:val="18"/>
                <w:szCs w:val="18"/>
              </w:rPr>
              <w:t>二阶线性方程的分类方法；</w:t>
            </w:r>
          </w:p>
          <w:p>
            <w:pPr>
              <w:snapToGrid w:val="0"/>
              <w:spacing w:line="300" w:lineRule="auto"/>
              <w:rPr>
                <w:sz w:val="18"/>
                <w:szCs w:val="18"/>
              </w:rPr>
            </w:pPr>
            <w:r>
              <w:rPr>
                <w:rFonts w:hint="eastAsia"/>
                <w:sz w:val="18"/>
                <w:szCs w:val="18"/>
              </w:rPr>
              <w:t>（2）了解了解二阶</w:t>
            </w:r>
            <w:r>
              <w:rPr>
                <w:sz w:val="18"/>
                <w:szCs w:val="18"/>
              </w:rPr>
              <w:t>线性方程的特征理论；</w:t>
            </w:r>
          </w:p>
          <w:p>
            <w:pPr>
              <w:snapToGrid w:val="0"/>
              <w:spacing w:line="300" w:lineRule="auto"/>
              <w:rPr>
                <w:sz w:val="18"/>
                <w:szCs w:val="18"/>
              </w:rPr>
            </w:pPr>
            <w:r>
              <w:rPr>
                <w:rFonts w:hint="eastAsia"/>
                <w:sz w:val="18"/>
                <w:szCs w:val="18"/>
              </w:rPr>
              <w:t>（3）了解三类</w:t>
            </w:r>
            <w:r>
              <w:rPr>
                <w:sz w:val="18"/>
                <w:szCs w:val="18"/>
              </w:rPr>
              <w:t>方程的特点。</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w:t>
            </w:r>
            <w:r>
              <w:rPr>
                <w:rFonts w:hint="eastAsia"/>
                <w:sz w:val="18"/>
                <w:szCs w:val="18"/>
              </w:rPr>
              <w:t>四</w:t>
            </w:r>
            <w:r>
              <w:rPr>
                <w:sz w:val="18"/>
                <w:szCs w:val="18"/>
              </w:rPr>
              <w:t>章内容</w:t>
            </w:r>
            <w:r>
              <w:rPr>
                <w:rFonts w:hint="eastAsia"/>
                <w:sz w:val="18"/>
                <w:szCs w:val="18"/>
              </w:rPr>
              <w:t>；</w:t>
            </w:r>
          </w:p>
          <w:p>
            <w:pPr>
              <w:snapToGrid w:val="0"/>
              <w:spacing w:line="300" w:lineRule="auto"/>
              <w:rPr>
                <w:sz w:val="18"/>
                <w:szCs w:val="18"/>
              </w:rPr>
            </w:pPr>
            <w:r>
              <w:rPr>
                <w:sz w:val="18"/>
                <w:szCs w:val="18"/>
              </w:rPr>
              <w:t>（2）完成教材第</w:t>
            </w:r>
            <w:r>
              <w:rPr>
                <w:rFonts w:hint="eastAsia"/>
                <w:sz w:val="18"/>
                <w:szCs w:val="18"/>
              </w:rPr>
              <w:t>四</w:t>
            </w:r>
            <w:r>
              <w:rPr>
                <w:sz w:val="18"/>
                <w:szCs w:val="18"/>
              </w:rPr>
              <w:t>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p>
        </w:tc>
        <w:tc>
          <w:tcPr>
            <w:tcW w:w="423" w:type="pct"/>
            <w:vAlign w:val="center"/>
          </w:tcPr>
          <w:p>
            <w:pPr>
              <w:snapToGrid w:val="0"/>
              <w:spacing w:line="300" w:lineRule="auto"/>
              <w:jc w:val="center"/>
              <w:rPr>
                <w:sz w:val="18"/>
                <w:szCs w:val="18"/>
              </w:rPr>
            </w:pPr>
            <w:r>
              <w:rPr>
                <w:sz w:val="18"/>
                <w:szCs w:val="18"/>
              </w:rPr>
              <w:t>6</w:t>
            </w:r>
          </w:p>
        </w:tc>
        <w:tc>
          <w:tcPr>
            <w:tcW w:w="593" w:type="pct"/>
            <w:vAlign w:val="center"/>
          </w:tcPr>
          <w:p>
            <w:pPr>
              <w:snapToGrid w:val="0"/>
              <w:spacing w:line="300" w:lineRule="auto"/>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9" w:type="pct"/>
            <w:tcMar>
              <w:left w:w="57" w:type="dxa"/>
              <w:right w:w="57" w:type="dxa"/>
            </w:tcMar>
            <w:vAlign w:val="center"/>
          </w:tcPr>
          <w:p>
            <w:pPr>
              <w:snapToGrid w:val="0"/>
              <w:spacing w:line="300" w:lineRule="auto"/>
              <w:rPr>
                <w:sz w:val="18"/>
                <w:szCs w:val="18"/>
              </w:rPr>
            </w:pPr>
            <w:r>
              <w:rPr>
                <w:sz w:val="18"/>
                <w:szCs w:val="18"/>
              </w:rPr>
              <w:t>5</w:t>
            </w:r>
          </w:p>
        </w:tc>
        <w:tc>
          <w:tcPr>
            <w:tcW w:w="1880" w:type="pct"/>
            <w:vAlign w:val="center"/>
          </w:tcPr>
          <w:p>
            <w:pPr>
              <w:spacing w:line="300" w:lineRule="auto"/>
              <w:rPr>
                <w:bCs/>
                <w:sz w:val="18"/>
                <w:szCs w:val="18"/>
              </w:rPr>
            </w:pPr>
            <w:r>
              <w:rPr>
                <w:bCs/>
                <w:sz w:val="18"/>
                <w:szCs w:val="18"/>
              </w:rPr>
              <w:t>5</w:t>
            </w:r>
            <w:r>
              <w:rPr>
                <w:rFonts w:hint="eastAsia"/>
                <w:bCs/>
                <w:sz w:val="18"/>
                <w:szCs w:val="18"/>
              </w:rPr>
              <w:t>积分论</w:t>
            </w:r>
          </w:p>
          <w:p>
            <w:pPr>
              <w:spacing w:line="300" w:lineRule="auto"/>
              <w:rPr>
                <w:bCs/>
                <w:sz w:val="18"/>
                <w:szCs w:val="18"/>
              </w:rPr>
            </w:pPr>
            <w:r>
              <w:rPr>
                <w:rFonts w:hint="eastAsia"/>
                <w:bCs/>
                <w:sz w:val="18"/>
                <w:szCs w:val="18"/>
              </w:rPr>
              <w:t>5.1一阶</w:t>
            </w:r>
            <w:r>
              <w:rPr>
                <w:bCs/>
                <w:sz w:val="18"/>
                <w:szCs w:val="18"/>
              </w:rPr>
              <w:t>偏微分方程组的例子、一阶方程组与高阶方程的关系；</w:t>
            </w:r>
          </w:p>
          <w:p>
            <w:pPr>
              <w:spacing w:line="300" w:lineRule="auto"/>
              <w:rPr>
                <w:bCs/>
                <w:sz w:val="18"/>
                <w:szCs w:val="18"/>
              </w:rPr>
            </w:pPr>
            <w:r>
              <w:rPr>
                <w:rFonts w:hint="eastAsia"/>
                <w:bCs/>
                <w:sz w:val="18"/>
                <w:szCs w:val="18"/>
              </w:rPr>
              <w:t>5.2 两个自变量</w:t>
            </w:r>
            <w:r>
              <w:rPr>
                <w:bCs/>
                <w:sz w:val="18"/>
                <w:szCs w:val="18"/>
              </w:rPr>
              <w:t>领子的一阶线性偏微分方程的特征理论；</w:t>
            </w:r>
          </w:p>
          <w:p>
            <w:pPr>
              <w:spacing w:line="300" w:lineRule="auto"/>
              <w:rPr>
                <w:bCs/>
                <w:sz w:val="18"/>
                <w:szCs w:val="18"/>
              </w:rPr>
            </w:pPr>
            <w:r>
              <w:rPr>
                <w:bCs/>
                <w:sz w:val="18"/>
                <w:szCs w:val="18"/>
              </w:rPr>
              <w:t xml:space="preserve">5.3 </w:t>
            </w:r>
            <w:r>
              <w:rPr>
                <w:rFonts w:hint="eastAsia"/>
                <w:bCs/>
                <w:sz w:val="18"/>
                <w:szCs w:val="18"/>
              </w:rPr>
              <w:t>两个</w:t>
            </w:r>
            <w:r>
              <w:rPr>
                <w:bCs/>
                <w:sz w:val="18"/>
                <w:szCs w:val="18"/>
              </w:rPr>
              <w:t>自变量线性双曲线方程组的柯西问题；</w:t>
            </w:r>
          </w:p>
          <w:p>
            <w:pPr>
              <w:spacing w:line="300" w:lineRule="auto"/>
              <w:rPr>
                <w:bCs/>
                <w:sz w:val="18"/>
                <w:szCs w:val="18"/>
              </w:rPr>
            </w:pPr>
            <w:r>
              <w:rPr>
                <w:bCs/>
                <w:sz w:val="18"/>
                <w:szCs w:val="18"/>
              </w:rPr>
              <w:t xml:space="preserve">5.4 </w:t>
            </w:r>
            <w:r>
              <w:rPr>
                <w:rFonts w:hint="eastAsia"/>
                <w:bCs/>
                <w:sz w:val="18"/>
                <w:szCs w:val="18"/>
              </w:rPr>
              <w:t>两个</w:t>
            </w:r>
            <w:r>
              <w:rPr>
                <w:bCs/>
                <w:sz w:val="18"/>
                <w:szCs w:val="18"/>
              </w:rPr>
              <w:t>自变量的线性双典型方程组的其他</w:t>
            </w:r>
            <w:r>
              <w:rPr>
                <w:rFonts w:hint="eastAsia"/>
                <w:bCs/>
                <w:sz w:val="18"/>
                <w:szCs w:val="18"/>
              </w:rPr>
              <w:t>定</w:t>
            </w:r>
            <w:r>
              <w:rPr>
                <w:bCs/>
                <w:sz w:val="18"/>
                <w:szCs w:val="18"/>
              </w:rPr>
              <w:t>解问题。</w:t>
            </w:r>
          </w:p>
          <w:p>
            <w:pPr>
              <w:spacing w:line="300" w:lineRule="auto"/>
              <w:rPr>
                <w:bCs/>
                <w:sz w:val="18"/>
                <w:szCs w:val="18"/>
              </w:rPr>
            </w:pPr>
          </w:p>
        </w:tc>
        <w:tc>
          <w:tcPr>
            <w:tcW w:w="1765"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rFonts w:hint="eastAsia"/>
                <w:sz w:val="18"/>
                <w:szCs w:val="18"/>
              </w:rPr>
              <w:t>（1）了解一阶</w:t>
            </w:r>
            <w:r>
              <w:rPr>
                <w:sz w:val="18"/>
                <w:szCs w:val="18"/>
              </w:rPr>
              <w:t>偏微分方程组的概念及特征理论</w:t>
            </w:r>
            <w:r>
              <w:rPr>
                <w:rFonts w:hint="eastAsia"/>
                <w:sz w:val="18"/>
                <w:szCs w:val="18"/>
              </w:rPr>
              <w:t>；</w:t>
            </w:r>
          </w:p>
          <w:p>
            <w:pPr>
              <w:snapToGrid w:val="0"/>
              <w:spacing w:line="300" w:lineRule="auto"/>
              <w:rPr>
                <w:sz w:val="18"/>
                <w:szCs w:val="18"/>
              </w:rPr>
            </w:pPr>
            <w:r>
              <w:rPr>
                <w:rFonts w:hint="eastAsia"/>
                <w:sz w:val="18"/>
                <w:szCs w:val="18"/>
              </w:rPr>
              <w:t>（2）明确两个</w:t>
            </w:r>
            <w:r>
              <w:rPr>
                <w:sz w:val="18"/>
                <w:szCs w:val="18"/>
              </w:rPr>
              <w:t>自变量的线性双典型</w:t>
            </w:r>
            <w:r>
              <w:rPr>
                <w:rFonts w:hint="eastAsia"/>
                <w:sz w:val="18"/>
                <w:szCs w:val="18"/>
              </w:rPr>
              <w:t>方程组</w:t>
            </w:r>
            <w:r>
              <w:rPr>
                <w:sz w:val="18"/>
                <w:szCs w:val="18"/>
              </w:rPr>
              <w:t>的柯西问题及定解问题</w:t>
            </w:r>
            <w:r>
              <w:rPr>
                <w:rFonts w:hint="eastAsia"/>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w:t>
            </w:r>
            <w:r>
              <w:rPr>
                <w:rFonts w:hint="eastAsia"/>
                <w:sz w:val="18"/>
                <w:szCs w:val="18"/>
              </w:rPr>
              <w:t>五</w:t>
            </w:r>
            <w:r>
              <w:rPr>
                <w:sz w:val="18"/>
                <w:szCs w:val="18"/>
              </w:rPr>
              <w:t>章内容。</w:t>
            </w:r>
          </w:p>
          <w:p>
            <w:pPr>
              <w:snapToGrid w:val="0"/>
              <w:spacing w:line="300" w:lineRule="auto"/>
              <w:rPr>
                <w:sz w:val="18"/>
                <w:szCs w:val="18"/>
              </w:rPr>
            </w:pPr>
            <w:r>
              <w:rPr>
                <w:sz w:val="18"/>
                <w:szCs w:val="18"/>
              </w:rPr>
              <w:t>（2）完成教材第</w:t>
            </w:r>
            <w:r>
              <w:rPr>
                <w:rFonts w:hint="eastAsia"/>
                <w:sz w:val="18"/>
                <w:szCs w:val="18"/>
              </w:rPr>
              <w:t>五</w:t>
            </w:r>
            <w:r>
              <w:rPr>
                <w:sz w:val="18"/>
                <w:szCs w:val="18"/>
              </w:rPr>
              <w:t>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p>
        </w:tc>
        <w:tc>
          <w:tcPr>
            <w:tcW w:w="423" w:type="pct"/>
            <w:vAlign w:val="center"/>
          </w:tcPr>
          <w:p>
            <w:pPr>
              <w:snapToGrid w:val="0"/>
              <w:spacing w:line="300" w:lineRule="auto"/>
              <w:jc w:val="center"/>
              <w:rPr>
                <w:sz w:val="18"/>
                <w:szCs w:val="18"/>
              </w:rPr>
            </w:pPr>
            <w:r>
              <w:rPr>
                <w:rFonts w:hint="eastAsia"/>
                <w:sz w:val="18"/>
                <w:szCs w:val="18"/>
              </w:rPr>
              <w:t>4</w:t>
            </w:r>
          </w:p>
        </w:tc>
        <w:tc>
          <w:tcPr>
            <w:tcW w:w="593" w:type="pct"/>
            <w:vAlign w:val="center"/>
          </w:tcPr>
          <w:p>
            <w:pPr>
              <w:snapToGrid w:val="0"/>
              <w:spacing w:line="300" w:lineRule="auto"/>
              <w:jc w:val="center"/>
              <w:rPr>
                <w:sz w:val="18"/>
                <w:szCs w:val="18"/>
              </w:rPr>
            </w:pPr>
            <w:r>
              <w:rPr>
                <w:rFonts w:hint="eastAsia"/>
                <w:sz w:val="18"/>
                <w:szCs w:val="18"/>
              </w:rPr>
              <w:t>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w:t>
      </w:r>
    </w:p>
    <w:p>
      <w:pPr>
        <w:snapToGrid w:val="0"/>
        <w:spacing w:line="300" w:lineRule="auto"/>
        <w:ind w:firstLine="420" w:firstLineChars="200"/>
      </w:pPr>
      <w:r>
        <w:t>2．成绩构成：笔试成绩70%，平时成绩</w:t>
      </w:r>
      <w:r>
        <w:rPr>
          <w:rFonts w:hint="eastAsia"/>
        </w:rPr>
        <w:t>3</w:t>
      </w:r>
      <w:r>
        <w:t>0%（考勤、课后作业）。</w:t>
      </w:r>
    </w:p>
    <w:p>
      <w:pPr>
        <w:snapToGrid w:val="0"/>
        <w:spacing w:line="300" w:lineRule="auto"/>
        <w:ind w:firstLine="420" w:firstLineChars="200"/>
      </w:pPr>
      <w:r>
        <w:t>3．考核评价标准见表</w:t>
      </w:r>
      <w:r>
        <w:rPr>
          <w:rFonts w:hint="eastAsia"/>
        </w:rPr>
        <w:t>4</w:t>
      </w:r>
      <w:r>
        <w:t>所示。</w:t>
      </w:r>
    </w:p>
    <w:p>
      <w:pPr>
        <w:snapToGrid w:val="0"/>
        <w:spacing w:before="156" w:beforeLines="50" w:line="300" w:lineRule="auto"/>
        <w:ind w:firstLine="361" w:firstLineChars="200"/>
        <w:jc w:val="center"/>
        <w:rPr>
          <w:b/>
          <w:bCs/>
          <w:sz w:val="18"/>
          <w:szCs w:val="18"/>
        </w:rPr>
      </w:pPr>
      <w:r>
        <w:rPr>
          <w:b/>
          <w:bCs/>
          <w:sz w:val="18"/>
          <w:szCs w:val="18"/>
        </w:rPr>
        <w:t>表</w:t>
      </w:r>
      <w:r>
        <w:rPr>
          <w:rFonts w:hint="eastAsia"/>
          <w:b/>
          <w:bCs/>
          <w:sz w:val="18"/>
          <w:szCs w:val="18"/>
        </w:rPr>
        <w:t>4</w:t>
      </w:r>
      <w:r>
        <w:rPr>
          <w:b/>
          <w:bCs/>
          <w:sz w:val="18"/>
          <w:szCs w:val="18"/>
        </w:rPr>
        <w:t>教学目标评价标准</w:t>
      </w:r>
    </w:p>
    <w:tbl>
      <w:tblPr>
        <w:tblStyle w:val="22"/>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89"/>
        <w:gridCol w:w="689"/>
        <w:gridCol w:w="671"/>
        <w:gridCol w:w="567"/>
        <w:gridCol w:w="3506"/>
        <w:gridCol w:w="1042"/>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385" w:type="pct"/>
            <w:vAlign w:val="center"/>
          </w:tcPr>
          <w:p>
            <w:pPr>
              <w:snapToGrid w:val="0"/>
              <w:spacing w:line="300" w:lineRule="auto"/>
              <w:jc w:val="center"/>
              <w:rPr>
                <w:b/>
                <w:bCs/>
                <w:sz w:val="18"/>
                <w:szCs w:val="18"/>
              </w:rPr>
            </w:pPr>
            <w:r>
              <w:rPr>
                <w:b/>
                <w:bCs/>
                <w:sz w:val="18"/>
                <w:szCs w:val="18"/>
              </w:rPr>
              <w:t>成绩</w:t>
            </w:r>
          </w:p>
        </w:tc>
        <w:tc>
          <w:tcPr>
            <w:tcW w:w="385" w:type="pct"/>
            <w:vAlign w:val="center"/>
          </w:tcPr>
          <w:p>
            <w:pPr>
              <w:snapToGrid w:val="0"/>
              <w:spacing w:line="300" w:lineRule="auto"/>
              <w:jc w:val="center"/>
              <w:rPr>
                <w:b/>
                <w:bCs/>
                <w:sz w:val="18"/>
                <w:szCs w:val="18"/>
              </w:rPr>
            </w:pPr>
            <w:r>
              <w:rPr>
                <w:b/>
                <w:bCs/>
                <w:sz w:val="18"/>
                <w:szCs w:val="18"/>
              </w:rPr>
              <w:t>分值</w:t>
            </w:r>
          </w:p>
        </w:tc>
        <w:tc>
          <w:tcPr>
            <w:tcW w:w="385" w:type="pct"/>
            <w:vAlign w:val="center"/>
          </w:tcPr>
          <w:p>
            <w:pPr>
              <w:snapToGrid w:val="0"/>
              <w:spacing w:line="300" w:lineRule="auto"/>
              <w:jc w:val="center"/>
              <w:rPr>
                <w:b/>
                <w:bCs/>
                <w:sz w:val="18"/>
                <w:szCs w:val="18"/>
              </w:rPr>
            </w:pPr>
            <w:r>
              <w:rPr>
                <w:b/>
                <w:bCs/>
                <w:sz w:val="18"/>
                <w:szCs w:val="18"/>
              </w:rPr>
              <w:t>权重</w:t>
            </w:r>
          </w:p>
        </w:tc>
        <w:tc>
          <w:tcPr>
            <w:tcW w:w="375" w:type="pct"/>
            <w:vAlign w:val="center"/>
          </w:tcPr>
          <w:p>
            <w:pPr>
              <w:snapToGrid w:val="0"/>
              <w:spacing w:line="300" w:lineRule="auto"/>
              <w:jc w:val="center"/>
              <w:rPr>
                <w:b/>
                <w:bCs/>
                <w:sz w:val="18"/>
                <w:szCs w:val="18"/>
              </w:rPr>
            </w:pPr>
            <w:r>
              <w:rPr>
                <w:b/>
                <w:bCs/>
                <w:sz w:val="18"/>
                <w:szCs w:val="18"/>
              </w:rPr>
              <w:t>类别</w:t>
            </w:r>
          </w:p>
        </w:tc>
        <w:tc>
          <w:tcPr>
            <w:tcW w:w="317" w:type="pct"/>
            <w:vAlign w:val="center"/>
          </w:tcPr>
          <w:p>
            <w:pPr>
              <w:snapToGrid w:val="0"/>
              <w:spacing w:line="300" w:lineRule="auto"/>
              <w:jc w:val="center"/>
              <w:rPr>
                <w:b/>
                <w:bCs/>
                <w:sz w:val="18"/>
                <w:szCs w:val="18"/>
              </w:rPr>
            </w:pPr>
            <w:r>
              <w:rPr>
                <w:b/>
                <w:bCs/>
                <w:sz w:val="18"/>
                <w:szCs w:val="18"/>
              </w:rPr>
              <w:t>权重</w:t>
            </w:r>
          </w:p>
        </w:tc>
        <w:tc>
          <w:tcPr>
            <w:tcW w:w="1959" w:type="pct"/>
            <w:vAlign w:val="center"/>
          </w:tcPr>
          <w:p>
            <w:pPr>
              <w:snapToGrid w:val="0"/>
              <w:spacing w:line="300" w:lineRule="auto"/>
              <w:jc w:val="center"/>
              <w:rPr>
                <w:b/>
                <w:bCs/>
                <w:sz w:val="18"/>
                <w:szCs w:val="18"/>
              </w:rPr>
            </w:pPr>
            <w:r>
              <w:rPr>
                <w:b/>
                <w:bCs/>
                <w:sz w:val="18"/>
                <w:szCs w:val="18"/>
              </w:rPr>
              <w:t>考核/评价细则</w:t>
            </w:r>
          </w:p>
        </w:tc>
        <w:tc>
          <w:tcPr>
            <w:tcW w:w="582" w:type="pct"/>
            <w:vAlign w:val="center"/>
          </w:tcPr>
          <w:p>
            <w:pPr>
              <w:snapToGrid w:val="0"/>
              <w:spacing w:line="300" w:lineRule="auto"/>
              <w:jc w:val="center"/>
              <w:rPr>
                <w:b/>
                <w:bCs/>
                <w:sz w:val="18"/>
                <w:szCs w:val="18"/>
              </w:rPr>
            </w:pPr>
            <w:r>
              <w:rPr>
                <w:b/>
                <w:bCs/>
                <w:sz w:val="18"/>
                <w:szCs w:val="18"/>
              </w:rPr>
              <w:t>课程目标</w:t>
            </w:r>
          </w:p>
        </w:tc>
        <w:tc>
          <w:tcPr>
            <w:tcW w:w="612" w:type="pct"/>
            <w:vAlign w:val="center"/>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5" w:type="pct"/>
            <w:vMerge w:val="restart"/>
            <w:vAlign w:val="center"/>
          </w:tcPr>
          <w:p>
            <w:pPr>
              <w:snapToGrid w:val="0"/>
              <w:spacing w:line="300" w:lineRule="auto"/>
              <w:rPr>
                <w:sz w:val="18"/>
                <w:szCs w:val="18"/>
              </w:rPr>
            </w:pPr>
            <w:r>
              <w:rPr>
                <w:sz w:val="18"/>
                <w:szCs w:val="18"/>
              </w:rPr>
              <w:t>平时成绩</w:t>
            </w:r>
          </w:p>
        </w:tc>
        <w:tc>
          <w:tcPr>
            <w:tcW w:w="385" w:type="pct"/>
            <w:vMerge w:val="restart"/>
            <w:vAlign w:val="center"/>
          </w:tcPr>
          <w:p>
            <w:pPr>
              <w:snapToGrid w:val="0"/>
              <w:spacing w:line="300" w:lineRule="auto"/>
              <w:rPr>
                <w:sz w:val="18"/>
                <w:szCs w:val="18"/>
              </w:rPr>
            </w:pPr>
            <w:r>
              <w:rPr>
                <w:sz w:val="18"/>
                <w:szCs w:val="18"/>
              </w:rPr>
              <w:t>100</w:t>
            </w:r>
          </w:p>
        </w:tc>
        <w:tc>
          <w:tcPr>
            <w:tcW w:w="385" w:type="pct"/>
            <w:vMerge w:val="restart"/>
            <w:vAlign w:val="center"/>
          </w:tcPr>
          <w:p>
            <w:pPr>
              <w:snapToGrid w:val="0"/>
              <w:spacing w:line="300" w:lineRule="auto"/>
              <w:rPr>
                <w:sz w:val="18"/>
                <w:szCs w:val="18"/>
              </w:rPr>
            </w:pPr>
            <w:r>
              <w:rPr>
                <w:sz w:val="18"/>
                <w:szCs w:val="18"/>
              </w:rPr>
              <w:t>0.3</w:t>
            </w:r>
          </w:p>
        </w:tc>
        <w:tc>
          <w:tcPr>
            <w:tcW w:w="375" w:type="pct"/>
            <w:vAlign w:val="center"/>
          </w:tcPr>
          <w:p>
            <w:pPr>
              <w:snapToGrid w:val="0"/>
              <w:spacing w:line="300" w:lineRule="auto"/>
              <w:jc w:val="center"/>
              <w:rPr>
                <w:sz w:val="18"/>
                <w:szCs w:val="18"/>
              </w:rPr>
            </w:pPr>
            <w:r>
              <w:rPr>
                <w:sz w:val="18"/>
                <w:szCs w:val="18"/>
              </w:rPr>
              <w:t>课堂表现</w:t>
            </w:r>
          </w:p>
        </w:tc>
        <w:tc>
          <w:tcPr>
            <w:tcW w:w="317" w:type="pct"/>
            <w:vAlign w:val="center"/>
          </w:tcPr>
          <w:p>
            <w:pPr>
              <w:snapToGrid w:val="0"/>
              <w:spacing w:line="300" w:lineRule="auto"/>
              <w:jc w:val="center"/>
              <w:rPr>
                <w:sz w:val="18"/>
                <w:szCs w:val="18"/>
              </w:rPr>
            </w:pPr>
            <w:r>
              <w:rPr>
                <w:sz w:val="18"/>
                <w:szCs w:val="18"/>
              </w:rPr>
              <w:t>0.05</w:t>
            </w:r>
          </w:p>
        </w:tc>
        <w:tc>
          <w:tcPr>
            <w:tcW w:w="1959" w:type="pct"/>
            <w:vAlign w:val="center"/>
          </w:tcPr>
          <w:p>
            <w:pPr>
              <w:snapToGrid w:val="0"/>
              <w:spacing w:line="300" w:lineRule="auto"/>
              <w:rPr>
                <w:sz w:val="18"/>
                <w:szCs w:val="18"/>
              </w:rPr>
            </w:pPr>
            <w:r>
              <w:rPr>
                <w:sz w:val="18"/>
                <w:szCs w:val="18"/>
              </w:rPr>
              <w:t>根据学生课堂讨论表现打分，满分100。</w:t>
            </w:r>
          </w:p>
        </w:tc>
        <w:tc>
          <w:tcPr>
            <w:tcW w:w="582" w:type="pct"/>
            <w:vAlign w:val="center"/>
          </w:tcPr>
          <w:p>
            <w:pPr>
              <w:snapToGrid w:val="0"/>
              <w:spacing w:line="300" w:lineRule="auto"/>
              <w:jc w:val="center"/>
              <w:rPr>
                <w:sz w:val="18"/>
                <w:szCs w:val="18"/>
              </w:rPr>
            </w:pPr>
            <w:r>
              <w:rPr>
                <w:rFonts w:hint="eastAsia"/>
                <w:sz w:val="18"/>
                <w:szCs w:val="18"/>
              </w:rPr>
              <w:t>1</w:t>
            </w:r>
          </w:p>
        </w:tc>
        <w:tc>
          <w:tcPr>
            <w:tcW w:w="612" w:type="pct"/>
            <w:vAlign w:val="center"/>
          </w:tcPr>
          <w:p>
            <w:pPr>
              <w:snapToGrid w:val="0"/>
              <w:spacing w:line="300" w:lineRule="auto"/>
              <w:jc w:val="center"/>
              <w:rPr>
                <w:sz w:val="18"/>
                <w:szCs w:val="18"/>
              </w:rPr>
            </w:pPr>
            <w:r>
              <w:rPr>
                <w:rFonts w:hint="eastAsia"/>
                <w:sz w:val="18"/>
                <w:szCs w:val="18"/>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right"/>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75" w:type="pct"/>
            <w:vMerge w:val="restart"/>
            <w:vAlign w:val="center"/>
          </w:tcPr>
          <w:p>
            <w:pPr>
              <w:snapToGrid w:val="0"/>
              <w:spacing w:line="300" w:lineRule="auto"/>
              <w:jc w:val="center"/>
              <w:rPr>
                <w:sz w:val="18"/>
                <w:szCs w:val="18"/>
              </w:rPr>
            </w:pPr>
            <w:r>
              <w:rPr>
                <w:sz w:val="18"/>
                <w:szCs w:val="18"/>
              </w:rPr>
              <w:t>作业</w:t>
            </w:r>
          </w:p>
        </w:tc>
        <w:tc>
          <w:tcPr>
            <w:tcW w:w="317" w:type="pct"/>
            <w:vAlign w:val="center"/>
          </w:tcPr>
          <w:p>
            <w:pPr>
              <w:snapToGrid w:val="0"/>
              <w:spacing w:line="300" w:lineRule="auto"/>
              <w:jc w:val="center"/>
              <w:rPr>
                <w:sz w:val="18"/>
                <w:szCs w:val="18"/>
              </w:rPr>
            </w:pPr>
            <w:r>
              <w:rPr>
                <w:sz w:val="18"/>
                <w:szCs w:val="18"/>
              </w:rPr>
              <w:t>0.05</w:t>
            </w:r>
          </w:p>
        </w:tc>
        <w:tc>
          <w:tcPr>
            <w:tcW w:w="1959" w:type="pct"/>
            <w:vMerge w:val="restart"/>
            <w:vAlign w:val="center"/>
          </w:tcPr>
          <w:p>
            <w:pPr>
              <w:snapToGrid w:val="0"/>
              <w:spacing w:line="300" w:lineRule="auto"/>
              <w:jc w:val="left"/>
              <w:rPr>
                <w:sz w:val="18"/>
                <w:szCs w:val="18"/>
              </w:rPr>
            </w:pPr>
            <w:r>
              <w:rPr>
                <w:sz w:val="18"/>
                <w:szCs w:val="18"/>
              </w:rPr>
              <w:t>主要考查学生对每章节知识点的理解和掌握程度；每章作业按100分制单独评分，取各次成绩的平均值作为书面作业成绩</w:t>
            </w:r>
            <w:r>
              <w:rPr>
                <w:rFonts w:hint="eastAsia"/>
                <w:sz w:val="18"/>
                <w:szCs w:val="18"/>
              </w:rPr>
              <w:t>。</w:t>
            </w:r>
          </w:p>
        </w:tc>
        <w:tc>
          <w:tcPr>
            <w:tcW w:w="582" w:type="pct"/>
            <w:vAlign w:val="center"/>
          </w:tcPr>
          <w:p>
            <w:pPr>
              <w:snapToGrid w:val="0"/>
              <w:spacing w:line="300" w:lineRule="auto"/>
              <w:jc w:val="center"/>
              <w:rPr>
                <w:sz w:val="18"/>
                <w:szCs w:val="18"/>
              </w:rPr>
            </w:pPr>
            <w:r>
              <w:rPr>
                <w:sz w:val="18"/>
                <w:szCs w:val="18"/>
              </w:rPr>
              <w:t>1</w:t>
            </w:r>
          </w:p>
        </w:tc>
        <w:tc>
          <w:tcPr>
            <w:tcW w:w="612" w:type="pct"/>
            <w:vMerge w:val="restart"/>
            <w:vAlign w:val="center"/>
          </w:tcPr>
          <w:p>
            <w:pPr>
              <w:snapToGrid w:val="0"/>
              <w:spacing w:line="300" w:lineRule="auto"/>
              <w:jc w:val="center"/>
              <w:rPr>
                <w:sz w:val="18"/>
                <w:szCs w:val="18"/>
              </w:rPr>
            </w:pPr>
            <w:r>
              <w:rPr>
                <w:rFonts w:hint="eastAsia"/>
                <w:sz w:val="18"/>
                <w:szCs w:val="18"/>
              </w:rPr>
              <w:t>1.1，</w:t>
            </w:r>
            <w:r>
              <w:rPr>
                <w:sz w:val="18"/>
                <w:szCs w:val="18"/>
              </w:rPr>
              <w:t>2</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right"/>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75" w:type="pct"/>
            <w:vMerge w:val="continue"/>
            <w:vAlign w:val="center"/>
          </w:tcPr>
          <w:p>
            <w:pPr>
              <w:snapToGrid w:val="0"/>
              <w:spacing w:line="300" w:lineRule="auto"/>
              <w:jc w:val="center"/>
              <w:rPr>
                <w:sz w:val="18"/>
                <w:szCs w:val="18"/>
              </w:rPr>
            </w:pPr>
          </w:p>
        </w:tc>
        <w:tc>
          <w:tcPr>
            <w:tcW w:w="317" w:type="pct"/>
            <w:vAlign w:val="center"/>
          </w:tcPr>
          <w:p>
            <w:pPr>
              <w:snapToGrid w:val="0"/>
              <w:spacing w:line="300" w:lineRule="auto"/>
              <w:jc w:val="center"/>
              <w:rPr>
                <w:sz w:val="18"/>
                <w:szCs w:val="18"/>
              </w:rPr>
            </w:pPr>
            <w:r>
              <w:rPr>
                <w:rFonts w:hint="eastAsia"/>
                <w:sz w:val="18"/>
                <w:szCs w:val="18"/>
              </w:rPr>
              <w:t>0.</w:t>
            </w:r>
            <w:r>
              <w:rPr>
                <w:sz w:val="18"/>
                <w:szCs w:val="18"/>
              </w:rPr>
              <w:t>2</w:t>
            </w:r>
          </w:p>
        </w:tc>
        <w:tc>
          <w:tcPr>
            <w:tcW w:w="1959" w:type="pct"/>
            <w:vMerge w:val="continue"/>
            <w:vAlign w:val="center"/>
          </w:tcPr>
          <w:p>
            <w:pPr>
              <w:snapToGrid w:val="0"/>
              <w:spacing w:line="300" w:lineRule="auto"/>
              <w:jc w:val="left"/>
              <w:rPr>
                <w:sz w:val="18"/>
                <w:szCs w:val="18"/>
              </w:rPr>
            </w:pPr>
          </w:p>
        </w:tc>
        <w:tc>
          <w:tcPr>
            <w:tcW w:w="582" w:type="pct"/>
            <w:vAlign w:val="center"/>
          </w:tcPr>
          <w:p>
            <w:pPr>
              <w:snapToGrid w:val="0"/>
              <w:spacing w:line="300" w:lineRule="auto"/>
              <w:jc w:val="center"/>
              <w:rPr>
                <w:sz w:val="18"/>
                <w:szCs w:val="18"/>
              </w:rPr>
            </w:pPr>
            <w:r>
              <w:rPr>
                <w:sz w:val="18"/>
                <w:szCs w:val="18"/>
              </w:rPr>
              <w:t>2</w:t>
            </w:r>
          </w:p>
        </w:tc>
        <w:tc>
          <w:tcPr>
            <w:tcW w:w="612"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right"/>
        </w:trPr>
        <w:tc>
          <w:tcPr>
            <w:tcW w:w="385" w:type="pct"/>
            <w:vMerge w:val="restart"/>
            <w:vAlign w:val="center"/>
          </w:tcPr>
          <w:p>
            <w:pPr>
              <w:snapToGrid w:val="0"/>
              <w:spacing w:line="300" w:lineRule="auto"/>
              <w:rPr>
                <w:sz w:val="18"/>
                <w:szCs w:val="18"/>
              </w:rPr>
            </w:pPr>
            <w:r>
              <w:rPr>
                <w:sz w:val="18"/>
                <w:szCs w:val="18"/>
              </w:rPr>
              <w:t>期末考试成绩</w:t>
            </w:r>
          </w:p>
        </w:tc>
        <w:tc>
          <w:tcPr>
            <w:tcW w:w="385" w:type="pct"/>
            <w:vMerge w:val="restart"/>
            <w:vAlign w:val="center"/>
          </w:tcPr>
          <w:p>
            <w:pPr>
              <w:snapToGrid w:val="0"/>
              <w:spacing w:line="300" w:lineRule="auto"/>
              <w:rPr>
                <w:sz w:val="18"/>
                <w:szCs w:val="18"/>
              </w:rPr>
            </w:pPr>
            <w:r>
              <w:rPr>
                <w:sz w:val="18"/>
                <w:szCs w:val="18"/>
              </w:rPr>
              <w:t>100</w:t>
            </w:r>
          </w:p>
        </w:tc>
        <w:tc>
          <w:tcPr>
            <w:tcW w:w="385" w:type="pct"/>
            <w:vMerge w:val="restart"/>
            <w:vAlign w:val="center"/>
          </w:tcPr>
          <w:p>
            <w:pPr>
              <w:snapToGrid w:val="0"/>
              <w:spacing w:line="300" w:lineRule="auto"/>
              <w:rPr>
                <w:sz w:val="18"/>
                <w:szCs w:val="18"/>
              </w:rPr>
            </w:pPr>
            <w:r>
              <w:rPr>
                <w:sz w:val="18"/>
                <w:szCs w:val="18"/>
              </w:rPr>
              <w:t>0.7</w:t>
            </w:r>
          </w:p>
        </w:tc>
        <w:tc>
          <w:tcPr>
            <w:tcW w:w="375" w:type="pct"/>
            <w:vMerge w:val="restart"/>
            <w:vAlign w:val="center"/>
          </w:tcPr>
          <w:p>
            <w:pPr>
              <w:snapToGrid w:val="0"/>
              <w:spacing w:line="300" w:lineRule="auto"/>
              <w:jc w:val="left"/>
              <w:rPr>
                <w:sz w:val="18"/>
                <w:szCs w:val="18"/>
              </w:rPr>
            </w:pPr>
            <w:r>
              <w:rPr>
                <w:sz w:val="18"/>
                <w:szCs w:val="18"/>
              </w:rPr>
              <w:t>闭卷考试</w:t>
            </w:r>
          </w:p>
        </w:tc>
        <w:tc>
          <w:tcPr>
            <w:tcW w:w="317" w:type="pct"/>
            <w:vAlign w:val="center"/>
          </w:tcPr>
          <w:p>
            <w:pPr>
              <w:snapToGrid w:val="0"/>
              <w:spacing w:line="300" w:lineRule="auto"/>
              <w:rPr>
                <w:sz w:val="18"/>
                <w:szCs w:val="18"/>
              </w:rPr>
            </w:pPr>
            <w:r>
              <w:rPr>
                <w:rFonts w:hint="eastAsia"/>
                <w:sz w:val="18"/>
                <w:szCs w:val="18"/>
              </w:rPr>
              <w:t>0.</w:t>
            </w:r>
            <w:r>
              <w:rPr>
                <w:sz w:val="18"/>
                <w:szCs w:val="18"/>
              </w:rPr>
              <w:t>3</w:t>
            </w:r>
          </w:p>
        </w:tc>
        <w:tc>
          <w:tcPr>
            <w:tcW w:w="1959" w:type="pct"/>
            <w:vMerge w:val="restart"/>
            <w:vAlign w:val="center"/>
          </w:tcPr>
          <w:p>
            <w:pPr>
              <w:snapToGrid w:val="0"/>
              <w:spacing w:line="300" w:lineRule="auto"/>
              <w:rPr>
                <w:sz w:val="18"/>
                <w:szCs w:val="18"/>
              </w:rPr>
            </w:pPr>
            <w:r>
              <w:rPr>
                <w:sz w:val="18"/>
                <w:szCs w:val="18"/>
              </w:rPr>
              <w:t>(1)卷面成绩100分。卷面成绩按比例计入课程总评成绩</w:t>
            </w:r>
            <w:r>
              <w:rPr>
                <w:rFonts w:hint="eastAsia"/>
                <w:sz w:val="18"/>
                <w:szCs w:val="18"/>
              </w:rPr>
              <w:t>。</w:t>
            </w:r>
          </w:p>
          <w:p>
            <w:pPr>
              <w:snapToGrid w:val="0"/>
              <w:spacing w:line="300" w:lineRule="auto"/>
              <w:rPr>
                <w:sz w:val="18"/>
                <w:szCs w:val="18"/>
              </w:rPr>
            </w:pPr>
            <w:r>
              <w:rPr>
                <w:sz w:val="18"/>
                <w:szCs w:val="18"/>
              </w:rPr>
              <w:t>(</w:t>
            </w:r>
            <w:r>
              <w:rPr>
                <w:rFonts w:hint="eastAsia"/>
                <w:sz w:val="18"/>
                <w:szCs w:val="18"/>
              </w:rPr>
              <w:t>2</w:t>
            </w:r>
            <w:r>
              <w:rPr>
                <w:sz w:val="18"/>
                <w:szCs w:val="18"/>
              </w:rPr>
              <w:t>)建议考试题型包括：选择题、填空题、分析判断、综合计算题、证明题等其中某几种题型</w:t>
            </w:r>
            <w:r>
              <w:rPr>
                <w:rFonts w:hint="eastAsia"/>
                <w:sz w:val="18"/>
                <w:szCs w:val="18"/>
              </w:rPr>
              <w:t>。</w:t>
            </w:r>
          </w:p>
        </w:tc>
        <w:tc>
          <w:tcPr>
            <w:tcW w:w="582" w:type="pct"/>
            <w:vAlign w:val="center"/>
          </w:tcPr>
          <w:p>
            <w:pPr>
              <w:snapToGrid w:val="0"/>
              <w:spacing w:line="300" w:lineRule="auto"/>
              <w:jc w:val="center"/>
              <w:rPr>
                <w:sz w:val="18"/>
                <w:szCs w:val="18"/>
              </w:rPr>
            </w:pPr>
            <w:r>
              <w:rPr>
                <w:sz w:val="18"/>
                <w:szCs w:val="18"/>
              </w:rPr>
              <w:t>1</w:t>
            </w:r>
          </w:p>
        </w:tc>
        <w:tc>
          <w:tcPr>
            <w:tcW w:w="612" w:type="pct"/>
            <w:vMerge w:val="restart"/>
            <w:vAlign w:val="center"/>
          </w:tcPr>
          <w:p>
            <w:pPr>
              <w:snapToGrid w:val="0"/>
              <w:spacing w:line="300" w:lineRule="auto"/>
              <w:jc w:val="center"/>
              <w:rPr>
                <w:sz w:val="18"/>
                <w:szCs w:val="18"/>
              </w:rPr>
            </w:pPr>
            <w:r>
              <w:rPr>
                <w:rFonts w:hint="eastAsia"/>
                <w:sz w:val="18"/>
                <w:szCs w:val="18"/>
              </w:rPr>
              <w:t>1.1，</w:t>
            </w:r>
            <w:r>
              <w:rPr>
                <w:sz w:val="18"/>
                <w:szCs w:val="18"/>
              </w:rPr>
              <w:t>2</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right"/>
        </w:trPr>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rPr>
                <w:sz w:val="18"/>
                <w:szCs w:val="18"/>
              </w:rPr>
            </w:pPr>
          </w:p>
        </w:tc>
        <w:tc>
          <w:tcPr>
            <w:tcW w:w="375" w:type="pct"/>
            <w:vMerge w:val="continue"/>
            <w:vAlign w:val="center"/>
          </w:tcPr>
          <w:p>
            <w:pPr>
              <w:snapToGrid w:val="0"/>
              <w:spacing w:line="300" w:lineRule="auto"/>
              <w:jc w:val="left"/>
              <w:rPr>
                <w:sz w:val="18"/>
                <w:szCs w:val="18"/>
              </w:rPr>
            </w:pPr>
          </w:p>
        </w:tc>
        <w:tc>
          <w:tcPr>
            <w:tcW w:w="317" w:type="pct"/>
            <w:vAlign w:val="center"/>
          </w:tcPr>
          <w:p>
            <w:pPr>
              <w:snapToGrid w:val="0"/>
              <w:spacing w:line="300" w:lineRule="auto"/>
              <w:rPr>
                <w:sz w:val="18"/>
                <w:szCs w:val="18"/>
              </w:rPr>
            </w:pPr>
            <w:r>
              <w:rPr>
                <w:rFonts w:hint="eastAsia"/>
                <w:sz w:val="18"/>
                <w:szCs w:val="18"/>
              </w:rPr>
              <w:t>0.</w:t>
            </w:r>
            <w:r>
              <w:rPr>
                <w:sz w:val="18"/>
                <w:szCs w:val="18"/>
              </w:rPr>
              <w:t>4</w:t>
            </w:r>
          </w:p>
        </w:tc>
        <w:tc>
          <w:tcPr>
            <w:tcW w:w="1959" w:type="pct"/>
            <w:vMerge w:val="continue"/>
            <w:vAlign w:val="center"/>
          </w:tcPr>
          <w:p>
            <w:pPr>
              <w:snapToGrid w:val="0"/>
              <w:spacing w:line="300" w:lineRule="auto"/>
              <w:rPr>
                <w:sz w:val="18"/>
                <w:szCs w:val="18"/>
              </w:rPr>
            </w:pPr>
          </w:p>
        </w:tc>
        <w:tc>
          <w:tcPr>
            <w:tcW w:w="582" w:type="pct"/>
            <w:vAlign w:val="center"/>
          </w:tcPr>
          <w:p>
            <w:pPr>
              <w:snapToGrid w:val="0"/>
              <w:spacing w:line="300" w:lineRule="auto"/>
              <w:jc w:val="center"/>
              <w:rPr>
                <w:sz w:val="18"/>
                <w:szCs w:val="18"/>
              </w:rPr>
            </w:pPr>
            <w:r>
              <w:rPr>
                <w:rFonts w:hint="eastAsia"/>
                <w:sz w:val="18"/>
                <w:szCs w:val="18"/>
              </w:rPr>
              <w:t>2</w:t>
            </w:r>
          </w:p>
        </w:tc>
        <w:tc>
          <w:tcPr>
            <w:tcW w:w="612" w:type="pct"/>
            <w:vMerge w:val="continue"/>
            <w:vAlign w:val="center"/>
          </w:tcPr>
          <w:p>
            <w:pPr>
              <w:snapToGrid w:val="0"/>
              <w:spacing w:line="300" w:lineRule="auto"/>
              <w:jc w:val="center"/>
              <w:rPr>
                <w:sz w:val="18"/>
                <w:szCs w:val="18"/>
              </w:rPr>
            </w:pPr>
          </w:p>
        </w:tc>
      </w:tr>
    </w:tbl>
    <w:p>
      <w:pPr>
        <w:snapToGrid w:val="0"/>
        <w:spacing w:before="156" w:beforeLines="50" w:after="156" w:afterLines="50" w:line="300" w:lineRule="auto"/>
        <w:rPr>
          <w:rFonts w:ascii="等线" w:hAnsi="等线" w:eastAsia="等线"/>
          <w:b/>
          <w:sz w:val="24"/>
        </w:rPr>
      </w:pPr>
      <w:r>
        <w:rPr>
          <w:rFonts w:ascii="等线" w:hAnsi="等线" w:eastAsia="等线"/>
          <w:b/>
          <w:sz w:val="24"/>
        </w:rPr>
        <w:t>六、课程教学目标达成度评价</w:t>
      </w:r>
    </w:p>
    <w:p>
      <w:pPr>
        <w:snapToGrid w:val="0"/>
        <w:spacing w:line="300" w:lineRule="auto"/>
        <w:ind w:firstLine="420" w:firstLineChars="200"/>
        <w:rPr>
          <w:rFonts w:ascii="等线" w:hAnsi="等线"/>
          <w:szCs w:val="21"/>
        </w:rPr>
      </w:pPr>
      <w:r>
        <w:rPr>
          <w:rFonts w:ascii="等线" w:hAnsi="等线"/>
          <w:szCs w:val="21"/>
        </w:rPr>
        <w:t>1</w:t>
      </w:r>
      <w:r>
        <w:rPr>
          <w:rFonts w:ascii="等线" w:hAnsi="等线"/>
        </w:rPr>
        <w:t>．</w:t>
      </w:r>
      <w:r>
        <w:rPr>
          <w:rFonts w:ascii="等线" w:hAnsi="等线"/>
          <w:szCs w:val="21"/>
        </w:rPr>
        <w:t>达成度评价依据和方法</w:t>
      </w:r>
    </w:p>
    <w:p>
      <w:pPr>
        <w:snapToGrid w:val="0"/>
        <w:spacing w:line="300" w:lineRule="auto"/>
        <w:ind w:firstLine="420" w:firstLineChars="200"/>
        <w:rPr>
          <w:rFonts w:ascii="等线" w:hAnsi="等线"/>
        </w:rPr>
      </w:pPr>
      <w:r>
        <w:rPr>
          <w:rFonts w:ascii="等线" w:hAnsi="等线"/>
        </w:rPr>
        <w:t>课程各目标达成情况为该项目学生的平均得分率，其计算公式为：</w:t>
      </w:r>
    </w:p>
    <w:p>
      <w:pPr>
        <w:snapToGrid w:val="0"/>
        <w:spacing w:line="300" w:lineRule="auto"/>
        <w:jc w:val="center"/>
        <w:rPr>
          <w:rFonts w:ascii="等线" w:hAnsi="等线" w:eastAsia="等线"/>
        </w:rPr>
      </w:pPr>
      <w:r>
        <w:rPr>
          <w:rFonts w:ascii="等线" w:hAnsi="等线" w:eastAsia="等线"/>
          <w:position w:val="-26"/>
        </w:rPr>
        <w:object>
          <v:shape id="_x0000_i1044" o:spt="75" type="#_x0000_t75" style="height:29.25pt;width:361.5pt;" o:ole="t" filled="f" o:preferrelative="t" stroked="f" coordsize="21600,21600">
            <v:path/>
            <v:fill on="f" focussize="0,0"/>
            <v:stroke on="f" joinstyle="miter"/>
            <v:imagedata r:id="rId36" o:title=""/>
            <o:lock v:ext="edit" aspectratio="t"/>
            <w10:wrap type="none"/>
            <w10:anchorlock/>
          </v:shape>
          <o:OLEObject Type="Embed" ProgID="Equation.3" ShapeID="_x0000_i1044" DrawAspect="Content" ObjectID="_1468075744" r:id="rId50">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rPr>
          <w:rFonts w:ascii="等线" w:hAnsi="等线" w:eastAsia="等线"/>
        </w:rPr>
      </w:pPr>
      <w:r>
        <w:rPr>
          <w:rFonts w:ascii="等线" w:hAnsi="等线" w:eastAsia="等线"/>
        </w:rPr>
        <w:object>
          <v:shape id="_x0000_i1045" o:spt="75" type="#_x0000_t75" style="height:18pt;width:265.5pt;" o:ole="t" filled="f" o:preferrelative="t" stroked="f" coordsize="21600,21600">
            <v:path/>
            <v:fill on="f" focussize="0,0"/>
            <v:stroke on="f" joinstyle="miter"/>
            <v:imagedata r:id="rId38" o:title=""/>
            <o:lock v:ext="edit" aspectratio="t"/>
            <w10:wrap type="none"/>
            <w10:anchorlock/>
          </v:shape>
          <o:OLEObject Type="Embed" ProgID="Equation.DSMT4" ShapeID="_x0000_i1045" DrawAspect="Content" ObjectID="_1468075745" r:id="rId51">
            <o:LockedField>false</o:LockedField>
          </o:OLEObject>
        </w:object>
      </w:r>
    </w:p>
    <w:p>
      <w:pPr>
        <w:snapToGrid w:val="0"/>
        <w:spacing w:line="300" w:lineRule="auto"/>
      </w:pPr>
      <w:r>
        <w:t>其中权重系数按照表</w:t>
      </w:r>
      <w:r>
        <w:rPr>
          <w:rFonts w:hint="eastAsia"/>
        </w:rPr>
        <w:t>5</w:t>
      </w:r>
      <w:r>
        <w:t>设定。</w:t>
      </w:r>
    </w:p>
    <w:p>
      <w:pPr>
        <w:snapToGrid w:val="0"/>
        <w:spacing w:line="300" w:lineRule="auto"/>
        <w:jc w:val="center"/>
        <w:rPr>
          <w:b/>
          <w:bCs/>
          <w:sz w:val="18"/>
          <w:szCs w:val="18"/>
        </w:rPr>
      </w:pPr>
      <w:r>
        <w:rPr>
          <w:b/>
          <w:bCs/>
          <w:sz w:val="18"/>
          <w:szCs w:val="18"/>
        </w:rPr>
        <w:t>表</w:t>
      </w:r>
      <w:r>
        <w:rPr>
          <w:rFonts w:hint="eastAsia"/>
          <w:b/>
          <w:bCs/>
          <w:sz w:val="18"/>
          <w:szCs w:val="18"/>
        </w:rPr>
        <w:t>5</w:t>
      </w:r>
      <w:r>
        <w:rPr>
          <w:b/>
          <w:bCs/>
          <w:sz w:val="18"/>
          <w:szCs w:val="18"/>
        </w:rPr>
        <w:t>课程目标权重系数</w:t>
      </w:r>
    </w:p>
    <w:tbl>
      <w:tblPr>
        <w:tblStyle w:val="22"/>
        <w:tblW w:w="23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266"/>
        <w:gridCol w:w="133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12" w:type="pct"/>
            <w:vAlign w:val="center"/>
          </w:tcPr>
          <w:p>
            <w:pPr>
              <w:snapToGrid w:val="0"/>
              <w:spacing w:line="300" w:lineRule="auto"/>
              <w:jc w:val="center"/>
              <w:rPr>
                <w:b/>
                <w:bCs/>
                <w:sz w:val="18"/>
                <w:szCs w:val="18"/>
              </w:rPr>
            </w:pPr>
            <w:r>
              <w:rPr>
                <w:b/>
                <w:bCs/>
                <w:sz w:val="18"/>
                <w:szCs w:val="18"/>
              </w:rPr>
              <w:t>课程目标</w:t>
            </w:r>
          </w:p>
        </w:tc>
        <w:tc>
          <w:tcPr>
            <w:tcW w:w="1596" w:type="pct"/>
            <w:vAlign w:val="center"/>
          </w:tcPr>
          <w:p>
            <w:pPr>
              <w:snapToGrid w:val="0"/>
              <w:spacing w:line="300" w:lineRule="auto"/>
              <w:jc w:val="center"/>
              <w:rPr>
                <w:sz w:val="18"/>
                <w:szCs w:val="18"/>
              </w:rPr>
            </w:pPr>
            <w:r>
              <w:rPr>
                <w:sz w:val="18"/>
                <w:szCs w:val="18"/>
              </w:rPr>
              <w:t>1</w:t>
            </w:r>
          </w:p>
        </w:tc>
        <w:tc>
          <w:tcPr>
            <w:tcW w:w="1892"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12" w:type="pct"/>
            <w:vAlign w:val="center"/>
          </w:tcPr>
          <w:p>
            <w:pPr>
              <w:snapToGrid w:val="0"/>
              <w:spacing w:line="300" w:lineRule="auto"/>
              <w:jc w:val="center"/>
              <w:rPr>
                <w:b/>
                <w:bCs/>
                <w:sz w:val="18"/>
                <w:szCs w:val="18"/>
              </w:rPr>
            </w:pPr>
            <w:r>
              <w:rPr>
                <w:b/>
                <w:bCs/>
                <w:sz w:val="18"/>
                <w:szCs w:val="18"/>
              </w:rPr>
              <w:t>权重系数</w:t>
            </w:r>
          </w:p>
        </w:tc>
        <w:tc>
          <w:tcPr>
            <w:tcW w:w="1596" w:type="pct"/>
            <w:vAlign w:val="center"/>
          </w:tcPr>
          <w:p>
            <w:pPr>
              <w:snapToGrid w:val="0"/>
              <w:spacing w:line="300" w:lineRule="auto"/>
              <w:jc w:val="center"/>
              <w:rPr>
                <w:sz w:val="18"/>
                <w:szCs w:val="18"/>
              </w:rPr>
            </w:pPr>
            <w:r>
              <w:rPr>
                <w:sz w:val="18"/>
                <w:szCs w:val="18"/>
              </w:rPr>
              <w:t>0.4</w:t>
            </w:r>
          </w:p>
        </w:tc>
        <w:tc>
          <w:tcPr>
            <w:tcW w:w="1892" w:type="pct"/>
            <w:vAlign w:val="center"/>
          </w:tcPr>
          <w:p>
            <w:pPr>
              <w:snapToGrid w:val="0"/>
              <w:spacing w:line="300" w:lineRule="auto"/>
              <w:jc w:val="center"/>
              <w:rPr>
                <w:sz w:val="18"/>
                <w:szCs w:val="18"/>
              </w:rPr>
            </w:pPr>
            <w:r>
              <w:rPr>
                <w:sz w:val="18"/>
                <w:szCs w:val="18"/>
              </w:rPr>
              <w:t>0.6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rPr>
          <w:rFonts w:ascii="等线" w:hAnsi="等线" w:eastAsia="等线"/>
        </w:rPr>
      </w:pPr>
      <w:r>
        <w:rPr>
          <w:rFonts w:ascii="等线" w:hAnsi="等线" w:eastAsia="等线"/>
        </w:rPr>
        <w:object>
          <v:shape id="_x0000_i1046"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046" DrawAspect="Content" ObjectID="_1468075746" r:id="rId52">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b/>
          <w:sz w:val="24"/>
        </w:rPr>
      </w:pPr>
      <w:r>
        <w:rPr>
          <w:b/>
          <w:sz w:val="24"/>
        </w:rPr>
        <w:t>七、教材及参考资料</w:t>
      </w:r>
    </w:p>
    <w:p>
      <w:pPr>
        <w:snapToGrid w:val="0"/>
        <w:spacing w:line="300" w:lineRule="auto"/>
        <w:ind w:firstLine="420" w:firstLineChars="200"/>
      </w:pPr>
      <w:r>
        <w:rPr>
          <w:rFonts w:hint="eastAsia"/>
        </w:rPr>
        <w:t>1</w:t>
      </w:r>
      <w:r>
        <w:t>．教材</w:t>
      </w:r>
    </w:p>
    <w:p>
      <w:pPr>
        <w:adjustRightInd w:val="0"/>
        <w:snapToGrid w:val="0"/>
        <w:spacing w:line="300" w:lineRule="auto"/>
        <w:ind w:left="420"/>
      </w:pPr>
      <w:r>
        <w:rPr>
          <w:rFonts w:hint="eastAsia"/>
          <w:szCs w:val="21"/>
        </w:rPr>
        <w:t>谷超</w:t>
      </w:r>
      <w:r>
        <w:rPr>
          <w:szCs w:val="21"/>
        </w:rPr>
        <w:t>豪等</w:t>
      </w:r>
      <w:r>
        <w:rPr>
          <w:rFonts w:hint="eastAsia"/>
          <w:szCs w:val="21"/>
        </w:rPr>
        <w:t>编. 《数学物理</w:t>
      </w:r>
      <w:r>
        <w:rPr>
          <w:szCs w:val="21"/>
        </w:rPr>
        <w:t>方程</w:t>
      </w:r>
      <w:r>
        <w:rPr>
          <w:rFonts w:hint="eastAsia"/>
          <w:szCs w:val="21"/>
        </w:rPr>
        <w:t>》（第二版）[M]，北京：高等教育出版社出版，20</w:t>
      </w:r>
      <w:r>
        <w:rPr>
          <w:szCs w:val="21"/>
        </w:rPr>
        <w:t>02。</w:t>
      </w:r>
    </w:p>
    <w:tbl>
      <w:tblPr>
        <w:tblStyle w:val="22"/>
        <w:tblpPr w:leftFromText="180" w:rightFromText="180" w:vertAnchor="text" w:horzAnchor="margin" w:tblpX="-39" w:tblpY="266"/>
        <w:tblW w:w="829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9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99"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99"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99" w:type="dxa"/>
          </w:tcPr>
          <w:p>
            <w:pPr>
              <w:snapToGrid w:val="0"/>
              <w:spacing w:line="300" w:lineRule="auto"/>
              <w:ind w:right="200"/>
              <w:jc w:val="right"/>
              <w:rPr>
                <w:kern w:val="0"/>
                <w:sz w:val="20"/>
                <w:szCs w:val="21"/>
              </w:rPr>
            </w:pPr>
            <w:r>
              <w:rPr>
                <w:kern w:val="0"/>
                <w:sz w:val="20"/>
                <w:szCs w:val="21"/>
              </w:rPr>
              <w:t>日 期：2022.0</w:t>
            </w:r>
            <w:r>
              <w:rPr>
                <w:rFonts w:hint="eastAsia"/>
                <w:kern w:val="0"/>
                <w:sz w:val="20"/>
                <w:szCs w:val="21"/>
              </w:rPr>
              <w:t>4.20</w:t>
            </w:r>
          </w:p>
        </w:tc>
      </w:tr>
    </w:tbl>
    <w:p>
      <w:pPr>
        <w:adjustRightInd w:val="0"/>
        <w:snapToGrid w:val="0"/>
        <w:spacing w:line="300" w:lineRule="auto"/>
        <w:ind w:left="420"/>
      </w:pPr>
    </w:p>
    <w:p>
      <w:pPr>
        <w:rPr>
          <w:rFonts w:ascii="Times New Roman" w:hAnsi="Times New Roman"/>
        </w:rPr>
      </w:pPr>
      <w:r>
        <w:rPr>
          <w:rFonts w:ascii="Times New Roman" w:hAnsi="Times New Roman"/>
          <w:sz w:val="36"/>
          <w:szCs w:val="36"/>
        </w:rPr>
        <w:br w:type="page"/>
      </w:r>
      <w:bookmarkEnd w:id="10"/>
      <w:bookmarkEnd w:id="11"/>
    </w:p>
    <w:p>
      <w:pPr>
        <w:pStyle w:val="2"/>
        <w:spacing w:before="0" w:after="0" w:line="360" w:lineRule="auto"/>
        <w:rPr>
          <w:rFonts w:ascii="Times New Roman" w:hAnsi="Times New Roman"/>
          <w:sz w:val="36"/>
          <w:szCs w:val="36"/>
        </w:rPr>
      </w:pPr>
      <w:bookmarkStart w:id="33" w:name="_Toc19964"/>
      <w:r>
        <w:rPr>
          <w:rFonts w:ascii="Times New Roman" w:hAnsi="Times New Roman"/>
          <w:sz w:val="36"/>
          <w:szCs w:val="36"/>
        </w:rPr>
        <w:t>工程基础类课程、专业基础类课程与专业类课程教学大纲</w:t>
      </w:r>
      <w:bookmarkEnd w:id="0"/>
      <w:bookmarkEnd w:id="33"/>
    </w:p>
    <w:bookmarkEnd w:id="1"/>
    <w:p>
      <w:pPr>
        <w:pStyle w:val="3"/>
        <w:rPr>
          <w:rFonts w:ascii="宋体" w:hAnsi="宋体" w:eastAsia="宋体" w:cs="宋体"/>
          <w:sz w:val="36"/>
          <w:szCs w:val="36"/>
        </w:rPr>
      </w:pPr>
      <w:bookmarkStart w:id="34" w:name="_Toc31720"/>
      <w:bookmarkStart w:id="35" w:name="_Toc14449"/>
      <w:bookmarkStart w:id="36" w:name="_Toc29413"/>
      <w:r>
        <w:rPr>
          <w:rFonts w:hint="eastAsia" w:ascii="宋体" w:hAnsi="宋体" w:eastAsia="宋体" w:cs="宋体"/>
          <w:sz w:val="36"/>
          <w:szCs w:val="36"/>
        </w:rPr>
        <w:t>2</w:t>
      </w:r>
      <w:r>
        <w:rPr>
          <w:rFonts w:ascii="宋体" w:hAnsi="宋体" w:eastAsia="宋体" w:cs="宋体"/>
          <w:sz w:val="36"/>
          <w:szCs w:val="36"/>
        </w:rPr>
        <w:t>.1工程基础类课程教学大纲</w:t>
      </w:r>
      <w:bookmarkEnd w:id="34"/>
      <w:bookmarkEnd w:id="35"/>
      <w:bookmarkEnd w:id="36"/>
    </w:p>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rPr>
      </w:pPr>
      <w:bookmarkStart w:id="37" w:name="_Toc22943"/>
      <w:bookmarkStart w:id="38" w:name="_Toc46489641"/>
      <w:bookmarkStart w:id="39" w:name="_Toc47718763"/>
      <w:bookmarkStart w:id="40" w:name="_Toc47774692"/>
      <w:bookmarkStart w:id="41" w:name="_Toc38126095"/>
      <w:bookmarkStart w:id="42" w:name="_Toc47719735"/>
      <w:r>
        <w:rPr>
          <w:rFonts w:ascii="Times New Roman" w:hAnsi="Times New Roman" w:eastAsia="宋体" w:cs="Times New Roman"/>
          <w:b/>
          <w:sz w:val="32"/>
        </w:rPr>
        <w:t>33410302《工程制图与计算机辅助设计》课程教学大纲</w:t>
      </w:r>
      <w:bookmarkEnd w:id="37"/>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247"/>
        <w:gridCol w:w="1186"/>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247" w:type="dxa"/>
            <w:vAlign w:val="center"/>
          </w:tcPr>
          <w:p>
            <w:pPr>
              <w:jc w:val="center"/>
              <w:rPr>
                <w:kern w:val="0"/>
                <w:szCs w:val="21"/>
              </w:rPr>
            </w:pPr>
            <w:r>
              <w:rPr>
                <w:szCs w:val="21"/>
              </w:rPr>
              <w:t>33410302</w:t>
            </w:r>
          </w:p>
        </w:tc>
        <w:tc>
          <w:tcPr>
            <w:tcW w:w="1186" w:type="dxa"/>
            <w:vAlign w:val="center"/>
          </w:tcPr>
          <w:p>
            <w:pPr>
              <w:jc w:val="center"/>
              <w:rPr>
                <w:kern w:val="0"/>
                <w:szCs w:val="21"/>
              </w:rPr>
            </w:pPr>
            <w:r>
              <w:rPr>
                <w:kern w:val="0"/>
                <w:szCs w:val="21"/>
              </w:rPr>
              <w:t>课程名称</w:t>
            </w:r>
          </w:p>
        </w:tc>
        <w:tc>
          <w:tcPr>
            <w:tcW w:w="2901" w:type="dxa"/>
            <w:vAlign w:val="center"/>
          </w:tcPr>
          <w:p>
            <w:pPr>
              <w:jc w:val="center"/>
              <w:rPr>
                <w:kern w:val="0"/>
                <w:szCs w:val="21"/>
              </w:rPr>
            </w:pPr>
            <w:r>
              <w:rPr>
                <w:szCs w:val="21"/>
              </w:rPr>
              <w:t>工程制图与计算机辅助设计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p>
        </w:tc>
        <w:tc>
          <w:tcPr>
            <w:tcW w:w="3247" w:type="dxa"/>
            <w:vAlign w:val="center"/>
          </w:tcPr>
          <w:p>
            <w:pPr>
              <w:jc w:val="center"/>
              <w:rPr>
                <w:kern w:val="0"/>
                <w:szCs w:val="21"/>
              </w:rPr>
            </w:pPr>
            <w:r>
              <w:rPr>
                <w:rFonts w:hint="eastAsia"/>
                <w:kern w:val="0"/>
                <w:szCs w:val="21"/>
              </w:rPr>
              <w:t>工程基础类</w:t>
            </w:r>
          </w:p>
        </w:tc>
        <w:tc>
          <w:tcPr>
            <w:tcW w:w="1186" w:type="dxa"/>
            <w:vAlign w:val="center"/>
          </w:tcPr>
          <w:p>
            <w:pPr>
              <w:jc w:val="center"/>
              <w:rPr>
                <w:kern w:val="0"/>
                <w:szCs w:val="21"/>
              </w:rPr>
            </w:pPr>
            <w:r>
              <w:rPr>
                <w:kern w:val="0"/>
                <w:szCs w:val="21"/>
              </w:rPr>
              <w:t>英文名称</w:t>
            </w:r>
          </w:p>
        </w:tc>
        <w:tc>
          <w:tcPr>
            <w:tcW w:w="2901" w:type="dxa"/>
            <w:vAlign w:val="center"/>
          </w:tcPr>
          <w:p>
            <w:pPr>
              <w:adjustRightInd w:val="0"/>
              <w:snapToGrid w:val="0"/>
              <w:spacing w:line="300" w:lineRule="auto"/>
              <w:jc w:val="center"/>
              <w:rPr>
                <w:bCs/>
                <w:kern w:val="0"/>
                <w:szCs w:val="21"/>
              </w:rPr>
            </w:pPr>
            <w:r>
              <w:rPr>
                <w:szCs w:val="21"/>
              </w:rPr>
              <w:t>Engineering Drawing and Computer Aided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247" w:type="dxa"/>
            <w:vAlign w:val="center"/>
          </w:tcPr>
          <w:p>
            <w:pPr>
              <w:jc w:val="center"/>
              <w:rPr>
                <w:kern w:val="0"/>
                <w:szCs w:val="21"/>
              </w:rPr>
            </w:pPr>
            <w:r>
              <w:rPr>
                <w:bCs/>
                <w:kern w:val="0"/>
                <w:szCs w:val="21"/>
              </w:rPr>
              <w:t xml:space="preserve">2 </w:t>
            </w:r>
            <w:r>
              <w:rPr>
                <w:kern w:val="0"/>
                <w:szCs w:val="21"/>
              </w:rPr>
              <w:t>: 32（8）</w:t>
            </w:r>
          </w:p>
        </w:tc>
        <w:tc>
          <w:tcPr>
            <w:tcW w:w="1186" w:type="dxa"/>
            <w:vAlign w:val="center"/>
          </w:tcPr>
          <w:p>
            <w:pPr>
              <w:jc w:val="center"/>
              <w:rPr>
                <w:kern w:val="0"/>
                <w:szCs w:val="21"/>
                <w:highlight w:val="yellow"/>
              </w:rPr>
            </w:pPr>
            <w:r>
              <w:rPr>
                <w:kern w:val="0"/>
                <w:szCs w:val="21"/>
              </w:rPr>
              <w:t>任课教师</w:t>
            </w:r>
          </w:p>
        </w:tc>
        <w:tc>
          <w:tcPr>
            <w:tcW w:w="2901" w:type="dxa"/>
            <w:vAlign w:val="center"/>
          </w:tcPr>
          <w:p>
            <w:pPr>
              <w:jc w:val="center"/>
              <w:rPr>
                <w:kern w:val="0"/>
                <w:szCs w:val="21"/>
                <w:highlight w:val="yellow"/>
              </w:rPr>
            </w:pPr>
            <w:r>
              <w:rPr>
                <w:rFonts w:hint="eastAsia"/>
                <w:kern w:val="0"/>
                <w:szCs w:val="21"/>
              </w:rPr>
              <w:t>冯青</w:t>
            </w:r>
            <w:r>
              <w:rPr>
                <w:kern w:val="0"/>
                <w:szCs w:val="21"/>
              </w:rPr>
              <w:t>，刘畅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247" w:type="dxa"/>
            <w:vAlign w:val="center"/>
          </w:tcPr>
          <w:p>
            <w:pPr>
              <w:widowControl/>
              <w:jc w:val="center"/>
              <w:rPr>
                <w:kern w:val="0"/>
                <w:szCs w:val="21"/>
              </w:rPr>
            </w:pPr>
            <w:r>
              <w:rPr>
                <w:kern w:val="0"/>
                <w:szCs w:val="21"/>
              </w:rPr>
              <w:t>曾耿滨</w:t>
            </w:r>
          </w:p>
        </w:tc>
        <w:tc>
          <w:tcPr>
            <w:tcW w:w="1186" w:type="dxa"/>
            <w:vAlign w:val="center"/>
          </w:tcPr>
          <w:p>
            <w:pPr>
              <w:jc w:val="center"/>
              <w:rPr>
                <w:bCs/>
                <w:kern w:val="0"/>
                <w:szCs w:val="21"/>
              </w:rPr>
            </w:pPr>
            <w:r>
              <w:rPr>
                <w:bCs/>
                <w:kern w:val="0"/>
                <w:szCs w:val="21"/>
              </w:rPr>
              <w:t>行业专家</w:t>
            </w:r>
          </w:p>
        </w:tc>
        <w:tc>
          <w:tcPr>
            <w:tcW w:w="2901"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247" w:type="dxa"/>
            <w:vAlign w:val="center"/>
          </w:tcPr>
          <w:p>
            <w:pPr>
              <w:widowControl/>
              <w:jc w:val="center"/>
              <w:rPr>
                <w:kern w:val="0"/>
                <w:szCs w:val="21"/>
              </w:rPr>
            </w:pPr>
            <w:r>
              <w:rPr>
                <w:rFonts w:hint="eastAsia"/>
                <w:szCs w:val="21"/>
              </w:rPr>
              <w:t>冯青</w:t>
            </w:r>
          </w:p>
        </w:tc>
        <w:tc>
          <w:tcPr>
            <w:tcW w:w="1186" w:type="dxa"/>
            <w:vAlign w:val="center"/>
          </w:tcPr>
          <w:p>
            <w:pPr>
              <w:widowControl/>
              <w:jc w:val="center"/>
              <w:rPr>
                <w:bCs/>
                <w:kern w:val="0"/>
                <w:szCs w:val="21"/>
              </w:rPr>
            </w:pPr>
            <w:r>
              <w:rPr>
                <w:bCs/>
                <w:kern w:val="0"/>
                <w:szCs w:val="21"/>
              </w:rPr>
              <w:t>责任教授</w:t>
            </w:r>
          </w:p>
        </w:tc>
        <w:tc>
          <w:tcPr>
            <w:tcW w:w="2901"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247" w:type="dxa"/>
            <w:vAlign w:val="center"/>
          </w:tcPr>
          <w:p>
            <w:pPr>
              <w:widowControl/>
              <w:jc w:val="center"/>
              <w:rPr>
                <w:kern w:val="0"/>
                <w:szCs w:val="21"/>
              </w:rPr>
            </w:pPr>
            <w:r>
              <w:rPr>
                <w:kern w:val="0"/>
                <w:szCs w:val="21"/>
              </w:rPr>
              <w:t>电子信息工程</w:t>
            </w:r>
          </w:p>
        </w:tc>
        <w:tc>
          <w:tcPr>
            <w:tcW w:w="1186" w:type="dxa"/>
            <w:vAlign w:val="center"/>
          </w:tcPr>
          <w:p>
            <w:pPr>
              <w:widowControl/>
              <w:jc w:val="center"/>
              <w:rPr>
                <w:bCs/>
                <w:kern w:val="0"/>
                <w:szCs w:val="21"/>
              </w:rPr>
            </w:pPr>
            <w:r>
              <w:rPr>
                <w:bCs/>
                <w:kern w:val="0"/>
                <w:szCs w:val="21"/>
              </w:rPr>
              <w:t>适用对象</w:t>
            </w:r>
          </w:p>
        </w:tc>
        <w:tc>
          <w:tcPr>
            <w:tcW w:w="2901"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247" w:type="dxa"/>
            <w:vAlign w:val="center"/>
          </w:tcPr>
          <w:p>
            <w:pPr>
              <w:widowControl/>
              <w:jc w:val="center"/>
              <w:rPr>
                <w:bCs/>
                <w:kern w:val="0"/>
                <w:szCs w:val="21"/>
              </w:rPr>
            </w:pPr>
            <w:r>
              <w:rPr>
                <w:szCs w:val="21"/>
              </w:rPr>
              <w:t>高等数学、C语言程序设计</w:t>
            </w:r>
          </w:p>
        </w:tc>
        <w:tc>
          <w:tcPr>
            <w:tcW w:w="1186" w:type="dxa"/>
            <w:vAlign w:val="center"/>
          </w:tcPr>
          <w:p>
            <w:pPr>
              <w:snapToGrid w:val="0"/>
              <w:spacing w:line="300" w:lineRule="auto"/>
              <w:jc w:val="center"/>
              <w:rPr>
                <w:b/>
                <w:kern w:val="0"/>
                <w:szCs w:val="21"/>
              </w:rPr>
            </w:pPr>
            <w:r>
              <w:rPr>
                <w:kern w:val="0"/>
                <w:szCs w:val="21"/>
              </w:rPr>
              <w:t>同修课程</w:t>
            </w:r>
          </w:p>
        </w:tc>
        <w:tc>
          <w:tcPr>
            <w:tcW w:w="2901"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247" w:type="dxa"/>
            <w:vAlign w:val="center"/>
          </w:tcPr>
          <w:p>
            <w:pPr>
              <w:widowControl/>
              <w:jc w:val="center"/>
              <w:rPr>
                <w:kern w:val="0"/>
                <w:szCs w:val="21"/>
              </w:rPr>
            </w:pPr>
            <w:r>
              <w:rPr>
                <w:kern w:val="0"/>
                <w:szCs w:val="21"/>
              </w:rPr>
              <w:t>无</w:t>
            </w:r>
          </w:p>
        </w:tc>
        <w:tc>
          <w:tcPr>
            <w:tcW w:w="1186" w:type="dxa"/>
            <w:vAlign w:val="center"/>
          </w:tcPr>
          <w:p>
            <w:pPr>
              <w:snapToGrid w:val="0"/>
              <w:spacing w:line="300" w:lineRule="auto"/>
              <w:jc w:val="center"/>
              <w:rPr>
                <w:kern w:val="0"/>
                <w:szCs w:val="21"/>
              </w:rPr>
            </w:pPr>
            <w:r>
              <w:rPr>
                <w:kern w:val="0"/>
                <w:szCs w:val="21"/>
              </w:rPr>
              <w:t>定稿日期</w:t>
            </w:r>
          </w:p>
        </w:tc>
        <w:tc>
          <w:tcPr>
            <w:tcW w:w="2901"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工程制图与计算机辅助设计》是电子信息工程专业的一门培养学生空间思维和设计创造能力的跨学科基础课。机械制图是表达和交流技术思想的重要工具，是工程技术部门的一项重要技术文件。本课程理论严谨，实践性强，与工程实践有密切联系，对培养学生掌握科学思维方法，增强工程和创新意识有重要作用。</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kern w:val="0"/>
          <w:szCs w:val="21"/>
        </w:rPr>
        <w:t xml:space="preserve">通过本课程的学习，可以中等复杂程度机械零件和装配图的识读和测绘方法、步骤；理解并掌握正投影的基本原理和作图方法，截交线和相贯线的画法；掌握常用件和标准件的规定画法、标记及有关标准表格的查用；掌握公差与配合的选用及标注法，能用公差标准、手册等正确标注零件图和装配图；能用绘图软件绘制机械零件和装配图，并能对软件进行安装。讲授绪论时，介绍绘图软件的历史，学习科学家的工匠精神。旨在培育学生创新精神，使学生的学习能力提升的同时，精神层面也得到升华。本课程的具体教学目标如下： </w:t>
      </w:r>
    </w:p>
    <w:p>
      <w:pPr>
        <w:adjustRightInd w:val="0"/>
        <w:snapToGrid w:val="0"/>
        <w:spacing w:line="300" w:lineRule="auto"/>
        <w:ind w:firstLine="420" w:firstLineChars="200"/>
      </w:pPr>
      <w:r>
        <w:t>1．掌握基本原理和作图方法</w:t>
      </w:r>
      <w:r>
        <w:rPr>
          <w:rFonts w:hint="eastAsia"/>
        </w:rPr>
        <w:t>、</w:t>
      </w:r>
      <w:r>
        <w:t>常用件和标准件的规定画法、标记及有关标准表格的查用</w:t>
      </w:r>
      <w:r>
        <w:rPr>
          <w:rFonts w:hint="eastAsia"/>
        </w:rPr>
        <w:t>、</w:t>
      </w:r>
      <w:r>
        <w:t>公差与配合的选用及标注法，能用公差标准、手册等正确标注零件图和装配图，设计出满足要求的系统拓扑图；</w:t>
      </w:r>
      <w:r>
        <w:rPr>
          <w:szCs w:val="21"/>
        </w:rPr>
        <w:t>[3</w:t>
      </w:r>
      <w:r>
        <w:rPr>
          <w:rFonts w:hint="eastAsia"/>
          <w:szCs w:val="21"/>
        </w:rPr>
        <w:t>.</w:t>
      </w:r>
      <w:r>
        <w:rPr>
          <w:szCs w:val="21"/>
        </w:rPr>
        <w:t>1]</w:t>
      </w:r>
    </w:p>
    <w:p>
      <w:pPr>
        <w:widowControl/>
        <w:adjustRightInd w:val="0"/>
        <w:snapToGrid w:val="0"/>
        <w:spacing w:line="300" w:lineRule="auto"/>
        <w:ind w:firstLine="420" w:firstLineChars="200"/>
        <w:jc w:val="left"/>
        <w:rPr>
          <w:kern w:val="0"/>
        </w:rPr>
      </w:pPr>
      <w:r>
        <w:rPr>
          <w:kern w:val="0"/>
        </w:rPr>
        <w:t>2．能用绘图软件绘制机械零件和装配图，并能对软件进行安装，对复杂工程问题进行模拟或仿真的能力，并能够理解其局限性。[5.2]</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adjustRightInd w:val="0"/>
              <w:snapToGrid w:val="0"/>
              <w:spacing w:line="300" w:lineRule="auto"/>
              <w:rPr>
                <w:b/>
                <w:bCs/>
                <w:sz w:val="18"/>
                <w:szCs w:val="18"/>
              </w:rPr>
            </w:pPr>
            <w:r>
              <w:rPr>
                <w:b/>
                <w:bCs/>
                <w:sz w:val="18"/>
                <w:szCs w:val="18"/>
              </w:rPr>
              <w:t>毕业要求</w:t>
            </w:r>
          </w:p>
        </w:tc>
        <w:tc>
          <w:tcPr>
            <w:tcW w:w="6143"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c>
          <w:tcPr>
            <w:tcW w:w="656"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adjustRightInd w:val="0"/>
              <w:snapToGrid w:val="0"/>
              <w:spacing w:line="300" w:lineRule="auto"/>
              <w:rPr>
                <w:sz w:val="18"/>
                <w:szCs w:val="18"/>
              </w:rPr>
            </w:pPr>
            <w:r>
              <w:rPr>
                <w:sz w:val="18"/>
                <w:szCs w:val="18"/>
              </w:rPr>
              <w:t>3. 设计/开发解决方案</w:t>
            </w:r>
          </w:p>
        </w:tc>
        <w:tc>
          <w:tcPr>
            <w:tcW w:w="6143" w:type="dxa"/>
            <w:vAlign w:val="center"/>
          </w:tcPr>
          <w:p>
            <w:pPr>
              <w:adjustRightInd w:val="0"/>
              <w:snapToGrid w:val="0"/>
              <w:spacing w:line="300" w:lineRule="auto"/>
              <w:rPr>
                <w:sz w:val="18"/>
                <w:szCs w:val="18"/>
              </w:rPr>
            </w:pPr>
            <w:r>
              <w:rPr>
                <w:sz w:val="18"/>
                <w:szCs w:val="18"/>
              </w:rPr>
              <w:t>3.1能够利用专业知识，针对给定需求，设计出满足要求的系统总体方案与系统拓扑图、单元子系统（或单元电路）、软硬件模块或工艺。</w:t>
            </w:r>
          </w:p>
        </w:tc>
        <w:tc>
          <w:tcPr>
            <w:tcW w:w="689" w:type="dxa"/>
            <w:vAlign w:val="center"/>
          </w:tcPr>
          <w:p>
            <w:pPr>
              <w:adjustRightInd w:val="0"/>
              <w:snapToGrid w:val="0"/>
              <w:spacing w:line="300" w:lineRule="auto"/>
              <w:jc w:val="center"/>
              <w:rPr>
                <w:sz w:val="18"/>
                <w:szCs w:val="18"/>
              </w:rPr>
            </w:pPr>
            <w:r>
              <w:rPr>
                <w:sz w:val="18"/>
                <w:szCs w:val="18"/>
              </w:rPr>
              <w:t>1</w:t>
            </w:r>
          </w:p>
        </w:tc>
        <w:tc>
          <w:tcPr>
            <w:tcW w:w="656" w:type="dxa"/>
            <w:vAlign w:val="center"/>
          </w:tcPr>
          <w:p>
            <w:pPr>
              <w:adjustRightInd w:val="0"/>
              <w:snapToGrid w:val="0"/>
              <w:spacing w:line="300" w:lineRule="auto"/>
              <w:jc w:val="center"/>
              <w:rPr>
                <w:sz w:val="18"/>
                <w:szCs w:val="18"/>
              </w:rPr>
            </w:pPr>
            <w:r>
              <w:rPr>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adjustRightInd w:val="0"/>
              <w:snapToGrid w:val="0"/>
              <w:spacing w:line="300" w:lineRule="auto"/>
              <w:rPr>
                <w:sz w:val="18"/>
                <w:szCs w:val="18"/>
              </w:rPr>
            </w:pPr>
            <w:r>
              <w:rPr>
                <w:sz w:val="18"/>
                <w:szCs w:val="18"/>
              </w:rPr>
              <w:t>5. 现代工具使用</w:t>
            </w:r>
          </w:p>
        </w:tc>
        <w:tc>
          <w:tcPr>
            <w:tcW w:w="6143" w:type="dxa"/>
            <w:vAlign w:val="center"/>
          </w:tcPr>
          <w:p>
            <w:pPr>
              <w:adjustRightInd w:val="0"/>
              <w:snapToGrid w:val="0"/>
              <w:spacing w:line="300" w:lineRule="auto"/>
              <w:rPr>
                <w:sz w:val="18"/>
                <w:szCs w:val="18"/>
              </w:rPr>
            </w:pPr>
            <w:r>
              <w:rPr>
                <w:sz w:val="18"/>
                <w:szCs w:val="18"/>
              </w:rPr>
              <w:t>5.2具备使用实验设备、软件和现代工程工具对复杂工程问题进行模拟或仿真的能力，并能够理解其局限性。</w:t>
            </w:r>
          </w:p>
        </w:tc>
        <w:tc>
          <w:tcPr>
            <w:tcW w:w="689" w:type="dxa"/>
            <w:vAlign w:val="center"/>
          </w:tcPr>
          <w:p>
            <w:pPr>
              <w:adjustRightInd w:val="0"/>
              <w:snapToGrid w:val="0"/>
              <w:spacing w:line="300" w:lineRule="auto"/>
              <w:jc w:val="center"/>
              <w:rPr>
                <w:sz w:val="18"/>
                <w:szCs w:val="18"/>
              </w:rPr>
            </w:pPr>
            <w:r>
              <w:rPr>
                <w:sz w:val="18"/>
                <w:szCs w:val="18"/>
              </w:rPr>
              <w:t>2</w:t>
            </w:r>
          </w:p>
        </w:tc>
        <w:tc>
          <w:tcPr>
            <w:tcW w:w="656" w:type="dxa"/>
            <w:vAlign w:val="center"/>
          </w:tcPr>
          <w:p>
            <w:pPr>
              <w:adjustRightInd w:val="0"/>
              <w:snapToGrid w:val="0"/>
              <w:spacing w:line="300" w:lineRule="auto"/>
              <w:jc w:val="center"/>
              <w:rPr>
                <w:sz w:val="18"/>
                <w:szCs w:val="18"/>
              </w:rPr>
            </w:pPr>
            <w:r>
              <w:rPr>
                <w:sz w:val="18"/>
                <w:szCs w:val="18"/>
              </w:rPr>
              <w:t>0.5</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199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8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19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rPr>
              <w:t>1．掌握基本原理和作图方法</w:t>
            </w:r>
            <w:r>
              <w:rPr>
                <w:rFonts w:hint="eastAsia"/>
                <w:sz w:val="18"/>
                <w:szCs w:val="18"/>
              </w:rPr>
              <w:t>、</w:t>
            </w:r>
            <w:r>
              <w:rPr>
                <w:sz w:val="18"/>
                <w:szCs w:val="18"/>
              </w:rPr>
              <w:t>常用件和标准件的规定画法、标记及有关标准表格的查用</w:t>
            </w:r>
            <w:r>
              <w:rPr>
                <w:rFonts w:hint="eastAsia"/>
                <w:sz w:val="18"/>
                <w:szCs w:val="18"/>
              </w:rPr>
              <w:t>、</w:t>
            </w:r>
            <w:r>
              <w:rPr>
                <w:sz w:val="18"/>
                <w:szCs w:val="18"/>
              </w:rPr>
              <w:t>公差与配合的选用及标注法，能用公差标准、手册等正确标注零件图和装配图，设计出满足要求的系统拓扑图</w:t>
            </w:r>
            <w:r>
              <w:rPr>
                <w:rFonts w:hint="eastAsia"/>
                <w:sz w:val="18"/>
                <w:szCs w:val="18"/>
              </w:rPr>
              <w:t>；</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2．能用绘图软件绘制机械零件和装配图，并能对软件进行安装，对复杂工程问题进行模拟或仿真的能力，并能够理解其局限性。</w:t>
            </w:r>
          </w:p>
        </w:tc>
        <w:tc>
          <w:tcPr>
            <w:tcW w:w="1993"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sz w:val="18"/>
                <w:szCs w:val="18"/>
              </w:rPr>
            </w:pPr>
            <w:r>
              <w:rPr>
                <w:sz w:val="18"/>
                <w:szCs w:val="18"/>
              </w:rPr>
              <w:t>通过课堂讲授与学生学习（实验与仿真）等达成。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课堂表现、习题作业与方案报告。</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pPr>
      <w:r>
        <w:rPr>
          <w:szCs w:val="21"/>
        </w:rPr>
        <w:t> </w:t>
      </w:r>
      <w:r>
        <w:t>1. 课堂讲授为主，网络多媒体教学、课程独立网站（含教学视频）以及“雨课堂”同步学习为辅，注重工程案例教学，与专业相关实践教学环节和场景配合呼应。</w:t>
      </w:r>
    </w:p>
    <w:p>
      <w:pPr>
        <w:adjustRightInd w:val="0"/>
        <w:snapToGrid w:val="0"/>
        <w:spacing w:line="300" w:lineRule="auto"/>
        <w:ind w:firstLine="420" w:firstLineChars="200"/>
      </w:pPr>
      <w:r>
        <w:t> 2. 根据课程特点采用启发式教学、任务驱动教学、案例教学法进行教学方法创新；核心能力知识点采用“原理描述-方法分析-应用案例展示”相互呼应的教学模式。</w:t>
      </w:r>
    </w:p>
    <w:p>
      <w:pPr>
        <w:adjustRightInd w:val="0"/>
        <w:snapToGrid w:val="0"/>
        <w:spacing w:line="300" w:lineRule="auto"/>
        <w:ind w:firstLine="420" w:firstLineChars="200"/>
      </w:pPr>
      <w:r>
        <w:t> 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1335"/>
        <w:gridCol w:w="5785"/>
        <w:gridCol w:w="4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87"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1335"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5785"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447" w:type="dxa"/>
            <w:vAlign w:val="center"/>
          </w:tcPr>
          <w:p>
            <w:pPr>
              <w:adjustRightInd w:val="0"/>
              <w:snapToGrid w:val="0"/>
              <w:spacing w:line="300" w:lineRule="auto"/>
              <w:jc w:val="center"/>
              <w:rPr>
                <w:b/>
                <w:bCs/>
                <w:sz w:val="18"/>
                <w:szCs w:val="18"/>
              </w:rPr>
            </w:pPr>
            <w:r>
              <w:rPr>
                <w:b/>
                <w:bCs/>
                <w:sz w:val="18"/>
                <w:szCs w:val="18"/>
              </w:rPr>
              <w:t>学时</w:t>
            </w:r>
          </w:p>
        </w:tc>
        <w:tc>
          <w:tcPr>
            <w:tcW w:w="890"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tcMar>
              <w:left w:w="57" w:type="dxa"/>
              <w:right w:w="57" w:type="dxa"/>
            </w:tcMar>
            <w:vAlign w:val="center"/>
          </w:tcPr>
          <w:p>
            <w:pPr>
              <w:adjustRightInd w:val="0"/>
              <w:snapToGrid w:val="0"/>
              <w:spacing w:line="300" w:lineRule="auto"/>
              <w:jc w:val="center"/>
              <w:rPr>
                <w:sz w:val="18"/>
                <w:szCs w:val="18"/>
              </w:rPr>
            </w:pPr>
            <w:r>
              <w:rPr>
                <w:kern w:val="0"/>
                <w:sz w:val="18"/>
                <w:szCs w:val="18"/>
              </w:rPr>
              <w:t>1</w:t>
            </w:r>
          </w:p>
        </w:tc>
        <w:tc>
          <w:tcPr>
            <w:tcW w:w="1335" w:type="dxa"/>
            <w:vAlign w:val="center"/>
          </w:tcPr>
          <w:p>
            <w:pPr>
              <w:tabs>
                <w:tab w:val="left" w:pos="0"/>
              </w:tabs>
              <w:adjustRightInd w:val="0"/>
              <w:snapToGrid w:val="0"/>
              <w:spacing w:line="300" w:lineRule="auto"/>
              <w:rPr>
                <w:sz w:val="18"/>
                <w:szCs w:val="18"/>
              </w:rPr>
            </w:pPr>
            <w:r>
              <w:rPr>
                <w:sz w:val="18"/>
                <w:szCs w:val="18"/>
              </w:rPr>
              <w:t>0 绪论，介绍绘图软件的历史，学习科学家的工匠精神</w:t>
            </w:r>
          </w:p>
          <w:p>
            <w:pPr>
              <w:tabs>
                <w:tab w:val="left" w:pos="0"/>
              </w:tabs>
              <w:adjustRightInd w:val="0"/>
              <w:snapToGrid w:val="0"/>
              <w:spacing w:line="300" w:lineRule="auto"/>
              <w:rPr>
                <w:sz w:val="18"/>
                <w:szCs w:val="18"/>
              </w:rPr>
            </w:pPr>
            <w:r>
              <w:rPr>
                <w:sz w:val="18"/>
                <w:szCs w:val="18"/>
              </w:rPr>
              <w:t>1制图的基础知识和基本技能</w:t>
            </w:r>
          </w:p>
          <w:p>
            <w:pPr>
              <w:adjustRightInd w:val="0"/>
              <w:snapToGrid w:val="0"/>
              <w:spacing w:line="300" w:lineRule="auto"/>
              <w:ind w:firstLine="180" w:firstLineChars="100"/>
              <w:rPr>
                <w:sz w:val="18"/>
                <w:szCs w:val="18"/>
              </w:rPr>
            </w:pPr>
            <w:r>
              <w:rPr>
                <w:sz w:val="18"/>
                <w:szCs w:val="18"/>
              </w:rPr>
              <w:t>图幅、比例、图线、字体、CAD标准、视图、图样画法、尺寸注法等方面的基本规定，绘图工具和绘图仪器的使用方法，尺规绘图的步骤和方法</w:t>
            </w:r>
          </w:p>
        </w:tc>
        <w:tc>
          <w:tcPr>
            <w:tcW w:w="5785" w:type="dxa"/>
            <w:vAlign w:val="center"/>
          </w:tcPr>
          <w:p>
            <w:pPr>
              <w:adjustRightInd w:val="0"/>
              <w:snapToGrid w:val="0"/>
              <w:spacing w:line="300" w:lineRule="auto"/>
              <w:rPr>
                <w:sz w:val="18"/>
                <w:szCs w:val="18"/>
              </w:rPr>
            </w:pPr>
            <w:r>
              <w:rPr>
                <w:sz w:val="18"/>
                <w:szCs w:val="18"/>
              </w:rPr>
              <w:t>1.要求</w:t>
            </w:r>
          </w:p>
          <w:p>
            <w:pPr>
              <w:numPr>
                <w:ilvl w:val="0"/>
                <w:numId w:val="5"/>
              </w:numPr>
              <w:adjustRightInd w:val="0"/>
              <w:snapToGrid w:val="0"/>
              <w:spacing w:line="300" w:lineRule="auto"/>
              <w:ind w:left="172" w:hanging="295"/>
              <w:jc w:val="left"/>
              <w:rPr>
                <w:sz w:val="18"/>
                <w:szCs w:val="18"/>
              </w:rPr>
            </w:pPr>
            <w:r>
              <w:rPr>
                <w:sz w:val="18"/>
                <w:szCs w:val="18"/>
              </w:rPr>
              <w:t>了解《机械制图》对图幅、比例、图线、字体、CAD标准、视图、图样画法、尺寸注法等方面的基本规定。</w:t>
            </w:r>
          </w:p>
          <w:p>
            <w:pPr>
              <w:numPr>
                <w:ilvl w:val="0"/>
                <w:numId w:val="5"/>
              </w:numPr>
              <w:adjustRightInd w:val="0"/>
              <w:snapToGrid w:val="0"/>
              <w:spacing w:line="300" w:lineRule="auto"/>
              <w:ind w:left="172" w:hanging="295"/>
              <w:jc w:val="left"/>
              <w:rPr>
                <w:sz w:val="18"/>
                <w:szCs w:val="18"/>
              </w:rPr>
            </w:pPr>
            <w:r>
              <w:rPr>
                <w:sz w:val="18"/>
                <w:szCs w:val="18"/>
              </w:rPr>
              <w:t>了解绘图工具和绘图仪器的使用方法，掌握尺规绘图的步骤和方法。</w:t>
            </w:r>
          </w:p>
          <w:p>
            <w:pPr>
              <w:numPr>
                <w:ilvl w:val="0"/>
                <w:numId w:val="5"/>
              </w:numPr>
              <w:adjustRightInd w:val="0"/>
              <w:snapToGrid w:val="0"/>
              <w:spacing w:line="300" w:lineRule="auto"/>
              <w:ind w:left="172" w:hanging="295"/>
              <w:jc w:val="left"/>
              <w:rPr>
                <w:sz w:val="18"/>
                <w:szCs w:val="18"/>
              </w:rPr>
            </w:pPr>
            <w:r>
              <w:rPr>
                <w:sz w:val="18"/>
                <w:szCs w:val="18"/>
              </w:rPr>
              <w:t>掌握徒手绘图的方法。</w:t>
            </w:r>
          </w:p>
          <w:p>
            <w:pPr>
              <w:adjustRightInd w:val="0"/>
              <w:snapToGrid w:val="0"/>
              <w:spacing w:line="300" w:lineRule="auto"/>
              <w:rPr>
                <w:sz w:val="18"/>
                <w:szCs w:val="18"/>
              </w:rPr>
            </w:pPr>
            <w:r>
              <w:rPr>
                <w:sz w:val="18"/>
                <w:szCs w:val="18"/>
              </w:rPr>
              <w:t>2.作业内容</w:t>
            </w:r>
          </w:p>
          <w:p>
            <w:pPr>
              <w:adjustRightInd w:val="0"/>
              <w:snapToGrid w:val="0"/>
              <w:spacing w:line="300" w:lineRule="auto"/>
              <w:ind w:firstLine="360" w:firstLineChars="200"/>
              <w:rPr>
                <w:sz w:val="18"/>
                <w:szCs w:val="18"/>
              </w:rPr>
            </w:pPr>
            <w:r>
              <w:rPr>
                <w:sz w:val="18"/>
                <w:szCs w:val="18"/>
              </w:rPr>
              <w:t>（1）复习第一章内容；</w:t>
            </w:r>
          </w:p>
          <w:p>
            <w:pPr>
              <w:adjustRightInd w:val="0"/>
              <w:snapToGrid w:val="0"/>
              <w:spacing w:line="300" w:lineRule="auto"/>
              <w:ind w:firstLine="360" w:firstLineChars="200"/>
              <w:rPr>
                <w:sz w:val="18"/>
                <w:szCs w:val="18"/>
              </w:rPr>
            </w:pPr>
            <w:r>
              <w:rPr>
                <w:sz w:val="18"/>
                <w:szCs w:val="18"/>
              </w:rPr>
              <w:t>（2）完成教材第一章作业。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sz w:val="18"/>
                <w:szCs w:val="18"/>
              </w:rPr>
            </w:pPr>
            <w:r>
              <w:rPr>
                <w:kern w:val="0"/>
                <w:sz w:val="18"/>
                <w:szCs w:val="18"/>
              </w:rPr>
              <w:t>2</w:t>
            </w:r>
          </w:p>
        </w:tc>
        <w:tc>
          <w:tcPr>
            <w:tcW w:w="890" w:type="dxa"/>
            <w:vAlign w:val="center"/>
          </w:tcPr>
          <w:p>
            <w:pPr>
              <w:adjustRightInd w:val="0"/>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kern w:val="0"/>
                <w:sz w:val="18"/>
                <w:szCs w:val="18"/>
              </w:rPr>
              <w:t>2</w:t>
            </w:r>
          </w:p>
        </w:tc>
        <w:tc>
          <w:tcPr>
            <w:tcW w:w="1335" w:type="dxa"/>
            <w:vAlign w:val="center"/>
          </w:tcPr>
          <w:p>
            <w:pPr>
              <w:adjustRightInd w:val="0"/>
              <w:snapToGrid w:val="0"/>
              <w:spacing w:line="300" w:lineRule="auto"/>
              <w:rPr>
                <w:sz w:val="18"/>
                <w:szCs w:val="18"/>
              </w:rPr>
            </w:pPr>
            <w:r>
              <w:rPr>
                <w:sz w:val="18"/>
                <w:szCs w:val="18"/>
              </w:rPr>
              <w:t>2正投影法基础</w:t>
            </w:r>
          </w:p>
          <w:p>
            <w:pPr>
              <w:adjustRightInd w:val="0"/>
              <w:snapToGrid w:val="0"/>
              <w:spacing w:line="300" w:lineRule="auto"/>
              <w:ind w:firstLine="180" w:firstLineChars="100"/>
              <w:rPr>
                <w:sz w:val="18"/>
                <w:szCs w:val="18"/>
              </w:rPr>
            </w:pPr>
            <w:r>
              <w:rPr>
                <w:sz w:val="18"/>
                <w:szCs w:val="18"/>
              </w:rPr>
              <w:t>中心投影法、平行投影法（正、斜投影）概念，平行投影的基本特性，两点的相对位置、重影点。</w:t>
            </w:r>
          </w:p>
        </w:tc>
        <w:tc>
          <w:tcPr>
            <w:tcW w:w="5785" w:type="dxa"/>
            <w:vAlign w:val="center"/>
          </w:tcPr>
          <w:p>
            <w:pPr>
              <w:adjustRightInd w:val="0"/>
              <w:snapToGrid w:val="0"/>
              <w:spacing w:line="300" w:lineRule="auto"/>
              <w:rPr>
                <w:sz w:val="18"/>
                <w:szCs w:val="18"/>
              </w:rPr>
            </w:pPr>
            <w:r>
              <w:rPr>
                <w:sz w:val="18"/>
                <w:szCs w:val="18"/>
              </w:rPr>
              <w:t>1.要求</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理解中心投影法、平行投影法（正、斜投影）概念，掌握平行投影的基本特性。</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掌握点在三面投影体系第一角中的投影。</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掌握点的投影与直角坐标的关系。</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理解两点的相对位置、重影点。</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掌握直线对投影面的各种位置及其投影特点。</w:t>
            </w:r>
          </w:p>
          <w:p>
            <w:pPr>
              <w:numPr>
                <w:ilvl w:val="0"/>
                <w:numId w:val="6"/>
              </w:numPr>
              <w:tabs>
                <w:tab w:val="left" w:pos="597"/>
              </w:tabs>
              <w:adjustRightInd w:val="0"/>
              <w:snapToGrid w:val="0"/>
              <w:spacing w:line="300" w:lineRule="auto"/>
              <w:ind w:left="149" w:leftChars="14" w:hanging="120" w:hangingChars="67"/>
              <w:jc w:val="left"/>
              <w:rPr>
                <w:sz w:val="18"/>
                <w:szCs w:val="18"/>
              </w:rPr>
            </w:pPr>
            <w:r>
              <w:rPr>
                <w:sz w:val="18"/>
                <w:szCs w:val="18"/>
              </w:rPr>
              <w:t>掌握平面对投影面的各种位置及其投影特点。</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（1）复习第二章内容；</w:t>
            </w:r>
          </w:p>
          <w:p>
            <w:pPr>
              <w:adjustRightInd w:val="0"/>
              <w:snapToGrid w:val="0"/>
              <w:spacing w:line="300" w:lineRule="auto"/>
              <w:rPr>
                <w:sz w:val="18"/>
                <w:szCs w:val="18"/>
              </w:rPr>
            </w:pPr>
            <w:r>
              <w:rPr>
                <w:sz w:val="18"/>
                <w:szCs w:val="18"/>
              </w:rPr>
              <w:t>（2）完成教材第二章作业。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sz w:val="18"/>
                <w:szCs w:val="18"/>
              </w:rPr>
            </w:pPr>
            <w:r>
              <w:rPr>
                <w:kern w:val="0"/>
                <w:sz w:val="18"/>
                <w:szCs w:val="18"/>
              </w:rPr>
              <w:t>2</w:t>
            </w:r>
          </w:p>
        </w:tc>
        <w:tc>
          <w:tcPr>
            <w:tcW w:w="890" w:type="dxa"/>
            <w:vAlign w:val="center"/>
          </w:tcPr>
          <w:p>
            <w:pPr>
              <w:adjustRightInd w:val="0"/>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3</w:t>
            </w:r>
          </w:p>
        </w:tc>
        <w:tc>
          <w:tcPr>
            <w:tcW w:w="1335" w:type="dxa"/>
            <w:vAlign w:val="center"/>
          </w:tcPr>
          <w:p>
            <w:pPr>
              <w:widowControl/>
              <w:adjustRightInd w:val="0"/>
              <w:snapToGrid w:val="0"/>
              <w:spacing w:line="300" w:lineRule="auto"/>
              <w:rPr>
                <w:kern w:val="0"/>
                <w:sz w:val="18"/>
                <w:szCs w:val="18"/>
              </w:rPr>
            </w:pPr>
            <w:r>
              <w:rPr>
                <w:sz w:val="18"/>
                <w:szCs w:val="18"/>
              </w:rPr>
              <w:t>3组合体</w:t>
            </w:r>
          </w:p>
          <w:p>
            <w:pPr>
              <w:adjustRightInd w:val="0"/>
              <w:snapToGrid w:val="0"/>
              <w:spacing w:line="300" w:lineRule="auto"/>
              <w:ind w:left="210" w:leftChars="100"/>
              <w:rPr>
                <w:sz w:val="18"/>
                <w:szCs w:val="18"/>
              </w:rPr>
            </w:pPr>
            <w:r>
              <w:rPr>
                <w:sz w:val="18"/>
                <w:szCs w:val="18"/>
              </w:rPr>
              <w:t>组合体的组合形式、形体分析及投影图的画法，具有组合体的初步构形设计能力</w:t>
            </w:r>
          </w:p>
          <w:p>
            <w:pPr>
              <w:widowControl/>
              <w:adjustRightInd w:val="0"/>
              <w:snapToGrid w:val="0"/>
              <w:spacing w:line="300" w:lineRule="auto"/>
              <w:rPr>
                <w:sz w:val="18"/>
                <w:szCs w:val="18"/>
              </w:rPr>
            </w:pPr>
          </w:p>
        </w:tc>
        <w:tc>
          <w:tcPr>
            <w:tcW w:w="5785" w:type="dxa"/>
            <w:vAlign w:val="center"/>
          </w:tcPr>
          <w:p>
            <w:pPr>
              <w:adjustRightInd w:val="0"/>
              <w:snapToGrid w:val="0"/>
              <w:spacing w:line="300" w:lineRule="auto"/>
              <w:rPr>
                <w:sz w:val="18"/>
                <w:szCs w:val="18"/>
              </w:rPr>
            </w:pPr>
            <w:r>
              <w:rPr>
                <w:sz w:val="18"/>
                <w:szCs w:val="18"/>
              </w:rPr>
              <w:t>1.要求</w:t>
            </w:r>
          </w:p>
          <w:p>
            <w:pPr>
              <w:numPr>
                <w:ilvl w:val="0"/>
                <w:numId w:val="7"/>
              </w:numPr>
              <w:tabs>
                <w:tab w:val="left" w:pos="534"/>
              </w:tabs>
              <w:adjustRightInd w:val="0"/>
              <w:snapToGrid w:val="0"/>
              <w:spacing w:line="300" w:lineRule="auto"/>
              <w:ind w:left="709"/>
              <w:jc w:val="left"/>
              <w:rPr>
                <w:sz w:val="18"/>
                <w:szCs w:val="18"/>
              </w:rPr>
            </w:pPr>
            <w:r>
              <w:rPr>
                <w:sz w:val="18"/>
                <w:szCs w:val="18"/>
              </w:rPr>
              <w:t>了解组合体的组合形式、形体分析及投影图的画法。</w:t>
            </w:r>
          </w:p>
          <w:p>
            <w:pPr>
              <w:numPr>
                <w:ilvl w:val="0"/>
                <w:numId w:val="7"/>
              </w:numPr>
              <w:tabs>
                <w:tab w:val="left" w:pos="534"/>
              </w:tabs>
              <w:adjustRightInd w:val="0"/>
              <w:snapToGrid w:val="0"/>
              <w:spacing w:line="300" w:lineRule="auto"/>
              <w:ind w:left="709"/>
              <w:jc w:val="left"/>
              <w:rPr>
                <w:sz w:val="18"/>
                <w:szCs w:val="18"/>
              </w:rPr>
            </w:pPr>
            <w:r>
              <w:rPr>
                <w:sz w:val="18"/>
                <w:szCs w:val="18"/>
              </w:rPr>
              <w:t>熟练掌握用形体分析法绘制和阅读组合形体的投影图。</w:t>
            </w:r>
          </w:p>
          <w:p>
            <w:pPr>
              <w:numPr>
                <w:ilvl w:val="0"/>
                <w:numId w:val="7"/>
              </w:numPr>
              <w:tabs>
                <w:tab w:val="left" w:pos="534"/>
              </w:tabs>
              <w:adjustRightInd w:val="0"/>
              <w:snapToGrid w:val="0"/>
              <w:spacing w:line="300" w:lineRule="auto"/>
              <w:ind w:left="709"/>
              <w:jc w:val="left"/>
              <w:rPr>
                <w:sz w:val="18"/>
                <w:szCs w:val="18"/>
              </w:rPr>
            </w:pPr>
            <w:r>
              <w:rPr>
                <w:sz w:val="18"/>
                <w:szCs w:val="18"/>
              </w:rPr>
              <w:t>具有组合体的初步构形设计能力。</w:t>
            </w:r>
          </w:p>
          <w:p>
            <w:pPr>
              <w:numPr>
                <w:ilvl w:val="0"/>
                <w:numId w:val="7"/>
              </w:numPr>
              <w:tabs>
                <w:tab w:val="left" w:pos="534"/>
              </w:tabs>
              <w:adjustRightInd w:val="0"/>
              <w:snapToGrid w:val="0"/>
              <w:spacing w:line="300" w:lineRule="auto"/>
              <w:ind w:left="709"/>
              <w:jc w:val="left"/>
              <w:rPr>
                <w:sz w:val="18"/>
                <w:szCs w:val="18"/>
              </w:rPr>
            </w:pPr>
            <w:r>
              <w:rPr>
                <w:sz w:val="18"/>
                <w:szCs w:val="18"/>
              </w:rPr>
              <w:t>掌握组合体的尺寸标注方法。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（1）复习第三章内容；</w:t>
            </w:r>
          </w:p>
          <w:p>
            <w:pPr>
              <w:adjustRightInd w:val="0"/>
              <w:snapToGrid w:val="0"/>
              <w:spacing w:line="300" w:lineRule="auto"/>
              <w:rPr>
                <w:sz w:val="18"/>
                <w:szCs w:val="18"/>
              </w:rPr>
            </w:pPr>
            <w:r>
              <w:rPr>
                <w:sz w:val="18"/>
                <w:szCs w:val="18"/>
              </w:rPr>
              <w:t>（2）完成教材第三章作业。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kern w:val="0"/>
                <w:sz w:val="18"/>
                <w:szCs w:val="18"/>
              </w:rPr>
            </w:pPr>
            <w:r>
              <w:rPr>
                <w:sz w:val="18"/>
                <w:szCs w:val="18"/>
              </w:rPr>
              <w:t>2</w:t>
            </w:r>
          </w:p>
        </w:tc>
        <w:tc>
          <w:tcPr>
            <w:tcW w:w="890" w:type="dxa"/>
            <w:vAlign w:val="center"/>
          </w:tcPr>
          <w:p>
            <w:pPr>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4</w:t>
            </w:r>
          </w:p>
        </w:tc>
        <w:tc>
          <w:tcPr>
            <w:tcW w:w="1335" w:type="dxa"/>
            <w:vAlign w:val="center"/>
          </w:tcPr>
          <w:p>
            <w:pPr>
              <w:widowControl/>
              <w:adjustRightInd w:val="0"/>
              <w:snapToGrid w:val="0"/>
              <w:spacing w:line="300" w:lineRule="auto"/>
              <w:rPr>
                <w:kern w:val="0"/>
                <w:sz w:val="18"/>
                <w:szCs w:val="18"/>
              </w:rPr>
            </w:pPr>
            <w:r>
              <w:rPr>
                <w:sz w:val="18"/>
                <w:szCs w:val="18"/>
              </w:rPr>
              <w:t>4 轴测图的表达</w:t>
            </w:r>
          </w:p>
          <w:p>
            <w:pPr>
              <w:adjustRightInd w:val="0"/>
              <w:snapToGrid w:val="0"/>
              <w:spacing w:line="300" w:lineRule="auto"/>
              <w:rPr>
                <w:sz w:val="18"/>
                <w:szCs w:val="18"/>
              </w:rPr>
            </w:pPr>
            <w:r>
              <w:rPr>
                <w:sz w:val="18"/>
                <w:szCs w:val="18"/>
              </w:rPr>
              <w:t>轴测投影原理、规律和工程常用轴测图种类，斜二轴测图的应用特点和绘制方法。</w:t>
            </w:r>
          </w:p>
          <w:p>
            <w:pPr>
              <w:widowControl/>
              <w:adjustRightInd w:val="0"/>
              <w:snapToGrid w:val="0"/>
              <w:spacing w:line="300" w:lineRule="auto"/>
              <w:rPr>
                <w:sz w:val="18"/>
                <w:szCs w:val="18"/>
              </w:rPr>
            </w:pPr>
          </w:p>
        </w:tc>
        <w:tc>
          <w:tcPr>
            <w:tcW w:w="5785" w:type="dxa"/>
            <w:vAlign w:val="center"/>
          </w:tcPr>
          <w:p>
            <w:pPr>
              <w:adjustRightInd w:val="0"/>
              <w:snapToGrid w:val="0"/>
              <w:spacing w:line="300" w:lineRule="auto"/>
              <w:rPr>
                <w:sz w:val="18"/>
                <w:szCs w:val="18"/>
              </w:rPr>
            </w:pPr>
            <w:r>
              <w:rPr>
                <w:sz w:val="18"/>
                <w:szCs w:val="18"/>
              </w:rPr>
              <w:t>1.要求</w:t>
            </w:r>
          </w:p>
          <w:p>
            <w:pPr>
              <w:numPr>
                <w:ilvl w:val="0"/>
                <w:numId w:val="8"/>
              </w:numPr>
              <w:adjustRightInd w:val="0"/>
              <w:snapToGrid w:val="0"/>
              <w:spacing w:line="300" w:lineRule="auto"/>
              <w:ind w:left="-16" w:leftChars="-51" w:right="-31" w:rightChars="-15" w:hanging="91" w:hangingChars="51"/>
              <w:rPr>
                <w:sz w:val="18"/>
                <w:szCs w:val="18"/>
              </w:rPr>
            </w:pPr>
            <w:r>
              <w:rPr>
                <w:sz w:val="18"/>
                <w:szCs w:val="18"/>
              </w:rPr>
              <w:t>了解轴测投影原理、规律和工程常用轴测图种类。</w:t>
            </w:r>
          </w:p>
          <w:p>
            <w:pPr>
              <w:numPr>
                <w:ilvl w:val="0"/>
                <w:numId w:val="8"/>
              </w:numPr>
              <w:adjustRightInd w:val="0"/>
              <w:snapToGrid w:val="0"/>
              <w:spacing w:line="300" w:lineRule="auto"/>
              <w:ind w:left="-16" w:leftChars="-51" w:right="-31" w:rightChars="-15" w:hanging="91" w:hangingChars="51"/>
              <w:rPr>
                <w:sz w:val="18"/>
                <w:szCs w:val="18"/>
              </w:rPr>
            </w:pPr>
            <w:r>
              <w:rPr>
                <w:sz w:val="18"/>
                <w:szCs w:val="18"/>
              </w:rPr>
              <w:t>熟练掌握基本立体和组合形体（不含曲面）的正等轴测图的绘制方法。</w:t>
            </w:r>
          </w:p>
          <w:p>
            <w:pPr>
              <w:numPr>
                <w:ilvl w:val="0"/>
                <w:numId w:val="8"/>
              </w:numPr>
              <w:adjustRightInd w:val="0"/>
              <w:snapToGrid w:val="0"/>
              <w:spacing w:line="300" w:lineRule="auto"/>
              <w:ind w:left="-16" w:leftChars="-51" w:right="-31" w:rightChars="-15" w:hanging="91" w:hangingChars="51"/>
              <w:rPr>
                <w:sz w:val="18"/>
                <w:szCs w:val="18"/>
              </w:rPr>
            </w:pPr>
            <w:r>
              <w:rPr>
                <w:sz w:val="18"/>
                <w:szCs w:val="18"/>
              </w:rPr>
              <w:t>了解斜二轴测图的应用特点和绘制方法。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（1）复习第四章内容；</w:t>
            </w:r>
          </w:p>
          <w:p>
            <w:pPr>
              <w:adjustRightInd w:val="0"/>
              <w:snapToGrid w:val="0"/>
              <w:spacing w:line="300" w:lineRule="auto"/>
              <w:rPr>
                <w:sz w:val="18"/>
                <w:szCs w:val="18"/>
              </w:rPr>
            </w:pPr>
            <w:r>
              <w:rPr>
                <w:sz w:val="18"/>
                <w:szCs w:val="18"/>
              </w:rPr>
              <w:t>（2）完成教材第四章作业。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kern w:val="0"/>
                <w:sz w:val="18"/>
                <w:szCs w:val="18"/>
              </w:rPr>
            </w:pPr>
            <w:r>
              <w:rPr>
                <w:sz w:val="18"/>
                <w:szCs w:val="18"/>
              </w:rPr>
              <w:t>2</w:t>
            </w:r>
          </w:p>
        </w:tc>
        <w:tc>
          <w:tcPr>
            <w:tcW w:w="890" w:type="dxa"/>
            <w:vAlign w:val="center"/>
          </w:tcPr>
          <w:p>
            <w:pPr>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5</w:t>
            </w:r>
          </w:p>
        </w:tc>
        <w:tc>
          <w:tcPr>
            <w:tcW w:w="1335" w:type="dxa"/>
            <w:vAlign w:val="center"/>
          </w:tcPr>
          <w:p>
            <w:pPr>
              <w:adjustRightInd w:val="0"/>
              <w:snapToGrid w:val="0"/>
              <w:spacing w:line="300" w:lineRule="auto"/>
              <w:rPr>
                <w:sz w:val="18"/>
                <w:szCs w:val="18"/>
              </w:rPr>
            </w:pPr>
            <w:r>
              <w:rPr>
                <w:sz w:val="18"/>
                <w:szCs w:val="18"/>
              </w:rPr>
              <w:t>5 机件的基本表示法</w:t>
            </w:r>
          </w:p>
          <w:p>
            <w:pPr>
              <w:widowControl/>
              <w:adjustRightInd w:val="0"/>
              <w:snapToGrid w:val="0"/>
              <w:spacing w:line="300" w:lineRule="auto"/>
              <w:rPr>
                <w:sz w:val="18"/>
                <w:szCs w:val="18"/>
              </w:rPr>
            </w:pPr>
            <w:r>
              <w:rPr>
                <w:sz w:val="18"/>
                <w:szCs w:val="18"/>
              </w:rPr>
              <w:t>组合体的常用的简化画法和规定画法。</w:t>
            </w:r>
          </w:p>
        </w:tc>
        <w:tc>
          <w:tcPr>
            <w:tcW w:w="5785" w:type="dxa"/>
            <w:vAlign w:val="center"/>
          </w:tcPr>
          <w:p>
            <w:pPr>
              <w:adjustRightInd w:val="0"/>
              <w:snapToGrid w:val="0"/>
              <w:spacing w:line="300" w:lineRule="auto"/>
              <w:rPr>
                <w:sz w:val="18"/>
                <w:szCs w:val="18"/>
              </w:rPr>
            </w:pPr>
            <w:r>
              <w:rPr>
                <w:sz w:val="18"/>
                <w:szCs w:val="18"/>
              </w:rPr>
              <w:t>1.要求</w:t>
            </w:r>
          </w:p>
          <w:p>
            <w:pPr>
              <w:numPr>
                <w:ilvl w:val="0"/>
                <w:numId w:val="9"/>
              </w:numPr>
              <w:adjustRightInd w:val="0"/>
              <w:snapToGrid w:val="0"/>
              <w:spacing w:line="300" w:lineRule="auto"/>
              <w:ind w:left="-16" w:leftChars="-51" w:hanging="91" w:hangingChars="51"/>
              <w:jc w:val="left"/>
              <w:rPr>
                <w:sz w:val="18"/>
                <w:szCs w:val="18"/>
              </w:rPr>
            </w:pPr>
            <w:r>
              <w:rPr>
                <w:sz w:val="18"/>
                <w:szCs w:val="18"/>
              </w:rPr>
              <w:t>掌握视图——基本视图、局部视图、斜视图、向视图的画法。</w:t>
            </w:r>
          </w:p>
          <w:p>
            <w:pPr>
              <w:numPr>
                <w:ilvl w:val="0"/>
                <w:numId w:val="9"/>
              </w:numPr>
              <w:adjustRightInd w:val="0"/>
              <w:snapToGrid w:val="0"/>
              <w:spacing w:line="300" w:lineRule="auto"/>
              <w:ind w:left="-16" w:leftChars="-51" w:hanging="91" w:hangingChars="51"/>
              <w:jc w:val="left"/>
              <w:rPr>
                <w:sz w:val="18"/>
                <w:szCs w:val="18"/>
              </w:rPr>
            </w:pPr>
            <w:r>
              <w:rPr>
                <w:sz w:val="18"/>
                <w:szCs w:val="18"/>
              </w:rPr>
              <w:t>掌握剖视图——全剖视图、半剖视图、局部剖视图的画法。</w:t>
            </w:r>
          </w:p>
          <w:p>
            <w:pPr>
              <w:numPr>
                <w:ilvl w:val="0"/>
                <w:numId w:val="9"/>
              </w:numPr>
              <w:adjustRightInd w:val="0"/>
              <w:snapToGrid w:val="0"/>
              <w:spacing w:line="300" w:lineRule="auto"/>
              <w:ind w:left="-16" w:leftChars="-51" w:hanging="91" w:hangingChars="51"/>
              <w:jc w:val="left"/>
              <w:rPr>
                <w:sz w:val="18"/>
                <w:szCs w:val="18"/>
              </w:rPr>
            </w:pPr>
            <w:r>
              <w:rPr>
                <w:sz w:val="18"/>
                <w:szCs w:val="18"/>
              </w:rPr>
              <w:t>掌握断面图——移出断面、重合断面的画法。</w:t>
            </w:r>
          </w:p>
          <w:p>
            <w:pPr>
              <w:numPr>
                <w:ilvl w:val="0"/>
                <w:numId w:val="9"/>
              </w:numPr>
              <w:adjustRightInd w:val="0"/>
              <w:snapToGrid w:val="0"/>
              <w:spacing w:line="300" w:lineRule="auto"/>
              <w:ind w:left="-16" w:leftChars="-51" w:hanging="91" w:hangingChars="51"/>
              <w:jc w:val="left"/>
              <w:rPr>
                <w:sz w:val="18"/>
                <w:szCs w:val="18"/>
              </w:rPr>
            </w:pPr>
            <w:r>
              <w:rPr>
                <w:sz w:val="18"/>
                <w:szCs w:val="18"/>
              </w:rPr>
              <w:t>了解组合体的常用的简化画法和规定画法。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（1）复习第五章内容；</w:t>
            </w:r>
          </w:p>
          <w:p>
            <w:pPr>
              <w:adjustRightInd w:val="0"/>
              <w:snapToGrid w:val="0"/>
              <w:spacing w:line="300" w:lineRule="auto"/>
              <w:rPr>
                <w:sz w:val="18"/>
                <w:szCs w:val="18"/>
              </w:rPr>
            </w:pPr>
            <w:r>
              <w:rPr>
                <w:sz w:val="18"/>
                <w:szCs w:val="18"/>
              </w:rPr>
              <w:t>（2）完成教材第五章作业。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kern w:val="0"/>
                <w:sz w:val="18"/>
                <w:szCs w:val="18"/>
              </w:rPr>
            </w:pPr>
            <w:r>
              <w:rPr>
                <w:kern w:val="0"/>
                <w:sz w:val="18"/>
                <w:szCs w:val="18"/>
              </w:rPr>
              <w:t>2</w:t>
            </w:r>
          </w:p>
        </w:tc>
        <w:tc>
          <w:tcPr>
            <w:tcW w:w="890" w:type="dxa"/>
            <w:vAlign w:val="center"/>
          </w:tcPr>
          <w:p>
            <w:pPr>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6</w:t>
            </w:r>
          </w:p>
        </w:tc>
        <w:tc>
          <w:tcPr>
            <w:tcW w:w="1335" w:type="dxa"/>
            <w:vAlign w:val="center"/>
          </w:tcPr>
          <w:p>
            <w:pPr>
              <w:widowControl/>
              <w:adjustRightInd w:val="0"/>
              <w:snapToGrid w:val="0"/>
              <w:spacing w:line="300" w:lineRule="auto"/>
              <w:rPr>
                <w:kern w:val="0"/>
                <w:sz w:val="18"/>
                <w:szCs w:val="18"/>
              </w:rPr>
            </w:pPr>
            <w:r>
              <w:rPr>
                <w:sz w:val="18"/>
                <w:szCs w:val="18"/>
              </w:rPr>
              <w:t>6 标准件和常用件</w:t>
            </w:r>
          </w:p>
          <w:p>
            <w:pPr>
              <w:adjustRightInd w:val="0"/>
              <w:snapToGrid w:val="0"/>
              <w:spacing w:line="300" w:lineRule="auto"/>
              <w:ind w:left="166" w:leftChars="79" w:right="-31" w:rightChars="-15" w:firstLine="6"/>
              <w:rPr>
                <w:sz w:val="18"/>
                <w:szCs w:val="18"/>
              </w:rPr>
            </w:pPr>
            <w:r>
              <w:rPr>
                <w:sz w:val="18"/>
                <w:szCs w:val="18"/>
              </w:rPr>
              <w:t>圆柱齿轮及其啮合的画法，滚动轴承及其装配画法，销、普通平键和圆柱螺旋压缩弹簧的规定画法</w:t>
            </w:r>
          </w:p>
        </w:tc>
        <w:tc>
          <w:tcPr>
            <w:tcW w:w="5785" w:type="dxa"/>
            <w:vAlign w:val="center"/>
          </w:tcPr>
          <w:p>
            <w:pPr>
              <w:adjustRightInd w:val="0"/>
              <w:snapToGrid w:val="0"/>
              <w:spacing w:line="300" w:lineRule="auto"/>
              <w:rPr>
                <w:sz w:val="18"/>
                <w:szCs w:val="18"/>
              </w:rPr>
            </w:pPr>
            <w:r>
              <w:rPr>
                <w:sz w:val="18"/>
                <w:szCs w:val="18"/>
              </w:rPr>
              <w:t>1.要求</w:t>
            </w:r>
          </w:p>
          <w:p>
            <w:pPr>
              <w:numPr>
                <w:ilvl w:val="0"/>
                <w:numId w:val="10"/>
              </w:numPr>
              <w:adjustRightInd w:val="0"/>
              <w:snapToGrid w:val="0"/>
              <w:spacing w:line="300" w:lineRule="auto"/>
              <w:ind w:left="-16" w:leftChars="-51" w:hanging="91" w:hangingChars="51"/>
              <w:jc w:val="left"/>
              <w:rPr>
                <w:sz w:val="18"/>
                <w:szCs w:val="18"/>
              </w:rPr>
            </w:pPr>
            <w:r>
              <w:rPr>
                <w:sz w:val="18"/>
                <w:szCs w:val="18"/>
              </w:rPr>
              <w:t>熟练掌握螺纹、常用螺纹紧固件及其连接的规定画法。</w:t>
            </w:r>
          </w:p>
          <w:p>
            <w:pPr>
              <w:numPr>
                <w:ilvl w:val="0"/>
                <w:numId w:val="10"/>
              </w:numPr>
              <w:adjustRightInd w:val="0"/>
              <w:snapToGrid w:val="0"/>
              <w:spacing w:line="300" w:lineRule="auto"/>
              <w:ind w:left="-16" w:leftChars="-51" w:hanging="91" w:hangingChars="51"/>
              <w:jc w:val="left"/>
              <w:rPr>
                <w:sz w:val="18"/>
                <w:szCs w:val="18"/>
              </w:rPr>
            </w:pPr>
            <w:r>
              <w:rPr>
                <w:sz w:val="18"/>
                <w:szCs w:val="18"/>
              </w:rPr>
              <w:t>了解圆柱齿轮及其啮合的画法。</w:t>
            </w:r>
          </w:p>
          <w:p>
            <w:pPr>
              <w:numPr>
                <w:ilvl w:val="0"/>
                <w:numId w:val="10"/>
              </w:numPr>
              <w:adjustRightInd w:val="0"/>
              <w:snapToGrid w:val="0"/>
              <w:spacing w:line="300" w:lineRule="auto"/>
              <w:ind w:left="-16" w:leftChars="-51" w:hanging="91" w:hangingChars="51"/>
              <w:jc w:val="left"/>
              <w:rPr>
                <w:sz w:val="18"/>
                <w:szCs w:val="18"/>
              </w:rPr>
            </w:pPr>
            <w:r>
              <w:rPr>
                <w:sz w:val="18"/>
                <w:szCs w:val="18"/>
              </w:rPr>
              <w:t>了解滚动轴承及其装配画法。</w:t>
            </w:r>
          </w:p>
          <w:p>
            <w:pPr>
              <w:numPr>
                <w:ilvl w:val="0"/>
                <w:numId w:val="10"/>
              </w:numPr>
              <w:adjustRightInd w:val="0"/>
              <w:snapToGrid w:val="0"/>
              <w:spacing w:line="300" w:lineRule="auto"/>
              <w:ind w:left="-16" w:leftChars="-51" w:hanging="91" w:hangingChars="51"/>
              <w:jc w:val="left"/>
              <w:rPr>
                <w:sz w:val="18"/>
                <w:szCs w:val="18"/>
              </w:rPr>
            </w:pPr>
            <w:r>
              <w:rPr>
                <w:sz w:val="18"/>
                <w:szCs w:val="18"/>
              </w:rPr>
              <w:t>了解销、普通平键和圆柱螺旋压缩弹簧的规定画法。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（1）复习第六章内容；</w:t>
            </w:r>
          </w:p>
          <w:p>
            <w:pPr>
              <w:adjustRightInd w:val="0"/>
              <w:snapToGrid w:val="0"/>
              <w:spacing w:line="300" w:lineRule="auto"/>
              <w:rPr>
                <w:sz w:val="18"/>
                <w:szCs w:val="18"/>
              </w:rPr>
            </w:pPr>
            <w:r>
              <w:rPr>
                <w:sz w:val="18"/>
                <w:szCs w:val="18"/>
              </w:rPr>
              <w:t>（2）完成教材第六章作业。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kern w:val="0"/>
                <w:sz w:val="18"/>
                <w:szCs w:val="18"/>
              </w:rPr>
            </w:pPr>
            <w:r>
              <w:rPr>
                <w:sz w:val="18"/>
                <w:szCs w:val="18"/>
              </w:rPr>
              <w:t>4</w:t>
            </w:r>
          </w:p>
        </w:tc>
        <w:tc>
          <w:tcPr>
            <w:tcW w:w="890" w:type="dxa"/>
            <w:vAlign w:val="center"/>
          </w:tcPr>
          <w:p>
            <w:pPr>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7</w:t>
            </w:r>
          </w:p>
        </w:tc>
        <w:tc>
          <w:tcPr>
            <w:tcW w:w="1335" w:type="dxa"/>
            <w:vAlign w:val="center"/>
          </w:tcPr>
          <w:p>
            <w:pPr>
              <w:widowControl/>
              <w:adjustRightInd w:val="0"/>
              <w:snapToGrid w:val="0"/>
              <w:spacing w:line="300" w:lineRule="auto"/>
              <w:rPr>
                <w:sz w:val="18"/>
                <w:szCs w:val="18"/>
              </w:rPr>
            </w:pPr>
            <w:r>
              <w:rPr>
                <w:sz w:val="18"/>
                <w:szCs w:val="18"/>
              </w:rPr>
              <w:t>7 零件图7.1 常用零件的结构特点及加工方法</w:t>
            </w:r>
          </w:p>
        </w:tc>
        <w:tc>
          <w:tcPr>
            <w:tcW w:w="5785" w:type="dxa"/>
            <w:vAlign w:val="center"/>
          </w:tcPr>
          <w:p>
            <w:pPr>
              <w:adjustRightInd w:val="0"/>
              <w:snapToGrid w:val="0"/>
              <w:spacing w:line="300" w:lineRule="auto"/>
              <w:rPr>
                <w:sz w:val="18"/>
                <w:szCs w:val="18"/>
              </w:rPr>
            </w:pPr>
            <w:r>
              <w:rPr>
                <w:sz w:val="18"/>
                <w:szCs w:val="18"/>
              </w:rPr>
              <w:t>1.要求</w:t>
            </w:r>
          </w:p>
          <w:p>
            <w:pPr>
              <w:numPr>
                <w:ilvl w:val="0"/>
                <w:numId w:val="11"/>
              </w:numPr>
              <w:adjustRightInd w:val="0"/>
              <w:snapToGrid w:val="0"/>
              <w:spacing w:line="300" w:lineRule="auto"/>
              <w:ind w:left="109" w:hanging="284"/>
              <w:jc w:val="left"/>
              <w:rPr>
                <w:sz w:val="18"/>
                <w:szCs w:val="18"/>
              </w:rPr>
            </w:pPr>
            <w:r>
              <w:rPr>
                <w:sz w:val="18"/>
                <w:szCs w:val="18"/>
              </w:rPr>
              <w:t>了解常用零件的结构特点及加工方法。</w:t>
            </w:r>
          </w:p>
          <w:p>
            <w:pPr>
              <w:numPr>
                <w:ilvl w:val="0"/>
                <w:numId w:val="11"/>
              </w:numPr>
              <w:adjustRightInd w:val="0"/>
              <w:snapToGrid w:val="0"/>
              <w:spacing w:line="300" w:lineRule="auto"/>
              <w:ind w:left="109" w:hanging="284"/>
              <w:jc w:val="left"/>
              <w:rPr>
                <w:sz w:val="18"/>
                <w:szCs w:val="18"/>
              </w:rPr>
            </w:pPr>
            <w:r>
              <w:rPr>
                <w:sz w:val="18"/>
                <w:szCs w:val="18"/>
              </w:rPr>
              <w:t>掌握绘制简单零件（需2－3个视图表达，零件可含有投影面垂直面）的图样的方法，视图选择合理，形状表达正确、完全，投影关系正确、图样画法符合国家标准规定。</w:t>
            </w:r>
          </w:p>
          <w:p>
            <w:pPr>
              <w:numPr>
                <w:ilvl w:val="0"/>
                <w:numId w:val="11"/>
              </w:numPr>
              <w:adjustRightInd w:val="0"/>
              <w:snapToGrid w:val="0"/>
              <w:spacing w:line="300" w:lineRule="auto"/>
              <w:ind w:left="109" w:hanging="284"/>
              <w:jc w:val="left"/>
              <w:rPr>
                <w:sz w:val="18"/>
                <w:szCs w:val="18"/>
              </w:rPr>
            </w:pPr>
            <w:r>
              <w:rPr>
                <w:sz w:val="18"/>
                <w:szCs w:val="18"/>
              </w:rPr>
              <w:t>掌握零件尺寸标注的要求，能符合国家标准、完全、清晰、基本合理地进行尺寸标注。</w:t>
            </w:r>
          </w:p>
          <w:p>
            <w:pPr>
              <w:numPr>
                <w:ilvl w:val="0"/>
                <w:numId w:val="11"/>
              </w:numPr>
              <w:adjustRightInd w:val="0"/>
              <w:snapToGrid w:val="0"/>
              <w:spacing w:line="300" w:lineRule="auto"/>
              <w:ind w:left="109" w:hanging="284"/>
              <w:jc w:val="left"/>
              <w:rPr>
                <w:sz w:val="18"/>
                <w:szCs w:val="18"/>
              </w:rPr>
            </w:pPr>
            <w:r>
              <w:rPr>
                <w:sz w:val="18"/>
                <w:szCs w:val="18"/>
              </w:rPr>
              <w:t>掌握已知的表面粗糙度、尺寸公差和形位公差的注写，符合国家标准规定。</w:t>
            </w:r>
          </w:p>
          <w:p>
            <w:pPr>
              <w:numPr>
                <w:ilvl w:val="0"/>
                <w:numId w:val="11"/>
              </w:numPr>
              <w:adjustRightInd w:val="0"/>
              <w:snapToGrid w:val="0"/>
              <w:spacing w:line="300" w:lineRule="auto"/>
              <w:ind w:left="109" w:hanging="284"/>
              <w:jc w:val="left"/>
              <w:rPr>
                <w:sz w:val="18"/>
                <w:szCs w:val="18"/>
              </w:rPr>
            </w:pPr>
            <w:r>
              <w:rPr>
                <w:sz w:val="18"/>
                <w:szCs w:val="18"/>
              </w:rPr>
              <w:t>掌握正确阅读简单零件图样的方法，做到对结构形状、尺寸、技术要求理解正确。</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（1）复习第七章内容；</w:t>
            </w:r>
          </w:p>
          <w:p>
            <w:pPr>
              <w:adjustRightInd w:val="0"/>
              <w:snapToGrid w:val="0"/>
              <w:spacing w:line="300" w:lineRule="auto"/>
              <w:rPr>
                <w:sz w:val="18"/>
                <w:szCs w:val="18"/>
              </w:rPr>
            </w:pPr>
            <w:r>
              <w:rPr>
                <w:sz w:val="18"/>
                <w:szCs w:val="18"/>
              </w:rPr>
              <w:t>（2）完成教材第七章作业。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sz w:val="18"/>
                <w:szCs w:val="18"/>
              </w:rPr>
            </w:pPr>
            <w:r>
              <w:rPr>
                <w:sz w:val="18"/>
                <w:szCs w:val="18"/>
              </w:rPr>
              <w:t>2</w:t>
            </w:r>
          </w:p>
        </w:tc>
        <w:tc>
          <w:tcPr>
            <w:tcW w:w="890" w:type="dxa"/>
            <w:vAlign w:val="center"/>
          </w:tcPr>
          <w:p>
            <w:pPr>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8</w:t>
            </w:r>
          </w:p>
        </w:tc>
        <w:tc>
          <w:tcPr>
            <w:tcW w:w="1335" w:type="dxa"/>
            <w:vAlign w:val="center"/>
          </w:tcPr>
          <w:p>
            <w:pPr>
              <w:widowControl/>
              <w:adjustRightInd w:val="0"/>
              <w:snapToGrid w:val="0"/>
              <w:spacing w:line="300" w:lineRule="auto"/>
              <w:rPr>
                <w:bCs/>
                <w:kern w:val="0"/>
                <w:sz w:val="18"/>
                <w:szCs w:val="18"/>
              </w:rPr>
            </w:pPr>
            <w:r>
              <w:rPr>
                <w:bCs/>
                <w:sz w:val="18"/>
                <w:szCs w:val="18"/>
              </w:rPr>
              <w:t>8 装配图</w:t>
            </w:r>
          </w:p>
          <w:p>
            <w:pPr>
              <w:widowControl/>
              <w:adjustRightInd w:val="0"/>
              <w:snapToGrid w:val="0"/>
              <w:spacing w:line="300" w:lineRule="auto"/>
              <w:rPr>
                <w:bCs/>
                <w:sz w:val="18"/>
                <w:szCs w:val="18"/>
              </w:rPr>
            </w:pPr>
            <w:r>
              <w:rPr>
                <w:bCs/>
                <w:sz w:val="18"/>
                <w:szCs w:val="18"/>
              </w:rPr>
              <w:t>装配图的作用与内容，正确绘制简单的装配图的方法，序号、指引线、明细栏和标题栏的正确编排、注写，阅读简单的装配图的方法，和拆画零件图的方法</w:t>
            </w:r>
          </w:p>
        </w:tc>
        <w:tc>
          <w:tcPr>
            <w:tcW w:w="5785" w:type="dxa"/>
            <w:vAlign w:val="center"/>
          </w:tcPr>
          <w:p>
            <w:pPr>
              <w:adjustRightInd w:val="0"/>
              <w:snapToGrid w:val="0"/>
              <w:spacing w:line="300" w:lineRule="auto"/>
              <w:rPr>
                <w:bCs/>
                <w:sz w:val="18"/>
                <w:szCs w:val="18"/>
              </w:rPr>
            </w:pPr>
            <w:r>
              <w:rPr>
                <w:bCs/>
                <w:sz w:val="18"/>
                <w:szCs w:val="18"/>
              </w:rPr>
              <w:t>1.要求</w:t>
            </w:r>
          </w:p>
          <w:p>
            <w:pPr>
              <w:numPr>
                <w:ilvl w:val="0"/>
                <w:numId w:val="12"/>
              </w:numPr>
              <w:tabs>
                <w:tab w:val="left" w:pos="534"/>
              </w:tabs>
              <w:adjustRightInd w:val="0"/>
              <w:snapToGrid w:val="0"/>
              <w:spacing w:line="300" w:lineRule="auto"/>
              <w:ind w:left="-4" w:leftChars="-15" w:hanging="27" w:hangingChars="15"/>
              <w:jc w:val="left"/>
              <w:rPr>
                <w:bCs/>
                <w:sz w:val="18"/>
                <w:szCs w:val="18"/>
              </w:rPr>
            </w:pPr>
            <w:r>
              <w:rPr>
                <w:bCs/>
                <w:sz w:val="18"/>
                <w:szCs w:val="18"/>
              </w:rPr>
              <w:t>了解装配图的作用与内容。</w:t>
            </w:r>
          </w:p>
          <w:p>
            <w:pPr>
              <w:numPr>
                <w:ilvl w:val="0"/>
                <w:numId w:val="12"/>
              </w:numPr>
              <w:tabs>
                <w:tab w:val="left" w:pos="534"/>
              </w:tabs>
              <w:adjustRightInd w:val="0"/>
              <w:snapToGrid w:val="0"/>
              <w:spacing w:line="300" w:lineRule="auto"/>
              <w:ind w:left="-4" w:leftChars="-15" w:hanging="27" w:hangingChars="15"/>
              <w:jc w:val="left"/>
              <w:rPr>
                <w:bCs/>
                <w:sz w:val="18"/>
                <w:szCs w:val="18"/>
              </w:rPr>
            </w:pPr>
            <w:r>
              <w:rPr>
                <w:bCs/>
                <w:sz w:val="18"/>
                <w:szCs w:val="18"/>
              </w:rPr>
              <w:t>了解正确绘制简单的装配图（含2－3个视图，装配体要有非标准零件5件左右，分布在1－2条装配线上）的方法。做到视图选择合理，部件结构和装配关系表达正确，图样画法符合国家标准规定；尺寸标注正确、清晰、基本合理、符合国家标准规定。</w:t>
            </w:r>
          </w:p>
          <w:p>
            <w:pPr>
              <w:numPr>
                <w:ilvl w:val="0"/>
                <w:numId w:val="12"/>
              </w:numPr>
              <w:tabs>
                <w:tab w:val="left" w:pos="534"/>
              </w:tabs>
              <w:adjustRightInd w:val="0"/>
              <w:snapToGrid w:val="0"/>
              <w:spacing w:line="300" w:lineRule="auto"/>
              <w:ind w:left="-4" w:leftChars="-15" w:hanging="27" w:hangingChars="15"/>
              <w:jc w:val="left"/>
              <w:rPr>
                <w:bCs/>
                <w:sz w:val="18"/>
                <w:szCs w:val="18"/>
              </w:rPr>
            </w:pPr>
            <w:r>
              <w:rPr>
                <w:bCs/>
                <w:sz w:val="18"/>
                <w:szCs w:val="18"/>
              </w:rPr>
              <w:t>了解序号、指引线、明细栏和标题栏的正确编排、注写。</w:t>
            </w:r>
          </w:p>
          <w:p>
            <w:pPr>
              <w:numPr>
                <w:ilvl w:val="0"/>
                <w:numId w:val="12"/>
              </w:numPr>
              <w:tabs>
                <w:tab w:val="left" w:pos="534"/>
              </w:tabs>
              <w:adjustRightInd w:val="0"/>
              <w:snapToGrid w:val="0"/>
              <w:spacing w:line="300" w:lineRule="auto"/>
              <w:ind w:left="-4" w:leftChars="-15" w:hanging="27" w:hangingChars="15"/>
              <w:jc w:val="left"/>
              <w:rPr>
                <w:bCs/>
                <w:sz w:val="18"/>
                <w:szCs w:val="18"/>
              </w:rPr>
            </w:pPr>
            <w:r>
              <w:rPr>
                <w:bCs/>
                <w:sz w:val="18"/>
                <w:szCs w:val="18"/>
              </w:rPr>
              <w:t>了解阅读简单的装配图的方法，做到对部件结构、工作原理、尺寸、技术要求和主要零件的主要结构形状理解正确。</w:t>
            </w:r>
          </w:p>
          <w:p>
            <w:pPr>
              <w:numPr>
                <w:ilvl w:val="0"/>
                <w:numId w:val="12"/>
              </w:numPr>
              <w:tabs>
                <w:tab w:val="left" w:pos="534"/>
              </w:tabs>
              <w:adjustRightInd w:val="0"/>
              <w:snapToGrid w:val="0"/>
              <w:spacing w:line="300" w:lineRule="auto"/>
              <w:ind w:left="-4" w:leftChars="-15" w:right="-31" w:rightChars="-15" w:hanging="27" w:hangingChars="15"/>
              <w:jc w:val="left"/>
              <w:rPr>
                <w:bCs/>
                <w:sz w:val="18"/>
                <w:szCs w:val="18"/>
              </w:rPr>
            </w:pPr>
            <w:r>
              <w:rPr>
                <w:bCs/>
                <w:sz w:val="18"/>
                <w:szCs w:val="18"/>
              </w:rPr>
              <w:t>了解拆画零件图的方法。</w:t>
            </w:r>
            <w:r>
              <w:rPr>
                <w:bCs/>
                <w:sz w:val="18"/>
                <w:szCs w:val="18"/>
              </w:rPr>
              <w:tab/>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bCs/>
                <w:sz w:val="18"/>
                <w:szCs w:val="18"/>
              </w:rPr>
            </w:pPr>
            <w:r>
              <w:rPr>
                <w:bCs/>
                <w:sz w:val="18"/>
                <w:szCs w:val="18"/>
              </w:rPr>
              <w:t>（1）复习第八章内容；</w:t>
            </w:r>
          </w:p>
          <w:p>
            <w:pPr>
              <w:adjustRightInd w:val="0"/>
              <w:snapToGrid w:val="0"/>
              <w:spacing w:line="300" w:lineRule="auto"/>
              <w:rPr>
                <w:bCs/>
                <w:sz w:val="18"/>
                <w:szCs w:val="18"/>
              </w:rPr>
            </w:pPr>
            <w:r>
              <w:rPr>
                <w:bCs/>
                <w:sz w:val="18"/>
                <w:szCs w:val="18"/>
              </w:rPr>
              <w:t>（2）完成教材第八章作业。</w:t>
            </w:r>
          </w:p>
          <w:p>
            <w:pPr>
              <w:adjustRightInd w:val="0"/>
              <w:snapToGrid w:val="0"/>
              <w:spacing w:line="300" w:lineRule="auto"/>
              <w:rPr>
                <w:bCs/>
                <w:sz w:val="18"/>
                <w:szCs w:val="18"/>
              </w:rPr>
            </w:pPr>
            <w:r>
              <w:rPr>
                <w:bCs/>
                <w:sz w:val="18"/>
                <w:szCs w:val="18"/>
              </w:rPr>
              <w:t xml:space="preserve">3.教学方法： </w:t>
            </w:r>
          </w:p>
          <w:p>
            <w:pPr>
              <w:adjustRightInd w:val="0"/>
              <w:snapToGrid w:val="0"/>
              <w:spacing w:line="300" w:lineRule="auto"/>
              <w:rPr>
                <w:bCs/>
                <w:sz w:val="18"/>
                <w:szCs w:val="18"/>
              </w:rPr>
            </w:pPr>
            <w:r>
              <w:rPr>
                <w:bCs/>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bCs/>
                <w:sz w:val="18"/>
                <w:szCs w:val="18"/>
              </w:rPr>
            </w:pPr>
            <w:r>
              <w:rPr>
                <w:bCs/>
                <w:sz w:val="18"/>
                <w:szCs w:val="18"/>
              </w:rPr>
              <w:t>2</w:t>
            </w:r>
          </w:p>
        </w:tc>
        <w:tc>
          <w:tcPr>
            <w:tcW w:w="890" w:type="dxa"/>
            <w:vAlign w:val="center"/>
          </w:tcPr>
          <w:p>
            <w:pPr>
              <w:adjustRightInd w:val="0"/>
              <w:snapToGrid w:val="0"/>
              <w:spacing w:line="300" w:lineRule="auto"/>
              <w:jc w:val="center"/>
              <w:rPr>
                <w:bCs/>
                <w:kern w:val="0"/>
                <w:sz w:val="18"/>
                <w:szCs w:val="18"/>
              </w:rPr>
            </w:pPr>
            <w:r>
              <w:rPr>
                <w:bCs/>
                <w:sz w:val="18"/>
                <w:szCs w:val="18"/>
              </w:rPr>
              <w:t>1</w:t>
            </w:r>
            <w:r>
              <w:rPr>
                <w:rFonts w:hint="eastAsia"/>
                <w:bCs/>
                <w:sz w:val="18"/>
                <w:szCs w:val="18"/>
              </w:rPr>
              <w: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9</w:t>
            </w:r>
          </w:p>
        </w:tc>
        <w:tc>
          <w:tcPr>
            <w:tcW w:w="1335" w:type="dxa"/>
            <w:vAlign w:val="center"/>
          </w:tcPr>
          <w:p>
            <w:pPr>
              <w:widowControl/>
              <w:adjustRightInd w:val="0"/>
              <w:snapToGrid w:val="0"/>
              <w:spacing w:line="300" w:lineRule="auto"/>
              <w:rPr>
                <w:bCs/>
                <w:kern w:val="0"/>
                <w:sz w:val="18"/>
                <w:szCs w:val="18"/>
              </w:rPr>
            </w:pPr>
            <w:r>
              <w:rPr>
                <w:bCs/>
                <w:sz w:val="18"/>
                <w:szCs w:val="18"/>
              </w:rPr>
              <w:t>9 计算机绘图部分</w:t>
            </w:r>
          </w:p>
          <w:p>
            <w:pPr>
              <w:adjustRightInd w:val="0"/>
              <w:snapToGrid w:val="0"/>
              <w:spacing w:line="300" w:lineRule="auto"/>
              <w:rPr>
                <w:bCs/>
                <w:sz w:val="18"/>
                <w:szCs w:val="18"/>
              </w:rPr>
            </w:pPr>
            <w:r>
              <w:rPr>
                <w:bCs/>
                <w:sz w:val="18"/>
                <w:szCs w:val="18"/>
              </w:rPr>
              <w:t>计算机绘图基本知识</w:t>
            </w:r>
          </w:p>
          <w:p>
            <w:pPr>
              <w:widowControl/>
              <w:adjustRightInd w:val="0"/>
              <w:snapToGrid w:val="0"/>
              <w:spacing w:line="300" w:lineRule="auto"/>
              <w:rPr>
                <w:bCs/>
                <w:sz w:val="18"/>
                <w:szCs w:val="18"/>
              </w:rPr>
            </w:pPr>
          </w:p>
        </w:tc>
        <w:tc>
          <w:tcPr>
            <w:tcW w:w="5785" w:type="dxa"/>
            <w:vAlign w:val="center"/>
          </w:tcPr>
          <w:p>
            <w:pPr>
              <w:adjustRightInd w:val="0"/>
              <w:snapToGrid w:val="0"/>
              <w:spacing w:line="300" w:lineRule="auto"/>
              <w:rPr>
                <w:bCs/>
                <w:sz w:val="18"/>
                <w:szCs w:val="18"/>
              </w:rPr>
            </w:pPr>
            <w:r>
              <w:rPr>
                <w:bCs/>
                <w:sz w:val="18"/>
                <w:szCs w:val="18"/>
              </w:rPr>
              <w:t>1.要求</w:t>
            </w:r>
          </w:p>
          <w:p>
            <w:pPr>
              <w:numPr>
                <w:ilvl w:val="0"/>
                <w:numId w:val="13"/>
              </w:numPr>
              <w:tabs>
                <w:tab w:val="left" w:pos="534"/>
              </w:tabs>
              <w:adjustRightInd w:val="0"/>
              <w:snapToGrid w:val="0"/>
              <w:spacing w:line="300" w:lineRule="auto"/>
              <w:ind w:left="109" w:hanging="153"/>
              <w:jc w:val="left"/>
              <w:rPr>
                <w:bCs/>
                <w:sz w:val="18"/>
                <w:szCs w:val="18"/>
              </w:rPr>
            </w:pPr>
            <w:r>
              <w:rPr>
                <w:bCs/>
                <w:sz w:val="18"/>
                <w:szCs w:val="18"/>
              </w:rPr>
              <w:t>了解计算机绘图基本知识。</w:t>
            </w:r>
          </w:p>
          <w:p>
            <w:pPr>
              <w:numPr>
                <w:ilvl w:val="0"/>
                <w:numId w:val="13"/>
              </w:numPr>
              <w:tabs>
                <w:tab w:val="left" w:pos="534"/>
              </w:tabs>
              <w:adjustRightInd w:val="0"/>
              <w:snapToGrid w:val="0"/>
              <w:spacing w:line="300" w:lineRule="auto"/>
              <w:ind w:left="109" w:hanging="153"/>
              <w:jc w:val="left"/>
              <w:rPr>
                <w:bCs/>
                <w:sz w:val="18"/>
                <w:szCs w:val="18"/>
              </w:rPr>
            </w:pPr>
            <w:r>
              <w:rPr>
                <w:bCs/>
                <w:sz w:val="18"/>
                <w:szCs w:val="18"/>
              </w:rPr>
              <w:t>熟练掌握一种计算机软件绘制中等复杂程度二维零件图和装配图的方法。</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bCs/>
                <w:sz w:val="18"/>
                <w:szCs w:val="18"/>
              </w:rPr>
            </w:pPr>
            <w:r>
              <w:rPr>
                <w:bCs/>
                <w:sz w:val="18"/>
                <w:szCs w:val="18"/>
              </w:rPr>
              <w:t>（1）复习第九章内容；</w:t>
            </w:r>
          </w:p>
          <w:p>
            <w:pPr>
              <w:adjustRightInd w:val="0"/>
              <w:snapToGrid w:val="0"/>
              <w:spacing w:line="300" w:lineRule="auto"/>
              <w:rPr>
                <w:bCs/>
                <w:sz w:val="18"/>
                <w:szCs w:val="18"/>
              </w:rPr>
            </w:pPr>
            <w:r>
              <w:rPr>
                <w:bCs/>
                <w:sz w:val="18"/>
                <w:szCs w:val="18"/>
              </w:rPr>
              <w:t>（2）完成教材第九章作业。</w:t>
            </w:r>
          </w:p>
          <w:p>
            <w:pPr>
              <w:adjustRightInd w:val="0"/>
              <w:snapToGrid w:val="0"/>
              <w:spacing w:line="300" w:lineRule="auto"/>
              <w:rPr>
                <w:bCs/>
                <w:sz w:val="18"/>
                <w:szCs w:val="18"/>
              </w:rPr>
            </w:pPr>
            <w:r>
              <w:rPr>
                <w:bCs/>
                <w:sz w:val="18"/>
                <w:szCs w:val="18"/>
              </w:rPr>
              <w:t xml:space="preserve">3.教学方法： </w:t>
            </w:r>
          </w:p>
          <w:p>
            <w:pPr>
              <w:adjustRightInd w:val="0"/>
              <w:snapToGrid w:val="0"/>
              <w:spacing w:line="300" w:lineRule="auto"/>
              <w:rPr>
                <w:bCs/>
                <w:sz w:val="18"/>
                <w:szCs w:val="18"/>
              </w:rPr>
            </w:pPr>
            <w:r>
              <w:rPr>
                <w:bCs/>
                <w:sz w:val="18"/>
                <w:szCs w:val="18"/>
              </w:rPr>
              <w:t>本课程采用理论教学的方式，以多媒体+黑板为主要教学手段开展教学。</w:t>
            </w:r>
          </w:p>
        </w:tc>
        <w:tc>
          <w:tcPr>
            <w:tcW w:w="447" w:type="dxa"/>
            <w:vAlign w:val="center"/>
          </w:tcPr>
          <w:p>
            <w:pPr>
              <w:adjustRightInd w:val="0"/>
              <w:snapToGrid w:val="0"/>
              <w:spacing w:line="300" w:lineRule="auto"/>
              <w:jc w:val="center"/>
              <w:rPr>
                <w:bCs/>
                <w:sz w:val="18"/>
                <w:szCs w:val="18"/>
              </w:rPr>
            </w:pPr>
            <w:r>
              <w:rPr>
                <w:bCs/>
                <w:kern w:val="0"/>
                <w:sz w:val="18"/>
                <w:szCs w:val="18"/>
              </w:rPr>
              <w:t>4</w:t>
            </w:r>
          </w:p>
        </w:tc>
        <w:tc>
          <w:tcPr>
            <w:tcW w:w="890" w:type="dxa"/>
            <w:vAlign w:val="center"/>
          </w:tcPr>
          <w:p>
            <w:pPr>
              <w:adjustRightInd w:val="0"/>
              <w:snapToGrid w:val="0"/>
              <w:spacing w:line="300" w:lineRule="auto"/>
              <w:jc w:val="center"/>
              <w:rPr>
                <w:bCs/>
                <w:sz w:val="18"/>
                <w:szCs w:val="18"/>
              </w:rPr>
            </w:pPr>
            <w:r>
              <w:rPr>
                <w:bCs/>
                <w:sz w:val="18"/>
                <w:szCs w:val="18"/>
              </w:rPr>
              <w:t>2</w:t>
            </w:r>
          </w:p>
        </w:tc>
      </w:tr>
    </w:tbl>
    <w:p>
      <w:pPr>
        <w:adjustRightInd w:val="0"/>
        <w:snapToGrid w:val="0"/>
        <w:spacing w:before="156" w:beforeLines="50" w:line="300" w:lineRule="auto"/>
        <w:ind w:firstLine="420" w:firstLineChars="200"/>
      </w:pPr>
      <w:r>
        <w:t>实验内容见表4所示。</w:t>
      </w:r>
    </w:p>
    <w:p>
      <w:pPr>
        <w:adjustRightInd w:val="0"/>
        <w:snapToGrid w:val="0"/>
        <w:spacing w:before="156" w:beforeLines="50" w:line="300" w:lineRule="auto"/>
        <w:jc w:val="center"/>
        <w:rPr>
          <w:b/>
          <w:bCs/>
          <w:sz w:val="18"/>
          <w:szCs w:val="18"/>
        </w:rPr>
      </w:pPr>
      <w:r>
        <w:rPr>
          <w:b/>
          <w:bCs/>
          <w:sz w:val="18"/>
          <w:szCs w:val="18"/>
        </w:rPr>
        <w:t>表4 实验安排表</w:t>
      </w:r>
    </w:p>
    <w:tbl>
      <w:tblPr>
        <w:tblStyle w:val="22"/>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741"/>
        <w:gridCol w:w="2467"/>
        <w:gridCol w:w="751"/>
        <w:gridCol w:w="755"/>
        <w:gridCol w:w="751"/>
        <w:gridCol w:w="833"/>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864" w:type="dxa"/>
            <w:vAlign w:val="center"/>
          </w:tcPr>
          <w:p>
            <w:pPr>
              <w:adjustRightInd w:val="0"/>
              <w:snapToGrid w:val="0"/>
              <w:spacing w:line="300" w:lineRule="auto"/>
              <w:rPr>
                <w:b/>
                <w:bCs/>
                <w:sz w:val="18"/>
                <w:szCs w:val="18"/>
              </w:rPr>
            </w:pPr>
            <w:r>
              <w:rPr>
                <w:b/>
                <w:bCs/>
                <w:kern w:val="0"/>
                <w:sz w:val="18"/>
                <w:szCs w:val="18"/>
              </w:rPr>
              <w:t>序号</w:t>
            </w:r>
          </w:p>
        </w:tc>
        <w:tc>
          <w:tcPr>
            <w:tcW w:w="1741" w:type="dxa"/>
            <w:vAlign w:val="center"/>
          </w:tcPr>
          <w:p>
            <w:pPr>
              <w:adjustRightInd w:val="0"/>
              <w:snapToGrid w:val="0"/>
              <w:spacing w:line="300" w:lineRule="auto"/>
              <w:jc w:val="center"/>
              <w:rPr>
                <w:b/>
                <w:bCs/>
                <w:sz w:val="18"/>
                <w:szCs w:val="18"/>
              </w:rPr>
            </w:pPr>
            <w:r>
              <w:rPr>
                <w:b/>
                <w:bCs/>
                <w:kern w:val="0"/>
                <w:sz w:val="18"/>
                <w:szCs w:val="18"/>
              </w:rPr>
              <w:t>实验项目名称</w:t>
            </w:r>
          </w:p>
        </w:tc>
        <w:tc>
          <w:tcPr>
            <w:tcW w:w="2467" w:type="dxa"/>
            <w:vAlign w:val="center"/>
          </w:tcPr>
          <w:p>
            <w:pPr>
              <w:adjustRightInd w:val="0"/>
              <w:snapToGrid w:val="0"/>
              <w:spacing w:line="300" w:lineRule="auto"/>
              <w:jc w:val="center"/>
              <w:rPr>
                <w:b/>
                <w:bCs/>
                <w:sz w:val="18"/>
                <w:szCs w:val="18"/>
              </w:rPr>
            </w:pPr>
            <w:r>
              <w:rPr>
                <w:b/>
                <w:bCs/>
                <w:kern w:val="0"/>
                <w:sz w:val="18"/>
                <w:szCs w:val="18"/>
              </w:rPr>
              <w:t>目的要求</w:t>
            </w:r>
          </w:p>
        </w:tc>
        <w:tc>
          <w:tcPr>
            <w:tcW w:w="751" w:type="dxa"/>
            <w:vAlign w:val="center"/>
          </w:tcPr>
          <w:p>
            <w:pPr>
              <w:adjustRightInd w:val="0"/>
              <w:snapToGrid w:val="0"/>
              <w:spacing w:line="300" w:lineRule="auto"/>
              <w:jc w:val="center"/>
              <w:rPr>
                <w:b/>
                <w:bCs/>
                <w:sz w:val="18"/>
                <w:szCs w:val="18"/>
              </w:rPr>
            </w:pPr>
            <w:r>
              <w:rPr>
                <w:b/>
                <w:bCs/>
                <w:kern w:val="0"/>
                <w:sz w:val="18"/>
                <w:szCs w:val="18"/>
              </w:rPr>
              <w:t>学时分配</w:t>
            </w:r>
          </w:p>
        </w:tc>
        <w:tc>
          <w:tcPr>
            <w:tcW w:w="755" w:type="dxa"/>
            <w:vAlign w:val="center"/>
          </w:tcPr>
          <w:p>
            <w:pPr>
              <w:adjustRightInd w:val="0"/>
              <w:snapToGrid w:val="0"/>
              <w:spacing w:line="300" w:lineRule="auto"/>
              <w:jc w:val="center"/>
              <w:rPr>
                <w:b/>
                <w:bCs/>
                <w:kern w:val="0"/>
                <w:sz w:val="18"/>
                <w:szCs w:val="18"/>
              </w:rPr>
            </w:pPr>
            <w:r>
              <w:rPr>
                <w:b/>
                <w:bCs/>
                <w:kern w:val="0"/>
                <w:sz w:val="18"/>
                <w:szCs w:val="18"/>
              </w:rPr>
              <w:t>实验类型</w:t>
            </w:r>
          </w:p>
        </w:tc>
        <w:tc>
          <w:tcPr>
            <w:tcW w:w="751" w:type="dxa"/>
            <w:vAlign w:val="center"/>
          </w:tcPr>
          <w:p>
            <w:pPr>
              <w:adjustRightInd w:val="0"/>
              <w:snapToGrid w:val="0"/>
              <w:spacing w:line="300" w:lineRule="auto"/>
              <w:jc w:val="center"/>
              <w:rPr>
                <w:b/>
                <w:bCs/>
                <w:kern w:val="0"/>
                <w:sz w:val="18"/>
                <w:szCs w:val="18"/>
              </w:rPr>
            </w:pPr>
            <w:r>
              <w:rPr>
                <w:b/>
                <w:bCs/>
                <w:kern w:val="0"/>
                <w:sz w:val="18"/>
                <w:szCs w:val="18"/>
              </w:rPr>
              <w:t>每组人数</w:t>
            </w:r>
          </w:p>
        </w:tc>
        <w:tc>
          <w:tcPr>
            <w:tcW w:w="833"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b/>
                <w:bCs/>
                <w:kern w:val="0"/>
                <w:sz w:val="18"/>
                <w:szCs w:val="18"/>
              </w:rPr>
            </w:pPr>
            <w:r>
              <w:rPr>
                <w:b/>
                <w:bCs/>
                <w:kern w:val="0"/>
                <w:sz w:val="18"/>
                <w:szCs w:val="18"/>
              </w:rPr>
              <w:t>选开</w:t>
            </w:r>
          </w:p>
        </w:tc>
        <w:tc>
          <w:tcPr>
            <w:tcW w:w="887" w:type="dxa"/>
            <w:vAlign w:val="center"/>
          </w:tcPr>
          <w:p>
            <w:pPr>
              <w:adjustRightInd w:val="0"/>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tcPr>
          <w:p>
            <w:pPr>
              <w:adjustRightInd w:val="0"/>
              <w:snapToGrid w:val="0"/>
              <w:spacing w:line="300" w:lineRule="auto"/>
              <w:jc w:val="center"/>
              <w:rPr>
                <w:sz w:val="18"/>
                <w:szCs w:val="18"/>
              </w:rPr>
            </w:pPr>
            <w:r>
              <w:rPr>
                <w:sz w:val="18"/>
                <w:szCs w:val="18"/>
              </w:rPr>
              <w:t>1</w:t>
            </w:r>
          </w:p>
        </w:tc>
        <w:tc>
          <w:tcPr>
            <w:tcW w:w="1741" w:type="dxa"/>
            <w:vAlign w:val="center"/>
          </w:tcPr>
          <w:p>
            <w:pPr>
              <w:adjustRightInd w:val="0"/>
              <w:snapToGrid w:val="0"/>
              <w:spacing w:line="300" w:lineRule="auto"/>
              <w:rPr>
                <w:sz w:val="18"/>
                <w:szCs w:val="18"/>
              </w:rPr>
            </w:pPr>
            <w:r>
              <w:rPr>
                <w:kern w:val="0"/>
                <w:sz w:val="18"/>
                <w:szCs w:val="18"/>
              </w:rPr>
              <w:t>零件图绘制</w:t>
            </w:r>
          </w:p>
        </w:tc>
        <w:tc>
          <w:tcPr>
            <w:tcW w:w="2467" w:type="dxa"/>
            <w:vAlign w:val="center"/>
          </w:tcPr>
          <w:p>
            <w:pPr>
              <w:adjustRightInd w:val="0"/>
              <w:snapToGrid w:val="0"/>
              <w:spacing w:line="300" w:lineRule="auto"/>
              <w:rPr>
                <w:sz w:val="18"/>
                <w:szCs w:val="18"/>
              </w:rPr>
            </w:pPr>
            <w:r>
              <w:rPr>
                <w:sz w:val="18"/>
                <w:szCs w:val="18"/>
              </w:rPr>
              <w:t>用计算机软件绘制零件图</w:t>
            </w:r>
          </w:p>
        </w:tc>
        <w:tc>
          <w:tcPr>
            <w:tcW w:w="751" w:type="dxa"/>
          </w:tcPr>
          <w:p>
            <w:pPr>
              <w:adjustRightInd w:val="0"/>
              <w:snapToGrid w:val="0"/>
              <w:spacing w:line="300" w:lineRule="auto"/>
              <w:jc w:val="center"/>
              <w:rPr>
                <w:sz w:val="18"/>
                <w:szCs w:val="18"/>
              </w:rPr>
            </w:pPr>
            <w:r>
              <w:rPr>
                <w:sz w:val="18"/>
                <w:szCs w:val="18"/>
              </w:rPr>
              <w:t>4</w:t>
            </w:r>
          </w:p>
        </w:tc>
        <w:tc>
          <w:tcPr>
            <w:tcW w:w="755" w:type="dxa"/>
            <w:vAlign w:val="center"/>
          </w:tcPr>
          <w:p>
            <w:pPr>
              <w:adjustRightInd w:val="0"/>
              <w:snapToGrid w:val="0"/>
              <w:spacing w:line="300" w:lineRule="auto"/>
              <w:jc w:val="center"/>
              <w:rPr>
                <w:sz w:val="18"/>
                <w:szCs w:val="18"/>
              </w:rPr>
            </w:pPr>
            <w:r>
              <w:rPr>
                <w:sz w:val="18"/>
                <w:szCs w:val="18"/>
              </w:rPr>
              <w:t>操作</w:t>
            </w:r>
          </w:p>
        </w:tc>
        <w:tc>
          <w:tcPr>
            <w:tcW w:w="751" w:type="dxa"/>
          </w:tcPr>
          <w:p>
            <w:pPr>
              <w:adjustRightInd w:val="0"/>
              <w:snapToGrid w:val="0"/>
              <w:spacing w:line="300" w:lineRule="auto"/>
              <w:jc w:val="center"/>
              <w:rPr>
                <w:sz w:val="18"/>
                <w:szCs w:val="18"/>
              </w:rPr>
            </w:pPr>
            <w:r>
              <w:rPr>
                <w:sz w:val="18"/>
                <w:szCs w:val="18"/>
              </w:rPr>
              <w:t>1</w:t>
            </w:r>
          </w:p>
        </w:tc>
        <w:tc>
          <w:tcPr>
            <w:tcW w:w="833" w:type="dxa"/>
          </w:tcPr>
          <w:p>
            <w:pPr>
              <w:adjustRightInd w:val="0"/>
              <w:snapToGrid w:val="0"/>
              <w:spacing w:line="300" w:lineRule="auto"/>
              <w:jc w:val="center"/>
              <w:rPr>
                <w:sz w:val="18"/>
                <w:szCs w:val="18"/>
              </w:rPr>
            </w:pPr>
            <w:r>
              <w:rPr>
                <w:sz w:val="18"/>
                <w:szCs w:val="18"/>
              </w:rPr>
              <w:t>必开</w:t>
            </w:r>
          </w:p>
        </w:tc>
        <w:tc>
          <w:tcPr>
            <w:tcW w:w="887" w:type="dxa"/>
          </w:tcPr>
          <w:p>
            <w:pPr>
              <w:adjustRightInd w:val="0"/>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4" w:type="dxa"/>
          </w:tcPr>
          <w:p>
            <w:pPr>
              <w:adjustRightInd w:val="0"/>
              <w:snapToGrid w:val="0"/>
              <w:spacing w:line="300" w:lineRule="auto"/>
              <w:jc w:val="center"/>
              <w:rPr>
                <w:sz w:val="18"/>
                <w:szCs w:val="18"/>
              </w:rPr>
            </w:pPr>
            <w:r>
              <w:rPr>
                <w:sz w:val="18"/>
                <w:szCs w:val="18"/>
              </w:rPr>
              <w:t>2</w:t>
            </w:r>
          </w:p>
        </w:tc>
        <w:tc>
          <w:tcPr>
            <w:tcW w:w="1741" w:type="dxa"/>
            <w:vAlign w:val="center"/>
          </w:tcPr>
          <w:p>
            <w:pPr>
              <w:adjustRightInd w:val="0"/>
              <w:snapToGrid w:val="0"/>
              <w:spacing w:line="300" w:lineRule="auto"/>
              <w:rPr>
                <w:sz w:val="18"/>
                <w:szCs w:val="18"/>
              </w:rPr>
            </w:pPr>
            <w:r>
              <w:rPr>
                <w:sz w:val="18"/>
                <w:szCs w:val="18"/>
              </w:rPr>
              <w:t>装配图绘制</w:t>
            </w:r>
          </w:p>
        </w:tc>
        <w:tc>
          <w:tcPr>
            <w:tcW w:w="2467" w:type="dxa"/>
            <w:vAlign w:val="center"/>
          </w:tcPr>
          <w:p>
            <w:pPr>
              <w:adjustRightInd w:val="0"/>
              <w:snapToGrid w:val="0"/>
              <w:spacing w:line="300" w:lineRule="auto"/>
              <w:rPr>
                <w:sz w:val="18"/>
                <w:szCs w:val="18"/>
              </w:rPr>
            </w:pPr>
            <w:r>
              <w:rPr>
                <w:sz w:val="18"/>
                <w:szCs w:val="18"/>
              </w:rPr>
              <w:t>用计算机软件绘制装配图</w:t>
            </w:r>
          </w:p>
        </w:tc>
        <w:tc>
          <w:tcPr>
            <w:tcW w:w="751" w:type="dxa"/>
          </w:tcPr>
          <w:p>
            <w:pPr>
              <w:adjustRightInd w:val="0"/>
              <w:snapToGrid w:val="0"/>
              <w:spacing w:line="300" w:lineRule="auto"/>
              <w:jc w:val="center"/>
              <w:rPr>
                <w:sz w:val="18"/>
                <w:szCs w:val="18"/>
              </w:rPr>
            </w:pPr>
            <w:r>
              <w:rPr>
                <w:sz w:val="18"/>
                <w:szCs w:val="18"/>
              </w:rPr>
              <w:t>4</w:t>
            </w:r>
          </w:p>
        </w:tc>
        <w:tc>
          <w:tcPr>
            <w:tcW w:w="755" w:type="dxa"/>
            <w:vAlign w:val="center"/>
          </w:tcPr>
          <w:p>
            <w:pPr>
              <w:adjustRightInd w:val="0"/>
              <w:snapToGrid w:val="0"/>
              <w:spacing w:line="300" w:lineRule="auto"/>
              <w:jc w:val="center"/>
              <w:rPr>
                <w:sz w:val="18"/>
                <w:szCs w:val="18"/>
              </w:rPr>
            </w:pPr>
            <w:r>
              <w:rPr>
                <w:sz w:val="18"/>
                <w:szCs w:val="18"/>
              </w:rPr>
              <w:t>设计</w:t>
            </w:r>
          </w:p>
        </w:tc>
        <w:tc>
          <w:tcPr>
            <w:tcW w:w="751" w:type="dxa"/>
          </w:tcPr>
          <w:p>
            <w:pPr>
              <w:adjustRightInd w:val="0"/>
              <w:snapToGrid w:val="0"/>
              <w:spacing w:line="300" w:lineRule="auto"/>
              <w:jc w:val="center"/>
              <w:rPr>
                <w:sz w:val="18"/>
                <w:szCs w:val="18"/>
              </w:rPr>
            </w:pPr>
            <w:r>
              <w:rPr>
                <w:sz w:val="18"/>
                <w:szCs w:val="18"/>
              </w:rPr>
              <w:t>1</w:t>
            </w:r>
          </w:p>
        </w:tc>
        <w:tc>
          <w:tcPr>
            <w:tcW w:w="833" w:type="dxa"/>
          </w:tcPr>
          <w:p>
            <w:pPr>
              <w:adjustRightInd w:val="0"/>
              <w:snapToGrid w:val="0"/>
              <w:spacing w:line="300" w:lineRule="auto"/>
              <w:jc w:val="center"/>
              <w:rPr>
                <w:sz w:val="18"/>
                <w:szCs w:val="18"/>
              </w:rPr>
            </w:pPr>
            <w:r>
              <w:rPr>
                <w:sz w:val="18"/>
                <w:szCs w:val="18"/>
              </w:rPr>
              <w:t>必开</w:t>
            </w:r>
          </w:p>
        </w:tc>
        <w:tc>
          <w:tcPr>
            <w:tcW w:w="887" w:type="dxa"/>
          </w:tcPr>
          <w:p>
            <w:pPr>
              <w:widowControl/>
              <w:adjustRightInd w:val="0"/>
              <w:snapToGrid w:val="0"/>
              <w:spacing w:line="300" w:lineRule="auto"/>
              <w:jc w:val="center"/>
              <w:rPr>
                <w:sz w:val="18"/>
                <w:szCs w:val="18"/>
              </w:rPr>
            </w:pPr>
            <w:r>
              <w:rPr>
                <w:sz w:val="18"/>
                <w:szCs w:val="18"/>
              </w:rPr>
              <w:t>2</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1．考核方式：闭卷笔试，平时测验及作业，实验报告。</w:t>
      </w:r>
    </w:p>
    <w:p>
      <w:pPr>
        <w:adjustRightInd w:val="0"/>
        <w:snapToGrid w:val="0"/>
        <w:spacing w:line="300" w:lineRule="auto"/>
        <w:ind w:firstLine="420" w:firstLineChars="200"/>
      </w:pPr>
      <w:r>
        <w:t>2．成绩构成：笔试成绩70%，平时成绩20%（课后作业、课堂表现、随堂测验等），实验成绩10%。</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0"/>
        <w:gridCol w:w="748"/>
        <w:gridCol w:w="729"/>
        <w:gridCol w:w="616"/>
        <w:gridCol w:w="403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51"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750" w:type="dxa"/>
            <w:vAlign w:val="center"/>
          </w:tcPr>
          <w:p>
            <w:pPr>
              <w:adjustRightInd w:val="0"/>
              <w:snapToGrid w:val="0"/>
              <w:spacing w:line="300" w:lineRule="auto"/>
              <w:jc w:val="center"/>
              <w:rPr>
                <w:b/>
                <w:bCs/>
                <w:sz w:val="18"/>
                <w:szCs w:val="18"/>
              </w:rPr>
            </w:pPr>
            <w:r>
              <w:rPr>
                <w:b/>
                <w:bCs/>
                <w:sz w:val="18"/>
                <w:szCs w:val="18"/>
              </w:rPr>
              <w:t>分值</w:t>
            </w:r>
          </w:p>
        </w:tc>
        <w:tc>
          <w:tcPr>
            <w:tcW w:w="748" w:type="dxa"/>
            <w:vAlign w:val="center"/>
          </w:tcPr>
          <w:p>
            <w:pPr>
              <w:adjustRightInd w:val="0"/>
              <w:snapToGrid w:val="0"/>
              <w:spacing w:line="300" w:lineRule="auto"/>
              <w:jc w:val="center"/>
              <w:rPr>
                <w:b/>
                <w:bCs/>
                <w:sz w:val="18"/>
                <w:szCs w:val="18"/>
              </w:rPr>
            </w:pPr>
            <w:r>
              <w:rPr>
                <w:b/>
                <w:bCs/>
                <w:sz w:val="18"/>
                <w:szCs w:val="18"/>
              </w:rPr>
              <w:t>权重</w:t>
            </w:r>
          </w:p>
        </w:tc>
        <w:tc>
          <w:tcPr>
            <w:tcW w:w="729" w:type="dxa"/>
            <w:vAlign w:val="center"/>
          </w:tcPr>
          <w:p>
            <w:pPr>
              <w:adjustRightInd w:val="0"/>
              <w:snapToGrid w:val="0"/>
              <w:spacing w:line="300" w:lineRule="auto"/>
              <w:jc w:val="center"/>
              <w:rPr>
                <w:b/>
                <w:bCs/>
                <w:sz w:val="18"/>
                <w:szCs w:val="18"/>
              </w:rPr>
            </w:pPr>
            <w:r>
              <w:rPr>
                <w:b/>
                <w:bCs/>
                <w:sz w:val="18"/>
                <w:szCs w:val="18"/>
              </w:rPr>
              <w:t>类别</w:t>
            </w:r>
          </w:p>
        </w:tc>
        <w:tc>
          <w:tcPr>
            <w:tcW w:w="616" w:type="dxa"/>
            <w:vAlign w:val="center"/>
          </w:tcPr>
          <w:p>
            <w:pPr>
              <w:adjustRightInd w:val="0"/>
              <w:snapToGrid w:val="0"/>
              <w:spacing w:line="300" w:lineRule="auto"/>
              <w:jc w:val="center"/>
              <w:rPr>
                <w:b/>
                <w:bCs/>
                <w:sz w:val="18"/>
                <w:szCs w:val="18"/>
              </w:rPr>
            </w:pPr>
            <w:r>
              <w:rPr>
                <w:b/>
                <w:bCs/>
                <w:sz w:val="18"/>
                <w:szCs w:val="18"/>
              </w:rPr>
              <w:t>权重</w:t>
            </w:r>
          </w:p>
        </w:tc>
        <w:tc>
          <w:tcPr>
            <w:tcW w:w="4037" w:type="dxa"/>
            <w:vAlign w:val="center"/>
          </w:tcPr>
          <w:p>
            <w:pPr>
              <w:adjustRightInd w:val="0"/>
              <w:snapToGrid w:val="0"/>
              <w:spacing w:line="300" w:lineRule="auto"/>
              <w:jc w:val="center"/>
              <w:rPr>
                <w:b/>
                <w:bCs/>
                <w:sz w:val="18"/>
                <w:szCs w:val="18"/>
              </w:rPr>
            </w:pPr>
            <w:r>
              <w:rPr>
                <w:b/>
                <w:bCs/>
                <w:sz w:val="18"/>
                <w:szCs w:val="18"/>
              </w:rPr>
              <w:t>考核/评价细则</w:t>
            </w:r>
          </w:p>
        </w:tc>
        <w:tc>
          <w:tcPr>
            <w:tcW w:w="1050" w:type="dxa"/>
            <w:vAlign w:val="center"/>
          </w:tcPr>
          <w:p>
            <w:pPr>
              <w:adjustRightInd w:val="0"/>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restart"/>
            <w:vAlign w:val="center"/>
          </w:tcPr>
          <w:p>
            <w:pPr>
              <w:adjustRightInd w:val="0"/>
              <w:snapToGrid w:val="0"/>
              <w:spacing w:line="300" w:lineRule="auto"/>
              <w:rPr>
                <w:sz w:val="18"/>
                <w:szCs w:val="18"/>
              </w:rPr>
            </w:pPr>
            <w:r>
              <w:rPr>
                <w:sz w:val="18"/>
                <w:szCs w:val="18"/>
              </w:rPr>
              <w:t>平时</w:t>
            </w:r>
          </w:p>
          <w:p>
            <w:pPr>
              <w:adjustRightInd w:val="0"/>
              <w:snapToGrid w:val="0"/>
              <w:spacing w:line="300" w:lineRule="auto"/>
              <w:rPr>
                <w:sz w:val="18"/>
                <w:szCs w:val="18"/>
              </w:rPr>
            </w:pPr>
            <w:r>
              <w:rPr>
                <w:sz w:val="18"/>
                <w:szCs w:val="18"/>
              </w:rPr>
              <w:t>成绩</w:t>
            </w:r>
          </w:p>
        </w:tc>
        <w:tc>
          <w:tcPr>
            <w:tcW w:w="750" w:type="dxa"/>
            <w:vMerge w:val="restart"/>
            <w:vAlign w:val="center"/>
          </w:tcPr>
          <w:p>
            <w:pPr>
              <w:adjustRightInd w:val="0"/>
              <w:snapToGrid w:val="0"/>
              <w:spacing w:line="300" w:lineRule="auto"/>
              <w:jc w:val="center"/>
              <w:rPr>
                <w:sz w:val="18"/>
                <w:szCs w:val="18"/>
              </w:rPr>
            </w:pPr>
            <w:r>
              <w:rPr>
                <w:sz w:val="18"/>
                <w:szCs w:val="18"/>
              </w:rPr>
              <w:t>100</w:t>
            </w:r>
          </w:p>
        </w:tc>
        <w:tc>
          <w:tcPr>
            <w:tcW w:w="748" w:type="dxa"/>
            <w:vMerge w:val="restart"/>
            <w:vAlign w:val="center"/>
          </w:tcPr>
          <w:p>
            <w:pPr>
              <w:adjustRightInd w:val="0"/>
              <w:snapToGrid w:val="0"/>
              <w:spacing w:line="300" w:lineRule="auto"/>
              <w:jc w:val="center"/>
              <w:rPr>
                <w:sz w:val="18"/>
                <w:szCs w:val="18"/>
              </w:rPr>
            </w:pPr>
            <w:r>
              <w:rPr>
                <w:sz w:val="18"/>
                <w:szCs w:val="18"/>
              </w:rPr>
              <w:t>0.3</w:t>
            </w:r>
          </w:p>
        </w:tc>
        <w:tc>
          <w:tcPr>
            <w:tcW w:w="729" w:type="dxa"/>
            <w:vAlign w:val="center"/>
          </w:tcPr>
          <w:p>
            <w:pPr>
              <w:adjustRightInd w:val="0"/>
              <w:snapToGrid w:val="0"/>
              <w:spacing w:line="300" w:lineRule="auto"/>
              <w:jc w:val="center"/>
              <w:rPr>
                <w:sz w:val="18"/>
                <w:szCs w:val="18"/>
              </w:rPr>
            </w:pPr>
            <w:r>
              <w:rPr>
                <w:sz w:val="18"/>
                <w:szCs w:val="18"/>
              </w:rPr>
              <w:t>课堂表现</w:t>
            </w:r>
          </w:p>
        </w:tc>
        <w:tc>
          <w:tcPr>
            <w:tcW w:w="616" w:type="dxa"/>
            <w:vAlign w:val="center"/>
          </w:tcPr>
          <w:p>
            <w:pPr>
              <w:adjustRightInd w:val="0"/>
              <w:snapToGrid w:val="0"/>
              <w:spacing w:line="300" w:lineRule="auto"/>
              <w:jc w:val="center"/>
              <w:rPr>
                <w:sz w:val="18"/>
                <w:szCs w:val="18"/>
              </w:rPr>
            </w:pPr>
            <w:r>
              <w:rPr>
                <w:sz w:val="18"/>
                <w:szCs w:val="18"/>
              </w:rPr>
              <w:t>0.1</w:t>
            </w:r>
          </w:p>
        </w:tc>
        <w:tc>
          <w:tcPr>
            <w:tcW w:w="4037" w:type="dxa"/>
            <w:vAlign w:val="center"/>
          </w:tcPr>
          <w:p>
            <w:pPr>
              <w:adjustRightInd w:val="0"/>
              <w:snapToGrid w:val="0"/>
              <w:spacing w:line="300" w:lineRule="auto"/>
              <w:rPr>
                <w:sz w:val="18"/>
                <w:szCs w:val="18"/>
              </w:rPr>
            </w:pPr>
            <w:r>
              <w:rPr>
                <w:sz w:val="18"/>
                <w:szCs w:val="18"/>
              </w:rPr>
              <w:t>根据学生课堂表现打分，满分100。</w:t>
            </w:r>
          </w:p>
        </w:tc>
        <w:tc>
          <w:tcPr>
            <w:tcW w:w="1050"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1" w:type="dxa"/>
            <w:vMerge w:val="continue"/>
            <w:vAlign w:val="center"/>
          </w:tcPr>
          <w:p>
            <w:pPr>
              <w:adjustRightInd w:val="0"/>
              <w:snapToGrid w:val="0"/>
              <w:spacing w:line="300" w:lineRule="auto"/>
              <w:rPr>
                <w:sz w:val="18"/>
                <w:szCs w:val="18"/>
              </w:rPr>
            </w:pPr>
          </w:p>
        </w:tc>
        <w:tc>
          <w:tcPr>
            <w:tcW w:w="750" w:type="dxa"/>
            <w:vMerge w:val="continue"/>
            <w:vAlign w:val="center"/>
          </w:tcPr>
          <w:p>
            <w:pPr>
              <w:adjustRightInd w:val="0"/>
              <w:snapToGrid w:val="0"/>
              <w:spacing w:line="300" w:lineRule="auto"/>
              <w:jc w:val="center"/>
              <w:rPr>
                <w:sz w:val="18"/>
                <w:szCs w:val="18"/>
              </w:rPr>
            </w:pPr>
          </w:p>
        </w:tc>
        <w:tc>
          <w:tcPr>
            <w:tcW w:w="748" w:type="dxa"/>
            <w:vMerge w:val="continue"/>
            <w:vAlign w:val="center"/>
          </w:tcPr>
          <w:p>
            <w:pPr>
              <w:adjustRightInd w:val="0"/>
              <w:snapToGrid w:val="0"/>
              <w:spacing w:line="300" w:lineRule="auto"/>
              <w:jc w:val="center"/>
              <w:rPr>
                <w:sz w:val="18"/>
                <w:szCs w:val="18"/>
              </w:rPr>
            </w:pPr>
          </w:p>
        </w:tc>
        <w:tc>
          <w:tcPr>
            <w:tcW w:w="729" w:type="dxa"/>
            <w:vAlign w:val="center"/>
          </w:tcPr>
          <w:p>
            <w:pPr>
              <w:adjustRightInd w:val="0"/>
              <w:snapToGrid w:val="0"/>
              <w:spacing w:line="300" w:lineRule="auto"/>
              <w:jc w:val="center"/>
              <w:rPr>
                <w:sz w:val="18"/>
                <w:szCs w:val="18"/>
              </w:rPr>
            </w:pPr>
            <w:r>
              <w:rPr>
                <w:sz w:val="18"/>
                <w:szCs w:val="18"/>
              </w:rPr>
              <w:t>作业</w:t>
            </w:r>
          </w:p>
        </w:tc>
        <w:tc>
          <w:tcPr>
            <w:tcW w:w="616" w:type="dxa"/>
            <w:vAlign w:val="center"/>
          </w:tcPr>
          <w:p>
            <w:pPr>
              <w:adjustRightInd w:val="0"/>
              <w:snapToGrid w:val="0"/>
              <w:spacing w:line="300" w:lineRule="auto"/>
              <w:jc w:val="center"/>
              <w:rPr>
                <w:sz w:val="18"/>
                <w:szCs w:val="18"/>
              </w:rPr>
            </w:pPr>
            <w:r>
              <w:rPr>
                <w:sz w:val="18"/>
                <w:szCs w:val="18"/>
              </w:rPr>
              <w:t>0.3</w:t>
            </w:r>
          </w:p>
        </w:tc>
        <w:tc>
          <w:tcPr>
            <w:tcW w:w="4037" w:type="dxa"/>
            <w:vAlign w:val="center"/>
          </w:tcPr>
          <w:p>
            <w:pPr>
              <w:adjustRightInd w:val="0"/>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1050" w:type="dxa"/>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pPr>
              <w:adjustRightInd w:val="0"/>
              <w:snapToGrid w:val="0"/>
              <w:spacing w:line="300" w:lineRule="auto"/>
              <w:rPr>
                <w:sz w:val="18"/>
                <w:szCs w:val="18"/>
              </w:rPr>
            </w:pPr>
          </w:p>
        </w:tc>
        <w:tc>
          <w:tcPr>
            <w:tcW w:w="750" w:type="dxa"/>
            <w:vMerge w:val="continue"/>
            <w:vAlign w:val="center"/>
          </w:tcPr>
          <w:p>
            <w:pPr>
              <w:adjustRightInd w:val="0"/>
              <w:snapToGrid w:val="0"/>
              <w:spacing w:line="300" w:lineRule="auto"/>
              <w:jc w:val="center"/>
              <w:rPr>
                <w:sz w:val="18"/>
                <w:szCs w:val="18"/>
              </w:rPr>
            </w:pPr>
          </w:p>
        </w:tc>
        <w:tc>
          <w:tcPr>
            <w:tcW w:w="748" w:type="dxa"/>
            <w:vMerge w:val="continue"/>
            <w:vAlign w:val="center"/>
          </w:tcPr>
          <w:p>
            <w:pPr>
              <w:adjustRightInd w:val="0"/>
              <w:snapToGrid w:val="0"/>
              <w:spacing w:line="300" w:lineRule="auto"/>
              <w:jc w:val="center"/>
              <w:rPr>
                <w:sz w:val="18"/>
                <w:szCs w:val="18"/>
              </w:rPr>
            </w:pPr>
          </w:p>
        </w:tc>
        <w:tc>
          <w:tcPr>
            <w:tcW w:w="729" w:type="dxa"/>
            <w:vAlign w:val="center"/>
          </w:tcPr>
          <w:p>
            <w:pPr>
              <w:adjustRightInd w:val="0"/>
              <w:snapToGrid w:val="0"/>
              <w:spacing w:line="300" w:lineRule="auto"/>
              <w:jc w:val="center"/>
              <w:rPr>
                <w:sz w:val="18"/>
                <w:szCs w:val="18"/>
              </w:rPr>
            </w:pPr>
            <w:r>
              <w:rPr>
                <w:sz w:val="18"/>
                <w:szCs w:val="18"/>
              </w:rPr>
              <w:t>实验</w:t>
            </w:r>
          </w:p>
        </w:tc>
        <w:tc>
          <w:tcPr>
            <w:tcW w:w="616" w:type="dxa"/>
            <w:vAlign w:val="center"/>
          </w:tcPr>
          <w:p>
            <w:pPr>
              <w:adjustRightInd w:val="0"/>
              <w:snapToGrid w:val="0"/>
              <w:spacing w:line="300" w:lineRule="auto"/>
              <w:jc w:val="center"/>
              <w:rPr>
                <w:sz w:val="18"/>
                <w:szCs w:val="18"/>
              </w:rPr>
            </w:pPr>
            <w:r>
              <w:rPr>
                <w:sz w:val="18"/>
                <w:szCs w:val="18"/>
              </w:rPr>
              <w:t>0.3</w:t>
            </w:r>
          </w:p>
        </w:tc>
        <w:tc>
          <w:tcPr>
            <w:tcW w:w="4037" w:type="dxa"/>
            <w:vAlign w:val="center"/>
          </w:tcPr>
          <w:p>
            <w:pPr>
              <w:adjustRightInd w:val="0"/>
              <w:snapToGrid w:val="0"/>
              <w:spacing w:line="300" w:lineRule="auto"/>
              <w:jc w:val="left"/>
              <w:rPr>
                <w:sz w:val="18"/>
                <w:szCs w:val="18"/>
              </w:rPr>
            </w:pPr>
            <w:r>
              <w:rPr>
                <w:sz w:val="18"/>
                <w:szCs w:val="18"/>
              </w:rPr>
              <w:t>根据实验完成质量，以及实验报告质量评分，满分100分</w:t>
            </w:r>
          </w:p>
        </w:tc>
        <w:tc>
          <w:tcPr>
            <w:tcW w:w="1050" w:type="dxa"/>
            <w:vAlign w:val="center"/>
          </w:tcPr>
          <w:p>
            <w:pPr>
              <w:adjustRightInd w:val="0"/>
              <w:snapToGrid w:val="0"/>
              <w:spacing w:line="300" w:lineRule="auto"/>
              <w:jc w:val="center"/>
              <w:rPr>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pPr>
              <w:adjustRightInd w:val="0"/>
              <w:snapToGrid w:val="0"/>
              <w:spacing w:line="300" w:lineRule="auto"/>
              <w:rPr>
                <w:sz w:val="18"/>
                <w:szCs w:val="18"/>
              </w:rPr>
            </w:pPr>
          </w:p>
        </w:tc>
        <w:tc>
          <w:tcPr>
            <w:tcW w:w="750" w:type="dxa"/>
            <w:vMerge w:val="continue"/>
            <w:vAlign w:val="center"/>
          </w:tcPr>
          <w:p>
            <w:pPr>
              <w:adjustRightInd w:val="0"/>
              <w:snapToGrid w:val="0"/>
              <w:spacing w:line="300" w:lineRule="auto"/>
              <w:jc w:val="center"/>
              <w:rPr>
                <w:sz w:val="18"/>
                <w:szCs w:val="18"/>
              </w:rPr>
            </w:pPr>
          </w:p>
        </w:tc>
        <w:tc>
          <w:tcPr>
            <w:tcW w:w="748" w:type="dxa"/>
            <w:vMerge w:val="continue"/>
            <w:vAlign w:val="center"/>
          </w:tcPr>
          <w:p>
            <w:pPr>
              <w:adjustRightInd w:val="0"/>
              <w:snapToGrid w:val="0"/>
              <w:spacing w:line="300" w:lineRule="auto"/>
              <w:jc w:val="center"/>
              <w:rPr>
                <w:sz w:val="18"/>
                <w:szCs w:val="18"/>
              </w:rPr>
            </w:pPr>
          </w:p>
        </w:tc>
        <w:tc>
          <w:tcPr>
            <w:tcW w:w="729" w:type="dxa"/>
            <w:vAlign w:val="center"/>
          </w:tcPr>
          <w:p>
            <w:pPr>
              <w:adjustRightInd w:val="0"/>
              <w:snapToGrid w:val="0"/>
              <w:spacing w:line="300" w:lineRule="auto"/>
              <w:jc w:val="center"/>
              <w:rPr>
                <w:sz w:val="18"/>
                <w:szCs w:val="18"/>
              </w:rPr>
            </w:pPr>
            <w:r>
              <w:rPr>
                <w:sz w:val="18"/>
                <w:szCs w:val="18"/>
              </w:rPr>
              <w:t>平时测验</w:t>
            </w:r>
          </w:p>
        </w:tc>
        <w:tc>
          <w:tcPr>
            <w:tcW w:w="616" w:type="dxa"/>
            <w:vAlign w:val="center"/>
          </w:tcPr>
          <w:p>
            <w:pPr>
              <w:adjustRightInd w:val="0"/>
              <w:snapToGrid w:val="0"/>
              <w:spacing w:line="300" w:lineRule="auto"/>
              <w:jc w:val="center"/>
              <w:rPr>
                <w:sz w:val="18"/>
                <w:szCs w:val="18"/>
              </w:rPr>
            </w:pPr>
            <w:r>
              <w:rPr>
                <w:sz w:val="18"/>
                <w:szCs w:val="18"/>
              </w:rPr>
              <w:t>0.2</w:t>
            </w:r>
          </w:p>
        </w:tc>
        <w:tc>
          <w:tcPr>
            <w:tcW w:w="4037" w:type="dxa"/>
            <w:vAlign w:val="center"/>
          </w:tcPr>
          <w:p>
            <w:pPr>
              <w:adjustRightInd w:val="0"/>
              <w:snapToGrid w:val="0"/>
              <w:spacing w:line="300" w:lineRule="auto"/>
              <w:jc w:val="left"/>
              <w:rPr>
                <w:sz w:val="18"/>
                <w:szCs w:val="18"/>
              </w:rPr>
            </w:pPr>
            <w:r>
              <w:rPr>
                <w:sz w:val="18"/>
                <w:szCs w:val="18"/>
              </w:rPr>
              <w:t>做两三次平时测验，每次满分100分。</w:t>
            </w:r>
          </w:p>
        </w:tc>
        <w:tc>
          <w:tcPr>
            <w:tcW w:w="1050" w:type="dxa"/>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1" w:type="dxa"/>
            <w:vMerge w:val="continue"/>
            <w:vAlign w:val="center"/>
          </w:tcPr>
          <w:p>
            <w:pPr>
              <w:adjustRightInd w:val="0"/>
              <w:snapToGrid w:val="0"/>
              <w:spacing w:line="300" w:lineRule="auto"/>
              <w:rPr>
                <w:sz w:val="18"/>
                <w:szCs w:val="18"/>
              </w:rPr>
            </w:pPr>
          </w:p>
        </w:tc>
        <w:tc>
          <w:tcPr>
            <w:tcW w:w="750" w:type="dxa"/>
            <w:vMerge w:val="continue"/>
            <w:vAlign w:val="center"/>
          </w:tcPr>
          <w:p>
            <w:pPr>
              <w:adjustRightInd w:val="0"/>
              <w:snapToGrid w:val="0"/>
              <w:spacing w:line="300" w:lineRule="auto"/>
              <w:jc w:val="center"/>
              <w:rPr>
                <w:sz w:val="18"/>
                <w:szCs w:val="18"/>
              </w:rPr>
            </w:pPr>
          </w:p>
        </w:tc>
        <w:tc>
          <w:tcPr>
            <w:tcW w:w="748" w:type="dxa"/>
            <w:vMerge w:val="continue"/>
            <w:vAlign w:val="center"/>
          </w:tcPr>
          <w:p>
            <w:pPr>
              <w:adjustRightInd w:val="0"/>
              <w:snapToGrid w:val="0"/>
              <w:spacing w:line="300" w:lineRule="auto"/>
              <w:jc w:val="center"/>
              <w:rPr>
                <w:sz w:val="18"/>
                <w:szCs w:val="18"/>
              </w:rPr>
            </w:pPr>
          </w:p>
        </w:tc>
        <w:tc>
          <w:tcPr>
            <w:tcW w:w="729" w:type="dxa"/>
            <w:vAlign w:val="center"/>
          </w:tcPr>
          <w:p>
            <w:pPr>
              <w:adjustRightInd w:val="0"/>
              <w:snapToGrid w:val="0"/>
              <w:spacing w:line="300" w:lineRule="auto"/>
              <w:jc w:val="center"/>
              <w:rPr>
                <w:sz w:val="18"/>
                <w:szCs w:val="18"/>
              </w:rPr>
            </w:pPr>
            <w:r>
              <w:rPr>
                <w:sz w:val="18"/>
                <w:szCs w:val="18"/>
              </w:rPr>
              <w:t>项目研究</w:t>
            </w:r>
          </w:p>
        </w:tc>
        <w:tc>
          <w:tcPr>
            <w:tcW w:w="616" w:type="dxa"/>
            <w:vAlign w:val="center"/>
          </w:tcPr>
          <w:p>
            <w:pPr>
              <w:adjustRightInd w:val="0"/>
              <w:snapToGrid w:val="0"/>
              <w:spacing w:line="300" w:lineRule="auto"/>
              <w:jc w:val="center"/>
              <w:rPr>
                <w:sz w:val="18"/>
                <w:szCs w:val="18"/>
              </w:rPr>
            </w:pPr>
            <w:r>
              <w:rPr>
                <w:sz w:val="18"/>
                <w:szCs w:val="18"/>
              </w:rPr>
              <w:t>0.1</w:t>
            </w:r>
          </w:p>
        </w:tc>
        <w:tc>
          <w:tcPr>
            <w:tcW w:w="4037" w:type="dxa"/>
            <w:vAlign w:val="center"/>
          </w:tcPr>
          <w:p>
            <w:pPr>
              <w:adjustRightInd w:val="0"/>
              <w:snapToGrid w:val="0"/>
              <w:spacing w:line="300" w:lineRule="auto"/>
              <w:jc w:val="left"/>
              <w:rPr>
                <w:sz w:val="18"/>
                <w:szCs w:val="18"/>
              </w:rPr>
            </w:pPr>
            <w:r>
              <w:rPr>
                <w:sz w:val="18"/>
                <w:szCs w:val="18"/>
              </w:rPr>
              <w:t>以小组为单位选题，并撰写报告，设计PPT，最高分100分</w:t>
            </w:r>
          </w:p>
        </w:tc>
        <w:tc>
          <w:tcPr>
            <w:tcW w:w="1050" w:type="dxa"/>
            <w:vAlign w:val="center"/>
          </w:tcPr>
          <w:p>
            <w:pPr>
              <w:adjustRightInd w:val="0"/>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51" w:type="dxa"/>
            <w:vAlign w:val="center"/>
          </w:tcPr>
          <w:p>
            <w:pPr>
              <w:adjustRightInd w:val="0"/>
              <w:snapToGrid w:val="0"/>
              <w:spacing w:line="300" w:lineRule="auto"/>
              <w:rPr>
                <w:sz w:val="18"/>
                <w:szCs w:val="18"/>
              </w:rPr>
            </w:pPr>
            <w:r>
              <w:rPr>
                <w:sz w:val="18"/>
                <w:szCs w:val="18"/>
              </w:rPr>
              <w:t>期末</w:t>
            </w:r>
          </w:p>
          <w:p>
            <w:pPr>
              <w:adjustRightInd w:val="0"/>
              <w:snapToGrid w:val="0"/>
              <w:spacing w:line="300" w:lineRule="auto"/>
              <w:rPr>
                <w:sz w:val="18"/>
                <w:szCs w:val="18"/>
              </w:rPr>
            </w:pPr>
            <w:r>
              <w:rPr>
                <w:sz w:val="18"/>
                <w:szCs w:val="18"/>
              </w:rPr>
              <w:t>考试</w:t>
            </w:r>
          </w:p>
          <w:p>
            <w:pPr>
              <w:adjustRightInd w:val="0"/>
              <w:snapToGrid w:val="0"/>
              <w:spacing w:line="300" w:lineRule="auto"/>
              <w:rPr>
                <w:sz w:val="18"/>
                <w:szCs w:val="18"/>
              </w:rPr>
            </w:pPr>
            <w:r>
              <w:rPr>
                <w:sz w:val="18"/>
                <w:szCs w:val="18"/>
              </w:rPr>
              <w:t>成绩</w:t>
            </w:r>
          </w:p>
        </w:tc>
        <w:tc>
          <w:tcPr>
            <w:tcW w:w="750" w:type="dxa"/>
            <w:vAlign w:val="center"/>
          </w:tcPr>
          <w:p>
            <w:pPr>
              <w:adjustRightInd w:val="0"/>
              <w:snapToGrid w:val="0"/>
              <w:spacing w:line="300" w:lineRule="auto"/>
              <w:jc w:val="center"/>
              <w:rPr>
                <w:sz w:val="18"/>
                <w:szCs w:val="18"/>
              </w:rPr>
            </w:pPr>
            <w:r>
              <w:rPr>
                <w:sz w:val="18"/>
                <w:szCs w:val="18"/>
              </w:rPr>
              <w:t>100</w:t>
            </w:r>
          </w:p>
        </w:tc>
        <w:tc>
          <w:tcPr>
            <w:tcW w:w="748" w:type="dxa"/>
            <w:vAlign w:val="center"/>
          </w:tcPr>
          <w:p>
            <w:pPr>
              <w:adjustRightInd w:val="0"/>
              <w:snapToGrid w:val="0"/>
              <w:spacing w:line="300" w:lineRule="auto"/>
              <w:jc w:val="center"/>
              <w:rPr>
                <w:sz w:val="18"/>
                <w:szCs w:val="18"/>
              </w:rPr>
            </w:pPr>
            <w:r>
              <w:rPr>
                <w:sz w:val="18"/>
                <w:szCs w:val="18"/>
              </w:rPr>
              <w:t>0.7</w:t>
            </w:r>
          </w:p>
        </w:tc>
        <w:tc>
          <w:tcPr>
            <w:tcW w:w="729" w:type="dxa"/>
            <w:vAlign w:val="center"/>
          </w:tcPr>
          <w:p>
            <w:pPr>
              <w:adjustRightInd w:val="0"/>
              <w:snapToGrid w:val="0"/>
              <w:spacing w:line="300" w:lineRule="auto"/>
              <w:jc w:val="left"/>
              <w:rPr>
                <w:sz w:val="18"/>
                <w:szCs w:val="18"/>
              </w:rPr>
            </w:pPr>
            <w:r>
              <w:rPr>
                <w:sz w:val="18"/>
                <w:szCs w:val="18"/>
              </w:rPr>
              <w:t>闭卷考试</w:t>
            </w:r>
          </w:p>
        </w:tc>
        <w:tc>
          <w:tcPr>
            <w:tcW w:w="616" w:type="dxa"/>
            <w:vAlign w:val="center"/>
          </w:tcPr>
          <w:p>
            <w:pPr>
              <w:adjustRightInd w:val="0"/>
              <w:snapToGrid w:val="0"/>
              <w:spacing w:line="300" w:lineRule="auto"/>
              <w:ind w:firstLine="180" w:firstLineChars="100"/>
              <w:rPr>
                <w:sz w:val="18"/>
                <w:szCs w:val="18"/>
              </w:rPr>
            </w:pPr>
            <w:r>
              <w:rPr>
                <w:sz w:val="18"/>
                <w:szCs w:val="18"/>
              </w:rPr>
              <w:t>1</w:t>
            </w:r>
          </w:p>
        </w:tc>
        <w:tc>
          <w:tcPr>
            <w:tcW w:w="4037" w:type="dxa"/>
            <w:vAlign w:val="center"/>
          </w:tcPr>
          <w:p>
            <w:pPr>
              <w:adjustRightInd w:val="0"/>
              <w:snapToGrid w:val="0"/>
              <w:spacing w:line="300" w:lineRule="auto"/>
              <w:rPr>
                <w:sz w:val="18"/>
                <w:szCs w:val="18"/>
              </w:rPr>
            </w:pPr>
            <w:r>
              <w:rPr>
                <w:sz w:val="18"/>
                <w:szCs w:val="18"/>
              </w:rPr>
              <w:t>(1)卷面成绩100分。卷面成绩按比例计入课程总评成绩</w:t>
            </w:r>
          </w:p>
          <w:p>
            <w:pPr>
              <w:adjustRightInd w:val="0"/>
              <w:snapToGrid w:val="0"/>
              <w:spacing w:line="300" w:lineRule="auto"/>
              <w:rPr>
                <w:sz w:val="18"/>
                <w:szCs w:val="18"/>
              </w:rPr>
            </w:pPr>
            <w:r>
              <w:rPr>
                <w:sz w:val="18"/>
                <w:szCs w:val="18"/>
              </w:rPr>
              <w:t>(2)考核内容包括： 第1-8章</w:t>
            </w:r>
          </w:p>
          <w:p>
            <w:pPr>
              <w:adjustRightInd w:val="0"/>
              <w:snapToGrid w:val="0"/>
              <w:spacing w:line="300" w:lineRule="auto"/>
              <w:rPr>
                <w:sz w:val="18"/>
                <w:szCs w:val="18"/>
              </w:rPr>
            </w:pPr>
            <w:r>
              <w:rPr>
                <w:sz w:val="18"/>
                <w:szCs w:val="18"/>
              </w:rPr>
              <w:t>(3)建议考试题型包括：选择题、填空题、分析判断、画图题、分析题等其中某几种题型</w:t>
            </w:r>
          </w:p>
        </w:tc>
        <w:tc>
          <w:tcPr>
            <w:tcW w:w="1050" w:type="dxa"/>
            <w:vAlign w:val="center"/>
          </w:tcPr>
          <w:p>
            <w:pPr>
              <w:adjustRightInd w:val="0"/>
              <w:snapToGrid w:val="0"/>
              <w:spacing w:line="300" w:lineRule="auto"/>
              <w:jc w:val="center"/>
              <w:rPr>
                <w:sz w:val="18"/>
                <w:szCs w:val="18"/>
              </w:rPr>
            </w:pPr>
            <w:r>
              <w:rPr>
                <w:sz w:val="18"/>
                <w:szCs w:val="18"/>
              </w:rPr>
              <w:t>1，2</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047"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047" DrawAspect="Content" ObjectID="_1468075747" r:id="rId53">
            <o:LockedField>false</o:LockedField>
          </o:OLEObject>
        </w:object>
      </w:r>
    </w:p>
    <w:p>
      <w:pPr>
        <w:adjustRightInd w:val="0"/>
        <w:snapToGrid w:val="0"/>
        <w:spacing w:line="300" w:lineRule="auto"/>
        <w:ind w:firstLine="420" w:firstLineChars="200"/>
      </w:pPr>
      <w:r>
        <w:t>课程总目标达成情况为5个课程目标的加权得分率，其计算公式为：</w:t>
      </w:r>
    </w:p>
    <w:p>
      <w:pPr>
        <w:adjustRightInd w:val="0"/>
        <w:snapToGrid w:val="0"/>
        <w:spacing w:line="300" w:lineRule="auto"/>
        <w:jc w:val="center"/>
      </w:pPr>
      <w:r>
        <w:t xml:space="preserve"> </w:t>
      </w:r>
      <w:r>
        <w:object>
          <v:shape id="_x0000_i1048"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048" DrawAspect="Content" ObjectID="_1468075748" r:id="rId54">
            <o:LockedField>false</o:LockedField>
          </o:OLEObject>
        </w:object>
      </w:r>
    </w:p>
    <w:p>
      <w:pPr>
        <w:adjustRightInd w:val="0"/>
        <w:snapToGrid w:val="0"/>
        <w:spacing w:line="300" w:lineRule="auto"/>
      </w:pPr>
      <w:r>
        <w:t>其中权重系数按照表6设定。</w:t>
      </w:r>
    </w:p>
    <w:p>
      <w:pPr>
        <w:adjustRightInd w:val="0"/>
        <w:snapToGrid w:val="0"/>
        <w:spacing w:before="156" w:beforeLines="50" w:line="300" w:lineRule="auto"/>
        <w:jc w:val="center"/>
        <w:rPr>
          <w:b/>
          <w:bCs/>
          <w:sz w:val="18"/>
          <w:szCs w:val="18"/>
        </w:rPr>
      </w:pPr>
      <w:r>
        <w:rPr>
          <w:b/>
          <w:bCs/>
          <w:sz w:val="18"/>
          <w:szCs w:val="18"/>
        </w:rPr>
        <w:t>表6课程目标权重系数</w:t>
      </w:r>
    </w:p>
    <w:tbl>
      <w:tblPr>
        <w:tblStyle w:val="22"/>
        <w:tblW w:w="4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7"/>
        <w:gridCol w:w="1303"/>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237" w:type="dxa"/>
            <w:vAlign w:val="center"/>
          </w:tcPr>
          <w:p>
            <w:pPr>
              <w:adjustRightInd w:val="0"/>
              <w:snapToGrid w:val="0"/>
              <w:spacing w:line="300" w:lineRule="auto"/>
              <w:jc w:val="center"/>
              <w:rPr>
                <w:b/>
                <w:bCs/>
                <w:sz w:val="18"/>
                <w:szCs w:val="18"/>
              </w:rPr>
            </w:pPr>
            <w:r>
              <w:rPr>
                <w:b/>
                <w:bCs/>
                <w:sz w:val="18"/>
                <w:szCs w:val="18"/>
              </w:rPr>
              <w:t>课程目标</w:t>
            </w:r>
          </w:p>
        </w:tc>
        <w:tc>
          <w:tcPr>
            <w:tcW w:w="1303" w:type="dxa"/>
            <w:vAlign w:val="center"/>
          </w:tcPr>
          <w:p>
            <w:pPr>
              <w:adjustRightInd w:val="0"/>
              <w:snapToGrid w:val="0"/>
              <w:spacing w:line="300" w:lineRule="auto"/>
              <w:jc w:val="center"/>
              <w:rPr>
                <w:sz w:val="18"/>
                <w:szCs w:val="18"/>
              </w:rPr>
            </w:pPr>
            <w:r>
              <w:rPr>
                <w:sz w:val="18"/>
                <w:szCs w:val="18"/>
              </w:rPr>
              <w:t>1</w:t>
            </w:r>
          </w:p>
        </w:tc>
        <w:tc>
          <w:tcPr>
            <w:tcW w:w="1545" w:type="dxa"/>
            <w:vAlign w:val="center"/>
          </w:tcPr>
          <w:p>
            <w:pPr>
              <w:adjustRightInd w:val="0"/>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237" w:type="dxa"/>
            <w:vAlign w:val="center"/>
          </w:tcPr>
          <w:p>
            <w:pPr>
              <w:adjustRightInd w:val="0"/>
              <w:snapToGrid w:val="0"/>
              <w:spacing w:line="300" w:lineRule="auto"/>
              <w:jc w:val="center"/>
              <w:rPr>
                <w:b/>
                <w:bCs/>
                <w:sz w:val="18"/>
                <w:szCs w:val="18"/>
              </w:rPr>
            </w:pPr>
            <w:r>
              <w:rPr>
                <w:b/>
                <w:bCs/>
                <w:sz w:val="18"/>
                <w:szCs w:val="18"/>
              </w:rPr>
              <w:t>权重系数</w:t>
            </w:r>
          </w:p>
        </w:tc>
        <w:tc>
          <w:tcPr>
            <w:tcW w:w="1303" w:type="dxa"/>
            <w:vAlign w:val="center"/>
          </w:tcPr>
          <w:p>
            <w:pPr>
              <w:adjustRightInd w:val="0"/>
              <w:snapToGrid w:val="0"/>
              <w:spacing w:line="300" w:lineRule="auto"/>
              <w:jc w:val="center"/>
              <w:rPr>
                <w:sz w:val="18"/>
                <w:szCs w:val="18"/>
              </w:rPr>
            </w:pPr>
            <w:r>
              <w:rPr>
                <w:sz w:val="18"/>
                <w:szCs w:val="18"/>
              </w:rPr>
              <w:t>0.5</w:t>
            </w:r>
          </w:p>
        </w:tc>
        <w:tc>
          <w:tcPr>
            <w:tcW w:w="1545" w:type="dxa"/>
            <w:vAlign w:val="center"/>
          </w:tcPr>
          <w:p>
            <w:pPr>
              <w:adjustRightInd w:val="0"/>
              <w:snapToGrid w:val="0"/>
              <w:spacing w:line="300" w:lineRule="auto"/>
              <w:jc w:val="center"/>
              <w:rPr>
                <w:sz w:val="18"/>
                <w:szCs w:val="18"/>
              </w:rPr>
            </w:pPr>
            <w:r>
              <w:rPr>
                <w:sz w:val="18"/>
                <w:szCs w:val="18"/>
              </w:rPr>
              <w:t>0.5</w:t>
            </w:r>
          </w:p>
        </w:tc>
      </w:tr>
    </w:tbl>
    <w:p>
      <w:pPr>
        <w:adjustRightInd w:val="0"/>
        <w:snapToGrid w:val="0"/>
        <w:spacing w:line="300" w:lineRule="auto"/>
        <w:ind w:firstLine="420" w:firstLineChars="200"/>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049" o:spt="75" type="#_x0000_t75" style="height:18.75pt;width:283.5pt;" o:ole="t" filled="f" o:preferrelative="t" stroked="f" coordsize="21600,21600">
            <v:path/>
            <v:fill on="f" focussize="0,0"/>
            <v:stroke on="f" joinstyle="miter"/>
            <v:imagedata r:id="rId40" o:title=""/>
            <o:lock v:ext="edit" aspectratio="t"/>
            <w10:wrap type="none"/>
            <w10:anchorlock/>
          </v:shape>
          <o:OLEObject Type="Embed" ProgID="Equation.3" ShapeID="_x0000_i1049" DrawAspect="Content" ObjectID="_1468075749" r:id="rId55">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szCs w:val="21"/>
        </w:rPr>
        <w:t>[1] 刘力.机械制图[M].北京：高等教育出版社，2004.</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napToGrid w:val="0"/>
          <w:szCs w:val="21"/>
        </w:rPr>
        <w:t>[2] 管殿柱.AutoCAD2004机械工程绘图教程[M].北京：机械工业出版社，2004</w:t>
      </w:r>
      <w:r>
        <w:rPr>
          <w:rFonts w:ascii="Times New Roman" w:hAnsi="Times New Roman" w:eastAsia="宋体" w:cs="Times New Roman"/>
        </w:rPr>
        <w:t>.</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8217" w:type="dxa"/>
            <w:shd w:val="clear" w:color="auto" w:fill="auto"/>
          </w:tcPr>
          <w:p>
            <w:pPr>
              <w:tabs>
                <w:tab w:val="left" w:pos="3132"/>
                <w:tab w:val="right" w:pos="7801"/>
              </w:tabs>
              <w:snapToGrid w:val="0"/>
              <w:spacing w:line="300" w:lineRule="auto"/>
              <w:ind w:right="200"/>
              <w:jc w:val="left"/>
              <w:rPr>
                <w:rFonts w:ascii="Times New Roman" w:hAnsi="Times New Roman" w:eastAsia="宋体" w:cs="Times New Roman"/>
                <w:kern w:val="0"/>
                <w:sz w:val="20"/>
                <w:szCs w:val="21"/>
              </w:rPr>
            </w:pPr>
            <w:r>
              <w:rPr>
                <w:rFonts w:ascii="Times New Roman" w:hAnsi="Times New Roman" w:eastAsia="宋体" w:cs="Times New Roman"/>
                <w:kern w:val="0"/>
                <w:sz w:val="20"/>
                <w:szCs w:val="21"/>
              </w:rPr>
              <w:tab/>
            </w:r>
            <w:r>
              <w:rPr>
                <w:rFonts w:ascii="Times New Roman" w:hAnsi="Times New Roman" w:eastAsia="宋体" w:cs="Times New Roman"/>
                <w:kern w:val="0"/>
                <w:sz w:val="20"/>
                <w:szCs w:val="21"/>
              </w:rPr>
              <w:tab/>
            </w: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p>
            <w:pPr>
              <w:tabs>
                <w:tab w:val="left" w:pos="3132"/>
                <w:tab w:val="right" w:pos="7801"/>
              </w:tabs>
              <w:snapToGrid w:val="0"/>
              <w:spacing w:line="300" w:lineRule="auto"/>
              <w:ind w:right="200"/>
              <w:jc w:val="left"/>
              <w:rPr>
                <w:rFonts w:ascii="Times New Roman" w:hAnsi="Times New Roman" w:eastAsia="宋体" w:cs="Times New Roman"/>
                <w:kern w:val="0"/>
                <w:sz w:val="20"/>
                <w:szCs w:val="21"/>
              </w:rPr>
            </w:pPr>
          </w:p>
        </w:tc>
      </w:tr>
    </w:tbl>
    <w:p>
      <w:pPr>
        <w:widowControl/>
        <w:jc w:val="left"/>
        <w:rPr>
          <w:rFonts w:ascii="Times New Roman" w:hAnsi="Times New Roman" w:eastAsia="等线" w:cs="Times New Roman"/>
          <w:b/>
          <w:sz w:val="32"/>
        </w:rPr>
      </w:pPr>
    </w:p>
    <w:p>
      <w:pPr>
        <w:widowControl/>
        <w:jc w:val="left"/>
        <w:rPr>
          <w:rFonts w:ascii="Times New Roman" w:hAnsi="Times New Roman" w:eastAsia="等线" w:cs="Times New Roman"/>
          <w:b/>
          <w:sz w:val="32"/>
        </w:rPr>
      </w:pPr>
      <w:r>
        <w:rPr>
          <w:rFonts w:ascii="Times New Roman" w:hAnsi="Times New Roman" w:eastAsia="等线" w:cs="Times New Roman"/>
          <w:b/>
          <w:sz w:val="32"/>
        </w:rPr>
        <w:br w:type="page"/>
      </w:r>
    </w:p>
    <w:p>
      <w:pPr>
        <w:snapToGrid w:val="0"/>
        <w:spacing w:before="156" w:beforeLines="50" w:after="156" w:afterLines="50" w:line="300" w:lineRule="auto"/>
        <w:jc w:val="center"/>
        <w:outlineLvl w:val="2"/>
        <w:rPr>
          <w:b/>
          <w:sz w:val="32"/>
          <w:szCs w:val="32"/>
        </w:rPr>
      </w:pPr>
      <w:bookmarkStart w:id="43" w:name="_Toc29881"/>
      <w:r>
        <w:rPr>
          <w:b/>
          <w:sz w:val="32"/>
          <w:szCs w:val="32"/>
        </w:rPr>
        <w:t>33441601《大数据与云计算技术》课程教学大纲</w:t>
      </w:r>
      <w:bookmarkEnd w:id="43"/>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676"/>
        <w:gridCol w:w="1278"/>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87" w:type="dxa"/>
            <w:vAlign w:val="center"/>
          </w:tcPr>
          <w:p>
            <w:pPr>
              <w:jc w:val="center"/>
              <w:rPr>
                <w:kern w:val="0"/>
                <w:szCs w:val="21"/>
              </w:rPr>
            </w:pPr>
            <w:r>
              <w:rPr>
                <w:kern w:val="0"/>
                <w:szCs w:val="21"/>
              </w:rPr>
              <w:t>课程编号</w:t>
            </w:r>
          </w:p>
        </w:tc>
        <w:tc>
          <w:tcPr>
            <w:tcW w:w="2676" w:type="dxa"/>
            <w:vAlign w:val="center"/>
          </w:tcPr>
          <w:p>
            <w:pPr>
              <w:widowControl/>
              <w:jc w:val="center"/>
              <w:rPr>
                <w:kern w:val="0"/>
                <w:szCs w:val="21"/>
              </w:rPr>
            </w:pPr>
            <w:r>
              <w:rPr>
                <w:rFonts w:hint="eastAsia"/>
                <w:kern w:val="0"/>
                <w:szCs w:val="21"/>
              </w:rPr>
              <w:t>33441601</w:t>
            </w:r>
          </w:p>
        </w:tc>
        <w:tc>
          <w:tcPr>
            <w:tcW w:w="1278" w:type="dxa"/>
            <w:vAlign w:val="center"/>
          </w:tcPr>
          <w:p>
            <w:pPr>
              <w:widowControl/>
              <w:jc w:val="center"/>
              <w:rPr>
                <w:kern w:val="0"/>
                <w:szCs w:val="21"/>
              </w:rPr>
            </w:pPr>
            <w:r>
              <w:rPr>
                <w:kern w:val="0"/>
                <w:szCs w:val="21"/>
              </w:rPr>
              <w:t>课程名称</w:t>
            </w:r>
          </w:p>
        </w:tc>
        <w:tc>
          <w:tcPr>
            <w:tcW w:w="3055" w:type="dxa"/>
            <w:vAlign w:val="center"/>
          </w:tcPr>
          <w:p>
            <w:pPr>
              <w:widowControl/>
              <w:jc w:val="center"/>
              <w:rPr>
                <w:kern w:val="0"/>
                <w:szCs w:val="21"/>
              </w:rPr>
            </w:pPr>
            <w:r>
              <w:rPr>
                <w:rFonts w:hint="eastAsia"/>
                <w:kern w:val="0"/>
                <w:szCs w:val="21"/>
              </w:rPr>
              <w:t>大数据</w:t>
            </w:r>
            <w:r>
              <w:rPr>
                <w:kern w:val="0"/>
                <w:szCs w:val="21"/>
              </w:rPr>
              <w:t>与</w:t>
            </w:r>
            <w:r>
              <w:rPr>
                <w:rFonts w:hint="eastAsia"/>
                <w:kern w:val="0"/>
                <w:szCs w:val="21"/>
              </w:rPr>
              <w:t>云计算</w:t>
            </w:r>
            <w:r>
              <w:rPr>
                <w:kern w:val="0"/>
                <w:szCs w:val="21"/>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87" w:type="dxa"/>
            <w:vAlign w:val="center"/>
          </w:tcPr>
          <w:p>
            <w:pPr>
              <w:jc w:val="center"/>
              <w:rPr>
                <w:kern w:val="0"/>
                <w:szCs w:val="21"/>
              </w:rPr>
            </w:pPr>
            <w:r>
              <w:rPr>
                <w:kern w:val="0"/>
                <w:szCs w:val="21"/>
              </w:rPr>
              <w:t>课程性质</w:t>
            </w:r>
            <w:r>
              <w:rPr>
                <w:kern w:val="0"/>
                <w:sz w:val="20"/>
                <w:szCs w:val="20"/>
              </w:rPr>
              <w:t>*</w:t>
            </w:r>
          </w:p>
        </w:tc>
        <w:tc>
          <w:tcPr>
            <w:tcW w:w="2676" w:type="dxa"/>
            <w:vAlign w:val="center"/>
          </w:tcPr>
          <w:p>
            <w:pPr>
              <w:widowControl/>
              <w:jc w:val="center"/>
              <w:rPr>
                <w:kern w:val="0"/>
                <w:szCs w:val="21"/>
              </w:rPr>
            </w:pPr>
            <w:r>
              <w:rPr>
                <w:rFonts w:hint="eastAsia"/>
                <w:szCs w:val="21"/>
              </w:rPr>
              <w:t>专业类</w:t>
            </w:r>
          </w:p>
        </w:tc>
        <w:tc>
          <w:tcPr>
            <w:tcW w:w="1278" w:type="dxa"/>
            <w:vAlign w:val="center"/>
          </w:tcPr>
          <w:p>
            <w:pPr>
              <w:widowControl/>
              <w:jc w:val="center"/>
              <w:rPr>
                <w:kern w:val="0"/>
                <w:szCs w:val="21"/>
              </w:rPr>
            </w:pPr>
            <w:r>
              <w:rPr>
                <w:kern w:val="0"/>
                <w:szCs w:val="21"/>
              </w:rPr>
              <w:t>英文名称</w:t>
            </w:r>
          </w:p>
        </w:tc>
        <w:tc>
          <w:tcPr>
            <w:tcW w:w="3055" w:type="dxa"/>
            <w:vAlign w:val="center"/>
          </w:tcPr>
          <w:p>
            <w:pPr>
              <w:widowControl/>
              <w:jc w:val="center"/>
              <w:rPr>
                <w:kern w:val="0"/>
                <w:szCs w:val="21"/>
              </w:rPr>
            </w:pPr>
            <w:r>
              <w:rPr>
                <w:kern w:val="0"/>
                <w:szCs w:val="21"/>
              </w:rPr>
              <w:t xml:space="preserve">Big </w:t>
            </w:r>
            <w:r>
              <w:rPr>
                <w:rFonts w:hint="eastAsia"/>
                <w:kern w:val="0"/>
                <w:szCs w:val="21"/>
              </w:rPr>
              <w:t>D</w:t>
            </w:r>
            <w:r>
              <w:rPr>
                <w:kern w:val="0"/>
                <w:szCs w:val="21"/>
              </w:rPr>
              <w:t xml:space="preserve">ata and </w:t>
            </w:r>
            <w:r>
              <w:rPr>
                <w:rFonts w:hint="eastAsia"/>
                <w:kern w:val="0"/>
                <w:szCs w:val="21"/>
              </w:rPr>
              <w:t>C</w:t>
            </w:r>
            <w:r>
              <w:rPr>
                <w:kern w:val="0"/>
                <w:szCs w:val="21"/>
              </w:rPr>
              <w:t xml:space="preserve">loud </w:t>
            </w:r>
            <w:r>
              <w:rPr>
                <w:rFonts w:hint="eastAsia"/>
                <w:kern w:val="0"/>
                <w:szCs w:val="21"/>
              </w:rPr>
              <w:t>C</w:t>
            </w:r>
            <w:r>
              <w:rPr>
                <w:kern w:val="0"/>
                <w:szCs w:val="21"/>
              </w:rPr>
              <w:t xml:space="preserve">omputing </w:t>
            </w:r>
            <w:r>
              <w:rPr>
                <w:rFonts w:hint="eastAsia"/>
                <w:kern w:val="0"/>
                <w:szCs w:val="21"/>
              </w:rPr>
              <w:t>T</w:t>
            </w:r>
            <w:r>
              <w:rPr>
                <w:kern w:val="0"/>
                <w:szCs w:val="21"/>
              </w:rPr>
              <w: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87" w:type="dxa"/>
            <w:vAlign w:val="center"/>
          </w:tcPr>
          <w:p>
            <w:pPr>
              <w:jc w:val="center"/>
              <w:rPr>
                <w:kern w:val="0"/>
                <w:szCs w:val="21"/>
              </w:rPr>
            </w:pPr>
            <w:r>
              <w:rPr>
                <w:kern w:val="0"/>
                <w:szCs w:val="21"/>
              </w:rPr>
              <w:t>学分学时</w:t>
            </w:r>
          </w:p>
        </w:tc>
        <w:tc>
          <w:tcPr>
            <w:tcW w:w="2676" w:type="dxa"/>
            <w:vAlign w:val="center"/>
          </w:tcPr>
          <w:p>
            <w:pPr>
              <w:widowControl/>
              <w:jc w:val="center"/>
              <w:rPr>
                <w:kern w:val="0"/>
                <w:szCs w:val="21"/>
              </w:rPr>
            </w:pPr>
            <w:r>
              <w:rPr>
                <w:kern w:val="0"/>
                <w:szCs w:val="21"/>
              </w:rPr>
              <w:t>2.</w:t>
            </w:r>
            <w:r>
              <w:rPr>
                <w:rFonts w:hint="eastAsia"/>
                <w:kern w:val="0"/>
                <w:szCs w:val="21"/>
              </w:rPr>
              <w:t>0</w:t>
            </w:r>
            <w:r>
              <w:rPr>
                <w:kern w:val="0"/>
                <w:szCs w:val="21"/>
              </w:rPr>
              <w:t xml:space="preserve"> :26（</w:t>
            </w:r>
            <w:r>
              <w:rPr>
                <w:rFonts w:hint="eastAsia"/>
                <w:kern w:val="0"/>
                <w:szCs w:val="21"/>
              </w:rPr>
              <w:t>6</w:t>
            </w:r>
            <w:r>
              <w:rPr>
                <w:kern w:val="0"/>
                <w:szCs w:val="21"/>
              </w:rPr>
              <w:t>）</w:t>
            </w:r>
          </w:p>
        </w:tc>
        <w:tc>
          <w:tcPr>
            <w:tcW w:w="1278" w:type="dxa"/>
            <w:vAlign w:val="center"/>
          </w:tcPr>
          <w:p>
            <w:pPr>
              <w:jc w:val="center"/>
              <w:rPr>
                <w:kern w:val="0"/>
                <w:szCs w:val="21"/>
                <w:highlight w:val="yellow"/>
              </w:rPr>
            </w:pPr>
            <w:r>
              <w:rPr>
                <w:kern w:val="0"/>
                <w:szCs w:val="21"/>
              </w:rPr>
              <w:t>任课教师</w:t>
            </w:r>
          </w:p>
        </w:tc>
        <w:tc>
          <w:tcPr>
            <w:tcW w:w="3055" w:type="dxa"/>
            <w:vAlign w:val="center"/>
          </w:tcPr>
          <w:p>
            <w:pPr>
              <w:widowControl/>
              <w:jc w:val="center"/>
              <w:rPr>
                <w:kern w:val="0"/>
                <w:szCs w:val="21"/>
              </w:rPr>
            </w:pPr>
            <w:r>
              <w:rPr>
                <w:kern w:val="0"/>
                <w:szCs w:val="21"/>
              </w:rPr>
              <w:t>彭银桥、郭晓云、王峰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87" w:type="dxa"/>
            <w:vAlign w:val="center"/>
          </w:tcPr>
          <w:p>
            <w:pPr>
              <w:jc w:val="center"/>
              <w:rPr>
                <w:bCs/>
                <w:kern w:val="0"/>
                <w:szCs w:val="21"/>
              </w:rPr>
            </w:pPr>
            <w:r>
              <w:rPr>
                <w:bCs/>
                <w:kern w:val="0"/>
                <w:szCs w:val="21"/>
              </w:rPr>
              <w:t>企业专家</w:t>
            </w:r>
          </w:p>
        </w:tc>
        <w:tc>
          <w:tcPr>
            <w:tcW w:w="2676" w:type="dxa"/>
            <w:vAlign w:val="center"/>
          </w:tcPr>
          <w:p>
            <w:pPr>
              <w:widowControl/>
              <w:jc w:val="center"/>
              <w:rPr>
                <w:kern w:val="0"/>
                <w:szCs w:val="21"/>
              </w:rPr>
            </w:pPr>
            <w:r>
              <w:rPr>
                <w:kern w:val="0"/>
                <w:szCs w:val="21"/>
              </w:rPr>
              <w:t>曾耿滨</w:t>
            </w:r>
          </w:p>
        </w:tc>
        <w:tc>
          <w:tcPr>
            <w:tcW w:w="1278" w:type="dxa"/>
            <w:vAlign w:val="center"/>
          </w:tcPr>
          <w:p>
            <w:pPr>
              <w:jc w:val="center"/>
              <w:rPr>
                <w:bCs/>
                <w:kern w:val="0"/>
                <w:szCs w:val="21"/>
              </w:rPr>
            </w:pPr>
            <w:r>
              <w:rPr>
                <w:bCs/>
                <w:kern w:val="0"/>
                <w:szCs w:val="21"/>
              </w:rPr>
              <w:t>行业专家</w:t>
            </w:r>
          </w:p>
        </w:tc>
        <w:tc>
          <w:tcPr>
            <w:tcW w:w="305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87" w:type="dxa"/>
            <w:vAlign w:val="center"/>
          </w:tcPr>
          <w:p>
            <w:pPr>
              <w:widowControl/>
              <w:jc w:val="center"/>
              <w:rPr>
                <w:bCs/>
                <w:kern w:val="0"/>
                <w:szCs w:val="21"/>
              </w:rPr>
            </w:pPr>
            <w:r>
              <w:rPr>
                <w:bCs/>
                <w:kern w:val="0"/>
                <w:szCs w:val="21"/>
              </w:rPr>
              <w:t>执笔教师</w:t>
            </w:r>
          </w:p>
        </w:tc>
        <w:tc>
          <w:tcPr>
            <w:tcW w:w="2676" w:type="dxa"/>
            <w:vAlign w:val="center"/>
          </w:tcPr>
          <w:p>
            <w:pPr>
              <w:widowControl/>
              <w:jc w:val="center"/>
              <w:rPr>
                <w:kern w:val="0"/>
                <w:szCs w:val="21"/>
              </w:rPr>
            </w:pPr>
            <w:r>
              <w:rPr>
                <w:kern w:val="0"/>
                <w:szCs w:val="21"/>
              </w:rPr>
              <w:t>彭银桥</w:t>
            </w:r>
          </w:p>
        </w:tc>
        <w:tc>
          <w:tcPr>
            <w:tcW w:w="1278" w:type="dxa"/>
            <w:vAlign w:val="center"/>
          </w:tcPr>
          <w:p>
            <w:pPr>
              <w:widowControl/>
              <w:jc w:val="center"/>
              <w:rPr>
                <w:bCs/>
                <w:kern w:val="0"/>
                <w:szCs w:val="21"/>
              </w:rPr>
            </w:pPr>
            <w:r>
              <w:rPr>
                <w:bCs/>
                <w:kern w:val="0"/>
                <w:szCs w:val="21"/>
              </w:rPr>
              <w:t>责任教授</w:t>
            </w:r>
          </w:p>
        </w:tc>
        <w:tc>
          <w:tcPr>
            <w:tcW w:w="305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87" w:type="dxa"/>
            <w:vAlign w:val="center"/>
          </w:tcPr>
          <w:p>
            <w:pPr>
              <w:widowControl/>
              <w:jc w:val="center"/>
              <w:rPr>
                <w:bCs/>
                <w:kern w:val="0"/>
                <w:szCs w:val="21"/>
              </w:rPr>
            </w:pPr>
            <w:r>
              <w:rPr>
                <w:bCs/>
                <w:kern w:val="0"/>
                <w:szCs w:val="21"/>
              </w:rPr>
              <w:t>适用专业</w:t>
            </w:r>
          </w:p>
        </w:tc>
        <w:tc>
          <w:tcPr>
            <w:tcW w:w="2676" w:type="dxa"/>
            <w:vAlign w:val="center"/>
          </w:tcPr>
          <w:p>
            <w:pPr>
              <w:widowControl/>
              <w:jc w:val="center"/>
              <w:rPr>
                <w:kern w:val="0"/>
                <w:szCs w:val="21"/>
              </w:rPr>
            </w:pPr>
            <w:r>
              <w:rPr>
                <w:kern w:val="0"/>
                <w:szCs w:val="21"/>
              </w:rPr>
              <w:t>电子信息工程</w:t>
            </w:r>
          </w:p>
        </w:tc>
        <w:tc>
          <w:tcPr>
            <w:tcW w:w="1278" w:type="dxa"/>
            <w:vAlign w:val="center"/>
          </w:tcPr>
          <w:p>
            <w:pPr>
              <w:widowControl/>
              <w:jc w:val="center"/>
              <w:rPr>
                <w:bCs/>
                <w:kern w:val="0"/>
                <w:szCs w:val="21"/>
              </w:rPr>
            </w:pPr>
            <w:r>
              <w:rPr>
                <w:bCs/>
                <w:kern w:val="0"/>
                <w:szCs w:val="21"/>
              </w:rPr>
              <w:t>适用对象</w:t>
            </w:r>
          </w:p>
        </w:tc>
        <w:tc>
          <w:tcPr>
            <w:tcW w:w="305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87" w:type="dxa"/>
            <w:vAlign w:val="center"/>
          </w:tcPr>
          <w:p>
            <w:pPr>
              <w:jc w:val="center"/>
              <w:rPr>
                <w:b/>
                <w:kern w:val="0"/>
                <w:szCs w:val="21"/>
              </w:rPr>
            </w:pPr>
            <w:r>
              <w:rPr>
                <w:kern w:val="0"/>
                <w:szCs w:val="21"/>
              </w:rPr>
              <w:t>先修课程</w:t>
            </w:r>
          </w:p>
        </w:tc>
        <w:tc>
          <w:tcPr>
            <w:tcW w:w="2676" w:type="dxa"/>
            <w:vAlign w:val="center"/>
          </w:tcPr>
          <w:p>
            <w:pPr>
              <w:widowControl/>
              <w:jc w:val="center"/>
              <w:rPr>
                <w:kern w:val="0"/>
                <w:szCs w:val="21"/>
              </w:rPr>
            </w:pPr>
            <w:r>
              <w:rPr>
                <w:rFonts w:hint="eastAsia"/>
                <w:kern w:val="0"/>
                <w:szCs w:val="21"/>
              </w:rPr>
              <w:t>无</w:t>
            </w:r>
          </w:p>
        </w:tc>
        <w:tc>
          <w:tcPr>
            <w:tcW w:w="1278" w:type="dxa"/>
            <w:vAlign w:val="center"/>
          </w:tcPr>
          <w:p>
            <w:pPr>
              <w:snapToGrid w:val="0"/>
              <w:spacing w:line="300" w:lineRule="auto"/>
              <w:jc w:val="center"/>
              <w:rPr>
                <w:b/>
                <w:kern w:val="0"/>
                <w:szCs w:val="21"/>
              </w:rPr>
            </w:pPr>
            <w:r>
              <w:rPr>
                <w:kern w:val="0"/>
                <w:szCs w:val="21"/>
              </w:rPr>
              <w:t>同修课程</w:t>
            </w:r>
          </w:p>
        </w:tc>
        <w:tc>
          <w:tcPr>
            <w:tcW w:w="305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87" w:type="dxa"/>
            <w:vAlign w:val="center"/>
          </w:tcPr>
          <w:p>
            <w:pPr>
              <w:jc w:val="center"/>
              <w:rPr>
                <w:kern w:val="0"/>
                <w:szCs w:val="21"/>
              </w:rPr>
            </w:pPr>
            <w:r>
              <w:rPr>
                <w:kern w:val="0"/>
                <w:szCs w:val="21"/>
              </w:rPr>
              <w:t>排斥课程</w:t>
            </w:r>
          </w:p>
        </w:tc>
        <w:tc>
          <w:tcPr>
            <w:tcW w:w="2676" w:type="dxa"/>
            <w:vAlign w:val="center"/>
          </w:tcPr>
          <w:p>
            <w:pPr>
              <w:widowControl/>
              <w:jc w:val="center"/>
              <w:rPr>
                <w:kern w:val="0"/>
                <w:szCs w:val="21"/>
              </w:rPr>
            </w:pPr>
            <w:r>
              <w:rPr>
                <w:kern w:val="0"/>
                <w:szCs w:val="21"/>
              </w:rPr>
              <w:t>无</w:t>
            </w:r>
          </w:p>
        </w:tc>
        <w:tc>
          <w:tcPr>
            <w:tcW w:w="1278" w:type="dxa"/>
            <w:vAlign w:val="center"/>
          </w:tcPr>
          <w:p>
            <w:pPr>
              <w:snapToGrid w:val="0"/>
              <w:spacing w:line="300" w:lineRule="auto"/>
              <w:jc w:val="center"/>
              <w:rPr>
                <w:kern w:val="0"/>
                <w:szCs w:val="21"/>
              </w:rPr>
            </w:pPr>
            <w:r>
              <w:rPr>
                <w:kern w:val="0"/>
                <w:szCs w:val="21"/>
              </w:rPr>
              <w:t>定稿日期</w:t>
            </w:r>
          </w:p>
        </w:tc>
        <w:tc>
          <w:tcPr>
            <w:tcW w:w="305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numPr>
          <w:ilvl w:val="0"/>
          <w:numId w:val="14"/>
        </w:numPr>
        <w:adjustRightInd w:val="0"/>
        <w:snapToGrid w:val="0"/>
        <w:spacing w:before="156" w:beforeLines="50" w:after="156" w:afterLines="50" w:line="300" w:lineRule="auto"/>
        <w:rPr>
          <w:b/>
          <w:sz w:val="24"/>
          <w:szCs w:val="22"/>
        </w:rPr>
      </w:pPr>
      <w:r>
        <w:rPr>
          <w:b/>
          <w:sz w:val="24"/>
          <w:szCs w:val="22"/>
        </w:rPr>
        <w:t>课程简介</w:t>
      </w:r>
    </w:p>
    <w:p>
      <w:pPr>
        <w:spacing w:line="300" w:lineRule="auto"/>
        <w:ind w:right="4" w:firstLine="420"/>
        <w:rPr>
          <w:szCs w:val="21"/>
        </w:rPr>
      </w:pPr>
      <w:r>
        <w:rPr>
          <w:rFonts w:hint="eastAsia"/>
          <w:szCs w:val="21"/>
        </w:rPr>
        <w:t>课程讲授大数据与</w:t>
      </w:r>
      <w:r>
        <w:rPr>
          <w:szCs w:val="21"/>
        </w:rPr>
        <w:t>云计算技术的发展， 以及</w:t>
      </w:r>
      <w:r>
        <w:rPr>
          <w:rFonts w:hint="eastAsia"/>
          <w:szCs w:val="21"/>
        </w:rPr>
        <w:t>大数据与</w:t>
      </w:r>
      <w:r>
        <w:rPr>
          <w:szCs w:val="21"/>
        </w:rPr>
        <w:t>云计算概念、技术、架构的基本原理和实践。内容涵盖</w:t>
      </w:r>
      <w:r>
        <w:rPr>
          <w:rFonts w:hint="eastAsia"/>
          <w:szCs w:val="21"/>
        </w:rPr>
        <w:t>大数据与</w:t>
      </w:r>
      <w:r>
        <w:rPr>
          <w:szCs w:val="21"/>
        </w:rPr>
        <w:t>云计算的基本原理及关键技术，包括云计算与大数据相关</w:t>
      </w:r>
      <w:r>
        <w:rPr>
          <w:rFonts w:hint="eastAsia"/>
          <w:szCs w:val="21"/>
        </w:rPr>
        <w:t>的GFS</w:t>
      </w:r>
      <w:r>
        <w:rPr>
          <w:szCs w:val="21"/>
        </w:rPr>
        <w:t>、Hadoop、HPCC、Storm、数据中心技术和云计算大数据仿真等关键技术。在介绍</w:t>
      </w:r>
      <w:r>
        <w:rPr>
          <w:rFonts w:hint="eastAsia"/>
          <w:szCs w:val="21"/>
        </w:rPr>
        <w:t>大数据与</w:t>
      </w:r>
      <w:r>
        <w:rPr>
          <w:szCs w:val="21"/>
        </w:rPr>
        <w:t>云计算技术的同时，向学生充分展示中国文化与现代成就， 增强学生对中国特色社会主义核心价值观的认同。</w:t>
      </w:r>
    </w:p>
    <w:p>
      <w:pPr>
        <w:adjustRightInd w:val="0"/>
        <w:snapToGrid w:val="0"/>
        <w:spacing w:before="156" w:beforeLines="50" w:after="156" w:afterLines="50" w:line="300" w:lineRule="auto"/>
        <w:rPr>
          <w:b/>
          <w:sz w:val="24"/>
          <w:szCs w:val="22"/>
        </w:rPr>
      </w:pPr>
      <w:r>
        <w:rPr>
          <w:b/>
          <w:sz w:val="24"/>
          <w:szCs w:val="22"/>
        </w:rPr>
        <w:t>二、课程教学目标</w:t>
      </w:r>
    </w:p>
    <w:p>
      <w:pPr>
        <w:widowControl/>
        <w:adjustRightInd w:val="0"/>
        <w:snapToGrid w:val="0"/>
        <w:spacing w:line="300" w:lineRule="auto"/>
        <w:ind w:firstLine="420"/>
        <w:rPr>
          <w:rFonts w:ascii="宋体" w:hAnsi="宋体" w:cs="宋体"/>
          <w:szCs w:val="21"/>
        </w:rPr>
      </w:pPr>
      <w:r>
        <w:rPr>
          <w:rFonts w:ascii="宋体" w:hAnsi="宋体" w:cs="宋体"/>
          <w:szCs w:val="21"/>
        </w:rPr>
        <w:t>通过本课程的学习，使学生</w:t>
      </w:r>
      <w:r>
        <w:rPr>
          <w:rFonts w:hint="eastAsia" w:ascii="宋体" w:hAnsi="宋体" w:cs="宋体"/>
          <w:szCs w:val="21"/>
        </w:rPr>
        <w:t>理解</w:t>
      </w:r>
      <w:r>
        <w:rPr>
          <w:rFonts w:ascii="宋体" w:hAnsi="宋体" w:cs="宋体"/>
          <w:szCs w:val="21"/>
        </w:rPr>
        <w:t>大数据处理和云计算的相关原理和技术</w:t>
      </w:r>
      <w:r>
        <w:rPr>
          <w:rFonts w:hint="eastAsia" w:ascii="宋体" w:hAnsi="宋体" w:cs="宋体"/>
          <w:szCs w:val="21"/>
        </w:rPr>
        <w:t>，掌握</w:t>
      </w:r>
      <w:r>
        <w:rPr>
          <w:rFonts w:ascii="宋体" w:hAnsi="宋体" w:cs="宋体"/>
          <w:szCs w:val="21"/>
        </w:rPr>
        <w:t>大数据的采集、传输、处理和应用的技术</w:t>
      </w:r>
      <w:r>
        <w:rPr>
          <w:rFonts w:hint="eastAsia" w:ascii="宋体" w:hAnsi="宋体" w:cs="宋体"/>
          <w:szCs w:val="21"/>
        </w:rPr>
        <w:t>；</w:t>
      </w:r>
      <w:r>
        <w:rPr>
          <w:rFonts w:ascii="宋体" w:hAnsi="宋体" w:cs="宋体"/>
          <w:szCs w:val="21"/>
        </w:rPr>
        <w:t xml:space="preserve">掌握HDFS 和MapReduce </w:t>
      </w:r>
      <w:r>
        <w:rPr>
          <w:rFonts w:hint="eastAsia" w:ascii="宋体" w:hAnsi="宋体" w:cs="宋体"/>
          <w:szCs w:val="21"/>
        </w:rPr>
        <w:t>、</w:t>
      </w:r>
      <w:r>
        <w:rPr>
          <w:rFonts w:ascii="宋体" w:hAnsi="宋体" w:cs="宋体"/>
          <w:szCs w:val="21"/>
        </w:rPr>
        <w:t>hadoop技术</w:t>
      </w:r>
      <w:r>
        <w:rPr>
          <w:rFonts w:hint="eastAsia" w:ascii="宋体" w:hAnsi="宋体" w:cs="宋体"/>
          <w:szCs w:val="21"/>
        </w:rPr>
        <w:t>以及相关的应用。</w:t>
      </w:r>
      <w:r>
        <w:rPr>
          <w:rFonts w:ascii="宋体" w:hAnsi="宋体" w:cs="宋体"/>
          <w:szCs w:val="21"/>
        </w:rPr>
        <w:t>结合中国在该领域的最新成果，弘扬中国文化与成就，激发学生爱华热情。</w:t>
      </w:r>
    </w:p>
    <w:p>
      <w:pPr>
        <w:widowControl/>
        <w:adjustRightInd w:val="0"/>
        <w:snapToGrid w:val="0"/>
        <w:spacing w:line="300" w:lineRule="auto"/>
        <w:ind w:firstLine="420"/>
        <w:rPr>
          <w:rFonts w:ascii="宋体" w:hAnsi="宋体" w:cs="宋体"/>
          <w:szCs w:val="21"/>
        </w:rPr>
      </w:pPr>
      <w:r>
        <w:rPr>
          <w:rFonts w:ascii="宋体" w:hAnsi="宋体" w:cs="宋体"/>
          <w:szCs w:val="21"/>
        </w:rPr>
        <w:t xml:space="preserve">本课程的具体教学目标如下： </w:t>
      </w:r>
    </w:p>
    <w:p>
      <w:pPr>
        <w:widowControl/>
        <w:numPr>
          <w:ilvl w:val="0"/>
          <w:numId w:val="15"/>
        </w:numPr>
        <w:adjustRightInd w:val="0"/>
        <w:snapToGrid w:val="0"/>
        <w:spacing w:line="300" w:lineRule="auto"/>
        <w:ind w:firstLine="420"/>
        <w:rPr>
          <w:rFonts w:ascii="宋体" w:hAnsi="宋体" w:cs="宋体"/>
          <w:szCs w:val="21"/>
        </w:rPr>
      </w:pPr>
      <w:r>
        <w:rPr>
          <w:rFonts w:ascii="宋体" w:hAnsi="宋体" w:cs="宋体"/>
          <w:szCs w:val="21"/>
        </w:rPr>
        <w:t>理解云计算的概念及分布式系统对云计算的技术支持，掌握云计算概念、技术、架构的基本原理</w:t>
      </w:r>
      <w:r>
        <w:rPr>
          <w:rFonts w:hint="eastAsia" w:ascii="宋体" w:hAnsi="宋体" w:cs="宋体"/>
          <w:szCs w:val="21"/>
        </w:rPr>
        <w:t>，</w:t>
      </w:r>
      <w:r>
        <w:rPr>
          <w:rFonts w:ascii="宋体" w:hAnsi="宋体" w:cs="宋体"/>
          <w:szCs w:val="21"/>
        </w:rPr>
        <w:t>利用其基本原理，对电子信息</w:t>
      </w:r>
      <w:r>
        <w:rPr>
          <w:rFonts w:hint="eastAsia" w:ascii="宋体" w:hAnsi="宋体" w:cs="宋体"/>
          <w:szCs w:val="21"/>
        </w:rPr>
        <w:t>领域</w:t>
      </w:r>
      <w:r>
        <w:rPr>
          <w:rFonts w:ascii="宋体" w:hAnsi="宋体" w:cs="宋体"/>
          <w:szCs w:val="21"/>
        </w:rPr>
        <w:t>的复杂工程问题进行识别、表达和分析。</w:t>
      </w:r>
      <w:r>
        <w:rPr>
          <w:rFonts w:hint="eastAsia" w:ascii="宋体" w:hAnsi="宋体" w:cs="宋体"/>
          <w:szCs w:val="21"/>
        </w:rPr>
        <w:t>[</w:t>
      </w:r>
      <w:r>
        <w:rPr>
          <w:rFonts w:ascii="宋体" w:hAnsi="宋体" w:cs="宋体"/>
          <w:szCs w:val="21"/>
        </w:rPr>
        <w:t>2</w:t>
      </w:r>
      <w:r>
        <w:rPr>
          <w:rFonts w:hint="eastAsia" w:ascii="宋体" w:hAnsi="宋体" w:cs="宋体"/>
          <w:szCs w:val="21"/>
        </w:rPr>
        <w:t>.</w:t>
      </w:r>
      <w:r>
        <w:rPr>
          <w:rFonts w:ascii="宋体" w:hAnsi="宋体" w:cs="宋体"/>
          <w:szCs w:val="21"/>
        </w:rPr>
        <w:t>2]</w:t>
      </w:r>
    </w:p>
    <w:p>
      <w:pPr>
        <w:widowControl/>
        <w:numPr>
          <w:ilvl w:val="0"/>
          <w:numId w:val="15"/>
        </w:numPr>
        <w:adjustRightInd w:val="0"/>
        <w:snapToGrid w:val="0"/>
        <w:spacing w:line="300" w:lineRule="auto"/>
        <w:ind w:firstLine="420"/>
        <w:rPr>
          <w:rFonts w:ascii="宋体" w:hAnsi="宋体" w:cs="宋体"/>
          <w:szCs w:val="21"/>
        </w:rPr>
      </w:pPr>
      <w:r>
        <w:rPr>
          <w:rFonts w:ascii="宋体" w:hAnsi="宋体" w:cs="宋体"/>
          <w:szCs w:val="21"/>
        </w:rPr>
        <w:t>掌握虚拟化技术、海量数据分布式存储技术，掌握云计算同分布式计算、 网格计算、并行计算和效用计算的关系；掌握并行编程模式及其程序实现，具备设计开发并行程序的能力。 [3</w:t>
      </w:r>
      <w:r>
        <w:rPr>
          <w:rFonts w:hint="eastAsia" w:ascii="宋体" w:hAnsi="宋体" w:cs="宋体"/>
          <w:szCs w:val="21"/>
        </w:rPr>
        <w:t>.</w:t>
      </w:r>
      <w:r>
        <w:rPr>
          <w:rFonts w:ascii="宋体" w:hAnsi="宋体" w:cs="宋体"/>
          <w:szCs w:val="21"/>
        </w:rPr>
        <w:t>2]</w:t>
      </w:r>
    </w:p>
    <w:p>
      <w:pPr>
        <w:widowControl/>
        <w:numPr>
          <w:ilvl w:val="0"/>
          <w:numId w:val="15"/>
        </w:numPr>
        <w:adjustRightInd w:val="0"/>
        <w:snapToGrid w:val="0"/>
        <w:spacing w:line="300" w:lineRule="auto"/>
        <w:ind w:firstLine="420"/>
        <w:rPr>
          <w:rFonts w:ascii="宋体" w:hAnsi="宋体" w:cs="宋体"/>
          <w:szCs w:val="21"/>
        </w:rPr>
      </w:pPr>
      <w:r>
        <w:rPr>
          <w:rFonts w:ascii="宋体" w:hAnsi="宋体" w:cs="宋体"/>
          <w:szCs w:val="21"/>
        </w:rPr>
        <w:t>能够利用大数据与云计算基本理论和技术对电子信息科学领域复杂工程问题的技术路线</w:t>
      </w:r>
      <w:r>
        <w:rPr>
          <w:rFonts w:hint="eastAsia" w:ascii="宋体" w:hAnsi="宋体" w:cs="宋体"/>
          <w:szCs w:val="21"/>
        </w:rPr>
        <w:t>、</w:t>
      </w:r>
      <w:r>
        <w:rPr>
          <w:rFonts w:ascii="宋体" w:hAnsi="宋体" w:cs="宋体"/>
          <w:szCs w:val="21"/>
        </w:rPr>
        <w:t>实验方案、软/硬件模块和存在的问题进行研究。</w:t>
      </w:r>
      <w:r>
        <w:rPr>
          <w:rFonts w:hint="eastAsia" w:ascii="宋体" w:hAnsi="宋体" w:cs="宋体"/>
          <w:szCs w:val="21"/>
        </w:rPr>
        <w:t>[</w:t>
      </w:r>
      <w:r>
        <w:rPr>
          <w:rFonts w:ascii="宋体" w:hAnsi="宋体" w:cs="宋体"/>
          <w:szCs w:val="21"/>
        </w:rPr>
        <w:t>4</w:t>
      </w:r>
      <w:r>
        <w:rPr>
          <w:rFonts w:hint="eastAsia" w:ascii="宋体" w:hAnsi="宋体" w:cs="宋体"/>
          <w:szCs w:val="21"/>
        </w:rPr>
        <w:t>.</w:t>
      </w:r>
      <w:r>
        <w:rPr>
          <w:rFonts w:ascii="宋体" w:hAnsi="宋体" w:cs="宋体"/>
          <w:szCs w:val="21"/>
        </w:rPr>
        <w:t>1]</w:t>
      </w:r>
    </w:p>
    <w:p>
      <w:pPr>
        <w:adjustRightInd w:val="0"/>
        <w:snapToGrid w:val="0"/>
        <w:spacing w:line="300" w:lineRule="auto"/>
        <w:ind w:firstLine="420"/>
        <w:rPr>
          <w:b/>
          <w:kern w:val="0"/>
          <w:sz w:val="18"/>
          <w:szCs w:val="18"/>
        </w:rPr>
      </w:pPr>
      <w:r>
        <w:rPr>
          <w:rFonts w:ascii="宋体" w:hAnsi="宋体" w:cs="宋体"/>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5870"/>
        <w:gridCol w:w="659"/>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41" w:type="dxa"/>
            <w:vAlign w:val="center"/>
          </w:tcPr>
          <w:p>
            <w:pPr>
              <w:adjustRightInd w:val="0"/>
              <w:snapToGrid w:val="0"/>
              <w:spacing w:line="300" w:lineRule="auto"/>
              <w:rPr>
                <w:b/>
                <w:bCs/>
                <w:sz w:val="18"/>
                <w:szCs w:val="18"/>
              </w:rPr>
            </w:pPr>
            <w:r>
              <w:rPr>
                <w:b/>
                <w:bCs/>
                <w:sz w:val="18"/>
                <w:szCs w:val="18"/>
              </w:rPr>
              <w:t>毕业要求</w:t>
            </w:r>
          </w:p>
        </w:tc>
        <w:tc>
          <w:tcPr>
            <w:tcW w:w="5870" w:type="dxa"/>
            <w:vAlign w:val="center"/>
          </w:tcPr>
          <w:p>
            <w:pPr>
              <w:adjustRightInd w:val="0"/>
              <w:snapToGrid w:val="0"/>
              <w:spacing w:line="300" w:lineRule="auto"/>
              <w:jc w:val="center"/>
              <w:rPr>
                <w:b/>
                <w:bCs/>
                <w:sz w:val="18"/>
                <w:szCs w:val="18"/>
              </w:rPr>
            </w:pPr>
            <w:r>
              <w:rPr>
                <w:b/>
                <w:bCs/>
                <w:sz w:val="18"/>
                <w:szCs w:val="18"/>
              </w:rPr>
              <w:t>毕业要求指标点</w:t>
            </w:r>
          </w:p>
        </w:tc>
        <w:tc>
          <w:tcPr>
            <w:tcW w:w="659" w:type="dxa"/>
            <w:vAlign w:val="center"/>
          </w:tcPr>
          <w:p>
            <w:pPr>
              <w:adjustRightInd w:val="0"/>
              <w:snapToGrid w:val="0"/>
              <w:spacing w:line="300" w:lineRule="auto"/>
              <w:jc w:val="left"/>
              <w:rPr>
                <w:b/>
                <w:bCs/>
                <w:sz w:val="18"/>
                <w:szCs w:val="18"/>
              </w:rPr>
            </w:pPr>
            <w:r>
              <w:rPr>
                <w:b/>
                <w:bCs/>
                <w:sz w:val="18"/>
                <w:szCs w:val="18"/>
              </w:rPr>
              <w:t>课程目标</w:t>
            </w:r>
          </w:p>
        </w:tc>
        <w:tc>
          <w:tcPr>
            <w:tcW w:w="626"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vAlign w:val="center"/>
          </w:tcPr>
          <w:p>
            <w:pPr>
              <w:adjustRightInd w:val="0"/>
              <w:snapToGrid w:val="0"/>
              <w:spacing w:line="300" w:lineRule="auto"/>
              <w:rPr>
                <w:sz w:val="18"/>
                <w:szCs w:val="18"/>
                <w:shd w:val="clear" w:color="auto" w:fill="FEFEFF"/>
              </w:rPr>
            </w:pPr>
            <w:r>
              <w:rPr>
                <w:sz w:val="18"/>
                <w:szCs w:val="18"/>
                <w:shd w:val="clear" w:color="auto" w:fill="FEFEFF"/>
              </w:rPr>
              <w:t>1．</w:t>
            </w:r>
            <w:r>
              <w:rPr>
                <w:rFonts w:hint="eastAsia"/>
                <w:sz w:val="18"/>
                <w:szCs w:val="18"/>
                <w:shd w:val="clear" w:color="auto" w:fill="FEFEFF"/>
              </w:rPr>
              <w:t>问题分析</w:t>
            </w:r>
          </w:p>
        </w:tc>
        <w:tc>
          <w:tcPr>
            <w:tcW w:w="5870" w:type="dxa"/>
          </w:tcPr>
          <w:p>
            <w:pPr>
              <w:keepLines/>
              <w:spacing w:line="360" w:lineRule="exact"/>
              <w:jc w:val="left"/>
              <w:rPr>
                <w:sz w:val="18"/>
                <w:szCs w:val="18"/>
                <w:shd w:val="clear" w:color="auto" w:fill="FEFEFF"/>
              </w:rPr>
            </w:pPr>
            <w:r>
              <w:rPr>
                <w:rFonts w:hint="eastAsia"/>
                <w:sz w:val="18"/>
                <w:szCs w:val="18"/>
                <w:shd w:val="clear" w:color="auto" w:fill="FEFEFF"/>
              </w:rPr>
              <w:t>2.</w:t>
            </w:r>
            <w:r>
              <w:rPr>
                <w:sz w:val="18"/>
                <w:szCs w:val="18"/>
                <w:shd w:val="clear" w:color="auto" w:fill="FEFEFF"/>
              </w:rPr>
              <w:t>2</w:t>
            </w:r>
            <w:r>
              <w:rPr>
                <w:rFonts w:hint="eastAsia"/>
                <w:sz w:val="18"/>
                <w:szCs w:val="18"/>
                <w:shd w:val="clear" w:color="auto" w:fill="FEFEFF"/>
              </w:rPr>
              <w:t>能运用电子信息工程专业基本原理和方法，综合考虑多种影响因素，分析电子信息工程（含海洋电子信息）领域复杂工程问题，选择和优化问题的解决方案。</w:t>
            </w:r>
          </w:p>
        </w:tc>
        <w:tc>
          <w:tcPr>
            <w:tcW w:w="659" w:type="dxa"/>
            <w:vAlign w:val="center"/>
          </w:tcPr>
          <w:p>
            <w:pPr>
              <w:adjustRightInd w:val="0"/>
              <w:snapToGrid w:val="0"/>
              <w:spacing w:line="300" w:lineRule="auto"/>
              <w:jc w:val="center"/>
              <w:rPr>
                <w:sz w:val="18"/>
                <w:szCs w:val="18"/>
                <w:shd w:val="clear" w:color="auto" w:fill="FEFEFF"/>
              </w:rPr>
            </w:pPr>
            <w:r>
              <w:rPr>
                <w:sz w:val="18"/>
                <w:szCs w:val="18"/>
                <w:shd w:val="clear" w:color="auto" w:fill="FEFEFF"/>
              </w:rPr>
              <w:t>1</w:t>
            </w:r>
          </w:p>
        </w:tc>
        <w:tc>
          <w:tcPr>
            <w:tcW w:w="626" w:type="dxa"/>
            <w:vAlign w:val="center"/>
          </w:tcPr>
          <w:p>
            <w:pPr>
              <w:adjustRightInd w:val="0"/>
              <w:snapToGrid w:val="0"/>
              <w:spacing w:line="300" w:lineRule="auto"/>
              <w:jc w:val="center"/>
              <w:rPr>
                <w:sz w:val="18"/>
                <w:szCs w:val="18"/>
                <w:shd w:val="clear" w:color="auto" w:fill="FEFEFF"/>
              </w:rPr>
            </w:pPr>
            <w:r>
              <w:rPr>
                <w:sz w:val="18"/>
                <w:szCs w:val="18"/>
                <w:shd w:val="clear" w:color="auto" w:fill="FEFEFF"/>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41" w:type="dxa"/>
            <w:vAlign w:val="center"/>
          </w:tcPr>
          <w:p>
            <w:pPr>
              <w:adjustRightInd w:val="0"/>
              <w:snapToGrid w:val="0"/>
              <w:spacing w:line="300" w:lineRule="auto"/>
              <w:rPr>
                <w:sz w:val="18"/>
                <w:szCs w:val="18"/>
                <w:shd w:val="clear" w:color="auto" w:fill="FEFEFF"/>
              </w:rPr>
            </w:pPr>
            <w:r>
              <w:rPr>
                <w:sz w:val="18"/>
                <w:szCs w:val="18"/>
                <w:shd w:val="clear" w:color="auto" w:fill="FEFEFF"/>
              </w:rPr>
              <w:t>3．</w:t>
            </w:r>
            <w:r>
              <w:rPr>
                <w:rFonts w:hint="eastAsia"/>
                <w:sz w:val="18"/>
                <w:szCs w:val="18"/>
                <w:shd w:val="clear" w:color="auto" w:fill="FEFEFF"/>
              </w:rPr>
              <w:t>设计/开发解决方案</w:t>
            </w:r>
          </w:p>
        </w:tc>
        <w:tc>
          <w:tcPr>
            <w:tcW w:w="5870" w:type="dxa"/>
            <w:vAlign w:val="center"/>
          </w:tcPr>
          <w:p>
            <w:pPr>
              <w:adjustRightInd w:val="0"/>
              <w:snapToGrid w:val="0"/>
              <w:spacing w:line="300" w:lineRule="auto"/>
              <w:rPr>
                <w:sz w:val="18"/>
                <w:szCs w:val="18"/>
                <w:shd w:val="clear" w:color="auto" w:fill="FEFEFF"/>
              </w:rPr>
            </w:pPr>
            <w:r>
              <w:rPr>
                <w:rFonts w:hint="eastAsia"/>
                <w:sz w:val="18"/>
                <w:szCs w:val="18"/>
                <w:shd w:val="clear" w:color="auto" w:fill="FEFEFF"/>
              </w:rPr>
              <w:t>3.2能够</w:t>
            </w:r>
            <w:r>
              <w:rPr>
                <w:sz w:val="18"/>
                <w:szCs w:val="18"/>
                <w:shd w:val="clear" w:color="auto" w:fill="FEFEFF"/>
              </w:rPr>
              <w:t>在设计中综合利用电子信息工程的专业知识和新技术，体现创新意识。</w:t>
            </w:r>
          </w:p>
        </w:tc>
        <w:tc>
          <w:tcPr>
            <w:tcW w:w="659" w:type="dxa"/>
            <w:vAlign w:val="center"/>
          </w:tcPr>
          <w:p>
            <w:pPr>
              <w:adjustRightInd w:val="0"/>
              <w:snapToGrid w:val="0"/>
              <w:spacing w:line="300" w:lineRule="auto"/>
              <w:jc w:val="center"/>
              <w:rPr>
                <w:sz w:val="18"/>
                <w:szCs w:val="18"/>
                <w:shd w:val="clear" w:color="auto" w:fill="FEFEFF"/>
              </w:rPr>
            </w:pPr>
            <w:r>
              <w:rPr>
                <w:sz w:val="18"/>
                <w:szCs w:val="18"/>
                <w:shd w:val="clear" w:color="auto" w:fill="FEFEFF"/>
              </w:rPr>
              <w:t>2</w:t>
            </w:r>
          </w:p>
        </w:tc>
        <w:tc>
          <w:tcPr>
            <w:tcW w:w="626" w:type="dxa"/>
            <w:vAlign w:val="center"/>
          </w:tcPr>
          <w:p>
            <w:pPr>
              <w:widowControl/>
              <w:adjustRightInd w:val="0"/>
              <w:snapToGrid w:val="0"/>
              <w:spacing w:line="300" w:lineRule="auto"/>
              <w:jc w:val="center"/>
              <w:rPr>
                <w:sz w:val="18"/>
                <w:szCs w:val="18"/>
                <w:shd w:val="clear" w:color="auto" w:fill="FEFEFF"/>
              </w:rPr>
            </w:pPr>
            <w:r>
              <w:rPr>
                <w:sz w:val="18"/>
                <w:szCs w:val="18"/>
                <w:shd w:val="clear" w:color="auto" w:fill="FEFEFF"/>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41" w:type="dxa"/>
            <w:vAlign w:val="center"/>
          </w:tcPr>
          <w:p>
            <w:pPr>
              <w:adjustRightInd w:val="0"/>
              <w:snapToGrid w:val="0"/>
              <w:spacing w:line="300" w:lineRule="auto"/>
              <w:rPr>
                <w:sz w:val="18"/>
                <w:szCs w:val="18"/>
                <w:shd w:val="clear" w:color="auto" w:fill="FEFEFF"/>
              </w:rPr>
            </w:pPr>
            <w:r>
              <w:rPr>
                <w:sz w:val="18"/>
                <w:szCs w:val="18"/>
                <w:shd w:val="clear" w:color="auto" w:fill="FEFEFF"/>
              </w:rPr>
              <w:t>4．研究</w:t>
            </w:r>
          </w:p>
        </w:tc>
        <w:tc>
          <w:tcPr>
            <w:tcW w:w="5870" w:type="dxa"/>
            <w:vAlign w:val="center"/>
          </w:tcPr>
          <w:p>
            <w:pPr>
              <w:keepLines/>
              <w:spacing w:line="360" w:lineRule="exact"/>
              <w:jc w:val="left"/>
              <w:rPr>
                <w:sz w:val="18"/>
                <w:szCs w:val="18"/>
                <w:shd w:val="clear" w:color="auto" w:fill="FEFEFF"/>
              </w:rPr>
            </w:pPr>
            <w:r>
              <w:rPr>
                <w:rFonts w:hint="eastAsia"/>
                <w:sz w:val="18"/>
                <w:szCs w:val="18"/>
                <w:shd w:val="clear" w:color="auto" w:fill="FEFEFF"/>
              </w:rPr>
              <w:t>4.1</w:t>
            </w:r>
            <w:r>
              <w:rPr>
                <w:sz w:val="18"/>
                <w:szCs w:val="18"/>
                <w:shd w:val="clear" w:color="auto" w:fill="FEFEFF"/>
              </w:rPr>
              <w:t>具备基于电子信息科学原理并采用科学方法对复杂工程问题的技术路线</w:t>
            </w:r>
            <w:r>
              <w:rPr>
                <w:rFonts w:hint="eastAsia"/>
                <w:sz w:val="18"/>
                <w:szCs w:val="18"/>
                <w:shd w:val="clear" w:color="auto" w:fill="FEFEFF"/>
              </w:rPr>
              <w:t>、</w:t>
            </w:r>
            <w:r>
              <w:rPr>
                <w:sz w:val="18"/>
                <w:szCs w:val="18"/>
                <w:shd w:val="clear" w:color="auto" w:fill="FEFEFF"/>
              </w:rPr>
              <w:t>实验方案、软/硬件模块和存在的问题进行研究的能力。</w:t>
            </w:r>
          </w:p>
          <w:p>
            <w:pPr>
              <w:adjustRightInd w:val="0"/>
              <w:snapToGrid w:val="0"/>
              <w:spacing w:line="300" w:lineRule="auto"/>
              <w:rPr>
                <w:sz w:val="18"/>
                <w:szCs w:val="18"/>
                <w:shd w:val="clear" w:color="auto" w:fill="FEFEFF"/>
              </w:rPr>
            </w:pPr>
          </w:p>
        </w:tc>
        <w:tc>
          <w:tcPr>
            <w:tcW w:w="659" w:type="dxa"/>
            <w:vAlign w:val="center"/>
          </w:tcPr>
          <w:p>
            <w:pPr>
              <w:adjustRightInd w:val="0"/>
              <w:snapToGrid w:val="0"/>
              <w:spacing w:line="300" w:lineRule="auto"/>
              <w:jc w:val="center"/>
              <w:rPr>
                <w:sz w:val="18"/>
                <w:szCs w:val="18"/>
                <w:shd w:val="clear" w:color="auto" w:fill="FEFEFF"/>
              </w:rPr>
            </w:pPr>
            <w:r>
              <w:rPr>
                <w:sz w:val="18"/>
                <w:szCs w:val="18"/>
                <w:shd w:val="clear" w:color="auto" w:fill="FEFEFF"/>
              </w:rPr>
              <w:t>3</w:t>
            </w:r>
          </w:p>
        </w:tc>
        <w:tc>
          <w:tcPr>
            <w:tcW w:w="626" w:type="dxa"/>
            <w:vAlign w:val="center"/>
          </w:tcPr>
          <w:p>
            <w:pPr>
              <w:adjustRightInd w:val="0"/>
              <w:snapToGrid w:val="0"/>
              <w:spacing w:line="300" w:lineRule="auto"/>
              <w:jc w:val="center"/>
              <w:rPr>
                <w:sz w:val="18"/>
                <w:szCs w:val="18"/>
                <w:shd w:val="clear" w:color="auto" w:fill="FEFEFF"/>
              </w:rPr>
            </w:pPr>
            <w:r>
              <w:rPr>
                <w:sz w:val="18"/>
                <w:szCs w:val="18"/>
                <w:shd w:val="clear" w:color="auto" w:fill="FEFEFF"/>
              </w:rPr>
              <w:t>0.2</w:t>
            </w:r>
          </w:p>
        </w:tc>
      </w:tr>
    </w:tbl>
    <w:p>
      <w:pPr>
        <w:adjustRightInd w:val="0"/>
        <w:snapToGrid w:val="0"/>
        <w:spacing w:before="156" w:beforeLines="50" w:after="156" w:afterLines="50" w:line="300" w:lineRule="auto"/>
        <w:rPr>
          <w:b/>
          <w:sz w:val="24"/>
          <w:szCs w:val="22"/>
        </w:rPr>
      </w:pPr>
      <w:r>
        <w:rPr>
          <w:b/>
          <w:sz w:val="24"/>
          <w:szCs w:val="22"/>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1"/>
        <w:gridCol w:w="2286"/>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shd w:val="clear" w:color="auto" w:fill="FEFEFF"/>
              </w:rPr>
              <w:t>1．理解云计算的概念及分布式系统对云计算的技术支持，掌握云计算概念、技术、架构的基本原理</w:t>
            </w:r>
            <w:r>
              <w:rPr>
                <w:rFonts w:hint="eastAsia"/>
                <w:sz w:val="18"/>
                <w:szCs w:val="18"/>
                <w:shd w:val="clear" w:color="auto" w:fill="FEFEFF"/>
              </w:rPr>
              <w:t>，</w:t>
            </w:r>
            <w:r>
              <w:rPr>
                <w:sz w:val="18"/>
                <w:szCs w:val="18"/>
                <w:shd w:val="clear" w:color="auto" w:fill="FEFEFF"/>
              </w:rPr>
              <w:t>利用其基本原理，对电子信息</w:t>
            </w:r>
            <w:r>
              <w:rPr>
                <w:rFonts w:hint="eastAsia"/>
                <w:sz w:val="18"/>
                <w:szCs w:val="18"/>
                <w:shd w:val="clear" w:color="auto" w:fill="FEFEFF"/>
              </w:rPr>
              <w:t>领域</w:t>
            </w:r>
            <w:r>
              <w:rPr>
                <w:sz w:val="18"/>
                <w:szCs w:val="18"/>
                <w:shd w:val="clear" w:color="auto" w:fill="FEFEFF"/>
              </w:rPr>
              <w:t>的复杂工程问题进行识别、表达和分析。</w:t>
            </w:r>
          </w:p>
        </w:tc>
        <w:tc>
          <w:tcPr>
            <w:tcW w:w="22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课堂表现和作业</w:t>
            </w:r>
            <w:r>
              <w:rPr>
                <w:rFonts w:hint="eastAsia"/>
                <w:sz w:val="18"/>
                <w:szCs w:val="18"/>
                <w:shd w:val="clear" w:color="auto" w:fill="FEFEFF"/>
              </w:rPr>
              <w:t>、</w:t>
            </w:r>
            <w:r>
              <w:rPr>
                <w:sz w:val="18"/>
                <w:szCs w:val="18"/>
                <w:shd w:val="clear" w:color="auto" w:fill="FEFEFF"/>
              </w:rPr>
              <w:t>实验与考试。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2．掌握虚拟化技术、海量数据分布式存储技术，掌握云计算同分布式计算、 网格计算、并行计算和效用计算的关系；掌握并行编程模式及其程序实现，具备设计开发并行程序的能力。</w:t>
            </w:r>
          </w:p>
        </w:tc>
        <w:tc>
          <w:tcPr>
            <w:tcW w:w="22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课堂表现和作业</w:t>
            </w:r>
            <w:r>
              <w:rPr>
                <w:rFonts w:hint="eastAsia"/>
                <w:sz w:val="18"/>
                <w:szCs w:val="18"/>
                <w:shd w:val="clear" w:color="auto" w:fill="FEFEFF"/>
              </w:rPr>
              <w:t>、</w:t>
            </w:r>
            <w:r>
              <w:rPr>
                <w:sz w:val="18"/>
                <w:szCs w:val="18"/>
                <w:shd w:val="clear" w:color="auto" w:fill="FEFEFF"/>
              </w:rPr>
              <w:t>实验与考试。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2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3．能够利用大数据与云计算基本理论和技术对电子信息科学领域复杂工程问题的技术路线</w:t>
            </w:r>
            <w:r>
              <w:rPr>
                <w:rFonts w:hint="eastAsia"/>
                <w:sz w:val="18"/>
                <w:szCs w:val="18"/>
                <w:shd w:val="clear" w:color="auto" w:fill="FEFEFF"/>
              </w:rPr>
              <w:t>、</w:t>
            </w:r>
            <w:r>
              <w:rPr>
                <w:sz w:val="18"/>
                <w:szCs w:val="18"/>
                <w:shd w:val="clear" w:color="auto" w:fill="FEFEFF"/>
              </w:rPr>
              <w:t>实验方案、软/硬件模块和存在的问题进行研究。</w:t>
            </w:r>
          </w:p>
        </w:tc>
        <w:tc>
          <w:tcPr>
            <w:tcW w:w="22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课堂表现和作业</w:t>
            </w:r>
            <w:r>
              <w:rPr>
                <w:rFonts w:hint="eastAsia"/>
                <w:sz w:val="18"/>
                <w:szCs w:val="18"/>
                <w:shd w:val="clear" w:color="auto" w:fill="FEFEFF"/>
              </w:rPr>
              <w:t>、</w:t>
            </w:r>
            <w:r>
              <w:rPr>
                <w:sz w:val="18"/>
                <w:szCs w:val="18"/>
                <w:shd w:val="clear" w:color="auto" w:fill="FEFEFF"/>
              </w:rPr>
              <w:t>实验与考试。</w:t>
            </w:r>
          </w:p>
        </w:tc>
      </w:tr>
    </w:tbl>
    <w:p>
      <w:pPr>
        <w:adjustRightInd w:val="0"/>
        <w:snapToGrid w:val="0"/>
        <w:spacing w:before="156" w:beforeLines="50" w:after="156" w:afterLines="50" w:line="300" w:lineRule="auto"/>
        <w:rPr>
          <w:b/>
          <w:sz w:val="24"/>
          <w:szCs w:val="22"/>
        </w:rPr>
      </w:pPr>
      <w:r>
        <w:rPr>
          <w:b/>
          <w:sz w:val="24"/>
          <w:szCs w:val="22"/>
        </w:rPr>
        <w:t>四、课程教学内容、教与学的要求</w:t>
      </w:r>
    </w:p>
    <w:p>
      <w:pPr>
        <w:adjustRightInd w:val="0"/>
        <w:snapToGrid w:val="0"/>
        <w:spacing w:line="300" w:lineRule="auto"/>
        <w:ind w:firstLine="420" w:firstLineChars="200"/>
        <w:rPr>
          <w:szCs w:val="21"/>
        </w:rPr>
      </w:pPr>
      <w:r>
        <w:rPr>
          <w:szCs w:val="21"/>
        </w:rPr>
        <w:t>1．课堂讲授为主，网络多媒体教学为辅，注重与专业相关工程实践教学环节和场景配合的案例教学，案例由浅入深，结合课程中的相应知识点进行分析，培养学生对复杂工程问题的应用能力及工程设计能力。</w:t>
      </w:r>
    </w:p>
    <w:p>
      <w:pPr>
        <w:adjustRightInd w:val="0"/>
        <w:snapToGrid w:val="0"/>
        <w:spacing w:line="300" w:lineRule="auto"/>
        <w:ind w:firstLine="420" w:firstLineChars="200"/>
        <w:rPr>
          <w:szCs w:val="21"/>
        </w:rPr>
      </w:pPr>
      <w:r>
        <w:rPr>
          <w:szCs w:val="21"/>
        </w:rPr>
        <w:t>2．根据课程特点采用启发式教学、任务驱动教学、案例教学法进行教学方法创新。</w:t>
      </w:r>
    </w:p>
    <w:p>
      <w:pPr>
        <w:adjustRightInd w:val="0"/>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972"/>
        <w:gridCol w:w="3259"/>
        <w:gridCol w:w="601"/>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8"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2972"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3259"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601" w:type="dxa"/>
            <w:vAlign w:val="center"/>
          </w:tcPr>
          <w:p>
            <w:pPr>
              <w:adjustRightInd w:val="0"/>
              <w:snapToGrid w:val="0"/>
              <w:spacing w:line="300" w:lineRule="auto"/>
              <w:jc w:val="center"/>
              <w:rPr>
                <w:b/>
                <w:bCs/>
                <w:sz w:val="18"/>
                <w:szCs w:val="18"/>
              </w:rPr>
            </w:pPr>
            <w:r>
              <w:rPr>
                <w:b/>
                <w:bCs/>
                <w:sz w:val="18"/>
                <w:szCs w:val="18"/>
              </w:rPr>
              <w:t>学时</w:t>
            </w:r>
          </w:p>
        </w:tc>
        <w:tc>
          <w:tcPr>
            <w:tcW w:w="996"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1</w:t>
            </w:r>
          </w:p>
        </w:tc>
        <w:tc>
          <w:tcPr>
            <w:tcW w:w="2972" w:type="dxa"/>
            <w:vAlign w:val="center"/>
          </w:tcPr>
          <w:p>
            <w:pPr>
              <w:adjustRightInd w:val="0"/>
              <w:snapToGrid w:val="0"/>
              <w:spacing w:line="300" w:lineRule="auto"/>
              <w:rPr>
                <w:kern w:val="0"/>
                <w:sz w:val="18"/>
                <w:szCs w:val="18"/>
              </w:rPr>
            </w:pPr>
            <w:r>
              <w:rPr>
                <w:kern w:val="0"/>
                <w:sz w:val="18"/>
                <w:szCs w:val="18"/>
              </w:rPr>
              <w:t>1 云计算与大数据基础</w:t>
            </w:r>
          </w:p>
          <w:p>
            <w:pPr>
              <w:adjustRightInd w:val="0"/>
              <w:snapToGrid w:val="0"/>
              <w:spacing w:line="300" w:lineRule="auto"/>
              <w:rPr>
                <w:kern w:val="0"/>
                <w:sz w:val="18"/>
                <w:szCs w:val="18"/>
              </w:rPr>
            </w:pPr>
            <w:r>
              <w:rPr>
                <w:kern w:val="0"/>
                <w:sz w:val="18"/>
                <w:szCs w:val="18"/>
              </w:rPr>
              <w:t>1.1大数据时代</w:t>
            </w:r>
            <w:r>
              <w:rPr>
                <w:rFonts w:hint="eastAsia"/>
                <w:kern w:val="0"/>
                <w:sz w:val="18"/>
                <w:szCs w:val="18"/>
              </w:rPr>
              <w:t>。</w:t>
            </w:r>
          </w:p>
          <w:p>
            <w:pPr>
              <w:adjustRightInd w:val="0"/>
              <w:snapToGrid w:val="0"/>
              <w:spacing w:line="300" w:lineRule="auto"/>
              <w:rPr>
                <w:kern w:val="0"/>
                <w:sz w:val="18"/>
                <w:szCs w:val="18"/>
              </w:rPr>
            </w:pPr>
            <w:r>
              <w:rPr>
                <w:kern w:val="0"/>
                <w:sz w:val="18"/>
                <w:szCs w:val="18"/>
              </w:rPr>
              <w:t>1.2云计算——大数据的计算</w:t>
            </w:r>
            <w:r>
              <w:rPr>
                <w:rFonts w:hint="eastAsia"/>
                <w:kern w:val="0"/>
                <w:sz w:val="18"/>
                <w:szCs w:val="18"/>
              </w:rPr>
              <w:t>。</w:t>
            </w:r>
          </w:p>
          <w:p>
            <w:pPr>
              <w:adjustRightInd w:val="0"/>
              <w:snapToGrid w:val="0"/>
              <w:spacing w:line="300" w:lineRule="auto"/>
              <w:rPr>
                <w:kern w:val="0"/>
                <w:sz w:val="18"/>
                <w:szCs w:val="18"/>
              </w:rPr>
            </w:pPr>
            <w:r>
              <w:rPr>
                <w:kern w:val="0"/>
                <w:sz w:val="18"/>
                <w:szCs w:val="18"/>
              </w:rPr>
              <w:t>1.3云计算发展现状</w:t>
            </w:r>
            <w:r>
              <w:rPr>
                <w:rFonts w:hint="eastAsia"/>
                <w:kern w:val="0"/>
                <w:sz w:val="18"/>
                <w:szCs w:val="18"/>
              </w:rPr>
              <w:t>。</w:t>
            </w:r>
          </w:p>
          <w:p>
            <w:pPr>
              <w:adjustRightInd w:val="0"/>
              <w:snapToGrid w:val="0"/>
              <w:spacing w:line="300" w:lineRule="auto"/>
              <w:rPr>
                <w:kern w:val="0"/>
                <w:sz w:val="18"/>
                <w:szCs w:val="18"/>
              </w:rPr>
            </w:pPr>
            <w:r>
              <w:rPr>
                <w:kern w:val="0"/>
                <w:sz w:val="18"/>
                <w:szCs w:val="18"/>
              </w:rPr>
              <w:t>1.4云计算实现机制</w:t>
            </w:r>
            <w:r>
              <w:rPr>
                <w:rFonts w:hint="eastAsia"/>
                <w:kern w:val="0"/>
                <w:sz w:val="18"/>
                <w:szCs w:val="18"/>
              </w:rPr>
              <w:t>。</w:t>
            </w:r>
            <w:r>
              <w:rPr>
                <w:kern w:val="0"/>
                <w:sz w:val="18"/>
                <w:szCs w:val="18"/>
              </w:rPr>
              <w:tab/>
            </w:r>
            <w:r>
              <w:rPr>
                <w:kern w:val="0"/>
                <w:sz w:val="18"/>
                <w:szCs w:val="18"/>
              </w:rPr>
              <w:t>（</w:t>
            </w:r>
            <w:r>
              <w:rPr>
                <w:kern w:val="0"/>
                <w:sz w:val="18"/>
                <w:szCs w:val="18"/>
              </w:rPr>
              <w:sym w:font="Wingdings 2" w:char="F0EA"/>
            </w:r>
            <w:r>
              <w:rPr>
                <w:kern w:val="0"/>
                <w:sz w:val="18"/>
                <w:szCs w:val="18"/>
              </w:rPr>
              <w:t>）</w:t>
            </w:r>
          </w:p>
          <w:p>
            <w:pPr>
              <w:adjustRightInd w:val="0"/>
              <w:snapToGrid w:val="0"/>
              <w:spacing w:line="300" w:lineRule="auto"/>
              <w:rPr>
                <w:kern w:val="0"/>
                <w:sz w:val="18"/>
                <w:szCs w:val="18"/>
              </w:rPr>
            </w:pPr>
            <w:r>
              <w:rPr>
                <w:kern w:val="0"/>
                <w:sz w:val="18"/>
                <w:szCs w:val="18"/>
              </w:rPr>
              <w:t>1.5云计算压倒性的成本优势</w:t>
            </w:r>
            <w:r>
              <w:rPr>
                <w:rFonts w:hint="eastAsia"/>
                <w:kern w:val="0"/>
                <w:sz w:val="18"/>
                <w:szCs w:val="18"/>
              </w:rPr>
              <w:t>。</w:t>
            </w:r>
          </w:p>
          <w:p>
            <w:pPr>
              <w:adjustRightInd w:val="0"/>
              <w:snapToGrid w:val="0"/>
              <w:spacing w:line="300" w:lineRule="auto"/>
              <w:rPr>
                <w:kern w:val="0"/>
                <w:sz w:val="18"/>
                <w:szCs w:val="18"/>
              </w:rPr>
            </w:pPr>
            <w:r>
              <w:rPr>
                <w:rFonts w:hint="eastAsia"/>
                <w:kern w:val="0"/>
                <w:sz w:val="18"/>
                <w:szCs w:val="18"/>
              </w:rPr>
              <w:t>1</w:t>
            </w:r>
            <w:r>
              <w:rPr>
                <w:kern w:val="0"/>
                <w:sz w:val="18"/>
                <w:szCs w:val="18"/>
              </w:rPr>
              <w:t>.6介绍以阿里云为代表的国内云计算平台。阿里云已连续两年超过google，位居世界第三，展示中国现代成就。</w:t>
            </w:r>
          </w:p>
        </w:tc>
        <w:tc>
          <w:tcPr>
            <w:tcW w:w="3259"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（1）了解云计算的意义，了解云服务的定义和分类。</w:t>
            </w:r>
          </w:p>
          <w:p>
            <w:pPr>
              <w:adjustRightInd w:val="0"/>
              <w:snapToGrid w:val="0"/>
              <w:spacing w:line="300" w:lineRule="auto"/>
              <w:rPr>
                <w:kern w:val="0"/>
                <w:sz w:val="18"/>
                <w:szCs w:val="18"/>
              </w:rPr>
            </w:pPr>
            <w:r>
              <w:rPr>
                <w:kern w:val="0"/>
                <w:sz w:val="18"/>
                <w:szCs w:val="18"/>
              </w:rPr>
              <w:t>（2）了解云计算与大数据的发展历程。</w:t>
            </w:r>
          </w:p>
          <w:p>
            <w:pPr>
              <w:adjustRightInd w:val="0"/>
              <w:snapToGrid w:val="0"/>
              <w:spacing w:line="300" w:lineRule="auto"/>
              <w:rPr>
                <w:kern w:val="0"/>
                <w:sz w:val="18"/>
                <w:szCs w:val="18"/>
              </w:rPr>
            </w:pPr>
            <w:r>
              <w:rPr>
                <w:kern w:val="0"/>
                <w:sz w:val="18"/>
                <w:szCs w:val="18"/>
              </w:rPr>
              <w:t>（3）理解云存储、云安全等云技术的技术架构和技术特点。</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（1）完成教材第1章作业。</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firstLine="180" w:firstLineChars="100"/>
              <w:rPr>
                <w:kern w:val="0"/>
                <w:sz w:val="18"/>
                <w:szCs w:val="18"/>
              </w:rPr>
            </w:pPr>
            <w:r>
              <w:rPr>
                <w:kern w:val="0"/>
                <w:sz w:val="18"/>
                <w:szCs w:val="18"/>
              </w:rPr>
              <w:t>讲授式、讨论式与启发式相结合。</w:t>
            </w:r>
          </w:p>
        </w:tc>
        <w:tc>
          <w:tcPr>
            <w:tcW w:w="601" w:type="dxa"/>
            <w:vAlign w:val="center"/>
          </w:tcPr>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r>
              <w:rPr>
                <w:kern w:val="0"/>
                <w:sz w:val="18"/>
                <w:szCs w:val="18"/>
              </w:rPr>
              <w:t>4</w:t>
            </w: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tc>
        <w:tc>
          <w:tcPr>
            <w:tcW w:w="996" w:type="dxa"/>
            <w:vAlign w:val="center"/>
          </w:tcPr>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r>
              <w:rPr>
                <w:kern w:val="0"/>
                <w:sz w:val="18"/>
                <w:szCs w:val="18"/>
              </w:rPr>
              <w:t>1，2, 3</w:t>
            </w: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2</w:t>
            </w:r>
          </w:p>
        </w:tc>
        <w:tc>
          <w:tcPr>
            <w:tcW w:w="2972" w:type="dxa"/>
            <w:vAlign w:val="center"/>
          </w:tcPr>
          <w:p>
            <w:pPr>
              <w:adjustRightInd w:val="0"/>
              <w:snapToGrid w:val="0"/>
              <w:spacing w:line="300" w:lineRule="auto"/>
              <w:rPr>
                <w:kern w:val="0"/>
                <w:sz w:val="18"/>
                <w:szCs w:val="18"/>
              </w:rPr>
            </w:pPr>
            <w:r>
              <w:rPr>
                <w:kern w:val="0"/>
                <w:sz w:val="18"/>
                <w:szCs w:val="18"/>
              </w:rPr>
              <w:t>2 Google云计算原理与应用</w:t>
            </w:r>
          </w:p>
          <w:p>
            <w:pPr>
              <w:adjustRightInd w:val="0"/>
              <w:snapToGrid w:val="0"/>
              <w:spacing w:line="300" w:lineRule="auto"/>
              <w:ind w:right="-31" w:rightChars="-15" w:firstLine="2"/>
              <w:rPr>
                <w:kern w:val="0"/>
                <w:sz w:val="18"/>
                <w:szCs w:val="18"/>
              </w:rPr>
            </w:pPr>
            <w:r>
              <w:rPr>
                <w:kern w:val="0"/>
                <w:sz w:val="18"/>
                <w:szCs w:val="18"/>
              </w:rPr>
              <w:t>2.1 Google文件系统GFS</w:t>
            </w:r>
            <w:r>
              <w:rPr>
                <w:rFonts w:hint="eastAsia"/>
                <w:kern w:val="0"/>
                <w:sz w:val="18"/>
                <w:szCs w:val="18"/>
              </w:rPr>
              <w:t>。</w:t>
            </w:r>
          </w:p>
          <w:p>
            <w:pPr>
              <w:adjustRightInd w:val="0"/>
              <w:snapToGrid w:val="0"/>
              <w:spacing w:line="300" w:lineRule="auto"/>
              <w:ind w:right="-31" w:rightChars="-15" w:firstLine="2"/>
              <w:rPr>
                <w:kern w:val="0"/>
                <w:sz w:val="18"/>
                <w:szCs w:val="18"/>
              </w:rPr>
            </w:pPr>
            <w:r>
              <w:rPr>
                <w:kern w:val="0"/>
                <w:sz w:val="18"/>
                <w:szCs w:val="18"/>
              </w:rPr>
              <w:t>2.2分布式数据处理MapReduce</w:t>
            </w:r>
            <w:r>
              <w:rPr>
                <w:rFonts w:hint="eastAsia"/>
                <w:kern w:val="0"/>
                <w:sz w:val="18"/>
                <w:szCs w:val="18"/>
              </w:rPr>
              <w:t>。</w:t>
            </w:r>
            <w:r>
              <w:rPr>
                <w:kern w:val="0"/>
                <w:sz w:val="18"/>
                <w:szCs w:val="18"/>
              </w:rPr>
              <w:tab/>
            </w:r>
          </w:p>
          <w:p>
            <w:pPr>
              <w:adjustRightInd w:val="0"/>
              <w:snapToGrid w:val="0"/>
              <w:spacing w:line="300" w:lineRule="auto"/>
              <w:ind w:right="-31" w:rightChars="-15" w:firstLine="2"/>
              <w:rPr>
                <w:kern w:val="0"/>
                <w:sz w:val="18"/>
                <w:szCs w:val="18"/>
              </w:rPr>
            </w:pPr>
            <w:r>
              <w:rPr>
                <w:kern w:val="0"/>
                <w:sz w:val="18"/>
                <w:szCs w:val="18"/>
              </w:rPr>
              <w:t>2.3分布式锁服务Chubby</w:t>
            </w:r>
            <w:r>
              <w:rPr>
                <w:rFonts w:hint="eastAsia"/>
                <w:kern w:val="0"/>
                <w:sz w:val="18"/>
                <w:szCs w:val="18"/>
              </w:rPr>
              <w:t>。</w:t>
            </w:r>
          </w:p>
          <w:p>
            <w:pPr>
              <w:adjustRightInd w:val="0"/>
              <w:snapToGrid w:val="0"/>
              <w:spacing w:line="300" w:lineRule="auto"/>
              <w:ind w:right="-31" w:rightChars="-15" w:firstLine="2"/>
              <w:rPr>
                <w:kern w:val="0"/>
                <w:sz w:val="18"/>
                <w:szCs w:val="18"/>
              </w:rPr>
            </w:pPr>
            <w:r>
              <w:rPr>
                <w:rFonts w:hint="eastAsia"/>
                <w:kern w:val="0"/>
                <w:sz w:val="18"/>
                <w:szCs w:val="18"/>
              </w:rPr>
              <w:t>2</w:t>
            </w:r>
            <w:r>
              <w:rPr>
                <w:kern w:val="0"/>
                <w:sz w:val="18"/>
                <w:szCs w:val="18"/>
              </w:rPr>
              <w:t>.4分布式结构化数据表Bigtable</w:t>
            </w:r>
            <w:r>
              <w:rPr>
                <w:rFonts w:hint="eastAsia"/>
                <w:kern w:val="0"/>
                <w:sz w:val="18"/>
                <w:szCs w:val="18"/>
              </w:rPr>
              <w:t>。</w:t>
            </w:r>
          </w:p>
          <w:p>
            <w:pPr>
              <w:adjustRightInd w:val="0"/>
              <w:snapToGrid w:val="0"/>
              <w:spacing w:line="300" w:lineRule="auto"/>
              <w:rPr>
                <w:kern w:val="0"/>
                <w:sz w:val="18"/>
                <w:szCs w:val="18"/>
              </w:rPr>
            </w:pPr>
            <w:r>
              <w:rPr>
                <w:rFonts w:hint="eastAsia"/>
                <w:kern w:val="0"/>
                <w:sz w:val="18"/>
                <w:szCs w:val="18"/>
              </w:rPr>
              <w:t>2</w:t>
            </w:r>
            <w:r>
              <w:rPr>
                <w:kern w:val="0"/>
                <w:sz w:val="18"/>
                <w:szCs w:val="18"/>
              </w:rPr>
              <w:t>.5分布式存储系统Megastore</w:t>
            </w:r>
            <w:r>
              <w:rPr>
                <w:rFonts w:hint="eastAsia"/>
                <w:kern w:val="0"/>
                <w:sz w:val="18"/>
                <w:szCs w:val="18"/>
              </w:rPr>
              <w:t>。</w:t>
            </w:r>
          </w:p>
        </w:tc>
        <w:tc>
          <w:tcPr>
            <w:tcW w:w="3259"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（1）了解分布式锁服务Chubby的作用。</w:t>
            </w:r>
          </w:p>
          <w:p>
            <w:pPr>
              <w:adjustRightInd w:val="0"/>
              <w:snapToGrid w:val="0"/>
              <w:spacing w:line="300" w:lineRule="auto"/>
              <w:rPr>
                <w:kern w:val="0"/>
                <w:sz w:val="18"/>
                <w:szCs w:val="18"/>
              </w:rPr>
            </w:pPr>
            <w:r>
              <w:rPr>
                <w:kern w:val="0"/>
                <w:sz w:val="18"/>
                <w:szCs w:val="18"/>
              </w:rPr>
              <w:t>（2）了解分布式结构化数据表Bigtable的特点。</w:t>
            </w:r>
          </w:p>
          <w:p>
            <w:pPr>
              <w:adjustRightInd w:val="0"/>
              <w:snapToGrid w:val="0"/>
              <w:spacing w:line="300" w:lineRule="auto"/>
              <w:rPr>
                <w:kern w:val="0"/>
                <w:sz w:val="18"/>
                <w:szCs w:val="18"/>
              </w:rPr>
            </w:pPr>
            <w:r>
              <w:rPr>
                <w:kern w:val="0"/>
                <w:sz w:val="18"/>
                <w:szCs w:val="18"/>
              </w:rPr>
              <w:t>（3）掌握GFS和MapReduce的基本原理。</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（1）完成教材第2章作业。</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601" w:type="dxa"/>
            <w:vAlign w:val="center"/>
          </w:tcPr>
          <w:p>
            <w:pPr>
              <w:adjustRightInd w:val="0"/>
              <w:snapToGrid w:val="0"/>
              <w:spacing w:line="300" w:lineRule="auto"/>
              <w:jc w:val="center"/>
              <w:rPr>
                <w:kern w:val="0"/>
                <w:sz w:val="18"/>
                <w:szCs w:val="18"/>
              </w:rPr>
            </w:pPr>
            <w:r>
              <w:rPr>
                <w:kern w:val="0"/>
                <w:sz w:val="18"/>
                <w:szCs w:val="18"/>
              </w:rPr>
              <w:t>12</w:t>
            </w:r>
          </w:p>
        </w:tc>
        <w:tc>
          <w:tcPr>
            <w:tcW w:w="996" w:type="dxa"/>
            <w:vAlign w:val="center"/>
          </w:tcPr>
          <w:p>
            <w:pPr>
              <w:adjustRightInd w:val="0"/>
              <w:snapToGrid w:val="0"/>
              <w:spacing w:line="300" w:lineRule="auto"/>
              <w:jc w:val="left"/>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6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3</w:t>
            </w:r>
          </w:p>
        </w:tc>
        <w:tc>
          <w:tcPr>
            <w:tcW w:w="2972" w:type="dxa"/>
            <w:vAlign w:val="center"/>
          </w:tcPr>
          <w:p>
            <w:pPr>
              <w:adjustRightInd w:val="0"/>
              <w:snapToGrid w:val="0"/>
              <w:spacing w:line="300" w:lineRule="auto"/>
              <w:rPr>
                <w:kern w:val="0"/>
                <w:sz w:val="18"/>
                <w:szCs w:val="18"/>
              </w:rPr>
            </w:pPr>
            <w:r>
              <w:rPr>
                <w:kern w:val="0"/>
                <w:sz w:val="18"/>
                <w:szCs w:val="18"/>
              </w:rPr>
              <w:t>3 Hadoop 2.0</w:t>
            </w:r>
          </w:p>
          <w:p>
            <w:pPr>
              <w:adjustRightInd w:val="0"/>
              <w:snapToGrid w:val="0"/>
              <w:spacing w:line="300" w:lineRule="auto"/>
              <w:ind w:right="-31" w:rightChars="-15" w:firstLine="2"/>
              <w:rPr>
                <w:kern w:val="0"/>
                <w:sz w:val="18"/>
                <w:szCs w:val="18"/>
              </w:rPr>
            </w:pPr>
            <w:r>
              <w:rPr>
                <w:kern w:val="0"/>
                <w:sz w:val="18"/>
                <w:szCs w:val="18"/>
              </w:rPr>
              <w:t>3.1引例</w:t>
            </w:r>
            <w:r>
              <w:rPr>
                <w:rFonts w:hint="eastAsia"/>
                <w:kern w:val="0"/>
                <w:sz w:val="18"/>
                <w:szCs w:val="18"/>
              </w:rPr>
              <w:t>。</w:t>
            </w:r>
          </w:p>
          <w:p>
            <w:pPr>
              <w:adjustRightInd w:val="0"/>
              <w:snapToGrid w:val="0"/>
              <w:spacing w:line="300" w:lineRule="auto"/>
              <w:ind w:right="-31" w:rightChars="-15" w:firstLine="2"/>
              <w:rPr>
                <w:kern w:val="0"/>
                <w:sz w:val="18"/>
                <w:szCs w:val="18"/>
              </w:rPr>
            </w:pPr>
            <w:r>
              <w:rPr>
                <w:kern w:val="0"/>
                <w:sz w:val="18"/>
                <w:szCs w:val="18"/>
              </w:rPr>
              <w:t>3.2 Hadoop 2.0简述</w:t>
            </w:r>
            <w:r>
              <w:rPr>
                <w:rFonts w:hint="eastAsia"/>
                <w:kern w:val="0"/>
                <w:sz w:val="18"/>
                <w:szCs w:val="18"/>
              </w:rPr>
              <w:t>。</w:t>
            </w:r>
          </w:p>
          <w:p>
            <w:pPr>
              <w:adjustRightInd w:val="0"/>
              <w:snapToGrid w:val="0"/>
              <w:spacing w:line="300" w:lineRule="auto"/>
              <w:ind w:right="-31" w:rightChars="-15" w:firstLine="2"/>
              <w:rPr>
                <w:kern w:val="0"/>
                <w:sz w:val="18"/>
                <w:szCs w:val="18"/>
              </w:rPr>
            </w:pPr>
            <w:r>
              <w:rPr>
                <w:kern w:val="0"/>
                <w:sz w:val="18"/>
                <w:szCs w:val="18"/>
              </w:rPr>
              <w:t>3.3 Hadoop 2.0部署</w:t>
            </w:r>
            <w:r>
              <w:rPr>
                <w:rFonts w:hint="eastAsia"/>
                <w:kern w:val="0"/>
                <w:sz w:val="18"/>
                <w:szCs w:val="18"/>
              </w:rPr>
              <w:t>。</w:t>
            </w:r>
          </w:p>
          <w:p>
            <w:pPr>
              <w:adjustRightInd w:val="0"/>
              <w:snapToGrid w:val="0"/>
              <w:spacing w:line="300" w:lineRule="auto"/>
              <w:ind w:right="-31" w:rightChars="-15" w:firstLine="2"/>
              <w:rPr>
                <w:kern w:val="0"/>
                <w:sz w:val="18"/>
                <w:szCs w:val="18"/>
              </w:rPr>
            </w:pPr>
            <w:r>
              <w:rPr>
                <w:kern w:val="0"/>
                <w:sz w:val="18"/>
                <w:szCs w:val="18"/>
              </w:rPr>
              <w:t>3.4 Hadoop 2.0体系架构</w:t>
            </w:r>
            <w:r>
              <w:rPr>
                <w:rFonts w:hint="eastAsia"/>
                <w:kern w:val="0"/>
                <w:sz w:val="18"/>
                <w:szCs w:val="18"/>
              </w:rPr>
              <w:t>。</w:t>
            </w:r>
          </w:p>
          <w:p>
            <w:pPr>
              <w:adjustRightInd w:val="0"/>
              <w:snapToGrid w:val="0"/>
              <w:spacing w:line="300" w:lineRule="auto"/>
              <w:ind w:right="-31" w:rightChars="-15" w:firstLine="2"/>
              <w:rPr>
                <w:kern w:val="0"/>
                <w:sz w:val="18"/>
                <w:szCs w:val="18"/>
              </w:rPr>
            </w:pPr>
            <w:r>
              <w:rPr>
                <w:rFonts w:hint="eastAsia"/>
                <w:kern w:val="0"/>
                <w:sz w:val="18"/>
                <w:szCs w:val="18"/>
              </w:rPr>
              <w:t>3</w:t>
            </w:r>
            <w:r>
              <w:rPr>
                <w:kern w:val="0"/>
                <w:sz w:val="18"/>
                <w:szCs w:val="18"/>
              </w:rPr>
              <w:t>.5 Hadoop 2.0访问接口</w:t>
            </w:r>
            <w:r>
              <w:rPr>
                <w:rFonts w:hint="eastAsia"/>
                <w:kern w:val="0"/>
                <w:sz w:val="18"/>
                <w:szCs w:val="18"/>
              </w:rPr>
              <w:t>。</w:t>
            </w:r>
          </w:p>
          <w:p>
            <w:pPr>
              <w:adjustRightInd w:val="0"/>
              <w:snapToGrid w:val="0"/>
              <w:spacing w:line="300" w:lineRule="auto"/>
              <w:rPr>
                <w:kern w:val="0"/>
                <w:sz w:val="18"/>
                <w:szCs w:val="18"/>
              </w:rPr>
            </w:pPr>
            <w:r>
              <w:rPr>
                <w:rFonts w:hint="eastAsia"/>
                <w:kern w:val="0"/>
                <w:sz w:val="18"/>
                <w:szCs w:val="18"/>
              </w:rPr>
              <w:t>3</w:t>
            </w:r>
            <w:r>
              <w:rPr>
                <w:kern w:val="0"/>
                <w:sz w:val="18"/>
                <w:szCs w:val="18"/>
              </w:rPr>
              <w:t>.6 Hadoop 2.0编程接口</w:t>
            </w:r>
            <w:r>
              <w:rPr>
                <w:rFonts w:hint="eastAsia"/>
                <w:kern w:val="0"/>
                <w:sz w:val="18"/>
                <w:szCs w:val="18"/>
              </w:rPr>
              <w:t>。</w:t>
            </w:r>
          </w:p>
        </w:tc>
        <w:tc>
          <w:tcPr>
            <w:tcW w:w="3259"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（1）了解Hadoop 2.0部署。</w:t>
            </w:r>
          </w:p>
          <w:p>
            <w:pPr>
              <w:adjustRightInd w:val="0"/>
              <w:snapToGrid w:val="0"/>
              <w:spacing w:line="300" w:lineRule="auto"/>
              <w:rPr>
                <w:kern w:val="0"/>
                <w:sz w:val="18"/>
                <w:szCs w:val="18"/>
              </w:rPr>
            </w:pPr>
            <w:r>
              <w:rPr>
                <w:kern w:val="0"/>
                <w:sz w:val="18"/>
                <w:szCs w:val="18"/>
              </w:rPr>
              <w:t>（2）理解Hadoop 2.0编程接口。</w:t>
            </w:r>
          </w:p>
          <w:p>
            <w:pPr>
              <w:adjustRightInd w:val="0"/>
              <w:snapToGrid w:val="0"/>
              <w:spacing w:line="300" w:lineRule="auto"/>
              <w:rPr>
                <w:kern w:val="0"/>
                <w:sz w:val="18"/>
                <w:szCs w:val="18"/>
              </w:rPr>
            </w:pPr>
            <w:r>
              <w:rPr>
                <w:kern w:val="0"/>
                <w:sz w:val="18"/>
                <w:szCs w:val="18"/>
              </w:rPr>
              <w:t>（3）掌握Hadoop 2.0体系架构和Hadoop 2.0编程接口。</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（1）完成教材第3章作业。</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601" w:type="dxa"/>
            <w:vAlign w:val="center"/>
          </w:tcPr>
          <w:p>
            <w:pPr>
              <w:adjustRightInd w:val="0"/>
              <w:snapToGrid w:val="0"/>
              <w:spacing w:line="300" w:lineRule="auto"/>
              <w:jc w:val="center"/>
              <w:rPr>
                <w:kern w:val="0"/>
                <w:sz w:val="18"/>
                <w:szCs w:val="18"/>
              </w:rPr>
            </w:pPr>
            <w:r>
              <w:rPr>
                <w:kern w:val="0"/>
                <w:sz w:val="18"/>
                <w:szCs w:val="18"/>
              </w:rPr>
              <w:t>8</w:t>
            </w:r>
          </w:p>
        </w:tc>
        <w:tc>
          <w:tcPr>
            <w:tcW w:w="996" w:type="dxa"/>
            <w:vAlign w:val="center"/>
          </w:tcPr>
          <w:p>
            <w:pPr>
              <w:adjustRightInd w:val="0"/>
              <w:snapToGrid w:val="0"/>
              <w:spacing w:line="300" w:lineRule="auto"/>
              <w:jc w:val="left"/>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4</w:t>
            </w:r>
          </w:p>
        </w:tc>
        <w:tc>
          <w:tcPr>
            <w:tcW w:w="2972" w:type="dxa"/>
            <w:vAlign w:val="center"/>
          </w:tcPr>
          <w:p>
            <w:pPr>
              <w:adjustRightInd w:val="0"/>
              <w:snapToGrid w:val="0"/>
              <w:spacing w:line="300" w:lineRule="auto"/>
              <w:rPr>
                <w:kern w:val="0"/>
                <w:sz w:val="18"/>
                <w:szCs w:val="18"/>
              </w:rPr>
            </w:pPr>
            <w:r>
              <w:rPr>
                <w:kern w:val="0"/>
                <w:sz w:val="18"/>
                <w:szCs w:val="18"/>
              </w:rPr>
              <w:t>4中国云计算技术</w:t>
            </w:r>
          </w:p>
          <w:p>
            <w:pPr>
              <w:adjustRightInd w:val="0"/>
              <w:snapToGrid w:val="0"/>
              <w:spacing w:line="300" w:lineRule="auto"/>
              <w:ind w:right="-31" w:rightChars="-15" w:firstLine="2"/>
              <w:rPr>
                <w:kern w:val="0"/>
                <w:sz w:val="18"/>
                <w:szCs w:val="18"/>
              </w:rPr>
            </w:pPr>
            <w:r>
              <w:rPr>
                <w:kern w:val="0"/>
                <w:sz w:val="18"/>
                <w:szCs w:val="18"/>
              </w:rPr>
              <w:t>4.1国内云计算发展概况</w:t>
            </w:r>
            <w:r>
              <w:rPr>
                <w:rFonts w:hint="eastAsia"/>
                <w:kern w:val="0"/>
                <w:sz w:val="18"/>
                <w:szCs w:val="18"/>
              </w:rPr>
              <w:t>。</w:t>
            </w:r>
          </w:p>
          <w:p>
            <w:pPr>
              <w:adjustRightInd w:val="0"/>
              <w:snapToGrid w:val="0"/>
              <w:spacing w:line="300" w:lineRule="auto"/>
              <w:ind w:right="-31" w:rightChars="-15" w:firstLine="2"/>
              <w:rPr>
                <w:kern w:val="0"/>
                <w:sz w:val="18"/>
                <w:szCs w:val="18"/>
              </w:rPr>
            </w:pPr>
            <w:r>
              <w:rPr>
                <w:kern w:val="0"/>
                <w:sz w:val="18"/>
                <w:szCs w:val="18"/>
              </w:rPr>
              <w:t>4.2国产云存储技术</w:t>
            </w:r>
            <w:r>
              <w:rPr>
                <w:rFonts w:hint="eastAsia"/>
                <w:kern w:val="0"/>
                <w:sz w:val="18"/>
                <w:szCs w:val="18"/>
              </w:rPr>
              <w:t>。</w:t>
            </w:r>
          </w:p>
          <w:p>
            <w:pPr>
              <w:adjustRightInd w:val="0"/>
              <w:snapToGrid w:val="0"/>
              <w:spacing w:line="300" w:lineRule="auto"/>
              <w:rPr>
                <w:kern w:val="0"/>
                <w:sz w:val="18"/>
                <w:szCs w:val="18"/>
              </w:rPr>
            </w:pPr>
            <w:r>
              <w:rPr>
                <w:kern w:val="0"/>
                <w:sz w:val="18"/>
                <w:szCs w:val="18"/>
              </w:rPr>
              <w:t>4.3国产大数据库技术。</w:t>
            </w:r>
          </w:p>
        </w:tc>
        <w:tc>
          <w:tcPr>
            <w:tcW w:w="3259"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（1）了解国内云计算发展概况。</w:t>
            </w:r>
          </w:p>
          <w:p>
            <w:pPr>
              <w:adjustRightInd w:val="0"/>
              <w:snapToGrid w:val="0"/>
              <w:spacing w:line="300" w:lineRule="auto"/>
              <w:rPr>
                <w:kern w:val="0"/>
                <w:sz w:val="18"/>
                <w:szCs w:val="18"/>
              </w:rPr>
            </w:pPr>
            <w:r>
              <w:rPr>
                <w:kern w:val="0"/>
                <w:sz w:val="18"/>
                <w:szCs w:val="18"/>
              </w:rPr>
              <w:t>（2）理解产云存储技术。</w:t>
            </w:r>
          </w:p>
          <w:p>
            <w:pPr>
              <w:adjustRightInd w:val="0"/>
              <w:snapToGrid w:val="0"/>
              <w:spacing w:line="300" w:lineRule="auto"/>
              <w:rPr>
                <w:kern w:val="0"/>
                <w:sz w:val="18"/>
                <w:szCs w:val="18"/>
              </w:rPr>
            </w:pPr>
            <w:r>
              <w:rPr>
                <w:kern w:val="0"/>
                <w:sz w:val="18"/>
                <w:szCs w:val="18"/>
              </w:rPr>
              <w:t>（3）国产大数据库技术。</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（1）完成教材第4章作业。</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601" w:type="dxa"/>
            <w:vAlign w:val="center"/>
          </w:tcPr>
          <w:p>
            <w:pPr>
              <w:adjustRightInd w:val="0"/>
              <w:snapToGrid w:val="0"/>
              <w:spacing w:line="300" w:lineRule="auto"/>
              <w:jc w:val="center"/>
              <w:rPr>
                <w:kern w:val="0"/>
                <w:sz w:val="18"/>
                <w:szCs w:val="18"/>
              </w:rPr>
            </w:pPr>
            <w:r>
              <w:rPr>
                <w:kern w:val="0"/>
                <w:sz w:val="18"/>
                <w:szCs w:val="18"/>
              </w:rPr>
              <w:t>2</w:t>
            </w:r>
          </w:p>
        </w:tc>
        <w:tc>
          <w:tcPr>
            <w:tcW w:w="996" w:type="dxa"/>
            <w:vAlign w:val="center"/>
          </w:tcPr>
          <w:p>
            <w:pPr>
              <w:adjustRightInd w:val="0"/>
              <w:snapToGrid w:val="0"/>
              <w:spacing w:line="300" w:lineRule="auto"/>
              <w:jc w:val="left"/>
              <w:rPr>
                <w:kern w:val="0"/>
                <w:sz w:val="18"/>
                <w:szCs w:val="18"/>
              </w:rPr>
            </w:pPr>
            <w:r>
              <w:rPr>
                <w:kern w:val="0"/>
                <w:sz w:val="18"/>
                <w:szCs w:val="18"/>
              </w:rPr>
              <w:t>1，2, 3</w:t>
            </w:r>
          </w:p>
        </w:tc>
      </w:tr>
    </w:tbl>
    <w:p>
      <w:pPr>
        <w:adjustRightInd w:val="0"/>
        <w:snapToGrid w:val="0"/>
        <w:spacing w:before="156" w:beforeLines="50" w:line="300" w:lineRule="auto"/>
        <w:ind w:firstLine="420" w:firstLineChars="200"/>
        <w:rPr>
          <w:szCs w:val="22"/>
        </w:rPr>
      </w:pPr>
      <w:r>
        <w:rPr>
          <w:szCs w:val="22"/>
        </w:rPr>
        <w:t>实验内容见表4所示。</w:t>
      </w:r>
    </w:p>
    <w:p>
      <w:pPr>
        <w:adjustRightInd w:val="0"/>
        <w:snapToGrid w:val="0"/>
        <w:spacing w:before="156" w:beforeLines="50" w:line="300" w:lineRule="auto"/>
        <w:jc w:val="center"/>
        <w:rPr>
          <w:b/>
          <w:bCs/>
          <w:sz w:val="18"/>
          <w:szCs w:val="18"/>
        </w:rPr>
      </w:pPr>
      <w:r>
        <w:rPr>
          <w:b/>
          <w:bCs/>
          <w:sz w:val="18"/>
          <w:szCs w:val="18"/>
        </w:rPr>
        <w:t>表4 实验安排表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80"/>
        <w:gridCol w:w="1794"/>
        <w:gridCol w:w="966"/>
        <w:gridCol w:w="976"/>
        <w:gridCol w:w="957"/>
        <w:gridCol w:w="966"/>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60" w:type="dxa"/>
            <w:vAlign w:val="center"/>
          </w:tcPr>
          <w:p>
            <w:pPr>
              <w:adjustRightInd w:val="0"/>
              <w:snapToGrid w:val="0"/>
              <w:spacing w:line="300" w:lineRule="auto"/>
              <w:rPr>
                <w:b/>
                <w:bCs/>
                <w:sz w:val="18"/>
                <w:szCs w:val="18"/>
              </w:rPr>
            </w:pPr>
            <w:r>
              <w:rPr>
                <w:b/>
                <w:bCs/>
                <w:kern w:val="0"/>
                <w:sz w:val="18"/>
                <w:szCs w:val="18"/>
              </w:rPr>
              <w:t>序号</w:t>
            </w:r>
          </w:p>
        </w:tc>
        <w:tc>
          <w:tcPr>
            <w:tcW w:w="1380" w:type="dxa"/>
            <w:vAlign w:val="center"/>
          </w:tcPr>
          <w:p>
            <w:pPr>
              <w:adjustRightInd w:val="0"/>
              <w:snapToGrid w:val="0"/>
              <w:spacing w:line="300" w:lineRule="auto"/>
              <w:jc w:val="center"/>
              <w:rPr>
                <w:b/>
                <w:bCs/>
                <w:sz w:val="18"/>
                <w:szCs w:val="18"/>
              </w:rPr>
            </w:pPr>
            <w:r>
              <w:rPr>
                <w:b/>
                <w:bCs/>
                <w:kern w:val="0"/>
                <w:sz w:val="18"/>
                <w:szCs w:val="18"/>
              </w:rPr>
              <w:t>实验项目名称</w:t>
            </w:r>
          </w:p>
        </w:tc>
        <w:tc>
          <w:tcPr>
            <w:tcW w:w="1794" w:type="dxa"/>
            <w:vAlign w:val="center"/>
          </w:tcPr>
          <w:p>
            <w:pPr>
              <w:adjustRightInd w:val="0"/>
              <w:snapToGrid w:val="0"/>
              <w:spacing w:line="300" w:lineRule="auto"/>
              <w:jc w:val="center"/>
              <w:rPr>
                <w:b/>
                <w:bCs/>
                <w:sz w:val="18"/>
                <w:szCs w:val="18"/>
              </w:rPr>
            </w:pPr>
            <w:r>
              <w:rPr>
                <w:b/>
                <w:bCs/>
                <w:kern w:val="0"/>
                <w:sz w:val="18"/>
                <w:szCs w:val="18"/>
              </w:rPr>
              <w:t>目的要求</w:t>
            </w:r>
          </w:p>
        </w:tc>
        <w:tc>
          <w:tcPr>
            <w:tcW w:w="966" w:type="dxa"/>
            <w:vAlign w:val="center"/>
          </w:tcPr>
          <w:p>
            <w:pPr>
              <w:adjustRightInd w:val="0"/>
              <w:snapToGrid w:val="0"/>
              <w:spacing w:line="300" w:lineRule="auto"/>
              <w:jc w:val="center"/>
              <w:rPr>
                <w:b/>
                <w:bCs/>
                <w:sz w:val="18"/>
                <w:szCs w:val="18"/>
              </w:rPr>
            </w:pPr>
            <w:r>
              <w:rPr>
                <w:b/>
                <w:bCs/>
                <w:kern w:val="0"/>
                <w:sz w:val="18"/>
                <w:szCs w:val="18"/>
              </w:rPr>
              <w:t>学时分配</w:t>
            </w:r>
          </w:p>
        </w:tc>
        <w:tc>
          <w:tcPr>
            <w:tcW w:w="976" w:type="dxa"/>
            <w:vAlign w:val="center"/>
          </w:tcPr>
          <w:p>
            <w:pPr>
              <w:adjustRightInd w:val="0"/>
              <w:snapToGrid w:val="0"/>
              <w:spacing w:line="300" w:lineRule="auto"/>
              <w:jc w:val="center"/>
              <w:rPr>
                <w:b/>
                <w:bCs/>
                <w:kern w:val="0"/>
                <w:sz w:val="18"/>
                <w:szCs w:val="18"/>
              </w:rPr>
            </w:pPr>
            <w:r>
              <w:rPr>
                <w:b/>
                <w:bCs/>
                <w:kern w:val="0"/>
                <w:sz w:val="18"/>
                <w:szCs w:val="18"/>
              </w:rPr>
              <w:t>实验类型</w:t>
            </w:r>
          </w:p>
        </w:tc>
        <w:tc>
          <w:tcPr>
            <w:tcW w:w="957" w:type="dxa"/>
            <w:vAlign w:val="center"/>
          </w:tcPr>
          <w:p>
            <w:pPr>
              <w:adjustRightInd w:val="0"/>
              <w:snapToGrid w:val="0"/>
              <w:spacing w:line="300" w:lineRule="auto"/>
              <w:jc w:val="center"/>
              <w:rPr>
                <w:b/>
                <w:bCs/>
                <w:kern w:val="0"/>
                <w:sz w:val="18"/>
                <w:szCs w:val="18"/>
              </w:rPr>
            </w:pPr>
            <w:r>
              <w:rPr>
                <w:b/>
                <w:bCs/>
                <w:kern w:val="0"/>
                <w:sz w:val="18"/>
                <w:szCs w:val="18"/>
              </w:rPr>
              <w:t>每组人数</w:t>
            </w:r>
          </w:p>
        </w:tc>
        <w:tc>
          <w:tcPr>
            <w:tcW w:w="966"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b/>
                <w:bCs/>
                <w:kern w:val="0"/>
                <w:sz w:val="18"/>
                <w:szCs w:val="18"/>
              </w:rPr>
            </w:pPr>
            <w:r>
              <w:rPr>
                <w:b/>
                <w:bCs/>
                <w:kern w:val="0"/>
                <w:sz w:val="18"/>
                <w:szCs w:val="18"/>
              </w:rPr>
              <w:t>选开</w:t>
            </w:r>
          </w:p>
        </w:tc>
        <w:tc>
          <w:tcPr>
            <w:tcW w:w="597" w:type="dxa"/>
            <w:vAlign w:val="center"/>
          </w:tcPr>
          <w:p>
            <w:pPr>
              <w:adjustRightInd w:val="0"/>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Align w:val="center"/>
          </w:tcPr>
          <w:p>
            <w:pPr>
              <w:adjustRightInd w:val="0"/>
              <w:snapToGrid w:val="0"/>
              <w:spacing w:line="300" w:lineRule="auto"/>
              <w:jc w:val="center"/>
              <w:rPr>
                <w:kern w:val="0"/>
                <w:sz w:val="18"/>
                <w:szCs w:val="18"/>
              </w:rPr>
            </w:pPr>
            <w:r>
              <w:rPr>
                <w:rFonts w:hint="eastAsia"/>
                <w:kern w:val="0"/>
                <w:sz w:val="18"/>
                <w:szCs w:val="18"/>
              </w:rPr>
              <w:t>1</w:t>
            </w:r>
          </w:p>
        </w:tc>
        <w:tc>
          <w:tcPr>
            <w:tcW w:w="1380" w:type="dxa"/>
            <w:vAlign w:val="center"/>
          </w:tcPr>
          <w:p>
            <w:pPr>
              <w:adjustRightInd w:val="0"/>
              <w:snapToGrid w:val="0"/>
              <w:spacing w:line="300" w:lineRule="auto"/>
              <w:rPr>
                <w:kern w:val="0"/>
                <w:sz w:val="18"/>
                <w:szCs w:val="18"/>
              </w:rPr>
            </w:pPr>
            <w:r>
              <w:rPr>
                <w:kern w:val="0"/>
                <w:sz w:val="18"/>
                <w:szCs w:val="18"/>
              </w:rPr>
              <w:t>linux和hadoop系统</w:t>
            </w:r>
            <w:r>
              <w:rPr>
                <w:rFonts w:hint="eastAsia"/>
                <w:kern w:val="0"/>
                <w:sz w:val="18"/>
                <w:szCs w:val="18"/>
              </w:rPr>
              <w:t>安装</w:t>
            </w:r>
          </w:p>
        </w:tc>
        <w:tc>
          <w:tcPr>
            <w:tcW w:w="1794" w:type="dxa"/>
            <w:vAlign w:val="center"/>
          </w:tcPr>
          <w:p>
            <w:pPr>
              <w:adjustRightInd w:val="0"/>
              <w:snapToGrid w:val="0"/>
              <w:spacing w:line="300" w:lineRule="auto"/>
              <w:rPr>
                <w:kern w:val="0"/>
                <w:sz w:val="18"/>
                <w:szCs w:val="18"/>
              </w:rPr>
            </w:pPr>
            <w:r>
              <w:rPr>
                <w:kern w:val="0"/>
                <w:sz w:val="18"/>
                <w:szCs w:val="18"/>
              </w:rPr>
              <w:t xml:space="preserve">按照实验指导书在PC机上安装linux虚拟机和hadoop系统； </w:t>
            </w:r>
          </w:p>
        </w:tc>
        <w:tc>
          <w:tcPr>
            <w:tcW w:w="966" w:type="dxa"/>
            <w:vAlign w:val="center"/>
          </w:tcPr>
          <w:p>
            <w:pPr>
              <w:adjustRightInd w:val="0"/>
              <w:snapToGrid w:val="0"/>
              <w:spacing w:line="300" w:lineRule="auto"/>
              <w:jc w:val="center"/>
              <w:rPr>
                <w:kern w:val="0"/>
                <w:sz w:val="18"/>
                <w:szCs w:val="18"/>
              </w:rPr>
            </w:pPr>
            <w:r>
              <w:rPr>
                <w:kern w:val="0"/>
                <w:sz w:val="18"/>
                <w:szCs w:val="18"/>
              </w:rPr>
              <w:t>2</w:t>
            </w:r>
          </w:p>
        </w:tc>
        <w:tc>
          <w:tcPr>
            <w:tcW w:w="976" w:type="dxa"/>
            <w:vAlign w:val="center"/>
          </w:tcPr>
          <w:p>
            <w:pPr>
              <w:adjustRightInd w:val="0"/>
              <w:snapToGrid w:val="0"/>
              <w:spacing w:line="300" w:lineRule="auto"/>
              <w:jc w:val="center"/>
              <w:rPr>
                <w:kern w:val="0"/>
                <w:sz w:val="18"/>
                <w:szCs w:val="18"/>
              </w:rPr>
            </w:pPr>
            <w:r>
              <w:rPr>
                <w:kern w:val="0"/>
                <w:sz w:val="18"/>
                <w:szCs w:val="18"/>
              </w:rPr>
              <w:t>验证</w:t>
            </w:r>
          </w:p>
        </w:tc>
        <w:tc>
          <w:tcPr>
            <w:tcW w:w="957" w:type="dxa"/>
            <w:vAlign w:val="center"/>
          </w:tcPr>
          <w:p>
            <w:pPr>
              <w:adjustRightInd w:val="0"/>
              <w:snapToGrid w:val="0"/>
              <w:spacing w:line="300" w:lineRule="auto"/>
              <w:jc w:val="center"/>
              <w:rPr>
                <w:kern w:val="0"/>
                <w:sz w:val="18"/>
                <w:szCs w:val="18"/>
              </w:rPr>
            </w:pPr>
            <w:r>
              <w:rPr>
                <w:kern w:val="0"/>
                <w:sz w:val="18"/>
                <w:szCs w:val="18"/>
              </w:rPr>
              <w:t>1</w:t>
            </w:r>
          </w:p>
        </w:tc>
        <w:tc>
          <w:tcPr>
            <w:tcW w:w="966" w:type="dxa"/>
            <w:vAlign w:val="center"/>
          </w:tcPr>
          <w:p>
            <w:pPr>
              <w:adjustRightInd w:val="0"/>
              <w:snapToGrid w:val="0"/>
              <w:spacing w:line="300" w:lineRule="auto"/>
              <w:jc w:val="center"/>
              <w:rPr>
                <w:kern w:val="0"/>
                <w:sz w:val="18"/>
                <w:szCs w:val="18"/>
              </w:rPr>
            </w:pPr>
            <w:r>
              <w:rPr>
                <w:kern w:val="0"/>
                <w:sz w:val="18"/>
                <w:szCs w:val="18"/>
              </w:rPr>
              <w:t>必开</w:t>
            </w:r>
          </w:p>
        </w:tc>
        <w:tc>
          <w:tcPr>
            <w:tcW w:w="597" w:type="dxa"/>
            <w:vAlign w:val="center"/>
          </w:tcPr>
          <w:p>
            <w:pPr>
              <w:adjustRightInd w:val="0"/>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0" w:type="dxa"/>
            <w:vAlign w:val="center"/>
          </w:tcPr>
          <w:p>
            <w:pPr>
              <w:adjustRightInd w:val="0"/>
              <w:snapToGrid w:val="0"/>
              <w:spacing w:line="300" w:lineRule="auto"/>
              <w:jc w:val="center"/>
              <w:rPr>
                <w:kern w:val="0"/>
                <w:sz w:val="18"/>
                <w:szCs w:val="18"/>
              </w:rPr>
            </w:pPr>
            <w:r>
              <w:rPr>
                <w:kern w:val="0"/>
                <w:sz w:val="18"/>
                <w:szCs w:val="18"/>
              </w:rPr>
              <w:t>2</w:t>
            </w:r>
          </w:p>
        </w:tc>
        <w:tc>
          <w:tcPr>
            <w:tcW w:w="1380" w:type="dxa"/>
            <w:vAlign w:val="center"/>
          </w:tcPr>
          <w:p>
            <w:pPr>
              <w:adjustRightInd w:val="0"/>
              <w:snapToGrid w:val="0"/>
              <w:spacing w:line="300" w:lineRule="auto"/>
              <w:rPr>
                <w:kern w:val="0"/>
                <w:sz w:val="18"/>
                <w:szCs w:val="18"/>
              </w:rPr>
            </w:pPr>
            <w:r>
              <w:rPr>
                <w:rFonts w:hint="eastAsia"/>
                <w:kern w:val="0"/>
                <w:sz w:val="18"/>
                <w:szCs w:val="18"/>
              </w:rPr>
              <w:t>Linux操作和Hadoop编程</w:t>
            </w:r>
          </w:p>
        </w:tc>
        <w:tc>
          <w:tcPr>
            <w:tcW w:w="1794" w:type="dxa"/>
            <w:vAlign w:val="center"/>
          </w:tcPr>
          <w:p>
            <w:pPr>
              <w:adjustRightInd w:val="0"/>
              <w:snapToGrid w:val="0"/>
              <w:spacing w:line="300" w:lineRule="auto"/>
              <w:rPr>
                <w:kern w:val="0"/>
                <w:sz w:val="18"/>
                <w:szCs w:val="18"/>
              </w:rPr>
            </w:pPr>
            <w:r>
              <w:rPr>
                <w:rFonts w:hint="eastAsia"/>
                <w:kern w:val="0"/>
                <w:sz w:val="18"/>
                <w:szCs w:val="18"/>
              </w:rPr>
              <w:t>熟悉常用的Linux</w:t>
            </w:r>
            <w:r>
              <w:rPr>
                <w:kern w:val="0"/>
                <w:sz w:val="18"/>
                <w:szCs w:val="18"/>
              </w:rPr>
              <w:t>按照实验指导书进行</w:t>
            </w:r>
            <w:r>
              <w:rPr>
                <w:rFonts w:hint="eastAsia"/>
                <w:kern w:val="0"/>
                <w:sz w:val="18"/>
                <w:szCs w:val="18"/>
              </w:rPr>
              <w:t>操作和简单的Hadoop编程。</w:t>
            </w:r>
          </w:p>
        </w:tc>
        <w:tc>
          <w:tcPr>
            <w:tcW w:w="966" w:type="dxa"/>
            <w:vAlign w:val="center"/>
          </w:tcPr>
          <w:p>
            <w:pPr>
              <w:adjustRightInd w:val="0"/>
              <w:snapToGrid w:val="0"/>
              <w:spacing w:line="300" w:lineRule="auto"/>
              <w:jc w:val="center"/>
              <w:rPr>
                <w:kern w:val="0"/>
                <w:sz w:val="18"/>
                <w:szCs w:val="18"/>
              </w:rPr>
            </w:pPr>
            <w:r>
              <w:rPr>
                <w:kern w:val="0"/>
                <w:sz w:val="18"/>
                <w:szCs w:val="18"/>
              </w:rPr>
              <w:t>2</w:t>
            </w:r>
          </w:p>
        </w:tc>
        <w:tc>
          <w:tcPr>
            <w:tcW w:w="976" w:type="dxa"/>
            <w:vAlign w:val="center"/>
          </w:tcPr>
          <w:p>
            <w:pPr>
              <w:adjustRightInd w:val="0"/>
              <w:snapToGrid w:val="0"/>
              <w:spacing w:line="300" w:lineRule="auto"/>
              <w:jc w:val="center"/>
              <w:rPr>
                <w:kern w:val="0"/>
                <w:sz w:val="18"/>
                <w:szCs w:val="18"/>
              </w:rPr>
            </w:pPr>
            <w:r>
              <w:rPr>
                <w:kern w:val="0"/>
                <w:sz w:val="18"/>
                <w:szCs w:val="18"/>
              </w:rPr>
              <w:t>验证</w:t>
            </w:r>
          </w:p>
        </w:tc>
        <w:tc>
          <w:tcPr>
            <w:tcW w:w="957" w:type="dxa"/>
            <w:vAlign w:val="center"/>
          </w:tcPr>
          <w:p>
            <w:pPr>
              <w:adjustRightInd w:val="0"/>
              <w:snapToGrid w:val="0"/>
              <w:spacing w:line="300" w:lineRule="auto"/>
              <w:jc w:val="center"/>
              <w:rPr>
                <w:kern w:val="0"/>
                <w:sz w:val="18"/>
                <w:szCs w:val="18"/>
              </w:rPr>
            </w:pPr>
            <w:r>
              <w:rPr>
                <w:kern w:val="0"/>
                <w:sz w:val="18"/>
                <w:szCs w:val="18"/>
              </w:rPr>
              <w:t>1</w:t>
            </w:r>
          </w:p>
        </w:tc>
        <w:tc>
          <w:tcPr>
            <w:tcW w:w="966" w:type="dxa"/>
            <w:vAlign w:val="center"/>
          </w:tcPr>
          <w:p>
            <w:pPr>
              <w:adjustRightInd w:val="0"/>
              <w:snapToGrid w:val="0"/>
              <w:spacing w:line="300" w:lineRule="auto"/>
              <w:jc w:val="center"/>
              <w:rPr>
                <w:kern w:val="0"/>
                <w:sz w:val="18"/>
                <w:szCs w:val="18"/>
              </w:rPr>
            </w:pPr>
            <w:r>
              <w:rPr>
                <w:kern w:val="0"/>
                <w:sz w:val="18"/>
                <w:szCs w:val="18"/>
              </w:rPr>
              <w:t>必开</w:t>
            </w:r>
          </w:p>
        </w:tc>
        <w:tc>
          <w:tcPr>
            <w:tcW w:w="597" w:type="dxa"/>
            <w:vAlign w:val="center"/>
          </w:tcPr>
          <w:p>
            <w:pPr>
              <w:adjustRightInd w:val="0"/>
              <w:snapToGrid w:val="0"/>
              <w:spacing w:line="300" w:lineRule="auto"/>
              <w:jc w:val="left"/>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60" w:type="dxa"/>
            <w:vAlign w:val="center"/>
          </w:tcPr>
          <w:p>
            <w:pPr>
              <w:adjustRightInd w:val="0"/>
              <w:snapToGrid w:val="0"/>
              <w:spacing w:line="300" w:lineRule="auto"/>
              <w:jc w:val="center"/>
              <w:rPr>
                <w:kern w:val="0"/>
                <w:sz w:val="18"/>
                <w:szCs w:val="18"/>
              </w:rPr>
            </w:pPr>
            <w:r>
              <w:rPr>
                <w:kern w:val="0"/>
                <w:sz w:val="18"/>
                <w:szCs w:val="18"/>
              </w:rPr>
              <w:t>3</w:t>
            </w:r>
          </w:p>
        </w:tc>
        <w:tc>
          <w:tcPr>
            <w:tcW w:w="1380" w:type="dxa"/>
            <w:vAlign w:val="center"/>
          </w:tcPr>
          <w:p>
            <w:pPr>
              <w:adjustRightInd w:val="0"/>
              <w:snapToGrid w:val="0"/>
              <w:spacing w:line="300" w:lineRule="auto"/>
              <w:rPr>
                <w:kern w:val="0"/>
                <w:sz w:val="18"/>
                <w:szCs w:val="18"/>
              </w:rPr>
            </w:pPr>
            <w:r>
              <w:rPr>
                <w:kern w:val="0"/>
                <w:sz w:val="18"/>
                <w:szCs w:val="18"/>
              </w:rPr>
              <w:t>HDFS</w:t>
            </w:r>
            <w:r>
              <w:rPr>
                <w:rFonts w:hint="eastAsia"/>
                <w:kern w:val="0"/>
                <w:sz w:val="18"/>
                <w:szCs w:val="18"/>
              </w:rPr>
              <w:t>编程</w:t>
            </w:r>
          </w:p>
        </w:tc>
        <w:tc>
          <w:tcPr>
            <w:tcW w:w="1794" w:type="dxa"/>
            <w:vAlign w:val="center"/>
          </w:tcPr>
          <w:p>
            <w:pPr>
              <w:adjustRightInd w:val="0"/>
              <w:snapToGrid w:val="0"/>
              <w:spacing w:line="300" w:lineRule="auto"/>
              <w:rPr>
                <w:kern w:val="0"/>
                <w:sz w:val="18"/>
                <w:szCs w:val="18"/>
              </w:rPr>
            </w:pPr>
            <w:r>
              <w:rPr>
                <w:kern w:val="0"/>
                <w:sz w:val="18"/>
                <w:szCs w:val="18"/>
              </w:rPr>
              <w:t>按照实验指导书进行</w:t>
            </w:r>
            <w:r>
              <w:rPr>
                <w:rFonts w:hint="eastAsia"/>
                <w:kern w:val="0"/>
                <w:sz w:val="18"/>
                <w:szCs w:val="18"/>
              </w:rPr>
              <w:t>简单</w:t>
            </w:r>
            <w:r>
              <w:rPr>
                <w:kern w:val="0"/>
                <w:sz w:val="18"/>
                <w:szCs w:val="18"/>
              </w:rPr>
              <w:t>的HDFS</w:t>
            </w:r>
            <w:r>
              <w:rPr>
                <w:rFonts w:hint="eastAsia"/>
                <w:kern w:val="0"/>
                <w:sz w:val="18"/>
                <w:szCs w:val="18"/>
              </w:rPr>
              <w:t>编程。</w:t>
            </w:r>
            <w:r>
              <w:rPr>
                <w:kern w:val="0"/>
                <w:sz w:val="18"/>
                <w:szCs w:val="18"/>
              </w:rPr>
              <w:t>。</w:t>
            </w:r>
          </w:p>
        </w:tc>
        <w:tc>
          <w:tcPr>
            <w:tcW w:w="966" w:type="dxa"/>
            <w:vAlign w:val="center"/>
          </w:tcPr>
          <w:p>
            <w:pPr>
              <w:adjustRightInd w:val="0"/>
              <w:snapToGrid w:val="0"/>
              <w:spacing w:line="300" w:lineRule="auto"/>
              <w:jc w:val="center"/>
              <w:rPr>
                <w:kern w:val="0"/>
                <w:sz w:val="18"/>
                <w:szCs w:val="18"/>
              </w:rPr>
            </w:pPr>
            <w:r>
              <w:rPr>
                <w:kern w:val="0"/>
                <w:sz w:val="18"/>
                <w:szCs w:val="18"/>
              </w:rPr>
              <w:t>2</w:t>
            </w:r>
          </w:p>
        </w:tc>
        <w:tc>
          <w:tcPr>
            <w:tcW w:w="976" w:type="dxa"/>
            <w:vAlign w:val="center"/>
          </w:tcPr>
          <w:p>
            <w:pPr>
              <w:adjustRightInd w:val="0"/>
              <w:snapToGrid w:val="0"/>
              <w:spacing w:line="300" w:lineRule="auto"/>
              <w:jc w:val="center"/>
              <w:rPr>
                <w:kern w:val="0"/>
                <w:sz w:val="18"/>
                <w:szCs w:val="18"/>
              </w:rPr>
            </w:pPr>
            <w:r>
              <w:rPr>
                <w:kern w:val="0"/>
                <w:sz w:val="18"/>
                <w:szCs w:val="18"/>
              </w:rPr>
              <w:t>验证</w:t>
            </w:r>
          </w:p>
        </w:tc>
        <w:tc>
          <w:tcPr>
            <w:tcW w:w="957" w:type="dxa"/>
            <w:vAlign w:val="center"/>
          </w:tcPr>
          <w:p>
            <w:pPr>
              <w:adjustRightInd w:val="0"/>
              <w:snapToGrid w:val="0"/>
              <w:spacing w:line="300" w:lineRule="auto"/>
              <w:jc w:val="center"/>
              <w:rPr>
                <w:kern w:val="0"/>
                <w:sz w:val="18"/>
                <w:szCs w:val="18"/>
              </w:rPr>
            </w:pPr>
            <w:r>
              <w:rPr>
                <w:kern w:val="0"/>
                <w:sz w:val="18"/>
                <w:szCs w:val="18"/>
              </w:rPr>
              <w:t>1</w:t>
            </w:r>
          </w:p>
        </w:tc>
        <w:tc>
          <w:tcPr>
            <w:tcW w:w="966" w:type="dxa"/>
            <w:vAlign w:val="center"/>
          </w:tcPr>
          <w:p>
            <w:pPr>
              <w:adjustRightInd w:val="0"/>
              <w:snapToGrid w:val="0"/>
              <w:spacing w:line="300" w:lineRule="auto"/>
              <w:jc w:val="center"/>
              <w:rPr>
                <w:kern w:val="0"/>
                <w:sz w:val="18"/>
                <w:szCs w:val="18"/>
              </w:rPr>
            </w:pPr>
            <w:r>
              <w:rPr>
                <w:kern w:val="0"/>
                <w:sz w:val="18"/>
                <w:szCs w:val="18"/>
              </w:rPr>
              <w:t>必开</w:t>
            </w:r>
          </w:p>
        </w:tc>
        <w:tc>
          <w:tcPr>
            <w:tcW w:w="597" w:type="dxa"/>
            <w:vAlign w:val="center"/>
          </w:tcPr>
          <w:p>
            <w:pPr>
              <w:adjustRightInd w:val="0"/>
              <w:snapToGrid w:val="0"/>
              <w:spacing w:line="300" w:lineRule="auto"/>
              <w:jc w:val="left"/>
              <w:rPr>
                <w:kern w:val="0"/>
                <w:sz w:val="18"/>
                <w:szCs w:val="18"/>
              </w:rPr>
            </w:pPr>
            <w:r>
              <w:rPr>
                <w:kern w:val="0"/>
                <w:sz w:val="18"/>
                <w:szCs w:val="18"/>
              </w:rPr>
              <w:t>1，2</w:t>
            </w:r>
          </w:p>
        </w:tc>
      </w:tr>
    </w:tbl>
    <w:p>
      <w:pPr>
        <w:adjustRightInd w:val="0"/>
        <w:snapToGrid w:val="0"/>
        <w:spacing w:before="156" w:beforeLines="50" w:after="156" w:afterLines="50" w:line="300" w:lineRule="auto"/>
        <w:rPr>
          <w:b/>
          <w:sz w:val="24"/>
          <w:szCs w:val="22"/>
        </w:rPr>
      </w:pPr>
      <w:r>
        <w:rPr>
          <w:b/>
          <w:sz w:val="24"/>
          <w:szCs w:val="22"/>
        </w:rPr>
        <w:t>五、课程考核及成绩评定</w:t>
      </w:r>
    </w:p>
    <w:p>
      <w:pPr>
        <w:adjustRightInd w:val="0"/>
        <w:snapToGrid w:val="0"/>
        <w:spacing w:line="300" w:lineRule="auto"/>
        <w:ind w:firstLine="420" w:firstLineChars="200"/>
        <w:rPr>
          <w:szCs w:val="22"/>
        </w:rPr>
      </w:pPr>
      <w:r>
        <w:rPr>
          <w:szCs w:val="22"/>
        </w:rPr>
        <w:t>1．考核方式：开卷笔试</w:t>
      </w:r>
      <w:r>
        <w:rPr>
          <w:rFonts w:hint="eastAsia"/>
          <w:szCs w:val="22"/>
        </w:rPr>
        <w:t>、</w:t>
      </w:r>
      <w:r>
        <w:rPr>
          <w:szCs w:val="22"/>
        </w:rPr>
        <w:t>平时表现和作业</w:t>
      </w:r>
      <w:r>
        <w:rPr>
          <w:rFonts w:hint="eastAsia"/>
          <w:szCs w:val="22"/>
        </w:rPr>
        <w:t>及</w:t>
      </w:r>
      <w:r>
        <w:rPr>
          <w:szCs w:val="22"/>
        </w:rPr>
        <w:t>实验。</w:t>
      </w:r>
    </w:p>
    <w:p>
      <w:pPr>
        <w:adjustRightInd w:val="0"/>
        <w:snapToGrid w:val="0"/>
        <w:spacing w:line="300" w:lineRule="auto"/>
        <w:ind w:firstLine="420" w:firstLineChars="200"/>
        <w:rPr>
          <w:szCs w:val="22"/>
        </w:rPr>
      </w:pPr>
      <w:r>
        <w:rPr>
          <w:szCs w:val="22"/>
        </w:rPr>
        <w:t>2．成绩构成：笔试成绩60%，平时成绩40%（课后作业、课堂表现、实验等）。</w:t>
      </w:r>
    </w:p>
    <w:p>
      <w:pPr>
        <w:adjustRightInd w:val="0"/>
        <w:snapToGrid w:val="0"/>
        <w:spacing w:line="300" w:lineRule="auto"/>
        <w:ind w:firstLine="420" w:firstLineChars="200"/>
        <w:rPr>
          <w:szCs w:val="22"/>
        </w:rPr>
      </w:pPr>
      <w:r>
        <w:rPr>
          <w:szCs w:val="22"/>
        </w:rP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8"/>
        <w:gridCol w:w="993"/>
        <w:gridCol w:w="850"/>
        <w:gridCol w:w="2619"/>
        <w:gridCol w:w="1004"/>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09"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709" w:type="dxa"/>
            <w:vAlign w:val="center"/>
          </w:tcPr>
          <w:p>
            <w:pPr>
              <w:adjustRightInd w:val="0"/>
              <w:snapToGrid w:val="0"/>
              <w:spacing w:line="300" w:lineRule="auto"/>
              <w:jc w:val="center"/>
              <w:rPr>
                <w:b/>
                <w:bCs/>
                <w:sz w:val="18"/>
                <w:szCs w:val="18"/>
              </w:rPr>
            </w:pPr>
            <w:r>
              <w:rPr>
                <w:b/>
                <w:bCs/>
                <w:sz w:val="18"/>
                <w:szCs w:val="18"/>
              </w:rPr>
              <w:t>分值</w:t>
            </w:r>
          </w:p>
        </w:tc>
        <w:tc>
          <w:tcPr>
            <w:tcW w:w="708" w:type="dxa"/>
            <w:vAlign w:val="center"/>
          </w:tcPr>
          <w:p>
            <w:pPr>
              <w:adjustRightInd w:val="0"/>
              <w:snapToGrid w:val="0"/>
              <w:spacing w:line="300" w:lineRule="auto"/>
              <w:jc w:val="center"/>
              <w:rPr>
                <w:b/>
                <w:bCs/>
                <w:sz w:val="18"/>
                <w:szCs w:val="18"/>
              </w:rPr>
            </w:pPr>
            <w:r>
              <w:rPr>
                <w:b/>
                <w:bCs/>
                <w:sz w:val="18"/>
                <w:szCs w:val="18"/>
              </w:rPr>
              <w:t>权重</w:t>
            </w:r>
          </w:p>
        </w:tc>
        <w:tc>
          <w:tcPr>
            <w:tcW w:w="993" w:type="dxa"/>
            <w:vAlign w:val="center"/>
          </w:tcPr>
          <w:p>
            <w:pPr>
              <w:adjustRightInd w:val="0"/>
              <w:snapToGrid w:val="0"/>
              <w:spacing w:line="300" w:lineRule="auto"/>
              <w:jc w:val="center"/>
              <w:rPr>
                <w:b/>
                <w:bCs/>
                <w:sz w:val="18"/>
                <w:szCs w:val="18"/>
              </w:rPr>
            </w:pPr>
            <w:r>
              <w:rPr>
                <w:b/>
                <w:bCs/>
                <w:sz w:val="18"/>
                <w:szCs w:val="18"/>
              </w:rPr>
              <w:t>类别</w:t>
            </w:r>
          </w:p>
        </w:tc>
        <w:tc>
          <w:tcPr>
            <w:tcW w:w="850" w:type="dxa"/>
            <w:vAlign w:val="center"/>
          </w:tcPr>
          <w:p>
            <w:pPr>
              <w:adjustRightInd w:val="0"/>
              <w:snapToGrid w:val="0"/>
              <w:spacing w:line="300" w:lineRule="auto"/>
              <w:jc w:val="center"/>
              <w:rPr>
                <w:b/>
                <w:bCs/>
                <w:sz w:val="18"/>
                <w:szCs w:val="18"/>
              </w:rPr>
            </w:pPr>
            <w:r>
              <w:rPr>
                <w:b/>
                <w:bCs/>
                <w:sz w:val="18"/>
                <w:szCs w:val="18"/>
              </w:rPr>
              <w:t>权重</w:t>
            </w:r>
          </w:p>
        </w:tc>
        <w:tc>
          <w:tcPr>
            <w:tcW w:w="2619" w:type="dxa"/>
            <w:vAlign w:val="center"/>
          </w:tcPr>
          <w:p>
            <w:pPr>
              <w:adjustRightInd w:val="0"/>
              <w:snapToGrid w:val="0"/>
              <w:spacing w:line="300" w:lineRule="auto"/>
              <w:jc w:val="center"/>
              <w:rPr>
                <w:b/>
                <w:bCs/>
                <w:sz w:val="18"/>
                <w:szCs w:val="18"/>
              </w:rPr>
            </w:pPr>
            <w:r>
              <w:rPr>
                <w:b/>
                <w:bCs/>
                <w:sz w:val="18"/>
                <w:szCs w:val="18"/>
              </w:rPr>
              <w:t>考核/评价细则</w:t>
            </w:r>
          </w:p>
        </w:tc>
        <w:tc>
          <w:tcPr>
            <w:tcW w:w="1004" w:type="dxa"/>
            <w:vAlign w:val="center"/>
          </w:tcPr>
          <w:p>
            <w:pPr>
              <w:adjustRightInd w:val="0"/>
              <w:snapToGrid w:val="0"/>
              <w:spacing w:line="300" w:lineRule="auto"/>
              <w:jc w:val="center"/>
              <w:rPr>
                <w:b/>
                <w:bCs/>
                <w:sz w:val="18"/>
                <w:szCs w:val="18"/>
              </w:rPr>
            </w:pPr>
            <w:r>
              <w:rPr>
                <w:b/>
                <w:bCs/>
                <w:sz w:val="18"/>
                <w:szCs w:val="18"/>
              </w:rPr>
              <w:t>课程目标</w:t>
            </w:r>
          </w:p>
        </w:tc>
        <w:tc>
          <w:tcPr>
            <w:tcW w:w="1004" w:type="dxa"/>
            <w:vAlign w:val="center"/>
          </w:tcPr>
          <w:p>
            <w:pPr>
              <w:adjustRightInd w:val="0"/>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adjustRightInd w:val="0"/>
              <w:snapToGrid w:val="0"/>
              <w:spacing w:line="300" w:lineRule="auto"/>
              <w:rPr>
                <w:sz w:val="18"/>
                <w:szCs w:val="18"/>
              </w:rPr>
            </w:pPr>
            <w:r>
              <w:rPr>
                <w:sz w:val="18"/>
                <w:szCs w:val="18"/>
              </w:rPr>
              <w:t>平时</w:t>
            </w:r>
          </w:p>
          <w:p>
            <w:pPr>
              <w:adjustRightInd w:val="0"/>
              <w:snapToGrid w:val="0"/>
              <w:spacing w:line="300" w:lineRule="auto"/>
              <w:rPr>
                <w:sz w:val="18"/>
                <w:szCs w:val="18"/>
              </w:rPr>
            </w:pPr>
            <w:r>
              <w:rPr>
                <w:sz w:val="18"/>
                <w:szCs w:val="18"/>
              </w:rPr>
              <w:t>成绩</w:t>
            </w:r>
          </w:p>
        </w:tc>
        <w:tc>
          <w:tcPr>
            <w:tcW w:w="709" w:type="dxa"/>
            <w:vMerge w:val="restart"/>
            <w:vAlign w:val="center"/>
          </w:tcPr>
          <w:p>
            <w:pPr>
              <w:adjustRightInd w:val="0"/>
              <w:snapToGrid w:val="0"/>
              <w:spacing w:line="300" w:lineRule="auto"/>
              <w:jc w:val="center"/>
              <w:rPr>
                <w:sz w:val="18"/>
                <w:szCs w:val="18"/>
              </w:rPr>
            </w:pPr>
            <w:r>
              <w:rPr>
                <w:sz w:val="18"/>
                <w:szCs w:val="18"/>
              </w:rPr>
              <w:t>100</w:t>
            </w:r>
          </w:p>
        </w:tc>
        <w:tc>
          <w:tcPr>
            <w:tcW w:w="708" w:type="dxa"/>
            <w:vMerge w:val="restart"/>
            <w:vAlign w:val="center"/>
          </w:tcPr>
          <w:p>
            <w:pPr>
              <w:adjustRightInd w:val="0"/>
              <w:snapToGrid w:val="0"/>
              <w:spacing w:line="300" w:lineRule="auto"/>
              <w:jc w:val="center"/>
              <w:rPr>
                <w:sz w:val="18"/>
                <w:szCs w:val="18"/>
              </w:rPr>
            </w:pPr>
            <w:r>
              <w:rPr>
                <w:sz w:val="18"/>
                <w:szCs w:val="18"/>
              </w:rPr>
              <w:t>0.4</w:t>
            </w:r>
          </w:p>
        </w:tc>
        <w:tc>
          <w:tcPr>
            <w:tcW w:w="993" w:type="dxa"/>
            <w:vAlign w:val="center"/>
          </w:tcPr>
          <w:p>
            <w:pPr>
              <w:adjustRightInd w:val="0"/>
              <w:snapToGrid w:val="0"/>
              <w:spacing w:line="300" w:lineRule="auto"/>
              <w:jc w:val="center"/>
              <w:rPr>
                <w:sz w:val="18"/>
                <w:szCs w:val="18"/>
              </w:rPr>
            </w:pPr>
            <w:r>
              <w:rPr>
                <w:sz w:val="18"/>
                <w:szCs w:val="18"/>
              </w:rPr>
              <w:t>课堂表现与作业</w:t>
            </w:r>
          </w:p>
        </w:tc>
        <w:tc>
          <w:tcPr>
            <w:tcW w:w="850" w:type="dxa"/>
            <w:vAlign w:val="center"/>
          </w:tcPr>
          <w:p>
            <w:pPr>
              <w:adjustRightInd w:val="0"/>
              <w:snapToGrid w:val="0"/>
              <w:spacing w:line="300" w:lineRule="auto"/>
              <w:jc w:val="center"/>
              <w:rPr>
                <w:sz w:val="18"/>
                <w:szCs w:val="18"/>
              </w:rPr>
            </w:pPr>
            <w:r>
              <w:rPr>
                <w:sz w:val="18"/>
                <w:szCs w:val="18"/>
              </w:rPr>
              <w:t>0.5</w:t>
            </w:r>
          </w:p>
        </w:tc>
        <w:tc>
          <w:tcPr>
            <w:tcW w:w="2619" w:type="dxa"/>
            <w:vAlign w:val="center"/>
          </w:tcPr>
          <w:p>
            <w:pPr>
              <w:adjustRightInd w:val="0"/>
              <w:snapToGrid w:val="0"/>
              <w:spacing w:line="300" w:lineRule="auto"/>
              <w:rPr>
                <w:sz w:val="18"/>
                <w:szCs w:val="18"/>
              </w:rPr>
            </w:pPr>
            <w:r>
              <w:rPr>
                <w:sz w:val="18"/>
                <w:szCs w:val="18"/>
              </w:rPr>
              <w:t>根据学生课堂</w:t>
            </w:r>
            <w:r>
              <w:rPr>
                <w:rFonts w:hint="eastAsia"/>
                <w:sz w:val="18"/>
                <w:szCs w:val="18"/>
              </w:rPr>
              <w:t>积极</w:t>
            </w:r>
            <w:r>
              <w:rPr>
                <w:sz w:val="18"/>
                <w:szCs w:val="18"/>
              </w:rPr>
              <w:t>发言和参与讨论</w:t>
            </w:r>
            <w:r>
              <w:rPr>
                <w:rFonts w:hint="eastAsia"/>
                <w:sz w:val="18"/>
                <w:szCs w:val="18"/>
              </w:rPr>
              <w:t>，</w:t>
            </w:r>
            <w:r>
              <w:rPr>
                <w:sz w:val="18"/>
                <w:szCs w:val="18"/>
              </w:rPr>
              <w:t>以及作业完成质量，满分100。</w:t>
            </w:r>
          </w:p>
        </w:tc>
        <w:tc>
          <w:tcPr>
            <w:tcW w:w="1004" w:type="dxa"/>
            <w:vAlign w:val="center"/>
          </w:tcPr>
          <w:p>
            <w:pPr>
              <w:adjustRightInd w:val="0"/>
              <w:snapToGrid w:val="0"/>
              <w:spacing w:line="300" w:lineRule="auto"/>
              <w:jc w:val="left"/>
              <w:rPr>
                <w:sz w:val="18"/>
                <w:szCs w:val="18"/>
              </w:rPr>
            </w:pPr>
            <w:r>
              <w:rPr>
                <w:sz w:val="18"/>
                <w:szCs w:val="18"/>
              </w:rPr>
              <w:t>1，2</w:t>
            </w:r>
          </w:p>
        </w:tc>
        <w:tc>
          <w:tcPr>
            <w:tcW w:w="1004" w:type="dxa"/>
            <w:vAlign w:val="center"/>
          </w:tcPr>
          <w:p>
            <w:pPr>
              <w:adjustRightInd w:val="0"/>
              <w:snapToGrid w:val="0"/>
              <w:spacing w:line="300" w:lineRule="auto"/>
              <w:jc w:val="left"/>
              <w:rPr>
                <w:sz w:val="18"/>
                <w:szCs w:val="18"/>
              </w:rPr>
            </w:pPr>
            <w:r>
              <w:rPr>
                <w:rFonts w:hint="eastAsia"/>
                <w:sz w:val="18"/>
                <w:szCs w:val="18"/>
              </w:rP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jc w:val="center"/>
              <w:rPr>
                <w:sz w:val="18"/>
                <w:szCs w:val="18"/>
              </w:rPr>
            </w:pPr>
          </w:p>
        </w:tc>
        <w:tc>
          <w:tcPr>
            <w:tcW w:w="708" w:type="dxa"/>
            <w:vMerge w:val="continue"/>
            <w:vAlign w:val="center"/>
          </w:tcPr>
          <w:p>
            <w:pPr>
              <w:adjustRightInd w:val="0"/>
              <w:snapToGrid w:val="0"/>
              <w:spacing w:line="300" w:lineRule="auto"/>
              <w:jc w:val="center"/>
              <w:rPr>
                <w:sz w:val="18"/>
                <w:szCs w:val="18"/>
              </w:rPr>
            </w:pPr>
          </w:p>
        </w:tc>
        <w:tc>
          <w:tcPr>
            <w:tcW w:w="993" w:type="dxa"/>
            <w:vAlign w:val="center"/>
          </w:tcPr>
          <w:p>
            <w:pPr>
              <w:adjustRightInd w:val="0"/>
              <w:snapToGrid w:val="0"/>
              <w:spacing w:line="300" w:lineRule="auto"/>
              <w:jc w:val="center"/>
              <w:rPr>
                <w:sz w:val="18"/>
                <w:szCs w:val="18"/>
              </w:rPr>
            </w:pPr>
            <w:r>
              <w:rPr>
                <w:sz w:val="18"/>
                <w:szCs w:val="18"/>
              </w:rPr>
              <w:t>实验</w:t>
            </w:r>
          </w:p>
        </w:tc>
        <w:tc>
          <w:tcPr>
            <w:tcW w:w="850" w:type="dxa"/>
            <w:vAlign w:val="center"/>
          </w:tcPr>
          <w:p>
            <w:pPr>
              <w:adjustRightInd w:val="0"/>
              <w:snapToGrid w:val="0"/>
              <w:spacing w:line="300" w:lineRule="auto"/>
              <w:jc w:val="center"/>
              <w:rPr>
                <w:sz w:val="18"/>
                <w:szCs w:val="18"/>
              </w:rPr>
            </w:pPr>
            <w:r>
              <w:rPr>
                <w:sz w:val="18"/>
                <w:szCs w:val="18"/>
              </w:rPr>
              <w:t>0.5</w:t>
            </w:r>
          </w:p>
        </w:tc>
        <w:tc>
          <w:tcPr>
            <w:tcW w:w="2619" w:type="dxa"/>
            <w:vAlign w:val="center"/>
          </w:tcPr>
          <w:p>
            <w:pPr>
              <w:adjustRightInd w:val="0"/>
              <w:snapToGrid w:val="0"/>
              <w:spacing w:line="300" w:lineRule="auto"/>
              <w:jc w:val="left"/>
              <w:rPr>
                <w:sz w:val="18"/>
                <w:szCs w:val="18"/>
              </w:rPr>
            </w:pPr>
            <w:r>
              <w:rPr>
                <w:sz w:val="18"/>
                <w:szCs w:val="18"/>
              </w:rPr>
              <w:t>根据实验完成质量，以及实验报告质量评分，满分100分。</w:t>
            </w:r>
          </w:p>
        </w:tc>
        <w:tc>
          <w:tcPr>
            <w:tcW w:w="1004" w:type="dxa"/>
            <w:vAlign w:val="center"/>
          </w:tcPr>
          <w:p>
            <w:pPr>
              <w:adjustRightInd w:val="0"/>
              <w:snapToGrid w:val="0"/>
              <w:spacing w:line="300" w:lineRule="auto"/>
              <w:jc w:val="left"/>
              <w:rPr>
                <w:sz w:val="18"/>
                <w:szCs w:val="18"/>
              </w:rPr>
            </w:pPr>
            <w:r>
              <w:rPr>
                <w:sz w:val="18"/>
                <w:szCs w:val="18"/>
              </w:rPr>
              <w:t>1，2，3</w:t>
            </w:r>
          </w:p>
        </w:tc>
        <w:tc>
          <w:tcPr>
            <w:tcW w:w="1004" w:type="dxa"/>
            <w:vAlign w:val="center"/>
          </w:tcPr>
          <w:p>
            <w:pPr>
              <w:adjustRightInd w:val="0"/>
              <w:snapToGrid w:val="0"/>
              <w:spacing w:line="300" w:lineRule="auto"/>
              <w:jc w:val="left"/>
              <w:rPr>
                <w:sz w:val="18"/>
                <w:szCs w:val="18"/>
              </w:rPr>
            </w:pPr>
            <w:r>
              <w:rPr>
                <w:rFonts w:hint="eastAsia"/>
                <w:sz w:val="18"/>
                <w:szCs w:val="18"/>
              </w:rPr>
              <w:t>2.1，3.2，4.1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9" w:hRule="atLeast"/>
          <w:jc w:val="center"/>
        </w:trPr>
        <w:tc>
          <w:tcPr>
            <w:tcW w:w="709" w:type="dxa"/>
            <w:vAlign w:val="center"/>
          </w:tcPr>
          <w:p>
            <w:pPr>
              <w:adjustRightInd w:val="0"/>
              <w:snapToGrid w:val="0"/>
              <w:spacing w:line="300" w:lineRule="auto"/>
              <w:rPr>
                <w:sz w:val="18"/>
                <w:szCs w:val="18"/>
              </w:rPr>
            </w:pPr>
            <w:r>
              <w:rPr>
                <w:sz w:val="18"/>
                <w:szCs w:val="18"/>
              </w:rPr>
              <w:t>期末</w:t>
            </w:r>
          </w:p>
          <w:p>
            <w:pPr>
              <w:adjustRightInd w:val="0"/>
              <w:snapToGrid w:val="0"/>
              <w:spacing w:line="300" w:lineRule="auto"/>
              <w:rPr>
                <w:sz w:val="18"/>
                <w:szCs w:val="18"/>
              </w:rPr>
            </w:pPr>
            <w:r>
              <w:rPr>
                <w:sz w:val="18"/>
                <w:szCs w:val="18"/>
              </w:rPr>
              <w:t>考试</w:t>
            </w:r>
          </w:p>
          <w:p>
            <w:pPr>
              <w:adjustRightInd w:val="0"/>
              <w:snapToGrid w:val="0"/>
              <w:spacing w:line="300" w:lineRule="auto"/>
              <w:rPr>
                <w:sz w:val="18"/>
                <w:szCs w:val="18"/>
              </w:rPr>
            </w:pPr>
            <w:r>
              <w:rPr>
                <w:sz w:val="18"/>
                <w:szCs w:val="18"/>
              </w:rPr>
              <w:t>成绩</w:t>
            </w:r>
          </w:p>
        </w:tc>
        <w:tc>
          <w:tcPr>
            <w:tcW w:w="709" w:type="dxa"/>
            <w:vAlign w:val="center"/>
          </w:tcPr>
          <w:p>
            <w:pPr>
              <w:adjustRightInd w:val="0"/>
              <w:snapToGrid w:val="0"/>
              <w:spacing w:line="300" w:lineRule="auto"/>
              <w:jc w:val="center"/>
              <w:rPr>
                <w:sz w:val="18"/>
                <w:szCs w:val="18"/>
              </w:rPr>
            </w:pPr>
            <w:r>
              <w:rPr>
                <w:sz w:val="18"/>
                <w:szCs w:val="18"/>
              </w:rPr>
              <w:t>100</w:t>
            </w:r>
          </w:p>
        </w:tc>
        <w:tc>
          <w:tcPr>
            <w:tcW w:w="708" w:type="dxa"/>
            <w:vAlign w:val="center"/>
          </w:tcPr>
          <w:p>
            <w:pPr>
              <w:adjustRightInd w:val="0"/>
              <w:snapToGrid w:val="0"/>
              <w:spacing w:line="300" w:lineRule="auto"/>
              <w:jc w:val="center"/>
              <w:rPr>
                <w:sz w:val="18"/>
                <w:szCs w:val="18"/>
              </w:rPr>
            </w:pPr>
            <w:r>
              <w:rPr>
                <w:sz w:val="18"/>
                <w:szCs w:val="18"/>
              </w:rPr>
              <w:t>0.6</w:t>
            </w:r>
          </w:p>
        </w:tc>
        <w:tc>
          <w:tcPr>
            <w:tcW w:w="993" w:type="dxa"/>
            <w:vAlign w:val="center"/>
          </w:tcPr>
          <w:p>
            <w:pPr>
              <w:adjustRightInd w:val="0"/>
              <w:snapToGrid w:val="0"/>
              <w:spacing w:line="300" w:lineRule="auto"/>
              <w:jc w:val="left"/>
              <w:rPr>
                <w:sz w:val="18"/>
                <w:szCs w:val="18"/>
              </w:rPr>
            </w:pPr>
            <w:r>
              <w:rPr>
                <w:sz w:val="18"/>
                <w:szCs w:val="18"/>
              </w:rPr>
              <w:t>开卷考试</w:t>
            </w:r>
          </w:p>
        </w:tc>
        <w:tc>
          <w:tcPr>
            <w:tcW w:w="850" w:type="dxa"/>
            <w:vAlign w:val="center"/>
          </w:tcPr>
          <w:p>
            <w:pPr>
              <w:adjustRightInd w:val="0"/>
              <w:snapToGrid w:val="0"/>
              <w:spacing w:line="300" w:lineRule="auto"/>
              <w:ind w:firstLine="180" w:firstLineChars="100"/>
              <w:rPr>
                <w:sz w:val="18"/>
                <w:szCs w:val="18"/>
              </w:rPr>
            </w:pPr>
            <w:r>
              <w:rPr>
                <w:sz w:val="18"/>
                <w:szCs w:val="18"/>
              </w:rPr>
              <w:t>1</w:t>
            </w:r>
          </w:p>
        </w:tc>
        <w:tc>
          <w:tcPr>
            <w:tcW w:w="2619" w:type="dxa"/>
            <w:vAlign w:val="center"/>
          </w:tcPr>
          <w:p>
            <w:pPr>
              <w:adjustRightInd w:val="0"/>
              <w:snapToGrid w:val="0"/>
              <w:spacing w:line="300" w:lineRule="auto"/>
              <w:rPr>
                <w:sz w:val="18"/>
                <w:szCs w:val="18"/>
              </w:rPr>
            </w:pPr>
            <w:r>
              <w:rPr>
                <w:sz w:val="18"/>
                <w:szCs w:val="18"/>
              </w:rPr>
              <w:t>(1)卷面成绩100分。卷面成绩按比例计入课程总评成绩。</w:t>
            </w:r>
          </w:p>
          <w:p>
            <w:pPr>
              <w:adjustRightInd w:val="0"/>
              <w:snapToGrid w:val="0"/>
              <w:spacing w:line="300" w:lineRule="auto"/>
              <w:rPr>
                <w:sz w:val="18"/>
                <w:szCs w:val="18"/>
              </w:rPr>
            </w:pPr>
            <w:r>
              <w:rPr>
                <w:sz w:val="18"/>
                <w:szCs w:val="18"/>
              </w:rPr>
              <w:t>(2)考核内容包括： 第1-4章。</w:t>
            </w:r>
          </w:p>
          <w:p>
            <w:pPr>
              <w:adjustRightInd w:val="0"/>
              <w:snapToGrid w:val="0"/>
              <w:spacing w:line="300" w:lineRule="auto"/>
              <w:rPr>
                <w:sz w:val="18"/>
                <w:szCs w:val="18"/>
              </w:rPr>
            </w:pPr>
            <w:r>
              <w:rPr>
                <w:sz w:val="18"/>
                <w:szCs w:val="18"/>
              </w:rPr>
              <w:t>(3)建议考试题型包括：填空题、选择填空题、名词解释、简答题等或其中某几种题型。</w:t>
            </w:r>
          </w:p>
        </w:tc>
        <w:tc>
          <w:tcPr>
            <w:tcW w:w="1004" w:type="dxa"/>
            <w:vAlign w:val="center"/>
          </w:tcPr>
          <w:p>
            <w:pPr>
              <w:adjustRightInd w:val="0"/>
              <w:snapToGrid w:val="0"/>
              <w:spacing w:line="300" w:lineRule="auto"/>
              <w:jc w:val="left"/>
              <w:rPr>
                <w:sz w:val="18"/>
                <w:szCs w:val="18"/>
              </w:rPr>
            </w:pPr>
            <w:r>
              <w:rPr>
                <w:sz w:val="18"/>
                <w:szCs w:val="18"/>
              </w:rPr>
              <w:t>1，2，3</w:t>
            </w:r>
          </w:p>
        </w:tc>
        <w:tc>
          <w:tcPr>
            <w:tcW w:w="1004" w:type="dxa"/>
            <w:vAlign w:val="center"/>
          </w:tcPr>
          <w:p>
            <w:pPr>
              <w:adjustRightInd w:val="0"/>
              <w:snapToGrid w:val="0"/>
              <w:spacing w:line="300" w:lineRule="auto"/>
              <w:jc w:val="left"/>
              <w:rPr>
                <w:sz w:val="18"/>
                <w:szCs w:val="18"/>
              </w:rPr>
            </w:pPr>
            <w:r>
              <w:rPr>
                <w:rFonts w:hint="eastAsia"/>
                <w:sz w:val="18"/>
                <w:szCs w:val="18"/>
              </w:rPr>
              <w:t>2.1，3.2，4.1</w:t>
            </w:r>
          </w:p>
        </w:tc>
      </w:tr>
    </w:tbl>
    <w:p>
      <w:pPr>
        <w:adjustRightInd w:val="0"/>
        <w:snapToGrid w:val="0"/>
        <w:spacing w:before="156" w:beforeLines="50" w:after="156" w:afterLines="50" w:line="300" w:lineRule="auto"/>
        <w:rPr>
          <w:b/>
          <w:sz w:val="24"/>
          <w:szCs w:val="22"/>
        </w:rPr>
      </w:pPr>
      <w:r>
        <w:rPr>
          <w:b/>
          <w:sz w:val="24"/>
          <w:szCs w:val="22"/>
        </w:rPr>
        <w:t>六、</w:t>
      </w:r>
      <w:r>
        <w:rPr>
          <w:rFonts w:hint="eastAsia"/>
          <w:b/>
          <w:sz w:val="24"/>
          <w:szCs w:val="22"/>
        </w:rPr>
        <w:t>课程教学目标达成情况评价</w:t>
      </w:r>
    </w:p>
    <w:p>
      <w:pPr>
        <w:adjustRightInd w:val="0"/>
        <w:snapToGrid w:val="0"/>
        <w:spacing w:line="300" w:lineRule="auto"/>
        <w:ind w:firstLine="420" w:firstLineChars="200"/>
        <w:rPr>
          <w:szCs w:val="21"/>
        </w:rPr>
      </w:pPr>
      <w:r>
        <w:rPr>
          <w:szCs w:val="21"/>
        </w:rPr>
        <w:t>1</w:t>
      </w:r>
      <w:r>
        <w:rPr>
          <w:szCs w:val="22"/>
        </w:rPr>
        <w:t>．</w:t>
      </w:r>
      <w:r>
        <w:rPr>
          <w:rFonts w:hint="eastAsia"/>
          <w:szCs w:val="21"/>
        </w:rPr>
        <w:t>评价依据和方法</w:t>
      </w:r>
    </w:p>
    <w:p>
      <w:pPr>
        <w:adjustRightInd w:val="0"/>
        <w:snapToGrid w:val="0"/>
        <w:spacing w:line="300" w:lineRule="auto"/>
        <w:ind w:firstLine="420" w:firstLineChars="200"/>
        <w:rPr>
          <w:szCs w:val="22"/>
        </w:rPr>
      </w:pPr>
      <w:r>
        <w:rPr>
          <w:szCs w:val="22"/>
        </w:rPr>
        <w:t>课程各目标达成情况为该项目学生的平均得分率，其计算公式为：</w:t>
      </w:r>
    </w:p>
    <w:p>
      <w:pPr>
        <w:adjustRightInd w:val="0"/>
        <w:snapToGrid w:val="0"/>
        <w:spacing w:line="300" w:lineRule="auto"/>
        <w:jc w:val="center"/>
        <w:rPr>
          <w:szCs w:val="22"/>
        </w:rPr>
      </w:pPr>
      <w:r>
        <w:rPr>
          <w:rFonts w:hint="eastAsia"/>
          <w:position w:val="-16"/>
        </w:rPr>
        <w:object>
          <v:shape id="_x0000_i1050"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p>
    <w:p>
      <w:pPr>
        <w:adjustRightInd w:val="0"/>
        <w:snapToGrid w:val="0"/>
        <w:spacing w:line="300" w:lineRule="auto"/>
        <w:ind w:firstLine="420" w:firstLineChars="200"/>
        <w:rPr>
          <w:szCs w:val="22"/>
        </w:rPr>
      </w:pPr>
      <w:r>
        <w:rPr>
          <w:szCs w:val="22"/>
        </w:rPr>
        <w:t>课程总目标达成情况为3个课程目标的加权得分率，其计算公式为：</w:t>
      </w:r>
    </w:p>
    <w:p>
      <w:pPr>
        <w:adjustRightInd w:val="0"/>
        <w:snapToGrid w:val="0"/>
        <w:spacing w:line="300" w:lineRule="auto"/>
        <w:jc w:val="center"/>
        <w:rPr>
          <w:szCs w:val="22"/>
        </w:rPr>
      </w:pPr>
      <w:r>
        <w:rPr>
          <w:szCs w:val="22"/>
        </w:rPr>
        <w:t xml:space="preserve"> </w:t>
      </w:r>
      <w:r>
        <w:rPr>
          <w:rFonts w:hint="eastAsia"/>
          <w:position w:val="-10"/>
        </w:rPr>
        <w:object>
          <v:shape id="_x0000_i1051" o:spt="75" type="#_x0000_t75" style="height:24pt;width:245.25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p>
    <w:p>
      <w:pPr>
        <w:adjustRightInd w:val="0"/>
        <w:snapToGrid w:val="0"/>
        <w:spacing w:line="300" w:lineRule="auto"/>
        <w:rPr>
          <w:szCs w:val="22"/>
        </w:rPr>
      </w:pPr>
      <w:r>
        <w:rPr>
          <w:szCs w:val="22"/>
        </w:rPr>
        <w:t>其中权重系数按照表6设定。</w:t>
      </w:r>
    </w:p>
    <w:p>
      <w:pPr>
        <w:adjustRightInd w:val="0"/>
        <w:snapToGrid w:val="0"/>
        <w:spacing w:before="156" w:beforeLines="50" w:line="300" w:lineRule="auto"/>
        <w:jc w:val="center"/>
        <w:rPr>
          <w:b/>
          <w:bCs/>
          <w:sz w:val="18"/>
          <w:szCs w:val="18"/>
        </w:rPr>
      </w:pPr>
      <w:r>
        <w:rPr>
          <w:b/>
          <w:bCs/>
          <w:sz w:val="18"/>
          <w:szCs w:val="18"/>
        </w:rPr>
        <w:t>表6课程目标权重系数</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824"/>
        <w:gridCol w:w="1928"/>
        <w:gridCol w:w="228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824" w:type="dxa"/>
            <w:vAlign w:val="center"/>
          </w:tcPr>
          <w:p>
            <w:pPr>
              <w:adjustRightInd w:val="0"/>
              <w:snapToGrid w:val="0"/>
              <w:spacing w:line="300" w:lineRule="auto"/>
              <w:jc w:val="center"/>
              <w:rPr>
                <w:b/>
                <w:bCs/>
                <w:sz w:val="18"/>
                <w:szCs w:val="18"/>
              </w:rPr>
            </w:pPr>
            <w:r>
              <w:rPr>
                <w:b/>
                <w:bCs/>
                <w:sz w:val="18"/>
                <w:szCs w:val="18"/>
              </w:rPr>
              <w:t>课程目标</w:t>
            </w:r>
          </w:p>
        </w:tc>
        <w:tc>
          <w:tcPr>
            <w:tcW w:w="1928" w:type="dxa"/>
            <w:vAlign w:val="center"/>
          </w:tcPr>
          <w:p>
            <w:pPr>
              <w:adjustRightInd w:val="0"/>
              <w:snapToGrid w:val="0"/>
              <w:spacing w:line="300" w:lineRule="auto"/>
              <w:jc w:val="center"/>
              <w:rPr>
                <w:sz w:val="18"/>
                <w:szCs w:val="18"/>
              </w:rPr>
            </w:pPr>
            <w:r>
              <w:rPr>
                <w:sz w:val="18"/>
                <w:szCs w:val="18"/>
              </w:rPr>
              <w:t>1</w:t>
            </w:r>
          </w:p>
        </w:tc>
        <w:tc>
          <w:tcPr>
            <w:tcW w:w="2283" w:type="dxa"/>
            <w:vAlign w:val="center"/>
          </w:tcPr>
          <w:p>
            <w:pPr>
              <w:adjustRightInd w:val="0"/>
              <w:snapToGrid w:val="0"/>
              <w:spacing w:line="300" w:lineRule="auto"/>
              <w:jc w:val="center"/>
              <w:rPr>
                <w:sz w:val="18"/>
                <w:szCs w:val="18"/>
              </w:rPr>
            </w:pPr>
            <w:r>
              <w:rPr>
                <w:sz w:val="18"/>
                <w:szCs w:val="18"/>
              </w:rPr>
              <w:t>2</w:t>
            </w:r>
          </w:p>
        </w:tc>
        <w:tc>
          <w:tcPr>
            <w:tcW w:w="2261"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824" w:type="dxa"/>
            <w:vAlign w:val="center"/>
          </w:tcPr>
          <w:p>
            <w:pPr>
              <w:adjustRightInd w:val="0"/>
              <w:snapToGrid w:val="0"/>
              <w:spacing w:line="300" w:lineRule="auto"/>
              <w:jc w:val="center"/>
              <w:rPr>
                <w:b/>
                <w:bCs/>
                <w:sz w:val="18"/>
                <w:szCs w:val="18"/>
              </w:rPr>
            </w:pPr>
            <w:r>
              <w:rPr>
                <w:b/>
                <w:bCs/>
                <w:sz w:val="18"/>
                <w:szCs w:val="18"/>
              </w:rPr>
              <w:t>权重系数</w:t>
            </w:r>
          </w:p>
        </w:tc>
        <w:tc>
          <w:tcPr>
            <w:tcW w:w="1928" w:type="dxa"/>
            <w:vAlign w:val="center"/>
          </w:tcPr>
          <w:p>
            <w:pPr>
              <w:adjustRightInd w:val="0"/>
              <w:snapToGrid w:val="0"/>
              <w:spacing w:line="300" w:lineRule="auto"/>
              <w:jc w:val="center"/>
              <w:rPr>
                <w:sz w:val="18"/>
                <w:szCs w:val="18"/>
              </w:rPr>
            </w:pPr>
            <w:r>
              <w:rPr>
                <w:sz w:val="18"/>
                <w:szCs w:val="18"/>
              </w:rPr>
              <w:t>0.4</w:t>
            </w:r>
          </w:p>
        </w:tc>
        <w:tc>
          <w:tcPr>
            <w:tcW w:w="2283" w:type="dxa"/>
            <w:vAlign w:val="center"/>
          </w:tcPr>
          <w:p>
            <w:pPr>
              <w:adjustRightInd w:val="0"/>
              <w:snapToGrid w:val="0"/>
              <w:spacing w:line="300" w:lineRule="auto"/>
              <w:jc w:val="center"/>
              <w:rPr>
                <w:sz w:val="18"/>
                <w:szCs w:val="18"/>
              </w:rPr>
            </w:pPr>
            <w:r>
              <w:rPr>
                <w:sz w:val="18"/>
                <w:szCs w:val="18"/>
              </w:rPr>
              <w:t>0.4</w:t>
            </w:r>
          </w:p>
        </w:tc>
        <w:tc>
          <w:tcPr>
            <w:tcW w:w="2261" w:type="dxa"/>
            <w:vAlign w:val="center"/>
          </w:tcPr>
          <w:p>
            <w:pPr>
              <w:adjustRightInd w:val="0"/>
              <w:snapToGrid w:val="0"/>
              <w:spacing w:line="300" w:lineRule="auto"/>
              <w:jc w:val="center"/>
              <w:rPr>
                <w:sz w:val="18"/>
                <w:szCs w:val="18"/>
              </w:rPr>
            </w:pPr>
            <w:r>
              <w:rPr>
                <w:sz w:val="18"/>
                <w:szCs w:val="18"/>
              </w:rPr>
              <w:t>0.2</w:t>
            </w:r>
          </w:p>
        </w:tc>
      </w:tr>
    </w:tbl>
    <w:p>
      <w:pPr>
        <w:adjustRightInd w:val="0"/>
        <w:snapToGrid w:val="0"/>
        <w:spacing w:line="300" w:lineRule="auto"/>
        <w:rPr>
          <w:szCs w:val="22"/>
        </w:rPr>
      </w:pPr>
      <w:r>
        <w:rPr>
          <w:szCs w:val="22"/>
        </w:rPr>
        <w:t>课程毕业要求指标点达成情况评价：</w:t>
      </w:r>
    </w:p>
    <w:p>
      <w:pPr>
        <w:adjustRightInd w:val="0"/>
        <w:snapToGrid w:val="0"/>
        <w:spacing w:line="300" w:lineRule="auto"/>
        <w:ind w:firstLine="420" w:firstLineChars="200"/>
        <w:rPr>
          <w:szCs w:val="22"/>
        </w:rPr>
      </w:pPr>
      <w:r>
        <w:rPr>
          <w:szCs w:val="22"/>
        </w:rPr>
        <w:t>课程支撑毕业要求指标点的达成情况为对应的课程目标达成情况的加权值，其计算公式为：</w:t>
      </w:r>
    </w:p>
    <w:p>
      <w:pPr>
        <w:adjustRightInd w:val="0"/>
        <w:snapToGrid w:val="0"/>
        <w:spacing w:line="300" w:lineRule="auto"/>
        <w:jc w:val="center"/>
        <w:rPr>
          <w:szCs w:val="22"/>
        </w:rPr>
      </w:pPr>
      <w:r>
        <w:rPr>
          <w:rFonts w:hint="eastAsia"/>
          <w:position w:val="-10"/>
        </w:rPr>
        <w:object>
          <v:shape id="_x0000_i1052" o:spt="75" type="#_x0000_t75" style="height:24.75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p>
    <w:p>
      <w:pPr>
        <w:adjustRightInd w:val="0"/>
        <w:snapToGrid w:val="0"/>
        <w:spacing w:line="300" w:lineRule="auto"/>
        <w:ind w:firstLine="420" w:firstLineChars="200"/>
        <w:rPr>
          <w:szCs w:val="21"/>
        </w:rPr>
      </w:pPr>
      <w:r>
        <w:rPr>
          <w:szCs w:val="21"/>
        </w:rPr>
        <w:t>2</w:t>
      </w:r>
      <w:r>
        <w:rPr>
          <w:szCs w:val="22"/>
        </w:rPr>
        <w:t>．</w:t>
      </w:r>
      <w:r>
        <w:rPr>
          <w:szCs w:val="21"/>
        </w:rPr>
        <w:t>课程总结要求</w:t>
      </w:r>
    </w:p>
    <w:p>
      <w:pPr>
        <w:adjustRightInd w:val="0"/>
        <w:snapToGrid w:val="0"/>
        <w:spacing w:line="300" w:lineRule="auto"/>
        <w:ind w:firstLine="420" w:firstLineChars="200"/>
        <w:rPr>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szCs w:val="22"/>
        </w:rPr>
      </w:pPr>
      <w:r>
        <w:rPr>
          <w:rFonts w:ascii="Times New Roman" w:hAnsi="Times New Roman" w:eastAsia="宋体" w:cs="Times New Roman"/>
          <w:b/>
          <w:sz w:val="24"/>
          <w:szCs w:val="22"/>
        </w:rPr>
        <w:t>七、教材及参考资料</w:t>
      </w:r>
    </w:p>
    <w:p>
      <w:pPr>
        <w:adjustRightInd w:val="0"/>
        <w:snapToGrid w:val="0"/>
        <w:spacing w:line="300" w:lineRule="auto"/>
        <w:ind w:firstLine="420" w:firstLineChars="200"/>
        <w:rPr>
          <w:rFonts w:ascii="Times New Roman" w:hAnsi="Times New Roman" w:eastAsia="宋体" w:cs="Times New Roman"/>
          <w:szCs w:val="22"/>
        </w:rPr>
      </w:pPr>
      <w:r>
        <w:rPr>
          <w:rFonts w:ascii="Times New Roman" w:hAnsi="Times New Roman" w:eastAsia="宋体" w:cs="Times New Roman"/>
          <w:szCs w:val="22"/>
        </w:rPr>
        <w:t>1．教材</w:t>
      </w:r>
    </w:p>
    <w:p>
      <w:pPr>
        <w:spacing w:line="300" w:lineRule="auto"/>
        <w:ind w:left="480" w:right="4"/>
        <w:rPr>
          <w:rFonts w:ascii="Times New Roman" w:hAnsi="Times New Roman" w:eastAsia="宋体" w:cs="Times New Roman"/>
          <w:sz w:val="24"/>
          <w:szCs w:val="21"/>
        </w:rPr>
      </w:pPr>
      <w:r>
        <w:rPr>
          <w:rFonts w:ascii="Times New Roman" w:hAnsi="Times New Roman" w:eastAsia="宋体" w:cs="Times New Roman"/>
          <w:sz w:val="24"/>
          <w:szCs w:val="21"/>
        </w:rPr>
        <w:t xml:space="preserve">[1] </w:t>
      </w:r>
      <w:r>
        <w:rPr>
          <w:rFonts w:ascii="Times New Roman" w:hAnsi="Times New Roman" w:eastAsia="宋体" w:cs="Times New Roman"/>
          <w:szCs w:val="21"/>
        </w:rPr>
        <w:t>王鹏</w:t>
      </w:r>
      <w:r>
        <w:rPr>
          <w:rFonts w:hint="eastAsia" w:ascii="Times New Roman" w:hAnsi="Times New Roman" w:eastAsia="宋体" w:cs="Times New Roman"/>
          <w:szCs w:val="21"/>
        </w:rPr>
        <w:t>，</w:t>
      </w:r>
      <w:r>
        <w:rPr>
          <w:rFonts w:ascii="Times New Roman" w:hAnsi="Times New Roman" w:eastAsia="宋体" w:cs="Times New Roman"/>
          <w:szCs w:val="21"/>
        </w:rPr>
        <w:t>等</w:t>
      </w:r>
      <w:r>
        <w:rPr>
          <w:rFonts w:hint="eastAsia" w:ascii="Times New Roman" w:hAnsi="Times New Roman" w:eastAsia="宋体" w:cs="Times New Roman"/>
          <w:szCs w:val="21"/>
        </w:rPr>
        <w:t xml:space="preserve">. </w:t>
      </w:r>
      <w:r>
        <w:rPr>
          <w:rFonts w:ascii="Times New Roman" w:hAnsi="Times New Roman" w:eastAsia="宋体" w:cs="Times New Roman"/>
          <w:szCs w:val="21"/>
        </w:rPr>
        <w:t>云计算与大数据技术</w:t>
      </w:r>
      <w:r>
        <w:rPr>
          <w:rFonts w:hint="eastAsia" w:ascii="Times New Roman" w:hAnsi="Times New Roman" w:eastAsia="宋体" w:cs="Times New Roman"/>
          <w:szCs w:val="21"/>
        </w:rPr>
        <w:t>，北京：</w:t>
      </w:r>
      <w:r>
        <w:rPr>
          <w:rFonts w:ascii="Times New Roman" w:hAnsi="Times New Roman" w:eastAsia="宋体" w:cs="Times New Roman"/>
          <w:szCs w:val="21"/>
        </w:rPr>
        <w:t>人民邮电出版社. 2014.5。</w:t>
      </w:r>
    </w:p>
    <w:p>
      <w:pPr>
        <w:adjustRightInd w:val="0"/>
        <w:snapToGrid w:val="0"/>
        <w:spacing w:line="300" w:lineRule="auto"/>
        <w:ind w:firstLine="420" w:firstLineChars="200"/>
        <w:rPr>
          <w:rFonts w:ascii="Times New Roman" w:hAnsi="Times New Roman" w:eastAsia="宋体" w:cs="Times New Roman"/>
          <w:szCs w:val="22"/>
        </w:rPr>
      </w:pPr>
      <w:r>
        <w:rPr>
          <w:rFonts w:ascii="Times New Roman" w:hAnsi="Times New Roman" w:eastAsia="宋体" w:cs="Times New Roman"/>
          <w:szCs w:val="22"/>
        </w:rPr>
        <w:t>2．参考资料</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[1] </w:t>
      </w:r>
      <w:r>
        <w:rPr>
          <w:szCs w:val="22"/>
        </w:rPr>
        <w:t>刘鹏</w:t>
      </w:r>
      <w:r>
        <w:rPr>
          <w:rFonts w:hint="eastAsia"/>
          <w:szCs w:val="22"/>
        </w:rPr>
        <w:t xml:space="preserve">. </w:t>
      </w:r>
      <w:r>
        <w:rPr>
          <w:szCs w:val="22"/>
        </w:rPr>
        <w:t>云计算（第三版），</w:t>
      </w:r>
      <w:r>
        <w:rPr>
          <w:rFonts w:hint="eastAsia" w:ascii="Times New Roman" w:hAnsi="Times New Roman" w:eastAsia="宋体" w:cs="Times New Roman"/>
          <w:szCs w:val="21"/>
        </w:rPr>
        <w:t>北京：</w:t>
      </w:r>
      <w:r>
        <w:rPr>
          <w:szCs w:val="22"/>
        </w:rPr>
        <w:t>电子工业出版社，2015.8</w:t>
      </w:r>
      <w:r>
        <w:rPr>
          <w:rFonts w:ascii="Times New Roman" w:hAnsi="Times New Roman" w:eastAsia="宋体" w:cs="Times New Roman"/>
          <w:szCs w:val="21"/>
        </w:rPr>
        <w:t>。</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[2] </w:t>
      </w:r>
      <w:r>
        <w:rPr>
          <w:szCs w:val="22"/>
        </w:rPr>
        <w:t>张华平</w:t>
      </w:r>
      <w:r>
        <w:rPr>
          <w:rFonts w:hint="eastAsia"/>
          <w:szCs w:val="22"/>
        </w:rPr>
        <w:t>.</w:t>
      </w:r>
      <w:r>
        <w:rPr>
          <w:szCs w:val="22"/>
        </w:rPr>
        <w:t>大数据搜索与挖掘，</w:t>
      </w:r>
      <w:r>
        <w:rPr>
          <w:rFonts w:hint="eastAsia" w:ascii="Times New Roman" w:hAnsi="Times New Roman" w:eastAsia="宋体" w:cs="Times New Roman"/>
          <w:szCs w:val="21"/>
        </w:rPr>
        <w:t>北京：</w:t>
      </w:r>
      <w:r>
        <w:rPr>
          <w:szCs w:val="22"/>
        </w:rPr>
        <w:t>科学出版社，2014.5</w:t>
      </w:r>
      <w:r>
        <w:rPr>
          <w:rFonts w:ascii="Times New Roman" w:hAnsi="Times New Roman" w:eastAsia="宋体" w:cs="Times New Roman"/>
          <w:szCs w:val="21"/>
        </w:rPr>
        <w:t>。</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[3] </w:t>
      </w:r>
      <w:r>
        <w:rPr>
          <w:szCs w:val="22"/>
        </w:rPr>
        <w:t>王春海</w:t>
      </w:r>
      <w:r>
        <w:rPr>
          <w:rFonts w:hint="eastAsia"/>
          <w:szCs w:val="22"/>
        </w:rPr>
        <w:t xml:space="preserve">. </w:t>
      </w:r>
      <w:r>
        <w:rPr>
          <w:szCs w:val="22"/>
        </w:rPr>
        <w:t>VMware 虚拟化与云计算应用案例详解</w:t>
      </w:r>
      <w:r>
        <w:rPr>
          <w:rFonts w:hint="eastAsia"/>
          <w:szCs w:val="22"/>
        </w:rPr>
        <w:t>,</w:t>
      </w:r>
      <w:r>
        <w:rPr>
          <w:rFonts w:hint="eastAsia" w:ascii="Times New Roman" w:hAnsi="Times New Roman" w:eastAsia="宋体" w:cs="Times New Roman"/>
          <w:szCs w:val="21"/>
        </w:rPr>
        <w:t xml:space="preserve"> 北京：</w:t>
      </w:r>
      <w:r>
        <w:rPr>
          <w:szCs w:val="22"/>
        </w:rPr>
        <w:t>中国铁道出版社.2013.11</w:t>
      </w:r>
      <w:r>
        <w:rPr>
          <w:rFonts w:ascii="Times New Roman" w:hAnsi="Times New Roman" w:eastAsia="宋体" w:cs="Times New Roman"/>
          <w:szCs w:val="21"/>
        </w:rPr>
        <w:t>。</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widowControl/>
        <w:jc w:val="left"/>
        <w:rPr>
          <w:rFonts w:ascii="Times New Roman" w:hAnsi="Times New Roman" w:eastAsia="等线" w:cs="Times New Roman"/>
          <w:b/>
          <w:sz w:val="32"/>
        </w:rPr>
      </w:pPr>
    </w:p>
    <w:p>
      <w:pPr>
        <w:snapToGrid w:val="0"/>
        <w:spacing w:before="156" w:beforeLines="50" w:after="156" w:afterLines="50" w:line="300" w:lineRule="auto"/>
        <w:jc w:val="center"/>
        <w:outlineLvl w:val="2"/>
        <w:rPr>
          <w:b/>
          <w:sz w:val="32"/>
          <w:szCs w:val="32"/>
        </w:rPr>
        <w:sectPr>
          <w:footerReference r:id="rId13" w:type="default"/>
          <w:pgSz w:w="11906" w:h="16838"/>
          <w:pgMar w:top="1440" w:right="1587" w:bottom="1440" w:left="1587" w:header="851" w:footer="992" w:gutter="0"/>
          <w:cols w:space="0" w:num="1"/>
          <w:docGrid w:type="lines" w:linePitch="312" w:charSpace="0"/>
        </w:sectPr>
      </w:pPr>
      <w:bookmarkStart w:id="44" w:name="_Toc33609392"/>
    </w:p>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rPr>
      </w:pPr>
      <w:bookmarkStart w:id="45" w:name="_Toc1694"/>
      <w:r>
        <w:rPr>
          <w:rFonts w:ascii="Times New Roman" w:hAnsi="Times New Roman" w:eastAsia="宋体" w:cs="Times New Roman"/>
          <w:b/>
          <w:sz w:val="32"/>
        </w:rPr>
        <w:t>33410303《</w:t>
      </w:r>
      <w:r>
        <w:rPr>
          <w:rFonts w:hint="eastAsia" w:ascii="Times New Roman" w:hAnsi="Times New Roman" w:eastAsia="宋体" w:cs="Times New Roman"/>
          <w:b/>
          <w:sz w:val="32"/>
        </w:rPr>
        <w:t>工程伦理与道德</w:t>
      </w:r>
      <w:r>
        <w:rPr>
          <w:rFonts w:ascii="Times New Roman" w:hAnsi="Times New Roman" w:eastAsia="宋体" w:cs="Times New Roman"/>
          <w:b/>
          <w:sz w:val="32"/>
        </w:rPr>
        <w:t>》课程教学大纲</w:t>
      </w:r>
      <w:bookmarkEnd w:id="44"/>
      <w:bookmarkEnd w:id="45"/>
    </w:p>
    <w:tbl>
      <w:tblPr>
        <w:tblStyle w:val="22"/>
        <w:tblW w:w="8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6"/>
        <w:gridCol w:w="3285"/>
        <w:gridCol w:w="1143"/>
        <w:gridCol w:w="2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286" w:type="dxa"/>
          </w:tcPr>
          <w:p>
            <w:pPr>
              <w:jc w:val="center"/>
              <w:rPr>
                <w:kern w:val="0"/>
                <w:szCs w:val="21"/>
              </w:rPr>
            </w:pPr>
            <w:r>
              <w:rPr>
                <w:kern w:val="0"/>
                <w:szCs w:val="21"/>
              </w:rPr>
              <w:t>课程编号</w:t>
            </w:r>
          </w:p>
        </w:tc>
        <w:tc>
          <w:tcPr>
            <w:tcW w:w="3285" w:type="dxa"/>
          </w:tcPr>
          <w:p>
            <w:pPr>
              <w:jc w:val="center"/>
              <w:rPr>
                <w:kern w:val="0"/>
                <w:szCs w:val="21"/>
              </w:rPr>
            </w:pPr>
            <w:r>
              <w:rPr>
                <w:szCs w:val="21"/>
              </w:rPr>
              <w:t>33432005</w:t>
            </w:r>
          </w:p>
        </w:tc>
        <w:tc>
          <w:tcPr>
            <w:tcW w:w="1143" w:type="dxa"/>
          </w:tcPr>
          <w:p>
            <w:pPr>
              <w:jc w:val="center"/>
              <w:rPr>
                <w:kern w:val="0"/>
                <w:szCs w:val="21"/>
              </w:rPr>
            </w:pPr>
            <w:r>
              <w:rPr>
                <w:kern w:val="0"/>
                <w:szCs w:val="21"/>
              </w:rPr>
              <w:t>课程名称</w:t>
            </w:r>
          </w:p>
        </w:tc>
        <w:tc>
          <w:tcPr>
            <w:tcW w:w="2572" w:type="dxa"/>
          </w:tcPr>
          <w:p>
            <w:pPr>
              <w:jc w:val="center"/>
              <w:rPr>
                <w:kern w:val="0"/>
                <w:szCs w:val="21"/>
              </w:rPr>
            </w:pPr>
            <w:r>
              <w:rPr>
                <w:szCs w:val="21"/>
              </w:rPr>
              <w:t>工程伦理与道德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86" w:type="dxa"/>
          </w:tcPr>
          <w:p>
            <w:pPr>
              <w:jc w:val="center"/>
              <w:rPr>
                <w:kern w:val="0"/>
                <w:szCs w:val="21"/>
              </w:rPr>
            </w:pPr>
            <w:r>
              <w:rPr>
                <w:kern w:val="0"/>
                <w:szCs w:val="21"/>
              </w:rPr>
              <w:t>课程性质</w:t>
            </w:r>
            <w:r>
              <w:rPr>
                <w:kern w:val="0"/>
                <w:sz w:val="20"/>
                <w:szCs w:val="20"/>
              </w:rPr>
              <w:t>*</w:t>
            </w:r>
          </w:p>
        </w:tc>
        <w:tc>
          <w:tcPr>
            <w:tcW w:w="3285" w:type="dxa"/>
          </w:tcPr>
          <w:p>
            <w:pPr>
              <w:jc w:val="center"/>
              <w:rPr>
                <w:kern w:val="0"/>
                <w:szCs w:val="21"/>
              </w:rPr>
            </w:pPr>
            <w:r>
              <w:rPr>
                <w:kern w:val="0"/>
                <w:szCs w:val="21"/>
              </w:rPr>
              <w:t>工程基础类</w:t>
            </w:r>
          </w:p>
        </w:tc>
        <w:tc>
          <w:tcPr>
            <w:tcW w:w="1143" w:type="dxa"/>
          </w:tcPr>
          <w:p>
            <w:pPr>
              <w:jc w:val="center"/>
              <w:rPr>
                <w:kern w:val="0"/>
                <w:szCs w:val="21"/>
              </w:rPr>
            </w:pPr>
            <w:r>
              <w:rPr>
                <w:kern w:val="0"/>
                <w:szCs w:val="21"/>
              </w:rPr>
              <w:t>英文名称</w:t>
            </w:r>
          </w:p>
        </w:tc>
        <w:tc>
          <w:tcPr>
            <w:tcW w:w="2572" w:type="dxa"/>
            <w:vAlign w:val="center"/>
          </w:tcPr>
          <w:p>
            <w:pPr>
              <w:jc w:val="center"/>
              <w:rPr>
                <w:bCs/>
                <w:kern w:val="0"/>
                <w:szCs w:val="21"/>
              </w:rPr>
            </w:pPr>
            <w:r>
              <w:rPr>
                <w:szCs w:val="21"/>
              </w:rPr>
              <w:t>Engineering Ethics and Morality</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286" w:type="dxa"/>
          </w:tcPr>
          <w:p>
            <w:pPr>
              <w:jc w:val="center"/>
              <w:rPr>
                <w:kern w:val="0"/>
                <w:szCs w:val="21"/>
              </w:rPr>
            </w:pPr>
            <w:r>
              <w:rPr>
                <w:kern w:val="0"/>
                <w:szCs w:val="21"/>
              </w:rPr>
              <w:t>学分学时</w:t>
            </w:r>
          </w:p>
        </w:tc>
        <w:tc>
          <w:tcPr>
            <w:tcW w:w="3285" w:type="dxa"/>
          </w:tcPr>
          <w:p>
            <w:pPr>
              <w:jc w:val="center"/>
              <w:rPr>
                <w:kern w:val="0"/>
                <w:szCs w:val="21"/>
              </w:rPr>
            </w:pPr>
            <w:r>
              <w:rPr>
                <w:rFonts w:hint="eastAsia"/>
                <w:bCs/>
                <w:kern w:val="0"/>
                <w:szCs w:val="21"/>
              </w:rPr>
              <w:t>1</w:t>
            </w:r>
            <w:r>
              <w:rPr>
                <w:bCs/>
                <w:kern w:val="0"/>
                <w:szCs w:val="21"/>
              </w:rPr>
              <w:t>.</w:t>
            </w:r>
            <w:r>
              <w:rPr>
                <w:rFonts w:hint="eastAsia"/>
                <w:bCs/>
                <w:kern w:val="0"/>
                <w:szCs w:val="21"/>
              </w:rPr>
              <w:t>0</w:t>
            </w:r>
            <w:r>
              <w:rPr>
                <w:bCs/>
                <w:color w:val="FF0000"/>
                <w:kern w:val="0"/>
                <w:szCs w:val="21"/>
              </w:rPr>
              <w:t xml:space="preserve"> </w:t>
            </w:r>
            <w:r>
              <w:rPr>
                <w:rFonts w:hint="eastAsia"/>
                <w:kern w:val="0"/>
                <w:szCs w:val="21"/>
              </w:rPr>
              <w:t>;</w:t>
            </w:r>
            <w:r>
              <w:rPr>
                <w:kern w:val="0"/>
                <w:szCs w:val="21"/>
              </w:rPr>
              <w:t xml:space="preserve"> </w:t>
            </w:r>
            <w:r>
              <w:rPr>
                <w:rFonts w:hint="eastAsia"/>
                <w:kern w:val="0"/>
                <w:szCs w:val="21"/>
              </w:rPr>
              <w:t>16（0）</w:t>
            </w:r>
          </w:p>
        </w:tc>
        <w:tc>
          <w:tcPr>
            <w:tcW w:w="1143" w:type="dxa"/>
          </w:tcPr>
          <w:p>
            <w:pPr>
              <w:jc w:val="center"/>
              <w:rPr>
                <w:kern w:val="0"/>
                <w:szCs w:val="21"/>
                <w:highlight w:val="yellow"/>
              </w:rPr>
            </w:pPr>
            <w:r>
              <w:rPr>
                <w:kern w:val="0"/>
                <w:szCs w:val="21"/>
              </w:rPr>
              <w:t>任课教师</w:t>
            </w:r>
          </w:p>
        </w:tc>
        <w:tc>
          <w:tcPr>
            <w:tcW w:w="2572" w:type="dxa"/>
          </w:tcPr>
          <w:p>
            <w:pPr>
              <w:jc w:val="center"/>
              <w:rPr>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286" w:type="dxa"/>
          </w:tcPr>
          <w:p>
            <w:pPr>
              <w:jc w:val="center"/>
              <w:rPr>
                <w:bCs/>
                <w:kern w:val="0"/>
                <w:szCs w:val="21"/>
              </w:rPr>
            </w:pPr>
            <w:r>
              <w:rPr>
                <w:bCs/>
                <w:kern w:val="0"/>
                <w:szCs w:val="21"/>
              </w:rPr>
              <w:t>企业专家</w:t>
            </w:r>
          </w:p>
        </w:tc>
        <w:tc>
          <w:tcPr>
            <w:tcW w:w="3285" w:type="dxa"/>
          </w:tcPr>
          <w:p>
            <w:pPr>
              <w:widowControl/>
              <w:jc w:val="center"/>
              <w:rPr>
                <w:kern w:val="0"/>
                <w:szCs w:val="21"/>
              </w:rPr>
            </w:pPr>
            <w:r>
              <w:rPr>
                <w:kern w:val="0"/>
                <w:szCs w:val="21"/>
              </w:rPr>
              <w:t>曾耿滨</w:t>
            </w:r>
          </w:p>
        </w:tc>
        <w:tc>
          <w:tcPr>
            <w:tcW w:w="1143" w:type="dxa"/>
          </w:tcPr>
          <w:p>
            <w:pPr>
              <w:jc w:val="center"/>
              <w:rPr>
                <w:bCs/>
                <w:kern w:val="0"/>
                <w:szCs w:val="21"/>
              </w:rPr>
            </w:pPr>
            <w:r>
              <w:rPr>
                <w:bCs/>
                <w:kern w:val="0"/>
                <w:szCs w:val="21"/>
              </w:rPr>
              <w:t>行业专家</w:t>
            </w:r>
          </w:p>
        </w:tc>
        <w:tc>
          <w:tcPr>
            <w:tcW w:w="2572" w:type="dxa"/>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286" w:type="dxa"/>
          </w:tcPr>
          <w:p>
            <w:pPr>
              <w:widowControl/>
              <w:jc w:val="center"/>
              <w:rPr>
                <w:bCs/>
                <w:kern w:val="0"/>
                <w:szCs w:val="21"/>
              </w:rPr>
            </w:pPr>
            <w:r>
              <w:rPr>
                <w:bCs/>
                <w:kern w:val="0"/>
                <w:szCs w:val="21"/>
              </w:rPr>
              <w:t>执笔教师</w:t>
            </w:r>
          </w:p>
        </w:tc>
        <w:tc>
          <w:tcPr>
            <w:tcW w:w="3285" w:type="dxa"/>
          </w:tcPr>
          <w:p>
            <w:pPr>
              <w:widowControl/>
              <w:jc w:val="center"/>
              <w:rPr>
                <w:kern w:val="0"/>
                <w:szCs w:val="21"/>
              </w:rPr>
            </w:pPr>
            <w:r>
              <w:rPr>
                <w:kern w:val="0"/>
                <w:szCs w:val="21"/>
              </w:rPr>
              <w:t>刘雯景</w:t>
            </w:r>
          </w:p>
        </w:tc>
        <w:tc>
          <w:tcPr>
            <w:tcW w:w="1143" w:type="dxa"/>
          </w:tcPr>
          <w:p>
            <w:pPr>
              <w:widowControl/>
              <w:jc w:val="center"/>
              <w:rPr>
                <w:bCs/>
                <w:kern w:val="0"/>
                <w:szCs w:val="21"/>
              </w:rPr>
            </w:pPr>
            <w:r>
              <w:rPr>
                <w:bCs/>
                <w:kern w:val="0"/>
                <w:szCs w:val="21"/>
              </w:rPr>
              <w:t>责任教授</w:t>
            </w:r>
          </w:p>
        </w:tc>
        <w:tc>
          <w:tcPr>
            <w:tcW w:w="2572" w:type="dxa"/>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86" w:type="dxa"/>
            <w:tcBorders>
              <w:bottom w:val="single" w:color="auto" w:sz="4" w:space="0"/>
            </w:tcBorders>
          </w:tcPr>
          <w:p>
            <w:pPr>
              <w:widowControl/>
              <w:jc w:val="center"/>
              <w:rPr>
                <w:bCs/>
                <w:kern w:val="0"/>
                <w:szCs w:val="21"/>
              </w:rPr>
            </w:pPr>
            <w:r>
              <w:rPr>
                <w:bCs/>
                <w:kern w:val="0"/>
                <w:szCs w:val="21"/>
              </w:rPr>
              <w:t>适用专业</w:t>
            </w:r>
          </w:p>
        </w:tc>
        <w:tc>
          <w:tcPr>
            <w:tcW w:w="3285" w:type="dxa"/>
            <w:tcBorders>
              <w:bottom w:val="single" w:color="auto" w:sz="4" w:space="0"/>
            </w:tcBorders>
          </w:tcPr>
          <w:p>
            <w:pPr>
              <w:widowControl/>
              <w:jc w:val="center"/>
              <w:rPr>
                <w:kern w:val="0"/>
                <w:szCs w:val="21"/>
              </w:rPr>
            </w:pPr>
            <w:r>
              <w:rPr>
                <w:kern w:val="0"/>
                <w:szCs w:val="21"/>
              </w:rPr>
              <w:t>电子信息工程</w:t>
            </w:r>
          </w:p>
        </w:tc>
        <w:tc>
          <w:tcPr>
            <w:tcW w:w="1143" w:type="dxa"/>
            <w:tcBorders>
              <w:bottom w:val="single" w:color="auto" w:sz="4" w:space="0"/>
            </w:tcBorders>
          </w:tcPr>
          <w:p>
            <w:pPr>
              <w:widowControl/>
              <w:jc w:val="center"/>
              <w:rPr>
                <w:bCs/>
                <w:kern w:val="0"/>
                <w:szCs w:val="21"/>
              </w:rPr>
            </w:pPr>
            <w:r>
              <w:rPr>
                <w:bCs/>
                <w:kern w:val="0"/>
                <w:szCs w:val="21"/>
              </w:rPr>
              <w:t>适用对象</w:t>
            </w:r>
          </w:p>
        </w:tc>
        <w:tc>
          <w:tcPr>
            <w:tcW w:w="2572" w:type="dxa"/>
            <w:tcBorders>
              <w:bottom w:val="single" w:color="auto" w:sz="4" w:space="0"/>
            </w:tcBorders>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286" w:type="dxa"/>
            <w:tcBorders>
              <w:top w:val="single" w:color="auto" w:sz="4" w:space="0"/>
              <w:bottom w:val="single" w:color="auto" w:sz="4" w:space="0"/>
            </w:tcBorders>
          </w:tcPr>
          <w:p>
            <w:pPr>
              <w:jc w:val="center"/>
              <w:rPr>
                <w:b/>
                <w:kern w:val="0"/>
                <w:szCs w:val="21"/>
              </w:rPr>
            </w:pPr>
            <w:r>
              <w:rPr>
                <w:kern w:val="0"/>
                <w:szCs w:val="21"/>
              </w:rPr>
              <w:t>先修课程</w:t>
            </w:r>
          </w:p>
        </w:tc>
        <w:tc>
          <w:tcPr>
            <w:tcW w:w="3285" w:type="dxa"/>
            <w:tcBorders>
              <w:top w:val="single" w:color="auto" w:sz="4" w:space="0"/>
              <w:bottom w:val="single" w:color="auto" w:sz="4" w:space="0"/>
            </w:tcBorders>
            <w:vAlign w:val="center"/>
          </w:tcPr>
          <w:p>
            <w:pPr>
              <w:widowControl/>
              <w:jc w:val="center"/>
              <w:rPr>
                <w:bCs/>
                <w:kern w:val="0"/>
                <w:szCs w:val="21"/>
              </w:rPr>
            </w:pPr>
            <w:r>
              <w:t>电子信息工程专业导论、思想道德修养与法律基础等</w:t>
            </w:r>
          </w:p>
        </w:tc>
        <w:tc>
          <w:tcPr>
            <w:tcW w:w="1143" w:type="dxa"/>
            <w:tcBorders>
              <w:top w:val="single" w:color="auto" w:sz="4" w:space="0"/>
              <w:bottom w:val="single" w:color="auto" w:sz="4" w:space="0"/>
            </w:tcBorders>
          </w:tcPr>
          <w:p>
            <w:pPr>
              <w:snapToGrid w:val="0"/>
              <w:jc w:val="center"/>
              <w:rPr>
                <w:b/>
                <w:kern w:val="0"/>
                <w:szCs w:val="21"/>
              </w:rPr>
            </w:pPr>
            <w:r>
              <w:rPr>
                <w:kern w:val="0"/>
                <w:szCs w:val="21"/>
              </w:rPr>
              <w:t>同修课程</w:t>
            </w:r>
          </w:p>
        </w:tc>
        <w:tc>
          <w:tcPr>
            <w:tcW w:w="2572" w:type="dxa"/>
            <w:tcBorders>
              <w:top w:val="single" w:color="auto" w:sz="4" w:space="0"/>
              <w:bottom w:val="single" w:color="auto" w:sz="4" w:space="0"/>
            </w:tcBorders>
          </w:tcPr>
          <w:p>
            <w:pPr>
              <w:widowControl/>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286" w:type="dxa"/>
            <w:tcBorders>
              <w:top w:val="single" w:color="auto" w:sz="4" w:space="0"/>
            </w:tcBorders>
          </w:tcPr>
          <w:p>
            <w:pPr>
              <w:jc w:val="center"/>
              <w:rPr>
                <w:kern w:val="0"/>
                <w:szCs w:val="21"/>
              </w:rPr>
            </w:pPr>
            <w:r>
              <w:rPr>
                <w:kern w:val="0"/>
                <w:szCs w:val="21"/>
              </w:rPr>
              <w:t>排斥课程</w:t>
            </w:r>
          </w:p>
        </w:tc>
        <w:tc>
          <w:tcPr>
            <w:tcW w:w="3285" w:type="dxa"/>
            <w:tcBorders>
              <w:top w:val="single" w:color="auto" w:sz="4" w:space="0"/>
            </w:tcBorders>
          </w:tcPr>
          <w:p>
            <w:pPr>
              <w:widowControl/>
              <w:jc w:val="center"/>
              <w:rPr>
                <w:kern w:val="0"/>
                <w:szCs w:val="21"/>
              </w:rPr>
            </w:pPr>
            <w:r>
              <w:rPr>
                <w:kern w:val="0"/>
                <w:szCs w:val="21"/>
              </w:rPr>
              <w:t>无</w:t>
            </w:r>
          </w:p>
        </w:tc>
        <w:tc>
          <w:tcPr>
            <w:tcW w:w="1143" w:type="dxa"/>
            <w:tcBorders>
              <w:top w:val="single" w:color="auto" w:sz="4" w:space="0"/>
            </w:tcBorders>
          </w:tcPr>
          <w:p>
            <w:pPr>
              <w:snapToGrid w:val="0"/>
              <w:jc w:val="center"/>
              <w:rPr>
                <w:kern w:val="0"/>
                <w:szCs w:val="21"/>
              </w:rPr>
            </w:pPr>
            <w:r>
              <w:rPr>
                <w:kern w:val="0"/>
                <w:szCs w:val="21"/>
              </w:rPr>
              <w:t>定稿日期</w:t>
            </w:r>
          </w:p>
        </w:tc>
        <w:tc>
          <w:tcPr>
            <w:tcW w:w="2572" w:type="dxa"/>
            <w:tcBorders>
              <w:top w:val="single" w:color="auto" w:sz="4" w:space="0"/>
            </w:tcBorders>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color w:val="FF0000"/>
          <w:szCs w:val="21"/>
        </w:rPr>
      </w:pPr>
      <w:r>
        <w:rPr>
          <w:rFonts w:hint="eastAsia"/>
          <w:szCs w:val="21"/>
        </w:rPr>
        <w:t>《工程伦理与道德》是工程教育和卓越工程师培养计划中所要求的工程基础课程之一，正确的工程伦理和职业道德观也是一个现代工程师必须具备的基本素质。 科技创新和科技的广泛运用将人类带入知识爆炸和高风险时代。如何加强中国工程创新的能力，同时有效规避科技运用的风险，让中国工程更好地走向世界，有赖于工程师社会责任的担当，有赖于工程师职业道德的培植。课程内容分三个部分：1、工程伦理的基本概念与关系，包括1-5章的工程、伦理、责任、风险四大概念和工程与社会、与自然、与科研三组关系。2、工程伦理的核心价值，包括6—9章的工程造福人类、工程实践中的问题、超越人道主义、可持续发展4个主题。3、工程伦理的基本规范，包括10—14章的职业自治、道德目标与手段、“实事求是、开拓创新”、“严谨认真、精益求精”、“工程师的团队精神”5章。课程除了讲授工程伦理学的基础理论知识，更主要的是采用基于案例、工程过程的课堂讲授与讨论相结合的方法进行教学。通过该课程的学习增强学生的道德敏感，使学生了解职业道德规范，提高道德判断能力；提高学生工程伦理意识，增强学生分析和解决复杂工程伦理问题能力，培养学生的责任感，建造造福人类的工程。</w:t>
      </w:r>
    </w:p>
    <w:p>
      <w:pPr>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420" w:firstLineChars="200"/>
        <w:rPr>
          <w:szCs w:val="21"/>
        </w:rPr>
      </w:pPr>
      <w:r>
        <w:rPr>
          <w:rFonts w:hint="eastAsia"/>
          <w:szCs w:val="21"/>
        </w:rPr>
        <w:t>通过本课程的学习，学习者应该了解在工程实践过程中将会遇到什么样的伦理和道德问题，作为一名合格的工程师具有什么样的职业素养和如何应对这些工程中可能遇到的伦理和道德问题。具体的课程教学目标如下：</w:t>
      </w:r>
    </w:p>
    <w:p>
      <w:pPr>
        <w:adjustRightInd w:val="0"/>
        <w:snapToGrid w:val="0"/>
        <w:spacing w:line="300" w:lineRule="auto"/>
        <w:ind w:firstLine="420" w:firstLineChars="200"/>
        <w:rPr>
          <w:szCs w:val="21"/>
        </w:rPr>
      </w:pPr>
      <w:r>
        <w:rPr>
          <w:rFonts w:hint="eastAsia"/>
          <w:szCs w:val="21"/>
        </w:rPr>
        <w:t>1.了解工程中的伦理概念以及工程中的主要伦理问题；明确作为一个合格的工程师所必须具备的基本职业道德；[3.3][6.2][7.2][11.1]</w:t>
      </w:r>
    </w:p>
    <w:p>
      <w:pPr>
        <w:snapToGrid w:val="0"/>
        <w:spacing w:line="300" w:lineRule="auto"/>
        <w:ind w:firstLine="420" w:firstLineChars="200"/>
        <w:rPr>
          <w:szCs w:val="21"/>
        </w:rPr>
      </w:pPr>
      <w:r>
        <w:rPr>
          <w:rFonts w:hint="eastAsia"/>
          <w:szCs w:val="21"/>
        </w:rPr>
        <w:t>2.具备能针对工程实践中可能存在的伦理问题初步给出应对策略的能力。增强学生的职业道德和社会责任感；</w:t>
      </w:r>
      <w:r>
        <w:rPr>
          <w:szCs w:val="21"/>
        </w:rPr>
        <w:t>培养学生</w:t>
      </w:r>
      <w:r>
        <w:rPr>
          <w:rFonts w:hint="eastAsia"/>
          <w:szCs w:val="21"/>
        </w:rPr>
        <w:t>实事求是、开拓创新、严谨认真和精益求精的科学精神。[3.3][6.2][7.2][11.1]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7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587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40" w:type="dxa"/>
            <w:vAlign w:val="center"/>
          </w:tcPr>
          <w:p>
            <w:pPr>
              <w:snapToGrid w:val="0"/>
              <w:spacing w:line="300" w:lineRule="auto"/>
              <w:rPr>
                <w:b/>
                <w:bCs/>
                <w:color w:val="000000"/>
                <w:sz w:val="18"/>
                <w:szCs w:val="18"/>
              </w:rPr>
            </w:pPr>
            <w:r>
              <w:rPr>
                <w:b/>
                <w:bCs/>
                <w:color w:val="000000"/>
                <w:sz w:val="18"/>
                <w:szCs w:val="18"/>
              </w:rPr>
              <w:t>毕业要求</w:t>
            </w:r>
          </w:p>
        </w:tc>
        <w:tc>
          <w:tcPr>
            <w:tcW w:w="5870" w:type="dxa"/>
            <w:vAlign w:val="center"/>
          </w:tcPr>
          <w:p>
            <w:pPr>
              <w:snapToGrid w:val="0"/>
              <w:spacing w:line="300" w:lineRule="auto"/>
              <w:jc w:val="center"/>
              <w:rPr>
                <w:b/>
                <w:bCs/>
                <w:color w:val="000000"/>
                <w:sz w:val="18"/>
                <w:szCs w:val="18"/>
              </w:rPr>
            </w:pPr>
            <w:r>
              <w:rPr>
                <w:b/>
                <w:bCs/>
                <w:color w:val="000000"/>
                <w:sz w:val="18"/>
                <w:szCs w:val="18"/>
              </w:rPr>
              <w:t>毕业要求指标点</w:t>
            </w:r>
          </w:p>
        </w:tc>
        <w:tc>
          <w:tcPr>
            <w:tcW w:w="65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Align w:val="center"/>
          </w:tcPr>
          <w:p>
            <w:pPr>
              <w:widowControl/>
              <w:jc w:val="left"/>
              <w:rPr>
                <w:sz w:val="18"/>
                <w:szCs w:val="18"/>
              </w:rPr>
            </w:pPr>
            <w:r>
              <w:rPr>
                <w:sz w:val="18"/>
                <w:szCs w:val="18"/>
              </w:rPr>
              <w:t>3.设计/开发解决方案</w:t>
            </w:r>
          </w:p>
        </w:tc>
        <w:tc>
          <w:tcPr>
            <w:tcW w:w="5870" w:type="dxa"/>
          </w:tcPr>
          <w:p>
            <w:pPr>
              <w:pStyle w:val="20"/>
              <w:spacing w:before="0" w:beforeAutospacing="0" w:after="0" w:afterAutospacing="0"/>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能够在</w:t>
            </w:r>
            <w:r>
              <w:rPr>
                <w:rFonts w:ascii="Times New Roman" w:hAnsi="Times New Roman"/>
                <w:sz w:val="18"/>
                <w:szCs w:val="18"/>
              </w:rPr>
              <w:t>设计中充分考虑社会、健康、安全、法律、文化以及环境等因素。</w:t>
            </w:r>
          </w:p>
        </w:tc>
        <w:tc>
          <w:tcPr>
            <w:tcW w:w="659" w:type="dxa"/>
            <w:vAlign w:val="center"/>
          </w:tcPr>
          <w:p>
            <w:pPr>
              <w:widowControl/>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40" w:type="dxa"/>
            <w:vAlign w:val="center"/>
          </w:tcPr>
          <w:p>
            <w:pPr>
              <w:widowControl/>
              <w:jc w:val="left"/>
              <w:rPr>
                <w:sz w:val="18"/>
                <w:szCs w:val="18"/>
              </w:rPr>
            </w:pPr>
            <w:r>
              <w:rPr>
                <w:sz w:val="18"/>
                <w:szCs w:val="18"/>
              </w:rPr>
              <w:t>6.工程与社会</w:t>
            </w:r>
          </w:p>
        </w:tc>
        <w:tc>
          <w:tcPr>
            <w:tcW w:w="5870" w:type="dxa"/>
          </w:tcPr>
          <w:p>
            <w:pPr>
              <w:pStyle w:val="20"/>
              <w:spacing w:before="0" w:beforeAutospacing="0" w:after="0" w:afterAutospacing="0"/>
              <w:rPr>
                <w:rFonts w:ascii="Times New Roman" w:hAnsi="Times New Roman"/>
                <w:sz w:val="18"/>
                <w:szCs w:val="18"/>
              </w:rPr>
            </w:pP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2能够基于工程相关背景知识，合理分析和评价专业工程实践和电子信息行业新产品、新技术的开发和应用对社会、健康、安全、法律以及文化的影响，并理解应承担的责任。</w:t>
            </w:r>
          </w:p>
        </w:tc>
        <w:tc>
          <w:tcPr>
            <w:tcW w:w="659" w:type="dxa"/>
            <w:vAlign w:val="center"/>
          </w:tcPr>
          <w:p>
            <w:pPr>
              <w:widowControl/>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40" w:type="dxa"/>
            <w:vAlign w:val="center"/>
          </w:tcPr>
          <w:p>
            <w:pPr>
              <w:widowControl/>
              <w:rPr>
                <w:sz w:val="18"/>
                <w:szCs w:val="18"/>
              </w:rPr>
            </w:pPr>
            <w:r>
              <w:rPr>
                <w:sz w:val="18"/>
                <w:szCs w:val="18"/>
              </w:rPr>
              <w:t>7.环境和可持续发展</w:t>
            </w:r>
          </w:p>
        </w:tc>
        <w:tc>
          <w:tcPr>
            <w:tcW w:w="5870" w:type="dxa"/>
          </w:tcPr>
          <w:p>
            <w:pPr>
              <w:ind w:right="-334"/>
              <w:rPr>
                <w:sz w:val="18"/>
                <w:szCs w:val="18"/>
              </w:rPr>
            </w:pPr>
            <w:r>
              <w:rPr>
                <w:rFonts w:hint="eastAsia"/>
                <w:sz w:val="18"/>
                <w:szCs w:val="18"/>
              </w:rPr>
              <w:t>7.2能够理解和评价电子信息领域复杂工程问题对环境、社会可持续发展的影响。</w:t>
            </w:r>
          </w:p>
        </w:tc>
        <w:tc>
          <w:tcPr>
            <w:tcW w:w="659" w:type="dxa"/>
            <w:vAlign w:val="center"/>
          </w:tcPr>
          <w:p>
            <w:pPr>
              <w:widowControl/>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40" w:type="dxa"/>
            <w:vAlign w:val="center"/>
          </w:tcPr>
          <w:p>
            <w:pPr>
              <w:widowControl/>
              <w:jc w:val="left"/>
              <w:rPr>
                <w:color w:val="000000"/>
                <w:sz w:val="18"/>
                <w:szCs w:val="18"/>
              </w:rPr>
            </w:pPr>
            <w:r>
              <w:rPr>
                <w:sz w:val="18"/>
                <w:szCs w:val="18"/>
              </w:rPr>
              <w:t>11.项目管理</w:t>
            </w:r>
          </w:p>
        </w:tc>
        <w:tc>
          <w:tcPr>
            <w:tcW w:w="5870" w:type="dxa"/>
            <w:vAlign w:val="center"/>
          </w:tcPr>
          <w:p>
            <w:pPr>
              <w:pStyle w:val="20"/>
              <w:spacing w:before="0" w:beforeAutospacing="0" w:after="0" w:afterAutospacing="0"/>
              <w:rPr>
                <w:rFonts w:ascii="Times New Roman" w:hAnsi="Times New Roman"/>
                <w:sz w:val="18"/>
                <w:szCs w:val="18"/>
              </w:rPr>
            </w:pPr>
            <w:r>
              <w:rPr>
                <w:rFonts w:hint="eastAsia" w:ascii="Times New Roman" w:hAnsi="Times New Roman"/>
                <w:sz w:val="18"/>
                <w:szCs w:val="18"/>
              </w:rPr>
              <w:t>11.1理解并掌握工程实践中工程管理的基本原理与经济决策方法。</w:t>
            </w:r>
          </w:p>
        </w:tc>
        <w:tc>
          <w:tcPr>
            <w:tcW w:w="659" w:type="dxa"/>
            <w:vAlign w:val="center"/>
          </w:tcPr>
          <w:p>
            <w:pPr>
              <w:widowControl/>
              <w:jc w:val="center"/>
              <w:rPr>
                <w:sz w:val="18"/>
                <w:szCs w:val="18"/>
              </w:rPr>
            </w:pPr>
            <w:r>
              <w:rPr>
                <w:rFonts w:hint="eastAsia"/>
                <w:sz w:val="18"/>
                <w:szCs w:val="18"/>
              </w:rPr>
              <w:t>1、2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2288"/>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shd w:val="clear" w:color="auto" w:fill="FFFFFF"/>
              </w:rPr>
              <w:t>1.了解工程中的伦理概念以及工程中的主要伦理问题</w:t>
            </w:r>
            <w:r>
              <w:rPr>
                <w:rFonts w:hint="eastAsia"/>
                <w:sz w:val="18"/>
                <w:szCs w:val="18"/>
                <w:shd w:val="clear" w:color="auto" w:fill="FFFFFF"/>
              </w:rPr>
              <w:t>，</w:t>
            </w:r>
            <w:r>
              <w:rPr>
                <w:sz w:val="18"/>
                <w:szCs w:val="18"/>
                <w:shd w:val="clear" w:color="auto" w:fill="FFFFFF"/>
              </w:rPr>
              <w:t>明确作为一个合格的工程师所必须具备的基本职业道德。</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课堂讲授、案例研讨、小组讨论、网络学习等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color w:val="333333"/>
                <w:sz w:val="18"/>
                <w:szCs w:val="18"/>
                <w:shd w:val="clear" w:color="auto" w:fill="FEFEFF"/>
              </w:rPr>
            </w:pPr>
            <w:r>
              <w:rPr>
                <w:bCs/>
                <w:color w:val="000000"/>
                <w:sz w:val="18"/>
                <w:szCs w:val="18"/>
              </w:rPr>
              <w:t>抽查提问、课程论文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rPr>
                <w:color w:val="333333"/>
                <w:sz w:val="18"/>
                <w:szCs w:val="18"/>
                <w:shd w:val="clear" w:color="auto" w:fill="FEFEFF"/>
              </w:rPr>
            </w:pPr>
            <w:r>
              <w:rPr>
                <w:sz w:val="18"/>
                <w:szCs w:val="18"/>
                <w:shd w:val="clear" w:color="auto" w:fill="FFFFFF"/>
              </w:rPr>
              <w:t>2.具备能针对工程实践中可能存在的伦理问题初步给出应对策略的能力；</w:t>
            </w:r>
            <w:r>
              <w:rPr>
                <w:rFonts w:hint="eastAsia"/>
                <w:sz w:val="18"/>
                <w:szCs w:val="18"/>
              </w:rPr>
              <w:t>增强学生的职业道德和社会责任感；</w:t>
            </w:r>
            <w:r>
              <w:rPr>
                <w:sz w:val="18"/>
                <w:szCs w:val="18"/>
              </w:rPr>
              <w:t>培养学生</w:t>
            </w:r>
            <w:r>
              <w:rPr>
                <w:rFonts w:hint="eastAsia"/>
                <w:sz w:val="18"/>
                <w:szCs w:val="18"/>
              </w:rPr>
              <w:t>实事求是、开拓创新、严谨认真和精益求精的科学精神。</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课堂讲授、案例研讨、小组讨论、网络学习等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color w:val="333333"/>
                <w:sz w:val="18"/>
                <w:szCs w:val="18"/>
                <w:shd w:val="clear" w:color="auto" w:fill="FEFEFF"/>
              </w:rPr>
            </w:pPr>
            <w:r>
              <w:rPr>
                <w:bCs/>
                <w:color w:val="000000"/>
                <w:sz w:val="18"/>
                <w:szCs w:val="18"/>
              </w:rPr>
              <w:t>抽查提问、课程论文</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rFonts w:hint="eastAsia"/>
          <w:szCs w:val="21"/>
        </w:rPr>
        <w:t>课堂讲授和案例研讨为主，每周平均讲授2学时；小组讨论、网络学习等为辅。注重工程案例教学，理论联系实际，加深学生对知识点的认识和理解。</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969"/>
        <w:gridCol w:w="4078"/>
        <w:gridCol w:w="702"/>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3" w:type="dxa"/>
            <w:tcMar>
              <w:left w:w="57" w:type="dxa"/>
              <w:right w:w="57" w:type="dxa"/>
            </w:tcMar>
            <w:vAlign w:val="center"/>
          </w:tcPr>
          <w:p>
            <w:pPr>
              <w:snapToGrid w:val="0"/>
              <w:spacing w:line="300" w:lineRule="auto"/>
              <w:jc w:val="center"/>
              <w:rPr>
                <w:rFonts w:ascii="宋体" w:hAnsi="宋体" w:cs="宋体"/>
                <w:b/>
                <w:bCs/>
                <w:sz w:val="18"/>
                <w:szCs w:val="18"/>
              </w:rPr>
            </w:pPr>
            <w:r>
              <w:rPr>
                <w:rFonts w:hint="eastAsia" w:ascii="宋体" w:hAnsi="宋体" w:cs="宋体"/>
                <w:b/>
                <w:bCs/>
                <w:sz w:val="18"/>
                <w:szCs w:val="18"/>
              </w:rPr>
              <w:t>序号</w:t>
            </w:r>
          </w:p>
        </w:tc>
        <w:tc>
          <w:tcPr>
            <w:tcW w:w="1969" w:type="dxa"/>
            <w:vAlign w:val="center"/>
          </w:tcPr>
          <w:p>
            <w:pPr>
              <w:snapToGrid w:val="0"/>
              <w:spacing w:line="300" w:lineRule="auto"/>
              <w:ind w:firstLine="361" w:firstLineChars="200"/>
              <w:rPr>
                <w:rFonts w:ascii="宋体" w:hAnsi="宋体" w:cs="宋体"/>
                <w:b/>
                <w:bCs/>
                <w:sz w:val="18"/>
                <w:szCs w:val="18"/>
              </w:rPr>
            </w:pPr>
            <w:r>
              <w:rPr>
                <w:rFonts w:hint="eastAsia" w:ascii="宋体" w:hAnsi="宋体" w:cs="宋体"/>
                <w:b/>
                <w:bCs/>
                <w:sz w:val="18"/>
                <w:szCs w:val="18"/>
              </w:rPr>
              <w:t>教学内容</w:t>
            </w:r>
          </w:p>
        </w:tc>
        <w:tc>
          <w:tcPr>
            <w:tcW w:w="4078" w:type="dxa"/>
            <w:vAlign w:val="center"/>
          </w:tcPr>
          <w:p>
            <w:pPr>
              <w:snapToGrid w:val="0"/>
              <w:spacing w:line="300" w:lineRule="auto"/>
              <w:ind w:firstLine="361" w:firstLineChars="200"/>
              <w:jc w:val="center"/>
              <w:rPr>
                <w:rFonts w:ascii="宋体" w:hAnsi="宋体" w:cs="宋体"/>
                <w:b/>
                <w:bCs/>
                <w:sz w:val="18"/>
                <w:szCs w:val="18"/>
              </w:rPr>
            </w:pPr>
            <w:r>
              <w:rPr>
                <w:rFonts w:hint="eastAsia" w:ascii="宋体" w:hAnsi="宋体" w:cs="宋体"/>
                <w:b/>
                <w:bCs/>
                <w:sz w:val="18"/>
                <w:szCs w:val="18"/>
              </w:rPr>
              <w:t>教与学的要求</w:t>
            </w:r>
          </w:p>
        </w:tc>
        <w:tc>
          <w:tcPr>
            <w:tcW w:w="702" w:type="dxa"/>
            <w:vAlign w:val="center"/>
          </w:tcPr>
          <w:p>
            <w:pPr>
              <w:snapToGrid w:val="0"/>
              <w:spacing w:line="300" w:lineRule="auto"/>
              <w:jc w:val="center"/>
              <w:rPr>
                <w:rFonts w:ascii="宋体" w:hAnsi="宋体" w:cs="宋体"/>
                <w:b/>
                <w:bCs/>
                <w:sz w:val="18"/>
                <w:szCs w:val="18"/>
              </w:rPr>
            </w:pPr>
            <w:r>
              <w:rPr>
                <w:rFonts w:hint="eastAsia" w:ascii="宋体" w:hAnsi="宋体" w:cs="宋体"/>
                <w:b/>
                <w:bCs/>
                <w:sz w:val="18"/>
                <w:szCs w:val="18"/>
              </w:rPr>
              <w:t>学时</w:t>
            </w:r>
          </w:p>
        </w:tc>
        <w:tc>
          <w:tcPr>
            <w:tcW w:w="984" w:type="dxa"/>
            <w:vAlign w:val="center"/>
          </w:tcPr>
          <w:p>
            <w:pPr>
              <w:snapToGrid w:val="0"/>
              <w:spacing w:line="300" w:lineRule="auto"/>
              <w:jc w:val="center"/>
              <w:rPr>
                <w:rFonts w:ascii="宋体" w:hAnsi="宋体" w:cs="宋体"/>
                <w:b/>
                <w:bCs/>
                <w:sz w:val="18"/>
                <w:szCs w:val="18"/>
              </w:rPr>
            </w:pPr>
            <w:r>
              <w:rPr>
                <w:rFonts w:hint="eastAsia" w:ascii="宋体" w:hAnsi="宋体" w:cs="宋体"/>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widowControl/>
              <w:jc w:val="center"/>
              <w:rPr>
                <w:rFonts w:ascii="宋体" w:hAnsi="宋体" w:cs="宋体"/>
                <w:sz w:val="18"/>
                <w:szCs w:val="18"/>
              </w:rPr>
            </w:pPr>
            <w:r>
              <w:rPr>
                <w:rFonts w:hint="eastAsia" w:ascii="宋体" w:hAnsi="宋体" w:cs="宋体"/>
                <w:kern w:val="0"/>
                <w:sz w:val="18"/>
                <w:szCs w:val="18"/>
              </w:rPr>
              <w:t>1</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第一讲 工程概念</w:t>
            </w:r>
            <w:r>
              <w:rPr>
                <w:rFonts w:hint="eastAsia" w:cs="宋体"/>
                <w:sz w:val="18"/>
                <w:szCs w:val="18"/>
              </w:rPr>
              <w:br w:type="textWrapping"/>
            </w:r>
            <w:r>
              <w:rPr>
                <w:rFonts w:hint="eastAsia" w:cs="宋体"/>
                <w:sz w:val="18"/>
                <w:szCs w:val="18"/>
              </w:rPr>
              <w:t>1-1  工程概念</w:t>
            </w:r>
          </w:p>
          <w:p>
            <w:pPr>
              <w:pStyle w:val="20"/>
              <w:shd w:val="clear" w:color="auto" w:fill="FFFFFF"/>
              <w:spacing w:before="0" w:beforeAutospacing="0" w:after="0" w:afterAutospacing="0"/>
              <w:rPr>
                <w:rFonts w:cs="宋体"/>
                <w:sz w:val="18"/>
                <w:szCs w:val="18"/>
              </w:rPr>
            </w:pPr>
            <w:r>
              <w:rPr>
                <w:rFonts w:hint="eastAsia" w:cs="宋体"/>
                <w:sz w:val="18"/>
                <w:szCs w:val="18"/>
              </w:rPr>
              <w:t>1-2  大工程</w:t>
            </w:r>
          </w:p>
          <w:p>
            <w:pPr>
              <w:pStyle w:val="20"/>
              <w:shd w:val="clear" w:color="auto" w:fill="FFFFFF"/>
              <w:spacing w:before="0" w:beforeAutospacing="0" w:after="0" w:afterAutospacing="0"/>
              <w:rPr>
                <w:rFonts w:cs="宋体"/>
                <w:sz w:val="18"/>
                <w:szCs w:val="18"/>
              </w:rPr>
            </w:pPr>
            <w:r>
              <w:rPr>
                <w:rFonts w:hint="eastAsia" w:cs="宋体"/>
                <w:sz w:val="18"/>
                <w:szCs w:val="18"/>
              </w:rPr>
              <w:t>第二讲 工程伦理概念</w:t>
            </w:r>
          </w:p>
          <w:p>
            <w:pPr>
              <w:pStyle w:val="20"/>
              <w:shd w:val="clear" w:color="auto" w:fill="FFFFFF"/>
              <w:spacing w:before="0" w:beforeAutospacing="0" w:after="0" w:afterAutospacing="0"/>
              <w:rPr>
                <w:rFonts w:cs="宋体"/>
                <w:sz w:val="18"/>
                <w:szCs w:val="18"/>
              </w:rPr>
            </w:pPr>
            <w:r>
              <w:rPr>
                <w:rFonts w:hint="eastAsia" w:cs="宋体"/>
                <w:sz w:val="18"/>
                <w:szCs w:val="18"/>
              </w:rPr>
              <w:t>2-1  伦理学</w:t>
            </w:r>
          </w:p>
          <w:p>
            <w:pPr>
              <w:pStyle w:val="20"/>
              <w:shd w:val="clear" w:color="auto" w:fill="FFFFFF"/>
              <w:spacing w:before="0" w:beforeAutospacing="0" w:after="0" w:afterAutospacing="0"/>
              <w:rPr>
                <w:rFonts w:cs="宋体"/>
                <w:sz w:val="18"/>
                <w:szCs w:val="18"/>
              </w:rPr>
            </w:pPr>
            <w:r>
              <w:rPr>
                <w:rFonts w:hint="eastAsia" w:cs="宋体"/>
                <w:sz w:val="18"/>
                <w:szCs w:val="18"/>
              </w:rPr>
              <w:t>2-2  工程伦理</w:t>
            </w:r>
          </w:p>
          <w:p>
            <w:pPr>
              <w:pStyle w:val="20"/>
              <w:shd w:val="clear" w:color="auto" w:fill="FFFFFF"/>
              <w:spacing w:before="0" w:beforeAutospacing="0" w:after="0" w:afterAutospacing="0"/>
              <w:rPr>
                <w:rFonts w:cs="宋体"/>
                <w:sz w:val="18"/>
                <w:szCs w:val="18"/>
              </w:rPr>
            </w:pPr>
            <w:r>
              <w:rPr>
                <w:rFonts w:hint="eastAsia" w:cs="宋体"/>
                <w:sz w:val="18"/>
                <w:szCs w:val="18"/>
              </w:rPr>
              <w:t>2-3  工程师的责任</w:t>
            </w:r>
          </w:p>
          <w:p>
            <w:pPr>
              <w:pStyle w:val="20"/>
              <w:shd w:val="clear" w:color="auto" w:fill="FFFFFF"/>
              <w:spacing w:before="0" w:beforeAutospacing="0" w:after="0" w:afterAutospacing="0"/>
              <w:rPr>
                <w:rFonts w:cs="宋体"/>
                <w:sz w:val="18"/>
                <w:szCs w:val="18"/>
              </w:rPr>
            </w:pPr>
            <w:r>
              <w:rPr>
                <w:rFonts w:hint="eastAsia" w:cs="宋体"/>
                <w:sz w:val="18"/>
                <w:szCs w:val="18"/>
              </w:rPr>
              <w:t>2-4  工程伦理学的学科意义</w:t>
            </w:r>
          </w:p>
        </w:tc>
        <w:tc>
          <w:tcPr>
            <w:tcW w:w="4078" w:type="dxa"/>
            <w:vAlign w:val="center"/>
          </w:tcPr>
          <w:p>
            <w:pPr>
              <w:widowControl/>
              <w:tabs>
                <w:tab w:val="left" w:pos="426"/>
                <w:tab w:val="left" w:pos="5245"/>
                <w:tab w:val="left" w:pos="5387"/>
              </w:tabs>
              <w:rPr>
                <w:rFonts w:ascii="宋体" w:hAnsi="宋体" w:cs="宋体"/>
                <w:kern w:val="0"/>
                <w:sz w:val="18"/>
                <w:szCs w:val="18"/>
              </w:rPr>
            </w:pPr>
            <w:r>
              <w:rPr>
                <w:rFonts w:hint="eastAsia" w:ascii="宋体" w:hAnsi="宋体" w:cs="宋体"/>
                <w:kern w:val="0"/>
                <w:sz w:val="18"/>
                <w:szCs w:val="18"/>
              </w:rPr>
              <w:t>1、目标及要求：</w:t>
            </w:r>
          </w:p>
          <w:p>
            <w:pPr>
              <w:ind w:right="-31" w:rightChars="-15"/>
              <w:rPr>
                <w:rFonts w:ascii="宋体" w:hAnsi="宋体" w:cs="宋体"/>
                <w:sz w:val="18"/>
                <w:szCs w:val="18"/>
              </w:rPr>
            </w:pPr>
            <w:r>
              <w:rPr>
                <w:rFonts w:hint="eastAsia" w:ascii="宋体" w:hAnsi="宋体" w:cs="宋体"/>
                <w:sz w:val="18"/>
                <w:szCs w:val="18"/>
              </w:rPr>
              <w:t>1）了解：工程和工程伦理的概念</w:t>
            </w:r>
          </w:p>
          <w:p>
            <w:pPr>
              <w:ind w:right="-31" w:rightChars="-15"/>
              <w:rPr>
                <w:rFonts w:ascii="宋体" w:hAnsi="宋体" w:cs="宋体"/>
                <w:sz w:val="18"/>
                <w:szCs w:val="18"/>
              </w:rPr>
            </w:pPr>
            <w:r>
              <w:rPr>
                <w:rFonts w:hint="eastAsia" w:ascii="宋体" w:hAnsi="宋体" w:cs="宋体"/>
                <w:sz w:val="18"/>
                <w:szCs w:val="18"/>
              </w:rPr>
              <w:t>2）掌握：工程师的伦理责任</w:t>
            </w:r>
          </w:p>
          <w:p>
            <w:pPr>
              <w:ind w:right="-31" w:rightChars="-15"/>
              <w:rPr>
                <w:rFonts w:ascii="宋体" w:hAnsi="宋体" w:cs="宋体"/>
                <w:sz w:val="18"/>
                <w:szCs w:val="18"/>
              </w:rPr>
            </w:pPr>
            <w:r>
              <w:rPr>
                <w:rFonts w:hint="eastAsia" w:ascii="宋体" w:hAnsi="宋体" w:cs="宋体"/>
                <w:sz w:val="18"/>
                <w:szCs w:val="18"/>
              </w:rPr>
              <w:t>2、作业内容：提交课程论文，总结国内外工程伦理涉及的领域和研究进展</w:t>
            </w:r>
          </w:p>
          <w:p>
            <w:pPr>
              <w:ind w:right="-31" w:rightChars="-15"/>
              <w:rPr>
                <w:rFonts w:ascii="宋体" w:hAnsi="宋体" w:cs="宋体"/>
                <w:sz w:val="18"/>
                <w:szCs w:val="18"/>
              </w:rPr>
            </w:pPr>
            <w:r>
              <w:rPr>
                <w:rFonts w:hint="eastAsia" w:ascii="宋体" w:hAnsi="宋体" w:cs="宋体"/>
                <w:sz w:val="18"/>
                <w:szCs w:val="18"/>
              </w:rPr>
              <w:t>3、讨论内容：工程伦理对于工程的重要性</w:t>
            </w:r>
          </w:p>
          <w:p>
            <w:pPr>
              <w:ind w:right="-31" w:rightChars="-15"/>
              <w:rPr>
                <w:rFonts w:ascii="宋体" w:hAnsi="宋体" w:cs="宋体"/>
                <w:sz w:val="18"/>
                <w:szCs w:val="18"/>
              </w:rPr>
            </w:pPr>
          </w:p>
        </w:tc>
        <w:tc>
          <w:tcPr>
            <w:tcW w:w="702" w:type="dxa"/>
            <w:vAlign w:val="center"/>
          </w:tcPr>
          <w:p>
            <w:pPr>
              <w:widowControl/>
              <w:jc w:val="center"/>
              <w:rPr>
                <w:rFonts w:ascii="宋体" w:hAnsi="宋体" w:cs="宋体"/>
                <w:sz w:val="18"/>
                <w:szCs w:val="18"/>
              </w:rPr>
            </w:pPr>
            <w:r>
              <w:rPr>
                <w:rFonts w:hint="eastAsia" w:ascii="宋体" w:hAnsi="宋体" w:cs="宋体"/>
                <w:kern w:val="0"/>
                <w:sz w:val="18"/>
                <w:szCs w:val="18"/>
              </w:rPr>
              <w:t>2</w:t>
            </w:r>
          </w:p>
        </w:tc>
        <w:tc>
          <w:tcPr>
            <w:tcW w:w="984" w:type="dxa"/>
            <w:vAlign w:val="center"/>
          </w:tcPr>
          <w:p>
            <w:pPr>
              <w:widowControl/>
              <w:jc w:val="center"/>
              <w:rPr>
                <w:rFonts w:ascii="宋体" w:hAnsi="宋体" w:cs="宋体"/>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widowControl/>
              <w:jc w:val="center"/>
              <w:rPr>
                <w:rFonts w:ascii="宋体" w:hAnsi="宋体" w:cs="宋体"/>
                <w:sz w:val="18"/>
                <w:szCs w:val="18"/>
              </w:rPr>
            </w:pPr>
            <w:r>
              <w:rPr>
                <w:rFonts w:hint="eastAsia" w:ascii="宋体" w:hAnsi="宋体" w:cs="宋体"/>
                <w:kern w:val="0"/>
                <w:sz w:val="18"/>
                <w:szCs w:val="18"/>
              </w:rPr>
              <w:t>2</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 xml:space="preserve">第三讲 光荣与责任  </w:t>
            </w:r>
          </w:p>
          <w:p>
            <w:pPr>
              <w:pStyle w:val="20"/>
              <w:shd w:val="clear" w:color="auto" w:fill="FFFFFF"/>
              <w:spacing w:before="0" w:beforeAutospacing="0" w:after="0" w:afterAutospacing="0"/>
              <w:rPr>
                <w:rFonts w:cs="宋体"/>
                <w:sz w:val="18"/>
                <w:szCs w:val="18"/>
              </w:rPr>
            </w:pPr>
            <w:r>
              <w:rPr>
                <w:rFonts w:hint="eastAsia" w:cs="宋体"/>
                <w:sz w:val="18"/>
                <w:szCs w:val="18"/>
              </w:rPr>
              <w:t>3-1 文明丰碑</w:t>
            </w:r>
          </w:p>
          <w:p>
            <w:pPr>
              <w:pStyle w:val="20"/>
              <w:shd w:val="clear" w:color="auto" w:fill="FFFFFF"/>
              <w:spacing w:before="0" w:beforeAutospacing="0" w:after="0" w:afterAutospacing="0"/>
              <w:rPr>
                <w:rFonts w:cs="宋体"/>
                <w:sz w:val="18"/>
                <w:szCs w:val="18"/>
              </w:rPr>
            </w:pPr>
            <w:r>
              <w:rPr>
                <w:rFonts w:hint="eastAsia" w:cs="宋体"/>
                <w:sz w:val="18"/>
                <w:szCs w:val="18"/>
              </w:rPr>
              <w:t>3-2 社会使命</w:t>
            </w:r>
          </w:p>
          <w:p>
            <w:pPr>
              <w:pStyle w:val="20"/>
              <w:shd w:val="clear" w:color="auto" w:fill="FFFFFF"/>
              <w:spacing w:before="0" w:beforeAutospacing="0" w:after="0" w:afterAutospacing="0"/>
              <w:rPr>
                <w:rFonts w:cs="宋体"/>
                <w:sz w:val="18"/>
                <w:szCs w:val="18"/>
              </w:rPr>
            </w:pPr>
            <w:r>
              <w:rPr>
                <w:rFonts w:hint="eastAsia" w:cs="宋体"/>
                <w:sz w:val="18"/>
                <w:szCs w:val="18"/>
              </w:rPr>
              <w:t>第四讲 工程中的伦理问题</w:t>
            </w:r>
          </w:p>
          <w:p>
            <w:pPr>
              <w:pStyle w:val="20"/>
              <w:shd w:val="clear" w:color="auto" w:fill="FFFFFF"/>
              <w:spacing w:before="0" w:beforeAutospacing="0" w:after="0" w:afterAutospacing="0"/>
              <w:rPr>
                <w:rFonts w:cs="宋体"/>
                <w:sz w:val="18"/>
                <w:szCs w:val="18"/>
              </w:rPr>
            </w:pPr>
            <w:r>
              <w:rPr>
                <w:rFonts w:hint="eastAsia" w:cs="宋体"/>
                <w:sz w:val="18"/>
                <w:szCs w:val="18"/>
              </w:rPr>
              <w:t>4-1 工程价值目标的不道德性</w:t>
            </w:r>
          </w:p>
          <w:p>
            <w:pPr>
              <w:pStyle w:val="20"/>
              <w:shd w:val="clear" w:color="auto" w:fill="FFFFFF"/>
              <w:spacing w:before="0" w:beforeAutospacing="0" w:after="0" w:afterAutospacing="0"/>
              <w:rPr>
                <w:rFonts w:cs="宋体"/>
                <w:sz w:val="18"/>
                <w:szCs w:val="18"/>
              </w:rPr>
            </w:pPr>
            <w:r>
              <w:rPr>
                <w:rFonts w:hint="eastAsia" w:cs="宋体"/>
                <w:sz w:val="18"/>
                <w:szCs w:val="18"/>
              </w:rPr>
              <w:t>4-2 技术运用的不可完全掌控</w:t>
            </w:r>
          </w:p>
          <w:p>
            <w:pPr>
              <w:pStyle w:val="20"/>
              <w:shd w:val="clear" w:color="auto" w:fill="FFFFFF"/>
              <w:spacing w:before="0" w:beforeAutospacing="0" w:after="0" w:afterAutospacing="0"/>
              <w:rPr>
                <w:rFonts w:cs="宋体"/>
                <w:sz w:val="18"/>
                <w:szCs w:val="18"/>
              </w:rPr>
            </w:pPr>
            <w:r>
              <w:rPr>
                <w:rFonts w:hint="eastAsia" w:cs="宋体"/>
                <w:sz w:val="18"/>
                <w:szCs w:val="18"/>
              </w:rPr>
              <w:t>4-3 利弊交织</w:t>
            </w:r>
          </w:p>
          <w:p>
            <w:pPr>
              <w:pStyle w:val="20"/>
              <w:shd w:val="clear" w:color="auto" w:fill="FFFFFF"/>
              <w:spacing w:before="0" w:beforeAutospacing="0" w:after="0" w:afterAutospacing="0"/>
              <w:rPr>
                <w:rFonts w:cs="宋体"/>
                <w:sz w:val="18"/>
                <w:szCs w:val="18"/>
              </w:rPr>
            </w:pPr>
            <w:r>
              <w:rPr>
                <w:rFonts w:hint="eastAsia" w:cs="宋体"/>
                <w:sz w:val="18"/>
                <w:szCs w:val="18"/>
              </w:rPr>
              <w:t>4-4 质疑与规避风险</w:t>
            </w:r>
          </w:p>
        </w:tc>
        <w:tc>
          <w:tcPr>
            <w:tcW w:w="4078" w:type="dxa"/>
            <w:vAlign w:val="center"/>
          </w:tcPr>
          <w:p>
            <w:pPr>
              <w:widowControl/>
              <w:tabs>
                <w:tab w:val="left" w:pos="426"/>
                <w:tab w:val="left" w:pos="5245"/>
                <w:tab w:val="left" w:pos="5387"/>
              </w:tabs>
              <w:rPr>
                <w:rFonts w:ascii="宋体" w:hAnsi="宋体" w:cs="宋体"/>
                <w:kern w:val="0"/>
                <w:sz w:val="18"/>
                <w:szCs w:val="18"/>
              </w:rPr>
            </w:pPr>
            <w:r>
              <w:rPr>
                <w:rFonts w:hint="eastAsia" w:ascii="宋体" w:hAnsi="宋体" w:cs="宋体"/>
                <w:kern w:val="0"/>
                <w:sz w:val="18"/>
                <w:szCs w:val="18"/>
              </w:rPr>
              <w:t>1、目标及要求：</w:t>
            </w:r>
          </w:p>
          <w:p>
            <w:pPr>
              <w:ind w:right="-31" w:rightChars="-15"/>
              <w:rPr>
                <w:rFonts w:ascii="宋体" w:hAnsi="宋体" w:cs="宋体"/>
                <w:sz w:val="18"/>
                <w:szCs w:val="18"/>
              </w:rPr>
            </w:pPr>
            <w:r>
              <w:rPr>
                <w:rFonts w:hint="eastAsia" w:ascii="宋体" w:hAnsi="宋体" w:cs="宋体"/>
                <w:sz w:val="18"/>
                <w:szCs w:val="18"/>
              </w:rPr>
              <w:t>1）了解：工程师的职业使命</w:t>
            </w:r>
          </w:p>
          <w:p>
            <w:pPr>
              <w:pStyle w:val="20"/>
              <w:shd w:val="clear" w:color="auto" w:fill="FFFFFF"/>
              <w:spacing w:before="0" w:beforeAutospacing="0" w:after="0" w:afterAutospacing="0"/>
              <w:rPr>
                <w:rFonts w:cs="宋体"/>
                <w:sz w:val="18"/>
                <w:szCs w:val="18"/>
              </w:rPr>
            </w:pPr>
            <w:r>
              <w:rPr>
                <w:rFonts w:hint="eastAsia" w:cs="宋体"/>
                <w:sz w:val="18"/>
                <w:szCs w:val="18"/>
              </w:rPr>
              <w:t>2）掌握：科技是一把双刃剑及工程中的伦理问题</w:t>
            </w:r>
          </w:p>
          <w:p>
            <w:pPr>
              <w:ind w:right="-31" w:rightChars="-15"/>
              <w:rPr>
                <w:rFonts w:ascii="宋体" w:hAnsi="宋体" w:cs="宋体"/>
                <w:sz w:val="18"/>
                <w:szCs w:val="18"/>
              </w:rPr>
            </w:pPr>
            <w:r>
              <w:rPr>
                <w:rFonts w:hint="eastAsia" w:ascii="宋体" w:hAnsi="宋体" w:cs="宋体"/>
                <w:sz w:val="18"/>
                <w:szCs w:val="18"/>
              </w:rPr>
              <w:t>2、作业内容：结合自己的专业，分析其中面临的工程伦理问题。</w:t>
            </w:r>
          </w:p>
          <w:p>
            <w:pPr>
              <w:ind w:right="-31" w:rightChars="-15"/>
              <w:rPr>
                <w:rFonts w:ascii="宋体" w:hAnsi="宋体" w:cs="宋体"/>
                <w:sz w:val="18"/>
                <w:szCs w:val="18"/>
              </w:rPr>
            </w:pPr>
            <w:r>
              <w:rPr>
                <w:rFonts w:hint="eastAsia" w:ascii="宋体" w:hAnsi="宋体" w:cs="宋体"/>
                <w:sz w:val="18"/>
                <w:szCs w:val="18"/>
              </w:rPr>
              <w:t>3、讨论内容：你如何理解你所学专业的社会价值？</w:t>
            </w:r>
          </w:p>
          <w:p>
            <w:pPr>
              <w:ind w:right="-31" w:rightChars="-15"/>
              <w:rPr>
                <w:rFonts w:ascii="宋体" w:hAnsi="宋体" w:cs="宋体"/>
                <w:sz w:val="18"/>
                <w:szCs w:val="18"/>
              </w:rPr>
            </w:pPr>
          </w:p>
        </w:tc>
        <w:tc>
          <w:tcPr>
            <w:tcW w:w="702" w:type="dxa"/>
            <w:vAlign w:val="center"/>
          </w:tcPr>
          <w:p>
            <w:pPr>
              <w:widowControl/>
              <w:jc w:val="center"/>
              <w:rPr>
                <w:rFonts w:ascii="宋体" w:hAnsi="宋体" w:cs="宋体"/>
                <w:sz w:val="18"/>
                <w:szCs w:val="18"/>
              </w:rPr>
            </w:pPr>
            <w:r>
              <w:rPr>
                <w:rFonts w:hint="eastAsia" w:ascii="宋体" w:hAnsi="宋体" w:cs="宋体"/>
                <w:kern w:val="0"/>
                <w:sz w:val="18"/>
                <w:szCs w:val="18"/>
              </w:rPr>
              <w:t>2</w:t>
            </w:r>
          </w:p>
        </w:tc>
        <w:tc>
          <w:tcPr>
            <w:tcW w:w="984" w:type="dxa"/>
            <w:vAlign w:val="center"/>
          </w:tcPr>
          <w:p>
            <w:pPr>
              <w:widowControl/>
              <w:jc w:val="center"/>
              <w:rPr>
                <w:rFonts w:ascii="宋体" w:hAnsi="宋体" w:cs="宋体"/>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rFonts w:ascii="宋体" w:hAnsi="宋体" w:cs="宋体"/>
                <w:sz w:val="18"/>
                <w:szCs w:val="18"/>
              </w:rPr>
            </w:pPr>
            <w:r>
              <w:rPr>
                <w:rFonts w:hint="eastAsia" w:ascii="宋体" w:hAnsi="宋体" w:cs="宋体"/>
                <w:kern w:val="0"/>
                <w:sz w:val="18"/>
                <w:szCs w:val="18"/>
              </w:rPr>
              <w:t>3</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第五讲 工程中的突出问题</w:t>
            </w:r>
          </w:p>
          <w:p>
            <w:pPr>
              <w:pStyle w:val="20"/>
              <w:shd w:val="clear" w:color="auto" w:fill="FFFFFF"/>
              <w:spacing w:before="0" w:beforeAutospacing="0" w:after="0" w:afterAutospacing="0"/>
              <w:rPr>
                <w:rFonts w:cs="宋体"/>
                <w:sz w:val="18"/>
                <w:szCs w:val="18"/>
              </w:rPr>
            </w:pPr>
            <w:r>
              <w:rPr>
                <w:rFonts w:hint="eastAsia" w:cs="宋体"/>
                <w:sz w:val="18"/>
                <w:szCs w:val="18"/>
              </w:rPr>
              <w:t>5-1 工程与社会</w:t>
            </w:r>
          </w:p>
          <w:p>
            <w:pPr>
              <w:pStyle w:val="20"/>
              <w:shd w:val="clear" w:color="auto" w:fill="FFFFFF"/>
              <w:spacing w:before="0" w:beforeAutospacing="0" w:after="0" w:afterAutospacing="0"/>
              <w:rPr>
                <w:rFonts w:cs="宋体"/>
                <w:sz w:val="18"/>
                <w:szCs w:val="18"/>
              </w:rPr>
            </w:pPr>
            <w:r>
              <w:rPr>
                <w:rFonts w:hint="eastAsia" w:cs="宋体"/>
                <w:sz w:val="18"/>
                <w:szCs w:val="18"/>
              </w:rPr>
              <w:t>5-2 工程与自然</w:t>
            </w:r>
          </w:p>
          <w:p>
            <w:pPr>
              <w:pStyle w:val="20"/>
              <w:shd w:val="clear" w:color="auto" w:fill="FFFFFF"/>
              <w:spacing w:before="0" w:beforeAutospacing="0" w:after="0" w:afterAutospacing="0"/>
              <w:rPr>
                <w:rFonts w:cs="宋体"/>
                <w:sz w:val="18"/>
                <w:szCs w:val="18"/>
              </w:rPr>
            </w:pPr>
            <w:r>
              <w:rPr>
                <w:rFonts w:hint="eastAsia" w:cs="宋体"/>
                <w:sz w:val="18"/>
                <w:szCs w:val="18"/>
              </w:rPr>
              <w:t>5-3 工程与责任</w:t>
            </w:r>
          </w:p>
          <w:p>
            <w:pPr>
              <w:pStyle w:val="20"/>
              <w:shd w:val="clear" w:color="auto" w:fill="FFFFFF"/>
              <w:spacing w:before="0" w:beforeAutospacing="0" w:after="0" w:afterAutospacing="0"/>
              <w:rPr>
                <w:rFonts w:cs="宋体"/>
                <w:sz w:val="18"/>
                <w:szCs w:val="18"/>
              </w:rPr>
            </w:pPr>
            <w:r>
              <w:rPr>
                <w:rFonts w:hint="eastAsia" w:cs="宋体"/>
                <w:sz w:val="18"/>
                <w:szCs w:val="18"/>
              </w:rPr>
              <w:t>第六讲 人道主义</w:t>
            </w:r>
          </w:p>
          <w:p>
            <w:pPr>
              <w:pStyle w:val="20"/>
              <w:shd w:val="clear" w:color="auto" w:fill="FFFFFF"/>
              <w:spacing w:before="0" w:beforeAutospacing="0" w:after="0" w:afterAutospacing="0"/>
              <w:rPr>
                <w:rFonts w:cs="宋体"/>
                <w:sz w:val="18"/>
                <w:szCs w:val="18"/>
              </w:rPr>
            </w:pPr>
            <w:r>
              <w:rPr>
                <w:rFonts w:hint="eastAsia" w:cs="宋体"/>
                <w:sz w:val="18"/>
                <w:szCs w:val="18"/>
              </w:rPr>
              <w:t>6-1 普通伦理学的价值核心——人道主义</w:t>
            </w:r>
          </w:p>
          <w:p>
            <w:pPr>
              <w:pStyle w:val="20"/>
              <w:shd w:val="clear" w:color="auto" w:fill="FFFFFF"/>
              <w:spacing w:before="0" w:beforeAutospacing="0" w:after="0" w:afterAutospacing="0"/>
              <w:rPr>
                <w:rFonts w:cs="宋体"/>
                <w:sz w:val="18"/>
                <w:szCs w:val="18"/>
              </w:rPr>
            </w:pPr>
            <w:r>
              <w:rPr>
                <w:rFonts w:hint="eastAsia" w:cs="宋体"/>
                <w:sz w:val="18"/>
                <w:szCs w:val="18"/>
              </w:rPr>
              <w:t>6-2 工程伦理的首要原则——工程造福人类</w:t>
            </w:r>
          </w:p>
          <w:p>
            <w:pPr>
              <w:pStyle w:val="20"/>
              <w:shd w:val="clear" w:color="auto" w:fill="FFFFFF"/>
              <w:spacing w:before="0" w:beforeAutospacing="0" w:after="0" w:afterAutospacing="0"/>
              <w:rPr>
                <w:rFonts w:cs="宋体"/>
                <w:sz w:val="18"/>
                <w:szCs w:val="18"/>
              </w:rPr>
            </w:pPr>
            <w:r>
              <w:rPr>
                <w:rFonts w:hint="eastAsia" w:cs="宋体"/>
                <w:sz w:val="18"/>
                <w:szCs w:val="18"/>
              </w:rPr>
              <w:t>6-3更多的工程使命、职业责任</w:t>
            </w:r>
          </w:p>
        </w:tc>
        <w:tc>
          <w:tcPr>
            <w:tcW w:w="4078" w:type="dxa"/>
            <w:vAlign w:val="center"/>
          </w:tcPr>
          <w:p>
            <w:pPr>
              <w:widowControl/>
              <w:ind w:right="-31" w:rightChars="-15"/>
              <w:rPr>
                <w:rFonts w:ascii="宋体" w:hAnsi="宋体" w:cs="宋体"/>
                <w:kern w:val="0"/>
                <w:sz w:val="18"/>
                <w:szCs w:val="18"/>
              </w:rPr>
            </w:pPr>
            <w:r>
              <w:rPr>
                <w:rFonts w:hint="eastAsia" w:ascii="宋体" w:hAnsi="宋体" w:cs="宋体"/>
                <w:kern w:val="0"/>
                <w:sz w:val="18"/>
                <w:szCs w:val="18"/>
              </w:rPr>
              <w:t>1、目标及要求：</w:t>
            </w:r>
          </w:p>
          <w:p>
            <w:pPr>
              <w:ind w:right="-31" w:rightChars="-15"/>
              <w:rPr>
                <w:rFonts w:ascii="宋体" w:hAnsi="宋体" w:cs="宋体"/>
                <w:sz w:val="18"/>
                <w:szCs w:val="18"/>
              </w:rPr>
            </w:pPr>
            <w:r>
              <w:rPr>
                <w:rFonts w:hint="eastAsia" w:ascii="宋体" w:hAnsi="宋体" w:cs="宋体"/>
                <w:sz w:val="18"/>
                <w:szCs w:val="18"/>
              </w:rPr>
              <w:t>1）了解：工程与社会、工程与自然、工程与责任中的突出问题。</w:t>
            </w:r>
          </w:p>
          <w:p>
            <w:pPr>
              <w:widowControl/>
              <w:ind w:right="-31" w:rightChars="-15"/>
              <w:rPr>
                <w:rFonts w:ascii="宋体" w:hAnsi="宋体" w:cs="宋体"/>
                <w:kern w:val="0"/>
                <w:sz w:val="18"/>
                <w:szCs w:val="18"/>
              </w:rPr>
            </w:pPr>
            <w:r>
              <w:rPr>
                <w:rFonts w:hint="eastAsia" w:ascii="宋体" w:hAnsi="宋体" w:cs="宋体"/>
                <w:sz w:val="18"/>
                <w:szCs w:val="18"/>
              </w:rPr>
              <w:t>2）掌握：普通伦理学的价值核心、工程伦理的首要原则及工程使命和职业责任。</w:t>
            </w:r>
          </w:p>
          <w:p>
            <w:pPr>
              <w:ind w:right="-31" w:rightChars="-15"/>
              <w:rPr>
                <w:rFonts w:ascii="宋体" w:hAnsi="宋体" w:cs="宋体"/>
                <w:sz w:val="18"/>
                <w:szCs w:val="18"/>
              </w:rPr>
            </w:pPr>
            <w:r>
              <w:rPr>
                <w:rFonts w:hint="eastAsia" w:ascii="宋体" w:hAnsi="宋体" w:cs="宋体"/>
                <w:sz w:val="18"/>
                <w:szCs w:val="18"/>
              </w:rPr>
              <w:t>2、作业内容：无</w:t>
            </w:r>
          </w:p>
          <w:p>
            <w:pPr>
              <w:ind w:right="-31" w:rightChars="-15"/>
              <w:rPr>
                <w:rFonts w:ascii="宋体" w:hAnsi="宋体" w:cs="宋体"/>
                <w:sz w:val="18"/>
                <w:szCs w:val="18"/>
              </w:rPr>
            </w:pPr>
            <w:r>
              <w:rPr>
                <w:rFonts w:hint="eastAsia" w:ascii="宋体" w:hAnsi="宋体" w:cs="宋体"/>
                <w:sz w:val="18"/>
                <w:szCs w:val="18"/>
              </w:rPr>
              <w:t>3、讨论内容：处理工程伦理问题的基本原则？</w:t>
            </w:r>
          </w:p>
        </w:tc>
        <w:tc>
          <w:tcPr>
            <w:tcW w:w="702" w:type="dxa"/>
            <w:vAlign w:val="center"/>
          </w:tcPr>
          <w:p>
            <w:pPr>
              <w:widowControl/>
              <w:jc w:val="center"/>
              <w:rPr>
                <w:rFonts w:ascii="宋体" w:hAnsi="宋体" w:cs="宋体"/>
                <w:sz w:val="18"/>
                <w:szCs w:val="18"/>
              </w:rPr>
            </w:pPr>
            <w:r>
              <w:rPr>
                <w:rFonts w:hint="eastAsia" w:ascii="宋体" w:hAnsi="宋体" w:cs="宋体"/>
                <w:kern w:val="0"/>
                <w:sz w:val="18"/>
                <w:szCs w:val="18"/>
              </w:rPr>
              <w:t>3</w:t>
            </w:r>
          </w:p>
        </w:tc>
        <w:tc>
          <w:tcPr>
            <w:tcW w:w="984" w:type="dxa"/>
            <w:vAlign w:val="center"/>
          </w:tcPr>
          <w:p>
            <w:pPr>
              <w:widowControl/>
              <w:jc w:val="center"/>
              <w:rPr>
                <w:rFonts w:ascii="宋体" w:hAnsi="宋体" w:cs="宋体"/>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第七讲 人道主义原则的现实困境</w:t>
            </w:r>
          </w:p>
          <w:p>
            <w:pPr>
              <w:pStyle w:val="20"/>
              <w:shd w:val="clear" w:color="auto" w:fill="FFFFFF"/>
              <w:spacing w:before="0" w:beforeAutospacing="0" w:after="0" w:afterAutospacing="0"/>
              <w:rPr>
                <w:rFonts w:cs="宋体"/>
                <w:sz w:val="18"/>
                <w:szCs w:val="18"/>
              </w:rPr>
            </w:pPr>
            <w:r>
              <w:rPr>
                <w:rFonts w:hint="eastAsia" w:cs="宋体"/>
                <w:sz w:val="18"/>
                <w:szCs w:val="18"/>
              </w:rPr>
              <w:t>7-1 以科学的名义</w:t>
            </w:r>
          </w:p>
          <w:p>
            <w:pPr>
              <w:pStyle w:val="20"/>
              <w:shd w:val="clear" w:color="auto" w:fill="FFFFFF"/>
              <w:spacing w:before="0" w:beforeAutospacing="0" w:after="0" w:afterAutospacing="0"/>
              <w:rPr>
                <w:rFonts w:cs="宋体"/>
                <w:sz w:val="18"/>
                <w:szCs w:val="18"/>
              </w:rPr>
            </w:pPr>
            <w:r>
              <w:rPr>
                <w:rFonts w:hint="eastAsia" w:cs="宋体"/>
                <w:sz w:val="18"/>
                <w:szCs w:val="18"/>
              </w:rPr>
              <w:t>7-2 以经济的名义</w:t>
            </w:r>
          </w:p>
          <w:p>
            <w:pPr>
              <w:pStyle w:val="20"/>
              <w:shd w:val="clear" w:color="auto" w:fill="FFFFFF"/>
              <w:spacing w:before="0" w:beforeAutospacing="0" w:after="0" w:afterAutospacing="0"/>
              <w:rPr>
                <w:rFonts w:cs="宋体"/>
                <w:sz w:val="18"/>
                <w:szCs w:val="18"/>
              </w:rPr>
            </w:pPr>
            <w:r>
              <w:rPr>
                <w:rFonts w:hint="eastAsia" w:cs="宋体"/>
                <w:sz w:val="18"/>
                <w:szCs w:val="18"/>
              </w:rPr>
              <w:t>7-3以政治的名义</w:t>
            </w:r>
          </w:p>
          <w:p>
            <w:pPr>
              <w:pStyle w:val="20"/>
              <w:shd w:val="clear" w:color="auto" w:fill="FFFFFF"/>
              <w:spacing w:before="0" w:beforeAutospacing="0" w:after="0" w:afterAutospacing="0"/>
              <w:rPr>
                <w:rFonts w:cs="宋体"/>
                <w:sz w:val="18"/>
                <w:szCs w:val="18"/>
              </w:rPr>
            </w:pPr>
            <w:r>
              <w:rPr>
                <w:rFonts w:hint="eastAsia" w:cs="宋体"/>
                <w:sz w:val="18"/>
                <w:szCs w:val="18"/>
              </w:rPr>
              <w:t>7-4 文化的偏见</w:t>
            </w:r>
          </w:p>
          <w:p>
            <w:pPr>
              <w:pStyle w:val="20"/>
              <w:shd w:val="clear" w:color="auto" w:fill="FFFFFF"/>
              <w:spacing w:before="0" w:beforeAutospacing="0" w:after="0" w:afterAutospacing="0"/>
              <w:rPr>
                <w:rFonts w:cs="宋体"/>
                <w:sz w:val="18"/>
                <w:szCs w:val="18"/>
              </w:rPr>
            </w:pPr>
            <w:r>
              <w:rPr>
                <w:rFonts w:hint="eastAsia" w:cs="宋体"/>
                <w:sz w:val="18"/>
                <w:szCs w:val="18"/>
              </w:rPr>
              <w:t>7-5 名利的诱惑</w:t>
            </w:r>
          </w:p>
          <w:p>
            <w:pPr>
              <w:pStyle w:val="20"/>
              <w:shd w:val="clear" w:color="auto" w:fill="FFFFFF"/>
              <w:spacing w:before="0" w:beforeAutospacing="0" w:after="0" w:afterAutospacing="0"/>
              <w:rPr>
                <w:rFonts w:cs="宋体"/>
                <w:sz w:val="18"/>
                <w:szCs w:val="18"/>
              </w:rPr>
            </w:pPr>
            <w:r>
              <w:rPr>
                <w:rFonts w:hint="eastAsia" w:cs="宋体"/>
                <w:sz w:val="18"/>
                <w:szCs w:val="18"/>
              </w:rPr>
              <w:t>第八讲 反思人道主义</w:t>
            </w:r>
          </w:p>
          <w:p>
            <w:pPr>
              <w:pStyle w:val="20"/>
              <w:shd w:val="clear" w:color="auto" w:fill="FFFFFF"/>
              <w:spacing w:before="0" w:beforeAutospacing="0" w:after="0" w:afterAutospacing="0"/>
              <w:rPr>
                <w:rFonts w:cs="宋体"/>
                <w:sz w:val="18"/>
                <w:szCs w:val="18"/>
              </w:rPr>
            </w:pPr>
            <w:r>
              <w:rPr>
                <w:rFonts w:hint="eastAsia" w:cs="宋体"/>
                <w:sz w:val="18"/>
                <w:szCs w:val="18"/>
              </w:rPr>
              <w:t>8-1 反思近代科学与工业化</w:t>
            </w:r>
          </w:p>
          <w:p>
            <w:pPr>
              <w:pStyle w:val="20"/>
              <w:shd w:val="clear" w:color="auto" w:fill="FFFFFF"/>
              <w:spacing w:before="0" w:beforeAutospacing="0" w:after="0" w:afterAutospacing="0"/>
              <w:rPr>
                <w:rFonts w:cs="宋体"/>
                <w:sz w:val="18"/>
                <w:szCs w:val="18"/>
              </w:rPr>
            </w:pPr>
            <w:r>
              <w:rPr>
                <w:rFonts w:hint="eastAsia" w:cs="宋体"/>
                <w:sz w:val="18"/>
                <w:szCs w:val="18"/>
              </w:rPr>
              <w:t>8-2 人类中心主义的论争</w:t>
            </w:r>
          </w:p>
          <w:p>
            <w:pPr>
              <w:pStyle w:val="20"/>
              <w:shd w:val="clear" w:color="auto" w:fill="FFFFFF"/>
              <w:spacing w:before="0" w:beforeAutospacing="0" w:after="0" w:afterAutospacing="0"/>
              <w:rPr>
                <w:rFonts w:cs="宋体"/>
                <w:sz w:val="18"/>
                <w:szCs w:val="18"/>
              </w:rPr>
            </w:pPr>
            <w:r>
              <w:rPr>
                <w:rFonts w:hint="eastAsia" w:cs="宋体"/>
                <w:sz w:val="18"/>
                <w:szCs w:val="18"/>
              </w:rPr>
              <w:t>8-3 非人类中心的困境与问题</w:t>
            </w:r>
          </w:p>
        </w:tc>
        <w:tc>
          <w:tcPr>
            <w:tcW w:w="4078" w:type="dxa"/>
            <w:vAlign w:val="center"/>
          </w:tcPr>
          <w:p>
            <w:pPr>
              <w:widowControl/>
              <w:ind w:right="-31" w:rightChars="-15"/>
              <w:rPr>
                <w:rFonts w:ascii="宋体" w:hAnsi="宋体" w:cs="宋体"/>
                <w:kern w:val="0"/>
                <w:sz w:val="18"/>
                <w:szCs w:val="18"/>
              </w:rPr>
            </w:pPr>
            <w:r>
              <w:rPr>
                <w:rFonts w:hint="eastAsia" w:ascii="宋体" w:hAnsi="宋体" w:cs="宋体"/>
                <w:kern w:val="0"/>
                <w:sz w:val="18"/>
                <w:szCs w:val="18"/>
              </w:rPr>
              <w:t>1、目标及要求：</w:t>
            </w:r>
          </w:p>
          <w:p>
            <w:pPr>
              <w:ind w:right="-31" w:rightChars="-15"/>
              <w:rPr>
                <w:rFonts w:ascii="宋体" w:hAnsi="宋体" w:cs="宋体"/>
                <w:sz w:val="18"/>
                <w:szCs w:val="18"/>
              </w:rPr>
            </w:pPr>
            <w:r>
              <w:rPr>
                <w:rFonts w:hint="eastAsia" w:ascii="宋体" w:hAnsi="宋体" w:cs="宋体"/>
                <w:sz w:val="18"/>
                <w:szCs w:val="18"/>
              </w:rPr>
              <w:t>1）掌握：人道</w:t>
            </w:r>
            <w:r>
              <w:rPr>
                <w:rFonts w:hint="eastAsia" w:cs="宋体"/>
                <w:sz w:val="18"/>
                <w:szCs w:val="18"/>
              </w:rPr>
              <w:t>主义</w:t>
            </w:r>
            <w:r>
              <w:rPr>
                <w:rFonts w:hint="eastAsia" w:ascii="宋体" w:hAnsi="宋体" w:cs="宋体"/>
                <w:sz w:val="18"/>
                <w:szCs w:val="18"/>
              </w:rPr>
              <w:t>原则的现实困境</w:t>
            </w:r>
          </w:p>
          <w:p>
            <w:pPr>
              <w:ind w:right="-31" w:rightChars="-15"/>
              <w:rPr>
                <w:rFonts w:ascii="宋体" w:hAnsi="宋体" w:cs="宋体"/>
                <w:sz w:val="18"/>
                <w:szCs w:val="18"/>
              </w:rPr>
            </w:pPr>
            <w:r>
              <w:rPr>
                <w:rFonts w:hint="eastAsia" w:ascii="宋体" w:hAnsi="宋体" w:cs="宋体"/>
                <w:sz w:val="18"/>
                <w:szCs w:val="18"/>
              </w:rPr>
              <w:t>2、作业内容：无</w:t>
            </w:r>
          </w:p>
          <w:p>
            <w:pPr>
              <w:ind w:right="-31" w:rightChars="-15"/>
              <w:rPr>
                <w:rFonts w:ascii="宋体" w:hAnsi="宋体" w:cs="宋体"/>
                <w:sz w:val="18"/>
                <w:szCs w:val="18"/>
              </w:rPr>
            </w:pPr>
            <w:r>
              <w:rPr>
                <w:rFonts w:hint="eastAsia" w:ascii="宋体" w:hAnsi="宋体" w:cs="宋体"/>
                <w:sz w:val="18"/>
                <w:szCs w:val="18"/>
              </w:rPr>
              <w:t>3、讨论内容：如何看待“人类中心主义”？</w:t>
            </w:r>
          </w:p>
        </w:tc>
        <w:tc>
          <w:tcPr>
            <w:tcW w:w="702" w:type="dxa"/>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984"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第九讲 可持续发展观</w:t>
            </w:r>
            <w:r>
              <w:rPr>
                <w:rFonts w:hint="eastAsia" w:cs="宋体"/>
                <w:sz w:val="18"/>
                <w:szCs w:val="18"/>
              </w:rPr>
              <w:br w:type="textWrapping"/>
            </w:r>
            <w:r>
              <w:rPr>
                <w:rFonts w:hint="eastAsia" w:cs="宋体"/>
                <w:sz w:val="18"/>
                <w:szCs w:val="18"/>
              </w:rPr>
              <w:t>9-1 可持续发展的思想</w:t>
            </w:r>
          </w:p>
          <w:p>
            <w:pPr>
              <w:pStyle w:val="20"/>
              <w:shd w:val="clear" w:color="auto" w:fill="FFFFFF"/>
              <w:spacing w:before="0" w:beforeAutospacing="0" w:after="0" w:afterAutospacing="0"/>
              <w:rPr>
                <w:rFonts w:cs="宋体"/>
                <w:sz w:val="18"/>
                <w:szCs w:val="18"/>
              </w:rPr>
            </w:pPr>
            <w:r>
              <w:rPr>
                <w:rFonts w:hint="eastAsia" w:cs="宋体"/>
                <w:sz w:val="18"/>
                <w:szCs w:val="18"/>
              </w:rPr>
              <w:t>9-2 工程活动与资源、环境</w:t>
            </w:r>
          </w:p>
          <w:p>
            <w:pPr>
              <w:pStyle w:val="20"/>
              <w:shd w:val="clear" w:color="auto" w:fill="FFFFFF"/>
              <w:spacing w:before="0" w:beforeAutospacing="0" w:after="0" w:afterAutospacing="0"/>
              <w:rPr>
                <w:rFonts w:cs="宋体"/>
                <w:sz w:val="18"/>
                <w:szCs w:val="18"/>
              </w:rPr>
            </w:pPr>
            <w:r>
              <w:rPr>
                <w:rFonts w:hint="eastAsia" w:cs="宋体"/>
                <w:sz w:val="18"/>
                <w:szCs w:val="18"/>
              </w:rPr>
              <w:t>9-3 工程与可持续发展观</w:t>
            </w:r>
          </w:p>
        </w:tc>
        <w:tc>
          <w:tcPr>
            <w:tcW w:w="4078" w:type="dxa"/>
            <w:vAlign w:val="center"/>
          </w:tcPr>
          <w:p>
            <w:pPr>
              <w:widowControl/>
              <w:ind w:right="-31" w:rightChars="-15"/>
              <w:rPr>
                <w:rFonts w:ascii="宋体" w:hAnsi="宋体" w:cs="宋体"/>
                <w:kern w:val="0"/>
                <w:sz w:val="18"/>
                <w:szCs w:val="18"/>
              </w:rPr>
            </w:pPr>
            <w:r>
              <w:rPr>
                <w:rFonts w:hint="eastAsia" w:ascii="宋体" w:hAnsi="宋体" w:cs="宋体"/>
                <w:kern w:val="0"/>
                <w:sz w:val="18"/>
                <w:szCs w:val="18"/>
              </w:rPr>
              <w:t>1、目标及要求：</w:t>
            </w:r>
          </w:p>
          <w:p>
            <w:pPr>
              <w:ind w:right="-31" w:rightChars="-15"/>
              <w:rPr>
                <w:rFonts w:ascii="宋体" w:hAnsi="宋体" w:cs="宋体"/>
                <w:sz w:val="18"/>
                <w:szCs w:val="18"/>
              </w:rPr>
            </w:pPr>
            <w:r>
              <w:rPr>
                <w:rFonts w:hint="eastAsia" w:ascii="宋体" w:hAnsi="宋体" w:cs="宋体"/>
                <w:sz w:val="18"/>
                <w:szCs w:val="18"/>
              </w:rPr>
              <w:t>1）了解：可持续发展的思想</w:t>
            </w:r>
            <w:r>
              <w:rPr>
                <w:rFonts w:hint="eastAsia" w:ascii="宋体" w:hAnsi="宋体" w:cs="宋体"/>
                <w:sz w:val="18"/>
                <w:szCs w:val="18"/>
              </w:rPr>
              <w:br w:type="textWrapping"/>
            </w:r>
            <w:r>
              <w:rPr>
                <w:rFonts w:hint="eastAsia" w:ascii="宋体" w:hAnsi="宋体" w:cs="宋体"/>
                <w:sz w:val="18"/>
                <w:szCs w:val="18"/>
              </w:rPr>
              <w:t>2）掌握：工程与可持续发展观</w:t>
            </w:r>
          </w:p>
          <w:p>
            <w:pPr>
              <w:ind w:right="-31" w:rightChars="-15"/>
              <w:rPr>
                <w:rFonts w:ascii="宋体" w:hAnsi="宋体" w:cs="宋体"/>
                <w:sz w:val="18"/>
                <w:szCs w:val="18"/>
              </w:rPr>
            </w:pPr>
            <w:r>
              <w:rPr>
                <w:rFonts w:hint="eastAsia" w:ascii="宋体" w:hAnsi="宋体" w:cs="宋体"/>
                <w:sz w:val="18"/>
                <w:szCs w:val="18"/>
              </w:rPr>
              <w:t>2、作业内容：无</w:t>
            </w:r>
          </w:p>
          <w:p>
            <w:pPr>
              <w:ind w:right="-31" w:rightChars="-15"/>
              <w:rPr>
                <w:rFonts w:ascii="宋体" w:hAnsi="宋体" w:cs="宋体"/>
                <w:sz w:val="18"/>
                <w:szCs w:val="18"/>
              </w:rPr>
            </w:pPr>
            <w:r>
              <w:rPr>
                <w:rFonts w:hint="eastAsia" w:ascii="宋体" w:hAnsi="宋体" w:cs="宋体"/>
                <w:sz w:val="18"/>
                <w:szCs w:val="18"/>
              </w:rPr>
              <w:t>3、讨论内容：无</w:t>
            </w:r>
          </w:p>
        </w:tc>
        <w:tc>
          <w:tcPr>
            <w:tcW w:w="702"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984"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第十讲 工程师职业道德建设</w:t>
            </w:r>
          </w:p>
          <w:p>
            <w:pPr>
              <w:pStyle w:val="20"/>
              <w:shd w:val="clear" w:color="auto" w:fill="FFFFFF"/>
              <w:spacing w:before="0" w:beforeAutospacing="0" w:after="0" w:afterAutospacing="0"/>
              <w:rPr>
                <w:rFonts w:cs="宋体"/>
                <w:sz w:val="18"/>
                <w:szCs w:val="18"/>
              </w:rPr>
            </w:pPr>
            <w:r>
              <w:rPr>
                <w:rFonts w:hint="eastAsia" w:cs="宋体"/>
                <w:sz w:val="18"/>
                <w:szCs w:val="18"/>
              </w:rPr>
              <w:t>10-1 工程师的职责</w:t>
            </w:r>
          </w:p>
          <w:p>
            <w:pPr>
              <w:pStyle w:val="20"/>
              <w:shd w:val="clear" w:color="auto" w:fill="FFFFFF"/>
              <w:spacing w:before="0" w:beforeAutospacing="0" w:after="0" w:afterAutospacing="0"/>
              <w:rPr>
                <w:rFonts w:cs="宋体"/>
                <w:sz w:val="18"/>
                <w:szCs w:val="18"/>
              </w:rPr>
            </w:pPr>
            <w:r>
              <w:rPr>
                <w:rFonts w:hint="eastAsia" w:cs="宋体"/>
                <w:sz w:val="18"/>
                <w:szCs w:val="18"/>
              </w:rPr>
              <w:t>10-2_工程职业自治</w:t>
            </w:r>
          </w:p>
          <w:p>
            <w:pPr>
              <w:pStyle w:val="20"/>
              <w:shd w:val="clear" w:color="auto" w:fill="FFFFFF"/>
              <w:spacing w:before="0" w:beforeAutospacing="0" w:after="0" w:afterAutospacing="0"/>
              <w:rPr>
                <w:rFonts w:cs="宋体"/>
                <w:sz w:val="18"/>
                <w:szCs w:val="18"/>
              </w:rPr>
            </w:pPr>
            <w:r>
              <w:rPr>
                <w:rFonts w:hint="eastAsia" w:cs="宋体"/>
                <w:sz w:val="18"/>
                <w:szCs w:val="18"/>
              </w:rPr>
              <w:t>10-3 工程伦理的制度化建设</w:t>
            </w:r>
            <w:r>
              <w:rPr>
                <w:rFonts w:hint="eastAsia" w:cs="宋体"/>
                <w:sz w:val="18"/>
                <w:szCs w:val="18"/>
              </w:rPr>
              <w:br w:type="textWrapping"/>
            </w:r>
            <w:r>
              <w:rPr>
                <w:rFonts w:hint="eastAsia" w:cs="宋体"/>
                <w:sz w:val="18"/>
                <w:szCs w:val="18"/>
              </w:rPr>
              <w:t>第十一讲 工程伦理评价</w:t>
            </w:r>
          </w:p>
          <w:p>
            <w:pPr>
              <w:pStyle w:val="20"/>
              <w:shd w:val="clear" w:color="auto" w:fill="FFFFFF"/>
              <w:spacing w:before="0" w:beforeAutospacing="0" w:after="0" w:afterAutospacing="0"/>
              <w:rPr>
                <w:rFonts w:cs="宋体"/>
                <w:sz w:val="18"/>
                <w:szCs w:val="18"/>
              </w:rPr>
            </w:pPr>
            <w:r>
              <w:rPr>
                <w:rFonts w:hint="eastAsia" w:cs="宋体"/>
                <w:sz w:val="18"/>
                <w:szCs w:val="18"/>
              </w:rPr>
              <w:t xml:space="preserve">11-1 道德价值的多重性复杂性 </w:t>
            </w:r>
          </w:p>
          <w:p>
            <w:pPr>
              <w:pStyle w:val="20"/>
              <w:shd w:val="clear" w:color="auto" w:fill="FFFFFF"/>
              <w:spacing w:before="0" w:beforeAutospacing="0" w:after="0" w:afterAutospacing="0"/>
              <w:rPr>
                <w:rFonts w:cs="宋体"/>
                <w:sz w:val="18"/>
                <w:szCs w:val="18"/>
              </w:rPr>
            </w:pPr>
            <w:r>
              <w:rPr>
                <w:rFonts w:hint="eastAsia" w:cs="宋体"/>
                <w:sz w:val="18"/>
                <w:szCs w:val="18"/>
              </w:rPr>
              <w:t>11-2 工程价值</w:t>
            </w:r>
          </w:p>
          <w:p>
            <w:pPr>
              <w:pStyle w:val="20"/>
              <w:shd w:val="clear" w:color="auto" w:fill="FFFFFF"/>
              <w:spacing w:before="0" w:beforeAutospacing="0" w:after="0" w:afterAutospacing="0"/>
              <w:rPr>
                <w:rFonts w:cs="宋体"/>
                <w:sz w:val="18"/>
                <w:szCs w:val="18"/>
              </w:rPr>
            </w:pPr>
            <w:r>
              <w:rPr>
                <w:rFonts w:hint="eastAsia" w:cs="宋体"/>
                <w:sz w:val="18"/>
                <w:szCs w:val="18"/>
              </w:rPr>
              <w:t>11-3 工程价值分析的两个切入点</w:t>
            </w:r>
          </w:p>
          <w:p>
            <w:pPr>
              <w:pStyle w:val="20"/>
              <w:shd w:val="clear" w:color="auto" w:fill="FFFFFF"/>
              <w:spacing w:before="0" w:beforeAutospacing="0" w:after="0" w:afterAutospacing="0"/>
              <w:rPr>
                <w:rFonts w:cs="宋体"/>
                <w:sz w:val="18"/>
                <w:szCs w:val="18"/>
              </w:rPr>
            </w:pPr>
            <w:r>
              <w:rPr>
                <w:rFonts w:hint="eastAsia" w:cs="宋体"/>
                <w:sz w:val="18"/>
                <w:szCs w:val="18"/>
              </w:rPr>
              <w:t>11-4 工程伦理</w:t>
            </w:r>
          </w:p>
        </w:tc>
        <w:tc>
          <w:tcPr>
            <w:tcW w:w="4078" w:type="dxa"/>
            <w:vAlign w:val="center"/>
          </w:tcPr>
          <w:p>
            <w:pPr>
              <w:widowControl/>
              <w:tabs>
                <w:tab w:val="left" w:pos="426"/>
                <w:tab w:val="left" w:pos="5245"/>
                <w:tab w:val="left" w:pos="5387"/>
              </w:tabs>
              <w:rPr>
                <w:rFonts w:ascii="宋体" w:hAnsi="宋体" w:cs="宋体"/>
                <w:kern w:val="0"/>
                <w:sz w:val="18"/>
                <w:szCs w:val="18"/>
              </w:rPr>
            </w:pPr>
            <w:r>
              <w:rPr>
                <w:rFonts w:hint="eastAsia" w:ascii="宋体" w:hAnsi="宋体" w:cs="宋体"/>
                <w:kern w:val="0"/>
                <w:sz w:val="18"/>
                <w:szCs w:val="18"/>
              </w:rPr>
              <w:t>1、目标及要求：</w:t>
            </w:r>
            <w:r>
              <w:rPr>
                <w:rFonts w:hint="eastAsia" w:ascii="宋体" w:hAnsi="宋体" w:cs="宋体"/>
                <w:kern w:val="0"/>
                <w:sz w:val="18"/>
                <w:szCs w:val="18"/>
              </w:rPr>
              <w:br w:type="textWrapping"/>
            </w:r>
            <w:r>
              <w:rPr>
                <w:rFonts w:hint="eastAsia" w:ascii="宋体" w:hAnsi="宋体" w:cs="宋体"/>
                <w:kern w:val="0"/>
                <w:sz w:val="18"/>
                <w:szCs w:val="18"/>
              </w:rPr>
              <w:t>1）了解：</w:t>
            </w:r>
            <w:r>
              <w:rPr>
                <w:rFonts w:hint="eastAsia" w:ascii="宋体" w:hAnsi="宋体" w:cs="宋体"/>
                <w:sz w:val="18"/>
                <w:szCs w:val="18"/>
              </w:rPr>
              <w:t>工程师职业道德建设、道德价值的多重性复杂性及工程价值的概念。</w:t>
            </w:r>
          </w:p>
          <w:p>
            <w:pPr>
              <w:pStyle w:val="20"/>
              <w:shd w:val="clear" w:color="auto" w:fill="FFFFFF"/>
              <w:spacing w:before="0" w:beforeAutospacing="0" w:after="0" w:afterAutospacing="0"/>
              <w:rPr>
                <w:rFonts w:cs="宋体"/>
                <w:sz w:val="18"/>
                <w:szCs w:val="18"/>
              </w:rPr>
            </w:pPr>
            <w:r>
              <w:rPr>
                <w:rFonts w:hint="eastAsia" w:cs="宋体"/>
                <w:sz w:val="18"/>
                <w:szCs w:val="18"/>
              </w:rPr>
              <w:t>2）掌握：工程价值分析的切入点和工程伦理评价准则。</w:t>
            </w:r>
          </w:p>
          <w:p>
            <w:pPr>
              <w:ind w:right="-31" w:rightChars="-15"/>
              <w:rPr>
                <w:rFonts w:ascii="宋体" w:hAnsi="宋体" w:cs="宋体"/>
                <w:sz w:val="18"/>
                <w:szCs w:val="18"/>
              </w:rPr>
            </w:pPr>
            <w:r>
              <w:rPr>
                <w:rFonts w:hint="eastAsia" w:ascii="宋体" w:hAnsi="宋体" w:cs="宋体"/>
                <w:sz w:val="18"/>
                <w:szCs w:val="18"/>
              </w:rPr>
              <w:t>2、作业内容：谈谈你对工程正面价值和负面价值的理解</w:t>
            </w:r>
          </w:p>
          <w:p>
            <w:pPr>
              <w:ind w:right="-31" w:rightChars="-15"/>
              <w:rPr>
                <w:rFonts w:ascii="宋体" w:hAnsi="宋体" w:cs="宋体"/>
                <w:sz w:val="18"/>
                <w:szCs w:val="18"/>
              </w:rPr>
            </w:pPr>
            <w:r>
              <w:rPr>
                <w:rFonts w:hint="eastAsia" w:ascii="宋体" w:hAnsi="宋体" w:cs="宋体"/>
                <w:sz w:val="18"/>
                <w:szCs w:val="18"/>
              </w:rPr>
              <w:t>3、讨论内容：工程伦理评估需要遵循哪些基本原则？</w:t>
            </w:r>
          </w:p>
          <w:p>
            <w:pPr>
              <w:ind w:right="-31" w:rightChars="-15"/>
              <w:rPr>
                <w:rFonts w:ascii="宋体" w:hAnsi="宋体" w:cs="宋体"/>
                <w:sz w:val="18"/>
                <w:szCs w:val="18"/>
              </w:rPr>
            </w:pPr>
          </w:p>
        </w:tc>
        <w:tc>
          <w:tcPr>
            <w:tcW w:w="702" w:type="dxa"/>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984"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969" w:type="dxa"/>
            <w:vAlign w:val="center"/>
          </w:tcPr>
          <w:p>
            <w:pPr>
              <w:pStyle w:val="20"/>
              <w:shd w:val="clear" w:color="auto" w:fill="FFFFFF"/>
              <w:spacing w:before="0" w:beforeAutospacing="0" w:after="0" w:afterAutospacing="0"/>
              <w:rPr>
                <w:rFonts w:cs="宋体"/>
                <w:sz w:val="18"/>
                <w:szCs w:val="18"/>
              </w:rPr>
            </w:pPr>
            <w:r>
              <w:rPr>
                <w:rFonts w:hint="eastAsia" w:cs="宋体"/>
                <w:sz w:val="18"/>
                <w:szCs w:val="18"/>
              </w:rPr>
              <w:t>第十二讲 工程师的职业道德（一）</w:t>
            </w:r>
          </w:p>
          <w:p>
            <w:pPr>
              <w:pStyle w:val="20"/>
              <w:shd w:val="clear" w:color="auto" w:fill="FFFFFF"/>
              <w:spacing w:before="0" w:beforeAutospacing="0" w:after="0" w:afterAutospacing="0"/>
              <w:rPr>
                <w:rFonts w:cs="宋体"/>
                <w:sz w:val="18"/>
                <w:szCs w:val="18"/>
              </w:rPr>
            </w:pPr>
            <w:r>
              <w:rPr>
                <w:rFonts w:hint="eastAsia" w:cs="宋体"/>
                <w:sz w:val="18"/>
                <w:szCs w:val="18"/>
              </w:rPr>
              <w:t>12-1 实事求是是科学的生命</w:t>
            </w:r>
          </w:p>
          <w:p>
            <w:pPr>
              <w:pStyle w:val="20"/>
              <w:shd w:val="clear" w:color="auto" w:fill="FFFFFF"/>
              <w:spacing w:before="0" w:beforeAutospacing="0" w:after="0" w:afterAutospacing="0"/>
              <w:rPr>
                <w:rFonts w:cs="宋体"/>
                <w:sz w:val="18"/>
                <w:szCs w:val="18"/>
              </w:rPr>
            </w:pPr>
            <w:r>
              <w:rPr>
                <w:rFonts w:hint="eastAsia" w:cs="宋体"/>
                <w:sz w:val="18"/>
                <w:szCs w:val="18"/>
              </w:rPr>
              <w:t>12-2 开拓创新是工程技术者的灵魂</w:t>
            </w:r>
          </w:p>
          <w:p>
            <w:pPr>
              <w:pStyle w:val="20"/>
              <w:shd w:val="clear" w:color="auto" w:fill="FFFFFF"/>
              <w:spacing w:before="0" w:beforeAutospacing="0" w:after="0" w:afterAutospacing="0"/>
              <w:rPr>
                <w:rFonts w:cs="宋体"/>
                <w:sz w:val="18"/>
                <w:szCs w:val="18"/>
              </w:rPr>
            </w:pPr>
            <w:r>
              <w:rPr>
                <w:rFonts w:hint="eastAsia" w:cs="宋体"/>
                <w:sz w:val="18"/>
                <w:szCs w:val="18"/>
              </w:rPr>
              <w:t>12-3 工程师的职业处境与制度环境建设</w:t>
            </w:r>
          </w:p>
          <w:p>
            <w:pPr>
              <w:pStyle w:val="20"/>
              <w:shd w:val="clear" w:color="auto" w:fill="FFFFFF"/>
              <w:spacing w:before="0" w:beforeAutospacing="0" w:after="0" w:afterAutospacing="0"/>
              <w:rPr>
                <w:rFonts w:cs="宋体"/>
                <w:sz w:val="18"/>
                <w:szCs w:val="18"/>
              </w:rPr>
            </w:pPr>
            <w:r>
              <w:rPr>
                <w:rFonts w:hint="eastAsia" w:cs="宋体"/>
                <w:sz w:val="18"/>
                <w:szCs w:val="18"/>
              </w:rPr>
              <w:t>第十三 讲工程师职业道德（二）</w:t>
            </w:r>
          </w:p>
          <w:p>
            <w:pPr>
              <w:pStyle w:val="20"/>
              <w:shd w:val="clear" w:color="auto" w:fill="FFFFFF"/>
              <w:spacing w:before="0" w:beforeAutospacing="0" w:after="0" w:afterAutospacing="0"/>
              <w:rPr>
                <w:rFonts w:cs="宋体"/>
                <w:sz w:val="18"/>
                <w:szCs w:val="18"/>
              </w:rPr>
            </w:pPr>
            <w:r>
              <w:rPr>
                <w:rFonts w:hint="eastAsia" w:cs="宋体"/>
                <w:sz w:val="18"/>
                <w:szCs w:val="18"/>
              </w:rPr>
              <w:t>13-1 严谨认真  造福人类</w:t>
            </w:r>
          </w:p>
          <w:p>
            <w:pPr>
              <w:pStyle w:val="20"/>
              <w:shd w:val="clear" w:color="auto" w:fill="FFFFFF"/>
              <w:spacing w:before="0" w:beforeAutospacing="0" w:after="0" w:afterAutospacing="0"/>
              <w:rPr>
                <w:rFonts w:cs="宋体"/>
                <w:sz w:val="18"/>
                <w:szCs w:val="18"/>
              </w:rPr>
            </w:pPr>
            <w:r>
              <w:rPr>
                <w:rFonts w:hint="eastAsia" w:cs="宋体"/>
                <w:sz w:val="18"/>
                <w:szCs w:val="18"/>
              </w:rPr>
              <w:t>13-2 正确对待名与利</w:t>
            </w:r>
          </w:p>
          <w:p>
            <w:pPr>
              <w:pStyle w:val="20"/>
              <w:shd w:val="clear" w:color="auto" w:fill="FFFFFF"/>
              <w:spacing w:before="0" w:beforeAutospacing="0" w:after="0" w:afterAutospacing="0"/>
              <w:rPr>
                <w:rFonts w:cs="宋体"/>
                <w:sz w:val="18"/>
                <w:szCs w:val="18"/>
              </w:rPr>
            </w:pPr>
            <w:r>
              <w:rPr>
                <w:rFonts w:hint="eastAsia" w:cs="宋体"/>
                <w:sz w:val="18"/>
                <w:szCs w:val="18"/>
              </w:rPr>
              <w:t>13-3 创新与谨慎</w:t>
            </w:r>
          </w:p>
          <w:p>
            <w:pPr>
              <w:pStyle w:val="20"/>
              <w:shd w:val="clear" w:color="auto" w:fill="FFFFFF"/>
              <w:spacing w:before="0" w:beforeAutospacing="0" w:after="0" w:afterAutospacing="0"/>
              <w:rPr>
                <w:rFonts w:cs="宋体"/>
                <w:sz w:val="18"/>
                <w:szCs w:val="18"/>
              </w:rPr>
            </w:pPr>
            <w:r>
              <w:rPr>
                <w:rFonts w:hint="eastAsia" w:cs="宋体"/>
                <w:sz w:val="18"/>
                <w:szCs w:val="18"/>
              </w:rPr>
              <w:t>第十四讲 工程师的职业道德(三)</w:t>
            </w:r>
          </w:p>
          <w:p>
            <w:pPr>
              <w:pStyle w:val="20"/>
              <w:shd w:val="clear" w:color="auto" w:fill="FFFFFF"/>
              <w:spacing w:before="0" w:beforeAutospacing="0" w:after="0" w:afterAutospacing="0"/>
              <w:rPr>
                <w:rFonts w:cs="宋体"/>
                <w:sz w:val="18"/>
                <w:szCs w:val="18"/>
              </w:rPr>
            </w:pPr>
            <w:r>
              <w:rPr>
                <w:rFonts w:hint="eastAsia" w:cs="宋体"/>
                <w:sz w:val="18"/>
                <w:szCs w:val="18"/>
              </w:rPr>
              <w:t>14-1 工程是合作的事业</w:t>
            </w:r>
          </w:p>
          <w:p>
            <w:pPr>
              <w:pStyle w:val="20"/>
              <w:shd w:val="clear" w:color="auto" w:fill="FFFFFF"/>
              <w:spacing w:before="0" w:beforeAutospacing="0" w:after="0" w:afterAutospacing="0"/>
              <w:rPr>
                <w:rFonts w:cs="宋体"/>
                <w:sz w:val="18"/>
                <w:szCs w:val="18"/>
              </w:rPr>
            </w:pPr>
            <w:r>
              <w:rPr>
                <w:rFonts w:hint="eastAsia" w:cs="宋体"/>
                <w:sz w:val="18"/>
                <w:szCs w:val="18"/>
              </w:rPr>
              <w:t>14-2 合作需要信任</w:t>
            </w:r>
          </w:p>
          <w:p>
            <w:pPr>
              <w:pStyle w:val="20"/>
              <w:shd w:val="clear" w:color="auto" w:fill="FFFFFF"/>
              <w:spacing w:before="0" w:beforeAutospacing="0" w:after="0" w:afterAutospacing="0"/>
              <w:rPr>
                <w:rFonts w:cs="宋体"/>
                <w:sz w:val="18"/>
                <w:szCs w:val="18"/>
              </w:rPr>
            </w:pPr>
            <w:r>
              <w:rPr>
                <w:rFonts w:hint="eastAsia" w:cs="宋体"/>
                <w:sz w:val="18"/>
                <w:szCs w:val="18"/>
              </w:rPr>
              <w:t>14-3处理好各种职业关系</w:t>
            </w:r>
          </w:p>
        </w:tc>
        <w:tc>
          <w:tcPr>
            <w:tcW w:w="4078" w:type="dxa"/>
            <w:vAlign w:val="center"/>
          </w:tcPr>
          <w:p>
            <w:pPr>
              <w:widowControl/>
              <w:numPr>
                <w:ilvl w:val="0"/>
                <w:numId w:val="16"/>
              </w:numPr>
              <w:tabs>
                <w:tab w:val="left" w:pos="426"/>
                <w:tab w:val="left" w:pos="5245"/>
                <w:tab w:val="left" w:pos="5387"/>
              </w:tabs>
              <w:rPr>
                <w:rFonts w:ascii="宋体" w:hAnsi="宋体" w:cs="宋体"/>
                <w:kern w:val="0"/>
                <w:sz w:val="18"/>
                <w:szCs w:val="18"/>
              </w:rPr>
            </w:pPr>
            <w:r>
              <w:rPr>
                <w:rFonts w:hint="eastAsia" w:ascii="宋体" w:hAnsi="宋体" w:cs="宋体"/>
                <w:kern w:val="0"/>
                <w:sz w:val="18"/>
                <w:szCs w:val="18"/>
              </w:rPr>
              <w:t>目标及要求：</w:t>
            </w:r>
          </w:p>
          <w:p>
            <w:pPr>
              <w:widowControl/>
              <w:tabs>
                <w:tab w:val="left" w:pos="426"/>
                <w:tab w:val="left" w:pos="5245"/>
                <w:tab w:val="left" w:pos="5387"/>
              </w:tabs>
              <w:rPr>
                <w:rFonts w:ascii="宋体" w:hAnsi="宋体" w:cs="宋体"/>
                <w:kern w:val="0"/>
                <w:sz w:val="18"/>
                <w:szCs w:val="18"/>
              </w:rPr>
            </w:pPr>
            <w:r>
              <w:rPr>
                <w:rFonts w:hint="eastAsia" w:ascii="宋体" w:hAnsi="宋体" w:cs="宋体"/>
                <w:kern w:val="0"/>
                <w:sz w:val="18"/>
                <w:szCs w:val="18"/>
              </w:rPr>
              <w:t>1）了解：</w:t>
            </w:r>
            <w:r>
              <w:rPr>
                <w:rFonts w:hint="eastAsia" w:ascii="宋体" w:hAnsi="宋体" w:cs="宋体"/>
                <w:sz w:val="18"/>
                <w:szCs w:val="18"/>
              </w:rPr>
              <w:t>工程师的职业处境与制度环境建设</w:t>
            </w:r>
          </w:p>
          <w:p>
            <w:pPr>
              <w:ind w:right="-31" w:rightChars="-15"/>
              <w:rPr>
                <w:rFonts w:ascii="宋体" w:hAnsi="宋体" w:cs="宋体"/>
                <w:sz w:val="18"/>
                <w:szCs w:val="18"/>
              </w:rPr>
            </w:pPr>
            <w:r>
              <w:rPr>
                <w:rFonts w:hint="eastAsia" w:ascii="宋体" w:hAnsi="宋体" w:cs="宋体"/>
                <w:sz w:val="18"/>
                <w:szCs w:val="18"/>
              </w:rPr>
              <w:t>2）掌握：工程师的职业道德规范</w:t>
            </w:r>
          </w:p>
          <w:p>
            <w:pPr>
              <w:ind w:right="-31" w:rightChars="-15"/>
              <w:rPr>
                <w:rFonts w:ascii="宋体" w:hAnsi="宋体" w:cs="宋体"/>
                <w:sz w:val="18"/>
                <w:szCs w:val="18"/>
              </w:rPr>
            </w:pPr>
            <w:r>
              <w:rPr>
                <w:rFonts w:hint="eastAsia" w:ascii="宋体" w:hAnsi="宋体" w:cs="宋体"/>
                <w:sz w:val="18"/>
                <w:szCs w:val="18"/>
              </w:rPr>
              <w:t>2、作业内容：总结作为一名电子信息工程专业合格的工程师应该具备怎样的职业道德</w:t>
            </w:r>
          </w:p>
          <w:p>
            <w:pPr>
              <w:ind w:right="-31" w:rightChars="-15"/>
              <w:rPr>
                <w:rFonts w:ascii="宋体" w:hAnsi="宋体" w:cs="宋体"/>
                <w:sz w:val="18"/>
                <w:szCs w:val="18"/>
              </w:rPr>
            </w:pPr>
            <w:r>
              <w:rPr>
                <w:rFonts w:hint="eastAsia" w:ascii="宋体" w:hAnsi="宋体" w:cs="宋体"/>
                <w:sz w:val="18"/>
                <w:szCs w:val="18"/>
              </w:rPr>
              <w:t>3、讨论内容：</w:t>
            </w:r>
            <w:r>
              <w:rPr>
                <w:rFonts w:hint="eastAsia" w:ascii="宋体" w:hAnsi="宋体" w:cs="宋体"/>
                <w:color w:val="999999"/>
                <w:sz w:val="18"/>
                <w:szCs w:val="18"/>
                <w:shd w:val="clear" w:color="auto" w:fill="FFFFFF"/>
              </w:rPr>
              <w:t>在现实生活中你有什么道德困惑？</w:t>
            </w:r>
          </w:p>
          <w:p>
            <w:pPr>
              <w:ind w:right="-31" w:rightChars="-15"/>
              <w:rPr>
                <w:rFonts w:ascii="宋体" w:hAnsi="宋体" w:cs="宋体"/>
                <w:sz w:val="18"/>
                <w:szCs w:val="18"/>
              </w:rPr>
            </w:pPr>
          </w:p>
        </w:tc>
        <w:tc>
          <w:tcPr>
            <w:tcW w:w="702" w:type="dxa"/>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984" w:type="dxa"/>
            <w:vAlign w:val="center"/>
          </w:tcPr>
          <w:p>
            <w:pPr>
              <w:widowControl/>
              <w:jc w:val="center"/>
              <w:rPr>
                <w:rFonts w:ascii="宋体" w:hAnsi="宋体" w:cs="宋体"/>
                <w:color w:val="000000"/>
                <w:sz w:val="18"/>
                <w:szCs w:val="18"/>
              </w:rPr>
            </w:pPr>
            <w:r>
              <w:rPr>
                <w:rFonts w:hint="eastAsia" w:ascii="宋体" w:hAnsi="宋体" w:cs="宋体"/>
                <w:color w:val="000000"/>
                <w:sz w:val="18"/>
                <w:szCs w:val="18"/>
              </w:rPr>
              <w:t>1，2</w:t>
            </w:r>
          </w:p>
        </w:tc>
      </w:tr>
    </w:tbl>
    <w:p>
      <w:pPr>
        <w:snapToGrid w:val="0"/>
        <w:spacing w:before="156" w:beforeLines="50" w:line="300" w:lineRule="auto"/>
        <w:ind w:firstLine="420" w:firstLineChars="200"/>
      </w:pPr>
      <w:r>
        <w:t>实验内容见表4所示</w:t>
      </w:r>
      <w:r>
        <w:rPr>
          <w:rFonts w:hint="eastAsia"/>
        </w:rPr>
        <w:t>：</w:t>
      </w:r>
    </w:p>
    <w:p>
      <w:pPr>
        <w:snapToGrid w:val="0"/>
        <w:spacing w:before="156" w:beforeLines="50" w:line="300" w:lineRule="auto"/>
        <w:jc w:val="center"/>
        <w:rPr>
          <w:b/>
          <w:bCs/>
          <w:sz w:val="18"/>
          <w:szCs w:val="18"/>
        </w:rPr>
      </w:pPr>
      <w:r>
        <w:rPr>
          <w:b/>
          <w:bCs/>
          <w:sz w:val="18"/>
          <w:szCs w:val="18"/>
        </w:rPr>
        <w:t>表4 实验安排表</w:t>
      </w:r>
      <w:r>
        <w:rPr>
          <w:rFonts w:hint="eastAsia"/>
          <w:b/>
          <w:bCs/>
          <w:sz w:val="18"/>
          <w:szCs w:val="18"/>
        </w:rPr>
        <w:t>（本课程无实验）</w:t>
      </w:r>
    </w:p>
    <w:tbl>
      <w:tblPr>
        <w:tblStyle w:val="22"/>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73"/>
        <w:gridCol w:w="2370"/>
        <w:gridCol w:w="722"/>
        <w:gridCol w:w="723"/>
        <w:gridCol w:w="722"/>
        <w:gridCol w:w="72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1" w:type="dxa"/>
            <w:vAlign w:val="center"/>
          </w:tcPr>
          <w:p>
            <w:pPr>
              <w:snapToGrid w:val="0"/>
              <w:spacing w:line="300" w:lineRule="auto"/>
              <w:rPr>
                <w:b/>
                <w:bCs/>
                <w:color w:val="000000"/>
                <w:sz w:val="18"/>
                <w:szCs w:val="18"/>
              </w:rPr>
            </w:pPr>
            <w:r>
              <w:rPr>
                <w:b/>
                <w:bCs/>
                <w:kern w:val="0"/>
                <w:sz w:val="18"/>
                <w:szCs w:val="18"/>
              </w:rPr>
              <w:t>序号</w:t>
            </w:r>
          </w:p>
        </w:tc>
        <w:tc>
          <w:tcPr>
            <w:tcW w:w="1673" w:type="dxa"/>
            <w:vAlign w:val="center"/>
          </w:tcPr>
          <w:p>
            <w:pPr>
              <w:snapToGrid w:val="0"/>
              <w:spacing w:line="300" w:lineRule="auto"/>
              <w:jc w:val="center"/>
              <w:rPr>
                <w:b/>
                <w:bCs/>
                <w:color w:val="000000"/>
                <w:sz w:val="18"/>
                <w:szCs w:val="18"/>
              </w:rPr>
            </w:pPr>
            <w:r>
              <w:rPr>
                <w:b/>
                <w:bCs/>
                <w:kern w:val="0"/>
                <w:sz w:val="18"/>
                <w:szCs w:val="18"/>
              </w:rPr>
              <w:t>实验项目名称</w:t>
            </w:r>
          </w:p>
        </w:tc>
        <w:tc>
          <w:tcPr>
            <w:tcW w:w="2370" w:type="dxa"/>
            <w:vAlign w:val="center"/>
          </w:tcPr>
          <w:p>
            <w:pPr>
              <w:snapToGrid w:val="0"/>
              <w:spacing w:line="300" w:lineRule="auto"/>
              <w:jc w:val="center"/>
              <w:rPr>
                <w:b/>
                <w:bCs/>
                <w:color w:val="000000"/>
                <w:sz w:val="18"/>
                <w:szCs w:val="18"/>
              </w:rPr>
            </w:pPr>
            <w:r>
              <w:rPr>
                <w:b/>
                <w:bCs/>
                <w:kern w:val="0"/>
                <w:sz w:val="18"/>
                <w:szCs w:val="18"/>
              </w:rPr>
              <w:t>目的要求</w:t>
            </w:r>
          </w:p>
        </w:tc>
        <w:tc>
          <w:tcPr>
            <w:tcW w:w="722" w:type="dxa"/>
            <w:vAlign w:val="center"/>
          </w:tcPr>
          <w:p>
            <w:pPr>
              <w:snapToGrid w:val="0"/>
              <w:spacing w:line="300" w:lineRule="auto"/>
              <w:jc w:val="center"/>
              <w:rPr>
                <w:b/>
                <w:bCs/>
                <w:color w:val="000000"/>
                <w:sz w:val="18"/>
                <w:szCs w:val="18"/>
              </w:rPr>
            </w:pPr>
            <w:r>
              <w:rPr>
                <w:b/>
                <w:bCs/>
                <w:kern w:val="0"/>
                <w:sz w:val="18"/>
                <w:szCs w:val="18"/>
              </w:rPr>
              <w:t>学时分配</w:t>
            </w:r>
          </w:p>
        </w:tc>
        <w:tc>
          <w:tcPr>
            <w:tcW w:w="723" w:type="dxa"/>
            <w:vAlign w:val="center"/>
          </w:tcPr>
          <w:p>
            <w:pPr>
              <w:snapToGrid w:val="0"/>
              <w:spacing w:line="300" w:lineRule="auto"/>
              <w:jc w:val="center"/>
              <w:rPr>
                <w:b/>
                <w:bCs/>
                <w:kern w:val="0"/>
                <w:sz w:val="18"/>
                <w:szCs w:val="18"/>
              </w:rPr>
            </w:pPr>
            <w:r>
              <w:rPr>
                <w:b/>
                <w:bCs/>
                <w:kern w:val="0"/>
                <w:sz w:val="18"/>
                <w:szCs w:val="18"/>
              </w:rPr>
              <w:t>实验类型</w:t>
            </w:r>
          </w:p>
        </w:tc>
        <w:tc>
          <w:tcPr>
            <w:tcW w:w="722" w:type="dxa"/>
            <w:vAlign w:val="center"/>
          </w:tcPr>
          <w:p>
            <w:pPr>
              <w:snapToGrid w:val="0"/>
              <w:spacing w:line="300" w:lineRule="auto"/>
              <w:jc w:val="center"/>
              <w:rPr>
                <w:b/>
                <w:bCs/>
                <w:kern w:val="0"/>
                <w:sz w:val="18"/>
                <w:szCs w:val="18"/>
              </w:rPr>
            </w:pPr>
            <w:r>
              <w:rPr>
                <w:b/>
                <w:bCs/>
                <w:kern w:val="0"/>
                <w:sz w:val="18"/>
                <w:szCs w:val="18"/>
              </w:rPr>
              <w:t>每组人数</w:t>
            </w:r>
          </w:p>
        </w:tc>
        <w:tc>
          <w:tcPr>
            <w:tcW w:w="7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20" w:type="dxa"/>
            <w:vAlign w:val="center"/>
          </w:tcPr>
          <w:p>
            <w:pPr>
              <w:snapToGrid w:val="0"/>
              <w:spacing w:line="300" w:lineRule="auto"/>
              <w:jc w:val="center"/>
              <w:rPr>
                <w:b/>
                <w:bCs/>
                <w:kern w:val="0"/>
                <w:sz w:val="18"/>
                <w:szCs w:val="18"/>
              </w:rPr>
            </w:pPr>
            <w:r>
              <w:rPr>
                <w:rFonts w:hint="eastAsia"/>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1" w:type="dxa"/>
            <w:vAlign w:val="center"/>
          </w:tcPr>
          <w:p>
            <w:pPr>
              <w:adjustRightInd w:val="0"/>
              <w:snapToGrid w:val="0"/>
              <w:ind w:left="-105" w:right="-105" w:rightChars="-50"/>
              <w:jc w:val="center"/>
              <w:rPr>
                <w:sz w:val="18"/>
                <w:szCs w:val="18"/>
              </w:rPr>
            </w:pPr>
          </w:p>
        </w:tc>
        <w:tc>
          <w:tcPr>
            <w:tcW w:w="1673" w:type="dxa"/>
            <w:vAlign w:val="center"/>
          </w:tcPr>
          <w:p>
            <w:pPr>
              <w:adjustRightInd w:val="0"/>
              <w:snapToGrid w:val="0"/>
              <w:spacing w:after="120"/>
              <w:jc w:val="center"/>
              <w:rPr>
                <w:sz w:val="18"/>
                <w:szCs w:val="18"/>
              </w:rPr>
            </w:pPr>
          </w:p>
        </w:tc>
        <w:tc>
          <w:tcPr>
            <w:tcW w:w="2370" w:type="dxa"/>
            <w:vAlign w:val="center"/>
          </w:tcPr>
          <w:p>
            <w:pPr>
              <w:tabs>
                <w:tab w:val="right" w:leader="dot" w:pos="9174"/>
              </w:tabs>
              <w:adjustRightInd w:val="0"/>
              <w:snapToGrid w:val="0"/>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0" w:type="dxa"/>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1" w:type="dxa"/>
            <w:vAlign w:val="center"/>
          </w:tcPr>
          <w:p>
            <w:pPr>
              <w:adjustRightInd w:val="0"/>
              <w:snapToGrid w:val="0"/>
              <w:ind w:right="-105" w:rightChars="-50"/>
              <w:jc w:val="center"/>
              <w:rPr>
                <w:sz w:val="18"/>
                <w:szCs w:val="18"/>
              </w:rPr>
            </w:pPr>
          </w:p>
        </w:tc>
        <w:tc>
          <w:tcPr>
            <w:tcW w:w="1673" w:type="dxa"/>
            <w:vAlign w:val="center"/>
          </w:tcPr>
          <w:p>
            <w:pPr>
              <w:adjustRightInd w:val="0"/>
              <w:snapToGrid w:val="0"/>
              <w:spacing w:after="120"/>
              <w:jc w:val="center"/>
              <w:rPr>
                <w:sz w:val="18"/>
                <w:szCs w:val="18"/>
              </w:rPr>
            </w:pPr>
          </w:p>
        </w:tc>
        <w:tc>
          <w:tcPr>
            <w:tcW w:w="2370" w:type="dxa"/>
            <w:vAlign w:val="center"/>
          </w:tcPr>
          <w:p>
            <w:pPr>
              <w:tabs>
                <w:tab w:val="right" w:leader="dot" w:pos="9174"/>
              </w:tabs>
              <w:adjustRightInd w:val="0"/>
              <w:snapToGrid w:val="0"/>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0" w:type="dxa"/>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1" w:type="dxa"/>
            <w:vAlign w:val="center"/>
          </w:tcPr>
          <w:p>
            <w:pPr>
              <w:adjustRightInd w:val="0"/>
              <w:snapToGrid w:val="0"/>
              <w:ind w:left="-105" w:leftChars="-50" w:right="-105" w:rightChars="-50"/>
              <w:jc w:val="center"/>
              <w:rPr>
                <w:sz w:val="18"/>
                <w:szCs w:val="18"/>
              </w:rPr>
            </w:pPr>
          </w:p>
        </w:tc>
        <w:tc>
          <w:tcPr>
            <w:tcW w:w="1673" w:type="dxa"/>
            <w:vAlign w:val="center"/>
          </w:tcPr>
          <w:p>
            <w:pPr>
              <w:adjustRightInd w:val="0"/>
              <w:snapToGrid w:val="0"/>
              <w:spacing w:after="120"/>
              <w:jc w:val="center"/>
              <w:rPr>
                <w:sz w:val="18"/>
                <w:szCs w:val="18"/>
              </w:rPr>
            </w:pPr>
          </w:p>
        </w:tc>
        <w:tc>
          <w:tcPr>
            <w:tcW w:w="2370" w:type="dxa"/>
            <w:vAlign w:val="center"/>
          </w:tcPr>
          <w:p>
            <w:pPr>
              <w:tabs>
                <w:tab w:val="right" w:leader="dot" w:pos="9174"/>
              </w:tabs>
              <w:adjustRightInd w:val="0"/>
              <w:snapToGrid w:val="0"/>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2" w:type="dxa"/>
          </w:tcPr>
          <w:p>
            <w:pPr>
              <w:adjustRightInd w:val="0"/>
              <w:snapToGrid w:val="0"/>
              <w:jc w:val="center"/>
              <w:rPr>
                <w:sz w:val="18"/>
                <w:szCs w:val="18"/>
              </w:rPr>
            </w:pPr>
          </w:p>
        </w:tc>
        <w:tc>
          <w:tcPr>
            <w:tcW w:w="723" w:type="dxa"/>
          </w:tcPr>
          <w:p>
            <w:pPr>
              <w:adjustRightInd w:val="0"/>
              <w:snapToGrid w:val="0"/>
              <w:jc w:val="center"/>
              <w:rPr>
                <w:sz w:val="18"/>
                <w:szCs w:val="18"/>
              </w:rPr>
            </w:pPr>
          </w:p>
        </w:tc>
        <w:tc>
          <w:tcPr>
            <w:tcW w:w="720" w:type="dxa"/>
          </w:tcPr>
          <w:p>
            <w:pPr>
              <w:adjustRightInd w:val="0"/>
              <w:snapToGrid w:val="0"/>
              <w:jc w:val="center"/>
              <w:rPr>
                <w:sz w:val="18"/>
                <w:szCs w:val="18"/>
              </w:rPr>
            </w:pP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rPr>
          <w:rFonts w:hint="eastAsia"/>
        </w:rPr>
        <w:t>1.考核方式：课程大论文和平时成绩（包括作业及课堂表现等）相结合，最后60分以上为合格</w:t>
      </w:r>
    </w:p>
    <w:p>
      <w:pPr>
        <w:adjustRightInd w:val="0"/>
        <w:snapToGrid w:val="0"/>
        <w:spacing w:line="300" w:lineRule="auto"/>
        <w:ind w:firstLine="420" w:firstLineChars="200"/>
      </w:pPr>
      <w:r>
        <w:rPr>
          <w:rFonts w:hint="eastAsia"/>
        </w:rPr>
        <w:t>2.成绩构成：平时成绩50%+课程论文50 %</w:t>
      </w:r>
    </w:p>
    <w:p>
      <w:pPr>
        <w:adjustRightInd w:val="0"/>
        <w:snapToGrid w:val="0"/>
        <w:spacing w:line="300" w:lineRule="auto"/>
        <w:ind w:firstLine="420" w:firstLineChars="200"/>
      </w:pPr>
      <w:r>
        <w:rPr>
          <w:rFonts w:hint="eastAsia"/>
        </w:rPr>
        <w:t>3.考核评价标准见表5所示：</w:t>
      </w:r>
    </w:p>
    <w:p>
      <w:pPr>
        <w:snapToGrid w:val="0"/>
        <w:spacing w:before="156" w:beforeLines="50" w:line="300" w:lineRule="auto"/>
        <w:ind w:firstLine="361" w:firstLineChars="200"/>
        <w:jc w:val="center"/>
        <w:rPr>
          <w:b/>
          <w:bCs/>
          <w:color w:val="000000"/>
          <w:sz w:val="18"/>
          <w:szCs w:val="18"/>
        </w:rPr>
      </w:pPr>
      <w:r>
        <w:rPr>
          <w:b/>
          <w:bCs/>
          <w:color w:val="000000"/>
          <w:sz w:val="18"/>
          <w:szCs w:val="18"/>
        </w:rPr>
        <w:t>表5教学目标评价标准</w:t>
      </w:r>
    </w:p>
    <w:tbl>
      <w:tblPr>
        <w:tblStyle w:val="22"/>
        <w:tblW w:w="852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6"/>
        <w:gridCol w:w="656"/>
        <w:gridCol w:w="639"/>
        <w:gridCol w:w="540"/>
        <w:gridCol w:w="3537"/>
        <w:gridCol w:w="921"/>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656" w:type="dxa"/>
            <w:vAlign w:val="center"/>
          </w:tcPr>
          <w:p>
            <w:pPr>
              <w:snapToGrid w:val="0"/>
              <w:spacing w:line="300" w:lineRule="auto"/>
              <w:jc w:val="center"/>
              <w:rPr>
                <w:b/>
                <w:bCs/>
                <w:sz w:val="18"/>
                <w:szCs w:val="18"/>
              </w:rPr>
            </w:pPr>
            <w:r>
              <w:rPr>
                <w:b/>
                <w:bCs/>
                <w:sz w:val="18"/>
                <w:szCs w:val="18"/>
              </w:rPr>
              <w:t>成绩</w:t>
            </w:r>
          </w:p>
        </w:tc>
        <w:tc>
          <w:tcPr>
            <w:tcW w:w="656" w:type="dxa"/>
            <w:vAlign w:val="center"/>
          </w:tcPr>
          <w:p>
            <w:pPr>
              <w:snapToGrid w:val="0"/>
              <w:spacing w:line="300" w:lineRule="auto"/>
              <w:jc w:val="center"/>
              <w:rPr>
                <w:b/>
                <w:bCs/>
                <w:sz w:val="18"/>
                <w:szCs w:val="18"/>
              </w:rPr>
            </w:pPr>
            <w:r>
              <w:rPr>
                <w:b/>
                <w:bCs/>
                <w:sz w:val="18"/>
                <w:szCs w:val="18"/>
              </w:rPr>
              <w:t>分值</w:t>
            </w:r>
          </w:p>
        </w:tc>
        <w:tc>
          <w:tcPr>
            <w:tcW w:w="656" w:type="dxa"/>
            <w:vAlign w:val="center"/>
          </w:tcPr>
          <w:p>
            <w:pPr>
              <w:snapToGrid w:val="0"/>
              <w:spacing w:line="300" w:lineRule="auto"/>
              <w:jc w:val="center"/>
              <w:rPr>
                <w:b/>
                <w:bCs/>
                <w:sz w:val="18"/>
                <w:szCs w:val="18"/>
              </w:rPr>
            </w:pPr>
            <w:r>
              <w:rPr>
                <w:b/>
                <w:bCs/>
                <w:sz w:val="18"/>
                <w:szCs w:val="18"/>
              </w:rPr>
              <w:t>权重</w:t>
            </w:r>
          </w:p>
        </w:tc>
        <w:tc>
          <w:tcPr>
            <w:tcW w:w="639" w:type="dxa"/>
            <w:vAlign w:val="center"/>
          </w:tcPr>
          <w:p>
            <w:pPr>
              <w:snapToGrid w:val="0"/>
              <w:spacing w:line="300" w:lineRule="auto"/>
              <w:jc w:val="center"/>
              <w:rPr>
                <w:b/>
                <w:bCs/>
                <w:sz w:val="18"/>
                <w:szCs w:val="18"/>
              </w:rPr>
            </w:pPr>
            <w:r>
              <w:rPr>
                <w:b/>
                <w:bCs/>
                <w:sz w:val="18"/>
                <w:szCs w:val="18"/>
              </w:rPr>
              <w:t>类别</w:t>
            </w:r>
          </w:p>
        </w:tc>
        <w:tc>
          <w:tcPr>
            <w:tcW w:w="540" w:type="dxa"/>
            <w:vAlign w:val="center"/>
          </w:tcPr>
          <w:p>
            <w:pPr>
              <w:snapToGrid w:val="0"/>
              <w:spacing w:line="300" w:lineRule="auto"/>
              <w:jc w:val="center"/>
              <w:rPr>
                <w:b/>
                <w:bCs/>
                <w:sz w:val="18"/>
                <w:szCs w:val="18"/>
              </w:rPr>
            </w:pPr>
            <w:r>
              <w:rPr>
                <w:b/>
                <w:bCs/>
                <w:sz w:val="18"/>
                <w:szCs w:val="18"/>
              </w:rPr>
              <w:t>权重</w:t>
            </w:r>
          </w:p>
        </w:tc>
        <w:tc>
          <w:tcPr>
            <w:tcW w:w="3537" w:type="dxa"/>
            <w:vAlign w:val="center"/>
          </w:tcPr>
          <w:p>
            <w:pPr>
              <w:snapToGrid w:val="0"/>
              <w:spacing w:line="300" w:lineRule="auto"/>
              <w:jc w:val="center"/>
              <w:rPr>
                <w:b/>
                <w:bCs/>
                <w:sz w:val="18"/>
                <w:szCs w:val="18"/>
              </w:rPr>
            </w:pPr>
            <w:r>
              <w:rPr>
                <w:b/>
                <w:bCs/>
                <w:sz w:val="18"/>
                <w:szCs w:val="18"/>
              </w:rPr>
              <w:t>考核/评价细则</w:t>
            </w:r>
          </w:p>
        </w:tc>
        <w:tc>
          <w:tcPr>
            <w:tcW w:w="921" w:type="dxa"/>
            <w:vAlign w:val="center"/>
          </w:tcPr>
          <w:p>
            <w:pPr>
              <w:snapToGrid w:val="0"/>
              <w:spacing w:line="300" w:lineRule="auto"/>
              <w:jc w:val="center"/>
              <w:rPr>
                <w:b/>
                <w:bCs/>
                <w:sz w:val="18"/>
                <w:szCs w:val="18"/>
              </w:rPr>
            </w:pPr>
            <w:r>
              <w:rPr>
                <w:b/>
                <w:bCs/>
                <w:sz w:val="18"/>
                <w:szCs w:val="18"/>
              </w:rPr>
              <w:t>课程目标</w:t>
            </w:r>
          </w:p>
        </w:tc>
        <w:tc>
          <w:tcPr>
            <w:tcW w:w="917" w:type="dxa"/>
            <w:vAlign w:val="center"/>
          </w:tcPr>
          <w:p>
            <w:pPr>
              <w:snapToGrid w:val="0"/>
              <w:spacing w:line="300" w:lineRule="auto"/>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right"/>
        </w:trPr>
        <w:tc>
          <w:tcPr>
            <w:tcW w:w="656" w:type="dxa"/>
            <w:vMerge w:val="restart"/>
            <w:vAlign w:val="center"/>
          </w:tcPr>
          <w:p>
            <w:pPr>
              <w:snapToGrid w:val="0"/>
              <w:rPr>
                <w:sz w:val="18"/>
                <w:szCs w:val="18"/>
              </w:rPr>
            </w:pPr>
            <w:r>
              <w:rPr>
                <w:rFonts w:hint="eastAsia"/>
                <w:sz w:val="18"/>
                <w:szCs w:val="18"/>
              </w:rPr>
              <w:t>平时成绩</w:t>
            </w:r>
          </w:p>
        </w:tc>
        <w:tc>
          <w:tcPr>
            <w:tcW w:w="656" w:type="dxa"/>
            <w:vMerge w:val="restart"/>
            <w:vAlign w:val="center"/>
          </w:tcPr>
          <w:p>
            <w:pPr>
              <w:snapToGrid w:val="0"/>
              <w:jc w:val="center"/>
              <w:rPr>
                <w:sz w:val="18"/>
                <w:szCs w:val="18"/>
              </w:rPr>
            </w:pPr>
            <w:r>
              <w:rPr>
                <w:rFonts w:hint="eastAsia"/>
                <w:sz w:val="18"/>
                <w:szCs w:val="18"/>
              </w:rPr>
              <w:t>100</w:t>
            </w:r>
          </w:p>
        </w:tc>
        <w:tc>
          <w:tcPr>
            <w:tcW w:w="656" w:type="dxa"/>
            <w:vMerge w:val="restart"/>
            <w:vAlign w:val="center"/>
          </w:tcPr>
          <w:p>
            <w:pPr>
              <w:snapToGrid w:val="0"/>
              <w:jc w:val="center"/>
              <w:rPr>
                <w:sz w:val="18"/>
                <w:szCs w:val="18"/>
              </w:rPr>
            </w:pPr>
            <w:r>
              <w:rPr>
                <w:rFonts w:hint="eastAsia"/>
                <w:sz w:val="18"/>
                <w:szCs w:val="18"/>
              </w:rPr>
              <w:t>0.5</w:t>
            </w:r>
          </w:p>
        </w:tc>
        <w:tc>
          <w:tcPr>
            <w:tcW w:w="639" w:type="dxa"/>
            <w:vMerge w:val="restart"/>
            <w:vAlign w:val="center"/>
          </w:tcPr>
          <w:p>
            <w:pPr>
              <w:jc w:val="center"/>
              <w:rPr>
                <w:sz w:val="18"/>
                <w:szCs w:val="18"/>
              </w:rPr>
            </w:pPr>
            <w:r>
              <w:rPr>
                <w:sz w:val="18"/>
                <w:szCs w:val="18"/>
              </w:rPr>
              <w:t>课堂表现</w:t>
            </w:r>
          </w:p>
        </w:tc>
        <w:tc>
          <w:tcPr>
            <w:tcW w:w="540" w:type="dxa"/>
            <w:vAlign w:val="center"/>
          </w:tcPr>
          <w:p>
            <w:pPr>
              <w:jc w:val="center"/>
              <w:rPr>
                <w:sz w:val="18"/>
                <w:szCs w:val="18"/>
              </w:rPr>
            </w:pPr>
            <w:r>
              <w:rPr>
                <w:sz w:val="18"/>
                <w:szCs w:val="18"/>
              </w:rPr>
              <w:t>0.</w:t>
            </w:r>
            <w:r>
              <w:rPr>
                <w:rFonts w:hint="eastAsia"/>
                <w:sz w:val="18"/>
                <w:szCs w:val="18"/>
              </w:rPr>
              <w:t>08</w:t>
            </w:r>
          </w:p>
        </w:tc>
        <w:tc>
          <w:tcPr>
            <w:tcW w:w="3537" w:type="dxa"/>
            <w:vMerge w:val="restart"/>
            <w:vAlign w:val="center"/>
          </w:tcPr>
          <w:p>
            <w:pPr>
              <w:jc w:val="left"/>
              <w:rPr>
                <w:sz w:val="18"/>
                <w:szCs w:val="18"/>
              </w:rPr>
            </w:pPr>
            <w:r>
              <w:rPr>
                <w:rFonts w:hint="eastAsia"/>
                <w:sz w:val="18"/>
                <w:szCs w:val="18"/>
              </w:rPr>
              <w:t>根据考勤、学生课堂回答老师提问时积极性和准确性；小组讨论时的团队合作能力和沟通能力；专题研讨时的参与程度打分；（满分100分 ）</w:t>
            </w:r>
          </w:p>
        </w:tc>
        <w:tc>
          <w:tcPr>
            <w:tcW w:w="921" w:type="dxa"/>
            <w:vAlign w:val="center"/>
          </w:tcPr>
          <w:p>
            <w:pPr>
              <w:jc w:val="center"/>
              <w:rPr>
                <w:sz w:val="18"/>
                <w:szCs w:val="18"/>
              </w:rPr>
            </w:pPr>
            <w:r>
              <w:rPr>
                <w:rFonts w:hint="eastAsia"/>
                <w:sz w:val="18"/>
                <w:szCs w:val="18"/>
              </w:rPr>
              <w:t>1</w:t>
            </w:r>
          </w:p>
        </w:tc>
        <w:tc>
          <w:tcPr>
            <w:tcW w:w="917" w:type="dxa"/>
            <w:vMerge w:val="restart"/>
            <w:vAlign w:val="center"/>
          </w:tcPr>
          <w:p>
            <w:pPr>
              <w:jc w:val="center"/>
              <w:rPr>
                <w:sz w:val="18"/>
                <w:szCs w:val="18"/>
              </w:rPr>
            </w:pPr>
            <w:r>
              <w:rPr>
                <w:rFonts w:hint="eastAsia"/>
                <w:sz w:val="18"/>
                <w:szCs w:val="18"/>
              </w:rPr>
              <w:t>3、6、7、11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right"/>
        </w:trPr>
        <w:tc>
          <w:tcPr>
            <w:tcW w:w="656" w:type="dxa"/>
            <w:vMerge w:val="continue"/>
            <w:vAlign w:val="center"/>
          </w:tcPr>
          <w:p>
            <w:pPr>
              <w:jc w:val="center"/>
            </w:pPr>
          </w:p>
        </w:tc>
        <w:tc>
          <w:tcPr>
            <w:tcW w:w="656" w:type="dxa"/>
            <w:vMerge w:val="continue"/>
            <w:vAlign w:val="center"/>
          </w:tcPr>
          <w:p>
            <w:pPr>
              <w:jc w:val="center"/>
            </w:pPr>
          </w:p>
        </w:tc>
        <w:tc>
          <w:tcPr>
            <w:tcW w:w="656" w:type="dxa"/>
            <w:vMerge w:val="continue"/>
            <w:vAlign w:val="center"/>
          </w:tcPr>
          <w:p>
            <w:pPr>
              <w:jc w:val="center"/>
            </w:pPr>
          </w:p>
        </w:tc>
        <w:tc>
          <w:tcPr>
            <w:tcW w:w="639" w:type="dxa"/>
            <w:vMerge w:val="continue"/>
            <w:vAlign w:val="center"/>
          </w:tcPr>
          <w:p>
            <w:pPr>
              <w:jc w:val="center"/>
            </w:pPr>
          </w:p>
        </w:tc>
        <w:tc>
          <w:tcPr>
            <w:tcW w:w="540" w:type="dxa"/>
            <w:vAlign w:val="center"/>
          </w:tcPr>
          <w:p>
            <w:pPr>
              <w:jc w:val="center"/>
            </w:pPr>
            <w:r>
              <w:rPr>
                <w:rFonts w:hint="eastAsia"/>
              </w:rPr>
              <w:t>0.12</w:t>
            </w:r>
          </w:p>
        </w:tc>
        <w:tc>
          <w:tcPr>
            <w:tcW w:w="3537" w:type="dxa"/>
            <w:vMerge w:val="continue"/>
            <w:vAlign w:val="center"/>
          </w:tcPr>
          <w:p>
            <w:pPr>
              <w:jc w:val="center"/>
            </w:pPr>
          </w:p>
        </w:tc>
        <w:tc>
          <w:tcPr>
            <w:tcW w:w="921" w:type="dxa"/>
            <w:vAlign w:val="center"/>
          </w:tcPr>
          <w:p>
            <w:pPr>
              <w:jc w:val="center"/>
              <w:rPr>
                <w:sz w:val="18"/>
                <w:szCs w:val="18"/>
              </w:rPr>
            </w:pPr>
            <w:r>
              <w:rPr>
                <w:rFonts w:hint="eastAsia"/>
                <w:sz w:val="18"/>
                <w:szCs w:val="18"/>
              </w:rPr>
              <w:t>2</w:t>
            </w:r>
          </w:p>
        </w:tc>
        <w:tc>
          <w:tcPr>
            <w:tcW w:w="917"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right"/>
        </w:trPr>
        <w:tc>
          <w:tcPr>
            <w:tcW w:w="656" w:type="dxa"/>
            <w:vMerge w:val="continue"/>
            <w:vAlign w:val="center"/>
          </w:tcPr>
          <w:p>
            <w:pPr>
              <w:snapToGrid w:val="0"/>
              <w:rPr>
                <w:sz w:val="18"/>
                <w:szCs w:val="18"/>
              </w:rPr>
            </w:pPr>
          </w:p>
        </w:tc>
        <w:tc>
          <w:tcPr>
            <w:tcW w:w="656" w:type="dxa"/>
            <w:vMerge w:val="continue"/>
            <w:vAlign w:val="center"/>
          </w:tcPr>
          <w:p>
            <w:pPr>
              <w:snapToGrid w:val="0"/>
              <w:jc w:val="center"/>
              <w:rPr>
                <w:sz w:val="18"/>
                <w:szCs w:val="18"/>
              </w:rPr>
            </w:pPr>
          </w:p>
        </w:tc>
        <w:tc>
          <w:tcPr>
            <w:tcW w:w="656" w:type="dxa"/>
            <w:vMerge w:val="continue"/>
            <w:vAlign w:val="center"/>
          </w:tcPr>
          <w:p>
            <w:pPr>
              <w:snapToGrid w:val="0"/>
              <w:jc w:val="center"/>
              <w:rPr>
                <w:sz w:val="18"/>
                <w:szCs w:val="18"/>
              </w:rPr>
            </w:pPr>
          </w:p>
        </w:tc>
        <w:tc>
          <w:tcPr>
            <w:tcW w:w="639" w:type="dxa"/>
            <w:vMerge w:val="restart"/>
            <w:vAlign w:val="center"/>
          </w:tcPr>
          <w:p>
            <w:pPr>
              <w:jc w:val="center"/>
              <w:rPr>
                <w:sz w:val="18"/>
                <w:szCs w:val="18"/>
              </w:rPr>
            </w:pPr>
            <w:r>
              <w:rPr>
                <w:sz w:val="18"/>
                <w:szCs w:val="18"/>
              </w:rPr>
              <w:t>作业</w:t>
            </w:r>
            <w:r>
              <w:rPr>
                <w:rFonts w:hint="eastAsia"/>
                <w:sz w:val="18"/>
                <w:szCs w:val="18"/>
              </w:rPr>
              <w:t>（课程小论文）</w:t>
            </w:r>
          </w:p>
        </w:tc>
        <w:tc>
          <w:tcPr>
            <w:tcW w:w="540" w:type="dxa"/>
            <w:vAlign w:val="center"/>
          </w:tcPr>
          <w:p>
            <w:pPr>
              <w:jc w:val="center"/>
              <w:rPr>
                <w:sz w:val="18"/>
                <w:szCs w:val="18"/>
              </w:rPr>
            </w:pPr>
            <w:r>
              <w:rPr>
                <w:sz w:val="18"/>
                <w:szCs w:val="18"/>
              </w:rPr>
              <w:t>0.</w:t>
            </w:r>
            <w:r>
              <w:rPr>
                <w:rFonts w:hint="eastAsia"/>
                <w:sz w:val="18"/>
                <w:szCs w:val="18"/>
              </w:rPr>
              <w:t>12</w:t>
            </w:r>
          </w:p>
        </w:tc>
        <w:tc>
          <w:tcPr>
            <w:tcW w:w="3537" w:type="dxa"/>
            <w:vMerge w:val="restart"/>
            <w:vAlign w:val="center"/>
          </w:tcPr>
          <w:p>
            <w:pPr>
              <w:jc w:val="left"/>
              <w:rPr>
                <w:sz w:val="18"/>
                <w:szCs w:val="18"/>
              </w:rPr>
            </w:pPr>
            <w:r>
              <w:rPr>
                <w:rFonts w:hint="eastAsia"/>
                <w:sz w:val="18"/>
                <w:szCs w:val="18"/>
              </w:rPr>
              <w:t>根据是否按时提交课程论文，是否充分调研和查阅资料、以及课程论文的完成度和质量给分。每次作业按百分制单独评分，取各次成绩的平均值作为书面作业成绩（满分100分）</w:t>
            </w:r>
          </w:p>
        </w:tc>
        <w:tc>
          <w:tcPr>
            <w:tcW w:w="921" w:type="dxa"/>
            <w:vAlign w:val="center"/>
          </w:tcPr>
          <w:p>
            <w:pPr>
              <w:jc w:val="center"/>
              <w:rPr>
                <w:sz w:val="18"/>
                <w:szCs w:val="18"/>
              </w:rPr>
            </w:pPr>
            <w:r>
              <w:rPr>
                <w:rFonts w:hint="eastAsia"/>
                <w:sz w:val="18"/>
                <w:szCs w:val="18"/>
              </w:rPr>
              <w:t>1</w:t>
            </w:r>
          </w:p>
        </w:tc>
        <w:tc>
          <w:tcPr>
            <w:tcW w:w="917" w:type="dxa"/>
            <w:vMerge w:val="restart"/>
            <w:vAlign w:val="center"/>
          </w:tcPr>
          <w:p>
            <w:pPr>
              <w:jc w:val="center"/>
              <w:rPr>
                <w:sz w:val="18"/>
                <w:szCs w:val="18"/>
              </w:rPr>
            </w:pPr>
            <w:r>
              <w:rPr>
                <w:rFonts w:hint="eastAsia"/>
                <w:sz w:val="18"/>
                <w:szCs w:val="18"/>
              </w:rPr>
              <w:t>3、6、7、11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right"/>
        </w:trPr>
        <w:tc>
          <w:tcPr>
            <w:tcW w:w="656" w:type="dxa"/>
            <w:vMerge w:val="continue"/>
            <w:vAlign w:val="center"/>
          </w:tcPr>
          <w:p>
            <w:pPr>
              <w:jc w:val="center"/>
            </w:pPr>
          </w:p>
        </w:tc>
        <w:tc>
          <w:tcPr>
            <w:tcW w:w="656" w:type="dxa"/>
            <w:vMerge w:val="continue"/>
            <w:vAlign w:val="center"/>
          </w:tcPr>
          <w:p>
            <w:pPr>
              <w:jc w:val="center"/>
            </w:pPr>
          </w:p>
        </w:tc>
        <w:tc>
          <w:tcPr>
            <w:tcW w:w="656" w:type="dxa"/>
            <w:vMerge w:val="continue"/>
            <w:vAlign w:val="center"/>
          </w:tcPr>
          <w:p>
            <w:pPr>
              <w:jc w:val="center"/>
            </w:pPr>
          </w:p>
        </w:tc>
        <w:tc>
          <w:tcPr>
            <w:tcW w:w="639" w:type="dxa"/>
            <w:vMerge w:val="continue"/>
            <w:vAlign w:val="center"/>
          </w:tcPr>
          <w:p>
            <w:pPr>
              <w:jc w:val="center"/>
            </w:pPr>
          </w:p>
        </w:tc>
        <w:tc>
          <w:tcPr>
            <w:tcW w:w="540" w:type="dxa"/>
            <w:vAlign w:val="center"/>
          </w:tcPr>
          <w:p>
            <w:pPr>
              <w:jc w:val="center"/>
            </w:pPr>
            <w:r>
              <w:rPr>
                <w:rFonts w:hint="eastAsia"/>
              </w:rPr>
              <w:t>0.18</w:t>
            </w:r>
          </w:p>
        </w:tc>
        <w:tc>
          <w:tcPr>
            <w:tcW w:w="3537" w:type="dxa"/>
            <w:vMerge w:val="continue"/>
            <w:vAlign w:val="center"/>
          </w:tcPr>
          <w:p>
            <w:pPr>
              <w:jc w:val="center"/>
            </w:pPr>
          </w:p>
        </w:tc>
        <w:tc>
          <w:tcPr>
            <w:tcW w:w="921" w:type="dxa"/>
            <w:vAlign w:val="center"/>
          </w:tcPr>
          <w:p>
            <w:pPr>
              <w:jc w:val="center"/>
              <w:rPr>
                <w:sz w:val="18"/>
                <w:szCs w:val="18"/>
              </w:rPr>
            </w:pPr>
            <w:r>
              <w:rPr>
                <w:rFonts w:hint="eastAsia"/>
                <w:sz w:val="18"/>
                <w:szCs w:val="18"/>
              </w:rPr>
              <w:t>2</w:t>
            </w:r>
          </w:p>
        </w:tc>
        <w:tc>
          <w:tcPr>
            <w:tcW w:w="917"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right"/>
        </w:trPr>
        <w:tc>
          <w:tcPr>
            <w:tcW w:w="656" w:type="dxa"/>
            <w:vMerge w:val="restart"/>
            <w:vAlign w:val="center"/>
          </w:tcPr>
          <w:p>
            <w:pPr>
              <w:snapToGrid w:val="0"/>
              <w:jc w:val="left"/>
              <w:rPr>
                <w:sz w:val="18"/>
                <w:szCs w:val="18"/>
              </w:rPr>
            </w:pPr>
            <w:r>
              <w:rPr>
                <w:rFonts w:hint="eastAsia"/>
                <w:sz w:val="18"/>
                <w:szCs w:val="18"/>
              </w:rPr>
              <w:t>课程大论文</w:t>
            </w:r>
          </w:p>
        </w:tc>
        <w:tc>
          <w:tcPr>
            <w:tcW w:w="656" w:type="dxa"/>
            <w:vMerge w:val="restart"/>
            <w:vAlign w:val="center"/>
          </w:tcPr>
          <w:p>
            <w:pPr>
              <w:snapToGrid w:val="0"/>
              <w:jc w:val="center"/>
              <w:rPr>
                <w:sz w:val="18"/>
                <w:szCs w:val="18"/>
              </w:rPr>
            </w:pPr>
            <w:r>
              <w:rPr>
                <w:sz w:val="18"/>
                <w:szCs w:val="18"/>
              </w:rPr>
              <w:t>100</w:t>
            </w:r>
          </w:p>
        </w:tc>
        <w:tc>
          <w:tcPr>
            <w:tcW w:w="656" w:type="dxa"/>
            <w:vMerge w:val="restart"/>
            <w:vAlign w:val="center"/>
          </w:tcPr>
          <w:p>
            <w:pPr>
              <w:snapToGrid w:val="0"/>
              <w:jc w:val="center"/>
              <w:rPr>
                <w:sz w:val="18"/>
                <w:szCs w:val="18"/>
              </w:rPr>
            </w:pPr>
            <w:r>
              <w:rPr>
                <w:sz w:val="18"/>
                <w:szCs w:val="18"/>
              </w:rPr>
              <w:t>0.</w:t>
            </w:r>
            <w:r>
              <w:rPr>
                <w:rFonts w:hint="eastAsia"/>
                <w:sz w:val="18"/>
                <w:szCs w:val="18"/>
              </w:rPr>
              <w:t>5</w:t>
            </w:r>
          </w:p>
        </w:tc>
        <w:tc>
          <w:tcPr>
            <w:tcW w:w="639" w:type="dxa"/>
            <w:vMerge w:val="restart"/>
            <w:vAlign w:val="center"/>
          </w:tcPr>
          <w:p>
            <w:pPr>
              <w:rPr>
                <w:sz w:val="18"/>
                <w:szCs w:val="18"/>
              </w:rPr>
            </w:pPr>
            <w:r>
              <w:rPr>
                <w:sz w:val="18"/>
                <w:szCs w:val="18"/>
              </w:rPr>
              <w:t>考查</w:t>
            </w:r>
          </w:p>
        </w:tc>
        <w:tc>
          <w:tcPr>
            <w:tcW w:w="540" w:type="dxa"/>
            <w:vAlign w:val="center"/>
          </w:tcPr>
          <w:p>
            <w:pPr>
              <w:jc w:val="center"/>
              <w:rPr>
                <w:sz w:val="18"/>
                <w:szCs w:val="18"/>
              </w:rPr>
            </w:pPr>
            <w:r>
              <w:rPr>
                <w:rFonts w:hint="eastAsia"/>
                <w:sz w:val="18"/>
                <w:szCs w:val="18"/>
              </w:rPr>
              <w:t>0.2</w:t>
            </w:r>
          </w:p>
        </w:tc>
        <w:tc>
          <w:tcPr>
            <w:tcW w:w="3537" w:type="dxa"/>
            <w:vMerge w:val="restart"/>
            <w:vAlign w:val="center"/>
          </w:tcPr>
          <w:p>
            <w:pPr>
              <w:rPr>
                <w:sz w:val="18"/>
                <w:szCs w:val="18"/>
              </w:rPr>
            </w:pPr>
            <w:r>
              <w:rPr>
                <w:rFonts w:hint="eastAsia"/>
                <w:sz w:val="18"/>
                <w:szCs w:val="18"/>
              </w:rPr>
              <w:t>根据是否按时提交课程论文，是否充分调研和查阅资料、以及课程论文的完成度和质量给分。每次作业按百分制单独评分，取各次成绩的平均值作为书面作业成绩（满分100分）</w:t>
            </w:r>
          </w:p>
        </w:tc>
        <w:tc>
          <w:tcPr>
            <w:tcW w:w="921" w:type="dxa"/>
            <w:vAlign w:val="center"/>
          </w:tcPr>
          <w:p>
            <w:pPr>
              <w:jc w:val="center"/>
              <w:rPr>
                <w:sz w:val="18"/>
                <w:szCs w:val="18"/>
              </w:rPr>
            </w:pPr>
            <w:r>
              <w:rPr>
                <w:rFonts w:hint="eastAsia"/>
                <w:sz w:val="18"/>
                <w:szCs w:val="18"/>
              </w:rPr>
              <w:t>1</w:t>
            </w:r>
          </w:p>
        </w:tc>
        <w:tc>
          <w:tcPr>
            <w:tcW w:w="917" w:type="dxa"/>
            <w:vMerge w:val="restart"/>
            <w:vAlign w:val="center"/>
          </w:tcPr>
          <w:p>
            <w:pPr>
              <w:jc w:val="center"/>
              <w:rPr>
                <w:sz w:val="18"/>
                <w:szCs w:val="18"/>
              </w:rPr>
            </w:pPr>
            <w:r>
              <w:rPr>
                <w:rFonts w:hint="eastAsia"/>
                <w:sz w:val="18"/>
                <w:szCs w:val="18"/>
              </w:rPr>
              <w:t>3、6、7、11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right"/>
        </w:trPr>
        <w:tc>
          <w:tcPr>
            <w:tcW w:w="656" w:type="dxa"/>
            <w:vMerge w:val="continue"/>
            <w:vAlign w:val="center"/>
          </w:tcPr>
          <w:p>
            <w:pPr>
              <w:jc w:val="center"/>
            </w:pPr>
          </w:p>
        </w:tc>
        <w:tc>
          <w:tcPr>
            <w:tcW w:w="656" w:type="dxa"/>
            <w:vMerge w:val="continue"/>
            <w:vAlign w:val="center"/>
          </w:tcPr>
          <w:p>
            <w:pPr>
              <w:jc w:val="center"/>
            </w:pPr>
          </w:p>
        </w:tc>
        <w:tc>
          <w:tcPr>
            <w:tcW w:w="656" w:type="dxa"/>
            <w:vMerge w:val="continue"/>
            <w:vAlign w:val="center"/>
          </w:tcPr>
          <w:p>
            <w:pPr>
              <w:jc w:val="center"/>
            </w:pPr>
          </w:p>
        </w:tc>
        <w:tc>
          <w:tcPr>
            <w:tcW w:w="639" w:type="dxa"/>
            <w:vMerge w:val="continue"/>
            <w:vAlign w:val="center"/>
          </w:tcPr>
          <w:p>
            <w:pPr>
              <w:jc w:val="center"/>
            </w:pPr>
          </w:p>
        </w:tc>
        <w:tc>
          <w:tcPr>
            <w:tcW w:w="540" w:type="dxa"/>
            <w:vAlign w:val="center"/>
          </w:tcPr>
          <w:p>
            <w:pPr>
              <w:jc w:val="center"/>
            </w:pPr>
            <w:r>
              <w:rPr>
                <w:rFonts w:hint="eastAsia"/>
              </w:rPr>
              <w:t>0.3</w:t>
            </w:r>
          </w:p>
        </w:tc>
        <w:tc>
          <w:tcPr>
            <w:tcW w:w="3537" w:type="dxa"/>
            <w:vMerge w:val="continue"/>
            <w:vAlign w:val="center"/>
          </w:tcPr>
          <w:p>
            <w:pPr>
              <w:jc w:val="center"/>
            </w:pPr>
          </w:p>
        </w:tc>
        <w:tc>
          <w:tcPr>
            <w:tcW w:w="921" w:type="dxa"/>
            <w:vAlign w:val="center"/>
          </w:tcPr>
          <w:p>
            <w:pPr>
              <w:jc w:val="center"/>
              <w:rPr>
                <w:sz w:val="18"/>
                <w:szCs w:val="18"/>
              </w:rPr>
            </w:pPr>
            <w:r>
              <w:rPr>
                <w:rFonts w:hint="eastAsia"/>
                <w:sz w:val="18"/>
                <w:szCs w:val="18"/>
              </w:rPr>
              <w:t>2</w:t>
            </w:r>
          </w:p>
        </w:tc>
        <w:tc>
          <w:tcPr>
            <w:tcW w:w="917" w:type="dxa"/>
            <w:vMerge w:val="continue"/>
            <w:vAlign w:val="center"/>
          </w:tcPr>
          <w:p>
            <w:pPr>
              <w:jc w:val="center"/>
              <w:rPr>
                <w:sz w:val="18"/>
                <w:szCs w:val="18"/>
              </w:rPr>
            </w:pP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color w:val="FF0000"/>
          <w:szCs w:val="21"/>
        </w:rPr>
      </w:pPr>
      <w:r>
        <w:rPr>
          <w:color w:val="000000"/>
          <w:szCs w:val="21"/>
        </w:rPr>
        <w:t>1</w:t>
      </w:r>
      <w:r>
        <w:t>．</w:t>
      </w:r>
      <w:r>
        <w:rPr>
          <w:color w:val="000000"/>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53" o:spt="75" type="#_x0000_t75" style="height:30pt;width:361.5pt;" o:ole="t" filled="f" o:preferrelative="t" stroked="f" coordsize="21600,21600">
            <v:path/>
            <v:fill on="f" focussize="0,0"/>
            <v:stroke on="f" joinstyle="miter"/>
            <v:imagedata r:id="rId36" o:title=""/>
            <o:lock v:ext="edit" aspectratio="t"/>
            <w10:wrap type="none"/>
            <w10:anchorlock/>
          </v:shape>
          <o:OLEObject Type="Embed" ProgID="Equation.3" ShapeID="_x0000_i1053" DrawAspect="Content" ObjectID="_1468075753" r:id="rId62">
            <o:LockedField>false</o:LockedField>
          </o:OLEObject>
        </w:object>
      </w:r>
    </w:p>
    <w:p>
      <w:pPr>
        <w:snapToGrid w:val="0"/>
        <w:spacing w:line="300" w:lineRule="auto"/>
        <w:ind w:firstLine="420" w:firstLineChars="200"/>
      </w:pPr>
      <w:r>
        <w:t>课程总目标达成情况为</w:t>
      </w:r>
      <w:r>
        <w:rPr>
          <w:rFonts w:hint="eastAsia"/>
        </w:rPr>
        <w:t>各</w:t>
      </w:r>
      <w:r>
        <w:t>个课程目标的加权得分率，其计算公式为：</w:t>
      </w:r>
    </w:p>
    <w:p>
      <w:pPr>
        <w:snapToGrid w:val="0"/>
        <w:spacing w:line="300" w:lineRule="auto"/>
        <w:jc w:val="center"/>
      </w:pPr>
      <w:r>
        <w:t xml:space="preserve"> </w:t>
      </w:r>
      <w:r>
        <w:object>
          <v:shape id="_x0000_i1054"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054" DrawAspect="Content" ObjectID="_1468075754" r:id="rId63">
            <o:LockedField>false</o:LockedField>
          </o:OLEObject>
        </w:object>
      </w:r>
    </w:p>
    <w:p>
      <w:pPr>
        <w:snapToGrid w:val="0"/>
        <w:spacing w:line="300" w:lineRule="auto"/>
      </w:pPr>
      <w:r>
        <w:t>其中权重系数按照表6设定。</w:t>
      </w:r>
    </w:p>
    <w:p>
      <w:pPr>
        <w:snapToGrid w:val="0"/>
        <w:spacing w:line="300" w:lineRule="auto"/>
      </w:pPr>
    </w:p>
    <w:p>
      <w:pPr>
        <w:snapToGrid w:val="0"/>
        <w:spacing w:line="300" w:lineRule="auto"/>
        <w:jc w:val="center"/>
        <w:rPr>
          <w:b/>
          <w:bCs/>
          <w:color w:val="000000"/>
          <w:sz w:val="18"/>
          <w:szCs w:val="18"/>
        </w:rPr>
      </w:pPr>
      <w:r>
        <w:rPr>
          <w:b/>
          <w:bCs/>
          <w:color w:val="000000"/>
          <w:sz w:val="18"/>
          <w:szCs w:val="18"/>
        </w:rPr>
        <w:t>表6课程目标权重系数</w:t>
      </w:r>
    </w:p>
    <w:tbl>
      <w:tblPr>
        <w:tblStyle w:val="22"/>
        <w:tblW w:w="6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864"/>
        <w:gridCol w:w="1968"/>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864" w:type="dxa"/>
            <w:vAlign w:val="center"/>
          </w:tcPr>
          <w:p>
            <w:pPr>
              <w:snapToGrid w:val="0"/>
              <w:spacing w:line="300" w:lineRule="auto"/>
              <w:jc w:val="center"/>
              <w:rPr>
                <w:b/>
                <w:bCs/>
                <w:sz w:val="18"/>
                <w:szCs w:val="18"/>
              </w:rPr>
            </w:pPr>
            <w:r>
              <w:rPr>
                <w:b/>
                <w:bCs/>
                <w:sz w:val="18"/>
                <w:szCs w:val="18"/>
              </w:rPr>
              <w:t>课程目标</w:t>
            </w:r>
          </w:p>
        </w:tc>
        <w:tc>
          <w:tcPr>
            <w:tcW w:w="1968" w:type="dxa"/>
            <w:vAlign w:val="center"/>
          </w:tcPr>
          <w:p>
            <w:pPr>
              <w:snapToGrid w:val="0"/>
              <w:spacing w:line="300" w:lineRule="auto"/>
              <w:jc w:val="center"/>
              <w:rPr>
                <w:sz w:val="18"/>
                <w:szCs w:val="18"/>
              </w:rPr>
            </w:pPr>
            <w:r>
              <w:rPr>
                <w:sz w:val="18"/>
                <w:szCs w:val="18"/>
              </w:rPr>
              <w:t>1</w:t>
            </w:r>
          </w:p>
        </w:tc>
        <w:tc>
          <w:tcPr>
            <w:tcW w:w="2333"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864" w:type="dxa"/>
            <w:vAlign w:val="center"/>
          </w:tcPr>
          <w:p>
            <w:pPr>
              <w:snapToGrid w:val="0"/>
              <w:spacing w:line="300" w:lineRule="auto"/>
              <w:jc w:val="center"/>
              <w:rPr>
                <w:b/>
                <w:bCs/>
                <w:sz w:val="18"/>
                <w:szCs w:val="18"/>
              </w:rPr>
            </w:pPr>
            <w:r>
              <w:rPr>
                <w:b/>
                <w:bCs/>
                <w:sz w:val="18"/>
                <w:szCs w:val="18"/>
              </w:rPr>
              <w:t>权重系数</w:t>
            </w:r>
          </w:p>
        </w:tc>
        <w:tc>
          <w:tcPr>
            <w:tcW w:w="1968" w:type="dxa"/>
            <w:vAlign w:val="center"/>
          </w:tcPr>
          <w:p>
            <w:pPr>
              <w:snapToGrid w:val="0"/>
              <w:spacing w:line="300" w:lineRule="auto"/>
              <w:jc w:val="center"/>
              <w:rPr>
                <w:sz w:val="18"/>
                <w:szCs w:val="18"/>
              </w:rPr>
            </w:pPr>
            <w:r>
              <w:rPr>
                <w:sz w:val="18"/>
                <w:szCs w:val="18"/>
              </w:rPr>
              <w:t>0.</w:t>
            </w:r>
            <w:r>
              <w:rPr>
                <w:rFonts w:hint="eastAsia"/>
                <w:sz w:val="18"/>
                <w:szCs w:val="18"/>
              </w:rPr>
              <w:t>4</w:t>
            </w:r>
          </w:p>
        </w:tc>
        <w:tc>
          <w:tcPr>
            <w:tcW w:w="2333" w:type="dxa"/>
            <w:vAlign w:val="center"/>
          </w:tcPr>
          <w:p>
            <w:pPr>
              <w:snapToGrid w:val="0"/>
              <w:spacing w:line="300" w:lineRule="auto"/>
              <w:jc w:val="center"/>
              <w:rPr>
                <w:sz w:val="18"/>
                <w:szCs w:val="18"/>
              </w:rPr>
            </w:pPr>
            <w:r>
              <w:rPr>
                <w:sz w:val="18"/>
                <w:szCs w:val="18"/>
              </w:rPr>
              <w:t>0.</w:t>
            </w:r>
            <w:r>
              <w:rPr>
                <w:rFonts w:hint="eastAsia"/>
                <w:sz w:val="18"/>
                <w:szCs w:val="18"/>
              </w:rPr>
              <w:t>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55"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055" DrawAspect="Content" ObjectID="_1468075755" r:id="rId64">
            <o:LockedField>false</o:LockedField>
          </o:OLEObject>
        </w:object>
      </w:r>
    </w:p>
    <w:p>
      <w:pPr>
        <w:snapToGrid w:val="0"/>
        <w:spacing w:line="300" w:lineRule="auto"/>
        <w:ind w:firstLine="420" w:firstLineChars="200"/>
        <w:rPr>
          <w:color w:val="000000"/>
          <w:szCs w:val="21"/>
        </w:rPr>
      </w:pPr>
      <w:r>
        <w:rPr>
          <w:color w:val="000000"/>
          <w:szCs w:val="21"/>
        </w:rPr>
        <w:t>2</w:t>
      </w:r>
      <w:r>
        <w:t>．</w:t>
      </w:r>
      <w:r>
        <w:rPr>
          <w:color w:val="000000"/>
          <w:szCs w:val="21"/>
        </w:rPr>
        <w:t>课程总结要求</w:t>
      </w:r>
    </w:p>
    <w:p>
      <w:pPr>
        <w:snapToGrid w:val="0"/>
        <w:spacing w:line="300" w:lineRule="auto"/>
        <w:ind w:firstLine="420" w:firstLineChars="200"/>
        <w:rPr>
          <w:color w:val="000000"/>
          <w:szCs w:val="21"/>
        </w:rPr>
      </w:pPr>
      <w:r>
        <w:rPr>
          <w:color w:val="00000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b/>
          <w:sz w:val="24"/>
        </w:rPr>
      </w:pPr>
      <w:r>
        <w:rPr>
          <w:b/>
          <w:sz w:val="24"/>
        </w:rPr>
        <w:t>七、教材及参考资料</w:t>
      </w:r>
    </w:p>
    <w:p>
      <w:pPr>
        <w:adjustRightInd w:val="0"/>
        <w:snapToGrid w:val="0"/>
        <w:spacing w:line="300" w:lineRule="auto"/>
        <w:ind w:firstLine="420" w:firstLineChars="200"/>
      </w:pPr>
      <w:r>
        <w:rPr>
          <w:rFonts w:hint="eastAsia"/>
        </w:rPr>
        <w:t>1.教材：</w:t>
      </w:r>
    </w:p>
    <w:p>
      <w:pPr>
        <w:adjustRightInd w:val="0"/>
        <w:snapToGrid w:val="0"/>
        <w:spacing w:line="300" w:lineRule="auto"/>
        <w:ind w:firstLine="420" w:firstLineChars="200"/>
      </w:pPr>
      <w:r>
        <w:rPr>
          <w:rFonts w:hint="eastAsia"/>
        </w:rPr>
        <w:t>肖平主编：《工程伦理导论》，北京：北京大学出版社，2009。</w:t>
      </w:r>
    </w:p>
    <w:p>
      <w:pPr>
        <w:adjustRightInd w:val="0"/>
        <w:snapToGrid w:val="0"/>
        <w:spacing w:line="300" w:lineRule="auto"/>
        <w:ind w:firstLine="420" w:firstLineChars="200"/>
      </w:pPr>
      <w:r>
        <w:rPr>
          <w:rFonts w:hint="eastAsia"/>
        </w:rPr>
        <w:t>2.参考资料</w:t>
      </w:r>
    </w:p>
    <w:p>
      <w:pPr>
        <w:adjustRightInd w:val="0"/>
        <w:snapToGrid w:val="0"/>
        <w:spacing w:line="300" w:lineRule="auto"/>
        <w:ind w:firstLine="420" w:firstLineChars="200"/>
      </w:pPr>
      <w:r>
        <w:rPr>
          <w:rFonts w:hint="eastAsia"/>
        </w:rPr>
        <w:t>[1]中国大学MOOC课程《工程伦理学》，西南交通大学肖平教授主讲。</w:t>
      </w:r>
    </w:p>
    <w:p>
      <w:pPr>
        <w:adjustRightInd w:val="0"/>
        <w:snapToGrid w:val="0"/>
        <w:spacing w:line="300" w:lineRule="auto"/>
        <w:ind w:firstLine="420" w:firstLineChars="200"/>
      </w:pPr>
      <w:r>
        <w:rPr>
          <w:rFonts w:hint="eastAsia"/>
        </w:rPr>
        <w:t>[2]查尔斯.E.哈里斯等著，丛杭青等译：《工程伦理-概念和案例》（第三版），北京：北京理工大学出版社，2006。</w:t>
      </w:r>
    </w:p>
    <w:p>
      <w:pPr>
        <w:adjustRightInd w:val="0"/>
        <w:snapToGrid w:val="0"/>
        <w:spacing w:line="300" w:lineRule="auto"/>
        <w:ind w:firstLine="420" w:firstLineChars="200"/>
      </w:pPr>
      <w:r>
        <w:rPr>
          <w:rFonts w:hint="eastAsia"/>
        </w:rPr>
        <w:t>[3]中山秀太郎著；庞铁榆, 姜振寰译：《技术史入门》，哈尔滨：黑龙江科学技术出版社，1985。</w:t>
      </w:r>
    </w:p>
    <w:p>
      <w:pPr>
        <w:adjustRightInd w:val="0"/>
        <w:snapToGrid w:val="0"/>
        <w:spacing w:line="300" w:lineRule="auto"/>
        <w:ind w:firstLine="420" w:firstLineChars="200"/>
      </w:pPr>
      <w:r>
        <w:rPr>
          <w:rFonts w:hint="eastAsia"/>
        </w:rPr>
        <w:t>[4]叶旭明主编：《工业生产概论》，北京：机械工业出版社，2004。</w:t>
      </w:r>
    </w:p>
    <w:p>
      <w:pPr>
        <w:adjustRightInd w:val="0"/>
        <w:snapToGrid w:val="0"/>
        <w:spacing w:line="300" w:lineRule="auto"/>
        <w:ind w:firstLine="420" w:firstLineChars="200"/>
        <w:rPr>
          <w:szCs w:val="21"/>
        </w:rPr>
      </w:pPr>
      <w:r>
        <w:rPr>
          <w:rFonts w:hint="eastAsia"/>
        </w:rPr>
        <w:t>[5]美国麻省理工学院在线开放课程《Engineering Ethics》。</w:t>
      </w:r>
    </w:p>
    <w:tbl>
      <w:tblPr>
        <w:tblStyle w:val="40"/>
        <w:tblpPr w:leftFromText="180" w:rightFromText="180" w:vertAnchor="text" w:horzAnchor="margin" w:tblpX="-39" w:tblpY="266"/>
        <w:tblW w:w="8217" w:type="dxa"/>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8217"/>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rPr>
          <w:rFonts w:ascii="等线" w:hAnsi="等线" w:eastAsia="等线" w:cs="Times New Roman"/>
        </w:rPr>
      </w:pPr>
    </w:p>
    <w:p>
      <w:pPr>
        <w:rPr>
          <w:rFonts w:ascii="等线" w:hAnsi="等线" w:eastAsia="等线" w:cs="Times New Roman"/>
        </w:rPr>
      </w:pPr>
    </w:p>
    <w:p>
      <w:pPr>
        <w:widowControl/>
        <w:jc w:val="left"/>
        <w:rPr>
          <w:rFonts w:ascii="Times New Roman" w:hAnsi="Times New Roman" w:eastAsia="等线" w:cs="Times New Roman"/>
          <w:b/>
          <w:sz w:val="32"/>
        </w:rPr>
      </w:pPr>
      <w:r>
        <w:rPr>
          <w:rFonts w:ascii="Times New Roman" w:hAnsi="Times New Roman" w:eastAsia="等线" w:cs="Times New Roman"/>
          <w:b/>
          <w:sz w:val="32"/>
        </w:rPr>
        <w:br w:type="page"/>
      </w:r>
    </w:p>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rPr>
      </w:pPr>
      <w:bookmarkStart w:id="46" w:name="_Toc26503"/>
      <w:r>
        <w:rPr>
          <w:rFonts w:ascii="Times New Roman" w:hAnsi="Times New Roman" w:eastAsia="宋体" w:cs="Times New Roman"/>
          <w:b/>
          <w:sz w:val="32"/>
        </w:rPr>
        <w:t>16141102《电子信息工程专业外语》课程教学大纲</w:t>
      </w:r>
      <w:bookmarkEnd w:id="46"/>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356"/>
        <w:gridCol w:w="1484"/>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vAlign w:val="center"/>
          </w:tcPr>
          <w:p>
            <w:pPr>
              <w:jc w:val="center"/>
              <w:rPr>
                <w:kern w:val="0"/>
                <w:szCs w:val="21"/>
              </w:rPr>
            </w:pPr>
            <w:r>
              <w:rPr>
                <w:kern w:val="0"/>
                <w:szCs w:val="21"/>
              </w:rPr>
              <w:t>课程编号</w:t>
            </w:r>
          </w:p>
        </w:tc>
        <w:tc>
          <w:tcPr>
            <w:tcW w:w="2356" w:type="dxa"/>
            <w:vAlign w:val="center"/>
          </w:tcPr>
          <w:p>
            <w:pPr>
              <w:jc w:val="center"/>
              <w:rPr>
                <w:kern w:val="0"/>
                <w:szCs w:val="21"/>
              </w:rPr>
            </w:pPr>
            <w:r>
              <w:rPr>
                <w:kern w:val="0"/>
                <w:szCs w:val="21"/>
              </w:rPr>
              <w:t>16141102</w:t>
            </w:r>
          </w:p>
        </w:tc>
        <w:tc>
          <w:tcPr>
            <w:tcW w:w="1484" w:type="dxa"/>
            <w:vAlign w:val="center"/>
          </w:tcPr>
          <w:p>
            <w:pPr>
              <w:jc w:val="center"/>
              <w:rPr>
                <w:kern w:val="0"/>
                <w:szCs w:val="21"/>
              </w:rPr>
            </w:pPr>
            <w:r>
              <w:rPr>
                <w:kern w:val="0"/>
                <w:szCs w:val="21"/>
              </w:rPr>
              <w:t>课程名称</w:t>
            </w:r>
          </w:p>
        </w:tc>
        <w:tc>
          <w:tcPr>
            <w:tcW w:w="3493" w:type="dxa"/>
            <w:vAlign w:val="center"/>
          </w:tcPr>
          <w:p>
            <w:pPr>
              <w:jc w:val="center"/>
              <w:rPr>
                <w:kern w:val="0"/>
                <w:szCs w:val="21"/>
              </w:rPr>
            </w:pPr>
            <w:r>
              <w:rPr>
                <w:kern w:val="0"/>
                <w:szCs w:val="21"/>
                <w:shd w:val="clear" w:color="auto" w:fill="FEFEFF"/>
              </w:rPr>
              <w:t>电子信息工程专业外语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vAlign w:val="center"/>
          </w:tcPr>
          <w:p>
            <w:pPr>
              <w:jc w:val="center"/>
              <w:rPr>
                <w:kern w:val="0"/>
                <w:szCs w:val="21"/>
              </w:rPr>
            </w:pPr>
            <w:r>
              <w:rPr>
                <w:kern w:val="0"/>
                <w:szCs w:val="21"/>
              </w:rPr>
              <w:t>课程性质*</w:t>
            </w:r>
          </w:p>
        </w:tc>
        <w:tc>
          <w:tcPr>
            <w:tcW w:w="2356" w:type="dxa"/>
            <w:vAlign w:val="center"/>
          </w:tcPr>
          <w:p>
            <w:pPr>
              <w:jc w:val="center"/>
              <w:rPr>
                <w:kern w:val="0"/>
                <w:szCs w:val="21"/>
              </w:rPr>
            </w:pPr>
            <w:r>
              <w:rPr>
                <w:kern w:val="0"/>
                <w:szCs w:val="21"/>
              </w:rPr>
              <w:t>工程基础类</w:t>
            </w:r>
          </w:p>
        </w:tc>
        <w:tc>
          <w:tcPr>
            <w:tcW w:w="1484" w:type="dxa"/>
            <w:vAlign w:val="center"/>
          </w:tcPr>
          <w:p>
            <w:pPr>
              <w:jc w:val="center"/>
              <w:rPr>
                <w:kern w:val="0"/>
                <w:szCs w:val="21"/>
              </w:rPr>
            </w:pPr>
            <w:r>
              <w:rPr>
                <w:kern w:val="0"/>
                <w:szCs w:val="21"/>
              </w:rPr>
              <w:t>英文名称</w:t>
            </w:r>
          </w:p>
        </w:tc>
        <w:tc>
          <w:tcPr>
            <w:tcW w:w="3493" w:type="dxa"/>
            <w:vAlign w:val="center"/>
          </w:tcPr>
          <w:p>
            <w:pPr>
              <w:jc w:val="center"/>
              <w:rPr>
                <w:kern w:val="0"/>
                <w:szCs w:val="21"/>
              </w:rPr>
            </w:pPr>
            <w:r>
              <w:rPr>
                <w:kern w:val="0"/>
                <w:szCs w:val="21"/>
              </w:rPr>
              <w:t>Professional English of Electronic Information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vAlign w:val="center"/>
          </w:tcPr>
          <w:p>
            <w:pPr>
              <w:jc w:val="center"/>
              <w:rPr>
                <w:kern w:val="0"/>
                <w:szCs w:val="21"/>
              </w:rPr>
            </w:pPr>
            <w:r>
              <w:rPr>
                <w:kern w:val="0"/>
                <w:szCs w:val="21"/>
              </w:rPr>
              <w:t>学分学时</w:t>
            </w:r>
          </w:p>
        </w:tc>
        <w:tc>
          <w:tcPr>
            <w:tcW w:w="2356" w:type="dxa"/>
            <w:vAlign w:val="center"/>
          </w:tcPr>
          <w:p>
            <w:pPr>
              <w:ind w:left="372" w:firstLine="210" w:firstLineChars="100"/>
              <w:rPr>
                <w:kern w:val="0"/>
                <w:szCs w:val="21"/>
              </w:rPr>
            </w:pPr>
            <w:r>
              <w:rPr>
                <w:kern w:val="0"/>
                <w:szCs w:val="21"/>
              </w:rPr>
              <w:t>1.5: 24（0）</w:t>
            </w:r>
          </w:p>
        </w:tc>
        <w:tc>
          <w:tcPr>
            <w:tcW w:w="1484" w:type="dxa"/>
            <w:vAlign w:val="center"/>
          </w:tcPr>
          <w:p>
            <w:pPr>
              <w:jc w:val="center"/>
              <w:rPr>
                <w:kern w:val="0"/>
                <w:szCs w:val="21"/>
                <w:highlight w:val="yellow"/>
              </w:rPr>
            </w:pPr>
            <w:r>
              <w:rPr>
                <w:kern w:val="0"/>
                <w:szCs w:val="21"/>
              </w:rPr>
              <w:t>任课教师</w:t>
            </w:r>
          </w:p>
        </w:tc>
        <w:tc>
          <w:tcPr>
            <w:tcW w:w="3493" w:type="dxa"/>
            <w:vAlign w:val="center"/>
          </w:tcPr>
          <w:p>
            <w:pPr>
              <w:jc w:val="center"/>
              <w:rPr>
                <w:kern w:val="0"/>
                <w:szCs w:val="21"/>
                <w:highlight w:val="yellow"/>
              </w:rPr>
            </w:pPr>
            <w:r>
              <w:rPr>
                <w:kern w:val="0"/>
                <w:szCs w:val="21"/>
              </w:rPr>
              <w:t>李颖、任肖丽，萨米尔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vAlign w:val="center"/>
          </w:tcPr>
          <w:p>
            <w:pPr>
              <w:jc w:val="center"/>
              <w:rPr>
                <w:kern w:val="0"/>
                <w:szCs w:val="21"/>
              </w:rPr>
            </w:pPr>
            <w:r>
              <w:rPr>
                <w:kern w:val="0"/>
                <w:szCs w:val="21"/>
              </w:rPr>
              <w:t>企业专家</w:t>
            </w:r>
          </w:p>
        </w:tc>
        <w:tc>
          <w:tcPr>
            <w:tcW w:w="2356" w:type="dxa"/>
            <w:vAlign w:val="center"/>
          </w:tcPr>
          <w:p>
            <w:pPr>
              <w:widowControl/>
              <w:jc w:val="center"/>
              <w:rPr>
                <w:kern w:val="0"/>
                <w:szCs w:val="21"/>
              </w:rPr>
            </w:pPr>
            <w:r>
              <w:rPr>
                <w:kern w:val="0"/>
                <w:szCs w:val="21"/>
              </w:rPr>
              <w:t>曾耿滨</w:t>
            </w:r>
          </w:p>
        </w:tc>
        <w:tc>
          <w:tcPr>
            <w:tcW w:w="1484" w:type="dxa"/>
            <w:vAlign w:val="center"/>
          </w:tcPr>
          <w:p>
            <w:pPr>
              <w:jc w:val="center"/>
              <w:rPr>
                <w:kern w:val="0"/>
                <w:szCs w:val="21"/>
              </w:rPr>
            </w:pPr>
            <w:r>
              <w:rPr>
                <w:kern w:val="0"/>
                <w:szCs w:val="21"/>
              </w:rPr>
              <w:t>行业专家</w:t>
            </w:r>
          </w:p>
        </w:tc>
        <w:tc>
          <w:tcPr>
            <w:tcW w:w="3493" w:type="dxa"/>
            <w:vAlign w:val="center"/>
          </w:tcPr>
          <w:p>
            <w:pPr>
              <w:widowControl/>
              <w:jc w:val="center"/>
              <w:rPr>
                <w:kern w:val="0"/>
                <w:szCs w:val="21"/>
              </w:rPr>
            </w:pPr>
            <w:r>
              <w:rPr>
                <w:kern w:val="0"/>
                <w:szCs w:val="21"/>
              </w:rPr>
              <w:t>吴涛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vAlign w:val="center"/>
          </w:tcPr>
          <w:p>
            <w:pPr>
              <w:widowControl/>
              <w:jc w:val="center"/>
              <w:rPr>
                <w:kern w:val="0"/>
                <w:szCs w:val="21"/>
              </w:rPr>
            </w:pPr>
            <w:r>
              <w:rPr>
                <w:kern w:val="0"/>
                <w:szCs w:val="21"/>
              </w:rPr>
              <w:t>执笔教师</w:t>
            </w:r>
          </w:p>
        </w:tc>
        <w:tc>
          <w:tcPr>
            <w:tcW w:w="2356" w:type="dxa"/>
            <w:vAlign w:val="center"/>
          </w:tcPr>
          <w:p>
            <w:pPr>
              <w:widowControl/>
              <w:jc w:val="center"/>
              <w:rPr>
                <w:kern w:val="0"/>
                <w:szCs w:val="21"/>
              </w:rPr>
            </w:pPr>
            <w:r>
              <w:rPr>
                <w:kern w:val="0"/>
                <w:szCs w:val="21"/>
              </w:rPr>
              <w:t>李颖</w:t>
            </w:r>
          </w:p>
        </w:tc>
        <w:tc>
          <w:tcPr>
            <w:tcW w:w="1484" w:type="dxa"/>
            <w:vAlign w:val="center"/>
          </w:tcPr>
          <w:p>
            <w:pPr>
              <w:widowControl/>
              <w:jc w:val="center"/>
              <w:rPr>
                <w:kern w:val="0"/>
                <w:szCs w:val="21"/>
              </w:rPr>
            </w:pPr>
            <w:r>
              <w:rPr>
                <w:kern w:val="0"/>
                <w:szCs w:val="21"/>
              </w:rPr>
              <w:t>责任教授</w:t>
            </w:r>
          </w:p>
        </w:tc>
        <w:tc>
          <w:tcPr>
            <w:tcW w:w="3493"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vAlign w:val="center"/>
          </w:tcPr>
          <w:p>
            <w:pPr>
              <w:widowControl/>
              <w:jc w:val="center"/>
              <w:rPr>
                <w:kern w:val="0"/>
                <w:szCs w:val="21"/>
              </w:rPr>
            </w:pPr>
            <w:r>
              <w:rPr>
                <w:kern w:val="0"/>
                <w:szCs w:val="21"/>
              </w:rPr>
              <w:t>适用专业</w:t>
            </w:r>
          </w:p>
        </w:tc>
        <w:tc>
          <w:tcPr>
            <w:tcW w:w="2356" w:type="dxa"/>
            <w:vAlign w:val="center"/>
          </w:tcPr>
          <w:p>
            <w:pPr>
              <w:widowControl/>
              <w:jc w:val="center"/>
              <w:rPr>
                <w:kern w:val="0"/>
                <w:szCs w:val="21"/>
              </w:rPr>
            </w:pPr>
            <w:r>
              <w:rPr>
                <w:kern w:val="0"/>
                <w:szCs w:val="21"/>
              </w:rPr>
              <w:t>电子信息工程</w:t>
            </w:r>
          </w:p>
        </w:tc>
        <w:tc>
          <w:tcPr>
            <w:tcW w:w="1484" w:type="dxa"/>
            <w:vAlign w:val="center"/>
          </w:tcPr>
          <w:p>
            <w:pPr>
              <w:widowControl/>
              <w:jc w:val="center"/>
              <w:rPr>
                <w:kern w:val="0"/>
                <w:szCs w:val="21"/>
              </w:rPr>
            </w:pPr>
            <w:r>
              <w:rPr>
                <w:kern w:val="0"/>
                <w:szCs w:val="21"/>
              </w:rPr>
              <w:t>适用对象</w:t>
            </w:r>
          </w:p>
        </w:tc>
        <w:tc>
          <w:tcPr>
            <w:tcW w:w="3493"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vAlign w:val="center"/>
          </w:tcPr>
          <w:p>
            <w:pPr>
              <w:jc w:val="center"/>
              <w:rPr>
                <w:kern w:val="0"/>
                <w:szCs w:val="21"/>
              </w:rPr>
            </w:pPr>
            <w:r>
              <w:rPr>
                <w:kern w:val="0"/>
                <w:szCs w:val="21"/>
              </w:rPr>
              <w:t>先修课程</w:t>
            </w:r>
          </w:p>
        </w:tc>
        <w:tc>
          <w:tcPr>
            <w:tcW w:w="2356" w:type="dxa"/>
            <w:vAlign w:val="center"/>
          </w:tcPr>
          <w:p>
            <w:pPr>
              <w:widowControl/>
              <w:jc w:val="center"/>
              <w:rPr>
                <w:kern w:val="0"/>
                <w:szCs w:val="21"/>
              </w:rPr>
            </w:pPr>
            <w:r>
              <w:rPr>
                <w:kern w:val="0"/>
                <w:szCs w:val="21"/>
              </w:rPr>
              <w:t>大学英语</w:t>
            </w:r>
          </w:p>
        </w:tc>
        <w:tc>
          <w:tcPr>
            <w:tcW w:w="1484" w:type="dxa"/>
            <w:vAlign w:val="center"/>
          </w:tcPr>
          <w:p>
            <w:pPr>
              <w:snapToGrid w:val="0"/>
              <w:jc w:val="center"/>
              <w:rPr>
                <w:kern w:val="0"/>
                <w:szCs w:val="21"/>
              </w:rPr>
            </w:pPr>
            <w:r>
              <w:rPr>
                <w:kern w:val="0"/>
                <w:szCs w:val="21"/>
              </w:rPr>
              <w:t>同修课程</w:t>
            </w:r>
          </w:p>
        </w:tc>
        <w:tc>
          <w:tcPr>
            <w:tcW w:w="3493"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vAlign w:val="center"/>
          </w:tcPr>
          <w:p>
            <w:pPr>
              <w:jc w:val="center"/>
              <w:rPr>
                <w:kern w:val="0"/>
                <w:szCs w:val="21"/>
              </w:rPr>
            </w:pPr>
            <w:r>
              <w:rPr>
                <w:kern w:val="0"/>
                <w:szCs w:val="21"/>
              </w:rPr>
              <w:t>排斥课程</w:t>
            </w:r>
          </w:p>
        </w:tc>
        <w:tc>
          <w:tcPr>
            <w:tcW w:w="2356" w:type="dxa"/>
            <w:vAlign w:val="center"/>
          </w:tcPr>
          <w:p>
            <w:pPr>
              <w:widowControl/>
              <w:jc w:val="center"/>
              <w:rPr>
                <w:kern w:val="0"/>
                <w:szCs w:val="21"/>
              </w:rPr>
            </w:pPr>
            <w:r>
              <w:rPr>
                <w:kern w:val="0"/>
                <w:szCs w:val="21"/>
              </w:rPr>
              <w:t>无</w:t>
            </w:r>
          </w:p>
        </w:tc>
        <w:tc>
          <w:tcPr>
            <w:tcW w:w="1484" w:type="dxa"/>
            <w:vAlign w:val="center"/>
          </w:tcPr>
          <w:p>
            <w:pPr>
              <w:snapToGrid w:val="0"/>
              <w:jc w:val="center"/>
              <w:rPr>
                <w:kern w:val="0"/>
                <w:szCs w:val="21"/>
              </w:rPr>
            </w:pPr>
            <w:r>
              <w:rPr>
                <w:kern w:val="0"/>
                <w:szCs w:val="21"/>
              </w:rPr>
              <w:t>定稿日期</w:t>
            </w:r>
          </w:p>
        </w:tc>
        <w:tc>
          <w:tcPr>
            <w:tcW w:w="3493"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电子信息工程专业外语课是电子信息工程专业本科生的必修课。本课程是在学生学习了大学英语课程后开设的英语与专业相结合的课程，它把英语语言学习的过程转变成了运用英语学习专业知识的过程，主要目的是保持学生英语学习的持续性，在本科生的英语教育中起到了承前启后的作用。本课程选用了关于电子、信息、通信、计算机等方面较新的英语资料。</w:t>
      </w:r>
      <w:r>
        <w:rPr>
          <w:szCs w:val="21"/>
          <w:lang w:val="zh-CN"/>
        </w:rPr>
        <w:t>通过对课文的精读，使学生掌握基本的电子信息工程专业英语词汇和短语句型，以提高阅读和翻译科技英语文献资料的能力和速度，同时初步了解英语科技文献的结构和语言特点，为今后运用英语写作科技论文打下基础。此外，学生通过学习本课程，可以扩大专业知识面，提高相关专业课程的学习兴趣。</w:t>
      </w:r>
    </w:p>
    <w:p>
      <w:pPr>
        <w:adjustRightInd w:val="0"/>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420" w:firstLineChars="200"/>
        <w:rPr>
          <w:szCs w:val="21"/>
        </w:rPr>
      </w:pPr>
      <w:r>
        <w:rPr>
          <w:szCs w:val="21"/>
        </w:rPr>
        <w:t>通过本课程的学习，使学生熟悉基本的电子信息类专业的英语词汇及术语；熟悉科技英语的词法、句法特点以及科技文献的表达特点；培养学生具有准确快速阅读和理解本专业英语文献的能力；培养学生掌握科技英语的翻译技巧，能准确进行电子信息工程专业文献的翻译；培养学生能就本专业基础知识进行口头和书面的交流；进一步扩充学生在电子信息专业知识面，使学生了解我国在电子信息工程领域专业发展的最新动向和成就，以及我国电子信息产业在国际上的影响力。</w:t>
      </w:r>
    </w:p>
    <w:p>
      <w:pPr>
        <w:adjustRightInd w:val="0"/>
        <w:snapToGrid w:val="0"/>
        <w:spacing w:line="300" w:lineRule="auto"/>
        <w:ind w:firstLine="420" w:firstLineChars="200"/>
        <w:rPr>
          <w:szCs w:val="21"/>
        </w:rPr>
      </w:pPr>
      <w:r>
        <w:rPr>
          <w:szCs w:val="21"/>
        </w:rPr>
        <w:t>本课程的具体教学目标如下：</w:t>
      </w:r>
    </w:p>
    <w:p>
      <w:pPr>
        <w:adjustRightInd w:val="0"/>
        <w:snapToGrid w:val="0"/>
        <w:spacing w:line="300" w:lineRule="auto"/>
        <w:ind w:firstLine="420" w:firstLineChars="200"/>
        <w:rPr>
          <w:szCs w:val="21"/>
        </w:rPr>
      </w:pPr>
      <w:r>
        <w:rPr>
          <w:szCs w:val="21"/>
        </w:rPr>
        <w:t>1. 掌握电子信息工程专业基本的英语词汇和术语，掌握电子信息工程专业基本理论和知识的英语表达方法，能将其应用于信息技术行业知识和专业知识的学习中，具备借助文献研究等方式客观分析和准确表达复杂工程问题。理解和翻译电子信息工程专业的英文文献，能就专业问题流利地进行口头和书面的国际交流。[</w:t>
      </w:r>
      <w:r>
        <w:rPr>
          <w:rFonts w:hint="eastAsia"/>
          <w:szCs w:val="21"/>
        </w:rPr>
        <w:t>10.2</w:t>
      </w:r>
      <w:r>
        <w:rPr>
          <w:szCs w:val="21"/>
        </w:rPr>
        <w:t>]</w:t>
      </w:r>
    </w:p>
    <w:p>
      <w:pPr>
        <w:adjustRightInd w:val="0"/>
        <w:snapToGrid w:val="0"/>
        <w:spacing w:line="300" w:lineRule="auto"/>
        <w:ind w:firstLine="420" w:firstLineChars="200"/>
        <w:rPr>
          <w:szCs w:val="21"/>
        </w:rPr>
      </w:pPr>
      <w:r>
        <w:rPr>
          <w:szCs w:val="21"/>
        </w:rPr>
        <w:t>2. 能快速检索国际上电子信息工程领域最新的专业发展和行业动态，能借助外文文献数据库进行专业知识的拓展和自主学习，能具有终身学习的意识、自我完善能力。[12</w:t>
      </w:r>
      <w:r>
        <w:rPr>
          <w:rFonts w:hint="eastAsia"/>
          <w:szCs w:val="21"/>
        </w:rPr>
        <w:t>.</w:t>
      </w:r>
      <w:r>
        <w:rPr>
          <w:szCs w:val="21"/>
        </w:rPr>
        <w:t>2]</w:t>
      </w:r>
    </w:p>
    <w:p>
      <w:pPr>
        <w:adjustRightInd w:val="0"/>
        <w:snapToGrid w:val="0"/>
        <w:spacing w:line="300" w:lineRule="auto"/>
        <w:ind w:firstLine="420" w:firstLineChars="200"/>
        <w:rPr>
          <w:szCs w:val="21"/>
        </w:rPr>
      </w:pPr>
    </w:p>
    <w:p>
      <w:pPr>
        <w:adjustRightInd w:val="0"/>
        <w:snapToGrid w:val="0"/>
        <w:spacing w:line="300" w:lineRule="auto"/>
        <w:ind w:firstLine="420" w:firstLineChars="200"/>
        <w:rPr>
          <w:szCs w:val="21"/>
        </w:rPr>
      </w:pPr>
    </w:p>
    <w:p>
      <w:pPr>
        <w:adjustRightInd w:val="0"/>
        <w:snapToGrid w:val="0"/>
        <w:spacing w:line="300" w:lineRule="auto"/>
        <w:ind w:firstLine="420" w:firstLineChars="200"/>
        <w:rPr>
          <w:szCs w:val="21"/>
        </w:rPr>
      </w:pPr>
    </w:p>
    <w:p>
      <w:pPr>
        <w:adjustRightInd w:val="0"/>
        <w:snapToGrid w:val="0"/>
        <w:spacing w:line="300" w:lineRule="auto"/>
        <w:ind w:firstLine="420" w:firstLineChars="200"/>
        <w:rPr>
          <w:b/>
          <w:szCs w:val="21"/>
        </w:rPr>
      </w:pPr>
      <w:r>
        <w:rPr>
          <w:szCs w:val="21"/>
        </w:rPr>
        <w:t>课程教学目标与毕业要求的对应关系见表1：</w:t>
      </w:r>
    </w:p>
    <w:p>
      <w:pPr>
        <w:widowControl/>
        <w:tabs>
          <w:tab w:val="left" w:pos="0"/>
          <w:tab w:val="left" w:pos="5245"/>
          <w:tab w:val="left" w:pos="5387"/>
        </w:tabs>
        <w:adjustRightInd w:val="0"/>
        <w:snapToGrid w:val="0"/>
        <w:spacing w:before="156" w:beforeLines="50" w:line="300" w:lineRule="auto"/>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adjustRightInd w:val="0"/>
              <w:snapToGrid w:val="0"/>
              <w:spacing w:line="300" w:lineRule="auto"/>
              <w:rPr>
                <w:b/>
                <w:bCs/>
                <w:sz w:val="18"/>
                <w:szCs w:val="18"/>
              </w:rPr>
            </w:pPr>
            <w:r>
              <w:rPr>
                <w:b/>
                <w:bCs/>
                <w:sz w:val="18"/>
                <w:szCs w:val="18"/>
              </w:rPr>
              <w:t>毕业要求</w:t>
            </w:r>
          </w:p>
        </w:tc>
        <w:tc>
          <w:tcPr>
            <w:tcW w:w="6143"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3" w:type="dxa"/>
            <w:vAlign w:val="center"/>
          </w:tcPr>
          <w:p>
            <w:pPr>
              <w:adjustRightInd w:val="0"/>
              <w:snapToGrid w:val="0"/>
              <w:spacing w:line="300" w:lineRule="auto"/>
              <w:rPr>
                <w:sz w:val="18"/>
                <w:szCs w:val="18"/>
              </w:rPr>
            </w:pPr>
            <w:r>
              <w:rPr>
                <w:sz w:val="18"/>
                <w:szCs w:val="18"/>
              </w:rPr>
              <w:t>10．沟通</w:t>
            </w:r>
          </w:p>
        </w:tc>
        <w:tc>
          <w:tcPr>
            <w:tcW w:w="6143" w:type="dxa"/>
            <w:vAlign w:val="center"/>
          </w:tcPr>
          <w:p>
            <w:pPr>
              <w:adjustRightInd w:val="0"/>
              <w:snapToGrid w:val="0"/>
              <w:spacing w:line="300" w:lineRule="auto"/>
              <w:rPr>
                <w:sz w:val="18"/>
                <w:szCs w:val="18"/>
              </w:rPr>
            </w:pPr>
            <w:r>
              <w:rPr>
                <w:rFonts w:eastAsia="等线"/>
                <w:sz w:val="18"/>
                <w:szCs w:val="18"/>
              </w:rPr>
              <w:t>10</w:t>
            </w:r>
            <w:r>
              <w:rPr>
                <w:rFonts w:hint="eastAsia" w:eastAsia="等线"/>
                <w:sz w:val="18"/>
                <w:szCs w:val="18"/>
              </w:rPr>
              <w:t>.</w:t>
            </w:r>
            <w:r>
              <w:rPr>
                <w:rFonts w:eastAsia="等线"/>
                <w:sz w:val="18"/>
                <w:szCs w:val="18"/>
              </w:rPr>
              <w:t>2</w:t>
            </w:r>
            <w:r>
              <w:rPr>
                <w:rFonts w:hint="eastAsia" w:eastAsia="等线"/>
                <w:sz w:val="18"/>
                <w:szCs w:val="18"/>
              </w:rPr>
              <w:t>具有一定的国际视野，能够了解专业领域的国际发展趋势与新的研究热点，并能在跨文化背景下使用一门外语清晰的陈述和回答问题，解释和尊重世界不同文化的差异性和多样性</w:t>
            </w:r>
            <w:r>
              <w:rPr>
                <w:rFonts w:eastAsia="等线"/>
                <w:sz w:val="18"/>
                <w:szCs w:val="18"/>
              </w:rPr>
              <w:t>。</w:t>
            </w:r>
          </w:p>
        </w:tc>
        <w:tc>
          <w:tcPr>
            <w:tcW w:w="689" w:type="dxa"/>
            <w:vAlign w:val="center"/>
          </w:tcPr>
          <w:p>
            <w:pPr>
              <w:adjustRightInd w:val="0"/>
              <w:snapToGrid w:val="0"/>
              <w:spacing w:line="300" w:lineRule="auto"/>
              <w:jc w:val="center"/>
              <w:rPr>
                <w:sz w:val="18"/>
                <w:szCs w:val="18"/>
              </w:rPr>
            </w:pPr>
            <w:r>
              <w:rPr>
                <w:rFonts w:hint="eastAsia"/>
                <w:bCs/>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adjustRightInd w:val="0"/>
              <w:snapToGrid w:val="0"/>
              <w:spacing w:line="300" w:lineRule="auto"/>
              <w:rPr>
                <w:sz w:val="18"/>
                <w:szCs w:val="18"/>
              </w:rPr>
            </w:pPr>
            <w:r>
              <w:rPr>
                <w:sz w:val="18"/>
                <w:szCs w:val="18"/>
              </w:rPr>
              <w:t>12．终身学习</w:t>
            </w:r>
          </w:p>
        </w:tc>
        <w:tc>
          <w:tcPr>
            <w:tcW w:w="6143" w:type="dxa"/>
            <w:vAlign w:val="center"/>
          </w:tcPr>
          <w:p>
            <w:pPr>
              <w:adjustRightInd w:val="0"/>
              <w:snapToGrid w:val="0"/>
              <w:spacing w:line="300" w:lineRule="auto"/>
              <w:rPr>
                <w:sz w:val="18"/>
                <w:szCs w:val="18"/>
              </w:rPr>
            </w:pPr>
            <w:r>
              <w:rPr>
                <w:rFonts w:eastAsia="等线"/>
                <w:sz w:val="18"/>
                <w:szCs w:val="18"/>
              </w:rPr>
              <w:t>12</w:t>
            </w:r>
            <w:r>
              <w:rPr>
                <w:rFonts w:hint="eastAsia" w:eastAsia="等线"/>
                <w:sz w:val="18"/>
                <w:szCs w:val="18"/>
              </w:rPr>
              <w:t>.</w:t>
            </w:r>
            <w:r>
              <w:rPr>
                <w:rFonts w:eastAsia="等线"/>
                <w:sz w:val="18"/>
                <w:szCs w:val="18"/>
              </w:rPr>
              <w:t>2针对个人和职业发展的需求，具有不断学习、自我完善能力和可持续发展的身体素质和学习能力。</w:t>
            </w:r>
          </w:p>
        </w:tc>
        <w:tc>
          <w:tcPr>
            <w:tcW w:w="689" w:type="dxa"/>
            <w:vAlign w:val="center"/>
          </w:tcPr>
          <w:p>
            <w:pPr>
              <w:adjustRightInd w:val="0"/>
              <w:snapToGrid w:val="0"/>
              <w:spacing w:line="300" w:lineRule="auto"/>
              <w:jc w:val="center"/>
              <w:rPr>
                <w:bCs/>
                <w:sz w:val="18"/>
                <w:szCs w:val="18"/>
              </w:rPr>
            </w:pPr>
            <w:r>
              <w:rPr>
                <w:rFonts w:hint="eastAsia"/>
                <w:bCs/>
                <w:sz w:val="18"/>
                <w:szCs w:val="18"/>
              </w:rPr>
              <w:t>2</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8"/>
        <w:gridCol w:w="184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3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184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 掌握电子信息工程专业基本的英语词汇和术语，掌握电子信息工程专业基本理论和知识的英语表达方法，能将其应用于信息技术行业知识和专业知识的学习中，具备借助文献研究等方式客观分析和准确表达复杂工程问题。理解和翻译电子信息工程专业的英文文献，能就专业问题流利地进行口头和书面的国际交流。</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shd w:val="clear" w:color="auto" w:fill="FEFEFF"/>
              </w:rPr>
            </w:pPr>
            <w:r>
              <w:rPr>
                <w:sz w:val="18"/>
                <w:szCs w:val="18"/>
                <w:shd w:val="clear" w:color="auto" w:fill="FEFEFF"/>
              </w:rPr>
              <w:t>2. 能快速检索国际上电子信息工程领域最新的专业发展和行业动态，能借助外文文献数据库进行专业知识的拓展和自主学习，能具有终身学习的意识、自我完善能力。</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t>课堂以多媒体教学为主，辅以课堂讨论和课外阅读。根据课程特点采用启发式教学、任务驱动教学、案例教学法。</w:t>
      </w:r>
    </w:p>
    <w:p>
      <w:pPr>
        <w:adjustRightInd w:val="0"/>
        <w:snapToGrid w:val="0"/>
        <w:spacing w:line="300" w:lineRule="auto"/>
        <w:ind w:firstLine="420" w:firstLineChars="200"/>
      </w:pPr>
      <w:r>
        <w:t>本课程理论教学内容与教学要求见表3。</w:t>
      </w:r>
    </w:p>
    <w:p>
      <w:pPr>
        <w:adjustRightInd w:val="0"/>
        <w:snapToGrid w:val="0"/>
        <w:spacing w:line="300" w:lineRule="auto"/>
        <w:jc w:val="center"/>
        <w:rPr>
          <w:b/>
          <w:bCs/>
          <w:sz w:val="18"/>
          <w:szCs w:val="18"/>
        </w:rPr>
      </w:pPr>
      <w:r>
        <w:rPr>
          <w:b/>
          <w:bCs/>
          <w:sz w:val="18"/>
          <w:szCs w:val="18"/>
        </w:rPr>
        <w:t>表3教学要求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207"/>
        <w:gridCol w:w="4413"/>
        <w:gridCol w:w="615"/>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458" w:type="dxa"/>
            <w:shd w:val="clear" w:color="auto" w:fill="FFFFFF"/>
            <w:tcMar>
              <w:left w:w="57" w:type="dxa"/>
              <w:right w:w="57" w:type="dxa"/>
            </w:tcMar>
            <w:vAlign w:val="center"/>
          </w:tcPr>
          <w:p>
            <w:pPr>
              <w:widowControl/>
              <w:adjustRightInd w:val="0"/>
              <w:snapToGrid w:val="0"/>
              <w:spacing w:line="300" w:lineRule="auto"/>
              <w:jc w:val="center"/>
              <w:rPr>
                <w:b/>
                <w:kern w:val="0"/>
                <w:sz w:val="18"/>
                <w:szCs w:val="18"/>
              </w:rPr>
            </w:pPr>
            <w:r>
              <w:rPr>
                <w:b/>
                <w:kern w:val="0"/>
                <w:sz w:val="18"/>
                <w:szCs w:val="18"/>
              </w:rPr>
              <w:t>序号</w:t>
            </w:r>
          </w:p>
        </w:tc>
        <w:tc>
          <w:tcPr>
            <w:tcW w:w="2207"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教学内容</w:t>
            </w:r>
          </w:p>
        </w:tc>
        <w:tc>
          <w:tcPr>
            <w:tcW w:w="4413"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教与学的要求</w:t>
            </w:r>
          </w:p>
        </w:tc>
        <w:tc>
          <w:tcPr>
            <w:tcW w:w="615"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学时</w:t>
            </w:r>
          </w:p>
        </w:tc>
        <w:tc>
          <w:tcPr>
            <w:tcW w:w="988"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w:t>
            </w:r>
          </w:p>
        </w:tc>
        <w:tc>
          <w:tcPr>
            <w:tcW w:w="2207" w:type="dxa"/>
            <w:vAlign w:val="center"/>
          </w:tcPr>
          <w:p>
            <w:pPr>
              <w:adjustRightInd w:val="0"/>
              <w:snapToGrid w:val="0"/>
              <w:spacing w:line="300" w:lineRule="auto"/>
              <w:rPr>
                <w:sz w:val="18"/>
                <w:szCs w:val="18"/>
              </w:rPr>
            </w:pPr>
            <w:r>
              <w:rPr>
                <w:sz w:val="18"/>
                <w:szCs w:val="18"/>
              </w:rPr>
              <w:t>1 A Brief Introduction to Electronic Technology</w:t>
            </w:r>
          </w:p>
          <w:p>
            <w:pPr>
              <w:widowControl/>
              <w:numPr>
                <w:ilvl w:val="1"/>
                <w:numId w:val="17"/>
              </w:numPr>
              <w:adjustRightInd w:val="0"/>
              <w:snapToGrid w:val="0"/>
              <w:spacing w:line="300" w:lineRule="auto"/>
              <w:ind w:right="-31" w:rightChars="-15"/>
              <w:jc w:val="left"/>
              <w:rPr>
                <w:sz w:val="18"/>
                <w:szCs w:val="18"/>
              </w:rPr>
            </w:pPr>
            <w:r>
              <w:rPr>
                <w:sz w:val="18"/>
                <w:szCs w:val="18"/>
              </w:rPr>
              <w:t>Background and history of electronic technology</w:t>
            </w:r>
          </w:p>
        </w:tc>
        <w:tc>
          <w:tcPr>
            <w:tcW w:w="4413"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（1）了解电子技术发展历史；</w:t>
            </w:r>
          </w:p>
          <w:p>
            <w:pPr>
              <w:adjustRightInd w:val="0"/>
              <w:snapToGrid w:val="0"/>
              <w:spacing w:line="300" w:lineRule="auto"/>
              <w:ind w:right="-31" w:rightChars="-15"/>
              <w:rPr>
                <w:sz w:val="18"/>
                <w:szCs w:val="18"/>
              </w:rPr>
            </w:pPr>
            <w:r>
              <w:rPr>
                <w:sz w:val="18"/>
                <w:szCs w:val="18"/>
              </w:rPr>
              <w:t>（2）课文理解；</w:t>
            </w:r>
          </w:p>
          <w:p>
            <w:pPr>
              <w:adjustRightInd w:val="0"/>
              <w:snapToGrid w:val="0"/>
              <w:spacing w:line="300" w:lineRule="auto"/>
              <w:ind w:right="-31" w:rightChars="-15"/>
              <w:rPr>
                <w:sz w:val="18"/>
                <w:szCs w:val="18"/>
              </w:rPr>
            </w:pPr>
            <w:r>
              <w:rPr>
                <w:sz w:val="18"/>
                <w:szCs w:val="18"/>
              </w:rPr>
              <w:t>（3）掌握重点词汇及常用句型；</w:t>
            </w:r>
          </w:p>
          <w:p>
            <w:pPr>
              <w:adjustRightInd w:val="0"/>
              <w:snapToGrid w:val="0"/>
              <w:spacing w:line="300" w:lineRule="auto"/>
              <w:ind w:right="-31" w:rightChars="-15"/>
              <w:rPr>
                <w:sz w:val="18"/>
                <w:szCs w:val="18"/>
              </w:rPr>
            </w:pPr>
            <w:r>
              <w:rPr>
                <w:sz w:val="18"/>
                <w:szCs w:val="18"/>
              </w:rPr>
              <w:t>（4） 掌握用英语描述电子技术的发展。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识记电子信息工程专业课程的英语表达，完成课文阅读理解习题，翻译句子和短语。</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207" w:type="dxa"/>
            <w:vAlign w:val="center"/>
          </w:tcPr>
          <w:p>
            <w:pPr>
              <w:adjustRightInd w:val="0"/>
              <w:snapToGrid w:val="0"/>
              <w:spacing w:line="300" w:lineRule="auto"/>
              <w:rPr>
                <w:sz w:val="18"/>
                <w:szCs w:val="18"/>
              </w:rPr>
            </w:pPr>
            <w:r>
              <w:rPr>
                <w:sz w:val="18"/>
                <w:szCs w:val="18"/>
              </w:rPr>
              <w:t>2 Electrical Components</w:t>
            </w:r>
          </w:p>
          <w:p>
            <w:pPr>
              <w:widowControl/>
              <w:numPr>
                <w:ilvl w:val="1"/>
                <w:numId w:val="18"/>
              </w:numPr>
              <w:adjustRightInd w:val="0"/>
              <w:snapToGrid w:val="0"/>
              <w:spacing w:line="300" w:lineRule="auto"/>
              <w:ind w:right="-31" w:rightChars="-15"/>
              <w:jc w:val="left"/>
              <w:rPr>
                <w:sz w:val="18"/>
                <w:szCs w:val="18"/>
              </w:rPr>
            </w:pPr>
            <w:r>
              <w:rPr>
                <w:sz w:val="18"/>
                <w:szCs w:val="18"/>
              </w:rPr>
              <w:t>resistor and resistance</w:t>
            </w:r>
          </w:p>
          <w:p>
            <w:pPr>
              <w:widowControl/>
              <w:numPr>
                <w:ilvl w:val="1"/>
                <w:numId w:val="18"/>
              </w:numPr>
              <w:adjustRightInd w:val="0"/>
              <w:snapToGrid w:val="0"/>
              <w:spacing w:line="300" w:lineRule="auto"/>
              <w:ind w:right="-31" w:rightChars="-15"/>
              <w:jc w:val="left"/>
              <w:rPr>
                <w:sz w:val="18"/>
                <w:szCs w:val="18"/>
              </w:rPr>
            </w:pPr>
            <w:r>
              <w:rPr>
                <w:sz w:val="18"/>
                <w:szCs w:val="18"/>
              </w:rPr>
              <w:t>capacitor and capacitance</w:t>
            </w:r>
          </w:p>
          <w:p>
            <w:pPr>
              <w:widowControl/>
              <w:numPr>
                <w:ilvl w:val="1"/>
                <w:numId w:val="18"/>
              </w:numPr>
              <w:adjustRightInd w:val="0"/>
              <w:snapToGrid w:val="0"/>
              <w:spacing w:line="300" w:lineRule="auto"/>
              <w:ind w:right="-31" w:rightChars="-15"/>
              <w:jc w:val="left"/>
              <w:rPr>
                <w:sz w:val="18"/>
                <w:szCs w:val="18"/>
              </w:rPr>
            </w:pPr>
            <w:r>
              <w:rPr>
                <w:sz w:val="18"/>
                <w:szCs w:val="18"/>
              </w:rPr>
              <w:t xml:space="preserve">inductor and inductance </w:t>
            </w:r>
          </w:p>
          <w:p>
            <w:pPr>
              <w:widowControl/>
              <w:numPr>
                <w:ilvl w:val="1"/>
                <w:numId w:val="18"/>
              </w:numPr>
              <w:adjustRightInd w:val="0"/>
              <w:snapToGrid w:val="0"/>
              <w:spacing w:line="300" w:lineRule="auto"/>
              <w:ind w:right="-31" w:rightChars="-15"/>
              <w:jc w:val="left"/>
              <w:rPr>
                <w:sz w:val="18"/>
                <w:szCs w:val="18"/>
              </w:rPr>
            </w:pPr>
            <w:r>
              <w:rPr>
                <w:sz w:val="18"/>
                <w:szCs w:val="18"/>
              </w:rPr>
              <w:t>diode</w:t>
            </w:r>
          </w:p>
          <w:p>
            <w:pPr>
              <w:widowControl/>
              <w:numPr>
                <w:ilvl w:val="1"/>
                <w:numId w:val="18"/>
              </w:numPr>
              <w:adjustRightInd w:val="0"/>
              <w:snapToGrid w:val="0"/>
              <w:spacing w:line="300" w:lineRule="auto"/>
              <w:ind w:right="-31" w:rightChars="-15"/>
              <w:jc w:val="left"/>
              <w:rPr>
                <w:sz w:val="18"/>
                <w:szCs w:val="18"/>
              </w:rPr>
            </w:pPr>
            <w:r>
              <w:rPr>
                <w:sz w:val="18"/>
                <w:szCs w:val="18"/>
              </w:rPr>
              <w:t>transistor</w:t>
            </w:r>
          </w:p>
          <w:p>
            <w:pPr>
              <w:adjustRightInd w:val="0"/>
              <w:snapToGrid w:val="0"/>
              <w:spacing w:line="300" w:lineRule="auto"/>
              <w:rPr>
                <w:sz w:val="18"/>
                <w:szCs w:val="18"/>
              </w:rPr>
            </w:pPr>
          </w:p>
        </w:tc>
        <w:tc>
          <w:tcPr>
            <w:tcW w:w="4413"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（1）了解典型模拟电路元器件；</w:t>
            </w:r>
          </w:p>
          <w:p>
            <w:pPr>
              <w:adjustRightInd w:val="0"/>
              <w:snapToGrid w:val="0"/>
              <w:spacing w:line="300" w:lineRule="auto"/>
              <w:ind w:right="-31" w:rightChars="-15"/>
              <w:rPr>
                <w:sz w:val="18"/>
                <w:szCs w:val="18"/>
              </w:rPr>
            </w:pPr>
            <w:r>
              <w:rPr>
                <w:sz w:val="18"/>
                <w:szCs w:val="18"/>
              </w:rPr>
              <w:t>（2）课文理解；</w:t>
            </w:r>
          </w:p>
          <w:p>
            <w:pPr>
              <w:widowControl/>
              <w:tabs>
                <w:tab w:val="left" w:pos="426"/>
                <w:tab w:val="left" w:pos="5245"/>
                <w:tab w:val="left" w:pos="5387"/>
              </w:tabs>
              <w:adjustRightInd w:val="0"/>
              <w:snapToGrid w:val="0"/>
              <w:spacing w:line="300" w:lineRule="auto"/>
              <w:rPr>
                <w:sz w:val="18"/>
                <w:szCs w:val="18"/>
              </w:rPr>
            </w:pPr>
            <w:r>
              <w:rPr>
                <w:sz w:val="18"/>
                <w:szCs w:val="18"/>
              </w:rPr>
              <w:t>（3）掌握重点词汇及常用句型；</w:t>
            </w:r>
          </w:p>
          <w:p>
            <w:pPr>
              <w:widowControl/>
              <w:tabs>
                <w:tab w:val="left" w:pos="426"/>
                <w:tab w:val="left" w:pos="5245"/>
                <w:tab w:val="left" w:pos="5387"/>
              </w:tabs>
              <w:adjustRightInd w:val="0"/>
              <w:snapToGrid w:val="0"/>
              <w:spacing w:line="300" w:lineRule="auto"/>
              <w:rPr>
                <w:sz w:val="18"/>
                <w:szCs w:val="18"/>
              </w:rPr>
            </w:pPr>
            <w:r>
              <w:rPr>
                <w:sz w:val="18"/>
                <w:szCs w:val="18"/>
              </w:rPr>
              <w:t>（4）掌握用英语描述电阻、电容、电感的特性；</w:t>
            </w:r>
          </w:p>
          <w:p>
            <w:pPr>
              <w:widowControl/>
              <w:tabs>
                <w:tab w:val="left" w:pos="426"/>
                <w:tab w:val="left" w:pos="5245"/>
                <w:tab w:val="left" w:pos="5387"/>
              </w:tabs>
              <w:adjustRightInd w:val="0"/>
              <w:snapToGrid w:val="0"/>
              <w:spacing w:line="300" w:lineRule="auto"/>
              <w:rPr>
                <w:sz w:val="18"/>
                <w:szCs w:val="18"/>
              </w:rPr>
            </w:pPr>
            <w:r>
              <w:rPr>
                <w:sz w:val="18"/>
                <w:szCs w:val="18"/>
              </w:rPr>
              <w:t>（5）掌握用英语描述二极管、三极管的特性。</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 xml:space="preserve">  识记电子元器件常用的英语短语，完成课文阅读理解习题，翻译句子和短语。</w:t>
            </w:r>
          </w:p>
          <w:p>
            <w:pPr>
              <w:widowControl/>
              <w:adjustRightInd w:val="0"/>
              <w:snapToGrid w:val="0"/>
              <w:spacing w:line="300" w:lineRule="auto"/>
              <w:jc w:val="left"/>
              <w:rPr>
                <w:sz w:val="18"/>
                <w:szCs w:val="18"/>
              </w:rPr>
            </w:pPr>
            <w:r>
              <w:rPr>
                <w:sz w:val="18"/>
                <w:szCs w:val="18"/>
              </w:rPr>
              <w:t xml:space="preserve">  阅读课外阅读资料：</w:t>
            </w:r>
            <w:r>
              <w:fldChar w:fldCharType="begin"/>
            </w:r>
            <w:r>
              <w:instrText xml:space="preserve"> HYPERLINK "http://open.163.com/special/opencourse/circuits.html" </w:instrText>
            </w:r>
            <w:r>
              <w:fldChar w:fldCharType="separate"/>
            </w:r>
            <w:r>
              <w:rPr>
                <w:sz w:val="18"/>
                <w:szCs w:val="18"/>
                <w:u w:val="single"/>
              </w:rPr>
              <w:t>http://open.163.com/special/opencourse/circuits.html</w:t>
            </w:r>
            <w:r>
              <w:rPr>
                <w:sz w:val="18"/>
                <w:szCs w:val="18"/>
                <w:u w:val="single"/>
              </w:rPr>
              <w:fldChar w:fldCharType="end"/>
            </w:r>
            <w:r>
              <w:rPr>
                <w:sz w:val="18"/>
                <w:szCs w:val="18"/>
              </w:rPr>
              <w:t xml:space="preserve"> （麻省理工公开课电路和电子学：集总电路抽象介绍）。</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4</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207" w:type="dxa"/>
            <w:vAlign w:val="center"/>
          </w:tcPr>
          <w:p>
            <w:pPr>
              <w:adjustRightInd w:val="0"/>
              <w:snapToGrid w:val="0"/>
              <w:spacing w:line="300" w:lineRule="auto"/>
              <w:rPr>
                <w:sz w:val="18"/>
                <w:szCs w:val="18"/>
              </w:rPr>
            </w:pPr>
            <w:r>
              <w:rPr>
                <w:sz w:val="18"/>
                <w:szCs w:val="18"/>
              </w:rPr>
              <w:t>3 Electronic Instruments</w:t>
            </w:r>
          </w:p>
          <w:p>
            <w:pPr>
              <w:widowControl/>
              <w:numPr>
                <w:ilvl w:val="1"/>
                <w:numId w:val="19"/>
              </w:numPr>
              <w:adjustRightInd w:val="0"/>
              <w:snapToGrid w:val="0"/>
              <w:spacing w:line="300" w:lineRule="auto"/>
              <w:ind w:right="-31" w:rightChars="-15"/>
              <w:jc w:val="left"/>
              <w:rPr>
                <w:sz w:val="18"/>
                <w:szCs w:val="18"/>
              </w:rPr>
            </w:pPr>
            <w:r>
              <w:rPr>
                <w:sz w:val="18"/>
                <w:szCs w:val="18"/>
              </w:rPr>
              <w:t>oscilloscope</w:t>
            </w:r>
          </w:p>
          <w:p>
            <w:pPr>
              <w:widowControl/>
              <w:numPr>
                <w:ilvl w:val="1"/>
                <w:numId w:val="19"/>
              </w:numPr>
              <w:adjustRightInd w:val="0"/>
              <w:snapToGrid w:val="0"/>
              <w:spacing w:line="300" w:lineRule="auto"/>
              <w:ind w:right="-31" w:rightChars="-15"/>
              <w:jc w:val="left"/>
              <w:rPr>
                <w:sz w:val="18"/>
                <w:szCs w:val="18"/>
              </w:rPr>
            </w:pPr>
            <w:r>
              <w:rPr>
                <w:sz w:val="18"/>
                <w:szCs w:val="18"/>
              </w:rPr>
              <w:t>multimeter</w:t>
            </w:r>
          </w:p>
          <w:p>
            <w:pPr>
              <w:widowControl/>
              <w:numPr>
                <w:ilvl w:val="1"/>
                <w:numId w:val="19"/>
              </w:numPr>
              <w:adjustRightInd w:val="0"/>
              <w:snapToGrid w:val="0"/>
              <w:spacing w:line="300" w:lineRule="auto"/>
              <w:ind w:right="-31" w:rightChars="-15"/>
              <w:jc w:val="left"/>
              <w:rPr>
                <w:sz w:val="18"/>
                <w:szCs w:val="18"/>
              </w:rPr>
            </w:pPr>
            <w:r>
              <w:rPr>
                <w:sz w:val="18"/>
                <w:szCs w:val="18"/>
              </w:rPr>
              <w:t>signal generator</w:t>
            </w:r>
          </w:p>
          <w:p>
            <w:pPr>
              <w:widowControl/>
              <w:adjustRightInd w:val="0"/>
              <w:snapToGrid w:val="0"/>
              <w:spacing w:line="300" w:lineRule="auto"/>
              <w:ind w:right="-31" w:rightChars="-15"/>
              <w:jc w:val="left"/>
              <w:rPr>
                <w:sz w:val="18"/>
                <w:szCs w:val="18"/>
              </w:rPr>
            </w:pPr>
          </w:p>
        </w:tc>
        <w:tc>
          <w:tcPr>
            <w:tcW w:w="4413"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（1）了解典型电子仪器；</w:t>
            </w:r>
          </w:p>
          <w:p>
            <w:pPr>
              <w:adjustRightInd w:val="0"/>
              <w:snapToGrid w:val="0"/>
              <w:spacing w:line="300" w:lineRule="auto"/>
              <w:ind w:right="-31" w:rightChars="-15"/>
              <w:rPr>
                <w:sz w:val="18"/>
                <w:szCs w:val="18"/>
              </w:rPr>
            </w:pPr>
            <w:r>
              <w:rPr>
                <w:sz w:val="18"/>
                <w:szCs w:val="18"/>
              </w:rPr>
              <w:t>（2）理解课文；</w:t>
            </w:r>
          </w:p>
          <w:p>
            <w:pPr>
              <w:widowControl/>
              <w:tabs>
                <w:tab w:val="left" w:pos="426"/>
                <w:tab w:val="left" w:pos="5245"/>
                <w:tab w:val="left" w:pos="5387"/>
              </w:tabs>
              <w:adjustRightInd w:val="0"/>
              <w:snapToGrid w:val="0"/>
              <w:spacing w:line="300" w:lineRule="auto"/>
              <w:rPr>
                <w:sz w:val="18"/>
                <w:szCs w:val="18"/>
              </w:rPr>
            </w:pPr>
            <w:r>
              <w:rPr>
                <w:sz w:val="18"/>
                <w:szCs w:val="18"/>
              </w:rPr>
              <w:t>（3）掌握重点词汇和句型；</w:t>
            </w:r>
          </w:p>
          <w:p>
            <w:pPr>
              <w:widowControl/>
              <w:tabs>
                <w:tab w:val="left" w:pos="426"/>
                <w:tab w:val="left" w:pos="5245"/>
                <w:tab w:val="left" w:pos="5387"/>
              </w:tabs>
              <w:adjustRightInd w:val="0"/>
              <w:snapToGrid w:val="0"/>
              <w:spacing w:line="300" w:lineRule="auto"/>
              <w:rPr>
                <w:sz w:val="18"/>
                <w:szCs w:val="18"/>
              </w:rPr>
            </w:pPr>
            <w:r>
              <w:rPr>
                <w:sz w:val="18"/>
                <w:szCs w:val="18"/>
              </w:rPr>
              <w:t>（4）掌握用英语描述示波器、万用表和信号发生器的使用。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 xml:space="preserve">  识记电子仪器常用的英语短语，完成课文阅读理解习题，翻译句子和短语。</w:t>
            </w:r>
          </w:p>
          <w:p>
            <w:pPr>
              <w:widowControl/>
              <w:tabs>
                <w:tab w:val="left" w:pos="426"/>
                <w:tab w:val="left" w:pos="5245"/>
                <w:tab w:val="left" w:pos="5387"/>
              </w:tabs>
              <w:adjustRightInd w:val="0"/>
              <w:snapToGrid w:val="0"/>
              <w:spacing w:line="300" w:lineRule="auto"/>
              <w:rPr>
                <w:sz w:val="18"/>
                <w:szCs w:val="18"/>
              </w:rPr>
            </w:pPr>
            <w:r>
              <w:rPr>
                <w:sz w:val="18"/>
                <w:szCs w:val="18"/>
              </w:rPr>
              <w:t>3.教学方法</w:t>
            </w:r>
          </w:p>
          <w:p>
            <w:pPr>
              <w:widowControl/>
              <w:tabs>
                <w:tab w:val="left" w:pos="426"/>
                <w:tab w:val="left" w:pos="5245"/>
                <w:tab w:val="left" w:pos="5387"/>
              </w:tabs>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207" w:type="dxa"/>
            <w:vAlign w:val="center"/>
          </w:tcPr>
          <w:p>
            <w:pPr>
              <w:adjustRightInd w:val="0"/>
              <w:snapToGrid w:val="0"/>
              <w:spacing w:line="300" w:lineRule="auto"/>
              <w:rPr>
                <w:sz w:val="18"/>
                <w:szCs w:val="18"/>
              </w:rPr>
            </w:pPr>
            <w:r>
              <w:rPr>
                <w:sz w:val="18"/>
                <w:szCs w:val="18"/>
              </w:rPr>
              <w:t>4 analog electronic technology</w:t>
            </w:r>
          </w:p>
          <w:p>
            <w:pPr>
              <w:widowControl/>
              <w:numPr>
                <w:ilvl w:val="1"/>
                <w:numId w:val="20"/>
              </w:numPr>
              <w:adjustRightInd w:val="0"/>
              <w:snapToGrid w:val="0"/>
              <w:spacing w:line="300" w:lineRule="auto"/>
              <w:ind w:right="-31" w:rightChars="-15"/>
              <w:jc w:val="left"/>
              <w:rPr>
                <w:sz w:val="18"/>
                <w:szCs w:val="18"/>
              </w:rPr>
            </w:pPr>
            <w:r>
              <w:rPr>
                <w:sz w:val="18"/>
                <w:szCs w:val="18"/>
              </w:rPr>
              <w:t>amplifier</w:t>
            </w:r>
          </w:p>
          <w:p>
            <w:pPr>
              <w:widowControl/>
              <w:numPr>
                <w:ilvl w:val="1"/>
                <w:numId w:val="20"/>
              </w:numPr>
              <w:adjustRightInd w:val="0"/>
              <w:snapToGrid w:val="0"/>
              <w:spacing w:line="300" w:lineRule="auto"/>
              <w:ind w:right="-31" w:rightChars="-15"/>
              <w:jc w:val="left"/>
              <w:rPr>
                <w:sz w:val="18"/>
                <w:szCs w:val="18"/>
              </w:rPr>
            </w:pPr>
            <w:r>
              <w:rPr>
                <w:sz w:val="18"/>
                <w:szCs w:val="18"/>
              </w:rPr>
              <w:t>oscillator</w:t>
            </w:r>
          </w:p>
          <w:p>
            <w:pPr>
              <w:widowControl/>
              <w:numPr>
                <w:ilvl w:val="1"/>
                <w:numId w:val="20"/>
              </w:numPr>
              <w:adjustRightInd w:val="0"/>
              <w:snapToGrid w:val="0"/>
              <w:spacing w:line="300" w:lineRule="auto"/>
              <w:ind w:right="-31" w:rightChars="-15"/>
              <w:jc w:val="left"/>
              <w:rPr>
                <w:sz w:val="18"/>
                <w:szCs w:val="18"/>
              </w:rPr>
            </w:pPr>
            <w:r>
              <w:rPr>
                <w:sz w:val="18"/>
                <w:szCs w:val="18"/>
              </w:rPr>
              <w:t>filter</w:t>
            </w:r>
          </w:p>
        </w:tc>
        <w:tc>
          <w:tcPr>
            <w:tcW w:w="4413"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（1）了解模拟电子技术；</w:t>
            </w:r>
          </w:p>
          <w:p>
            <w:pPr>
              <w:adjustRightInd w:val="0"/>
              <w:snapToGrid w:val="0"/>
              <w:spacing w:line="300" w:lineRule="auto"/>
              <w:ind w:right="-31" w:rightChars="-15"/>
              <w:rPr>
                <w:sz w:val="18"/>
                <w:szCs w:val="18"/>
              </w:rPr>
            </w:pPr>
            <w:r>
              <w:rPr>
                <w:sz w:val="18"/>
                <w:szCs w:val="18"/>
              </w:rPr>
              <w:t>（2）理解课文；</w:t>
            </w:r>
          </w:p>
          <w:p>
            <w:pPr>
              <w:adjustRightInd w:val="0"/>
              <w:snapToGrid w:val="0"/>
              <w:spacing w:line="300" w:lineRule="auto"/>
              <w:ind w:right="-31" w:rightChars="-15"/>
              <w:rPr>
                <w:sz w:val="18"/>
                <w:szCs w:val="18"/>
              </w:rPr>
            </w:pPr>
            <w:r>
              <w:rPr>
                <w:sz w:val="18"/>
                <w:szCs w:val="18"/>
              </w:rPr>
              <w:t>（3）掌握重点词汇和句型；</w:t>
            </w:r>
          </w:p>
          <w:p>
            <w:pPr>
              <w:adjustRightInd w:val="0"/>
              <w:snapToGrid w:val="0"/>
              <w:spacing w:line="300" w:lineRule="auto"/>
              <w:ind w:right="-31" w:rightChars="-15"/>
              <w:rPr>
                <w:sz w:val="18"/>
                <w:szCs w:val="18"/>
              </w:rPr>
            </w:pPr>
            <w:r>
              <w:rPr>
                <w:sz w:val="18"/>
                <w:szCs w:val="18"/>
              </w:rPr>
              <w:t>（4）用英语描述放大器、振荡器和滤波器的原理。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识记模拟电子技术常用英语短语，完成课文阅读理解习题，翻译句子和短语。</w:t>
            </w:r>
          </w:p>
          <w:p>
            <w:pPr>
              <w:adjustRightInd w:val="0"/>
              <w:snapToGrid w:val="0"/>
              <w:spacing w:line="300" w:lineRule="auto"/>
              <w:rPr>
                <w:sz w:val="18"/>
                <w:szCs w:val="18"/>
              </w:rPr>
            </w:pPr>
            <w:r>
              <w:rPr>
                <w:sz w:val="18"/>
                <w:szCs w:val="18"/>
              </w:rPr>
              <w:t>阅读课外阅读资料：</w:t>
            </w:r>
          </w:p>
          <w:p>
            <w:pPr>
              <w:adjustRightInd w:val="0"/>
              <w:snapToGrid w:val="0"/>
              <w:spacing w:line="300" w:lineRule="auto"/>
              <w:rPr>
                <w:sz w:val="18"/>
                <w:szCs w:val="18"/>
              </w:rPr>
            </w:pPr>
            <w:r>
              <w:fldChar w:fldCharType="begin"/>
            </w:r>
            <w:r>
              <w:instrText xml:space="preserve"> HYPERLINK "http://open.163.com/special/opencourse/circuits.html" </w:instrText>
            </w:r>
            <w:r>
              <w:fldChar w:fldCharType="separate"/>
            </w:r>
            <w:r>
              <w:rPr>
                <w:sz w:val="18"/>
                <w:szCs w:val="18"/>
                <w:u w:val="single"/>
              </w:rPr>
              <w:t>http://open.163.com/special/opencourse/circuits.html</w:t>
            </w:r>
            <w:r>
              <w:rPr>
                <w:sz w:val="18"/>
                <w:szCs w:val="18"/>
                <w:u w:val="single"/>
              </w:rPr>
              <w:fldChar w:fldCharType="end"/>
            </w:r>
            <w:r>
              <w:rPr>
                <w:sz w:val="18"/>
                <w:szCs w:val="18"/>
              </w:rPr>
              <w:t>（麻省理工公开课电路和电子学：受控源和放大器）。</w:t>
            </w:r>
          </w:p>
          <w:p>
            <w:pPr>
              <w:adjustRightInd w:val="0"/>
              <w:snapToGrid w:val="0"/>
              <w:spacing w:line="300" w:lineRule="auto"/>
              <w:ind w:right="-31" w:rightChars="-15"/>
              <w:rPr>
                <w:sz w:val="18"/>
                <w:szCs w:val="18"/>
              </w:rPr>
            </w:pPr>
            <w:r>
              <w:rPr>
                <w:sz w:val="18"/>
                <w:szCs w:val="18"/>
              </w:rPr>
              <w:t>3.教学方法</w:t>
            </w:r>
          </w:p>
          <w:p>
            <w:pPr>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207" w:type="dxa"/>
            <w:vAlign w:val="center"/>
          </w:tcPr>
          <w:p>
            <w:pPr>
              <w:adjustRightInd w:val="0"/>
              <w:snapToGrid w:val="0"/>
              <w:spacing w:line="300" w:lineRule="auto"/>
              <w:rPr>
                <w:sz w:val="18"/>
                <w:szCs w:val="18"/>
              </w:rPr>
            </w:pPr>
            <w:r>
              <w:rPr>
                <w:sz w:val="18"/>
                <w:szCs w:val="18"/>
              </w:rPr>
              <w:t>5 Digital Electronics Technology</w:t>
            </w:r>
          </w:p>
          <w:p>
            <w:pPr>
              <w:widowControl/>
              <w:numPr>
                <w:ilvl w:val="1"/>
                <w:numId w:val="21"/>
              </w:numPr>
              <w:adjustRightInd w:val="0"/>
              <w:snapToGrid w:val="0"/>
              <w:spacing w:line="300" w:lineRule="auto"/>
              <w:ind w:right="-31" w:rightChars="-15"/>
              <w:jc w:val="left"/>
              <w:rPr>
                <w:sz w:val="18"/>
                <w:szCs w:val="18"/>
              </w:rPr>
            </w:pPr>
            <w:r>
              <w:rPr>
                <w:sz w:val="18"/>
                <w:szCs w:val="18"/>
              </w:rPr>
              <w:t>AND gate</w:t>
            </w:r>
          </w:p>
          <w:p>
            <w:pPr>
              <w:widowControl/>
              <w:numPr>
                <w:ilvl w:val="1"/>
                <w:numId w:val="21"/>
              </w:numPr>
              <w:adjustRightInd w:val="0"/>
              <w:snapToGrid w:val="0"/>
              <w:spacing w:line="300" w:lineRule="auto"/>
              <w:ind w:right="-31" w:rightChars="-15"/>
              <w:jc w:val="left"/>
              <w:rPr>
                <w:sz w:val="18"/>
                <w:szCs w:val="18"/>
              </w:rPr>
            </w:pPr>
            <w:r>
              <w:rPr>
                <w:sz w:val="18"/>
                <w:szCs w:val="18"/>
              </w:rPr>
              <w:t>OR gate</w:t>
            </w:r>
          </w:p>
          <w:p>
            <w:pPr>
              <w:widowControl/>
              <w:numPr>
                <w:ilvl w:val="1"/>
                <w:numId w:val="21"/>
              </w:numPr>
              <w:adjustRightInd w:val="0"/>
              <w:snapToGrid w:val="0"/>
              <w:spacing w:line="300" w:lineRule="auto"/>
              <w:ind w:right="-31" w:rightChars="-15"/>
              <w:jc w:val="left"/>
              <w:rPr>
                <w:sz w:val="18"/>
                <w:szCs w:val="18"/>
              </w:rPr>
            </w:pPr>
            <w:r>
              <w:rPr>
                <w:sz w:val="18"/>
                <w:szCs w:val="18"/>
              </w:rPr>
              <w:t>NAND gate</w:t>
            </w:r>
          </w:p>
          <w:p>
            <w:pPr>
              <w:widowControl/>
              <w:numPr>
                <w:ilvl w:val="1"/>
                <w:numId w:val="21"/>
              </w:numPr>
              <w:adjustRightInd w:val="0"/>
              <w:snapToGrid w:val="0"/>
              <w:spacing w:line="300" w:lineRule="auto"/>
              <w:ind w:right="-31" w:rightChars="-15"/>
              <w:jc w:val="left"/>
              <w:rPr>
                <w:sz w:val="18"/>
                <w:szCs w:val="18"/>
              </w:rPr>
            </w:pPr>
            <w:r>
              <w:rPr>
                <w:sz w:val="18"/>
                <w:szCs w:val="18"/>
              </w:rPr>
              <w:t>NOR gate</w:t>
            </w:r>
          </w:p>
          <w:p>
            <w:pPr>
              <w:widowControl/>
              <w:numPr>
                <w:ilvl w:val="1"/>
                <w:numId w:val="21"/>
              </w:numPr>
              <w:adjustRightInd w:val="0"/>
              <w:snapToGrid w:val="0"/>
              <w:spacing w:line="300" w:lineRule="auto"/>
              <w:ind w:right="-31" w:rightChars="-15"/>
              <w:jc w:val="left"/>
              <w:rPr>
                <w:sz w:val="18"/>
                <w:szCs w:val="18"/>
              </w:rPr>
            </w:pPr>
            <w:r>
              <w:rPr>
                <w:sz w:val="18"/>
                <w:szCs w:val="18"/>
              </w:rPr>
              <w:t>Number system</w:t>
            </w:r>
          </w:p>
          <w:p>
            <w:pPr>
              <w:widowControl/>
              <w:numPr>
                <w:ilvl w:val="1"/>
                <w:numId w:val="21"/>
              </w:numPr>
              <w:adjustRightInd w:val="0"/>
              <w:snapToGrid w:val="0"/>
              <w:spacing w:line="300" w:lineRule="auto"/>
              <w:ind w:right="-31" w:rightChars="-15"/>
              <w:jc w:val="left"/>
              <w:rPr>
                <w:sz w:val="18"/>
                <w:szCs w:val="18"/>
              </w:rPr>
            </w:pPr>
            <w:r>
              <w:rPr>
                <w:sz w:val="18"/>
                <w:szCs w:val="18"/>
              </w:rPr>
              <w:t>Logical operation</w:t>
            </w: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（1）了解典型数字电子元件和逻辑操作；</w:t>
            </w:r>
          </w:p>
          <w:p>
            <w:pPr>
              <w:adjustRightInd w:val="0"/>
              <w:snapToGrid w:val="0"/>
              <w:spacing w:line="300" w:lineRule="auto"/>
              <w:ind w:right="-31" w:rightChars="-15" w:firstLine="2"/>
              <w:rPr>
                <w:sz w:val="18"/>
                <w:szCs w:val="18"/>
              </w:rPr>
            </w:pPr>
            <w:r>
              <w:rPr>
                <w:sz w:val="18"/>
                <w:szCs w:val="18"/>
              </w:rPr>
              <w:t>（2）理解课文；</w:t>
            </w:r>
          </w:p>
          <w:p>
            <w:pPr>
              <w:widowControl/>
              <w:tabs>
                <w:tab w:val="left" w:pos="426"/>
                <w:tab w:val="left" w:pos="5245"/>
                <w:tab w:val="left" w:pos="5387"/>
              </w:tabs>
              <w:adjustRightInd w:val="0"/>
              <w:snapToGrid w:val="0"/>
              <w:spacing w:line="300" w:lineRule="auto"/>
              <w:rPr>
                <w:sz w:val="18"/>
                <w:szCs w:val="18"/>
              </w:rPr>
            </w:pPr>
            <w:r>
              <w:rPr>
                <w:sz w:val="18"/>
                <w:szCs w:val="18"/>
              </w:rPr>
              <w:t>（3）掌握重点词汇和句型；</w:t>
            </w:r>
          </w:p>
          <w:p>
            <w:pPr>
              <w:widowControl/>
              <w:tabs>
                <w:tab w:val="left" w:pos="426"/>
                <w:tab w:val="left" w:pos="5245"/>
                <w:tab w:val="left" w:pos="5387"/>
              </w:tabs>
              <w:adjustRightInd w:val="0"/>
              <w:snapToGrid w:val="0"/>
              <w:spacing w:line="300" w:lineRule="auto"/>
              <w:rPr>
                <w:sz w:val="18"/>
                <w:szCs w:val="18"/>
              </w:rPr>
            </w:pPr>
            <w:r>
              <w:rPr>
                <w:sz w:val="18"/>
                <w:szCs w:val="18"/>
              </w:rPr>
              <w:t>（4）掌握用英语描述逻辑门元件和逻辑操作。</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识记数字电子技术常用的英语短语，完成课文阅读理解习题，翻译句子和短语。</w:t>
            </w:r>
          </w:p>
          <w:p>
            <w:pPr>
              <w:adjustRightInd w:val="0"/>
              <w:snapToGrid w:val="0"/>
              <w:spacing w:line="300" w:lineRule="auto"/>
              <w:rPr>
                <w:sz w:val="18"/>
                <w:szCs w:val="18"/>
              </w:rPr>
            </w:pPr>
            <w:r>
              <w:rPr>
                <w:sz w:val="18"/>
                <w:szCs w:val="18"/>
              </w:rPr>
              <w:t>阅读课外阅读资料：</w:t>
            </w:r>
          </w:p>
          <w:p>
            <w:pPr>
              <w:adjustRightInd w:val="0"/>
              <w:snapToGrid w:val="0"/>
              <w:spacing w:line="300" w:lineRule="auto"/>
              <w:rPr>
                <w:sz w:val="18"/>
                <w:szCs w:val="18"/>
              </w:rPr>
            </w:pPr>
            <w:r>
              <w:fldChar w:fldCharType="begin"/>
            </w:r>
            <w:r>
              <w:instrText xml:space="preserve"> HYPERLINK "http://open.163.com/special/opencourse/circuits.html" </w:instrText>
            </w:r>
            <w:r>
              <w:fldChar w:fldCharType="separate"/>
            </w:r>
            <w:r>
              <w:rPr>
                <w:sz w:val="18"/>
                <w:szCs w:val="18"/>
                <w:u w:val="single"/>
              </w:rPr>
              <w:t>http://open.163.com/special/opencourse/circuits.html</w:t>
            </w:r>
            <w:r>
              <w:rPr>
                <w:sz w:val="18"/>
                <w:szCs w:val="18"/>
                <w:u w:val="single"/>
              </w:rPr>
              <w:fldChar w:fldCharType="end"/>
            </w:r>
            <w:r>
              <w:rPr>
                <w:sz w:val="18"/>
                <w:szCs w:val="18"/>
              </w:rPr>
              <w:t>（麻省理工公开课电路和电子学：数字门构造）。</w:t>
            </w:r>
          </w:p>
          <w:p>
            <w:pPr>
              <w:widowControl/>
              <w:tabs>
                <w:tab w:val="left" w:pos="426"/>
                <w:tab w:val="left" w:pos="5245"/>
                <w:tab w:val="left" w:pos="5387"/>
              </w:tabs>
              <w:adjustRightInd w:val="0"/>
              <w:snapToGrid w:val="0"/>
              <w:spacing w:line="300" w:lineRule="auto"/>
              <w:rPr>
                <w:sz w:val="18"/>
                <w:szCs w:val="18"/>
              </w:rPr>
            </w:pPr>
            <w:r>
              <w:rPr>
                <w:sz w:val="18"/>
                <w:szCs w:val="18"/>
              </w:rPr>
              <w:t>3.教学方法</w:t>
            </w:r>
          </w:p>
          <w:p>
            <w:pPr>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2207" w:type="dxa"/>
            <w:vAlign w:val="center"/>
          </w:tcPr>
          <w:p>
            <w:pPr>
              <w:adjustRightInd w:val="0"/>
              <w:snapToGrid w:val="0"/>
              <w:spacing w:line="300" w:lineRule="auto"/>
              <w:rPr>
                <w:sz w:val="18"/>
                <w:szCs w:val="18"/>
              </w:rPr>
            </w:pPr>
            <w:r>
              <w:rPr>
                <w:sz w:val="18"/>
                <w:szCs w:val="18"/>
              </w:rPr>
              <w:t>6 integrated circuit</w:t>
            </w:r>
          </w:p>
          <w:p>
            <w:pPr>
              <w:widowControl/>
              <w:numPr>
                <w:ilvl w:val="1"/>
                <w:numId w:val="22"/>
              </w:numPr>
              <w:adjustRightInd w:val="0"/>
              <w:snapToGrid w:val="0"/>
              <w:spacing w:line="300" w:lineRule="auto"/>
              <w:ind w:right="-31" w:rightChars="-15"/>
              <w:jc w:val="left"/>
              <w:rPr>
                <w:sz w:val="18"/>
                <w:szCs w:val="18"/>
              </w:rPr>
            </w:pPr>
            <w:r>
              <w:rPr>
                <w:sz w:val="18"/>
                <w:szCs w:val="18"/>
              </w:rPr>
              <w:t>history of integrated circuit</w:t>
            </w:r>
          </w:p>
          <w:p>
            <w:pPr>
              <w:widowControl/>
              <w:numPr>
                <w:ilvl w:val="1"/>
                <w:numId w:val="22"/>
              </w:numPr>
              <w:adjustRightInd w:val="0"/>
              <w:snapToGrid w:val="0"/>
              <w:spacing w:line="300" w:lineRule="auto"/>
              <w:ind w:right="-31" w:rightChars="-15"/>
              <w:jc w:val="left"/>
              <w:rPr>
                <w:sz w:val="18"/>
                <w:szCs w:val="18"/>
              </w:rPr>
            </w:pPr>
            <w:r>
              <w:rPr>
                <w:sz w:val="18"/>
                <w:szCs w:val="18"/>
              </w:rPr>
              <w:t>the process of IC design</w:t>
            </w:r>
          </w:p>
          <w:p>
            <w:pPr>
              <w:widowControl/>
              <w:adjustRightInd w:val="0"/>
              <w:snapToGrid w:val="0"/>
              <w:spacing w:line="300" w:lineRule="auto"/>
              <w:ind w:right="-31" w:rightChars="-15"/>
              <w:jc w:val="left"/>
              <w:rPr>
                <w:sz w:val="18"/>
                <w:szCs w:val="18"/>
              </w:rPr>
            </w:pP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（1）了解集成电路历史；</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firstLine="2"/>
              <w:rPr>
                <w:sz w:val="18"/>
                <w:szCs w:val="18"/>
              </w:rPr>
            </w:pPr>
            <w:r>
              <w:rPr>
                <w:sz w:val="18"/>
                <w:szCs w:val="18"/>
              </w:rPr>
              <w:t>（3）掌握重点词汇和句型;</w:t>
            </w:r>
          </w:p>
          <w:p>
            <w:pPr>
              <w:adjustRightInd w:val="0"/>
              <w:snapToGrid w:val="0"/>
              <w:spacing w:line="300" w:lineRule="auto"/>
              <w:ind w:right="-31" w:rightChars="-15"/>
              <w:rPr>
                <w:sz w:val="18"/>
                <w:szCs w:val="18"/>
              </w:rPr>
            </w:pPr>
            <w:r>
              <w:rPr>
                <w:sz w:val="18"/>
                <w:szCs w:val="18"/>
              </w:rPr>
              <w:t>（4）掌握用英语描述集成电路发展和设计过程。</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 xml:space="preserve">  识记集成电路常用的英语短语，完成课文阅读理解习题，翻译句子和短语。</w:t>
            </w:r>
          </w:p>
          <w:p>
            <w:pPr>
              <w:adjustRightInd w:val="0"/>
              <w:snapToGrid w:val="0"/>
              <w:spacing w:line="300" w:lineRule="auto"/>
              <w:ind w:right="-31" w:rightChars="-15"/>
              <w:rPr>
                <w:sz w:val="18"/>
                <w:szCs w:val="18"/>
              </w:rPr>
            </w:pPr>
            <w:r>
              <w:rPr>
                <w:sz w:val="18"/>
                <w:szCs w:val="18"/>
              </w:rPr>
              <w:t>3.教学方法</w:t>
            </w:r>
          </w:p>
          <w:p>
            <w:pPr>
              <w:adjustRightInd w:val="0"/>
              <w:snapToGrid w:val="0"/>
              <w:spacing w:line="300" w:lineRule="auto"/>
              <w:ind w:right="-31" w:rightChars="-15"/>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7</w:t>
            </w:r>
          </w:p>
        </w:tc>
        <w:tc>
          <w:tcPr>
            <w:tcW w:w="2207" w:type="dxa"/>
            <w:vAlign w:val="center"/>
          </w:tcPr>
          <w:p>
            <w:pPr>
              <w:adjustRightInd w:val="0"/>
              <w:snapToGrid w:val="0"/>
              <w:spacing w:line="300" w:lineRule="auto"/>
              <w:rPr>
                <w:sz w:val="18"/>
                <w:szCs w:val="18"/>
              </w:rPr>
            </w:pPr>
            <w:r>
              <w:rPr>
                <w:sz w:val="18"/>
                <w:szCs w:val="18"/>
              </w:rPr>
              <w:t>7 digital signal processing</w:t>
            </w:r>
          </w:p>
          <w:p>
            <w:pPr>
              <w:widowControl/>
              <w:numPr>
                <w:ilvl w:val="1"/>
                <w:numId w:val="23"/>
              </w:numPr>
              <w:adjustRightInd w:val="0"/>
              <w:snapToGrid w:val="0"/>
              <w:spacing w:line="300" w:lineRule="auto"/>
              <w:ind w:right="-31" w:rightChars="-15"/>
              <w:jc w:val="left"/>
              <w:rPr>
                <w:sz w:val="18"/>
                <w:szCs w:val="18"/>
              </w:rPr>
            </w:pPr>
            <w:r>
              <w:rPr>
                <w:sz w:val="18"/>
                <w:szCs w:val="18"/>
              </w:rPr>
              <w:t>the content of DSP</w:t>
            </w:r>
          </w:p>
          <w:p>
            <w:pPr>
              <w:widowControl/>
              <w:numPr>
                <w:ilvl w:val="1"/>
                <w:numId w:val="23"/>
              </w:numPr>
              <w:adjustRightInd w:val="0"/>
              <w:snapToGrid w:val="0"/>
              <w:spacing w:line="300" w:lineRule="auto"/>
              <w:ind w:right="-31" w:rightChars="-15"/>
              <w:jc w:val="left"/>
              <w:rPr>
                <w:sz w:val="18"/>
                <w:szCs w:val="18"/>
              </w:rPr>
            </w:pPr>
            <w:r>
              <w:rPr>
                <w:sz w:val="18"/>
                <w:szCs w:val="18"/>
              </w:rPr>
              <w:t>development of DSP</w:t>
            </w:r>
          </w:p>
          <w:p>
            <w:pPr>
              <w:widowControl/>
              <w:numPr>
                <w:ilvl w:val="1"/>
                <w:numId w:val="23"/>
              </w:numPr>
              <w:adjustRightInd w:val="0"/>
              <w:snapToGrid w:val="0"/>
              <w:spacing w:line="300" w:lineRule="auto"/>
              <w:ind w:right="-31" w:rightChars="-15"/>
              <w:jc w:val="left"/>
              <w:rPr>
                <w:sz w:val="18"/>
                <w:szCs w:val="18"/>
              </w:rPr>
            </w:pPr>
            <w:r>
              <w:rPr>
                <w:sz w:val="18"/>
                <w:szCs w:val="18"/>
              </w:rPr>
              <w:t>DSPs</w:t>
            </w:r>
          </w:p>
        </w:tc>
        <w:tc>
          <w:tcPr>
            <w:tcW w:w="4413" w:type="dxa"/>
            <w:vAlign w:val="center"/>
          </w:tcPr>
          <w:p>
            <w:pPr>
              <w:adjustRightInd w:val="0"/>
              <w:snapToGrid w:val="0"/>
              <w:spacing w:line="300" w:lineRule="auto"/>
              <w:ind w:right="-31" w:rightChars="-15"/>
              <w:rPr>
                <w:sz w:val="18"/>
                <w:szCs w:val="18"/>
              </w:rPr>
            </w:pPr>
            <w:r>
              <w:rPr>
                <w:sz w:val="18"/>
                <w:szCs w:val="18"/>
              </w:rPr>
              <w:t>1. 要求</w:t>
            </w:r>
          </w:p>
          <w:p>
            <w:pPr>
              <w:adjustRightInd w:val="0"/>
              <w:snapToGrid w:val="0"/>
              <w:spacing w:line="300" w:lineRule="auto"/>
              <w:ind w:right="-31" w:rightChars="-15"/>
              <w:rPr>
                <w:sz w:val="18"/>
                <w:szCs w:val="18"/>
              </w:rPr>
            </w:pPr>
            <w:r>
              <w:rPr>
                <w:sz w:val="18"/>
                <w:szCs w:val="18"/>
              </w:rPr>
              <w:t>（1）了解DSP概念；</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firstLine="2"/>
              <w:rPr>
                <w:sz w:val="18"/>
                <w:szCs w:val="18"/>
              </w:rPr>
            </w:pPr>
            <w:r>
              <w:rPr>
                <w:sz w:val="18"/>
                <w:szCs w:val="18"/>
              </w:rPr>
              <w:t>（3）掌握重点词汇和句型;</w:t>
            </w:r>
          </w:p>
          <w:p>
            <w:pPr>
              <w:adjustRightInd w:val="0"/>
              <w:snapToGrid w:val="0"/>
              <w:spacing w:line="300" w:lineRule="auto"/>
              <w:ind w:right="-31" w:rightChars="-15" w:firstLine="2"/>
              <w:rPr>
                <w:sz w:val="18"/>
                <w:szCs w:val="18"/>
              </w:rPr>
            </w:pPr>
            <w:r>
              <w:rPr>
                <w:sz w:val="18"/>
                <w:szCs w:val="18"/>
              </w:rPr>
              <w:t>（4）掌握用英语描述数字信号处理基本方法、发展以及数字信号处理器。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 xml:space="preserve"> 实习数字信号处理常用的英语短语，完成课文阅读理解习题，翻译句子和短语。</w:t>
            </w:r>
          </w:p>
          <w:p>
            <w:pPr>
              <w:adjustRightInd w:val="0"/>
              <w:snapToGrid w:val="0"/>
              <w:spacing w:line="300" w:lineRule="auto"/>
              <w:ind w:right="-31" w:rightChars="-15" w:firstLine="2"/>
              <w:rPr>
                <w:sz w:val="18"/>
                <w:szCs w:val="18"/>
              </w:rPr>
            </w:pPr>
            <w:r>
              <w:rPr>
                <w:sz w:val="18"/>
                <w:szCs w:val="18"/>
              </w:rPr>
              <w:t>3.教学方法</w:t>
            </w:r>
          </w:p>
          <w:p>
            <w:pPr>
              <w:adjustRightInd w:val="0"/>
              <w:snapToGrid w:val="0"/>
              <w:spacing w:line="300" w:lineRule="auto"/>
              <w:ind w:right="-31" w:rightChars="-15" w:firstLine="2"/>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8</w:t>
            </w:r>
          </w:p>
        </w:tc>
        <w:tc>
          <w:tcPr>
            <w:tcW w:w="2207" w:type="dxa"/>
            <w:vAlign w:val="center"/>
          </w:tcPr>
          <w:p>
            <w:pPr>
              <w:adjustRightInd w:val="0"/>
              <w:snapToGrid w:val="0"/>
              <w:spacing w:line="300" w:lineRule="auto"/>
              <w:rPr>
                <w:sz w:val="18"/>
                <w:szCs w:val="18"/>
              </w:rPr>
            </w:pPr>
            <w:r>
              <w:rPr>
                <w:sz w:val="18"/>
                <w:szCs w:val="18"/>
              </w:rPr>
              <w:t>8 Microprocessor</w:t>
            </w:r>
          </w:p>
          <w:p>
            <w:pPr>
              <w:widowControl/>
              <w:numPr>
                <w:ilvl w:val="1"/>
                <w:numId w:val="24"/>
              </w:numPr>
              <w:adjustRightInd w:val="0"/>
              <w:snapToGrid w:val="0"/>
              <w:spacing w:line="300" w:lineRule="auto"/>
              <w:ind w:right="-31" w:rightChars="-15"/>
              <w:jc w:val="left"/>
              <w:rPr>
                <w:sz w:val="18"/>
                <w:szCs w:val="18"/>
              </w:rPr>
            </w:pPr>
            <w:r>
              <w:rPr>
                <w:sz w:val="18"/>
                <w:szCs w:val="18"/>
              </w:rPr>
              <w:t>development of microprocessor</w:t>
            </w:r>
          </w:p>
          <w:p>
            <w:pPr>
              <w:widowControl/>
              <w:numPr>
                <w:ilvl w:val="1"/>
                <w:numId w:val="24"/>
              </w:numPr>
              <w:adjustRightInd w:val="0"/>
              <w:snapToGrid w:val="0"/>
              <w:spacing w:line="300" w:lineRule="auto"/>
              <w:ind w:right="-31" w:rightChars="-15"/>
              <w:jc w:val="left"/>
              <w:rPr>
                <w:sz w:val="18"/>
                <w:szCs w:val="18"/>
              </w:rPr>
            </w:pPr>
            <w:r>
              <w:rPr>
                <w:sz w:val="18"/>
                <w:szCs w:val="18"/>
              </w:rPr>
              <w:t>structure of 8051</w:t>
            </w:r>
          </w:p>
          <w:p>
            <w:pPr>
              <w:widowControl/>
              <w:numPr>
                <w:ilvl w:val="1"/>
                <w:numId w:val="24"/>
              </w:numPr>
              <w:adjustRightInd w:val="0"/>
              <w:snapToGrid w:val="0"/>
              <w:spacing w:line="300" w:lineRule="auto"/>
              <w:ind w:right="-31" w:rightChars="-15"/>
              <w:jc w:val="left"/>
              <w:rPr>
                <w:sz w:val="18"/>
                <w:szCs w:val="18"/>
              </w:rPr>
            </w:pPr>
            <w:r>
              <w:rPr>
                <w:sz w:val="18"/>
                <w:szCs w:val="18"/>
              </w:rPr>
              <w:t>assembly language</w:t>
            </w:r>
          </w:p>
          <w:p>
            <w:pPr>
              <w:widowControl/>
              <w:adjustRightInd w:val="0"/>
              <w:snapToGrid w:val="0"/>
              <w:spacing w:line="300" w:lineRule="auto"/>
              <w:ind w:right="-31" w:rightChars="-15"/>
              <w:jc w:val="left"/>
              <w:rPr>
                <w:sz w:val="18"/>
                <w:szCs w:val="18"/>
              </w:rPr>
            </w:pP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（1）了解微处理器的发展；</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firstLine="2"/>
              <w:rPr>
                <w:sz w:val="18"/>
                <w:szCs w:val="18"/>
              </w:rPr>
            </w:pPr>
            <w:r>
              <w:rPr>
                <w:sz w:val="18"/>
                <w:szCs w:val="18"/>
              </w:rPr>
              <w:t>（3）掌握重点词汇和句型；</w:t>
            </w:r>
          </w:p>
          <w:p>
            <w:pPr>
              <w:adjustRightInd w:val="0"/>
              <w:snapToGrid w:val="0"/>
              <w:spacing w:line="300" w:lineRule="auto"/>
              <w:ind w:right="-31" w:rightChars="-15" w:firstLine="2"/>
              <w:rPr>
                <w:sz w:val="18"/>
                <w:szCs w:val="18"/>
              </w:rPr>
            </w:pPr>
            <w:r>
              <w:rPr>
                <w:sz w:val="18"/>
                <w:szCs w:val="18"/>
              </w:rPr>
              <w:t>（4）掌握用英语描述微处理器的发展、8051的基本结构以及汇编语言的基本命令。</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识记微处理器常用的英语短语，完成课文阅读理解习题，翻译句子和短语。</w:t>
            </w:r>
          </w:p>
          <w:p>
            <w:pPr>
              <w:adjustRightInd w:val="0"/>
              <w:snapToGrid w:val="0"/>
              <w:spacing w:line="300" w:lineRule="auto"/>
              <w:ind w:right="-31" w:rightChars="-15" w:firstLine="2"/>
              <w:rPr>
                <w:sz w:val="18"/>
                <w:szCs w:val="18"/>
              </w:rPr>
            </w:pPr>
            <w:r>
              <w:rPr>
                <w:sz w:val="18"/>
                <w:szCs w:val="18"/>
              </w:rPr>
              <w:t>3.教学方法</w:t>
            </w:r>
          </w:p>
          <w:p>
            <w:pPr>
              <w:adjustRightInd w:val="0"/>
              <w:snapToGrid w:val="0"/>
              <w:spacing w:line="300" w:lineRule="auto"/>
              <w:ind w:right="-31" w:rightChars="-15" w:firstLine="2"/>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9</w:t>
            </w:r>
          </w:p>
        </w:tc>
        <w:tc>
          <w:tcPr>
            <w:tcW w:w="2207" w:type="dxa"/>
            <w:vAlign w:val="center"/>
          </w:tcPr>
          <w:p>
            <w:pPr>
              <w:adjustRightInd w:val="0"/>
              <w:snapToGrid w:val="0"/>
              <w:spacing w:line="300" w:lineRule="auto"/>
              <w:rPr>
                <w:sz w:val="18"/>
                <w:szCs w:val="18"/>
              </w:rPr>
            </w:pPr>
            <w:r>
              <w:rPr>
                <w:sz w:val="18"/>
                <w:szCs w:val="18"/>
              </w:rPr>
              <w:t>9 Television</w:t>
            </w:r>
          </w:p>
          <w:p>
            <w:pPr>
              <w:widowControl/>
              <w:numPr>
                <w:ilvl w:val="1"/>
                <w:numId w:val="25"/>
              </w:numPr>
              <w:adjustRightInd w:val="0"/>
              <w:snapToGrid w:val="0"/>
              <w:spacing w:line="300" w:lineRule="auto"/>
              <w:ind w:right="-31" w:rightChars="-15"/>
              <w:jc w:val="left"/>
              <w:rPr>
                <w:sz w:val="18"/>
                <w:szCs w:val="18"/>
              </w:rPr>
            </w:pPr>
            <w:r>
              <w:rPr>
                <w:sz w:val="18"/>
                <w:szCs w:val="18"/>
              </w:rPr>
              <w:t>CRT</w:t>
            </w:r>
          </w:p>
          <w:p>
            <w:pPr>
              <w:widowControl/>
              <w:adjustRightInd w:val="0"/>
              <w:snapToGrid w:val="0"/>
              <w:spacing w:line="300" w:lineRule="auto"/>
              <w:ind w:right="-31" w:rightChars="-15"/>
              <w:jc w:val="left"/>
              <w:rPr>
                <w:sz w:val="18"/>
                <w:szCs w:val="18"/>
              </w:rPr>
            </w:pPr>
            <w:r>
              <w:rPr>
                <w:sz w:val="18"/>
                <w:szCs w:val="18"/>
              </w:rPr>
              <w:t>9.2 LCD</w:t>
            </w: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（1）了解电视机的结构；</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rPr>
                <w:sz w:val="18"/>
                <w:szCs w:val="18"/>
              </w:rPr>
            </w:pPr>
            <w:r>
              <w:rPr>
                <w:sz w:val="18"/>
                <w:szCs w:val="18"/>
              </w:rPr>
              <w:t>（3）掌握重点词汇和句型;</w:t>
            </w:r>
          </w:p>
          <w:p>
            <w:pPr>
              <w:adjustRightInd w:val="0"/>
              <w:snapToGrid w:val="0"/>
              <w:spacing w:line="300" w:lineRule="auto"/>
              <w:ind w:right="-31" w:rightChars="-15"/>
              <w:rPr>
                <w:sz w:val="18"/>
                <w:szCs w:val="18"/>
              </w:rPr>
            </w:pPr>
            <w:r>
              <w:rPr>
                <w:sz w:val="18"/>
                <w:szCs w:val="18"/>
              </w:rPr>
              <w:t>（4）用英语描述CRT和LCD的结果和特点。</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识记电视机常用的英语短语，完成课文阅读理解习题，翻译句子和短语。</w:t>
            </w:r>
          </w:p>
          <w:p>
            <w:pPr>
              <w:adjustRightInd w:val="0"/>
              <w:snapToGrid w:val="0"/>
              <w:spacing w:line="300" w:lineRule="auto"/>
              <w:ind w:right="-31" w:rightChars="-15"/>
              <w:rPr>
                <w:sz w:val="18"/>
                <w:szCs w:val="18"/>
              </w:rPr>
            </w:pPr>
            <w:r>
              <w:rPr>
                <w:sz w:val="18"/>
                <w:szCs w:val="18"/>
              </w:rPr>
              <w:t>3.教学方法</w:t>
            </w:r>
          </w:p>
          <w:p>
            <w:pPr>
              <w:adjustRightInd w:val="0"/>
              <w:snapToGrid w:val="0"/>
              <w:spacing w:line="300" w:lineRule="auto"/>
              <w:ind w:right="-31" w:rightChars="-15"/>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10</w:t>
            </w:r>
          </w:p>
        </w:tc>
        <w:tc>
          <w:tcPr>
            <w:tcW w:w="2207" w:type="dxa"/>
            <w:vAlign w:val="center"/>
          </w:tcPr>
          <w:p>
            <w:pPr>
              <w:adjustRightInd w:val="0"/>
              <w:snapToGrid w:val="0"/>
              <w:spacing w:line="300" w:lineRule="auto"/>
              <w:rPr>
                <w:sz w:val="18"/>
                <w:szCs w:val="18"/>
              </w:rPr>
            </w:pPr>
            <w:r>
              <w:rPr>
                <w:sz w:val="18"/>
                <w:szCs w:val="18"/>
              </w:rPr>
              <w:t>10 Microwave oven</w:t>
            </w:r>
          </w:p>
          <w:p>
            <w:pPr>
              <w:widowControl/>
              <w:numPr>
                <w:ilvl w:val="1"/>
                <w:numId w:val="26"/>
              </w:numPr>
              <w:adjustRightInd w:val="0"/>
              <w:snapToGrid w:val="0"/>
              <w:spacing w:line="300" w:lineRule="auto"/>
              <w:ind w:right="-31" w:rightChars="-15"/>
              <w:jc w:val="left"/>
              <w:rPr>
                <w:sz w:val="18"/>
                <w:szCs w:val="18"/>
              </w:rPr>
            </w:pPr>
            <w:r>
              <w:rPr>
                <w:sz w:val="18"/>
                <w:szCs w:val="18"/>
              </w:rPr>
              <w:t>history of microwave oven</w:t>
            </w:r>
          </w:p>
          <w:p>
            <w:pPr>
              <w:widowControl/>
              <w:numPr>
                <w:ilvl w:val="1"/>
                <w:numId w:val="26"/>
              </w:numPr>
              <w:adjustRightInd w:val="0"/>
              <w:snapToGrid w:val="0"/>
              <w:spacing w:line="300" w:lineRule="auto"/>
              <w:ind w:right="-31" w:rightChars="-15"/>
              <w:jc w:val="left"/>
              <w:rPr>
                <w:sz w:val="18"/>
                <w:szCs w:val="18"/>
              </w:rPr>
            </w:pPr>
            <w:r>
              <w:rPr>
                <w:sz w:val="18"/>
                <w:szCs w:val="18"/>
              </w:rPr>
              <w:t>working theory of microwave oven</w:t>
            </w:r>
          </w:p>
          <w:p>
            <w:pPr>
              <w:widowControl/>
              <w:numPr>
                <w:ilvl w:val="1"/>
                <w:numId w:val="26"/>
              </w:numPr>
              <w:adjustRightInd w:val="0"/>
              <w:snapToGrid w:val="0"/>
              <w:spacing w:line="300" w:lineRule="auto"/>
              <w:ind w:right="-31" w:rightChars="-15"/>
              <w:jc w:val="left"/>
              <w:rPr>
                <w:sz w:val="18"/>
                <w:szCs w:val="18"/>
              </w:rPr>
            </w:pPr>
            <w:r>
              <w:rPr>
                <w:sz w:val="18"/>
                <w:szCs w:val="18"/>
              </w:rPr>
              <w:t>Sentence analysis</w:t>
            </w:r>
          </w:p>
          <w:p>
            <w:pPr>
              <w:widowControl/>
              <w:numPr>
                <w:ilvl w:val="1"/>
                <w:numId w:val="26"/>
              </w:numPr>
              <w:adjustRightInd w:val="0"/>
              <w:snapToGrid w:val="0"/>
              <w:spacing w:line="300" w:lineRule="auto"/>
              <w:ind w:right="-31" w:rightChars="-15"/>
              <w:jc w:val="left"/>
              <w:rPr>
                <w:sz w:val="18"/>
                <w:szCs w:val="18"/>
              </w:rPr>
            </w:pPr>
            <w:r>
              <w:rPr>
                <w:sz w:val="18"/>
                <w:szCs w:val="18"/>
              </w:rPr>
              <w:t>vocabulary</w:t>
            </w: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（1）了解微波炉的工作原理和历史；</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firstLine="2"/>
              <w:rPr>
                <w:sz w:val="18"/>
                <w:szCs w:val="18"/>
              </w:rPr>
            </w:pPr>
            <w:r>
              <w:rPr>
                <w:sz w:val="18"/>
                <w:szCs w:val="18"/>
              </w:rPr>
              <w:t>（3）掌握重点词汇和句型，用英语描述微波炉的历史和工作原理。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识记微波炉常用的英语短语，完成课文阅读理解习题，翻译句子和短语。</w:t>
            </w:r>
          </w:p>
          <w:p>
            <w:pPr>
              <w:adjustRightInd w:val="0"/>
              <w:snapToGrid w:val="0"/>
              <w:spacing w:line="300" w:lineRule="auto"/>
              <w:ind w:right="-31" w:rightChars="-15" w:firstLine="2"/>
              <w:rPr>
                <w:sz w:val="18"/>
                <w:szCs w:val="18"/>
              </w:rPr>
            </w:pPr>
            <w:r>
              <w:rPr>
                <w:sz w:val="18"/>
                <w:szCs w:val="18"/>
              </w:rPr>
              <w:t>3.教学方法</w:t>
            </w:r>
          </w:p>
          <w:p>
            <w:pPr>
              <w:adjustRightInd w:val="0"/>
              <w:snapToGrid w:val="0"/>
              <w:spacing w:line="300" w:lineRule="auto"/>
              <w:ind w:right="-31" w:rightChars="-15" w:firstLine="2"/>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11</w:t>
            </w:r>
          </w:p>
        </w:tc>
        <w:tc>
          <w:tcPr>
            <w:tcW w:w="2207" w:type="dxa"/>
            <w:vAlign w:val="center"/>
          </w:tcPr>
          <w:p>
            <w:pPr>
              <w:adjustRightInd w:val="0"/>
              <w:snapToGrid w:val="0"/>
              <w:spacing w:line="300" w:lineRule="auto"/>
              <w:rPr>
                <w:sz w:val="18"/>
                <w:szCs w:val="18"/>
              </w:rPr>
            </w:pPr>
            <w:r>
              <w:rPr>
                <w:sz w:val="18"/>
                <w:szCs w:val="18"/>
              </w:rPr>
              <w:t>11 MATLAB</w:t>
            </w:r>
          </w:p>
          <w:p>
            <w:pPr>
              <w:widowControl/>
              <w:numPr>
                <w:ilvl w:val="1"/>
                <w:numId w:val="27"/>
              </w:numPr>
              <w:adjustRightInd w:val="0"/>
              <w:snapToGrid w:val="0"/>
              <w:spacing w:line="300" w:lineRule="auto"/>
              <w:ind w:right="-31" w:rightChars="-15"/>
              <w:jc w:val="left"/>
              <w:rPr>
                <w:sz w:val="18"/>
                <w:szCs w:val="18"/>
              </w:rPr>
            </w:pPr>
            <w:r>
              <w:rPr>
                <w:sz w:val="18"/>
                <w:szCs w:val="18"/>
              </w:rPr>
              <w:t>introduction of MATLAB</w:t>
            </w:r>
          </w:p>
          <w:p>
            <w:pPr>
              <w:widowControl/>
              <w:numPr>
                <w:ilvl w:val="1"/>
                <w:numId w:val="27"/>
              </w:numPr>
              <w:adjustRightInd w:val="0"/>
              <w:snapToGrid w:val="0"/>
              <w:spacing w:line="300" w:lineRule="auto"/>
              <w:ind w:right="-31" w:rightChars="-15"/>
              <w:jc w:val="left"/>
              <w:rPr>
                <w:sz w:val="18"/>
                <w:szCs w:val="18"/>
              </w:rPr>
            </w:pPr>
            <w:r>
              <w:rPr>
                <w:sz w:val="18"/>
                <w:szCs w:val="18"/>
              </w:rPr>
              <w:t>Sentence analysis</w:t>
            </w:r>
          </w:p>
          <w:p>
            <w:pPr>
              <w:widowControl/>
              <w:adjustRightInd w:val="0"/>
              <w:snapToGrid w:val="0"/>
              <w:spacing w:line="300" w:lineRule="auto"/>
              <w:ind w:right="-31" w:rightChars="-15"/>
              <w:jc w:val="left"/>
              <w:rPr>
                <w:sz w:val="18"/>
                <w:szCs w:val="18"/>
              </w:rPr>
            </w:pPr>
            <w:r>
              <w:rPr>
                <w:sz w:val="18"/>
                <w:szCs w:val="18"/>
              </w:rPr>
              <w:t>11.3 vocabulary</w:t>
            </w:r>
          </w:p>
          <w:p>
            <w:pPr>
              <w:adjustRightInd w:val="0"/>
              <w:snapToGrid w:val="0"/>
              <w:spacing w:line="300" w:lineRule="auto"/>
              <w:rPr>
                <w:sz w:val="18"/>
                <w:szCs w:val="18"/>
              </w:rPr>
            </w:pPr>
          </w:p>
        </w:tc>
        <w:tc>
          <w:tcPr>
            <w:tcW w:w="4413" w:type="dxa"/>
            <w:vAlign w:val="center"/>
          </w:tcPr>
          <w:p>
            <w:pPr>
              <w:adjustRightInd w:val="0"/>
              <w:snapToGrid w:val="0"/>
              <w:spacing w:line="300" w:lineRule="auto"/>
              <w:ind w:right="-31" w:rightChars="-15" w:firstLine="2"/>
              <w:rPr>
                <w:sz w:val="18"/>
                <w:szCs w:val="18"/>
              </w:rPr>
            </w:pPr>
            <w:r>
              <w:rPr>
                <w:sz w:val="18"/>
                <w:szCs w:val="18"/>
              </w:rPr>
              <w:t>1. 要求</w:t>
            </w:r>
          </w:p>
          <w:p>
            <w:pPr>
              <w:adjustRightInd w:val="0"/>
              <w:snapToGrid w:val="0"/>
              <w:spacing w:line="300" w:lineRule="auto"/>
              <w:ind w:right="-31" w:rightChars="-15" w:firstLine="2"/>
              <w:rPr>
                <w:sz w:val="18"/>
                <w:szCs w:val="18"/>
              </w:rPr>
            </w:pPr>
            <w:r>
              <w:rPr>
                <w:sz w:val="18"/>
                <w:szCs w:val="18"/>
              </w:rPr>
              <w:t>（1）了解MATLAB基本知识；</w:t>
            </w:r>
          </w:p>
          <w:p>
            <w:pPr>
              <w:adjustRightInd w:val="0"/>
              <w:snapToGrid w:val="0"/>
              <w:spacing w:line="300" w:lineRule="auto"/>
              <w:ind w:right="-31" w:rightChars="-15" w:firstLine="2"/>
              <w:rPr>
                <w:sz w:val="18"/>
                <w:szCs w:val="18"/>
              </w:rPr>
            </w:pPr>
            <w:r>
              <w:rPr>
                <w:sz w:val="18"/>
                <w:szCs w:val="18"/>
              </w:rPr>
              <w:t>（2）理解课文；</w:t>
            </w:r>
          </w:p>
          <w:p>
            <w:pPr>
              <w:adjustRightInd w:val="0"/>
              <w:snapToGrid w:val="0"/>
              <w:spacing w:line="300" w:lineRule="auto"/>
              <w:ind w:right="-31" w:rightChars="-15" w:firstLine="2"/>
              <w:rPr>
                <w:sz w:val="18"/>
                <w:szCs w:val="18"/>
              </w:rPr>
            </w:pPr>
            <w:r>
              <w:rPr>
                <w:sz w:val="18"/>
                <w:szCs w:val="18"/>
              </w:rPr>
              <w:t>（3）掌握重点词汇和句型，用英语简介MATLAB。</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识记MATLAB常用的英语短语，完成课文阅读理解习题，翻译句子和短语。</w:t>
            </w:r>
          </w:p>
          <w:p>
            <w:pPr>
              <w:adjustRightInd w:val="0"/>
              <w:snapToGrid w:val="0"/>
              <w:spacing w:line="300" w:lineRule="auto"/>
              <w:rPr>
                <w:sz w:val="18"/>
                <w:szCs w:val="18"/>
              </w:rPr>
            </w:pPr>
            <w:r>
              <w:rPr>
                <w:sz w:val="18"/>
                <w:szCs w:val="18"/>
              </w:rPr>
              <w:t>阅读课外阅读材料：</w:t>
            </w:r>
          </w:p>
          <w:p>
            <w:pPr>
              <w:adjustRightInd w:val="0"/>
              <w:snapToGrid w:val="0"/>
              <w:spacing w:line="300" w:lineRule="auto"/>
              <w:ind w:left="360"/>
              <w:rPr>
                <w:sz w:val="18"/>
                <w:szCs w:val="18"/>
              </w:rPr>
            </w:pPr>
            <w:r>
              <w:rPr>
                <w:sz w:val="18"/>
                <w:szCs w:val="18"/>
              </w:rPr>
              <w:t>www.matlab.com</w:t>
            </w:r>
          </w:p>
          <w:p>
            <w:pPr>
              <w:adjustRightInd w:val="0"/>
              <w:snapToGrid w:val="0"/>
              <w:spacing w:line="300" w:lineRule="auto"/>
              <w:ind w:right="-31" w:rightChars="-15" w:firstLine="2"/>
              <w:rPr>
                <w:sz w:val="18"/>
                <w:szCs w:val="18"/>
              </w:rPr>
            </w:pPr>
            <w:r>
              <w:rPr>
                <w:sz w:val="18"/>
                <w:szCs w:val="18"/>
              </w:rPr>
              <w:t>3.教学方法</w:t>
            </w:r>
          </w:p>
          <w:p>
            <w:pPr>
              <w:adjustRightInd w:val="0"/>
              <w:snapToGrid w:val="0"/>
              <w:spacing w:line="300" w:lineRule="auto"/>
              <w:rPr>
                <w:sz w:val="18"/>
                <w:szCs w:val="18"/>
              </w:rPr>
            </w:pPr>
            <w:r>
              <w:rPr>
                <w:sz w:val="18"/>
                <w:szCs w:val="18"/>
              </w:rPr>
              <w:t>讲授式、讨论式相结合。</w:t>
            </w:r>
          </w:p>
        </w:tc>
        <w:tc>
          <w:tcPr>
            <w:tcW w:w="615" w:type="dxa"/>
            <w:vAlign w:val="center"/>
          </w:tcPr>
          <w:p>
            <w:pPr>
              <w:widowControl/>
              <w:adjustRightInd w:val="0"/>
              <w:snapToGrid w:val="0"/>
              <w:spacing w:line="300" w:lineRule="auto"/>
              <w:jc w:val="center"/>
              <w:rPr>
                <w:kern w:val="0"/>
                <w:sz w:val="18"/>
                <w:szCs w:val="18"/>
              </w:rPr>
            </w:pPr>
            <w:r>
              <w:rPr>
                <w:kern w:val="0"/>
                <w:sz w:val="18"/>
                <w:szCs w:val="18"/>
              </w:rPr>
              <w:t>2</w:t>
            </w:r>
          </w:p>
        </w:tc>
        <w:tc>
          <w:tcPr>
            <w:tcW w:w="988" w:type="dxa"/>
            <w:vAlign w:val="center"/>
          </w:tcPr>
          <w:p>
            <w:pPr>
              <w:widowControl/>
              <w:adjustRightInd w:val="0"/>
              <w:snapToGrid w:val="0"/>
              <w:spacing w:line="300" w:lineRule="auto"/>
              <w:jc w:val="left"/>
              <w:rPr>
                <w:kern w:val="0"/>
                <w:sz w:val="18"/>
                <w:szCs w:val="18"/>
              </w:rPr>
            </w:pPr>
            <w:r>
              <w:rPr>
                <w:kern w:val="0"/>
                <w:sz w:val="18"/>
                <w:szCs w:val="18"/>
              </w:rPr>
              <w:t>1，</w:t>
            </w:r>
            <w:r>
              <w:rPr>
                <w:rFonts w:hint="eastAsia"/>
                <w:kern w:val="0"/>
                <w:sz w:val="18"/>
                <w:szCs w:val="18"/>
              </w:rPr>
              <w:t>2</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 考核方式：闭卷笔试、平时作业、课堂表现</w:t>
      </w:r>
    </w:p>
    <w:p>
      <w:pPr>
        <w:adjustRightInd w:val="0"/>
        <w:snapToGrid w:val="0"/>
        <w:spacing w:line="300" w:lineRule="auto"/>
        <w:ind w:firstLine="420" w:firstLineChars="200"/>
      </w:pPr>
      <w:r>
        <w:t>2. 成绩构成：30%平时成绩+70%考试成绩。</w:t>
      </w:r>
    </w:p>
    <w:p>
      <w:pPr>
        <w:adjustRightInd w:val="0"/>
        <w:snapToGrid w:val="0"/>
        <w:spacing w:line="300" w:lineRule="auto"/>
        <w:ind w:firstLine="420" w:firstLineChars="200"/>
      </w:pPr>
      <w:r>
        <w:t>3. 考核评价标准见表4所示。</w:t>
      </w:r>
    </w:p>
    <w:p>
      <w:pPr>
        <w:adjustRightInd w:val="0"/>
        <w:snapToGrid w:val="0"/>
        <w:spacing w:before="156" w:beforeLines="50" w:line="300" w:lineRule="auto"/>
        <w:ind w:firstLine="361" w:firstLineChars="200"/>
        <w:jc w:val="center"/>
        <w:rPr>
          <w:b/>
          <w:bCs/>
          <w:sz w:val="18"/>
          <w:szCs w:val="18"/>
        </w:rPr>
      </w:pPr>
      <w:r>
        <w:rPr>
          <w:b/>
          <w:bCs/>
          <w:sz w:val="18"/>
          <w:szCs w:val="18"/>
        </w:rPr>
        <w:t>表4教学目标评价标准</w:t>
      </w:r>
    </w:p>
    <w:tbl>
      <w:tblPr>
        <w:tblStyle w:val="22"/>
        <w:tblW w:w="973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0"/>
        <w:gridCol w:w="748"/>
        <w:gridCol w:w="729"/>
        <w:gridCol w:w="616"/>
        <w:gridCol w:w="4037"/>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751"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750" w:type="dxa"/>
            <w:vAlign w:val="center"/>
          </w:tcPr>
          <w:p>
            <w:pPr>
              <w:adjustRightInd w:val="0"/>
              <w:snapToGrid w:val="0"/>
              <w:spacing w:line="300" w:lineRule="auto"/>
              <w:jc w:val="center"/>
              <w:rPr>
                <w:b/>
                <w:bCs/>
                <w:sz w:val="18"/>
                <w:szCs w:val="18"/>
              </w:rPr>
            </w:pPr>
            <w:r>
              <w:rPr>
                <w:b/>
                <w:bCs/>
                <w:sz w:val="18"/>
                <w:szCs w:val="18"/>
              </w:rPr>
              <w:t>分值</w:t>
            </w:r>
          </w:p>
        </w:tc>
        <w:tc>
          <w:tcPr>
            <w:tcW w:w="748" w:type="dxa"/>
            <w:vAlign w:val="center"/>
          </w:tcPr>
          <w:p>
            <w:pPr>
              <w:adjustRightInd w:val="0"/>
              <w:snapToGrid w:val="0"/>
              <w:spacing w:line="300" w:lineRule="auto"/>
              <w:jc w:val="center"/>
              <w:rPr>
                <w:b/>
                <w:bCs/>
                <w:sz w:val="18"/>
                <w:szCs w:val="18"/>
              </w:rPr>
            </w:pPr>
            <w:r>
              <w:rPr>
                <w:b/>
                <w:bCs/>
                <w:sz w:val="18"/>
                <w:szCs w:val="18"/>
              </w:rPr>
              <w:t>权重</w:t>
            </w:r>
          </w:p>
        </w:tc>
        <w:tc>
          <w:tcPr>
            <w:tcW w:w="729" w:type="dxa"/>
            <w:vAlign w:val="center"/>
          </w:tcPr>
          <w:p>
            <w:pPr>
              <w:adjustRightInd w:val="0"/>
              <w:snapToGrid w:val="0"/>
              <w:spacing w:line="300" w:lineRule="auto"/>
              <w:jc w:val="center"/>
              <w:rPr>
                <w:b/>
                <w:bCs/>
                <w:sz w:val="18"/>
                <w:szCs w:val="18"/>
              </w:rPr>
            </w:pPr>
            <w:r>
              <w:rPr>
                <w:b/>
                <w:bCs/>
                <w:sz w:val="18"/>
                <w:szCs w:val="18"/>
              </w:rPr>
              <w:t>类别</w:t>
            </w:r>
          </w:p>
        </w:tc>
        <w:tc>
          <w:tcPr>
            <w:tcW w:w="616" w:type="dxa"/>
            <w:vAlign w:val="center"/>
          </w:tcPr>
          <w:p>
            <w:pPr>
              <w:adjustRightInd w:val="0"/>
              <w:snapToGrid w:val="0"/>
              <w:spacing w:line="300" w:lineRule="auto"/>
              <w:jc w:val="center"/>
              <w:rPr>
                <w:b/>
                <w:bCs/>
                <w:sz w:val="18"/>
                <w:szCs w:val="18"/>
              </w:rPr>
            </w:pPr>
            <w:r>
              <w:rPr>
                <w:b/>
                <w:bCs/>
                <w:sz w:val="18"/>
                <w:szCs w:val="18"/>
              </w:rPr>
              <w:t>权重</w:t>
            </w:r>
          </w:p>
        </w:tc>
        <w:tc>
          <w:tcPr>
            <w:tcW w:w="4037" w:type="dxa"/>
            <w:vAlign w:val="center"/>
          </w:tcPr>
          <w:p>
            <w:pPr>
              <w:adjustRightInd w:val="0"/>
              <w:snapToGrid w:val="0"/>
              <w:spacing w:line="300" w:lineRule="auto"/>
              <w:jc w:val="center"/>
              <w:rPr>
                <w:b/>
                <w:bCs/>
                <w:sz w:val="18"/>
                <w:szCs w:val="18"/>
              </w:rPr>
            </w:pPr>
            <w:r>
              <w:rPr>
                <w:b/>
                <w:bCs/>
                <w:sz w:val="18"/>
                <w:szCs w:val="18"/>
              </w:rPr>
              <w:t>考核/评价细则</w:t>
            </w:r>
          </w:p>
        </w:tc>
        <w:tc>
          <w:tcPr>
            <w:tcW w:w="1050" w:type="dxa"/>
            <w:vAlign w:val="center"/>
          </w:tcPr>
          <w:p>
            <w:pPr>
              <w:adjustRightInd w:val="0"/>
              <w:snapToGrid w:val="0"/>
              <w:spacing w:line="300" w:lineRule="auto"/>
              <w:jc w:val="center"/>
              <w:rPr>
                <w:b/>
                <w:bCs/>
                <w:sz w:val="18"/>
                <w:szCs w:val="18"/>
              </w:rPr>
            </w:pPr>
            <w:r>
              <w:rPr>
                <w:b/>
                <w:bCs/>
                <w:sz w:val="18"/>
                <w:szCs w:val="18"/>
              </w:rPr>
              <w:t>课程目标</w:t>
            </w:r>
          </w:p>
        </w:tc>
        <w:tc>
          <w:tcPr>
            <w:tcW w:w="1050" w:type="dxa"/>
            <w:vAlign w:val="center"/>
          </w:tcPr>
          <w:p>
            <w:pPr>
              <w:adjustRightInd w:val="0"/>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1" w:type="dxa"/>
            <w:vMerge w:val="restart"/>
            <w:vAlign w:val="center"/>
          </w:tcPr>
          <w:p>
            <w:pPr>
              <w:adjustRightInd w:val="0"/>
              <w:snapToGrid w:val="0"/>
              <w:spacing w:line="300" w:lineRule="auto"/>
              <w:jc w:val="left"/>
              <w:rPr>
                <w:sz w:val="18"/>
                <w:szCs w:val="18"/>
              </w:rPr>
            </w:pPr>
            <w:r>
              <w:rPr>
                <w:sz w:val="18"/>
                <w:szCs w:val="18"/>
              </w:rPr>
              <w:t>平时成绩</w:t>
            </w:r>
          </w:p>
        </w:tc>
        <w:tc>
          <w:tcPr>
            <w:tcW w:w="750" w:type="dxa"/>
            <w:vMerge w:val="restart"/>
            <w:vAlign w:val="center"/>
          </w:tcPr>
          <w:p>
            <w:pPr>
              <w:adjustRightInd w:val="0"/>
              <w:snapToGrid w:val="0"/>
              <w:spacing w:line="300" w:lineRule="auto"/>
              <w:jc w:val="center"/>
              <w:rPr>
                <w:sz w:val="18"/>
                <w:szCs w:val="18"/>
              </w:rPr>
            </w:pPr>
            <w:r>
              <w:rPr>
                <w:sz w:val="18"/>
                <w:szCs w:val="18"/>
              </w:rPr>
              <w:t>100</w:t>
            </w:r>
          </w:p>
        </w:tc>
        <w:tc>
          <w:tcPr>
            <w:tcW w:w="748" w:type="dxa"/>
            <w:vMerge w:val="restart"/>
            <w:vAlign w:val="center"/>
          </w:tcPr>
          <w:p>
            <w:pPr>
              <w:adjustRightInd w:val="0"/>
              <w:snapToGrid w:val="0"/>
              <w:spacing w:line="300" w:lineRule="auto"/>
              <w:jc w:val="center"/>
              <w:rPr>
                <w:sz w:val="18"/>
                <w:szCs w:val="18"/>
              </w:rPr>
            </w:pPr>
            <w:r>
              <w:rPr>
                <w:sz w:val="18"/>
                <w:szCs w:val="18"/>
              </w:rPr>
              <w:t>0.3</w:t>
            </w:r>
          </w:p>
        </w:tc>
        <w:tc>
          <w:tcPr>
            <w:tcW w:w="729" w:type="dxa"/>
            <w:vAlign w:val="center"/>
          </w:tcPr>
          <w:p>
            <w:pPr>
              <w:adjustRightInd w:val="0"/>
              <w:snapToGrid w:val="0"/>
              <w:spacing w:line="300" w:lineRule="auto"/>
              <w:jc w:val="center"/>
              <w:rPr>
                <w:sz w:val="18"/>
                <w:szCs w:val="18"/>
              </w:rPr>
            </w:pPr>
            <w:r>
              <w:rPr>
                <w:sz w:val="18"/>
                <w:szCs w:val="18"/>
              </w:rPr>
              <w:t>课堂表现</w:t>
            </w:r>
          </w:p>
        </w:tc>
        <w:tc>
          <w:tcPr>
            <w:tcW w:w="616" w:type="dxa"/>
            <w:vAlign w:val="center"/>
          </w:tcPr>
          <w:p>
            <w:pPr>
              <w:adjustRightInd w:val="0"/>
              <w:snapToGrid w:val="0"/>
              <w:spacing w:line="300" w:lineRule="auto"/>
              <w:jc w:val="center"/>
              <w:rPr>
                <w:sz w:val="18"/>
                <w:szCs w:val="18"/>
              </w:rPr>
            </w:pPr>
            <w:r>
              <w:rPr>
                <w:sz w:val="18"/>
                <w:szCs w:val="18"/>
              </w:rPr>
              <w:t>0.</w:t>
            </w:r>
            <w:r>
              <w:rPr>
                <w:rFonts w:hint="eastAsia"/>
                <w:sz w:val="18"/>
                <w:szCs w:val="18"/>
              </w:rPr>
              <w:t>15</w:t>
            </w:r>
          </w:p>
        </w:tc>
        <w:tc>
          <w:tcPr>
            <w:tcW w:w="4037" w:type="dxa"/>
            <w:vAlign w:val="center"/>
          </w:tcPr>
          <w:p>
            <w:pPr>
              <w:adjustRightInd w:val="0"/>
              <w:snapToGrid w:val="0"/>
              <w:spacing w:line="300" w:lineRule="auto"/>
              <w:rPr>
                <w:sz w:val="18"/>
                <w:szCs w:val="18"/>
              </w:rPr>
            </w:pPr>
            <w:r>
              <w:rPr>
                <w:sz w:val="18"/>
                <w:szCs w:val="18"/>
              </w:rPr>
              <w:t>根据学生在课堂上的口头参与（课堂讨论、回答或提出问题及其他英语交流沟通）情况等打分，满分100。</w:t>
            </w:r>
          </w:p>
        </w:tc>
        <w:tc>
          <w:tcPr>
            <w:tcW w:w="1050" w:type="dxa"/>
            <w:vAlign w:val="center"/>
          </w:tcPr>
          <w:p>
            <w:pPr>
              <w:adjustRightInd w:val="0"/>
              <w:snapToGrid w:val="0"/>
              <w:spacing w:line="300" w:lineRule="auto"/>
              <w:jc w:val="center"/>
              <w:rPr>
                <w:sz w:val="18"/>
                <w:szCs w:val="18"/>
              </w:rPr>
            </w:pPr>
            <w:r>
              <w:rPr>
                <w:sz w:val="18"/>
                <w:szCs w:val="18"/>
              </w:rPr>
              <w:t>1</w:t>
            </w:r>
            <w:r>
              <w:rPr>
                <w:rFonts w:hint="eastAsia"/>
                <w:sz w:val="18"/>
                <w:szCs w:val="18"/>
              </w:rPr>
              <w:t>，2</w:t>
            </w:r>
          </w:p>
        </w:tc>
        <w:tc>
          <w:tcPr>
            <w:tcW w:w="1050" w:type="dxa"/>
            <w:vAlign w:val="center"/>
          </w:tcPr>
          <w:p>
            <w:pPr>
              <w:adjustRightInd w:val="0"/>
              <w:snapToGrid w:val="0"/>
              <w:spacing w:line="300" w:lineRule="auto"/>
              <w:jc w:val="center"/>
              <w:rPr>
                <w:sz w:val="18"/>
                <w:szCs w:val="18"/>
              </w:rPr>
            </w:pPr>
            <w:r>
              <w:rPr>
                <w:rFonts w:hint="eastAsia" w:eastAsia="等线"/>
                <w:sz w:val="18"/>
                <w:szCs w:val="18"/>
              </w:rPr>
              <w:t>10.2， 1</w:t>
            </w:r>
            <w:r>
              <w:rPr>
                <w:rFonts w:eastAsia="等线"/>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751" w:type="dxa"/>
            <w:vMerge w:val="continue"/>
            <w:vAlign w:val="center"/>
          </w:tcPr>
          <w:p>
            <w:pPr>
              <w:adjustRightInd w:val="0"/>
              <w:snapToGrid w:val="0"/>
              <w:spacing w:line="300" w:lineRule="auto"/>
              <w:rPr>
                <w:sz w:val="18"/>
                <w:szCs w:val="18"/>
              </w:rPr>
            </w:pPr>
          </w:p>
        </w:tc>
        <w:tc>
          <w:tcPr>
            <w:tcW w:w="750" w:type="dxa"/>
            <w:vMerge w:val="continue"/>
            <w:vAlign w:val="center"/>
          </w:tcPr>
          <w:p>
            <w:pPr>
              <w:adjustRightInd w:val="0"/>
              <w:snapToGrid w:val="0"/>
              <w:spacing w:line="300" w:lineRule="auto"/>
              <w:jc w:val="center"/>
              <w:rPr>
                <w:sz w:val="18"/>
                <w:szCs w:val="18"/>
              </w:rPr>
            </w:pPr>
          </w:p>
        </w:tc>
        <w:tc>
          <w:tcPr>
            <w:tcW w:w="748" w:type="dxa"/>
            <w:vMerge w:val="continue"/>
            <w:vAlign w:val="center"/>
          </w:tcPr>
          <w:p>
            <w:pPr>
              <w:adjustRightInd w:val="0"/>
              <w:snapToGrid w:val="0"/>
              <w:spacing w:line="300" w:lineRule="auto"/>
              <w:jc w:val="center"/>
              <w:rPr>
                <w:sz w:val="18"/>
                <w:szCs w:val="18"/>
              </w:rPr>
            </w:pPr>
          </w:p>
        </w:tc>
        <w:tc>
          <w:tcPr>
            <w:tcW w:w="729" w:type="dxa"/>
            <w:vAlign w:val="center"/>
          </w:tcPr>
          <w:p>
            <w:pPr>
              <w:adjustRightInd w:val="0"/>
              <w:snapToGrid w:val="0"/>
              <w:spacing w:line="300" w:lineRule="auto"/>
              <w:jc w:val="center"/>
              <w:rPr>
                <w:sz w:val="18"/>
                <w:szCs w:val="18"/>
              </w:rPr>
            </w:pPr>
            <w:r>
              <w:rPr>
                <w:sz w:val="18"/>
                <w:szCs w:val="18"/>
              </w:rPr>
              <w:t>作业</w:t>
            </w:r>
          </w:p>
        </w:tc>
        <w:tc>
          <w:tcPr>
            <w:tcW w:w="616" w:type="dxa"/>
            <w:vAlign w:val="center"/>
          </w:tcPr>
          <w:p>
            <w:pPr>
              <w:adjustRightInd w:val="0"/>
              <w:snapToGrid w:val="0"/>
              <w:spacing w:line="300" w:lineRule="auto"/>
              <w:jc w:val="center"/>
              <w:rPr>
                <w:sz w:val="18"/>
                <w:szCs w:val="18"/>
              </w:rPr>
            </w:pPr>
            <w:r>
              <w:rPr>
                <w:sz w:val="18"/>
                <w:szCs w:val="18"/>
              </w:rPr>
              <w:t>0.</w:t>
            </w:r>
            <w:r>
              <w:rPr>
                <w:rFonts w:hint="eastAsia"/>
                <w:sz w:val="18"/>
                <w:szCs w:val="18"/>
              </w:rPr>
              <w:t>15</w:t>
            </w:r>
          </w:p>
        </w:tc>
        <w:tc>
          <w:tcPr>
            <w:tcW w:w="4037" w:type="dxa"/>
            <w:vAlign w:val="center"/>
          </w:tcPr>
          <w:p>
            <w:pPr>
              <w:adjustRightInd w:val="0"/>
              <w:snapToGrid w:val="0"/>
              <w:spacing w:line="300" w:lineRule="auto"/>
              <w:jc w:val="left"/>
              <w:rPr>
                <w:sz w:val="18"/>
                <w:szCs w:val="18"/>
              </w:rPr>
            </w:pPr>
            <w:r>
              <w:rPr>
                <w:sz w:val="18"/>
                <w:szCs w:val="18"/>
              </w:rPr>
              <w:t>主要考核学生</w:t>
            </w:r>
            <w:r>
              <w:rPr>
                <w:rFonts w:hint="eastAsia"/>
                <w:sz w:val="18"/>
                <w:szCs w:val="18"/>
              </w:rPr>
              <w:t>检索外文文献和自主学习能力</w:t>
            </w:r>
            <w:r>
              <w:rPr>
                <w:sz w:val="18"/>
                <w:szCs w:val="18"/>
              </w:rPr>
              <w:t>；每次作业按100分制单独评分，取各次成绩的平均值作为书面作业成绩。</w:t>
            </w:r>
          </w:p>
        </w:tc>
        <w:tc>
          <w:tcPr>
            <w:tcW w:w="1050" w:type="dxa"/>
            <w:vAlign w:val="center"/>
          </w:tcPr>
          <w:p>
            <w:pPr>
              <w:adjustRightInd w:val="0"/>
              <w:snapToGrid w:val="0"/>
              <w:spacing w:line="300" w:lineRule="auto"/>
              <w:jc w:val="center"/>
              <w:rPr>
                <w:sz w:val="18"/>
                <w:szCs w:val="18"/>
              </w:rPr>
            </w:pPr>
            <w:r>
              <w:rPr>
                <w:rFonts w:hint="eastAsia"/>
                <w:sz w:val="18"/>
                <w:szCs w:val="18"/>
              </w:rPr>
              <w:t>2</w:t>
            </w:r>
          </w:p>
        </w:tc>
        <w:tc>
          <w:tcPr>
            <w:tcW w:w="1050" w:type="dxa"/>
            <w:vAlign w:val="center"/>
          </w:tcPr>
          <w:p>
            <w:pPr>
              <w:adjustRightInd w:val="0"/>
              <w:snapToGrid w:val="0"/>
              <w:spacing w:line="300" w:lineRule="auto"/>
              <w:jc w:val="center"/>
              <w:rPr>
                <w:sz w:val="18"/>
                <w:szCs w:val="18"/>
              </w:rPr>
            </w:pPr>
            <w:r>
              <w:rPr>
                <w:rFonts w:hint="eastAsia"/>
                <w:sz w:val="18"/>
                <w:szCs w:val="18"/>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right"/>
        </w:trPr>
        <w:tc>
          <w:tcPr>
            <w:tcW w:w="751" w:type="dxa"/>
            <w:vAlign w:val="center"/>
          </w:tcPr>
          <w:p>
            <w:pPr>
              <w:adjustRightInd w:val="0"/>
              <w:snapToGrid w:val="0"/>
              <w:spacing w:line="300" w:lineRule="auto"/>
              <w:rPr>
                <w:sz w:val="18"/>
                <w:szCs w:val="18"/>
              </w:rPr>
            </w:pPr>
            <w:r>
              <w:rPr>
                <w:sz w:val="18"/>
                <w:szCs w:val="18"/>
              </w:rPr>
              <w:t>期末考试成绩</w:t>
            </w:r>
          </w:p>
        </w:tc>
        <w:tc>
          <w:tcPr>
            <w:tcW w:w="750" w:type="dxa"/>
            <w:vAlign w:val="center"/>
          </w:tcPr>
          <w:p>
            <w:pPr>
              <w:adjustRightInd w:val="0"/>
              <w:snapToGrid w:val="0"/>
              <w:spacing w:line="300" w:lineRule="auto"/>
              <w:jc w:val="center"/>
              <w:rPr>
                <w:sz w:val="18"/>
                <w:szCs w:val="18"/>
              </w:rPr>
            </w:pPr>
            <w:r>
              <w:rPr>
                <w:sz w:val="18"/>
                <w:szCs w:val="18"/>
              </w:rPr>
              <w:t>100</w:t>
            </w:r>
          </w:p>
        </w:tc>
        <w:tc>
          <w:tcPr>
            <w:tcW w:w="748" w:type="dxa"/>
            <w:vAlign w:val="center"/>
          </w:tcPr>
          <w:p>
            <w:pPr>
              <w:adjustRightInd w:val="0"/>
              <w:snapToGrid w:val="0"/>
              <w:spacing w:line="300" w:lineRule="auto"/>
              <w:jc w:val="center"/>
              <w:rPr>
                <w:sz w:val="18"/>
                <w:szCs w:val="18"/>
              </w:rPr>
            </w:pPr>
            <w:r>
              <w:rPr>
                <w:sz w:val="18"/>
                <w:szCs w:val="18"/>
              </w:rPr>
              <w:t>0.7</w:t>
            </w:r>
          </w:p>
        </w:tc>
        <w:tc>
          <w:tcPr>
            <w:tcW w:w="729" w:type="dxa"/>
            <w:vAlign w:val="center"/>
          </w:tcPr>
          <w:p>
            <w:pPr>
              <w:adjustRightInd w:val="0"/>
              <w:snapToGrid w:val="0"/>
              <w:spacing w:line="300" w:lineRule="auto"/>
              <w:jc w:val="left"/>
              <w:rPr>
                <w:sz w:val="18"/>
                <w:szCs w:val="18"/>
              </w:rPr>
            </w:pPr>
            <w:r>
              <w:rPr>
                <w:sz w:val="18"/>
                <w:szCs w:val="18"/>
              </w:rPr>
              <w:t>闭卷考试</w:t>
            </w:r>
          </w:p>
        </w:tc>
        <w:tc>
          <w:tcPr>
            <w:tcW w:w="616" w:type="dxa"/>
            <w:vAlign w:val="center"/>
          </w:tcPr>
          <w:p>
            <w:pPr>
              <w:adjustRightInd w:val="0"/>
              <w:snapToGrid w:val="0"/>
              <w:spacing w:line="300" w:lineRule="auto"/>
              <w:jc w:val="center"/>
              <w:rPr>
                <w:sz w:val="18"/>
                <w:szCs w:val="18"/>
              </w:rPr>
            </w:pPr>
            <w:r>
              <w:rPr>
                <w:rFonts w:hint="eastAsia"/>
                <w:sz w:val="18"/>
                <w:szCs w:val="18"/>
              </w:rPr>
              <w:t>0.7</w:t>
            </w:r>
          </w:p>
        </w:tc>
        <w:tc>
          <w:tcPr>
            <w:tcW w:w="4037" w:type="dxa"/>
            <w:vAlign w:val="center"/>
          </w:tcPr>
          <w:p>
            <w:pPr>
              <w:adjustRightInd w:val="0"/>
              <w:snapToGrid w:val="0"/>
              <w:spacing w:line="300" w:lineRule="auto"/>
              <w:rPr>
                <w:sz w:val="18"/>
                <w:szCs w:val="18"/>
              </w:rPr>
            </w:pPr>
            <w:r>
              <w:rPr>
                <w:sz w:val="18"/>
                <w:szCs w:val="18"/>
              </w:rPr>
              <w:t>卷面成绩100分。卷面成绩按比例计入课程总评成绩。</w:t>
            </w:r>
          </w:p>
        </w:tc>
        <w:tc>
          <w:tcPr>
            <w:tcW w:w="1050" w:type="dxa"/>
            <w:vAlign w:val="center"/>
          </w:tcPr>
          <w:p>
            <w:pPr>
              <w:adjustRightInd w:val="0"/>
              <w:snapToGrid w:val="0"/>
              <w:spacing w:line="300" w:lineRule="auto"/>
              <w:jc w:val="center"/>
              <w:rPr>
                <w:sz w:val="18"/>
                <w:szCs w:val="18"/>
              </w:rPr>
            </w:pPr>
            <w:r>
              <w:rPr>
                <w:sz w:val="18"/>
                <w:szCs w:val="18"/>
              </w:rPr>
              <w:t>1</w:t>
            </w:r>
            <w:r>
              <w:rPr>
                <w:rFonts w:hint="eastAsia"/>
                <w:sz w:val="18"/>
                <w:szCs w:val="18"/>
              </w:rPr>
              <w:t>，2</w:t>
            </w:r>
          </w:p>
        </w:tc>
        <w:tc>
          <w:tcPr>
            <w:tcW w:w="1050" w:type="dxa"/>
            <w:vAlign w:val="center"/>
          </w:tcPr>
          <w:p>
            <w:pPr>
              <w:adjustRightInd w:val="0"/>
              <w:snapToGrid w:val="0"/>
              <w:spacing w:line="300" w:lineRule="auto"/>
              <w:jc w:val="center"/>
              <w:rPr>
                <w:sz w:val="18"/>
                <w:szCs w:val="18"/>
              </w:rPr>
            </w:pPr>
            <w:r>
              <w:rPr>
                <w:rFonts w:hint="eastAsia" w:eastAsia="等线"/>
                <w:sz w:val="18"/>
                <w:szCs w:val="18"/>
              </w:rPr>
              <w:t>10.2， 1</w:t>
            </w:r>
            <w:r>
              <w:rPr>
                <w:rFonts w:eastAsia="等线"/>
                <w:sz w:val="18"/>
                <w:szCs w:val="18"/>
              </w:rPr>
              <w:t>2.2</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pict>
          <v:shape id="_x0000_i1056" o:spt="75" type="#_x0000_t75" style="height:34.5pt;width:349.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90&quot;/&gt;&lt;w:characterSpacingControl w:val=&quot;CompressPunctuation&quot;/&gt;&lt;w:documentProtection w:enforcement=&quot;off&quot;/&gt;&lt;w:doNotEmbedSystemFonts/&gt;&lt;w:defaultTabStop w:val=&quot;420&quot;/&gt;&lt;w:drawingGridVerticalSpacing w:val=&quot;159&quot;/&gt;&lt;w:displayHorizontalDrawingGridEvery w:val=&quot;1&quot;/&gt;&lt;w:displayVerticalDrawingGridEvery w:val=&quot;2&quot;/&gt;&lt;w:compat&gt;&lt;w:adjustLineHeightInTable/&gt;&lt;w:ulTrailSpace/&gt;&lt;w:doNotExpandShiftReturn/&gt;&lt;w:balanceSingleByteDoubleByteWidth/&gt;&lt;w:spaceForUL/&gt;&lt;w:breakWrappedTables/&gt;&lt;w:dontGrowAutofit/&gt;&lt;w:useFELayout/&gt;&lt;/w:compat&gt;&lt;/w:docPr&gt;&lt;w:body&gt;&lt;wx:sect&gt;&lt;w:p&gt;&lt;m:oMathPara&gt;&lt;m:oMath&gt;&lt;m:r&gt;&lt;m:rPr&gt;&lt;m:sty m:val=&quot;p&quot;/&gt;&lt;m:scr m:val=&quot;roman&quot;/&gt;&lt;/m:rPr&gt;&lt;w:rPr&gt;&lt;w:rFonts w:ascii=&quot;Cambria Math&quot; w:h-ansi=&quot;Cambria Math&quot; w:fareast=&quot;瀹嬩綋&quot; w:cs=&quot;Times New Roman&quot; w:hint=&quot;default&quot;/&gt;&lt;/w:rPr&gt;&lt;m:t&gt;璇剧▼鍒嗙洰鏍囪揪鎴愬害=&lt;/m:t&gt;&lt;/m:r&gt;&lt;m:f&gt;&lt;m:fPr&gt;&lt;m:ctrlPr&gt;&lt;w:rPr&gt;&lt;w:rFonts w:ascii=&quot;Cambria Math&quot; w:h-ansi=&quot;Cambria Math&quot; w:far:rPr&gt;&lt;w:rPr&gt;&lt;w::rPr&gt;&lt;w:rPr&gt;&lt;w::rPr&gt;&lt;w:rPr&gt;&lt;w::rPr&gt;&lt;w:rPr&gt;&lt;w::rPr&gt;&lt;w:rPr&gt;&lt;w::rPr&gt;&lt;w:rPr&gt;&lt;w:east=&quot;瀹嬩綋&quot; w:cs=&quot;Times New Roman&quot; w:hint=&quot;default&quot;/&gt;&lt;/w:rPr&gt;&lt;/m:ctrlPr&gt;&lt;/m:fPr&gt;&lt;m:num&gt;&lt;m:r&gt;&lt;m:rPr&gt;&lt;m:sty m:val=&quot;p&quot;/&gt;&lt;m:scr m:val=&quot;roman&quot;/&gt;&lt;/m:rPr&gt;&lt;w:rPr&gt;&lt;w:rFonts w:ascii=&quot;Cambr&lt;w:ia Math&quot; w:h-an&lt;w:si=&quot;Cambria Mat&lt;w:h&quot; w:fareast=&quot;?&lt;w:畫浣? w:cs=&quot;TiPr&gt;&lt;w:mes New Roman&quot; Pr&gt;&lt;w:w:hint=&quot;default&quot;/&gt;&lt;/w:rPr&gt;&lt;m:t&gt;鎬昏瘎鎴愮哗涓敮鎾戣璇剧▼鐩爣鐩稿叧鑰冩牳鐜妭骞冲潎寰楀垎涔嬪拰&lt;/m:t&gt;&lt;/m:r&gt;&lt;m:ctrlPr&gt;&lt;w:rPr&gt;&lt;w:rFonts w:ascii=&quot;Cambria MrPr&gt;&lt;w:rPr&gt;&lt;w:rFonts w:ascii=&quot;Cambr&lt;w:ath&quot; w:h-ansi=&quot;CamFonts w:ascii=&quot;Cambria Math&quot; w:h-an&lt;w:bria Math&quot; w:fareaCambria Math&quot; w:h-ansi=&quot;Cambria Mat&lt;w:st=&quot;瀹嬩綋&quot; w:cs=h&quot; w:h-ansi=&quot;Cambria Math&quot; w:fareast=&quot;?&lt;w:&quot;Times New Roman&quot; w:hia Math&quot; w:fareast=&quot;瀹嬩綋&quot; w:cs=&quot;TiPr&gt;&lt;w:int=&quot;default&quot;/&gt;&lt;/w:rPmbr&lt;w:ast=&quot;瀹嬩綋&quot; w:cs=&quot;Times New Roman&quot; Pr&gt;&lt;w:r&gt;&lt;/m:ctrlPr&gt;&lt;w:h-an&lt;w:/m:num&gt;&lt;m:den&gt;&lt;m:r&gt;&lt;m:rPr&gt;&lt;m:sty m:val=&quot;p&quot;/&gt;&lt;m:scr m:valia Mat&lt;w:=&quot;roman&quot;/&gt;&lt;/m:rPr&gt;&lt;w:rPr&gt;&lt;w:rFonts w:ascii=&quot;Cambria Math&quot; w=&quot;?&lt;w::h-ansi=&quot;Cambria Math&quot; w:fareast=&quot;瀹嬩綋&quot; w:cs=&quot;Times New Rombr&lt;w:manPr&gt;&lt;w:&quot; w:hint=&quot;default&quot;/&gt;&lt;/w:rPr&gt;&lt;m:t&gt;鎬昏瘎鎴愮哗涓敮鎾戣?lPr&gt;&lt;w:h-an&lt;w:ヨ绋?New Roman&quot; Pr&gt;&lt;w:鐩爣鐩稿叧鑰冩牳鐜妭鐩爣鎬诲垎&lt;/m:sty m:val=&quot;p&quot;/&gt;&lt;m:scr m:valia Mat&lt;w:t&gt;&lt;/m:r&gt;&lt;m:ctrlPr&gt;&lt;w:rPr&gt;&lt;w:rFonts w:ascii=&quot;Cambria Math&quot; w:h-ansFonts w:asct=&quot;瀹嬩綋&quot; w:cs=&quot;Times New Rombr&lt;w:ii=&quot;Cambria Math&quot; w=&quot;?&lt;w:i=&quot;Cambria Math&quot; w:fareast=&quot;瀹嬩綋&quot; w:cs=&quot;Times New R昏瘎鎴愮哗涓敮鎾戣?lPr&gt;&lt;w:h-an&lt;w:oman&quot; w:hint=&quot;dest=&quot;瀹嬩綋&quot; w:cs=&quot;Times New RomanPr&gt;&lt;w:fault&quot;/&gt;&lt;/w:rPr&gt;&lt;/m:ctrlPr&gt;&lt;/m:den&gt;&lt;/m:f&gt;&lt;/m:oMat&lt;w:Math&gt;&lt;/m:oMathPara&gt;&lt;/w:p&gt;&lt;/wx:sect&gt;mes New Rombr&lt;w:璇剧▼ New Roman&quot; Pr&gt;&lt;w:&lt;/w:body&gt;&lt;/w:wordDocumentcii=&quot;Cambria w=areastes ">
            <v:path/>
            <v:fill on="f" focussize="0,0"/>
            <v:stroke on="f" joinstyle="miter"/>
            <v:imagedata r:id="rId65" o:title=""/>
            <o:lock v:ext="edit" aspectratio="f"/>
            <w10:wrap type="none"/>
            <w10:anchorlock/>
          </v:shape>
        </w:pict>
      </w:r>
    </w:p>
    <w:p>
      <w:pPr>
        <w:adjustRightInd w:val="0"/>
        <w:snapToGrid w:val="0"/>
        <w:spacing w:line="300" w:lineRule="auto"/>
        <w:ind w:firstLine="420" w:firstLineChars="200"/>
      </w:pPr>
      <w:r>
        <w:t>课程总目标达成情况为6个课程目标的加权得分率，其计算公式为：</w:t>
      </w:r>
    </w:p>
    <w:p>
      <w:pPr>
        <w:adjustRightInd w:val="0"/>
        <w:snapToGrid w:val="0"/>
        <w:spacing w:line="300" w:lineRule="auto"/>
        <w:jc w:val="center"/>
      </w:pPr>
      <w:r>
        <w:t xml:space="preserve"> </w:t>
      </w:r>
      <w:r>
        <w:object>
          <v:shape id="_x0000_i1057" o:spt="75" type="#_x0000_t75" style="height:21pt;width:314.25pt;" o:ole="t" filled="f" o:preferrelative="t" stroked="f" coordsize="21600,21600">
            <v:path/>
            <v:fill on="f" focussize="0,0"/>
            <v:stroke on="f" joinstyle="miter"/>
            <v:imagedata r:id="rId40" o:title=""/>
            <o:lock v:ext="edit" aspectratio="t"/>
            <w10:wrap type="none"/>
            <w10:anchorlock/>
          </v:shape>
          <o:OLEObject Type="Embed" ProgID="Equation.3" ShapeID="_x0000_i1057" DrawAspect="Content" ObjectID="_1468075756" r:id="rId66">
            <o:LockedField>false</o:LockedField>
          </o:OLEObject>
        </w:object>
      </w:r>
    </w:p>
    <w:p>
      <w:pPr>
        <w:adjustRightInd w:val="0"/>
        <w:snapToGrid w:val="0"/>
        <w:spacing w:line="300" w:lineRule="auto"/>
      </w:pPr>
      <w:r>
        <w:t>其中权重系数按照表5设定。</w:t>
      </w:r>
    </w:p>
    <w:p>
      <w:pPr>
        <w:adjustRightInd w:val="0"/>
        <w:snapToGrid w:val="0"/>
        <w:spacing w:line="300" w:lineRule="auto"/>
        <w:jc w:val="center"/>
        <w:rPr>
          <w:b/>
          <w:bCs/>
          <w:sz w:val="18"/>
          <w:szCs w:val="18"/>
        </w:rPr>
      </w:pPr>
      <w:r>
        <w:rPr>
          <w:b/>
          <w:bCs/>
          <w:sz w:val="18"/>
          <w:szCs w:val="18"/>
        </w:rPr>
        <w:t>表5 课程目标权重系数</w:t>
      </w:r>
    </w:p>
    <w:tbl>
      <w:tblPr>
        <w:tblStyle w:val="22"/>
        <w:tblW w:w="6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1962"/>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5" w:type="dxa"/>
          </w:tcPr>
          <w:p>
            <w:pPr>
              <w:adjustRightInd w:val="0"/>
              <w:snapToGrid w:val="0"/>
              <w:spacing w:line="300" w:lineRule="auto"/>
              <w:ind w:right="-20"/>
              <w:jc w:val="center"/>
              <w:rPr>
                <w:rFonts w:eastAsia="等线"/>
                <w:kern w:val="0"/>
                <w:sz w:val="20"/>
                <w:szCs w:val="21"/>
              </w:rPr>
            </w:pPr>
            <w:r>
              <w:rPr>
                <w:rFonts w:eastAsia="等线"/>
                <w:kern w:val="0"/>
                <w:sz w:val="18"/>
                <w:szCs w:val="18"/>
              </w:rPr>
              <w:t>课程目标</w:t>
            </w:r>
          </w:p>
        </w:tc>
        <w:tc>
          <w:tcPr>
            <w:tcW w:w="1962" w:type="dxa"/>
          </w:tcPr>
          <w:p>
            <w:pPr>
              <w:adjustRightInd w:val="0"/>
              <w:snapToGrid w:val="0"/>
              <w:spacing w:line="300" w:lineRule="auto"/>
              <w:ind w:right="-20"/>
              <w:jc w:val="center"/>
              <w:rPr>
                <w:rFonts w:eastAsia="等线"/>
                <w:kern w:val="0"/>
                <w:sz w:val="20"/>
                <w:szCs w:val="21"/>
              </w:rPr>
            </w:pPr>
            <w:r>
              <w:rPr>
                <w:rFonts w:eastAsia="等线"/>
                <w:kern w:val="0"/>
                <w:sz w:val="20"/>
                <w:szCs w:val="21"/>
              </w:rPr>
              <w:t>1</w:t>
            </w:r>
          </w:p>
        </w:tc>
        <w:tc>
          <w:tcPr>
            <w:tcW w:w="1962" w:type="dxa"/>
          </w:tcPr>
          <w:p>
            <w:pPr>
              <w:adjustRightInd w:val="0"/>
              <w:snapToGrid w:val="0"/>
              <w:spacing w:line="300" w:lineRule="auto"/>
              <w:ind w:right="-20"/>
              <w:jc w:val="center"/>
              <w:rPr>
                <w:rFonts w:eastAsia="等线"/>
                <w:kern w:val="0"/>
                <w:sz w:val="20"/>
                <w:szCs w:val="21"/>
              </w:rPr>
            </w:pPr>
            <w:r>
              <w:rPr>
                <w:rFonts w:eastAsia="等线"/>
                <w:kern w:val="0"/>
                <w:sz w:val="2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5" w:type="dxa"/>
          </w:tcPr>
          <w:p>
            <w:pPr>
              <w:adjustRightInd w:val="0"/>
              <w:snapToGrid w:val="0"/>
              <w:spacing w:line="300" w:lineRule="auto"/>
              <w:ind w:right="-20"/>
              <w:jc w:val="center"/>
              <w:rPr>
                <w:rFonts w:eastAsia="等线"/>
                <w:kern w:val="0"/>
                <w:sz w:val="20"/>
                <w:szCs w:val="21"/>
              </w:rPr>
            </w:pPr>
            <w:r>
              <w:rPr>
                <w:rFonts w:eastAsia="等线"/>
                <w:kern w:val="0"/>
                <w:sz w:val="18"/>
                <w:szCs w:val="18"/>
              </w:rPr>
              <w:t>权重系数</w:t>
            </w:r>
          </w:p>
        </w:tc>
        <w:tc>
          <w:tcPr>
            <w:tcW w:w="1962" w:type="dxa"/>
          </w:tcPr>
          <w:p>
            <w:pPr>
              <w:adjustRightInd w:val="0"/>
              <w:snapToGrid w:val="0"/>
              <w:spacing w:line="300" w:lineRule="auto"/>
              <w:ind w:right="-20"/>
              <w:jc w:val="center"/>
              <w:rPr>
                <w:rFonts w:eastAsia="等线"/>
                <w:kern w:val="0"/>
                <w:sz w:val="20"/>
                <w:szCs w:val="21"/>
              </w:rPr>
            </w:pPr>
            <w:r>
              <w:rPr>
                <w:rFonts w:eastAsia="等线"/>
                <w:kern w:val="0"/>
                <w:sz w:val="20"/>
                <w:szCs w:val="21"/>
              </w:rPr>
              <w:t>0.5</w:t>
            </w:r>
          </w:p>
        </w:tc>
        <w:tc>
          <w:tcPr>
            <w:tcW w:w="1962" w:type="dxa"/>
          </w:tcPr>
          <w:p>
            <w:pPr>
              <w:adjustRightInd w:val="0"/>
              <w:snapToGrid w:val="0"/>
              <w:spacing w:line="300" w:lineRule="auto"/>
              <w:ind w:right="-20"/>
              <w:jc w:val="center"/>
              <w:rPr>
                <w:rFonts w:eastAsia="等线"/>
                <w:kern w:val="0"/>
                <w:sz w:val="20"/>
                <w:szCs w:val="21"/>
              </w:rPr>
            </w:pPr>
            <w:r>
              <w:rPr>
                <w:rFonts w:eastAsia="等线"/>
                <w:kern w:val="0"/>
                <w:sz w:val="20"/>
                <w:szCs w:val="21"/>
              </w:rPr>
              <w:t>0.5</w:t>
            </w:r>
          </w:p>
        </w:tc>
      </w:tr>
    </w:tbl>
    <w:p>
      <w:pPr>
        <w:adjustRightInd w:val="0"/>
        <w:snapToGrid w:val="0"/>
        <w:spacing w:before="156" w:beforeLines="50"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058" o:spt="75" type="#_x0000_t75" style="height:20.25pt;width:304.5pt;" o:ole="t" filled="f" o:preferrelative="t" stroked="f" coordsize="21600,21600">
            <v:path/>
            <v:fill on="f" focussize="0,0"/>
            <v:stroke on="f" joinstyle="miter"/>
            <v:imagedata r:id="rId40" o:title=""/>
            <o:lock v:ext="edit" aspectratio="t"/>
            <w10:wrap type="none"/>
            <w10:anchorlock/>
          </v:shape>
          <o:OLEObject Type="Embed" ProgID="Equation.3" ShapeID="_x0000_i1058" DrawAspect="Content" ObjectID="_1468075757" r:id="rId67">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2" w:firstLineChars="200"/>
        <w:rPr>
          <w:rFonts w:ascii="Times New Roman" w:hAnsi="Times New Roman" w:eastAsia="宋体" w:cs="Times New Roman"/>
          <w:b/>
          <w:bCs/>
        </w:rPr>
      </w:pPr>
      <w:r>
        <w:rPr>
          <w:rFonts w:ascii="Times New Roman" w:hAnsi="Times New Roman" w:eastAsia="宋体" w:cs="Times New Roman"/>
          <w:b/>
          <w:bCs/>
        </w:rPr>
        <w:t>1．教材</w:t>
      </w:r>
    </w:p>
    <w:p>
      <w:pPr>
        <w:numPr>
          <w:ilvl w:val="0"/>
          <w:numId w:val="28"/>
        </w:numPr>
        <w:adjustRightInd w:val="0"/>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苏雪，张辉.电子信息专业英语[M]. 武汉：华中科技大学出版社，2008</w:t>
      </w:r>
      <w:r>
        <w:rPr>
          <w:rFonts w:ascii="Times New Roman" w:hAnsi="Times New Roman" w:eastAsia="宋体" w:cs="Times New Roman"/>
          <w:bCs/>
          <w:szCs w:val="21"/>
        </w:rPr>
        <w:t>.</w:t>
      </w:r>
    </w:p>
    <w:p>
      <w:pPr>
        <w:adjustRightInd w:val="0"/>
        <w:snapToGrid w:val="0"/>
        <w:spacing w:line="300" w:lineRule="auto"/>
        <w:ind w:firstLine="422" w:firstLineChars="200"/>
        <w:rPr>
          <w:rFonts w:ascii="Times New Roman" w:hAnsi="Times New Roman" w:eastAsia="宋体" w:cs="Times New Roman"/>
          <w:b/>
          <w:bCs/>
        </w:rPr>
      </w:pPr>
      <w:r>
        <w:rPr>
          <w:rFonts w:ascii="Times New Roman" w:hAnsi="Times New Roman" w:eastAsia="宋体" w:cs="Times New Roman"/>
          <w:b/>
          <w:bCs/>
        </w:rPr>
        <w:t>2．参考资料</w:t>
      </w:r>
    </w:p>
    <w:p>
      <w:pPr>
        <w:numPr>
          <w:ilvl w:val="0"/>
          <w:numId w:val="29"/>
        </w:numPr>
        <w:adjustRightInd w:val="0"/>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李白萍. 电子信息类专业英语（第二版）[M], 西安：西安电子科技大学出版社，2016</w:t>
      </w:r>
      <w:r>
        <w:rPr>
          <w:rFonts w:ascii="Times New Roman" w:hAnsi="Times New Roman" w:eastAsia="宋体" w:cs="Times New Roman"/>
          <w:bCs/>
          <w:szCs w:val="21"/>
        </w:rPr>
        <w:t>.</w:t>
      </w:r>
    </w:p>
    <w:p>
      <w:pPr>
        <w:numPr>
          <w:ilvl w:val="0"/>
          <w:numId w:val="29"/>
        </w:numPr>
        <w:adjustRightInd w:val="0"/>
        <w:snapToGrid w:val="0"/>
        <w:spacing w:line="300" w:lineRule="auto"/>
        <w:rPr>
          <w:rFonts w:ascii="Times New Roman" w:hAnsi="Times New Roman" w:eastAsia="宋体" w:cs="Times New Roman"/>
        </w:rPr>
      </w:pPr>
      <w:r>
        <w:fldChar w:fldCharType="begin"/>
      </w:r>
      <w:r>
        <w:instrText xml:space="preserve"> HYPERLINK "http://open.163.com/special/opencourse/circuits.html" </w:instrText>
      </w:r>
      <w:r>
        <w:fldChar w:fldCharType="separate"/>
      </w:r>
      <w:r>
        <w:rPr>
          <w:rFonts w:ascii="Times New Roman" w:hAnsi="Times New Roman" w:eastAsia="宋体" w:cs="Times New Roman"/>
          <w:kern w:val="0"/>
          <w:szCs w:val="21"/>
          <w:u w:val="single"/>
        </w:rPr>
        <w:t>http://open.163.com/special/opencourse/circuits.html</w:t>
      </w:r>
      <w:r>
        <w:rPr>
          <w:rFonts w:ascii="Times New Roman" w:hAnsi="Times New Roman" w:eastAsia="宋体" w:cs="Times New Roman"/>
          <w:kern w:val="0"/>
          <w:szCs w:val="21"/>
          <w:u w:val="single"/>
        </w:rPr>
        <w:fldChar w:fldCharType="end"/>
      </w:r>
      <w:r>
        <w:rPr>
          <w:rFonts w:ascii="Times New Roman" w:hAnsi="Times New Roman" w:eastAsia="宋体" w:cs="Times New Roman"/>
          <w:kern w:val="0"/>
          <w:szCs w:val="21"/>
          <w:u w:val="single"/>
        </w:rPr>
        <w:t>.</w:t>
      </w:r>
    </w:p>
    <w:p>
      <w:pPr>
        <w:numPr>
          <w:ilvl w:val="0"/>
          <w:numId w:val="29"/>
        </w:numPr>
        <w:adjustRightInd w:val="0"/>
        <w:snapToGrid w:val="0"/>
        <w:spacing w:line="300" w:lineRule="auto"/>
        <w:rPr>
          <w:rFonts w:ascii="Times New Roman" w:hAnsi="Times New Roman" w:eastAsia="宋体" w:cs="Times New Roman"/>
        </w:rPr>
      </w:pPr>
      <w:r>
        <w:fldChar w:fldCharType="begin"/>
      </w:r>
      <w:r>
        <w:instrText xml:space="preserve"> HYPERLINK "http://www.matlab.com." </w:instrText>
      </w:r>
      <w:r>
        <w:fldChar w:fldCharType="separate"/>
      </w:r>
      <w:r>
        <w:rPr>
          <w:rFonts w:ascii="Times New Roman" w:hAnsi="Times New Roman" w:eastAsia="宋体" w:cs="Times New Roman"/>
          <w:color w:val="0000FF"/>
          <w:kern w:val="0"/>
          <w:szCs w:val="21"/>
          <w:u w:val="single"/>
        </w:rPr>
        <w:t>http://www.matlab.com.</w:t>
      </w:r>
      <w:r>
        <w:rPr>
          <w:rFonts w:ascii="Times New Roman" w:hAnsi="Times New Roman" w:eastAsia="宋体" w:cs="Times New Roman"/>
          <w:color w:val="0000FF"/>
          <w:kern w:val="0"/>
          <w:szCs w:val="21"/>
          <w:u w:val="single"/>
        </w:rPr>
        <w:fldChar w:fldCharType="end"/>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widowControl/>
        <w:jc w:val="left"/>
        <w:rPr>
          <w:rFonts w:ascii="Times New Roman" w:hAnsi="Times New Roman" w:eastAsia="等线" w:cs="Times New Roman"/>
          <w:b/>
          <w:sz w:val="32"/>
        </w:rPr>
      </w:pPr>
      <w:r>
        <w:rPr>
          <w:rFonts w:ascii="Times New Roman" w:hAnsi="Times New Roman" w:eastAsia="等线" w:cs="Times New Roman"/>
          <w:b/>
          <w:sz w:val="32"/>
        </w:rPr>
        <w:br w:type="page"/>
      </w:r>
    </w:p>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rPr>
      </w:pPr>
      <w:bookmarkStart w:id="47" w:name="_Toc112"/>
      <w:r>
        <w:rPr>
          <w:rFonts w:ascii="Times New Roman" w:hAnsi="Times New Roman" w:eastAsia="宋体" w:cs="Times New Roman"/>
          <w:b/>
          <w:sz w:val="32"/>
        </w:rPr>
        <w:t>33431503《电子信息工程专业科技写作》课程教学大纲</w:t>
      </w:r>
      <w:bookmarkEnd w:id="47"/>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504"/>
        <w:gridCol w:w="1337"/>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33431503</w:t>
            </w:r>
          </w:p>
        </w:tc>
        <w:tc>
          <w:tcPr>
            <w:tcW w:w="133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电子信息工程专业科技写作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通识教育拓展课</w:t>
            </w:r>
          </w:p>
        </w:tc>
        <w:tc>
          <w:tcPr>
            <w:tcW w:w="133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Science and Technology Writing of Electronic Information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 : 24（0）</w:t>
            </w:r>
          </w:p>
        </w:tc>
        <w:tc>
          <w:tcPr>
            <w:tcW w:w="1337"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彭肖恩</w:t>
            </w:r>
          </w:p>
        </w:tc>
        <w:tc>
          <w:tcPr>
            <w:tcW w:w="133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甘俊英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彭银桥</w:t>
            </w:r>
          </w:p>
        </w:tc>
        <w:tc>
          <w:tcPr>
            <w:tcW w:w="133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33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电子信息工程专业导论</w:t>
            </w:r>
          </w:p>
        </w:tc>
        <w:tc>
          <w:tcPr>
            <w:tcW w:w="1337" w:type="dxa"/>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2504"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337" w:type="dxa"/>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3493" w:type="dxa"/>
            <w:shd w:val="clear" w:color="auto" w:fill="auto"/>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rPr>
          <w:b/>
          <w:szCs w:val="21"/>
        </w:rPr>
      </w:pPr>
      <w:r>
        <w:rPr>
          <w:szCs w:val="21"/>
        </w:rPr>
        <w:t>《电子信息工程专业科技写作》是电子信息工程专业的通识教育拓展课，是一门旨在培养和提高电子信息工程专业学生的科研能力、科学素养和科技写作能力的课程。本课程介绍了科技论文写作的技巧，从论文选题、拟投稿期刊的选择及作者署名与分工等方面阐述了科技论文写作前的准备工作，通过大量的实例分析介绍了论文题名和摘要撰写中应遵循的基本原则，分别从写作技巧的使用等角度介绍了科技论文正文各部分的引言、材料与方法、研究结果、讨论、结论的撰写，举例说明了致谢的写作要点及图表制作的注意事项，总结了各主要参考文献体例的特点、格式及相关著录规范。</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rPr>
          <w:kern w:val="0"/>
          <w:szCs w:val="21"/>
        </w:rPr>
      </w:pPr>
      <w:r>
        <w:rPr>
          <w:kern w:val="0"/>
          <w:szCs w:val="21"/>
        </w:rPr>
        <w:t>通过本课程的学习，使学生掌握电子信息工程专业研究的基本概念、基本方法、基本程序和基本规则，以及由此形成的电子信息工程专业的国际通用论文的类型、写作过程、格式要求和学术规范；掌握科技论文的写作方法和规范；掌握论文的英文题目、摘要的写作方法和规范，了解科技英文论文写作的基本方法和技巧，</w:t>
      </w:r>
      <w:r>
        <w:rPr>
          <w:szCs w:val="21"/>
        </w:rPr>
        <w:t>具备</w:t>
      </w:r>
      <w:r>
        <w:rPr>
          <w:kern w:val="0"/>
          <w:szCs w:val="21"/>
        </w:rPr>
        <w:t>一定的国际视野和外语应用能力；培养和提高电子信息工程专业学生的科研能力和科学素养，提高学生自主学习能力和创新能力；遵守学术规范，具备良好的思想修养和职业道德。讲授概述时，介绍我国一些著名科学家的科研历程和科学精神，培养学生的爱国与担当精神。</w:t>
      </w:r>
    </w:p>
    <w:p>
      <w:pPr>
        <w:widowControl/>
        <w:adjustRightInd w:val="0"/>
        <w:snapToGrid w:val="0"/>
        <w:spacing w:line="300" w:lineRule="auto"/>
        <w:ind w:firstLine="420" w:firstLineChars="200"/>
        <w:rPr>
          <w:kern w:val="0"/>
          <w:szCs w:val="21"/>
        </w:rPr>
      </w:pPr>
      <w:r>
        <w:rPr>
          <w:kern w:val="0"/>
          <w:szCs w:val="21"/>
        </w:rPr>
        <w:t xml:space="preserve">本课程的具体教学目标如下： </w:t>
      </w:r>
    </w:p>
    <w:p>
      <w:pPr>
        <w:widowControl/>
        <w:adjustRightInd w:val="0"/>
        <w:snapToGrid w:val="0"/>
        <w:spacing w:line="300" w:lineRule="auto"/>
        <w:ind w:firstLine="420" w:firstLineChars="200"/>
        <w:jc w:val="left"/>
        <w:rPr>
          <w:kern w:val="0"/>
          <w:szCs w:val="21"/>
        </w:rPr>
      </w:pPr>
      <w:r>
        <w:rPr>
          <w:kern w:val="0"/>
          <w:szCs w:val="21"/>
        </w:rPr>
        <w:t>1．掌握文献、信息、资料的分类和一般检索方法，掌握知网、SCI、EI等文献数据库文献检索检索方法，能借助文献研究等方式客观分析和准确表达复杂工程问题。[2</w:t>
      </w:r>
      <w:r>
        <w:rPr>
          <w:rFonts w:hint="eastAsia"/>
          <w:kern w:val="0"/>
          <w:szCs w:val="21"/>
        </w:rPr>
        <w:t>.</w:t>
      </w:r>
      <w:r>
        <w:rPr>
          <w:kern w:val="0"/>
          <w:szCs w:val="21"/>
        </w:rPr>
        <w:t>3]</w:t>
      </w:r>
    </w:p>
    <w:p>
      <w:pPr>
        <w:widowControl/>
        <w:adjustRightInd w:val="0"/>
        <w:snapToGrid w:val="0"/>
        <w:spacing w:line="300" w:lineRule="auto"/>
        <w:ind w:firstLine="420" w:firstLineChars="200"/>
        <w:rPr>
          <w:kern w:val="0"/>
          <w:szCs w:val="21"/>
        </w:rPr>
      </w:pPr>
      <w:r>
        <w:rPr>
          <w:kern w:val="0"/>
          <w:szCs w:val="21"/>
        </w:rPr>
        <w:t>2．掌握论文的英文题目、摘要的写作方法和规范，了解科技英文论文写作的基本方法和技巧，</w:t>
      </w:r>
      <w:r>
        <w:rPr>
          <w:szCs w:val="21"/>
        </w:rPr>
        <w:t>具备</w:t>
      </w:r>
      <w:r>
        <w:rPr>
          <w:kern w:val="0"/>
          <w:szCs w:val="21"/>
        </w:rPr>
        <w:t>一定的国际视野和外语应用能力。[10</w:t>
      </w:r>
      <w:r>
        <w:rPr>
          <w:rFonts w:hint="eastAsia"/>
          <w:kern w:val="0"/>
          <w:szCs w:val="21"/>
        </w:rPr>
        <w:t>.</w:t>
      </w:r>
      <w:r>
        <w:rPr>
          <w:kern w:val="0"/>
          <w:szCs w:val="21"/>
        </w:rPr>
        <w:t>2]</w:t>
      </w:r>
    </w:p>
    <w:p>
      <w:pPr>
        <w:widowControl/>
        <w:adjustRightInd w:val="0"/>
        <w:snapToGrid w:val="0"/>
        <w:spacing w:line="300" w:lineRule="auto"/>
        <w:ind w:firstLine="420" w:firstLineChars="200"/>
        <w:rPr>
          <w:kern w:val="0"/>
          <w:szCs w:val="21"/>
        </w:rPr>
      </w:pPr>
      <w:r>
        <w:rPr>
          <w:kern w:val="0"/>
          <w:szCs w:val="21"/>
        </w:rPr>
        <w:t>3．培养和提高电子信息工程专业学生的科研能力和科学素养，提高学生自主学习能力和创新能力。[12</w:t>
      </w:r>
      <w:r>
        <w:rPr>
          <w:rFonts w:hint="eastAsia"/>
          <w:kern w:val="0"/>
          <w:szCs w:val="21"/>
        </w:rPr>
        <w:t>.</w:t>
      </w:r>
      <w:r>
        <w:rPr>
          <w:kern w:val="0"/>
          <w:szCs w:val="21"/>
        </w:rPr>
        <w:t>1]</w:t>
      </w:r>
    </w:p>
    <w:p>
      <w:pPr>
        <w:adjustRightInd w:val="0"/>
        <w:snapToGrid w:val="0"/>
        <w:spacing w:line="300" w:lineRule="auto"/>
        <w:ind w:firstLine="420" w:firstLineChars="200"/>
        <w:rPr>
          <w:szCs w:val="21"/>
        </w:rPr>
      </w:pPr>
      <w:r>
        <w:rPr>
          <w:szCs w:val="21"/>
        </w:rPr>
        <w:t>课程教学目标与毕业要求的对应关系见表1：</w:t>
      </w:r>
    </w:p>
    <w:p>
      <w:pPr>
        <w:adjustRightInd w:val="0"/>
        <w:snapToGrid w:val="0"/>
        <w:spacing w:line="300" w:lineRule="auto"/>
        <w:ind w:firstLine="420" w:firstLineChars="200"/>
        <w:rPr>
          <w:szCs w:val="21"/>
        </w:rPr>
      </w:pP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6007"/>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jc w:val="center"/>
        </w:trPr>
        <w:tc>
          <w:tcPr>
            <w:tcW w:w="1330" w:type="dxa"/>
            <w:vAlign w:val="center"/>
          </w:tcPr>
          <w:p>
            <w:pPr>
              <w:adjustRightInd w:val="0"/>
              <w:snapToGrid w:val="0"/>
              <w:spacing w:line="300" w:lineRule="auto"/>
              <w:rPr>
                <w:b/>
                <w:bCs/>
                <w:sz w:val="18"/>
                <w:szCs w:val="18"/>
              </w:rPr>
            </w:pPr>
            <w:r>
              <w:rPr>
                <w:b/>
                <w:bCs/>
                <w:sz w:val="18"/>
                <w:szCs w:val="18"/>
              </w:rPr>
              <w:t>毕业要求</w:t>
            </w:r>
          </w:p>
        </w:tc>
        <w:tc>
          <w:tcPr>
            <w:tcW w:w="6007"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c>
          <w:tcPr>
            <w:tcW w:w="655"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330" w:type="dxa"/>
            <w:vAlign w:val="center"/>
          </w:tcPr>
          <w:p>
            <w:pPr>
              <w:adjustRightInd w:val="0"/>
              <w:snapToGrid w:val="0"/>
              <w:spacing w:line="300" w:lineRule="auto"/>
              <w:rPr>
                <w:sz w:val="18"/>
                <w:szCs w:val="18"/>
              </w:rPr>
            </w:pPr>
            <w:r>
              <w:rPr>
                <w:sz w:val="18"/>
                <w:szCs w:val="18"/>
              </w:rPr>
              <w:t>2．问题分析</w:t>
            </w:r>
          </w:p>
        </w:tc>
        <w:tc>
          <w:tcPr>
            <w:tcW w:w="6007" w:type="dxa"/>
            <w:vAlign w:val="center"/>
          </w:tcPr>
          <w:p>
            <w:pPr>
              <w:adjustRightInd w:val="0"/>
              <w:snapToGrid w:val="0"/>
              <w:spacing w:line="300" w:lineRule="auto"/>
              <w:rPr>
                <w:sz w:val="18"/>
                <w:szCs w:val="18"/>
              </w:rPr>
            </w:pPr>
            <w:r>
              <w:rPr>
                <w:sz w:val="18"/>
                <w:szCs w:val="18"/>
              </w:rPr>
              <w:t>2</w:t>
            </w:r>
            <w:r>
              <w:rPr>
                <w:rFonts w:hint="eastAsia"/>
                <w:sz w:val="18"/>
                <w:szCs w:val="18"/>
              </w:rPr>
              <w:t>.</w:t>
            </w:r>
            <w:r>
              <w:rPr>
                <w:sz w:val="18"/>
                <w:szCs w:val="18"/>
              </w:rPr>
              <w:t>3通晓文献、信息、资料的分类和一般检索方法，具备借助文献研究等方式客观分析和准确表达复杂工程问题，以获得有效结论的能力。</w:t>
            </w:r>
          </w:p>
        </w:tc>
        <w:tc>
          <w:tcPr>
            <w:tcW w:w="689" w:type="dxa"/>
            <w:vAlign w:val="center"/>
          </w:tcPr>
          <w:p>
            <w:pPr>
              <w:adjustRightInd w:val="0"/>
              <w:snapToGrid w:val="0"/>
              <w:spacing w:line="300" w:lineRule="auto"/>
              <w:jc w:val="center"/>
              <w:rPr>
                <w:sz w:val="18"/>
                <w:szCs w:val="18"/>
              </w:rPr>
            </w:pPr>
            <w:r>
              <w:rPr>
                <w:sz w:val="18"/>
                <w:szCs w:val="18"/>
              </w:rPr>
              <w:t>1</w:t>
            </w:r>
          </w:p>
        </w:tc>
        <w:tc>
          <w:tcPr>
            <w:tcW w:w="655" w:type="dxa"/>
            <w:vAlign w:val="center"/>
          </w:tcPr>
          <w:p>
            <w:pPr>
              <w:widowControl/>
              <w:adjustRightInd w:val="0"/>
              <w:snapToGrid w:val="0"/>
              <w:spacing w:line="300" w:lineRule="auto"/>
              <w:jc w:val="center"/>
              <w:rPr>
                <w:sz w:val="18"/>
                <w:szCs w:val="18"/>
              </w:rPr>
            </w:pPr>
            <w:r>
              <w:rPr>
                <w:rFonts w:hint="eastAsia"/>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30" w:type="dxa"/>
            <w:vAlign w:val="center"/>
          </w:tcPr>
          <w:p>
            <w:pPr>
              <w:adjustRightInd w:val="0"/>
              <w:snapToGrid w:val="0"/>
              <w:spacing w:line="300" w:lineRule="auto"/>
              <w:rPr>
                <w:sz w:val="18"/>
                <w:szCs w:val="18"/>
              </w:rPr>
            </w:pPr>
            <w:r>
              <w:rPr>
                <w:sz w:val="18"/>
                <w:szCs w:val="18"/>
              </w:rPr>
              <w:t>10．沟通</w:t>
            </w:r>
          </w:p>
        </w:tc>
        <w:tc>
          <w:tcPr>
            <w:tcW w:w="6007" w:type="dxa"/>
            <w:vAlign w:val="center"/>
          </w:tcPr>
          <w:p>
            <w:pPr>
              <w:adjustRightInd w:val="0"/>
              <w:snapToGrid w:val="0"/>
              <w:spacing w:line="300" w:lineRule="auto"/>
              <w:rPr>
                <w:sz w:val="18"/>
                <w:szCs w:val="18"/>
              </w:rPr>
            </w:pPr>
            <w:r>
              <w:rPr>
                <w:sz w:val="18"/>
                <w:szCs w:val="18"/>
              </w:rPr>
              <w:t>10</w:t>
            </w:r>
            <w:r>
              <w:rPr>
                <w:rFonts w:hint="eastAsia"/>
                <w:sz w:val="18"/>
                <w:szCs w:val="18"/>
              </w:rPr>
              <w:t>.</w:t>
            </w:r>
            <w:r>
              <w:rPr>
                <w:sz w:val="18"/>
                <w:szCs w:val="18"/>
              </w:rPr>
              <w:t>2</w:t>
            </w:r>
            <w:r>
              <w:rPr>
                <w:rFonts w:hint="eastAsia"/>
                <w:sz w:val="18"/>
                <w:szCs w:val="18"/>
              </w:rPr>
              <w:t>具有一定的国际视野，能够了解专业领域的国际发展趋势与新的研究热点，并能在跨文化背景下使用一门外语清晰的陈述和回答问题，解释和尊重世界不同文化的差异性和多样性</w:t>
            </w:r>
            <w:r>
              <w:rPr>
                <w:sz w:val="18"/>
                <w:szCs w:val="18"/>
              </w:rPr>
              <w:t>。</w:t>
            </w:r>
          </w:p>
        </w:tc>
        <w:tc>
          <w:tcPr>
            <w:tcW w:w="689" w:type="dxa"/>
            <w:vAlign w:val="center"/>
          </w:tcPr>
          <w:p>
            <w:pPr>
              <w:adjustRightInd w:val="0"/>
              <w:snapToGrid w:val="0"/>
              <w:spacing w:line="300" w:lineRule="auto"/>
              <w:jc w:val="center"/>
              <w:rPr>
                <w:sz w:val="18"/>
                <w:szCs w:val="18"/>
              </w:rPr>
            </w:pPr>
            <w:r>
              <w:rPr>
                <w:sz w:val="18"/>
                <w:szCs w:val="18"/>
              </w:rPr>
              <w:t>2</w:t>
            </w:r>
          </w:p>
        </w:tc>
        <w:tc>
          <w:tcPr>
            <w:tcW w:w="655" w:type="dxa"/>
            <w:vAlign w:val="center"/>
          </w:tcPr>
          <w:p>
            <w:pPr>
              <w:adjustRightInd w:val="0"/>
              <w:snapToGrid w:val="0"/>
              <w:spacing w:line="300" w:lineRule="auto"/>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30" w:type="dxa"/>
            <w:vAlign w:val="center"/>
          </w:tcPr>
          <w:p>
            <w:pPr>
              <w:adjustRightInd w:val="0"/>
              <w:snapToGrid w:val="0"/>
              <w:spacing w:line="300" w:lineRule="auto"/>
              <w:rPr>
                <w:sz w:val="18"/>
                <w:szCs w:val="18"/>
              </w:rPr>
            </w:pPr>
            <w:r>
              <w:rPr>
                <w:sz w:val="18"/>
                <w:szCs w:val="18"/>
              </w:rPr>
              <w:t>12．终身学习</w:t>
            </w:r>
          </w:p>
        </w:tc>
        <w:tc>
          <w:tcPr>
            <w:tcW w:w="6007" w:type="dxa"/>
            <w:vAlign w:val="center"/>
          </w:tcPr>
          <w:p>
            <w:pPr>
              <w:adjustRightInd w:val="0"/>
              <w:snapToGrid w:val="0"/>
              <w:spacing w:line="300" w:lineRule="auto"/>
              <w:rPr>
                <w:sz w:val="18"/>
                <w:szCs w:val="18"/>
              </w:rPr>
            </w:pPr>
            <w:r>
              <w:rPr>
                <w:sz w:val="18"/>
                <w:szCs w:val="18"/>
              </w:rPr>
              <w:t>12</w:t>
            </w:r>
            <w:r>
              <w:rPr>
                <w:rFonts w:hint="eastAsia"/>
                <w:sz w:val="18"/>
                <w:szCs w:val="18"/>
              </w:rPr>
              <w:t>.</w:t>
            </w:r>
            <w:r>
              <w:rPr>
                <w:sz w:val="18"/>
                <w:szCs w:val="18"/>
              </w:rPr>
              <w:t>1具有自主学习和终身学习的意识，掌握拓展知识和能力的基本方法和途径。</w:t>
            </w:r>
          </w:p>
        </w:tc>
        <w:tc>
          <w:tcPr>
            <w:tcW w:w="689" w:type="dxa"/>
            <w:vAlign w:val="center"/>
          </w:tcPr>
          <w:p>
            <w:pPr>
              <w:adjustRightInd w:val="0"/>
              <w:snapToGrid w:val="0"/>
              <w:spacing w:line="300" w:lineRule="auto"/>
              <w:jc w:val="center"/>
              <w:rPr>
                <w:sz w:val="18"/>
                <w:szCs w:val="18"/>
              </w:rPr>
            </w:pPr>
            <w:r>
              <w:rPr>
                <w:sz w:val="18"/>
                <w:szCs w:val="18"/>
              </w:rPr>
              <w:t>3</w:t>
            </w:r>
          </w:p>
        </w:tc>
        <w:tc>
          <w:tcPr>
            <w:tcW w:w="655" w:type="dxa"/>
            <w:vAlign w:val="center"/>
          </w:tcPr>
          <w:p>
            <w:pPr>
              <w:adjustRightInd w:val="0"/>
              <w:snapToGrid w:val="0"/>
              <w:spacing w:line="300" w:lineRule="auto"/>
              <w:jc w:val="center"/>
              <w:rPr>
                <w:sz w:val="18"/>
                <w:szCs w:val="18"/>
              </w:rPr>
            </w:pPr>
            <w:r>
              <w:rPr>
                <w:sz w:val="18"/>
                <w:szCs w:val="18"/>
              </w:rPr>
              <w:t>0.4</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55"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1．掌握文献、信息、资料的分类和一般检索方法，掌握知网、SCI、EI等文献数据库文献检索检索方法，能借助文献研究等方式客观分析和准确表达复杂工程问题</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w:t>
            </w:r>
            <w:r>
              <w:rPr>
                <w:rFonts w:hint="eastAsia"/>
                <w:sz w:val="18"/>
                <w:szCs w:val="18"/>
                <w:shd w:val="clear" w:color="auto" w:fill="FEFEFF"/>
              </w:rPr>
              <w:t>讨论及写作</w:t>
            </w:r>
            <w:r>
              <w:rPr>
                <w:sz w:val="18"/>
                <w:szCs w:val="18"/>
                <w:shd w:val="clear" w:color="auto" w:fill="FEFEFF"/>
              </w:rPr>
              <w:t>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rFonts w:hint="eastAsia"/>
                <w:sz w:val="18"/>
                <w:szCs w:val="18"/>
                <w:shd w:val="clear" w:color="auto" w:fill="FEFEFF"/>
              </w:rPr>
              <w:t>课堂</w:t>
            </w:r>
            <w:r>
              <w:rPr>
                <w:sz w:val="18"/>
                <w:szCs w:val="18"/>
                <w:shd w:val="clear" w:color="auto" w:fill="FEFEFF"/>
              </w:rPr>
              <w:t>表现与</w:t>
            </w:r>
            <w:r>
              <w:rPr>
                <w:rFonts w:hint="eastAsia"/>
                <w:sz w:val="18"/>
                <w:szCs w:val="18"/>
                <w:shd w:val="clear" w:color="auto" w:fill="FEFEFF"/>
              </w:rPr>
              <w:t>论文写作</w:t>
            </w:r>
            <w:r>
              <w:rPr>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2．掌握论文的英文题目、摘要的写作方法和规范，了解科技英文论文写作的基本方法和技巧，具备一定的国际视野和外语应用能力。</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w:t>
            </w:r>
            <w:r>
              <w:rPr>
                <w:rFonts w:hint="eastAsia"/>
                <w:sz w:val="18"/>
                <w:szCs w:val="18"/>
                <w:shd w:val="clear" w:color="auto" w:fill="FEFEFF"/>
              </w:rPr>
              <w:t>讨论及写作</w:t>
            </w:r>
            <w:r>
              <w:rPr>
                <w:sz w:val="18"/>
                <w:szCs w:val="18"/>
                <w:shd w:val="clear" w:color="auto" w:fill="FEFEFF"/>
              </w:rPr>
              <w:t>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rFonts w:hint="eastAsia"/>
                <w:sz w:val="18"/>
                <w:szCs w:val="18"/>
                <w:shd w:val="clear" w:color="auto" w:fill="FEFEFF"/>
              </w:rPr>
              <w:t>课堂</w:t>
            </w:r>
            <w:r>
              <w:rPr>
                <w:sz w:val="18"/>
                <w:szCs w:val="18"/>
                <w:shd w:val="clear" w:color="auto" w:fill="FEFEFF"/>
              </w:rPr>
              <w:t>表现与</w:t>
            </w:r>
            <w:r>
              <w:rPr>
                <w:rFonts w:hint="eastAsia"/>
                <w:sz w:val="18"/>
                <w:szCs w:val="18"/>
                <w:shd w:val="clear" w:color="auto" w:fill="FEFEFF"/>
              </w:rPr>
              <w:t>论文写作</w:t>
            </w:r>
            <w:r>
              <w:rPr>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6"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3．培养和提高电子信息工程专业学生的科研能力和科学素养，提高学生自主学习能力和创新能力。</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w:t>
            </w:r>
            <w:r>
              <w:rPr>
                <w:rFonts w:hint="eastAsia"/>
                <w:sz w:val="18"/>
                <w:szCs w:val="18"/>
                <w:shd w:val="clear" w:color="auto" w:fill="FEFEFF"/>
              </w:rPr>
              <w:t>讨论及写作</w:t>
            </w:r>
            <w:r>
              <w:rPr>
                <w:sz w:val="18"/>
                <w:szCs w:val="18"/>
                <w:shd w:val="clear" w:color="auto" w:fill="FEFEFF"/>
              </w:rPr>
              <w:t>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rFonts w:hint="eastAsia"/>
                <w:sz w:val="18"/>
                <w:szCs w:val="18"/>
                <w:shd w:val="clear" w:color="auto" w:fill="FEFEFF"/>
              </w:rPr>
              <w:t>课堂</w:t>
            </w:r>
            <w:r>
              <w:rPr>
                <w:sz w:val="18"/>
                <w:szCs w:val="18"/>
                <w:shd w:val="clear" w:color="auto" w:fill="FEFEFF"/>
              </w:rPr>
              <w:t>表现与</w:t>
            </w:r>
            <w:r>
              <w:rPr>
                <w:rFonts w:hint="eastAsia"/>
                <w:sz w:val="18"/>
                <w:szCs w:val="18"/>
                <w:shd w:val="clear" w:color="auto" w:fill="FEFEFF"/>
              </w:rPr>
              <w:t>论文写作</w:t>
            </w:r>
            <w:r>
              <w:rPr>
                <w:sz w:val="18"/>
                <w:szCs w:val="18"/>
                <w:shd w:val="clear" w:color="auto" w:fill="FEFEFF"/>
              </w:rPr>
              <w:t>。</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w:t>
      </w:r>
      <w:r>
        <w:t>课堂讲授为主，网络多媒体教学为辅，注重工程案例教学</w:t>
      </w:r>
      <w:r>
        <w:rPr>
          <w:szCs w:val="21"/>
        </w:rPr>
        <w:t>。</w:t>
      </w:r>
    </w:p>
    <w:p>
      <w:pPr>
        <w:adjustRightInd w:val="0"/>
        <w:snapToGrid w:val="0"/>
        <w:spacing w:line="300" w:lineRule="auto"/>
        <w:ind w:firstLine="420" w:firstLineChars="200"/>
        <w:rPr>
          <w:szCs w:val="21"/>
        </w:rPr>
      </w:pPr>
      <w:r>
        <w:rPr>
          <w:szCs w:val="21"/>
        </w:rPr>
        <w:t>2．根据课程特点采用启发式教学、任务驱动教学、案例教学法进行教学方法创新。</w:t>
      </w:r>
    </w:p>
    <w:p>
      <w:pPr>
        <w:adjustRightInd w:val="0"/>
        <w:snapToGrid w:val="0"/>
        <w:spacing w:line="300" w:lineRule="auto"/>
        <w:ind w:firstLine="420" w:firstLineChars="200"/>
        <w:rPr>
          <w:szCs w:val="21"/>
        </w:rPr>
      </w:pPr>
      <w:r>
        <w:rPr>
          <w:szCs w:val="21"/>
        </w:rPr>
        <w:t>3．</w:t>
      </w:r>
      <w:r>
        <w:t>采用项目为载体、任务驱动的教学模式，以专业岗位能力为培养目标，选择项目构建合适的学习载体，项目源于复杂电子信息工程问题，教学目标定位为阶段性单项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b/>
          <w:bCs/>
          <w:sz w:val="18"/>
          <w:szCs w:val="18"/>
        </w:rPr>
      </w:pPr>
      <w:r>
        <w:rPr>
          <w:b/>
          <w:bCs/>
          <w:sz w:val="18"/>
          <w:szCs w:val="18"/>
        </w:rPr>
        <w:t>表3教学内容与教学要求</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969"/>
        <w:gridCol w:w="3562"/>
        <w:gridCol w:w="740"/>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5"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2969"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3562"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740" w:type="dxa"/>
            <w:vAlign w:val="center"/>
          </w:tcPr>
          <w:p>
            <w:pPr>
              <w:adjustRightInd w:val="0"/>
              <w:snapToGrid w:val="0"/>
              <w:spacing w:line="300" w:lineRule="auto"/>
              <w:jc w:val="center"/>
              <w:rPr>
                <w:b/>
                <w:bCs/>
                <w:sz w:val="18"/>
                <w:szCs w:val="18"/>
              </w:rPr>
            </w:pPr>
            <w:r>
              <w:rPr>
                <w:b/>
                <w:bCs/>
                <w:sz w:val="18"/>
                <w:szCs w:val="18"/>
              </w:rPr>
              <w:t>学时</w:t>
            </w:r>
          </w:p>
        </w:tc>
        <w:tc>
          <w:tcPr>
            <w:tcW w:w="1039"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1</w:t>
            </w:r>
          </w:p>
        </w:tc>
        <w:tc>
          <w:tcPr>
            <w:tcW w:w="2969" w:type="dxa"/>
            <w:vAlign w:val="center"/>
          </w:tcPr>
          <w:p>
            <w:pPr>
              <w:adjustRightInd w:val="0"/>
              <w:snapToGrid w:val="0"/>
              <w:spacing w:line="300" w:lineRule="auto"/>
              <w:rPr>
                <w:sz w:val="18"/>
                <w:szCs w:val="18"/>
              </w:rPr>
            </w:pPr>
            <w:r>
              <w:rPr>
                <w:sz w:val="18"/>
                <w:szCs w:val="18"/>
              </w:rPr>
              <w:t>1电子科学与技术科学研究概述</w:t>
            </w:r>
          </w:p>
          <w:p>
            <w:pPr>
              <w:adjustRightInd w:val="0"/>
              <w:snapToGrid w:val="0"/>
              <w:spacing w:line="300" w:lineRule="auto"/>
              <w:ind w:right="-31" w:rightChars="-15" w:firstLine="2"/>
              <w:rPr>
                <w:sz w:val="18"/>
                <w:szCs w:val="18"/>
              </w:rPr>
            </w:pPr>
            <w:r>
              <w:rPr>
                <w:sz w:val="18"/>
                <w:szCs w:val="18"/>
              </w:rPr>
              <w:t>1.1科研基本概念</w:t>
            </w:r>
          </w:p>
          <w:p>
            <w:pPr>
              <w:adjustRightInd w:val="0"/>
              <w:snapToGrid w:val="0"/>
              <w:spacing w:line="300" w:lineRule="auto"/>
              <w:ind w:right="-31" w:rightChars="-15" w:firstLine="2"/>
              <w:rPr>
                <w:sz w:val="18"/>
                <w:szCs w:val="18"/>
              </w:rPr>
            </w:pPr>
            <w:r>
              <w:rPr>
                <w:sz w:val="18"/>
                <w:szCs w:val="18"/>
              </w:rPr>
              <w:t>1.2科学研究的分类</w:t>
            </w:r>
          </w:p>
          <w:p>
            <w:pPr>
              <w:adjustRightInd w:val="0"/>
              <w:snapToGrid w:val="0"/>
              <w:spacing w:line="300" w:lineRule="auto"/>
              <w:ind w:right="-31" w:rightChars="-15" w:firstLine="2"/>
              <w:rPr>
                <w:sz w:val="18"/>
                <w:szCs w:val="18"/>
              </w:rPr>
            </w:pPr>
            <w:r>
              <w:rPr>
                <w:sz w:val="18"/>
                <w:szCs w:val="18"/>
              </w:rPr>
              <w:t>1.3科学研究的特点</w:t>
            </w:r>
          </w:p>
          <w:p>
            <w:pPr>
              <w:adjustRightInd w:val="0"/>
              <w:snapToGrid w:val="0"/>
              <w:spacing w:line="300" w:lineRule="auto"/>
              <w:ind w:right="-31" w:rightChars="-15" w:firstLine="2"/>
              <w:rPr>
                <w:sz w:val="18"/>
                <w:szCs w:val="18"/>
              </w:rPr>
            </w:pPr>
            <w:r>
              <w:rPr>
                <w:sz w:val="18"/>
                <w:szCs w:val="18"/>
              </w:rPr>
              <w:t>1.4 科研的基本程序</w:t>
            </w:r>
          </w:p>
          <w:p>
            <w:pPr>
              <w:adjustRightInd w:val="0"/>
              <w:snapToGrid w:val="0"/>
              <w:spacing w:line="300" w:lineRule="auto"/>
              <w:ind w:right="-31" w:rightChars="-15" w:firstLine="2"/>
              <w:rPr>
                <w:sz w:val="18"/>
                <w:szCs w:val="18"/>
              </w:rPr>
            </w:pPr>
            <w:r>
              <w:rPr>
                <w:sz w:val="18"/>
                <w:szCs w:val="18"/>
              </w:rPr>
              <w:t>1.5做一个有良心的研究学者</w:t>
            </w:r>
          </w:p>
        </w:tc>
        <w:tc>
          <w:tcPr>
            <w:tcW w:w="3562"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w:t>
            </w:r>
            <w:r>
              <w:rPr>
                <w:sz w:val="18"/>
                <w:szCs w:val="18"/>
              </w:rPr>
              <w:t>了解电子科学与技术科学研究的分类、程序、特点。</w:t>
            </w:r>
          </w:p>
          <w:p>
            <w:pPr>
              <w:adjustRightInd w:val="0"/>
              <w:snapToGrid w:val="0"/>
              <w:spacing w:line="300" w:lineRule="auto"/>
              <w:rPr>
                <w:sz w:val="18"/>
                <w:szCs w:val="18"/>
              </w:rPr>
            </w:pPr>
            <w:r>
              <w:rPr>
                <w:sz w:val="18"/>
                <w:szCs w:val="18"/>
              </w:rPr>
              <w:t>（2）理解科学研究的基本概念、科学思维的逻辑性。</w:t>
            </w:r>
          </w:p>
          <w:p>
            <w:pPr>
              <w:adjustRightInd w:val="0"/>
              <w:snapToGrid w:val="0"/>
              <w:spacing w:line="300" w:lineRule="auto"/>
              <w:rPr>
                <w:sz w:val="18"/>
                <w:szCs w:val="18"/>
              </w:rPr>
            </w:pPr>
            <w:r>
              <w:rPr>
                <w:sz w:val="18"/>
                <w:szCs w:val="18"/>
              </w:rPr>
              <w:t>（3）重点掌握电子科学与技术的特点、前瞻性科学假说概念及意义等。</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740" w:type="dxa"/>
            <w:vAlign w:val="center"/>
          </w:tcPr>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jc w:val="center"/>
              <w:rPr>
                <w:kern w:val="0"/>
                <w:sz w:val="18"/>
                <w:szCs w:val="18"/>
              </w:rPr>
            </w:pPr>
            <w:r>
              <w:rPr>
                <w:kern w:val="0"/>
                <w:sz w:val="18"/>
                <w:szCs w:val="18"/>
              </w:rPr>
              <w:t>1</w:t>
            </w:r>
          </w:p>
          <w:p>
            <w:pPr>
              <w:adjustRightInd w:val="0"/>
              <w:snapToGrid w:val="0"/>
              <w:spacing w:line="300" w:lineRule="auto"/>
              <w:rPr>
                <w:kern w:val="0"/>
                <w:sz w:val="18"/>
                <w:szCs w:val="18"/>
              </w:rPr>
            </w:pPr>
          </w:p>
          <w:p>
            <w:pPr>
              <w:adjustRightInd w:val="0"/>
              <w:snapToGrid w:val="0"/>
              <w:spacing w:line="300" w:lineRule="auto"/>
              <w:rPr>
                <w:kern w:val="0"/>
                <w:sz w:val="18"/>
                <w:szCs w:val="18"/>
              </w:rPr>
            </w:pPr>
          </w:p>
        </w:tc>
        <w:tc>
          <w:tcPr>
            <w:tcW w:w="1039" w:type="dxa"/>
            <w:vAlign w:val="center"/>
          </w:tcPr>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r>
              <w:rPr>
                <w:kern w:val="0"/>
                <w:sz w:val="18"/>
                <w:szCs w:val="18"/>
              </w:rPr>
              <w:t>1，3</w:t>
            </w: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969" w:type="dxa"/>
            <w:vAlign w:val="center"/>
          </w:tcPr>
          <w:p>
            <w:pPr>
              <w:adjustRightInd w:val="0"/>
              <w:snapToGrid w:val="0"/>
              <w:spacing w:line="300" w:lineRule="auto"/>
              <w:rPr>
                <w:sz w:val="18"/>
                <w:szCs w:val="18"/>
              </w:rPr>
            </w:pPr>
            <w:r>
              <w:rPr>
                <w:sz w:val="18"/>
                <w:szCs w:val="18"/>
              </w:rPr>
              <w:t>2 科研课题的选择</w:t>
            </w:r>
          </w:p>
          <w:p>
            <w:pPr>
              <w:adjustRightInd w:val="0"/>
              <w:snapToGrid w:val="0"/>
              <w:spacing w:line="300" w:lineRule="auto"/>
              <w:rPr>
                <w:sz w:val="18"/>
                <w:szCs w:val="18"/>
              </w:rPr>
            </w:pPr>
            <w:r>
              <w:rPr>
                <w:sz w:val="18"/>
                <w:szCs w:val="18"/>
              </w:rPr>
              <w:t>2.1基本概念</w:t>
            </w:r>
          </w:p>
          <w:p>
            <w:pPr>
              <w:adjustRightInd w:val="0"/>
              <w:snapToGrid w:val="0"/>
              <w:spacing w:line="300" w:lineRule="auto"/>
              <w:ind w:right="-31" w:rightChars="-15"/>
              <w:rPr>
                <w:sz w:val="18"/>
                <w:szCs w:val="18"/>
              </w:rPr>
            </w:pPr>
            <w:r>
              <w:rPr>
                <w:sz w:val="18"/>
                <w:szCs w:val="18"/>
              </w:rPr>
              <w:t>2.2选题的原则</w:t>
            </w:r>
            <w:r>
              <w:rPr>
                <w:sz w:val="18"/>
                <w:szCs w:val="18"/>
              </w:rPr>
              <w:tab/>
            </w:r>
          </w:p>
          <w:p>
            <w:pPr>
              <w:adjustRightInd w:val="0"/>
              <w:snapToGrid w:val="0"/>
              <w:spacing w:line="300" w:lineRule="auto"/>
              <w:ind w:right="-31" w:rightChars="-15"/>
              <w:rPr>
                <w:sz w:val="18"/>
                <w:szCs w:val="18"/>
              </w:rPr>
            </w:pPr>
            <w:r>
              <w:rPr>
                <w:sz w:val="18"/>
                <w:szCs w:val="18"/>
              </w:rPr>
              <w:t>2.3课题的来源</w:t>
            </w:r>
          </w:p>
          <w:p>
            <w:pPr>
              <w:adjustRightInd w:val="0"/>
              <w:snapToGrid w:val="0"/>
              <w:spacing w:line="300" w:lineRule="auto"/>
              <w:rPr>
                <w:sz w:val="18"/>
                <w:szCs w:val="18"/>
              </w:rPr>
            </w:pPr>
            <w:r>
              <w:rPr>
                <w:sz w:val="18"/>
                <w:szCs w:val="18"/>
              </w:rPr>
              <w:t>2.4选题的程序</w:t>
            </w:r>
          </w:p>
          <w:p>
            <w:pPr>
              <w:adjustRightInd w:val="0"/>
              <w:snapToGrid w:val="0"/>
              <w:spacing w:line="300" w:lineRule="auto"/>
              <w:rPr>
                <w:sz w:val="18"/>
                <w:szCs w:val="18"/>
              </w:rPr>
            </w:pPr>
            <w:r>
              <w:rPr>
                <w:sz w:val="18"/>
                <w:szCs w:val="18"/>
              </w:rPr>
              <w:t>2.5课程思政：“汉芯事件”的启示。</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rPr>
                <w:sz w:val="18"/>
                <w:szCs w:val="18"/>
              </w:rPr>
            </w:pPr>
            <w:r>
              <w:rPr>
                <w:sz w:val="18"/>
                <w:szCs w:val="18"/>
              </w:rPr>
              <w:t>（1）了解科研课题的选择原则、程序。</w:t>
            </w:r>
          </w:p>
          <w:p>
            <w:pPr>
              <w:adjustRightInd w:val="0"/>
              <w:snapToGrid w:val="0"/>
              <w:spacing w:line="300" w:lineRule="auto"/>
              <w:rPr>
                <w:sz w:val="18"/>
                <w:szCs w:val="18"/>
              </w:rPr>
            </w:pPr>
            <w:r>
              <w:rPr>
                <w:sz w:val="18"/>
                <w:szCs w:val="18"/>
              </w:rPr>
              <w:t>（2）理解科研课题选择的来源和形成机制。</w:t>
            </w:r>
          </w:p>
          <w:p>
            <w:pPr>
              <w:adjustRightInd w:val="0"/>
              <w:snapToGrid w:val="0"/>
              <w:spacing w:line="300" w:lineRule="auto"/>
              <w:rPr>
                <w:sz w:val="18"/>
                <w:szCs w:val="18"/>
              </w:rPr>
            </w:pPr>
            <w:r>
              <w:rPr>
                <w:sz w:val="18"/>
                <w:szCs w:val="18"/>
              </w:rPr>
              <w:t>（3）重点掌握科研课题选择的概念、意义，新颖性的含义。</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969" w:type="dxa"/>
            <w:vAlign w:val="center"/>
          </w:tcPr>
          <w:p>
            <w:pPr>
              <w:adjustRightInd w:val="0"/>
              <w:snapToGrid w:val="0"/>
              <w:spacing w:line="300" w:lineRule="auto"/>
              <w:rPr>
                <w:sz w:val="18"/>
                <w:szCs w:val="18"/>
              </w:rPr>
            </w:pPr>
            <w:r>
              <w:rPr>
                <w:sz w:val="18"/>
                <w:szCs w:val="18"/>
              </w:rPr>
              <w:t>3 科研设计</w:t>
            </w:r>
          </w:p>
          <w:p>
            <w:pPr>
              <w:adjustRightInd w:val="0"/>
              <w:snapToGrid w:val="0"/>
              <w:spacing w:line="300" w:lineRule="auto"/>
              <w:ind w:right="-31" w:rightChars="-15" w:firstLine="2"/>
              <w:rPr>
                <w:sz w:val="18"/>
                <w:szCs w:val="18"/>
              </w:rPr>
            </w:pPr>
            <w:r>
              <w:rPr>
                <w:sz w:val="18"/>
                <w:szCs w:val="18"/>
              </w:rPr>
              <w:t>3.1</w:t>
            </w:r>
            <w:r>
              <w:rPr>
                <w:bCs/>
                <w:sz w:val="18"/>
                <w:szCs w:val="18"/>
              </w:rPr>
              <w:t>基本概念</w:t>
            </w:r>
          </w:p>
          <w:p>
            <w:pPr>
              <w:adjustRightInd w:val="0"/>
              <w:snapToGrid w:val="0"/>
              <w:spacing w:line="300" w:lineRule="auto"/>
              <w:ind w:right="-31" w:rightChars="-15"/>
              <w:rPr>
                <w:sz w:val="18"/>
                <w:szCs w:val="18"/>
              </w:rPr>
            </w:pPr>
            <w:r>
              <w:rPr>
                <w:sz w:val="18"/>
                <w:szCs w:val="18"/>
              </w:rPr>
              <w:t>3.2</w:t>
            </w:r>
            <w:r>
              <w:rPr>
                <w:bCs/>
                <w:sz w:val="18"/>
                <w:szCs w:val="18"/>
              </w:rPr>
              <w:t>科研设计三要素</w:t>
            </w:r>
          </w:p>
          <w:p>
            <w:pPr>
              <w:adjustRightInd w:val="0"/>
              <w:snapToGrid w:val="0"/>
              <w:spacing w:line="300" w:lineRule="auto"/>
              <w:rPr>
                <w:bCs/>
                <w:sz w:val="18"/>
                <w:szCs w:val="18"/>
              </w:rPr>
            </w:pPr>
            <w:r>
              <w:rPr>
                <w:sz w:val="18"/>
                <w:szCs w:val="18"/>
              </w:rPr>
              <w:t>3.3</w:t>
            </w:r>
            <w:r>
              <w:rPr>
                <w:bCs/>
                <w:sz w:val="18"/>
                <w:szCs w:val="18"/>
              </w:rPr>
              <w:t>科研设计基本原则</w:t>
            </w:r>
          </w:p>
          <w:p>
            <w:pPr>
              <w:adjustRightInd w:val="0"/>
              <w:snapToGrid w:val="0"/>
              <w:spacing w:line="300" w:lineRule="auto"/>
              <w:rPr>
                <w:kern w:val="0"/>
                <w:sz w:val="18"/>
                <w:szCs w:val="18"/>
              </w:rPr>
            </w:pPr>
            <w:r>
              <w:rPr>
                <w:bCs/>
                <w:kern w:val="0"/>
                <w:sz w:val="18"/>
                <w:szCs w:val="18"/>
              </w:rPr>
              <w:t>3.4课程思政：</w:t>
            </w:r>
            <w:r>
              <w:rPr>
                <w:sz w:val="18"/>
                <w:szCs w:val="18"/>
              </w:rPr>
              <w:t>翟天临事件的启示</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rPr>
                <w:sz w:val="18"/>
                <w:szCs w:val="18"/>
              </w:rPr>
            </w:pPr>
            <w:r>
              <w:rPr>
                <w:sz w:val="18"/>
                <w:szCs w:val="18"/>
              </w:rPr>
              <w:t>（1）了解实验研究受试对象的相关要素。</w:t>
            </w:r>
          </w:p>
          <w:p>
            <w:pPr>
              <w:adjustRightInd w:val="0"/>
              <w:snapToGrid w:val="0"/>
              <w:spacing w:line="300" w:lineRule="auto"/>
              <w:rPr>
                <w:sz w:val="18"/>
                <w:szCs w:val="18"/>
              </w:rPr>
            </w:pPr>
            <w:r>
              <w:rPr>
                <w:sz w:val="18"/>
                <w:szCs w:val="18"/>
              </w:rPr>
              <w:t>（2）理解科研设计的意义及基本原则。</w:t>
            </w:r>
          </w:p>
          <w:p>
            <w:pPr>
              <w:adjustRightInd w:val="0"/>
              <w:snapToGrid w:val="0"/>
              <w:spacing w:line="300" w:lineRule="auto"/>
              <w:rPr>
                <w:sz w:val="18"/>
                <w:szCs w:val="18"/>
              </w:rPr>
            </w:pPr>
            <w:r>
              <w:rPr>
                <w:sz w:val="18"/>
                <w:szCs w:val="18"/>
              </w:rPr>
              <w:t>（3）重点掌握科研设计的概念、内容、开题报告和标书的基本结构及书写要求。</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3.教学方法</w:t>
            </w:r>
          </w:p>
          <w:p>
            <w:pPr>
              <w:adjustRightInd w:val="0"/>
              <w:snapToGrid w:val="0"/>
              <w:spacing w:line="300" w:lineRule="auto"/>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969" w:type="dxa"/>
            <w:vAlign w:val="center"/>
          </w:tcPr>
          <w:p>
            <w:pPr>
              <w:adjustRightInd w:val="0"/>
              <w:snapToGrid w:val="0"/>
              <w:spacing w:line="300" w:lineRule="auto"/>
              <w:ind w:right="-31" w:rightChars="-15"/>
              <w:rPr>
                <w:sz w:val="18"/>
                <w:szCs w:val="18"/>
              </w:rPr>
            </w:pPr>
            <w:r>
              <w:rPr>
                <w:sz w:val="18"/>
                <w:szCs w:val="18"/>
              </w:rPr>
              <w:t xml:space="preserve">4 </w:t>
            </w:r>
            <w:r>
              <w:rPr>
                <w:kern w:val="0"/>
                <w:sz w:val="18"/>
                <w:szCs w:val="18"/>
                <w:lang w:val="zh-CN"/>
              </w:rPr>
              <w:t>统计方法与实验设计</w:t>
            </w:r>
          </w:p>
          <w:p>
            <w:pPr>
              <w:adjustRightInd w:val="0"/>
              <w:snapToGrid w:val="0"/>
              <w:spacing w:line="300" w:lineRule="auto"/>
              <w:ind w:right="-31" w:rightChars="-15" w:firstLine="2"/>
              <w:rPr>
                <w:sz w:val="18"/>
                <w:szCs w:val="18"/>
              </w:rPr>
            </w:pPr>
            <w:r>
              <w:rPr>
                <w:sz w:val="18"/>
                <w:szCs w:val="18"/>
              </w:rPr>
              <w:t>4.1</w:t>
            </w:r>
            <w:r>
              <w:rPr>
                <w:kern w:val="0"/>
                <w:sz w:val="18"/>
                <w:szCs w:val="18"/>
                <w:lang w:val="zh-CN"/>
              </w:rPr>
              <w:t>电子科学与技术统计学的基本概念。</w:t>
            </w:r>
          </w:p>
          <w:p>
            <w:pPr>
              <w:adjustRightInd w:val="0"/>
              <w:snapToGrid w:val="0"/>
              <w:spacing w:line="300" w:lineRule="auto"/>
              <w:ind w:right="-31" w:rightChars="-15" w:firstLine="2"/>
              <w:rPr>
                <w:sz w:val="18"/>
                <w:szCs w:val="18"/>
              </w:rPr>
            </w:pPr>
            <w:r>
              <w:rPr>
                <w:sz w:val="18"/>
                <w:szCs w:val="18"/>
              </w:rPr>
              <w:t>4.2</w:t>
            </w:r>
            <w:r>
              <w:rPr>
                <w:kern w:val="0"/>
                <w:sz w:val="18"/>
                <w:szCs w:val="18"/>
                <w:lang w:val="zh-CN"/>
              </w:rPr>
              <w:t>电子科学与技术统计学方法与科学研究的关系。</w:t>
            </w:r>
          </w:p>
          <w:p>
            <w:pPr>
              <w:adjustRightInd w:val="0"/>
              <w:snapToGrid w:val="0"/>
              <w:spacing w:line="300" w:lineRule="auto"/>
              <w:ind w:right="-31" w:rightChars="-15"/>
              <w:rPr>
                <w:sz w:val="18"/>
                <w:szCs w:val="18"/>
              </w:rPr>
            </w:pPr>
            <w:r>
              <w:rPr>
                <w:sz w:val="18"/>
                <w:szCs w:val="18"/>
              </w:rPr>
              <w:t>4.3</w:t>
            </w:r>
            <w:r>
              <w:rPr>
                <w:kern w:val="0"/>
                <w:sz w:val="18"/>
                <w:szCs w:val="18"/>
                <w:lang w:val="zh-CN"/>
              </w:rPr>
              <w:t>常用</w:t>
            </w:r>
            <w:r>
              <w:rPr>
                <w:sz w:val="18"/>
                <w:szCs w:val="18"/>
              </w:rPr>
              <w:t>电子</w:t>
            </w:r>
            <w:r>
              <w:rPr>
                <w:kern w:val="0"/>
                <w:sz w:val="18"/>
                <w:szCs w:val="18"/>
                <w:lang w:val="zh-CN"/>
              </w:rPr>
              <w:t>科学与技术统计方法、常用实验设计方法。</w:t>
            </w:r>
          </w:p>
          <w:p>
            <w:pPr>
              <w:adjustRightInd w:val="0"/>
              <w:snapToGrid w:val="0"/>
              <w:spacing w:line="300" w:lineRule="auto"/>
              <w:ind w:right="-31" w:rightChars="-15"/>
              <w:rPr>
                <w:kern w:val="0"/>
                <w:sz w:val="18"/>
                <w:szCs w:val="18"/>
              </w:rPr>
            </w:pPr>
            <w:r>
              <w:rPr>
                <w:kern w:val="0"/>
                <w:sz w:val="18"/>
                <w:szCs w:val="18"/>
                <w:lang w:val="zh-CN"/>
              </w:rPr>
              <w:t>4.5课程思政：“浙江大学副校长褚健”的起落人生。</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（1）了解电子科学与技术统计学的基本概念。</w:t>
            </w:r>
          </w:p>
          <w:p>
            <w:pPr>
              <w:adjustRightInd w:val="0"/>
              <w:snapToGrid w:val="0"/>
              <w:spacing w:line="300" w:lineRule="auto"/>
              <w:ind w:right="-31" w:rightChars="-15"/>
              <w:rPr>
                <w:sz w:val="18"/>
                <w:szCs w:val="18"/>
              </w:rPr>
            </w:pPr>
            <w:r>
              <w:rPr>
                <w:sz w:val="18"/>
                <w:szCs w:val="18"/>
              </w:rPr>
              <w:t>（2）理解电子科学与技术统计学方法与科学研究的关系。</w:t>
            </w:r>
          </w:p>
          <w:p>
            <w:pPr>
              <w:adjustRightInd w:val="0"/>
              <w:snapToGrid w:val="0"/>
              <w:spacing w:line="300" w:lineRule="auto"/>
              <w:rPr>
                <w:sz w:val="18"/>
                <w:szCs w:val="18"/>
              </w:rPr>
            </w:pPr>
            <w:r>
              <w:rPr>
                <w:sz w:val="18"/>
                <w:szCs w:val="18"/>
              </w:rPr>
              <w:t>（3）重点掌握</w:t>
            </w:r>
            <w:r>
              <w:rPr>
                <w:kern w:val="0"/>
                <w:sz w:val="18"/>
                <w:szCs w:val="18"/>
                <w:lang w:val="zh-CN"/>
              </w:rPr>
              <w:t>常用电子科学与技术统计方法、常用实验设计方法</w:t>
            </w:r>
            <w:r>
              <w:rPr>
                <w:sz w:val="18"/>
                <w:szCs w:val="18"/>
              </w:rPr>
              <w:t>。</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3.教学方法</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7"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969" w:type="dxa"/>
            <w:vAlign w:val="center"/>
          </w:tcPr>
          <w:p>
            <w:pPr>
              <w:adjustRightInd w:val="0"/>
              <w:snapToGrid w:val="0"/>
              <w:spacing w:line="300" w:lineRule="auto"/>
              <w:ind w:right="-31" w:rightChars="-15"/>
              <w:rPr>
                <w:sz w:val="18"/>
                <w:szCs w:val="18"/>
              </w:rPr>
            </w:pPr>
            <w:r>
              <w:rPr>
                <w:sz w:val="18"/>
                <w:szCs w:val="18"/>
              </w:rPr>
              <w:t xml:space="preserve">5 </w:t>
            </w:r>
            <w:r>
              <w:rPr>
                <w:kern w:val="0"/>
                <w:sz w:val="18"/>
                <w:szCs w:val="18"/>
                <w:lang w:val="zh-CN"/>
              </w:rPr>
              <w:t>文献资料的收集、整理与利用</w:t>
            </w:r>
          </w:p>
          <w:p>
            <w:pPr>
              <w:adjustRightInd w:val="0"/>
              <w:snapToGrid w:val="0"/>
              <w:spacing w:line="300" w:lineRule="auto"/>
              <w:ind w:right="-31" w:rightChars="-15" w:firstLine="2"/>
              <w:rPr>
                <w:sz w:val="18"/>
                <w:szCs w:val="18"/>
              </w:rPr>
            </w:pPr>
            <w:r>
              <w:rPr>
                <w:sz w:val="18"/>
                <w:szCs w:val="18"/>
              </w:rPr>
              <w:t>5.1</w:t>
            </w:r>
            <w:r>
              <w:rPr>
                <w:kern w:val="0"/>
                <w:sz w:val="18"/>
                <w:szCs w:val="18"/>
                <w:lang w:val="zh-CN"/>
              </w:rPr>
              <w:t>科技文献的特点与功能</w:t>
            </w:r>
          </w:p>
          <w:p>
            <w:pPr>
              <w:adjustRightInd w:val="0"/>
              <w:snapToGrid w:val="0"/>
              <w:spacing w:line="300" w:lineRule="auto"/>
              <w:ind w:right="-31" w:rightChars="-15" w:firstLine="2"/>
              <w:rPr>
                <w:sz w:val="18"/>
                <w:szCs w:val="18"/>
              </w:rPr>
            </w:pPr>
            <w:r>
              <w:rPr>
                <w:sz w:val="18"/>
                <w:szCs w:val="18"/>
              </w:rPr>
              <w:t xml:space="preserve">5.2 </w:t>
            </w:r>
            <w:r>
              <w:rPr>
                <w:kern w:val="0"/>
                <w:sz w:val="18"/>
                <w:szCs w:val="18"/>
                <w:lang w:val="zh-CN"/>
              </w:rPr>
              <w:t>文献与科学研究的关系</w:t>
            </w:r>
          </w:p>
          <w:p>
            <w:pPr>
              <w:adjustRightInd w:val="0"/>
              <w:snapToGrid w:val="0"/>
              <w:spacing w:line="300" w:lineRule="auto"/>
              <w:rPr>
                <w:kern w:val="0"/>
                <w:sz w:val="18"/>
                <w:szCs w:val="18"/>
                <w:lang w:val="zh-CN"/>
              </w:rPr>
            </w:pPr>
            <w:r>
              <w:rPr>
                <w:sz w:val="18"/>
                <w:szCs w:val="18"/>
              </w:rPr>
              <w:t>5.3</w:t>
            </w:r>
            <w:r>
              <w:rPr>
                <w:kern w:val="0"/>
                <w:sz w:val="18"/>
                <w:szCs w:val="18"/>
                <w:lang w:val="zh-CN"/>
              </w:rPr>
              <w:t>获取文献信息的途径，文献资料的阅读、积累、利用方法</w:t>
            </w:r>
          </w:p>
          <w:p>
            <w:pPr>
              <w:adjustRightInd w:val="0"/>
              <w:snapToGrid w:val="0"/>
              <w:spacing w:line="300" w:lineRule="auto"/>
              <w:rPr>
                <w:kern w:val="0"/>
                <w:sz w:val="18"/>
                <w:szCs w:val="18"/>
              </w:rPr>
            </w:pPr>
            <w:r>
              <w:rPr>
                <w:kern w:val="0"/>
                <w:sz w:val="18"/>
                <w:szCs w:val="18"/>
                <w:lang w:val="zh-CN"/>
              </w:rPr>
              <w:t>5.4</w:t>
            </w:r>
            <w:r>
              <w:rPr>
                <w:b/>
                <w:bCs/>
                <w:kern w:val="0"/>
                <w:sz w:val="18"/>
                <w:szCs w:val="18"/>
                <w:lang w:val="zh-CN"/>
              </w:rPr>
              <w:t>课程思政：</w:t>
            </w:r>
            <w:r>
              <w:rPr>
                <w:kern w:val="0"/>
                <w:sz w:val="18"/>
                <w:szCs w:val="18"/>
                <w:lang w:val="zh-CN"/>
              </w:rPr>
              <w:t>日本 “学术女神”小保方晴子造假事件的启示</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科技文献的特点与功能。</w:t>
            </w:r>
          </w:p>
          <w:p>
            <w:pPr>
              <w:adjustRightInd w:val="0"/>
              <w:snapToGrid w:val="0"/>
              <w:spacing w:line="300" w:lineRule="auto"/>
              <w:ind w:right="-31" w:rightChars="-15"/>
              <w:rPr>
                <w:sz w:val="18"/>
                <w:szCs w:val="18"/>
              </w:rPr>
            </w:pPr>
            <w:r>
              <w:rPr>
                <w:sz w:val="18"/>
                <w:szCs w:val="18"/>
              </w:rPr>
              <w:t>（2）理解</w:t>
            </w:r>
            <w:r>
              <w:rPr>
                <w:kern w:val="0"/>
                <w:sz w:val="18"/>
                <w:szCs w:val="18"/>
                <w:lang w:val="zh-CN"/>
              </w:rPr>
              <w:t>文献与科学研究的关系；不同出版类型的文献中所含知识的不同特点</w:t>
            </w:r>
            <w:r>
              <w:rPr>
                <w:sz w:val="18"/>
                <w:szCs w:val="18"/>
              </w:rPr>
              <w:t>。</w:t>
            </w:r>
          </w:p>
          <w:p>
            <w:pPr>
              <w:adjustRightInd w:val="0"/>
              <w:snapToGrid w:val="0"/>
              <w:spacing w:line="300" w:lineRule="auto"/>
              <w:rPr>
                <w:sz w:val="18"/>
                <w:szCs w:val="18"/>
              </w:rPr>
            </w:pPr>
            <w:r>
              <w:rPr>
                <w:sz w:val="18"/>
                <w:szCs w:val="18"/>
              </w:rPr>
              <w:t>（3）重点掌握</w:t>
            </w:r>
            <w:r>
              <w:rPr>
                <w:kern w:val="0"/>
                <w:sz w:val="18"/>
                <w:szCs w:val="18"/>
                <w:lang w:val="zh-CN"/>
              </w:rPr>
              <w:t>获取文献信息的途径，文献资料的阅读、积累、利用方法。</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查找指定课题内容的10篇论文。</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left"/>
              <w:rPr>
                <w:kern w:val="0"/>
                <w:sz w:val="18"/>
                <w:szCs w:val="18"/>
              </w:rPr>
            </w:pPr>
            <w:r>
              <w:rPr>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2969" w:type="dxa"/>
            <w:vAlign w:val="center"/>
          </w:tcPr>
          <w:p>
            <w:pPr>
              <w:adjustRightInd w:val="0"/>
              <w:snapToGrid w:val="0"/>
              <w:spacing w:line="300" w:lineRule="auto"/>
              <w:ind w:right="-31" w:rightChars="-15"/>
              <w:rPr>
                <w:sz w:val="18"/>
                <w:szCs w:val="18"/>
              </w:rPr>
            </w:pPr>
            <w:r>
              <w:rPr>
                <w:sz w:val="18"/>
                <w:szCs w:val="18"/>
              </w:rPr>
              <w:t>6 科技工作者的科研能力</w:t>
            </w:r>
          </w:p>
          <w:p>
            <w:pPr>
              <w:adjustRightInd w:val="0"/>
              <w:snapToGrid w:val="0"/>
              <w:spacing w:line="300" w:lineRule="auto"/>
              <w:ind w:right="-31" w:rightChars="-15" w:firstLine="2"/>
              <w:rPr>
                <w:sz w:val="18"/>
                <w:szCs w:val="18"/>
              </w:rPr>
            </w:pPr>
            <w:r>
              <w:rPr>
                <w:sz w:val="18"/>
                <w:szCs w:val="18"/>
              </w:rPr>
              <w:t>6.1</w:t>
            </w:r>
            <w:r>
              <w:rPr>
                <w:kern w:val="0"/>
                <w:sz w:val="18"/>
                <w:szCs w:val="18"/>
                <w:lang w:val="zh-CN"/>
              </w:rPr>
              <w:t>科研能力的概念。</w:t>
            </w:r>
          </w:p>
          <w:p>
            <w:pPr>
              <w:adjustRightInd w:val="0"/>
              <w:snapToGrid w:val="0"/>
              <w:spacing w:line="300" w:lineRule="auto"/>
              <w:ind w:right="-31" w:rightChars="-15" w:firstLine="2"/>
              <w:rPr>
                <w:kern w:val="0"/>
                <w:sz w:val="18"/>
                <w:szCs w:val="18"/>
                <w:lang w:val="zh-CN"/>
              </w:rPr>
            </w:pPr>
            <w:r>
              <w:rPr>
                <w:sz w:val="18"/>
                <w:szCs w:val="18"/>
              </w:rPr>
              <w:t>6.2</w:t>
            </w:r>
            <w:r>
              <w:rPr>
                <w:kern w:val="0"/>
                <w:sz w:val="18"/>
                <w:szCs w:val="18"/>
                <w:lang w:val="zh-CN"/>
              </w:rPr>
              <w:t>科学素养的涵义。</w:t>
            </w:r>
          </w:p>
          <w:p>
            <w:pPr>
              <w:adjustRightInd w:val="0"/>
              <w:snapToGrid w:val="0"/>
              <w:spacing w:line="300" w:lineRule="auto"/>
              <w:ind w:right="-31" w:rightChars="-15"/>
              <w:rPr>
                <w:kern w:val="0"/>
                <w:sz w:val="18"/>
                <w:szCs w:val="18"/>
                <w:lang w:val="zh-CN"/>
              </w:rPr>
            </w:pPr>
            <w:r>
              <w:rPr>
                <w:sz w:val="18"/>
                <w:szCs w:val="18"/>
              </w:rPr>
              <w:t>6.3</w:t>
            </w:r>
            <w:r>
              <w:rPr>
                <w:kern w:val="0"/>
                <w:sz w:val="18"/>
                <w:szCs w:val="18"/>
                <w:lang w:val="zh-CN"/>
              </w:rPr>
              <w:t>观察能力、操作能力、表达能力。</w:t>
            </w:r>
          </w:p>
          <w:p>
            <w:pPr>
              <w:adjustRightInd w:val="0"/>
              <w:snapToGrid w:val="0"/>
              <w:spacing w:line="300" w:lineRule="auto"/>
              <w:ind w:right="-31" w:rightChars="-15"/>
              <w:rPr>
                <w:sz w:val="18"/>
                <w:szCs w:val="18"/>
              </w:rPr>
            </w:pPr>
            <w:r>
              <w:rPr>
                <w:sz w:val="18"/>
                <w:szCs w:val="18"/>
              </w:rPr>
              <w:t>6.4课程思政：屠呦呦科研能力量化启示——实践出真知</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w:t>
            </w:r>
            <w:r>
              <w:rPr>
                <w:kern w:val="0"/>
                <w:sz w:val="18"/>
                <w:szCs w:val="18"/>
                <w:lang w:val="zh-CN"/>
              </w:rPr>
              <w:t>科研能力的概念。</w:t>
            </w:r>
          </w:p>
          <w:p>
            <w:pPr>
              <w:adjustRightInd w:val="0"/>
              <w:snapToGrid w:val="0"/>
              <w:spacing w:line="300" w:lineRule="auto"/>
              <w:ind w:right="-31" w:rightChars="-15"/>
              <w:rPr>
                <w:sz w:val="18"/>
                <w:szCs w:val="18"/>
              </w:rPr>
            </w:pPr>
            <w:r>
              <w:rPr>
                <w:sz w:val="18"/>
                <w:szCs w:val="18"/>
              </w:rPr>
              <w:t>（2）理解</w:t>
            </w:r>
            <w:r>
              <w:rPr>
                <w:kern w:val="0"/>
                <w:sz w:val="18"/>
                <w:szCs w:val="18"/>
                <w:lang w:val="zh-CN"/>
              </w:rPr>
              <w:t>科学素养的涵义。</w:t>
            </w:r>
          </w:p>
          <w:p>
            <w:pPr>
              <w:adjustRightInd w:val="0"/>
              <w:snapToGrid w:val="0"/>
              <w:spacing w:line="300" w:lineRule="auto"/>
              <w:rPr>
                <w:sz w:val="18"/>
                <w:szCs w:val="18"/>
              </w:rPr>
            </w:pPr>
            <w:r>
              <w:rPr>
                <w:sz w:val="18"/>
                <w:szCs w:val="18"/>
              </w:rPr>
              <w:t>（3）重点掌握</w:t>
            </w:r>
            <w:r>
              <w:rPr>
                <w:kern w:val="0"/>
                <w:sz w:val="18"/>
                <w:szCs w:val="18"/>
                <w:lang w:val="zh-CN"/>
              </w:rPr>
              <w:t>观察能力、操作能力与表达能力。</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7</w:t>
            </w:r>
          </w:p>
        </w:tc>
        <w:tc>
          <w:tcPr>
            <w:tcW w:w="2969" w:type="dxa"/>
            <w:vAlign w:val="center"/>
          </w:tcPr>
          <w:p>
            <w:pPr>
              <w:adjustRightInd w:val="0"/>
              <w:snapToGrid w:val="0"/>
              <w:spacing w:line="300" w:lineRule="auto"/>
              <w:ind w:right="-31" w:rightChars="-15"/>
              <w:rPr>
                <w:kern w:val="0"/>
                <w:sz w:val="18"/>
                <w:szCs w:val="18"/>
                <w:lang w:val="zh-CN"/>
              </w:rPr>
            </w:pPr>
            <w:r>
              <w:rPr>
                <w:kern w:val="0"/>
                <w:sz w:val="18"/>
                <w:szCs w:val="18"/>
                <w:lang w:val="zh-CN"/>
              </w:rPr>
              <w:t>7 科技工作者的科学思维</w:t>
            </w:r>
          </w:p>
          <w:p>
            <w:pPr>
              <w:adjustRightInd w:val="0"/>
              <w:snapToGrid w:val="0"/>
              <w:spacing w:line="300" w:lineRule="auto"/>
              <w:ind w:right="-31" w:rightChars="-15" w:firstLine="2"/>
              <w:rPr>
                <w:kern w:val="0"/>
                <w:sz w:val="18"/>
                <w:szCs w:val="18"/>
                <w:lang w:val="zh-CN"/>
              </w:rPr>
            </w:pPr>
            <w:r>
              <w:rPr>
                <w:kern w:val="0"/>
                <w:sz w:val="18"/>
                <w:szCs w:val="18"/>
                <w:lang w:val="zh-CN"/>
              </w:rPr>
              <w:t>7.1科学思维的基本概念</w:t>
            </w:r>
          </w:p>
          <w:p>
            <w:pPr>
              <w:adjustRightInd w:val="0"/>
              <w:snapToGrid w:val="0"/>
              <w:spacing w:line="300" w:lineRule="auto"/>
              <w:ind w:right="-31" w:rightChars="-15" w:firstLine="2"/>
              <w:rPr>
                <w:kern w:val="0"/>
                <w:sz w:val="18"/>
                <w:szCs w:val="18"/>
                <w:lang w:val="zh-CN"/>
              </w:rPr>
            </w:pPr>
            <w:r>
              <w:rPr>
                <w:kern w:val="0"/>
                <w:sz w:val="18"/>
                <w:szCs w:val="18"/>
                <w:lang w:val="zh-CN"/>
              </w:rPr>
              <w:t>7.2科学思维能力与科学研究的关系</w:t>
            </w:r>
          </w:p>
          <w:p>
            <w:pPr>
              <w:adjustRightInd w:val="0"/>
              <w:snapToGrid w:val="0"/>
              <w:spacing w:line="300" w:lineRule="auto"/>
              <w:ind w:right="-31" w:rightChars="-15" w:firstLine="2"/>
              <w:rPr>
                <w:kern w:val="0"/>
                <w:sz w:val="18"/>
                <w:szCs w:val="18"/>
                <w:lang w:val="zh-CN"/>
              </w:rPr>
            </w:pPr>
            <w:r>
              <w:rPr>
                <w:kern w:val="0"/>
                <w:sz w:val="18"/>
                <w:szCs w:val="18"/>
                <w:lang w:val="zh-CN"/>
              </w:rPr>
              <w:t>7.3分散思维、集中思维与类比推理</w:t>
            </w:r>
          </w:p>
          <w:p>
            <w:pPr>
              <w:adjustRightInd w:val="0"/>
              <w:snapToGrid w:val="0"/>
              <w:spacing w:line="300" w:lineRule="auto"/>
              <w:ind w:right="-31" w:rightChars="-15" w:firstLine="2"/>
              <w:rPr>
                <w:kern w:val="0"/>
                <w:sz w:val="18"/>
                <w:szCs w:val="18"/>
                <w:lang w:val="zh-CN"/>
              </w:rPr>
            </w:pPr>
            <w:r>
              <w:rPr>
                <w:rFonts w:eastAsia="等线"/>
                <w:b/>
                <w:bCs/>
                <w:kern w:val="0"/>
                <w:sz w:val="18"/>
                <w:szCs w:val="18"/>
                <w:lang w:val="zh-CN"/>
              </w:rPr>
              <w:t>课程思政：</w:t>
            </w:r>
            <w:r>
              <w:rPr>
                <w:rFonts w:eastAsia="等线"/>
                <w:kern w:val="0"/>
                <w:sz w:val="18"/>
                <w:szCs w:val="18"/>
                <w:lang w:val="zh-CN"/>
              </w:rPr>
              <w:t>跨学科思维的科学家哥白尼列奥纳多·达芬奇故事</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（1）了解流</w:t>
            </w:r>
            <w:r>
              <w:rPr>
                <w:kern w:val="0"/>
                <w:sz w:val="18"/>
                <w:szCs w:val="18"/>
                <w:lang w:val="zh-CN"/>
              </w:rPr>
              <w:t>科学思维的基本概念。</w:t>
            </w:r>
          </w:p>
          <w:p>
            <w:pPr>
              <w:adjustRightInd w:val="0"/>
              <w:snapToGrid w:val="0"/>
              <w:spacing w:line="300" w:lineRule="auto"/>
              <w:ind w:right="-31" w:rightChars="-15"/>
              <w:rPr>
                <w:sz w:val="18"/>
                <w:szCs w:val="18"/>
              </w:rPr>
            </w:pPr>
            <w:r>
              <w:rPr>
                <w:sz w:val="18"/>
                <w:szCs w:val="18"/>
              </w:rPr>
              <w:t>（2）理解</w:t>
            </w:r>
            <w:r>
              <w:rPr>
                <w:kern w:val="0"/>
                <w:sz w:val="18"/>
                <w:szCs w:val="18"/>
                <w:lang w:val="zh-CN"/>
              </w:rPr>
              <w:t>科学思维能力与科学研究的关系。</w:t>
            </w:r>
          </w:p>
          <w:p>
            <w:pPr>
              <w:adjustRightInd w:val="0"/>
              <w:snapToGrid w:val="0"/>
              <w:spacing w:line="300" w:lineRule="auto"/>
              <w:rPr>
                <w:sz w:val="18"/>
                <w:szCs w:val="18"/>
              </w:rPr>
            </w:pPr>
            <w:r>
              <w:rPr>
                <w:sz w:val="18"/>
                <w:szCs w:val="18"/>
              </w:rPr>
              <w:t>（3）重点掌握</w:t>
            </w:r>
            <w:r>
              <w:rPr>
                <w:kern w:val="0"/>
                <w:sz w:val="18"/>
                <w:szCs w:val="18"/>
                <w:lang w:val="zh-CN"/>
              </w:rPr>
              <w:t>分散思维与集中思维、类比推理</w:t>
            </w:r>
            <w:r>
              <w:rPr>
                <w:sz w:val="18"/>
                <w:szCs w:val="18"/>
              </w:rPr>
              <w:t>。</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8</w:t>
            </w:r>
          </w:p>
        </w:tc>
        <w:tc>
          <w:tcPr>
            <w:tcW w:w="2969" w:type="dxa"/>
            <w:vAlign w:val="center"/>
          </w:tcPr>
          <w:p>
            <w:pPr>
              <w:adjustRightInd w:val="0"/>
              <w:snapToGrid w:val="0"/>
              <w:spacing w:line="300" w:lineRule="auto"/>
              <w:ind w:right="-31" w:rightChars="-15"/>
              <w:rPr>
                <w:sz w:val="18"/>
                <w:szCs w:val="18"/>
              </w:rPr>
            </w:pPr>
            <w:r>
              <w:rPr>
                <w:sz w:val="18"/>
                <w:szCs w:val="18"/>
              </w:rPr>
              <w:t>8 科学道德</w:t>
            </w:r>
          </w:p>
          <w:p>
            <w:pPr>
              <w:adjustRightInd w:val="0"/>
              <w:snapToGrid w:val="0"/>
              <w:spacing w:line="300" w:lineRule="auto"/>
              <w:ind w:right="-31" w:rightChars="-15" w:firstLine="2"/>
              <w:rPr>
                <w:sz w:val="18"/>
                <w:szCs w:val="18"/>
              </w:rPr>
            </w:pPr>
            <w:r>
              <w:rPr>
                <w:sz w:val="18"/>
                <w:szCs w:val="18"/>
              </w:rPr>
              <w:t>8.1</w:t>
            </w:r>
            <w:r>
              <w:rPr>
                <w:kern w:val="0"/>
                <w:sz w:val="18"/>
                <w:szCs w:val="18"/>
                <w:lang w:val="zh-CN"/>
              </w:rPr>
              <w:t>科学研究工作中涉及的伦理、道德问题</w:t>
            </w:r>
          </w:p>
          <w:p>
            <w:pPr>
              <w:adjustRightInd w:val="0"/>
              <w:snapToGrid w:val="0"/>
              <w:spacing w:line="300" w:lineRule="auto"/>
              <w:ind w:right="-31" w:rightChars="-15" w:firstLine="2"/>
              <w:rPr>
                <w:sz w:val="18"/>
                <w:szCs w:val="18"/>
              </w:rPr>
            </w:pPr>
            <w:r>
              <w:rPr>
                <w:sz w:val="18"/>
                <w:szCs w:val="18"/>
              </w:rPr>
              <w:t>8.2</w:t>
            </w:r>
            <w:r>
              <w:rPr>
                <w:kern w:val="0"/>
                <w:sz w:val="18"/>
                <w:szCs w:val="18"/>
                <w:lang w:val="zh-CN"/>
              </w:rPr>
              <w:t>科学之真与道德之善在科学研究中的完美统一</w:t>
            </w:r>
          </w:p>
          <w:p>
            <w:pPr>
              <w:adjustRightInd w:val="0"/>
              <w:snapToGrid w:val="0"/>
              <w:spacing w:line="300" w:lineRule="auto"/>
              <w:ind w:right="-31" w:rightChars="-15" w:firstLine="2"/>
              <w:rPr>
                <w:kern w:val="0"/>
                <w:sz w:val="18"/>
                <w:szCs w:val="18"/>
                <w:lang w:val="zh-CN"/>
              </w:rPr>
            </w:pPr>
            <w:r>
              <w:rPr>
                <w:sz w:val="18"/>
                <w:szCs w:val="18"/>
              </w:rPr>
              <w:t>8.3</w:t>
            </w:r>
            <w:r>
              <w:rPr>
                <w:kern w:val="0"/>
                <w:sz w:val="18"/>
                <w:szCs w:val="18"/>
                <w:lang w:val="zh-CN"/>
              </w:rPr>
              <w:t>研究中的伦理道德准则</w:t>
            </w:r>
          </w:p>
          <w:p>
            <w:pPr>
              <w:adjustRightInd w:val="0"/>
              <w:snapToGrid w:val="0"/>
              <w:spacing w:line="300" w:lineRule="auto"/>
              <w:ind w:right="-31" w:rightChars="-15" w:firstLine="2"/>
              <w:rPr>
                <w:sz w:val="18"/>
                <w:szCs w:val="18"/>
              </w:rPr>
            </w:pPr>
            <w:r>
              <w:rPr>
                <w:b/>
                <w:kern w:val="0"/>
                <w:sz w:val="18"/>
                <w:szCs w:val="18"/>
              </w:rPr>
              <w:t>课程思政：</w:t>
            </w:r>
            <w:r>
              <w:rPr>
                <w:bCs/>
                <w:kern w:val="0"/>
                <w:sz w:val="18"/>
                <w:szCs w:val="18"/>
              </w:rPr>
              <w:t>人工智能带来的伦理道德问题思考</w:t>
            </w:r>
            <w:r>
              <w:rPr>
                <w:sz w:val="18"/>
                <w:szCs w:val="18"/>
              </w:rPr>
              <w:t xml:space="preserve"> </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科学研究工作中涉及的伦理、道德问题。</w:t>
            </w:r>
          </w:p>
          <w:p>
            <w:pPr>
              <w:adjustRightInd w:val="0"/>
              <w:snapToGrid w:val="0"/>
              <w:spacing w:line="300" w:lineRule="auto"/>
              <w:ind w:right="-31" w:rightChars="-15"/>
              <w:rPr>
                <w:sz w:val="18"/>
                <w:szCs w:val="18"/>
              </w:rPr>
            </w:pPr>
            <w:r>
              <w:rPr>
                <w:sz w:val="18"/>
                <w:szCs w:val="18"/>
              </w:rPr>
              <w:t>（2）理解</w:t>
            </w:r>
            <w:r>
              <w:rPr>
                <w:kern w:val="0"/>
                <w:sz w:val="18"/>
                <w:szCs w:val="18"/>
                <w:lang w:val="zh-CN"/>
              </w:rPr>
              <w:t>科学之真与道德之善在科学研究中的完美统一。</w:t>
            </w:r>
          </w:p>
          <w:p>
            <w:pPr>
              <w:adjustRightInd w:val="0"/>
              <w:snapToGrid w:val="0"/>
              <w:spacing w:line="300" w:lineRule="auto"/>
              <w:rPr>
                <w:sz w:val="18"/>
                <w:szCs w:val="18"/>
              </w:rPr>
            </w:pPr>
            <w:r>
              <w:rPr>
                <w:sz w:val="18"/>
                <w:szCs w:val="18"/>
              </w:rPr>
              <w:t>（3）重点掌握</w:t>
            </w:r>
            <w:r>
              <w:rPr>
                <w:kern w:val="0"/>
                <w:sz w:val="18"/>
                <w:szCs w:val="18"/>
                <w:lang w:val="zh-CN"/>
              </w:rPr>
              <w:t>研究中的伦理道德准则</w:t>
            </w:r>
            <w:r>
              <w:rPr>
                <w:sz w:val="18"/>
                <w:szCs w:val="18"/>
              </w:rPr>
              <w:t>（B）</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ind w:firstLine="180" w:firstLineChars="100"/>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firstLine="180" w:firstLineChars="100"/>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9</w:t>
            </w:r>
          </w:p>
        </w:tc>
        <w:tc>
          <w:tcPr>
            <w:tcW w:w="2969" w:type="dxa"/>
            <w:vAlign w:val="center"/>
          </w:tcPr>
          <w:p>
            <w:pPr>
              <w:adjustRightInd w:val="0"/>
              <w:snapToGrid w:val="0"/>
              <w:spacing w:line="300" w:lineRule="auto"/>
              <w:ind w:right="-31" w:rightChars="-15"/>
              <w:rPr>
                <w:sz w:val="18"/>
                <w:szCs w:val="18"/>
              </w:rPr>
            </w:pPr>
            <w:r>
              <w:rPr>
                <w:sz w:val="18"/>
                <w:szCs w:val="18"/>
              </w:rPr>
              <w:t>9 科技写作概论</w:t>
            </w:r>
          </w:p>
          <w:p>
            <w:pPr>
              <w:adjustRightInd w:val="0"/>
              <w:snapToGrid w:val="0"/>
              <w:spacing w:line="300" w:lineRule="auto"/>
              <w:ind w:right="-31" w:rightChars="-15" w:firstLine="2"/>
              <w:rPr>
                <w:sz w:val="18"/>
                <w:szCs w:val="18"/>
              </w:rPr>
            </w:pPr>
            <w:r>
              <w:rPr>
                <w:sz w:val="18"/>
                <w:szCs w:val="18"/>
              </w:rPr>
              <w:t>9.1</w:t>
            </w:r>
            <w:r>
              <w:rPr>
                <w:kern w:val="0"/>
                <w:sz w:val="18"/>
                <w:szCs w:val="18"/>
                <w:lang w:val="zh-CN"/>
              </w:rPr>
              <w:t>撰写科技论著的意义</w:t>
            </w:r>
          </w:p>
          <w:p>
            <w:pPr>
              <w:adjustRightInd w:val="0"/>
              <w:snapToGrid w:val="0"/>
              <w:spacing w:line="300" w:lineRule="auto"/>
              <w:ind w:right="-31" w:rightChars="-15"/>
              <w:rPr>
                <w:sz w:val="18"/>
                <w:szCs w:val="18"/>
              </w:rPr>
            </w:pPr>
            <w:r>
              <w:rPr>
                <w:sz w:val="18"/>
                <w:szCs w:val="18"/>
              </w:rPr>
              <w:t>9.2</w:t>
            </w:r>
            <w:r>
              <w:rPr>
                <w:kern w:val="0"/>
                <w:sz w:val="18"/>
                <w:szCs w:val="18"/>
                <w:lang w:val="zh-CN"/>
              </w:rPr>
              <w:t>科技论文的特点</w:t>
            </w:r>
          </w:p>
          <w:p>
            <w:pPr>
              <w:adjustRightInd w:val="0"/>
              <w:snapToGrid w:val="0"/>
              <w:spacing w:line="300" w:lineRule="auto"/>
              <w:ind w:right="-31" w:rightChars="-15" w:firstLine="2"/>
              <w:rPr>
                <w:kern w:val="0"/>
                <w:sz w:val="18"/>
                <w:szCs w:val="18"/>
                <w:lang w:val="zh-CN"/>
              </w:rPr>
            </w:pPr>
            <w:r>
              <w:rPr>
                <w:sz w:val="18"/>
                <w:szCs w:val="18"/>
              </w:rPr>
              <w:t>9.3</w:t>
            </w:r>
            <w:r>
              <w:rPr>
                <w:kern w:val="0"/>
                <w:sz w:val="18"/>
                <w:szCs w:val="18"/>
                <w:lang w:val="zh-CN"/>
              </w:rPr>
              <w:t>科技论文的文风特色</w:t>
            </w:r>
          </w:p>
          <w:p>
            <w:pPr>
              <w:adjustRightInd w:val="0"/>
              <w:snapToGrid w:val="0"/>
              <w:spacing w:line="300" w:lineRule="auto"/>
              <w:ind w:right="-31" w:rightChars="-15" w:firstLine="2"/>
              <w:rPr>
                <w:sz w:val="18"/>
                <w:szCs w:val="18"/>
              </w:rPr>
            </w:pPr>
            <w:r>
              <w:rPr>
                <w:sz w:val="18"/>
                <w:szCs w:val="18"/>
              </w:rPr>
              <w:t>9.4</w:t>
            </w:r>
            <w:r>
              <w:rPr>
                <w:kern w:val="0"/>
                <w:sz w:val="18"/>
                <w:szCs w:val="18"/>
                <w:lang w:val="zh-CN"/>
              </w:rPr>
              <w:t>提高科技写作能力的途径</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科技写作的基本知识，科技文献的特点与功能。</w:t>
            </w:r>
          </w:p>
          <w:p>
            <w:pPr>
              <w:adjustRightInd w:val="0"/>
              <w:snapToGrid w:val="0"/>
              <w:spacing w:line="300" w:lineRule="auto"/>
              <w:ind w:right="-31" w:rightChars="-15"/>
              <w:rPr>
                <w:sz w:val="18"/>
                <w:szCs w:val="18"/>
              </w:rPr>
            </w:pPr>
            <w:r>
              <w:rPr>
                <w:sz w:val="18"/>
                <w:szCs w:val="18"/>
              </w:rPr>
              <w:t>（2）理解</w:t>
            </w:r>
            <w:r>
              <w:rPr>
                <w:kern w:val="0"/>
                <w:sz w:val="18"/>
                <w:szCs w:val="18"/>
                <w:lang w:val="zh-CN"/>
              </w:rPr>
              <w:t>文献与科学研究的关系；不同出版类型的文献中所含知识的不同特点。</w:t>
            </w:r>
          </w:p>
          <w:p>
            <w:pPr>
              <w:adjustRightInd w:val="0"/>
              <w:snapToGrid w:val="0"/>
              <w:spacing w:line="300" w:lineRule="auto"/>
              <w:rPr>
                <w:sz w:val="18"/>
                <w:szCs w:val="18"/>
              </w:rPr>
            </w:pPr>
            <w:r>
              <w:rPr>
                <w:sz w:val="18"/>
                <w:szCs w:val="18"/>
              </w:rPr>
              <w:t>（3）重点掌握</w:t>
            </w:r>
            <w:r>
              <w:rPr>
                <w:kern w:val="0"/>
                <w:sz w:val="18"/>
                <w:szCs w:val="18"/>
                <w:lang w:val="zh-CN"/>
              </w:rPr>
              <w:t>文献的概念，不同级别文献的概念、特点及相互关系。</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1</w:t>
            </w:r>
          </w:p>
        </w:tc>
        <w:tc>
          <w:tcPr>
            <w:tcW w:w="1039" w:type="dxa"/>
            <w:vAlign w:val="center"/>
          </w:tcPr>
          <w:p>
            <w:pPr>
              <w:widowControl/>
              <w:adjustRightInd w:val="0"/>
              <w:snapToGrid w:val="0"/>
              <w:spacing w:line="300" w:lineRule="auto"/>
              <w:jc w:val="left"/>
              <w:rPr>
                <w:kern w:val="0"/>
                <w:sz w:val="18"/>
                <w:szCs w:val="18"/>
              </w:rPr>
            </w:pPr>
            <w:r>
              <w:rPr>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10</w:t>
            </w:r>
          </w:p>
        </w:tc>
        <w:tc>
          <w:tcPr>
            <w:tcW w:w="2969" w:type="dxa"/>
            <w:vAlign w:val="center"/>
          </w:tcPr>
          <w:p>
            <w:pPr>
              <w:adjustRightInd w:val="0"/>
              <w:snapToGrid w:val="0"/>
              <w:spacing w:line="300" w:lineRule="auto"/>
              <w:ind w:right="-31" w:rightChars="-15"/>
              <w:rPr>
                <w:sz w:val="18"/>
                <w:szCs w:val="18"/>
              </w:rPr>
            </w:pPr>
            <w:r>
              <w:rPr>
                <w:sz w:val="18"/>
                <w:szCs w:val="18"/>
              </w:rPr>
              <w:t>10 撰写论文的准备工作</w:t>
            </w:r>
          </w:p>
          <w:p>
            <w:pPr>
              <w:adjustRightInd w:val="0"/>
              <w:snapToGrid w:val="0"/>
              <w:spacing w:line="300" w:lineRule="auto"/>
              <w:ind w:right="-31" w:rightChars="-15" w:firstLine="2"/>
              <w:rPr>
                <w:sz w:val="18"/>
                <w:szCs w:val="18"/>
              </w:rPr>
            </w:pPr>
            <w:r>
              <w:rPr>
                <w:sz w:val="18"/>
                <w:szCs w:val="18"/>
              </w:rPr>
              <w:t>10.1</w:t>
            </w:r>
            <w:r>
              <w:rPr>
                <w:kern w:val="0"/>
                <w:sz w:val="18"/>
                <w:szCs w:val="18"/>
                <w:lang w:val="zh-CN"/>
              </w:rPr>
              <w:t>拟定中心内容、概念、涵义确定拟投刊物</w:t>
            </w:r>
          </w:p>
          <w:p>
            <w:pPr>
              <w:adjustRightInd w:val="0"/>
              <w:snapToGrid w:val="0"/>
              <w:spacing w:line="300" w:lineRule="auto"/>
              <w:ind w:right="-31" w:rightChars="-15"/>
              <w:rPr>
                <w:sz w:val="18"/>
                <w:szCs w:val="18"/>
              </w:rPr>
            </w:pPr>
            <w:r>
              <w:rPr>
                <w:sz w:val="18"/>
                <w:szCs w:val="18"/>
              </w:rPr>
              <w:t>10.2</w:t>
            </w:r>
            <w:r>
              <w:rPr>
                <w:kern w:val="0"/>
                <w:sz w:val="18"/>
                <w:szCs w:val="18"/>
                <w:lang w:val="zh-CN"/>
              </w:rPr>
              <w:t>整理实验、观察材料及相关文献资料</w:t>
            </w:r>
          </w:p>
          <w:p>
            <w:pPr>
              <w:adjustRightInd w:val="0"/>
              <w:snapToGrid w:val="0"/>
              <w:spacing w:line="300" w:lineRule="auto"/>
              <w:ind w:right="-31" w:rightChars="-15" w:firstLine="2"/>
              <w:rPr>
                <w:kern w:val="0"/>
                <w:sz w:val="18"/>
                <w:szCs w:val="18"/>
                <w:lang w:val="zh-CN"/>
              </w:rPr>
            </w:pPr>
            <w:r>
              <w:rPr>
                <w:sz w:val="18"/>
                <w:szCs w:val="18"/>
              </w:rPr>
              <w:t>10.3</w:t>
            </w:r>
            <w:r>
              <w:rPr>
                <w:kern w:val="0"/>
                <w:sz w:val="18"/>
                <w:szCs w:val="18"/>
                <w:lang w:val="zh-CN"/>
              </w:rPr>
              <w:t>制备图表、照片，或选择典型病例</w:t>
            </w:r>
          </w:p>
          <w:p>
            <w:pPr>
              <w:adjustRightInd w:val="0"/>
              <w:snapToGrid w:val="0"/>
              <w:spacing w:line="300" w:lineRule="auto"/>
              <w:ind w:right="-31" w:rightChars="-15" w:firstLine="2"/>
              <w:rPr>
                <w:sz w:val="18"/>
                <w:szCs w:val="18"/>
              </w:rPr>
            </w:pPr>
            <w:r>
              <w:rPr>
                <w:sz w:val="18"/>
                <w:szCs w:val="18"/>
              </w:rPr>
              <w:t>10.4</w:t>
            </w:r>
            <w:r>
              <w:rPr>
                <w:kern w:val="0"/>
                <w:sz w:val="18"/>
                <w:szCs w:val="18"/>
                <w:lang w:val="zh-CN"/>
              </w:rPr>
              <w:t>拟定论文写作提纲</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拟投刊物。</w:t>
            </w:r>
          </w:p>
          <w:p>
            <w:pPr>
              <w:adjustRightInd w:val="0"/>
              <w:snapToGrid w:val="0"/>
              <w:spacing w:line="300" w:lineRule="auto"/>
              <w:rPr>
                <w:sz w:val="18"/>
                <w:szCs w:val="18"/>
              </w:rPr>
            </w:pPr>
            <w:r>
              <w:rPr>
                <w:sz w:val="18"/>
                <w:szCs w:val="18"/>
              </w:rPr>
              <w:t>（2）掌握</w:t>
            </w:r>
            <w:r>
              <w:rPr>
                <w:kern w:val="0"/>
                <w:sz w:val="18"/>
                <w:szCs w:val="18"/>
                <w:lang w:val="zh-CN"/>
              </w:rPr>
              <w:t>实验、观察材料及相关文献资料的整理方法、图表制作方法及论文写作提纲的写作。</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r>
              <w:rPr>
                <w:kern w:val="0"/>
                <w:sz w:val="18"/>
                <w:szCs w:val="18"/>
              </w:rPr>
              <w:t>11</w:t>
            </w: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tc>
        <w:tc>
          <w:tcPr>
            <w:tcW w:w="2969" w:type="dxa"/>
            <w:vAlign w:val="center"/>
          </w:tcPr>
          <w:p>
            <w:pPr>
              <w:adjustRightInd w:val="0"/>
              <w:snapToGrid w:val="0"/>
              <w:spacing w:line="300" w:lineRule="auto"/>
              <w:ind w:right="-31" w:rightChars="-15"/>
              <w:rPr>
                <w:sz w:val="18"/>
                <w:szCs w:val="18"/>
              </w:rPr>
            </w:pPr>
            <w:r>
              <w:rPr>
                <w:sz w:val="18"/>
                <w:szCs w:val="18"/>
              </w:rPr>
              <w:t>11 电子科学与技术论文的写作格式——仿照温哥华格式</w:t>
            </w:r>
          </w:p>
          <w:p>
            <w:pPr>
              <w:adjustRightInd w:val="0"/>
              <w:snapToGrid w:val="0"/>
              <w:spacing w:line="300" w:lineRule="auto"/>
              <w:ind w:right="-31" w:rightChars="-15" w:firstLine="2"/>
              <w:rPr>
                <w:sz w:val="18"/>
                <w:szCs w:val="18"/>
              </w:rPr>
            </w:pPr>
            <w:r>
              <w:rPr>
                <w:sz w:val="18"/>
                <w:szCs w:val="18"/>
              </w:rPr>
              <w:t>11.1</w:t>
            </w:r>
            <w:r>
              <w:rPr>
                <w:kern w:val="0"/>
                <w:sz w:val="18"/>
                <w:szCs w:val="18"/>
                <w:lang w:val="zh-CN"/>
              </w:rPr>
              <w:t>温哥华格式</w:t>
            </w:r>
          </w:p>
          <w:p>
            <w:pPr>
              <w:adjustRightInd w:val="0"/>
              <w:snapToGrid w:val="0"/>
              <w:spacing w:line="300" w:lineRule="auto"/>
              <w:ind w:right="-31" w:rightChars="-15"/>
              <w:rPr>
                <w:sz w:val="18"/>
                <w:szCs w:val="18"/>
              </w:rPr>
            </w:pPr>
            <w:r>
              <w:rPr>
                <w:sz w:val="18"/>
                <w:szCs w:val="18"/>
              </w:rPr>
              <w:t>11.2</w:t>
            </w:r>
            <w:r>
              <w:rPr>
                <w:kern w:val="0"/>
                <w:sz w:val="18"/>
                <w:szCs w:val="18"/>
                <w:lang w:val="zh-CN"/>
              </w:rPr>
              <w:t>标题(Title)</w:t>
            </w:r>
          </w:p>
          <w:p>
            <w:pPr>
              <w:adjustRightInd w:val="0"/>
              <w:snapToGrid w:val="0"/>
              <w:spacing w:line="300" w:lineRule="auto"/>
              <w:ind w:right="-31" w:rightChars="-15" w:firstLine="2"/>
              <w:rPr>
                <w:kern w:val="0"/>
                <w:sz w:val="18"/>
                <w:szCs w:val="18"/>
                <w:lang w:val="zh-CN"/>
              </w:rPr>
            </w:pPr>
            <w:r>
              <w:rPr>
                <w:sz w:val="18"/>
                <w:szCs w:val="18"/>
              </w:rPr>
              <w:t>11.3</w:t>
            </w:r>
            <w:r>
              <w:rPr>
                <w:kern w:val="0"/>
                <w:sz w:val="18"/>
                <w:szCs w:val="18"/>
                <w:lang w:val="zh-CN"/>
              </w:rPr>
              <w:t>电子科技论文与温哥华式论文结合-方仿温哥华式</w:t>
            </w:r>
          </w:p>
          <w:p>
            <w:pPr>
              <w:adjustRightInd w:val="0"/>
              <w:snapToGrid w:val="0"/>
              <w:spacing w:line="300" w:lineRule="auto"/>
              <w:ind w:right="-31" w:rightChars="-15" w:firstLine="2"/>
              <w:rPr>
                <w:kern w:val="0"/>
                <w:sz w:val="18"/>
                <w:szCs w:val="18"/>
                <w:lang w:val="zh-CN"/>
              </w:rPr>
            </w:pPr>
            <w:r>
              <w:rPr>
                <w:sz w:val="18"/>
                <w:szCs w:val="18"/>
              </w:rPr>
              <w:t>11.4</w:t>
            </w:r>
            <w:r>
              <w:rPr>
                <w:kern w:val="0"/>
                <w:sz w:val="18"/>
                <w:szCs w:val="18"/>
                <w:lang w:val="zh-CN"/>
              </w:rPr>
              <w:t>内容提要(Abstract)</w:t>
            </w:r>
          </w:p>
          <w:p>
            <w:pPr>
              <w:adjustRightInd w:val="0"/>
              <w:snapToGrid w:val="0"/>
              <w:spacing w:line="300" w:lineRule="auto"/>
              <w:ind w:right="-31" w:rightChars="-15"/>
              <w:rPr>
                <w:kern w:val="0"/>
                <w:sz w:val="18"/>
                <w:szCs w:val="18"/>
                <w:lang w:val="zh-CN"/>
              </w:rPr>
            </w:pPr>
            <w:r>
              <w:rPr>
                <w:sz w:val="18"/>
                <w:szCs w:val="18"/>
              </w:rPr>
              <w:t>11.5</w:t>
            </w:r>
            <w:r>
              <w:rPr>
                <w:kern w:val="0"/>
                <w:sz w:val="18"/>
                <w:szCs w:val="18"/>
                <w:lang w:val="zh-CN"/>
              </w:rPr>
              <w:t>关键词(Key words)</w:t>
            </w:r>
          </w:p>
          <w:p>
            <w:pPr>
              <w:adjustRightInd w:val="0"/>
              <w:snapToGrid w:val="0"/>
              <w:spacing w:line="300" w:lineRule="auto"/>
              <w:ind w:right="-31" w:rightChars="-15"/>
              <w:rPr>
                <w:sz w:val="18"/>
                <w:szCs w:val="18"/>
              </w:rPr>
            </w:pPr>
            <w:r>
              <w:rPr>
                <w:sz w:val="18"/>
                <w:szCs w:val="18"/>
              </w:rPr>
              <w:t>11.6</w:t>
            </w:r>
            <w:r>
              <w:rPr>
                <w:kern w:val="0"/>
                <w:sz w:val="18"/>
                <w:szCs w:val="18"/>
                <w:lang w:val="zh-CN"/>
              </w:rPr>
              <w:t>导言(Introduction)</w:t>
            </w:r>
          </w:p>
          <w:p>
            <w:pPr>
              <w:adjustRightInd w:val="0"/>
              <w:snapToGrid w:val="0"/>
              <w:spacing w:line="300" w:lineRule="auto"/>
              <w:ind w:right="-31" w:rightChars="-15" w:firstLine="2"/>
              <w:rPr>
                <w:kern w:val="0"/>
                <w:sz w:val="18"/>
                <w:szCs w:val="18"/>
                <w:lang w:val="zh-CN"/>
              </w:rPr>
            </w:pPr>
            <w:r>
              <w:rPr>
                <w:sz w:val="18"/>
                <w:szCs w:val="18"/>
              </w:rPr>
              <w:t>11.7</w:t>
            </w:r>
            <w:r>
              <w:rPr>
                <w:kern w:val="0"/>
                <w:sz w:val="18"/>
                <w:szCs w:val="18"/>
                <w:lang w:val="zh-CN"/>
              </w:rPr>
              <w:t>材料与方法(Materials &amp; Methods)</w:t>
            </w:r>
          </w:p>
          <w:p>
            <w:pPr>
              <w:adjustRightInd w:val="0"/>
              <w:snapToGrid w:val="0"/>
              <w:spacing w:line="300" w:lineRule="auto"/>
              <w:ind w:right="-31" w:rightChars="-15" w:firstLine="2"/>
              <w:rPr>
                <w:kern w:val="0"/>
                <w:sz w:val="18"/>
                <w:szCs w:val="18"/>
                <w:lang w:val="zh-CN"/>
              </w:rPr>
            </w:pPr>
            <w:r>
              <w:rPr>
                <w:sz w:val="18"/>
                <w:szCs w:val="18"/>
              </w:rPr>
              <w:t>11.8</w:t>
            </w:r>
            <w:r>
              <w:rPr>
                <w:kern w:val="0"/>
                <w:sz w:val="18"/>
                <w:szCs w:val="18"/>
                <w:lang w:val="zh-CN"/>
              </w:rPr>
              <w:t>结果(Resulds)</w:t>
            </w:r>
          </w:p>
          <w:p>
            <w:pPr>
              <w:adjustRightInd w:val="0"/>
              <w:snapToGrid w:val="0"/>
              <w:spacing w:line="300" w:lineRule="auto"/>
              <w:ind w:right="-31" w:rightChars="-15" w:firstLine="2"/>
              <w:rPr>
                <w:kern w:val="0"/>
                <w:sz w:val="18"/>
                <w:szCs w:val="18"/>
                <w:lang w:val="zh-CN"/>
              </w:rPr>
            </w:pPr>
            <w:r>
              <w:rPr>
                <w:sz w:val="18"/>
                <w:szCs w:val="18"/>
              </w:rPr>
              <w:t>11.9</w:t>
            </w:r>
            <w:r>
              <w:rPr>
                <w:kern w:val="0"/>
                <w:sz w:val="18"/>
                <w:szCs w:val="18"/>
                <w:lang w:val="zh-CN"/>
              </w:rPr>
              <w:t>讨论(Discution or Comments)</w:t>
            </w:r>
          </w:p>
          <w:p>
            <w:pPr>
              <w:adjustRightInd w:val="0"/>
              <w:snapToGrid w:val="0"/>
              <w:spacing w:line="300" w:lineRule="auto"/>
              <w:ind w:right="-31" w:rightChars="-15" w:firstLine="2"/>
              <w:rPr>
                <w:kern w:val="0"/>
                <w:sz w:val="18"/>
                <w:szCs w:val="18"/>
                <w:lang w:val="zh-CN"/>
              </w:rPr>
            </w:pPr>
            <w:r>
              <w:rPr>
                <w:sz w:val="18"/>
                <w:szCs w:val="18"/>
              </w:rPr>
              <w:t>11.10</w:t>
            </w:r>
            <w:r>
              <w:rPr>
                <w:kern w:val="0"/>
                <w:sz w:val="18"/>
                <w:szCs w:val="18"/>
                <w:lang w:val="zh-CN"/>
              </w:rPr>
              <w:t>结论或总结(Conclution or Summary)</w:t>
            </w:r>
          </w:p>
          <w:p>
            <w:pPr>
              <w:adjustRightInd w:val="0"/>
              <w:snapToGrid w:val="0"/>
              <w:spacing w:line="300" w:lineRule="auto"/>
              <w:ind w:right="-31" w:rightChars="-15" w:firstLine="2"/>
              <w:rPr>
                <w:kern w:val="0"/>
                <w:sz w:val="18"/>
                <w:szCs w:val="18"/>
                <w:lang w:val="zh-CN"/>
              </w:rPr>
            </w:pPr>
            <w:r>
              <w:rPr>
                <w:sz w:val="18"/>
                <w:szCs w:val="18"/>
              </w:rPr>
              <w:t>11.11</w:t>
            </w:r>
            <w:r>
              <w:rPr>
                <w:kern w:val="0"/>
                <w:sz w:val="18"/>
                <w:szCs w:val="18"/>
                <w:lang w:val="zh-CN"/>
              </w:rPr>
              <w:t>志谢(Acknowledgments)</w:t>
            </w:r>
          </w:p>
          <w:p>
            <w:pPr>
              <w:adjustRightInd w:val="0"/>
              <w:snapToGrid w:val="0"/>
              <w:spacing w:line="300" w:lineRule="auto"/>
              <w:ind w:right="-31" w:rightChars="-15" w:firstLine="2"/>
              <w:rPr>
                <w:kern w:val="0"/>
                <w:sz w:val="18"/>
                <w:szCs w:val="18"/>
                <w:lang w:val="zh-CN"/>
              </w:rPr>
            </w:pPr>
            <w:r>
              <w:rPr>
                <w:sz w:val="18"/>
                <w:szCs w:val="18"/>
              </w:rPr>
              <w:t>11.12</w:t>
            </w:r>
            <w:r>
              <w:rPr>
                <w:kern w:val="0"/>
                <w:sz w:val="18"/>
                <w:szCs w:val="18"/>
                <w:lang w:val="zh-CN"/>
              </w:rPr>
              <w:t>参考文献(References)</w:t>
            </w:r>
          </w:p>
          <w:p>
            <w:pPr>
              <w:adjustRightInd w:val="0"/>
              <w:snapToGrid w:val="0"/>
              <w:spacing w:line="300" w:lineRule="auto"/>
              <w:rPr>
                <w:kern w:val="0"/>
                <w:sz w:val="18"/>
                <w:szCs w:val="18"/>
                <w:lang w:val="zh-CN"/>
              </w:rPr>
            </w:pPr>
            <w:r>
              <w:rPr>
                <w:sz w:val="18"/>
                <w:szCs w:val="18"/>
              </w:rPr>
              <w:t>11.13</w:t>
            </w:r>
            <w:r>
              <w:rPr>
                <w:kern w:val="0"/>
                <w:sz w:val="18"/>
                <w:szCs w:val="18"/>
                <w:lang w:val="zh-CN"/>
              </w:rPr>
              <w:t>英文摘要(English Abstract)</w:t>
            </w:r>
          </w:p>
          <w:p>
            <w:pPr>
              <w:adjustRightInd w:val="0"/>
              <w:snapToGrid w:val="0"/>
              <w:spacing w:line="300" w:lineRule="auto"/>
              <w:rPr>
                <w:kern w:val="0"/>
                <w:sz w:val="18"/>
                <w:szCs w:val="18"/>
              </w:rPr>
            </w:pPr>
            <w:r>
              <w:rPr>
                <w:kern w:val="0"/>
                <w:sz w:val="18"/>
                <w:szCs w:val="18"/>
                <w:lang w:val="zh-CN"/>
              </w:rPr>
              <w:t>11.14课程思政：近几年论文造假事件起因、影响与后果。</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科技论文写作程序与资料加工方法。</w:t>
            </w:r>
          </w:p>
          <w:p>
            <w:pPr>
              <w:adjustRightInd w:val="0"/>
              <w:snapToGrid w:val="0"/>
              <w:spacing w:line="300" w:lineRule="auto"/>
              <w:ind w:right="-31" w:rightChars="-15"/>
              <w:rPr>
                <w:sz w:val="18"/>
                <w:szCs w:val="18"/>
              </w:rPr>
            </w:pPr>
            <w:r>
              <w:rPr>
                <w:sz w:val="18"/>
                <w:szCs w:val="18"/>
              </w:rPr>
              <w:t>（2）理解科技论文</w:t>
            </w:r>
            <w:r>
              <w:rPr>
                <w:kern w:val="0"/>
                <w:sz w:val="18"/>
                <w:szCs w:val="18"/>
                <w:lang w:val="zh-CN"/>
              </w:rPr>
              <w:t>写作格式。</w:t>
            </w:r>
          </w:p>
          <w:p>
            <w:pPr>
              <w:adjustRightInd w:val="0"/>
              <w:snapToGrid w:val="0"/>
              <w:spacing w:line="300" w:lineRule="auto"/>
              <w:rPr>
                <w:sz w:val="18"/>
                <w:szCs w:val="18"/>
              </w:rPr>
            </w:pPr>
            <w:r>
              <w:rPr>
                <w:sz w:val="18"/>
                <w:szCs w:val="18"/>
              </w:rPr>
              <w:t>（3）重点掌握科技论文</w:t>
            </w:r>
            <w:r>
              <w:rPr>
                <w:kern w:val="0"/>
                <w:sz w:val="18"/>
                <w:szCs w:val="18"/>
                <w:lang w:val="zh-CN"/>
              </w:rPr>
              <w:t>写作格式。</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拟定科技论文题目，按照科技论文格式，写作简单科技论文。。</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r>
              <w:rPr>
                <w:kern w:val="0"/>
                <w:sz w:val="18"/>
                <w:szCs w:val="18"/>
              </w:rPr>
              <w:t>10</w:t>
            </w:r>
          </w:p>
          <w:p>
            <w:pPr>
              <w:widowControl/>
              <w:adjustRightInd w:val="0"/>
              <w:snapToGrid w:val="0"/>
              <w:spacing w:line="300" w:lineRule="auto"/>
              <w:jc w:val="center"/>
              <w:rPr>
                <w:kern w:val="0"/>
                <w:sz w:val="18"/>
                <w:szCs w:val="18"/>
              </w:rPr>
            </w:pPr>
          </w:p>
        </w:tc>
        <w:tc>
          <w:tcPr>
            <w:tcW w:w="1039" w:type="dxa"/>
            <w:vAlign w:val="center"/>
          </w:tcPr>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p>
          <w:p>
            <w:pPr>
              <w:widowControl/>
              <w:adjustRightInd w:val="0"/>
              <w:snapToGrid w:val="0"/>
              <w:spacing w:line="300" w:lineRule="auto"/>
              <w:jc w:val="left"/>
              <w:rPr>
                <w:kern w:val="0"/>
                <w:sz w:val="18"/>
                <w:szCs w:val="18"/>
              </w:rPr>
            </w:pPr>
            <w:r>
              <w:rPr>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12</w:t>
            </w:r>
          </w:p>
        </w:tc>
        <w:tc>
          <w:tcPr>
            <w:tcW w:w="2969" w:type="dxa"/>
            <w:vAlign w:val="center"/>
          </w:tcPr>
          <w:p>
            <w:pPr>
              <w:widowControl/>
              <w:adjustRightInd w:val="0"/>
              <w:snapToGrid w:val="0"/>
              <w:spacing w:line="300" w:lineRule="auto"/>
              <w:rPr>
                <w:kern w:val="0"/>
                <w:sz w:val="18"/>
                <w:szCs w:val="18"/>
              </w:rPr>
            </w:pPr>
            <w:r>
              <w:rPr>
                <w:sz w:val="18"/>
                <w:szCs w:val="18"/>
              </w:rPr>
              <w:t>12 学位论文</w:t>
            </w:r>
          </w:p>
          <w:p>
            <w:pPr>
              <w:adjustRightInd w:val="0"/>
              <w:snapToGrid w:val="0"/>
              <w:spacing w:line="300" w:lineRule="auto"/>
              <w:ind w:right="-31" w:rightChars="-15" w:firstLine="2"/>
              <w:rPr>
                <w:sz w:val="18"/>
                <w:szCs w:val="18"/>
              </w:rPr>
            </w:pPr>
            <w:r>
              <w:rPr>
                <w:sz w:val="18"/>
                <w:szCs w:val="18"/>
              </w:rPr>
              <w:t>12.1</w:t>
            </w:r>
            <w:r>
              <w:rPr>
                <w:kern w:val="0"/>
                <w:sz w:val="18"/>
                <w:szCs w:val="18"/>
                <w:lang w:val="zh-CN"/>
              </w:rPr>
              <w:t>学位论文的概念</w:t>
            </w:r>
          </w:p>
          <w:p>
            <w:pPr>
              <w:adjustRightInd w:val="0"/>
              <w:snapToGrid w:val="0"/>
              <w:spacing w:line="300" w:lineRule="auto"/>
              <w:ind w:right="-31" w:rightChars="-15"/>
              <w:rPr>
                <w:kern w:val="0"/>
                <w:sz w:val="18"/>
                <w:szCs w:val="18"/>
                <w:lang w:val="zh-CN"/>
              </w:rPr>
            </w:pPr>
            <w:r>
              <w:rPr>
                <w:sz w:val="18"/>
                <w:szCs w:val="18"/>
              </w:rPr>
              <w:t>12.2</w:t>
            </w:r>
            <w:r>
              <w:rPr>
                <w:kern w:val="0"/>
                <w:sz w:val="18"/>
                <w:szCs w:val="18"/>
                <w:lang w:val="zh-CN"/>
              </w:rPr>
              <w:t>学位论文的特点</w:t>
            </w:r>
          </w:p>
          <w:p>
            <w:pPr>
              <w:adjustRightInd w:val="0"/>
              <w:snapToGrid w:val="0"/>
              <w:spacing w:line="300" w:lineRule="auto"/>
              <w:ind w:right="-31" w:rightChars="-15"/>
              <w:rPr>
                <w:kern w:val="0"/>
                <w:sz w:val="18"/>
                <w:szCs w:val="18"/>
                <w:lang w:val="zh-CN"/>
              </w:rPr>
            </w:pPr>
            <w:r>
              <w:rPr>
                <w:sz w:val="18"/>
                <w:szCs w:val="18"/>
              </w:rPr>
              <w:t>12.3</w:t>
            </w:r>
            <w:r>
              <w:rPr>
                <w:kern w:val="0"/>
                <w:sz w:val="18"/>
                <w:szCs w:val="18"/>
                <w:lang w:val="zh-CN"/>
              </w:rPr>
              <w:t>学位论文的写作规范</w:t>
            </w:r>
          </w:p>
          <w:p>
            <w:pPr>
              <w:adjustRightInd w:val="0"/>
              <w:snapToGrid w:val="0"/>
              <w:spacing w:line="300" w:lineRule="auto"/>
              <w:ind w:right="-31" w:rightChars="-15"/>
              <w:rPr>
                <w:kern w:val="0"/>
                <w:sz w:val="18"/>
                <w:szCs w:val="18"/>
                <w:lang w:val="zh-CN"/>
              </w:rPr>
            </w:pPr>
            <w:r>
              <w:rPr>
                <w:rFonts w:hint="eastAsia"/>
                <w:b/>
                <w:kern w:val="0"/>
                <w:sz w:val="18"/>
                <w:szCs w:val="18"/>
              </w:rPr>
              <w:t>1</w:t>
            </w:r>
            <w:r>
              <w:rPr>
                <w:b/>
                <w:kern w:val="0"/>
                <w:sz w:val="18"/>
                <w:szCs w:val="18"/>
              </w:rPr>
              <w:t>2.4课程思政：</w:t>
            </w:r>
            <w:r>
              <w:rPr>
                <w:sz w:val="18"/>
                <w:szCs w:val="18"/>
              </w:rPr>
              <w:t>翟天临事件的启示</w:t>
            </w:r>
          </w:p>
        </w:tc>
        <w:tc>
          <w:tcPr>
            <w:tcW w:w="3562"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1.要求</w:t>
            </w:r>
          </w:p>
          <w:p>
            <w:pPr>
              <w:adjustRightInd w:val="0"/>
              <w:snapToGrid w:val="0"/>
              <w:spacing w:line="300" w:lineRule="auto"/>
              <w:ind w:right="-31" w:rightChars="-15"/>
              <w:rPr>
                <w:kern w:val="0"/>
                <w:sz w:val="18"/>
                <w:szCs w:val="18"/>
                <w:lang w:val="zh-CN"/>
              </w:rPr>
            </w:pPr>
            <w:r>
              <w:rPr>
                <w:sz w:val="18"/>
                <w:szCs w:val="18"/>
              </w:rPr>
              <w:t>（1）了解</w:t>
            </w:r>
            <w:r>
              <w:rPr>
                <w:kern w:val="0"/>
                <w:sz w:val="18"/>
                <w:szCs w:val="18"/>
                <w:lang w:val="zh-CN"/>
              </w:rPr>
              <w:t>学位论文的概念。</w:t>
            </w:r>
          </w:p>
          <w:p>
            <w:pPr>
              <w:adjustRightInd w:val="0"/>
              <w:snapToGrid w:val="0"/>
              <w:spacing w:line="300" w:lineRule="auto"/>
              <w:ind w:right="-31" w:rightChars="-15"/>
              <w:rPr>
                <w:sz w:val="18"/>
                <w:szCs w:val="18"/>
              </w:rPr>
            </w:pPr>
            <w:r>
              <w:rPr>
                <w:kern w:val="0"/>
                <w:sz w:val="18"/>
                <w:szCs w:val="18"/>
                <w:lang w:val="zh-CN"/>
              </w:rPr>
              <w:t>（</w:t>
            </w:r>
            <w:r>
              <w:rPr>
                <w:kern w:val="0"/>
                <w:sz w:val="18"/>
                <w:szCs w:val="18"/>
              </w:rPr>
              <w:t>2</w:t>
            </w:r>
            <w:r>
              <w:rPr>
                <w:kern w:val="0"/>
                <w:sz w:val="18"/>
                <w:szCs w:val="18"/>
                <w:lang w:val="zh-CN"/>
              </w:rPr>
              <w:t>）</w:t>
            </w:r>
            <w:r>
              <w:rPr>
                <w:sz w:val="18"/>
                <w:szCs w:val="18"/>
              </w:rPr>
              <w:t>理解</w:t>
            </w:r>
            <w:r>
              <w:rPr>
                <w:kern w:val="0"/>
                <w:sz w:val="18"/>
                <w:szCs w:val="18"/>
                <w:lang w:val="zh-CN"/>
              </w:rPr>
              <w:t>学位论文的特点。</w:t>
            </w:r>
          </w:p>
          <w:p>
            <w:pPr>
              <w:adjustRightInd w:val="0"/>
              <w:snapToGrid w:val="0"/>
              <w:spacing w:line="300" w:lineRule="auto"/>
              <w:rPr>
                <w:sz w:val="18"/>
                <w:szCs w:val="18"/>
              </w:rPr>
            </w:pPr>
            <w:r>
              <w:rPr>
                <w:sz w:val="18"/>
                <w:szCs w:val="18"/>
              </w:rPr>
              <w:t>（3）重点掌握</w:t>
            </w:r>
            <w:r>
              <w:rPr>
                <w:kern w:val="0"/>
                <w:sz w:val="18"/>
                <w:szCs w:val="18"/>
                <w:lang w:val="zh-CN"/>
              </w:rPr>
              <w:t>学位论文的写作规范</w:t>
            </w:r>
          </w:p>
          <w:p>
            <w:pPr>
              <w:adjustRightInd w:val="0"/>
              <w:snapToGrid w:val="0"/>
              <w:spacing w:line="300" w:lineRule="auto"/>
              <w:rPr>
                <w:bCs/>
                <w:sz w:val="18"/>
                <w:szCs w:val="18"/>
              </w:rPr>
            </w:pPr>
            <w:r>
              <w:rPr>
                <w:bCs/>
                <w:sz w:val="18"/>
                <w:szCs w:val="18"/>
              </w:rPr>
              <w:t>2.作业内容</w:t>
            </w:r>
          </w:p>
          <w:p>
            <w:pPr>
              <w:adjustRightInd w:val="0"/>
              <w:snapToGrid w:val="0"/>
              <w:spacing w:line="300" w:lineRule="auto"/>
              <w:rPr>
                <w:sz w:val="18"/>
                <w:szCs w:val="18"/>
              </w:rPr>
            </w:pPr>
            <w:r>
              <w:rPr>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left"/>
              <w:rPr>
                <w:kern w:val="0"/>
                <w:sz w:val="18"/>
                <w:szCs w:val="18"/>
              </w:rPr>
            </w:pPr>
            <w:r>
              <w:rPr>
                <w:kern w:val="0"/>
                <w:sz w:val="18"/>
                <w:szCs w:val="18"/>
              </w:rPr>
              <w:t>1，3</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w:t>
      </w:r>
      <w:r>
        <w:rPr>
          <w:rFonts w:hint="eastAsia"/>
        </w:rPr>
        <w:t>撰写</w:t>
      </w:r>
      <w:r>
        <w:t>论文，</w:t>
      </w:r>
      <w:r>
        <w:rPr>
          <w:rFonts w:hint="eastAsia"/>
        </w:rPr>
        <w:t>课堂表现</w:t>
      </w:r>
      <w:r>
        <w:t>。</w:t>
      </w:r>
    </w:p>
    <w:p>
      <w:pPr>
        <w:adjustRightInd w:val="0"/>
        <w:snapToGrid w:val="0"/>
        <w:spacing w:line="300" w:lineRule="auto"/>
        <w:ind w:firstLine="420" w:firstLineChars="200"/>
      </w:pPr>
      <w:r>
        <w:t>2．成绩构成：</w:t>
      </w:r>
      <w:r>
        <w:rPr>
          <w:rFonts w:hint="eastAsia"/>
        </w:rPr>
        <w:t>论文写作</w:t>
      </w:r>
      <w:r>
        <w:t>成绩</w:t>
      </w:r>
      <w:r>
        <w:rPr>
          <w:rFonts w:hint="eastAsia"/>
        </w:rPr>
        <w:t>7</w:t>
      </w:r>
      <w:r>
        <w:t>0%，平时成绩30%（课后作业、课堂表现等）。</w:t>
      </w:r>
    </w:p>
    <w:p>
      <w:pPr>
        <w:adjustRightInd w:val="0"/>
        <w:snapToGrid w:val="0"/>
        <w:spacing w:line="300" w:lineRule="auto"/>
        <w:ind w:firstLine="420" w:firstLineChars="200"/>
      </w:pPr>
      <w:r>
        <w:t>3．考核评价标准见表4所示。</w:t>
      </w:r>
    </w:p>
    <w:p>
      <w:pPr>
        <w:adjustRightInd w:val="0"/>
        <w:snapToGrid w:val="0"/>
        <w:spacing w:before="156" w:beforeLines="50" w:line="300" w:lineRule="auto"/>
        <w:ind w:firstLine="361" w:firstLineChars="200"/>
        <w:jc w:val="center"/>
        <w:rPr>
          <w:b/>
          <w:bCs/>
          <w:sz w:val="18"/>
          <w:szCs w:val="18"/>
        </w:rPr>
      </w:pPr>
      <w:r>
        <w:rPr>
          <w:b/>
          <w:bCs/>
          <w:sz w:val="18"/>
          <w:szCs w:val="18"/>
        </w:rPr>
        <w:t>表4教学目标评价标准</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602"/>
        <w:gridCol w:w="602"/>
        <w:gridCol w:w="941"/>
        <w:gridCol w:w="664"/>
        <w:gridCol w:w="2620"/>
        <w:gridCol w:w="966"/>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886"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602" w:type="dxa"/>
            <w:vAlign w:val="center"/>
          </w:tcPr>
          <w:p>
            <w:pPr>
              <w:adjustRightInd w:val="0"/>
              <w:snapToGrid w:val="0"/>
              <w:spacing w:line="300" w:lineRule="auto"/>
              <w:jc w:val="center"/>
              <w:rPr>
                <w:b/>
                <w:bCs/>
                <w:sz w:val="18"/>
                <w:szCs w:val="18"/>
              </w:rPr>
            </w:pPr>
            <w:r>
              <w:rPr>
                <w:b/>
                <w:bCs/>
                <w:sz w:val="18"/>
                <w:szCs w:val="18"/>
              </w:rPr>
              <w:t>分值</w:t>
            </w:r>
          </w:p>
        </w:tc>
        <w:tc>
          <w:tcPr>
            <w:tcW w:w="602" w:type="dxa"/>
            <w:vAlign w:val="center"/>
          </w:tcPr>
          <w:p>
            <w:pPr>
              <w:adjustRightInd w:val="0"/>
              <w:snapToGrid w:val="0"/>
              <w:spacing w:line="300" w:lineRule="auto"/>
              <w:jc w:val="center"/>
              <w:rPr>
                <w:b/>
                <w:bCs/>
                <w:sz w:val="18"/>
                <w:szCs w:val="18"/>
              </w:rPr>
            </w:pPr>
            <w:r>
              <w:rPr>
                <w:b/>
                <w:bCs/>
                <w:sz w:val="18"/>
                <w:szCs w:val="18"/>
              </w:rPr>
              <w:t>权重</w:t>
            </w:r>
          </w:p>
        </w:tc>
        <w:tc>
          <w:tcPr>
            <w:tcW w:w="941" w:type="dxa"/>
            <w:vAlign w:val="center"/>
          </w:tcPr>
          <w:p>
            <w:pPr>
              <w:adjustRightInd w:val="0"/>
              <w:snapToGrid w:val="0"/>
              <w:spacing w:line="300" w:lineRule="auto"/>
              <w:jc w:val="center"/>
              <w:rPr>
                <w:b/>
                <w:bCs/>
                <w:sz w:val="18"/>
                <w:szCs w:val="18"/>
              </w:rPr>
            </w:pPr>
            <w:r>
              <w:rPr>
                <w:b/>
                <w:bCs/>
                <w:sz w:val="18"/>
                <w:szCs w:val="18"/>
              </w:rPr>
              <w:t>类别</w:t>
            </w:r>
          </w:p>
        </w:tc>
        <w:tc>
          <w:tcPr>
            <w:tcW w:w="664" w:type="dxa"/>
            <w:vAlign w:val="center"/>
          </w:tcPr>
          <w:p>
            <w:pPr>
              <w:adjustRightInd w:val="0"/>
              <w:snapToGrid w:val="0"/>
              <w:spacing w:line="300" w:lineRule="auto"/>
              <w:jc w:val="center"/>
              <w:rPr>
                <w:b/>
                <w:bCs/>
                <w:sz w:val="18"/>
                <w:szCs w:val="18"/>
              </w:rPr>
            </w:pPr>
            <w:r>
              <w:rPr>
                <w:b/>
                <w:bCs/>
                <w:sz w:val="18"/>
                <w:szCs w:val="18"/>
              </w:rPr>
              <w:t>权重</w:t>
            </w:r>
          </w:p>
        </w:tc>
        <w:tc>
          <w:tcPr>
            <w:tcW w:w="2620" w:type="dxa"/>
            <w:vAlign w:val="center"/>
          </w:tcPr>
          <w:p>
            <w:pPr>
              <w:adjustRightInd w:val="0"/>
              <w:snapToGrid w:val="0"/>
              <w:spacing w:line="300" w:lineRule="auto"/>
              <w:jc w:val="center"/>
              <w:rPr>
                <w:b/>
                <w:bCs/>
                <w:sz w:val="18"/>
                <w:szCs w:val="18"/>
              </w:rPr>
            </w:pPr>
            <w:r>
              <w:rPr>
                <w:b/>
                <w:bCs/>
                <w:sz w:val="18"/>
                <w:szCs w:val="18"/>
              </w:rPr>
              <w:t>考核/评价细则</w:t>
            </w:r>
          </w:p>
        </w:tc>
        <w:tc>
          <w:tcPr>
            <w:tcW w:w="966" w:type="dxa"/>
            <w:vAlign w:val="center"/>
          </w:tcPr>
          <w:p>
            <w:pPr>
              <w:adjustRightInd w:val="0"/>
              <w:snapToGrid w:val="0"/>
              <w:spacing w:line="300" w:lineRule="auto"/>
              <w:jc w:val="center"/>
              <w:rPr>
                <w:b/>
                <w:bCs/>
                <w:sz w:val="18"/>
                <w:szCs w:val="18"/>
              </w:rPr>
            </w:pPr>
            <w:r>
              <w:rPr>
                <w:b/>
                <w:bCs/>
                <w:sz w:val="18"/>
                <w:szCs w:val="18"/>
              </w:rPr>
              <w:t>课程目标</w:t>
            </w:r>
          </w:p>
        </w:tc>
        <w:tc>
          <w:tcPr>
            <w:tcW w:w="1015" w:type="dxa"/>
            <w:vAlign w:val="center"/>
          </w:tcPr>
          <w:p>
            <w:pPr>
              <w:adjustRightInd w:val="0"/>
              <w:snapToGrid w:val="0"/>
              <w:spacing w:line="300" w:lineRule="auto"/>
              <w:jc w:val="center"/>
              <w:rPr>
                <w:b/>
                <w:bCs/>
                <w:sz w:val="18"/>
                <w:szCs w:val="18"/>
              </w:rPr>
            </w:pPr>
            <w:r>
              <w:rPr>
                <w:b/>
                <w:bCs/>
                <w:sz w:val="18"/>
                <w:szCs w:val="18"/>
              </w:rPr>
              <w:t>毕业要求</w:t>
            </w:r>
            <w:r>
              <w:rPr>
                <w:rFonts w:hint="eastAsia"/>
                <w:b/>
                <w:bCs/>
                <w:sz w:val="18"/>
                <w:szCs w:val="18"/>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pPr>
              <w:adjustRightInd w:val="0"/>
              <w:snapToGrid w:val="0"/>
              <w:spacing w:line="300" w:lineRule="auto"/>
              <w:jc w:val="center"/>
              <w:rPr>
                <w:sz w:val="18"/>
                <w:szCs w:val="18"/>
              </w:rPr>
            </w:pPr>
            <w:r>
              <w:rPr>
                <w:sz w:val="18"/>
                <w:szCs w:val="18"/>
              </w:rPr>
              <w:t>平时</w:t>
            </w:r>
          </w:p>
          <w:p>
            <w:pPr>
              <w:adjustRightInd w:val="0"/>
              <w:snapToGrid w:val="0"/>
              <w:spacing w:line="300" w:lineRule="auto"/>
              <w:jc w:val="center"/>
              <w:rPr>
                <w:sz w:val="18"/>
                <w:szCs w:val="18"/>
              </w:rPr>
            </w:pPr>
            <w:r>
              <w:rPr>
                <w:sz w:val="18"/>
                <w:szCs w:val="18"/>
              </w:rPr>
              <w:t>成绩</w:t>
            </w:r>
          </w:p>
        </w:tc>
        <w:tc>
          <w:tcPr>
            <w:tcW w:w="602" w:type="dxa"/>
            <w:vAlign w:val="center"/>
          </w:tcPr>
          <w:p>
            <w:pPr>
              <w:adjustRightInd w:val="0"/>
              <w:snapToGrid w:val="0"/>
              <w:spacing w:line="300" w:lineRule="auto"/>
              <w:jc w:val="center"/>
              <w:rPr>
                <w:sz w:val="18"/>
                <w:szCs w:val="18"/>
              </w:rPr>
            </w:pPr>
            <w:r>
              <w:rPr>
                <w:sz w:val="18"/>
                <w:szCs w:val="18"/>
              </w:rPr>
              <w:t>100</w:t>
            </w:r>
          </w:p>
        </w:tc>
        <w:tc>
          <w:tcPr>
            <w:tcW w:w="602" w:type="dxa"/>
            <w:vAlign w:val="center"/>
          </w:tcPr>
          <w:p>
            <w:pPr>
              <w:adjustRightInd w:val="0"/>
              <w:snapToGrid w:val="0"/>
              <w:spacing w:line="300" w:lineRule="auto"/>
              <w:jc w:val="center"/>
              <w:rPr>
                <w:sz w:val="18"/>
                <w:szCs w:val="18"/>
              </w:rPr>
            </w:pPr>
            <w:r>
              <w:rPr>
                <w:sz w:val="18"/>
                <w:szCs w:val="18"/>
              </w:rPr>
              <w:t>0.3</w:t>
            </w:r>
          </w:p>
        </w:tc>
        <w:tc>
          <w:tcPr>
            <w:tcW w:w="941" w:type="dxa"/>
            <w:vAlign w:val="center"/>
          </w:tcPr>
          <w:p>
            <w:pPr>
              <w:adjustRightInd w:val="0"/>
              <w:snapToGrid w:val="0"/>
              <w:spacing w:line="300" w:lineRule="auto"/>
              <w:jc w:val="center"/>
              <w:rPr>
                <w:sz w:val="18"/>
                <w:szCs w:val="18"/>
              </w:rPr>
            </w:pPr>
            <w:r>
              <w:rPr>
                <w:sz w:val="18"/>
                <w:szCs w:val="18"/>
              </w:rPr>
              <w:t>课堂表现</w:t>
            </w:r>
          </w:p>
        </w:tc>
        <w:tc>
          <w:tcPr>
            <w:tcW w:w="664" w:type="dxa"/>
            <w:vAlign w:val="center"/>
          </w:tcPr>
          <w:p>
            <w:pPr>
              <w:adjustRightInd w:val="0"/>
              <w:snapToGrid w:val="0"/>
              <w:spacing w:line="300" w:lineRule="auto"/>
              <w:jc w:val="center"/>
              <w:rPr>
                <w:sz w:val="18"/>
                <w:szCs w:val="18"/>
              </w:rPr>
            </w:pPr>
            <w:r>
              <w:rPr>
                <w:sz w:val="18"/>
                <w:szCs w:val="18"/>
              </w:rPr>
              <w:t>1</w:t>
            </w:r>
          </w:p>
        </w:tc>
        <w:tc>
          <w:tcPr>
            <w:tcW w:w="2620" w:type="dxa"/>
            <w:vAlign w:val="center"/>
          </w:tcPr>
          <w:p>
            <w:pPr>
              <w:adjustRightInd w:val="0"/>
              <w:snapToGrid w:val="0"/>
              <w:spacing w:line="300" w:lineRule="auto"/>
              <w:rPr>
                <w:sz w:val="18"/>
                <w:szCs w:val="18"/>
              </w:rPr>
            </w:pPr>
            <w:r>
              <w:rPr>
                <w:sz w:val="18"/>
                <w:szCs w:val="18"/>
              </w:rPr>
              <w:t>学生课题发言及参与讨论的表现，满分100。</w:t>
            </w:r>
          </w:p>
        </w:tc>
        <w:tc>
          <w:tcPr>
            <w:tcW w:w="966" w:type="dxa"/>
            <w:vAlign w:val="center"/>
          </w:tcPr>
          <w:p>
            <w:pPr>
              <w:adjustRightInd w:val="0"/>
              <w:snapToGrid w:val="0"/>
              <w:spacing w:line="300" w:lineRule="auto"/>
              <w:jc w:val="left"/>
              <w:rPr>
                <w:sz w:val="18"/>
                <w:szCs w:val="18"/>
              </w:rPr>
            </w:pPr>
            <w:r>
              <w:rPr>
                <w:sz w:val="18"/>
                <w:szCs w:val="18"/>
              </w:rPr>
              <w:t>1，2</w:t>
            </w:r>
            <w:r>
              <w:rPr>
                <w:rFonts w:hint="eastAsia"/>
                <w:sz w:val="18"/>
                <w:szCs w:val="18"/>
              </w:rPr>
              <w:t>，3</w:t>
            </w:r>
          </w:p>
        </w:tc>
        <w:tc>
          <w:tcPr>
            <w:tcW w:w="1015" w:type="dxa"/>
            <w:vAlign w:val="center"/>
          </w:tcPr>
          <w:p>
            <w:pPr>
              <w:adjustRightInd w:val="0"/>
              <w:snapToGrid w:val="0"/>
              <w:spacing w:line="300" w:lineRule="auto"/>
              <w:jc w:val="left"/>
              <w:rPr>
                <w:sz w:val="18"/>
                <w:szCs w:val="18"/>
              </w:rPr>
            </w:pPr>
            <w:r>
              <w:rPr>
                <w:rFonts w:hint="eastAsia"/>
                <w:sz w:val="18"/>
                <w:szCs w:val="18"/>
              </w:rPr>
              <w:t>2.</w:t>
            </w:r>
            <w:r>
              <w:rPr>
                <w:sz w:val="18"/>
                <w:szCs w:val="18"/>
              </w:rPr>
              <w:t>3</w:t>
            </w:r>
            <w:r>
              <w:rPr>
                <w:rFonts w:hint="eastAsia"/>
                <w:sz w:val="18"/>
                <w:szCs w:val="18"/>
              </w:rPr>
              <w:t>，1</w:t>
            </w:r>
            <w:r>
              <w:rPr>
                <w:sz w:val="18"/>
                <w:szCs w:val="18"/>
              </w:rPr>
              <w:t>0</w:t>
            </w:r>
            <w:r>
              <w:rPr>
                <w:rFonts w:hint="eastAsia"/>
                <w:sz w:val="18"/>
                <w:szCs w:val="18"/>
              </w:rPr>
              <w:t>.2，1</w:t>
            </w:r>
            <w:r>
              <w:rPr>
                <w:sz w:val="18"/>
                <w:szCs w:val="18"/>
              </w:rPr>
              <w:t>2</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6" w:type="dxa"/>
            <w:vAlign w:val="center"/>
          </w:tcPr>
          <w:p>
            <w:pPr>
              <w:adjustRightInd w:val="0"/>
              <w:snapToGrid w:val="0"/>
              <w:spacing w:line="300" w:lineRule="auto"/>
              <w:jc w:val="center"/>
              <w:rPr>
                <w:sz w:val="18"/>
                <w:szCs w:val="18"/>
              </w:rPr>
            </w:pPr>
            <w:r>
              <w:rPr>
                <w:sz w:val="18"/>
                <w:szCs w:val="18"/>
              </w:rPr>
              <w:t>期末</w:t>
            </w:r>
          </w:p>
          <w:p>
            <w:pPr>
              <w:adjustRightInd w:val="0"/>
              <w:snapToGrid w:val="0"/>
              <w:spacing w:line="300" w:lineRule="auto"/>
              <w:jc w:val="center"/>
              <w:rPr>
                <w:sz w:val="18"/>
                <w:szCs w:val="18"/>
              </w:rPr>
            </w:pPr>
            <w:r>
              <w:rPr>
                <w:sz w:val="18"/>
                <w:szCs w:val="18"/>
              </w:rPr>
              <w:t>考试</w:t>
            </w:r>
          </w:p>
          <w:p>
            <w:pPr>
              <w:adjustRightInd w:val="0"/>
              <w:snapToGrid w:val="0"/>
              <w:spacing w:line="300" w:lineRule="auto"/>
              <w:jc w:val="center"/>
              <w:rPr>
                <w:sz w:val="18"/>
                <w:szCs w:val="18"/>
              </w:rPr>
            </w:pPr>
            <w:r>
              <w:rPr>
                <w:sz w:val="18"/>
                <w:szCs w:val="18"/>
              </w:rPr>
              <w:t>成绩</w:t>
            </w:r>
          </w:p>
        </w:tc>
        <w:tc>
          <w:tcPr>
            <w:tcW w:w="602" w:type="dxa"/>
            <w:vAlign w:val="center"/>
          </w:tcPr>
          <w:p>
            <w:pPr>
              <w:adjustRightInd w:val="0"/>
              <w:snapToGrid w:val="0"/>
              <w:spacing w:line="300" w:lineRule="auto"/>
              <w:jc w:val="center"/>
              <w:rPr>
                <w:sz w:val="18"/>
                <w:szCs w:val="18"/>
              </w:rPr>
            </w:pPr>
            <w:r>
              <w:rPr>
                <w:sz w:val="18"/>
                <w:szCs w:val="18"/>
              </w:rPr>
              <w:t>100</w:t>
            </w:r>
          </w:p>
        </w:tc>
        <w:tc>
          <w:tcPr>
            <w:tcW w:w="602" w:type="dxa"/>
            <w:vAlign w:val="center"/>
          </w:tcPr>
          <w:p>
            <w:pPr>
              <w:adjustRightInd w:val="0"/>
              <w:snapToGrid w:val="0"/>
              <w:spacing w:line="300" w:lineRule="auto"/>
              <w:jc w:val="center"/>
              <w:rPr>
                <w:sz w:val="18"/>
                <w:szCs w:val="18"/>
              </w:rPr>
            </w:pPr>
            <w:r>
              <w:rPr>
                <w:sz w:val="18"/>
                <w:szCs w:val="18"/>
              </w:rPr>
              <w:t>0.7</w:t>
            </w:r>
          </w:p>
        </w:tc>
        <w:tc>
          <w:tcPr>
            <w:tcW w:w="941" w:type="dxa"/>
            <w:vAlign w:val="center"/>
          </w:tcPr>
          <w:p>
            <w:pPr>
              <w:adjustRightInd w:val="0"/>
              <w:snapToGrid w:val="0"/>
              <w:spacing w:line="300" w:lineRule="auto"/>
              <w:jc w:val="left"/>
              <w:rPr>
                <w:sz w:val="18"/>
                <w:szCs w:val="18"/>
              </w:rPr>
            </w:pPr>
            <w:r>
              <w:rPr>
                <w:sz w:val="18"/>
                <w:szCs w:val="18"/>
              </w:rPr>
              <w:t>科技论文撰写</w:t>
            </w:r>
          </w:p>
        </w:tc>
        <w:tc>
          <w:tcPr>
            <w:tcW w:w="664" w:type="dxa"/>
            <w:vAlign w:val="center"/>
          </w:tcPr>
          <w:p>
            <w:pPr>
              <w:adjustRightInd w:val="0"/>
              <w:snapToGrid w:val="0"/>
              <w:spacing w:line="300" w:lineRule="auto"/>
              <w:jc w:val="center"/>
              <w:rPr>
                <w:sz w:val="18"/>
                <w:szCs w:val="18"/>
              </w:rPr>
            </w:pPr>
            <w:r>
              <w:rPr>
                <w:sz w:val="18"/>
                <w:szCs w:val="18"/>
              </w:rPr>
              <w:t>1</w:t>
            </w:r>
          </w:p>
        </w:tc>
        <w:tc>
          <w:tcPr>
            <w:tcW w:w="2620" w:type="dxa"/>
            <w:vAlign w:val="center"/>
          </w:tcPr>
          <w:p>
            <w:pPr>
              <w:adjustRightInd w:val="0"/>
              <w:snapToGrid w:val="0"/>
              <w:spacing w:line="300" w:lineRule="auto"/>
              <w:rPr>
                <w:sz w:val="18"/>
                <w:szCs w:val="18"/>
              </w:rPr>
            </w:pPr>
            <w:r>
              <w:rPr>
                <w:kern w:val="0"/>
                <w:sz w:val="18"/>
                <w:szCs w:val="18"/>
              </w:rPr>
              <w:t>撰写论文的内容、结构与创新性</w:t>
            </w:r>
            <w:r>
              <w:rPr>
                <w:rFonts w:hint="eastAsia"/>
                <w:kern w:val="0"/>
                <w:sz w:val="18"/>
                <w:szCs w:val="18"/>
              </w:rPr>
              <w:t>，</w:t>
            </w:r>
            <w:r>
              <w:rPr>
                <w:kern w:val="0"/>
                <w:sz w:val="18"/>
                <w:szCs w:val="18"/>
              </w:rPr>
              <w:t>以及</w:t>
            </w:r>
            <w:r>
              <w:rPr>
                <w:sz w:val="18"/>
                <w:szCs w:val="18"/>
              </w:rPr>
              <w:t>撰写论文格式的规范性</w:t>
            </w:r>
          </w:p>
        </w:tc>
        <w:tc>
          <w:tcPr>
            <w:tcW w:w="966" w:type="dxa"/>
            <w:vAlign w:val="center"/>
          </w:tcPr>
          <w:p>
            <w:pPr>
              <w:adjustRightInd w:val="0"/>
              <w:snapToGrid w:val="0"/>
              <w:spacing w:line="300" w:lineRule="auto"/>
              <w:jc w:val="left"/>
              <w:rPr>
                <w:sz w:val="18"/>
                <w:szCs w:val="18"/>
              </w:rPr>
            </w:pPr>
            <w:r>
              <w:rPr>
                <w:sz w:val="18"/>
                <w:szCs w:val="18"/>
              </w:rPr>
              <w:t>1，2，3</w:t>
            </w:r>
          </w:p>
        </w:tc>
        <w:tc>
          <w:tcPr>
            <w:tcW w:w="1015" w:type="dxa"/>
            <w:vAlign w:val="center"/>
          </w:tcPr>
          <w:p>
            <w:pPr>
              <w:adjustRightInd w:val="0"/>
              <w:snapToGrid w:val="0"/>
              <w:spacing w:line="300" w:lineRule="auto"/>
              <w:jc w:val="left"/>
              <w:rPr>
                <w:sz w:val="18"/>
                <w:szCs w:val="18"/>
              </w:rPr>
            </w:pPr>
            <w:r>
              <w:rPr>
                <w:rFonts w:hint="eastAsia"/>
                <w:sz w:val="18"/>
                <w:szCs w:val="18"/>
              </w:rPr>
              <w:t>2.</w:t>
            </w:r>
            <w:r>
              <w:rPr>
                <w:sz w:val="18"/>
                <w:szCs w:val="18"/>
              </w:rPr>
              <w:t>3</w:t>
            </w:r>
            <w:r>
              <w:rPr>
                <w:rFonts w:hint="eastAsia"/>
                <w:sz w:val="18"/>
                <w:szCs w:val="18"/>
              </w:rPr>
              <w:t>，1</w:t>
            </w:r>
            <w:r>
              <w:rPr>
                <w:sz w:val="18"/>
                <w:szCs w:val="18"/>
              </w:rPr>
              <w:t>0</w:t>
            </w:r>
            <w:r>
              <w:rPr>
                <w:rFonts w:hint="eastAsia"/>
                <w:sz w:val="18"/>
                <w:szCs w:val="18"/>
              </w:rPr>
              <w:t>.2，1</w:t>
            </w:r>
            <w:r>
              <w:rPr>
                <w:sz w:val="18"/>
                <w:szCs w:val="18"/>
              </w:rPr>
              <w:t>2</w:t>
            </w:r>
            <w:r>
              <w:rPr>
                <w:rFonts w:hint="eastAsia"/>
                <w:sz w:val="18"/>
                <w:szCs w:val="18"/>
              </w:rPr>
              <w:t>.1</w:t>
            </w:r>
          </w:p>
        </w:tc>
      </w:tr>
    </w:tbl>
    <w:p>
      <w:pPr>
        <w:adjustRightInd w:val="0"/>
        <w:snapToGrid w:val="0"/>
        <w:spacing w:before="156" w:beforeLines="50" w:after="156" w:afterLines="50" w:line="300" w:lineRule="auto"/>
        <w:rPr>
          <w:b/>
          <w:sz w:val="24"/>
        </w:rPr>
      </w:pPr>
      <w:r>
        <w:rPr>
          <w:b/>
          <w:sz w:val="24"/>
        </w:rPr>
        <w:t>六、</w:t>
      </w:r>
      <w:r>
        <w:rPr>
          <w:rFonts w:hint="eastAsia"/>
          <w:b/>
          <w:sz w:val="24"/>
        </w:rPr>
        <w:t>课程教学目标达成情况评价</w:t>
      </w:r>
    </w:p>
    <w:p>
      <w:pPr>
        <w:adjustRightInd w:val="0"/>
        <w:snapToGrid w:val="0"/>
        <w:spacing w:line="300" w:lineRule="auto"/>
        <w:ind w:firstLine="420" w:firstLineChars="200"/>
        <w:rPr>
          <w:szCs w:val="21"/>
        </w:rPr>
      </w:pPr>
      <w:r>
        <w:rPr>
          <w:szCs w:val="21"/>
        </w:rPr>
        <w:t>1</w:t>
      </w:r>
      <w:r>
        <w:t>．</w:t>
      </w:r>
      <w:r>
        <w:rPr>
          <w:rFonts w:hint="eastAsia"/>
          <w:szCs w:val="21"/>
        </w:rPr>
        <w:t>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ind w:firstLine="420" w:firstLineChars="200"/>
      </w:pPr>
      <w:r>
        <w:rPr>
          <w:rFonts w:hint="eastAsia"/>
          <w:position w:val="-16"/>
        </w:rPr>
        <w:object>
          <v:shape id="_x0000_i1059" o:spt="75" type="#_x0000_t75" style="height:36pt;width:367.5pt;" o:ole="t" filled="f" o:preferrelative="t" stroked="f" coordsize="21600,21600">
            <v:path/>
            <v:fill on="f" focussize="0,0"/>
            <v:stroke on="f" joinstyle="miter"/>
            <v:imagedata r:id="rId57" o:title=""/>
            <o:lock v:ext="edit" aspectratio="t"/>
            <w10:wrap type="none"/>
            <w10:anchorlock/>
          </v:shape>
          <o:OLEObject Type="Embed" ProgID="Equation.DSMT4" ShapeID="_x0000_i1059" DrawAspect="Content" ObjectID="_1468075758" r:id="rId68">
            <o:LockedField>false</o:LockedField>
          </o:OLEObject>
        </w:object>
      </w:r>
    </w:p>
    <w:p>
      <w:pPr>
        <w:adjustRightInd w:val="0"/>
        <w:snapToGrid w:val="0"/>
        <w:spacing w:line="300" w:lineRule="auto"/>
        <w:ind w:firstLine="420" w:firstLineChars="200"/>
      </w:pPr>
      <w:r>
        <w:t>课程总目标达成情况为3个课程目标的加权得分率，其计算公式为：</w:t>
      </w:r>
    </w:p>
    <w:p>
      <w:pPr>
        <w:adjustRightInd w:val="0"/>
        <w:snapToGrid w:val="0"/>
        <w:spacing w:line="300" w:lineRule="auto"/>
        <w:jc w:val="center"/>
      </w:pPr>
      <w:r>
        <w:t xml:space="preserve"> </w:t>
      </w:r>
      <w:r>
        <w:rPr>
          <w:rFonts w:hint="eastAsia"/>
          <w:position w:val="-10"/>
        </w:rPr>
        <w:object>
          <v:shape id="_x0000_i1060" o:spt="75" type="#_x0000_t75" style="height:21.75pt;width:244.5pt;" o:ole="t" filled="f" o:preferrelative="t" stroked="f" coordsize="21600,21600">
            <v:path/>
            <v:fill on="f" focussize="0,0"/>
            <v:stroke on="f" joinstyle="miter"/>
            <v:imagedata r:id="rId59" o:title=""/>
            <o:lock v:ext="edit" aspectratio="t"/>
            <w10:wrap type="none"/>
            <w10:anchorlock/>
          </v:shape>
          <o:OLEObject Type="Embed" ProgID="Equation.DSMT4" ShapeID="_x0000_i1060" DrawAspect="Content" ObjectID="_1468075759" r:id="rId69">
            <o:LockedField>false</o:LockedField>
          </o:OLEObject>
        </w:object>
      </w:r>
    </w:p>
    <w:p>
      <w:pPr>
        <w:adjustRightInd w:val="0"/>
        <w:snapToGrid w:val="0"/>
        <w:spacing w:line="300" w:lineRule="auto"/>
      </w:pPr>
      <w:r>
        <w:t>其中权重系数按照表5设定。</w:t>
      </w:r>
    </w:p>
    <w:p>
      <w:pPr>
        <w:adjustRightInd w:val="0"/>
        <w:snapToGrid w:val="0"/>
        <w:spacing w:line="300" w:lineRule="auto"/>
        <w:jc w:val="center"/>
        <w:rPr>
          <w:sz w:val="18"/>
          <w:szCs w:val="18"/>
        </w:rPr>
      </w:pPr>
      <w:r>
        <w:rPr>
          <w:sz w:val="18"/>
          <w:szCs w:val="18"/>
        </w:rPr>
        <w:t>表5 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4"/>
        <w:gridCol w:w="2016"/>
        <w:gridCol w:w="2391"/>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3" w:hRule="atLeast"/>
        </w:trPr>
        <w:tc>
          <w:tcPr>
            <w:tcW w:w="1904" w:type="dxa"/>
            <w:vAlign w:val="center"/>
          </w:tcPr>
          <w:p>
            <w:pPr>
              <w:adjustRightInd w:val="0"/>
              <w:snapToGrid w:val="0"/>
              <w:spacing w:line="300" w:lineRule="auto"/>
              <w:jc w:val="center"/>
              <w:rPr>
                <w:sz w:val="18"/>
                <w:szCs w:val="18"/>
              </w:rPr>
            </w:pPr>
            <w:r>
              <w:rPr>
                <w:sz w:val="18"/>
                <w:szCs w:val="18"/>
              </w:rPr>
              <w:t>课程目标</w:t>
            </w:r>
          </w:p>
        </w:tc>
        <w:tc>
          <w:tcPr>
            <w:tcW w:w="2016" w:type="dxa"/>
            <w:vAlign w:val="center"/>
          </w:tcPr>
          <w:p>
            <w:pPr>
              <w:adjustRightInd w:val="0"/>
              <w:snapToGrid w:val="0"/>
              <w:spacing w:line="300" w:lineRule="auto"/>
              <w:jc w:val="center"/>
              <w:rPr>
                <w:sz w:val="18"/>
                <w:szCs w:val="18"/>
              </w:rPr>
            </w:pPr>
            <w:r>
              <w:rPr>
                <w:sz w:val="18"/>
                <w:szCs w:val="18"/>
              </w:rPr>
              <w:t>1</w:t>
            </w:r>
          </w:p>
        </w:tc>
        <w:tc>
          <w:tcPr>
            <w:tcW w:w="2391" w:type="dxa"/>
            <w:vAlign w:val="center"/>
          </w:tcPr>
          <w:p>
            <w:pPr>
              <w:adjustRightInd w:val="0"/>
              <w:snapToGrid w:val="0"/>
              <w:spacing w:line="300" w:lineRule="auto"/>
              <w:jc w:val="center"/>
              <w:rPr>
                <w:sz w:val="18"/>
                <w:szCs w:val="18"/>
              </w:rPr>
            </w:pPr>
            <w:r>
              <w:rPr>
                <w:sz w:val="18"/>
                <w:szCs w:val="18"/>
              </w:rPr>
              <w:t>2</w:t>
            </w:r>
          </w:p>
        </w:tc>
        <w:tc>
          <w:tcPr>
            <w:tcW w:w="2370"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39" w:hRule="atLeast"/>
        </w:trPr>
        <w:tc>
          <w:tcPr>
            <w:tcW w:w="1904" w:type="dxa"/>
            <w:vAlign w:val="center"/>
          </w:tcPr>
          <w:p>
            <w:pPr>
              <w:adjustRightInd w:val="0"/>
              <w:snapToGrid w:val="0"/>
              <w:spacing w:line="300" w:lineRule="auto"/>
              <w:jc w:val="center"/>
              <w:rPr>
                <w:sz w:val="18"/>
                <w:szCs w:val="18"/>
              </w:rPr>
            </w:pPr>
            <w:r>
              <w:rPr>
                <w:sz w:val="18"/>
                <w:szCs w:val="18"/>
              </w:rPr>
              <w:t>权重系数</w:t>
            </w:r>
          </w:p>
        </w:tc>
        <w:tc>
          <w:tcPr>
            <w:tcW w:w="2016" w:type="dxa"/>
            <w:vAlign w:val="center"/>
          </w:tcPr>
          <w:p>
            <w:pPr>
              <w:adjustRightInd w:val="0"/>
              <w:snapToGrid w:val="0"/>
              <w:spacing w:line="300" w:lineRule="auto"/>
              <w:jc w:val="center"/>
              <w:rPr>
                <w:sz w:val="18"/>
                <w:szCs w:val="18"/>
              </w:rPr>
            </w:pPr>
            <w:r>
              <w:rPr>
                <w:sz w:val="18"/>
                <w:szCs w:val="18"/>
              </w:rPr>
              <w:t>0.4</w:t>
            </w:r>
          </w:p>
        </w:tc>
        <w:tc>
          <w:tcPr>
            <w:tcW w:w="2391" w:type="dxa"/>
            <w:vAlign w:val="center"/>
          </w:tcPr>
          <w:p>
            <w:pPr>
              <w:adjustRightInd w:val="0"/>
              <w:snapToGrid w:val="0"/>
              <w:spacing w:line="300" w:lineRule="auto"/>
              <w:jc w:val="center"/>
              <w:rPr>
                <w:sz w:val="18"/>
                <w:szCs w:val="18"/>
              </w:rPr>
            </w:pPr>
            <w:r>
              <w:rPr>
                <w:sz w:val="18"/>
                <w:szCs w:val="18"/>
              </w:rPr>
              <w:t>0.2</w:t>
            </w:r>
          </w:p>
        </w:tc>
        <w:tc>
          <w:tcPr>
            <w:tcW w:w="2370" w:type="dxa"/>
            <w:vAlign w:val="center"/>
          </w:tcPr>
          <w:p>
            <w:pPr>
              <w:adjustRightInd w:val="0"/>
              <w:snapToGrid w:val="0"/>
              <w:spacing w:line="300" w:lineRule="auto"/>
              <w:jc w:val="center"/>
              <w:rPr>
                <w:sz w:val="18"/>
                <w:szCs w:val="18"/>
              </w:rPr>
            </w:pPr>
            <w:r>
              <w:rPr>
                <w:sz w:val="18"/>
                <w:szCs w:val="18"/>
              </w:rPr>
              <w:t>0.4</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ind w:left="840" w:firstLine="420" w:firstLineChars="200"/>
        <w:rPr>
          <w:szCs w:val="21"/>
        </w:rPr>
      </w:pPr>
      <w:r>
        <w:rPr>
          <w:rFonts w:hint="eastAsia"/>
          <w:position w:val="-10"/>
        </w:rPr>
        <w:object>
          <v:shape id="_x0000_i1061" o:spt="75" type="#_x0000_t75" style="height:21.75pt;width:288pt;" o:ole="t" filled="f" o:preferrelative="t" stroked="f" coordsize="21600,21600">
            <v:path/>
            <v:fill on="f" focussize="0,0"/>
            <v:stroke on="f" joinstyle="miter"/>
            <v:imagedata r:id="rId61" o:title=""/>
            <o:lock v:ext="edit" aspectratio="t"/>
            <w10:wrap type="none"/>
            <w10:anchorlock/>
          </v:shape>
          <o:OLEObject Type="Embed" ProgID="Equation.DSMT4" ShapeID="_x0000_i1061" DrawAspect="Content" ObjectID="_1468075760" r:id="rId70">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30"/>
        </w:numPr>
        <w:adjustRightInd w:val="0"/>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Robet.A.Day.,Barbara Gastel GASTEL.译者：任治刚 科技论文写作与发表教程(第八版). 电子工业出版社，2018.01。</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31"/>
        </w:numPr>
        <w:adjustRightInd w:val="0"/>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李士勇. 科技论文写作引论，哈尔滨工业大学出版社，2013.10</w:t>
      </w:r>
      <w:r>
        <w:rPr>
          <w:rFonts w:ascii="Times New Roman" w:hAnsi="Times New Roman" w:eastAsia="宋体" w:cs="Times New Roman"/>
        </w:rPr>
        <w:t>。</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widowControl/>
        <w:jc w:val="left"/>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38"/>
    <w:bookmarkEnd w:id="39"/>
    <w:bookmarkEnd w:id="40"/>
    <w:bookmarkEnd w:id="41"/>
    <w:bookmarkEnd w:id="42"/>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rPr>
      </w:pPr>
      <w:bookmarkStart w:id="48" w:name="_Toc17528"/>
      <w:r>
        <w:rPr>
          <w:rFonts w:ascii="Times New Roman" w:hAnsi="Times New Roman" w:eastAsia="宋体" w:cs="Times New Roman"/>
          <w:b/>
          <w:sz w:val="32"/>
        </w:rPr>
        <w:t>33422101《C语言程序设计》课程教学大纲</w:t>
      </w:r>
      <w:bookmarkEnd w:id="48"/>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47"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33422101</w:t>
            </w:r>
          </w:p>
        </w:tc>
        <w:tc>
          <w:tcPr>
            <w:tcW w:w="1198"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C语言程序设计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通识教育拓展课</w:t>
            </w:r>
          </w:p>
        </w:tc>
        <w:tc>
          <w:tcPr>
            <w:tcW w:w="1198"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szCs w:val="21"/>
              </w:rPr>
              <w:t>C Language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347"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 xml:space="preserve">3 </w:t>
            </w:r>
            <w:r>
              <w:rPr>
                <w:rFonts w:ascii="Times New Roman" w:hAnsi="Times New Roman" w:eastAsia="宋体" w:cs="Times New Roman"/>
                <w:kern w:val="0"/>
                <w:szCs w:val="21"/>
              </w:rPr>
              <w:t>: 48（24）</w:t>
            </w:r>
          </w:p>
        </w:tc>
        <w:tc>
          <w:tcPr>
            <w:tcW w:w="1198" w:type="dxa"/>
            <w:shd w:val="clear" w:color="auto" w:fill="auto"/>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shd w:val="clear" w:color="auto" w:fill="auto"/>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郭晓云、彭银桥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1"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陈诚</w:t>
            </w:r>
          </w:p>
        </w:tc>
        <w:tc>
          <w:tcPr>
            <w:tcW w:w="1198" w:type="dxa"/>
            <w:shd w:val="clear" w:color="auto" w:fill="auto"/>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黄君凯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郭晓云</w:t>
            </w:r>
          </w:p>
        </w:tc>
        <w:tc>
          <w:tcPr>
            <w:tcW w:w="1198" w:type="dxa"/>
            <w:shd w:val="clear" w:color="auto" w:fill="auto"/>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shd w:val="clear" w:color="auto" w:fill="auto"/>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347" w:type="dxa"/>
            <w:shd w:val="clear" w:color="auto" w:fill="auto"/>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无</w:t>
            </w:r>
          </w:p>
        </w:tc>
        <w:tc>
          <w:tcPr>
            <w:tcW w:w="1198" w:type="dxa"/>
            <w:shd w:val="clear" w:color="auto" w:fill="auto"/>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347" w:type="dxa"/>
            <w:shd w:val="clear" w:color="auto" w:fill="auto"/>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shd w:val="clear" w:color="auto" w:fill="auto"/>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shd w:val="clear" w:color="auto" w:fill="auto"/>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80"/>
        <w:rPr>
          <w:rFonts w:ascii="Times New Roman" w:hAnsi="Times New Roman" w:eastAsia="宋体" w:cs="Times New Roman"/>
          <w:szCs w:val="21"/>
        </w:rPr>
      </w:pPr>
      <w:bookmarkStart w:id="49" w:name="_Hlk62648396"/>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bookmarkEnd w:id="49"/>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C语言程序设计》是针对大学一年级本科生的通识教育拓展课，适用于电子与信息工程学院的电子信息工程，自动化,通信工程，电气工程及其自动化等专业，为后续的《单片机原理与应用》、《嵌入式系统》以及《DSP技术与应用》等涉及编程开发的课程提供了程序开发基础。其教学目的在于掌握C语言的概念、语法和结构化程序设计方法等相关知识、熟练使用C语言IDE（Integrated Development Environment,集成开发环境）软件、以及能够运用C语言完成某些小型综合项目的程序编程，培养学生的编程实践能力。其主要内容包括输入输出、选择结构程序设计、循环结构程序设计、数组、函数、指针以及结构体等概念和语法、以及项目设计过程的介绍等等。作为一门实践性较强的课程，在学习过程中从理解概念和语法入手，结合案例学习由浅至深逐步升级，通过在IDE软件中对案例代码进行修改、编译、调试以及运行，培养学生的实践动手能力。</w:t>
      </w:r>
    </w:p>
    <w:p>
      <w:pPr>
        <w:adjustRightInd w:val="0"/>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420" w:firstLineChars="200"/>
        <w:rPr>
          <w:szCs w:val="21"/>
        </w:rPr>
      </w:pPr>
      <w:r>
        <w:rPr>
          <w:szCs w:val="21"/>
        </w:rPr>
        <w:t>《C语言程序设计》以培养学生应用问题分析能力以及运用程序语言解决问题的能力为目的，通过系统地学习C语言的概念、语法和结构化程序设计方法等相关知识，以及通过IDE软件中案例学习与实验教学的相关实践教学训练，帮助学生初步掌握C语言程序编程的基本知识并将其用于实际问题的分析与解决过程，培养学生的代码编写、程序调试、以及项目设计等实践能力。在讲授过程中介绍软件行业在我国产业信息化过程中的重要作用、“互联网+”对其他行业改造的重要意义、以及电子专业学生毕业后面临的行业前景，激发学生的学习热情、创新精神以及时代使命感。本课程的具体教学目标如下：</w:t>
      </w:r>
    </w:p>
    <w:p>
      <w:pPr>
        <w:adjustRightInd w:val="0"/>
        <w:snapToGrid w:val="0"/>
        <w:spacing w:line="300" w:lineRule="auto"/>
        <w:ind w:firstLine="420" w:firstLineChars="200"/>
        <w:rPr>
          <w:szCs w:val="21"/>
        </w:rPr>
      </w:pPr>
      <w:r>
        <w:rPr>
          <w:szCs w:val="21"/>
        </w:rPr>
        <w:t>1．C语言程序语法与编程设计知识点学习：掌握C语言工程基础知识，并有效将其应用于软件分析与设计。</w:t>
      </w:r>
    </w:p>
    <w:p>
      <w:pPr>
        <w:adjustRightInd w:val="0"/>
        <w:snapToGrid w:val="0"/>
        <w:spacing w:line="300" w:lineRule="auto"/>
        <w:ind w:firstLine="420" w:firstLineChars="200"/>
        <w:rPr>
          <w:szCs w:val="21"/>
        </w:rPr>
      </w:pPr>
      <w:r>
        <w:rPr>
          <w:szCs w:val="21"/>
        </w:rPr>
        <w:t>（1）理解C语言的输入输出、选择结构程序设计、循环结构程序设计、数组、函数、指针以及结构体等基础概念与语法，能够以区别、解释或者举例的方式进行阐述以下知识点，例如：</w:t>
      </w:r>
      <w:r>
        <w:rPr>
          <w:rFonts w:hint="eastAsia" w:ascii="宋体" w:hAnsi="宋体" w:cs="宋体"/>
          <w:szCs w:val="21"/>
        </w:rPr>
        <w:t>①</w:t>
      </w:r>
      <w:r>
        <w:rPr>
          <w:szCs w:val="21"/>
        </w:rPr>
        <w:t>整数、单精度小数以及双精度小数的二进制表达形式与数值范围的区别；</w:t>
      </w:r>
      <w:r>
        <w:rPr>
          <w:rFonts w:hint="eastAsia" w:ascii="宋体" w:hAnsi="宋体" w:cs="宋体"/>
          <w:szCs w:val="21"/>
        </w:rPr>
        <w:t>②</w:t>
      </w:r>
      <w:r>
        <w:rPr>
          <w:szCs w:val="21"/>
        </w:rPr>
        <w:t>字符与整数的运用相似性与差异性；</w:t>
      </w:r>
      <w:r>
        <w:rPr>
          <w:rFonts w:hint="eastAsia" w:ascii="宋体" w:hAnsi="宋体" w:cs="宋体"/>
          <w:szCs w:val="21"/>
        </w:rPr>
        <w:t>③</w:t>
      </w:r>
      <w:r>
        <w:rPr>
          <w:szCs w:val="21"/>
        </w:rPr>
        <w:t>执行文件的生成过程；</w:t>
      </w:r>
      <w:r>
        <w:rPr>
          <w:rFonts w:hint="eastAsia" w:ascii="宋体" w:hAnsi="宋体" w:cs="宋体"/>
          <w:szCs w:val="21"/>
        </w:rPr>
        <w:t>④</w:t>
      </w:r>
      <w:r>
        <w:rPr>
          <w:szCs w:val="21"/>
        </w:rPr>
        <w:t>输入输出语句的格式字符运行效果；</w:t>
      </w:r>
      <w:r>
        <w:rPr>
          <w:rFonts w:hint="eastAsia" w:ascii="宋体" w:hAnsi="宋体" w:cs="宋体"/>
          <w:szCs w:val="21"/>
        </w:rPr>
        <w:t>⑤</w:t>
      </w:r>
      <w:r>
        <w:rPr>
          <w:szCs w:val="21"/>
        </w:rPr>
        <w:t>逻辑表达式的值与条件判断；</w:t>
      </w:r>
      <w:r>
        <w:rPr>
          <w:rFonts w:hint="eastAsia" w:ascii="宋体" w:hAnsi="宋体" w:cs="宋体"/>
          <w:szCs w:val="21"/>
        </w:rPr>
        <w:t>⑥</w:t>
      </w:r>
      <w:r>
        <w:rPr>
          <w:szCs w:val="21"/>
        </w:rPr>
        <w:t>while、do-while、for循环结构的使用差异性；</w:t>
      </w:r>
      <w:r>
        <w:rPr>
          <w:rFonts w:hint="eastAsia" w:ascii="宋体" w:hAnsi="宋体" w:cs="宋体"/>
          <w:szCs w:val="21"/>
        </w:rPr>
        <w:t>⑦</w:t>
      </w:r>
      <w:r>
        <w:rPr>
          <w:szCs w:val="21"/>
        </w:rPr>
        <w:t>数组的初始化；</w:t>
      </w:r>
      <w:r>
        <w:rPr>
          <w:rFonts w:hint="eastAsia" w:ascii="宋体" w:hAnsi="宋体" w:cs="宋体"/>
          <w:szCs w:val="21"/>
        </w:rPr>
        <w:t>⑧</w:t>
      </w:r>
      <w:r>
        <w:rPr>
          <w:szCs w:val="21"/>
        </w:rPr>
        <w:t>函数在调用过程的参数传递方式、以及函数嵌套；</w:t>
      </w:r>
      <w:r>
        <w:rPr>
          <w:rFonts w:hint="eastAsia" w:ascii="宋体" w:hAnsi="宋体" w:cs="宋体"/>
          <w:szCs w:val="21"/>
        </w:rPr>
        <w:t>⑨</w:t>
      </w:r>
      <w:r>
        <w:rPr>
          <w:szCs w:val="21"/>
        </w:rPr>
        <w:t>静态变量的特殊性；</w:t>
      </w:r>
      <w:r>
        <w:rPr>
          <w:rFonts w:hint="eastAsia" w:ascii="宋体" w:hAnsi="宋体" w:cs="宋体"/>
          <w:szCs w:val="21"/>
        </w:rPr>
        <w:t>⑩</w:t>
      </w:r>
      <w:r>
        <w:rPr>
          <w:szCs w:val="21"/>
        </w:rPr>
        <w:t>结构体的定义与初始化。</w:t>
      </w:r>
    </w:p>
    <w:p>
      <w:pPr>
        <w:adjustRightInd w:val="0"/>
        <w:snapToGrid w:val="0"/>
        <w:spacing w:line="300" w:lineRule="auto"/>
        <w:ind w:firstLine="420" w:firstLineChars="200"/>
        <w:rPr>
          <w:szCs w:val="21"/>
        </w:rPr>
      </w:pPr>
      <w:r>
        <w:rPr>
          <w:szCs w:val="21"/>
        </w:rPr>
        <w:t>（2）通过案例与实验学习培养独立编程能力，在编程实践中能够使用以下程序编程技巧，例如：</w:t>
      </w:r>
      <w:r>
        <w:rPr>
          <w:rFonts w:hint="eastAsia" w:ascii="宋体" w:hAnsi="宋体" w:cs="宋体"/>
          <w:szCs w:val="21"/>
        </w:rPr>
        <w:t>①</w:t>
      </w:r>
      <w:r>
        <w:rPr>
          <w:szCs w:val="21"/>
        </w:rPr>
        <w:t>在多文件项目避免头文件的嵌套和交叉引用；</w:t>
      </w:r>
      <w:r>
        <w:rPr>
          <w:rFonts w:hint="eastAsia" w:ascii="宋体" w:hAnsi="宋体" w:cs="宋体"/>
          <w:szCs w:val="21"/>
        </w:rPr>
        <w:t>②</w:t>
      </w:r>
      <w:r>
        <w:rPr>
          <w:szCs w:val="21"/>
        </w:rPr>
        <w:t>分段线性函数的嵌套if-else if-else语句实现方法；</w:t>
      </w:r>
      <w:r>
        <w:rPr>
          <w:rFonts w:hint="eastAsia" w:ascii="宋体" w:hAnsi="宋体" w:cs="宋体"/>
          <w:szCs w:val="21"/>
        </w:rPr>
        <w:t>③</w:t>
      </w:r>
      <w:r>
        <w:rPr>
          <w:szCs w:val="21"/>
        </w:rPr>
        <w:t>离散函数的switch-case语句实现方法；</w:t>
      </w:r>
      <w:r>
        <w:rPr>
          <w:rFonts w:hint="eastAsia" w:ascii="宋体" w:hAnsi="宋体" w:cs="宋体"/>
          <w:szCs w:val="21"/>
        </w:rPr>
        <w:t>④</w:t>
      </w:r>
      <w:r>
        <w:rPr>
          <w:szCs w:val="21"/>
        </w:rPr>
        <w:t>数组与指针的相互转换及其限制；</w:t>
      </w:r>
      <w:r>
        <w:rPr>
          <w:rFonts w:hint="eastAsia" w:ascii="宋体" w:hAnsi="宋体" w:cs="宋体"/>
          <w:szCs w:val="21"/>
        </w:rPr>
        <w:t>⑤</w:t>
      </w:r>
      <w:r>
        <w:rPr>
          <w:szCs w:val="21"/>
        </w:rPr>
        <w:t>函数通过指针参数返回结果的方法；</w:t>
      </w:r>
      <w:r>
        <w:rPr>
          <w:rFonts w:hint="eastAsia" w:ascii="宋体" w:hAnsi="宋体" w:cs="宋体"/>
          <w:szCs w:val="21"/>
        </w:rPr>
        <w:t>⑥</w:t>
      </w:r>
      <w:r>
        <w:rPr>
          <w:szCs w:val="21"/>
        </w:rPr>
        <w:t>指针的游标法与数组的下标法之间的相互转换；</w:t>
      </w:r>
      <w:r>
        <w:rPr>
          <w:rFonts w:hint="eastAsia" w:ascii="宋体" w:hAnsi="宋体" w:cs="宋体"/>
          <w:szCs w:val="21"/>
        </w:rPr>
        <w:t>⑦</w:t>
      </w:r>
      <w:r>
        <w:rPr>
          <w:szCs w:val="21"/>
        </w:rPr>
        <w:t>基于一维数组与多维数组的内存布局互通性，利用一维指针访问多维数组；</w:t>
      </w:r>
      <w:r>
        <w:rPr>
          <w:rFonts w:hint="eastAsia" w:ascii="宋体" w:hAnsi="宋体" w:cs="宋体"/>
          <w:szCs w:val="21"/>
        </w:rPr>
        <w:t>⑧</w:t>
      </w:r>
      <w:r>
        <w:rPr>
          <w:szCs w:val="21"/>
        </w:rPr>
        <w:t>基于结构体指针实现函数返回多个结果；</w:t>
      </w:r>
      <w:r>
        <w:rPr>
          <w:rFonts w:hint="eastAsia" w:ascii="宋体" w:hAnsi="宋体" w:cs="宋体"/>
          <w:szCs w:val="21"/>
        </w:rPr>
        <w:t>⑨</w:t>
      </w:r>
      <w:r>
        <w:rPr>
          <w:szCs w:val="21"/>
        </w:rPr>
        <w:t>变量与函数的驼峰与匈牙利命名规则；</w:t>
      </w:r>
      <w:r>
        <w:rPr>
          <w:rFonts w:hint="eastAsia" w:ascii="宋体" w:hAnsi="宋体" w:cs="宋体"/>
          <w:szCs w:val="21"/>
        </w:rPr>
        <w:t>⑩</w:t>
      </w:r>
      <w:r>
        <w:rPr>
          <w:szCs w:val="21"/>
        </w:rPr>
        <w:t>代码的安全编码与漏洞检测；</w:t>
      </w:r>
      <w:r>
        <w:rPr>
          <w:rFonts w:ascii="Cambria Math" w:hAnsi="Cambria Math" w:cs="Cambria Math"/>
          <w:szCs w:val="21"/>
        </w:rPr>
        <w:t>⑪</w:t>
      </w:r>
      <w:r>
        <w:rPr>
          <w:szCs w:val="21"/>
        </w:rPr>
        <w:t>单元的可测性规则。[1</w:t>
      </w:r>
      <w:r>
        <w:rPr>
          <w:rFonts w:hint="eastAsia"/>
          <w:szCs w:val="21"/>
        </w:rPr>
        <w:t>.</w:t>
      </w:r>
      <w:r>
        <w:rPr>
          <w:szCs w:val="21"/>
        </w:rPr>
        <w:t>2]</w:t>
      </w:r>
    </w:p>
    <w:p>
      <w:pPr>
        <w:adjustRightInd w:val="0"/>
        <w:snapToGrid w:val="0"/>
        <w:spacing w:line="300" w:lineRule="auto"/>
        <w:ind w:firstLine="420" w:firstLineChars="200"/>
        <w:rPr>
          <w:szCs w:val="21"/>
        </w:rPr>
      </w:pPr>
      <w:r>
        <w:rPr>
          <w:szCs w:val="21"/>
        </w:rPr>
        <w:t>2．基于IDE工具的软件开发、调试与测试技能目标：培养使用软件工具对复杂软件工程问题进行调试与测试的能力。</w:t>
      </w:r>
    </w:p>
    <w:p>
      <w:pPr>
        <w:adjustRightInd w:val="0"/>
        <w:snapToGrid w:val="0"/>
        <w:spacing w:line="300" w:lineRule="auto"/>
        <w:ind w:firstLine="420" w:firstLineChars="200"/>
        <w:rPr>
          <w:szCs w:val="21"/>
        </w:rPr>
      </w:pPr>
      <w:r>
        <w:rPr>
          <w:szCs w:val="21"/>
        </w:rPr>
        <w:t>熟练使用C-Free、Dev-C、CodeBlocks、VC++、VS-2015等常用C语言IDE软件，及其一系列辅助设计工具，例如：</w:t>
      </w:r>
      <w:r>
        <w:rPr>
          <w:rFonts w:hint="eastAsia" w:ascii="宋体" w:hAnsi="宋体" w:cs="宋体"/>
          <w:szCs w:val="21"/>
        </w:rPr>
        <w:t>①</w:t>
      </w:r>
      <w:r>
        <w:rPr>
          <w:szCs w:val="21"/>
        </w:rPr>
        <w:t>代码编辑的辅助功能使用方法，例如文本彩色加亮、代码输入提示、智慧输入、代码模板插入、变量与函数的查找与位置索引、缩进对齐、格式自动化以及代码分析等功能；</w:t>
      </w:r>
      <w:r>
        <w:rPr>
          <w:rFonts w:hint="eastAsia" w:ascii="宋体" w:hAnsi="宋体" w:cs="宋体"/>
          <w:szCs w:val="21"/>
        </w:rPr>
        <w:t>②</w:t>
      </w:r>
      <w:r>
        <w:rPr>
          <w:szCs w:val="21"/>
        </w:rPr>
        <w:t>项目编译的辅助功能使用方法，例如语法预先自动检测、编译器版本选择以及未使用函数提示等功能;</w:t>
      </w:r>
      <w:r>
        <w:rPr>
          <w:rFonts w:hint="eastAsia" w:ascii="宋体" w:hAnsi="宋体" w:cs="宋体"/>
          <w:szCs w:val="21"/>
        </w:rPr>
        <w:t>③</w:t>
      </w:r>
      <w:r>
        <w:rPr>
          <w:szCs w:val="21"/>
        </w:rPr>
        <w:t>项目调试的辅助功能使用方法，例如基于内存地址的变量管理、基于调用栈的变量管理、基于运行环境的变量管理以及基于查找监视的变量管理等功能。[5</w:t>
      </w:r>
      <w:r>
        <w:rPr>
          <w:rFonts w:hint="eastAsia"/>
          <w:szCs w:val="21"/>
        </w:rPr>
        <w:t>.</w:t>
      </w:r>
      <w:r>
        <w:rPr>
          <w:szCs w:val="21"/>
        </w:rPr>
        <w:t>2]</w:t>
      </w:r>
    </w:p>
    <w:p>
      <w:pPr>
        <w:adjustRightInd w:val="0"/>
        <w:snapToGrid w:val="0"/>
        <w:spacing w:line="300" w:lineRule="auto"/>
        <w:ind w:firstLine="420" w:firstLineChars="200"/>
        <w:rPr>
          <w:szCs w:val="21"/>
        </w:rPr>
      </w:pPr>
      <w:r>
        <w:rPr>
          <w:szCs w:val="21"/>
        </w:rPr>
        <w:t>3．软件项目开发综合素质训练目标：培养编程语言的自主学习和终身学习的意识，掌握计算机语言学习与项目开发实践的基本方法和途径。</w:t>
      </w:r>
    </w:p>
    <w:p>
      <w:pPr>
        <w:adjustRightInd w:val="0"/>
        <w:snapToGrid w:val="0"/>
        <w:spacing w:line="300" w:lineRule="auto"/>
        <w:ind w:firstLine="420" w:firstLineChars="200"/>
        <w:rPr>
          <w:szCs w:val="21"/>
        </w:rPr>
      </w:pPr>
      <w:r>
        <w:rPr>
          <w:szCs w:val="21"/>
        </w:rPr>
        <w:t>在项目的参与过程，不断培养良好的软件工程思维，理解软件运行的内在原理，例如：</w:t>
      </w:r>
      <w:r>
        <w:rPr>
          <w:rFonts w:hint="eastAsia" w:ascii="宋体" w:hAnsi="宋体" w:cs="宋体"/>
          <w:szCs w:val="21"/>
        </w:rPr>
        <w:t>①</w:t>
      </w:r>
      <w:r>
        <w:rPr>
          <w:szCs w:val="21"/>
        </w:rPr>
        <w:t>在从需求分析到系统设计的转换过程中，能够运用数学模型、通用协议或者现有解决方案等多种方式的集成；</w:t>
      </w:r>
      <w:r>
        <w:rPr>
          <w:rFonts w:hint="eastAsia" w:ascii="宋体" w:hAnsi="宋体" w:cs="宋体"/>
          <w:szCs w:val="21"/>
        </w:rPr>
        <w:t>②</w:t>
      </w:r>
      <w:r>
        <w:rPr>
          <w:szCs w:val="21"/>
        </w:rPr>
        <w:t>在架构设计中能够采用自顶向下思维设计功能模块架构树状图；</w:t>
      </w:r>
      <w:r>
        <w:rPr>
          <w:rFonts w:hint="eastAsia" w:ascii="宋体" w:hAnsi="宋体" w:cs="宋体"/>
          <w:szCs w:val="21"/>
        </w:rPr>
        <w:t>③</w:t>
      </w:r>
      <w:r>
        <w:rPr>
          <w:szCs w:val="21"/>
        </w:rPr>
        <w:t>在关系型数据库设计过程尽量采用数据库设计三大范式进行约束；</w:t>
      </w:r>
      <w:r>
        <w:rPr>
          <w:rFonts w:hint="eastAsia" w:ascii="宋体" w:hAnsi="宋体" w:cs="宋体"/>
          <w:szCs w:val="21"/>
        </w:rPr>
        <w:t>④</w:t>
      </w:r>
      <w:r>
        <w:rPr>
          <w:szCs w:val="21"/>
        </w:rPr>
        <w:t>在模块设计过程能够运用流程图或者伪程序代码；</w:t>
      </w:r>
      <w:r>
        <w:rPr>
          <w:rFonts w:hint="eastAsia" w:ascii="宋体" w:hAnsi="宋体" w:cs="宋体"/>
          <w:szCs w:val="21"/>
        </w:rPr>
        <w:t>⑤</w:t>
      </w:r>
      <w:r>
        <w:rPr>
          <w:szCs w:val="21"/>
        </w:rPr>
        <w:t>运用项目管理的增量与迭代理念进行项目实施，从需求分析、概要设计、详细设计、编码实现、软件调试、模块单元测试、系统测试以及项目文档书写等多个环节。[12</w:t>
      </w:r>
      <w:r>
        <w:rPr>
          <w:rFonts w:hint="eastAsia"/>
          <w:szCs w:val="21"/>
        </w:rPr>
        <w:t>.</w:t>
      </w:r>
      <w:r>
        <w:rPr>
          <w:szCs w:val="21"/>
        </w:rPr>
        <w:t>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044"/>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blHeader/>
          <w:jc w:val="center"/>
        </w:trPr>
        <w:tc>
          <w:tcPr>
            <w:tcW w:w="1293" w:type="dxa"/>
            <w:vAlign w:val="center"/>
          </w:tcPr>
          <w:p>
            <w:pPr>
              <w:adjustRightInd w:val="0"/>
              <w:snapToGrid w:val="0"/>
              <w:spacing w:line="300" w:lineRule="auto"/>
              <w:rPr>
                <w:b/>
                <w:bCs/>
                <w:sz w:val="18"/>
                <w:szCs w:val="18"/>
              </w:rPr>
            </w:pPr>
            <w:r>
              <w:rPr>
                <w:b/>
                <w:bCs/>
                <w:sz w:val="18"/>
                <w:szCs w:val="18"/>
              </w:rPr>
              <w:t>毕业要求</w:t>
            </w:r>
          </w:p>
        </w:tc>
        <w:tc>
          <w:tcPr>
            <w:tcW w:w="6044"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c>
          <w:tcPr>
            <w:tcW w:w="655"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djustRightInd w:val="0"/>
              <w:snapToGrid w:val="0"/>
              <w:spacing w:line="300" w:lineRule="auto"/>
              <w:rPr>
                <w:sz w:val="18"/>
                <w:szCs w:val="18"/>
              </w:rPr>
            </w:pPr>
            <w:r>
              <w:rPr>
                <w:sz w:val="18"/>
                <w:szCs w:val="18"/>
              </w:rPr>
              <w:t>1．工程知识</w:t>
            </w:r>
          </w:p>
        </w:tc>
        <w:tc>
          <w:tcPr>
            <w:tcW w:w="6044" w:type="dxa"/>
          </w:tcPr>
          <w:p>
            <w:pPr>
              <w:adjustRightInd w:val="0"/>
              <w:snapToGrid w:val="0"/>
              <w:spacing w:line="300" w:lineRule="auto"/>
              <w:rPr>
                <w:sz w:val="18"/>
                <w:szCs w:val="18"/>
              </w:rPr>
            </w:pPr>
            <w:r>
              <w:rPr>
                <w:sz w:val="18"/>
                <w:szCs w:val="18"/>
              </w:rPr>
              <w:t>1</w:t>
            </w:r>
            <w:r>
              <w:rPr>
                <w:rFonts w:hint="eastAsia"/>
                <w:sz w:val="18"/>
                <w:szCs w:val="18"/>
              </w:rPr>
              <w:t>.</w:t>
            </w:r>
            <w:r>
              <w:rPr>
                <w:sz w:val="18"/>
                <w:szCs w:val="18"/>
              </w:rPr>
              <w:t>2</w:t>
            </w:r>
            <w:r>
              <w:rPr>
                <w:rFonts w:hint="eastAsia"/>
                <w:sz w:val="18"/>
                <w:szCs w:val="18"/>
              </w:rPr>
              <w:t>掌握计算机、电子、信息、通信、测控及其它工程基础知识，并有效将其应用于电子信息领域工程问题（含海洋电子信息领域）的软硬件分析与设计</w:t>
            </w:r>
            <w:r>
              <w:rPr>
                <w:szCs w:val="21"/>
              </w:rPr>
              <w:t>。</w:t>
            </w:r>
          </w:p>
        </w:tc>
        <w:tc>
          <w:tcPr>
            <w:tcW w:w="689" w:type="dxa"/>
            <w:vAlign w:val="center"/>
          </w:tcPr>
          <w:p>
            <w:pPr>
              <w:adjustRightInd w:val="0"/>
              <w:snapToGrid w:val="0"/>
              <w:spacing w:line="300" w:lineRule="auto"/>
              <w:jc w:val="center"/>
              <w:rPr>
                <w:sz w:val="18"/>
                <w:szCs w:val="18"/>
              </w:rPr>
            </w:pPr>
            <w:r>
              <w:rPr>
                <w:sz w:val="18"/>
                <w:szCs w:val="18"/>
              </w:rPr>
              <w:t>1</w:t>
            </w:r>
          </w:p>
        </w:tc>
        <w:tc>
          <w:tcPr>
            <w:tcW w:w="655" w:type="dxa"/>
            <w:vAlign w:val="center"/>
          </w:tcPr>
          <w:p>
            <w:pPr>
              <w:adjustRightInd w:val="0"/>
              <w:snapToGrid w:val="0"/>
              <w:spacing w:line="300" w:lineRule="auto"/>
              <w:jc w:val="center"/>
              <w:rPr>
                <w:sz w:val="18"/>
                <w:szCs w:val="18"/>
              </w:rPr>
            </w:pPr>
            <w:r>
              <w:rPr>
                <w:sz w:val="18"/>
                <w:szCs w:val="18"/>
              </w:rPr>
              <w:t>0.</w:t>
            </w:r>
            <w:r>
              <w:rPr>
                <w:rFonts w:hint="eastAsia"/>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djustRightInd w:val="0"/>
              <w:snapToGrid w:val="0"/>
              <w:spacing w:line="300" w:lineRule="auto"/>
              <w:rPr>
                <w:sz w:val="18"/>
                <w:szCs w:val="18"/>
              </w:rPr>
            </w:pPr>
            <w:r>
              <w:rPr>
                <w:sz w:val="18"/>
                <w:szCs w:val="18"/>
              </w:rPr>
              <w:t>5．现代工具使用</w:t>
            </w:r>
          </w:p>
        </w:tc>
        <w:tc>
          <w:tcPr>
            <w:tcW w:w="6044" w:type="dxa"/>
            <w:vAlign w:val="center"/>
          </w:tcPr>
          <w:p>
            <w:pPr>
              <w:adjustRightInd w:val="0"/>
              <w:snapToGrid w:val="0"/>
              <w:spacing w:line="300" w:lineRule="auto"/>
              <w:rPr>
                <w:sz w:val="18"/>
                <w:szCs w:val="18"/>
              </w:rPr>
            </w:pPr>
            <w:r>
              <w:rPr>
                <w:sz w:val="18"/>
                <w:szCs w:val="18"/>
              </w:rPr>
              <w:t>5</w:t>
            </w:r>
            <w:r>
              <w:rPr>
                <w:rFonts w:hint="eastAsia"/>
                <w:sz w:val="18"/>
                <w:szCs w:val="18"/>
              </w:rPr>
              <w:t>.</w:t>
            </w:r>
            <w:r>
              <w:rPr>
                <w:sz w:val="18"/>
                <w:szCs w:val="18"/>
              </w:rPr>
              <w:t>2</w:t>
            </w:r>
            <w:r>
              <w:rPr>
                <w:rFonts w:hint="eastAsia"/>
                <w:sz w:val="18"/>
                <w:szCs w:val="18"/>
              </w:rPr>
              <w:t>具备使用实验设备、现代工程工具和信息技术工具对复杂工程问题进行模拟或仿真的能力，并能够理解其局限性</w:t>
            </w:r>
            <w:r>
              <w:rPr>
                <w:sz w:val="18"/>
                <w:szCs w:val="18"/>
              </w:rPr>
              <w:t>。</w:t>
            </w:r>
          </w:p>
        </w:tc>
        <w:tc>
          <w:tcPr>
            <w:tcW w:w="689" w:type="dxa"/>
            <w:vAlign w:val="center"/>
          </w:tcPr>
          <w:p>
            <w:pPr>
              <w:adjustRightInd w:val="0"/>
              <w:snapToGrid w:val="0"/>
              <w:spacing w:line="300" w:lineRule="auto"/>
              <w:jc w:val="center"/>
              <w:rPr>
                <w:sz w:val="18"/>
                <w:szCs w:val="18"/>
              </w:rPr>
            </w:pPr>
            <w:r>
              <w:rPr>
                <w:sz w:val="18"/>
                <w:szCs w:val="18"/>
              </w:rPr>
              <w:t>2</w:t>
            </w:r>
          </w:p>
        </w:tc>
        <w:tc>
          <w:tcPr>
            <w:tcW w:w="655" w:type="dxa"/>
            <w:vAlign w:val="center"/>
          </w:tcPr>
          <w:p>
            <w:pPr>
              <w:adjustRightInd w:val="0"/>
              <w:snapToGrid w:val="0"/>
              <w:spacing w:line="300" w:lineRule="auto"/>
              <w:jc w:val="center"/>
              <w:rPr>
                <w:sz w:val="18"/>
                <w:szCs w:val="18"/>
              </w:rPr>
            </w:pPr>
            <w:r>
              <w:rPr>
                <w:sz w:val="18"/>
                <w:szCs w:val="18"/>
              </w:rPr>
              <w:t>0.</w:t>
            </w:r>
            <w:r>
              <w:rPr>
                <w:rFonts w:hint="eastAsia"/>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djustRightInd w:val="0"/>
              <w:snapToGrid w:val="0"/>
              <w:spacing w:line="300" w:lineRule="auto"/>
              <w:rPr>
                <w:sz w:val="18"/>
                <w:szCs w:val="18"/>
              </w:rPr>
            </w:pPr>
            <w:r>
              <w:rPr>
                <w:sz w:val="18"/>
                <w:szCs w:val="18"/>
              </w:rPr>
              <w:t>12．终身学习</w:t>
            </w:r>
          </w:p>
        </w:tc>
        <w:tc>
          <w:tcPr>
            <w:tcW w:w="6044" w:type="dxa"/>
            <w:vAlign w:val="center"/>
          </w:tcPr>
          <w:p>
            <w:pPr>
              <w:adjustRightInd w:val="0"/>
              <w:snapToGrid w:val="0"/>
              <w:spacing w:line="300" w:lineRule="auto"/>
              <w:rPr>
                <w:sz w:val="18"/>
                <w:szCs w:val="18"/>
              </w:rPr>
            </w:pPr>
            <w:r>
              <w:rPr>
                <w:sz w:val="18"/>
                <w:szCs w:val="18"/>
              </w:rPr>
              <w:t>12</w:t>
            </w:r>
            <w:r>
              <w:rPr>
                <w:rFonts w:hint="eastAsia"/>
                <w:sz w:val="18"/>
                <w:szCs w:val="18"/>
              </w:rPr>
              <w:t>.</w:t>
            </w:r>
            <w:r>
              <w:rPr>
                <w:sz w:val="18"/>
                <w:szCs w:val="18"/>
              </w:rPr>
              <w:t>1</w:t>
            </w:r>
            <w:r>
              <w:rPr>
                <w:rFonts w:hint="eastAsia"/>
                <w:sz w:val="18"/>
                <w:szCs w:val="18"/>
              </w:rPr>
              <w:t>具有自主学习和终身学习的意识，掌握拓展知识和能力的基本方法和途径</w:t>
            </w:r>
            <w:r>
              <w:rPr>
                <w:sz w:val="18"/>
                <w:szCs w:val="18"/>
              </w:rPr>
              <w:t>。</w:t>
            </w:r>
          </w:p>
        </w:tc>
        <w:tc>
          <w:tcPr>
            <w:tcW w:w="689" w:type="dxa"/>
            <w:vAlign w:val="center"/>
          </w:tcPr>
          <w:p>
            <w:pPr>
              <w:adjustRightInd w:val="0"/>
              <w:snapToGrid w:val="0"/>
              <w:spacing w:line="300" w:lineRule="auto"/>
              <w:jc w:val="center"/>
              <w:rPr>
                <w:sz w:val="18"/>
                <w:szCs w:val="18"/>
              </w:rPr>
            </w:pPr>
            <w:r>
              <w:rPr>
                <w:sz w:val="18"/>
                <w:szCs w:val="18"/>
              </w:rPr>
              <w:t>3</w:t>
            </w:r>
          </w:p>
        </w:tc>
        <w:tc>
          <w:tcPr>
            <w:tcW w:w="655" w:type="dxa"/>
            <w:vAlign w:val="center"/>
          </w:tcPr>
          <w:p>
            <w:pPr>
              <w:adjustRightInd w:val="0"/>
              <w:snapToGrid w:val="0"/>
              <w:spacing w:line="300" w:lineRule="auto"/>
              <w:jc w:val="center"/>
              <w:rPr>
                <w:sz w:val="18"/>
                <w:szCs w:val="18"/>
              </w:rPr>
            </w:pPr>
            <w:r>
              <w:rPr>
                <w:sz w:val="18"/>
                <w:szCs w:val="18"/>
              </w:rPr>
              <w:t>0.</w:t>
            </w:r>
            <w:r>
              <w:rPr>
                <w:rFonts w:hint="eastAsia"/>
                <w:sz w:val="18"/>
                <w:szCs w:val="18"/>
              </w:rPr>
              <w:t>04</w:t>
            </w:r>
          </w:p>
        </w:tc>
      </w:tr>
    </w:tbl>
    <w:p>
      <w:pPr>
        <w:adjustRightInd w:val="0"/>
        <w:snapToGrid w:val="0"/>
        <w:spacing w:before="156" w:beforeLines="50" w:after="156" w:afterLines="50" w:line="300" w:lineRule="auto"/>
        <w:rPr>
          <w:b/>
          <w:bCs/>
          <w:sz w:val="18"/>
          <w:szCs w:val="18"/>
          <w:shd w:val="clear" w:color="auto" w:fill="FEFEFF"/>
        </w:rPr>
      </w:pPr>
      <w:r>
        <w:rPr>
          <w:b/>
          <w:sz w:val="24"/>
        </w:rPr>
        <w:t>三、课程教学目标达成途径（或教学设计）</w:t>
      </w:r>
    </w:p>
    <w:p>
      <w:pPr>
        <w:widowControl/>
        <w:adjustRightInd w:val="0"/>
        <w:snapToGrid w:val="0"/>
        <w:spacing w:line="300" w:lineRule="auto"/>
        <w:jc w:val="center"/>
        <w:rPr>
          <w:b/>
          <w:bCs/>
          <w:sz w:val="18"/>
          <w:szCs w:val="18"/>
          <w:shd w:val="clear" w:color="auto" w:fill="FEFEFF"/>
        </w:rPr>
      </w:pPr>
      <w:r>
        <w:rPr>
          <w:b/>
          <w:bCs/>
          <w:sz w:val="18"/>
          <w:szCs w:val="18"/>
          <w:shd w:val="clear" w:color="auto" w:fill="FEFEFF"/>
        </w:rPr>
        <w:t>表2教学目标达成途径</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7"/>
        <w:gridCol w:w="982"/>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2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98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0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sz w:val="18"/>
                <w:szCs w:val="18"/>
              </w:rPr>
              <w:t>．</w:t>
            </w:r>
            <w:r>
              <w:rPr>
                <w:sz w:val="18"/>
                <w:szCs w:val="18"/>
                <w:shd w:val="clear" w:color="auto" w:fill="FEFEFF"/>
              </w:rPr>
              <w:t>C语言程序语法与编程设计知识点学习：掌握C语言工程基础知识，并有效将其应用于软件分析与设计。</w:t>
            </w:r>
          </w:p>
          <w:p>
            <w:pPr>
              <w:widowControl/>
              <w:adjustRightInd w:val="0"/>
              <w:snapToGrid w:val="0"/>
              <w:spacing w:line="300" w:lineRule="auto"/>
              <w:jc w:val="left"/>
              <w:rPr>
                <w:sz w:val="18"/>
                <w:szCs w:val="18"/>
                <w:shd w:val="clear" w:color="auto" w:fill="FEFEFF"/>
              </w:rPr>
            </w:pPr>
            <w:r>
              <w:rPr>
                <w:sz w:val="18"/>
                <w:szCs w:val="18"/>
                <w:shd w:val="clear" w:color="auto" w:fill="FEFEFF"/>
              </w:rPr>
              <w:t>（1）理解C语言的输入输出、选择结构程序设计、循环结构程序设计、数组、函数、指针以及结构体等基础概念与语法，能够以区别、解释或者举例的方式进行阐述以下知识点，例如：</w:t>
            </w:r>
            <w:r>
              <w:rPr>
                <w:rFonts w:hint="eastAsia" w:ascii="宋体" w:hAnsi="宋体" w:cs="宋体"/>
                <w:sz w:val="18"/>
                <w:szCs w:val="18"/>
                <w:shd w:val="clear" w:color="auto" w:fill="FEFEFF"/>
              </w:rPr>
              <w:t>①</w:t>
            </w:r>
            <w:r>
              <w:rPr>
                <w:sz w:val="18"/>
                <w:szCs w:val="18"/>
                <w:shd w:val="clear" w:color="auto" w:fill="FEFEFF"/>
              </w:rPr>
              <w:t>整数、单精度小数以及双精度小数的二进制表达形式与数值范围的区别；</w:t>
            </w:r>
            <w:r>
              <w:rPr>
                <w:rFonts w:hint="eastAsia" w:ascii="宋体" w:hAnsi="宋体" w:cs="宋体"/>
                <w:sz w:val="18"/>
                <w:szCs w:val="18"/>
                <w:shd w:val="clear" w:color="auto" w:fill="FEFEFF"/>
              </w:rPr>
              <w:t>②</w:t>
            </w:r>
            <w:r>
              <w:rPr>
                <w:sz w:val="18"/>
                <w:szCs w:val="18"/>
                <w:shd w:val="clear" w:color="auto" w:fill="FEFEFF"/>
              </w:rPr>
              <w:t>字符与整数的运用相似性与差异性；</w:t>
            </w:r>
            <w:r>
              <w:rPr>
                <w:rFonts w:hint="eastAsia" w:ascii="宋体" w:hAnsi="宋体" w:cs="宋体"/>
                <w:sz w:val="18"/>
                <w:szCs w:val="18"/>
                <w:shd w:val="clear" w:color="auto" w:fill="FEFEFF"/>
              </w:rPr>
              <w:t>③</w:t>
            </w:r>
            <w:r>
              <w:rPr>
                <w:sz w:val="18"/>
                <w:szCs w:val="18"/>
                <w:shd w:val="clear" w:color="auto" w:fill="FEFEFF"/>
              </w:rPr>
              <w:t>执行文件的生成过程；</w:t>
            </w:r>
            <w:r>
              <w:rPr>
                <w:rFonts w:hint="eastAsia" w:ascii="宋体" w:hAnsi="宋体" w:cs="宋体"/>
                <w:sz w:val="18"/>
                <w:szCs w:val="18"/>
                <w:shd w:val="clear" w:color="auto" w:fill="FEFEFF"/>
              </w:rPr>
              <w:t>④</w:t>
            </w:r>
            <w:r>
              <w:rPr>
                <w:sz w:val="18"/>
                <w:szCs w:val="18"/>
                <w:shd w:val="clear" w:color="auto" w:fill="FEFEFF"/>
              </w:rPr>
              <w:t>输入输出语句的格式字符运行效果；</w:t>
            </w:r>
            <w:r>
              <w:rPr>
                <w:rFonts w:hint="eastAsia" w:ascii="宋体" w:hAnsi="宋体" w:cs="宋体"/>
                <w:sz w:val="18"/>
                <w:szCs w:val="18"/>
                <w:shd w:val="clear" w:color="auto" w:fill="FEFEFF"/>
              </w:rPr>
              <w:t>⑤</w:t>
            </w:r>
            <w:r>
              <w:rPr>
                <w:sz w:val="18"/>
                <w:szCs w:val="18"/>
                <w:shd w:val="clear" w:color="auto" w:fill="FEFEFF"/>
              </w:rPr>
              <w:t>逻辑表达式的值与条件判断；</w:t>
            </w:r>
            <w:r>
              <w:rPr>
                <w:rFonts w:hint="eastAsia" w:ascii="宋体" w:hAnsi="宋体" w:cs="宋体"/>
                <w:sz w:val="18"/>
                <w:szCs w:val="18"/>
                <w:shd w:val="clear" w:color="auto" w:fill="FEFEFF"/>
              </w:rPr>
              <w:t>⑥</w:t>
            </w:r>
            <w:r>
              <w:rPr>
                <w:sz w:val="18"/>
                <w:szCs w:val="18"/>
                <w:shd w:val="clear" w:color="auto" w:fill="FEFEFF"/>
              </w:rPr>
              <w:t>while、do-while、for循环结构的使用差异性；</w:t>
            </w:r>
            <w:r>
              <w:rPr>
                <w:rFonts w:hint="eastAsia" w:ascii="宋体" w:hAnsi="宋体" w:cs="宋体"/>
                <w:sz w:val="18"/>
                <w:szCs w:val="18"/>
                <w:shd w:val="clear" w:color="auto" w:fill="FEFEFF"/>
              </w:rPr>
              <w:t>⑦</w:t>
            </w:r>
            <w:r>
              <w:rPr>
                <w:sz w:val="18"/>
                <w:szCs w:val="18"/>
                <w:shd w:val="clear" w:color="auto" w:fill="FEFEFF"/>
              </w:rPr>
              <w:t>数组的初始化；</w:t>
            </w:r>
            <w:r>
              <w:rPr>
                <w:rFonts w:hint="eastAsia" w:ascii="宋体" w:hAnsi="宋体" w:cs="宋体"/>
                <w:sz w:val="18"/>
                <w:szCs w:val="18"/>
                <w:shd w:val="clear" w:color="auto" w:fill="FEFEFF"/>
              </w:rPr>
              <w:t>⑧</w:t>
            </w:r>
            <w:r>
              <w:rPr>
                <w:sz w:val="18"/>
                <w:szCs w:val="18"/>
                <w:shd w:val="clear" w:color="auto" w:fill="FEFEFF"/>
              </w:rPr>
              <w:t>函数在调用过程的参数传递方式、以及函数嵌套；</w:t>
            </w:r>
            <w:r>
              <w:rPr>
                <w:rFonts w:hint="eastAsia" w:ascii="宋体" w:hAnsi="宋体" w:cs="宋体"/>
                <w:sz w:val="18"/>
                <w:szCs w:val="18"/>
                <w:shd w:val="clear" w:color="auto" w:fill="FEFEFF"/>
              </w:rPr>
              <w:t>⑨</w:t>
            </w:r>
            <w:r>
              <w:rPr>
                <w:sz w:val="18"/>
                <w:szCs w:val="18"/>
                <w:shd w:val="clear" w:color="auto" w:fill="FEFEFF"/>
              </w:rPr>
              <w:t>静态变量的特殊性；</w:t>
            </w:r>
            <w:r>
              <w:rPr>
                <w:rFonts w:hint="eastAsia" w:ascii="宋体" w:hAnsi="宋体" w:cs="宋体"/>
                <w:sz w:val="18"/>
                <w:szCs w:val="18"/>
                <w:shd w:val="clear" w:color="auto" w:fill="FEFEFF"/>
              </w:rPr>
              <w:t>⑩</w:t>
            </w:r>
            <w:r>
              <w:rPr>
                <w:sz w:val="18"/>
                <w:szCs w:val="18"/>
                <w:shd w:val="clear" w:color="auto" w:fill="FEFEFF"/>
              </w:rPr>
              <w:t>结构体的定义与初始化。</w:t>
            </w:r>
          </w:p>
          <w:p>
            <w:pPr>
              <w:widowControl/>
              <w:adjustRightInd w:val="0"/>
              <w:snapToGrid w:val="0"/>
              <w:spacing w:line="300" w:lineRule="auto"/>
              <w:jc w:val="left"/>
              <w:rPr>
                <w:b/>
                <w:sz w:val="18"/>
                <w:szCs w:val="18"/>
              </w:rPr>
            </w:pPr>
            <w:r>
              <w:rPr>
                <w:sz w:val="18"/>
                <w:szCs w:val="18"/>
                <w:shd w:val="clear" w:color="auto" w:fill="FEFEFF"/>
              </w:rPr>
              <w:t>（2）通过案例与实验学习培养独立编程能力，在编程实践中能够使用以下程序编程技巧，例如：</w:t>
            </w:r>
            <w:r>
              <w:rPr>
                <w:rFonts w:hint="eastAsia" w:ascii="宋体" w:hAnsi="宋体" w:cs="宋体"/>
                <w:sz w:val="18"/>
                <w:szCs w:val="18"/>
                <w:shd w:val="clear" w:color="auto" w:fill="FEFEFF"/>
              </w:rPr>
              <w:t>①</w:t>
            </w:r>
            <w:r>
              <w:rPr>
                <w:sz w:val="18"/>
                <w:szCs w:val="18"/>
                <w:shd w:val="clear" w:color="auto" w:fill="FEFEFF"/>
              </w:rPr>
              <w:t>在多文件项目避免头文件的嵌套和交叉引用；</w:t>
            </w:r>
            <w:r>
              <w:rPr>
                <w:rFonts w:hint="eastAsia" w:ascii="宋体" w:hAnsi="宋体" w:cs="宋体"/>
                <w:sz w:val="18"/>
                <w:szCs w:val="18"/>
                <w:shd w:val="clear" w:color="auto" w:fill="FEFEFF"/>
              </w:rPr>
              <w:t>②</w:t>
            </w:r>
            <w:r>
              <w:rPr>
                <w:sz w:val="18"/>
                <w:szCs w:val="18"/>
                <w:shd w:val="clear" w:color="auto" w:fill="FEFEFF"/>
              </w:rPr>
              <w:t>分段线性函数的嵌套if-else if-else语句实现方法；</w:t>
            </w:r>
            <w:r>
              <w:rPr>
                <w:rFonts w:hint="eastAsia" w:ascii="宋体" w:hAnsi="宋体" w:cs="宋体"/>
                <w:sz w:val="18"/>
                <w:szCs w:val="18"/>
                <w:shd w:val="clear" w:color="auto" w:fill="FEFEFF"/>
              </w:rPr>
              <w:t>③</w:t>
            </w:r>
            <w:r>
              <w:rPr>
                <w:sz w:val="18"/>
                <w:szCs w:val="18"/>
                <w:shd w:val="clear" w:color="auto" w:fill="FEFEFF"/>
              </w:rPr>
              <w:t>离散函数的switch-case语句实现方法；</w:t>
            </w:r>
            <w:r>
              <w:rPr>
                <w:rFonts w:hint="eastAsia" w:ascii="宋体" w:hAnsi="宋体" w:cs="宋体"/>
                <w:sz w:val="18"/>
                <w:szCs w:val="18"/>
                <w:shd w:val="clear" w:color="auto" w:fill="FEFEFF"/>
              </w:rPr>
              <w:t>④</w:t>
            </w:r>
            <w:r>
              <w:rPr>
                <w:sz w:val="18"/>
                <w:szCs w:val="18"/>
                <w:shd w:val="clear" w:color="auto" w:fill="FEFEFF"/>
              </w:rPr>
              <w:t>数组与指针的相互转换及其限制；</w:t>
            </w:r>
            <w:r>
              <w:rPr>
                <w:rFonts w:hint="eastAsia" w:ascii="宋体" w:hAnsi="宋体" w:cs="宋体"/>
                <w:sz w:val="18"/>
                <w:szCs w:val="18"/>
                <w:shd w:val="clear" w:color="auto" w:fill="FEFEFF"/>
              </w:rPr>
              <w:t>⑤</w:t>
            </w:r>
            <w:r>
              <w:rPr>
                <w:sz w:val="18"/>
                <w:szCs w:val="18"/>
                <w:shd w:val="clear" w:color="auto" w:fill="FEFEFF"/>
              </w:rPr>
              <w:t>函数通过指针参数返回结果的方法；</w:t>
            </w:r>
            <w:r>
              <w:rPr>
                <w:rFonts w:hint="eastAsia" w:ascii="宋体" w:hAnsi="宋体" w:cs="宋体"/>
                <w:sz w:val="18"/>
                <w:szCs w:val="18"/>
                <w:shd w:val="clear" w:color="auto" w:fill="FEFEFF"/>
              </w:rPr>
              <w:t>⑥</w:t>
            </w:r>
            <w:r>
              <w:rPr>
                <w:sz w:val="18"/>
                <w:szCs w:val="18"/>
                <w:shd w:val="clear" w:color="auto" w:fill="FEFEFF"/>
              </w:rPr>
              <w:t>指针的游标法与数组的下标法之间的相互转换；</w:t>
            </w:r>
            <w:r>
              <w:rPr>
                <w:rFonts w:hint="eastAsia" w:ascii="宋体" w:hAnsi="宋体" w:cs="宋体"/>
                <w:sz w:val="18"/>
                <w:szCs w:val="18"/>
                <w:shd w:val="clear" w:color="auto" w:fill="FEFEFF"/>
              </w:rPr>
              <w:t>⑦</w:t>
            </w:r>
            <w:r>
              <w:rPr>
                <w:sz w:val="18"/>
                <w:szCs w:val="18"/>
                <w:shd w:val="clear" w:color="auto" w:fill="FEFEFF"/>
              </w:rPr>
              <w:t>基于一维数组与多维数组的内存布局互通性，利用一维指针访问多维数组；</w:t>
            </w:r>
            <w:r>
              <w:rPr>
                <w:rFonts w:hint="eastAsia" w:ascii="宋体" w:hAnsi="宋体" w:cs="宋体"/>
                <w:sz w:val="18"/>
                <w:szCs w:val="18"/>
                <w:shd w:val="clear" w:color="auto" w:fill="FEFEFF"/>
              </w:rPr>
              <w:t>⑧</w:t>
            </w:r>
            <w:r>
              <w:rPr>
                <w:sz w:val="18"/>
                <w:szCs w:val="18"/>
                <w:shd w:val="clear" w:color="auto" w:fill="FEFEFF"/>
              </w:rPr>
              <w:t>基于结构体指针实现函数返回多个结果；</w:t>
            </w:r>
            <w:r>
              <w:rPr>
                <w:rFonts w:hint="eastAsia" w:ascii="宋体" w:hAnsi="宋体" w:cs="宋体"/>
                <w:sz w:val="18"/>
                <w:szCs w:val="18"/>
                <w:shd w:val="clear" w:color="auto" w:fill="FEFEFF"/>
              </w:rPr>
              <w:t>⑨</w:t>
            </w:r>
            <w:r>
              <w:rPr>
                <w:sz w:val="18"/>
                <w:szCs w:val="18"/>
                <w:shd w:val="clear" w:color="auto" w:fill="FEFEFF"/>
              </w:rPr>
              <w:t>变量与函数的驼峰与匈牙利命名规则；</w:t>
            </w:r>
            <w:r>
              <w:rPr>
                <w:rFonts w:hint="eastAsia" w:ascii="宋体" w:hAnsi="宋体" w:cs="宋体"/>
                <w:sz w:val="18"/>
                <w:szCs w:val="18"/>
                <w:shd w:val="clear" w:color="auto" w:fill="FEFEFF"/>
              </w:rPr>
              <w:t>⑩</w:t>
            </w:r>
            <w:r>
              <w:rPr>
                <w:sz w:val="18"/>
                <w:szCs w:val="18"/>
                <w:shd w:val="clear" w:color="auto" w:fill="FEFEFF"/>
              </w:rPr>
              <w:t>代码的安全编码与漏洞检测；</w:t>
            </w:r>
            <w:r>
              <w:rPr>
                <w:rFonts w:ascii="Cambria Math" w:hAnsi="Cambria Math" w:cs="Cambria Math"/>
                <w:sz w:val="18"/>
                <w:szCs w:val="18"/>
                <w:shd w:val="clear" w:color="auto" w:fill="FEFEFF"/>
              </w:rPr>
              <w:t>⑪</w:t>
            </w:r>
            <w:r>
              <w:rPr>
                <w:sz w:val="18"/>
                <w:szCs w:val="18"/>
                <w:shd w:val="clear" w:color="auto" w:fill="FEFEFF"/>
              </w:rPr>
              <w:t>单元的可测性规则。</w:t>
            </w:r>
          </w:p>
        </w:tc>
        <w:tc>
          <w:tcPr>
            <w:tcW w:w="9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06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blHeader/>
          <w:jc w:val="center"/>
        </w:trPr>
        <w:tc>
          <w:tcPr>
            <w:tcW w:w="66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shd w:val="clear" w:color="auto" w:fill="FEFEFF"/>
              </w:rPr>
            </w:pPr>
            <w:r>
              <w:rPr>
                <w:sz w:val="18"/>
                <w:szCs w:val="18"/>
              </w:rPr>
              <w:t>2．</w:t>
            </w:r>
            <w:r>
              <w:rPr>
                <w:sz w:val="18"/>
                <w:szCs w:val="18"/>
                <w:shd w:val="clear" w:color="auto" w:fill="FEFEFF"/>
              </w:rPr>
              <w:t>基于IDE工具的软件开发、调试与测试技能目标：培养使用软件工具对复杂软件工程问题进行调试与测试的能力。</w:t>
            </w:r>
          </w:p>
          <w:p>
            <w:pPr>
              <w:adjustRightInd w:val="0"/>
              <w:snapToGrid w:val="0"/>
              <w:spacing w:line="300" w:lineRule="auto"/>
              <w:jc w:val="left"/>
              <w:rPr>
                <w:b/>
                <w:sz w:val="18"/>
                <w:szCs w:val="18"/>
              </w:rPr>
            </w:pPr>
            <w:r>
              <w:rPr>
                <w:sz w:val="18"/>
                <w:szCs w:val="18"/>
                <w:shd w:val="clear" w:color="auto" w:fill="FEFEFF"/>
              </w:rPr>
              <w:t>熟练使用C-Free、Dev-C、CodeBlocks、VC++、VS-2015等常用C语言IDE软件，及其一系列辅助设计工具，例如：</w:t>
            </w:r>
            <w:r>
              <w:rPr>
                <w:rFonts w:hint="eastAsia" w:ascii="宋体" w:hAnsi="宋体" w:cs="宋体"/>
                <w:sz w:val="18"/>
                <w:szCs w:val="18"/>
                <w:shd w:val="clear" w:color="auto" w:fill="FEFEFF"/>
              </w:rPr>
              <w:t>①</w:t>
            </w:r>
            <w:r>
              <w:rPr>
                <w:sz w:val="18"/>
                <w:szCs w:val="18"/>
                <w:shd w:val="clear" w:color="auto" w:fill="FEFEFF"/>
              </w:rPr>
              <w:t>代码编辑的辅助功能使用方法，例如文本彩色加亮、代码输入提示、智慧输入、代码模板插入、变量与函数的查找与位置索引、缩进对齐、格式自动化以及代码分析等功能；</w:t>
            </w:r>
            <w:r>
              <w:rPr>
                <w:rFonts w:hint="eastAsia" w:ascii="宋体" w:hAnsi="宋体" w:cs="宋体"/>
                <w:sz w:val="18"/>
                <w:szCs w:val="18"/>
                <w:shd w:val="clear" w:color="auto" w:fill="FEFEFF"/>
              </w:rPr>
              <w:t>②</w:t>
            </w:r>
            <w:r>
              <w:rPr>
                <w:sz w:val="18"/>
                <w:szCs w:val="18"/>
                <w:shd w:val="clear" w:color="auto" w:fill="FEFEFF"/>
              </w:rPr>
              <w:t>项目编译的辅助功能使用方法，例如语法预先自动检测、编译器版本选择以及未使用函数提示等功能;</w:t>
            </w:r>
            <w:r>
              <w:rPr>
                <w:rFonts w:hint="eastAsia" w:ascii="宋体" w:hAnsi="宋体" w:cs="宋体"/>
                <w:sz w:val="18"/>
                <w:szCs w:val="18"/>
                <w:shd w:val="clear" w:color="auto" w:fill="FEFEFF"/>
              </w:rPr>
              <w:t>③</w:t>
            </w:r>
            <w:r>
              <w:rPr>
                <w:sz w:val="18"/>
                <w:szCs w:val="18"/>
                <w:shd w:val="clear" w:color="auto" w:fill="FEFEFF"/>
              </w:rPr>
              <w:t>项目调试的辅助功能使用方法，例如基于内存地址的变量管理、基于调用栈的变量管理、基于运行环境的变量管理以及基于查找监视的变量管理等功能。</w:t>
            </w:r>
          </w:p>
        </w:tc>
        <w:tc>
          <w:tcPr>
            <w:tcW w:w="9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shd w:val="clear" w:color="auto" w:fill="FEFEFF"/>
              </w:rPr>
              <w:t>通过课堂讲授与学生学习（实验与仿真）等达成。</w:t>
            </w:r>
          </w:p>
        </w:tc>
        <w:tc>
          <w:tcPr>
            <w:tcW w:w="106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实验报告与实验课堂验收。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blHeader/>
          <w:jc w:val="center"/>
        </w:trPr>
        <w:tc>
          <w:tcPr>
            <w:tcW w:w="66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3．软件项目开发综合素质训练目标：培养编程语言的自主学习和终身学习的意识，掌握计算机语言学习与项目开发实践的基本方法和途径。</w:t>
            </w:r>
          </w:p>
          <w:p>
            <w:pPr>
              <w:adjustRightInd w:val="0"/>
              <w:snapToGrid w:val="0"/>
              <w:spacing w:line="300" w:lineRule="auto"/>
              <w:jc w:val="left"/>
              <w:rPr>
                <w:sz w:val="18"/>
                <w:szCs w:val="18"/>
                <w:shd w:val="clear" w:color="auto" w:fill="FEFEFF"/>
              </w:rPr>
            </w:pPr>
            <w:r>
              <w:rPr>
                <w:sz w:val="18"/>
                <w:szCs w:val="18"/>
              </w:rPr>
              <w:t>在项目的参与过程，不断培养良好的软件工程思维，理解软件运行的内在原理，例如：</w:t>
            </w:r>
            <w:r>
              <w:rPr>
                <w:rFonts w:hint="eastAsia" w:ascii="宋体" w:hAnsi="宋体" w:cs="宋体"/>
                <w:sz w:val="18"/>
                <w:szCs w:val="18"/>
              </w:rPr>
              <w:t>①</w:t>
            </w:r>
            <w:r>
              <w:rPr>
                <w:sz w:val="18"/>
                <w:szCs w:val="18"/>
              </w:rPr>
              <w:t>在从需求分析到系统设计的转换过程中，能够运用数学模型、通用协议或者现有解决方案等多种方式的集成；</w:t>
            </w:r>
            <w:r>
              <w:rPr>
                <w:rFonts w:hint="eastAsia" w:ascii="宋体" w:hAnsi="宋体" w:cs="宋体"/>
                <w:sz w:val="18"/>
                <w:szCs w:val="18"/>
              </w:rPr>
              <w:t>②</w:t>
            </w:r>
            <w:r>
              <w:rPr>
                <w:sz w:val="18"/>
                <w:szCs w:val="18"/>
              </w:rPr>
              <w:t>在架构设计中能够采用自顶向下思维设计功能模块架构树状图；</w:t>
            </w:r>
            <w:r>
              <w:rPr>
                <w:rFonts w:hint="eastAsia" w:ascii="宋体" w:hAnsi="宋体" w:cs="宋体"/>
                <w:sz w:val="18"/>
                <w:szCs w:val="18"/>
              </w:rPr>
              <w:t>③</w:t>
            </w:r>
            <w:r>
              <w:rPr>
                <w:sz w:val="18"/>
                <w:szCs w:val="18"/>
              </w:rPr>
              <w:t>在关系型数据库设计过程尽量采用数据库设计三大范式进行约束；</w:t>
            </w:r>
            <w:r>
              <w:rPr>
                <w:rFonts w:hint="eastAsia" w:ascii="宋体" w:hAnsi="宋体" w:cs="宋体"/>
                <w:sz w:val="18"/>
                <w:szCs w:val="18"/>
              </w:rPr>
              <w:t>④</w:t>
            </w:r>
            <w:r>
              <w:rPr>
                <w:sz w:val="18"/>
                <w:szCs w:val="18"/>
              </w:rPr>
              <w:t>在模块设计过程能够运用流程图或者伪程序代码；</w:t>
            </w:r>
            <w:r>
              <w:rPr>
                <w:rFonts w:hint="eastAsia" w:ascii="宋体" w:hAnsi="宋体" w:cs="宋体"/>
                <w:sz w:val="18"/>
                <w:szCs w:val="18"/>
              </w:rPr>
              <w:t>⑤</w:t>
            </w:r>
            <w:r>
              <w:rPr>
                <w:sz w:val="18"/>
                <w:szCs w:val="18"/>
              </w:rPr>
              <w:t>运用项目管理的增量与迭代理念进行项目实施，从需求分析、概要设计、详细设计、编码实现、软件调试、模块单元测试、系统测试以及项目文档书写等多个环节。</w:t>
            </w:r>
          </w:p>
        </w:tc>
        <w:tc>
          <w:tcPr>
            <w:tcW w:w="9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rPr>
              <w:t>通过课堂讲授与学生学习（小组讨论、案例研讨）等达成。</w:t>
            </w:r>
          </w:p>
        </w:tc>
        <w:tc>
          <w:tcPr>
            <w:tcW w:w="106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实验报告与实验课堂验收。</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理论教学环节紧密结合实践环节：本课程是一门偏重于实践教学的课程，目前理论教学和实践教学的比例确定为1:1，强调学生实际动手和解决问题能力的培养。课堂讲授注重案例教学，每周平均讲授与实验各2学时，其讲授内容与专业相关实践教学环节和场景相互呼应。</w:t>
      </w:r>
    </w:p>
    <w:p>
      <w:pPr>
        <w:adjustRightInd w:val="0"/>
        <w:snapToGrid w:val="0"/>
        <w:spacing w:line="300" w:lineRule="auto"/>
        <w:ind w:firstLine="420" w:firstLineChars="200"/>
        <w:rPr>
          <w:szCs w:val="21"/>
        </w:rPr>
      </w:pPr>
      <w:r>
        <w:rPr>
          <w:szCs w:val="21"/>
        </w:rPr>
        <w:t>2．提高实践教学环节的服务水平：</w:t>
      </w:r>
      <w:r>
        <w:rPr>
          <w:rFonts w:hint="eastAsia" w:ascii="宋体" w:hAnsi="宋体" w:cs="宋体"/>
          <w:szCs w:val="21"/>
        </w:rPr>
        <w:t>①</w:t>
      </w:r>
      <w:r>
        <w:rPr>
          <w:szCs w:val="21"/>
        </w:rPr>
        <w:t>注重学生兴趣的培养——设置从简单到复杂并且具有趣味性和实用性的实验项目，充分调动学生的学习积极性；</w:t>
      </w:r>
      <w:r>
        <w:rPr>
          <w:rFonts w:hint="eastAsia" w:ascii="宋体" w:hAnsi="宋体" w:cs="宋体"/>
          <w:szCs w:val="21"/>
        </w:rPr>
        <w:t>②</w:t>
      </w:r>
      <w:r>
        <w:rPr>
          <w:szCs w:val="21"/>
        </w:rPr>
        <w:t>提供实践能力培养的平台——为学生提供实验内容之外的大量案例，并且组织高年级学生成立课外学习辅导小组，增加学生的实践学习内容和时间。</w:t>
      </w:r>
    </w:p>
    <w:p>
      <w:pPr>
        <w:adjustRightInd w:val="0"/>
        <w:snapToGrid w:val="0"/>
        <w:spacing w:line="300" w:lineRule="auto"/>
        <w:ind w:firstLine="420" w:firstLineChars="200"/>
        <w:rPr>
          <w:szCs w:val="21"/>
        </w:rPr>
      </w:pPr>
      <w:r>
        <w:rPr>
          <w:szCs w:val="21"/>
        </w:rPr>
        <w:t>3．确保实践教学环节的教学效果：以课堂提问验收为主，报告形式为辅。通过对每一组同学每个实验的课堂提问验收，以及期末课程设计论文的课堂提问验收，一方面在实验课堂辅导的基础上增加了与学生进行实践经验交流的环节，另一方面督促学生切实理解和掌握实践环节的每个知识点，确保实践教学的成效。</w:t>
      </w:r>
    </w:p>
    <w:p>
      <w:pPr>
        <w:adjustRightInd w:val="0"/>
        <w:snapToGrid w:val="0"/>
        <w:spacing w:line="300" w:lineRule="auto"/>
        <w:ind w:firstLine="420" w:firstLineChars="200"/>
        <w:rPr>
          <w:szCs w:val="21"/>
        </w:rPr>
      </w:pPr>
      <w:r>
        <w:rPr>
          <w:szCs w:val="21"/>
        </w:rPr>
        <w:t>本课程理论教学内容与教学要求见表3。备注：其中“教学内容”一栏的内容依据课程教材的目录编写，因此与“序号”一栏的内容不完全对应。</w:t>
      </w:r>
    </w:p>
    <w:p>
      <w:pPr>
        <w:adjustRightInd w:val="0"/>
        <w:snapToGrid w:val="0"/>
        <w:spacing w:before="156" w:beforeLines="50" w:line="300" w:lineRule="auto"/>
        <w:jc w:val="center"/>
        <w:rPr>
          <w:szCs w:val="21"/>
        </w:rPr>
      </w:pPr>
      <w:r>
        <w:rPr>
          <w:b/>
          <w:bCs/>
          <w:sz w:val="18"/>
          <w:szCs w:val="18"/>
        </w:rPr>
        <w:t>表3教学内容与教学要求</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1119"/>
        <w:gridCol w:w="6378"/>
        <w:gridCol w:w="445"/>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tblHeader/>
          <w:jc w:val="center"/>
        </w:trPr>
        <w:tc>
          <w:tcPr>
            <w:tcW w:w="508" w:type="dxa"/>
            <w:shd w:val="clear" w:color="auto" w:fill="FFFFFF"/>
            <w:tcMar>
              <w:left w:w="57" w:type="dxa"/>
              <w:right w:w="57" w:type="dxa"/>
            </w:tcMar>
            <w:vAlign w:val="center"/>
          </w:tcPr>
          <w:p>
            <w:pPr>
              <w:adjustRightInd w:val="0"/>
              <w:snapToGrid w:val="0"/>
              <w:spacing w:line="300" w:lineRule="auto"/>
              <w:jc w:val="center"/>
              <w:rPr>
                <w:b/>
                <w:kern w:val="0"/>
                <w:sz w:val="18"/>
                <w:szCs w:val="18"/>
              </w:rPr>
            </w:pPr>
            <w:r>
              <w:rPr>
                <w:b/>
                <w:bCs/>
                <w:sz w:val="18"/>
                <w:szCs w:val="18"/>
              </w:rPr>
              <w:t>序号</w:t>
            </w:r>
          </w:p>
        </w:tc>
        <w:tc>
          <w:tcPr>
            <w:tcW w:w="1119" w:type="dxa"/>
            <w:shd w:val="clear" w:color="auto" w:fill="FFFFFF"/>
            <w:vAlign w:val="center"/>
          </w:tcPr>
          <w:p>
            <w:pPr>
              <w:adjustRightInd w:val="0"/>
              <w:snapToGrid w:val="0"/>
              <w:spacing w:line="300" w:lineRule="auto"/>
              <w:jc w:val="center"/>
              <w:rPr>
                <w:b/>
                <w:kern w:val="0"/>
                <w:sz w:val="18"/>
                <w:szCs w:val="18"/>
              </w:rPr>
            </w:pPr>
            <w:r>
              <w:rPr>
                <w:b/>
                <w:bCs/>
                <w:sz w:val="18"/>
                <w:szCs w:val="18"/>
              </w:rPr>
              <w:t>教学内容</w:t>
            </w:r>
          </w:p>
        </w:tc>
        <w:tc>
          <w:tcPr>
            <w:tcW w:w="6378" w:type="dxa"/>
            <w:shd w:val="clear" w:color="auto" w:fill="FFFFFF"/>
            <w:vAlign w:val="center"/>
          </w:tcPr>
          <w:p>
            <w:pPr>
              <w:adjustRightInd w:val="0"/>
              <w:snapToGrid w:val="0"/>
              <w:spacing w:line="300" w:lineRule="auto"/>
              <w:jc w:val="center"/>
              <w:rPr>
                <w:b/>
                <w:kern w:val="0"/>
                <w:sz w:val="18"/>
                <w:szCs w:val="18"/>
              </w:rPr>
            </w:pPr>
            <w:r>
              <w:rPr>
                <w:b/>
                <w:bCs/>
                <w:sz w:val="18"/>
                <w:szCs w:val="18"/>
              </w:rPr>
              <w:t>教与学的要求</w:t>
            </w:r>
          </w:p>
        </w:tc>
        <w:tc>
          <w:tcPr>
            <w:tcW w:w="445" w:type="dxa"/>
            <w:shd w:val="clear" w:color="auto" w:fill="FFFFFF"/>
            <w:vAlign w:val="center"/>
          </w:tcPr>
          <w:p>
            <w:pPr>
              <w:adjustRightInd w:val="0"/>
              <w:snapToGrid w:val="0"/>
              <w:spacing w:line="300" w:lineRule="auto"/>
              <w:jc w:val="center"/>
              <w:rPr>
                <w:b/>
                <w:kern w:val="0"/>
                <w:sz w:val="18"/>
                <w:szCs w:val="18"/>
              </w:rPr>
            </w:pPr>
            <w:r>
              <w:rPr>
                <w:b/>
                <w:bCs/>
                <w:sz w:val="18"/>
                <w:szCs w:val="18"/>
              </w:rPr>
              <w:t>学时</w:t>
            </w:r>
          </w:p>
        </w:tc>
        <w:tc>
          <w:tcPr>
            <w:tcW w:w="445" w:type="dxa"/>
            <w:shd w:val="clear" w:color="auto" w:fill="FFFFFF"/>
            <w:vAlign w:val="center"/>
          </w:tcPr>
          <w:p>
            <w:pPr>
              <w:adjustRightInd w:val="0"/>
              <w:snapToGrid w:val="0"/>
              <w:spacing w:line="300" w:lineRule="auto"/>
              <w:jc w:val="center"/>
              <w:rPr>
                <w:b/>
                <w:kern w:val="0"/>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adjustRightInd w:val="0"/>
              <w:snapToGrid w:val="0"/>
              <w:spacing w:line="300" w:lineRule="auto"/>
              <w:jc w:val="center"/>
              <w:rPr>
                <w:kern w:val="0"/>
                <w:sz w:val="18"/>
                <w:szCs w:val="18"/>
              </w:rPr>
            </w:pPr>
            <w:r>
              <w:rPr>
                <w:sz w:val="18"/>
                <w:szCs w:val="18"/>
              </w:rPr>
              <w:t>1</w:t>
            </w:r>
          </w:p>
        </w:tc>
        <w:tc>
          <w:tcPr>
            <w:tcW w:w="1119" w:type="dxa"/>
            <w:vAlign w:val="center"/>
          </w:tcPr>
          <w:p>
            <w:pPr>
              <w:adjustRightInd w:val="0"/>
              <w:snapToGrid w:val="0"/>
              <w:spacing w:line="300" w:lineRule="auto"/>
              <w:rPr>
                <w:sz w:val="18"/>
                <w:szCs w:val="18"/>
              </w:rPr>
            </w:pPr>
            <w:r>
              <w:rPr>
                <w:sz w:val="18"/>
                <w:szCs w:val="18"/>
              </w:rPr>
              <w:t>1 程序设计和C语言</w:t>
            </w:r>
          </w:p>
          <w:p>
            <w:pPr>
              <w:adjustRightInd w:val="0"/>
              <w:snapToGrid w:val="0"/>
              <w:spacing w:line="300" w:lineRule="auto"/>
              <w:rPr>
                <w:sz w:val="18"/>
                <w:szCs w:val="18"/>
              </w:rPr>
            </w:pPr>
            <w:r>
              <w:rPr>
                <w:sz w:val="18"/>
                <w:szCs w:val="18"/>
              </w:rPr>
              <w:t>1.1 什么是计算机程序；</w:t>
            </w:r>
          </w:p>
          <w:p>
            <w:pPr>
              <w:adjustRightInd w:val="0"/>
              <w:snapToGrid w:val="0"/>
              <w:spacing w:line="300" w:lineRule="auto"/>
              <w:rPr>
                <w:sz w:val="18"/>
                <w:szCs w:val="18"/>
              </w:rPr>
            </w:pPr>
            <w:r>
              <w:rPr>
                <w:sz w:val="18"/>
                <w:szCs w:val="18"/>
              </w:rPr>
              <w:t>1.2什么是计算机语言；</w:t>
            </w:r>
          </w:p>
          <w:p>
            <w:pPr>
              <w:adjustRightInd w:val="0"/>
              <w:snapToGrid w:val="0"/>
              <w:spacing w:line="300" w:lineRule="auto"/>
              <w:rPr>
                <w:sz w:val="18"/>
                <w:szCs w:val="18"/>
              </w:rPr>
            </w:pPr>
            <w:r>
              <w:rPr>
                <w:sz w:val="18"/>
                <w:szCs w:val="18"/>
              </w:rPr>
              <w:t>1.3 C语言的发展及其特点；</w:t>
            </w:r>
          </w:p>
          <w:p>
            <w:pPr>
              <w:adjustRightInd w:val="0"/>
              <w:snapToGrid w:val="0"/>
              <w:spacing w:line="300" w:lineRule="auto"/>
              <w:rPr>
                <w:sz w:val="18"/>
                <w:szCs w:val="18"/>
              </w:rPr>
            </w:pPr>
            <w:r>
              <w:rPr>
                <w:sz w:val="18"/>
                <w:szCs w:val="18"/>
              </w:rPr>
              <w:t>1.4最简单的C语言程序；</w:t>
            </w:r>
          </w:p>
          <w:p>
            <w:pPr>
              <w:adjustRightInd w:val="0"/>
              <w:snapToGrid w:val="0"/>
              <w:spacing w:line="300" w:lineRule="auto"/>
              <w:rPr>
                <w:sz w:val="18"/>
                <w:szCs w:val="18"/>
              </w:rPr>
            </w:pPr>
            <w:r>
              <w:rPr>
                <w:sz w:val="18"/>
                <w:szCs w:val="18"/>
              </w:rPr>
              <w:t>1.5运行C程序的步骤和方法；</w:t>
            </w:r>
          </w:p>
          <w:p>
            <w:pPr>
              <w:adjustRightInd w:val="0"/>
              <w:snapToGrid w:val="0"/>
              <w:spacing w:line="300" w:lineRule="auto"/>
              <w:rPr>
                <w:sz w:val="18"/>
                <w:szCs w:val="18"/>
              </w:rPr>
            </w:pPr>
            <w:r>
              <w:rPr>
                <w:sz w:val="18"/>
                <w:szCs w:val="18"/>
              </w:rPr>
              <w:t>1.6程序设计的任务；</w:t>
            </w:r>
          </w:p>
          <w:p>
            <w:pPr>
              <w:adjustRightInd w:val="0"/>
              <w:snapToGrid w:val="0"/>
              <w:spacing w:line="300" w:lineRule="auto"/>
              <w:rPr>
                <w:sz w:val="18"/>
                <w:szCs w:val="18"/>
              </w:rPr>
            </w:pPr>
            <w:r>
              <w:rPr>
                <w:sz w:val="18"/>
                <w:szCs w:val="18"/>
              </w:rPr>
              <w:t>1.7</w:t>
            </w:r>
            <w:r>
              <w:rPr>
                <w:b/>
                <w:bCs/>
                <w:sz w:val="18"/>
                <w:szCs w:val="18"/>
              </w:rPr>
              <w:t>课程思政：</w:t>
            </w:r>
            <w:r>
              <w:rPr>
                <w:sz w:val="18"/>
                <w:szCs w:val="18"/>
              </w:rPr>
              <w:t>电子专业软件学习的行业前景与历史使命。</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（1）了解：计算机基本原理；</w:t>
            </w:r>
          </w:p>
          <w:p>
            <w:pPr>
              <w:adjustRightInd w:val="0"/>
              <w:snapToGrid w:val="0"/>
              <w:spacing w:line="300" w:lineRule="auto"/>
              <w:rPr>
                <w:sz w:val="18"/>
                <w:szCs w:val="18"/>
              </w:rPr>
            </w:pPr>
            <w:r>
              <w:rPr>
                <w:sz w:val="18"/>
                <w:szCs w:val="18"/>
              </w:rPr>
              <w:t>（2）理解：程序设计语句简介；算法设计及程序设计思想；</w:t>
            </w:r>
          </w:p>
          <w:p>
            <w:pPr>
              <w:adjustRightInd w:val="0"/>
              <w:snapToGrid w:val="0"/>
              <w:spacing w:line="300" w:lineRule="auto"/>
              <w:rPr>
                <w:sz w:val="18"/>
                <w:szCs w:val="18"/>
              </w:rPr>
            </w:pPr>
            <w:r>
              <w:rPr>
                <w:sz w:val="18"/>
                <w:szCs w:val="18"/>
              </w:rPr>
              <w:t>（3）掌握：软件项目开发的C语言设计流程。</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（1）了解C语言的IDE环境——本地与在线两种模式；</w:t>
            </w:r>
          </w:p>
          <w:p>
            <w:pPr>
              <w:adjustRightInd w:val="0"/>
              <w:snapToGrid w:val="0"/>
              <w:spacing w:line="300" w:lineRule="auto"/>
              <w:rPr>
                <w:sz w:val="18"/>
                <w:szCs w:val="18"/>
              </w:rPr>
            </w:pPr>
            <w:r>
              <w:rPr>
                <w:sz w:val="18"/>
                <w:szCs w:val="18"/>
              </w:rPr>
              <w:t>（2）在本地安装C语言的IDE；</w:t>
            </w:r>
          </w:p>
          <w:p>
            <w:pPr>
              <w:adjustRightInd w:val="0"/>
              <w:snapToGrid w:val="0"/>
              <w:spacing w:line="300" w:lineRule="auto"/>
              <w:rPr>
                <w:sz w:val="18"/>
                <w:szCs w:val="18"/>
              </w:rPr>
            </w:pPr>
            <w:r>
              <w:rPr>
                <w:sz w:val="18"/>
                <w:szCs w:val="18"/>
              </w:rPr>
              <w:t>（3）网上查阅资料，了解C语言在线编辑与编译环境；</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案例1：针对问题——计算机是怎么跑起来的，介绍计算机的组成原理、机器码、汇编指令、以及CPU顺序执行程序指令的过程等基本概念，然后采用脚本或者计划书的方式描述计算机的程序运行过程。</w:t>
            </w:r>
          </w:p>
          <w:p>
            <w:pPr>
              <w:adjustRightInd w:val="0"/>
              <w:snapToGrid w:val="0"/>
              <w:spacing w:line="300" w:lineRule="auto"/>
              <w:rPr>
                <w:sz w:val="18"/>
                <w:szCs w:val="18"/>
              </w:rPr>
            </w:pPr>
            <w:r>
              <w:rPr>
                <w:sz w:val="18"/>
                <w:szCs w:val="18"/>
              </w:rPr>
              <w:t>案例2：针对问题——程序是怎么将跑起来的，将C语言程序结构中的#include、main、return等基本结构信息与C语言的编译、链接以及运行相结合，讲述这些语法的存在合理性，及其在程序运行过程的作用。</w:t>
            </w:r>
          </w:p>
          <w:p>
            <w:pPr>
              <w:adjustRightInd w:val="0"/>
              <w:snapToGrid w:val="0"/>
              <w:spacing w:line="300" w:lineRule="auto"/>
              <w:rPr>
                <w:kern w:val="0"/>
                <w:sz w:val="18"/>
                <w:szCs w:val="18"/>
              </w:rPr>
            </w:pPr>
            <w:r>
              <w:rPr>
                <w:sz w:val="18"/>
                <w:szCs w:val="18"/>
              </w:rPr>
              <w:t>案例3：针对问题——目前有哪些流行的编程语言，讲述编程语言的行业背景与历史使命，介绍各类编程语言的擅长领域，比较其语法方面与C语言的雷同之处，强调将C语言作为编程语言基础学习的重要性，提升学生对C语言学习的重视。</w:t>
            </w:r>
          </w:p>
        </w:tc>
        <w:tc>
          <w:tcPr>
            <w:tcW w:w="445" w:type="dxa"/>
            <w:vAlign w:val="center"/>
          </w:tcPr>
          <w:p>
            <w:pPr>
              <w:adjustRightInd w:val="0"/>
              <w:snapToGrid w:val="0"/>
              <w:spacing w:line="300" w:lineRule="auto"/>
              <w:jc w:val="center"/>
              <w:rPr>
                <w:kern w:val="0"/>
                <w:sz w:val="18"/>
                <w:szCs w:val="18"/>
              </w:rPr>
            </w:pPr>
            <w:r>
              <w:rPr>
                <w:sz w:val="18"/>
                <w:szCs w:val="18"/>
              </w:rPr>
              <w:t>2</w:t>
            </w:r>
          </w:p>
        </w:tc>
        <w:tc>
          <w:tcPr>
            <w:tcW w:w="445" w:type="dxa"/>
            <w:vAlign w:val="center"/>
          </w:tcPr>
          <w:p>
            <w:pPr>
              <w:adjustRightInd w:val="0"/>
              <w:snapToGrid w:val="0"/>
              <w:spacing w:line="300" w:lineRule="auto"/>
              <w:jc w:val="center"/>
              <w:rPr>
                <w:kern w:val="0"/>
                <w:sz w:val="18"/>
                <w:szCs w:val="18"/>
              </w:rPr>
            </w:pPr>
            <w:r>
              <w:rPr>
                <w:sz w:val="18"/>
                <w:szCs w:val="18"/>
              </w:rPr>
              <w:t>1</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adjustRightInd w:val="0"/>
              <w:snapToGrid w:val="0"/>
              <w:spacing w:line="300" w:lineRule="auto"/>
              <w:jc w:val="center"/>
              <w:rPr>
                <w:kern w:val="0"/>
                <w:sz w:val="18"/>
                <w:szCs w:val="18"/>
              </w:rPr>
            </w:pPr>
            <w:r>
              <w:rPr>
                <w:sz w:val="18"/>
                <w:szCs w:val="18"/>
              </w:rPr>
              <w:t>2</w:t>
            </w:r>
          </w:p>
        </w:tc>
        <w:tc>
          <w:tcPr>
            <w:tcW w:w="1119" w:type="dxa"/>
            <w:vAlign w:val="center"/>
          </w:tcPr>
          <w:p>
            <w:pPr>
              <w:adjustRightInd w:val="0"/>
              <w:snapToGrid w:val="0"/>
              <w:spacing w:line="300" w:lineRule="auto"/>
              <w:rPr>
                <w:sz w:val="18"/>
                <w:szCs w:val="18"/>
              </w:rPr>
            </w:pPr>
            <w:r>
              <w:rPr>
                <w:sz w:val="18"/>
                <w:szCs w:val="18"/>
              </w:rPr>
              <w:t>3最简单的C程序设计——顺序结构</w:t>
            </w:r>
          </w:p>
          <w:p>
            <w:pPr>
              <w:adjustRightInd w:val="0"/>
              <w:snapToGrid w:val="0"/>
              <w:spacing w:line="300" w:lineRule="auto"/>
              <w:rPr>
                <w:sz w:val="18"/>
                <w:szCs w:val="18"/>
              </w:rPr>
            </w:pPr>
            <w:r>
              <w:rPr>
                <w:sz w:val="18"/>
                <w:szCs w:val="18"/>
              </w:rPr>
              <w:t>3.1顺序程序设计举例；</w:t>
            </w:r>
          </w:p>
          <w:p>
            <w:pPr>
              <w:adjustRightInd w:val="0"/>
              <w:snapToGrid w:val="0"/>
              <w:spacing w:line="300" w:lineRule="auto"/>
              <w:rPr>
                <w:sz w:val="18"/>
                <w:szCs w:val="18"/>
              </w:rPr>
            </w:pPr>
            <w:r>
              <w:rPr>
                <w:sz w:val="18"/>
                <w:szCs w:val="18"/>
              </w:rPr>
              <w:t>3.2 数据的表现形式及其运算；</w:t>
            </w:r>
          </w:p>
          <w:p>
            <w:pPr>
              <w:adjustRightInd w:val="0"/>
              <w:snapToGrid w:val="0"/>
              <w:spacing w:line="300" w:lineRule="auto"/>
              <w:rPr>
                <w:sz w:val="18"/>
                <w:szCs w:val="18"/>
              </w:rPr>
            </w:pPr>
            <w:r>
              <w:rPr>
                <w:sz w:val="18"/>
                <w:szCs w:val="18"/>
              </w:rPr>
              <w:t>3.3 C语句；</w:t>
            </w:r>
          </w:p>
          <w:p>
            <w:pPr>
              <w:adjustRightInd w:val="0"/>
              <w:snapToGrid w:val="0"/>
              <w:spacing w:line="300" w:lineRule="auto"/>
              <w:rPr>
                <w:sz w:val="18"/>
                <w:szCs w:val="18"/>
              </w:rPr>
            </w:pPr>
            <w:r>
              <w:rPr>
                <w:sz w:val="18"/>
                <w:szCs w:val="18"/>
              </w:rPr>
              <w:t>3.4数据的输入输出。</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（1）了解：数据类型,常量,变量；</w:t>
            </w:r>
          </w:p>
          <w:p>
            <w:pPr>
              <w:adjustRightInd w:val="0"/>
              <w:snapToGrid w:val="0"/>
              <w:spacing w:line="300" w:lineRule="auto"/>
              <w:rPr>
                <w:sz w:val="18"/>
                <w:szCs w:val="18"/>
              </w:rPr>
            </w:pPr>
            <w:r>
              <w:rPr>
                <w:sz w:val="18"/>
                <w:szCs w:val="18"/>
              </w:rPr>
              <w:t>（2）理解：标识符概念；</w:t>
            </w:r>
          </w:p>
          <w:p>
            <w:pPr>
              <w:adjustRightInd w:val="0"/>
              <w:snapToGrid w:val="0"/>
              <w:spacing w:line="300" w:lineRule="auto"/>
              <w:rPr>
                <w:sz w:val="18"/>
                <w:szCs w:val="18"/>
              </w:rPr>
            </w:pPr>
            <w:r>
              <w:rPr>
                <w:sz w:val="18"/>
                <w:szCs w:val="18"/>
              </w:rPr>
              <w:t>（3）掌握：数据的输入输出。</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（1）编程实现圆柱体的半径与高度输入、体积和面积的计算以及计算结果的输出，数据类型假设为双精度浮点数；</w:t>
            </w:r>
          </w:p>
          <w:p>
            <w:pPr>
              <w:adjustRightInd w:val="0"/>
              <w:snapToGrid w:val="0"/>
              <w:spacing w:line="300" w:lineRule="auto"/>
              <w:rPr>
                <w:sz w:val="18"/>
                <w:szCs w:val="18"/>
              </w:rPr>
            </w:pPr>
            <w:r>
              <w:rPr>
                <w:sz w:val="18"/>
                <w:szCs w:val="18"/>
              </w:rPr>
              <w:t>（2）在本地安装的IDE软件中输入课本的案例，掌握C语言的编辑、编译、与调试方法。</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案例4：针对问题——char和int的相似性与差异性，通过ASCII码表、以及使用printf打印int整数的例子进行阐述。</w:t>
            </w:r>
          </w:p>
          <w:p>
            <w:pPr>
              <w:adjustRightInd w:val="0"/>
              <w:snapToGrid w:val="0"/>
              <w:spacing w:line="300" w:lineRule="auto"/>
              <w:rPr>
                <w:sz w:val="18"/>
                <w:szCs w:val="18"/>
              </w:rPr>
            </w:pPr>
            <w:r>
              <w:rPr>
                <w:sz w:val="18"/>
                <w:szCs w:val="18"/>
              </w:rPr>
              <w:t>案例5：针对问题——为什么有的语言没有“数据类型”，通过阐述float、double的指数形式在内存中二进制形式、以及计算机的硬件快速发展，讲述“数据类型”对于C语言的意义，以及其他一些编程语言中“数据类型”的消失原因。</w:t>
            </w:r>
          </w:p>
          <w:p>
            <w:pPr>
              <w:adjustRightInd w:val="0"/>
              <w:snapToGrid w:val="0"/>
              <w:spacing w:line="300" w:lineRule="auto"/>
              <w:rPr>
                <w:kern w:val="0"/>
                <w:sz w:val="18"/>
                <w:szCs w:val="18"/>
              </w:rPr>
            </w:pPr>
            <w:r>
              <w:rPr>
                <w:sz w:val="18"/>
                <w:szCs w:val="18"/>
              </w:rPr>
              <w:t>案例6：针对问题——C语言的打印语句“格式控制”的使用价值是什么，通过一些例子阐述scanf语句的格式匹配、数据分隔、%s%c的特殊用法，以及阐述printf语句的小数%m.nf的显示规律。</w:t>
            </w:r>
          </w:p>
        </w:tc>
        <w:tc>
          <w:tcPr>
            <w:tcW w:w="445" w:type="dxa"/>
            <w:vAlign w:val="center"/>
          </w:tcPr>
          <w:p>
            <w:pPr>
              <w:adjustRightInd w:val="0"/>
              <w:snapToGrid w:val="0"/>
              <w:spacing w:line="300" w:lineRule="auto"/>
              <w:jc w:val="center"/>
              <w:rPr>
                <w:kern w:val="0"/>
                <w:sz w:val="18"/>
                <w:szCs w:val="18"/>
              </w:rPr>
            </w:pPr>
            <w:r>
              <w:rPr>
                <w:sz w:val="18"/>
                <w:szCs w:val="18"/>
              </w:rPr>
              <w:t>4</w:t>
            </w:r>
          </w:p>
        </w:tc>
        <w:tc>
          <w:tcPr>
            <w:tcW w:w="445" w:type="dxa"/>
            <w:vAlign w:val="center"/>
          </w:tcPr>
          <w:p>
            <w:pPr>
              <w:adjustRightInd w:val="0"/>
              <w:snapToGrid w:val="0"/>
              <w:spacing w:line="300" w:lineRule="auto"/>
              <w:jc w:val="center"/>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1119" w:type="dxa"/>
            <w:vAlign w:val="center"/>
          </w:tcPr>
          <w:p>
            <w:pPr>
              <w:adjustRightInd w:val="0"/>
              <w:snapToGrid w:val="0"/>
              <w:spacing w:line="300" w:lineRule="auto"/>
              <w:rPr>
                <w:sz w:val="18"/>
                <w:szCs w:val="18"/>
              </w:rPr>
            </w:pPr>
            <w:r>
              <w:rPr>
                <w:sz w:val="18"/>
                <w:szCs w:val="18"/>
              </w:rPr>
              <w:t>4选择结构程序设计</w:t>
            </w:r>
          </w:p>
          <w:p>
            <w:pPr>
              <w:adjustRightInd w:val="0"/>
              <w:snapToGrid w:val="0"/>
              <w:spacing w:line="300" w:lineRule="auto"/>
              <w:rPr>
                <w:sz w:val="18"/>
                <w:szCs w:val="18"/>
              </w:rPr>
            </w:pPr>
            <w:r>
              <w:rPr>
                <w:sz w:val="18"/>
                <w:szCs w:val="18"/>
              </w:rPr>
              <w:t>4.1选择结构和条件判断；</w:t>
            </w:r>
          </w:p>
          <w:p>
            <w:pPr>
              <w:adjustRightInd w:val="0"/>
              <w:snapToGrid w:val="0"/>
              <w:spacing w:line="300" w:lineRule="auto"/>
              <w:rPr>
                <w:sz w:val="18"/>
                <w:szCs w:val="18"/>
              </w:rPr>
            </w:pPr>
            <w:r>
              <w:rPr>
                <w:sz w:val="18"/>
                <w:szCs w:val="18"/>
              </w:rPr>
              <w:t>4.2用if语句实现选择结构；</w:t>
            </w:r>
          </w:p>
          <w:p>
            <w:pPr>
              <w:adjustRightInd w:val="0"/>
              <w:snapToGrid w:val="0"/>
              <w:spacing w:line="300" w:lineRule="auto"/>
              <w:rPr>
                <w:sz w:val="18"/>
                <w:szCs w:val="18"/>
              </w:rPr>
            </w:pPr>
            <w:r>
              <w:rPr>
                <w:sz w:val="18"/>
                <w:szCs w:val="18"/>
              </w:rPr>
              <w:t>4.3关系运算符和关系表达式；</w:t>
            </w:r>
          </w:p>
          <w:p>
            <w:pPr>
              <w:adjustRightInd w:val="0"/>
              <w:snapToGrid w:val="0"/>
              <w:spacing w:line="300" w:lineRule="auto"/>
              <w:rPr>
                <w:sz w:val="18"/>
                <w:szCs w:val="18"/>
              </w:rPr>
            </w:pPr>
            <w:r>
              <w:rPr>
                <w:sz w:val="18"/>
                <w:szCs w:val="18"/>
              </w:rPr>
              <w:t>4.4逻辑运算符和逻辑表达式；</w:t>
            </w:r>
          </w:p>
          <w:p>
            <w:pPr>
              <w:adjustRightInd w:val="0"/>
              <w:snapToGrid w:val="0"/>
              <w:spacing w:line="300" w:lineRule="auto"/>
              <w:rPr>
                <w:sz w:val="18"/>
                <w:szCs w:val="18"/>
              </w:rPr>
            </w:pPr>
            <w:r>
              <w:rPr>
                <w:sz w:val="18"/>
                <w:szCs w:val="18"/>
              </w:rPr>
              <w:t>4.5条件运算符和条件表达式；</w:t>
            </w:r>
          </w:p>
          <w:p>
            <w:pPr>
              <w:adjustRightInd w:val="0"/>
              <w:snapToGrid w:val="0"/>
              <w:spacing w:line="300" w:lineRule="auto"/>
              <w:rPr>
                <w:sz w:val="18"/>
                <w:szCs w:val="18"/>
              </w:rPr>
            </w:pPr>
            <w:r>
              <w:rPr>
                <w:sz w:val="18"/>
                <w:szCs w:val="18"/>
              </w:rPr>
              <w:t>4.6选择结构的嵌套；</w:t>
            </w:r>
          </w:p>
          <w:p>
            <w:pPr>
              <w:adjustRightInd w:val="0"/>
              <w:snapToGrid w:val="0"/>
              <w:spacing w:line="300" w:lineRule="auto"/>
              <w:rPr>
                <w:sz w:val="18"/>
                <w:szCs w:val="18"/>
              </w:rPr>
            </w:pPr>
            <w:r>
              <w:rPr>
                <w:sz w:val="18"/>
                <w:szCs w:val="18"/>
              </w:rPr>
              <w:t>4.7 switch实现多分支选择结构。</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（1）了解：逻辑表达式的数值；</w:t>
            </w:r>
          </w:p>
          <w:p>
            <w:pPr>
              <w:adjustRightInd w:val="0"/>
              <w:snapToGrid w:val="0"/>
              <w:spacing w:line="300" w:lineRule="auto"/>
              <w:rPr>
                <w:sz w:val="18"/>
                <w:szCs w:val="18"/>
              </w:rPr>
            </w:pPr>
            <w:r>
              <w:rPr>
                <w:sz w:val="18"/>
                <w:szCs w:val="18"/>
              </w:rPr>
              <w:t>（2）理解：if与switch的语法规则；</w:t>
            </w:r>
          </w:p>
          <w:p>
            <w:pPr>
              <w:adjustRightInd w:val="0"/>
              <w:snapToGrid w:val="0"/>
              <w:spacing w:line="300" w:lineRule="auto"/>
              <w:rPr>
                <w:sz w:val="18"/>
                <w:szCs w:val="18"/>
              </w:rPr>
            </w:pPr>
            <w:r>
              <w:rPr>
                <w:sz w:val="18"/>
                <w:szCs w:val="18"/>
              </w:rPr>
              <w:t>（3）掌握：嵌套条件语句的应用。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（1）利用if语句实现4个数据从大到小排序；</w:t>
            </w:r>
          </w:p>
          <w:p>
            <w:pPr>
              <w:adjustRightInd w:val="0"/>
              <w:snapToGrid w:val="0"/>
              <w:spacing w:line="300" w:lineRule="auto"/>
              <w:rPr>
                <w:sz w:val="18"/>
                <w:szCs w:val="18"/>
              </w:rPr>
            </w:pPr>
            <w:r>
              <w:rPr>
                <w:sz w:val="18"/>
                <w:szCs w:val="18"/>
              </w:rPr>
              <w:t>（2）分别用if...elsif...else...嵌套语句和switch语句实现百分制成绩转换为等级成绩；</w:t>
            </w:r>
          </w:p>
          <w:p>
            <w:pPr>
              <w:adjustRightInd w:val="0"/>
              <w:snapToGrid w:val="0"/>
              <w:spacing w:line="300" w:lineRule="auto"/>
              <w:rPr>
                <w:sz w:val="18"/>
                <w:szCs w:val="18"/>
              </w:rPr>
            </w:pPr>
            <w:r>
              <w:rPr>
                <w:sz w:val="18"/>
                <w:szCs w:val="18"/>
              </w:rPr>
              <w:t>（3）绘制课本中闰年案例的条件嵌套算法的流程图。</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7：针对问题——起泡法排序怎么通过数据交换实现排序过程，首先讲述在两个数比较大小过程中如何通过中介变量实现数据交换，然后请5位学生上台演示三个数排序的数据交换过程，让学生理解排序的递推规律，从而进一步了解如何实现4个数、5个数...以及100个数的排序。</w:t>
            </w:r>
          </w:p>
          <w:p>
            <w:pPr>
              <w:adjustRightInd w:val="0"/>
              <w:snapToGrid w:val="0"/>
              <w:spacing w:line="300" w:lineRule="auto"/>
              <w:rPr>
                <w:sz w:val="18"/>
                <w:szCs w:val="18"/>
              </w:rPr>
            </w:pPr>
            <w:r>
              <w:rPr>
                <w:sz w:val="18"/>
                <w:szCs w:val="18"/>
              </w:rPr>
              <w:t>案例8：针对问题——if...else if...else条件嵌套语句有哪些优点，通过阐述连续分段函数的实现代码，比较各种条件语句的使用效果。</w:t>
            </w:r>
          </w:p>
          <w:p>
            <w:pPr>
              <w:adjustRightInd w:val="0"/>
              <w:snapToGrid w:val="0"/>
              <w:spacing w:line="300" w:lineRule="auto"/>
              <w:rPr>
                <w:sz w:val="18"/>
                <w:szCs w:val="18"/>
              </w:rPr>
            </w:pPr>
            <w:r>
              <w:rPr>
                <w:sz w:val="18"/>
                <w:szCs w:val="18"/>
              </w:rPr>
              <w:t>案例9：针对问题——多个if语句之后的else如何理解，利用两个容易错误理解的例子采用提问的方式，帮助学生理解if语句的结构。例子</w:t>
            </w:r>
            <w:r>
              <w:rPr>
                <w:rFonts w:hint="eastAsia" w:ascii="宋体" w:hAnsi="宋体" w:cs="宋体"/>
                <w:sz w:val="18"/>
                <w:szCs w:val="18"/>
              </w:rPr>
              <w:t>①</w:t>
            </w:r>
            <w:r>
              <w:rPr>
                <w:sz w:val="18"/>
                <w:szCs w:val="18"/>
              </w:rPr>
              <w:t>if...if...else...；例子</w:t>
            </w:r>
            <w:r>
              <w:rPr>
                <w:rFonts w:hint="eastAsia" w:ascii="宋体" w:hAnsi="宋体" w:cs="宋体"/>
                <w:sz w:val="18"/>
                <w:szCs w:val="18"/>
              </w:rPr>
              <w:t>②</w:t>
            </w:r>
            <w:r>
              <w:rPr>
                <w:sz w:val="18"/>
                <w:szCs w:val="18"/>
              </w:rPr>
              <w:t>if(1) 表达式1;表达式2;else 表达式3;表达式4。</w:t>
            </w:r>
          </w:p>
          <w:p>
            <w:pPr>
              <w:adjustRightInd w:val="0"/>
              <w:snapToGrid w:val="0"/>
              <w:spacing w:line="300" w:lineRule="auto"/>
              <w:rPr>
                <w:kern w:val="0"/>
                <w:sz w:val="18"/>
                <w:szCs w:val="18"/>
              </w:rPr>
            </w:pPr>
            <w:r>
              <w:rPr>
                <w:sz w:val="18"/>
                <w:szCs w:val="18"/>
              </w:rPr>
              <w:t>案例10：针对问题——条件嵌套语句适合采用单一条件二分法还是复合条件二分法，通过“闰年”例子阐述“单层多分支”与“分层递进”等不同条件写法的优缺点。</w:t>
            </w:r>
          </w:p>
        </w:tc>
        <w:tc>
          <w:tcPr>
            <w:tcW w:w="445" w:type="dxa"/>
            <w:vAlign w:val="center"/>
          </w:tcPr>
          <w:p>
            <w:pPr>
              <w:widowControl/>
              <w:adjustRightInd w:val="0"/>
              <w:snapToGrid w:val="0"/>
              <w:spacing w:line="300" w:lineRule="auto"/>
              <w:jc w:val="center"/>
              <w:rPr>
                <w:kern w:val="0"/>
                <w:sz w:val="18"/>
                <w:szCs w:val="18"/>
              </w:rPr>
            </w:pPr>
            <w:r>
              <w:rPr>
                <w:kern w:val="0"/>
                <w:sz w:val="18"/>
                <w:szCs w:val="18"/>
              </w:rPr>
              <w:t>2</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1119" w:type="dxa"/>
            <w:vAlign w:val="center"/>
          </w:tcPr>
          <w:p>
            <w:pPr>
              <w:adjustRightInd w:val="0"/>
              <w:snapToGrid w:val="0"/>
              <w:spacing w:line="300" w:lineRule="auto"/>
              <w:rPr>
                <w:sz w:val="18"/>
                <w:szCs w:val="18"/>
              </w:rPr>
            </w:pPr>
            <w:r>
              <w:rPr>
                <w:sz w:val="18"/>
                <w:szCs w:val="18"/>
              </w:rPr>
              <w:t>5 循环结构程序设计</w:t>
            </w:r>
          </w:p>
          <w:p>
            <w:pPr>
              <w:adjustRightInd w:val="0"/>
              <w:snapToGrid w:val="0"/>
              <w:spacing w:line="300" w:lineRule="auto"/>
              <w:rPr>
                <w:sz w:val="18"/>
                <w:szCs w:val="18"/>
              </w:rPr>
            </w:pPr>
            <w:r>
              <w:rPr>
                <w:sz w:val="18"/>
                <w:szCs w:val="18"/>
              </w:rPr>
              <w:t>5.1为什么需要循环控制；</w:t>
            </w:r>
          </w:p>
          <w:p>
            <w:pPr>
              <w:adjustRightInd w:val="0"/>
              <w:snapToGrid w:val="0"/>
              <w:spacing w:line="300" w:lineRule="auto"/>
              <w:rPr>
                <w:sz w:val="18"/>
                <w:szCs w:val="18"/>
              </w:rPr>
            </w:pPr>
            <w:r>
              <w:rPr>
                <w:sz w:val="18"/>
                <w:szCs w:val="18"/>
              </w:rPr>
              <w:t>5.2用while语句实现循环；</w:t>
            </w:r>
          </w:p>
          <w:p>
            <w:pPr>
              <w:adjustRightInd w:val="0"/>
              <w:snapToGrid w:val="0"/>
              <w:spacing w:line="300" w:lineRule="auto"/>
              <w:rPr>
                <w:sz w:val="18"/>
                <w:szCs w:val="18"/>
              </w:rPr>
            </w:pPr>
            <w:r>
              <w:rPr>
                <w:sz w:val="18"/>
                <w:szCs w:val="18"/>
              </w:rPr>
              <w:t>5.3用do</w:t>
            </w:r>
            <w:r>
              <w:rPr>
                <w:rFonts w:hint="eastAsia"/>
                <w:sz w:val="18"/>
                <w:szCs w:val="18"/>
              </w:rPr>
              <w:t>-</w:t>
            </w:r>
            <w:r>
              <w:rPr>
                <w:sz w:val="18"/>
                <w:szCs w:val="18"/>
              </w:rPr>
              <w:t>while语句实现循环；</w:t>
            </w:r>
          </w:p>
          <w:p>
            <w:pPr>
              <w:adjustRightInd w:val="0"/>
              <w:snapToGrid w:val="0"/>
              <w:spacing w:line="300" w:lineRule="auto"/>
              <w:rPr>
                <w:sz w:val="18"/>
                <w:szCs w:val="18"/>
              </w:rPr>
            </w:pPr>
            <w:r>
              <w:rPr>
                <w:sz w:val="18"/>
                <w:szCs w:val="18"/>
              </w:rPr>
              <w:t>5.4用for 语句实现循环；</w:t>
            </w:r>
          </w:p>
          <w:p>
            <w:pPr>
              <w:adjustRightInd w:val="0"/>
              <w:snapToGrid w:val="0"/>
              <w:spacing w:line="300" w:lineRule="auto"/>
              <w:rPr>
                <w:sz w:val="18"/>
                <w:szCs w:val="18"/>
              </w:rPr>
            </w:pPr>
            <w:r>
              <w:rPr>
                <w:sz w:val="18"/>
                <w:szCs w:val="18"/>
              </w:rPr>
              <w:t>5.5循环的嵌套；</w:t>
            </w:r>
          </w:p>
          <w:p>
            <w:pPr>
              <w:adjustRightInd w:val="0"/>
              <w:snapToGrid w:val="0"/>
              <w:spacing w:line="300" w:lineRule="auto"/>
              <w:rPr>
                <w:sz w:val="18"/>
                <w:szCs w:val="18"/>
              </w:rPr>
            </w:pPr>
            <w:r>
              <w:rPr>
                <w:sz w:val="18"/>
                <w:szCs w:val="18"/>
              </w:rPr>
              <w:t>5.6几种循环的比较；</w:t>
            </w:r>
          </w:p>
          <w:p>
            <w:pPr>
              <w:adjustRightInd w:val="0"/>
              <w:snapToGrid w:val="0"/>
              <w:spacing w:line="300" w:lineRule="auto"/>
              <w:rPr>
                <w:sz w:val="18"/>
                <w:szCs w:val="18"/>
              </w:rPr>
            </w:pPr>
            <w:r>
              <w:rPr>
                <w:sz w:val="18"/>
                <w:szCs w:val="18"/>
              </w:rPr>
              <w:t>5.7改变循环执行的状态。</w:t>
            </w:r>
          </w:p>
          <w:p>
            <w:pPr>
              <w:adjustRightInd w:val="0"/>
              <w:snapToGrid w:val="0"/>
              <w:spacing w:line="300" w:lineRule="auto"/>
              <w:rPr>
                <w:sz w:val="18"/>
                <w:szCs w:val="18"/>
              </w:rPr>
            </w:pPr>
            <w:r>
              <w:rPr>
                <w:sz w:val="18"/>
                <w:szCs w:val="18"/>
              </w:rPr>
              <w:t>5.8</w:t>
            </w:r>
            <w:r>
              <w:rPr>
                <w:rFonts w:hint="eastAsia"/>
                <w:b/>
                <w:bCs/>
                <w:sz w:val="18"/>
                <w:szCs w:val="18"/>
              </w:rPr>
              <w:t>课程思政</w:t>
            </w:r>
            <w:r>
              <w:rPr>
                <w:rFonts w:hint="eastAsia"/>
                <w:sz w:val="18"/>
                <w:szCs w:val="18"/>
              </w:rPr>
              <w:t>：</w:t>
            </w:r>
            <w:r>
              <w:rPr>
                <w:sz w:val="18"/>
                <w:szCs w:val="18"/>
              </w:rPr>
              <w:t>介绍科技发展、数学模型与软件开发的关联性</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（1）了解：几种循环结构的相似性与差异性；for循环的特殊省略写法；</w:t>
            </w:r>
          </w:p>
          <w:p>
            <w:pPr>
              <w:adjustRightInd w:val="0"/>
              <w:snapToGrid w:val="0"/>
              <w:spacing w:line="300" w:lineRule="auto"/>
              <w:rPr>
                <w:sz w:val="18"/>
                <w:szCs w:val="18"/>
              </w:rPr>
            </w:pPr>
            <w:r>
              <w:rPr>
                <w:sz w:val="18"/>
                <w:szCs w:val="18"/>
              </w:rPr>
              <w:t>（2）理解：三种循环结构以及循环状态控制语句的语法规则；</w:t>
            </w:r>
          </w:p>
          <w:p>
            <w:pPr>
              <w:adjustRightInd w:val="0"/>
              <w:snapToGrid w:val="0"/>
              <w:spacing w:line="300" w:lineRule="auto"/>
              <w:rPr>
                <w:sz w:val="18"/>
                <w:szCs w:val="18"/>
              </w:rPr>
            </w:pPr>
            <w:r>
              <w:rPr>
                <w:sz w:val="18"/>
                <w:szCs w:val="18"/>
              </w:rPr>
              <w:t>（3）掌握：循环嵌套结构的执行过程。</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（1）编程找出所有的“水仙花数”；</w:t>
            </w:r>
          </w:p>
          <w:p>
            <w:pPr>
              <w:adjustRightInd w:val="0"/>
              <w:snapToGrid w:val="0"/>
              <w:spacing w:line="300" w:lineRule="auto"/>
              <w:rPr>
                <w:sz w:val="18"/>
                <w:szCs w:val="18"/>
              </w:rPr>
            </w:pPr>
            <w:r>
              <w:rPr>
                <w:sz w:val="18"/>
                <w:szCs w:val="18"/>
              </w:rPr>
              <w:t>（2）采用嵌套循环结构编程实现菱形图案的输出；</w:t>
            </w:r>
          </w:p>
          <w:p>
            <w:pPr>
              <w:adjustRightInd w:val="0"/>
              <w:snapToGrid w:val="0"/>
              <w:spacing w:line="300" w:lineRule="auto"/>
              <w:rPr>
                <w:sz w:val="18"/>
                <w:szCs w:val="18"/>
              </w:rPr>
            </w:pPr>
            <w:r>
              <w:rPr>
                <w:sz w:val="18"/>
                <w:szCs w:val="18"/>
              </w:rPr>
              <w:t>（3）绘制课本中Fibonacci数列案例的循环递归算法的流程图。</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案例11：针对问题——循环算法的差异性，首先用if语句和goto语句，演绎while、do</w:t>
            </w:r>
            <w:r>
              <w:rPr>
                <w:rFonts w:hint="eastAsia"/>
                <w:sz w:val="18"/>
                <w:szCs w:val="18"/>
              </w:rPr>
              <w:t>-</w:t>
            </w:r>
            <w:r>
              <w:rPr>
                <w:sz w:val="18"/>
                <w:szCs w:val="18"/>
              </w:rPr>
              <w:t>while、for这三种循环的执行过程；然后，分别用三种循环语法实现循环计数的例子，帮助学生理解循环的执行过程。</w:t>
            </w:r>
          </w:p>
          <w:p>
            <w:pPr>
              <w:adjustRightInd w:val="0"/>
              <w:snapToGrid w:val="0"/>
              <w:spacing w:line="300" w:lineRule="auto"/>
              <w:rPr>
                <w:sz w:val="18"/>
                <w:szCs w:val="18"/>
              </w:rPr>
            </w:pPr>
            <w:r>
              <w:rPr>
                <w:sz w:val="18"/>
                <w:szCs w:val="18"/>
              </w:rPr>
              <w:t>案例12：针对问题——对for循环的最后一句话和for（；；）第二个分号后语句的执行顺序，通过例子for(i=0, j=0; i&lt;10; i++, printf (“i=%d,j=%d”,i,j)) {j++;},演示这个问题。</w:t>
            </w:r>
          </w:p>
          <w:p>
            <w:pPr>
              <w:adjustRightInd w:val="0"/>
              <w:snapToGrid w:val="0"/>
              <w:spacing w:line="300" w:lineRule="auto"/>
              <w:rPr>
                <w:sz w:val="18"/>
                <w:szCs w:val="18"/>
              </w:rPr>
            </w:pPr>
            <w:r>
              <w:rPr>
                <w:sz w:val="18"/>
                <w:szCs w:val="18"/>
              </w:rPr>
              <w:t>案例13：针对问题——循环过程的溢出危险，使用Fibonacci数列的例子，展示for循环的迭代运算以及“32位的正整数是如何溢出后变成负整数”。</w:t>
            </w:r>
          </w:p>
          <w:p>
            <w:pPr>
              <w:adjustRightInd w:val="0"/>
              <w:snapToGrid w:val="0"/>
              <w:spacing w:line="300" w:lineRule="auto"/>
              <w:rPr>
                <w:sz w:val="18"/>
                <w:szCs w:val="18"/>
              </w:rPr>
            </w:pPr>
            <w:r>
              <w:rPr>
                <w:sz w:val="18"/>
                <w:szCs w:val="18"/>
              </w:rPr>
              <w:t>案例14：针对问题——循环与数学递推模型的关联性，阐述如何打印“菱形”和“蛇形”图案，帮助学生了解for循环嵌套的使用方式及其局限性。</w:t>
            </w:r>
          </w:p>
          <w:p>
            <w:pPr>
              <w:adjustRightInd w:val="0"/>
              <w:snapToGrid w:val="0"/>
              <w:spacing w:line="300" w:lineRule="auto"/>
              <w:rPr>
                <w:kern w:val="0"/>
                <w:sz w:val="18"/>
                <w:szCs w:val="18"/>
              </w:rPr>
            </w:pPr>
            <w:r>
              <w:rPr>
                <w:sz w:val="18"/>
                <w:szCs w:val="18"/>
              </w:rPr>
              <w:t>案例15：针对问题——数据模型与循环，阐述如何计算“猴子吃桃子”，帮助学生了解如何将大数量级（假设1000）循环的问题转换到小数量级（2或者3）循环的问题，进一步从科技发展的角度阐述如何利用协议、数学算法模型以及模块架构等工具将复杂项目分解到一些数学公式计算或者数据转换的多次迭代问题，即复杂问题如何转换为简单问题，帮助学生理解循环计算的意义。</w:t>
            </w:r>
          </w:p>
        </w:tc>
        <w:tc>
          <w:tcPr>
            <w:tcW w:w="445" w:type="dxa"/>
            <w:vAlign w:val="center"/>
          </w:tcPr>
          <w:p>
            <w:pPr>
              <w:widowControl/>
              <w:adjustRightInd w:val="0"/>
              <w:snapToGrid w:val="0"/>
              <w:spacing w:line="300" w:lineRule="auto"/>
              <w:jc w:val="center"/>
              <w:rPr>
                <w:kern w:val="0"/>
                <w:sz w:val="18"/>
                <w:szCs w:val="18"/>
              </w:rPr>
            </w:pPr>
            <w:r>
              <w:rPr>
                <w:kern w:val="0"/>
                <w:sz w:val="18"/>
                <w:szCs w:val="18"/>
              </w:rPr>
              <w:t>4</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1119" w:type="dxa"/>
            <w:vAlign w:val="center"/>
          </w:tcPr>
          <w:p>
            <w:pPr>
              <w:adjustRightInd w:val="0"/>
              <w:snapToGrid w:val="0"/>
              <w:spacing w:line="300" w:lineRule="auto"/>
              <w:rPr>
                <w:sz w:val="18"/>
                <w:szCs w:val="18"/>
              </w:rPr>
            </w:pPr>
            <w:r>
              <w:rPr>
                <w:sz w:val="18"/>
                <w:szCs w:val="18"/>
              </w:rPr>
              <w:t>6 利用数组处理批量数据</w:t>
            </w:r>
          </w:p>
          <w:p>
            <w:pPr>
              <w:adjustRightInd w:val="0"/>
              <w:snapToGrid w:val="0"/>
              <w:spacing w:line="300" w:lineRule="auto"/>
              <w:rPr>
                <w:sz w:val="18"/>
                <w:szCs w:val="18"/>
              </w:rPr>
            </w:pPr>
            <w:r>
              <w:rPr>
                <w:sz w:val="18"/>
                <w:szCs w:val="18"/>
              </w:rPr>
              <w:t>6.1怎样定义和引用一维数组</w:t>
            </w:r>
          </w:p>
          <w:p>
            <w:pPr>
              <w:adjustRightInd w:val="0"/>
              <w:snapToGrid w:val="0"/>
              <w:spacing w:line="300" w:lineRule="auto"/>
              <w:rPr>
                <w:sz w:val="18"/>
                <w:szCs w:val="18"/>
              </w:rPr>
            </w:pPr>
            <w:r>
              <w:rPr>
                <w:sz w:val="18"/>
                <w:szCs w:val="18"/>
              </w:rPr>
              <w:t>6.2怎样定义和引用二维数组</w:t>
            </w:r>
          </w:p>
          <w:p>
            <w:pPr>
              <w:adjustRightInd w:val="0"/>
              <w:snapToGrid w:val="0"/>
              <w:spacing w:line="300" w:lineRule="auto"/>
              <w:rPr>
                <w:sz w:val="18"/>
                <w:szCs w:val="18"/>
              </w:rPr>
            </w:pPr>
            <w:r>
              <w:rPr>
                <w:sz w:val="18"/>
                <w:szCs w:val="18"/>
              </w:rPr>
              <w:t>6.3字符数组</w:t>
            </w:r>
          </w:p>
          <w:p>
            <w:pPr>
              <w:adjustRightInd w:val="0"/>
              <w:snapToGrid w:val="0"/>
              <w:spacing w:line="300" w:lineRule="auto"/>
              <w:rPr>
                <w:sz w:val="18"/>
                <w:szCs w:val="18"/>
              </w:rPr>
            </w:pP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（1）了解：一维、多维数组以及字符数组的定义与初始化；</w:t>
            </w:r>
          </w:p>
          <w:p>
            <w:pPr>
              <w:adjustRightInd w:val="0"/>
              <w:snapToGrid w:val="0"/>
              <w:spacing w:line="300" w:lineRule="auto"/>
              <w:rPr>
                <w:sz w:val="18"/>
                <w:szCs w:val="18"/>
              </w:rPr>
            </w:pPr>
            <w:r>
              <w:rPr>
                <w:sz w:val="18"/>
                <w:szCs w:val="18"/>
              </w:rPr>
              <w:t>（2）理解：数组基于偏移量的访问方式；</w:t>
            </w:r>
          </w:p>
          <w:p>
            <w:pPr>
              <w:adjustRightInd w:val="0"/>
              <w:snapToGrid w:val="0"/>
              <w:spacing w:line="300" w:lineRule="auto"/>
              <w:rPr>
                <w:sz w:val="18"/>
                <w:szCs w:val="18"/>
              </w:rPr>
            </w:pPr>
            <w:r>
              <w:rPr>
                <w:sz w:val="18"/>
                <w:szCs w:val="18"/>
              </w:rPr>
              <w:t>（3）掌握：数组与循环结构联合运用。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（1）通过数组和循环实现10个整数的输入、排序以及排序结果打印输出。</w:t>
            </w:r>
          </w:p>
          <w:p>
            <w:pPr>
              <w:adjustRightInd w:val="0"/>
              <w:snapToGrid w:val="0"/>
              <w:spacing w:line="300" w:lineRule="auto"/>
              <w:rPr>
                <w:sz w:val="18"/>
                <w:szCs w:val="18"/>
              </w:rPr>
            </w:pPr>
            <w:r>
              <w:rPr>
                <w:sz w:val="18"/>
                <w:szCs w:val="18"/>
              </w:rPr>
              <w:t>（2）通过数组和循环实现字符串比较函数strcmp的功能；</w:t>
            </w:r>
          </w:p>
          <w:p>
            <w:pPr>
              <w:adjustRightInd w:val="0"/>
              <w:snapToGrid w:val="0"/>
              <w:spacing w:line="300" w:lineRule="auto"/>
              <w:rPr>
                <w:sz w:val="18"/>
                <w:szCs w:val="18"/>
              </w:rPr>
            </w:pPr>
            <w:r>
              <w:rPr>
                <w:sz w:val="18"/>
                <w:szCs w:val="18"/>
              </w:rPr>
              <w:t>（3）定义一个二维数组并初始化，用一个循环结构实现所有数组元素的矩阵形式打印输出；</w:t>
            </w:r>
          </w:p>
          <w:p>
            <w:pPr>
              <w:adjustRightInd w:val="0"/>
              <w:snapToGrid w:val="0"/>
              <w:spacing w:line="300" w:lineRule="auto"/>
              <w:rPr>
                <w:sz w:val="18"/>
                <w:szCs w:val="18"/>
              </w:rPr>
            </w:pPr>
            <w:r>
              <w:rPr>
                <w:sz w:val="18"/>
                <w:szCs w:val="18"/>
              </w:rPr>
              <w:t>（4）使用调试工具的内存窗口查看在一个语句同时定义的整数、一维数组与多维数组的空间分配状况，理解数组“越界访问”的危险。</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案例16：针对问题——</w:t>
            </w:r>
            <w:r>
              <w:rPr>
                <w:kern w:val="0"/>
                <w:sz w:val="18"/>
                <w:szCs w:val="18"/>
              </w:rPr>
              <w:t>数组的使用场景</w:t>
            </w:r>
            <w:r>
              <w:rPr>
                <w:sz w:val="18"/>
                <w:szCs w:val="18"/>
              </w:rPr>
              <w:t>，比较前后两章Fibonacci数列的例子6.2和5.8，利用数组存放数据，利用数组下标建立索引从而便于定位和查询数据。</w:t>
            </w:r>
          </w:p>
          <w:p>
            <w:pPr>
              <w:adjustRightInd w:val="0"/>
              <w:snapToGrid w:val="0"/>
              <w:spacing w:line="300" w:lineRule="auto"/>
              <w:rPr>
                <w:sz w:val="18"/>
                <w:szCs w:val="18"/>
              </w:rPr>
            </w:pPr>
            <w:r>
              <w:rPr>
                <w:sz w:val="18"/>
                <w:szCs w:val="18"/>
              </w:rPr>
              <w:t>案例17：针对问题——数组在排序算法应用，回顾第四章《选择结构程序设计》讲述的多个数比较大小的实现过程，以及第五章《循环结构程序设计》讲述的循环嵌套以及将大数量计算问题转换，讲述例子6.3——10个数字由小到大的顺序排序的“起泡法排序”实现方法</w:t>
            </w:r>
          </w:p>
          <w:p>
            <w:pPr>
              <w:adjustRightInd w:val="0"/>
              <w:snapToGrid w:val="0"/>
              <w:spacing w:line="300" w:lineRule="auto"/>
              <w:rPr>
                <w:sz w:val="18"/>
                <w:szCs w:val="18"/>
              </w:rPr>
            </w:pPr>
            <w:r>
              <w:rPr>
                <w:sz w:val="18"/>
                <w:szCs w:val="18"/>
              </w:rPr>
              <w:t>案例18：针对问题——多维数组的使用场景，通过学校/学院/系/年级/学号的递进关系，讲述多维数组的使用方法和意义。</w:t>
            </w:r>
          </w:p>
          <w:p>
            <w:pPr>
              <w:adjustRightInd w:val="0"/>
              <w:snapToGrid w:val="0"/>
              <w:spacing w:line="300" w:lineRule="auto"/>
              <w:rPr>
                <w:sz w:val="18"/>
                <w:szCs w:val="18"/>
              </w:rPr>
            </w:pPr>
            <w:r>
              <w:rPr>
                <w:sz w:val="18"/>
                <w:szCs w:val="18"/>
              </w:rPr>
              <w:t>案例19：针对问题——多维数组的数据定位方式，结合前一章《循环结构程序设计》讲述的循环嵌套，讲述在例子6.5“定位二维数组中的最大数”中如何分别采用一重循环和多重循环去访问多维数组。</w:t>
            </w:r>
          </w:p>
          <w:p>
            <w:pPr>
              <w:adjustRightInd w:val="0"/>
              <w:snapToGrid w:val="0"/>
              <w:spacing w:line="300" w:lineRule="auto"/>
              <w:rPr>
                <w:kern w:val="0"/>
                <w:sz w:val="18"/>
                <w:szCs w:val="18"/>
              </w:rPr>
            </w:pPr>
            <w:r>
              <w:rPr>
                <w:sz w:val="18"/>
                <w:szCs w:val="18"/>
              </w:rPr>
              <w:t>案例20：针对问题——多维数组如何简化图像打印，回顾前一章打印图形的例子，以及对比例子6.7，阐述通过使用二维字符数组的初始化以更简化的方式实现相同功能。</w:t>
            </w:r>
          </w:p>
        </w:tc>
        <w:tc>
          <w:tcPr>
            <w:tcW w:w="445" w:type="dxa"/>
            <w:vAlign w:val="center"/>
          </w:tcPr>
          <w:p>
            <w:pPr>
              <w:widowControl/>
              <w:adjustRightInd w:val="0"/>
              <w:snapToGrid w:val="0"/>
              <w:spacing w:line="300" w:lineRule="auto"/>
              <w:jc w:val="center"/>
              <w:rPr>
                <w:kern w:val="0"/>
                <w:sz w:val="18"/>
                <w:szCs w:val="18"/>
              </w:rPr>
            </w:pPr>
            <w:r>
              <w:rPr>
                <w:kern w:val="0"/>
                <w:sz w:val="18"/>
                <w:szCs w:val="18"/>
              </w:rPr>
              <w:t>4</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1119" w:type="dxa"/>
            <w:vAlign w:val="center"/>
          </w:tcPr>
          <w:p>
            <w:pPr>
              <w:adjustRightInd w:val="0"/>
              <w:snapToGrid w:val="0"/>
              <w:spacing w:line="300" w:lineRule="auto"/>
              <w:rPr>
                <w:sz w:val="18"/>
                <w:szCs w:val="18"/>
              </w:rPr>
            </w:pPr>
            <w:r>
              <w:rPr>
                <w:sz w:val="18"/>
                <w:szCs w:val="18"/>
              </w:rPr>
              <w:t>7 用函数实现模块化程序设计</w:t>
            </w:r>
          </w:p>
          <w:p>
            <w:pPr>
              <w:adjustRightInd w:val="0"/>
              <w:snapToGrid w:val="0"/>
              <w:spacing w:line="300" w:lineRule="auto"/>
              <w:rPr>
                <w:sz w:val="18"/>
                <w:szCs w:val="18"/>
              </w:rPr>
            </w:pPr>
            <w:r>
              <w:rPr>
                <w:sz w:val="18"/>
                <w:szCs w:val="18"/>
              </w:rPr>
              <w:t>7.1为什么要用函数</w:t>
            </w:r>
          </w:p>
          <w:p>
            <w:pPr>
              <w:adjustRightInd w:val="0"/>
              <w:snapToGrid w:val="0"/>
              <w:spacing w:line="300" w:lineRule="auto"/>
              <w:rPr>
                <w:sz w:val="18"/>
                <w:szCs w:val="18"/>
              </w:rPr>
            </w:pPr>
            <w:r>
              <w:rPr>
                <w:sz w:val="18"/>
                <w:szCs w:val="18"/>
              </w:rPr>
              <w:t>7.2怎样定义函数</w:t>
            </w:r>
          </w:p>
          <w:p>
            <w:pPr>
              <w:adjustRightInd w:val="0"/>
              <w:snapToGrid w:val="0"/>
              <w:spacing w:line="300" w:lineRule="auto"/>
              <w:rPr>
                <w:sz w:val="18"/>
                <w:szCs w:val="18"/>
              </w:rPr>
            </w:pPr>
            <w:r>
              <w:rPr>
                <w:sz w:val="18"/>
                <w:szCs w:val="18"/>
              </w:rPr>
              <w:t>7.3调用函数</w:t>
            </w:r>
          </w:p>
          <w:p>
            <w:pPr>
              <w:adjustRightInd w:val="0"/>
              <w:snapToGrid w:val="0"/>
              <w:spacing w:line="300" w:lineRule="auto"/>
              <w:rPr>
                <w:sz w:val="18"/>
                <w:szCs w:val="18"/>
              </w:rPr>
            </w:pPr>
            <w:r>
              <w:rPr>
                <w:sz w:val="18"/>
                <w:szCs w:val="18"/>
              </w:rPr>
              <w:t>7.4对被调用函数的声明和函数原型</w:t>
            </w:r>
          </w:p>
          <w:p>
            <w:pPr>
              <w:adjustRightInd w:val="0"/>
              <w:snapToGrid w:val="0"/>
              <w:spacing w:line="300" w:lineRule="auto"/>
              <w:rPr>
                <w:sz w:val="18"/>
                <w:szCs w:val="18"/>
              </w:rPr>
            </w:pPr>
            <w:r>
              <w:rPr>
                <w:sz w:val="18"/>
                <w:szCs w:val="18"/>
              </w:rPr>
              <w:t>7.5函数的嵌套调用</w:t>
            </w:r>
          </w:p>
          <w:p>
            <w:pPr>
              <w:adjustRightInd w:val="0"/>
              <w:snapToGrid w:val="0"/>
              <w:spacing w:line="300" w:lineRule="auto"/>
              <w:rPr>
                <w:sz w:val="18"/>
                <w:szCs w:val="18"/>
              </w:rPr>
            </w:pPr>
            <w:r>
              <w:rPr>
                <w:sz w:val="18"/>
                <w:szCs w:val="18"/>
              </w:rPr>
              <w:t>7.7数组作为函数参数</w:t>
            </w:r>
          </w:p>
          <w:p>
            <w:pPr>
              <w:adjustRightInd w:val="0"/>
              <w:snapToGrid w:val="0"/>
              <w:spacing w:line="300" w:lineRule="auto"/>
              <w:rPr>
                <w:sz w:val="18"/>
                <w:szCs w:val="18"/>
              </w:rPr>
            </w:pPr>
            <w:r>
              <w:rPr>
                <w:sz w:val="18"/>
                <w:szCs w:val="18"/>
              </w:rPr>
              <w:t>7.8局部变量和全局变量。</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（1）了解：函数、全局变量与静态变量的概念；</w:t>
            </w:r>
          </w:p>
          <w:p>
            <w:pPr>
              <w:adjustRightInd w:val="0"/>
              <w:snapToGrid w:val="0"/>
              <w:spacing w:line="300" w:lineRule="auto"/>
              <w:rPr>
                <w:sz w:val="18"/>
                <w:szCs w:val="18"/>
              </w:rPr>
            </w:pPr>
            <w:r>
              <w:rPr>
                <w:sz w:val="18"/>
                <w:szCs w:val="18"/>
              </w:rPr>
              <w:t>（2）理解：函数的参数传递与调用过程、以及函数嵌套调用的执行过程；</w:t>
            </w:r>
          </w:p>
          <w:p>
            <w:pPr>
              <w:adjustRightInd w:val="0"/>
              <w:snapToGrid w:val="0"/>
              <w:spacing w:line="300" w:lineRule="auto"/>
              <w:rPr>
                <w:sz w:val="18"/>
                <w:szCs w:val="18"/>
              </w:rPr>
            </w:pPr>
            <w:r>
              <w:rPr>
                <w:sz w:val="18"/>
                <w:szCs w:val="18"/>
              </w:rPr>
              <w:t>（3）掌握：掌握基于函数的功能模块设计理念和架构图绘制方法。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（1）课程考试成绩管理，书写主函数，然后用函数实现成绩输入、排序、平均分、及格率计算以及打印输出等其中的某些功能；</w:t>
            </w:r>
          </w:p>
          <w:p>
            <w:pPr>
              <w:adjustRightInd w:val="0"/>
              <w:snapToGrid w:val="0"/>
              <w:spacing w:line="300" w:lineRule="auto"/>
              <w:rPr>
                <w:sz w:val="18"/>
                <w:szCs w:val="18"/>
              </w:rPr>
            </w:pPr>
            <w:r>
              <w:rPr>
                <w:sz w:val="18"/>
                <w:szCs w:val="18"/>
              </w:rPr>
              <w:t>（2）针对函数嵌套调用，通过调试工具的单步执行进行跟踪，理解程序的执行过程；</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案例21：针对问题——函数的运行代价是什么，结合例子7.3，回顾之前前面章节中多次提到的数据排序问题，修改代码，</w:t>
            </w:r>
            <w:r>
              <w:rPr>
                <w:rFonts w:hint="eastAsia" w:ascii="宋体" w:hAnsi="宋体" w:cs="宋体"/>
                <w:sz w:val="18"/>
                <w:szCs w:val="18"/>
              </w:rPr>
              <w:t>①</w:t>
            </w:r>
            <w:r>
              <w:rPr>
                <w:sz w:val="18"/>
                <w:szCs w:val="18"/>
              </w:rPr>
              <w:t>利用循环多次运行程序；</w:t>
            </w:r>
            <w:r>
              <w:rPr>
                <w:rFonts w:hint="eastAsia" w:ascii="宋体" w:hAnsi="宋体" w:cs="宋体"/>
                <w:sz w:val="18"/>
                <w:szCs w:val="18"/>
              </w:rPr>
              <w:t>②</w:t>
            </w:r>
            <w:r>
              <w:rPr>
                <w:sz w:val="18"/>
                <w:szCs w:val="18"/>
              </w:rPr>
              <w:t>利用时间函数获取运行时间，比较采用函数的方法与之前方法的差异性，验证一个结论——函数的运行是会轻微消耗CPU的资源，但是其模块化特性简化了代码维护与多人分工合作。</w:t>
            </w:r>
          </w:p>
          <w:p>
            <w:pPr>
              <w:adjustRightInd w:val="0"/>
              <w:snapToGrid w:val="0"/>
              <w:spacing w:line="300" w:lineRule="auto"/>
              <w:rPr>
                <w:sz w:val="18"/>
                <w:szCs w:val="18"/>
              </w:rPr>
            </w:pPr>
            <w:r>
              <w:rPr>
                <w:sz w:val="18"/>
                <w:szCs w:val="18"/>
              </w:rPr>
              <w:t>案例22：针对问题——数组的参数传递过程，讲述本章节选择法排序的例子7.12，比对之前的“起泡法”排序，理解两者的差异性，以及函数参数传递的特性，并讨论如何用函数的方法实现之前的“起泡法”排序。</w:t>
            </w:r>
          </w:p>
          <w:p>
            <w:pPr>
              <w:adjustRightInd w:val="0"/>
              <w:snapToGrid w:val="0"/>
              <w:spacing w:line="300" w:lineRule="auto"/>
              <w:rPr>
                <w:kern w:val="0"/>
                <w:sz w:val="18"/>
                <w:szCs w:val="18"/>
              </w:rPr>
            </w:pPr>
            <w:r>
              <w:rPr>
                <w:sz w:val="18"/>
                <w:szCs w:val="18"/>
              </w:rPr>
              <w:t>案例23：针对问题——静态变量的使用价值，基于例子7.17，阐述如何利用静态局部变量实现N!，并且与本章之前的例子7.2比较，两种方法的差异性以及优缺点。</w:t>
            </w:r>
          </w:p>
        </w:tc>
        <w:tc>
          <w:tcPr>
            <w:tcW w:w="445" w:type="dxa"/>
            <w:vAlign w:val="center"/>
          </w:tcPr>
          <w:p>
            <w:pPr>
              <w:widowControl/>
              <w:adjustRightInd w:val="0"/>
              <w:snapToGrid w:val="0"/>
              <w:spacing w:line="300" w:lineRule="auto"/>
              <w:jc w:val="center"/>
              <w:rPr>
                <w:kern w:val="0"/>
                <w:sz w:val="18"/>
                <w:szCs w:val="18"/>
              </w:rPr>
            </w:pPr>
            <w:r>
              <w:rPr>
                <w:kern w:val="0"/>
                <w:sz w:val="18"/>
                <w:szCs w:val="18"/>
              </w:rPr>
              <w:t>2</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7</w:t>
            </w:r>
          </w:p>
        </w:tc>
        <w:tc>
          <w:tcPr>
            <w:tcW w:w="1119" w:type="dxa"/>
            <w:vAlign w:val="center"/>
          </w:tcPr>
          <w:p>
            <w:pPr>
              <w:adjustRightInd w:val="0"/>
              <w:snapToGrid w:val="0"/>
              <w:spacing w:line="300" w:lineRule="auto"/>
              <w:rPr>
                <w:sz w:val="18"/>
                <w:szCs w:val="18"/>
              </w:rPr>
            </w:pPr>
            <w:r>
              <w:rPr>
                <w:sz w:val="18"/>
                <w:szCs w:val="18"/>
              </w:rPr>
              <w:t>8 善于利用指针</w:t>
            </w:r>
          </w:p>
          <w:p>
            <w:pPr>
              <w:adjustRightInd w:val="0"/>
              <w:snapToGrid w:val="0"/>
              <w:spacing w:line="300" w:lineRule="auto"/>
              <w:rPr>
                <w:sz w:val="18"/>
                <w:szCs w:val="18"/>
              </w:rPr>
            </w:pPr>
            <w:r>
              <w:rPr>
                <w:sz w:val="18"/>
                <w:szCs w:val="18"/>
              </w:rPr>
              <w:t>8.1指针是什么</w:t>
            </w:r>
          </w:p>
          <w:p>
            <w:pPr>
              <w:adjustRightInd w:val="0"/>
              <w:snapToGrid w:val="0"/>
              <w:spacing w:line="300" w:lineRule="auto"/>
              <w:rPr>
                <w:sz w:val="18"/>
                <w:szCs w:val="18"/>
              </w:rPr>
            </w:pPr>
            <w:r>
              <w:rPr>
                <w:sz w:val="18"/>
                <w:szCs w:val="18"/>
              </w:rPr>
              <w:t>8.2指针变量</w:t>
            </w:r>
          </w:p>
          <w:p>
            <w:pPr>
              <w:adjustRightInd w:val="0"/>
              <w:snapToGrid w:val="0"/>
              <w:spacing w:line="300" w:lineRule="auto"/>
              <w:rPr>
                <w:sz w:val="18"/>
                <w:szCs w:val="18"/>
              </w:rPr>
            </w:pPr>
            <w:r>
              <w:rPr>
                <w:sz w:val="18"/>
                <w:szCs w:val="18"/>
              </w:rPr>
              <w:t>8.3通过指针引用数组</w:t>
            </w:r>
          </w:p>
          <w:p>
            <w:pPr>
              <w:adjustRightInd w:val="0"/>
              <w:snapToGrid w:val="0"/>
              <w:spacing w:line="300" w:lineRule="auto"/>
              <w:rPr>
                <w:sz w:val="18"/>
                <w:szCs w:val="18"/>
              </w:rPr>
            </w:pPr>
            <w:r>
              <w:rPr>
                <w:sz w:val="18"/>
                <w:szCs w:val="18"/>
              </w:rPr>
              <w:t>8.4通过指针引用字符串</w:t>
            </w:r>
          </w:p>
          <w:p>
            <w:pPr>
              <w:adjustRightInd w:val="0"/>
              <w:snapToGrid w:val="0"/>
              <w:spacing w:line="300" w:lineRule="auto"/>
              <w:rPr>
                <w:sz w:val="18"/>
                <w:szCs w:val="18"/>
              </w:rPr>
            </w:pPr>
            <w:r>
              <w:rPr>
                <w:sz w:val="18"/>
                <w:szCs w:val="18"/>
              </w:rPr>
              <w:t>8.5</w:t>
            </w:r>
            <w:r>
              <w:rPr>
                <w:b/>
                <w:bCs/>
                <w:sz w:val="18"/>
                <w:szCs w:val="18"/>
              </w:rPr>
              <w:t>课程思政</w:t>
            </w:r>
            <w:r>
              <w:rPr>
                <w:sz w:val="18"/>
                <w:szCs w:val="18"/>
              </w:rPr>
              <w:t>：国家网络安全与指针的“越界”访问</w:t>
            </w:r>
          </w:p>
          <w:p>
            <w:pPr>
              <w:adjustRightInd w:val="0"/>
              <w:snapToGrid w:val="0"/>
              <w:spacing w:line="300" w:lineRule="auto"/>
              <w:rPr>
                <w:sz w:val="18"/>
                <w:szCs w:val="18"/>
              </w:rPr>
            </w:pP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（1）了解：指针的访问方式；</w:t>
            </w:r>
          </w:p>
          <w:p>
            <w:pPr>
              <w:adjustRightInd w:val="0"/>
              <w:snapToGrid w:val="0"/>
              <w:spacing w:line="300" w:lineRule="auto"/>
              <w:rPr>
                <w:sz w:val="18"/>
                <w:szCs w:val="18"/>
              </w:rPr>
            </w:pPr>
            <w:r>
              <w:rPr>
                <w:sz w:val="18"/>
                <w:szCs w:val="18"/>
              </w:rPr>
              <w:t>（2）理解：指针与数组、函数的关系；</w:t>
            </w:r>
          </w:p>
          <w:p>
            <w:pPr>
              <w:adjustRightInd w:val="0"/>
              <w:snapToGrid w:val="0"/>
              <w:spacing w:line="300" w:lineRule="auto"/>
              <w:rPr>
                <w:sz w:val="18"/>
                <w:szCs w:val="18"/>
              </w:rPr>
            </w:pPr>
            <w:r>
              <w:rPr>
                <w:sz w:val="18"/>
                <w:szCs w:val="18"/>
              </w:rPr>
              <w:t>（3）掌握：指针与数组的相互转换，以及指针的运用方式。</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（1）用指针的游标方式编程实现“选猴王”；</w:t>
            </w:r>
          </w:p>
          <w:p>
            <w:pPr>
              <w:adjustRightInd w:val="0"/>
              <w:snapToGrid w:val="0"/>
              <w:spacing w:line="300" w:lineRule="auto"/>
              <w:rPr>
                <w:sz w:val="18"/>
                <w:szCs w:val="18"/>
              </w:rPr>
            </w:pPr>
            <w:r>
              <w:rPr>
                <w:sz w:val="18"/>
                <w:szCs w:val="18"/>
              </w:rPr>
              <w:t>（2）定义swap函数并使用指针作为参数实现两个整数的交换，然后使用swap实现数组的排序；</w:t>
            </w:r>
          </w:p>
          <w:p>
            <w:pPr>
              <w:adjustRightInd w:val="0"/>
              <w:snapToGrid w:val="0"/>
              <w:spacing w:line="300" w:lineRule="auto"/>
              <w:rPr>
                <w:sz w:val="18"/>
                <w:szCs w:val="18"/>
              </w:rPr>
            </w:pPr>
            <w:r>
              <w:rPr>
                <w:sz w:val="18"/>
                <w:szCs w:val="18"/>
              </w:rPr>
              <w:t>（3）自行设计一个指针越界访问的例子，通过调试工具观察使用指针可能产生的不安全性，理解代码漏洞的产生原因。</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24：针对问题——指针和地址的区别，修改例子8.1的代码，首先结合数组的基地址+偏移量的数据访问方式，讲解地址的概念，并进一步阐述指针的概念；此外，通过指针的“越界”访问——“不安全”的指针“溢出”，实现变量之间的非法篡改，进一步讲述木马与病毒的基本原理及其危害，强调软件安全以及网络安全的重要性，以及阐述中国国家防火墙——防火长城的重要意义。</w:t>
            </w:r>
          </w:p>
          <w:p>
            <w:pPr>
              <w:adjustRightInd w:val="0"/>
              <w:snapToGrid w:val="0"/>
              <w:spacing w:line="300" w:lineRule="auto"/>
              <w:rPr>
                <w:sz w:val="18"/>
                <w:szCs w:val="18"/>
              </w:rPr>
            </w:pPr>
            <w:r>
              <w:rPr>
                <w:sz w:val="18"/>
                <w:szCs w:val="18"/>
              </w:rPr>
              <w:t>案例25：针对问题——指针的数据交换模式，回顾两个数据比较大小的问题，参考例子4.2，比对采用指针的例子8.2、以及采用指针和函数的例子8.3，阐述三种实现方案的差异性，理解指针的在函数参数传递过程中仅传递地址的功能、以及如何在函数中通过地址修改主函数变量的数值的方式，并且进一步理解例子8.4的错误原因。</w:t>
            </w:r>
          </w:p>
          <w:p>
            <w:pPr>
              <w:adjustRightInd w:val="0"/>
              <w:snapToGrid w:val="0"/>
              <w:spacing w:line="300" w:lineRule="auto"/>
              <w:rPr>
                <w:sz w:val="18"/>
                <w:szCs w:val="18"/>
              </w:rPr>
            </w:pPr>
            <w:r>
              <w:rPr>
                <w:sz w:val="18"/>
                <w:szCs w:val="18"/>
              </w:rPr>
              <w:t>案例26：针对问题——数组与指针的下标法与游标法，通过分析例子8.8、8.9、8.10这三个例子，理解数组与指针之间的联系、以及使用时的差异性；</w:t>
            </w:r>
          </w:p>
          <w:p>
            <w:pPr>
              <w:adjustRightInd w:val="0"/>
              <w:snapToGrid w:val="0"/>
              <w:spacing w:line="300" w:lineRule="auto"/>
              <w:rPr>
                <w:sz w:val="18"/>
                <w:szCs w:val="18"/>
              </w:rPr>
            </w:pPr>
            <w:r>
              <w:rPr>
                <w:sz w:val="18"/>
                <w:szCs w:val="18"/>
              </w:rPr>
              <w:t>案例27：针对问题——多维数组的地址是一维的还是多维的，通过例子8.11、8.12、8.13这三个例子，掌握如何采用一维指针访问一维数组和多维数组，并理解其中的差异性；</w:t>
            </w:r>
          </w:p>
          <w:p>
            <w:pPr>
              <w:adjustRightInd w:val="0"/>
              <w:snapToGrid w:val="0"/>
              <w:spacing w:line="300" w:lineRule="auto"/>
              <w:rPr>
                <w:sz w:val="18"/>
                <w:szCs w:val="18"/>
              </w:rPr>
            </w:pPr>
            <w:r>
              <w:rPr>
                <w:sz w:val="18"/>
                <w:szCs w:val="18"/>
              </w:rPr>
              <w:t>案例28：针对问题——字符数组与字符指针的使用区别，通过例子8.17、8.18、8.19、8.20这四个例子，掌握采用指针访问字符串、以及传递字符串指针。</w:t>
            </w:r>
          </w:p>
        </w:tc>
        <w:tc>
          <w:tcPr>
            <w:tcW w:w="445" w:type="dxa"/>
            <w:vAlign w:val="center"/>
          </w:tcPr>
          <w:p>
            <w:pPr>
              <w:widowControl/>
              <w:adjustRightInd w:val="0"/>
              <w:snapToGrid w:val="0"/>
              <w:spacing w:line="300" w:lineRule="auto"/>
              <w:jc w:val="center"/>
              <w:rPr>
                <w:kern w:val="0"/>
                <w:sz w:val="18"/>
                <w:szCs w:val="18"/>
              </w:rPr>
            </w:pPr>
            <w:r>
              <w:rPr>
                <w:kern w:val="0"/>
                <w:sz w:val="18"/>
                <w:szCs w:val="18"/>
              </w:rPr>
              <w:t>4</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8</w:t>
            </w:r>
          </w:p>
        </w:tc>
        <w:tc>
          <w:tcPr>
            <w:tcW w:w="1119" w:type="dxa"/>
            <w:vAlign w:val="center"/>
          </w:tcPr>
          <w:p>
            <w:pPr>
              <w:adjustRightInd w:val="0"/>
              <w:snapToGrid w:val="0"/>
              <w:spacing w:line="300" w:lineRule="auto"/>
              <w:rPr>
                <w:sz w:val="18"/>
                <w:szCs w:val="18"/>
              </w:rPr>
            </w:pPr>
            <w:r>
              <w:rPr>
                <w:sz w:val="18"/>
                <w:szCs w:val="18"/>
              </w:rPr>
              <w:t>9.用户自己建立数据类型</w:t>
            </w:r>
          </w:p>
          <w:p>
            <w:pPr>
              <w:adjustRightInd w:val="0"/>
              <w:snapToGrid w:val="0"/>
              <w:spacing w:line="300" w:lineRule="auto"/>
              <w:rPr>
                <w:sz w:val="18"/>
                <w:szCs w:val="18"/>
              </w:rPr>
            </w:pPr>
            <w:r>
              <w:rPr>
                <w:sz w:val="18"/>
                <w:szCs w:val="18"/>
              </w:rPr>
              <w:t>9.1定义和使用结构体变量</w:t>
            </w:r>
          </w:p>
          <w:p>
            <w:pPr>
              <w:adjustRightInd w:val="0"/>
              <w:snapToGrid w:val="0"/>
              <w:spacing w:line="300" w:lineRule="auto"/>
              <w:rPr>
                <w:sz w:val="18"/>
                <w:szCs w:val="18"/>
              </w:rPr>
            </w:pPr>
            <w:r>
              <w:rPr>
                <w:sz w:val="18"/>
                <w:szCs w:val="18"/>
              </w:rPr>
              <w:t>9.2使用结构体数组</w:t>
            </w:r>
          </w:p>
          <w:p>
            <w:pPr>
              <w:adjustRightInd w:val="0"/>
              <w:snapToGrid w:val="0"/>
              <w:spacing w:line="300" w:lineRule="auto"/>
              <w:rPr>
                <w:sz w:val="18"/>
                <w:szCs w:val="18"/>
              </w:rPr>
            </w:pPr>
            <w:r>
              <w:rPr>
                <w:sz w:val="18"/>
                <w:szCs w:val="18"/>
              </w:rPr>
              <w:t>9.3结构体指针</w:t>
            </w:r>
          </w:p>
          <w:p>
            <w:pPr>
              <w:adjustRightInd w:val="0"/>
              <w:snapToGrid w:val="0"/>
              <w:spacing w:line="300" w:lineRule="auto"/>
              <w:rPr>
                <w:sz w:val="18"/>
                <w:szCs w:val="18"/>
              </w:rPr>
            </w:pPr>
            <w:r>
              <w:rPr>
                <w:sz w:val="18"/>
                <w:szCs w:val="18"/>
              </w:rPr>
              <w:t>9.6使用枚举类型</w:t>
            </w:r>
          </w:p>
        </w:tc>
        <w:tc>
          <w:tcPr>
            <w:tcW w:w="637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（1）了解结构体、共同体与数组的区别</w:t>
            </w:r>
          </w:p>
          <w:p>
            <w:pPr>
              <w:adjustRightInd w:val="0"/>
              <w:snapToGrid w:val="0"/>
              <w:spacing w:line="300" w:lineRule="auto"/>
              <w:rPr>
                <w:sz w:val="18"/>
                <w:szCs w:val="18"/>
              </w:rPr>
            </w:pPr>
            <w:r>
              <w:rPr>
                <w:sz w:val="18"/>
                <w:szCs w:val="18"/>
              </w:rPr>
              <w:t>（2）理解结构体指针的访问方式</w:t>
            </w:r>
          </w:p>
          <w:p>
            <w:pPr>
              <w:adjustRightInd w:val="0"/>
              <w:snapToGrid w:val="0"/>
              <w:spacing w:line="300" w:lineRule="auto"/>
              <w:rPr>
                <w:sz w:val="18"/>
                <w:szCs w:val="18"/>
              </w:rPr>
            </w:pPr>
            <w:r>
              <w:rPr>
                <w:sz w:val="18"/>
                <w:szCs w:val="18"/>
              </w:rPr>
              <w:t>（3）掌握结构体数组的定义与访问方式。</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（1）编写班级成绩管理程序，利用结构体定义学生的个人信息与课程信息，实现成绩输入、平均成绩计算以及成绩排序等其中某一个功能。</w:t>
            </w:r>
          </w:p>
          <w:p>
            <w:pPr>
              <w:adjustRightInd w:val="0"/>
              <w:snapToGrid w:val="0"/>
              <w:spacing w:line="300" w:lineRule="auto"/>
              <w:rPr>
                <w:sz w:val="18"/>
                <w:szCs w:val="18"/>
              </w:rPr>
            </w:pPr>
            <w:r>
              <w:rPr>
                <w:sz w:val="18"/>
                <w:szCs w:val="18"/>
              </w:rPr>
              <w:t>（2）定义一个结构体，描述学校成绩管理系统需要具备的所有属性。</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案例29：针对问题——如何利用结构体表述一个对象，通过例子9.1和9.2，讲述如何通过结构体完成对象的所有属性描述。</w:t>
            </w:r>
          </w:p>
          <w:p>
            <w:pPr>
              <w:adjustRightInd w:val="0"/>
              <w:snapToGrid w:val="0"/>
              <w:spacing w:line="300" w:lineRule="auto"/>
              <w:rPr>
                <w:sz w:val="18"/>
                <w:szCs w:val="18"/>
              </w:rPr>
            </w:pPr>
            <w:r>
              <w:rPr>
                <w:sz w:val="18"/>
                <w:szCs w:val="18"/>
              </w:rPr>
              <w:t>案例30：针对问题——结构体数组的索引方法，通过例子9.3和9.4，掌握结构体的排序方法，讨论起属于之前学习的两种排序方法中的哪一种，并参考例子9.5、9.6和9.7尝试引入函数、指针的各种方法来实现排序。</w:t>
            </w:r>
          </w:p>
          <w:p>
            <w:pPr>
              <w:adjustRightInd w:val="0"/>
              <w:snapToGrid w:val="0"/>
              <w:spacing w:line="300" w:lineRule="auto"/>
              <w:rPr>
                <w:sz w:val="18"/>
                <w:szCs w:val="18"/>
              </w:rPr>
            </w:pPr>
            <w:r>
              <w:rPr>
                <w:sz w:val="18"/>
                <w:szCs w:val="18"/>
              </w:rPr>
              <w:t>案例3</w:t>
            </w:r>
            <w:r>
              <w:rPr>
                <w:rFonts w:hint="eastAsia"/>
                <w:sz w:val="18"/>
                <w:szCs w:val="18"/>
              </w:rPr>
              <w:t>1</w:t>
            </w:r>
            <w:r>
              <w:rPr>
                <w:sz w:val="18"/>
                <w:szCs w:val="18"/>
              </w:rPr>
              <w:t>：针对问题——枚举类型的使用优点，通过例子9.12理解枚举类型的使用方法。</w:t>
            </w:r>
          </w:p>
        </w:tc>
        <w:tc>
          <w:tcPr>
            <w:tcW w:w="445" w:type="dxa"/>
            <w:vAlign w:val="center"/>
          </w:tcPr>
          <w:p>
            <w:pPr>
              <w:widowControl/>
              <w:adjustRightInd w:val="0"/>
              <w:snapToGrid w:val="0"/>
              <w:spacing w:line="300" w:lineRule="auto"/>
              <w:jc w:val="center"/>
              <w:rPr>
                <w:kern w:val="0"/>
                <w:sz w:val="18"/>
                <w:szCs w:val="18"/>
              </w:rPr>
            </w:pPr>
            <w:r>
              <w:rPr>
                <w:kern w:val="0"/>
                <w:sz w:val="18"/>
                <w:szCs w:val="18"/>
              </w:rPr>
              <w:t>2</w:t>
            </w:r>
          </w:p>
        </w:tc>
        <w:tc>
          <w:tcPr>
            <w:tcW w:w="445" w:type="dxa"/>
            <w:vAlign w:val="center"/>
          </w:tcPr>
          <w:p>
            <w:pPr>
              <w:widowControl/>
              <w:adjustRightInd w:val="0"/>
              <w:snapToGrid w:val="0"/>
              <w:spacing w:line="300" w:lineRule="auto"/>
              <w:jc w:val="center"/>
              <w:rPr>
                <w:kern w:val="0"/>
                <w:sz w:val="18"/>
                <w:szCs w:val="18"/>
              </w:rPr>
            </w:pPr>
            <w:r>
              <w:rPr>
                <w:kern w:val="0"/>
                <w:sz w:val="18"/>
                <w:szCs w:val="18"/>
              </w:rPr>
              <w:t>1</w:t>
            </w:r>
          </w:p>
        </w:tc>
      </w:tr>
    </w:tbl>
    <w:p>
      <w:pPr>
        <w:widowControl/>
        <w:adjustRightInd w:val="0"/>
        <w:snapToGrid w:val="0"/>
        <w:spacing w:line="300" w:lineRule="auto"/>
        <w:rPr>
          <w:b/>
        </w:rPr>
      </w:pPr>
      <w:r>
        <w:t>实验内容见表4所示。</w:t>
      </w:r>
    </w:p>
    <w:p>
      <w:pPr>
        <w:adjustRightInd w:val="0"/>
        <w:snapToGrid w:val="0"/>
        <w:spacing w:before="156" w:beforeLines="50" w:line="300" w:lineRule="auto"/>
        <w:jc w:val="center"/>
      </w:pPr>
      <w:r>
        <w:rPr>
          <w:b/>
          <w:bCs/>
          <w:sz w:val="18"/>
          <w:szCs w:val="18"/>
        </w:rPr>
        <w:t>表4 实验安排表</w:t>
      </w:r>
    </w:p>
    <w:tbl>
      <w:tblPr>
        <w:tblStyle w:val="22"/>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742"/>
        <w:gridCol w:w="5490"/>
        <w:gridCol w:w="445"/>
        <w:gridCol w:w="445"/>
        <w:gridCol w:w="445"/>
        <w:gridCol w:w="445"/>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adjustRightInd w:val="0"/>
              <w:snapToGrid w:val="0"/>
              <w:spacing w:line="300" w:lineRule="auto"/>
              <w:rPr>
                <w:kern w:val="0"/>
                <w:sz w:val="18"/>
                <w:szCs w:val="18"/>
              </w:rPr>
            </w:pPr>
            <w:r>
              <w:rPr>
                <w:b/>
                <w:bCs/>
                <w:kern w:val="0"/>
                <w:sz w:val="18"/>
                <w:szCs w:val="18"/>
              </w:rPr>
              <w:t>序号</w:t>
            </w:r>
          </w:p>
        </w:tc>
        <w:tc>
          <w:tcPr>
            <w:tcW w:w="742" w:type="dxa"/>
            <w:vAlign w:val="center"/>
          </w:tcPr>
          <w:p>
            <w:pPr>
              <w:adjustRightInd w:val="0"/>
              <w:snapToGrid w:val="0"/>
              <w:spacing w:line="300" w:lineRule="auto"/>
              <w:jc w:val="center"/>
              <w:rPr>
                <w:kern w:val="0"/>
                <w:sz w:val="18"/>
                <w:szCs w:val="18"/>
              </w:rPr>
            </w:pPr>
            <w:r>
              <w:rPr>
                <w:b/>
                <w:bCs/>
                <w:kern w:val="0"/>
                <w:sz w:val="18"/>
                <w:szCs w:val="18"/>
              </w:rPr>
              <w:t>实验项目名称</w:t>
            </w:r>
          </w:p>
        </w:tc>
        <w:tc>
          <w:tcPr>
            <w:tcW w:w="5490" w:type="dxa"/>
            <w:vAlign w:val="center"/>
          </w:tcPr>
          <w:p>
            <w:pPr>
              <w:adjustRightInd w:val="0"/>
              <w:snapToGrid w:val="0"/>
              <w:spacing w:line="300" w:lineRule="auto"/>
              <w:jc w:val="center"/>
              <w:rPr>
                <w:kern w:val="0"/>
                <w:sz w:val="18"/>
                <w:szCs w:val="18"/>
              </w:rPr>
            </w:pPr>
            <w:r>
              <w:rPr>
                <w:b/>
                <w:bCs/>
                <w:kern w:val="0"/>
                <w:sz w:val="18"/>
                <w:szCs w:val="18"/>
              </w:rPr>
              <w:t>目的要求</w:t>
            </w:r>
          </w:p>
        </w:tc>
        <w:tc>
          <w:tcPr>
            <w:tcW w:w="445" w:type="dxa"/>
            <w:vAlign w:val="center"/>
          </w:tcPr>
          <w:p>
            <w:pPr>
              <w:adjustRightInd w:val="0"/>
              <w:snapToGrid w:val="0"/>
              <w:spacing w:line="300" w:lineRule="auto"/>
              <w:jc w:val="center"/>
              <w:rPr>
                <w:kern w:val="0"/>
                <w:sz w:val="18"/>
                <w:szCs w:val="18"/>
              </w:rPr>
            </w:pPr>
            <w:r>
              <w:rPr>
                <w:b/>
                <w:bCs/>
                <w:kern w:val="0"/>
                <w:sz w:val="18"/>
                <w:szCs w:val="18"/>
              </w:rPr>
              <w:t>学时分配</w:t>
            </w:r>
          </w:p>
        </w:tc>
        <w:tc>
          <w:tcPr>
            <w:tcW w:w="445" w:type="dxa"/>
            <w:vAlign w:val="center"/>
          </w:tcPr>
          <w:p>
            <w:pPr>
              <w:adjustRightInd w:val="0"/>
              <w:snapToGrid w:val="0"/>
              <w:spacing w:line="300" w:lineRule="auto"/>
              <w:jc w:val="center"/>
              <w:rPr>
                <w:kern w:val="0"/>
                <w:sz w:val="18"/>
                <w:szCs w:val="18"/>
              </w:rPr>
            </w:pPr>
            <w:r>
              <w:rPr>
                <w:b/>
                <w:bCs/>
                <w:kern w:val="0"/>
                <w:sz w:val="18"/>
                <w:szCs w:val="18"/>
              </w:rPr>
              <w:t>实验类型</w:t>
            </w:r>
          </w:p>
        </w:tc>
        <w:tc>
          <w:tcPr>
            <w:tcW w:w="445" w:type="dxa"/>
            <w:vAlign w:val="center"/>
          </w:tcPr>
          <w:p>
            <w:pPr>
              <w:adjustRightInd w:val="0"/>
              <w:snapToGrid w:val="0"/>
              <w:spacing w:line="300" w:lineRule="auto"/>
              <w:jc w:val="center"/>
              <w:rPr>
                <w:kern w:val="0"/>
                <w:sz w:val="18"/>
                <w:szCs w:val="18"/>
              </w:rPr>
            </w:pPr>
            <w:r>
              <w:rPr>
                <w:b/>
                <w:bCs/>
                <w:kern w:val="0"/>
                <w:sz w:val="18"/>
                <w:szCs w:val="18"/>
              </w:rPr>
              <w:t>每组人数</w:t>
            </w:r>
          </w:p>
        </w:tc>
        <w:tc>
          <w:tcPr>
            <w:tcW w:w="445"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kern w:val="0"/>
                <w:sz w:val="18"/>
                <w:szCs w:val="18"/>
              </w:rPr>
            </w:pPr>
            <w:r>
              <w:rPr>
                <w:b/>
                <w:bCs/>
                <w:kern w:val="0"/>
                <w:sz w:val="18"/>
                <w:szCs w:val="18"/>
              </w:rPr>
              <w:t>选开</w:t>
            </w:r>
          </w:p>
        </w:tc>
        <w:tc>
          <w:tcPr>
            <w:tcW w:w="443" w:type="dxa"/>
            <w:vAlign w:val="center"/>
          </w:tcPr>
          <w:p>
            <w:pPr>
              <w:adjustRightInd w:val="0"/>
              <w:snapToGrid w:val="0"/>
              <w:spacing w:line="300" w:lineRule="auto"/>
              <w:rPr>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742" w:type="dxa"/>
            <w:vAlign w:val="center"/>
          </w:tcPr>
          <w:p>
            <w:pPr>
              <w:adjustRightInd w:val="0"/>
              <w:snapToGrid w:val="0"/>
              <w:spacing w:line="300" w:lineRule="auto"/>
              <w:rPr>
                <w:kern w:val="0"/>
                <w:sz w:val="18"/>
                <w:szCs w:val="18"/>
              </w:rPr>
            </w:pPr>
            <w:r>
              <w:rPr>
                <w:kern w:val="0"/>
                <w:sz w:val="18"/>
                <w:szCs w:val="18"/>
              </w:rPr>
              <w:t>数据类型、运算符和简单的输入输出</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1）掌握C语言数据类型，了解字符型数据和整型数据的内在关系。</w:t>
            </w:r>
          </w:p>
          <w:p>
            <w:pPr>
              <w:adjustRightInd w:val="0"/>
              <w:snapToGrid w:val="0"/>
              <w:spacing w:line="300" w:lineRule="auto"/>
              <w:rPr>
                <w:kern w:val="0"/>
                <w:sz w:val="18"/>
                <w:szCs w:val="18"/>
              </w:rPr>
            </w:pPr>
            <w:r>
              <w:rPr>
                <w:sz w:val="18"/>
                <w:szCs w:val="18"/>
              </w:rPr>
              <w:t>（</w:t>
            </w:r>
            <w:r>
              <w:rPr>
                <w:kern w:val="0"/>
                <w:sz w:val="18"/>
                <w:szCs w:val="18"/>
              </w:rPr>
              <w:t>2）掌握对各种数值型数据的正确输入方法。</w:t>
            </w:r>
          </w:p>
          <w:p>
            <w:pPr>
              <w:adjustRightInd w:val="0"/>
              <w:snapToGrid w:val="0"/>
              <w:spacing w:line="300" w:lineRule="auto"/>
              <w:rPr>
                <w:kern w:val="0"/>
                <w:sz w:val="18"/>
                <w:szCs w:val="18"/>
              </w:rPr>
            </w:pPr>
            <w:r>
              <w:rPr>
                <w:sz w:val="18"/>
                <w:szCs w:val="18"/>
              </w:rPr>
              <w:t>（</w:t>
            </w:r>
            <w:r>
              <w:rPr>
                <w:kern w:val="0"/>
                <w:sz w:val="18"/>
                <w:szCs w:val="18"/>
              </w:rPr>
              <w:t>3）学会使用c的有关算术运算符，以及包含这些运算符的表达式，特别是自加(++)和自减（--）运算符的使用。</w:t>
            </w:r>
          </w:p>
          <w:p>
            <w:pPr>
              <w:adjustRightInd w:val="0"/>
              <w:snapToGrid w:val="0"/>
              <w:spacing w:line="300" w:lineRule="auto"/>
              <w:rPr>
                <w:kern w:val="0"/>
                <w:sz w:val="18"/>
                <w:szCs w:val="18"/>
              </w:rPr>
            </w:pPr>
            <w:r>
              <w:rPr>
                <w:sz w:val="18"/>
                <w:szCs w:val="18"/>
              </w:rPr>
              <w:t>（</w:t>
            </w:r>
            <w:r>
              <w:rPr>
                <w:kern w:val="0"/>
                <w:sz w:val="18"/>
                <w:szCs w:val="18"/>
              </w:rPr>
              <w:t>4）学会编写和运行简单的应用程序。</w:t>
            </w:r>
          </w:p>
          <w:p>
            <w:pPr>
              <w:adjustRightInd w:val="0"/>
              <w:snapToGrid w:val="0"/>
              <w:spacing w:line="300" w:lineRule="auto"/>
              <w:rPr>
                <w:kern w:val="0"/>
                <w:sz w:val="18"/>
                <w:szCs w:val="18"/>
              </w:rPr>
            </w:pPr>
            <w:r>
              <w:rPr>
                <w:sz w:val="18"/>
                <w:szCs w:val="18"/>
              </w:rPr>
              <w:t>（</w:t>
            </w:r>
            <w:r>
              <w:rPr>
                <w:kern w:val="0"/>
                <w:sz w:val="18"/>
                <w:szCs w:val="18"/>
              </w:rPr>
              <w:t>5）进一步熟悉C程序的编辑、编译、连接和运行的过程。</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查看IDE软件的帮助文件与网页，学习IDE的编辑、编译与调试菜单；</w:t>
            </w:r>
            <w:r>
              <w:rPr>
                <w:rFonts w:hint="eastAsia" w:ascii="宋体" w:hAnsi="宋体" w:cs="宋体"/>
                <w:kern w:val="0"/>
                <w:sz w:val="18"/>
                <w:szCs w:val="18"/>
              </w:rPr>
              <w:t>②</w:t>
            </w:r>
            <w:r>
              <w:rPr>
                <w:kern w:val="0"/>
                <w:sz w:val="18"/>
                <w:szCs w:val="18"/>
              </w:rPr>
              <w:t>输入实验指导书提供的案例代码；</w:t>
            </w:r>
            <w:r>
              <w:rPr>
                <w:rFonts w:hint="eastAsia" w:ascii="宋体" w:hAnsi="宋体" w:cs="宋体"/>
                <w:kern w:val="0"/>
                <w:sz w:val="18"/>
                <w:szCs w:val="18"/>
              </w:rPr>
              <w:t>③</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④</w:t>
            </w:r>
            <w:r>
              <w:rPr>
                <w:kern w:val="0"/>
                <w:sz w:val="18"/>
                <w:szCs w:val="18"/>
              </w:rPr>
              <w:t>修改数据类型，理解不同数据类型的输入格式控制；</w:t>
            </w:r>
            <w:r>
              <w:rPr>
                <w:rFonts w:hint="eastAsia" w:ascii="宋体" w:hAnsi="宋体" w:cs="宋体"/>
                <w:kern w:val="0"/>
                <w:sz w:val="18"/>
                <w:szCs w:val="18"/>
              </w:rPr>
              <w:t>⑤</w:t>
            </w:r>
            <w:r>
              <w:rPr>
                <w:kern w:val="0"/>
                <w:sz w:val="18"/>
                <w:szCs w:val="18"/>
              </w:rPr>
              <w:t>按照实验题目要求，设计流程与编写代码，并测试其运行是否正确。</w:t>
            </w:r>
          </w:p>
        </w:tc>
        <w:tc>
          <w:tcPr>
            <w:tcW w:w="445" w:type="dxa"/>
            <w:vAlign w:val="center"/>
          </w:tcPr>
          <w:p>
            <w:pPr>
              <w:adjustRightInd w:val="0"/>
              <w:snapToGrid w:val="0"/>
              <w:spacing w:line="300" w:lineRule="auto"/>
              <w:jc w:val="center"/>
              <w:rPr>
                <w:kern w:val="0"/>
                <w:sz w:val="18"/>
                <w:szCs w:val="18"/>
              </w:rPr>
            </w:pPr>
            <w:r>
              <w:rPr>
                <w:kern w:val="0"/>
                <w:sz w:val="18"/>
                <w:szCs w:val="18"/>
              </w:rPr>
              <w:t>4</w:t>
            </w:r>
          </w:p>
        </w:tc>
        <w:tc>
          <w:tcPr>
            <w:tcW w:w="445" w:type="dxa"/>
            <w:vAlign w:val="center"/>
          </w:tcPr>
          <w:p>
            <w:pPr>
              <w:adjustRightInd w:val="0"/>
              <w:snapToGrid w:val="0"/>
              <w:spacing w:line="300" w:lineRule="auto"/>
              <w:jc w:val="center"/>
              <w:rPr>
                <w:kern w:val="0"/>
                <w:sz w:val="18"/>
                <w:szCs w:val="18"/>
              </w:rPr>
            </w:pPr>
            <w:r>
              <w:rPr>
                <w:kern w:val="0"/>
                <w:sz w:val="18"/>
                <w:szCs w:val="18"/>
              </w:rPr>
              <w:t>验证</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742" w:type="dxa"/>
            <w:vAlign w:val="center"/>
          </w:tcPr>
          <w:p>
            <w:pPr>
              <w:adjustRightInd w:val="0"/>
              <w:snapToGrid w:val="0"/>
              <w:spacing w:line="300" w:lineRule="auto"/>
              <w:rPr>
                <w:kern w:val="0"/>
                <w:sz w:val="18"/>
                <w:szCs w:val="18"/>
              </w:rPr>
            </w:pPr>
            <w:r>
              <w:rPr>
                <w:kern w:val="0"/>
                <w:sz w:val="18"/>
                <w:szCs w:val="18"/>
              </w:rPr>
              <w:t>最简单的C程序设计——顺序程序设计</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1）掌握C语言中使用最多的一种语句——赋值语句的使用方法。</w:t>
            </w:r>
          </w:p>
          <w:p>
            <w:pPr>
              <w:adjustRightInd w:val="0"/>
              <w:snapToGrid w:val="0"/>
              <w:spacing w:line="300" w:lineRule="auto"/>
              <w:rPr>
                <w:kern w:val="0"/>
                <w:sz w:val="18"/>
                <w:szCs w:val="18"/>
              </w:rPr>
            </w:pPr>
            <w:r>
              <w:rPr>
                <w:sz w:val="18"/>
                <w:szCs w:val="18"/>
              </w:rPr>
              <w:t>（</w:t>
            </w:r>
            <w:r>
              <w:rPr>
                <w:kern w:val="0"/>
                <w:sz w:val="18"/>
                <w:szCs w:val="18"/>
              </w:rPr>
              <w:t>2）掌握各种类型数据的输人输出的方法，能正确使用各种格式转换符。</w:t>
            </w:r>
          </w:p>
          <w:p>
            <w:pPr>
              <w:adjustRightInd w:val="0"/>
              <w:snapToGrid w:val="0"/>
              <w:spacing w:line="300" w:lineRule="auto"/>
              <w:rPr>
                <w:kern w:val="0"/>
                <w:sz w:val="18"/>
                <w:szCs w:val="18"/>
              </w:rPr>
            </w:pPr>
            <w:r>
              <w:rPr>
                <w:sz w:val="18"/>
                <w:szCs w:val="18"/>
              </w:rPr>
              <w:t>（</w:t>
            </w:r>
            <w:r>
              <w:rPr>
                <w:kern w:val="0"/>
                <w:sz w:val="18"/>
                <w:szCs w:val="18"/>
              </w:rPr>
              <w:t>3）进一步掌握编写程序和调试程序的方法。</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输入实验指导书提供的案例代码；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修改输入输出格式控制符，观察输出结果；</w:t>
            </w:r>
            <w:r>
              <w:rPr>
                <w:rFonts w:hint="eastAsia" w:ascii="宋体" w:hAnsi="宋体" w:cs="宋体"/>
                <w:kern w:val="0"/>
                <w:sz w:val="18"/>
                <w:szCs w:val="18"/>
              </w:rPr>
              <w:t>④</w:t>
            </w:r>
            <w:r>
              <w:rPr>
                <w:kern w:val="0"/>
                <w:sz w:val="18"/>
                <w:szCs w:val="18"/>
              </w:rPr>
              <w:t>按照实验题目要求，设计流程与编写代码，并测试其运行是否正确。</w:t>
            </w:r>
          </w:p>
        </w:tc>
        <w:tc>
          <w:tcPr>
            <w:tcW w:w="445" w:type="dxa"/>
            <w:vAlign w:val="center"/>
          </w:tcPr>
          <w:p>
            <w:pPr>
              <w:adjustRightInd w:val="0"/>
              <w:snapToGrid w:val="0"/>
              <w:spacing w:line="300" w:lineRule="auto"/>
              <w:jc w:val="center"/>
              <w:rPr>
                <w:kern w:val="0"/>
                <w:sz w:val="18"/>
                <w:szCs w:val="18"/>
              </w:rPr>
            </w:pPr>
            <w:r>
              <w:rPr>
                <w:kern w:val="0"/>
                <w:sz w:val="18"/>
                <w:szCs w:val="18"/>
              </w:rPr>
              <w:t>4</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3</w:t>
            </w:r>
          </w:p>
        </w:tc>
        <w:tc>
          <w:tcPr>
            <w:tcW w:w="742" w:type="dxa"/>
            <w:vAlign w:val="center"/>
          </w:tcPr>
          <w:p>
            <w:pPr>
              <w:adjustRightInd w:val="0"/>
              <w:snapToGrid w:val="0"/>
              <w:spacing w:line="300" w:lineRule="auto"/>
              <w:rPr>
                <w:kern w:val="0"/>
                <w:sz w:val="18"/>
                <w:szCs w:val="18"/>
              </w:rPr>
            </w:pPr>
            <w:r>
              <w:rPr>
                <w:kern w:val="0"/>
                <w:sz w:val="18"/>
                <w:szCs w:val="18"/>
              </w:rPr>
              <w:t>选择结构程序设计</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1）了解C语言表示逻辑量的方法（以0代表“假”，以非0代表“真”）；</w:t>
            </w:r>
          </w:p>
          <w:p>
            <w:pPr>
              <w:adjustRightInd w:val="0"/>
              <w:snapToGrid w:val="0"/>
              <w:spacing w:line="300" w:lineRule="auto"/>
              <w:rPr>
                <w:kern w:val="0"/>
                <w:sz w:val="18"/>
                <w:szCs w:val="18"/>
              </w:rPr>
            </w:pPr>
            <w:r>
              <w:rPr>
                <w:sz w:val="18"/>
                <w:szCs w:val="18"/>
              </w:rPr>
              <w:t>（</w:t>
            </w:r>
            <w:r>
              <w:rPr>
                <w:kern w:val="0"/>
                <w:sz w:val="18"/>
                <w:szCs w:val="18"/>
              </w:rPr>
              <w:t>2）学会正确使用逻辑运算符和逻辑表达式；</w:t>
            </w:r>
          </w:p>
          <w:p>
            <w:pPr>
              <w:adjustRightInd w:val="0"/>
              <w:snapToGrid w:val="0"/>
              <w:spacing w:line="300" w:lineRule="auto"/>
              <w:rPr>
                <w:kern w:val="0"/>
                <w:sz w:val="18"/>
                <w:szCs w:val="18"/>
              </w:rPr>
            </w:pPr>
            <w:r>
              <w:rPr>
                <w:sz w:val="18"/>
                <w:szCs w:val="18"/>
              </w:rPr>
              <w:t>（</w:t>
            </w:r>
            <w:r>
              <w:rPr>
                <w:kern w:val="0"/>
                <w:sz w:val="18"/>
                <w:szCs w:val="18"/>
              </w:rPr>
              <w:t>3）熟练掌握if语句的使用（包括if语句的嵌套）；</w:t>
            </w:r>
          </w:p>
          <w:p>
            <w:pPr>
              <w:adjustRightInd w:val="0"/>
              <w:snapToGrid w:val="0"/>
              <w:spacing w:line="300" w:lineRule="auto"/>
              <w:rPr>
                <w:kern w:val="0"/>
                <w:sz w:val="18"/>
                <w:szCs w:val="18"/>
              </w:rPr>
            </w:pPr>
            <w:r>
              <w:rPr>
                <w:sz w:val="18"/>
                <w:szCs w:val="18"/>
              </w:rPr>
              <w:t>（</w:t>
            </w:r>
            <w:r>
              <w:rPr>
                <w:kern w:val="0"/>
                <w:sz w:val="18"/>
                <w:szCs w:val="18"/>
              </w:rPr>
              <w:t>4）熟练掌握多分支选择语句-switch语句；</w:t>
            </w:r>
          </w:p>
          <w:p>
            <w:pPr>
              <w:adjustRightInd w:val="0"/>
              <w:snapToGrid w:val="0"/>
              <w:spacing w:line="300" w:lineRule="auto"/>
              <w:rPr>
                <w:kern w:val="0"/>
                <w:sz w:val="18"/>
                <w:szCs w:val="18"/>
              </w:rPr>
            </w:pPr>
            <w:r>
              <w:rPr>
                <w:sz w:val="18"/>
                <w:szCs w:val="18"/>
              </w:rPr>
              <w:t>（</w:t>
            </w:r>
            <w:r>
              <w:rPr>
                <w:kern w:val="0"/>
                <w:sz w:val="18"/>
                <w:szCs w:val="18"/>
              </w:rPr>
              <w:t>5）结合程序掌握一些简单的算法；</w:t>
            </w:r>
          </w:p>
          <w:p>
            <w:pPr>
              <w:adjustRightInd w:val="0"/>
              <w:snapToGrid w:val="0"/>
              <w:spacing w:line="300" w:lineRule="auto"/>
              <w:rPr>
                <w:kern w:val="0"/>
                <w:sz w:val="18"/>
                <w:szCs w:val="18"/>
              </w:rPr>
            </w:pPr>
            <w:r>
              <w:rPr>
                <w:sz w:val="18"/>
                <w:szCs w:val="18"/>
              </w:rPr>
              <w:t>（</w:t>
            </w:r>
            <w:r>
              <w:rPr>
                <w:kern w:val="0"/>
                <w:sz w:val="18"/>
                <w:szCs w:val="18"/>
              </w:rPr>
              <w:t>6）进一步学习调试程序的方法。</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按照实验题目要求，绘制条件结构流程图，编写相应代码；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通过调试工具的单步执行跟踪，观察代码的实际运行过程；</w:t>
            </w:r>
            <w:r>
              <w:rPr>
                <w:rFonts w:hint="eastAsia" w:ascii="宋体" w:hAnsi="宋体" w:cs="宋体"/>
                <w:kern w:val="0"/>
                <w:sz w:val="18"/>
                <w:szCs w:val="18"/>
              </w:rPr>
              <w:t>④</w:t>
            </w:r>
            <w:r>
              <w:rPr>
                <w:kern w:val="0"/>
                <w:sz w:val="18"/>
                <w:szCs w:val="18"/>
              </w:rPr>
              <w:t>学习并掌握调试工具的其他功能。</w:t>
            </w:r>
          </w:p>
        </w:tc>
        <w:tc>
          <w:tcPr>
            <w:tcW w:w="445" w:type="dxa"/>
            <w:vAlign w:val="center"/>
          </w:tcPr>
          <w:p>
            <w:pPr>
              <w:adjustRightInd w:val="0"/>
              <w:snapToGrid w:val="0"/>
              <w:spacing w:line="300" w:lineRule="auto"/>
              <w:jc w:val="center"/>
              <w:rPr>
                <w:kern w:val="0"/>
                <w:sz w:val="18"/>
                <w:szCs w:val="18"/>
              </w:rPr>
            </w:pPr>
            <w:r>
              <w:rPr>
                <w:kern w:val="0"/>
                <w:sz w:val="18"/>
                <w:szCs w:val="18"/>
              </w:rPr>
              <w:t>4</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4</w:t>
            </w:r>
          </w:p>
        </w:tc>
        <w:tc>
          <w:tcPr>
            <w:tcW w:w="742" w:type="dxa"/>
            <w:vAlign w:val="center"/>
          </w:tcPr>
          <w:p>
            <w:pPr>
              <w:adjustRightInd w:val="0"/>
              <w:snapToGrid w:val="0"/>
              <w:spacing w:line="300" w:lineRule="auto"/>
              <w:rPr>
                <w:kern w:val="0"/>
                <w:sz w:val="18"/>
                <w:szCs w:val="18"/>
              </w:rPr>
            </w:pPr>
            <w:r>
              <w:rPr>
                <w:kern w:val="0"/>
                <w:sz w:val="18"/>
                <w:szCs w:val="18"/>
              </w:rPr>
              <w:t>循环结构程序设计</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1）熟悉掌握用while语句、do- - - while语句和for语句实现循环的方法；</w:t>
            </w:r>
          </w:p>
          <w:p>
            <w:pPr>
              <w:adjustRightInd w:val="0"/>
              <w:snapToGrid w:val="0"/>
              <w:spacing w:line="300" w:lineRule="auto"/>
              <w:rPr>
                <w:kern w:val="0"/>
                <w:sz w:val="18"/>
                <w:szCs w:val="18"/>
              </w:rPr>
            </w:pPr>
            <w:r>
              <w:rPr>
                <w:sz w:val="18"/>
                <w:szCs w:val="18"/>
              </w:rPr>
              <w:t>（</w:t>
            </w:r>
            <w:r>
              <w:rPr>
                <w:kern w:val="0"/>
                <w:sz w:val="18"/>
                <w:szCs w:val="18"/>
              </w:rPr>
              <w:t>2）掌握在程序设计中用循环的方法实现一些常用算法（如穷举、迭代、递推等）；</w:t>
            </w:r>
          </w:p>
          <w:p>
            <w:pPr>
              <w:adjustRightInd w:val="0"/>
              <w:snapToGrid w:val="0"/>
              <w:spacing w:line="300" w:lineRule="auto"/>
              <w:rPr>
                <w:kern w:val="0"/>
                <w:sz w:val="18"/>
                <w:szCs w:val="18"/>
              </w:rPr>
            </w:pPr>
            <w:r>
              <w:rPr>
                <w:sz w:val="18"/>
                <w:szCs w:val="18"/>
              </w:rPr>
              <w:t>（</w:t>
            </w:r>
            <w:r>
              <w:rPr>
                <w:kern w:val="0"/>
                <w:sz w:val="18"/>
                <w:szCs w:val="18"/>
              </w:rPr>
              <w:t>3）进一步学习调试程序。</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按照实验题目要求，绘制循环结构流程图，编写相应代码；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通过调试工具的单步执行跟踪，观察代码的实际运行过程；</w:t>
            </w:r>
            <w:r>
              <w:rPr>
                <w:rFonts w:hint="eastAsia" w:ascii="宋体" w:hAnsi="宋体" w:cs="宋体"/>
                <w:kern w:val="0"/>
                <w:sz w:val="18"/>
                <w:szCs w:val="18"/>
              </w:rPr>
              <w:t>④</w:t>
            </w:r>
            <w:r>
              <w:rPr>
                <w:kern w:val="0"/>
                <w:sz w:val="18"/>
                <w:szCs w:val="18"/>
              </w:rPr>
              <w:t>在调试过程中在监视或者环境变量窗口修改循环控制变量，观察其修改所产生的后果；</w:t>
            </w:r>
            <w:r>
              <w:rPr>
                <w:rFonts w:hint="eastAsia" w:ascii="宋体" w:hAnsi="宋体" w:cs="宋体"/>
                <w:kern w:val="0"/>
                <w:sz w:val="18"/>
                <w:szCs w:val="18"/>
              </w:rPr>
              <w:t>⑤</w:t>
            </w:r>
            <w:r>
              <w:rPr>
                <w:kern w:val="0"/>
                <w:sz w:val="18"/>
                <w:szCs w:val="18"/>
              </w:rPr>
              <w:t>学习并掌握调试工具的其他功能。</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5</w:t>
            </w:r>
          </w:p>
        </w:tc>
        <w:tc>
          <w:tcPr>
            <w:tcW w:w="742" w:type="dxa"/>
            <w:vAlign w:val="center"/>
          </w:tcPr>
          <w:p>
            <w:pPr>
              <w:adjustRightInd w:val="0"/>
              <w:snapToGrid w:val="0"/>
              <w:spacing w:line="300" w:lineRule="auto"/>
              <w:rPr>
                <w:kern w:val="0"/>
                <w:sz w:val="18"/>
                <w:szCs w:val="18"/>
              </w:rPr>
            </w:pPr>
            <w:r>
              <w:rPr>
                <w:kern w:val="0"/>
                <w:sz w:val="18"/>
                <w:szCs w:val="18"/>
              </w:rPr>
              <w:t>数组</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1）掌握一维数组和二维数组的定义、赋值和输入输出的方法；</w:t>
            </w:r>
          </w:p>
          <w:p>
            <w:pPr>
              <w:adjustRightInd w:val="0"/>
              <w:snapToGrid w:val="0"/>
              <w:spacing w:line="300" w:lineRule="auto"/>
              <w:rPr>
                <w:kern w:val="0"/>
                <w:sz w:val="18"/>
                <w:szCs w:val="18"/>
              </w:rPr>
            </w:pPr>
            <w:r>
              <w:rPr>
                <w:sz w:val="18"/>
                <w:szCs w:val="18"/>
              </w:rPr>
              <w:t>（</w:t>
            </w:r>
            <w:r>
              <w:rPr>
                <w:kern w:val="0"/>
                <w:sz w:val="18"/>
                <w:szCs w:val="18"/>
              </w:rPr>
              <w:t>2）掌握字符数组和字符串函数的使用；</w:t>
            </w:r>
          </w:p>
          <w:p>
            <w:pPr>
              <w:adjustRightInd w:val="0"/>
              <w:snapToGrid w:val="0"/>
              <w:spacing w:line="300" w:lineRule="auto"/>
              <w:rPr>
                <w:kern w:val="0"/>
                <w:sz w:val="18"/>
                <w:szCs w:val="18"/>
              </w:rPr>
            </w:pPr>
            <w:r>
              <w:rPr>
                <w:sz w:val="18"/>
                <w:szCs w:val="18"/>
              </w:rPr>
              <w:t>（</w:t>
            </w:r>
            <w:r>
              <w:rPr>
                <w:kern w:val="0"/>
                <w:sz w:val="18"/>
                <w:szCs w:val="18"/>
              </w:rPr>
              <w:t>3）掌握与数组有关的算法（特别是排序算法）。</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按照实验题目要求，绘制遍历数组的循环结构流程图，编写相应代码；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通过调试工具的单步执行跟踪，观察数组的下标与循环的同步变化；</w:t>
            </w:r>
            <w:r>
              <w:rPr>
                <w:rFonts w:hint="eastAsia" w:ascii="宋体" w:hAnsi="宋体" w:cs="宋体"/>
                <w:kern w:val="0"/>
                <w:sz w:val="18"/>
                <w:szCs w:val="18"/>
              </w:rPr>
              <w:t>④</w:t>
            </w:r>
            <w:r>
              <w:rPr>
                <w:kern w:val="0"/>
                <w:sz w:val="18"/>
                <w:szCs w:val="18"/>
              </w:rPr>
              <w:t>在调试过程中在监视和环境变量窗口同时观察数组元素的变化，掌握数组与循环结构的配合使用方法。</w:t>
            </w:r>
          </w:p>
        </w:tc>
        <w:tc>
          <w:tcPr>
            <w:tcW w:w="445" w:type="dxa"/>
            <w:vAlign w:val="center"/>
          </w:tcPr>
          <w:p>
            <w:pPr>
              <w:adjustRightInd w:val="0"/>
              <w:snapToGrid w:val="0"/>
              <w:spacing w:line="300" w:lineRule="auto"/>
              <w:jc w:val="center"/>
              <w:rPr>
                <w:kern w:val="0"/>
                <w:sz w:val="18"/>
                <w:szCs w:val="18"/>
              </w:rPr>
            </w:pPr>
            <w:r>
              <w:rPr>
                <w:kern w:val="0"/>
                <w:sz w:val="18"/>
                <w:szCs w:val="18"/>
              </w:rPr>
              <w:t>4</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6</w:t>
            </w:r>
          </w:p>
        </w:tc>
        <w:tc>
          <w:tcPr>
            <w:tcW w:w="742" w:type="dxa"/>
            <w:vAlign w:val="center"/>
          </w:tcPr>
          <w:p>
            <w:pPr>
              <w:adjustRightInd w:val="0"/>
              <w:snapToGrid w:val="0"/>
              <w:spacing w:line="300" w:lineRule="auto"/>
              <w:rPr>
                <w:kern w:val="0"/>
                <w:sz w:val="18"/>
                <w:szCs w:val="18"/>
              </w:rPr>
            </w:pPr>
            <w:r>
              <w:rPr>
                <w:kern w:val="0"/>
                <w:sz w:val="18"/>
                <w:szCs w:val="18"/>
              </w:rPr>
              <w:t>函数</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1）熟悉定义函数的方法；</w:t>
            </w:r>
          </w:p>
          <w:p>
            <w:pPr>
              <w:adjustRightInd w:val="0"/>
              <w:snapToGrid w:val="0"/>
              <w:spacing w:line="300" w:lineRule="auto"/>
              <w:rPr>
                <w:kern w:val="0"/>
                <w:sz w:val="18"/>
                <w:szCs w:val="18"/>
              </w:rPr>
            </w:pPr>
            <w:r>
              <w:rPr>
                <w:sz w:val="18"/>
                <w:szCs w:val="18"/>
              </w:rPr>
              <w:t>（</w:t>
            </w:r>
            <w:r>
              <w:rPr>
                <w:kern w:val="0"/>
                <w:sz w:val="18"/>
                <w:szCs w:val="18"/>
              </w:rPr>
              <w:t>2）熟悉声明函数的方法；</w:t>
            </w:r>
          </w:p>
          <w:p>
            <w:pPr>
              <w:adjustRightInd w:val="0"/>
              <w:snapToGrid w:val="0"/>
              <w:spacing w:line="300" w:lineRule="auto"/>
              <w:rPr>
                <w:kern w:val="0"/>
                <w:sz w:val="18"/>
                <w:szCs w:val="18"/>
              </w:rPr>
            </w:pPr>
            <w:r>
              <w:rPr>
                <w:sz w:val="18"/>
                <w:szCs w:val="18"/>
              </w:rPr>
              <w:t>（</w:t>
            </w:r>
            <w:r>
              <w:rPr>
                <w:kern w:val="0"/>
                <w:sz w:val="18"/>
                <w:szCs w:val="18"/>
              </w:rPr>
              <w:t>3）熟悉调用函数时实参与形参的对应关系，以及“值传递”的方式；</w:t>
            </w:r>
          </w:p>
          <w:p>
            <w:pPr>
              <w:adjustRightInd w:val="0"/>
              <w:snapToGrid w:val="0"/>
              <w:spacing w:line="300" w:lineRule="auto"/>
              <w:rPr>
                <w:kern w:val="0"/>
                <w:sz w:val="18"/>
                <w:szCs w:val="18"/>
              </w:rPr>
            </w:pPr>
            <w:r>
              <w:rPr>
                <w:sz w:val="18"/>
                <w:szCs w:val="18"/>
              </w:rPr>
              <w:t>（</w:t>
            </w:r>
            <w:r>
              <w:rPr>
                <w:kern w:val="0"/>
                <w:sz w:val="18"/>
                <w:szCs w:val="18"/>
              </w:rPr>
              <w:t>4）学习对多文件的程序的编译和运行。</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按照实验题目要求，绘制函数的代码流程图，编写相应代码；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通过调试工具的单步执行跟踪，观察函数的参数传递、调用与返回；</w:t>
            </w:r>
            <w:r>
              <w:rPr>
                <w:rFonts w:hint="eastAsia" w:ascii="宋体" w:hAnsi="宋体" w:cs="宋体"/>
                <w:kern w:val="0"/>
                <w:sz w:val="18"/>
                <w:szCs w:val="18"/>
              </w:rPr>
              <w:t>④</w:t>
            </w:r>
            <w:r>
              <w:rPr>
                <w:kern w:val="0"/>
                <w:sz w:val="18"/>
                <w:szCs w:val="18"/>
              </w:rPr>
              <w:t>将函数保存在一个独立的文件中，由main函数所在的文件通过“#include...”语句实现引用，构建由多个C文件和H文件组成的项目。</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7</w:t>
            </w:r>
          </w:p>
        </w:tc>
        <w:tc>
          <w:tcPr>
            <w:tcW w:w="742" w:type="dxa"/>
            <w:vAlign w:val="center"/>
          </w:tcPr>
          <w:p>
            <w:pPr>
              <w:adjustRightInd w:val="0"/>
              <w:snapToGrid w:val="0"/>
              <w:spacing w:line="300" w:lineRule="auto"/>
              <w:rPr>
                <w:kern w:val="0"/>
                <w:sz w:val="18"/>
                <w:szCs w:val="18"/>
              </w:rPr>
            </w:pPr>
            <w:r>
              <w:rPr>
                <w:kern w:val="0"/>
                <w:sz w:val="18"/>
                <w:szCs w:val="18"/>
              </w:rPr>
              <w:t>指针</w:t>
            </w:r>
          </w:p>
        </w:tc>
        <w:tc>
          <w:tcPr>
            <w:tcW w:w="5490" w:type="dxa"/>
            <w:vAlign w:val="center"/>
          </w:tcPr>
          <w:p>
            <w:pPr>
              <w:adjustRightInd w:val="0"/>
              <w:snapToGrid w:val="0"/>
              <w:spacing w:line="300" w:lineRule="auto"/>
              <w:rPr>
                <w:kern w:val="0"/>
                <w:sz w:val="18"/>
                <w:szCs w:val="18"/>
              </w:rPr>
            </w:pPr>
            <w:r>
              <w:rPr>
                <w:kern w:val="0"/>
                <w:sz w:val="18"/>
                <w:szCs w:val="18"/>
              </w:rPr>
              <w:t>目的：</w:t>
            </w:r>
          </w:p>
          <w:p>
            <w:pPr>
              <w:adjustRightInd w:val="0"/>
              <w:snapToGrid w:val="0"/>
              <w:spacing w:line="300" w:lineRule="auto"/>
              <w:rPr>
                <w:kern w:val="0"/>
                <w:sz w:val="18"/>
                <w:szCs w:val="18"/>
              </w:rPr>
            </w:pPr>
            <w:r>
              <w:rPr>
                <w:sz w:val="18"/>
                <w:szCs w:val="18"/>
              </w:rPr>
              <w:t>（</w:t>
            </w:r>
            <w:r>
              <w:rPr>
                <w:kern w:val="0"/>
                <w:sz w:val="18"/>
                <w:szCs w:val="18"/>
              </w:rPr>
              <w:t>1）掌握指针和间接访问的概念，会定义和使用指针变量；</w:t>
            </w:r>
          </w:p>
          <w:p>
            <w:pPr>
              <w:adjustRightInd w:val="0"/>
              <w:snapToGrid w:val="0"/>
              <w:spacing w:line="300" w:lineRule="auto"/>
              <w:rPr>
                <w:kern w:val="0"/>
                <w:sz w:val="18"/>
                <w:szCs w:val="18"/>
              </w:rPr>
            </w:pPr>
            <w:r>
              <w:rPr>
                <w:sz w:val="18"/>
                <w:szCs w:val="18"/>
              </w:rPr>
              <w:t>（</w:t>
            </w:r>
            <w:r>
              <w:rPr>
                <w:kern w:val="0"/>
                <w:sz w:val="18"/>
                <w:szCs w:val="18"/>
              </w:rPr>
              <w:t>2）能正确使用数组的指针和指向数组的指针变量；</w:t>
            </w:r>
          </w:p>
          <w:p>
            <w:pPr>
              <w:adjustRightInd w:val="0"/>
              <w:snapToGrid w:val="0"/>
              <w:spacing w:line="300" w:lineRule="auto"/>
              <w:rPr>
                <w:kern w:val="0"/>
                <w:sz w:val="18"/>
                <w:szCs w:val="18"/>
              </w:rPr>
            </w:pPr>
            <w:r>
              <w:rPr>
                <w:sz w:val="18"/>
                <w:szCs w:val="18"/>
              </w:rPr>
              <w:t>（</w:t>
            </w:r>
            <w:r>
              <w:rPr>
                <w:kern w:val="0"/>
                <w:sz w:val="18"/>
                <w:szCs w:val="18"/>
              </w:rPr>
              <w:t>3）能正确使用字符串的指针和指向字符串的指针变量。</w:t>
            </w:r>
          </w:p>
          <w:p>
            <w:pPr>
              <w:adjustRightInd w:val="0"/>
              <w:snapToGrid w:val="0"/>
              <w:spacing w:line="300" w:lineRule="auto"/>
              <w:rPr>
                <w:kern w:val="0"/>
                <w:sz w:val="18"/>
                <w:szCs w:val="18"/>
              </w:rPr>
            </w:pPr>
            <w:r>
              <w:rPr>
                <w:kern w:val="0"/>
                <w:sz w:val="18"/>
                <w:szCs w:val="18"/>
              </w:rPr>
              <w:t>要求：</w:t>
            </w:r>
          </w:p>
          <w:p>
            <w:pPr>
              <w:adjustRightInd w:val="0"/>
              <w:snapToGrid w:val="0"/>
              <w:spacing w:line="300" w:lineRule="auto"/>
              <w:rPr>
                <w:kern w:val="0"/>
                <w:sz w:val="18"/>
                <w:szCs w:val="18"/>
              </w:rPr>
            </w:pPr>
            <w:r>
              <w:rPr>
                <w:rFonts w:hint="eastAsia" w:ascii="宋体" w:hAnsi="宋体" w:cs="宋体"/>
                <w:kern w:val="0"/>
                <w:sz w:val="18"/>
                <w:szCs w:val="18"/>
              </w:rPr>
              <w:t>①</w:t>
            </w:r>
            <w:r>
              <w:rPr>
                <w:kern w:val="0"/>
                <w:sz w:val="18"/>
                <w:szCs w:val="18"/>
              </w:rPr>
              <w:t>按照实验题目要求，绘制函数的代码流程图，编写相应代码；</w:t>
            </w:r>
            <w:r>
              <w:rPr>
                <w:rFonts w:hint="eastAsia" w:ascii="宋体" w:hAnsi="宋体" w:cs="宋体"/>
                <w:kern w:val="0"/>
                <w:sz w:val="18"/>
                <w:szCs w:val="18"/>
              </w:rPr>
              <w:t>②</w:t>
            </w:r>
            <w:r>
              <w:rPr>
                <w:kern w:val="0"/>
                <w:sz w:val="18"/>
                <w:szCs w:val="18"/>
              </w:rPr>
              <w:t>编译代码，依据编译结果修改代码，直至代码编译完全无误；</w:t>
            </w:r>
            <w:r>
              <w:rPr>
                <w:rFonts w:hint="eastAsia" w:ascii="宋体" w:hAnsi="宋体" w:cs="宋体"/>
                <w:kern w:val="0"/>
                <w:sz w:val="18"/>
                <w:szCs w:val="18"/>
              </w:rPr>
              <w:t>③</w:t>
            </w:r>
            <w:r>
              <w:rPr>
                <w:kern w:val="0"/>
                <w:sz w:val="18"/>
                <w:szCs w:val="18"/>
              </w:rPr>
              <w:t>运行代码，记录程序运行结果；</w:t>
            </w:r>
            <w:r>
              <w:rPr>
                <w:rFonts w:hint="eastAsia" w:ascii="宋体" w:hAnsi="宋体" w:cs="宋体"/>
                <w:kern w:val="0"/>
                <w:sz w:val="18"/>
                <w:szCs w:val="18"/>
              </w:rPr>
              <w:t>③</w:t>
            </w:r>
            <w:r>
              <w:rPr>
                <w:kern w:val="0"/>
                <w:sz w:val="18"/>
                <w:szCs w:val="18"/>
              </w:rPr>
              <w:t>通过调试工具的单步执行跟踪，观察函数的指针参数传递的效果；</w:t>
            </w:r>
            <w:r>
              <w:rPr>
                <w:rFonts w:hint="eastAsia" w:ascii="宋体" w:hAnsi="宋体" w:cs="宋体"/>
                <w:kern w:val="0"/>
                <w:sz w:val="18"/>
                <w:szCs w:val="18"/>
              </w:rPr>
              <w:t>④</w:t>
            </w:r>
            <w:r>
              <w:rPr>
                <w:kern w:val="0"/>
                <w:sz w:val="18"/>
                <w:szCs w:val="18"/>
              </w:rPr>
              <w:t>分别按照游标法和下标法使用指针，观察其差异性。</w:t>
            </w:r>
          </w:p>
        </w:tc>
        <w:tc>
          <w:tcPr>
            <w:tcW w:w="445" w:type="dxa"/>
            <w:vAlign w:val="center"/>
          </w:tcPr>
          <w:p>
            <w:pPr>
              <w:adjustRightInd w:val="0"/>
              <w:snapToGrid w:val="0"/>
              <w:spacing w:line="300" w:lineRule="auto"/>
              <w:jc w:val="center"/>
              <w:rPr>
                <w:kern w:val="0"/>
                <w:sz w:val="18"/>
                <w:szCs w:val="18"/>
              </w:rPr>
            </w:pPr>
            <w:r>
              <w:rPr>
                <w:kern w:val="0"/>
                <w:sz w:val="18"/>
                <w:szCs w:val="18"/>
              </w:rPr>
              <w:t>4</w:t>
            </w:r>
          </w:p>
        </w:tc>
        <w:tc>
          <w:tcPr>
            <w:tcW w:w="445" w:type="dxa"/>
            <w:vAlign w:val="center"/>
          </w:tcPr>
          <w:p>
            <w:pPr>
              <w:adjustRightInd w:val="0"/>
              <w:snapToGrid w:val="0"/>
              <w:spacing w:line="300" w:lineRule="auto"/>
              <w:jc w:val="center"/>
              <w:rPr>
                <w:kern w:val="0"/>
                <w:sz w:val="18"/>
                <w:szCs w:val="18"/>
              </w:rPr>
            </w:pPr>
            <w:r>
              <w:rPr>
                <w:kern w:val="0"/>
                <w:sz w:val="18"/>
                <w:szCs w:val="18"/>
              </w:rPr>
              <w:t>设计</w:t>
            </w:r>
          </w:p>
        </w:tc>
        <w:tc>
          <w:tcPr>
            <w:tcW w:w="445" w:type="dxa"/>
            <w:vAlign w:val="center"/>
          </w:tcPr>
          <w:p>
            <w:pPr>
              <w:adjustRightInd w:val="0"/>
              <w:snapToGrid w:val="0"/>
              <w:spacing w:line="300" w:lineRule="auto"/>
              <w:jc w:val="center"/>
              <w:rPr>
                <w:kern w:val="0"/>
                <w:sz w:val="18"/>
                <w:szCs w:val="18"/>
              </w:rPr>
            </w:pPr>
            <w:r>
              <w:rPr>
                <w:kern w:val="0"/>
                <w:sz w:val="18"/>
                <w:szCs w:val="18"/>
              </w:rPr>
              <w:t>2</w:t>
            </w:r>
          </w:p>
        </w:tc>
        <w:tc>
          <w:tcPr>
            <w:tcW w:w="445" w:type="dxa"/>
            <w:vAlign w:val="center"/>
          </w:tcPr>
          <w:p>
            <w:pPr>
              <w:adjustRightInd w:val="0"/>
              <w:snapToGrid w:val="0"/>
              <w:spacing w:line="300" w:lineRule="auto"/>
              <w:jc w:val="center"/>
              <w:rPr>
                <w:kern w:val="0"/>
                <w:sz w:val="18"/>
                <w:szCs w:val="18"/>
              </w:rPr>
            </w:pPr>
            <w:r>
              <w:rPr>
                <w:kern w:val="0"/>
                <w:sz w:val="18"/>
                <w:szCs w:val="18"/>
              </w:rPr>
              <w:t>必开</w:t>
            </w:r>
          </w:p>
        </w:tc>
        <w:tc>
          <w:tcPr>
            <w:tcW w:w="443" w:type="dxa"/>
            <w:vAlign w:val="center"/>
          </w:tcPr>
          <w:p>
            <w:pPr>
              <w:adjustRightInd w:val="0"/>
              <w:snapToGrid w:val="0"/>
              <w:spacing w:line="300" w:lineRule="auto"/>
              <w:jc w:val="center"/>
              <w:rPr>
                <w:kern w:val="0"/>
                <w:sz w:val="18"/>
                <w:szCs w:val="18"/>
              </w:rPr>
            </w:pPr>
            <w:r>
              <w:rPr>
                <w:kern w:val="0"/>
                <w:sz w:val="18"/>
                <w:szCs w:val="18"/>
              </w:rPr>
              <w:t>2，3</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1.考核方式：期末考试，采用闭卷考试方式考核；作业</w:t>
      </w:r>
      <w:r>
        <w:rPr>
          <w:rFonts w:hint="eastAsia"/>
        </w:rPr>
        <w:t>；</w:t>
      </w:r>
      <w:r>
        <w:t>实验。</w:t>
      </w:r>
    </w:p>
    <w:p>
      <w:pPr>
        <w:adjustRightInd w:val="0"/>
        <w:snapToGrid w:val="0"/>
        <w:spacing w:line="300" w:lineRule="auto"/>
        <w:ind w:firstLine="420" w:firstLineChars="200"/>
      </w:pPr>
      <w:r>
        <w:t>2.成绩构成：期末笔试成绩60%，平时成绩40%（</w:t>
      </w:r>
      <w:r>
        <w:rPr>
          <w:rFonts w:hint="eastAsia"/>
        </w:rPr>
        <w:t>包含</w:t>
      </w:r>
      <w:r>
        <w:t>作业、实验）。</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Cs w:val="21"/>
        </w:rPr>
      </w:pPr>
      <w:r>
        <w:rPr>
          <w:b/>
          <w:bCs/>
          <w:sz w:val="18"/>
          <w:szCs w:val="18"/>
        </w:rPr>
        <w:t>表5教学目标评价标准</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660"/>
        <w:gridCol w:w="650"/>
        <w:gridCol w:w="658"/>
        <w:gridCol w:w="646"/>
        <w:gridCol w:w="3634"/>
        <w:gridCol w:w="99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sz w:val="18"/>
                <w:szCs w:val="18"/>
              </w:rPr>
            </w:pPr>
            <w:r>
              <w:rPr>
                <w:b/>
                <w:bCs/>
                <w:sz w:val="18"/>
                <w:szCs w:val="18"/>
              </w:rPr>
              <w:t>类型</w:t>
            </w:r>
          </w:p>
        </w:tc>
        <w:tc>
          <w:tcPr>
            <w:tcW w:w="369" w:type="pct"/>
            <w:vAlign w:val="center"/>
          </w:tcPr>
          <w:p>
            <w:pPr>
              <w:adjustRightInd w:val="0"/>
              <w:snapToGrid w:val="0"/>
              <w:spacing w:line="300" w:lineRule="auto"/>
              <w:jc w:val="center"/>
              <w:rPr>
                <w:sz w:val="18"/>
                <w:szCs w:val="18"/>
              </w:rPr>
            </w:pPr>
            <w:r>
              <w:rPr>
                <w:b/>
                <w:bCs/>
                <w:sz w:val="18"/>
                <w:szCs w:val="18"/>
              </w:rPr>
              <w:t>分值</w:t>
            </w:r>
          </w:p>
        </w:tc>
        <w:tc>
          <w:tcPr>
            <w:tcW w:w="363" w:type="pct"/>
            <w:vAlign w:val="center"/>
          </w:tcPr>
          <w:p>
            <w:pPr>
              <w:adjustRightInd w:val="0"/>
              <w:snapToGrid w:val="0"/>
              <w:spacing w:line="300" w:lineRule="auto"/>
              <w:jc w:val="center"/>
              <w:rPr>
                <w:sz w:val="18"/>
                <w:szCs w:val="18"/>
              </w:rPr>
            </w:pPr>
            <w:r>
              <w:rPr>
                <w:b/>
                <w:bCs/>
                <w:sz w:val="18"/>
                <w:szCs w:val="18"/>
              </w:rPr>
              <w:t>权重</w:t>
            </w:r>
          </w:p>
        </w:tc>
        <w:tc>
          <w:tcPr>
            <w:tcW w:w="368" w:type="pct"/>
            <w:vAlign w:val="center"/>
          </w:tcPr>
          <w:p>
            <w:pPr>
              <w:adjustRightInd w:val="0"/>
              <w:snapToGrid w:val="0"/>
              <w:spacing w:line="300" w:lineRule="auto"/>
              <w:jc w:val="center"/>
              <w:rPr>
                <w:sz w:val="18"/>
                <w:szCs w:val="18"/>
              </w:rPr>
            </w:pPr>
            <w:r>
              <w:rPr>
                <w:b/>
                <w:bCs/>
                <w:sz w:val="18"/>
                <w:szCs w:val="18"/>
              </w:rPr>
              <w:t>类别</w:t>
            </w:r>
          </w:p>
        </w:tc>
        <w:tc>
          <w:tcPr>
            <w:tcW w:w="361" w:type="pct"/>
            <w:vAlign w:val="center"/>
          </w:tcPr>
          <w:p>
            <w:pPr>
              <w:adjustRightInd w:val="0"/>
              <w:snapToGrid w:val="0"/>
              <w:spacing w:line="300" w:lineRule="auto"/>
              <w:jc w:val="center"/>
              <w:rPr>
                <w:sz w:val="18"/>
                <w:szCs w:val="18"/>
              </w:rPr>
            </w:pPr>
            <w:r>
              <w:rPr>
                <w:b/>
                <w:bCs/>
                <w:sz w:val="18"/>
                <w:szCs w:val="18"/>
              </w:rPr>
              <w:t>权重</w:t>
            </w:r>
          </w:p>
        </w:tc>
        <w:tc>
          <w:tcPr>
            <w:tcW w:w="2031" w:type="pct"/>
            <w:vAlign w:val="center"/>
          </w:tcPr>
          <w:p>
            <w:pPr>
              <w:adjustRightInd w:val="0"/>
              <w:snapToGrid w:val="0"/>
              <w:spacing w:line="300" w:lineRule="auto"/>
              <w:jc w:val="center"/>
              <w:rPr>
                <w:sz w:val="18"/>
                <w:szCs w:val="18"/>
              </w:rPr>
            </w:pPr>
            <w:r>
              <w:rPr>
                <w:b/>
                <w:bCs/>
                <w:sz w:val="18"/>
                <w:szCs w:val="18"/>
              </w:rPr>
              <w:t>考核/评价细则</w:t>
            </w:r>
          </w:p>
        </w:tc>
        <w:tc>
          <w:tcPr>
            <w:tcW w:w="557" w:type="pct"/>
            <w:vAlign w:val="center"/>
          </w:tcPr>
          <w:p>
            <w:pPr>
              <w:adjustRightInd w:val="0"/>
              <w:snapToGrid w:val="0"/>
              <w:spacing w:line="300" w:lineRule="auto"/>
              <w:jc w:val="center"/>
              <w:rPr>
                <w:sz w:val="18"/>
                <w:szCs w:val="18"/>
              </w:rPr>
            </w:pPr>
            <w:r>
              <w:rPr>
                <w:b/>
                <w:bCs/>
                <w:sz w:val="18"/>
                <w:szCs w:val="18"/>
              </w:rPr>
              <w:t>课程目标</w:t>
            </w:r>
          </w:p>
        </w:tc>
        <w:tc>
          <w:tcPr>
            <w:tcW w:w="578" w:type="pct"/>
            <w:vAlign w:val="center"/>
          </w:tcPr>
          <w:p>
            <w:pPr>
              <w:adjustRightInd w:val="0"/>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71" w:type="pct"/>
            <w:vMerge w:val="restart"/>
            <w:vAlign w:val="center"/>
          </w:tcPr>
          <w:p>
            <w:pPr>
              <w:adjustRightInd w:val="0"/>
              <w:snapToGrid w:val="0"/>
              <w:spacing w:line="300" w:lineRule="auto"/>
              <w:rPr>
                <w:sz w:val="18"/>
                <w:szCs w:val="18"/>
              </w:rPr>
            </w:pPr>
            <w:r>
              <w:rPr>
                <w:sz w:val="18"/>
                <w:szCs w:val="18"/>
              </w:rPr>
              <w:t>平时成绩</w:t>
            </w:r>
          </w:p>
        </w:tc>
        <w:tc>
          <w:tcPr>
            <w:tcW w:w="369" w:type="pct"/>
            <w:vMerge w:val="restart"/>
            <w:vAlign w:val="center"/>
          </w:tcPr>
          <w:p>
            <w:pPr>
              <w:adjustRightInd w:val="0"/>
              <w:snapToGrid w:val="0"/>
              <w:spacing w:line="300" w:lineRule="auto"/>
              <w:jc w:val="center"/>
              <w:rPr>
                <w:sz w:val="18"/>
                <w:szCs w:val="18"/>
              </w:rPr>
            </w:pPr>
            <w:r>
              <w:rPr>
                <w:sz w:val="18"/>
                <w:szCs w:val="18"/>
              </w:rPr>
              <w:t>100</w:t>
            </w:r>
          </w:p>
        </w:tc>
        <w:tc>
          <w:tcPr>
            <w:tcW w:w="363" w:type="pct"/>
            <w:vMerge w:val="restart"/>
            <w:vAlign w:val="center"/>
          </w:tcPr>
          <w:p>
            <w:pPr>
              <w:adjustRightInd w:val="0"/>
              <w:snapToGrid w:val="0"/>
              <w:spacing w:line="300" w:lineRule="auto"/>
              <w:jc w:val="center"/>
              <w:rPr>
                <w:sz w:val="18"/>
                <w:szCs w:val="18"/>
              </w:rPr>
            </w:pPr>
            <w:r>
              <w:rPr>
                <w:sz w:val="18"/>
                <w:szCs w:val="18"/>
              </w:rPr>
              <w:t>0.4</w:t>
            </w:r>
          </w:p>
        </w:tc>
        <w:tc>
          <w:tcPr>
            <w:tcW w:w="368" w:type="pct"/>
            <w:vAlign w:val="center"/>
          </w:tcPr>
          <w:p>
            <w:pPr>
              <w:adjustRightInd w:val="0"/>
              <w:snapToGrid w:val="0"/>
              <w:spacing w:line="300" w:lineRule="auto"/>
              <w:jc w:val="center"/>
              <w:rPr>
                <w:sz w:val="18"/>
                <w:szCs w:val="18"/>
              </w:rPr>
            </w:pPr>
            <w:r>
              <w:rPr>
                <w:sz w:val="18"/>
                <w:szCs w:val="18"/>
              </w:rPr>
              <w:t>作业</w:t>
            </w:r>
          </w:p>
        </w:tc>
        <w:tc>
          <w:tcPr>
            <w:tcW w:w="361" w:type="pct"/>
            <w:vAlign w:val="center"/>
          </w:tcPr>
          <w:p>
            <w:pPr>
              <w:adjustRightInd w:val="0"/>
              <w:snapToGrid w:val="0"/>
              <w:spacing w:line="300" w:lineRule="auto"/>
              <w:jc w:val="center"/>
              <w:rPr>
                <w:sz w:val="18"/>
                <w:szCs w:val="18"/>
              </w:rPr>
            </w:pPr>
            <w:r>
              <w:rPr>
                <w:sz w:val="18"/>
                <w:szCs w:val="18"/>
              </w:rPr>
              <w:t>0.</w:t>
            </w:r>
            <w:r>
              <w:rPr>
                <w:rFonts w:hint="eastAsia"/>
                <w:sz w:val="18"/>
                <w:szCs w:val="18"/>
              </w:rPr>
              <w:t>2</w:t>
            </w:r>
          </w:p>
        </w:tc>
        <w:tc>
          <w:tcPr>
            <w:tcW w:w="2031" w:type="pct"/>
            <w:vAlign w:val="center"/>
          </w:tcPr>
          <w:p>
            <w:pPr>
              <w:adjustRightInd w:val="0"/>
              <w:snapToGrid w:val="0"/>
              <w:spacing w:line="300" w:lineRule="auto"/>
              <w:jc w:val="left"/>
              <w:rPr>
                <w:sz w:val="18"/>
                <w:szCs w:val="18"/>
              </w:rPr>
            </w:pPr>
            <w:r>
              <w:rPr>
                <w:sz w:val="18"/>
                <w:szCs w:val="18"/>
              </w:rPr>
              <w:t>考核学生对每章节知识点的理解和掌握程度</w:t>
            </w:r>
            <w:r>
              <w:rPr>
                <w:rFonts w:hint="eastAsia"/>
                <w:sz w:val="18"/>
                <w:szCs w:val="18"/>
              </w:rPr>
              <w:t>，并通过IDE软件编写与验证代码</w:t>
            </w:r>
            <w:r>
              <w:rPr>
                <w:sz w:val="18"/>
                <w:szCs w:val="18"/>
              </w:rPr>
              <w:t>，</w:t>
            </w:r>
            <w:r>
              <w:rPr>
                <w:rFonts w:hint="eastAsia"/>
                <w:sz w:val="18"/>
                <w:szCs w:val="18"/>
              </w:rPr>
              <w:t>占</w:t>
            </w:r>
            <w:r>
              <w:rPr>
                <w:sz w:val="18"/>
                <w:szCs w:val="18"/>
              </w:rPr>
              <w:t>课程总评成绩</w:t>
            </w:r>
            <w:r>
              <w:rPr>
                <w:rFonts w:hint="eastAsia"/>
                <w:sz w:val="18"/>
                <w:szCs w:val="18"/>
              </w:rPr>
              <w:t>8</w:t>
            </w:r>
            <w:r>
              <w:rPr>
                <w:sz w:val="18"/>
                <w:szCs w:val="18"/>
              </w:rPr>
              <w:t>分</w:t>
            </w:r>
          </w:p>
        </w:tc>
        <w:tc>
          <w:tcPr>
            <w:tcW w:w="557" w:type="pct"/>
            <w:vAlign w:val="center"/>
          </w:tcPr>
          <w:p>
            <w:pPr>
              <w:adjustRightInd w:val="0"/>
              <w:snapToGrid w:val="0"/>
              <w:spacing w:line="300" w:lineRule="auto"/>
              <w:jc w:val="left"/>
              <w:rPr>
                <w:sz w:val="18"/>
                <w:szCs w:val="18"/>
              </w:rPr>
            </w:pPr>
            <w:r>
              <w:rPr>
                <w:rFonts w:hint="eastAsia"/>
                <w:sz w:val="18"/>
                <w:szCs w:val="18"/>
              </w:rPr>
              <w:t>1</w:t>
            </w:r>
          </w:p>
        </w:tc>
        <w:tc>
          <w:tcPr>
            <w:tcW w:w="578" w:type="pct"/>
            <w:vAlign w:val="center"/>
          </w:tcPr>
          <w:p>
            <w:pPr>
              <w:adjustRightInd w:val="0"/>
              <w:snapToGrid w:val="0"/>
              <w:spacing w:line="300" w:lineRule="auto"/>
              <w:jc w:val="left"/>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pPr>
              <w:adjustRightInd w:val="0"/>
              <w:snapToGrid w:val="0"/>
              <w:spacing w:line="300" w:lineRule="auto"/>
              <w:rPr>
                <w:sz w:val="18"/>
                <w:szCs w:val="18"/>
              </w:rPr>
            </w:pPr>
          </w:p>
        </w:tc>
        <w:tc>
          <w:tcPr>
            <w:tcW w:w="369" w:type="pct"/>
            <w:vMerge w:val="continue"/>
            <w:vAlign w:val="center"/>
          </w:tcPr>
          <w:p>
            <w:pPr>
              <w:adjustRightInd w:val="0"/>
              <w:snapToGrid w:val="0"/>
              <w:spacing w:line="300" w:lineRule="auto"/>
              <w:jc w:val="center"/>
              <w:rPr>
                <w:sz w:val="18"/>
                <w:szCs w:val="18"/>
              </w:rPr>
            </w:pPr>
          </w:p>
        </w:tc>
        <w:tc>
          <w:tcPr>
            <w:tcW w:w="363" w:type="pct"/>
            <w:vMerge w:val="continue"/>
            <w:vAlign w:val="center"/>
          </w:tcPr>
          <w:p>
            <w:pPr>
              <w:adjustRightInd w:val="0"/>
              <w:snapToGrid w:val="0"/>
              <w:spacing w:line="300" w:lineRule="auto"/>
              <w:jc w:val="center"/>
              <w:rPr>
                <w:sz w:val="18"/>
                <w:szCs w:val="18"/>
              </w:rPr>
            </w:pPr>
          </w:p>
        </w:tc>
        <w:tc>
          <w:tcPr>
            <w:tcW w:w="368" w:type="pct"/>
            <w:vAlign w:val="center"/>
          </w:tcPr>
          <w:p>
            <w:pPr>
              <w:adjustRightInd w:val="0"/>
              <w:snapToGrid w:val="0"/>
              <w:spacing w:line="300" w:lineRule="auto"/>
              <w:jc w:val="center"/>
              <w:rPr>
                <w:sz w:val="18"/>
                <w:szCs w:val="18"/>
              </w:rPr>
            </w:pPr>
            <w:r>
              <w:rPr>
                <w:sz w:val="18"/>
                <w:szCs w:val="18"/>
              </w:rPr>
              <w:t>实验</w:t>
            </w:r>
          </w:p>
        </w:tc>
        <w:tc>
          <w:tcPr>
            <w:tcW w:w="361" w:type="pct"/>
            <w:vAlign w:val="center"/>
          </w:tcPr>
          <w:p>
            <w:pPr>
              <w:adjustRightInd w:val="0"/>
              <w:snapToGrid w:val="0"/>
              <w:spacing w:line="300" w:lineRule="auto"/>
              <w:jc w:val="center"/>
              <w:rPr>
                <w:sz w:val="18"/>
                <w:szCs w:val="18"/>
              </w:rPr>
            </w:pPr>
            <w:r>
              <w:rPr>
                <w:sz w:val="18"/>
                <w:szCs w:val="18"/>
              </w:rPr>
              <w:t>0.</w:t>
            </w:r>
            <w:r>
              <w:rPr>
                <w:rFonts w:hint="eastAsia"/>
                <w:sz w:val="18"/>
                <w:szCs w:val="18"/>
              </w:rPr>
              <w:t>8</w:t>
            </w:r>
          </w:p>
        </w:tc>
        <w:tc>
          <w:tcPr>
            <w:tcW w:w="2031" w:type="pct"/>
            <w:vAlign w:val="center"/>
          </w:tcPr>
          <w:p>
            <w:pPr>
              <w:adjustRightInd w:val="0"/>
              <w:snapToGrid w:val="0"/>
              <w:spacing w:line="300" w:lineRule="auto"/>
              <w:jc w:val="left"/>
              <w:rPr>
                <w:sz w:val="18"/>
                <w:szCs w:val="18"/>
              </w:rPr>
            </w:pPr>
            <w:r>
              <w:rPr>
                <w:sz w:val="18"/>
                <w:szCs w:val="18"/>
              </w:rPr>
              <w:t>依据实验课堂提问验收成绩（</w:t>
            </w:r>
            <w:r>
              <w:rPr>
                <w:rFonts w:hint="eastAsia"/>
                <w:sz w:val="18"/>
                <w:szCs w:val="18"/>
              </w:rPr>
              <w:t>4分*7次=28</w:t>
            </w:r>
            <w:r>
              <w:rPr>
                <w:sz w:val="18"/>
                <w:szCs w:val="18"/>
              </w:rPr>
              <w:t>分），以及实验报告质量评分（</w:t>
            </w:r>
            <w:r>
              <w:rPr>
                <w:rFonts w:hint="eastAsia"/>
                <w:sz w:val="18"/>
                <w:szCs w:val="18"/>
              </w:rPr>
              <w:t>4</w:t>
            </w:r>
            <w:r>
              <w:rPr>
                <w:sz w:val="18"/>
                <w:szCs w:val="18"/>
              </w:rPr>
              <w:t>分），</w:t>
            </w:r>
            <w:r>
              <w:rPr>
                <w:rFonts w:hint="eastAsia"/>
                <w:sz w:val="18"/>
                <w:szCs w:val="18"/>
              </w:rPr>
              <w:t>占</w:t>
            </w:r>
            <w:r>
              <w:rPr>
                <w:sz w:val="18"/>
                <w:szCs w:val="18"/>
              </w:rPr>
              <w:t>课程总评成绩</w:t>
            </w:r>
            <w:r>
              <w:rPr>
                <w:rFonts w:hint="eastAsia"/>
                <w:sz w:val="18"/>
                <w:szCs w:val="18"/>
              </w:rPr>
              <w:t>32</w:t>
            </w:r>
            <w:r>
              <w:rPr>
                <w:sz w:val="18"/>
                <w:szCs w:val="18"/>
              </w:rPr>
              <w:t>分</w:t>
            </w:r>
          </w:p>
        </w:tc>
        <w:tc>
          <w:tcPr>
            <w:tcW w:w="557" w:type="pct"/>
            <w:vAlign w:val="center"/>
          </w:tcPr>
          <w:p>
            <w:pPr>
              <w:adjustRightInd w:val="0"/>
              <w:snapToGrid w:val="0"/>
              <w:spacing w:line="300" w:lineRule="auto"/>
              <w:jc w:val="left"/>
              <w:rPr>
                <w:sz w:val="18"/>
                <w:szCs w:val="18"/>
              </w:rPr>
            </w:pPr>
            <w:r>
              <w:rPr>
                <w:sz w:val="18"/>
                <w:szCs w:val="18"/>
              </w:rPr>
              <w:t>2，3</w:t>
            </w:r>
          </w:p>
        </w:tc>
        <w:tc>
          <w:tcPr>
            <w:tcW w:w="578" w:type="pct"/>
            <w:vAlign w:val="center"/>
          </w:tcPr>
          <w:p>
            <w:pPr>
              <w:adjustRightInd w:val="0"/>
              <w:snapToGrid w:val="0"/>
              <w:spacing w:line="300" w:lineRule="auto"/>
              <w:jc w:val="left"/>
              <w:rPr>
                <w:sz w:val="18"/>
                <w:szCs w:val="18"/>
              </w:rPr>
            </w:pPr>
            <w:r>
              <w:rPr>
                <w:rFonts w:hint="eastAsia"/>
                <w:sz w:val="18"/>
                <w:szCs w:val="18"/>
              </w:rPr>
              <w:t>5.2，12.1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2" w:hRule="atLeast"/>
        </w:trPr>
        <w:tc>
          <w:tcPr>
            <w:tcW w:w="371" w:type="pct"/>
            <w:vAlign w:val="center"/>
          </w:tcPr>
          <w:p>
            <w:pPr>
              <w:adjustRightInd w:val="0"/>
              <w:snapToGrid w:val="0"/>
              <w:spacing w:line="300" w:lineRule="auto"/>
              <w:rPr>
                <w:sz w:val="18"/>
                <w:szCs w:val="18"/>
              </w:rPr>
            </w:pPr>
            <w:r>
              <w:rPr>
                <w:sz w:val="18"/>
                <w:szCs w:val="18"/>
              </w:rPr>
              <w:t>期末成绩</w:t>
            </w:r>
          </w:p>
        </w:tc>
        <w:tc>
          <w:tcPr>
            <w:tcW w:w="369" w:type="pct"/>
            <w:vAlign w:val="center"/>
          </w:tcPr>
          <w:p>
            <w:pPr>
              <w:adjustRightInd w:val="0"/>
              <w:snapToGrid w:val="0"/>
              <w:spacing w:line="300" w:lineRule="auto"/>
              <w:jc w:val="center"/>
              <w:rPr>
                <w:sz w:val="18"/>
                <w:szCs w:val="18"/>
              </w:rPr>
            </w:pPr>
            <w:r>
              <w:rPr>
                <w:sz w:val="18"/>
                <w:szCs w:val="18"/>
              </w:rPr>
              <w:t>100</w:t>
            </w:r>
          </w:p>
        </w:tc>
        <w:tc>
          <w:tcPr>
            <w:tcW w:w="363" w:type="pct"/>
            <w:vAlign w:val="center"/>
          </w:tcPr>
          <w:p>
            <w:pPr>
              <w:adjustRightInd w:val="0"/>
              <w:snapToGrid w:val="0"/>
              <w:spacing w:line="300" w:lineRule="auto"/>
              <w:jc w:val="center"/>
              <w:rPr>
                <w:sz w:val="18"/>
                <w:szCs w:val="18"/>
              </w:rPr>
            </w:pPr>
            <w:r>
              <w:rPr>
                <w:sz w:val="18"/>
                <w:szCs w:val="18"/>
              </w:rPr>
              <w:t>0.6</w:t>
            </w:r>
          </w:p>
        </w:tc>
        <w:tc>
          <w:tcPr>
            <w:tcW w:w="368" w:type="pct"/>
            <w:vAlign w:val="center"/>
          </w:tcPr>
          <w:p>
            <w:pPr>
              <w:adjustRightInd w:val="0"/>
              <w:snapToGrid w:val="0"/>
              <w:spacing w:line="300" w:lineRule="auto"/>
              <w:rPr>
                <w:sz w:val="18"/>
                <w:szCs w:val="18"/>
              </w:rPr>
            </w:pPr>
            <w:r>
              <w:rPr>
                <w:sz w:val="18"/>
                <w:szCs w:val="18"/>
              </w:rPr>
              <w:t>闭卷考试</w:t>
            </w:r>
          </w:p>
        </w:tc>
        <w:tc>
          <w:tcPr>
            <w:tcW w:w="361" w:type="pct"/>
            <w:vAlign w:val="center"/>
          </w:tcPr>
          <w:p>
            <w:pPr>
              <w:adjustRightInd w:val="0"/>
              <w:snapToGrid w:val="0"/>
              <w:spacing w:line="300" w:lineRule="auto"/>
              <w:jc w:val="center"/>
              <w:rPr>
                <w:sz w:val="18"/>
                <w:szCs w:val="18"/>
              </w:rPr>
            </w:pPr>
            <w:r>
              <w:rPr>
                <w:rFonts w:hint="eastAsia"/>
                <w:sz w:val="18"/>
                <w:szCs w:val="18"/>
              </w:rPr>
              <w:t>1</w:t>
            </w:r>
          </w:p>
        </w:tc>
        <w:tc>
          <w:tcPr>
            <w:tcW w:w="2031" w:type="pct"/>
            <w:vAlign w:val="center"/>
          </w:tcPr>
          <w:p>
            <w:pPr>
              <w:adjustRightInd w:val="0"/>
              <w:snapToGrid w:val="0"/>
              <w:spacing w:line="300" w:lineRule="auto"/>
              <w:rPr>
                <w:sz w:val="18"/>
                <w:szCs w:val="18"/>
              </w:rPr>
            </w:pPr>
            <w:r>
              <w:rPr>
                <w:sz w:val="18"/>
                <w:szCs w:val="18"/>
              </w:rPr>
              <w:t>卷面成绩100分，按比例</w:t>
            </w:r>
            <w:r>
              <w:rPr>
                <w:rFonts w:hint="eastAsia"/>
                <w:sz w:val="18"/>
                <w:szCs w:val="18"/>
              </w:rPr>
              <w:t>换算，占</w:t>
            </w:r>
            <w:r>
              <w:rPr>
                <w:sz w:val="18"/>
                <w:szCs w:val="18"/>
              </w:rPr>
              <w:t>课程总评成绩</w:t>
            </w:r>
            <w:r>
              <w:rPr>
                <w:rFonts w:hint="eastAsia"/>
                <w:sz w:val="18"/>
                <w:szCs w:val="18"/>
              </w:rPr>
              <w:t>60分</w:t>
            </w:r>
            <w:r>
              <w:rPr>
                <w:sz w:val="18"/>
                <w:szCs w:val="18"/>
              </w:rPr>
              <w:t>。</w:t>
            </w:r>
          </w:p>
          <w:p>
            <w:pPr>
              <w:adjustRightInd w:val="0"/>
              <w:snapToGrid w:val="0"/>
              <w:spacing w:line="300" w:lineRule="auto"/>
              <w:rPr>
                <w:sz w:val="18"/>
                <w:szCs w:val="18"/>
              </w:rPr>
            </w:pPr>
            <w:r>
              <w:rPr>
                <w:sz w:val="18"/>
                <w:szCs w:val="18"/>
              </w:rPr>
              <w:t>试卷内容符合教学大纲要求，考核目标明确清晰。试卷包含选择、填空、程序运行、程序设计，题量适中。作为一门注重实践的课程，程序设计题目应该分配较多的分值，建议不少于30分。</w:t>
            </w:r>
          </w:p>
        </w:tc>
        <w:tc>
          <w:tcPr>
            <w:tcW w:w="557" w:type="pct"/>
            <w:vAlign w:val="center"/>
          </w:tcPr>
          <w:p>
            <w:pPr>
              <w:adjustRightInd w:val="0"/>
              <w:snapToGrid w:val="0"/>
              <w:spacing w:line="300" w:lineRule="auto"/>
              <w:jc w:val="left"/>
              <w:rPr>
                <w:sz w:val="18"/>
                <w:szCs w:val="18"/>
              </w:rPr>
            </w:pPr>
            <w:r>
              <w:rPr>
                <w:sz w:val="18"/>
                <w:szCs w:val="18"/>
              </w:rPr>
              <w:t>1</w:t>
            </w:r>
          </w:p>
        </w:tc>
        <w:tc>
          <w:tcPr>
            <w:tcW w:w="578" w:type="pct"/>
            <w:vAlign w:val="center"/>
          </w:tcPr>
          <w:p>
            <w:pPr>
              <w:adjustRightInd w:val="0"/>
              <w:snapToGrid w:val="0"/>
              <w:spacing w:line="300" w:lineRule="auto"/>
              <w:jc w:val="left"/>
              <w:rPr>
                <w:sz w:val="18"/>
                <w:szCs w:val="18"/>
              </w:rPr>
            </w:pPr>
            <w:r>
              <w:rPr>
                <w:rFonts w:hint="eastAsia"/>
                <w:sz w:val="18"/>
                <w:szCs w:val="18"/>
              </w:rPr>
              <w:t>1.2</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062"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062" DrawAspect="Content" ObjectID="_1468075761" r:id="rId71">
            <o:LockedField>false</o:LockedField>
          </o:OLEObject>
        </w:object>
      </w:r>
    </w:p>
    <w:p>
      <w:pPr>
        <w:adjustRightInd w:val="0"/>
        <w:snapToGrid w:val="0"/>
        <w:spacing w:line="300" w:lineRule="auto"/>
        <w:ind w:firstLine="420" w:firstLineChars="200"/>
      </w:pPr>
      <w:r>
        <w:t>课程总目标达成情况为3个课程目标的加权得分率，其计算公式为：</w:t>
      </w:r>
    </w:p>
    <w:p>
      <w:pPr>
        <w:adjustRightInd w:val="0"/>
        <w:snapToGrid w:val="0"/>
        <w:spacing w:line="300" w:lineRule="auto"/>
        <w:jc w:val="center"/>
      </w:pPr>
      <w:r>
        <w:t xml:space="preserve"> </w:t>
      </w:r>
      <w:r>
        <w:object>
          <v:shape id="_x0000_i1063"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063" DrawAspect="Content" ObjectID="_1468075762" r:id="rId72">
            <o:LockedField>false</o:LockedField>
          </o:OLEObject>
        </w:object>
      </w:r>
    </w:p>
    <w:p>
      <w:pPr>
        <w:adjustRightInd w:val="0"/>
        <w:snapToGrid w:val="0"/>
        <w:spacing w:line="300" w:lineRule="auto"/>
        <w:rPr>
          <w:b/>
          <w:bCs/>
          <w:sz w:val="18"/>
          <w:szCs w:val="18"/>
        </w:rPr>
      </w:pPr>
      <w:r>
        <w:t>其中权重系数按照表6设定。</w:t>
      </w:r>
    </w:p>
    <w:p>
      <w:pPr>
        <w:adjustRightInd w:val="0"/>
        <w:snapToGrid w:val="0"/>
        <w:spacing w:before="156" w:beforeLines="50" w:line="300" w:lineRule="auto"/>
        <w:jc w:val="center"/>
      </w:pPr>
      <w:r>
        <w:rPr>
          <w:b/>
          <w:bCs/>
          <w:sz w:val="18"/>
          <w:szCs w:val="18"/>
        </w:rPr>
        <w:t>表6课程目标权重系数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4"/>
        <w:gridCol w:w="2015"/>
        <w:gridCol w:w="2390"/>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04" w:type="dxa"/>
            <w:vAlign w:val="center"/>
          </w:tcPr>
          <w:p>
            <w:pPr>
              <w:adjustRightInd w:val="0"/>
              <w:snapToGrid w:val="0"/>
              <w:spacing w:line="300" w:lineRule="auto"/>
              <w:jc w:val="center"/>
              <w:rPr>
                <w:b/>
                <w:bCs/>
                <w:sz w:val="18"/>
                <w:szCs w:val="18"/>
              </w:rPr>
            </w:pPr>
            <w:r>
              <w:rPr>
                <w:b/>
                <w:bCs/>
                <w:sz w:val="18"/>
                <w:szCs w:val="18"/>
              </w:rPr>
              <w:t>课程目标</w:t>
            </w:r>
          </w:p>
        </w:tc>
        <w:tc>
          <w:tcPr>
            <w:tcW w:w="2015" w:type="dxa"/>
            <w:vAlign w:val="center"/>
          </w:tcPr>
          <w:p>
            <w:pPr>
              <w:adjustRightInd w:val="0"/>
              <w:snapToGrid w:val="0"/>
              <w:spacing w:line="300" w:lineRule="auto"/>
              <w:jc w:val="center"/>
              <w:rPr>
                <w:sz w:val="18"/>
                <w:szCs w:val="18"/>
              </w:rPr>
            </w:pPr>
            <w:r>
              <w:rPr>
                <w:sz w:val="18"/>
                <w:szCs w:val="18"/>
              </w:rPr>
              <w:t>1</w:t>
            </w:r>
          </w:p>
        </w:tc>
        <w:tc>
          <w:tcPr>
            <w:tcW w:w="2390" w:type="dxa"/>
            <w:vAlign w:val="center"/>
          </w:tcPr>
          <w:p>
            <w:pPr>
              <w:adjustRightInd w:val="0"/>
              <w:snapToGrid w:val="0"/>
              <w:spacing w:line="300" w:lineRule="auto"/>
              <w:jc w:val="center"/>
              <w:rPr>
                <w:sz w:val="18"/>
                <w:szCs w:val="18"/>
              </w:rPr>
            </w:pPr>
            <w:r>
              <w:rPr>
                <w:sz w:val="18"/>
                <w:szCs w:val="18"/>
              </w:rPr>
              <w:t>2</w:t>
            </w:r>
          </w:p>
        </w:tc>
        <w:tc>
          <w:tcPr>
            <w:tcW w:w="2369"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04" w:type="dxa"/>
            <w:vAlign w:val="center"/>
          </w:tcPr>
          <w:p>
            <w:pPr>
              <w:adjustRightInd w:val="0"/>
              <w:snapToGrid w:val="0"/>
              <w:spacing w:line="300" w:lineRule="auto"/>
              <w:jc w:val="center"/>
              <w:rPr>
                <w:b/>
                <w:bCs/>
                <w:sz w:val="18"/>
                <w:szCs w:val="18"/>
              </w:rPr>
            </w:pPr>
            <w:r>
              <w:rPr>
                <w:b/>
                <w:bCs/>
                <w:sz w:val="18"/>
                <w:szCs w:val="18"/>
              </w:rPr>
              <w:t>权重系数</w:t>
            </w:r>
          </w:p>
        </w:tc>
        <w:tc>
          <w:tcPr>
            <w:tcW w:w="2015" w:type="dxa"/>
            <w:vAlign w:val="center"/>
          </w:tcPr>
          <w:p>
            <w:pPr>
              <w:adjustRightInd w:val="0"/>
              <w:snapToGrid w:val="0"/>
              <w:spacing w:line="300" w:lineRule="auto"/>
              <w:jc w:val="center"/>
              <w:rPr>
                <w:sz w:val="18"/>
                <w:szCs w:val="18"/>
              </w:rPr>
            </w:pPr>
            <w:r>
              <w:rPr>
                <w:sz w:val="18"/>
                <w:szCs w:val="18"/>
              </w:rPr>
              <w:t>0.</w:t>
            </w:r>
            <w:r>
              <w:rPr>
                <w:rFonts w:hint="eastAsia"/>
                <w:sz w:val="18"/>
                <w:szCs w:val="18"/>
              </w:rPr>
              <w:t>68</w:t>
            </w:r>
          </w:p>
        </w:tc>
        <w:tc>
          <w:tcPr>
            <w:tcW w:w="2390" w:type="dxa"/>
            <w:vAlign w:val="center"/>
          </w:tcPr>
          <w:p>
            <w:pPr>
              <w:adjustRightInd w:val="0"/>
              <w:snapToGrid w:val="0"/>
              <w:spacing w:line="300" w:lineRule="auto"/>
              <w:jc w:val="center"/>
              <w:rPr>
                <w:sz w:val="18"/>
                <w:szCs w:val="18"/>
              </w:rPr>
            </w:pPr>
            <w:r>
              <w:rPr>
                <w:sz w:val="18"/>
                <w:szCs w:val="18"/>
              </w:rPr>
              <w:t>0.</w:t>
            </w:r>
            <w:r>
              <w:rPr>
                <w:rFonts w:hint="eastAsia"/>
                <w:sz w:val="18"/>
                <w:szCs w:val="18"/>
              </w:rPr>
              <w:t>28</w:t>
            </w:r>
          </w:p>
        </w:tc>
        <w:tc>
          <w:tcPr>
            <w:tcW w:w="2369" w:type="dxa"/>
            <w:vAlign w:val="center"/>
          </w:tcPr>
          <w:p>
            <w:pPr>
              <w:adjustRightInd w:val="0"/>
              <w:snapToGrid w:val="0"/>
              <w:spacing w:line="300" w:lineRule="auto"/>
              <w:jc w:val="center"/>
              <w:rPr>
                <w:sz w:val="18"/>
                <w:szCs w:val="18"/>
              </w:rPr>
            </w:pPr>
            <w:r>
              <w:rPr>
                <w:sz w:val="18"/>
                <w:szCs w:val="18"/>
              </w:rPr>
              <w:t>0.</w:t>
            </w:r>
            <w:r>
              <w:rPr>
                <w:rFonts w:hint="eastAsia"/>
                <w:sz w:val="18"/>
                <w:szCs w:val="18"/>
              </w:rPr>
              <w:t>04</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064" o:spt="75" type="#_x0000_t75" style="height:19.5pt;width:283.5pt;" o:ole="t" filled="f" o:preferrelative="t" stroked="f" coordsize="21600,21600">
            <v:path/>
            <v:fill on="f" focussize="0,0"/>
            <v:stroke on="f" joinstyle="miter"/>
            <v:imagedata r:id="rId40" o:title=""/>
            <o:lock v:ext="edit" aspectratio="t"/>
            <w10:wrap type="none"/>
            <w10:anchorlock/>
          </v:shape>
          <o:OLEObject Type="Embed" ProgID="Equation.3" ShapeID="_x0000_i1064" DrawAspect="Content" ObjectID="_1468075763" r:id="rId73">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before="156" w:beforeLines="50" w:after="156" w:afterLines="50" w:line="300" w:lineRule="auto"/>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0"/>
        <w:rPr>
          <w:rFonts w:ascii="Times New Roman" w:hAnsi="Times New Roman" w:eastAsia="宋体" w:cs="Times New Roman"/>
          <w:szCs w:val="21"/>
          <w:shd w:val="clear" w:color="auto" w:fill="FEFEFF"/>
        </w:rPr>
      </w:pPr>
      <w:r>
        <w:rPr>
          <w:rFonts w:ascii="Times New Roman" w:hAnsi="Times New Roman" w:eastAsia="宋体" w:cs="Times New Roman"/>
          <w:szCs w:val="21"/>
        </w:rPr>
        <w:t>[1] 谭浩强</w:t>
      </w:r>
      <w:r>
        <w:rPr>
          <w:rFonts w:ascii="Times New Roman" w:hAnsi="Times New Roman" w:eastAsia="宋体" w:cs="Times New Roman"/>
          <w:szCs w:val="21"/>
          <w:shd w:val="clear" w:color="auto" w:fill="FEFEFF"/>
        </w:rPr>
        <w:t>.C程序设计（第四版）[M]，北京：清华大学出版社，2016-06.</w:t>
      </w:r>
    </w:p>
    <w:p>
      <w:pPr>
        <w:adjustRightInd w:val="0"/>
        <w:snapToGrid w:val="0"/>
        <w:spacing w:line="300" w:lineRule="auto"/>
        <w:ind w:firstLine="420"/>
        <w:rPr>
          <w:rFonts w:ascii="Times New Roman" w:hAnsi="Times New Roman" w:eastAsia="宋体" w:cs="Times New Roman"/>
          <w:szCs w:val="21"/>
          <w:shd w:val="clear" w:color="auto" w:fill="FEFEFF"/>
        </w:rPr>
      </w:pPr>
      <w:r>
        <w:rPr>
          <w:rFonts w:ascii="Times New Roman" w:hAnsi="Times New Roman" w:eastAsia="宋体" w:cs="Times New Roman"/>
          <w:szCs w:val="21"/>
        </w:rPr>
        <w:t>[2] 谭浩强</w:t>
      </w:r>
      <w:r>
        <w:rPr>
          <w:rFonts w:ascii="Times New Roman" w:hAnsi="Times New Roman" w:eastAsia="宋体" w:cs="Times New Roman"/>
          <w:szCs w:val="21"/>
          <w:shd w:val="clear" w:color="auto" w:fill="FEFEFF"/>
        </w:rPr>
        <w:t>.C程序设计（第四版）学习辅导[M]，北京：清华大学出版社，2017-03</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adjustRightInd w:val="0"/>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szCs w:val="21"/>
        </w:rPr>
        <w:t>[1] 杨路明</w:t>
      </w:r>
      <w:r>
        <w:rPr>
          <w:rFonts w:ascii="Times New Roman" w:hAnsi="Times New Roman" w:eastAsia="宋体" w:cs="Times New Roman"/>
          <w:szCs w:val="21"/>
          <w:shd w:val="clear" w:color="auto" w:fill="FEFEFF"/>
        </w:rPr>
        <w:t>.</w:t>
      </w:r>
      <w:r>
        <w:rPr>
          <w:rFonts w:ascii="Times New Roman" w:hAnsi="Times New Roman" w:eastAsia="宋体" w:cs="Times New Roman"/>
          <w:szCs w:val="21"/>
        </w:rPr>
        <w:t>C语言程序设计教程</w:t>
      </w:r>
      <w:r>
        <w:rPr>
          <w:rFonts w:ascii="Times New Roman" w:hAnsi="Times New Roman" w:eastAsia="宋体" w:cs="Times New Roman"/>
          <w:szCs w:val="21"/>
          <w:shd w:val="clear" w:color="auto" w:fill="FEFEFF"/>
        </w:rPr>
        <w:t>（第二版）[M]，北京：</w:t>
      </w:r>
      <w:r>
        <w:rPr>
          <w:rFonts w:ascii="Times New Roman" w:hAnsi="Times New Roman" w:eastAsia="宋体" w:cs="Times New Roman"/>
          <w:szCs w:val="21"/>
        </w:rPr>
        <w:t>北京邮电大学出版社</w:t>
      </w:r>
      <w:r>
        <w:rPr>
          <w:rFonts w:ascii="Times New Roman" w:hAnsi="Times New Roman" w:eastAsia="宋体" w:cs="Times New Roman"/>
          <w:szCs w:val="21"/>
          <w:shd w:val="clear" w:color="auto" w:fill="FEFEFF"/>
        </w:rPr>
        <w:t>，</w:t>
      </w:r>
      <w:r>
        <w:rPr>
          <w:rFonts w:ascii="Times New Roman" w:hAnsi="Times New Roman" w:eastAsia="宋体" w:cs="Times New Roman"/>
          <w:szCs w:val="21"/>
        </w:rPr>
        <w:t>2016</w:t>
      </w:r>
      <w:r>
        <w:rPr>
          <w:rFonts w:ascii="Times New Roman" w:hAnsi="Times New Roman" w:eastAsia="宋体" w:cs="Times New Roman"/>
          <w:szCs w:val="21"/>
          <w:shd w:val="clear" w:color="auto" w:fill="FEFEFF"/>
        </w:rPr>
        <w:t>-08.</w:t>
      </w:r>
    </w:p>
    <w:p>
      <w:pPr>
        <w:adjustRightInd w:val="0"/>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szCs w:val="21"/>
        </w:rPr>
        <w:t>[2] 高可宁</w:t>
      </w:r>
      <w:r>
        <w:rPr>
          <w:rFonts w:ascii="Times New Roman" w:hAnsi="Times New Roman" w:eastAsia="宋体" w:cs="Times New Roman"/>
          <w:szCs w:val="21"/>
          <w:shd w:val="clear" w:color="auto" w:fill="FEFEFF"/>
        </w:rPr>
        <w:t>.</w:t>
      </w:r>
      <w:r>
        <w:rPr>
          <w:rFonts w:ascii="Times New Roman" w:hAnsi="Times New Roman" w:eastAsia="宋体" w:cs="Times New Roman"/>
          <w:szCs w:val="21"/>
        </w:rPr>
        <w:t>程序设计基础（C语言）</w:t>
      </w:r>
      <w:r>
        <w:rPr>
          <w:rFonts w:ascii="Times New Roman" w:hAnsi="Times New Roman" w:eastAsia="宋体" w:cs="Times New Roman"/>
          <w:szCs w:val="21"/>
          <w:shd w:val="clear" w:color="auto" w:fill="FEFEFF"/>
        </w:rPr>
        <w:t>第2版[M]，北京：</w:t>
      </w:r>
      <w:r>
        <w:rPr>
          <w:rFonts w:ascii="Times New Roman" w:hAnsi="Times New Roman" w:eastAsia="宋体" w:cs="Times New Roman"/>
          <w:szCs w:val="21"/>
        </w:rPr>
        <w:t>清华大学</w:t>
      </w:r>
      <w:r>
        <w:rPr>
          <w:rFonts w:ascii="Times New Roman" w:hAnsi="Times New Roman" w:eastAsia="宋体" w:cs="Times New Roman"/>
          <w:szCs w:val="21"/>
          <w:shd w:val="clear" w:color="auto" w:fill="FEFEFF"/>
        </w:rPr>
        <w:t>出版社，2014-09.</w:t>
      </w:r>
    </w:p>
    <w:p>
      <w:pPr>
        <w:adjustRightInd w:val="0"/>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szCs w:val="21"/>
        </w:rPr>
        <w:t xml:space="preserve">[3] </w:t>
      </w:r>
      <w:r>
        <w:rPr>
          <w:rFonts w:ascii="Times New Roman" w:hAnsi="Times New Roman" w:eastAsia="宋体" w:cs="Times New Roman"/>
          <w:szCs w:val="21"/>
          <w:shd w:val="clear" w:color="auto" w:fill="FEFEFF"/>
        </w:rPr>
        <w:t>菜鸟工具——C在线工具：https://c.runoob.com/compile/11</w:t>
      </w:r>
    </w:p>
    <w:p>
      <w:pPr>
        <w:adjustRightInd w:val="0"/>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szCs w:val="21"/>
        </w:rPr>
        <w:t xml:space="preserve">[4] </w:t>
      </w:r>
      <w:r>
        <w:rPr>
          <w:rFonts w:ascii="Times New Roman" w:hAnsi="Times New Roman" w:eastAsia="宋体" w:cs="Times New Roman"/>
          <w:szCs w:val="21"/>
          <w:shd w:val="clear" w:color="auto" w:fill="FEFEFF"/>
        </w:rPr>
        <w:t>菜鸟教程——C语言：</w:t>
      </w:r>
      <w:r>
        <w:fldChar w:fldCharType="begin"/>
      </w:r>
      <w:r>
        <w:instrText xml:space="preserve"> HYPERLINK "http://www.runoob.com/cprogramming/c-tutorial.html" </w:instrText>
      </w:r>
      <w:r>
        <w:fldChar w:fldCharType="separate"/>
      </w:r>
      <w:r>
        <w:rPr>
          <w:rFonts w:ascii="Times New Roman" w:hAnsi="Times New Roman" w:eastAsia="宋体" w:cs="Times New Roman"/>
          <w:color w:val="0000FF"/>
          <w:szCs w:val="21"/>
          <w:u w:val="single"/>
          <w:shd w:val="clear" w:color="auto" w:fill="FEFEFF"/>
        </w:rPr>
        <w:t>http://www.runoob.com/cprogramming/c-tutorial.html</w:t>
      </w:r>
      <w:r>
        <w:rPr>
          <w:rFonts w:ascii="Times New Roman" w:hAnsi="Times New Roman" w:eastAsia="宋体" w:cs="Times New Roman"/>
          <w:color w:val="0000FF"/>
          <w:szCs w:val="21"/>
          <w:u w:val="single"/>
          <w:shd w:val="clear" w:color="auto" w:fill="FEFEFF"/>
        </w:rPr>
        <w:fldChar w:fldCharType="end"/>
      </w:r>
    </w:p>
    <w:p>
      <w:pPr>
        <w:adjustRightInd w:val="0"/>
        <w:snapToGrid w:val="0"/>
        <w:spacing w:line="300" w:lineRule="auto"/>
        <w:ind w:firstLine="420" w:firstLineChars="200"/>
        <w:rPr>
          <w:rFonts w:ascii="Times New Roman" w:hAnsi="Times New Roman" w:eastAsia="宋体" w:cs="Times New Roman"/>
          <w:szCs w:val="21"/>
          <w:shd w:val="clear" w:color="auto" w:fill="FEFEFF"/>
        </w:rPr>
      </w:pP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rPr>
          <w:rFonts w:ascii="Times New Roman" w:hAnsi="Times New Roman" w:eastAsia="楷体" w:cs="Times New Roman"/>
          <w:color w:val="000000"/>
          <w:kern w:val="0"/>
          <w:sz w:val="18"/>
          <w:szCs w:val="18"/>
        </w:rPr>
        <w:sectPr>
          <w:pgSz w:w="11906" w:h="16838"/>
          <w:pgMar w:top="1440" w:right="1587" w:bottom="1440" w:left="1587" w:header="851" w:footer="992" w:gutter="0"/>
          <w:cols w:space="0" w:num="1"/>
          <w:docGrid w:type="lines" w:linePitch="312" w:charSpace="0"/>
        </w:sectPr>
      </w:pPr>
    </w:p>
    <w:p>
      <w:pPr>
        <w:keepNext/>
        <w:keepLines/>
        <w:spacing w:before="260" w:after="260" w:line="413" w:lineRule="auto"/>
        <w:outlineLvl w:val="1"/>
        <w:rPr>
          <w:rFonts w:ascii="宋体" w:hAnsi="宋体" w:eastAsia="宋体" w:cs="宋体"/>
          <w:b/>
          <w:sz w:val="36"/>
          <w:szCs w:val="36"/>
        </w:rPr>
      </w:pPr>
      <w:bookmarkStart w:id="50" w:name="_Toc8052"/>
      <w:bookmarkStart w:id="51" w:name="_Toc18184"/>
      <w:bookmarkStart w:id="52" w:name="_Toc47719751"/>
      <w:bookmarkStart w:id="53" w:name="_Toc38126107"/>
      <w:bookmarkStart w:id="54" w:name="_Toc47774707"/>
      <w:bookmarkStart w:id="55" w:name="_Toc46489653"/>
      <w:bookmarkStart w:id="56" w:name="_Toc47718780"/>
      <w:bookmarkStart w:id="57" w:name="_Toc6558"/>
      <w:r>
        <w:rPr>
          <w:rFonts w:hint="eastAsia" w:ascii="宋体" w:hAnsi="宋体" w:eastAsia="宋体" w:cs="宋体"/>
          <w:b/>
          <w:sz w:val="36"/>
          <w:szCs w:val="36"/>
        </w:rPr>
        <w:t>2</w:t>
      </w:r>
      <w:r>
        <w:rPr>
          <w:rFonts w:ascii="宋体" w:hAnsi="宋体" w:eastAsia="宋体" w:cs="宋体"/>
          <w:b/>
          <w:sz w:val="36"/>
          <w:szCs w:val="36"/>
        </w:rPr>
        <w:t>.2专业基础类课程教学大纲</w:t>
      </w:r>
      <w:bookmarkEnd w:id="50"/>
      <w:bookmarkEnd w:id="51"/>
    </w:p>
    <w:p>
      <w:pPr>
        <w:keepNext/>
        <w:keepLines/>
        <w:tabs>
          <w:tab w:val="left" w:pos="0"/>
          <w:tab w:val="left" w:pos="420"/>
        </w:tabs>
        <w:spacing w:before="260" w:after="260" w:line="413" w:lineRule="auto"/>
        <w:jc w:val="center"/>
        <w:outlineLvl w:val="2"/>
        <w:rPr>
          <w:rFonts w:ascii="Times New Roman" w:hAnsi="Times New Roman" w:eastAsia="宋体" w:cs="Times New Roman"/>
          <w:b/>
          <w:sz w:val="32"/>
        </w:rPr>
      </w:pPr>
      <w:bookmarkStart w:id="58" w:name="_Toc8842"/>
      <w:bookmarkStart w:id="59" w:name="_Toc47719750"/>
      <w:bookmarkStart w:id="60" w:name="_Toc47718779"/>
      <w:bookmarkStart w:id="61" w:name="_Toc31927"/>
      <w:bookmarkStart w:id="62" w:name="_Toc47774706"/>
      <w:r>
        <w:rPr>
          <w:rFonts w:ascii="Times New Roman" w:hAnsi="Times New Roman" w:eastAsia="宋体" w:cs="Times New Roman"/>
          <w:b/>
          <w:sz w:val="32"/>
        </w:rPr>
        <w:t>16181901《电子信息工程专业导论》课程教学大纲</w:t>
      </w:r>
      <w:bookmarkEnd w:id="58"/>
      <w:bookmarkEnd w:id="59"/>
      <w:bookmarkEnd w:id="60"/>
      <w:bookmarkEnd w:id="61"/>
      <w:bookmarkEnd w:id="62"/>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16181901</w:t>
            </w:r>
          </w:p>
        </w:tc>
        <w:tc>
          <w:tcPr>
            <w:tcW w:w="1198"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电子信息工程专业导论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专业基础类</w:t>
            </w:r>
          </w:p>
        </w:tc>
        <w:tc>
          <w:tcPr>
            <w:tcW w:w="1198"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szCs w:val="21"/>
              </w:rPr>
              <w:t>Professional Introduction to Electronic Information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 xml:space="preserve">1 </w:t>
            </w:r>
            <w:r>
              <w:rPr>
                <w:rFonts w:ascii="Times New Roman" w:hAnsi="Times New Roman" w:eastAsia="宋体" w:cs="Times New Roman"/>
                <w:kern w:val="0"/>
                <w:szCs w:val="21"/>
              </w:rPr>
              <w:t>: 16（0）</w:t>
            </w:r>
          </w:p>
        </w:tc>
        <w:tc>
          <w:tcPr>
            <w:tcW w:w="1198" w:type="dxa"/>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刘畅，王骥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198"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刘畅</w:t>
            </w:r>
          </w:p>
        </w:tc>
        <w:tc>
          <w:tcPr>
            <w:tcW w:w="1198"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高等数学、大学物理和工程数学</w:t>
            </w:r>
          </w:p>
        </w:tc>
        <w:tc>
          <w:tcPr>
            <w:tcW w:w="1198" w:type="dxa"/>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w:t>
      </w:r>
      <w:r>
        <w:rPr>
          <w:rFonts w:ascii="Times New Roman" w:hAnsi="Times New Roman" w:eastAsia="宋体" w:cs="Times New Roman"/>
          <w:sz w:val="18"/>
          <w:szCs w:val="18"/>
        </w:rPr>
        <w:t>、</w:t>
      </w:r>
      <w:r>
        <w:rPr>
          <w:rFonts w:hint="eastAsia" w:ascii="Times New Roman" w:hAnsi="Times New Roman" w:eastAsia="宋体" w:cs="Times New Roman"/>
          <w:sz w:val="18"/>
          <w:szCs w:val="18"/>
        </w:rPr>
        <w:t>工程基础类</w:t>
      </w:r>
      <w:r>
        <w:rPr>
          <w:rFonts w:ascii="Times New Roman" w:hAnsi="Times New Roman" w:eastAsia="宋体" w:cs="Times New Roman"/>
          <w:sz w:val="18"/>
          <w:szCs w:val="18"/>
        </w:rPr>
        <w:t>、</w:t>
      </w:r>
      <w:r>
        <w:rPr>
          <w:rFonts w:hint="eastAsia" w:ascii="Times New Roman" w:hAnsi="Times New Roman" w:eastAsia="宋体" w:cs="Times New Roman"/>
          <w:sz w:val="18"/>
          <w:szCs w:val="18"/>
        </w:rPr>
        <w:t>专业基础类</w:t>
      </w:r>
      <w:r>
        <w:rPr>
          <w:rFonts w:ascii="Times New Roman" w:hAnsi="Times New Roman" w:eastAsia="宋体" w:cs="Times New Roman"/>
          <w:sz w:val="18"/>
          <w:szCs w:val="18"/>
        </w:rPr>
        <w:t>、</w:t>
      </w:r>
      <w:r>
        <w:rPr>
          <w:rFonts w:hint="eastAsia" w:ascii="Times New Roman" w:hAnsi="Times New Roman" w:eastAsia="宋体" w:cs="Times New Roman"/>
          <w:sz w:val="18"/>
          <w:szCs w:val="18"/>
        </w:rPr>
        <w:t>专业类</w:t>
      </w:r>
      <w:r>
        <w:rPr>
          <w:rFonts w:ascii="Times New Roman" w:hAnsi="Times New Roman" w:eastAsia="宋体" w:cs="Times New Roman"/>
          <w:sz w:val="18"/>
          <w:szCs w:val="18"/>
        </w:rPr>
        <w:t>、</w:t>
      </w:r>
      <w:r>
        <w:rPr>
          <w:rFonts w:hint="eastAsia" w:ascii="Times New Roman" w:hAnsi="Times New Roman" w:eastAsia="宋体" w:cs="Times New Roman"/>
          <w:sz w:val="18"/>
          <w:szCs w:val="18"/>
        </w:rPr>
        <w:t>工程实践与毕业设计（论文）</w:t>
      </w:r>
      <w:r>
        <w:rPr>
          <w:rFonts w:ascii="Times New Roman" w:hAnsi="Times New Roman" w:eastAsia="宋体" w:cs="Times New Roman"/>
          <w:sz w:val="18"/>
          <w:szCs w:val="18"/>
        </w:rPr>
        <w:t>、</w:t>
      </w:r>
      <w:r>
        <w:rPr>
          <w:rFonts w:hint="eastAsia" w:ascii="Times New Roman" w:hAnsi="Times New Roman" w:eastAsia="宋体" w:cs="Times New Roman"/>
          <w:sz w:val="18"/>
          <w:szCs w:val="18"/>
        </w:rPr>
        <w:t>人文社会科学类</w:t>
      </w:r>
      <w:r>
        <w:rPr>
          <w:rFonts w:ascii="Times New Roman" w:hAnsi="Times New Roman" w:eastAsia="宋体" w:cs="Times New Roman"/>
          <w:sz w:val="18"/>
          <w:szCs w:val="18"/>
        </w:rPr>
        <w:t>；学分学时处（）内为实验学时。</w:t>
      </w:r>
    </w:p>
    <w:p>
      <w:pPr>
        <w:snapToGrid w:val="0"/>
        <w:spacing w:before="156" w:beforeLines="50" w:after="156" w:afterLines="50" w:line="300" w:lineRule="auto"/>
        <w:rPr>
          <w:b/>
          <w:sz w:val="24"/>
        </w:rPr>
      </w:pPr>
      <w:r>
        <w:rPr>
          <w:b/>
          <w:sz w:val="24"/>
        </w:rPr>
        <w:t>一、课程简介</w:t>
      </w:r>
    </w:p>
    <w:p>
      <w:pPr>
        <w:widowControl/>
        <w:adjustRightInd w:val="0"/>
        <w:snapToGrid w:val="0"/>
        <w:spacing w:line="300" w:lineRule="auto"/>
        <w:ind w:firstLine="420" w:firstLineChars="200"/>
        <w:rPr>
          <w:kern w:val="0"/>
          <w:szCs w:val="21"/>
        </w:rPr>
      </w:pPr>
      <w:r>
        <w:rPr>
          <w:kern w:val="0"/>
          <w:szCs w:val="21"/>
        </w:rPr>
        <w:t>本课程的授课对象是电子信息工程专业的一年级学生。课程的性质和任务是：该课程是一门有关电子信息工程的引论性质的课程，以提高工科毕业生的工程能力为切入点，将工程教育理念贯穿到解决复杂工程问题的实践中，启发学生将能力培养视为第一要务，并变成一种自觉的意识和自我要求。在思想政治方面，让学生明白我国在科学技术方面的成就，以及在当前国际形势下，以美国为首的西方反华势力对我国科技领域的围堵与打压，促使同学们努力提高创新意识、工程能力、个人素质、爱国情怀，塑造积极进取和脚踏实地品格；帮助学生更好地认识自己、认识所学专业和理解专业课程体系，从整体和综合高度对所学知识加以</w:t>
      </w:r>
      <w:r>
        <w:rPr>
          <w:rFonts w:hint="eastAsia"/>
          <w:kern w:val="0"/>
          <w:szCs w:val="21"/>
        </w:rPr>
        <w:t>融会贯通</w:t>
      </w:r>
      <w:r>
        <w:rPr>
          <w:kern w:val="0"/>
          <w:szCs w:val="21"/>
        </w:rPr>
        <w:t>，提高学习的目的性和主动性，更好地规划今后的学习道路和职业生涯；了解信息科学与技术、微电子与信号处理、通信科学与技术、控制科学与工程、计算机科学与技术学科、光信息科学与技术、数字图像处理等基本知识，扩大专业知识面和视野；激发学生对控制领域核心工程的兴趣和从事相关工作的动力。使学生对电子信息工程具有初步和比较全面的了解与掌握，着力培养学生的工程实践能力和创新意识，为今后从事专业工作打下良好基础。</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kern w:val="0"/>
          <w:szCs w:val="21"/>
        </w:rPr>
        <w:t>课程目标及能力要求具体如下： 本课程旨在提高工科毕业生的工程能力，将工程教育理念贯穿到解决复杂工程问题的实际。</w:t>
      </w:r>
    </w:p>
    <w:p>
      <w:pPr>
        <w:adjustRightInd w:val="0"/>
        <w:snapToGrid w:val="0"/>
        <w:spacing w:line="300" w:lineRule="auto"/>
        <w:ind w:firstLine="420" w:firstLineChars="200"/>
        <w:rPr>
          <w:kern w:val="0"/>
          <w:szCs w:val="21"/>
        </w:rPr>
      </w:pPr>
      <w:r>
        <w:rPr>
          <w:rFonts w:hint="eastAsia"/>
          <w:kern w:val="0"/>
          <w:szCs w:val="21"/>
        </w:rPr>
        <w:t>1.培养学生对现代社会问题、对工程与世界社会的影响关系有独自的认识，能够具备基本的工程理念与创新意识；逐步形成有效的沟通与交流能力；具有对组织工程项目、协调项目活动的意识，以及良好的职业道德和社会责任意识，培育学生创新精神，使学生的学习能力提升的同时，精神层面也得到升华。[6.1]</w:t>
      </w:r>
    </w:p>
    <w:p>
      <w:pPr>
        <w:adjustRightInd w:val="0"/>
        <w:snapToGrid w:val="0"/>
        <w:spacing w:line="300" w:lineRule="auto"/>
        <w:ind w:firstLine="420" w:firstLineChars="200"/>
        <w:rPr>
          <w:kern w:val="0"/>
          <w:szCs w:val="21"/>
        </w:rPr>
      </w:pPr>
      <w:r>
        <w:rPr>
          <w:rFonts w:hint="eastAsia"/>
          <w:kern w:val="0"/>
          <w:szCs w:val="21"/>
        </w:rPr>
        <w:t>2.培养学生专业自豪感，具备爱岗敬业、团结协作的精神，能够全面地考虑社会、健康、安全、法律、文化以及环境等因素。[7</w:t>
      </w:r>
      <w:r>
        <w:rPr>
          <w:kern w:val="0"/>
          <w:szCs w:val="21"/>
        </w:rPr>
        <w:t>.</w:t>
      </w:r>
      <w:r>
        <w:rPr>
          <w:rFonts w:hint="eastAsia"/>
          <w:kern w:val="0"/>
          <w:szCs w:val="21"/>
        </w:rPr>
        <w:t>1]</w:t>
      </w:r>
    </w:p>
    <w:p>
      <w:pPr>
        <w:adjustRightInd w:val="0"/>
        <w:snapToGrid w:val="0"/>
        <w:spacing w:line="300" w:lineRule="auto"/>
        <w:ind w:firstLine="420" w:firstLineChars="200"/>
        <w:rPr>
          <w:kern w:val="0"/>
          <w:szCs w:val="21"/>
        </w:rPr>
      </w:pPr>
      <w:r>
        <w:rPr>
          <w:kern w:val="0"/>
          <w:szCs w:val="21"/>
        </w:rPr>
        <w:t>3</w:t>
      </w:r>
      <w:r>
        <w:rPr>
          <w:rFonts w:hint="eastAsia"/>
          <w:kern w:val="0"/>
          <w:szCs w:val="21"/>
        </w:rPr>
        <w:t>.能够了解从整体的角度介绍当代信息科学与技术的主要内容和发展前沿，电子信息类专业的产生背景、专业培养目标、培养要求、专业特色、发展历程、发展趋势、主要课程设置特点、主要教学内容、就业前景等；树立正确的人生观、民族观、国家观和价值观，具有良好的人文社会科学素养和社会责任感。[8</w:t>
      </w:r>
      <w:r>
        <w:rPr>
          <w:kern w:val="0"/>
          <w:szCs w:val="21"/>
        </w:rPr>
        <w:t>.</w:t>
      </w:r>
      <w:r>
        <w:rPr>
          <w:rFonts w:hint="eastAsia"/>
          <w:kern w:val="0"/>
          <w:szCs w:val="21"/>
        </w:rPr>
        <w:t>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5856"/>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80" w:type="dxa"/>
            <w:vAlign w:val="center"/>
          </w:tcPr>
          <w:p>
            <w:pPr>
              <w:adjustRightInd w:val="0"/>
              <w:snapToGrid w:val="0"/>
              <w:spacing w:line="300" w:lineRule="auto"/>
              <w:jc w:val="center"/>
              <w:rPr>
                <w:b/>
                <w:bCs/>
                <w:sz w:val="18"/>
                <w:szCs w:val="18"/>
              </w:rPr>
            </w:pPr>
            <w:r>
              <w:rPr>
                <w:b/>
                <w:bCs/>
                <w:sz w:val="18"/>
                <w:szCs w:val="18"/>
              </w:rPr>
              <w:t>毕业要求</w:t>
            </w:r>
          </w:p>
        </w:tc>
        <w:tc>
          <w:tcPr>
            <w:tcW w:w="5856"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c>
          <w:tcPr>
            <w:tcW w:w="656"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80" w:type="dxa"/>
            <w:vAlign w:val="center"/>
          </w:tcPr>
          <w:p>
            <w:pPr>
              <w:adjustRightInd w:val="0"/>
              <w:snapToGrid w:val="0"/>
              <w:spacing w:line="300" w:lineRule="auto"/>
              <w:jc w:val="left"/>
              <w:rPr>
                <w:sz w:val="18"/>
                <w:szCs w:val="18"/>
              </w:rPr>
            </w:pPr>
            <w:r>
              <w:rPr>
                <w:sz w:val="18"/>
                <w:szCs w:val="18"/>
              </w:rPr>
              <w:t>6</w:t>
            </w:r>
            <w:r>
              <w:rPr>
                <w:rFonts w:hint="eastAsia"/>
                <w:sz w:val="18"/>
                <w:szCs w:val="18"/>
              </w:rPr>
              <w:t>.</w:t>
            </w:r>
            <w:r>
              <w:rPr>
                <w:sz w:val="18"/>
                <w:szCs w:val="18"/>
              </w:rPr>
              <w:t xml:space="preserve"> 工程与社会</w:t>
            </w:r>
          </w:p>
        </w:tc>
        <w:tc>
          <w:tcPr>
            <w:tcW w:w="5856" w:type="dxa"/>
            <w:vAlign w:val="center"/>
          </w:tcPr>
          <w:p>
            <w:pPr>
              <w:adjustRightInd w:val="0"/>
              <w:snapToGrid w:val="0"/>
              <w:spacing w:line="300" w:lineRule="auto"/>
              <w:jc w:val="left"/>
              <w:rPr>
                <w:sz w:val="18"/>
                <w:szCs w:val="18"/>
              </w:rPr>
            </w:pPr>
            <w:r>
              <w:rPr>
                <w:sz w:val="18"/>
                <w:szCs w:val="18"/>
              </w:rPr>
              <w:t>6</w:t>
            </w:r>
            <w:r>
              <w:rPr>
                <w:rFonts w:hint="eastAsia"/>
                <w:sz w:val="18"/>
                <w:szCs w:val="18"/>
              </w:rPr>
              <w:t>．</w:t>
            </w:r>
            <w:r>
              <w:rPr>
                <w:sz w:val="18"/>
                <w:szCs w:val="18"/>
              </w:rPr>
              <w:t>1</w:t>
            </w:r>
            <w:r>
              <w:rPr>
                <w:rFonts w:hint="eastAsia"/>
                <w:sz w:val="18"/>
                <w:szCs w:val="18"/>
              </w:rPr>
              <w:t>具有工程实践经历，了解电子信息行业相关的技术标准、知识产权、产业政策和法律法规，了解工程实践和电子信息复杂工程问题解决方案与社会、健康、安全、法律以及文化的关系。</w:t>
            </w:r>
          </w:p>
        </w:tc>
        <w:tc>
          <w:tcPr>
            <w:tcW w:w="689" w:type="dxa"/>
            <w:vAlign w:val="center"/>
          </w:tcPr>
          <w:p>
            <w:pPr>
              <w:adjustRightInd w:val="0"/>
              <w:snapToGrid w:val="0"/>
              <w:spacing w:line="300" w:lineRule="auto"/>
              <w:jc w:val="center"/>
              <w:rPr>
                <w:sz w:val="18"/>
                <w:szCs w:val="18"/>
              </w:rPr>
            </w:pPr>
            <w:r>
              <w:rPr>
                <w:sz w:val="18"/>
                <w:szCs w:val="18"/>
              </w:rPr>
              <w:t>1</w:t>
            </w:r>
          </w:p>
        </w:tc>
        <w:tc>
          <w:tcPr>
            <w:tcW w:w="656" w:type="dxa"/>
            <w:vAlign w:val="center"/>
          </w:tcPr>
          <w:p>
            <w:pPr>
              <w:adjustRightInd w:val="0"/>
              <w:snapToGrid w:val="0"/>
              <w:spacing w:line="300" w:lineRule="auto"/>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480" w:type="dxa"/>
            <w:vAlign w:val="center"/>
          </w:tcPr>
          <w:p>
            <w:pPr>
              <w:adjustRightInd w:val="0"/>
              <w:snapToGrid w:val="0"/>
              <w:spacing w:line="300" w:lineRule="auto"/>
              <w:jc w:val="left"/>
              <w:rPr>
                <w:sz w:val="18"/>
                <w:szCs w:val="18"/>
              </w:rPr>
            </w:pPr>
            <w:r>
              <w:rPr>
                <w:sz w:val="18"/>
                <w:szCs w:val="18"/>
              </w:rPr>
              <w:t xml:space="preserve">7. </w:t>
            </w:r>
            <w:r>
              <w:rPr>
                <w:rFonts w:hint="eastAsia"/>
                <w:sz w:val="18"/>
                <w:szCs w:val="18"/>
              </w:rPr>
              <w:t>环境和可持续发展</w:t>
            </w:r>
          </w:p>
        </w:tc>
        <w:tc>
          <w:tcPr>
            <w:tcW w:w="5856" w:type="dxa"/>
            <w:vAlign w:val="center"/>
          </w:tcPr>
          <w:p>
            <w:pPr>
              <w:adjustRightInd w:val="0"/>
              <w:snapToGrid w:val="0"/>
              <w:spacing w:line="300" w:lineRule="auto"/>
              <w:jc w:val="left"/>
              <w:rPr>
                <w:sz w:val="18"/>
                <w:szCs w:val="18"/>
              </w:rPr>
            </w:pPr>
            <w:r>
              <w:rPr>
                <w:rFonts w:hint="eastAsia"/>
                <w:sz w:val="18"/>
                <w:szCs w:val="18"/>
              </w:rPr>
              <w:t>7.1理解环境保护和社会可持续发展的内涵与意义，了解环境和社会可持续发展的相关政策及法律、法规。</w:t>
            </w:r>
          </w:p>
        </w:tc>
        <w:tc>
          <w:tcPr>
            <w:tcW w:w="689" w:type="dxa"/>
            <w:vAlign w:val="center"/>
          </w:tcPr>
          <w:p>
            <w:pPr>
              <w:adjustRightInd w:val="0"/>
              <w:snapToGrid w:val="0"/>
              <w:spacing w:line="300" w:lineRule="auto"/>
              <w:jc w:val="center"/>
              <w:rPr>
                <w:sz w:val="18"/>
                <w:szCs w:val="18"/>
              </w:rPr>
            </w:pPr>
            <w:r>
              <w:rPr>
                <w:sz w:val="18"/>
                <w:szCs w:val="18"/>
              </w:rPr>
              <w:t>2</w:t>
            </w:r>
          </w:p>
        </w:tc>
        <w:tc>
          <w:tcPr>
            <w:tcW w:w="656" w:type="dxa"/>
            <w:vAlign w:val="center"/>
          </w:tcPr>
          <w:p>
            <w:pPr>
              <w:widowControl/>
              <w:adjustRightInd w:val="0"/>
              <w:snapToGrid w:val="0"/>
              <w:spacing w:line="300" w:lineRule="auto"/>
              <w:jc w:val="center"/>
              <w:rPr>
                <w:sz w:val="18"/>
                <w:szCs w:val="18"/>
              </w:rPr>
            </w:pPr>
            <w:r>
              <w:rPr>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jc w:val="center"/>
        </w:trPr>
        <w:tc>
          <w:tcPr>
            <w:tcW w:w="1480" w:type="dxa"/>
            <w:vAlign w:val="center"/>
          </w:tcPr>
          <w:p>
            <w:pPr>
              <w:adjustRightInd w:val="0"/>
              <w:snapToGrid w:val="0"/>
              <w:spacing w:line="300" w:lineRule="auto"/>
              <w:jc w:val="left"/>
              <w:rPr>
                <w:sz w:val="18"/>
                <w:szCs w:val="18"/>
              </w:rPr>
            </w:pPr>
            <w:r>
              <w:rPr>
                <w:sz w:val="18"/>
                <w:szCs w:val="18"/>
              </w:rPr>
              <w:t xml:space="preserve">8. </w:t>
            </w:r>
            <w:r>
              <w:rPr>
                <w:rFonts w:hint="eastAsia"/>
                <w:sz w:val="18"/>
                <w:szCs w:val="18"/>
              </w:rPr>
              <w:t>职业规范</w:t>
            </w:r>
          </w:p>
        </w:tc>
        <w:tc>
          <w:tcPr>
            <w:tcW w:w="5856" w:type="dxa"/>
            <w:vAlign w:val="center"/>
          </w:tcPr>
          <w:p>
            <w:pPr>
              <w:adjustRightInd w:val="0"/>
              <w:snapToGrid w:val="0"/>
              <w:spacing w:line="300" w:lineRule="auto"/>
              <w:ind w:right="-334"/>
              <w:jc w:val="left"/>
              <w:rPr>
                <w:sz w:val="18"/>
                <w:szCs w:val="18"/>
              </w:rPr>
            </w:pPr>
            <w:r>
              <w:rPr>
                <w:rFonts w:hint="eastAsia"/>
                <w:sz w:val="18"/>
                <w:szCs w:val="18"/>
              </w:rPr>
              <w:t>8.1坚持以德立身、以德立学，树立正确的人生观、民族观、国家观和价值观，具有良好的人文社会科学素养和社会责任感。</w:t>
            </w:r>
          </w:p>
        </w:tc>
        <w:tc>
          <w:tcPr>
            <w:tcW w:w="689" w:type="dxa"/>
            <w:vAlign w:val="center"/>
          </w:tcPr>
          <w:p>
            <w:pPr>
              <w:adjustRightInd w:val="0"/>
              <w:snapToGrid w:val="0"/>
              <w:spacing w:line="300" w:lineRule="auto"/>
              <w:jc w:val="center"/>
              <w:rPr>
                <w:sz w:val="18"/>
                <w:szCs w:val="18"/>
              </w:rPr>
            </w:pPr>
            <w:r>
              <w:rPr>
                <w:sz w:val="18"/>
                <w:szCs w:val="18"/>
              </w:rPr>
              <w:t>3</w:t>
            </w:r>
          </w:p>
        </w:tc>
        <w:tc>
          <w:tcPr>
            <w:tcW w:w="656" w:type="dxa"/>
            <w:vAlign w:val="center"/>
          </w:tcPr>
          <w:p>
            <w:pPr>
              <w:adjustRightInd w:val="0"/>
              <w:snapToGrid w:val="0"/>
              <w:spacing w:line="300" w:lineRule="auto"/>
              <w:jc w:val="center"/>
              <w:rPr>
                <w:sz w:val="18"/>
                <w:szCs w:val="18"/>
              </w:rPr>
            </w:pPr>
            <w:r>
              <w:rPr>
                <w:sz w:val="18"/>
                <w:szCs w:val="18"/>
              </w:rPr>
              <w:t>0.4</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7"/>
        <w:gridCol w:w="1531"/>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70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153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4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rPr>
              <w:t xml:space="preserve">1. </w:t>
            </w:r>
            <w:r>
              <w:rPr>
                <w:rFonts w:hint="eastAsia"/>
                <w:sz w:val="18"/>
                <w:szCs w:val="18"/>
              </w:rPr>
              <w:t>培养学生对现代社会问题、对工程与世界社会的影响关系有独自的认识，能够具备基本的工程理念与创新意识；逐步形成有效的沟通与交流能力；具有对组织工程项目、协调项目活动的意识，以及良好的职业道德和社会责任意识，培育学生创新精神，使学生的学习能力提升的同时，精神层面也得到升华。</w:t>
            </w:r>
          </w:p>
        </w:tc>
        <w:tc>
          <w:tcPr>
            <w:tcW w:w="1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指定阅读，现场汇报与指导</w:t>
            </w:r>
            <w:r>
              <w:rPr>
                <w:bCs/>
                <w:sz w:val="18"/>
                <w:szCs w:val="18"/>
              </w:rPr>
              <w:t>、研讨与</w:t>
            </w:r>
            <w:r>
              <w:rPr>
                <w:sz w:val="18"/>
                <w:szCs w:val="18"/>
                <w:shd w:val="clear" w:color="auto" w:fill="FEFEFF"/>
              </w:rPr>
              <w:t>自学、课程论文等达成。</w:t>
            </w:r>
          </w:p>
        </w:tc>
        <w:tc>
          <w:tcPr>
            <w:tcW w:w="14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bCs/>
                <w:sz w:val="18"/>
                <w:szCs w:val="18"/>
              </w:rPr>
              <w:t>现场汇报、课程论文相关记录等原始材料考评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shd w:val="clear" w:color="auto" w:fill="FEFEFF"/>
              </w:rPr>
            </w:pPr>
            <w:r>
              <w:rPr>
                <w:sz w:val="18"/>
                <w:szCs w:val="18"/>
              </w:rPr>
              <w:t xml:space="preserve">2. </w:t>
            </w:r>
            <w:r>
              <w:rPr>
                <w:rFonts w:hint="eastAsia"/>
                <w:sz w:val="18"/>
                <w:szCs w:val="18"/>
              </w:rPr>
              <w:t>培养学生专业自豪感，具备爱岗敬业、团结协作的精神，能够全面地考虑社会、健康、安全、法律、文化以及环境等因素。</w:t>
            </w:r>
          </w:p>
        </w:tc>
        <w:tc>
          <w:tcPr>
            <w:tcW w:w="1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指定阅读，现场汇报与指导</w:t>
            </w:r>
            <w:r>
              <w:rPr>
                <w:bCs/>
                <w:sz w:val="18"/>
                <w:szCs w:val="18"/>
              </w:rPr>
              <w:t>、研讨与</w:t>
            </w:r>
            <w:r>
              <w:rPr>
                <w:sz w:val="18"/>
                <w:szCs w:val="18"/>
                <w:shd w:val="clear" w:color="auto" w:fill="FEFEFF"/>
              </w:rPr>
              <w:t>自学、课程论文等达成。</w:t>
            </w:r>
          </w:p>
        </w:tc>
        <w:tc>
          <w:tcPr>
            <w:tcW w:w="14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bCs/>
                <w:sz w:val="18"/>
                <w:szCs w:val="18"/>
              </w:rPr>
              <w:t>现场汇报、课程论文相关记录等原始材料考评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rPr>
              <w:t xml:space="preserve">3. </w:t>
            </w:r>
            <w:r>
              <w:rPr>
                <w:rFonts w:hint="eastAsia"/>
                <w:sz w:val="18"/>
                <w:szCs w:val="18"/>
              </w:rPr>
              <w:t>能够了解从整体的角度介绍当代信息科学与技术的主要内容和发展前沿，电子信息类专业的产生背景、专业培养目标、培养要求、专业特色、发展历程、发展趋势、主要课程设置特点、主要教学内容、就业前景等；树立正确的人生观、民族观、国家观和价值观，具有良好的人文社会科学素养和社会责任感。</w:t>
            </w:r>
          </w:p>
        </w:tc>
        <w:tc>
          <w:tcPr>
            <w:tcW w:w="1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指定阅读，现场汇报与指导</w:t>
            </w:r>
            <w:r>
              <w:rPr>
                <w:bCs/>
                <w:sz w:val="18"/>
                <w:szCs w:val="18"/>
              </w:rPr>
              <w:t>、研讨与</w:t>
            </w:r>
            <w:r>
              <w:rPr>
                <w:sz w:val="18"/>
                <w:szCs w:val="18"/>
                <w:shd w:val="clear" w:color="auto" w:fill="FEFEFF"/>
              </w:rPr>
              <w:t>自学、课程论文等达成。</w:t>
            </w:r>
          </w:p>
        </w:tc>
        <w:tc>
          <w:tcPr>
            <w:tcW w:w="14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bCs/>
                <w:sz w:val="18"/>
                <w:szCs w:val="18"/>
              </w:rPr>
              <w:t>现场汇报、课程论文相关记录等原始材料考评</w:t>
            </w:r>
          </w:p>
        </w:tc>
      </w:tr>
    </w:tbl>
    <w:p>
      <w:pPr>
        <w:adjustRightInd w:val="0"/>
        <w:snapToGrid w:val="0"/>
        <w:spacing w:before="156" w:beforeLines="50" w:after="156" w:afterLines="50" w:line="300" w:lineRule="auto"/>
        <w:rPr>
          <w:b/>
          <w:sz w:val="24"/>
        </w:rPr>
      </w:pPr>
      <w:r>
        <w:rPr>
          <w:b/>
          <w:sz w:val="24"/>
        </w:rPr>
        <w:t>四、课程教学内容、教与学的要求</w:t>
      </w:r>
    </w:p>
    <w:p>
      <w:pPr>
        <w:widowControl/>
        <w:adjustRightInd w:val="0"/>
        <w:snapToGrid w:val="0"/>
        <w:spacing w:line="300" w:lineRule="auto"/>
        <w:ind w:firstLine="400"/>
        <w:rPr>
          <w:bCs/>
          <w:kern w:val="0"/>
          <w:szCs w:val="21"/>
        </w:rPr>
      </w:pPr>
      <w:r>
        <w:rPr>
          <w:bCs/>
          <w:kern w:val="0"/>
          <w:szCs w:val="21"/>
        </w:rPr>
        <w:t>本课程在教学上采用讲授教学、讨论教学、案例教学以及课题研究教学等多种教学方式</w:t>
      </w:r>
      <w:r>
        <w:rPr>
          <w:rFonts w:hint="eastAsia"/>
          <w:bCs/>
          <w:kern w:val="0"/>
          <w:szCs w:val="21"/>
        </w:rPr>
        <w:t>、</w:t>
      </w:r>
      <w:r>
        <w:rPr>
          <w:bCs/>
          <w:kern w:val="0"/>
          <w:szCs w:val="21"/>
        </w:rPr>
        <w:t>方法并举的形式。在电子信息工程导论的引论部分将强化工程教育的背景及CDIO理念，以及在实施工程教育过程中如何培养工程理念与工程思维、工程意识与创新、工程团队意识等，在此基础上介绍电子信息工程专业的定位，进一步明确电子信息专业的知识体系</w:t>
      </w:r>
      <w:r>
        <w:rPr>
          <w:rFonts w:hint="eastAsia"/>
          <w:bCs/>
          <w:kern w:val="0"/>
          <w:szCs w:val="21"/>
        </w:rPr>
        <w:t>、</w:t>
      </w:r>
      <w:r>
        <w:rPr>
          <w:bCs/>
          <w:kern w:val="0"/>
          <w:szCs w:val="21"/>
        </w:rPr>
        <w:t>课程体系</w:t>
      </w:r>
      <w:r>
        <w:rPr>
          <w:rFonts w:hint="eastAsia"/>
          <w:bCs/>
          <w:kern w:val="0"/>
          <w:szCs w:val="21"/>
        </w:rPr>
        <w:t>、</w:t>
      </w:r>
      <w:r>
        <w:rPr>
          <w:bCs/>
          <w:kern w:val="0"/>
          <w:szCs w:val="21"/>
        </w:rPr>
        <w:t>专业的特点和专业的发展前景。</w:t>
      </w:r>
    </w:p>
    <w:p>
      <w:pPr>
        <w:widowControl/>
        <w:adjustRightInd w:val="0"/>
        <w:snapToGrid w:val="0"/>
        <w:spacing w:line="300" w:lineRule="auto"/>
        <w:ind w:firstLine="400"/>
        <w:rPr>
          <w:bCs/>
          <w:kern w:val="0"/>
          <w:szCs w:val="21"/>
        </w:rPr>
      </w:pPr>
      <w:r>
        <w:rPr>
          <w:bCs/>
          <w:kern w:val="0"/>
          <w:szCs w:val="21"/>
        </w:rPr>
        <w:t>阐述电子信息专业及其体系结构，从八个方面介绍电子信息专业的组成及所用技术，培养学生能够结合所学各门专业课程，掌握构建电子系统所涉及的主要电子、计算机、通信、自动控制、光信息、数字图像处理等知识，并能融会贯通</w:t>
      </w:r>
      <w:r>
        <w:rPr>
          <w:rFonts w:hint="eastAsia"/>
          <w:bCs/>
          <w:kern w:val="0"/>
          <w:szCs w:val="21"/>
        </w:rPr>
        <w:t>、</w:t>
      </w:r>
      <w:r>
        <w:rPr>
          <w:bCs/>
          <w:kern w:val="0"/>
          <w:szCs w:val="21"/>
        </w:rPr>
        <w:t>综合应用。结合电子系统的初步设计、详细设计、硬件集成、软件编程的基本要求、内容以及设计文档的撰写，培养学生理解电子信息系统实施过程中的内容、步骤与基本方法。</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038"/>
        <w:gridCol w:w="5290"/>
        <w:gridCol w:w="591"/>
        <w:gridCol w:w="992"/>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9"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1038" w:type="dxa"/>
            <w:vAlign w:val="center"/>
          </w:tcPr>
          <w:p>
            <w:pPr>
              <w:adjustRightInd w:val="0"/>
              <w:snapToGrid w:val="0"/>
              <w:spacing w:line="300" w:lineRule="auto"/>
              <w:rPr>
                <w:b/>
                <w:bCs/>
                <w:sz w:val="18"/>
                <w:szCs w:val="18"/>
              </w:rPr>
            </w:pPr>
            <w:r>
              <w:rPr>
                <w:b/>
                <w:bCs/>
                <w:sz w:val="18"/>
                <w:szCs w:val="18"/>
              </w:rPr>
              <w:t>教学内容</w:t>
            </w:r>
          </w:p>
        </w:tc>
        <w:tc>
          <w:tcPr>
            <w:tcW w:w="5290"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591" w:type="dxa"/>
            <w:vAlign w:val="center"/>
          </w:tcPr>
          <w:p>
            <w:pPr>
              <w:adjustRightInd w:val="0"/>
              <w:snapToGrid w:val="0"/>
              <w:spacing w:line="300" w:lineRule="auto"/>
              <w:jc w:val="center"/>
              <w:rPr>
                <w:b/>
                <w:bCs/>
                <w:sz w:val="18"/>
                <w:szCs w:val="18"/>
              </w:rPr>
            </w:pPr>
            <w:r>
              <w:rPr>
                <w:b/>
                <w:bCs/>
                <w:sz w:val="18"/>
                <w:szCs w:val="18"/>
              </w:rPr>
              <w:t>学时</w:t>
            </w:r>
          </w:p>
        </w:tc>
        <w:tc>
          <w:tcPr>
            <w:tcW w:w="992" w:type="dxa"/>
            <w:vAlign w:val="center"/>
          </w:tcPr>
          <w:p>
            <w:pPr>
              <w:adjustRightInd w:val="0"/>
              <w:snapToGrid w:val="0"/>
              <w:spacing w:line="300" w:lineRule="auto"/>
              <w:jc w:val="center"/>
              <w:rPr>
                <w:b/>
                <w:bCs/>
                <w:sz w:val="18"/>
                <w:szCs w:val="18"/>
              </w:rPr>
            </w:pPr>
            <w:r>
              <w:rPr>
                <w:b/>
                <w:bCs/>
                <w:sz w:val="18"/>
                <w:szCs w:val="18"/>
              </w:rPr>
              <w:t>教学目标</w:t>
            </w:r>
          </w:p>
        </w:tc>
        <w:tc>
          <w:tcPr>
            <w:tcW w:w="1211" w:type="dxa"/>
          </w:tcPr>
          <w:p>
            <w:pPr>
              <w:adjustRightInd w:val="0"/>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1038" w:type="dxa"/>
            <w:vAlign w:val="center"/>
          </w:tcPr>
          <w:p>
            <w:pPr>
              <w:adjustRightInd w:val="0"/>
              <w:snapToGrid w:val="0"/>
              <w:spacing w:line="300" w:lineRule="auto"/>
              <w:rPr>
                <w:sz w:val="18"/>
                <w:szCs w:val="18"/>
              </w:rPr>
            </w:pPr>
            <w:r>
              <w:rPr>
                <w:rFonts w:hint="eastAsia" w:ascii="宋体" w:hAnsi="宋体"/>
                <w:szCs w:val="21"/>
                <w:shd w:val="clear" w:color="auto" w:fill="FFFFFF"/>
              </w:rPr>
              <w:t>移动通信</w:t>
            </w:r>
          </w:p>
        </w:tc>
        <w:tc>
          <w:tcPr>
            <w:tcW w:w="5290" w:type="dxa"/>
            <w:vAlign w:val="center"/>
          </w:tcPr>
          <w:p>
            <w:pPr>
              <w:adjustRightInd w:val="0"/>
              <w:snapToGrid w:val="0"/>
              <w:spacing w:line="300" w:lineRule="auto"/>
              <w:rPr>
                <w:sz w:val="18"/>
                <w:szCs w:val="18"/>
              </w:rPr>
            </w:pPr>
            <w:r>
              <w:rPr>
                <w:rFonts w:hint="eastAsia"/>
                <w:sz w:val="18"/>
                <w:szCs w:val="18"/>
              </w:rPr>
              <w:t>一、</w:t>
            </w:r>
            <w:r>
              <w:rPr>
                <w:sz w:val="18"/>
                <w:szCs w:val="18"/>
              </w:rPr>
              <w:t>要求</w:t>
            </w:r>
          </w:p>
          <w:p>
            <w:pPr>
              <w:adjustRightInd w:val="0"/>
              <w:snapToGrid w:val="0"/>
              <w:spacing w:line="300" w:lineRule="auto"/>
              <w:ind w:firstLine="360" w:firstLineChars="200"/>
              <w:rPr>
                <w:sz w:val="18"/>
                <w:szCs w:val="18"/>
              </w:rPr>
            </w:pPr>
            <w:r>
              <w:rPr>
                <w:rFonts w:hint="eastAsia"/>
                <w:sz w:val="18"/>
                <w:szCs w:val="18"/>
              </w:rPr>
              <w:t>1.了解移动通信的早期历史</w:t>
            </w:r>
          </w:p>
          <w:p>
            <w:pPr>
              <w:adjustRightInd w:val="0"/>
              <w:snapToGrid w:val="0"/>
              <w:spacing w:line="300" w:lineRule="auto"/>
              <w:ind w:firstLine="360" w:firstLineChars="200"/>
              <w:rPr>
                <w:sz w:val="18"/>
                <w:szCs w:val="18"/>
              </w:rPr>
            </w:pPr>
            <w:r>
              <w:rPr>
                <w:rFonts w:hint="eastAsia"/>
                <w:sz w:val="18"/>
                <w:szCs w:val="18"/>
              </w:rPr>
              <w:t>2.了解第一代移动通信</w:t>
            </w:r>
          </w:p>
          <w:p>
            <w:pPr>
              <w:adjustRightInd w:val="0"/>
              <w:snapToGrid w:val="0"/>
              <w:spacing w:line="300" w:lineRule="auto"/>
              <w:ind w:firstLine="360" w:firstLineChars="200"/>
              <w:rPr>
                <w:sz w:val="18"/>
                <w:szCs w:val="18"/>
              </w:rPr>
            </w:pPr>
            <w:r>
              <w:rPr>
                <w:sz w:val="18"/>
                <w:szCs w:val="18"/>
              </w:rPr>
              <w:t>3.</w:t>
            </w:r>
            <w:r>
              <w:rPr>
                <w:rFonts w:hint="eastAsia"/>
                <w:sz w:val="18"/>
                <w:szCs w:val="18"/>
              </w:rPr>
              <w:t>理解第二代移动通信：长江后浪推前浪</w:t>
            </w:r>
          </w:p>
          <w:p>
            <w:pPr>
              <w:adjustRightInd w:val="0"/>
              <w:snapToGrid w:val="0"/>
              <w:spacing w:line="300" w:lineRule="auto"/>
              <w:ind w:firstLine="360" w:firstLineChars="200"/>
              <w:rPr>
                <w:sz w:val="18"/>
                <w:szCs w:val="18"/>
              </w:rPr>
            </w:pPr>
            <w:r>
              <w:rPr>
                <w:sz w:val="18"/>
                <w:szCs w:val="18"/>
              </w:rPr>
              <w:t>4.</w:t>
            </w:r>
            <w:r>
              <w:rPr>
                <w:rFonts w:hint="eastAsia"/>
                <w:sz w:val="18"/>
                <w:szCs w:val="18"/>
              </w:rPr>
              <w:t>理解第三代移动通信：中国标准崭露头角</w:t>
            </w:r>
          </w:p>
          <w:p>
            <w:pPr>
              <w:adjustRightInd w:val="0"/>
              <w:snapToGrid w:val="0"/>
              <w:spacing w:line="300" w:lineRule="auto"/>
              <w:ind w:firstLine="360" w:firstLineChars="200"/>
              <w:rPr>
                <w:sz w:val="18"/>
                <w:szCs w:val="18"/>
              </w:rPr>
            </w:pPr>
            <w:r>
              <w:rPr>
                <w:sz w:val="18"/>
                <w:szCs w:val="18"/>
              </w:rPr>
              <w:t>5.</w:t>
            </w:r>
            <w:r>
              <w:rPr>
                <w:rFonts w:hint="eastAsia"/>
                <w:sz w:val="18"/>
                <w:szCs w:val="18"/>
              </w:rPr>
              <w:t>理解第四代移动通信：中国与欧盟并驾齐驱</w:t>
            </w:r>
          </w:p>
          <w:p>
            <w:pPr>
              <w:adjustRightInd w:val="0"/>
              <w:snapToGrid w:val="0"/>
              <w:spacing w:line="300" w:lineRule="auto"/>
              <w:ind w:firstLine="360" w:firstLineChars="200"/>
              <w:rPr>
                <w:sz w:val="18"/>
                <w:szCs w:val="18"/>
              </w:rPr>
            </w:pPr>
            <w:r>
              <w:rPr>
                <w:sz w:val="18"/>
                <w:szCs w:val="18"/>
              </w:rPr>
              <w:t>6.</w:t>
            </w:r>
            <w:r>
              <w:rPr>
                <w:rFonts w:hint="eastAsia"/>
                <w:sz w:val="18"/>
                <w:szCs w:val="18"/>
              </w:rPr>
              <w:t>理解第五代移动通信：中国企业开始领跑</w:t>
            </w:r>
          </w:p>
          <w:p>
            <w:pPr>
              <w:adjustRightInd w:val="0"/>
              <w:snapToGrid w:val="0"/>
              <w:spacing w:line="300" w:lineRule="auto"/>
              <w:rPr>
                <w:sz w:val="18"/>
                <w:szCs w:val="18"/>
              </w:rPr>
            </w:pPr>
            <w:r>
              <w:rPr>
                <w:rFonts w:hint="eastAsia"/>
                <w:sz w:val="18"/>
                <w:szCs w:val="18"/>
              </w:rPr>
              <w:t>二、</w:t>
            </w:r>
            <w:r>
              <w:rPr>
                <w:sz w:val="18"/>
                <w:szCs w:val="18"/>
              </w:rPr>
              <w:t>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1038" w:type="dxa"/>
            <w:vAlign w:val="center"/>
          </w:tcPr>
          <w:p>
            <w:pPr>
              <w:adjustRightInd w:val="0"/>
              <w:snapToGrid w:val="0"/>
              <w:spacing w:line="300" w:lineRule="auto"/>
              <w:rPr>
                <w:sz w:val="18"/>
                <w:szCs w:val="18"/>
              </w:rPr>
            </w:pPr>
            <w:r>
              <w:rPr>
                <w:rFonts w:hint="eastAsia" w:ascii="宋体" w:hAnsi="宋体"/>
                <w:szCs w:val="21"/>
                <w:shd w:val="clear" w:color="auto" w:fill="FFFFFF"/>
              </w:rPr>
              <w:t>集成电路</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left="420" w:leftChars="200"/>
              <w:rPr>
                <w:sz w:val="18"/>
                <w:szCs w:val="18"/>
              </w:rPr>
            </w:pPr>
            <w:r>
              <w:rPr>
                <w:sz w:val="18"/>
                <w:szCs w:val="18"/>
              </w:rPr>
              <w:t>1.</w:t>
            </w:r>
            <w:r>
              <w:rPr>
                <w:rFonts w:hint="eastAsia"/>
                <w:sz w:val="18"/>
                <w:szCs w:val="18"/>
              </w:rPr>
              <w:t>了解从电子管到晶体管的历史</w:t>
            </w:r>
            <w:r>
              <w:rPr>
                <w:sz w:val="18"/>
                <w:szCs w:val="18"/>
              </w:rPr>
              <w:cr/>
            </w:r>
            <w:r>
              <w:rPr>
                <w:sz w:val="18"/>
                <w:szCs w:val="18"/>
              </w:rPr>
              <w:t>2.</w:t>
            </w:r>
            <w:r>
              <w:rPr>
                <w:rFonts w:hint="eastAsia"/>
                <w:sz w:val="18"/>
                <w:szCs w:val="18"/>
              </w:rPr>
              <w:t>了解集成电路的发明与发展</w:t>
            </w:r>
            <w:r>
              <w:rPr>
                <w:sz w:val="18"/>
                <w:szCs w:val="18"/>
              </w:rPr>
              <w:cr/>
            </w:r>
            <w:r>
              <w:rPr>
                <w:sz w:val="18"/>
                <w:szCs w:val="18"/>
              </w:rPr>
              <w:t>3.</w:t>
            </w:r>
            <w:r>
              <w:rPr>
                <w:rFonts w:hint="eastAsia"/>
                <w:sz w:val="18"/>
                <w:szCs w:val="18"/>
              </w:rPr>
              <w:t>理解集成电路的制造工艺</w:t>
            </w:r>
            <w:r>
              <w:rPr>
                <w:sz w:val="18"/>
                <w:szCs w:val="18"/>
              </w:rPr>
              <w:t></w:t>
            </w:r>
            <w:r>
              <w:rPr>
                <w:sz w:val="18"/>
                <w:szCs w:val="18"/>
              </w:rPr>
              <w:cr/>
            </w:r>
            <w:r>
              <w:rPr>
                <w:sz w:val="18"/>
                <w:szCs w:val="18"/>
              </w:rPr>
              <w:t>4.</w:t>
            </w:r>
            <w:r>
              <w:rPr>
                <w:rFonts w:hint="eastAsia"/>
                <w:sz w:val="18"/>
                <w:szCs w:val="18"/>
              </w:rPr>
              <w:t>掌握集成电路设计与</w:t>
            </w:r>
            <w:r>
              <w:rPr>
                <w:sz w:val="18"/>
                <w:szCs w:val="18"/>
              </w:rPr>
              <w:t>EDA</w:t>
            </w:r>
            <w:r>
              <w:rPr>
                <w:sz w:val="18"/>
                <w:szCs w:val="18"/>
              </w:rPr>
              <w:cr/>
            </w:r>
            <w:r>
              <w:rPr>
                <w:sz w:val="18"/>
                <w:szCs w:val="18"/>
              </w:rPr>
              <w:t>5.</w:t>
            </w:r>
            <w:r>
              <w:rPr>
                <w:rFonts w:hint="eastAsia"/>
                <w:sz w:val="18"/>
                <w:szCs w:val="18"/>
              </w:rPr>
              <w:t>掌握集成电路产业发展模式</w:t>
            </w:r>
          </w:p>
          <w:p>
            <w:pPr>
              <w:adjustRightInd w:val="0"/>
              <w:snapToGrid w:val="0"/>
              <w:spacing w:line="300" w:lineRule="auto"/>
              <w:rPr>
                <w:sz w:val="18"/>
                <w:szCs w:val="18"/>
              </w:rPr>
            </w:pPr>
            <w:r>
              <w:rPr>
                <w:sz w:val="18"/>
                <w:szCs w:val="18"/>
              </w:rPr>
              <w:t>二、教学方法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1038" w:type="dxa"/>
            <w:vAlign w:val="center"/>
          </w:tcPr>
          <w:p>
            <w:pPr>
              <w:adjustRightInd w:val="0"/>
              <w:snapToGrid w:val="0"/>
              <w:spacing w:line="300" w:lineRule="auto"/>
              <w:rPr>
                <w:sz w:val="18"/>
                <w:szCs w:val="18"/>
              </w:rPr>
            </w:pPr>
            <w:r>
              <w:rPr>
                <w:rFonts w:hint="eastAsia" w:ascii="宋体" w:hAnsi="宋体"/>
                <w:szCs w:val="21"/>
              </w:rPr>
              <w:t>计算之芯片</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rFonts w:hint="eastAsia"/>
                <w:sz w:val="18"/>
                <w:szCs w:val="18"/>
              </w:rPr>
              <w:t>1.了解图灵、冯·诺依曼与大型计算机</w:t>
            </w:r>
          </w:p>
          <w:p>
            <w:pPr>
              <w:adjustRightInd w:val="0"/>
              <w:snapToGrid w:val="0"/>
              <w:spacing w:line="300" w:lineRule="auto"/>
              <w:ind w:firstLine="360" w:firstLineChars="200"/>
              <w:rPr>
                <w:sz w:val="18"/>
                <w:szCs w:val="18"/>
              </w:rPr>
            </w:pPr>
            <w:r>
              <w:rPr>
                <w:rFonts w:hint="eastAsia"/>
                <w:sz w:val="18"/>
                <w:szCs w:val="18"/>
              </w:rPr>
              <w:t>2.了解个人计算机与微处理器</w:t>
            </w:r>
          </w:p>
          <w:p>
            <w:pPr>
              <w:adjustRightInd w:val="0"/>
              <w:snapToGrid w:val="0"/>
              <w:spacing w:line="300" w:lineRule="auto"/>
              <w:ind w:firstLine="360" w:firstLineChars="200"/>
              <w:rPr>
                <w:sz w:val="18"/>
                <w:szCs w:val="18"/>
              </w:rPr>
            </w:pPr>
            <w:r>
              <w:rPr>
                <w:sz w:val="18"/>
                <w:szCs w:val="18"/>
              </w:rPr>
              <w:t>3.</w:t>
            </w:r>
            <w:r>
              <w:rPr>
                <w:rFonts w:hint="eastAsia"/>
                <w:sz w:val="18"/>
                <w:szCs w:val="18"/>
              </w:rPr>
              <w:t>理解计算体系架构与指令集</w:t>
            </w:r>
          </w:p>
          <w:p>
            <w:pPr>
              <w:adjustRightInd w:val="0"/>
              <w:snapToGrid w:val="0"/>
              <w:spacing w:line="300" w:lineRule="auto"/>
              <w:ind w:firstLine="360" w:firstLineChars="200"/>
              <w:rPr>
                <w:sz w:val="18"/>
                <w:szCs w:val="18"/>
              </w:rPr>
            </w:pPr>
            <w:r>
              <w:rPr>
                <w:sz w:val="18"/>
                <w:szCs w:val="18"/>
              </w:rPr>
              <w:t xml:space="preserve">4. </w:t>
            </w:r>
            <w:r>
              <w:rPr>
                <w:rFonts w:hint="eastAsia"/>
                <w:sz w:val="18"/>
                <w:szCs w:val="18"/>
              </w:rPr>
              <w:t>理解基带处理器</w:t>
            </w:r>
          </w:p>
          <w:p>
            <w:pPr>
              <w:adjustRightInd w:val="0"/>
              <w:snapToGrid w:val="0"/>
              <w:spacing w:line="300" w:lineRule="auto"/>
              <w:ind w:firstLine="360" w:firstLineChars="200"/>
              <w:rPr>
                <w:sz w:val="18"/>
                <w:szCs w:val="18"/>
              </w:rPr>
            </w:pPr>
            <w:r>
              <w:rPr>
                <w:sz w:val="18"/>
                <w:szCs w:val="18"/>
              </w:rPr>
              <w:t xml:space="preserve">5. </w:t>
            </w:r>
            <w:r>
              <w:rPr>
                <w:rFonts w:hint="eastAsia"/>
                <w:sz w:val="18"/>
                <w:szCs w:val="18"/>
              </w:rPr>
              <w:t>理解图形处理器</w:t>
            </w:r>
          </w:p>
          <w:p>
            <w:pPr>
              <w:adjustRightInd w:val="0"/>
              <w:snapToGrid w:val="0"/>
              <w:spacing w:line="300" w:lineRule="auto"/>
              <w:ind w:firstLine="360" w:firstLineChars="200"/>
              <w:rPr>
                <w:sz w:val="18"/>
                <w:szCs w:val="18"/>
              </w:rPr>
            </w:pPr>
            <w:r>
              <w:rPr>
                <w:sz w:val="18"/>
                <w:szCs w:val="18"/>
              </w:rPr>
              <w:t>6.</w:t>
            </w:r>
            <w:r>
              <w:rPr>
                <w:rFonts w:hint="eastAsia"/>
                <w:sz w:val="18"/>
                <w:szCs w:val="18"/>
              </w:rPr>
              <w:t>掌握移动处理器与人工智能</w:t>
            </w:r>
          </w:p>
          <w:p>
            <w:pPr>
              <w:adjustRightInd w:val="0"/>
              <w:snapToGrid w:val="0"/>
              <w:spacing w:line="300" w:lineRule="auto"/>
              <w:rPr>
                <w:sz w:val="18"/>
                <w:szCs w:val="18"/>
              </w:rPr>
            </w:pPr>
            <w:r>
              <w:rPr>
                <w:sz w:val="18"/>
                <w:szCs w:val="18"/>
              </w:rPr>
              <w:t>二、教学方法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1038" w:type="dxa"/>
            <w:vAlign w:val="center"/>
          </w:tcPr>
          <w:p>
            <w:pPr>
              <w:adjustRightInd w:val="0"/>
              <w:snapToGrid w:val="0"/>
              <w:spacing w:line="300" w:lineRule="auto"/>
              <w:rPr>
                <w:sz w:val="18"/>
                <w:szCs w:val="18"/>
              </w:rPr>
            </w:pPr>
            <w:r>
              <w:rPr>
                <w:rFonts w:hint="eastAsia" w:ascii="宋体" w:hAnsi="宋体"/>
                <w:szCs w:val="21"/>
              </w:rPr>
              <w:t>信息存储</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rFonts w:hint="eastAsia"/>
                <w:sz w:val="18"/>
                <w:szCs w:val="18"/>
              </w:rPr>
              <w:t>1.了解机械硬盘发展简史</w:t>
            </w:r>
          </w:p>
          <w:p>
            <w:pPr>
              <w:adjustRightInd w:val="0"/>
              <w:snapToGrid w:val="0"/>
              <w:spacing w:line="300" w:lineRule="auto"/>
              <w:ind w:firstLine="360" w:firstLineChars="200"/>
              <w:rPr>
                <w:sz w:val="18"/>
                <w:szCs w:val="18"/>
              </w:rPr>
            </w:pPr>
            <w:r>
              <w:rPr>
                <w:rFonts w:hint="eastAsia"/>
                <w:sz w:val="18"/>
                <w:szCs w:val="18"/>
              </w:rPr>
              <w:t>2.了解固态硬盘发展简史</w:t>
            </w:r>
          </w:p>
          <w:p>
            <w:pPr>
              <w:adjustRightInd w:val="0"/>
              <w:snapToGrid w:val="0"/>
              <w:spacing w:line="300" w:lineRule="auto"/>
              <w:ind w:firstLine="360" w:firstLineChars="200"/>
              <w:rPr>
                <w:sz w:val="18"/>
                <w:szCs w:val="18"/>
              </w:rPr>
            </w:pPr>
            <w:r>
              <w:rPr>
                <w:sz w:val="18"/>
                <w:szCs w:val="18"/>
              </w:rPr>
              <w:t>3.</w:t>
            </w:r>
            <w:r>
              <w:rPr>
                <w:rFonts w:hint="eastAsia"/>
                <w:sz w:val="18"/>
                <w:szCs w:val="18"/>
              </w:rPr>
              <w:t>掌握计算机内存：</w:t>
            </w:r>
            <w:r>
              <w:rPr>
                <w:sz w:val="18"/>
                <w:szCs w:val="18"/>
              </w:rPr>
              <w:t>SRAM</w:t>
            </w:r>
            <w:r>
              <w:rPr>
                <w:rFonts w:hint="eastAsia"/>
                <w:sz w:val="18"/>
                <w:szCs w:val="18"/>
              </w:rPr>
              <w:t>与</w:t>
            </w:r>
            <w:r>
              <w:rPr>
                <w:sz w:val="18"/>
                <w:szCs w:val="18"/>
              </w:rPr>
              <w:t>DRAM</w:t>
            </w:r>
          </w:p>
          <w:p>
            <w:pPr>
              <w:adjustRightInd w:val="0"/>
              <w:snapToGrid w:val="0"/>
              <w:spacing w:line="300" w:lineRule="auto"/>
              <w:ind w:firstLine="360" w:firstLineChars="200"/>
              <w:rPr>
                <w:sz w:val="18"/>
                <w:szCs w:val="18"/>
              </w:rPr>
            </w:pPr>
            <w:r>
              <w:rPr>
                <w:sz w:val="18"/>
                <w:szCs w:val="18"/>
              </w:rPr>
              <w:t>4.</w:t>
            </w:r>
            <w:r>
              <w:rPr>
                <w:rFonts w:hint="eastAsia"/>
                <w:sz w:val="18"/>
                <w:szCs w:val="18"/>
              </w:rPr>
              <w:t>了解忆阻器与阻变式随机存储器</w:t>
            </w:r>
          </w:p>
          <w:p>
            <w:pPr>
              <w:adjustRightInd w:val="0"/>
              <w:snapToGrid w:val="0"/>
              <w:spacing w:line="300" w:lineRule="auto"/>
              <w:ind w:firstLine="360" w:firstLineChars="200"/>
              <w:rPr>
                <w:sz w:val="18"/>
                <w:szCs w:val="18"/>
              </w:rPr>
            </w:pPr>
            <w:r>
              <w:rPr>
                <w:sz w:val="18"/>
                <w:szCs w:val="18"/>
              </w:rPr>
              <w:t>5.</w:t>
            </w:r>
            <w:r>
              <w:rPr>
                <w:rFonts w:hint="eastAsia"/>
                <w:sz w:val="18"/>
                <w:szCs w:val="18"/>
              </w:rPr>
              <w:t>了解自旋电子与磁性随机存储器</w:t>
            </w:r>
          </w:p>
          <w:p>
            <w:pPr>
              <w:adjustRightInd w:val="0"/>
              <w:snapToGrid w:val="0"/>
              <w:spacing w:line="300" w:lineRule="auto"/>
              <w:rPr>
                <w:sz w:val="18"/>
                <w:szCs w:val="18"/>
              </w:rPr>
            </w:pPr>
            <w:r>
              <w:rPr>
                <w:sz w:val="18"/>
                <w:szCs w:val="18"/>
              </w:rPr>
              <w:t>二、教学方法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5</w:t>
            </w:r>
          </w:p>
        </w:tc>
        <w:tc>
          <w:tcPr>
            <w:tcW w:w="1038" w:type="dxa"/>
            <w:vAlign w:val="center"/>
          </w:tcPr>
          <w:p>
            <w:pPr>
              <w:adjustRightInd w:val="0"/>
              <w:snapToGrid w:val="0"/>
              <w:spacing w:line="300" w:lineRule="auto"/>
              <w:rPr>
                <w:sz w:val="18"/>
                <w:szCs w:val="18"/>
              </w:rPr>
            </w:pPr>
            <w:r>
              <w:rPr>
                <w:rFonts w:hint="eastAsia" w:ascii="宋体" w:hAnsi="宋体" w:cs="Arial"/>
                <w:szCs w:val="21"/>
                <w:shd w:val="clear" w:color="auto" w:fill="FFFFFF"/>
              </w:rPr>
              <w:t>数码影像</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rFonts w:hint="eastAsia"/>
                <w:sz w:val="18"/>
                <w:szCs w:val="18"/>
              </w:rPr>
              <w:t>1.理解图像传感器与智能处理</w:t>
            </w:r>
          </w:p>
          <w:p>
            <w:pPr>
              <w:adjustRightInd w:val="0"/>
              <w:snapToGrid w:val="0"/>
              <w:spacing w:line="300" w:lineRule="auto"/>
              <w:ind w:firstLine="360" w:firstLineChars="200"/>
              <w:rPr>
                <w:sz w:val="18"/>
                <w:szCs w:val="18"/>
              </w:rPr>
            </w:pPr>
            <w:r>
              <w:rPr>
                <w:sz w:val="18"/>
                <w:szCs w:val="18"/>
              </w:rPr>
              <w:t>2</w:t>
            </w:r>
            <w:r>
              <w:rPr>
                <w:rFonts w:hint="eastAsia"/>
                <w:sz w:val="18"/>
                <w:szCs w:val="18"/>
              </w:rPr>
              <w:t>.了解薄膜晶体管-液晶显示</w:t>
            </w:r>
          </w:p>
          <w:p>
            <w:pPr>
              <w:adjustRightInd w:val="0"/>
              <w:snapToGrid w:val="0"/>
              <w:spacing w:line="300" w:lineRule="auto"/>
              <w:ind w:firstLine="360" w:firstLineChars="200"/>
              <w:rPr>
                <w:sz w:val="18"/>
                <w:szCs w:val="18"/>
              </w:rPr>
            </w:pPr>
            <w:r>
              <w:rPr>
                <w:rFonts w:hint="eastAsia"/>
                <w:sz w:val="18"/>
                <w:szCs w:val="18"/>
              </w:rPr>
              <w:t>3.掌握有机发光二极管（OLED）</w:t>
            </w:r>
          </w:p>
          <w:p>
            <w:pPr>
              <w:adjustRightInd w:val="0"/>
              <w:snapToGrid w:val="0"/>
              <w:spacing w:line="300" w:lineRule="auto"/>
              <w:rPr>
                <w:sz w:val="18"/>
                <w:szCs w:val="18"/>
              </w:rPr>
            </w:pPr>
            <w:r>
              <w:rPr>
                <w:rFonts w:hint="eastAsia"/>
                <w:sz w:val="18"/>
                <w:szCs w:val="18"/>
              </w:rPr>
              <w:t>二、</w:t>
            </w:r>
            <w:r>
              <w:rPr>
                <w:sz w:val="18"/>
                <w:szCs w:val="18"/>
              </w:rPr>
              <w:t>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6</w:t>
            </w:r>
          </w:p>
        </w:tc>
        <w:tc>
          <w:tcPr>
            <w:tcW w:w="1038" w:type="dxa"/>
            <w:vAlign w:val="center"/>
          </w:tcPr>
          <w:p>
            <w:pPr>
              <w:adjustRightInd w:val="0"/>
              <w:snapToGrid w:val="0"/>
              <w:spacing w:line="300" w:lineRule="auto"/>
              <w:rPr>
                <w:sz w:val="18"/>
                <w:szCs w:val="18"/>
              </w:rPr>
            </w:pPr>
            <w:r>
              <w:rPr>
                <w:rFonts w:hint="eastAsia" w:ascii="宋体" w:hAnsi="宋体"/>
                <w:szCs w:val="21"/>
              </w:rPr>
              <w:t>移动互联</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rFonts w:hint="eastAsia"/>
                <w:sz w:val="18"/>
                <w:szCs w:val="18"/>
              </w:rPr>
              <w:t>1.了解互联网起源与发展</w:t>
            </w:r>
          </w:p>
          <w:p>
            <w:pPr>
              <w:adjustRightInd w:val="0"/>
              <w:snapToGrid w:val="0"/>
              <w:spacing w:line="300" w:lineRule="auto"/>
              <w:ind w:firstLine="360" w:firstLineChars="200"/>
              <w:rPr>
                <w:sz w:val="18"/>
                <w:szCs w:val="18"/>
              </w:rPr>
            </w:pPr>
            <w:r>
              <w:rPr>
                <w:sz w:val="18"/>
                <w:szCs w:val="18"/>
              </w:rPr>
              <w:t>2.</w:t>
            </w:r>
            <w:r>
              <w:rPr>
                <w:rFonts w:hint="eastAsia"/>
                <w:sz w:val="18"/>
                <w:szCs w:val="18"/>
              </w:rPr>
              <w:t>理解互联网的普及</w:t>
            </w:r>
            <w:r>
              <w:rPr>
                <w:sz w:val="18"/>
                <w:szCs w:val="18"/>
              </w:rPr>
              <w:t></w:t>
            </w:r>
          </w:p>
          <w:p>
            <w:pPr>
              <w:adjustRightInd w:val="0"/>
              <w:snapToGrid w:val="0"/>
              <w:spacing w:line="300" w:lineRule="auto"/>
              <w:ind w:firstLine="360" w:firstLineChars="200"/>
              <w:rPr>
                <w:sz w:val="18"/>
                <w:szCs w:val="18"/>
              </w:rPr>
            </w:pPr>
            <w:r>
              <w:rPr>
                <w:sz w:val="18"/>
                <w:szCs w:val="18"/>
              </w:rPr>
              <w:t>3.</w:t>
            </w:r>
            <w:r>
              <w:rPr>
                <w:rFonts w:hint="eastAsia"/>
                <w:sz w:val="18"/>
                <w:szCs w:val="18"/>
              </w:rPr>
              <w:t>掌握现代通信网络</w:t>
            </w:r>
            <w:r>
              <w:rPr>
                <w:sz w:val="18"/>
                <w:szCs w:val="18"/>
              </w:rPr>
              <w:t></w:t>
            </w:r>
          </w:p>
          <w:p>
            <w:pPr>
              <w:adjustRightInd w:val="0"/>
              <w:snapToGrid w:val="0"/>
              <w:spacing w:line="300" w:lineRule="auto"/>
              <w:ind w:firstLine="360" w:firstLineChars="200"/>
              <w:rPr>
                <w:sz w:val="18"/>
                <w:szCs w:val="18"/>
              </w:rPr>
            </w:pPr>
            <w:r>
              <w:rPr>
                <w:sz w:val="18"/>
                <w:szCs w:val="18"/>
              </w:rPr>
              <w:t>4.</w:t>
            </w:r>
            <w:r>
              <w:rPr>
                <w:rFonts w:hint="eastAsia"/>
                <w:sz w:val="18"/>
                <w:szCs w:val="18"/>
              </w:rPr>
              <w:t>掌握互联网发展趋势</w:t>
            </w:r>
            <w:r>
              <w:rPr>
                <w:sz w:val="18"/>
                <w:szCs w:val="18"/>
              </w:rPr>
              <w:t></w:t>
            </w:r>
          </w:p>
          <w:p>
            <w:pPr>
              <w:adjustRightInd w:val="0"/>
              <w:snapToGrid w:val="0"/>
              <w:spacing w:line="300" w:lineRule="auto"/>
              <w:rPr>
                <w:sz w:val="18"/>
                <w:szCs w:val="18"/>
              </w:rPr>
            </w:pPr>
            <w:r>
              <w:rPr>
                <w:rFonts w:hint="eastAsia"/>
                <w:sz w:val="18"/>
                <w:szCs w:val="18"/>
              </w:rPr>
              <w:t>二、</w:t>
            </w:r>
            <w:r>
              <w:rPr>
                <w:sz w:val="18"/>
                <w:szCs w:val="18"/>
              </w:rPr>
              <w:t xml:space="preserve"> 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7</w:t>
            </w:r>
          </w:p>
        </w:tc>
        <w:tc>
          <w:tcPr>
            <w:tcW w:w="1038" w:type="dxa"/>
            <w:vAlign w:val="center"/>
          </w:tcPr>
          <w:p>
            <w:pPr>
              <w:adjustRightInd w:val="0"/>
              <w:snapToGrid w:val="0"/>
              <w:spacing w:line="300" w:lineRule="auto"/>
              <w:rPr>
                <w:sz w:val="18"/>
                <w:szCs w:val="18"/>
              </w:rPr>
            </w:pPr>
            <w:r>
              <w:rPr>
                <w:rFonts w:hint="eastAsia" w:ascii="宋体" w:hAnsi="宋体" w:cs="Arial"/>
                <w:szCs w:val="21"/>
                <w:shd w:val="clear" w:color="auto" w:fill="FFFFFF"/>
              </w:rPr>
              <w:t>培养体系</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rFonts w:hint="eastAsia"/>
                <w:sz w:val="18"/>
                <w:szCs w:val="18"/>
              </w:rPr>
              <w:t>1.了解电子信息专业培养方向。</w:t>
            </w:r>
          </w:p>
          <w:p>
            <w:pPr>
              <w:adjustRightInd w:val="0"/>
              <w:snapToGrid w:val="0"/>
              <w:spacing w:line="300" w:lineRule="auto"/>
              <w:ind w:firstLine="360" w:firstLineChars="200"/>
              <w:rPr>
                <w:sz w:val="18"/>
                <w:szCs w:val="18"/>
              </w:rPr>
            </w:pPr>
            <w:r>
              <w:rPr>
                <w:sz w:val="18"/>
                <w:szCs w:val="18"/>
              </w:rPr>
              <w:t>2.</w:t>
            </w:r>
            <w:r>
              <w:rPr>
                <w:rFonts w:hint="eastAsia"/>
                <w:sz w:val="18"/>
                <w:szCs w:val="18"/>
              </w:rPr>
              <w:t>理解电子信息专业培养目标</w:t>
            </w:r>
            <w:r>
              <w:rPr>
                <w:sz w:val="18"/>
                <w:szCs w:val="18"/>
              </w:rPr>
              <w:t></w:t>
            </w:r>
          </w:p>
          <w:p>
            <w:pPr>
              <w:adjustRightInd w:val="0"/>
              <w:snapToGrid w:val="0"/>
              <w:spacing w:line="300" w:lineRule="auto"/>
              <w:ind w:firstLine="360" w:firstLineChars="200"/>
              <w:rPr>
                <w:sz w:val="18"/>
                <w:szCs w:val="18"/>
              </w:rPr>
            </w:pPr>
            <w:r>
              <w:rPr>
                <w:sz w:val="18"/>
                <w:szCs w:val="18"/>
              </w:rPr>
              <w:t>3.</w:t>
            </w:r>
            <w:r>
              <w:rPr>
                <w:rFonts w:hint="eastAsia"/>
                <w:sz w:val="18"/>
                <w:szCs w:val="18"/>
              </w:rPr>
              <w:t>掌握电子信息专业培养方案</w:t>
            </w:r>
            <w:r>
              <w:rPr>
                <w:sz w:val="18"/>
                <w:szCs w:val="18"/>
              </w:rPr>
              <w:t></w:t>
            </w:r>
          </w:p>
          <w:p>
            <w:pPr>
              <w:adjustRightInd w:val="0"/>
              <w:snapToGrid w:val="0"/>
              <w:spacing w:line="300" w:lineRule="auto"/>
              <w:ind w:firstLine="360" w:firstLineChars="200"/>
              <w:rPr>
                <w:sz w:val="18"/>
                <w:szCs w:val="18"/>
              </w:rPr>
            </w:pPr>
            <w:r>
              <w:rPr>
                <w:rFonts w:hint="eastAsia"/>
                <w:sz w:val="18"/>
                <w:szCs w:val="18"/>
              </w:rPr>
              <w:t>4.掌握学校、专业的发展历程</w:t>
            </w:r>
          </w:p>
          <w:p>
            <w:pPr>
              <w:adjustRightInd w:val="0"/>
              <w:snapToGrid w:val="0"/>
              <w:spacing w:line="300" w:lineRule="auto"/>
              <w:rPr>
                <w:sz w:val="18"/>
                <w:szCs w:val="18"/>
              </w:rPr>
            </w:pPr>
            <w:r>
              <w:rPr>
                <w:rFonts w:hint="eastAsia"/>
                <w:sz w:val="18"/>
                <w:szCs w:val="18"/>
              </w:rPr>
              <w:t>二、</w:t>
            </w:r>
            <w:r>
              <w:rPr>
                <w:sz w:val="18"/>
                <w:szCs w:val="18"/>
              </w:rPr>
              <w:t>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89" w:type="dxa"/>
            <w:tcMar>
              <w:left w:w="57" w:type="dxa"/>
              <w:right w:w="57" w:type="dxa"/>
            </w:tcMar>
            <w:vAlign w:val="center"/>
          </w:tcPr>
          <w:p>
            <w:pPr>
              <w:adjustRightInd w:val="0"/>
              <w:snapToGrid w:val="0"/>
              <w:spacing w:line="300" w:lineRule="auto"/>
              <w:jc w:val="center"/>
              <w:rPr>
                <w:sz w:val="18"/>
                <w:szCs w:val="18"/>
              </w:rPr>
            </w:pPr>
            <w:r>
              <w:rPr>
                <w:sz w:val="18"/>
                <w:szCs w:val="18"/>
              </w:rPr>
              <w:t>8</w:t>
            </w:r>
          </w:p>
        </w:tc>
        <w:tc>
          <w:tcPr>
            <w:tcW w:w="1038" w:type="dxa"/>
            <w:vAlign w:val="center"/>
          </w:tcPr>
          <w:p>
            <w:pPr>
              <w:adjustRightInd w:val="0"/>
              <w:snapToGrid w:val="0"/>
              <w:spacing w:line="300" w:lineRule="auto"/>
              <w:rPr>
                <w:sz w:val="18"/>
                <w:szCs w:val="18"/>
              </w:rPr>
            </w:pPr>
            <w:r>
              <w:rPr>
                <w:rFonts w:hint="eastAsia" w:ascii="宋体" w:hAnsi="宋体" w:cs="宋体"/>
                <w:color w:val="000000"/>
                <w:kern w:val="0"/>
                <w:szCs w:val="21"/>
              </w:rPr>
              <w:t>大学教育与大学怎么读</w:t>
            </w:r>
          </w:p>
        </w:tc>
        <w:tc>
          <w:tcPr>
            <w:tcW w:w="5290" w:type="dxa"/>
            <w:vAlign w:val="center"/>
          </w:tcPr>
          <w:p>
            <w:pPr>
              <w:adjustRightInd w:val="0"/>
              <w:snapToGrid w:val="0"/>
              <w:spacing w:line="300" w:lineRule="auto"/>
              <w:rPr>
                <w:sz w:val="18"/>
                <w:szCs w:val="18"/>
              </w:rPr>
            </w:pPr>
            <w:r>
              <w:rPr>
                <w:sz w:val="18"/>
                <w:szCs w:val="18"/>
              </w:rPr>
              <w:t>一、要求</w:t>
            </w:r>
          </w:p>
          <w:p>
            <w:pPr>
              <w:adjustRightInd w:val="0"/>
              <w:snapToGrid w:val="0"/>
              <w:spacing w:line="300" w:lineRule="auto"/>
              <w:ind w:firstLine="360" w:firstLineChars="200"/>
              <w:rPr>
                <w:sz w:val="18"/>
                <w:szCs w:val="18"/>
              </w:rPr>
            </w:pPr>
            <w:r>
              <w:rPr>
                <w:sz w:val="18"/>
                <w:szCs w:val="18"/>
              </w:rPr>
              <w:t>1.</w:t>
            </w:r>
            <w:r>
              <w:rPr>
                <w:rFonts w:hint="eastAsia"/>
                <w:sz w:val="18"/>
                <w:szCs w:val="18"/>
              </w:rPr>
              <w:t>理解大学的意义</w:t>
            </w:r>
          </w:p>
          <w:p>
            <w:pPr>
              <w:adjustRightInd w:val="0"/>
              <w:snapToGrid w:val="0"/>
              <w:spacing w:line="300" w:lineRule="auto"/>
              <w:ind w:firstLine="360" w:firstLineChars="200"/>
              <w:rPr>
                <w:sz w:val="18"/>
                <w:szCs w:val="18"/>
              </w:rPr>
            </w:pPr>
            <w:r>
              <w:rPr>
                <w:sz w:val="18"/>
                <w:szCs w:val="18"/>
              </w:rPr>
              <w:t>2.</w:t>
            </w:r>
            <w:r>
              <w:rPr>
                <w:rFonts w:hint="eastAsia"/>
                <w:sz w:val="18"/>
                <w:szCs w:val="18"/>
              </w:rPr>
              <w:t>理解如何过好大学生活</w:t>
            </w:r>
          </w:p>
          <w:p>
            <w:pPr>
              <w:adjustRightInd w:val="0"/>
              <w:snapToGrid w:val="0"/>
              <w:spacing w:line="300" w:lineRule="auto"/>
              <w:ind w:firstLine="360" w:firstLineChars="200"/>
              <w:rPr>
                <w:sz w:val="18"/>
                <w:szCs w:val="18"/>
              </w:rPr>
            </w:pPr>
            <w:r>
              <w:rPr>
                <w:sz w:val="18"/>
                <w:szCs w:val="18"/>
              </w:rPr>
              <w:t>3.</w:t>
            </w:r>
            <w:r>
              <w:rPr>
                <w:rFonts w:hint="eastAsia"/>
                <w:sz w:val="18"/>
                <w:szCs w:val="18"/>
              </w:rPr>
              <w:t>掌握大学该“学什么、怎么学、为什么学”</w:t>
            </w:r>
            <w:r>
              <w:rPr>
                <w:sz w:val="18"/>
                <w:szCs w:val="18"/>
              </w:rPr>
              <w:t xml:space="preserve"> </w:t>
            </w:r>
          </w:p>
          <w:p>
            <w:pPr>
              <w:adjustRightInd w:val="0"/>
              <w:snapToGrid w:val="0"/>
              <w:spacing w:line="300" w:lineRule="auto"/>
              <w:rPr>
                <w:sz w:val="18"/>
                <w:szCs w:val="18"/>
              </w:rPr>
            </w:pPr>
            <w:r>
              <w:rPr>
                <w:rFonts w:hint="eastAsia"/>
                <w:sz w:val="18"/>
                <w:szCs w:val="18"/>
              </w:rPr>
              <w:t>二、</w:t>
            </w:r>
            <w:r>
              <w:rPr>
                <w:sz w:val="18"/>
                <w:szCs w:val="18"/>
              </w:rPr>
              <w:t>教学方法</w:t>
            </w:r>
          </w:p>
          <w:p>
            <w:pPr>
              <w:adjustRightInd w:val="0"/>
              <w:snapToGrid w:val="0"/>
              <w:spacing w:line="300" w:lineRule="auto"/>
              <w:rPr>
                <w:sz w:val="18"/>
                <w:szCs w:val="18"/>
              </w:rPr>
            </w:pPr>
            <w:r>
              <w:rPr>
                <w:sz w:val="18"/>
                <w:szCs w:val="18"/>
              </w:rPr>
              <w:t xml:space="preserve">    采用讲授式和启发式教学手段，兼有课堂讨论和课堂提问。</w:t>
            </w:r>
          </w:p>
        </w:tc>
        <w:tc>
          <w:tcPr>
            <w:tcW w:w="591" w:type="dxa"/>
            <w:vAlign w:val="center"/>
          </w:tcPr>
          <w:p>
            <w:pPr>
              <w:adjustRightInd w:val="0"/>
              <w:snapToGrid w:val="0"/>
              <w:spacing w:line="300" w:lineRule="auto"/>
              <w:jc w:val="center"/>
              <w:rPr>
                <w:sz w:val="18"/>
                <w:szCs w:val="18"/>
              </w:rPr>
            </w:pPr>
            <w:r>
              <w:rPr>
                <w:sz w:val="18"/>
                <w:szCs w:val="18"/>
              </w:rPr>
              <w:t>2</w:t>
            </w:r>
          </w:p>
        </w:tc>
        <w:tc>
          <w:tcPr>
            <w:tcW w:w="992" w:type="dxa"/>
            <w:vAlign w:val="center"/>
          </w:tcPr>
          <w:p>
            <w:pPr>
              <w:adjustRightInd w:val="0"/>
              <w:snapToGrid w:val="0"/>
              <w:spacing w:line="300" w:lineRule="auto"/>
              <w:rPr>
                <w:sz w:val="18"/>
                <w:szCs w:val="18"/>
              </w:rPr>
            </w:pPr>
            <w:r>
              <w:rPr>
                <w:sz w:val="18"/>
                <w:szCs w:val="18"/>
              </w:rPr>
              <w:t>1，2，3</w:t>
            </w:r>
          </w:p>
        </w:tc>
        <w:tc>
          <w:tcPr>
            <w:tcW w:w="1211" w:type="dxa"/>
            <w:vAlign w:val="center"/>
          </w:tcPr>
          <w:p>
            <w:pPr>
              <w:adjustRightInd w:val="0"/>
              <w:snapToGrid w:val="0"/>
              <w:spacing w:line="300" w:lineRule="auto"/>
              <w:jc w:val="center"/>
              <w:rPr>
                <w:sz w:val="18"/>
                <w:szCs w:val="18"/>
              </w:rPr>
            </w:pPr>
            <w:r>
              <w:rPr>
                <w:sz w:val="18"/>
                <w:szCs w:val="18"/>
              </w:rPr>
              <w:t>6</w:t>
            </w:r>
            <w:r>
              <w:rPr>
                <w:rFonts w:hint="eastAsia"/>
                <w:sz w:val="18"/>
                <w:szCs w:val="18"/>
              </w:rPr>
              <w:t>，7，8</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w:t>
      </w:r>
      <w:r>
        <w:rPr>
          <w:rFonts w:hint="eastAsia"/>
        </w:rPr>
        <w:t>结课论文</w:t>
      </w:r>
      <w:r>
        <w:t>，</w:t>
      </w:r>
      <w:r>
        <w:rPr>
          <w:rFonts w:hint="eastAsia"/>
        </w:rPr>
        <w:t>课堂表现</w:t>
      </w:r>
      <w:r>
        <w:t>及作业。</w:t>
      </w:r>
    </w:p>
    <w:p>
      <w:pPr>
        <w:adjustRightInd w:val="0"/>
        <w:snapToGrid w:val="0"/>
        <w:spacing w:line="300" w:lineRule="auto"/>
        <w:ind w:firstLine="420" w:firstLineChars="200"/>
        <w:rPr>
          <w:bCs/>
          <w:kern w:val="0"/>
          <w:szCs w:val="21"/>
        </w:rPr>
      </w:pPr>
      <w:r>
        <w:t>2．成绩构成：</w:t>
      </w:r>
      <w:r>
        <w:rPr>
          <w:bCs/>
          <w:kern w:val="0"/>
          <w:szCs w:val="21"/>
        </w:rPr>
        <w:t>考勤占20%，平时成绩占20%，课程论文或职业生涯规划占60%。</w:t>
      </w:r>
    </w:p>
    <w:p>
      <w:pPr>
        <w:adjustRightInd w:val="0"/>
        <w:snapToGrid w:val="0"/>
        <w:spacing w:line="300" w:lineRule="auto"/>
        <w:ind w:firstLine="420" w:firstLineChars="200"/>
      </w:pPr>
      <w:r>
        <w:t>3．考核评价标准见表4所示。</w:t>
      </w:r>
    </w:p>
    <w:p>
      <w:pPr>
        <w:adjustRightInd w:val="0"/>
        <w:snapToGrid w:val="0"/>
        <w:spacing w:before="156" w:beforeLines="50" w:line="300" w:lineRule="auto"/>
        <w:ind w:firstLine="361" w:firstLineChars="200"/>
        <w:jc w:val="center"/>
        <w:rPr>
          <w:b/>
          <w:bCs/>
          <w:sz w:val="18"/>
          <w:szCs w:val="18"/>
        </w:rPr>
      </w:pPr>
      <w:r>
        <w:rPr>
          <w:b/>
          <w:bCs/>
          <w:sz w:val="18"/>
          <w:szCs w:val="18"/>
        </w:rPr>
        <w:t>表4教学目标评价标准</w:t>
      </w:r>
    </w:p>
    <w:tbl>
      <w:tblPr>
        <w:tblStyle w:val="22"/>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66"/>
        <w:gridCol w:w="748"/>
        <w:gridCol w:w="729"/>
        <w:gridCol w:w="616"/>
        <w:gridCol w:w="403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833"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666" w:type="dxa"/>
            <w:vAlign w:val="center"/>
          </w:tcPr>
          <w:p>
            <w:pPr>
              <w:adjustRightInd w:val="0"/>
              <w:snapToGrid w:val="0"/>
              <w:spacing w:line="300" w:lineRule="auto"/>
              <w:jc w:val="center"/>
              <w:rPr>
                <w:b/>
                <w:bCs/>
                <w:sz w:val="18"/>
                <w:szCs w:val="18"/>
              </w:rPr>
            </w:pPr>
            <w:r>
              <w:rPr>
                <w:b/>
                <w:bCs/>
                <w:sz w:val="18"/>
                <w:szCs w:val="18"/>
              </w:rPr>
              <w:t>分值</w:t>
            </w:r>
          </w:p>
        </w:tc>
        <w:tc>
          <w:tcPr>
            <w:tcW w:w="748" w:type="dxa"/>
            <w:vAlign w:val="center"/>
          </w:tcPr>
          <w:p>
            <w:pPr>
              <w:adjustRightInd w:val="0"/>
              <w:snapToGrid w:val="0"/>
              <w:spacing w:line="300" w:lineRule="auto"/>
              <w:jc w:val="center"/>
              <w:rPr>
                <w:b/>
                <w:bCs/>
                <w:sz w:val="18"/>
                <w:szCs w:val="18"/>
              </w:rPr>
            </w:pPr>
            <w:r>
              <w:rPr>
                <w:b/>
                <w:bCs/>
                <w:sz w:val="18"/>
                <w:szCs w:val="18"/>
              </w:rPr>
              <w:t>权重</w:t>
            </w:r>
          </w:p>
        </w:tc>
        <w:tc>
          <w:tcPr>
            <w:tcW w:w="729" w:type="dxa"/>
            <w:vAlign w:val="center"/>
          </w:tcPr>
          <w:p>
            <w:pPr>
              <w:adjustRightInd w:val="0"/>
              <w:snapToGrid w:val="0"/>
              <w:spacing w:line="300" w:lineRule="auto"/>
              <w:jc w:val="center"/>
              <w:rPr>
                <w:b/>
                <w:bCs/>
                <w:sz w:val="18"/>
                <w:szCs w:val="18"/>
              </w:rPr>
            </w:pPr>
            <w:r>
              <w:rPr>
                <w:b/>
                <w:bCs/>
                <w:sz w:val="18"/>
                <w:szCs w:val="18"/>
              </w:rPr>
              <w:t>类别</w:t>
            </w:r>
          </w:p>
        </w:tc>
        <w:tc>
          <w:tcPr>
            <w:tcW w:w="616" w:type="dxa"/>
            <w:vAlign w:val="center"/>
          </w:tcPr>
          <w:p>
            <w:pPr>
              <w:adjustRightInd w:val="0"/>
              <w:snapToGrid w:val="0"/>
              <w:spacing w:line="300" w:lineRule="auto"/>
              <w:jc w:val="center"/>
              <w:rPr>
                <w:b/>
                <w:bCs/>
                <w:sz w:val="18"/>
                <w:szCs w:val="18"/>
              </w:rPr>
            </w:pPr>
            <w:r>
              <w:rPr>
                <w:b/>
                <w:bCs/>
                <w:sz w:val="18"/>
                <w:szCs w:val="18"/>
              </w:rPr>
              <w:t>权重</w:t>
            </w:r>
          </w:p>
        </w:tc>
        <w:tc>
          <w:tcPr>
            <w:tcW w:w="4037" w:type="dxa"/>
            <w:vAlign w:val="center"/>
          </w:tcPr>
          <w:p>
            <w:pPr>
              <w:adjustRightInd w:val="0"/>
              <w:snapToGrid w:val="0"/>
              <w:spacing w:line="300" w:lineRule="auto"/>
              <w:jc w:val="center"/>
              <w:rPr>
                <w:b/>
                <w:bCs/>
                <w:sz w:val="18"/>
                <w:szCs w:val="18"/>
              </w:rPr>
            </w:pPr>
            <w:r>
              <w:rPr>
                <w:b/>
                <w:bCs/>
                <w:sz w:val="18"/>
                <w:szCs w:val="18"/>
              </w:rPr>
              <w:t>考核/评价细则</w:t>
            </w:r>
          </w:p>
        </w:tc>
        <w:tc>
          <w:tcPr>
            <w:tcW w:w="1052" w:type="dxa"/>
            <w:vAlign w:val="center"/>
          </w:tcPr>
          <w:p>
            <w:pPr>
              <w:adjustRightInd w:val="0"/>
              <w:snapToGrid w:val="0"/>
              <w:spacing w:line="300" w:lineRule="auto"/>
              <w:jc w:val="center"/>
              <w:rPr>
                <w:b/>
                <w:bCs/>
                <w:sz w:val="18"/>
                <w:szCs w:val="18"/>
              </w:rPr>
            </w:pPr>
            <w:r>
              <w:rPr>
                <w:rFonts w:hint="eastAsia"/>
                <w:b/>
                <w:bCs/>
                <w:sz w:val="18"/>
                <w:szCs w:val="18"/>
              </w:rPr>
              <w:t>教学</w:t>
            </w:r>
            <w:r>
              <w:rPr>
                <w:b/>
                <w:bCs/>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right"/>
        </w:trPr>
        <w:tc>
          <w:tcPr>
            <w:tcW w:w="833" w:type="dxa"/>
            <w:vAlign w:val="center"/>
          </w:tcPr>
          <w:p>
            <w:pPr>
              <w:adjustRightInd w:val="0"/>
              <w:snapToGrid w:val="0"/>
              <w:spacing w:line="300" w:lineRule="auto"/>
              <w:jc w:val="center"/>
              <w:rPr>
                <w:sz w:val="18"/>
                <w:szCs w:val="18"/>
              </w:rPr>
            </w:pPr>
            <w:r>
              <w:rPr>
                <w:sz w:val="18"/>
                <w:szCs w:val="18"/>
              </w:rPr>
              <w:t>考勤</w:t>
            </w:r>
          </w:p>
        </w:tc>
        <w:tc>
          <w:tcPr>
            <w:tcW w:w="666" w:type="dxa"/>
            <w:vAlign w:val="center"/>
          </w:tcPr>
          <w:p>
            <w:pPr>
              <w:adjustRightInd w:val="0"/>
              <w:snapToGrid w:val="0"/>
              <w:spacing w:line="300" w:lineRule="auto"/>
              <w:rPr>
                <w:sz w:val="18"/>
                <w:szCs w:val="18"/>
              </w:rPr>
            </w:pPr>
            <w:r>
              <w:rPr>
                <w:sz w:val="18"/>
                <w:szCs w:val="18"/>
              </w:rPr>
              <w:t>100</w:t>
            </w:r>
          </w:p>
        </w:tc>
        <w:tc>
          <w:tcPr>
            <w:tcW w:w="748" w:type="dxa"/>
            <w:vAlign w:val="center"/>
          </w:tcPr>
          <w:p>
            <w:pPr>
              <w:adjustRightInd w:val="0"/>
              <w:snapToGrid w:val="0"/>
              <w:spacing w:line="300" w:lineRule="auto"/>
              <w:jc w:val="center"/>
              <w:rPr>
                <w:sz w:val="18"/>
                <w:szCs w:val="18"/>
              </w:rPr>
            </w:pPr>
            <w:r>
              <w:rPr>
                <w:sz w:val="18"/>
                <w:szCs w:val="18"/>
              </w:rPr>
              <w:t>0.2</w:t>
            </w:r>
          </w:p>
        </w:tc>
        <w:tc>
          <w:tcPr>
            <w:tcW w:w="729" w:type="dxa"/>
            <w:vAlign w:val="center"/>
          </w:tcPr>
          <w:p>
            <w:pPr>
              <w:adjustRightInd w:val="0"/>
              <w:snapToGrid w:val="0"/>
              <w:spacing w:line="300" w:lineRule="auto"/>
              <w:jc w:val="center"/>
              <w:rPr>
                <w:sz w:val="18"/>
                <w:szCs w:val="18"/>
              </w:rPr>
            </w:pPr>
            <w:r>
              <w:rPr>
                <w:sz w:val="18"/>
                <w:szCs w:val="18"/>
              </w:rPr>
              <w:t>出勤</w:t>
            </w:r>
          </w:p>
        </w:tc>
        <w:tc>
          <w:tcPr>
            <w:tcW w:w="616" w:type="dxa"/>
            <w:vAlign w:val="center"/>
          </w:tcPr>
          <w:p>
            <w:pPr>
              <w:adjustRightInd w:val="0"/>
              <w:snapToGrid w:val="0"/>
              <w:spacing w:line="300" w:lineRule="auto"/>
              <w:jc w:val="center"/>
              <w:rPr>
                <w:sz w:val="18"/>
                <w:szCs w:val="18"/>
              </w:rPr>
            </w:pPr>
            <w:r>
              <w:rPr>
                <w:sz w:val="18"/>
                <w:szCs w:val="18"/>
              </w:rPr>
              <w:t>0.2</w:t>
            </w:r>
          </w:p>
        </w:tc>
        <w:tc>
          <w:tcPr>
            <w:tcW w:w="4037" w:type="dxa"/>
            <w:vAlign w:val="center"/>
          </w:tcPr>
          <w:p>
            <w:pPr>
              <w:widowControl/>
              <w:adjustRightInd w:val="0"/>
              <w:snapToGrid w:val="0"/>
              <w:spacing w:line="300" w:lineRule="auto"/>
              <w:ind w:left="420" w:leftChars="200"/>
              <w:jc w:val="left"/>
              <w:rPr>
                <w:sz w:val="18"/>
                <w:szCs w:val="18"/>
              </w:rPr>
            </w:pPr>
            <w:r>
              <w:rPr>
                <w:sz w:val="18"/>
                <w:szCs w:val="18"/>
              </w:rPr>
              <w:t>出勤情况</w:t>
            </w:r>
          </w:p>
        </w:tc>
        <w:tc>
          <w:tcPr>
            <w:tcW w:w="1052"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right"/>
        </w:trPr>
        <w:tc>
          <w:tcPr>
            <w:tcW w:w="833" w:type="dxa"/>
            <w:vMerge w:val="restart"/>
            <w:vAlign w:val="center"/>
          </w:tcPr>
          <w:p>
            <w:pPr>
              <w:adjustRightInd w:val="0"/>
              <w:snapToGrid w:val="0"/>
              <w:spacing w:line="300" w:lineRule="auto"/>
              <w:jc w:val="center"/>
              <w:rPr>
                <w:sz w:val="18"/>
                <w:szCs w:val="18"/>
              </w:rPr>
            </w:pPr>
            <w:r>
              <w:rPr>
                <w:sz w:val="18"/>
                <w:szCs w:val="18"/>
              </w:rPr>
              <w:t>平时</w:t>
            </w:r>
          </w:p>
          <w:p>
            <w:pPr>
              <w:adjustRightInd w:val="0"/>
              <w:snapToGrid w:val="0"/>
              <w:spacing w:line="300" w:lineRule="auto"/>
              <w:jc w:val="center"/>
              <w:rPr>
                <w:sz w:val="18"/>
                <w:szCs w:val="18"/>
              </w:rPr>
            </w:pPr>
            <w:r>
              <w:rPr>
                <w:sz w:val="18"/>
                <w:szCs w:val="18"/>
              </w:rPr>
              <w:t>成绩</w:t>
            </w:r>
          </w:p>
        </w:tc>
        <w:tc>
          <w:tcPr>
            <w:tcW w:w="666" w:type="dxa"/>
            <w:vMerge w:val="restart"/>
            <w:vAlign w:val="center"/>
          </w:tcPr>
          <w:p>
            <w:pPr>
              <w:adjustRightInd w:val="0"/>
              <w:snapToGrid w:val="0"/>
              <w:spacing w:line="300" w:lineRule="auto"/>
              <w:jc w:val="center"/>
              <w:rPr>
                <w:sz w:val="18"/>
                <w:szCs w:val="18"/>
              </w:rPr>
            </w:pPr>
            <w:r>
              <w:rPr>
                <w:sz w:val="18"/>
                <w:szCs w:val="18"/>
              </w:rPr>
              <w:t>100</w:t>
            </w:r>
          </w:p>
        </w:tc>
        <w:tc>
          <w:tcPr>
            <w:tcW w:w="748" w:type="dxa"/>
            <w:vMerge w:val="restart"/>
            <w:vAlign w:val="center"/>
          </w:tcPr>
          <w:p>
            <w:pPr>
              <w:adjustRightInd w:val="0"/>
              <w:snapToGrid w:val="0"/>
              <w:spacing w:line="300" w:lineRule="auto"/>
              <w:jc w:val="center"/>
              <w:rPr>
                <w:sz w:val="18"/>
                <w:szCs w:val="18"/>
              </w:rPr>
            </w:pPr>
            <w:r>
              <w:rPr>
                <w:sz w:val="18"/>
                <w:szCs w:val="18"/>
              </w:rPr>
              <w:t>0.2</w:t>
            </w:r>
          </w:p>
        </w:tc>
        <w:tc>
          <w:tcPr>
            <w:tcW w:w="729" w:type="dxa"/>
            <w:vAlign w:val="center"/>
          </w:tcPr>
          <w:p>
            <w:pPr>
              <w:adjustRightInd w:val="0"/>
              <w:snapToGrid w:val="0"/>
              <w:spacing w:line="300" w:lineRule="auto"/>
              <w:jc w:val="left"/>
              <w:rPr>
                <w:sz w:val="18"/>
                <w:szCs w:val="18"/>
              </w:rPr>
            </w:pPr>
            <w:r>
              <w:rPr>
                <w:sz w:val="18"/>
                <w:szCs w:val="18"/>
              </w:rPr>
              <w:t>课堂表现</w:t>
            </w:r>
          </w:p>
        </w:tc>
        <w:tc>
          <w:tcPr>
            <w:tcW w:w="616" w:type="dxa"/>
            <w:vMerge w:val="restart"/>
            <w:vAlign w:val="center"/>
          </w:tcPr>
          <w:p>
            <w:pPr>
              <w:adjustRightInd w:val="0"/>
              <w:snapToGrid w:val="0"/>
              <w:spacing w:line="300" w:lineRule="auto"/>
              <w:jc w:val="center"/>
              <w:rPr>
                <w:sz w:val="18"/>
                <w:szCs w:val="18"/>
              </w:rPr>
            </w:pPr>
            <w:r>
              <w:rPr>
                <w:sz w:val="18"/>
                <w:szCs w:val="18"/>
              </w:rPr>
              <w:t>0.2</w:t>
            </w:r>
          </w:p>
        </w:tc>
        <w:tc>
          <w:tcPr>
            <w:tcW w:w="4037" w:type="dxa"/>
            <w:vMerge w:val="restart"/>
            <w:vAlign w:val="center"/>
          </w:tcPr>
          <w:p>
            <w:pPr>
              <w:widowControl/>
              <w:adjustRightInd w:val="0"/>
              <w:snapToGrid w:val="0"/>
              <w:spacing w:line="300" w:lineRule="auto"/>
              <w:jc w:val="left"/>
              <w:rPr>
                <w:sz w:val="18"/>
                <w:szCs w:val="18"/>
              </w:rPr>
            </w:pPr>
            <w:r>
              <w:rPr>
                <w:sz w:val="18"/>
                <w:szCs w:val="18"/>
              </w:rPr>
              <w:t>（1）作业（占10%）：按时按量完成8%，完成质量占2%</w:t>
            </w:r>
          </w:p>
          <w:p>
            <w:pPr>
              <w:widowControl/>
              <w:adjustRightInd w:val="0"/>
              <w:snapToGrid w:val="0"/>
              <w:spacing w:line="300" w:lineRule="auto"/>
              <w:jc w:val="left"/>
              <w:rPr>
                <w:sz w:val="18"/>
                <w:szCs w:val="18"/>
              </w:rPr>
            </w:pPr>
            <w:r>
              <w:rPr>
                <w:sz w:val="18"/>
                <w:szCs w:val="18"/>
              </w:rPr>
              <w:t>（2）课堂讨论（占20%）：积极参与，有创新性观点。</w:t>
            </w:r>
          </w:p>
          <w:p>
            <w:pPr>
              <w:adjustRightInd w:val="0"/>
              <w:snapToGrid w:val="0"/>
              <w:spacing w:line="300" w:lineRule="auto"/>
              <w:ind w:left="420" w:leftChars="200"/>
              <w:rPr>
                <w:sz w:val="18"/>
                <w:szCs w:val="18"/>
              </w:rPr>
            </w:pPr>
          </w:p>
        </w:tc>
        <w:tc>
          <w:tcPr>
            <w:tcW w:w="1052"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right"/>
        </w:trPr>
        <w:tc>
          <w:tcPr>
            <w:tcW w:w="833" w:type="dxa"/>
            <w:vMerge w:val="continue"/>
            <w:tcBorders>
              <w:bottom w:val="single" w:color="auto" w:sz="4" w:space="0"/>
            </w:tcBorders>
            <w:vAlign w:val="center"/>
          </w:tcPr>
          <w:p>
            <w:pPr>
              <w:adjustRightInd w:val="0"/>
              <w:snapToGrid w:val="0"/>
              <w:spacing w:line="300" w:lineRule="auto"/>
              <w:jc w:val="center"/>
              <w:rPr>
                <w:sz w:val="18"/>
                <w:szCs w:val="18"/>
              </w:rPr>
            </w:pPr>
          </w:p>
        </w:tc>
        <w:tc>
          <w:tcPr>
            <w:tcW w:w="666" w:type="dxa"/>
            <w:vMerge w:val="continue"/>
            <w:tcBorders>
              <w:bottom w:val="single" w:color="auto" w:sz="4" w:space="0"/>
            </w:tcBorders>
            <w:vAlign w:val="center"/>
          </w:tcPr>
          <w:p>
            <w:pPr>
              <w:adjustRightInd w:val="0"/>
              <w:snapToGrid w:val="0"/>
              <w:spacing w:line="300" w:lineRule="auto"/>
              <w:jc w:val="center"/>
              <w:rPr>
                <w:sz w:val="18"/>
                <w:szCs w:val="18"/>
              </w:rPr>
            </w:pPr>
          </w:p>
        </w:tc>
        <w:tc>
          <w:tcPr>
            <w:tcW w:w="748" w:type="dxa"/>
            <w:vMerge w:val="continue"/>
            <w:tcBorders>
              <w:bottom w:val="single" w:color="auto" w:sz="4" w:space="0"/>
            </w:tcBorders>
            <w:vAlign w:val="center"/>
          </w:tcPr>
          <w:p>
            <w:pPr>
              <w:adjustRightInd w:val="0"/>
              <w:snapToGrid w:val="0"/>
              <w:spacing w:line="300" w:lineRule="auto"/>
              <w:jc w:val="center"/>
              <w:rPr>
                <w:sz w:val="18"/>
                <w:szCs w:val="18"/>
              </w:rPr>
            </w:pPr>
          </w:p>
        </w:tc>
        <w:tc>
          <w:tcPr>
            <w:tcW w:w="729" w:type="dxa"/>
            <w:tcBorders>
              <w:bottom w:val="single" w:color="auto" w:sz="4" w:space="0"/>
            </w:tcBorders>
            <w:vAlign w:val="center"/>
          </w:tcPr>
          <w:p>
            <w:pPr>
              <w:adjustRightInd w:val="0"/>
              <w:snapToGrid w:val="0"/>
              <w:spacing w:line="300" w:lineRule="auto"/>
              <w:jc w:val="left"/>
              <w:rPr>
                <w:sz w:val="18"/>
                <w:szCs w:val="18"/>
              </w:rPr>
            </w:pPr>
            <w:r>
              <w:rPr>
                <w:sz w:val="18"/>
                <w:szCs w:val="18"/>
              </w:rPr>
              <w:t>作业</w:t>
            </w:r>
          </w:p>
        </w:tc>
        <w:tc>
          <w:tcPr>
            <w:tcW w:w="616" w:type="dxa"/>
            <w:vMerge w:val="continue"/>
            <w:tcBorders>
              <w:bottom w:val="single" w:color="auto" w:sz="4" w:space="0"/>
            </w:tcBorders>
            <w:vAlign w:val="center"/>
          </w:tcPr>
          <w:p>
            <w:pPr>
              <w:adjustRightInd w:val="0"/>
              <w:snapToGrid w:val="0"/>
              <w:spacing w:line="300" w:lineRule="auto"/>
              <w:jc w:val="center"/>
              <w:rPr>
                <w:sz w:val="18"/>
                <w:szCs w:val="18"/>
              </w:rPr>
            </w:pPr>
          </w:p>
        </w:tc>
        <w:tc>
          <w:tcPr>
            <w:tcW w:w="4037" w:type="dxa"/>
            <w:vMerge w:val="continue"/>
            <w:tcBorders>
              <w:bottom w:val="single" w:color="auto" w:sz="4" w:space="0"/>
            </w:tcBorders>
            <w:vAlign w:val="center"/>
          </w:tcPr>
          <w:p>
            <w:pPr>
              <w:widowControl/>
              <w:adjustRightInd w:val="0"/>
              <w:snapToGrid w:val="0"/>
              <w:spacing w:line="300" w:lineRule="auto"/>
              <w:ind w:left="420" w:leftChars="200"/>
              <w:jc w:val="left"/>
              <w:rPr>
                <w:sz w:val="18"/>
                <w:szCs w:val="18"/>
              </w:rPr>
            </w:pPr>
          </w:p>
        </w:tc>
        <w:tc>
          <w:tcPr>
            <w:tcW w:w="1052" w:type="dxa"/>
            <w:tcBorders>
              <w:bottom w:val="single" w:color="auto" w:sz="4" w:space="0"/>
            </w:tcBorders>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right"/>
        </w:trPr>
        <w:tc>
          <w:tcPr>
            <w:tcW w:w="833" w:type="dxa"/>
            <w:vAlign w:val="center"/>
          </w:tcPr>
          <w:p>
            <w:pPr>
              <w:adjustRightInd w:val="0"/>
              <w:snapToGrid w:val="0"/>
              <w:spacing w:line="300" w:lineRule="auto"/>
              <w:jc w:val="center"/>
              <w:rPr>
                <w:sz w:val="18"/>
                <w:szCs w:val="18"/>
              </w:rPr>
            </w:pPr>
            <w:r>
              <w:rPr>
                <w:sz w:val="18"/>
                <w:szCs w:val="18"/>
              </w:rPr>
              <w:t>课程论文或职业生涯规划</w:t>
            </w:r>
          </w:p>
        </w:tc>
        <w:tc>
          <w:tcPr>
            <w:tcW w:w="666" w:type="dxa"/>
            <w:vAlign w:val="center"/>
          </w:tcPr>
          <w:p>
            <w:pPr>
              <w:adjustRightInd w:val="0"/>
              <w:snapToGrid w:val="0"/>
              <w:spacing w:line="300" w:lineRule="auto"/>
              <w:jc w:val="center"/>
              <w:rPr>
                <w:sz w:val="18"/>
                <w:szCs w:val="18"/>
              </w:rPr>
            </w:pPr>
            <w:r>
              <w:rPr>
                <w:sz w:val="18"/>
                <w:szCs w:val="18"/>
              </w:rPr>
              <w:t>100</w:t>
            </w:r>
          </w:p>
        </w:tc>
        <w:tc>
          <w:tcPr>
            <w:tcW w:w="748" w:type="dxa"/>
            <w:vAlign w:val="center"/>
          </w:tcPr>
          <w:p>
            <w:pPr>
              <w:adjustRightInd w:val="0"/>
              <w:snapToGrid w:val="0"/>
              <w:spacing w:line="300" w:lineRule="auto"/>
              <w:jc w:val="center"/>
              <w:rPr>
                <w:sz w:val="18"/>
                <w:szCs w:val="18"/>
              </w:rPr>
            </w:pPr>
            <w:r>
              <w:rPr>
                <w:sz w:val="18"/>
                <w:szCs w:val="18"/>
              </w:rPr>
              <w:t>0.6</w:t>
            </w:r>
          </w:p>
        </w:tc>
        <w:tc>
          <w:tcPr>
            <w:tcW w:w="729" w:type="dxa"/>
            <w:vAlign w:val="center"/>
          </w:tcPr>
          <w:p>
            <w:pPr>
              <w:adjustRightInd w:val="0"/>
              <w:snapToGrid w:val="0"/>
              <w:spacing w:line="300" w:lineRule="auto"/>
              <w:jc w:val="left"/>
              <w:rPr>
                <w:sz w:val="18"/>
                <w:szCs w:val="18"/>
              </w:rPr>
            </w:pPr>
            <w:r>
              <w:rPr>
                <w:sz w:val="18"/>
                <w:szCs w:val="18"/>
              </w:rPr>
              <w:t>考核</w:t>
            </w:r>
          </w:p>
        </w:tc>
        <w:tc>
          <w:tcPr>
            <w:tcW w:w="616" w:type="dxa"/>
            <w:vAlign w:val="center"/>
          </w:tcPr>
          <w:p>
            <w:pPr>
              <w:adjustRightInd w:val="0"/>
              <w:snapToGrid w:val="0"/>
              <w:spacing w:line="300" w:lineRule="auto"/>
              <w:jc w:val="center"/>
              <w:rPr>
                <w:sz w:val="18"/>
                <w:szCs w:val="18"/>
              </w:rPr>
            </w:pPr>
            <w:r>
              <w:rPr>
                <w:sz w:val="18"/>
                <w:szCs w:val="18"/>
              </w:rPr>
              <w:t>0.6</w:t>
            </w:r>
          </w:p>
        </w:tc>
        <w:tc>
          <w:tcPr>
            <w:tcW w:w="4037" w:type="dxa"/>
            <w:vAlign w:val="center"/>
          </w:tcPr>
          <w:p>
            <w:pPr>
              <w:widowControl/>
              <w:adjustRightInd w:val="0"/>
              <w:snapToGrid w:val="0"/>
              <w:spacing w:line="300" w:lineRule="auto"/>
              <w:jc w:val="left"/>
              <w:rPr>
                <w:sz w:val="18"/>
                <w:szCs w:val="18"/>
              </w:rPr>
            </w:pPr>
            <w:r>
              <w:rPr>
                <w:sz w:val="18"/>
                <w:szCs w:val="18"/>
              </w:rPr>
              <w:t>（1）报告及规划的环节完整，格式规范（20%）；</w:t>
            </w:r>
          </w:p>
          <w:p>
            <w:pPr>
              <w:widowControl/>
              <w:adjustRightInd w:val="0"/>
              <w:snapToGrid w:val="0"/>
              <w:spacing w:line="300" w:lineRule="auto"/>
              <w:jc w:val="left"/>
              <w:rPr>
                <w:sz w:val="18"/>
                <w:szCs w:val="18"/>
              </w:rPr>
            </w:pPr>
            <w:r>
              <w:rPr>
                <w:sz w:val="18"/>
                <w:szCs w:val="18"/>
              </w:rPr>
              <w:t>（2）观点新颖、感想深刻（20%）；（3）规划科学、可行性高（20%）</w:t>
            </w:r>
          </w:p>
        </w:tc>
        <w:tc>
          <w:tcPr>
            <w:tcW w:w="1052" w:type="dxa"/>
            <w:vAlign w:val="center"/>
          </w:tcPr>
          <w:p>
            <w:pPr>
              <w:adjustRightInd w:val="0"/>
              <w:snapToGrid w:val="0"/>
              <w:spacing w:line="300" w:lineRule="auto"/>
              <w:jc w:val="center"/>
              <w:rPr>
                <w:sz w:val="18"/>
                <w:szCs w:val="18"/>
              </w:rPr>
            </w:pPr>
            <w:r>
              <w:rPr>
                <w:sz w:val="18"/>
                <w:szCs w:val="18"/>
              </w:rPr>
              <w:t>1，2，3</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065"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65" DrawAspect="Content" ObjectID="_1468075764" r:id="rId74">
            <o:LockedField>false</o:LockedField>
          </o:OLEObject>
        </w:object>
      </w:r>
    </w:p>
    <w:p>
      <w:pPr>
        <w:adjustRightInd w:val="0"/>
        <w:snapToGrid w:val="0"/>
        <w:spacing w:line="300" w:lineRule="auto"/>
        <w:ind w:firstLine="420" w:firstLineChars="200"/>
      </w:pPr>
      <w:r>
        <w:t>课程总目标达成情况为3个课程目标的加权得分率，其计算公式为：</w:t>
      </w:r>
    </w:p>
    <w:p>
      <w:pPr>
        <w:adjustRightInd w:val="0"/>
        <w:snapToGrid w:val="0"/>
        <w:spacing w:line="300" w:lineRule="auto"/>
        <w:jc w:val="center"/>
      </w:pPr>
      <w:r>
        <w:t xml:space="preserve"> </w:t>
      </w:r>
      <w:r>
        <w:object>
          <v:shape id="_x0000_i1066" o:spt="75" type="#_x0000_t75" style="height:18.75pt;width:276.75pt;" o:ole="t" filled="f" o:preferrelative="t" stroked="f" coordsize="21600,21600">
            <v:path/>
            <v:fill on="f" focussize="0,0"/>
            <v:stroke on="f" joinstyle="miter"/>
            <v:imagedata r:id="rId38" o:title=""/>
            <o:lock v:ext="edit" aspectratio="t"/>
            <w10:wrap type="none"/>
            <w10:anchorlock/>
          </v:shape>
          <o:OLEObject Type="Embed" ProgID="Equation.DSMT4" ShapeID="_x0000_i1066" DrawAspect="Content" ObjectID="_1468075765" r:id="rId75">
            <o:LockedField>false</o:LockedField>
          </o:OLEObject>
        </w:object>
      </w:r>
    </w:p>
    <w:p>
      <w:pPr>
        <w:adjustRightInd w:val="0"/>
        <w:snapToGrid w:val="0"/>
        <w:spacing w:line="300" w:lineRule="auto"/>
      </w:pPr>
      <w:r>
        <w:t>其中权重系数按照表5设定。</w:t>
      </w:r>
    </w:p>
    <w:p>
      <w:pPr>
        <w:adjustRightInd w:val="0"/>
        <w:snapToGrid w:val="0"/>
        <w:spacing w:before="156" w:beforeLines="50" w:line="300" w:lineRule="auto"/>
        <w:jc w:val="center"/>
        <w:rPr>
          <w:b/>
          <w:bCs/>
          <w:sz w:val="18"/>
          <w:szCs w:val="18"/>
        </w:rPr>
      </w:pPr>
      <w:r>
        <w:rPr>
          <w:b/>
          <w:bCs/>
          <w:sz w:val="18"/>
          <w:szCs w:val="18"/>
        </w:rPr>
        <w:t>表5课程目标权重系数</w:t>
      </w:r>
    </w:p>
    <w:tbl>
      <w:tblPr>
        <w:tblStyle w:val="22"/>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5"/>
        <w:gridCol w:w="2774"/>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235" w:type="dxa"/>
            <w:vAlign w:val="center"/>
          </w:tcPr>
          <w:p>
            <w:pPr>
              <w:adjustRightInd w:val="0"/>
              <w:snapToGrid w:val="0"/>
              <w:spacing w:line="300" w:lineRule="auto"/>
              <w:jc w:val="center"/>
              <w:rPr>
                <w:b/>
                <w:bCs/>
                <w:sz w:val="18"/>
                <w:szCs w:val="18"/>
              </w:rPr>
            </w:pPr>
            <w:r>
              <w:rPr>
                <w:b/>
                <w:bCs/>
                <w:sz w:val="18"/>
                <w:szCs w:val="18"/>
              </w:rPr>
              <w:t>课程目标</w:t>
            </w:r>
          </w:p>
        </w:tc>
        <w:tc>
          <w:tcPr>
            <w:tcW w:w="2774" w:type="dxa"/>
            <w:vAlign w:val="center"/>
          </w:tcPr>
          <w:p>
            <w:pPr>
              <w:adjustRightInd w:val="0"/>
              <w:snapToGrid w:val="0"/>
              <w:spacing w:line="300" w:lineRule="auto"/>
              <w:jc w:val="center"/>
              <w:rPr>
                <w:sz w:val="18"/>
                <w:szCs w:val="18"/>
              </w:rPr>
            </w:pPr>
            <w:r>
              <w:rPr>
                <w:sz w:val="18"/>
                <w:szCs w:val="18"/>
              </w:rPr>
              <w:t>1</w:t>
            </w:r>
          </w:p>
        </w:tc>
        <w:tc>
          <w:tcPr>
            <w:tcW w:w="2322" w:type="dxa"/>
            <w:vAlign w:val="center"/>
          </w:tcPr>
          <w:p>
            <w:pPr>
              <w:adjustRightInd w:val="0"/>
              <w:snapToGrid w:val="0"/>
              <w:spacing w:line="300" w:lineRule="auto"/>
              <w:jc w:val="center"/>
              <w:rPr>
                <w:sz w:val="18"/>
                <w:szCs w:val="18"/>
              </w:rPr>
            </w:pPr>
            <w:r>
              <w:rPr>
                <w:sz w:val="18"/>
                <w:szCs w:val="18"/>
              </w:rPr>
              <w:t>2</w:t>
            </w:r>
          </w:p>
        </w:tc>
        <w:tc>
          <w:tcPr>
            <w:tcW w:w="2322"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235" w:type="dxa"/>
            <w:vAlign w:val="center"/>
          </w:tcPr>
          <w:p>
            <w:pPr>
              <w:adjustRightInd w:val="0"/>
              <w:snapToGrid w:val="0"/>
              <w:spacing w:line="300" w:lineRule="auto"/>
              <w:jc w:val="center"/>
              <w:rPr>
                <w:b/>
                <w:bCs/>
                <w:sz w:val="18"/>
                <w:szCs w:val="18"/>
              </w:rPr>
            </w:pPr>
            <w:r>
              <w:rPr>
                <w:b/>
                <w:bCs/>
                <w:sz w:val="18"/>
                <w:szCs w:val="18"/>
              </w:rPr>
              <w:t>权重系数</w:t>
            </w:r>
          </w:p>
        </w:tc>
        <w:tc>
          <w:tcPr>
            <w:tcW w:w="2774" w:type="dxa"/>
            <w:vAlign w:val="center"/>
          </w:tcPr>
          <w:p>
            <w:pPr>
              <w:adjustRightInd w:val="0"/>
              <w:snapToGrid w:val="0"/>
              <w:spacing w:line="300" w:lineRule="auto"/>
              <w:jc w:val="center"/>
              <w:rPr>
                <w:sz w:val="18"/>
                <w:szCs w:val="18"/>
              </w:rPr>
            </w:pPr>
            <w:r>
              <w:rPr>
                <w:sz w:val="18"/>
                <w:szCs w:val="18"/>
              </w:rPr>
              <w:t>0.3</w:t>
            </w:r>
          </w:p>
        </w:tc>
        <w:tc>
          <w:tcPr>
            <w:tcW w:w="2322" w:type="dxa"/>
            <w:vAlign w:val="center"/>
          </w:tcPr>
          <w:p>
            <w:pPr>
              <w:adjustRightInd w:val="0"/>
              <w:snapToGrid w:val="0"/>
              <w:spacing w:line="300" w:lineRule="auto"/>
              <w:jc w:val="center"/>
              <w:rPr>
                <w:sz w:val="18"/>
                <w:szCs w:val="18"/>
              </w:rPr>
            </w:pPr>
            <w:r>
              <w:rPr>
                <w:sz w:val="18"/>
                <w:szCs w:val="18"/>
              </w:rPr>
              <w:t>0.4</w:t>
            </w:r>
          </w:p>
        </w:tc>
        <w:tc>
          <w:tcPr>
            <w:tcW w:w="2322" w:type="dxa"/>
            <w:vAlign w:val="center"/>
          </w:tcPr>
          <w:p>
            <w:pPr>
              <w:adjustRightInd w:val="0"/>
              <w:snapToGrid w:val="0"/>
              <w:spacing w:line="300" w:lineRule="auto"/>
              <w:jc w:val="center"/>
              <w:rPr>
                <w:sz w:val="18"/>
                <w:szCs w:val="18"/>
              </w:rPr>
            </w:pPr>
            <w:r>
              <w:rPr>
                <w:sz w:val="18"/>
                <w:szCs w:val="18"/>
              </w:rPr>
              <w:t>0.3</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067"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067" DrawAspect="Content" ObjectID="_1468075766" r:id="rId76">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依据达成度评价、教师自评、学生评价，以及课程教学情况、考试情况，对课程进行有针对性的总结，持续改进课程教学，给出明确的课程总结要求。</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不需要指定教材。</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eastAsia="宋体" w:cs="Times New Roman"/>
                <w:kern w:val="0"/>
                <w:sz w:val="20"/>
                <w:szCs w:val="21"/>
              </w:rPr>
            </w:pPr>
          </w:p>
        </w:tc>
      </w:tr>
    </w:tbl>
    <w:p>
      <w:pPr>
        <w:keepNext/>
        <w:keepLines/>
        <w:tabs>
          <w:tab w:val="left" w:pos="0"/>
          <w:tab w:val="left" w:pos="420"/>
        </w:tabs>
        <w:spacing w:before="260" w:after="260" w:line="413" w:lineRule="auto"/>
        <w:jc w:val="center"/>
        <w:outlineLvl w:val="2"/>
        <w:rPr>
          <w:b/>
          <w:sz w:val="32"/>
        </w:rPr>
      </w:pPr>
      <w:r>
        <w:rPr>
          <w:rFonts w:cs="Times New Roman"/>
          <w:sz w:val="32"/>
        </w:rPr>
        <w:br w:type="page"/>
      </w:r>
      <w:bookmarkEnd w:id="52"/>
      <w:bookmarkEnd w:id="53"/>
      <w:bookmarkEnd w:id="54"/>
      <w:bookmarkEnd w:id="55"/>
      <w:bookmarkEnd w:id="56"/>
      <w:bookmarkEnd w:id="57"/>
      <w:bookmarkStart w:id="63" w:name="_Toc14559"/>
      <w:bookmarkStart w:id="64" w:name="_Toc46489654"/>
      <w:bookmarkStart w:id="65" w:name="_Toc47774708"/>
      <w:bookmarkStart w:id="66" w:name="_Toc47718781"/>
      <w:bookmarkStart w:id="67" w:name="_Toc126"/>
      <w:bookmarkStart w:id="68" w:name="_Toc47719752"/>
      <w:bookmarkStart w:id="69" w:name="_Toc38126108"/>
      <w:r>
        <w:rPr>
          <w:rFonts w:ascii="Times New Roman" w:hAnsi="Times New Roman" w:cs="Times New Roman"/>
          <w:b/>
          <w:sz w:val="32"/>
        </w:rPr>
        <w:t>33442001《电路分析》课程教学大纲</w:t>
      </w:r>
      <w:bookmarkEnd w:id="63"/>
    </w:p>
    <w:tbl>
      <w:tblPr>
        <w:tblStyle w:val="22"/>
        <w:tblW w:w="868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33442001</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电路分析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kern w:val="0"/>
                <w:szCs w:val="21"/>
              </w:rPr>
              <w:t>专业基础类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Circuit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4.5 </w:t>
            </w:r>
            <w:r>
              <w:rPr>
                <w:kern w:val="0"/>
                <w:szCs w:val="21"/>
              </w:rPr>
              <w:t>: 72（8）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bCs/>
                <w:kern w:val="0"/>
                <w:szCs w:val="21"/>
              </w:rPr>
            </w:pPr>
            <w:r>
              <w:rPr>
                <w:bCs/>
                <w:kern w:val="0"/>
                <w:szCs w:val="21"/>
              </w:rPr>
              <w:t>王骥、</w:t>
            </w:r>
            <w:r>
              <w:rPr>
                <w:rFonts w:hint="eastAsia"/>
                <w:bCs/>
                <w:kern w:val="0"/>
                <w:szCs w:val="21"/>
              </w:rPr>
              <w:t>杨玉强、任肖丽、</w:t>
            </w:r>
            <w:r>
              <w:rPr>
                <w:bCs/>
                <w:kern w:val="0"/>
                <w:szCs w:val="21"/>
              </w:rPr>
              <w:t>王文华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王骥</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高等数学、大学物理和工程数学</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电路分析》是电子与信息工程学院电类各个专业的专业教育核心课，主要研究电路的基本定理、基本定律、基本分析方法及应用。本课程主要讲授直流电阻电路、动态电路和正弦稳态电路等三部分内容。通过本课程的学习，使学生应掌握电路的基本定理，基本定律和电路的分析方法，培养学生的逻辑思维能力、综合运用电路理论分析和解决问题的能力，为后续《模拟电子技术》、《数字电子技术》、《高频电子线路》、《信号与系统》等课程的学习打下坚实基础。该课程是一门重要的承上启下的专业基础课。</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通过本课程的学习，使学生掌握电路理论的基本定理、基本定律、分析和计算电路的基本方法以及进行电路实验的基本技能，了解电路理论的应用和发展概况，进一步培养学生的思维推理能力和分析运算能力，综合运用电路理论分析和解决问题的能力，掌握电路分析专业技能和应用技能、具备专业素质和创新素质。该课程要注意理论联系实际，要安排学生做实验，验证电路定理，电路定律和电路分析方法，提高实际动手能力。</w:t>
      </w:r>
      <w:r>
        <w:rPr>
          <w:b/>
          <w:kern w:val="0"/>
          <w:szCs w:val="21"/>
        </w:rPr>
        <w:t>讲授绪论时，植入电路发展史上杰出科学家的工匠精神，国内著名电子公司的爱国与担当精神。旨在培育学生创新精神，使学生的学习能力提升的同时，精神层面也得到升华。</w:t>
      </w:r>
      <w:r>
        <w:rPr>
          <w:kern w:val="0"/>
          <w:szCs w:val="21"/>
        </w:rPr>
        <w:t xml:space="preserve">本课程的具体教学目标如下： </w:t>
      </w:r>
    </w:p>
    <w:p>
      <w:pPr>
        <w:widowControl/>
        <w:snapToGrid w:val="0"/>
        <w:spacing w:line="300" w:lineRule="auto"/>
        <w:ind w:firstLine="420" w:firstLineChars="200"/>
        <w:rPr>
          <w:kern w:val="0"/>
          <w:szCs w:val="21"/>
        </w:rPr>
      </w:pPr>
      <w:r>
        <w:rPr>
          <w:kern w:val="0"/>
          <w:szCs w:val="21"/>
        </w:rPr>
        <w:t>1．具备实际电路建模方法和电路拓扑理论，掌握用于基本电路分析方法以及一阶、二阶电路动态分析的常微分方程数学方法，能使用数学、自然科学、工程基础和专业知识针对工程问题建立合适的数学模型。[1</w:t>
      </w:r>
      <w:r>
        <w:rPr>
          <w:rFonts w:hint="eastAsia"/>
          <w:kern w:val="0"/>
          <w:szCs w:val="21"/>
        </w:rPr>
        <w:t>.</w:t>
      </w:r>
      <w:r>
        <w:rPr>
          <w:kern w:val="0"/>
          <w:szCs w:val="21"/>
        </w:rPr>
        <w:t>2]</w:t>
      </w:r>
    </w:p>
    <w:p>
      <w:pPr>
        <w:widowControl/>
        <w:snapToGrid w:val="0"/>
        <w:spacing w:line="300" w:lineRule="auto"/>
        <w:ind w:firstLine="420" w:firstLineChars="200"/>
        <w:rPr>
          <w:kern w:val="0"/>
          <w:szCs w:val="21"/>
        </w:rPr>
      </w:pPr>
      <w:r>
        <w:rPr>
          <w:kern w:val="0"/>
          <w:szCs w:val="21"/>
        </w:rPr>
        <w:t>2．掌握电阻、电容、电感元件、独立电源、受控电源的特性、功能，具备这些元件的应用能力；能够分析和计算较复杂电阻电路的电流、电压及元件参数；能够分析一般一阶、二阶动态电路的动态过程；能够分析和计算互感电路的参数；能够理解三相电路的工程应用；能够分析和计算二端口网络的Y参数和Z参数。 [1.2]</w:t>
      </w:r>
    </w:p>
    <w:p>
      <w:pPr>
        <w:snapToGrid w:val="0"/>
        <w:spacing w:line="300" w:lineRule="auto"/>
        <w:ind w:firstLine="420" w:firstLineChars="200"/>
        <w:rPr>
          <w:szCs w:val="21"/>
        </w:rPr>
      </w:pPr>
      <w:r>
        <w:rPr>
          <w:szCs w:val="21"/>
        </w:rPr>
        <w:t>3．具备对模型电路进行分析的基本理论（定理、定律），掌握电路分析应用方法，具备对给定实际电路进行模型化分析与模型电路逆向设计的专业素质。[3</w:t>
      </w:r>
      <w:r>
        <w:rPr>
          <w:rFonts w:hint="eastAsia"/>
          <w:szCs w:val="21"/>
        </w:rPr>
        <w:t>.</w:t>
      </w:r>
      <w:r>
        <w:rPr>
          <w:szCs w:val="21"/>
        </w:rPr>
        <w:t>1]</w:t>
      </w:r>
    </w:p>
    <w:p>
      <w:pPr>
        <w:snapToGrid w:val="0"/>
        <w:spacing w:line="300" w:lineRule="auto"/>
        <w:ind w:firstLine="420" w:firstLineChars="200"/>
        <w:rPr>
          <w:szCs w:val="21"/>
        </w:rPr>
      </w:pPr>
      <w:r>
        <w:rPr>
          <w:szCs w:val="21"/>
        </w:rPr>
        <w:t>4． 具备基于电路分析原理并采用电路分析方法对复杂工程问题的技术路线，实验方案、软硬件模块和存在的问题进行研究的能力。[3</w:t>
      </w:r>
      <w:r>
        <w:rPr>
          <w:rFonts w:hint="eastAsia"/>
          <w:szCs w:val="21"/>
        </w:rPr>
        <w:t>.</w:t>
      </w:r>
      <w:r>
        <w:rPr>
          <w:szCs w:val="21"/>
        </w:rPr>
        <w:t>1]</w:t>
      </w:r>
    </w:p>
    <w:p>
      <w:pPr>
        <w:snapToGrid w:val="0"/>
        <w:spacing w:line="300" w:lineRule="auto"/>
        <w:ind w:firstLine="420" w:firstLineChars="200"/>
        <w:rPr>
          <w:szCs w:val="21"/>
        </w:rPr>
      </w:pPr>
      <w:r>
        <w:rPr>
          <w:szCs w:val="21"/>
        </w:rPr>
        <w:t>5．具备利用Multisim EDA等仿真软件对于复杂工程模型电路进行仿真和应用实际电路实验装置与仪器进行实验的能力。[5</w:t>
      </w:r>
      <w:r>
        <w:rPr>
          <w:rFonts w:hint="eastAsia"/>
          <w:szCs w:val="21"/>
        </w:rPr>
        <w:t>.</w:t>
      </w:r>
      <w:r>
        <w:rPr>
          <w:szCs w:val="21"/>
        </w:rPr>
        <w:t>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6"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1．工程知识</w:t>
            </w:r>
          </w:p>
        </w:tc>
        <w:tc>
          <w:tcPr>
            <w:tcW w:w="6143"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2掌握计算机、电子、信息、通信、测控及其它工程基础知识，并有效将其应用于电子信息领域工程问题的软硬件分析与设计</w:t>
            </w:r>
            <w:r>
              <w:rPr>
                <w:szCs w:val="21"/>
              </w:rPr>
              <w:t>。</w:t>
            </w:r>
          </w:p>
        </w:tc>
        <w:tc>
          <w:tcPr>
            <w:tcW w:w="689" w:type="dxa"/>
            <w:vAlign w:val="center"/>
          </w:tcPr>
          <w:p>
            <w:pPr>
              <w:snapToGrid w:val="0"/>
              <w:spacing w:line="300" w:lineRule="auto"/>
              <w:jc w:val="center"/>
              <w:rPr>
                <w:rFonts w:eastAsia="宋体"/>
                <w:sz w:val="18"/>
                <w:szCs w:val="18"/>
              </w:rPr>
            </w:pPr>
            <w:r>
              <w:rPr>
                <w:sz w:val="18"/>
                <w:szCs w:val="18"/>
              </w:rPr>
              <w:t>1</w:t>
            </w:r>
            <w:r>
              <w:rPr>
                <w:rFonts w:hint="eastAsia"/>
                <w:sz w:val="18"/>
                <w:szCs w:val="18"/>
              </w:rPr>
              <w:t>，2</w:t>
            </w:r>
          </w:p>
        </w:tc>
        <w:tc>
          <w:tcPr>
            <w:tcW w:w="656" w:type="dxa"/>
            <w:vAlign w:val="center"/>
          </w:tcPr>
          <w:p>
            <w:pPr>
              <w:snapToGrid w:val="0"/>
              <w:spacing w:line="300" w:lineRule="auto"/>
              <w:jc w:val="center"/>
              <w:rPr>
                <w:sz w:val="18"/>
                <w:szCs w:val="18"/>
              </w:rPr>
            </w:pPr>
            <w:r>
              <w:rPr>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 w:hRule="atLeast"/>
          <w:jc w:val="center"/>
        </w:trPr>
        <w:tc>
          <w:tcPr>
            <w:tcW w:w="1193" w:type="dxa"/>
            <w:vAlign w:val="center"/>
          </w:tcPr>
          <w:p>
            <w:pPr>
              <w:snapToGrid w:val="0"/>
              <w:spacing w:line="300" w:lineRule="auto"/>
              <w:rPr>
                <w:sz w:val="18"/>
                <w:szCs w:val="18"/>
              </w:rPr>
            </w:pPr>
            <w:r>
              <w:rPr>
                <w:sz w:val="18"/>
                <w:szCs w:val="18"/>
              </w:rPr>
              <w:t>3．设计/开发解决方案</w:t>
            </w:r>
          </w:p>
        </w:tc>
        <w:tc>
          <w:tcPr>
            <w:tcW w:w="6143" w:type="dxa"/>
            <w:vAlign w:val="center"/>
          </w:tcPr>
          <w:p>
            <w:pPr>
              <w:snapToGrid w:val="0"/>
              <w:spacing w:line="300" w:lineRule="auto"/>
              <w:ind w:right="-334"/>
              <w:rPr>
                <w:sz w:val="18"/>
                <w:szCs w:val="18"/>
              </w:rPr>
            </w:pPr>
            <w:r>
              <w:rPr>
                <w:sz w:val="18"/>
                <w:szCs w:val="18"/>
              </w:rPr>
              <w:t>3</w:t>
            </w:r>
            <w:r>
              <w:rPr>
                <w:rFonts w:hint="eastAsia"/>
                <w:sz w:val="18"/>
                <w:szCs w:val="18"/>
              </w:rPr>
              <w:t>.</w:t>
            </w:r>
            <w:r>
              <w:rPr>
                <w:sz w:val="18"/>
                <w:szCs w:val="18"/>
              </w:rPr>
              <w:t>1能够利用专业知识，针对给定需求，设计出满足要求的系统总体方案与</w:t>
            </w:r>
          </w:p>
          <w:p>
            <w:pPr>
              <w:snapToGrid w:val="0"/>
              <w:spacing w:line="300" w:lineRule="auto"/>
              <w:ind w:right="-334"/>
              <w:rPr>
                <w:sz w:val="18"/>
                <w:szCs w:val="18"/>
              </w:rPr>
            </w:pPr>
            <w:r>
              <w:rPr>
                <w:sz w:val="18"/>
                <w:szCs w:val="18"/>
              </w:rPr>
              <w:t>系统拓扑图、单元子系统（或单元电路）、软硬件模块或工艺。</w:t>
            </w:r>
          </w:p>
        </w:tc>
        <w:tc>
          <w:tcPr>
            <w:tcW w:w="689" w:type="dxa"/>
            <w:vAlign w:val="center"/>
          </w:tcPr>
          <w:p>
            <w:pPr>
              <w:snapToGrid w:val="0"/>
              <w:spacing w:line="300" w:lineRule="auto"/>
              <w:jc w:val="center"/>
              <w:rPr>
                <w:rFonts w:eastAsia="宋体"/>
                <w:sz w:val="18"/>
                <w:szCs w:val="18"/>
              </w:rPr>
            </w:pPr>
            <w:r>
              <w:rPr>
                <w:sz w:val="18"/>
                <w:szCs w:val="18"/>
              </w:rPr>
              <w:t>3</w:t>
            </w:r>
            <w:r>
              <w:rPr>
                <w:rFonts w:hint="eastAsia"/>
                <w:sz w:val="18"/>
                <w:szCs w:val="18"/>
              </w:rPr>
              <w:t>，4</w:t>
            </w:r>
          </w:p>
        </w:tc>
        <w:tc>
          <w:tcPr>
            <w:tcW w:w="656" w:type="dxa"/>
            <w:vAlign w:val="center"/>
          </w:tcPr>
          <w:p>
            <w:pPr>
              <w:snapToGrid w:val="0"/>
              <w:spacing w:line="300" w:lineRule="auto"/>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5．现代工具使用</w:t>
            </w:r>
          </w:p>
        </w:tc>
        <w:tc>
          <w:tcPr>
            <w:tcW w:w="6143" w:type="dxa"/>
            <w:vAlign w:val="center"/>
          </w:tcPr>
          <w:p>
            <w:pPr>
              <w:snapToGrid w:val="0"/>
              <w:spacing w:line="300" w:lineRule="auto"/>
              <w:rPr>
                <w:sz w:val="18"/>
                <w:szCs w:val="18"/>
              </w:rPr>
            </w:pPr>
            <w:r>
              <w:rPr>
                <w:sz w:val="18"/>
                <w:szCs w:val="18"/>
              </w:rPr>
              <w:t>5</w:t>
            </w:r>
            <w:r>
              <w:rPr>
                <w:rFonts w:hint="eastAsia"/>
                <w:sz w:val="18"/>
                <w:szCs w:val="18"/>
              </w:rPr>
              <w:t>.</w:t>
            </w:r>
            <w:r>
              <w:rPr>
                <w:sz w:val="18"/>
                <w:szCs w:val="18"/>
              </w:rPr>
              <w:t>2具备使用实验设备、软件和现代工程工具对复杂工程问题进行模拟或仿真的能力，并能够理解其局限性。</w:t>
            </w:r>
          </w:p>
        </w:tc>
        <w:tc>
          <w:tcPr>
            <w:tcW w:w="689" w:type="dxa"/>
            <w:vAlign w:val="center"/>
          </w:tcPr>
          <w:p>
            <w:pPr>
              <w:snapToGrid w:val="0"/>
              <w:spacing w:line="300" w:lineRule="auto"/>
              <w:jc w:val="center"/>
              <w:rPr>
                <w:sz w:val="18"/>
                <w:szCs w:val="18"/>
              </w:rPr>
            </w:pPr>
            <w:r>
              <w:rPr>
                <w:sz w:val="18"/>
                <w:szCs w:val="18"/>
              </w:rPr>
              <w:t>5</w:t>
            </w:r>
          </w:p>
        </w:tc>
        <w:tc>
          <w:tcPr>
            <w:tcW w:w="656" w:type="dxa"/>
            <w:vAlign w:val="center"/>
          </w:tcPr>
          <w:p>
            <w:pPr>
              <w:snapToGrid w:val="0"/>
              <w:spacing w:line="300" w:lineRule="auto"/>
              <w:jc w:val="center"/>
              <w:rPr>
                <w:sz w:val="18"/>
                <w:szCs w:val="18"/>
              </w:rPr>
            </w:pPr>
            <w:r>
              <w:rPr>
                <w:sz w:val="18"/>
                <w:szCs w:val="18"/>
              </w:rPr>
              <w:t>0.2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239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1．具备实际电路建模方法和电路拓扑理论，掌握用于基本电路分析方法以及一阶、二阶电路动态分析的常微分方程数学方法，能使用数学、自然科学、工程基础和专业知识针对工程问题建立合适的数学模型。</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rPr>
              <w:t>2．掌握电阻、电容、电感元件、独立电源、受控电源的特性、功能，具备这些元件的应用能力；能够分析和计算较复杂电阻电路的电流、电压及元件参数；能够分析一般一阶、二阶动态电路的动态过程；能够分析和计算互感电路的参数；能够理解三相电路的工程应用；能够分析和计算二端口网络的Y参数和Z参数。</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3．具备对模型电路进行分析的基本理论（定理、定律），掌握电路分析应用方法，具备对给定实际电路进行模型化分析与模型电路逆向设计的专业素质。</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讲授、实验、作业等达成。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rPr>
              <w:t>4．具备基于电路分析原理并采用电路分析方法对复杂工程问题的技术路线，实验方案、软硬件模块和存在的问题进行研究的能力。</w:t>
            </w:r>
          </w:p>
        </w:tc>
        <w:tc>
          <w:tcPr>
            <w:tcW w:w="2394"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rPr>
            </w:pPr>
            <w:r>
              <w:rPr>
                <w:sz w:val="18"/>
                <w:szCs w:val="18"/>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rPr>
              <w:t>5．具备利用Multisim EDA等仿真软件对于复杂工程模型电路进行仿真和应用实际电路实验装置与仪器进行实验的能力。</w:t>
            </w:r>
          </w:p>
        </w:tc>
        <w:tc>
          <w:tcPr>
            <w:tcW w:w="2394"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rPr>
            </w:pPr>
            <w:r>
              <w:rPr>
                <w:sz w:val="18"/>
                <w:szCs w:val="18"/>
              </w:rPr>
              <w:t>通过课堂讲授与学生学习（实验与仿真）等达成。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课堂讲授为主，网络多媒体教学、课程独立网站（含教学视频）以及“雨课堂”同步学习为辅，注重与专业相关工程实践教学环节和场景配合的案例教学，搜集《电路分析》相关内容在实际工程中的案例，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1"/>
        <w:gridCol w:w="2432"/>
        <w:gridCol w:w="4539"/>
        <w:gridCol w:w="444"/>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trPr>
        <w:tc>
          <w:tcPr>
            <w:tcW w:w="441" w:type="dxa"/>
            <w:tcMar>
              <w:left w:w="57" w:type="dxa"/>
              <w:right w:w="57" w:type="dxa"/>
            </w:tcMar>
            <w:vAlign w:val="center"/>
          </w:tcPr>
          <w:p>
            <w:pPr>
              <w:snapToGrid w:val="0"/>
              <w:spacing w:line="300" w:lineRule="auto"/>
              <w:ind w:left="-63" w:leftChars="-30"/>
              <w:jc w:val="center"/>
              <w:rPr>
                <w:b/>
                <w:bCs/>
                <w:sz w:val="18"/>
                <w:szCs w:val="18"/>
              </w:rPr>
            </w:pPr>
            <w:r>
              <w:rPr>
                <w:b/>
                <w:bCs/>
                <w:sz w:val="18"/>
                <w:szCs w:val="18"/>
              </w:rPr>
              <w:t>序号</w:t>
            </w:r>
          </w:p>
        </w:tc>
        <w:tc>
          <w:tcPr>
            <w:tcW w:w="2432" w:type="dxa"/>
            <w:vAlign w:val="center"/>
          </w:tcPr>
          <w:p>
            <w:pPr>
              <w:snapToGrid w:val="0"/>
              <w:spacing w:line="300" w:lineRule="auto"/>
              <w:ind w:firstLine="361" w:firstLineChars="200"/>
              <w:rPr>
                <w:b/>
                <w:bCs/>
                <w:sz w:val="18"/>
                <w:szCs w:val="18"/>
              </w:rPr>
            </w:pPr>
            <w:r>
              <w:rPr>
                <w:b/>
                <w:bCs/>
                <w:sz w:val="18"/>
                <w:szCs w:val="18"/>
              </w:rPr>
              <w:t>教学内容</w:t>
            </w:r>
          </w:p>
        </w:tc>
        <w:tc>
          <w:tcPr>
            <w:tcW w:w="4539"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444" w:type="dxa"/>
            <w:vAlign w:val="center"/>
          </w:tcPr>
          <w:p>
            <w:pPr>
              <w:snapToGrid w:val="0"/>
              <w:spacing w:line="300" w:lineRule="auto"/>
              <w:jc w:val="center"/>
              <w:rPr>
                <w:b/>
                <w:bCs/>
                <w:sz w:val="18"/>
                <w:szCs w:val="18"/>
              </w:rPr>
            </w:pPr>
            <w:r>
              <w:rPr>
                <w:b/>
                <w:bCs/>
                <w:sz w:val="18"/>
                <w:szCs w:val="18"/>
              </w:rPr>
              <w:t>学时</w:t>
            </w:r>
          </w:p>
        </w:tc>
        <w:tc>
          <w:tcPr>
            <w:tcW w:w="825"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1" w:type="dxa"/>
            <w:tcMar>
              <w:left w:w="57" w:type="dxa"/>
              <w:right w:w="57" w:type="dxa"/>
            </w:tcMar>
            <w:vAlign w:val="center"/>
          </w:tcPr>
          <w:p>
            <w:pPr>
              <w:snapToGrid w:val="0"/>
              <w:spacing w:line="300" w:lineRule="auto"/>
              <w:jc w:val="center"/>
              <w:rPr>
                <w:sz w:val="18"/>
                <w:szCs w:val="18"/>
              </w:rPr>
            </w:pPr>
            <w:r>
              <w:rPr>
                <w:sz w:val="18"/>
                <w:szCs w:val="18"/>
              </w:rPr>
              <w:t>1</w:t>
            </w:r>
          </w:p>
        </w:tc>
        <w:tc>
          <w:tcPr>
            <w:tcW w:w="2432" w:type="dxa"/>
            <w:vAlign w:val="center"/>
          </w:tcPr>
          <w:p>
            <w:pPr>
              <w:tabs>
                <w:tab w:val="left" w:pos="0"/>
              </w:tabs>
              <w:adjustRightInd w:val="0"/>
              <w:snapToGrid w:val="0"/>
              <w:spacing w:line="300" w:lineRule="auto"/>
              <w:rPr>
                <w:sz w:val="18"/>
                <w:szCs w:val="18"/>
              </w:rPr>
            </w:pPr>
            <w:r>
              <w:rPr>
                <w:sz w:val="18"/>
                <w:szCs w:val="18"/>
              </w:rPr>
              <w:t>0 绪论，</w:t>
            </w:r>
            <w:r>
              <w:rPr>
                <w:b/>
                <w:sz w:val="18"/>
                <w:szCs w:val="18"/>
              </w:rPr>
              <w:t>引入课程思政</w:t>
            </w:r>
          </w:p>
          <w:p>
            <w:pPr>
              <w:snapToGrid w:val="0"/>
              <w:spacing w:line="300" w:lineRule="auto"/>
              <w:rPr>
                <w:sz w:val="18"/>
                <w:szCs w:val="18"/>
              </w:rPr>
            </w:pPr>
            <w:r>
              <w:rPr>
                <w:sz w:val="18"/>
                <w:szCs w:val="18"/>
              </w:rPr>
              <w:t>1电路模型和电路定律</w:t>
            </w:r>
          </w:p>
          <w:p>
            <w:pPr>
              <w:snapToGrid w:val="0"/>
              <w:spacing w:line="300" w:lineRule="auto"/>
              <w:rPr>
                <w:sz w:val="18"/>
                <w:szCs w:val="18"/>
              </w:rPr>
            </w:pPr>
            <w:r>
              <w:rPr>
                <w:sz w:val="18"/>
                <w:szCs w:val="18"/>
              </w:rPr>
              <w:t>1.1 电路和电路模型；</w:t>
            </w:r>
          </w:p>
          <w:p>
            <w:pPr>
              <w:snapToGrid w:val="0"/>
              <w:spacing w:line="300" w:lineRule="auto"/>
              <w:rPr>
                <w:sz w:val="18"/>
                <w:szCs w:val="18"/>
              </w:rPr>
            </w:pPr>
            <w:r>
              <w:rPr>
                <w:sz w:val="18"/>
                <w:szCs w:val="18"/>
              </w:rPr>
              <w:t>1.2 电流和电压的参考方向；</w:t>
            </w:r>
          </w:p>
          <w:p>
            <w:pPr>
              <w:snapToGrid w:val="0"/>
              <w:spacing w:line="300" w:lineRule="auto"/>
              <w:rPr>
                <w:sz w:val="18"/>
                <w:szCs w:val="18"/>
              </w:rPr>
            </w:pPr>
            <w:r>
              <w:rPr>
                <w:sz w:val="18"/>
                <w:szCs w:val="18"/>
              </w:rPr>
              <w:t>1.3 电功率和能量；</w:t>
            </w:r>
          </w:p>
          <w:p>
            <w:pPr>
              <w:snapToGrid w:val="0"/>
              <w:spacing w:line="300" w:lineRule="auto"/>
              <w:rPr>
                <w:sz w:val="18"/>
                <w:szCs w:val="18"/>
              </w:rPr>
            </w:pPr>
            <w:r>
              <w:rPr>
                <w:sz w:val="18"/>
                <w:szCs w:val="18"/>
              </w:rPr>
              <w:t>1.4 电路元件；</w:t>
            </w:r>
          </w:p>
          <w:p>
            <w:pPr>
              <w:snapToGrid w:val="0"/>
              <w:spacing w:line="300" w:lineRule="auto"/>
              <w:rPr>
                <w:sz w:val="18"/>
                <w:szCs w:val="18"/>
              </w:rPr>
            </w:pPr>
            <w:r>
              <w:rPr>
                <w:sz w:val="18"/>
                <w:szCs w:val="18"/>
              </w:rPr>
              <w:t>1.5 电阻元件；</w:t>
            </w:r>
          </w:p>
          <w:p>
            <w:pPr>
              <w:snapToGrid w:val="0"/>
              <w:spacing w:line="300" w:lineRule="auto"/>
              <w:rPr>
                <w:sz w:val="18"/>
                <w:szCs w:val="18"/>
              </w:rPr>
            </w:pPr>
            <w:r>
              <w:rPr>
                <w:sz w:val="18"/>
                <w:szCs w:val="18"/>
              </w:rPr>
              <w:t>1.6 电压源和电流源；</w:t>
            </w:r>
          </w:p>
          <w:p>
            <w:pPr>
              <w:snapToGrid w:val="0"/>
              <w:spacing w:line="300" w:lineRule="auto"/>
              <w:rPr>
                <w:sz w:val="18"/>
                <w:szCs w:val="18"/>
              </w:rPr>
            </w:pPr>
            <w:r>
              <w:rPr>
                <w:sz w:val="18"/>
                <w:szCs w:val="18"/>
              </w:rPr>
              <w:t>1.7 受控电源；</w:t>
            </w:r>
          </w:p>
          <w:p>
            <w:pPr>
              <w:snapToGrid w:val="0"/>
              <w:spacing w:line="300" w:lineRule="auto"/>
              <w:rPr>
                <w:sz w:val="18"/>
                <w:szCs w:val="18"/>
              </w:rPr>
            </w:pPr>
            <w:r>
              <w:rPr>
                <w:sz w:val="18"/>
                <w:szCs w:val="18"/>
              </w:rPr>
              <w:t>1.8 基尔霍夫定律。</w:t>
            </w:r>
          </w:p>
          <w:p>
            <w:pPr>
              <w:snapToGrid w:val="0"/>
              <w:spacing w:line="300" w:lineRule="auto"/>
              <w:rPr>
                <w:sz w:val="18"/>
                <w:szCs w:val="18"/>
              </w:rPr>
            </w:pP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（1）了解：电路和电路模型。</w:t>
            </w:r>
          </w:p>
          <w:p>
            <w:pPr>
              <w:snapToGrid w:val="0"/>
              <w:spacing w:line="300" w:lineRule="auto"/>
              <w:rPr>
                <w:sz w:val="18"/>
                <w:szCs w:val="18"/>
              </w:rPr>
            </w:pPr>
            <w:r>
              <w:rPr>
                <w:sz w:val="18"/>
                <w:szCs w:val="18"/>
              </w:rPr>
              <w:t>（2）理解：电路元件，受控电源。</w:t>
            </w:r>
          </w:p>
          <w:p>
            <w:pPr>
              <w:snapToGrid w:val="0"/>
              <w:spacing w:line="300" w:lineRule="auto"/>
              <w:rPr>
                <w:sz w:val="18"/>
                <w:szCs w:val="18"/>
              </w:rPr>
            </w:pPr>
            <w:r>
              <w:rPr>
                <w:sz w:val="18"/>
                <w:szCs w:val="18"/>
              </w:rPr>
              <w:t>（3）掌握：电流和电压的参考方向；电功率和能量；电阻元件；电压源和电流源；基尔霍夫定律。</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（1）学习和了解电路的发展历程；</w:t>
            </w:r>
          </w:p>
          <w:p>
            <w:pPr>
              <w:snapToGrid w:val="0"/>
              <w:spacing w:line="300" w:lineRule="auto"/>
              <w:rPr>
                <w:sz w:val="18"/>
                <w:szCs w:val="18"/>
              </w:rPr>
            </w:pPr>
            <w:r>
              <w:rPr>
                <w:sz w:val="18"/>
                <w:szCs w:val="18"/>
              </w:rPr>
              <w:t>（2）复习第一章内容；</w:t>
            </w:r>
          </w:p>
          <w:p>
            <w:pPr>
              <w:snapToGrid w:val="0"/>
              <w:spacing w:line="300" w:lineRule="auto"/>
              <w:rPr>
                <w:sz w:val="18"/>
                <w:szCs w:val="18"/>
              </w:rPr>
            </w:pPr>
            <w:r>
              <w:rPr>
                <w:sz w:val="18"/>
                <w:szCs w:val="18"/>
              </w:rPr>
              <w:t>（3）完成教材第一章作业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案例1：1kohm 1/4W电阻接在5V/3A的直流电压源上，电阻功耗的承受能力。</w:t>
            </w:r>
          </w:p>
        </w:tc>
        <w:tc>
          <w:tcPr>
            <w:tcW w:w="444" w:type="dxa"/>
            <w:vAlign w:val="center"/>
          </w:tcPr>
          <w:p>
            <w:pPr>
              <w:snapToGrid w:val="0"/>
              <w:spacing w:line="300" w:lineRule="auto"/>
              <w:jc w:val="center"/>
              <w:rPr>
                <w:sz w:val="18"/>
                <w:szCs w:val="18"/>
              </w:rPr>
            </w:pPr>
            <w:r>
              <w:rPr>
                <w:sz w:val="18"/>
                <w:szCs w:val="18"/>
              </w:rPr>
              <w:t>8</w:t>
            </w:r>
          </w:p>
        </w:tc>
        <w:tc>
          <w:tcPr>
            <w:tcW w:w="82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2</w:t>
            </w:r>
          </w:p>
        </w:tc>
        <w:tc>
          <w:tcPr>
            <w:tcW w:w="2432" w:type="dxa"/>
            <w:vAlign w:val="center"/>
          </w:tcPr>
          <w:p>
            <w:pPr>
              <w:snapToGrid w:val="0"/>
              <w:spacing w:line="300" w:lineRule="auto"/>
              <w:rPr>
                <w:sz w:val="18"/>
                <w:szCs w:val="18"/>
              </w:rPr>
            </w:pPr>
            <w:r>
              <w:rPr>
                <w:sz w:val="18"/>
                <w:szCs w:val="18"/>
              </w:rPr>
              <w:t>2电阻电路的等效变换</w:t>
            </w:r>
          </w:p>
          <w:p>
            <w:pPr>
              <w:snapToGrid w:val="0"/>
              <w:spacing w:line="300" w:lineRule="auto"/>
              <w:rPr>
                <w:sz w:val="18"/>
                <w:szCs w:val="18"/>
              </w:rPr>
            </w:pPr>
            <w:r>
              <w:rPr>
                <w:sz w:val="18"/>
                <w:szCs w:val="18"/>
              </w:rPr>
              <w:t>2.1 引言；</w:t>
            </w:r>
          </w:p>
          <w:p>
            <w:pPr>
              <w:snapToGrid w:val="0"/>
              <w:spacing w:line="300" w:lineRule="auto"/>
              <w:rPr>
                <w:sz w:val="18"/>
                <w:szCs w:val="18"/>
              </w:rPr>
            </w:pPr>
            <w:r>
              <w:rPr>
                <w:sz w:val="18"/>
                <w:szCs w:val="18"/>
              </w:rPr>
              <w:t>2.2 电路的等效变换；</w:t>
            </w:r>
          </w:p>
          <w:p>
            <w:pPr>
              <w:snapToGrid w:val="0"/>
              <w:spacing w:line="300" w:lineRule="auto"/>
              <w:rPr>
                <w:sz w:val="18"/>
                <w:szCs w:val="18"/>
              </w:rPr>
            </w:pPr>
            <w:r>
              <w:rPr>
                <w:sz w:val="18"/>
                <w:szCs w:val="18"/>
              </w:rPr>
              <w:t>2.3 电阻的串联和并联；</w:t>
            </w:r>
          </w:p>
          <w:p>
            <w:pPr>
              <w:snapToGrid w:val="0"/>
              <w:spacing w:line="300" w:lineRule="auto"/>
              <w:rPr>
                <w:sz w:val="18"/>
                <w:szCs w:val="18"/>
              </w:rPr>
            </w:pPr>
            <w:r>
              <w:rPr>
                <w:sz w:val="18"/>
                <w:szCs w:val="18"/>
              </w:rPr>
              <w:t>2.4 电阻的Y形联结和</w:t>
            </w:r>
            <w:r>
              <w:rPr>
                <w:rFonts w:ascii="Cambria Math" w:hAnsi="Cambria Math" w:cs="Cambria Math"/>
                <w:sz w:val="18"/>
                <w:szCs w:val="18"/>
              </w:rPr>
              <w:t>△</w:t>
            </w:r>
            <w:r>
              <w:rPr>
                <w:sz w:val="18"/>
                <w:szCs w:val="18"/>
              </w:rPr>
              <w:t>形联结的等效变换；</w:t>
            </w:r>
          </w:p>
          <w:p>
            <w:pPr>
              <w:snapToGrid w:val="0"/>
              <w:spacing w:line="300" w:lineRule="auto"/>
              <w:rPr>
                <w:sz w:val="18"/>
                <w:szCs w:val="18"/>
              </w:rPr>
            </w:pPr>
            <w:r>
              <w:rPr>
                <w:sz w:val="18"/>
                <w:szCs w:val="18"/>
              </w:rPr>
              <w:t>2.5 电压源、电流源的串联和并联；</w:t>
            </w:r>
          </w:p>
          <w:p>
            <w:pPr>
              <w:snapToGrid w:val="0"/>
              <w:spacing w:line="300" w:lineRule="auto"/>
              <w:rPr>
                <w:sz w:val="18"/>
                <w:szCs w:val="18"/>
              </w:rPr>
            </w:pPr>
            <w:r>
              <w:rPr>
                <w:sz w:val="18"/>
                <w:szCs w:val="18"/>
              </w:rPr>
              <w:t>2.6 实际电源的两种模型及其等效变换；</w:t>
            </w:r>
          </w:p>
          <w:p>
            <w:pPr>
              <w:snapToGrid w:val="0"/>
              <w:spacing w:line="300" w:lineRule="auto"/>
              <w:rPr>
                <w:sz w:val="18"/>
                <w:szCs w:val="18"/>
              </w:rPr>
            </w:pPr>
            <w:r>
              <w:rPr>
                <w:sz w:val="18"/>
                <w:szCs w:val="18"/>
              </w:rPr>
              <w:t>2.7 输入电阻。</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（1）了解：输入电阻；Y与</w:t>
            </w:r>
            <w:r>
              <w:rPr>
                <w:rFonts w:ascii="Cambria Math" w:hAnsi="Cambria Math" w:cs="Cambria Math"/>
                <w:sz w:val="18"/>
                <w:szCs w:val="18"/>
              </w:rPr>
              <w:t>△</w:t>
            </w:r>
            <w:r>
              <w:rPr>
                <w:sz w:val="18"/>
                <w:szCs w:val="18"/>
              </w:rPr>
              <w:t>联结及等效变换；</w:t>
            </w:r>
          </w:p>
          <w:p>
            <w:pPr>
              <w:snapToGrid w:val="0"/>
              <w:spacing w:line="300" w:lineRule="auto"/>
              <w:rPr>
                <w:sz w:val="18"/>
                <w:szCs w:val="18"/>
              </w:rPr>
            </w:pPr>
            <w:r>
              <w:rPr>
                <w:sz w:val="18"/>
                <w:szCs w:val="18"/>
              </w:rPr>
              <w:t>（2）掌握：等效变换；串联和并联；实际电源的两种形式。</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（1）复习第二章内容；</w:t>
            </w:r>
          </w:p>
          <w:p>
            <w:pPr>
              <w:snapToGrid w:val="0"/>
              <w:spacing w:line="300" w:lineRule="auto"/>
              <w:rPr>
                <w:sz w:val="18"/>
                <w:szCs w:val="18"/>
              </w:rPr>
            </w:pPr>
            <w:r>
              <w:rPr>
                <w:sz w:val="18"/>
                <w:szCs w:val="18"/>
              </w:rPr>
              <w:t>（2）完成教材第二章作业。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案例2：两个或多个同功率的灯泡串并联接在220V电源上，其亮度的强度问题。</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3</w:t>
            </w:r>
          </w:p>
        </w:tc>
        <w:tc>
          <w:tcPr>
            <w:tcW w:w="2432" w:type="dxa"/>
            <w:vAlign w:val="center"/>
          </w:tcPr>
          <w:p>
            <w:pPr>
              <w:snapToGrid w:val="0"/>
              <w:spacing w:line="300" w:lineRule="auto"/>
              <w:rPr>
                <w:sz w:val="18"/>
                <w:szCs w:val="18"/>
              </w:rPr>
            </w:pPr>
            <w:r>
              <w:rPr>
                <w:sz w:val="18"/>
                <w:szCs w:val="18"/>
              </w:rPr>
              <w:t>3 电阻电路的分析</w:t>
            </w:r>
          </w:p>
          <w:p>
            <w:pPr>
              <w:snapToGrid w:val="0"/>
              <w:spacing w:line="300" w:lineRule="auto"/>
              <w:rPr>
                <w:sz w:val="18"/>
                <w:szCs w:val="18"/>
              </w:rPr>
            </w:pPr>
            <w:r>
              <w:rPr>
                <w:sz w:val="18"/>
                <w:szCs w:val="18"/>
              </w:rPr>
              <w:t>3.1 电路的图；</w:t>
            </w:r>
          </w:p>
          <w:p>
            <w:pPr>
              <w:snapToGrid w:val="0"/>
              <w:spacing w:line="300" w:lineRule="auto"/>
              <w:rPr>
                <w:sz w:val="18"/>
                <w:szCs w:val="18"/>
              </w:rPr>
            </w:pPr>
            <w:r>
              <w:rPr>
                <w:sz w:val="18"/>
                <w:szCs w:val="18"/>
              </w:rPr>
              <w:t>3.2 KCL和KVL的独立方程数；</w:t>
            </w:r>
          </w:p>
          <w:p>
            <w:pPr>
              <w:snapToGrid w:val="0"/>
              <w:spacing w:line="300" w:lineRule="auto"/>
              <w:rPr>
                <w:sz w:val="18"/>
                <w:szCs w:val="18"/>
              </w:rPr>
            </w:pPr>
            <w:r>
              <w:rPr>
                <w:sz w:val="18"/>
                <w:szCs w:val="18"/>
              </w:rPr>
              <w:t>3.3 支路电流法；</w:t>
            </w:r>
          </w:p>
          <w:p>
            <w:pPr>
              <w:snapToGrid w:val="0"/>
              <w:spacing w:line="300" w:lineRule="auto"/>
              <w:rPr>
                <w:sz w:val="18"/>
                <w:szCs w:val="18"/>
              </w:rPr>
            </w:pPr>
            <w:r>
              <w:rPr>
                <w:sz w:val="18"/>
                <w:szCs w:val="18"/>
              </w:rPr>
              <w:t>3.4 网孔电流法；</w:t>
            </w:r>
          </w:p>
          <w:p>
            <w:pPr>
              <w:snapToGrid w:val="0"/>
              <w:spacing w:line="300" w:lineRule="auto"/>
              <w:rPr>
                <w:sz w:val="18"/>
                <w:szCs w:val="18"/>
              </w:rPr>
            </w:pPr>
            <w:r>
              <w:rPr>
                <w:sz w:val="18"/>
                <w:szCs w:val="18"/>
              </w:rPr>
              <w:t>3.5 回路电流法；</w:t>
            </w:r>
          </w:p>
          <w:p>
            <w:pPr>
              <w:snapToGrid w:val="0"/>
              <w:spacing w:line="300" w:lineRule="auto"/>
              <w:rPr>
                <w:sz w:val="18"/>
                <w:szCs w:val="18"/>
              </w:rPr>
            </w:pPr>
            <w:r>
              <w:rPr>
                <w:sz w:val="18"/>
                <w:szCs w:val="18"/>
              </w:rPr>
              <w:t>3.6 结点电压法。</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（1）了解：KCL和KVL的独立方程数；电路的图；回路电流法；2b法；</w:t>
            </w:r>
          </w:p>
          <w:p>
            <w:pPr>
              <w:snapToGrid w:val="0"/>
              <w:spacing w:line="300" w:lineRule="auto"/>
              <w:rPr>
                <w:sz w:val="18"/>
                <w:szCs w:val="18"/>
              </w:rPr>
            </w:pPr>
            <w:r>
              <w:rPr>
                <w:sz w:val="18"/>
                <w:szCs w:val="18"/>
              </w:rPr>
              <w:t>（2）掌握：支路电流法；网孔电流法；结点电压法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（1）复习第三章内容；</w:t>
            </w:r>
          </w:p>
          <w:p>
            <w:pPr>
              <w:snapToGrid w:val="0"/>
              <w:spacing w:line="300" w:lineRule="auto"/>
              <w:rPr>
                <w:sz w:val="18"/>
                <w:szCs w:val="18"/>
              </w:rPr>
            </w:pPr>
            <w:r>
              <w:rPr>
                <w:sz w:val="18"/>
                <w:szCs w:val="18"/>
              </w:rPr>
              <w:t>（2）完成教材第三章作业。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4</w:t>
            </w:r>
          </w:p>
        </w:tc>
        <w:tc>
          <w:tcPr>
            <w:tcW w:w="2432" w:type="dxa"/>
            <w:vAlign w:val="center"/>
          </w:tcPr>
          <w:p>
            <w:pPr>
              <w:snapToGrid w:val="0"/>
              <w:spacing w:line="300" w:lineRule="auto"/>
              <w:rPr>
                <w:sz w:val="18"/>
                <w:szCs w:val="18"/>
              </w:rPr>
            </w:pPr>
            <w:r>
              <w:rPr>
                <w:sz w:val="18"/>
                <w:szCs w:val="18"/>
              </w:rPr>
              <w:t>4 电路定理</w:t>
            </w:r>
          </w:p>
          <w:p>
            <w:pPr>
              <w:snapToGrid w:val="0"/>
              <w:spacing w:line="300" w:lineRule="auto"/>
              <w:rPr>
                <w:sz w:val="18"/>
                <w:szCs w:val="18"/>
              </w:rPr>
            </w:pPr>
            <w:r>
              <w:rPr>
                <w:sz w:val="18"/>
                <w:szCs w:val="18"/>
              </w:rPr>
              <w:t>4.1 叠加定理；</w:t>
            </w:r>
          </w:p>
          <w:p>
            <w:pPr>
              <w:snapToGrid w:val="0"/>
              <w:spacing w:line="300" w:lineRule="auto"/>
              <w:rPr>
                <w:sz w:val="18"/>
                <w:szCs w:val="18"/>
              </w:rPr>
            </w:pPr>
            <w:r>
              <w:rPr>
                <w:sz w:val="18"/>
                <w:szCs w:val="18"/>
              </w:rPr>
              <w:t>4.2 替代定理；</w:t>
            </w:r>
          </w:p>
          <w:p>
            <w:pPr>
              <w:snapToGrid w:val="0"/>
              <w:spacing w:line="300" w:lineRule="auto"/>
              <w:rPr>
                <w:sz w:val="18"/>
                <w:szCs w:val="18"/>
              </w:rPr>
            </w:pPr>
            <w:r>
              <w:rPr>
                <w:sz w:val="18"/>
                <w:szCs w:val="18"/>
              </w:rPr>
              <w:t>4.3 戴维宁定理和诺顿定理；</w:t>
            </w:r>
          </w:p>
          <w:p>
            <w:pPr>
              <w:snapToGrid w:val="0"/>
              <w:spacing w:line="300" w:lineRule="auto"/>
              <w:rPr>
                <w:sz w:val="18"/>
                <w:szCs w:val="18"/>
              </w:rPr>
            </w:pPr>
            <w:r>
              <w:rPr>
                <w:sz w:val="18"/>
                <w:szCs w:val="18"/>
              </w:rPr>
              <w:t>4.4 最大功率传输定理；</w:t>
            </w:r>
          </w:p>
          <w:p>
            <w:pPr>
              <w:snapToGrid w:val="0"/>
              <w:spacing w:line="300" w:lineRule="auto"/>
              <w:rPr>
                <w:sz w:val="18"/>
                <w:szCs w:val="18"/>
              </w:rPr>
            </w:pPr>
            <w:r>
              <w:rPr>
                <w:sz w:val="18"/>
                <w:szCs w:val="18"/>
              </w:rPr>
              <w:t>4.5 特勒根定理；</w:t>
            </w:r>
          </w:p>
          <w:p>
            <w:pPr>
              <w:snapToGrid w:val="0"/>
              <w:spacing w:line="300" w:lineRule="auto"/>
              <w:rPr>
                <w:sz w:val="18"/>
                <w:szCs w:val="18"/>
              </w:rPr>
            </w:pPr>
            <w:r>
              <w:rPr>
                <w:sz w:val="18"/>
                <w:szCs w:val="18"/>
              </w:rPr>
              <w:t>4.6 互易定理；</w:t>
            </w:r>
          </w:p>
          <w:p>
            <w:pPr>
              <w:snapToGrid w:val="0"/>
              <w:spacing w:line="300" w:lineRule="auto"/>
              <w:rPr>
                <w:sz w:val="18"/>
                <w:szCs w:val="18"/>
              </w:rPr>
            </w:pPr>
            <w:r>
              <w:rPr>
                <w:sz w:val="18"/>
                <w:szCs w:val="18"/>
              </w:rPr>
              <w:t>4.7 对偶原理。</w:t>
            </w:r>
          </w:p>
          <w:p>
            <w:pPr>
              <w:snapToGrid w:val="0"/>
              <w:spacing w:line="300" w:lineRule="auto"/>
              <w:rPr>
                <w:b/>
                <w:sz w:val="18"/>
                <w:szCs w:val="18"/>
              </w:rPr>
            </w:pPr>
            <w:r>
              <w:rPr>
                <w:b/>
                <w:sz w:val="18"/>
                <w:szCs w:val="18"/>
              </w:rPr>
              <w:t>课程思政：介绍戴维宁定理的历史，学习科学家的工匠精神</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（1）了解：特勒根定理；互易定理；替代定理；对偶原理；</w:t>
            </w:r>
          </w:p>
          <w:p>
            <w:pPr>
              <w:snapToGrid w:val="0"/>
              <w:spacing w:line="300" w:lineRule="auto"/>
              <w:rPr>
                <w:sz w:val="18"/>
                <w:szCs w:val="18"/>
              </w:rPr>
            </w:pPr>
            <w:r>
              <w:rPr>
                <w:sz w:val="18"/>
                <w:szCs w:val="18"/>
              </w:rPr>
              <w:t>（2）掌握：叠加定理；戴维宁定理和诺顿定理；最大功率传输定理。</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（1）复习第四章内容；</w:t>
            </w:r>
          </w:p>
          <w:p>
            <w:pPr>
              <w:snapToGrid w:val="0"/>
              <w:spacing w:line="300" w:lineRule="auto"/>
              <w:rPr>
                <w:sz w:val="18"/>
                <w:szCs w:val="18"/>
              </w:rPr>
            </w:pPr>
            <w:r>
              <w:rPr>
                <w:sz w:val="18"/>
                <w:szCs w:val="18"/>
              </w:rPr>
              <w:t>（2）完成教材第四章作业。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6</w:t>
            </w:r>
          </w:p>
        </w:tc>
        <w:tc>
          <w:tcPr>
            <w:tcW w:w="825"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5</w:t>
            </w:r>
          </w:p>
        </w:tc>
        <w:tc>
          <w:tcPr>
            <w:tcW w:w="2432" w:type="dxa"/>
            <w:vAlign w:val="center"/>
          </w:tcPr>
          <w:p>
            <w:pPr>
              <w:snapToGrid w:val="0"/>
              <w:spacing w:line="300" w:lineRule="auto"/>
              <w:rPr>
                <w:sz w:val="18"/>
                <w:szCs w:val="18"/>
              </w:rPr>
            </w:pPr>
            <w:r>
              <w:rPr>
                <w:sz w:val="18"/>
                <w:szCs w:val="18"/>
              </w:rPr>
              <w:t>5含有运算放大器的电阻电路</w:t>
            </w:r>
          </w:p>
          <w:p>
            <w:pPr>
              <w:snapToGrid w:val="0"/>
              <w:spacing w:line="300" w:lineRule="auto"/>
              <w:rPr>
                <w:sz w:val="18"/>
                <w:szCs w:val="18"/>
              </w:rPr>
            </w:pPr>
            <w:r>
              <w:rPr>
                <w:sz w:val="18"/>
                <w:szCs w:val="18"/>
              </w:rPr>
              <w:t>5.1 运算放大器的电路模型；</w:t>
            </w:r>
          </w:p>
          <w:p>
            <w:pPr>
              <w:snapToGrid w:val="0"/>
              <w:spacing w:line="300" w:lineRule="auto"/>
              <w:rPr>
                <w:sz w:val="18"/>
                <w:szCs w:val="18"/>
              </w:rPr>
            </w:pPr>
            <w:r>
              <w:rPr>
                <w:sz w:val="18"/>
                <w:szCs w:val="18"/>
              </w:rPr>
              <w:t>5.2 比例电路的分析；</w:t>
            </w:r>
          </w:p>
          <w:p>
            <w:pPr>
              <w:snapToGrid w:val="0"/>
              <w:spacing w:line="300" w:lineRule="auto"/>
              <w:rPr>
                <w:sz w:val="18"/>
                <w:szCs w:val="18"/>
              </w:rPr>
            </w:pPr>
            <w:r>
              <w:rPr>
                <w:sz w:val="18"/>
                <w:szCs w:val="18"/>
              </w:rPr>
              <w:t>5.3 含有理想运算放大器的电路的分析。</w:t>
            </w:r>
          </w:p>
          <w:p>
            <w:pPr>
              <w:snapToGrid w:val="0"/>
              <w:spacing w:line="300" w:lineRule="auto"/>
              <w:rPr>
                <w:b/>
                <w:sz w:val="18"/>
                <w:szCs w:val="18"/>
              </w:rPr>
            </w:pPr>
            <w:r>
              <w:rPr>
                <w:b/>
                <w:sz w:val="18"/>
                <w:szCs w:val="18"/>
              </w:rPr>
              <w:t>课程思政：介绍国内著名的集成电路公司，增强学生的爱国情怀。</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（1）了解：运算放大器的电路模型；</w:t>
            </w:r>
          </w:p>
          <w:p>
            <w:pPr>
              <w:snapToGrid w:val="0"/>
              <w:spacing w:line="300" w:lineRule="auto"/>
              <w:rPr>
                <w:sz w:val="18"/>
                <w:szCs w:val="18"/>
              </w:rPr>
            </w:pPr>
            <w:r>
              <w:rPr>
                <w:sz w:val="18"/>
                <w:szCs w:val="18"/>
              </w:rPr>
              <w:t>（2）掌握：用虚短和虚断分析运算放大器电路。</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（1）复习第五章内容；</w:t>
            </w:r>
          </w:p>
          <w:p>
            <w:pPr>
              <w:snapToGrid w:val="0"/>
              <w:spacing w:line="300" w:lineRule="auto"/>
              <w:rPr>
                <w:sz w:val="18"/>
                <w:szCs w:val="18"/>
              </w:rPr>
            </w:pPr>
            <w:r>
              <w:rPr>
                <w:sz w:val="18"/>
                <w:szCs w:val="18"/>
              </w:rPr>
              <w:t>（2）完成教材第五章作业。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案例3：用运放µA741设计加法电路，实现A+B=C运算。</w:t>
            </w:r>
          </w:p>
        </w:tc>
        <w:tc>
          <w:tcPr>
            <w:tcW w:w="444" w:type="dxa"/>
            <w:vAlign w:val="center"/>
          </w:tcPr>
          <w:p>
            <w:pPr>
              <w:snapToGrid w:val="0"/>
              <w:spacing w:line="300" w:lineRule="auto"/>
              <w:jc w:val="center"/>
              <w:rPr>
                <w:sz w:val="18"/>
                <w:szCs w:val="18"/>
              </w:rPr>
            </w:pPr>
            <w:r>
              <w:rPr>
                <w:sz w:val="18"/>
                <w:szCs w:val="18"/>
              </w:rPr>
              <w:t>2</w:t>
            </w:r>
          </w:p>
        </w:tc>
        <w:tc>
          <w:tcPr>
            <w:tcW w:w="825" w:type="dxa"/>
            <w:vAlign w:val="center"/>
          </w:tcPr>
          <w:p>
            <w:pPr>
              <w:snapToGrid w:val="0"/>
              <w:spacing w:line="300" w:lineRule="auto"/>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6</w:t>
            </w:r>
          </w:p>
        </w:tc>
        <w:tc>
          <w:tcPr>
            <w:tcW w:w="2432" w:type="dxa"/>
            <w:vAlign w:val="center"/>
          </w:tcPr>
          <w:p>
            <w:pPr>
              <w:snapToGrid w:val="0"/>
              <w:spacing w:line="300" w:lineRule="auto"/>
              <w:rPr>
                <w:sz w:val="18"/>
                <w:szCs w:val="18"/>
              </w:rPr>
            </w:pPr>
            <w:r>
              <w:rPr>
                <w:sz w:val="18"/>
                <w:szCs w:val="18"/>
              </w:rPr>
              <w:t>6储能元件</w:t>
            </w:r>
          </w:p>
          <w:p>
            <w:pPr>
              <w:snapToGrid w:val="0"/>
              <w:spacing w:line="300" w:lineRule="auto"/>
              <w:rPr>
                <w:sz w:val="18"/>
                <w:szCs w:val="18"/>
              </w:rPr>
            </w:pPr>
            <w:r>
              <w:rPr>
                <w:sz w:val="18"/>
                <w:szCs w:val="18"/>
              </w:rPr>
              <w:t>6.1 电容元件；</w:t>
            </w:r>
          </w:p>
          <w:p>
            <w:pPr>
              <w:snapToGrid w:val="0"/>
              <w:spacing w:line="300" w:lineRule="auto"/>
              <w:rPr>
                <w:sz w:val="18"/>
                <w:szCs w:val="18"/>
              </w:rPr>
            </w:pPr>
            <w:r>
              <w:rPr>
                <w:sz w:val="18"/>
                <w:szCs w:val="18"/>
              </w:rPr>
              <w:t>6.2 电感元件；</w:t>
            </w:r>
          </w:p>
          <w:p>
            <w:pPr>
              <w:snapToGrid w:val="0"/>
              <w:spacing w:line="300" w:lineRule="auto"/>
              <w:rPr>
                <w:sz w:val="18"/>
                <w:szCs w:val="18"/>
              </w:rPr>
            </w:pPr>
            <w:r>
              <w:rPr>
                <w:sz w:val="18"/>
                <w:szCs w:val="18"/>
              </w:rPr>
              <w:t>6.3 电容、电感元件的串联与并联。</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（1）了解：电容、电感元件的串联与并联；</w:t>
            </w:r>
          </w:p>
          <w:p>
            <w:pPr>
              <w:snapToGrid w:val="0"/>
              <w:spacing w:line="300" w:lineRule="auto"/>
              <w:rPr>
                <w:sz w:val="18"/>
                <w:szCs w:val="18"/>
              </w:rPr>
            </w:pPr>
            <w:r>
              <w:rPr>
                <w:sz w:val="18"/>
                <w:szCs w:val="18"/>
              </w:rPr>
              <w:t>（2）掌握：电容元件；电感元件的性质。</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（1）复习第六章内容；</w:t>
            </w:r>
          </w:p>
          <w:p>
            <w:pPr>
              <w:snapToGrid w:val="0"/>
              <w:spacing w:line="300" w:lineRule="auto"/>
              <w:rPr>
                <w:sz w:val="18"/>
                <w:szCs w:val="18"/>
              </w:rPr>
            </w:pPr>
            <w:r>
              <w:rPr>
                <w:sz w:val="18"/>
                <w:szCs w:val="18"/>
              </w:rPr>
              <w:t>（2）完成教材第六章作业。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讲授式、讨论式和启发式相结合。</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7</w:t>
            </w:r>
          </w:p>
        </w:tc>
        <w:tc>
          <w:tcPr>
            <w:tcW w:w="2432" w:type="dxa"/>
            <w:vAlign w:val="center"/>
          </w:tcPr>
          <w:p>
            <w:pPr>
              <w:snapToGrid w:val="0"/>
              <w:spacing w:line="300" w:lineRule="auto"/>
              <w:rPr>
                <w:sz w:val="18"/>
                <w:szCs w:val="18"/>
              </w:rPr>
            </w:pPr>
            <w:r>
              <w:rPr>
                <w:sz w:val="18"/>
                <w:szCs w:val="18"/>
              </w:rPr>
              <w:t>7 动态电路分析</w:t>
            </w:r>
          </w:p>
          <w:p>
            <w:pPr>
              <w:snapToGrid w:val="0"/>
              <w:spacing w:line="300" w:lineRule="auto"/>
              <w:rPr>
                <w:sz w:val="18"/>
                <w:szCs w:val="18"/>
              </w:rPr>
            </w:pPr>
            <w:r>
              <w:rPr>
                <w:sz w:val="18"/>
                <w:szCs w:val="18"/>
              </w:rPr>
              <w:t>7.1 动态电路的方程及其初始条件；</w:t>
            </w:r>
          </w:p>
          <w:p>
            <w:pPr>
              <w:snapToGrid w:val="0"/>
              <w:spacing w:line="300" w:lineRule="auto"/>
              <w:rPr>
                <w:sz w:val="18"/>
                <w:szCs w:val="18"/>
              </w:rPr>
            </w:pPr>
            <w:r>
              <w:rPr>
                <w:sz w:val="18"/>
                <w:szCs w:val="18"/>
              </w:rPr>
              <w:t>7.2 一阶电路的零输入响应；</w:t>
            </w:r>
          </w:p>
          <w:p>
            <w:pPr>
              <w:snapToGrid w:val="0"/>
              <w:spacing w:line="300" w:lineRule="auto"/>
              <w:rPr>
                <w:sz w:val="18"/>
                <w:szCs w:val="18"/>
              </w:rPr>
            </w:pPr>
            <w:r>
              <w:rPr>
                <w:sz w:val="18"/>
                <w:szCs w:val="18"/>
              </w:rPr>
              <w:t>7.3 一阶电路的零状态响应；</w:t>
            </w:r>
          </w:p>
          <w:p>
            <w:pPr>
              <w:snapToGrid w:val="0"/>
              <w:spacing w:line="300" w:lineRule="auto"/>
              <w:rPr>
                <w:sz w:val="18"/>
                <w:szCs w:val="18"/>
              </w:rPr>
            </w:pPr>
            <w:r>
              <w:rPr>
                <w:sz w:val="18"/>
                <w:szCs w:val="18"/>
              </w:rPr>
              <w:t>7.4 一阶电路的全响应；</w:t>
            </w:r>
          </w:p>
          <w:p>
            <w:pPr>
              <w:snapToGrid w:val="0"/>
              <w:spacing w:line="300" w:lineRule="auto"/>
              <w:rPr>
                <w:sz w:val="18"/>
                <w:szCs w:val="18"/>
              </w:rPr>
            </w:pPr>
            <w:r>
              <w:rPr>
                <w:sz w:val="18"/>
                <w:szCs w:val="18"/>
              </w:rPr>
              <w:t>7.5 二阶电路的零输入响应；</w:t>
            </w:r>
          </w:p>
          <w:p>
            <w:pPr>
              <w:snapToGrid w:val="0"/>
              <w:spacing w:line="300" w:lineRule="auto"/>
              <w:rPr>
                <w:sz w:val="18"/>
                <w:szCs w:val="18"/>
              </w:rPr>
            </w:pPr>
            <w:r>
              <w:rPr>
                <w:sz w:val="18"/>
                <w:szCs w:val="18"/>
              </w:rPr>
              <w:t>7.6 二阶电路的零状态响应和全响应。</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（1）了解：动态电路的方程及其初始条件；二阶电路的零输入响应、零状态响应和全响应；</w:t>
            </w:r>
          </w:p>
          <w:p>
            <w:pPr>
              <w:snapToGrid w:val="0"/>
              <w:spacing w:line="300" w:lineRule="auto"/>
              <w:rPr>
                <w:sz w:val="18"/>
                <w:szCs w:val="18"/>
              </w:rPr>
            </w:pPr>
            <w:r>
              <w:rPr>
                <w:sz w:val="18"/>
                <w:szCs w:val="18"/>
              </w:rPr>
              <w:t>（2）掌握：一阶电路的零输入响应、零状态响应和全响应。</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（1）复习第七章内容；</w:t>
            </w:r>
          </w:p>
          <w:p>
            <w:pPr>
              <w:snapToGrid w:val="0"/>
              <w:spacing w:line="300" w:lineRule="auto"/>
              <w:rPr>
                <w:sz w:val="18"/>
                <w:szCs w:val="18"/>
              </w:rPr>
            </w:pPr>
            <w:r>
              <w:rPr>
                <w:sz w:val="18"/>
                <w:szCs w:val="18"/>
              </w:rPr>
              <w:t>（2）完成教材第七章作业。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案例4设计330V电容充放电演示电路。</w:t>
            </w:r>
          </w:p>
        </w:tc>
        <w:tc>
          <w:tcPr>
            <w:tcW w:w="444" w:type="dxa"/>
            <w:vAlign w:val="center"/>
          </w:tcPr>
          <w:p>
            <w:pPr>
              <w:snapToGrid w:val="0"/>
              <w:spacing w:line="300" w:lineRule="auto"/>
              <w:jc w:val="center"/>
              <w:rPr>
                <w:sz w:val="18"/>
                <w:szCs w:val="18"/>
              </w:rPr>
            </w:pPr>
            <w:r>
              <w:rPr>
                <w:sz w:val="18"/>
                <w:szCs w:val="18"/>
              </w:rPr>
              <w:t>8</w:t>
            </w:r>
          </w:p>
        </w:tc>
        <w:tc>
          <w:tcPr>
            <w:tcW w:w="825" w:type="dxa"/>
            <w:vAlign w:val="center"/>
          </w:tcPr>
          <w:p>
            <w:pPr>
              <w:snapToGrid w:val="0"/>
              <w:spacing w:line="300" w:lineRule="auto"/>
              <w:rPr>
                <w:sz w:val="18"/>
                <w:szCs w:val="18"/>
              </w:rPr>
            </w:pPr>
            <w:r>
              <w:rPr>
                <w:sz w:val="18"/>
                <w:szCs w:val="18"/>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8</w:t>
            </w:r>
          </w:p>
        </w:tc>
        <w:tc>
          <w:tcPr>
            <w:tcW w:w="2432" w:type="dxa"/>
            <w:vAlign w:val="center"/>
          </w:tcPr>
          <w:p>
            <w:pPr>
              <w:snapToGrid w:val="0"/>
              <w:spacing w:line="300" w:lineRule="auto"/>
              <w:rPr>
                <w:sz w:val="18"/>
                <w:szCs w:val="18"/>
              </w:rPr>
            </w:pPr>
            <w:r>
              <w:rPr>
                <w:sz w:val="18"/>
                <w:szCs w:val="18"/>
              </w:rPr>
              <w:t>8相量法</w:t>
            </w:r>
          </w:p>
          <w:p>
            <w:pPr>
              <w:snapToGrid w:val="0"/>
              <w:spacing w:line="300" w:lineRule="auto"/>
              <w:rPr>
                <w:sz w:val="18"/>
                <w:szCs w:val="18"/>
              </w:rPr>
            </w:pPr>
            <w:r>
              <w:rPr>
                <w:sz w:val="18"/>
                <w:szCs w:val="18"/>
              </w:rPr>
              <w:t>8.1 复数；</w:t>
            </w:r>
          </w:p>
          <w:p>
            <w:pPr>
              <w:snapToGrid w:val="0"/>
              <w:spacing w:line="300" w:lineRule="auto"/>
              <w:rPr>
                <w:sz w:val="18"/>
                <w:szCs w:val="18"/>
              </w:rPr>
            </w:pPr>
            <w:r>
              <w:rPr>
                <w:sz w:val="18"/>
                <w:szCs w:val="18"/>
              </w:rPr>
              <w:t>8.2 正弦量；</w:t>
            </w:r>
          </w:p>
          <w:p>
            <w:pPr>
              <w:snapToGrid w:val="0"/>
              <w:spacing w:line="300" w:lineRule="auto"/>
              <w:rPr>
                <w:sz w:val="18"/>
                <w:szCs w:val="18"/>
              </w:rPr>
            </w:pPr>
            <w:r>
              <w:rPr>
                <w:sz w:val="18"/>
                <w:szCs w:val="18"/>
              </w:rPr>
              <w:t>8.3 相量法的基础；</w:t>
            </w:r>
          </w:p>
          <w:p>
            <w:pPr>
              <w:snapToGrid w:val="0"/>
              <w:spacing w:line="300" w:lineRule="auto"/>
              <w:rPr>
                <w:sz w:val="18"/>
                <w:szCs w:val="18"/>
              </w:rPr>
            </w:pPr>
            <w:r>
              <w:rPr>
                <w:sz w:val="18"/>
                <w:szCs w:val="18"/>
              </w:rPr>
              <w:t>8.4 电路定律的相量形式</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（1）了解：复数；正弦量；</w:t>
            </w:r>
          </w:p>
          <w:p>
            <w:pPr>
              <w:snapToGrid w:val="0"/>
              <w:spacing w:line="300" w:lineRule="auto"/>
              <w:rPr>
                <w:sz w:val="18"/>
                <w:szCs w:val="18"/>
              </w:rPr>
            </w:pPr>
            <w:r>
              <w:rPr>
                <w:sz w:val="18"/>
                <w:szCs w:val="18"/>
              </w:rPr>
              <w:t>（2）掌握：电路元件和电路定律的相量形式。</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（1）复习第八章内容；</w:t>
            </w:r>
          </w:p>
          <w:p>
            <w:pPr>
              <w:snapToGrid w:val="0"/>
              <w:spacing w:line="300" w:lineRule="auto"/>
              <w:rPr>
                <w:sz w:val="18"/>
                <w:szCs w:val="18"/>
              </w:rPr>
            </w:pPr>
            <w:r>
              <w:rPr>
                <w:sz w:val="18"/>
                <w:szCs w:val="18"/>
              </w:rPr>
              <w:t>（2）完成教材第八章作业。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9</w:t>
            </w:r>
          </w:p>
        </w:tc>
        <w:tc>
          <w:tcPr>
            <w:tcW w:w="2432" w:type="dxa"/>
            <w:vAlign w:val="center"/>
          </w:tcPr>
          <w:p>
            <w:pPr>
              <w:snapToGrid w:val="0"/>
              <w:spacing w:line="300" w:lineRule="auto"/>
              <w:rPr>
                <w:sz w:val="18"/>
                <w:szCs w:val="18"/>
              </w:rPr>
            </w:pPr>
            <w:r>
              <w:rPr>
                <w:sz w:val="18"/>
                <w:szCs w:val="18"/>
              </w:rPr>
              <w:t>9正弦稳态电路的分析</w:t>
            </w:r>
          </w:p>
          <w:p>
            <w:pPr>
              <w:snapToGrid w:val="0"/>
              <w:spacing w:line="300" w:lineRule="auto"/>
              <w:rPr>
                <w:sz w:val="18"/>
                <w:szCs w:val="18"/>
              </w:rPr>
            </w:pPr>
            <w:r>
              <w:rPr>
                <w:sz w:val="18"/>
                <w:szCs w:val="18"/>
              </w:rPr>
              <w:t>9.1 阻抗和导纳；</w:t>
            </w:r>
          </w:p>
          <w:p>
            <w:pPr>
              <w:snapToGrid w:val="0"/>
              <w:spacing w:line="300" w:lineRule="auto"/>
              <w:rPr>
                <w:sz w:val="18"/>
                <w:szCs w:val="18"/>
              </w:rPr>
            </w:pPr>
            <w:r>
              <w:rPr>
                <w:sz w:val="18"/>
                <w:szCs w:val="18"/>
              </w:rPr>
              <w:t>9.2 电路的相量图；</w:t>
            </w:r>
          </w:p>
          <w:p>
            <w:pPr>
              <w:snapToGrid w:val="0"/>
              <w:spacing w:line="300" w:lineRule="auto"/>
              <w:rPr>
                <w:sz w:val="18"/>
                <w:szCs w:val="18"/>
              </w:rPr>
            </w:pPr>
            <w:r>
              <w:rPr>
                <w:sz w:val="18"/>
                <w:szCs w:val="18"/>
              </w:rPr>
              <w:t>9.3 正弦稳态电路的分析；</w:t>
            </w:r>
          </w:p>
          <w:p>
            <w:pPr>
              <w:snapToGrid w:val="0"/>
              <w:spacing w:line="300" w:lineRule="auto"/>
              <w:rPr>
                <w:sz w:val="18"/>
                <w:szCs w:val="18"/>
              </w:rPr>
            </w:pPr>
            <w:r>
              <w:rPr>
                <w:sz w:val="18"/>
                <w:szCs w:val="18"/>
              </w:rPr>
              <w:t>9.4 正弦稳态电路的功率；</w:t>
            </w:r>
          </w:p>
          <w:p>
            <w:pPr>
              <w:snapToGrid w:val="0"/>
              <w:spacing w:line="300" w:lineRule="auto"/>
              <w:rPr>
                <w:sz w:val="18"/>
                <w:szCs w:val="18"/>
              </w:rPr>
            </w:pPr>
            <w:r>
              <w:rPr>
                <w:sz w:val="18"/>
                <w:szCs w:val="18"/>
              </w:rPr>
              <w:t>9.5 复功率；</w:t>
            </w:r>
          </w:p>
          <w:p>
            <w:pPr>
              <w:snapToGrid w:val="0"/>
              <w:spacing w:line="300" w:lineRule="auto"/>
              <w:rPr>
                <w:sz w:val="18"/>
                <w:szCs w:val="18"/>
              </w:rPr>
            </w:pPr>
            <w:r>
              <w:rPr>
                <w:sz w:val="18"/>
                <w:szCs w:val="18"/>
              </w:rPr>
              <w:t>9.6 最大功率传输。</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（1）了解：阻抗和导纳；电路的相量图；</w:t>
            </w:r>
          </w:p>
          <w:p>
            <w:pPr>
              <w:snapToGrid w:val="0"/>
              <w:spacing w:line="300" w:lineRule="auto"/>
              <w:rPr>
                <w:sz w:val="18"/>
                <w:szCs w:val="18"/>
              </w:rPr>
            </w:pPr>
            <w:r>
              <w:rPr>
                <w:sz w:val="18"/>
                <w:szCs w:val="18"/>
              </w:rPr>
              <w:t>（2）掌握：正弦稳态电路的分析；正弦稳态电路的功率；最大功率传输。</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（1）复习第九章内容；</w:t>
            </w:r>
          </w:p>
          <w:p>
            <w:pPr>
              <w:snapToGrid w:val="0"/>
              <w:spacing w:line="300" w:lineRule="auto"/>
              <w:rPr>
                <w:sz w:val="18"/>
                <w:szCs w:val="18"/>
              </w:rPr>
            </w:pPr>
            <w:r>
              <w:rPr>
                <w:sz w:val="18"/>
                <w:szCs w:val="18"/>
              </w:rPr>
              <w:t>（2）完成教材第九章作业。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6</w:t>
            </w:r>
          </w:p>
        </w:tc>
        <w:tc>
          <w:tcPr>
            <w:tcW w:w="825" w:type="dxa"/>
            <w:vAlign w:val="center"/>
          </w:tcPr>
          <w:p>
            <w:pPr>
              <w:snapToGrid w:val="0"/>
              <w:spacing w:line="300" w:lineRule="auto"/>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5"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10</w:t>
            </w:r>
          </w:p>
        </w:tc>
        <w:tc>
          <w:tcPr>
            <w:tcW w:w="2432" w:type="dxa"/>
            <w:vAlign w:val="center"/>
          </w:tcPr>
          <w:p>
            <w:pPr>
              <w:snapToGrid w:val="0"/>
              <w:spacing w:line="300" w:lineRule="auto"/>
              <w:rPr>
                <w:sz w:val="18"/>
                <w:szCs w:val="18"/>
              </w:rPr>
            </w:pPr>
            <w:r>
              <w:rPr>
                <w:sz w:val="18"/>
                <w:szCs w:val="18"/>
              </w:rPr>
              <w:t>10含有耦合电感的电路</w:t>
            </w:r>
          </w:p>
          <w:p>
            <w:pPr>
              <w:snapToGrid w:val="0"/>
              <w:spacing w:line="300" w:lineRule="auto"/>
              <w:rPr>
                <w:sz w:val="18"/>
                <w:szCs w:val="18"/>
              </w:rPr>
            </w:pPr>
            <w:r>
              <w:rPr>
                <w:sz w:val="18"/>
                <w:szCs w:val="18"/>
              </w:rPr>
              <w:t>10.1 互感；</w:t>
            </w:r>
          </w:p>
          <w:p>
            <w:pPr>
              <w:snapToGrid w:val="0"/>
              <w:spacing w:line="300" w:lineRule="auto"/>
              <w:rPr>
                <w:sz w:val="18"/>
                <w:szCs w:val="18"/>
              </w:rPr>
            </w:pPr>
            <w:r>
              <w:rPr>
                <w:sz w:val="18"/>
                <w:szCs w:val="18"/>
              </w:rPr>
              <w:t>10.2 含有耦合电感电路的计算；</w:t>
            </w:r>
          </w:p>
          <w:p>
            <w:pPr>
              <w:snapToGrid w:val="0"/>
              <w:spacing w:line="300" w:lineRule="auto"/>
              <w:rPr>
                <w:sz w:val="18"/>
                <w:szCs w:val="18"/>
              </w:rPr>
            </w:pPr>
            <w:r>
              <w:rPr>
                <w:sz w:val="18"/>
                <w:szCs w:val="18"/>
              </w:rPr>
              <w:t>10.3 耦合电感的功率；</w:t>
            </w:r>
          </w:p>
          <w:p>
            <w:pPr>
              <w:snapToGrid w:val="0"/>
              <w:spacing w:line="300" w:lineRule="auto"/>
              <w:rPr>
                <w:sz w:val="18"/>
                <w:szCs w:val="18"/>
              </w:rPr>
            </w:pPr>
            <w:r>
              <w:rPr>
                <w:sz w:val="18"/>
                <w:szCs w:val="18"/>
              </w:rPr>
              <w:t>10.4 变压器原理；</w:t>
            </w:r>
          </w:p>
          <w:p>
            <w:pPr>
              <w:snapToGrid w:val="0"/>
              <w:spacing w:line="300" w:lineRule="auto"/>
              <w:rPr>
                <w:sz w:val="18"/>
                <w:szCs w:val="18"/>
              </w:rPr>
            </w:pPr>
            <w:r>
              <w:rPr>
                <w:sz w:val="18"/>
                <w:szCs w:val="18"/>
              </w:rPr>
              <w:t>10.5 理想变压器。</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（1）了解：互感与实际变压器；</w:t>
            </w:r>
          </w:p>
          <w:p>
            <w:pPr>
              <w:snapToGrid w:val="0"/>
              <w:spacing w:line="300" w:lineRule="auto"/>
              <w:rPr>
                <w:sz w:val="18"/>
                <w:szCs w:val="18"/>
              </w:rPr>
            </w:pPr>
            <w:r>
              <w:rPr>
                <w:sz w:val="18"/>
                <w:szCs w:val="18"/>
              </w:rPr>
              <w:t>（2）掌握：含有耦合电感电路的计算与理想变压器。</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（1）复习第十章内容；</w:t>
            </w:r>
          </w:p>
          <w:p>
            <w:pPr>
              <w:snapToGrid w:val="0"/>
              <w:spacing w:line="300" w:lineRule="auto"/>
              <w:rPr>
                <w:sz w:val="18"/>
                <w:szCs w:val="18"/>
              </w:rPr>
            </w:pPr>
            <w:r>
              <w:rPr>
                <w:sz w:val="18"/>
                <w:szCs w:val="18"/>
              </w:rPr>
              <w:t>（2）完成教材第十章作业。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案例5实用的220V日光灯电路。</w:t>
            </w:r>
          </w:p>
        </w:tc>
        <w:tc>
          <w:tcPr>
            <w:tcW w:w="444" w:type="dxa"/>
            <w:vAlign w:val="center"/>
          </w:tcPr>
          <w:p>
            <w:pPr>
              <w:snapToGrid w:val="0"/>
              <w:spacing w:line="300" w:lineRule="auto"/>
              <w:jc w:val="center"/>
              <w:rPr>
                <w:sz w:val="18"/>
                <w:szCs w:val="18"/>
              </w:rPr>
            </w:pPr>
            <w:r>
              <w:rPr>
                <w:sz w:val="18"/>
                <w:szCs w:val="18"/>
              </w:rPr>
              <w:t>6</w:t>
            </w:r>
          </w:p>
        </w:tc>
        <w:tc>
          <w:tcPr>
            <w:tcW w:w="825"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11</w:t>
            </w:r>
          </w:p>
        </w:tc>
        <w:tc>
          <w:tcPr>
            <w:tcW w:w="2432" w:type="dxa"/>
            <w:vAlign w:val="center"/>
          </w:tcPr>
          <w:p>
            <w:pPr>
              <w:snapToGrid w:val="0"/>
              <w:spacing w:line="300" w:lineRule="auto"/>
              <w:rPr>
                <w:sz w:val="18"/>
                <w:szCs w:val="18"/>
              </w:rPr>
            </w:pPr>
            <w:r>
              <w:rPr>
                <w:sz w:val="18"/>
                <w:szCs w:val="18"/>
              </w:rPr>
              <w:t>11电路的频率响应</w:t>
            </w:r>
          </w:p>
          <w:p>
            <w:pPr>
              <w:snapToGrid w:val="0"/>
              <w:spacing w:line="300" w:lineRule="auto"/>
              <w:rPr>
                <w:sz w:val="18"/>
                <w:szCs w:val="18"/>
              </w:rPr>
            </w:pPr>
            <w:r>
              <w:rPr>
                <w:sz w:val="18"/>
                <w:szCs w:val="18"/>
              </w:rPr>
              <w:t>11.1 网络函数；</w:t>
            </w:r>
          </w:p>
          <w:p>
            <w:pPr>
              <w:snapToGrid w:val="0"/>
              <w:spacing w:line="300" w:lineRule="auto"/>
              <w:rPr>
                <w:sz w:val="18"/>
                <w:szCs w:val="18"/>
              </w:rPr>
            </w:pPr>
            <w:r>
              <w:rPr>
                <w:sz w:val="18"/>
                <w:szCs w:val="18"/>
              </w:rPr>
              <w:t>11.2 RLC串联电路的谐振；</w:t>
            </w:r>
          </w:p>
          <w:p>
            <w:pPr>
              <w:snapToGrid w:val="0"/>
              <w:spacing w:line="300" w:lineRule="auto"/>
              <w:rPr>
                <w:sz w:val="18"/>
                <w:szCs w:val="18"/>
              </w:rPr>
            </w:pPr>
            <w:r>
              <w:rPr>
                <w:sz w:val="18"/>
                <w:szCs w:val="18"/>
              </w:rPr>
              <w:t>11.3 RLC串联电路的频率响应；</w:t>
            </w:r>
          </w:p>
          <w:p>
            <w:pPr>
              <w:snapToGrid w:val="0"/>
              <w:spacing w:line="300" w:lineRule="auto"/>
              <w:rPr>
                <w:sz w:val="18"/>
                <w:szCs w:val="18"/>
              </w:rPr>
            </w:pPr>
            <w:r>
              <w:rPr>
                <w:sz w:val="18"/>
                <w:szCs w:val="18"/>
              </w:rPr>
              <w:t>11.4 RLC并联谐振电路；</w:t>
            </w:r>
          </w:p>
          <w:p>
            <w:pPr>
              <w:snapToGrid w:val="0"/>
              <w:spacing w:line="300" w:lineRule="auto"/>
              <w:rPr>
                <w:sz w:val="18"/>
                <w:szCs w:val="18"/>
              </w:rPr>
            </w:pPr>
            <w:r>
              <w:rPr>
                <w:sz w:val="18"/>
                <w:szCs w:val="18"/>
              </w:rPr>
              <w:t>11.5 波特图；</w:t>
            </w:r>
          </w:p>
          <w:p>
            <w:pPr>
              <w:snapToGrid w:val="0"/>
              <w:spacing w:line="300" w:lineRule="auto"/>
              <w:rPr>
                <w:sz w:val="18"/>
                <w:szCs w:val="18"/>
              </w:rPr>
            </w:pPr>
            <w:r>
              <w:rPr>
                <w:sz w:val="18"/>
                <w:szCs w:val="18"/>
              </w:rPr>
              <w:t>11.6 滤波器简介。</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w:t>
            </w:r>
            <w:r>
              <w:rPr>
                <w:rFonts w:hint="eastAsia"/>
                <w:sz w:val="18"/>
                <w:szCs w:val="18"/>
              </w:rPr>
              <w:t>网络函数的定义，波特图概念和滤波器分类</w:t>
            </w:r>
            <w:r>
              <w:rPr>
                <w:sz w:val="18"/>
                <w:szCs w:val="18"/>
              </w:rPr>
              <w:t>；</w:t>
            </w:r>
          </w:p>
          <w:p>
            <w:pPr>
              <w:snapToGrid w:val="0"/>
              <w:spacing w:line="300" w:lineRule="auto"/>
              <w:rPr>
                <w:sz w:val="18"/>
                <w:szCs w:val="18"/>
              </w:rPr>
            </w:pPr>
            <w:r>
              <w:rPr>
                <w:sz w:val="18"/>
                <w:szCs w:val="18"/>
              </w:rPr>
              <w:t>（2）掌握：</w:t>
            </w:r>
            <w:r>
              <w:rPr>
                <w:rFonts w:hint="eastAsia"/>
                <w:sz w:val="18"/>
                <w:szCs w:val="18"/>
              </w:rPr>
              <w:t>串联电路的谐振分析和并联电路谐振分析</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（1）复习第十一章内容；</w:t>
            </w:r>
          </w:p>
          <w:p>
            <w:pPr>
              <w:snapToGrid w:val="0"/>
              <w:spacing w:line="300" w:lineRule="auto"/>
              <w:rPr>
                <w:sz w:val="18"/>
                <w:szCs w:val="18"/>
              </w:rPr>
            </w:pPr>
            <w:r>
              <w:rPr>
                <w:sz w:val="18"/>
                <w:szCs w:val="18"/>
              </w:rPr>
              <w:t>（2）完成教材第十一章作业。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5"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12</w:t>
            </w:r>
          </w:p>
        </w:tc>
        <w:tc>
          <w:tcPr>
            <w:tcW w:w="2432" w:type="dxa"/>
            <w:vAlign w:val="center"/>
          </w:tcPr>
          <w:p>
            <w:pPr>
              <w:snapToGrid w:val="0"/>
              <w:spacing w:line="300" w:lineRule="auto"/>
              <w:rPr>
                <w:sz w:val="18"/>
                <w:szCs w:val="18"/>
              </w:rPr>
            </w:pPr>
            <w:r>
              <w:rPr>
                <w:sz w:val="18"/>
                <w:szCs w:val="18"/>
              </w:rPr>
              <w:t>12三相电路</w:t>
            </w:r>
          </w:p>
          <w:p>
            <w:pPr>
              <w:snapToGrid w:val="0"/>
              <w:spacing w:line="300" w:lineRule="auto"/>
              <w:rPr>
                <w:sz w:val="18"/>
                <w:szCs w:val="18"/>
              </w:rPr>
            </w:pPr>
            <w:r>
              <w:rPr>
                <w:sz w:val="18"/>
                <w:szCs w:val="18"/>
              </w:rPr>
              <w:t>12.1 三相电路；</w:t>
            </w:r>
          </w:p>
          <w:p>
            <w:pPr>
              <w:snapToGrid w:val="0"/>
              <w:spacing w:line="300" w:lineRule="auto"/>
              <w:rPr>
                <w:sz w:val="18"/>
                <w:szCs w:val="18"/>
              </w:rPr>
            </w:pPr>
            <w:r>
              <w:rPr>
                <w:sz w:val="18"/>
                <w:szCs w:val="18"/>
              </w:rPr>
              <w:t>12.2 线电压(电流)与相电压(电流)的关系；</w:t>
            </w:r>
          </w:p>
          <w:p>
            <w:pPr>
              <w:snapToGrid w:val="0"/>
              <w:spacing w:line="300" w:lineRule="auto"/>
              <w:rPr>
                <w:sz w:val="18"/>
                <w:szCs w:val="18"/>
              </w:rPr>
            </w:pPr>
            <w:r>
              <w:rPr>
                <w:sz w:val="18"/>
                <w:szCs w:val="18"/>
              </w:rPr>
              <w:t>12.3 对称三相电路的计算；</w:t>
            </w:r>
          </w:p>
          <w:p>
            <w:pPr>
              <w:snapToGrid w:val="0"/>
              <w:spacing w:line="300" w:lineRule="auto"/>
              <w:rPr>
                <w:sz w:val="18"/>
                <w:szCs w:val="18"/>
              </w:rPr>
            </w:pPr>
            <w:r>
              <w:rPr>
                <w:sz w:val="18"/>
                <w:szCs w:val="18"/>
              </w:rPr>
              <w:t>12.4 不对称三相电路概念；</w:t>
            </w:r>
          </w:p>
          <w:p>
            <w:pPr>
              <w:snapToGrid w:val="0"/>
              <w:spacing w:line="300" w:lineRule="auto"/>
              <w:rPr>
                <w:sz w:val="18"/>
                <w:szCs w:val="18"/>
              </w:rPr>
            </w:pPr>
            <w:r>
              <w:rPr>
                <w:sz w:val="18"/>
                <w:szCs w:val="18"/>
              </w:rPr>
              <w:t>12.5 三相电路的功率。</w:t>
            </w:r>
          </w:p>
          <w:p>
            <w:pPr>
              <w:snapToGrid w:val="0"/>
              <w:spacing w:line="300" w:lineRule="auto"/>
              <w:rPr>
                <w:b/>
                <w:sz w:val="18"/>
                <w:szCs w:val="18"/>
              </w:rPr>
            </w:pPr>
            <w:r>
              <w:rPr>
                <w:b/>
                <w:sz w:val="18"/>
                <w:szCs w:val="18"/>
              </w:rPr>
              <w:t>课程思政：介绍三峡发电站，增强学生的爱国情怀，民族自信心。</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（1）了解：三相电路概念，线电压</w:t>
            </w:r>
            <w:r>
              <w:rPr>
                <w:rFonts w:hint="eastAsia"/>
                <w:sz w:val="18"/>
                <w:szCs w:val="18"/>
              </w:rPr>
              <w:t>和</w:t>
            </w:r>
            <w:r>
              <w:rPr>
                <w:sz w:val="18"/>
                <w:szCs w:val="18"/>
              </w:rPr>
              <w:t>相电压，线电流和相电流的关系；</w:t>
            </w:r>
          </w:p>
          <w:p>
            <w:pPr>
              <w:snapToGrid w:val="0"/>
              <w:spacing w:line="300" w:lineRule="auto"/>
              <w:rPr>
                <w:sz w:val="18"/>
                <w:szCs w:val="18"/>
              </w:rPr>
            </w:pPr>
            <w:r>
              <w:rPr>
                <w:sz w:val="18"/>
                <w:szCs w:val="18"/>
              </w:rPr>
              <w:t>（2）掌握：对称三相电路的计算；三相电路的功率。</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（1）复习第十二章内容；</w:t>
            </w:r>
          </w:p>
          <w:p>
            <w:pPr>
              <w:snapToGrid w:val="0"/>
              <w:spacing w:line="300" w:lineRule="auto"/>
              <w:rPr>
                <w:sz w:val="18"/>
                <w:szCs w:val="18"/>
              </w:rPr>
            </w:pPr>
            <w:r>
              <w:rPr>
                <w:sz w:val="18"/>
                <w:szCs w:val="18"/>
              </w:rPr>
              <w:t>（2）完成教材第十二章作业。</w:t>
            </w:r>
          </w:p>
          <w:p>
            <w:pPr>
              <w:snapToGrid w:val="0"/>
              <w:spacing w:line="300" w:lineRule="auto"/>
              <w:rPr>
                <w:sz w:val="18"/>
                <w:szCs w:val="18"/>
              </w:rPr>
            </w:pPr>
            <w:r>
              <w:rPr>
                <w:sz w:val="18"/>
                <w:szCs w:val="18"/>
              </w:rPr>
              <w:t>3.教学方法： 讲授式、讨论式、案例式式相结合。</w:t>
            </w:r>
          </w:p>
          <w:p>
            <w:pPr>
              <w:snapToGrid w:val="0"/>
              <w:spacing w:line="300" w:lineRule="auto"/>
              <w:rPr>
                <w:sz w:val="18"/>
                <w:szCs w:val="18"/>
              </w:rPr>
            </w:pPr>
            <w:r>
              <w:rPr>
                <w:sz w:val="18"/>
                <w:szCs w:val="18"/>
              </w:rPr>
              <w:t>案例6实际小型工厂供电电路-至少3灯（Y接）交流照明系统与1三相交流电动机一体化接入电源的工作系统。</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6" w:hRule="atLeast"/>
        </w:trPr>
        <w:tc>
          <w:tcPr>
            <w:tcW w:w="441" w:type="dxa"/>
            <w:tcMar>
              <w:left w:w="57" w:type="dxa"/>
              <w:right w:w="57" w:type="dxa"/>
            </w:tcMar>
            <w:vAlign w:val="center"/>
          </w:tcPr>
          <w:p>
            <w:pPr>
              <w:snapToGrid w:val="0"/>
              <w:spacing w:line="300" w:lineRule="auto"/>
              <w:jc w:val="center"/>
              <w:rPr>
                <w:sz w:val="18"/>
                <w:szCs w:val="18"/>
              </w:rPr>
            </w:pPr>
            <w:r>
              <w:rPr>
                <w:sz w:val="18"/>
                <w:szCs w:val="18"/>
              </w:rPr>
              <w:t>13</w:t>
            </w:r>
          </w:p>
        </w:tc>
        <w:tc>
          <w:tcPr>
            <w:tcW w:w="2432" w:type="dxa"/>
            <w:vAlign w:val="center"/>
          </w:tcPr>
          <w:p>
            <w:pPr>
              <w:snapToGrid w:val="0"/>
              <w:spacing w:line="300" w:lineRule="auto"/>
              <w:rPr>
                <w:sz w:val="18"/>
                <w:szCs w:val="18"/>
              </w:rPr>
            </w:pPr>
            <w:r>
              <w:rPr>
                <w:sz w:val="18"/>
                <w:szCs w:val="18"/>
              </w:rPr>
              <w:t>13二端口网络</w:t>
            </w:r>
          </w:p>
          <w:p>
            <w:pPr>
              <w:snapToGrid w:val="0"/>
              <w:spacing w:line="300" w:lineRule="auto"/>
              <w:rPr>
                <w:sz w:val="18"/>
                <w:szCs w:val="18"/>
              </w:rPr>
            </w:pPr>
            <w:r>
              <w:rPr>
                <w:sz w:val="18"/>
                <w:szCs w:val="18"/>
              </w:rPr>
              <w:t>13.1二端口网络；</w:t>
            </w:r>
          </w:p>
          <w:p>
            <w:pPr>
              <w:snapToGrid w:val="0"/>
              <w:spacing w:line="300" w:lineRule="auto"/>
              <w:rPr>
                <w:sz w:val="18"/>
                <w:szCs w:val="18"/>
              </w:rPr>
            </w:pPr>
            <w:r>
              <w:rPr>
                <w:sz w:val="18"/>
                <w:szCs w:val="18"/>
              </w:rPr>
              <w:t>13.2二端口的方程和参数；</w:t>
            </w:r>
          </w:p>
          <w:p>
            <w:pPr>
              <w:snapToGrid w:val="0"/>
              <w:spacing w:line="300" w:lineRule="auto"/>
              <w:rPr>
                <w:sz w:val="18"/>
                <w:szCs w:val="18"/>
              </w:rPr>
            </w:pPr>
            <w:r>
              <w:rPr>
                <w:sz w:val="18"/>
                <w:szCs w:val="18"/>
              </w:rPr>
              <w:t>13.3二端口的等效电路；</w:t>
            </w:r>
          </w:p>
          <w:p>
            <w:pPr>
              <w:snapToGrid w:val="0"/>
              <w:spacing w:line="300" w:lineRule="auto"/>
              <w:rPr>
                <w:sz w:val="18"/>
                <w:szCs w:val="18"/>
              </w:rPr>
            </w:pPr>
            <w:r>
              <w:rPr>
                <w:sz w:val="18"/>
                <w:szCs w:val="18"/>
              </w:rPr>
              <w:t>13.4二端口的转移函数；</w:t>
            </w:r>
          </w:p>
          <w:p>
            <w:pPr>
              <w:snapToGrid w:val="0"/>
              <w:spacing w:line="300" w:lineRule="auto"/>
              <w:rPr>
                <w:sz w:val="18"/>
                <w:szCs w:val="18"/>
              </w:rPr>
            </w:pPr>
            <w:r>
              <w:rPr>
                <w:sz w:val="18"/>
                <w:szCs w:val="18"/>
              </w:rPr>
              <w:t>13.5二端口的连接。</w:t>
            </w:r>
          </w:p>
        </w:tc>
        <w:tc>
          <w:tcPr>
            <w:tcW w:w="4539"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（1）了解：二端口网络；二端口的连接；</w:t>
            </w:r>
          </w:p>
          <w:p>
            <w:pPr>
              <w:snapToGrid w:val="0"/>
              <w:spacing w:line="300" w:lineRule="auto"/>
              <w:rPr>
                <w:sz w:val="18"/>
                <w:szCs w:val="18"/>
              </w:rPr>
            </w:pPr>
            <w:r>
              <w:rPr>
                <w:sz w:val="18"/>
                <w:szCs w:val="18"/>
              </w:rPr>
              <w:t>（2）掌握：二端口的方程和参数；二端口的等效电路。</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（1）复习第十六章内容；</w:t>
            </w:r>
          </w:p>
          <w:p>
            <w:pPr>
              <w:snapToGrid w:val="0"/>
              <w:spacing w:line="300" w:lineRule="auto"/>
              <w:rPr>
                <w:sz w:val="18"/>
                <w:szCs w:val="18"/>
              </w:rPr>
            </w:pPr>
            <w:r>
              <w:rPr>
                <w:sz w:val="18"/>
                <w:szCs w:val="18"/>
              </w:rPr>
              <w:t>（2）完成教材第十六章作业。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44" w:type="dxa"/>
            <w:vAlign w:val="center"/>
          </w:tcPr>
          <w:p>
            <w:pPr>
              <w:snapToGrid w:val="0"/>
              <w:spacing w:line="300" w:lineRule="auto"/>
              <w:jc w:val="center"/>
              <w:rPr>
                <w:sz w:val="18"/>
                <w:szCs w:val="18"/>
              </w:rPr>
            </w:pPr>
            <w:r>
              <w:rPr>
                <w:sz w:val="18"/>
                <w:szCs w:val="18"/>
              </w:rPr>
              <w:t>4</w:t>
            </w:r>
          </w:p>
        </w:tc>
        <w:tc>
          <w:tcPr>
            <w:tcW w:w="825" w:type="dxa"/>
            <w:vAlign w:val="center"/>
          </w:tcPr>
          <w:p>
            <w:pPr>
              <w:snapToGrid w:val="0"/>
              <w:spacing w:line="300" w:lineRule="auto"/>
              <w:rPr>
                <w:sz w:val="18"/>
                <w:szCs w:val="18"/>
              </w:rPr>
            </w:pPr>
            <w:r>
              <w:rPr>
                <w:sz w:val="18"/>
                <w:szCs w:val="18"/>
              </w:rPr>
              <w:t>1，2，4</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398"/>
        <w:gridCol w:w="2226"/>
        <w:gridCol w:w="741"/>
        <w:gridCol w:w="741"/>
        <w:gridCol w:w="741"/>
        <w:gridCol w:w="888"/>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6" w:type="dxa"/>
            <w:vAlign w:val="center"/>
          </w:tcPr>
          <w:p>
            <w:pPr>
              <w:snapToGrid w:val="0"/>
              <w:spacing w:line="300" w:lineRule="auto"/>
              <w:rPr>
                <w:b/>
                <w:bCs/>
                <w:sz w:val="18"/>
                <w:szCs w:val="18"/>
              </w:rPr>
            </w:pPr>
            <w:r>
              <w:rPr>
                <w:b/>
                <w:bCs/>
                <w:kern w:val="0"/>
                <w:sz w:val="18"/>
                <w:szCs w:val="18"/>
              </w:rPr>
              <w:t>序号</w:t>
            </w:r>
          </w:p>
        </w:tc>
        <w:tc>
          <w:tcPr>
            <w:tcW w:w="2398" w:type="dxa"/>
            <w:vAlign w:val="center"/>
          </w:tcPr>
          <w:p>
            <w:pPr>
              <w:snapToGrid w:val="0"/>
              <w:spacing w:line="300" w:lineRule="auto"/>
              <w:jc w:val="center"/>
              <w:rPr>
                <w:b/>
                <w:bCs/>
                <w:sz w:val="18"/>
                <w:szCs w:val="18"/>
              </w:rPr>
            </w:pPr>
            <w:r>
              <w:rPr>
                <w:b/>
                <w:bCs/>
                <w:kern w:val="0"/>
                <w:sz w:val="18"/>
                <w:szCs w:val="18"/>
              </w:rPr>
              <w:t>实验项目名称</w:t>
            </w:r>
          </w:p>
        </w:tc>
        <w:tc>
          <w:tcPr>
            <w:tcW w:w="2226" w:type="dxa"/>
            <w:vAlign w:val="center"/>
          </w:tcPr>
          <w:p>
            <w:pPr>
              <w:snapToGrid w:val="0"/>
              <w:spacing w:line="300" w:lineRule="auto"/>
              <w:jc w:val="center"/>
              <w:rPr>
                <w:b/>
                <w:bCs/>
                <w:sz w:val="18"/>
                <w:szCs w:val="18"/>
              </w:rPr>
            </w:pPr>
            <w:r>
              <w:rPr>
                <w:b/>
                <w:bCs/>
                <w:kern w:val="0"/>
                <w:sz w:val="18"/>
                <w:szCs w:val="18"/>
              </w:rPr>
              <w:t>目的要求</w:t>
            </w:r>
          </w:p>
        </w:tc>
        <w:tc>
          <w:tcPr>
            <w:tcW w:w="741" w:type="dxa"/>
            <w:vAlign w:val="center"/>
          </w:tcPr>
          <w:p>
            <w:pPr>
              <w:snapToGrid w:val="0"/>
              <w:spacing w:line="300" w:lineRule="auto"/>
              <w:jc w:val="center"/>
              <w:rPr>
                <w:b/>
                <w:bCs/>
                <w:sz w:val="18"/>
                <w:szCs w:val="18"/>
              </w:rPr>
            </w:pPr>
            <w:r>
              <w:rPr>
                <w:b/>
                <w:bCs/>
                <w:kern w:val="0"/>
                <w:sz w:val="18"/>
                <w:szCs w:val="18"/>
              </w:rPr>
              <w:t>学时分配</w:t>
            </w:r>
          </w:p>
        </w:tc>
        <w:tc>
          <w:tcPr>
            <w:tcW w:w="741" w:type="dxa"/>
            <w:vAlign w:val="center"/>
          </w:tcPr>
          <w:p>
            <w:pPr>
              <w:snapToGrid w:val="0"/>
              <w:spacing w:line="300" w:lineRule="auto"/>
              <w:jc w:val="center"/>
              <w:rPr>
                <w:b/>
                <w:bCs/>
                <w:kern w:val="0"/>
                <w:sz w:val="18"/>
                <w:szCs w:val="18"/>
              </w:rPr>
            </w:pPr>
            <w:r>
              <w:rPr>
                <w:b/>
                <w:bCs/>
                <w:kern w:val="0"/>
                <w:sz w:val="18"/>
                <w:szCs w:val="18"/>
              </w:rPr>
              <w:t>实验类型</w:t>
            </w:r>
          </w:p>
        </w:tc>
        <w:tc>
          <w:tcPr>
            <w:tcW w:w="741" w:type="dxa"/>
            <w:vAlign w:val="center"/>
          </w:tcPr>
          <w:p>
            <w:pPr>
              <w:snapToGrid w:val="0"/>
              <w:spacing w:line="300" w:lineRule="auto"/>
              <w:jc w:val="center"/>
              <w:rPr>
                <w:b/>
                <w:bCs/>
                <w:kern w:val="0"/>
                <w:sz w:val="18"/>
                <w:szCs w:val="18"/>
              </w:rPr>
            </w:pPr>
            <w:r>
              <w:rPr>
                <w:b/>
                <w:bCs/>
                <w:kern w:val="0"/>
                <w:sz w:val="18"/>
                <w:szCs w:val="18"/>
              </w:rPr>
              <w:t>每组人数</w:t>
            </w:r>
          </w:p>
        </w:tc>
        <w:tc>
          <w:tcPr>
            <w:tcW w:w="888"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23"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snapToGrid w:val="0"/>
              <w:spacing w:line="300" w:lineRule="auto"/>
              <w:jc w:val="center"/>
              <w:rPr>
                <w:sz w:val="18"/>
                <w:szCs w:val="18"/>
              </w:rPr>
            </w:pPr>
            <w:r>
              <w:rPr>
                <w:sz w:val="18"/>
                <w:szCs w:val="18"/>
              </w:rPr>
              <w:t>1</w:t>
            </w:r>
          </w:p>
        </w:tc>
        <w:tc>
          <w:tcPr>
            <w:tcW w:w="2398" w:type="dxa"/>
            <w:vAlign w:val="center"/>
          </w:tcPr>
          <w:p>
            <w:pPr>
              <w:snapToGrid w:val="0"/>
              <w:spacing w:line="300" w:lineRule="auto"/>
              <w:rPr>
                <w:sz w:val="18"/>
                <w:szCs w:val="18"/>
              </w:rPr>
            </w:pPr>
            <w:r>
              <w:rPr>
                <w:kern w:val="0"/>
                <w:sz w:val="18"/>
                <w:szCs w:val="18"/>
              </w:rPr>
              <w:t>基尔霍夫定律和叠加原理的验证</w:t>
            </w:r>
          </w:p>
        </w:tc>
        <w:tc>
          <w:tcPr>
            <w:tcW w:w="2226" w:type="dxa"/>
            <w:vAlign w:val="center"/>
          </w:tcPr>
          <w:p>
            <w:pPr>
              <w:snapToGrid w:val="0"/>
              <w:spacing w:line="300" w:lineRule="auto"/>
              <w:rPr>
                <w:sz w:val="18"/>
                <w:szCs w:val="18"/>
              </w:rPr>
            </w:pPr>
            <w:r>
              <w:rPr>
                <w:sz w:val="18"/>
                <w:szCs w:val="18"/>
              </w:rPr>
              <w:t>会验证基尔霍夫定律；</w:t>
            </w:r>
            <w:r>
              <w:rPr>
                <w:kern w:val="0"/>
                <w:sz w:val="18"/>
                <w:szCs w:val="18"/>
              </w:rPr>
              <w:t>验证叠加定理</w:t>
            </w:r>
          </w:p>
        </w:tc>
        <w:tc>
          <w:tcPr>
            <w:tcW w:w="741" w:type="dxa"/>
            <w:vAlign w:val="center"/>
          </w:tcPr>
          <w:p>
            <w:pPr>
              <w:snapToGrid w:val="0"/>
              <w:spacing w:line="300" w:lineRule="auto"/>
              <w:jc w:val="center"/>
              <w:rPr>
                <w:sz w:val="18"/>
                <w:szCs w:val="18"/>
              </w:rPr>
            </w:pPr>
            <w:r>
              <w:rPr>
                <w:kern w:val="0"/>
                <w:sz w:val="18"/>
                <w:szCs w:val="18"/>
              </w:rPr>
              <w:t>2</w:t>
            </w:r>
          </w:p>
        </w:tc>
        <w:tc>
          <w:tcPr>
            <w:tcW w:w="741" w:type="dxa"/>
            <w:vAlign w:val="center"/>
          </w:tcPr>
          <w:p>
            <w:pPr>
              <w:snapToGrid w:val="0"/>
              <w:spacing w:line="300" w:lineRule="auto"/>
              <w:jc w:val="center"/>
              <w:rPr>
                <w:sz w:val="18"/>
                <w:szCs w:val="18"/>
              </w:rPr>
            </w:pPr>
            <w:r>
              <w:rPr>
                <w:kern w:val="0"/>
                <w:sz w:val="18"/>
                <w:szCs w:val="18"/>
              </w:rPr>
              <w:t>验证</w:t>
            </w:r>
          </w:p>
        </w:tc>
        <w:tc>
          <w:tcPr>
            <w:tcW w:w="741" w:type="dxa"/>
            <w:vAlign w:val="center"/>
          </w:tcPr>
          <w:p>
            <w:pPr>
              <w:snapToGrid w:val="0"/>
              <w:spacing w:line="300" w:lineRule="auto"/>
              <w:jc w:val="center"/>
              <w:rPr>
                <w:sz w:val="18"/>
                <w:szCs w:val="18"/>
              </w:rPr>
            </w:pPr>
            <w:r>
              <w:rPr>
                <w:kern w:val="0"/>
                <w:sz w:val="18"/>
                <w:szCs w:val="18"/>
              </w:rPr>
              <w:t>2</w:t>
            </w:r>
          </w:p>
        </w:tc>
        <w:tc>
          <w:tcPr>
            <w:tcW w:w="888" w:type="dxa"/>
            <w:vAlign w:val="center"/>
          </w:tcPr>
          <w:p>
            <w:pPr>
              <w:snapToGrid w:val="0"/>
              <w:spacing w:line="300" w:lineRule="auto"/>
              <w:jc w:val="center"/>
              <w:rPr>
                <w:sz w:val="18"/>
                <w:szCs w:val="18"/>
              </w:rPr>
            </w:pPr>
            <w:r>
              <w:rPr>
                <w:kern w:val="0"/>
                <w:sz w:val="18"/>
                <w:szCs w:val="18"/>
              </w:rPr>
              <w:t>必开</w:t>
            </w:r>
          </w:p>
        </w:tc>
        <w:tc>
          <w:tcPr>
            <w:tcW w:w="723" w:type="dxa"/>
            <w:vAlign w:val="center"/>
          </w:tcPr>
          <w:p>
            <w:pPr>
              <w:snapToGrid w:val="0"/>
              <w:spacing w:line="300" w:lineRule="auto"/>
              <w:jc w:val="center"/>
              <w:rPr>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6" w:type="dxa"/>
            <w:vAlign w:val="center"/>
          </w:tcPr>
          <w:p>
            <w:pPr>
              <w:snapToGrid w:val="0"/>
              <w:spacing w:line="300" w:lineRule="auto"/>
              <w:jc w:val="center"/>
              <w:rPr>
                <w:sz w:val="18"/>
                <w:szCs w:val="18"/>
              </w:rPr>
            </w:pPr>
            <w:r>
              <w:rPr>
                <w:sz w:val="18"/>
                <w:szCs w:val="18"/>
              </w:rPr>
              <w:t>2</w:t>
            </w:r>
          </w:p>
        </w:tc>
        <w:tc>
          <w:tcPr>
            <w:tcW w:w="2398" w:type="dxa"/>
            <w:vAlign w:val="center"/>
          </w:tcPr>
          <w:p>
            <w:pPr>
              <w:snapToGrid w:val="0"/>
              <w:spacing w:line="300" w:lineRule="auto"/>
              <w:rPr>
                <w:sz w:val="18"/>
                <w:szCs w:val="18"/>
              </w:rPr>
            </w:pPr>
            <w:r>
              <w:rPr>
                <w:kern w:val="0"/>
                <w:sz w:val="18"/>
                <w:szCs w:val="18"/>
              </w:rPr>
              <w:t>戴维南定理和诺顿定理的验证</w:t>
            </w:r>
          </w:p>
        </w:tc>
        <w:tc>
          <w:tcPr>
            <w:tcW w:w="2226" w:type="dxa"/>
            <w:vAlign w:val="center"/>
          </w:tcPr>
          <w:p>
            <w:pPr>
              <w:snapToGrid w:val="0"/>
              <w:spacing w:line="300" w:lineRule="auto"/>
              <w:rPr>
                <w:sz w:val="18"/>
                <w:szCs w:val="18"/>
              </w:rPr>
            </w:pPr>
            <w:r>
              <w:rPr>
                <w:sz w:val="18"/>
                <w:szCs w:val="18"/>
              </w:rPr>
              <w:t>会验证戴维南定理与</w:t>
            </w:r>
            <w:r>
              <w:rPr>
                <w:kern w:val="0"/>
                <w:sz w:val="18"/>
                <w:szCs w:val="18"/>
              </w:rPr>
              <w:t>验证诺顿定理</w:t>
            </w:r>
          </w:p>
        </w:tc>
        <w:tc>
          <w:tcPr>
            <w:tcW w:w="741" w:type="dxa"/>
            <w:vAlign w:val="center"/>
          </w:tcPr>
          <w:p>
            <w:pPr>
              <w:snapToGrid w:val="0"/>
              <w:spacing w:line="300" w:lineRule="auto"/>
              <w:jc w:val="center"/>
              <w:rPr>
                <w:sz w:val="18"/>
                <w:szCs w:val="18"/>
              </w:rPr>
            </w:pPr>
            <w:r>
              <w:rPr>
                <w:kern w:val="0"/>
                <w:sz w:val="18"/>
                <w:szCs w:val="18"/>
              </w:rPr>
              <w:t>2</w:t>
            </w:r>
          </w:p>
        </w:tc>
        <w:tc>
          <w:tcPr>
            <w:tcW w:w="741" w:type="dxa"/>
            <w:vAlign w:val="center"/>
          </w:tcPr>
          <w:p>
            <w:pPr>
              <w:snapToGrid w:val="0"/>
              <w:spacing w:line="300" w:lineRule="auto"/>
              <w:jc w:val="center"/>
              <w:rPr>
                <w:sz w:val="18"/>
                <w:szCs w:val="18"/>
              </w:rPr>
            </w:pPr>
            <w:r>
              <w:rPr>
                <w:kern w:val="0"/>
                <w:sz w:val="18"/>
                <w:szCs w:val="18"/>
              </w:rPr>
              <w:t>验证</w:t>
            </w:r>
          </w:p>
        </w:tc>
        <w:tc>
          <w:tcPr>
            <w:tcW w:w="741" w:type="dxa"/>
            <w:vAlign w:val="center"/>
          </w:tcPr>
          <w:p>
            <w:pPr>
              <w:snapToGrid w:val="0"/>
              <w:spacing w:line="300" w:lineRule="auto"/>
              <w:jc w:val="center"/>
              <w:rPr>
                <w:sz w:val="18"/>
                <w:szCs w:val="18"/>
              </w:rPr>
            </w:pPr>
            <w:r>
              <w:rPr>
                <w:kern w:val="0"/>
                <w:sz w:val="18"/>
                <w:szCs w:val="18"/>
              </w:rPr>
              <w:t>2</w:t>
            </w:r>
          </w:p>
        </w:tc>
        <w:tc>
          <w:tcPr>
            <w:tcW w:w="888" w:type="dxa"/>
            <w:vAlign w:val="center"/>
          </w:tcPr>
          <w:p>
            <w:pPr>
              <w:snapToGrid w:val="0"/>
              <w:spacing w:line="300" w:lineRule="auto"/>
              <w:jc w:val="center"/>
              <w:rPr>
                <w:sz w:val="18"/>
                <w:szCs w:val="18"/>
              </w:rPr>
            </w:pPr>
            <w:r>
              <w:rPr>
                <w:kern w:val="0"/>
                <w:sz w:val="18"/>
                <w:szCs w:val="18"/>
              </w:rPr>
              <w:t>必开</w:t>
            </w:r>
          </w:p>
        </w:tc>
        <w:tc>
          <w:tcPr>
            <w:tcW w:w="723" w:type="dxa"/>
            <w:vAlign w:val="center"/>
          </w:tcPr>
          <w:p>
            <w:pPr>
              <w:snapToGrid w:val="0"/>
              <w:spacing w:line="300" w:lineRule="auto"/>
              <w:jc w:val="center"/>
              <w:rPr>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6" w:type="dxa"/>
            <w:vAlign w:val="center"/>
          </w:tcPr>
          <w:p>
            <w:pPr>
              <w:snapToGrid w:val="0"/>
              <w:spacing w:line="300" w:lineRule="auto"/>
              <w:jc w:val="center"/>
              <w:rPr>
                <w:sz w:val="18"/>
                <w:szCs w:val="18"/>
              </w:rPr>
            </w:pPr>
            <w:r>
              <w:rPr>
                <w:sz w:val="18"/>
                <w:szCs w:val="18"/>
              </w:rPr>
              <w:t>3</w:t>
            </w:r>
          </w:p>
        </w:tc>
        <w:tc>
          <w:tcPr>
            <w:tcW w:w="2398" w:type="dxa"/>
            <w:vAlign w:val="center"/>
          </w:tcPr>
          <w:p>
            <w:pPr>
              <w:snapToGrid w:val="0"/>
              <w:spacing w:line="300" w:lineRule="auto"/>
              <w:ind w:right="-107" w:rightChars="-51"/>
              <w:jc w:val="left"/>
              <w:rPr>
                <w:sz w:val="18"/>
                <w:szCs w:val="18"/>
              </w:rPr>
            </w:pPr>
            <w:r>
              <w:rPr>
                <w:kern w:val="0"/>
                <w:sz w:val="18"/>
                <w:szCs w:val="18"/>
              </w:rPr>
              <w:t>正弦稳态交流电路的研究</w:t>
            </w:r>
          </w:p>
        </w:tc>
        <w:tc>
          <w:tcPr>
            <w:tcW w:w="2226" w:type="dxa"/>
            <w:vAlign w:val="center"/>
          </w:tcPr>
          <w:p>
            <w:pPr>
              <w:snapToGrid w:val="0"/>
              <w:spacing w:line="300" w:lineRule="auto"/>
              <w:ind w:right="-107" w:rightChars="-51"/>
              <w:jc w:val="left"/>
              <w:rPr>
                <w:sz w:val="18"/>
                <w:szCs w:val="18"/>
              </w:rPr>
            </w:pPr>
            <w:r>
              <w:rPr>
                <w:kern w:val="0"/>
                <w:sz w:val="18"/>
                <w:szCs w:val="18"/>
              </w:rPr>
              <w:t>日光灯实验</w:t>
            </w:r>
          </w:p>
        </w:tc>
        <w:tc>
          <w:tcPr>
            <w:tcW w:w="741" w:type="dxa"/>
            <w:vAlign w:val="center"/>
          </w:tcPr>
          <w:p>
            <w:pPr>
              <w:snapToGrid w:val="0"/>
              <w:spacing w:line="300" w:lineRule="auto"/>
              <w:jc w:val="center"/>
              <w:rPr>
                <w:kern w:val="0"/>
                <w:sz w:val="18"/>
                <w:szCs w:val="18"/>
              </w:rPr>
            </w:pPr>
            <w:r>
              <w:rPr>
                <w:kern w:val="0"/>
                <w:sz w:val="18"/>
                <w:szCs w:val="18"/>
              </w:rPr>
              <w:t>2</w:t>
            </w:r>
          </w:p>
        </w:tc>
        <w:tc>
          <w:tcPr>
            <w:tcW w:w="741" w:type="dxa"/>
            <w:vAlign w:val="center"/>
          </w:tcPr>
          <w:p>
            <w:pPr>
              <w:snapToGrid w:val="0"/>
              <w:spacing w:line="300" w:lineRule="auto"/>
              <w:jc w:val="center"/>
              <w:rPr>
                <w:kern w:val="0"/>
                <w:sz w:val="18"/>
                <w:szCs w:val="18"/>
              </w:rPr>
            </w:pPr>
            <w:r>
              <w:rPr>
                <w:kern w:val="0"/>
                <w:sz w:val="18"/>
                <w:szCs w:val="18"/>
              </w:rPr>
              <w:t>设计</w:t>
            </w:r>
          </w:p>
        </w:tc>
        <w:tc>
          <w:tcPr>
            <w:tcW w:w="741" w:type="dxa"/>
            <w:vAlign w:val="center"/>
          </w:tcPr>
          <w:p>
            <w:pPr>
              <w:snapToGrid w:val="0"/>
              <w:spacing w:line="300" w:lineRule="auto"/>
              <w:jc w:val="center"/>
              <w:rPr>
                <w:kern w:val="0"/>
                <w:sz w:val="18"/>
                <w:szCs w:val="18"/>
              </w:rPr>
            </w:pPr>
            <w:r>
              <w:rPr>
                <w:kern w:val="0"/>
                <w:sz w:val="18"/>
                <w:szCs w:val="18"/>
              </w:rPr>
              <w:t>2</w:t>
            </w:r>
          </w:p>
        </w:tc>
        <w:tc>
          <w:tcPr>
            <w:tcW w:w="888" w:type="dxa"/>
            <w:vAlign w:val="center"/>
          </w:tcPr>
          <w:p>
            <w:pPr>
              <w:snapToGrid w:val="0"/>
              <w:spacing w:line="300" w:lineRule="auto"/>
              <w:jc w:val="center"/>
              <w:rPr>
                <w:kern w:val="0"/>
                <w:sz w:val="18"/>
                <w:szCs w:val="18"/>
              </w:rPr>
            </w:pPr>
            <w:r>
              <w:rPr>
                <w:kern w:val="0"/>
                <w:sz w:val="18"/>
                <w:szCs w:val="18"/>
              </w:rPr>
              <w:t>必开</w:t>
            </w:r>
          </w:p>
        </w:tc>
        <w:tc>
          <w:tcPr>
            <w:tcW w:w="723" w:type="dxa"/>
            <w:vAlign w:val="center"/>
          </w:tcPr>
          <w:p>
            <w:pPr>
              <w:snapToGrid w:val="0"/>
              <w:spacing w:line="300" w:lineRule="auto"/>
              <w:jc w:val="center"/>
              <w:rPr>
                <w:kern w:val="0"/>
                <w:sz w:val="18"/>
                <w:szCs w:val="18"/>
              </w:rPr>
            </w:pPr>
            <w:r>
              <w:rPr>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6" w:type="dxa"/>
            <w:vAlign w:val="center"/>
          </w:tcPr>
          <w:p>
            <w:pPr>
              <w:snapToGrid w:val="0"/>
              <w:spacing w:line="300" w:lineRule="auto"/>
              <w:jc w:val="center"/>
              <w:rPr>
                <w:sz w:val="18"/>
                <w:szCs w:val="18"/>
              </w:rPr>
            </w:pPr>
            <w:r>
              <w:rPr>
                <w:sz w:val="18"/>
                <w:szCs w:val="18"/>
              </w:rPr>
              <w:t>4</w:t>
            </w:r>
          </w:p>
        </w:tc>
        <w:tc>
          <w:tcPr>
            <w:tcW w:w="2398" w:type="dxa"/>
            <w:vAlign w:val="center"/>
          </w:tcPr>
          <w:p>
            <w:pPr>
              <w:snapToGrid w:val="0"/>
              <w:spacing w:line="300" w:lineRule="auto"/>
              <w:rPr>
                <w:sz w:val="18"/>
                <w:szCs w:val="18"/>
              </w:rPr>
            </w:pPr>
            <w:r>
              <w:rPr>
                <w:kern w:val="0"/>
                <w:sz w:val="18"/>
                <w:szCs w:val="18"/>
              </w:rPr>
              <w:t>三相交流电路电压、电流的测量</w:t>
            </w:r>
          </w:p>
        </w:tc>
        <w:tc>
          <w:tcPr>
            <w:tcW w:w="2226" w:type="dxa"/>
            <w:vAlign w:val="center"/>
          </w:tcPr>
          <w:p>
            <w:pPr>
              <w:snapToGrid w:val="0"/>
              <w:spacing w:line="300" w:lineRule="auto"/>
              <w:rPr>
                <w:sz w:val="18"/>
                <w:szCs w:val="18"/>
              </w:rPr>
            </w:pPr>
            <w:r>
              <w:rPr>
                <w:kern w:val="0"/>
                <w:sz w:val="18"/>
                <w:szCs w:val="18"/>
              </w:rPr>
              <w:t>掌握星型和三角形连接线电压和相电压，线电流和相电流测量</w:t>
            </w:r>
          </w:p>
        </w:tc>
        <w:tc>
          <w:tcPr>
            <w:tcW w:w="741" w:type="dxa"/>
            <w:vAlign w:val="center"/>
          </w:tcPr>
          <w:p>
            <w:pPr>
              <w:snapToGrid w:val="0"/>
              <w:spacing w:line="300" w:lineRule="auto"/>
              <w:jc w:val="center"/>
              <w:rPr>
                <w:sz w:val="18"/>
                <w:szCs w:val="18"/>
              </w:rPr>
            </w:pPr>
            <w:r>
              <w:rPr>
                <w:kern w:val="0"/>
                <w:sz w:val="18"/>
                <w:szCs w:val="18"/>
              </w:rPr>
              <w:t>2</w:t>
            </w:r>
          </w:p>
        </w:tc>
        <w:tc>
          <w:tcPr>
            <w:tcW w:w="741" w:type="dxa"/>
            <w:vAlign w:val="center"/>
          </w:tcPr>
          <w:p>
            <w:pPr>
              <w:snapToGrid w:val="0"/>
              <w:spacing w:line="300" w:lineRule="auto"/>
              <w:jc w:val="center"/>
              <w:rPr>
                <w:sz w:val="18"/>
                <w:szCs w:val="18"/>
              </w:rPr>
            </w:pPr>
            <w:r>
              <w:rPr>
                <w:kern w:val="0"/>
                <w:sz w:val="18"/>
                <w:szCs w:val="18"/>
              </w:rPr>
              <w:t>综合</w:t>
            </w:r>
          </w:p>
        </w:tc>
        <w:tc>
          <w:tcPr>
            <w:tcW w:w="741" w:type="dxa"/>
            <w:vAlign w:val="center"/>
          </w:tcPr>
          <w:p>
            <w:pPr>
              <w:snapToGrid w:val="0"/>
              <w:spacing w:line="300" w:lineRule="auto"/>
              <w:jc w:val="center"/>
              <w:rPr>
                <w:sz w:val="18"/>
                <w:szCs w:val="18"/>
              </w:rPr>
            </w:pPr>
            <w:r>
              <w:rPr>
                <w:kern w:val="0"/>
                <w:sz w:val="18"/>
                <w:szCs w:val="18"/>
              </w:rPr>
              <w:t>2</w:t>
            </w:r>
          </w:p>
        </w:tc>
        <w:tc>
          <w:tcPr>
            <w:tcW w:w="888" w:type="dxa"/>
            <w:vAlign w:val="center"/>
          </w:tcPr>
          <w:p>
            <w:pPr>
              <w:snapToGrid w:val="0"/>
              <w:spacing w:line="300" w:lineRule="auto"/>
              <w:jc w:val="center"/>
              <w:rPr>
                <w:sz w:val="18"/>
                <w:szCs w:val="18"/>
              </w:rPr>
            </w:pPr>
            <w:r>
              <w:rPr>
                <w:kern w:val="0"/>
                <w:sz w:val="18"/>
                <w:szCs w:val="18"/>
              </w:rPr>
              <w:t>必开</w:t>
            </w:r>
          </w:p>
        </w:tc>
        <w:tc>
          <w:tcPr>
            <w:tcW w:w="723" w:type="dxa"/>
            <w:vAlign w:val="center"/>
          </w:tcPr>
          <w:p>
            <w:pPr>
              <w:snapToGrid w:val="0"/>
              <w:spacing w:line="300" w:lineRule="auto"/>
              <w:jc w:val="center"/>
              <w:rPr>
                <w:sz w:val="18"/>
                <w:szCs w:val="18"/>
              </w:rPr>
            </w:pPr>
            <w:r>
              <w:rPr>
                <w:kern w:val="0"/>
                <w:sz w:val="18"/>
                <w:szCs w:val="18"/>
              </w:rPr>
              <w:t>3，4</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1．考核方式：闭卷笔试，平时测验及作业，实验报告。</w:t>
      </w:r>
    </w:p>
    <w:p>
      <w:pPr>
        <w:snapToGrid w:val="0"/>
        <w:spacing w:line="300" w:lineRule="auto"/>
        <w:ind w:firstLine="420" w:firstLineChars="200"/>
      </w:pPr>
      <w:r>
        <w:t>2．成绩构成：笔试成绩70%，平时成绩</w:t>
      </w:r>
      <w:r>
        <w:rPr>
          <w:rFonts w:hint="eastAsia"/>
        </w:rPr>
        <w:t>3</w:t>
      </w:r>
      <w:r>
        <w:t>0%（课堂表现、作业、</w:t>
      </w:r>
      <w:r>
        <w:rPr>
          <w:rFonts w:hint="eastAsia"/>
        </w:rPr>
        <w:t>实验、平时测验、项目研究</w:t>
      </w:r>
      <w:r>
        <w:t>等）。</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49"/>
        <w:gridCol w:w="749"/>
        <w:gridCol w:w="729"/>
        <w:gridCol w:w="616"/>
        <w:gridCol w:w="4037"/>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49"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749" w:type="dxa"/>
            <w:vAlign w:val="center"/>
          </w:tcPr>
          <w:p>
            <w:pPr>
              <w:snapToGrid w:val="0"/>
              <w:spacing w:line="300" w:lineRule="auto"/>
              <w:jc w:val="center"/>
              <w:rPr>
                <w:b/>
                <w:bCs/>
                <w:sz w:val="18"/>
                <w:szCs w:val="18"/>
              </w:rPr>
            </w:pPr>
            <w:r>
              <w:rPr>
                <w:b/>
                <w:bCs/>
                <w:sz w:val="18"/>
                <w:szCs w:val="18"/>
              </w:rPr>
              <w:t>分值</w:t>
            </w:r>
          </w:p>
        </w:tc>
        <w:tc>
          <w:tcPr>
            <w:tcW w:w="749" w:type="dxa"/>
            <w:vAlign w:val="center"/>
          </w:tcPr>
          <w:p>
            <w:pPr>
              <w:snapToGrid w:val="0"/>
              <w:spacing w:line="300" w:lineRule="auto"/>
              <w:jc w:val="center"/>
              <w:rPr>
                <w:b/>
                <w:bCs/>
                <w:sz w:val="18"/>
                <w:szCs w:val="18"/>
              </w:rPr>
            </w:pPr>
            <w:r>
              <w:rPr>
                <w:b/>
                <w:bCs/>
                <w:sz w:val="18"/>
                <w:szCs w:val="18"/>
              </w:rPr>
              <w:t>权重</w:t>
            </w:r>
          </w:p>
        </w:tc>
        <w:tc>
          <w:tcPr>
            <w:tcW w:w="729" w:type="dxa"/>
            <w:vAlign w:val="center"/>
          </w:tcPr>
          <w:p>
            <w:pPr>
              <w:snapToGrid w:val="0"/>
              <w:spacing w:line="300" w:lineRule="auto"/>
              <w:jc w:val="center"/>
              <w:rPr>
                <w:b/>
                <w:bCs/>
                <w:sz w:val="18"/>
                <w:szCs w:val="18"/>
              </w:rPr>
            </w:pPr>
            <w:r>
              <w:rPr>
                <w:b/>
                <w:bCs/>
                <w:sz w:val="18"/>
                <w:szCs w:val="18"/>
              </w:rPr>
              <w:t>类别</w:t>
            </w:r>
          </w:p>
        </w:tc>
        <w:tc>
          <w:tcPr>
            <w:tcW w:w="616" w:type="dxa"/>
            <w:vAlign w:val="center"/>
          </w:tcPr>
          <w:p>
            <w:pPr>
              <w:snapToGrid w:val="0"/>
              <w:spacing w:line="300" w:lineRule="auto"/>
              <w:jc w:val="center"/>
              <w:rPr>
                <w:b/>
                <w:bCs/>
                <w:sz w:val="18"/>
                <w:szCs w:val="18"/>
              </w:rPr>
            </w:pPr>
            <w:r>
              <w:rPr>
                <w:b/>
                <w:bCs/>
                <w:sz w:val="18"/>
                <w:szCs w:val="18"/>
              </w:rPr>
              <w:t>权重</w:t>
            </w:r>
          </w:p>
        </w:tc>
        <w:tc>
          <w:tcPr>
            <w:tcW w:w="4037" w:type="dxa"/>
            <w:vAlign w:val="center"/>
          </w:tcPr>
          <w:p>
            <w:pPr>
              <w:snapToGrid w:val="0"/>
              <w:spacing w:line="300" w:lineRule="auto"/>
              <w:jc w:val="center"/>
              <w:rPr>
                <w:b/>
                <w:bCs/>
                <w:sz w:val="18"/>
                <w:szCs w:val="18"/>
              </w:rPr>
            </w:pPr>
            <w:r>
              <w:rPr>
                <w:b/>
                <w:bCs/>
                <w:sz w:val="18"/>
                <w:szCs w:val="18"/>
              </w:rPr>
              <w:t>考核/评价细则</w:t>
            </w:r>
          </w:p>
        </w:tc>
        <w:tc>
          <w:tcPr>
            <w:tcW w:w="1052" w:type="dxa"/>
            <w:vAlign w:val="center"/>
          </w:tcPr>
          <w:p>
            <w:pPr>
              <w:snapToGrid w:val="0"/>
              <w:spacing w:line="300" w:lineRule="auto"/>
              <w:jc w:val="center"/>
              <w:rPr>
                <w:b/>
                <w:bCs/>
                <w:sz w:val="18"/>
                <w:szCs w:val="18"/>
              </w:rPr>
            </w:pPr>
            <w:r>
              <w:rPr>
                <w:b/>
                <w:bCs/>
                <w:sz w:val="18"/>
                <w:szCs w:val="18"/>
              </w:rPr>
              <w:t>课程目标</w:t>
            </w:r>
          </w:p>
        </w:tc>
        <w:tc>
          <w:tcPr>
            <w:tcW w:w="1052" w:type="dxa"/>
            <w:vAlign w:val="center"/>
          </w:tcPr>
          <w:p>
            <w:pPr>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restart"/>
            <w:vAlign w:val="center"/>
          </w:tcPr>
          <w:p>
            <w:pPr>
              <w:snapToGrid w:val="0"/>
              <w:spacing w:line="300" w:lineRule="auto"/>
              <w:jc w:val="center"/>
              <w:rPr>
                <w:sz w:val="18"/>
                <w:szCs w:val="18"/>
              </w:rPr>
            </w:pPr>
          </w:p>
          <w:p>
            <w:pPr>
              <w:snapToGrid w:val="0"/>
              <w:spacing w:line="300" w:lineRule="auto"/>
              <w:jc w:val="center"/>
              <w:rPr>
                <w:sz w:val="18"/>
                <w:szCs w:val="18"/>
              </w:rPr>
            </w:pPr>
            <w:r>
              <w:rPr>
                <w:sz w:val="18"/>
                <w:szCs w:val="18"/>
              </w:rPr>
              <w:t>平时</w:t>
            </w:r>
          </w:p>
          <w:p>
            <w:pPr>
              <w:snapToGrid w:val="0"/>
              <w:spacing w:line="300" w:lineRule="auto"/>
              <w:jc w:val="center"/>
              <w:rPr>
                <w:sz w:val="18"/>
                <w:szCs w:val="18"/>
              </w:rPr>
            </w:pPr>
            <w:r>
              <w:rPr>
                <w:sz w:val="18"/>
                <w:szCs w:val="18"/>
              </w:rPr>
              <w:t>成绩</w:t>
            </w:r>
          </w:p>
        </w:tc>
        <w:tc>
          <w:tcPr>
            <w:tcW w:w="749" w:type="dxa"/>
            <w:vMerge w:val="restart"/>
            <w:vAlign w:val="center"/>
          </w:tcPr>
          <w:p>
            <w:pPr>
              <w:snapToGrid w:val="0"/>
              <w:spacing w:line="300" w:lineRule="auto"/>
              <w:jc w:val="center"/>
              <w:rPr>
                <w:sz w:val="18"/>
                <w:szCs w:val="18"/>
              </w:rPr>
            </w:pPr>
            <w:r>
              <w:rPr>
                <w:sz w:val="18"/>
                <w:szCs w:val="18"/>
              </w:rPr>
              <w:t>100</w:t>
            </w:r>
          </w:p>
        </w:tc>
        <w:tc>
          <w:tcPr>
            <w:tcW w:w="749" w:type="dxa"/>
            <w:vMerge w:val="restart"/>
            <w:vAlign w:val="center"/>
          </w:tcPr>
          <w:p>
            <w:pPr>
              <w:snapToGrid w:val="0"/>
              <w:spacing w:line="300" w:lineRule="auto"/>
              <w:jc w:val="center"/>
              <w:rPr>
                <w:sz w:val="18"/>
                <w:szCs w:val="18"/>
              </w:rPr>
            </w:pPr>
            <w:r>
              <w:rPr>
                <w:sz w:val="18"/>
                <w:szCs w:val="18"/>
              </w:rPr>
              <w:t>0.3</w:t>
            </w:r>
          </w:p>
        </w:tc>
        <w:tc>
          <w:tcPr>
            <w:tcW w:w="729" w:type="dxa"/>
            <w:vAlign w:val="center"/>
          </w:tcPr>
          <w:p>
            <w:pPr>
              <w:snapToGrid w:val="0"/>
              <w:spacing w:line="300" w:lineRule="auto"/>
              <w:jc w:val="center"/>
              <w:rPr>
                <w:sz w:val="18"/>
                <w:szCs w:val="18"/>
              </w:rPr>
            </w:pPr>
            <w:r>
              <w:rPr>
                <w:sz w:val="18"/>
                <w:szCs w:val="18"/>
              </w:rPr>
              <w:t>课堂表现</w:t>
            </w:r>
          </w:p>
        </w:tc>
        <w:tc>
          <w:tcPr>
            <w:tcW w:w="616" w:type="dxa"/>
            <w:vAlign w:val="center"/>
          </w:tcPr>
          <w:p>
            <w:pPr>
              <w:snapToGrid w:val="0"/>
              <w:spacing w:line="300" w:lineRule="auto"/>
              <w:jc w:val="center"/>
              <w:rPr>
                <w:sz w:val="18"/>
                <w:szCs w:val="18"/>
              </w:rPr>
            </w:pPr>
            <w:r>
              <w:rPr>
                <w:sz w:val="18"/>
                <w:szCs w:val="18"/>
              </w:rPr>
              <w:t>0.1</w:t>
            </w:r>
          </w:p>
        </w:tc>
        <w:tc>
          <w:tcPr>
            <w:tcW w:w="4037" w:type="dxa"/>
            <w:vAlign w:val="center"/>
          </w:tcPr>
          <w:p>
            <w:pPr>
              <w:snapToGrid w:val="0"/>
              <w:spacing w:line="300" w:lineRule="auto"/>
              <w:rPr>
                <w:sz w:val="18"/>
                <w:szCs w:val="18"/>
              </w:rPr>
            </w:pPr>
            <w:r>
              <w:rPr>
                <w:sz w:val="18"/>
                <w:szCs w:val="18"/>
              </w:rPr>
              <w:t>根据学生课堂表现打分，满分100。</w:t>
            </w:r>
          </w:p>
        </w:tc>
        <w:tc>
          <w:tcPr>
            <w:tcW w:w="1052" w:type="dxa"/>
            <w:vAlign w:val="center"/>
          </w:tcPr>
          <w:p>
            <w:pPr>
              <w:snapToGrid w:val="0"/>
              <w:spacing w:line="300" w:lineRule="auto"/>
            </w:pPr>
            <w:r>
              <w:rPr>
                <w:sz w:val="18"/>
                <w:szCs w:val="18"/>
              </w:rPr>
              <w:t>2</w:t>
            </w:r>
            <w:r>
              <w:rPr>
                <w:rFonts w:hint="eastAsia"/>
                <w:sz w:val="18"/>
                <w:szCs w:val="18"/>
              </w:rPr>
              <w:t>，</w:t>
            </w:r>
            <w:r>
              <w:rPr>
                <w:sz w:val="18"/>
                <w:szCs w:val="18"/>
              </w:rPr>
              <w:t>4</w:t>
            </w:r>
          </w:p>
        </w:tc>
        <w:tc>
          <w:tcPr>
            <w:tcW w:w="1052" w:type="dxa"/>
            <w:vAlign w:val="center"/>
          </w:tcPr>
          <w:p>
            <w:pPr>
              <w:snapToGrid w:val="0"/>
              <w:spacing w:line="300" w:lineRule="auto"/>
              <w:rPr>
                <w:sz w:val="18"/>
                <w:szCs w:val="18"/>
              </w:rPr>
            </w:pPr>
            <w:r>
              <w:rPr>
                <w:sz w:val="18"/>
                <w:szCs w:val="18"/>
              </w:rPr>
              <w:t>1.2</w:t>
            </w:r>
            <w:r>
              <w:rPr>
                <w:rFonts w:hint="eastAsia"/>
                <w:sz w:val="18"/>
                <w:szCs w:val="18"/>
              </w:rPr>
              <w:t>，</w:t>
            </w:r>
            <w:r>
              <w:rPr>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作业</w:t>
            </w:r>
          </w:p>
        </w:tc>
        <w:tc>
          <w:tcPr>
            <w:tcW w:w="616" w:type="dxa"/>
            <w:vAlign w:val="center"/>
          </w:tcPr>
          <w:p>
            <w:pPr>
              <w:snapToGrid w:val="0"/>
              <w:spacing w:line="300" w:lineRule="auto"/>
              <w:jc w:val="center"/>
              <w:rPr>
                <w:sz w:val="18"/>
                <w:szCs w:val="18"/>
              </w:rPr>
            </w:pPr>
            <w:r>
              <w:rPr>
                <w:sz w:val="18"/>
                <w:szCs w:val="18"/>
              </w:rPr>
              <w:t>0.3</w:t>
            </w:r>
          </w:p>
        </w:tc>
        <w:tc>
          <w:tcPr>
            <w:tcW w:w="4037"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1052"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2</w:t>
            </w:r>
            <w:r>
              <w:rPr>
                <w:rFonts w:hint="eastAsia"/>
                <w:sz w:val="18"/>
                <w:szCs w:val="18"/>
              </w:rPr>
              <w:t>，</w:t>
            </w:r>
            <w:r>
              <w:rPr>
                <w:sz w:val="18"/>
                <w:szCs w:val="18"/>
              </w:rPr>
              <w:t>3</w:t>
            </w:r>
            <w:r>
              <w:rPr>
                <w:rFonts w:hint="eastAsia"/>
                <w:sz w:val="18"/>
                <w:szCs w:val="18"/>
              </w:rPr>
              <w:t>，5</w:t>
            </w:r>
          </w:p>
        </w:tc>
        <w:tc>
          <w:tcPr>
            <w:tcW w:w="1052" w:type="dxa"/>
            <w:vAlign w:val="center"/>
          </w:tcPr>
          <w:p>
            <w:pPr>
              <w:snapToGrid w:val="0"/>
              <w:spacing w:line="300" w:lineRule="auto"/>
              <w:rPr>
                <w:sz w:val="18"/>
                <w:szCs w:val="18"/>
              </w:rPr>
            </w:pPr>
            <w:r>
              <w:rPr>
                <w:rFonts w:hint="eastAsia"/>
                <w:sz w:val="18"/>
                <w:szCs w:val="18"/>
              </w:rPr>
              <w:t>1.2， 3.1，5.2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实验</w:t>
            </w:r>
          </w:p>
        </w:tc>
        <w:tc>
          <w:tcPr>
            <w:tcW w:w="616" w:type="dxa"/>
            <w:vAlign w:val="center"/>
          </w:tcPr>
          <w:p>
            <w:pPr>
              <w:snapToGrid w:val="0"/>
              <w:spacing w:line="300" w:lineRule="auto"/>
              <w:jc w:val="center"/>
              <w:rPr>
                <w:sz w:val="18"/>
                <w:szCs w:val="18"/>
              </w:rPr>
            </w:pPr>
            <w:r>
              <w:rPr>
                <w:sz w:val="18"/>
                <w:szCs w:val="18"/>
              </w:rPr>
              <w:t>0.3</w:t>
            </w:r>
          </w:p>
        </w:tc>
        <w:tc>
          <w:tcPr>
            <w:tcW w:w="4037"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1052" w:type="dxa"/>
            <w:vAlign w:val="center"/>
          </w:tcPr>
          <w:p>
            <w:pPr>
              <w:snapToGrid w:val="0"/>
              <w:spacing w:line="300" w:lineRule="auto"/>
              <w:rPr>
                <w:sz w:val="18"/>
                <w:szCs w:val="18"/>
              </w:rPr>
            </w:pPr>
            <w:r>
              <w:rPr>
                <w:sz w:val="18"/>
                <w:szCs w:val="18"/>
              </w:rPr>
              <w:t>4</w:t>
            </w:r>
          </w:p>
        </w:tc>
        <w:tc>
          <w:tcPr>
            <w:tcW w:w="1052" w:type="dxa"/>
            <w:vAlign w:val="center"/>
          </w:tcPr>
          <w:p>
            <w:pPr>
              <w:snapToGrid w:val="0"/>
              <w:spacing w:line="300" w:lineRule="auto"/>
              <w:rPr>
                <w:sz w:val="18"/>
                <w:szCs w:val="18"/>
              </w:rPr>
            </w:pPr>
            <w:r>
              <w:rPr>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平时测验</w:t>
            </w:r>
          </w:p>
        </w:tc>
        <w:tc>
          <w:tcPr>
            <w:tcW w:w="616" w:type="dxa"/>
            <w:vAlign w:val="center"/>
          </w:tcPr>
          <w:p>
            <w:pPr>
              <w:snapToGrid w:val="0"/>
              <w:spacing w:line="300" w:lineRule="auto"/>
              <w:jc w:val="center"/>
              <w:rPr>
                <w:sz w:val="18"/>
                <w:szCs w:val="18"/>
              </w:rPr>
            </w:pPr>
            <w:r>
              <w:rPr>
                <w:sz w:val="18"/>
                <w:szCs w:val="18"/>
              </w:rPr>
              <w:t>0.2</w:t>
            </w:r>
          </w:p>
        </w:tc>
        <w:tc>
          <w:tcPr>
            <w:tcW w:w="4037" w:type="dxa"/>
            <w:vAlign w:val="center"/>
          </w:tcPr>
          <w:p>
            <w:pPr>
              <w:snapToGrid w:val="0"/>
              <w:spacing w:line="300" w:lineRule="auto"/>
              <w:jc w:val="left"/>
              <w:rPr>
                <w:sz w:val="18"/>
                <w:szCs w:val="18"/>
              </w:rPr>
            </w:pPr>
            <w:r>
              <w:rPr>
                <w:sz w:val="18"/>
                <w:szCs w:val="18"/>
              </w:rPr>
              <w:t>做两三次平时测验，每次满分100分。</w:t>
            </w:r>
          </w:p>
        </w:tc>
        <w:tc>
          <w:tcPr>
            <w:tcW w:w="1052"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2</w:t>
            </w:r>
          </w:p>
        </w:tc>
        <w:tc>
          <w:tcPr>
            <w:tcW w:w="1052" w:type="dxa"/>
            <w:vAlign w:val="center"/>
          </w:tcPr>
          <w:p>
            <w:pPr>
              <w:snapToGrid w:val="0"/>
              <w:spacing w:line="300" w:lineRule="auto"/>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49" w:type="dxa"/>
            <w:vMerge w:val="continue"/>
            <w:tcBorders>
              <w:bottom w:val="single" w:color="auto" w:sz="4" w:space="0"/>
            </w:tcBorders>
            <w:vAlign w:val="center"/>
          </w:tcPr>
          <w:p>
            <w:pPr>
              <w:snapToGrid w:val="0"/>
              <w:spacing w:line="300" w:lineRule="auto"/>
              <w:jc w:val="center"/>
              <w:rPr>
                <w:sz w:val="18"/>
                <w:szCs w:val="18"/>
              </w:rPr>
            </w:pPr>
          </w:p>
        </w:tc>
        <w:tc>
          <w:tcPr>
            <w:tcW w:w="749" w:type="dxa"/>
            <w:vMerge w:val="continue"/>
            <w:tcBorders>
              <w:bottom w:val="single" w:color="auto" w:sz="4" w:space="0"/>
            </w:tcBorders>
            <w:vAlign w:val="center"/>
          </w:tcPr>
          <w:p>
            <w:pPr>
              <w:snapToGrid w:val="0"/>
              <w:spacing w:line="300" w:lineRule="auto"/>
              <w:jc w:val="center"/>
              <w:rPr>
                <w:sz w:val="18"/>
                <w:szCs w:val="18"/>
              </w:rPr>
            </w:pPr>
          </w:p>
        </w:tc>
        <w:tc>
          <w:tcPr>
            <w:tcW w:w="749" w:type="dxa"/>
            <w:vMerge w:val="continue"/>
            <w:tcBorders>
              <w:bottom w:val="single" w:color="auto" w:sz="4" w:space="0"/>
            </w:tcBorders>
            <w:vAlign w:val="center"/>
          </w:tcPr>
          <w:p>
            <w:pPr>
              <w:snapToGrid w:val="0"/>
              <w:spacing w:line="300" w:lineRule="auto"/>
              <w:jc w:val="center"/>
              <w:rPr>
                <w:sz w:val="18"/>
                <w:szCs w:val="18"/>
              </w:rPr>
            </w:pPr>
          </w:p>
        </w:tc>
        <w:tc>
          <w:tcPr>
            <w:tcW w:w="729" w:type="dxa"/>
            <w:tcBorders>
              <w:bottom w:val="single" w:color="auto" w:sz="4" w:space="0"/>
            </w:tcBorders>
            <w:vAlign w:val="center"/>
          </w:tcPr>
          <w:p>
            <w:pPr>
              <w:snapToGrid w:val="0"/>
              <w:spacing w:line="300" w:lineRule="auto"/>
              <w:jc w:val="center"/>
              <w:rPr>
                <w:sz w:val="18"/>
                <w:szCs w:val="18"/>
              </w:rPr>
            </w:pPr>
            <w:r>
              <w:rPr>
                <w:sz w:val="18"/>
                <w:szCs w:val="18"/>
              </w:rPr>
              <w:t>项目研究</w:t>
            </w:r>
          </w:p>
        </w:tc>
        <w:tc>
          <w:tcPr>
            <w:tcW w:w="616" w:type="dxa"/>
            <w:tcBorders>
              <w:bottom w:val="single" w:color="auto" w:sz="4" w:space="0"/>
            </w:tcBorders>
            <w:vAlign w:val="center"/>
          </w:tcPr>
          <w:p>
            <w:pPr>
              <w:snapToGrid w:val="0"/>
              <w:spacing w:line="300" w:lineRule="auto"/>
              <w:jc w:val="center"/>
              <w:rPr>
                <w:sz w:val="18"/>
                <w:szCs w:val="18"/>
              </w:rPr>
            </w:pPr>
            <w:r>
              <w:rPr>
                <w:sz w:val="18"/>
                <w:szCs w:val="18"/>
              </w:rPr>
              <w:t>0.1</w:t>
            </w:r>
          </w:p>
        </w:tc>
        <w:tc>
          <w:tcPr>
            <w:tcW w:w="4037" w:type="dxa"/>
            <w:tcBorders>
              <w:bottom w:val="single" w:color="auto" w:sz="4" w:space="0"/>
            </w:tcBorders>
            <w:vAlign w:val="center"/>
          </w:tcPr>
          <w:p>
            <w:pPr>
              <w:snapToGrid w:val="0"/>
              <w:spacing w:line="300" w:lineRule="auto"/>
              <w:jc w:val="left"/>
              <w:rPr>
                <w:sz w:val="18"/>
                <w:szCs w:val="18"/>
              </w:rPr>
            </w:pPr>
            <w:r>
              <w:rPr>
                <w:sz w:val="18"/>
                <w:szCs w:val="18"/>
              </w:rPr>
              <w:t>以小组为单位选题，并撰写报告，设计PPT，最高分100分。</w:t>
            </w:r>
          </w:p>
        </w:tc>
        <w:tc>
          <w:tcPr>
            <w:tcW w:w="1052" w:type="dxa"/>
            <w:tcBorders>
              <w:bottom w:val="single" w:color="auto" w:sz="4" w:space="0"/>
            </w:tcBorders>
            <w:vAlign w:val="center"/>
          </w:tcPr>
          <w:p>
            <w:pPr>
              <w:snapToGrid w:val="0"/>
              <w:spacing w:line="300" w:lineRule="auto"/>
              <w:rPr>
                <w:sz w:val="18"/>
                <w:szCs w:val="18"/>
              </w:rPr>
            </w:pPr>
            <w:r>
              <w:rPr>
                <w:sz w:val="18"/>
                <w:szCs w:val="18"/>
              </w:rPr>
              <w:t>1</w:t>
            </w:r>
            <w:r>
              <w:rPr>
                <w:rFonts w:hint="eastAsia"/>
                <w:sz w:val="18"/>
                <w:szCs w:val="18"/>
              </w:rPr>
              <w:t>，</w:t>
            </w:r>
            <w:r>
              <w:rPr>
                <w:sz w:val="18"/>
                <w:szCs w:val="18"/>
              </w:rPr>
              <w:t>5</w:t>
            </w:r>
          </w:p>
        </w:tc>
        <w:tc>
          <w:tcPr>
            <w:tcW w:w="1052" w:type="dxa"/>
            <w:tcBorders>
              <w:bottom w:val="single" w:color="auto" w:sz="4" w:space="0"/>
            </w:tcBorders>
            <w:vAlign w:val="center"/>
          </w:tcPr>
          <w:p>
            <w:pPr>
              <w:snapToGrid w:val="0"/>
              <w:spacing w:line="300" w:lineRule="auto"/>
              <w:rPr>
                <w:sz w:val="18"/>
                <w:szCs w:val="18"/>
              </w:rPr>
            </w:pPr>
            <w:r>
              <w:rPr>
                <w:rFonts w:hint="eastAsia"/>
                <w:sz w:val="18"/>
                <w:szCs w:val="18"/>
              </w:rPr>
              <w:t>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49" w:type="dxa"/>
            <w:vAlign w:val="center"/>
          </w:tcPr>
          <w:p>
            <w:pPr>
              <w:snapToGrid w:val="0"/>
              <w:spacing w:line="300" w:lineRule="auto"/>
              <w:jc w:val="center"/>
              <w:rPr>
                <w:sz w:val="18"/>
                <w:szCs w:val="18"/>
              </w:rPr>
            </w:pPr>
            <w:r>
              <w:rPr>
                <w:sz w:val="18"/>
                <w:szCs w:val="18"/>
              </w:rPr>
              <w:t>期末考试成绩</w:t>
            </w:r>
          </w:p>
        </w:tc>
        <w:tc>
          <w:tcPr>
            <w:tcW w:w="749" w:type="dxa"/>
            <w:vAlign w:val="center"/>
          </w:tcPr>
          <w:p>
            <w:pPr>
              <w:snapToGrid w:val="0"/>
              <w:spacing w:line="300" w:lineRule="auto"/>
              <w:jc w:val="center"/>
              <w:rPr>
                <w:sz w:val="18"/>
                <w:szCs w:val="18"/>
              </w:rPr>
            </w:pPr>
            <w:r>
              <w:rPr>
                <w:sz w:val="18"/>
                <w:szCs w:val="18"/>
              </w:rPr>
              <w:t>100</w:t>
            </w:r>
          </w:p>
        </w:tc>
        <w:tc>
          <w:tcPr>
            <w:tcW w:w="749" w:type="dxa"/>
            <w:vAlign w:val="center"/>
          </w:tcPr>
          <w:p>
            <w:pPr>
              <w:snapToGrid w:val="0"/>
              <w:spacing w:line="300" w:lineRule="auto"/>
              <w:jc w:val="center"/>
              <w:rPr>
                <w:sz w:val="18"/>
                <w:szCs w:val="18"/>
              </w:rPr>
            </w:pPr>
            <w:r>
              <w:rPr>
                <w:sz w:val="18"/>
                <w:szCs w:val="18"/>
              </w:rPr>
              <w:t>0.7</w:t>
            </w:r>
          </w:p>
        </w:tc>
        <w:tc>
          <w:tcPr>
            <w:tcW w:w="729" w:type="dxa"/>
            <w:vAlign w:val="center"/>
          </w:tcPr>
          <w:p>
            <w:pPr>
              <w:snapToGrid w:val="0"/>
              <w:spacing w:line="300" w:lineRule="auto"/>
              <w:jc w:val="left"/>
              <w:rPr>
                <w:sz w:val="18"/>
                <w:szCs w:val="18"/>
              </w:rPr>
            </w:pPr>
            <w:r>
              <w:rPr>
                <w:sz w:val="18"/>
                <w:szCs w:val="18"/>
              </w:rPr>
              <w:t>闭卷考试</w:t>
            </w:r>
          </w:p>
        </w:tc>
        <w:tc>
          <w:tcPr>
            <w:tcW w:w="616" w:type="dxa"/>
            <w:vAlign w:val="center"/>
          </w:tcPr>
          <w:p>
            <w:pPr>
              <w:snapToGrid w:val="0"/>
              <w:spacing w:line="300" w:lineRule="auto"/>
              <w:rPr>
                <w:sz w:val="18"/>
                <w:szCs w:val="18"/>
              </w:rPr>
            </w:pPr>
            <w:r>
              <w:rPr>
                <w:sz w:val="18"/>
                <w:szCs w:val="18"/>
              </w:rPr>
              <w:t>1</w:t>
            </w:r>
          </w:p>
        </w:tc>
        <w:tc>
          <w:tcPr>
            <w:tcW w:w="4037"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第1-12章，第16章。</w:t>
            </w:r>
          </w:p>
          <w:p>
            <w:pPr>
              <w:snapToGrid w:val="0"/>
              <w:spacing w:line="300" w:lineRule="auto"/>
              <w:rPr>
                <w:sz w:val="18"/>
                <w:szCs w:val="18"/>
              </w:rPr>
            </w:pPr>
            <w:r>
              <w:rPr>
                <w:sz w:val="18"/>
                <w:szCs w:val="18"/>
              </w:rPr>
              <w:t>(3)建议考试题型包括：选择题、填空题、判断题、分析题、综合计算题、证明题等其中某几种题型。</w:t>
            </w:r>
          </w:p>
        </w:tc>
        <w:tc>
          <w:tcPr>
            <w:tcW w:w="1052" w:type="dxa"/>
            <w:vAlign w:val="center"/>
          </w:tcPr>
          <w:p>
            <w:pPr>
              <w:snapToGrid w:val="0"/>
              <w:spacing w:line="300" w:lineRule="auto"/>
              <w:rPr>
                <w:sz w:val="18"/>
                <w:szCs w:val="18"/>
              </w:rPr>
            </w:pPr>
            <w:r>
              <w:rPr>
                <w:sz w:val="18"/>
                <w:szCs w:val="18"/>
              </w:rPr>
              <w:t>2</w:t>
            </w:r>
            <w:r>
              <w:rPr>
                <w:rFonts w:hint="eastAsia"/>
                <w:sz w:val="18"/>
                <w:szCs w:val="18"/>
              </w:rPr>
              <w:t>，</w:t>
            </w:r>
            <w:r>
              <w:rPr>
                <w:sz w:val="18"/>
                <w:szCs w:val="18"/>
              </w:rPr>
              <w:t>3</w:t>
            </w:r>
          </w:p>
        </w:tc>
        <w:tc>
          <w:tcPr>
            <w:tcW w:w="1052" w:type="dxa"/>
            <w:vAlign w:val="center"/>
          </w:tcPr>
          <w:p>
            <w:pPr>
              <w:snapToGrid w:val="0"/>
              <w:spacing w:line="300" w:lineRule="auto"/>
              <w:rPr>
                <w:sz w:val="18"/>
                <w:szCs w:val="18"/>
              </w:rPr>
            </w:pPr>
            <w:r>
              <w:rPr>
                <w:sz w:val="18"/>
                <w:szCs w:val="18"/>
              </w:rPr>
              <w:t>1.2</w:t>
            </w:r>
            <w:r>
              <w:rPr>
                <w:rFonts w:hint="eastAsia"/>
                <w:sz w:val="18"/>
                <w:szCs w:val="18"/>
              </w:rPr>
              <w:t>，3.1</w:t>
            </w:r>
          </w:p>
        </w:tc>
      </w:tr>
    </w:tbl>
    <w:p>
      <w:pPr>
        <w:snapToGrid w:val="0"/>
        <w:spacing w:before="156" w:before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t>．</w:t>
      </w:r>
      <w:r>
        <w:rPr>
          <w:rFonts w:hint="eastAsia"/>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rFonts w:hint="eastAsia"/>
          <w:position w:val="-16"/>
        </w:rPr>
        <w:object>
          <v:shape id="_x0000_i1068" o:spt="75" type="#_x0000_t75" style="height:33pt;width:370.5pt;" o:ole="t" filled="f" o:preferrelative="t" stroked="f" coordsize="21600,21600">
            <v:path/>
            <v:fill on="f" focussize="0,0"/>
            <v:stroke on="f" joinstyle="miter"/>
            <v:imagedata r:id="rId57" o:title=""/>
            <o:lock v:ext="edit" aspectratio="t"/>
            <w10:wrap type="none"/>
            <w10:anchorlock/>
          </v:shape>
          <o:OLEObject Type="Embed" ProgID="Equation.DSMT4" ShapeID="_x0000_i1068" DrawAspect="Content" ObjectID="_1468075767" r:id="rId77">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t xml:space="preserve"> </w:t>
      </w:r>
      <w:r>
        <w:rPr>
          <w:rFonts w:hint="eastAsia"/>
          <w:position w:val="-10"/>
        </w:rPr>
        <w:object>
          <v:shape id="_x0000_i1069" o:spt="75" type="#_x0000_t75" style="height:24pt;width:245.25pt;" o:ole="t" filled="f" o:preferrelative="t" stroked="f" coordsize="21600,21600">
            <v:path/>
            <v:fill on="f" focussize="0,0"/>
            <v:stroke on="f" joinstyle="miter"/>
            <v:imagedata r:id="rId59" o:title=""/>
            <o:lock v:ext="edit" aspectratio="t"/>
            <w10:wrap type="none"/>
            <w10:anchorlock/>
          </v:shape>
          <o:OLEObject Type="Embed" ProgID="Equation.DSMT4" ShapeID="_x0000_i1069" DrawAspect="Content" ObjectID="_1468075768" r:id="rId78">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5"/>
        <w:gridCol w:w="1304"/>
        <w:gridCol w:w="1545"/>
        <w:gridCol w:w="1531"/>
        <w:gridCol w:w="1533"/>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235" w:type="dxa"/>
            <w:vAlign w:val="center"/>
          </w:tcPr>
          <w:p>
            <w:pPr>
              <w:snapToGrid w:val="0"/>
              <w:spacing w:line="300" w:lineRule="auto"/>
              <w:jc w:val="center"/>
              <w:rPr>
                <w:b/>
                <w:bCs/>
                <w:sz w:val="18"/>
                <w:szCs w:val="18"/>
              </w:rPr>
            </w:pPr>
            <w:r>
              <w:rPr>
                <w:b/>
                <w:bCs/>
                <w:sz w:val="18"/>
                <w:szCs w:val="18"/>
              </w:rPr>
              <w:t>课程目标</w:t>
            </w:r>
          </w:p>
        </w:tc>
        <w:tc>
          <w:tcPr>
            <w:tcW w:w="1304" w:type="dxa"/>
            <w:vAlign w:val="center"/>
          </w:tcPr>
          <w:p>
            <w:pPr>
              <w:snapToGrid w:val="0"/>
              <w:spacing w:line="300" w:lineRule="auto"/>
              <w:jc w:val="center"/>
              <w:rPr>
                <w:sz w:val="18"/>
                <w:szCs w:val="18"/>
              </w:rPr>
            </w:pPr>
            <w:r>
              <w:rPr>
                <w:sz w:val="18"/>
                <w:szCs w:val="18"/>
              </w:rPr>
              <w:t>1</w:t>
            </w:r>
          </w:p>
        </w:tc>
        <w:tc>
          <w:tcPr>
            <w:tcW w:w="1545" w:type="dxa"/>
            <w:vAlign w:val="center"/>
          </w:tcPr>
          <w:p>
            <w:pPr>
              <w:snapToGrid w:val="0"/>
              <w:spacing w:line="300" w:lineRule="auto"/>
              <w:jc w:val="center"/>
              <w:rPr>
                <w:sz w:val="18"/>
                <w:szCs w:val="18"/>
              </w:rPr>
            </w:pPr>
            <w:r>
              <w:rPr>
                <w:sz w:val="18"/>
                <w:szCs w:val="18"/>
              </w:rPr>
              <w:t>2</w:t>
            </w:r>
          </w:p>
        </w:tc>
        <w:tc>
          <w:tcPr>
            <w:tcW w:w="1531" w:type="dxa"/>
            <w:vAlign w:val="center"/>
          </w:tcPr>
          <w:p>
            <w:pPr>
              <w:snapToGrid w:val="0"/>
              <w:spacing w:line="300" w:lineRule="auto"/>
              <w:jc w:val="center"/>
              <w:rPr>
                <w:sz w:val="18"/>
                <w:szCs w:val="18"/>
              </w:rPr>
            </w:pPr>
            <w:r>
              <w:rPr>
                <w:sz w:val="18"/>
                <w:szCs w:val="18"/>
              </w:rPr>
              <w:t>3</w:t>
            </w:r>
          </w:p>
        </w:tc>
        <w:tc>
          <w:tcPr>
            <w:tcW w:w="1533" w:type="dxa"/>
            <w:vAlign w:val="center"/>
          </w:tcPr>
          <w:p>
            <w:pPr>
              <w:snapToGrid w:val="0"/>
              <w:spacing w:line="300" w:lineRule="auto"/>
              <w:jc w:val="center"/>
              <w:rPr>
                <w:sz w:val="18"/>
                <w:szCs w:val="18"/>
              </w:rPr>
            </w:pPr>
            <w:r>
              <w:rPr>
                <w:sz w:val="18"/>
                <w:szCs w:val="18"/>
              </w:rPr>
              <w:t>4</w:t>
            </w:r>
          </w:p>
        </w:tc>
        <w:tc>
          <w:tcPr>
            <w:tcW w:w="1533" w:type="dxa"/>
            <w:vAlign w:val="center"/>
          </w:tcPr>
          <w:p>
            <w:pPr>
              <w:snapToGrid w:val="0"/>
              <w:spacing w:line="30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235" w:type="dxa"/>
            <w:vAlign w:val="center"/>
          </w:tcPr>
          <w:p>
            <w:pPr>
              <w:snapToGrid w:val="0"/>
              <w:spacing w:line="300" w:lineRule="auto"/>
              <w:jc w:val="center"/>
              <w:rPr>
                <w:b/>
                <w:bCs/>
                <w:sz w:val="18"/>
                <w:szCs w:val="18"/>
              </w:rPr>
            </w:pPr>
            <w:r>
              <w:rPr>
                <w:b/>
                <w:bCs/>
                <w:sz w:val="18"/>
                <w:szCs w:val="18"/>
              </w:rPr>
              <w:t>权重系数</w:t>
            </w:r>
          </w:p>
        </w:tc>
        <w:tc>
          <w:tcPr>
            <w:tcW w:w="1304" w:type="dxa"/>
            <w:vAlign w:val="center"/>
          </w:tcPr>
          <w:p>
            <w:pPr>
              <w:snapToGrid w:val="0"/>
              <w:spacing w:line="300" w:lineRule="auto"/>
              <w:jc w:val="center"/>
              <w:rPr>
                <w:sz w:val="18"/>
                <w:szCs w:val="18"/>
              </w:rPr>
            </w:pPr>
            <w:r>
              <w:rPr>
                <w:sz w:val="18"/>
                <w:szCs w:val="18"/>
              </w:rPr>
              <w:t>0.3</w:t>
            </w:r>
          </w:p>
        </w:tc>
        <w:tc>
          <w:tcPr>
            <w:tcW w:w="1545" w:type="dxa"/>
            <w:vAlign w:val="center"/>
          </w:tcPr>
          <w:p>
            <w:pPr>
              <w:snapToGrid w:val="0"/>
              <w:spacing w:line="300" w:lineRule="auto"/>
              <w:jc w:val="center"/>
              <w:rPr>
                <w:sz w:val="18"/>
                <w:szCs w:val="18"/>
              </w:rPr>
            </w:pPr>
            <w:r>
              <w:rPr>
                <w:sz w:val="18"/>
                <w:szCs w:val="18"/>
              </w:rPr>
              <w:t>0.3</w:t>
            </w:r>
          </w:p>
        </w:tc>
        <w:tc>
          <w:tcPr>
            <w:tcW w:w="1531" w:type="dxa"/>
            <w:vAlign w:val="center"/>
          </w:tcPr>
          <w:p>
            <w:pPr>
              <w:snapToGrid w:val="0"/>
              <w:spacing w:line="300" w:lineRule="auto"/>
              <w:jc w:val="center"/>
              <w:rPr>
                <w:sz w:val="18"/>
                <w:szCs w:val="18"/>
              </w:rPr>
            </w:pPr>
            <w:r>
              <w:rPr>
                <w:sz w:val="18"/>
                <w:szCs w:val="18"/>
              </w:rPr>
              <w:t>0.1</w:t>
            </w:r>
          </w:p>
        </w:tc>
        <w:tc>
          <w:tcPr>
            <w:tcW w:w="1533" w:type="dxa"/>
            <w:vAlign w:val="center"/>
          </w:tcPr>
          <w:p>
            <w:pPr>
              <w:snapToGrid w:val="0"/>
              <w:spacing w:line="300" w:lineRule="auto"/>
              <w:jc w:val="center"/>
              <w:rPr>
                <w:sz w:val="18"/>
                <w:szCs w:val="18"/>
              </w:rPr>
            </w:pPr>
            <w:r>
              <w:rPr>
                <w:sz w:val="18"/>
                <w:szCs w:val="18"/>
              </w:rPr>
              <w:t>0.1</w:t>
            </w:r>
          </w:p>
        </w:tc>
        <w:tc>
          <w:tcPr>
            <w:tcW w:w="1533" w:type="dxa"/>
            <w:vAlign w:val="center"/>
          </w:tcPr>
          <w:p>
            <w:pPr>
              <w:snapToGrid w:val="0"/>
              <w:spacing w:line="300" w:lineRule="auto"/>
              <w:jc w:val="center"/>
              <w:rPr>
                <w:sz w:val="18"/>
                <w:szCs w:val="18"/>
              </w:rPr>
            </w:pPr>
            <w:r>
              <w:rPr>
                <w:sz w:val="18"/>
                <w:szCs w:val="18"/>
              </w:rPr>
              <w:t>0.2</w:t>
            </w:r>
          </w:p>
        </w:tc>
      </w:tr>
    </w:tbl>
    <w:p>
      <w:pPr>
        <w:snapToGrid w:val="0"/>
        <w:spacing w:line="300" w:lineRule="auto"/>
        <w:ind w:firstLine="420" w:firstLineChars="200"/>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rFonts w:hint="eastAsia"/>
          <w:position w:val="-10"/>
        </w:rPr>
        <w:object>
          <v:shape id="_x0000_i1070" o:spt="75" type="#_x0000_t75" style="height:24.75pt;width:285pt;" o:ole="t" filled="f" o:preferrelative="t" stroked="f" coordsize="21600,21600">
            <v:path/>
            <v:fill on="f" focussize="0,0"/>
            <v:stroke on="f" joinstyle="miter"/>
            <v:imagedata r:id="rId61" o:title=""/>
            <o:lock v:ext="edit" aspectratio="t"/>
            <w10:wrap type="none"/>
            <w10:anchorlock/>
          </v:shape>
          <o:OLEObject Type="Embed" ProgID="Equation.DSMT4" ShapeID="_x0000_i1070" DrawAspect="Content" ObjectID="_1468075769" r:id="rId79">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line="300" w:lineRule="auto"/>
        <w:rPr>
          <w:rFonts w:ascii="Times New Roman" w:hAnsi="Times New Roman"/>
          <w:b/>
          <w:sz w:val="24"/>
        </w:rPr>
      </w:pPr>
      <w:r>
        <w:rPr>
          <w:rFonts w:ascii="Times New Roman" w:hAnsi="Times New Roman"/>
          <w:b/>
          <w:sz w:val="24"/>
        </w:rPr>
        <w:t>七、教材及参考资料</w:t>
      </w:r>
    </w:p>
    <w:p>
      <w:pPr>
        <w:snapToGrid w:val="0"/>
        <w:spacing w:line="300" w:lineRule="auto"/>
        <w:ind w:firstLine="420" w:firstLineChars="200"/>
        <w:rPr>
          <w:rFonts w:ascii="Times New Roman" w:hAnsi="Times New Roman"/>
        </w:rPr>
      </w:pPr>
      <w:r>
        <w:rPr>
          <w:rFonts w:ascii="Times New Roman" w:hAnsi="Times New Roman"/>
        </w:rPr>
        <w:t>1．教材</w:t>
      </w:r>
    </w:p>
    <w:p>
      <w:pPr>
        <w:snapToGrid w:val="0"/>
        <w:spacing w:line="300" w:lineRule="auto"/>
        <w:ind w:firstLine="420" w:firstLineChars="200"/>
        <w:rPr>
          <w:rFonts w:ascii="Times New Roman" w:hAnsi="Times New Roman"/>
          <w:szCs w:val="21"/>
        </w:rPr>
      </w:pPr>
      <w:r>
        <w:rPr>
          <w:rFonts w:ascii="Times New Roman" w:hAnsi="Times New Roman"/>
          <w:szCs w:val="21"/>
        </w:rPr>
        <w:t xml:space="preserve">[1] 邱关源. 电路（第5版）[M]. </w:t>
      </w:r>
      <w:r>
        <w:rPr>
          <w:rFonts w:ascii="Times New Roman" w:hAnsi="Times New Roman"/>
        </w:rPr>
        <w:t>北京：</w:t>
      </w:r>
      <w:r>
        <w:rPr>
          <w:rFonts w:ascii="Times New Roman" w:hAnsi="Times New Roman"/>
          <w:szCs w:val="21"/>
        </w:rPr>
        <w:t>高等教育出版社，2006年5月。</w:t>
      </w:r>
    </w:p>
    <w:p>
      <w:pPr>
        <w:snapToGrid w:val="0"/>
        <w:spacing w:line="300" w:lineRule="auto"/>
        <w:ind w:firstLine="420" w:firstLineChars="200"/>
        <w:rPr>
          <w:rFonts w:ascii="Times New Roman" w:hAnsi="Times New Roman"/>
        </w:rPr>
      </w:pPr>
      <w:r>
        <w:rPr>
          <w:rFonts w:ascii="Times New Roman" w:hAnsi="Times New Roman"/>
        </w:rPr>
        <w:t>2．参考资料</w:t>
      </w:r>
    </w:p>
    <w:p>
      <w:pPr>
        <w:snapToGrid w:val="0"/>
        <w:spacing w:line="300" w:lineRule="auto"/>
        <w:ind w:left="840" w:leftChars="200" w:hanging="420" w:hangingChars="200"/>
        <w:rPr>
          <w:rFonts w:ascii="Times New Roman" w:hAnsi="Times New Roman"/>
        </w:rPr>
      </w:pPr>
      <w:r>
        <w:rPr>
          <w:rFonts w:ascii="Times New Roman" w:hAnsi="Times New Roman"/>
        </w:rPr>
        <w:t>[1] 李瀚荪. 电路分析基础（上、下册，第四版）[M]. 北京：高等教育出版社，2006年5月。</w:t>
      </w:r>
    </w:p>
    <w:p>
      <w:pPr>
        <w:snapToGrid w:val="0"/>
        <w:spacing w:line="300" w:lineRule="auto"/>
        <w:ind w:firstLine="420" w:firstLineChars="200"/>
        <w:rPr>
          <w:rFonts w:ascii="Times New Roman" w:hAnsi="Times New Roman"/>
          <w:szCs w:val="21"/>
        </w:rPr>
      </w:pPr>
      <w:r>
        <w:rPr>
          <w:rFonts w:ascii="Times New Roman" w:hAnsi="Times New Roman"/>
          <w:szCs w:val="21"/>
        </w:rPr>
        <w:t>[2] 刘崇新, 罗先觉编. 电路学习指导与习题分析</w:t>
      </w:r>
      <w:r>
        <w:rPr>
          <w:rFonts w:ascii="Times New Roman" w:hAnsi="Times New Roman"/>
        </w:rPr>
        <w:t xml:space="preserve">[M]. </w:t>
      </w:r>
      <w:r>
        <w:rPr>
          <w:rFonts w:ascii="Times New Roman" w:hAnsi="Times New Roman"/>
          <w:szCs w:val="21"/>
        </w:rPr>
        <w:t>高等教育出版社，2006年12月。</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kern w:val="0"/>
                <w:sz w:val="20"/>
                <w:szCs w:val="21"/>
              </w:rPr>
            </w:pPr>
            <w:r>
              <w:rPr>
                <w:rFonts w:ascii="Times New Roman" w:hAnsi="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kern w:val="0"/>
                <w:sz w:val="20"/>
                <w:szCs w:val="21"/>
              </w:rPr>
            </w:pPr>
            <w:r>
              <w:rPr>
                <w:rFonts w:ascii="Times New Roman" w:hAnsi="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6" w:hRule="atLeast"/>
        </w:trPr>
        <w:tc>
          <w:tcPr>
            <w:tcW w:w="8217" w:type="dxa"/>
          </w:tcPr>
          <w:p>
            <w:pPr>
              <w:snapToGrid w:val="0"/>
              <w:spacing w:line="300" w:lineRule="auto"/>
              <w:ind w:right="200"/>
              <w:jc w:val="right"/>
              <w:rPr>
                <w:rFonts w:ascii="Times New Roman" w:hAnsi="Times New Roman"/>
                <w:kern w:val="0"/>
                <w:sz w:val="20"/>
                <w:szCs w:val="21"/>
              </w:rPr>
            </w:pPr>
            <w:r>
              <w:rPr>
                <w:rFonts w:ascii="Times New Roman" w:hAnsi="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kern w:val="0"/>
                <w:sz w:val="20"/>
                <w:szCs w:val="21"/>
              </w:rPr>
            </w:pPr>
          </w:p>
        </w:tc>
      </w:tr>
      <w:bookmarkEnd w:id="64"/>
      <w:bookmarkEnd w:id="65"/>
      <w:bookmarkEnd w:id="66"/>
      <w:bookmarkEnd w:id="67"/>
      <w:bookmarkEnd w:id="68"/>
      <w:bookmarkEnd w:id="69"/>
    </w:tbl>
    <w:p>
      <w:pPr>
        <w:snapToGrid w:val="0"/>
        <w:spacing w:line="300" w:lineRule="auto"/>
        <w:ind w:firstLine="420" w:firstLineChars="200"/>
        <w:rPr>
          <w:szCs w:val="21"/>
        </w:rPr>
      </w:pPr>
      <w:bookmarkStart w:id="70" w:name="_Toc62651726"/>
      <w:bookmarkStart w:id="71" w:name="_Toc47719753"/>
      <w:bookmarkStart w:id="72" w:name="_Toc46489655"/>
      <w:bookmarkStart w:id="73" w:name="_Toc38126109"/>
      <w:bookmarkStart w:id="74" w:name="_Toc47718782"/>
      <w:bookmarkStart w:id="75" w:name="_Toc47774709"/>
    </w:p>
    <w:p>
      <w:pPr>
        <w:snapToGrid w:val="0"/>
        <w:spacing w:line="300" w:lineRule="auto"/>
        <w:ind w:firstLine="420" w:firstLineChars="200"/>
        <w:rPr>
          <w:szCs w:val="21"/>
        </w:rPr>
      </w:pPr>
      <w:r>
        <w:rPr>
          <w:szCs w:val="21"/>
        </w:rPr>
        <w:br w:type="page"/>
      </w:r>
    </w:p>
    <w:p>
      <w:pPr>
        <w:keepNext/>
        <w:keepLines/>
        <w:spacing w:before="260" w:after="260" w:line="413" w:lineRule="auto"/>
        <w:jc w:val="center"/>
        <w:outlineLvl w:val="2"/>
        <w:rPr>
          <w:rFonts w:ascii="Times New Roman" w:hAnsi="Times New Roman" w:eastAsia="宋体" w:cs="Times New Roman"/>
          <w:b/>
          <w:sz w:val="32"/>
        </w:rPr>
      </w:pPr>
      <w:bookmarkStart w:id="76" w:name="_Toc17408"/>
      <w:r>
        <w:rPr>
          <w:rFonts w:ascii="Times New Roman" w:hAnsi="Times New Roman" w:eastAsia="宋体" w:cs="Times New Roman"/>
          <w:b/>
          <w:sz w:val="32"/>
        </w:rPr>
        <w:t>16132108《信号与系统》课程教学大纲</w:t>
      </w:r>
      <w:bookmarkEnd w:id="70"/>
      <w:bookmarkEnd w:id="76"/>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16132108</w:t>
            </w:r>
          </w:p>
        </w:tc>
        <w:tc>
          <w:tcPr>
            <w:tcW w:w="1198"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信号与系统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专业基础类</w:t>
            </w:r>
          </w:p>
        </w:tc>
        <w:tc>
          <w:tcPr>
            <w:tcW w:w="1198"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szCs w:val="21"/>
              </w:rPr>
              <w:t>Signal and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 xml:space="preserve">3 </w:t>
            </w:r>
            <w:r>
              <w:rPr>
                <w:rFonts w:ascii="Times New Roman" w:hAnsi="Times New Roman" w:eastAsia="宋体" w:cs="Times New Roman"/>
                <w:kern w:val="0"/>
                <w:szCs w:val="21"/>
              </w:rPr>
              <w:t>: 48（8）</w:t>
            </w:r>
          </w:p>
        </w:tc>
        <w:tc>
          <w:tcPr>
            <w:tcW w:w="1198"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任课教师</w:t>
            </w:r>
          </w:p>
        </w:tc>
        <w:tc>
          <w:tcPr>
            <w:tcW w:w="2695"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郭磊、李灿苹、边莉、屈科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198"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郭磊</w:t>
            </w:r>
          </w:p>
        </w:tc>
        <w:tc>
          <w:tcPr>
            <w:tcW w:w="1198"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李灿苹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高等数学、工程数学、电路分析、</w:t>
            </w:r>
            <w:r>
              <w:rPr>
                <w:rFonts w:ascii="Times New Roman" w:hAnsi="Times New Roman" w:eastAsia="宋体" w:cs="Times New Roman"/>
                <w:szCs w:val="21"/>
              </w:rPr>
              <w:t>Matlab语言与应用等</w:t>
            </w:r>
          </w:p>
        </w:tc>
        <w:tc>
          <w:tcPr>
            <w:tcW w:w="1198" w:type="dxa"/>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信号与系统》是信息类专业最为重要的专业基础课之一。该课程主要培养学生如何在不同频域下对系统进行理论分析并能进行实际应用。课程重点研究在输入-输出描述法下对连续时间信号与系统以及离散时间信号与系统的时间域和变换域分析。信号与系统是理论性很强的学科，学生需要较好的数学功底。在完成本课程的学习后，学生能够掌握系统分析的基本理论以及时域和频域分析的基本方法，能够进行线性系统的分析工作，并为后续的《数字信号处理》、《信息论与编码》、《通信原理》和《数字图像处理》等课程学习奠定理论基础。</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 xml:space="preserve">信号与系统侧重讲授非特定系统频域分析的原理及方法。通过本课程的学习，学生能够熟练构造系统分析的时频域模型，掌握模拟系统和数字系统性质分析的基本思想，运用三大时频域变换（傅里叶变换、拉普拉斯变换以及Z变换）的基本原理和性质完成对非特定系统的分析及系统性质的解读。讲授过程植入国内信号处理领域杰出学者的求学经历以及突出贡献，国内信号处理领域企业的发展现状。旨在培育学生创新精神，使学生的学习能力提升的同时，精神层面也得到升华。本课程的具体教学目标如下： </w:t>
      </w:r>
    </w:p>
    <w:p>
      <w:pPr>
        <w:snapToGrid w:val="0"/>
        <w:spacing w:line="300" w:lineRule="auto"/>
        <w:ind w:firstLine="420" w:firstLineChars="200"/>
        <w:rPr>
          <w:szCs w:val="21"/>
        </w:rPr>
      </w:pPr>
      <w:r>
        <w:rPr>
          <w:szCs w:val="21"/>
        </w:rPr>
        <w:t>1．信号与系统课程基本知识点的学习</w:t>
      </w:r>
      <w:r>
        <w:rPr>
          <w:rFonts w:hint="eastAsia"/>
          <w:szCs w:val="21"/>
        </w:rPr>
        <w:t>。</w:t>
      </w:r>
      <w:r>
        <w:rPr>
          <w:szCs w:val="21"/>
        </w:rPr>
        <w:t>掌握信号和系统的基本概念、常用信号的性质以及三大时频域变换（傅里叶变换、拉普拉斯变换以及Z变换）的基本原理和性质，并能用于电子信息工程领域的工程问题的建模和求解。</w:t>
      </w:r>
      <w:r>
        <w:rPr>
          <w:rFonts w:hint="eastAsia" w:ascii="宋体" w:hAnsi="宋体" w:cs="宋体"/>
          <w:szCs w:val="21"/>
        </w:rPr>
        <w:t>①</w:t>
      </w:r>
      <w:r>
        <w:rPr>
          <w:szCs w:val="21"/>
        </w:rPr>
        <w:t>学生能够界定出信号与系统学科的发展阶段并指出它的应用领域；描述信号以及系统的定义；识别确定性信号与随机信号、周期信号与非周期信号、连续时间信号与离散时间信号以及因果信号与非因果信号；说明信号分析与处理的基本方法以及应用于工程上的实例；列举线性系统的重要特性。</w:t>
      </w:r>
      <w:r>
        <w:rPr>
          <w:rFonts w:hint="eastAsia" w:ascii="宋体" w:hAnsi="宋体" w:cs="宋体"/>
          <w:szCs w:val="21"/>
        </w:rPr>
        <w:t>②</w:t>
      </w:r>
      <w:r>
        <w:rPr>
          <w:szCs w:val="21"/>
        </w:rPr>
        <w:t>学生能够区别线性系统与非线性系统、时变系统与时不变系统、因果系统与非因果系统；复述常用连续和离散时间信号的数学描述、简单处理以及奇异信号的物理意义和定义方式；连续或离散时间系统与微分或差分方程间互相转换；标出线性时不变系统时域响应的分类；解释周期信号的分解与合成。</w:t>
      </w:r>
      <w:r>
        <w:rPr>
          <w:rFonts w:hint="eastAsia" w:ascii="宋体" w:hAnsi="宋体" w:cs="宋体"/>
          <w:szCs w:val="21"/>
        </w:rPr>
        <w:t>③</w:t>
      </w:r>
      <w:r>
        <w:rPr>
          <w:szCs w:val="21"/>
        </w:rPr>
        <w:t>学生能够使用奇异信号的相关性质以及卷积或卷积和的定义和性质求解连续或离散系统的零状态响应，包括</w:t>
      </w:r>
      <w:r>
        <w:rPr>
          <w:kern w:val="0"/>
          <w:szCs w:val="21"/>
        </w:rPr>
        <w:t>阶跃响应与冲激响应等</w:t>
      </w:r>
      <w:r>
        <w:rPr>
          <w:szCs w:val="21"/>
        </w:rPr>
        <w:t>；计算一般信号的傅里叶、拉普拉斯以及Z的正反变换并熟练运用它们的主要性质。</w:t>
      </w:r>
      <w:r>
        <w:rPr>
          <w:rFonts w:hint="eastAsia" w:ascii="宋体" w:hAnsi="宋体" w:cs="宋体"/>
          <w:szCs w:val="21"/>
        </w:rPr>
        <w:t>④</w:t>
      </w:r>
      <w:r>
        <w:rPr>
          <w:szCs w:val="21"/>
        </w:rPr>
        <w:t>学生能够借助信号的傅里叶、拉普拉斯以及Z的正反变换和它们的主要性质，完成对系统的频域、复频域或Z域分析；辨识出无失真传输系统；通过复频域或Z域下系统函数的概念及其求解方法，推演出系统的零极点，判断出系统的稳定性。[1.3]</w:t>
      </w:r>
    </w:p>
    <w:p>
      <w:pPr>
        <w:snapToGrid w:val="0"/>
        <w:spacing w:line="300" w:lineRule="auto"/>
        <w:ind w:firstLine="420" w:firstLineChars="200"/>
        <w:rPr>
          <w:szCs w:val="21"/>
        </w:rPr>
      </w:pPr>
      <w:r>
        <w:rPr>
          <w:szCs w:val="21"/>
        </w:rPr>
        <w:t>2．信号与系统课程基本知识点的实际应用</w:t>
      </w:r>
      <w:r>
        <w:rPr>
          <w:rFonts w:hint="eastAsia"/>
          <w:szCs w:val="21"/>
        </w:rPr>
        <w:t>。</w:t>
      </w:r>
      <w:r>
        <w:rPr>
          <w:szCs w:val="21"/>
        </w:rPr>
        <w:t>掌握信号与系统在简单通信系统中的应用以及无失真传输系统的设计等电子信息工程的复杂工程问题进行识别、表达和分析，并获得有效结论的能力。</w:t>
      </w:r>
      <w:r>
        <w:rPr>
          <w:rFonts w:hint="eastAsia" w:ascii="宋体" w:hAnsi="宋体" w:cs="宋体"/>
          <w:szCs w:val="21"/>
        </w:rPr>
        <w:t>①</w:t>
      </w:r>
      <w:r>
        <w:rPr>
          <w:szCs w:val="21"/>
        </w:rPr>
        <w:t>学生能够利用信号的调制与解调以及正弦调幅与频分复用的原理，借助理想滤波器设计或分析简单的系统；</w:t>
      </w:r>
      <w:r>
        <w:rPr>
          <w:rFonts w:hint="eastAsia" w:ascii="宋体" w:hAnsi="宋体" w:cs="宋体"/>
          <w:szCs w:val="21"/>
        </w:rPr>
        <w:t>②</w:t>
      </w:r>
      <w:r>
        <w:rPr>
          <w:szCs w:val="21"/>
        </w:rPr>
        <w:t>通过取样定理以及理想滤波器理论来处理信号的无失真传输问题；</w:t>
      </w:r>
      <w:r>
        <w:rPr>
          <w:rFonts w:hint="eastAsia" w:ascii="宋体" w:hAnsi="宋体" w:cs="宋体"/>
          <w:szCs w:val="21"/>
        </w:rPr>
        <w:t>③</w:t>
      </w:r>
      <w:r>
        <w:rPr>
          <w:szCs w:val="21"/>
        </w:rPr>
        <w:t xml:space="preserve">构建出信号的频谱以及系统的模拟框图。[1.3] </w:t>
      </w:r>
    </w:p>
    <w:p>
      <w:pPr>
        <w:snapToGrid w:val="0"/>
        <w:spacing w:line="300" w:lineRule="auto"/>
        <w:ind w:firstLine="420" w:firstLineChars="200"/>
        <w:rPr>
          <w:b/>
          <w:bCs/>
          <w:szCs w:val="21"/>
        </w:rPr>
      </w:pPr>
      <w:r>
        <w:rPr>
          <w:szCs w:val="21"/>
        </w:rPr>
        <w:t>3．</w:t>
      </w:r>
      <w:bookmarkStart w:id="77" w:name="_Hlk102124888"/>
      <w:r>
        <w:rPr>
          <w:szCs w:val="21"/>
        </w:rPr>
        <w:t>系统分析的实验方案在MATLAB平台的编程、调试与测试的实现</w:t>
      </w:r>
      <w:bookmarkEnd w:id="77"/>
      <w:bookmarkStart w:id="78" w:name="_Hlk102124904"/>
      <w:r>
        <w:rPr>
          <w:rFonts w:hint="eastAsia"/>
          <w:szCs w:val="21"/>
        </w:rPr>
        <w:t>。</w:t>
      </w:r>
      <w:r>
        <w:rPr>
          <w:szCs w:val="21"/>
        </w:rPr>
        <w:t>培养学生利用信号与系统的理论知识同时结合软件工具，对系统分析进行实验方案的设计，并使用软件工具对复杂工程问题进行软件模拟或仿真的能力。</w:t>
      </w:r>
      <w:bookmarkEnd w:id="78"/>
      <w:r>
        <w:rPr>
          <w:rFonts w:hint="eastAsia" w:ascii="宋体" w:hAnsi="宋体" w:cs="宋体"/>
          <w:szCs w:val="21"/>
        </w:rPr>
        <w:t>①</w:t>
      </w:r>
      <w:r>
        <w:rPr>
          <w:szCs w:val="21"/>
        </w:rPr>
        <w:t>学生能够利用MATLAB平台对连续时间信号进行表示；</w:t>
      </w:r>
      <w:r>
        <w:rPr>
          <w:rFonts w:hint="eastAsia" w:ascii="宋体" w:hAnsi="宋体" w:cs="宋体"/>
          <w:szCs w:val="21"/>
        </w:rPr>
        <w:t>②</w:t>
      </w:r>
      <w:r>
        <w:rPr>
          <w:szCs w:val="21"/>
        </w:rPr>
        <w:t>学生能够利用MATLAB平台对连续时间LTI系统进行时域分析；</w:t>
      </w:r>
      <w:r>
        <w:rPr>
          <w:rFonts w:hint="eastAsia" w:ascii="宋体" w:hAnsi="宋体" w:cs="宋体"/>
          <w:szCs w:val="21"/>
        </w:rPr>
        <w:t>③</w:t>
      </w:r>
      <w:r>
        <w:rPr>
          <w:szCs w:val="21"/>
        </w:rPr>
        <w:t>学生能够利用MATLAB平台对连续时间LTI系统进行频域分析；</w:t>
      </w:r>
      <w:r>
        <w:rPr>
          <w:rFonts w:hint="eastAsia" w:ascii="宋体" w:hAnsi="宋体" w:cs="宋体"/>
          <w:szCs w:val="21"/>
        </w:rPr>
        <w:t>④</w:t>
      </w:r>
      <w:r>
        <w:rPr>
          <w:szCs w:val="21"/>
        </w:rPr>
        <w:t>学生能够利用MATLAB平台对连续时间LTI系统的零极点进行分析</w:t>
      </w:r>
      <w:r>
        <w:rPr>
          <w:rFonts w:hint="eastAsia"/>
          <w:szCs w:val="21"/>
        </w:rPr>
        <w:t>以及</w:t>
      </w:r>
      <w:r>
        <w:rPr>
          <w:szCs w:val="21"/>
        </w:rPr>
        <w:t>利用MATLAB平台对典型离散信号进行表示。[1.3]</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6523"/>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43" w:type="pct"/>
            <w:vAlign w:val="center"/>
          </w:tcPr>
          <w:p>
            <w:pPr>
              <w:snapToGrid w:val="0"/>
              <w:spacing w:line="300" w:lineRule="auto"/>
              <w:rPr>
                <w:b/>
                <w:bCs/>
                <w:sz w:val="18"/>
                <w:szCs w:val="18"/>
              </w:rPr>
            </w:pPr>
            <w:r>
              <w:rPr>
                <w:b/>
                <w:bCs/>
                <w:sz w:val="18"/>
                <w:szCs w:val="18"/>
              </w:rPr>
              <w:t>毕业要求</w:t>
            </w:r>
          </w:p>
        </w:tc>
        <w:tc>
          <w:tcPr>
            <w:tcW w:w="3827" w:type="pct"/>
            <w:vAlign w:val="center"/>
          </w:tcPr>
          <w:p>
            <w:pPr>
              <w:snapToGrid w:val="0"/>
              <w:spacing w:line="300" w:lineRule="auto"/>
              <w:jc w:val="center"/>
              <w:rPr>
                <w:b/>
                <w:bCs/>
                <w:sz w:val="18"/>
                <w:szCs w:val="18"/>
              </w:rPr>
            </w:pPr>
            <w:r>
              <w:rPr>
                <w:b/>
                <w:bCs/>
                <w:sz w:val="18"/>
                <w:szCs w:val="18"/>
              </w:rPr>
              <w:t>毕业要求指标点</w:t>
            </w:r>
          </w:p>
        </w:tc>
        <w:tc>
          <w:tcPr>
            <w:tcW w:w="430" w:type="pct"/>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Align w:val="center"/>
          </w:tcPr>
          <w:p>
            <w:pPr>
              <w:snapToGrid w:val="0"/>
              <w:spacing w:line="300" w:lineRule="auto"/>
              <w:rPr>
                <w:sz w:val="18"/>
                <w:szCs w:val="18"/>
              </w:rPr>
            </w:pPr>
            <w:r>
              <w:rPr>
                <w:sz w:val="18"/>
                <w:szCs w:val="18"/>
              </w:rPr>
              <w:t>1．工程知识</w:t>
            </w:r>
          </w:p>
        </w:tc>
        <w:tc>
          <w:tcPr>
            <w:tcW w:w="3827" w:type="pct"/>
          </w:tcPr>
          <w:p>
            <w:pPr>
              <w:snapToGrid w:val="0"/>
              <w:spacing w:line="300" w:lineRule="auto"/>
              <w:rPr>
                <w:sz w:val="18"/>
                <w:szCs w:val="18"/>
              </w:rPr>
            </w:pPr>
            <w:r>
              <w:rPr>
                <w:sz w:val="18"/>
                <w:szCs w:val="18"/>
              </w:rPr>
              <w:t>1.3综合运用数学、自然科学、工程基础和专业知识，用于电子信息工程领域复杂工程问题</w:t>
            </w:r>
            <w:r>
              <w:rPr>
                <w:rFonts w:hint="eastAsia"/>
                <w:sz w:val="18"/>
                <w:szCs w:val="18"/>
              </w:rPr>
              <w:t>（含海洋电子信息领域）</w:t>
            </w:r>
            <w:r>
              <w:rPr>
                <w:sz w:val="18"/>
                <w:szCs w:val="18"/>
              </w:rPr>
              <w:t>的建模和求解及解决方案的评价。</w:t>
            </w:r>
          </w:p>
        </w:tc>
        <w:tc>
          <w:tcPr>
            <w:tcW w:w="430" w:type="pct"/>
            <w:vAlign w:val="center"/>
          </w:tcPr>
          <w:p>
            <w:pPr>
              <w:snapToGrid w:val="0"/>
              <w:spacing w:line="300" w:lineRule="auto"/>
              <w:jc w:val="center"/>
              <w:rPr>
                <w:sz w:val="18"/>
                <w:szCs w:val="18"/>
              </w:rPr>
            </w:pPr>
            <w:r>
              <w:rPr>
                <w:sz w:val="18"/>
                <w:szCs w:val="18"/>
              </w:rPr>
              <w:t>1</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rPr>
      </w:pPr>
      <w:r>
        <w:rPr>
          <w:b/>
          <w:bCs/>
          <w:sz w:val="18"/>
          <w:szCs w:val="18"/>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2"/>
        <w:gridCol w:w="1021"/>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5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bookmarkStart w:id="79" w:name="_Hlk74597671"/>
            <w:r>
              <w:rPr>
                <w:b/>
                <w:sz w:val="18"/>
                <w:szCs w:val="18"/>
              </w:rPr>
              <w:t>课程教学目标</w:t>
            </w:r>
          </w:p>
        </w:tc>
        <w:tc>
          <w:tcPr>
            <w:tcW w:w="59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64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ind w:firstLine="360" w:firstLineChars="200"/>
              <w:rPr>
                <w:sz w:val="18"/>
                <w:szCs w:val="18"/>
              </w:rPr>
            </w:pPr>
            <w:r>
              <w:rPr>
                <w:sz w:val="18"/>
                <w:szCs w:val="18"/>
              </w:rPr>
              <w:t>1．信号与系统课程基本知识点的学习：掌握信号和系统的基本概念、常用信号的性质以及三大时频域变换（傅里叶变换、拉普拉斯变换以及Z变换）的基本原理和性质，并能用于电子信息工程领域的工程问题的建模和求解。</w:t>
            </w:r>
            <w:r>
              <w:rPr>
                <w:rFonts w:hint="eastAsia" w:ascii="宋体" w:hAnsi="宋体" w:cs="宋体"/>
                <w:sz w:val="18"/>
                <w:szCs w:val="18"/>
              </w:rPr>
              <w:t>①</w:t>
            </w:r>
            <w:r>
              <w:rPr>
                <w:sz w:val="18"/>
                <w:szCs w:val="18"/>
              </w:rPr>
              <w:t>学生能够界定出信号与系统学科的发展阶段并指出它的应用领域；描述信号以及系统的定义；识别确定性信号与随机信号、周期信号与非周期信号、连续时间信号与离散时间信号以及因果信号与非因果信号；说明信号分析与处理的基本方法以及应用于工程上的实例；列举线性系统的重要特性。</w:t>
            </w:r>
            <w:r>
              <w:rPr>
                <w:rFonts w:hint="eastAsia" w:ascii="宋体" w:hAnsi="宋体" w:cs="宋体"/>
                <w:sz w:val="18"/>
                <w:szCs w:val="18"/>
              </w:rPr>
              <w:t>②</w:t>
            </w:r>
            <w:r>
              <w:rPr>
                <w:sz w:val="18"/>
                <w:szCs w:val="18"/>
              </w:rPr>
              <w:t>学生能够区别线性系统与非线性系统、时变系统与时不变系统、因果系统与非因果系统；复述常用连续和离散时间信号的数学描述、简单处理以及奇异信号的物理意义和定义方式；连续或离散时间系统与微分或差分方程间互相转换；标出线性时不变系统时域响应的分类；解释周期信号的分解与合成。</w:t>
            </w:r>
            <w:r>
              <w:rPr>
                <w:rFonts w:hint="eastAsia" w:ascii="宋体" w:hAnsi="宋体" w:cs="宋体"/>
                <w:sz w:val="18"/>
                <w:szCs w:val="18"/>
              </w:rPr>
              <w:t>③</w:t>
            </w:r>
            <w:r>
              <w:rPr>
                <w:sz w:val="18"/>
                <w:szCs w:val="18"/>
              </w:rPr>
              <w:t>学生能够使用奇异信号的相关性质以及卷积或卷积和的定义和性质求解连续或离散系统的零状态响应，包括</w:t>
            </w:r>
            <w:r>
              <w:rPr>
                <w:kern w:val="0"/>
                <w:sz w:val="18"/>
                <w:szCs w:val="18"/>
              </w:rPr>
              <w:t>阶跃响应与冲激响应等</w:t>
            </w:r>
            <w:r>
              <w:rPr>
                <w:sz w:val="18"/>
                <w:szCs w:val="18"/>
              </w:rPr>
              <w:t>；计算一般信号的傅里叶、拉普拉斯以及Z的正反变换并熟练运用它们的主要性质。</w:t>
            </w:r>
            <w:r>
              <w:rPr>
                <w:rFonts w:hint="eastAsia" w:ascii="宋体" w:hAnsi="宋体" w:cs="宋体"/>
                <w:sz w:val="18"/>
                <w:szCs w:val="18"/>
              </w:rPr>
              <w:t>④</w:t>
            </w:r>
            <w:r>
              <w:rPr>
                <w:sz w:val="18"/>
                <w:szCs w:val="18"/>
              </w:rPr>
              <w:t>学生能够借助信号的傅里叶、拉普拉斯以及Z的正反变换和它们的主要性质，完成对系统的频域、复频域或Z域分析；辨识出无失真传输系统；通过复频域或Z域下系统函数的概念及其求解方法，推演出系统的零极点，判断出系统的稳定性。</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通过课堂讲授、学生学习（指定阅读）等达成。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sz w:val="18"/>
                <w:szCs w:val="18"/>
              </w:rPr>
            </w:pPr>
            <w:r>
              <w:rPr>
                <w:sz w:val="18"/>
                <w:szCs w:val="18"/>
              </w:rPr>
              <w:t>课堂表现、习题作业与</w:t>
            </w:r>
            <w:r>
              <w:rPr>
                <w:rFonts w:hint="eastAsia"/>
                <w:sz w:val="18"/>
                <w:szCs w:val="18"/>
              </w:rPr>
              <w:t>考试</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ind w:firstLine="360" w:firstLineChars="200"/>
              <w:rPr>
                <w:sz w:val="18"/>
                <w:szCs w:val="18"/>
              </w:rPr>
            </w:pPr>
            <w:r>
              <w:rPr>
                <w:sz w:val="18"/>
                <w:szCs w:val="18"/>
              </w:rPr>
              <w:t>2．信号与系统课程基本知识点的实际应用：掌握信号与系统在简单通信系统中的应用以及无失真传输系统的设计等电子信息工程的复杂工程问题进行识别、表达和分析，并获得有效结论的能力。</w:t>
            </w:r>
            <w:r>
              <w:rPr>
                <w:rFonts w:hint="eastAsia" w:ascii="宋体" w:hAnsi="宋体" w:cs="宋体"/>
                <w:sz w:val="18"/>
                <w:szCs w:val="18"/>
              </w:rPr>
              <w:t>①</w:t>
            </w:r>
            <w:r>
              <w:rPr>
                <w:sz w:val="18"/>
                <w:szCs w:val="18"/>
              </w:rPr>
              <w:t>学生能够利用信号的调制与解调以及正弦调幅与频分复用的原理，借助理想滤波器设计或分析简单的通信系统；</w:t>
            </w:r>
            <w:r>
              <w:rPr>
                <w:rFonts w:hint="eastAsia" w:ascii="宋体" w:hAnsi="宋体" w:cs="宋体"/>
                <w:sz w:val="18"/>
                <w:szCs w:val="18"/>
              </w:rPr>
              <w:t>②</w:t>
            </w:r>
            <w:r>
              <w:rPr>
                <w:sz w:val="18"/>
                <w:szCs w:val="18"/>
              </w:rPr>
              <w:t>通过取样定理以及理想滤波器理论来处理信号的无失真传输问题；</w:t>
            </w:r>
            <w:r>
              <w:rPr>
                <w:rFonts w:hint="eastAsia" w:ascii="宋体" w:hAnsi="宋体" w:cs="宋体"/>
                <w:sz w:val="18"/>
                <w:szCs w:val="18"/>
              </w:rPr>
              <w:t>③</w:t>
            </w:r>
            <w:r>
              <w:rPr>
                <w:sz w:val="18"/>
                <w:szCs w:val="18"/>
              </w:rPr>
              <w:t>构建出信号的频谱以及系统的模拟框图。</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通过前导课程回顾与课堂讲授并结合学生学习（网络学习）等达成。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sz w:val="18"/>
                <w:szCs w:val="18"/>
              </w:rPr>
            </w:pPr>
            <w:r>
              <w:rPr>
                <w:sz w:val="18"/>
                <w:szCs w:val="18"/>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5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ind w:firstLine="360" w:firstLineChars="200"/>
              <w:rPr>
                <w:b/>
                <w:bCs/>
                <w:sz w:val="18"/>
                <w:szCs w:val="18"/>
              </w:rPr>
            </w:pPr>
            <w:r>
              <w:rPr>
                <w:sz w:val="18"/>
                <w:szCs w:val="18"/>
              </w:rPr>
              <w:t>3．系统分析的实验方案在MATLAB平台的编程、调试与测试的实现：</w:t>
            </w:r>
          </w:p>
          <w:p>
            <w:pPr>
              <w:widowControl/>
              <w:snapToGrid w:val="0"/>
              <w:spacing w:line="300" w:lineRule="auto"/>
              <w:rPr>
                <w:sz w:val="18"/>
                <w:szCs w:val="18"/>
              </w:rPr>
            </w:pPr>
            <w:r>
              <w:rPr>
                <w:sz w:val="18"/>
                <w:szCs w:val="18"/>
              </w:rPr>
              <w:t>培养学生利用信号与系统的理论知识同时结合软件工具，对系统分析进行实验方案的设计，并使用软件工具对复杂工程问题进行软件模拟或仿真的能力。</w:t>
            </w:r>
            <w:r>
              <w:rPr>
                <w:rFonts w:hint="eastAsia" w:ascii="宋体" w:hAnsi="宋体" w:cs="宋体"/>
                <w:sz w:val="18"/>
                <w:szCs w:val="18"/>
              </w:rPr>
              <w:t>①</w:t>
            </w:r>
            <w:r>
              <w:rPr>
                <w:sz w:val="18"/>
                <w:szCs w:val="18"/>
              </w:rPr>
              <w:t>学生能够利用MATLAB平台对连续时间信号进行表示；</w:t>
            </w:r>
            <w:r>
              <w:rPr>
                <w:rFonts w:hint="eastAsia" w:ascii="宋体" w:hAnsi="宋体" w:cs="宋体"/>
                <w:sz w:val="18"/>
                <w:szCs w:val="18"/>
              </w:rPr>
              <w:t>②</w:t>
            </w:r>
            <w:r>
              <w:rPr>
                <w:sz w:val="18"/>
                <w:szCs w:val="18"/>
              </w:rPr>
              <w:t>能够利用MATLAB平台对连续时间LTI系统进行时域和频域分析以及频率特性的分析；</w:t>
            </w:r>
            <w:r>
              <w:rPr>
                <w:rFonts w:hint="eastAsia" w:ascii="宋体" w:hAnsi="宋体" w:cs="宋体"/>
                <w:sz w:val="18"/>
                <w:szCs w:val="18"/>
              </w:rPr>
              <w:t>③</w:t>
            </w:r>
            <w:r>
              <w:rPr>
                <w:sz w:val="18"/>
                <w:szCs w:val="18"/>
              </w:rPr>
              <w:t>能够对连续时间LTI系统的零极点进行分析；</w:t>
            </w:r>
            <w:r>
              <w:rPr>
                <w:rFonts w:hint="eastAsia" w:ascii="宋体" w:hAnsi="宋体" w:cs="宋体"/>
                <w:sz w:val="18"/>
                <w:szCs w:val="18"/>
              </w:rPr>
              <w:t>④</w:t>
            </w:r>
            <w:r>
              <w:rPr>
                <w:sz w:val="18"/>
                <w:szCs w:val="18"/>
              </w:rPr>
              <w:t>能够对典型离散信号运用MATLAB平台进行表示。</w:t>
            </w:r>
          </w:p>
        </w:tc>
        <w:tc>
          <w:tcPr>
            <w:tcW w:w="5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通过课堂讲授、学生学习（实验与仿真）、作业等达成。</w:t>
            </w:r>
          </w:p>
        </w:tc>
        <w:tc>
          <w:tcPr>
            <w:tcW w:w="64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sz w:val="18"/>
                <w:szCs w:val="18"/>
              </w:rPr>
            </w:pPr>
            <w:r>
              <w:rPr>
                <w:sz w:val="18"/>
                <w:szCs w:val="18"/>
              </w:rPr>
              <w:t>实验报告</w:t>
            </w:r>
            <w:r>
              <w:rPr>
                <w:rFonts w:hint="eastAsia"/>
                <w:sz w:val="18"/>
                <w:szCs w:val="18"/>
              </w:rPr>
              <w:t>。</w:t>
            </w:r>
          </w:p>
        </w:tc>
      </w:tr>
      <w:bookmarkEnd w:id="79"/>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rPr>
          <w:szCs w:val="21"/>
        </w:rPr>
      </w:pPr>
      <w:r>
        <w:rPr>
          <w:szCs w:val="21"/>
        </w:rPr>
        <w:t>1、理论教学环节为主：本课程是一门偏重于理论教学的课程，目前理论教学和实践教学的比例确定为5:1，强调学生的扎实理论功底的养成和分析并解决实际问题的能力的培养。课堂授课以讲授式教学为主：</w:t>
      </w:r>
      <w:r>
        <w:t>基于电子信息系统信息处理与传输工作流程构建课程教学体系，根据课程特点采用启发式教学、任务驱动教学、微课教学法进行教学方法创新，核心能力知识点采用“原理描述-设计要点分析-原理应用展示”相互呼应的教学模式；辅以网络多媒体教学、课程独立网站（含教学视频）同步学习，每周平均讲授4学时，与专业相关实践教学环节和场景配合呼应。</w:t>
      </w:r>
    </w:p>
    <w:p>
      <w:pPr>
        <w:snapToGrid w:val="0"/>
        <w:spacing w:line="300" w:lineRule="auto"/>
        <w:ind w:firstLine="420"/>
        <w:rPr>
          <w:szCs w:val="21"/>
        </w:rPr>
      </w:pPr>
      <w:r>
        <w:rPr>
          <w:szCs w:val="21"/>
        </w:rPr>
        <w:t>2、实践教学环节为辅：</w:t>
      </w:r>
      <w:r>
        <w:rPr>
          <w:rFonts w:hint="eastAsia" w:ascii="宋体" w:hAnsi="宋体" w:cs="宋体"/>
          <w:szCs w:val="21"/>
        </w:rPr>
        <w:t>①</w:t>
      </w:r>
      <w:r>
        <w:rPr>
          <w:szCs w:val="21"/>
        </w:rPr>
        <w:t>注重学生理论体系在实践中的体现——设置从简单到复杂并且符合课程脉络的实验例程，充分梳理课程结构，调动学生的学习积极性；</w:t>
      </w:r>
      <w:r>
        <w:rPr>
          <w:rFonts w:hint="eastAsia" w:ascii="宋体" w:hAnsi="宋体" w:cs="宋体"/>
          <w:szCs w:val="21"/>
        </w:rPr>
        <w:t>②</w:t>
      </w:r>
      <w:r>
        <w:rPr>
          <w:szCs w:val="21"/>
        </w:rPr>
        <w:t>提供实践能力培养的平台——为学生提供实验例程之外且需要进行独立思考的内容，以增强学生的实践学习能力。</w:t>
      </w:r>
    </w:p>
    <w:p>
      <w:pPr>
        <w:snapToGrid w:val="0"/>
        <w:spacing w:line="300" w:lineRule="auto"/>
        <w:ind w:firstLine="420"/>
        <w:rPr>
          <w:szCs w:val="21"/>
        </w:rPr>
      </w:pPr>
      <w:r>
        <w:rPr>
          <w:szCs w:val="21"/>
        </w:rPr>
        <w:t>3、</w:t>
      </w:r>
      <w:r>
        <w:t>注重学生兴趣的培养，充分调动学生的学习积极性。实践教学以学生自主完成实验任务和教师辅导相结合，通过对学生每个实验完成情况的询问和了解，一方面在实验课堂辅导的基础上增加了与学生进行实践经验交流的环节，另一方面督促学生切实理解和掌握实践环节的每个知识点，确保实践教学成效。</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6"/>
        <w:gridCol w:w="1891"/>
        <w:gridCol w:w="4726"/>
        <w:gridCol w:w="40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320"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130" w:type="pct"/>
            <w:vAlign w:val="center"/>
          </w:tcPr>
          <w:p>
            <w:pPr>
              <w:snapToGrid w:val="0"/>
              <w:spacing w:line="300" w:lineRule="auto"/>
              <w:ind w:firstLine="361" w:firstLineChars="200"/>
              <w:rPr>
                <w:b/>
                <w:bCs/>
                <w:sz w:val="18"/>
                <w:szCs w:val="18"/>
              </w:rPr>
            </w:pPr>
            <w:r>
              <w:rPr>
                <w:b/>
                <w:bCs/>
                <w:sz w:val="18"/>
                <w:szCs w:val="18"/>
              </w:rPr>
              <w:t>教学内容</w:t>
            </w:r>
          </w:p>
        </w:tc>
        <w:tc>
          <w:tcPr>
            <w:tcW w:w="2824" w:type="pct"/>
            <w:vAlign w:val="center"/>
          </w:tcPr>
          <w:p>
            <w:pPr>
              <w:snapToGrid w:val="0"/>
              <w:spacing w:line="300" w:lineRule="auto"/>
              <w:jc w:val="center"/>
              <w:rPr>
                <w:b/>
                <w:bCs/>
                <w:sz w:val="18"/>
                <w:szCs w:val="18"/>
              </w:rPr>
            </w:pPr>
            <w:r>
              <w:rPr>
                <w:b/>
                <w:bCs/>
                <w:sz w:val="18"/>
                <w:szCs w:val="18"/>
              </w:rPr>
              <w:t>教与学的要求</w:t>
            </w:r>
          </w:p>
        </w:tc>
        <w:tc>
          <w:tcPr>
            <w:tcW w:w="242" w:type="pct"/>
            <w:vAlign w:val="center"/>
          </w:tcPr>
          <w:p>
            <w:pPr>
              <w:snapToGrid w:val="0"/>
              <w:spacing w:line="300" w:lineRule="auto"/>
              <w:jc w:val="center"/>
              <w:rPr>
                <w:b/>
                <w:bCs/>
                <w:sz w:val="18"/>
                <w:szCs w:val="18"/>
              </w:rPr>
            </w:pPr>
            <w:r>
              <w:rPr>
                <w:b/>
                <w:bCs/>
                <w:sz w:val="18"/>
                <w:szCs w:val="18"/>
              </w:rPr>
              <w:t>学时</w:t>
            </w:r>
          </w:p>
        </w:tc>
        <w:tc>
          <w:tcPr>
            <w:tcW w:w="484"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1</w:t>
            </w:r>
          </w:p>
        </w:tc>
        <w:tc>
          <w:tcPr>
            <w:tcW w:w="1130" w:type="pct"/>
            <w:vAlign w:val="center"/>
          </w:tcPr>
          <w:p>
            <w:pPr>
              <w:snapToGrid w:val="0"/>
              <w:spacing w:line="300" w:lineRule="auto"/>
              <w:rPr>
                <w:sz w:val="18"/>
                <w:szCs w:val="18"/>
              </w:rPr>
            </w:pPr>
            <w:r>
              <w:rPr>
                <w:sz w:val="18"/>
                <w:szCs w:val="18"/>
              </w:rPr>
              <w:t>1绪论</w:t>
            </w:r>
          </w:p>
          <w:p>
            <w:pPr>
              <w:snapToGrid w:val="0"/>
              <w:spacing w:line="300" w:lineRule="auto"/>
              <w:rPr>
                <w:sz w:val="18"/>
                <w:szCs w:val="18"/>
              </w:rPr>
            </w:pPr>
            <w:r>
              <w:rPr>
                <w:sz w:val="18"/>
                <w:szCs w:val="18"/>
              </w:rPr>
              <w:t>1.1信号与系统的概念</w:t>
            </w:r>
          </w:p>
          <w:p>
            <w:pPr>
              <w:snapToGrid w:val="0"/>
              <w:spacing w:line="300" w:lineRule="auto"/>
              <w:rPr>
                <w:sz w:val="18"/>
                <w:szCs w:val="18"/>
              </w:rPr>
            </w:pPr>
            <w:r>
              <w:rPr>
                <w:sz w:val="18"/>
                <w:szCs w:val="18"/>
              </w:rPr>
              <w:t>1.2信号与系统的应用领域。介绍我国著名的信号处理与智能控制专家——李衍达院士，讲述其师从奥本海姆的求学经历。</w:t>
            </w:r>
          </w:p>
          <w:p>
            <w:pPr>
              <w:snapToGrid w:val="0"/>
              <w:spacing w:line="300" w:lineRule="auto"/>
              <w:rPr>
                <w:sz w:val="18"/>
                <w:szCs w:val="18"/>
              </w:rPr>
            </w:pPr>
            <w:r>
              <w:rPr>
                <w:sz w:val="18"/>
                <w:szCs w:val="18"/>
              </w:rPr>
              <w:t>1.3常用基本信号及信号的简单处理</w:t>
            </w:r>
          </w:p>
          <w:p>
            <w:pPr>
              <w:snapToGrid w:val="0"/>
              <w:spacing w:line="300" w:lineRule="auto"/>
              <w:rPr>
                <w:sz w:val="18"/>
                <w:szCs w:val="18"/>
              </w:rPr>
            </w:pPr>
            <w:r>
              <w:rPr>
                <w:sz w:val="18"/>
                <w:szCs w:val="18"/>
              </w:rPr>
              <w:t>1.4单位冲激函数</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（1）学生能够界定出信号与系统学科的发展阶段并指出它的应用领域；</w:t>
            </w:r>
          </w:p>
          <w:p>
            <w:pPr>
              <w:snapToGrid w:val="0"/>
              <w:spacing w:line="300" w:lineRule="auto"/>
              <w:rPr>
                <w:sz w:val="18"/>
                <w:szCs w:val="18"/>
              </w:rPr>
            </w:pPr>
            <w:r>
              <w:rPr>
                <w:sz w:val="18"/>
                <w:szCs w:val="18"/>
              </w:rPr>
              <w:t>（2）学生能够描述信号以及系统的定义；</w:t>
            </w:r>
          </w:p>
          <w:p>
            <w:pPr>
              <w:snapToGrid w:val="0"/>
              <w:spacing w:line="300" w:lineRule="auto"/>
              <w:rPr>
                <w:sz w:val="18"/>
                <w:szCs w:val="18"/>
              </w:rPr>
            </w:pPr>
            <w:r>
              <w:rPr>
                <w:sz w:val="18"/>
                <w:szCs w:val="18"/>
              </w:rPr>
              <w:t>（3）学生能够说明信号分析与处理的基本方法以及应用于工程上的实例；</w:t>
            </w:r>
          </w:p>
          <w:p>
            <w:pPr>
              <w:snapToGrid w:val="0"/>
              <w:spacing w:line="300" w:lineRule="auto"/>
              <w:rPr>
                <w:sz w:val="18"/>
                <w:szCs w:val="18"/>
              </w:rPr>
            </w:pPr>
            <w:r>
              <w:rPr>
                <w:sz w:val="18"/>
                <w:szCs w:val="18"/>
              </w:rPr>
              <w:t xml:space="preserve">（4）学生能够识别确定性信号与随机信号、周期信号与非周期信号、连续时间信号与离散时间信号以及因果信号与非因果信号； </w:t>
            </w:r>
          </w:p>
          <w:p>
            <w:pPr>
              <w:snapToGrid w:val="0"/>
              <w:spacing w:line="300" w:lineRule="auto"/>
              <w:rPr>
                <w:sz w:val="18"/>
                <w:szCs w:val="18"/>
              </w:rPr>
            </w:pPr>
            <w:r>
              <w:rPr>
                <w:sz w:val="18"/>
                <w:szCs w:val="18"/>
              </w:rPr>
              <w:t xml:space="preserve">（5）学生能够区别线性系统与非线性系统、时变系统与时不变系统、因果系统与非因果系统； </w:t>
            </w:r>
          </w:p>
          <w:p>
            <w:pPr>
              <w:snapToGrid w:val="0"/>
              <w:spacing w:line="300" w:lineRule="auto"/>
              <w:rPr>
                <w:sz w:val="18"/>
                <w:szCs w:val="18"/>
              </w:rPr>
            </w:pPr>
            <w:r>
              <w:rPr>
                <w:sz w:val="18"/>
                <w:szCs w:val="18"/>
              </w:rPr>
              <w:t xml:space="preserve">（6）学生能够列举线性系统的重要特性； </w:t>
            </w:r>
          </w:p>
          <w:p>
            <w:pPr>
              <w:snapToGrid w:val="0"/>
              <w:spacing w:line="300" w:lineRule="auto"/>
              <w:rPr>
                <w:sz w:val="18"/>
                <w:szCs w:val="18"/>
              </w:rPr>
            </w:pPr>
            <w:r>
              <w:rPr>
                <w:sz w:val="18"/>
                <w:szCs w:val="18"/>
              </w:rPr>
              <w:t xml:space="preserve">（7）学生能够复述常用连续时间信号的数学描述、简单处理以及奇异信号的物理意义和定义方式； </w:t>
            </w:r>
          </w:p>
          <w:p>
            <w:pPr>
              <w:snapToGrid w:val="0"/>
              <w:spacing w:line="300" w:lineRule="auto"/>
              <w:rPr>
                <w:sz w:val="18"/>
                <w:szCs w:val="18"/>
              </w:rPr>
            </w:pPr>
            <w:r>
              <w:rPr>
                <w:sz w:val="18"/>
                <w:szCs w:val="18"/>
              </w:rPr>
              <w:t>（8）学生能够熟练使用奇异信号的相关性质。</w:t>
            </w:r>
          </w:p>
          <w:p>
            <w:pPr>
              <w:snapToGrid w:val="0"/>
              <w:spacing w:line="300" w:lineRule="auto"/>
              <w:rPr>
                <w:sz w:val="18"/>
                <w:szCs w:val="18"/>
              </w:rPr>
            </w:pPr>
            <w:r>
              <w:rPr>
                <w:sz w:val="18"/>
                <w:szCs w:val="18"/>
              </w:rPr>
              <w:t>2.作业内容：信号的简单处理、奇异信号的相关性质。</w:t>
            </w:r>
          </w:p>
          <w:p>
            <w:pPr>
              <w:snapToGrid w:val="0"/>
              <w:spacing w:line="300" w:lineRule="auto"/>
              <w:rPr>
                <w:sz w:val="18"/>
                <w:szCs w:val="18"/>
              </w:rPr>
            </w:pPr>
            <w:r>
              <w:rPr>
                <w:sz w:val="18"/>
                <w:szCs w:val="18"/>
              </w:rPr>
              <w:t>3.教学方法 ：讲授式、讨论式与启发式相结合。</w:t>
            </w:r>
          </w:p>
        </w:tc>
        <w:tc>
          <w:tcPr>
            <w:tcW w:w="242" w:type="pct"/>
            <w:vAlign w:val="center"/>
          </w:tcPr>
          <w:p>
            <w:pPr>
              <w:snapToGrid w:val="0"/>
              <w:spacing w:line="300" w:lineRule="auto"/>
              <w:jc w:val="center"/>
              <w:rPr>
                <w:sz w:val="18"/>
                <w:szCs w:val="18"/>
              </w:rPr>
            </w:pPr>
            <w:r>
              <w:rPr>
                <w:sz w:val="18"/>
                <w:szCs w:val="18"/>
              </w:rPr>
              <w:t>6</w:t>
            </w:r>
          </w:p>
        </w:tc>
        <w:tc>
          <w:tcPr>
            <w:tcW w:w="484" w:type="pct"/>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2</w:t>
            </w:r>
          </w:p>
        </w:tc>
        <w:tc>
          <w:tcPr>
            <w:tcW w:w="1130" w:type="pct"/>
            <w:vAlign w:val="center"/>
          </w:tcPr>
          <w:p>
            <w:pPr>
              <w:snapToGrid w:val="0"/>
              <w:spacing w:line="300" w:lineRule="auto"/>
              <w:rPr>
                <w:sz w:val="18"/>
                <w:szCs w:val="18"/>
              </w:rPr>
            </w:pPr>
            <w:r>
              <w:rPr>
                <w:sz w:val="18"/>
                <w:szCs w:val="18"/>
              </w:rPr>
              <w:t>2连续系统的时域分析</w:t>
            </w:r>
          </w:p>
          <w:p>
            <w:pPr>
              <w:snapToGrid w:val="0"/>
              <w:spacing w:line="300" w:lineRule="auto"/>
              <w:rPr>
                <w:sz w:val="18"/>
                <w:szCs w:val="18"/>
              </w:rPr>
            </w:pPr>
            <w:r>
              <w:rPr>
                <w:sz w:val="18"/>
                <w:szCs w:val="18"/>
              </w:rPr>
              <w:t>2.1</w:t>
            </w:r>
            <w:r>
              <w:rPr>
                <w:kern w:val="0"/>
                <w:sz w:val="18"/>
                <w:szCs w:val="18"/>
              </w:rPr>
              <w:t>线性时不变系统的描述及其响应</w:t>
            </w:r>
          </w:p>
          <w:p>
            <w:pPr>
              <w:snapToGrid w:val="0"/>
              <w:spacing w:line="300" w:lineRule="auto"/>
              <w:rPr>
                <w:sz w:val="18"/>
                <w:szCs w:val="18"/>
              </w:rPr>
            </w:pPr>
            <w:r>
              <w:rPr>
                <w:sz w:val="18"/>
                <w:szCs w:val="18"/>
              </w:rPr>
              <w:t>2.2</w:t>
            </w:r>
            <w:r>
              <w:rPr>
                <w:kern w:val="0"/>
                <w:sz w:val="18"/>
                <w:szCs w:val="18"/>
              </w:rPr>
              <w:t>阶跃响应与冲激响应</w:t>
            </w:r>
          </w:p>
          <w:p>
            <w:pPr>
              <w:snapToGrid w:val="0"/>
              <w:spacing w:line="300" w:lineRule="auto"/>
              <w:rPr>
                <w:kern w:val="0"/>
                <w:sz w:val="18"/>
                <w:szCs w:val="18"/>
              </w:rPr>
            </w:pPr>
            <w:r>
              <w:rPr>
                <w:sz w:val="18"/>
                <w:szCs w:val="18"/>
              </w:rPr>
              <w:t>2.3</w:t>
            </w:r>
            <w:r>
              <w:rPr>
                <w:kern w:val="0"/>
                <w:sz w:val="18"/>
                <w:szCs w:val="18"/>
              </w:rPr>
              <w:t>卷积及其应用</w:t>
            </w:r>
          </w:p>
          <w:p>
            <w:pPr>
              <w:snapToGrid w:val="0"/>
              <w:spacing w:line="300" w:lineRule="auto"/>
              <w:rPr>
                <w:sz w:val="18"/>
                <w:szCs w:val="18"/>
              </w:rPr>
            </w:pPr>
            <w:r>
              <w:rPr>
                <w:kern w:val="0"/>
                <w:sz w:val="18"/>
                <w:szCs w:val="18"/>
              </w:rPr>
              <w:t>2.4 特征函数及其应用</w:t>
            </w:r>
          </w:p>
          <w:p>
            <w:pPr>
              <w:snapToGrid w:val="0"/>
              <w:spacing w:line="300" w:lineRule="auto"/>
              <w:rPr>
                <w:sz w:val="18"/>
                <w:szCs w:val="18"/>
              </w:rPr>
            </w:pP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（1）学生能够在连续时间系统与微分方程间互相转换； </w:t>
            </w:r>
          </w:p>
          <w:p>
            <w:pPr>
              <w:snapToGrid w:val="0"/>
              <w:spacing w:line="300" w:lineRule="auto"/>
              <w:rPr>
                <w:sz w:val="18"/>
                <w:szCs w:val="18"/>
              </w:rPr>
            </w:pPr>
            <w:r>
              <w:rPr>
                <w:sz w:val="18"/>
                <w:szCs w:val="18"/>
              </w:rPr>
              <w:t>（2）学生能够复述线性时不变系统时域响应的分类；</w:t>
            </w:r>
          </w:p>
          <w:p>
            <w:pPr>
              <w:snapToGrid w:val="0"/>
              <w:spacing w:line="300" w:lineRule="auto"/>
              <w:rPr>
                <w:sz w:val="18"/>
                <w:szCs w:val="18"/>
              </w:rPr>
            </w:pPr>
            <w:r>
              <w:rPr>
                <w:sz w:val="18"/>
                <w:szCs w:val="18"/>
              </w:rPr>
              <w:t xml:space="preserve">（3）学生能够时域下计算系统的阶跃响应与冲激响应； </w:t>
            </w:r>
          </w:p>
          <w:p>
            <w:pPr>
              <w:snapToGrid w:val="0"/>
              <w:spacing w:line="300" w:lineRule="auto"/>
              <w:rPr>
                <w:sz w:val="18"/>
                <w:szCs w:val="18"/>
              </w:rPr>
            </w:pPr>
            <w:r>
              <w:rPr>
                <w:sz w:val="18"/>
                <w:szCs w:val="18"/>
              </w:rPr>
              <w:t xml:space="preserve">（4）学生能够熟练运用卷积的定义及其性质； </w:t>
            </w:r>
          </w:p>
          <w:p>
            <w:pPr>
              <w:snapToGrid w:val="0"/>
              <w:spacing w:line="300" w:lineRule="auto"/>
              <w:rPr>
                <w:sz w:val="18"/>
                <w:szCs w:val="18"/>
              </w:rPr>
            </w:pPr>
            <w:r>
              <w:rPr>
                <w:sz w:val="18"/>
                <w:szCs w:val="18"/>
              </w:rPr>
              <w:t xml:space="preserve">（5）学生能够利用卷积运算求解系统的零状态响应； </w:t>
            </w:r>
          </w:p>
          <w:p>
            <w:pPr>
              <w:snapToGrid w:val="0"/>
              <w:spacing w:line="300" w:lineRule="auto"/>
              <w:rPr>
                <w:sz w:val="18"/>
                <w:szCs w:val="18"/>
              </w:rPr>
            </w:pPr>
            <w:r>
              <w:rPr>
                <w:sz w:val="18"/>
                <w:szCs w:val="18"/>
              </w:rPr>
              <w:t>2.作业内容：阶跃响应与冲激响应的时域求解、系统零状态响应的卷积求解。</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6</w:t>
            </w:r>
          </w:p>
        </w:tc>
        <w:tc>
          <w:tcPr>
            <w:tcW w:w="484" w:type="pct"/>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3</w:t>
            </w:r>
          </w:p>
        </w:tc>
        <w:tc>
          <w:tcPr>
            <w:tcW w:w="1130" w:type="pct"/>
            <w:vAlign w:val="center"/>
          </w:tcPr>
          <w:p>
            <w:pPr>
              <w:rPr>
                <w:sz w:val="18"/>
                <w:szCs w:val="18"/>
              </w:rPr>
            </w:pPr>
            <w:r>
              <w:rPr>
                <w:sz w:val="18"/>
                <w:szCs w:val="18"/>
              </w:rPr>
              <w:t>3信号与系统的频域分析</w:t>
            </w:r>
          </w:p>
          <w:p>
            <w:pPr>
              <w:snapToGrid w:val="0"/>
              <w:spacing w:line="300" w:lineRule="auto"/>
              <w:rPr>
                <w:sz w:val="18"/>
                <w:szCs w:val="18"/>
              </w:rPr>
            </w:pPr>
            <w:r>
              <w:rPr>
                <w:sz w:val="18"/>
                <w:szCs w:val="18"/>
              </w:rPr>
              <w:t>3.1 周期信号的分解与合成</w:t>
            </w:r>
          </w:p>
          <w:p>
            <w:pPr>
              <w:snapToGrid w:val="0"/>
              <w:spacing w:line="300" w:lineRule="auto"/>
              <w:rPr>
                <w:sz w:val="18"/>
                <w:szCs w:val="18"/>
              </w:rPr>
            </w:pPr>
            <w:r>
              <w:rPr>
                <w:sz w:val="18"/>
                <w:szCs w:val="18"/>
              </w:rPr>
              <w:t>3.2 周期信号的频谱</w:t>
            </w:r>
          </w:p>
          <w:p>
            <w:pPr>
              <w:snapToGrid w:val="0"/>
              <w:spacing w:line="300" w:lineRule="auto"/>
              <w:rPr>
                <w:sz w:val="18"/>
                <w:szCs w:val="18"/>
              </w:rPr>
            </w:pPr>
            <w:r>
              <w:rPr>
                <w:sz w:val="18"/>
                <w:szCs w:val="18"/>
              </w:rPr>
              <w:t>3.3 非周期信号的频谱</w:t>
            </w:r>
          </w:p>
          <w:p>
            <w:pPr>
              <w:snapToGrid w:val="0"/>
              <w:spacing w:line="300" w:lineRule="auto"/>
              <w:rPr>
                <w:sz w:val="18"/>
                <w:szCs w:val="18"/>
              </w:rPr>
            </w:pPr>
            <w:r>
              <w:rPr>
                <w:sz w:val="18"/>
                <w:szCs w:val="18"/>
              </w:rPr>
              <w:t>3.4 傅里叶变换的性质与应用</w:t>
            </w:r>
          </w:p>
          <w:p>
            <w:pPr>
              <w:snapToGrid w:val="0"/>
              <w:spacing w:line="300" w:lineRule="auto"/>
              <w:rPr>
                <w:sz w:val="18"/>
                <w:szCs w:val="18"/>
              </w:rPr>
            </w:pPr>
            <w:r>
              <w:rPr>
                <w:sz w:val="18"/>
                <w:szCs w:val="18"/>
              </w:rPr>
              <w:t>3.5 周期信号的傅里叶变换</w:t>
            </w:r>
          </w:p>
          <w:p>
            <w:pPr>
              <w:snapToGrid w:val="0"/>
              <w:spacing w:line="300" w:lineRule="auto"/>
              <w:rPr>
                <w:sz w:val="18"/>
                <w:szCs w:val="18"/>
              </w:rPr>
            </w:pPr>
            <w:r>
              <w:rPr>
                <w:sz w:val="18"/>
                <w:szCs w:val="18"/>
              </w:rPr>
              <w:t>3.6 系统的频域分析</w:t>
            </w:r>
          </w:p>
          <w:p>
            <w:pPr>
              <w:snapToGrid w:val="0"/>
              <w:spacing w:line="300" w:lineRule="auto"/>
              <w:rPr>
                <w:sz w:val="18"/>
                <w:szCs w:val="18"/>
              </w:rPr>
            </w:pPr>
            <w:r>
              <w:rPr>
                <w:sz w:val="18"/>
                <w:szCs w:val="18"/>
              </w:rPr>
              <w:t>3.7 取样定理及其应用（讲述华裔数学家陶哲轩等提出压缩感知理论，突破了采样定理的限制）</w:t>
            </w:r>
          </w:p>
          <w:p>
            <w:pPr>
              <w:snapToGrid w:val="0"/>
              <w:spacing w:line="300" w:lineRule="auto"/>
              <w:rPr>
                <w:sz w:val="18"/>
                <w:szCs w:val="18"/>
              </w:rPr>
            </w:pPr>
            <w:r>
              <w:rPr>
                <w:sz w:val="18"/>
                <w:szCs w:val="18"/>
              </w:rPr>
              <w:t>3.8 频域分析用于通信系统</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（1）学生能够解释周期信号的分解与合成； </w:t>
            </w:r>
          </w:p>
          <w:p>
            <w:pPr>
              <w:snapToGrid w:val="0"/>
              <w:spacing w:line="300" w:lineRule="auto"/>
              <w:rPr>
                <w:sz w:val="18"/>
                <w:szCs w:val="18"/>
              </w:rPr>
            </w:pPr>
            <w:r>
              <w:rPr>
                <w:sz w:val="18"/>
                <w:szCs w:val="18"/>
              </w:rPr>
              <w:t xml:space="preserve">（2）学生能够计算并图示周期信号的离散谱； </w:t>
            </w:r>
          </w:p>
          <w:p>
            <w:pPr>
              <w:snapToGrid w:val="0"/>
              <w:spacing w:line="300" w:lineRule="auto"/>
              <w:rPr>
                <w:sz w:val="18"/>
                <w:szCs w:val="18"/>
              </w:rPr>
            </w:pPr>
            <w:r>
              <w:rPr>
                <w:sz w:val="18"/>
                <w:szCs w:val="18"/>
              </w:rPr>
              <w:t xml:space="preserve">（3）学生能够计算一般信号的傅里叶正反变换并熟练运用傅里叶变换的主要性质以及频域下的系统函数对系统进行频域分析； </w:t>
            </w:r>
          </w:p>
          <w:p>
            <w:pPr>
              <w:snapToGrid w:val="0"/>
              <w:spacing w:line="300" w:lineRule="auto"/>
              <w:rPr>
                <w:sz w:val="18"/>
                <w:szCs w:val="18"/>
              </w:rPr>
            </w:pPr>
            <w:r>
              <w:rPr>
                <w:sz w:val="18"/>
                <w:szCs w:val="18"/>
              </w:rPr>
              <w:t xml:space="preserve">（4）学生能够辨识出无失真传输系统； </w:t>
            </w:r>
          </w:p>
          <w:p>
            <w:pPr>
              <w:snapToGrid w:val="0"/>
              <w:spacing w:line="300" w:lineRule="auto"/>
              <w:rPr>
                <w:sz w:val="18"/>
                <w:szCs w:val="18"/>
              </w:rPr>
            </w:pPr>
            <w:r>
              <w:rPr>
                <w:sz w:val="18"/>
                <w:szCs w:val="18"/>
              </w:rPr>
              <w:t xml:space="preserve">（5）学生能够利用信号的调制与解调以及正弦调幅与频分复用的原理设计，借助理想滤波器设计简单的通信系统； </w:t>
            </w:r>
          </w:p>
          <w:p>
            <w:pPr>
              <w:snapToGrid w:val="0"/>
              <w:spacing w:line="300" w:lineRule="auto"/>
              <w:rPr>
                <w:sz w:val="18"/>
                <w:szCs w:val="18"/>
              </w:rPr>
            </w:pPr>
            <w:r>
              <w:rPr>
                <w:sz w:val="18"/>
                <w:szCs w:val="18"/>
              </w:rPr>
              <w:t>（6）学生能够通过取样定理以及理想滤波器理论上处理信号的无失真传输问题。</w:t>
            </w:r>
          </w:p>
          <w:p>
            <w:pPr>
              <w:snapToGrid w:val="0"/>
              <w:spacing w:line="300" w:lineRule="auto"/>
              <w:rPr>
                <w:sz w:val="18"/>
                <w:szCs w:val="18"/>
              </w:rPr>
            </w:pPr>
            <w:r>
              <w:rPr>
                <w:sz w:val="18"/>
                <w:szCs w:val="18"/>
              </w:rPr>
              <w:t>2.作业内容：周期信号的傅里叶级数的计算、非周期信号的傅里叶变换的计算以及性质的应用、傅里叶变换分析系统性质、信号的调制与解调。</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10</w:t>
            </w:r>
          </w:p>
        </w:tc>
        <w:tc>
          <w:tcPr>
            <w:tcW w:w="484" w:type="pct"/>
            <w:vAlign w:val="center"/>
          </w:tcPr>
          <w:p>
            <w:pPr>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4</w:t>
            </w:r>
          </w:p>
        </w:tc>
        <w:tc>
          <w:tcPr>
            <w:tcW w:w="1130" w:type="pct"/>
            <w:vAlign w:val="center"/>
          </w:tcPr>
          <w:p>
            <w:pPr>
              <w:rPr>
                <w:sz w:val="18"/>
                <w:szCs w:val="18"/>
              </w:rPr>
            </w:pPr>
            <w:r>
              <w:rPr>
                <w:sz w:val="18"/>
                <w:szCs w:val="18"/>
              </w:rPr>
              <w:t>4连续系统的复频域分析</w:t>
            </w:r>
          </w:p>
          <w:p>
            <w:pPr>
              <w:snapToGrid w:val="0"/>
              <w:spacing w:line="300" w:lineRule="auto"/>
              <w:rPr>
                <w:sz w:val="18"/>
                <w:szCs w:val="18"/>
              </w:rPr>
            </w:pPr>
            <w:r>
              <w:rPr>
                <w:sz w:val="18"/>
                <w:szCs w:val="18"/>
              </w:rPr>
              <w:t>4.1 拉普拉斯变换</w:t>
            </w:r>
          </w:p>
          <w:p>
            <w:pPr>
              <w:snapToGrid w:val="0"/>
              <w:spacing w:line="300" w:lineRule="auto"/>
              <w:rPr>
                <w:sz w:val="18"/>
                <w:szCs w:val="18"/>
              </w:rPr>
            </w:pPr>
            <w:r>
              <w:rPr>
                <w:sz w:val="18"/>
                <w:szCs w:val="18"/>
              </w:rPr>
              <w:t>4.2 拉普拉斯变换的主要性质</w:t>
            </w:r>
          </w:p>
          <w:p>
            <w:pPr>
              <w:snapToGrid w:val="0"/>
              <w:spacing w:line="300" w:lineRule="auto"/>
              <w:rPr>
                <w:sz w:val="18"/>
                <w:szCs w:val="18"/>
              </w:rPr>
            </w:pPr>
            <w:r>
              <w:rPr>
                <w:sz w:val="18"/>
                <w:szCs w:val="18"/>
              </w:rPr>
              <w:t>4.3 拉普拉斯反变换</w:t>
            </w:r>
          </w:p>
          <w:p>
            <w:pPr>
              <w:snapToGrid w:val="0"/>
              <w:spacing w:line="300" w:lineRule="auto"/>
              <w:rPr>
                <w:sz w:val="18"/>
                <w:szCs w:val="18"/>
              </w:rPr>
            </w:pPr>
            <w:r>
              <w:rPr>
                <w:sz w:val="18"/>
                <w:szCs w:val="18"/>
              </w:rPr>
              <w:t>4.4 系统的s域分析</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（1）学生能够计算一般信号的拉普拉斯正反变换； </w:t>
            </w:r>
          </w:p>
          <w:p>
            <w:pPr>
              <w:snapToGrid w:val="0"/>
              <w:spacing w:line="300" w:lineRule="auto"/>
              <w:rPr>
                <w:sz w:val="18"/>
                <w:szCs w:val="18"/>
              </w:rPr>
            </w:pPr>
            <w:r>
              <w:rPr>
                <w:sz w:val="18"/>
                <w:szCs w:val="18"/>
              </w:rPr>
              <w:t xml:space="preserve">（2）学生能够熟练使用拉普拉斯变换的主要性质； </w:t>
            </w:r>
          </w:p>
          <w:p>
            <w:pPr>
              <w:snapToGrid w:val="0"/>
              <w:spacing w:line="300" w:lineRule="auto"/>
              <w:rPr>
                <w:sz w:val="18"/>
                <w:szCs w:val="18"/>
              </w:rPr>
            </w:pPr>
            <w:r>
              <w:rPr>
                <w:sz w:val="18"/>
                <w:szCs w:val="18"/>
              </w:rPr>
              <w:t>（3）学生能够对系统进行S域分析。</w:t>
            </w:r>
          </w:p>
          <w:p>
            <w:pPr>
              <w:snapToGrid w:val="0"/>
              <w:spacing w:line="300" w:lineRule="auto"/>
              <w:rPr>
                <w:sz w:val="18"/>
                <w:szCs w:val="18"/>
              </w:rPr>
            </w:pPr>
            <w:r>
              <w:rPr>
                <w:sz w:val="18"/>
                <w:szCs w:val="18"/>
              </w:rPr>
              <w:t>2.作业内容：一般信号的拉普拉斯正反变换、应用拉普拉斯变换的性质对系统进行分析。</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6</w:t>
            </w:r>
          </w:p>
        </w:tc>
        <w:tc>
          <w:tcPr>
            <w:tcW w:w="484" w:type="pct"/>
            <w:vAlign w:val="center"/>
          </w:tcPr>
          <w:p>
            <w:pPr>
              <w:snapToGrid w:val="0"/>
              <w:spacing w:line="300" w:lineRule="auto"/>
              <w:jc w:val="center"/>
              <w:rPr>
                <w:sz w:val="18"/>
                <w:szCs w:val="18"/>
              </w:rPr>
            </w:pPr>
            <w:r>
              <w:rPr>
                <w:sz w:val="18"/>
                <w:szCs w:val="18"/>
              </w:rPr>
              <w:t>1</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5</w:t>
            </w:r>
          </w:p>
        </w:tc>
        <w:tc>
          <w:tcPr>
            <w:tcW w:w="1130" w:type="pct"/>
            <w:vAlign w:val="center"/>
          </w:tcPr>
          <w:p>
            <w:pPr>
              <w:rPr>
                <w:sz w:val="18"/>
                <w:szCs w:val="18"/>
              </w:rPr>
            </w:pPr>
            <w:r>
              <w:rPr>
                <w:sz w:val="18"/>
                <w:szCs w:val="18"/>
              </w:rPr>
              <w:t>5系统函数与零、极点分析</w:t>
            </w:r>
          </w:p>
          <w:p>
            <w:pPr>
              <w:snapToGrid w:val="0"/>
              <w:spacing w:line="300" w:lineRule="auto"/>
              <w:rPr>
                <w:sz w:val="18"/>
                <w:szCs w:val="18"/>
              </w:rPr>
            </w:pPr>
            <w:r>
              <w:rPr>
                <w:sz w:val="18"/>
                <w:szCs w:val="18"/>
              </w:rPr>
              <w:t>5.1 系统函数与系统模拟</w:t>
            </w:r>
          </w:p>
          <w:p>
            <w:pPr>
              <w:snapToGrid w:val="0"/>
              <w:spacing w:line="300" w:lineRule="auto"/>
              <w:rPr>
                <w:sz w:val="18"/>
                <w:szCs w:val="18"/>
              </w:rPr>
            </w:pPr>
            <w:r>
              <w:rPr>
                <w:sz w:val="18"/>
                <w:szCs w:val="18"/>
              </w:rPr>
              <w:t>5.2 系统函数的零、极点</w:t>
            </w:r>
          </w:p>
          <w:p>
            <w:pPr>
              <w:snapToGrid w:val="0"/>
              <w:spacing w:line="300" w:lineRule="auto"/>
              <w:rPr>
                <w:sz w:val="18"/>
                <w:szCs w:val="18"/>
              </w:rPr>
            </w:pPr>
            <w:r>
              <w:rPr>
                <w:sz w:val="18"/>
                <w:szCs w:val="18"/>
              </w:rPr>
              <w:t>5.3 线性系统的稳定性</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（1）学生能够图示出复频域下系统的模拟框图； </w:t>
            </w:r>
          </w:p>
          <w:p>
            <w:pPr>
              <w:snapToGrid w:val="0"/>
              <w:spacing w:line="300" w:lineRule="auto"/>
              <w:rPr>
                <w:sz w:val="18"/>
                <w:szCs w:val="18"/>
              </w:rPr>
            </w:pPr>
            <w:r>
              <w:rPr>
                <w:sz w:val="18"/>
                <w:szCs w:val="18"/>
              </w:rPr>
              <w:t xml:space="preserve">（2）学生能够运用复频域下系统函数的概念及其求解方法计算出系统的零极点； </w:t>
            </w:r>
          </w:p>
          <w:p>
            <w:pPr>
              <w:snapToGrid w:val="0"/>
              <w:spacing w:line="300" w:lineRule="auto"/>
              <w:rPr>
                <w:sz w:val="18"/>
                <w:szCs w:val="18"/>
              </w:rPr>
            </w:pPr>
            <w:r>
              <w:rPr>
                <w:sz w:val="18"/>
                <w:szCs w:val="18"/>
              </w:rPr>
              <w:t>（3）学生能够判断出系统的稳定性。</w:t>
            </w:r>
          </w:p>
          <w:p>
            <w:pPr>
              <w:snapToGrid w:val="0"/>
              <w:spacing w:line="300" w:lineRule="auto"/>
              <w:rPr>
                <w:sz w:val="18"/>
                <w:szCs w:val="18"/>
              </w:rPr>
            </w:pPr>
            <w:r>
              <w:rPr>
                <w:sz w:val="18"/>
                <w:szCs w:val="18"/>
              </w:rPr>
              <w:t>2.作业内容：系统的S域模拟框图、系统零极点的求解以及稳定性的判断。</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4</w:t>
            </w:r>
          </w:p>
        </w:tc>
        <w:tc>
          <w:tcPr>
            <w:tcW w:w="484" w:type="pct"/>
            <w:vAlign w:val="center"/>
          </w:tcPr>
          <w:p>
            <w:pPr>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6</w:t>
            </w:r>
          </w:p>
        </w:tc>
        <w:tc>
          <w:tcPr>
            <w:tcW w:w="1130" w:type="pct"/>
            <w:vAlign w:val="center"/>
          </w:tcPr>
          <w:p>
            <w:pPr>
              <w:rPr>
                <w:sz w:val="18"/>
                <w:szCs w:val="18"/>
              </w:rPr>
            </w:pPr>
            <w:r>
              <w:rPr>
                <w:sz w:val="18"/>
                <w:szCs w:val="18"/>
              </w:rPr>
              <w:t>6离散系统的时域分析</w:t>
            </w:r>
          </w:p>
          <w:p>
            <w:pPr>
              <w:snapToGrid w:val="0"/>
              <w:spacing w:line="300" w:lineRule="auto"/>
              <w:rPr>
                <w:sz w:val="18"/>
                <w:szCs w:val="18"/>
              </w:rPr>
            </w:pPr>
            <w:r>
              <w:rPr>
                <w:sz w:val="18"/>
                <w:szCs w:val="18"/>
              </w:rPr>
              <w:t>6.1 离散时间信号</w:t>
            </w:r>
          </w:p>
          <w:p>
            <w:pPr>
              <w:snapToGrid w:val="0"/>
              <w:spacing w:line="300" w:lineRule="auto"/>
              <w:rPr>
                <w:sz w:val="18"/>
                <w:szCs w:val="18"/>
              </w:rPr>
            </w:pPr>
            <w:r>
              <w:rPr>
                <w:sz w:val="18"/>
                <w:szCs w:val="18"/>
              </w:rPr>
              <w:t>6.2 离散时间系统</w:t>
            </w:r>
          </w:p>
          <w:p>
            <w:pPr>
              <w:snapToGrid w:val="0"/>
              <w:spacing w:line="300" w:lineRule="auto"/>
              <w:rPr>
                <w:sz w:val="18"/>
                <w:szCs w:val="18"/>
              </w:rPr>
            </w:pPr>
            <w:r>
              <w:rPr>
                <w:sz w:val="18"/>
                <w:szCs w:val="18"/>
              </w:rPr>
              <w:t>6.3卷积和及其应用（以深圳市海思半导体有限公司为例，介绍我国信号处理芯片企业勇于创新设计打破国外垄断的事迹，勉励学生热爱学习，勇于创新）</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（1）学生能够复述离散时间信号的数学描述以及简单处理； </w:t>
            </w:r>
          </w:p>
          <w:p>
            <w:pPr>
              <w:snapToGrid w:val="0"/>
              <w:spacing w:line="300" w:lineRule="auto"/>
              <w:rPr>
                <w:sz w:val="18"/>
                <w:szCs w:val="18"/>
              </w:rPr>
            </w:pPr>
            <w:r>
              <w:rPr>
                <w:sz w:val="18"/>
                <w:szCs w:val="18"/>
              </w:rPr>
              <w:t xml:space="preserve">（2）学生能够利用差分方程表达离散时间系统； </w:t>
            </w:r>
          </w:p>
          <w:p>
            <w:pPr>
              <w:snapToGrid w:val="0"/>
              <w:spacing w:line="300" w:lineRule="auto"/>
              <w:rPr>
                <w:sz w:val="18"/>
                <w:szCs w:val="18"/>
              </w:rPr>
            </w:pPr>
            <w:r>
              <w:rPr>
                <w:sz w:val="18"/>
                <w:szCs w:val="18"/>
              </w:rPr>
              <w:t xml:space="preserve">（3）学生能够熟练运用卷（积）和的定义及其性质； </w:t>
            </w:r>
          </w:p>
          <w:p>
            <w:pPr>
              <w:snapToGrid w:val="0"/>
              <w:spacing w:line="300" w:lineRule="auto"/>
              <w:rPr>
                <w:sz w:val="18"/>
                <w:szCs w:val="18"/>
              </w:rPr>
            </w:pPr>
            <w:r>
              <w:rPr>
                <w:sz w:val="18"/>
                <w:szCs w:val="18"/>
              </w:rPr>
              <w:t>（4）学生能够利用卷（积）和运算求解离散系统的零状态响应。</w:t>
            </w:r>
          </w:p>
          <w:p>
            <w:pPr>
              <w:snapToGrid w:val="0"/>
              <w:spacing w:line="300" w:lineRule="auto"/>
              <w:rPr>
                <w:sz w:val="18"/>
                <w:szCs w:val="18"/>
              </w:rPr>
            </w:pPr>
            <w:r>
              <w:rPr>
                <w:sz w:val="18"/>
                <w:szCs w:val="18"/>
              </w:rPr>
              <w:t>2.作业内容：利用卷积和求解离散系统的零状态响应。</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4</w:t>
            </w:r>
          </w:p>
        </w:tc>
        <w:tc>
          <w:tcPr>
            <w:tcW w:w="484" w:type="pct"/>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320" w:type="pct"/>
            <w:tcMar>
              <w:left w:w="57" w:type="dxa"/>
              <w:right w:w="57" w:type="dxa"/>
            </w:tcMar>
            <w:vAlign w:val="center"/>
          </w:tcPr>
          <w:p>
            <w:pPr>
              <w:snapToGrid w:val="0"/>
              <w:spacing w:line="300" w:lineRule="auto"/>
              <w:jc w:val="center"/>
              <w:rPr>
                <w:sz w:val="18"/>
                <w:szCs w:val="18"/>
              </w:rPr>
            </w:pPr>
            <w:r>
              <w:rPr>
                <w:sz w:val="18"/>
                <w:szCs w:val="18"/>
              </w:rPr>
              <w:t>7</w:t>
            </w:r>
          </w:p>
        </w:tc>
        <w:tc>
          <w:tcPr>
            <w:tcW w:w="1130" w:type="pct"/>
            <w:vAlign w:val="center"/>
          </w:tcPr>
          <w:p>
            <w:pPr>
              <w:snapToGrid w:val="0"/>
              <w:spacing w:line="300" w:lineRule="auto"/>
              <w:rPr>
                <w:sz w:val="18"/>
                <w:szCs w:val="18"/>
              </w:rPr>
            </w:pPr>
            <w:r>
              <w:rPr>
                <w:sz w:val="18"/>
                <w:szCs w:val="18"/>
              </w:rPr>
              <w:t>7离散系统的z域分析</w:t>
            </w:r>
          </w:p>
          <w:p>
            <w:pPr>
              <w:snapToGrid w:val="0"/>
              <w:spacing w:line="300" w:lineRule="auto"/>
              <w:rPr>
                <w:sz w:val="18"/>
                <w:szCs w:val="18"/>
              </w:rPr>
            </w:pPr>
            <w:r>
              <w:rPr>
                <w:sz w:val="18"/>
                <w:szCs w:val="18"/>
              </w:rPr>
              <w:t>7.1 z变换</w:t>
            </w:r>
          </w:p>
          <w:p>
            <w:pPr>
              <w:snapToGrid w:val="0"/>
              <w:spacing w:line="300" w:lineRule="auto"/>
              <w:rPr>
                <w:sz w:val="18"/>
                <w:szCs w:val="18"/>
              </w:rPr>
            </w:pPr>
            <w:r>
              <w:rPr>
                <w:sz w:val="18"/>
                <w:szCs w:val="18"/>
              </w:rPr>
              <w:t>7.2 z反变换</w:t>
            </w:r>
          </w:p>
          <w:p>
            <w:pPr>
              <w:snapToGrid w:val="0"/>
              <w:spacing w:line="300" w:lineRule="auto"/>
              <w:rPr>
                <w:sz w:val="18"/>
                <w:szCs w:val="18"/>
              </w:rPr>
            </w:pPr>
            <w:r>
              <w:rPr>
                <w:sz w:val="18"/>
                <w:szCs w:val="18"/>
              </w:rPr>
              <w:t>7.3 z变换的主要性质</w:t>
            </w:r>
          </w:p>
          <w:p>
            <w:pPr>
              <w:snapToGrid w:val="0"/>
              <w:spacing w:line="300" w:lineRule="auto"/>
              <w:rPr>
                <w:sz w:val="18"/>
                <w:szCs w:val="18"/>
              </w:rPr>
            </w:pPr>
            <w:r>
              <w:rPr>
                <w:sz w:val="18"/>
                <w:szCs w:val="18"/>
              </w:rPr>
              <w:t>7.4 离散系统的z域分析</w:t>
            </w:r>
          </w:p>
          <w:p>
            <w:pPr>
              <w:snapToGrid w:val="0"/>
              <w:spacing w:line="300" w:lineRule="auto"/>
              <w:rPr>
                <w:sz w:val="18"/>
                <w:szCs w:val="18"/>
              </w:rPr>
            </w:pPr>
            <w:r>
              <w:rPr>
                <w:sz w:val="18"/>
                <w:szCs w:val="18"/>
              </w:rPr>
              <w:t>7.5 系统的零、极点与稳定性</w:t>
            </w:r>
          </w:p>
        </w:tc>
        <w:tc>
          <w:tcPr>
            <w:tcW w:w="2824"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（1）学生能够计算一般离散信号的Z正反变换； </w:t>
            </w:r>
          </w:p>
          <w:p>
            <w:pPr>
              <w:snapToGrid w:val="0"/>
              <w:spacing w:line="300" w:lineRule="auto"/>
              <w:rPr>
                <w:sz w:val="18"/>
                <w:szCs w:val="18"/>
              </w:rPr>
            </w:pPr>
            <w:r>
              <w:rPr>
                <w:sz w:val="18"/>
                <w:szCs w:val="18"/>
              </w:rPr>
              <w:t xml:space="preserve">（2）学生能够熟练使用Z变换的主要性质； </w:t>
            </w:r>
          </w:p>
          <w:p>
            <w:pPr>
              <w:snapToGrid w:val="0"/>
              <w:spacing w:line="300" w:lineRule="auto"/>
              <w:rPr>
                <w:sz w:val="18"/>
                <w:szCs w:val="18"/>
              </w:rPr>
            </w:pPr>
            <w:r>
              <w:rPr>
                <w:sz w:val="18"/>
                <w:szCs w:val="18"/>
              </w:rPr>
              <w:t xml:space="preserve">（3）学生能够运用Z域下系统函数的概念及其求解方法计算出离散系统的零极点； </w:t>
            </w:r>
          </w:p>
          <w:p>
            <w:pPr>
              <w:snapToGrid w:val="0"/>
              <w:spacing w:line="300" w:lineRule="auto"/>
              <w:rPr>
                <w:sz w:val="18"/>
                <w:szCs w:val="18"/>
              </w:rPr>
            </w:pPr>
            <w:r>
              <w:rPr>
                <w:sz w:val="18"/>
                <w:szCs w:val="18"/>
              </w:rPr>
              <w:t xml:space="preserve">（4）学生能够判断出离散系统的稳定性； </w:t>
            </w:r>
          </w:p>
          <w:p>
            <w:pPr>
              <w:snapToGrid w:val="0"/>
              <w:spacing w:line="300" w:lineRule="auto"/>
              <w:rPr>
                <w:sz w:val="18"/>
                <w:szCs w:val="18"/>
              </w:rPr>
            </w:pPr>
            <w:r>
              <w:rPr>
                <w:sz w:val="18"/>
                <w:szCs w:val="18"/>
              </w:rPr>
              <w:t>（5）学生能够图示出Z域下系统的模拟框图。</w:t>
            </w:r>
          </w:p>
          <w:p>
            <w:pPr>
              <w:snapToGrid w:val="0"/>
              <w:spacing w:line="300" w:lineRule="auto"/>
              <w:rPr>
                <w:sz w:val="18"/>
                <w:szCs w:val="18"/>
              </w:rPr>
            </w:pPr>
            <w:r>
              <w:rPr>
                <w:sz w:val="18"/>
                <w:szCs w:val="18"/>
              </w:rPr>
              <w:t>2.作业内容：一般离散信号的Z正反变换的计算、应用变换的性质对离散系统进行分析Z域分析、求解离散系统的零、极点与稳定性</w:t>
            </w:r>
            <w:r>
              <w:rPr>
                <w:rFonts w:hint="eastAsia"/>
                <w:sz w:val="18"/>
                <w:szCs w:val="18"/>
              </w:rPr>
              <w:t>。</w:t>
            </w:r>
          </w:p>
          <w:p>
            <w:pPr>
              <w:snapToGrid w:val="0"/>
              <w:spacing w:line="300" w:lineRule="auto"/>
              <w:rPr>
                <w:sz w:val="18"/>
                <w:szCs w:val="18"/>
              </w:rPr>
            </w:pPr>
            <w:r>
              <w:rPr>
                <w:sz w:val="18"/>
                <w:szCs w:val="18"/>
              </w:rPr>
              <w:t>3.教学方法：讲授式、讨论式与启发式相结合。</w:t>
            </w:r>
          </w:p>
        </w:tc>
        <w:tc>
          <w:tcPr>
            <w:tcW w:w="242" w:type="pct"/>
            <w:vAlign w:val="center"/>
          </w:tcPr>
          <w:p>
            <w:pPr>
              <w:snapToGrid w:val="0"/>
              <w:spacing w:line="300" w:lineRule="auto"/>
              <w:jc w:val="center"/>
              <w:rPr>
                <w:sz w:val="18"/>
                <w:szCs w:val="18"/>
              </w:rPr>
            </w:pPr>
            <w:r>
              <w:rPr>
                <w:sz w:val="18"/>
                <w:szCs w:val="18"/>
              </w:rPr>
              <w:t>4</w:t>
            </w:r>
          </w:p>
        </w:tc>
        <w:tc>
          <w:tcPr>
            <w:tcW w:w="484" w:type="pct"/>
            <w:vAlign w:val="center"/>
          </w:tcPr>
          <w:p>
            <w:pPr>
              <w:snapToGrid w:val="0"/>
              <w:spacing w:line="300" w:lineRule="auto"/>
              <w:jc w:val="center"/>
              <w:rPr>
                <w:sz w:val="18"/>
                <w:szCs w:val="18"/>
              </w:rPr>
            </w:pPr>
            <w:r>
              <w:rPr>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38"/>
        <w:gridCol w:w="2909"/>
        <w:gridCol w:w="728"/>
        <w:gridCol w:w="728"/>
        <w:gridCol w:w="644"/>
        <w:gridCol w:w="79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410" w:type="pct"/>
            <w:vAlign w:val="center"/>
          </w:tcPr>
          <w:p>
            <w:pPr>
              <w:snapToGrid w:val="0"/>
              <w:spacing w:line="300" w:lineRule="auto"/>
              <w:rPr>
                <w:b/>
                <w:bCs/>
                <w:sz w:val="18"/>
                <w:szCs w:val="18"/>
              </w:rPr>
            </w:pPr>
            <w:r>
              <w:rPr>
                <w:b/>
                <w:bCs/>
                <w:kern w:val="0"/>
                <w:sz w:val="18"/>
                <w:szCs w:val="18"/>
              </w:rPr>
              <w:t>序号</w:t>
            </w:r>
          </w:p>
        </w:tc>
        <w:tc>
          <w:tcPr>
            <w:tcW w:w="785" w:type="pct"/>
            <w:vAlign w:val="center"/>
          </w:tcPr>
          <w:p>
            <w:pPr>
              <w:snapToGrid w:val="0"/>
              <w:spacing w:line="300" w:lineRule="auto"/>
              <w:jc w:val="center"/>
              <w:rPr>
                <w:b/>
                <w:bCs/>
                <w:sz w:val="18"/>
                <w:szCs w:val="18"/>
              </w:rPr>
            </w:pPr>
            <w:r>
              <w:rPr>
                <w:b/>
                <w:bCs/>
                <w:kern w:val="0"/>
                <w:sz w:val="18"/>
                <w:szCs w:val="18"/>
              </w:rPr>
              <w:t>实验项目名称</w:t>
            </w:r>
          </w:p>
        </w:tc>
        <w:tc>
          <w:tcPr>
            <w:tcW w:w="1707" w:type="pct"/>
            <w:vAlign w:val="center"/>
          </w:tcPr>
          <w:p>
            <w:pPr>
              <w:snapToGrid w:val="0"/>
              <w:spacing w:line="300" w:lineRule="auto"/>
              <w:jc w:val="center"/>
              <w:rPr>
                <w:b/>
                <w:bCs/>
                <w:sz w:val="18"/>
                <w:szCs w:val="18"/>
              </w:rPr>
            </w:pPr>
            <w:r>
              <w:rPr>
                <w:b/>
                <w:bCs/>
                <w:kern w:val="0"/>
                <w:sz w:val="18"/>
                <w:szCs w:val="18"/>
              </w:rPr>
              <w:t>目的要求</w:t>
            </w:r>
          </w:p>
        </w:tc>
        <w:tc>
          <w:tcPr>
            <w:tcW w:w="427" w:type="pct"/>
            <w:vAlign w:val="center"/>
          </w:tcPr>
          <w:p>
            <w:pPr>
              <w:snapToGrid w:val="0"/>
              <w:spacing w:line="300" w:lineRule="auto"/>
              <w:jc w:val="center"/>
              <w:rPr>
                <w:b/>
                <w:bCs/>
                <w:sz w:val="18"/>
                <w:szCs w:val="18"/>
              </w:rPr>
            </w:pPr>
            <w:r>
              <w:rPr>
                <w:b/>
                <w:bCs/>
                <w:kern w:val="0"/>
                <w:sz w:val="18"/>
                <w:szCs w:val="18"/>
              </w:rPr>
              <w:t>学时分配</w:t>
            </w:r>
          </w:p>
        </w:tc>
        <w:tc>
          <w:tcPr>
            <w:tcW w:w="427" w:type="pct"/>
            <w:vAlign w:val="center"/>
          </w:tcPr>
          <w:p>
            <w:pPr>
              <w:snapToGrid w:val="0"/>
              <w:spacing w:line="300" w:lineRule="auto"/>
              <w:jc w:val="center"/>
              <w:rPr>
                <w:b/>
                <w:bCs/>
                <w:kern w:val="0"/>
                <w:sz w:val="18"/>
                <w:szCs w:val="18"/>
              </w:rPr>
            </w:pPr>
            <w:r>
              <w:rPr>
                <w:b/>
                <w:bCs/>
                <w:kern w:val="0"/>
                <w:sz w:val="18"/>
                <w:szCs w:val="18"/>
              </w:rPr>
              <w:t>实验类型</w:t>
            </w:r>
          </w:p>
        </w:tc>
        <w:tc>
          <w:tcPr>
            <w:tcW w:w="378" w:type="pct"/>
            <w:vAlign w:val="center"/>
          </w:tcPr>
          <w:p>
            <w:pPr>
              <w:snapToGrid w:val="0"/>
              <w:spacing w:line="300" w:lineRule="auto"/>
              <w:jc w:val="center"/>
              <w:rPr>
                <w:b/>
                <w:bCs/>
                <w:kern w:val="0"/>
                <w:sz w:val="18"/>
                <w:szCs w:val="18"/>
              </w:rPr>
            </w:pPr>
            <w:r>
              <w:rPr>
                <w:b/>
                <w:bCs/>
                <w:kern w:val="0"/>
                <w:sz w:val="18"/>
                <w:szCs w:val="18"/>
              </w:rPr>
              <w:t>每组人数</w:t>
            </w:r>
          </w:p>
        </w:tc>
        <w:tc>
          <w:tcPr>
            <w:tcW w:w="468" w:type="pct"/>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398" w:type="pct"/>
            <w:vAlign w:val="center"/>
          </w:tcPr>
          <w:p>
            <w:pPr>
              <w:snapToGrid w:val="0"/>
              <w:spacing w:line="300" w:lineRule="auto"/>
              <w:rPr>
                <w:b/>
                <w:bCs/>
                <w:kern w:val="0"/>
                <w:sz w:val="18"/>
                <w:szCs w:val="18"/>
              </w:rPr>
            </w:pPr>
            <w:r>
              <w:rPr>
                <w:b/>
                <w:bCs/>
                <w:kern w:val="0"/>
                <w:sz w:val="18"/>
                <w:szCs w:val="18"/>
              </w:rPr>
              <w:t>课程</w:t>
            </w:r>
          </w:p>
          <w:p>
            <w:pPr>
              <w:snapToGrid w:val="0"/>
              <w:spacing w:line="300" w:lineRule="auto"/>
              <w:rPr>
                <w:b/>
                <w:bCs/>
                <w:kern w:val="0"/>
                <w:sz w:val="18"/>
                <w:szCs w:val="18"/>
              </w:rPr>
            </w:pPr>
            <w:r>
              <w:rPr>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snapToGrid w:val="0"/>
              <w:spacing w:line="300" w:lineRule="auto"/>
              <w:jc w:val="center"/>
              <w:rPr>
                <w:sz w:val="18"/>
                <w:szCs w:val="18"/>
              </w:rPr>
            </w:pPr>
            <w:r>
              <w:rPr>
                <w:sz w:val="18"/>
                <w:szCs w:val="18"/>
              </w:rPr>
              <w:t>1</w:t>
            </w:r>
          </w:p>
        </w:tc>
        <w:tc>
          <w:tcPr>
            <w:tcW w:w="785" w:type="pct"/>
            <w:vAlign w:val="center"/>
          </w:tcPr>
          <w:p>
            <w:pPr>
              <w:snapToGrid w:val="0"/>
              <w:spacing w:line="300" w:lineRule="auto"/>
              <w:rPr>
                <w:sz w:val="18"/>
                <w:szCs w:val="18"/>
              </w:rPr>
            </w:pPr>
            <w:r>
              <w:rPr>
                <w:sz w:val="18"/>
                <w:szCs w:val="18"/>
              </w:rPr>
              <w:t>连续时间信号的MATLAB表示</w:t>
            </w:r>
          </w:p>
        </w:tc>
        <w:tc>
          <w:tcPr>
            <w:tcW w:w="1707"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掌握MATLAB语言的基本操作，学习基本的编程功能；</w:t>
            </w:r>
            <w:r>
              <w:rPr>
                <w:rFonts w:hint="eastAsia" w:ascii="宋体" w:hAnsi="宋体" w:cs="宋体"/>
                <w:kern w:val="0"/>
                <w:sz w:val="18"/>
                <w:szCs w:val="18"/>
              </w:rPr>
              <w:t>②</w:t>
            </w:r>
            <w:r>
              <w:rPr>
                <w:sz w:val="18"/>
                <w:szCs w:val="18"/>
              </w:rPr>
              <w:t>掌握MATLAB产生常用连续时间信号的编程方法；</w:t>
            </w:r>
            <w:r>
              <w:rPr>
                <w:rFonts w:hint="eastAsia" w:ascii="宋体" w:hAnsi="宋体" w:cs="宋体"/>
                <w:kern w:val="0"/>
                <w:sz w:val="18"/>
                <w:szCs w:val="18"/>
              </w:rPr>
              <w:t>③</w:t>
            </w:r>
            <w:r>
              <w:rPr>
                <w:sz w:val="18"/>
                <w:szCs w:val="18"/>
              </w:rPr>
              <w:t>观察并熟悉常用连续时间信号的波形和特性。</w:t>
            </w:r>
          </w:p>
        </w:tc>
        <w:tc>
          <w:tcPr>
            <w:tcW w:w="427" w:type="pct"/>
            <w:vAlign w:val="center"/>
          </w:tcPr>
          <w:p>
            <w:pPr>
              <w:snapToGrid w:val="0"/>
              <w:spacing w:line="300" w:lineRule="auto"/>
              <w:jc w:val="center"/>
              <w:rPr>
                <w:sz w:val="18"/>
                <w:szCs w:val="18"/>
              </w:rPr>
            </w:pPr>
            <w:r>
              <w:rPr>
                <w:kern w:val="0"/>
                <w:sz w:val="18"/>
                <w:szCs w:val="18"/>
              </w:rPr>
              <w:t>2</w:t>
            </w:r>
          </w:p>
        </w:tc>
        <w:tc>
          <w:tcPr>
            <w:tcW w:w="427" w:type="pct"/>
            <w:vAlign w:val="center"/>
          </w:tcPr>
          <w:p>
            <w:pPr>
              <w:snapToGrid w:val="0"/>
              <w:spacing w:line="300" w:lineRule="auto"/>
              <w:rPr>
                <w:sz w:val="18"/>
                <w:szCs w:val="18"/>
              </w:rPr>
            </w:pPr>
            <w:r>
              <w:rPr>
                <w:kern w:val="0"/>
                <w:sz w:val="18"/>
                <w:szCs w:val="18"/>
              </w:rPr>
              <w:t>验证与设计</w:t>
            </w:r>
          </w:p>
        </w:tc>
        <w:tc>
          <w:tcPr>
            <w:tcW w:w="378" w:type="pct"/>
            <w:vAlign w:val="center"/>
          </w:tcPr>
          <w:p>
            <w:pPr>
              <w:snapToGrid w:val="0"/>
              <w:spacing w:line="300" w:lineRule="auto"/>
              <w:jc w:val="center"/>
              <w:rPr>
                <w:sz w:val="18"/>
                <w:szCs w:val="18"/>
              </w:rPr>
            </w:pPr>
            <w:r>
              <w:rPr>
                <w:kern w:val="0"/>
                <w:sz w:val="18"/>
                <w:szCs w:val="18"/>
              </w:rPr>
              <w:t>1</w:t>
            </w:r>
          </w:p>
        </w:tc>
        <w:tc>
          <w:tcPr>
            <w:tcW w:w="468" w:type="pct"/>
            <w:vAlign w:val="center"/>
          </w:tcPr>
          <w:p>
            <w:pPr>
              <w:snapToGrid w:val="0"/>
              <w:spacing w:line="300" w:lineRule="auto"/>
              <w:jc w:val="center"/>
              <w:rPr>
                <w:sz w:val="18"/>
                <w:szCs w:val="18"/>
              </w:rPr>
            </w:pPr>
            <w:r>
              <w:rPr>
                <w:kern w:val="0"/>
                <w:sz w:val="18"/>
                <w:szCs w:val="18"/>
              </w:rPr>
              <w:t>必开</w:t>
            </w:r>
          </w:p>
        </w:tc>
        <w:tc>
          <w:tcPr>
            <w:tcW w:w="398" w:type="pct"/>
            <w:vAlign w:val="center"/>
          </w:tcPr>
          <w:p>
            <w:pPr>
              <w:snapToGrid w:val="0"/>
              <w:spacing w:line="300" w:lineRule="auto"/>
              <w:jc w:val="center"/>
              <w:rPr>
                <w:sz w:val="18"/>
                <w:szCs w:val="18"/>
              </w:rPr>
            </w:pPr>
            <w:r>
              <w:rPr>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10" w:type="pct"/>
            <w:vAlign w:val="center"/>
          </w:tcPr>
          <w:p>
            <w:pPr>
              <w:snapToGrid w:val="0"/>
              <w:spacing w:line="300" w:lineRule="auto"/>
              <w:jc w:val="center"/>
              <w:rPr>
                <w:sz w:val="18"/>
                <w:szCs w:val="18"/>
              </w:rPr>
            </w:pPr>
            <w:r>
              <w:rPr>
                <w:sz w:val="18"/>
                <w:szCs w:val="18"/>
              </w:rPr>
              <w:t>2</w:t>
            </w:r>
          </w:p>
        </w:tc>
        <w:tc>
          <w:tcPr>
            <w:tcW w:w="785" w:type="pct"/>
            <w:vAlign w:val="center"/>
          </w:tcPr>
          <w:p>
            <w:pPr>
              <w:snapToGrid w:val="0"/>
              <w:spacing w:line="300" w:lineRule="auto"/>
              <w:rPr>
                <w:sz w:val="18"/>
                <w:szCs w:val="18"/>
              </w:rPr>
            </w:pPr>
            <w:r>
              <w:rPr>
                <w:sz w:val="18"/>
                <w:szCs w:val="18"/>
              </w:rPr>
              <w:t>连续时间LTI系统的时域分析</w:t>
            </w:r>
          </w:p>
        </w:tc>
        <w:tc>
          <w:tcPr>
            <w:tcW w:w="1707"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运用MATLAB符号求解连续系统的零输入响应和零状态响应；</w:t>
            </w:r>
            <w:r>
              <w:rPr>
                <w:rFonts w:hint="eastAsia" w:ascii="宋体" w:hAnsi="宋体" w:cs="宋体"/>
                <w:kern w:val="0"/>
                <w:sz w:val="18"/>
                <w:szCs w:val="18"/>
              </w:rPr>
              <w:t>②</w:t>
            </w:r>
            <w:r>
              <w:rPr>
                <w:sz w:val="18"/>
                <w:szCs w:val="18"/>
              </w:rPr>
              <w:t>运用MATLAB数值求解连续系统的零状态响应；</w:t>
            </w:r>
            <w:r>
              <w:rPr>
                <w:rFonts w:hint="eastAsia" w:ascii="宋体" w:hAnsi="宋体" w:cs="宋体"/>
                <w:kern w:val="0"/>
                <w:sz w:val="18"/>
                <w:szCs w:val="18"/>
              </w:rPr>
              <w:t>③</w:t>
            </w:r>
            <w:r>
              <w:rPr>
                <w:sz w:val="18"/>
                <w:szCs w:val="18"/>
              </w:rPr>
              <w:t>运用MATLAB求解连续系统的冲激响应和阶跃响应；</w:t>
            </w:r>
            <w:r>
              <w:rPr>
                <w:rFonts w:hint="eastAsia" w:ascii="宋体" w:hAnsi="宋体" w:cs="宋体"/>
                <w:kern w:val="0"/>
                <w:sz w:val="18"/>
                <w:szCs w:val="18"/>
              </w:rPr>
              <w:t>④</w:t>
            </w:r>
            <w:r>
              <w:rPr>
                <w:sz w:val="18"/>
                <w:szCs w:val="18"/>
              </w:rPr>
              <w:t>运用MATLAB卷积积分法求解系统的零状态响应。</w:t>
            </w:r>
          </w:p>
        </w:tc>
        <w:tc>
          <w:tcPr>
            <w:tcW w:w="427" w:type="pct"/>
            <w:vAlign w:val="center"/>
          </w:tcPr>
          <w:p>
            <w:pPr>
              <w:snapToGrid w:val="0"/>
              <w:spacing w:line="300" w:lineRule="auto"/>
              <w:jc w:val="center"/>
              <w:rPr>
                <w:sz w:val="18"/>
                <w:szCs w:val="18"/>
              </w:rPr>
            </w:pPr>
            <w:r>
              <w:rPr>
                <w:kern w:val="0"/>
                <w:sz w:val="18"/>
                <w:szCs w:val="18"/>
              </w:rPr>
              <w:t>2</w:t>
            </w:r>
          </w:p>
        </w:tc>
        <w:tc>
          <w:tcPr>
            <w:tcW w:w="427" w:type="pct"/>
            <w:vAlign w:val="center"/>
          </w:tcPr>
          <w:p>
            <w:pPr>
              <w:snapToGrid w:val="0"/>
              <w:spacing w:line="300" w:lineRule="auto"/>
              <w:rPr>
                <w:sz w:val="18"/>
                <w:szCs w:val="18"/>
              </w:rPr>
            </w:pPr>
            <w:r>
              <w:rPr>
                <w:kern w:val="0"/>
                <w:sz w:val="18"/>
                <w:szCs w:val="18"/>
              </w:rPr>
              <w:t>验证与设计</w:t>
            </w:r>
          </w:p>
        </w:tc>
        <w:tc>
          <w:tcPr>
            <w:tcW w:w="378" w:type="pct"/>
            <w:vAlign w:val="center"/>
          </w:tcPr>
          <w:p>
            <w:pPr>
              <w:snapToGrid w:val="0"/>
              <w:spacing w:line="300" w:lineRule="auto"/>
              <w:jc w:val="center"/>
              <w:rPr>
                <w:sz w:val="18"/>
                <w:szCs w:val="18"/>
              </w:rPr>
            </w:pPr>
            <w:r>
              <w:rPr>
                <w:kern w:val="0"/>
                <w:sz w:val="18"/>
                <w:szCs w:val="18"/>
              </w:rPr>
              <w:t>1</w:t>
            </w:r>
          </w:p>
        </w:tc>
        <w:tc>
          <w:tcPr>
            <w:tcW w:w="468" w:type="pct"/>
            <w:vAlign w:val="center"/>
          </w:tcPr>
          <w:p>
            <w:pPr>
              <w:snapToGrid w:val="0"/>
              <w:spacing w:line="300" w:lineRule="auto"/>
              <w:jc w:val="center"/>
              <w:rPr>
                <w:sz w:val="18"/>
                <w:szCs w:val="18"/>
              </w:rPr>
            </w:pPr>
            <w:r>
              <w:rPr>
                <w:kern w:val="0"/>
                <w:sz w:val="18"/>
                <w:szCs w:val="18"/>
              </w:rPr>
              <w:t>必开</w:t>
            </w:r>
          </w:p>
        </w:tc>
        <w:tc>
          <w:tcPr>
            <w:tcW w:w="398" w:type="pct"/>
            <w:vAlign w:val="center"/>
          </w:tcPr>
          <w:p>
            <w:pPr>
              <w:widowControl/>
              <w:snapToGrid w:val="0"/>
              <w:spacing w:line="300" w:lineRule="auto"/>
              <w:jc w:val="center"/>
              <w:rPr>
                <w:sz w:val="18"/>
                <w:szCs w:val="18"/>
              </w:rPr>
            </w:pPr>
            <w:r>
              <w:rPr>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410" w:type="pct"/>
            <w:vAlign w:val="center"/>
          </w:tcPr>
          <w:p>
            <w:pPr>
              <w:snapToGrid w:val="0"/>
              <w:spacing w:line="300" w:lineRule="auto"/>
              <w:jc w:val="center"/>
              <w:rPr>
                <w:sz w:val="18"/>
                <w:szCs w:val="18"/>
              </w:rPr>
            </w:pPr>
            <w:r>
              <w:rPr>
                <w:sz w:val="18"/>
                <w:szCs w:val="18"/>
              </w:rPr>
              <w:t>3</w:t>
            </w:r>
          </w:p>
        </w:tc>
        <w:tc>
          <w:tcPr>
            <w:tcW w:w="785" w:type="pct"/>
            <w:vAlign w:val="center"/>
          </w:tcPr>
          <w:p>
            <w:pPr>
              <w:snapToGrid w:val="0"/>
              <w:spacing w:line="300" w:lineRule="auto"/>
              <w:ind w:right="-334"/>
              <w:rPr>
                <w:sz w:val="18"/>
                <w:szCs w:val="18"/>
              </w:rPr>
            </w:pPr>
            <w:r>
              <w:rPr>
                <w:sz w:val="18"/>
                <w:szCs w:val="18"/>
              </w:rPr>
              <w:t>连续时间LTI系统的频率特性及频域分析</w:t>
            </w:r>
          </w:p>
        </w:tc>
        <w:tc>
          <w:tcPr>
            <w:tcW w:w="1707" w:type="pct"/>
            <w:vAlign w:val="center"/>
          </w:tcPr>
          <w:p>
            <w:pPr>
              <w:snapToGrid w:val="0"/>
              <w:spacing w:line="300" w:lineRule="auto"/>
              <w:ind w:right="-334"/>
              <w:rPr>
                <w:sz w:val="18"/>
                <w:szCs w:val="18"/>
              </w:rPr>
            </w:pPr>
            <w:r>
              <w:rPr>
                <w:rFonts w:hint="eastAsia" w:ascii="宋体" w:hAnsi="宋体" w:cs="宋体"/>
                <w:kern w:val="0"/>
                <w:sz w:val="18"/>
                <w:szCs w:val="18"/>
              </w:rPr>
              <w:t>①</w:t>
            </w:r>
            <w:r>
              <w:rPr>
                <w:sz w:val="18"/>
                <w:szCs w:val="18"/>
              </w:rPr>
              <w:t>运用MATLAB分析连续系统的</w:t>
            </w:r>
          </w:p>
          <w:p>
            <w:pPr>
              <w:snapToGrid w:val="0"/>
              <w:spacing w:line="300" w:lineRule="auto"/>
              <w:ind w:right="-334"/>
              <w:rPr>
                <w:sz w:val="18"/>
                <w:szCs w:val="18"/>
              </w:rPr>
            </w:pPr>
            <w:r>
              <w:rPr>
                <w:sz w:val="18"/>
                <w:szCs w:val="18"/>
              </w:rPr>
              <w:t>频率特性；</w:t>
            </w:r>
            <w:r>
              <w:rPr>
                <w:rFonts w:hint="eastAsia" w:ascii="宋体" w:hAnsi="宋体" w:cs="宋体"/>
                <w:kern w:val="0"/>
                <w:sz w:val="18"/>
                <w:szCs w:val="18"/>
              </w:rPr>
              <w:t>②</w:t>
            </w:r>
            <w:r>
              <w:rPr>
                <w:sz w:val="18"/>
                <w:szCs w:val="18"/>
              </w:rPr>
              <w:t>运用MATLAB进行</w:t>
            </w:r>
          </w:p>
          <w:p>
            <w:pPr>
              <w:snapToGrid w:val="0"/>
              <w:spacing w:line="300" w:lineRule="auto"/>
              <w:ind w:right="-334"/>
              <w:rPr>
                <w:sz w:val="18"/>
                <w:szCs w:val="18"/>
              </w:rPr>
            </w:pPr>
            <w:r>
              <w:rPr>
                <w:sz w:val="18"/>
                <w:szCs w:val="18"/>
              </w:rPr>
              <w:t>连续系统的频域分析。</w:t>
            </w:r>
          </w:p>
        </w:tc>
        <w:tc>
          <w:tcPr>
            <w:tcW w:w="427" w:type="pct"/>
            <w:vAlign w:val="center"/>
          </w:tcPr>
          <w:p>
            <w:pPr>
              <w:snapToGrid w:val="0"/>
              <w:spacing w:line="300" w:lineRule="auto"/>
              <w:jc w:val="center"/>
              <w:rPr>
                <w:sz w:val="18"/>
                <w:szCs w:val="18"/>
              </w:rPr>
            </w:pPr>
            <w:r>
              <w:rPr>
                <w:kern w:val="0"/>
                <w:sz w:val="18"/>
                <w:szCs w:val="18"/>
              </w:rPr>
              <w:t>2</w:t>
            </w:r>
          </w:p>
        </w:tc>
        <w:tc>
          <w:tcPr>
            <w:tcW w:w="427" w:type="pct"/>
            <w:vAlign w:val="center"/>
          </w:tcPr>
          <w:p>
            <w:pPr>
              <w:snapToGrid w:val="0"/>
              <w:spacing w:line="300" w:lineRule="auto"/>
              <w:rPr>
                <w:kern w:val="0"/>
                <w:sz w:val="18"/>
                <w:szCs w:val="18"/>
              </w:rPr>
            </w:pPr>
            <w:r>
              <w:rPr>
                <w:kern w:val="0"/>
                <w:sz w:val="18"/>
                <w:szCs w:val="18"/>
              </w:rPr>
              <w:t>验证与设计</w:t>
            </w:r>
          </w:p>
        </w:tc>
        <w:tc>
          <w:tcPr>
            <w:tcW w:w="378" w:type="pct"/>
            <w:vAlign w:val="center"/>
          </w:tcPr>
          <w:p>
            <w:pPr>
              <w:snapToGrid w:val="0"/>
              <w:spacing w:line="300" w:lineRule="auto"/>
              <w:jc w:val="center"/>
              <w:rPr>
                <w:sz w:val="18"/>
                <w:szCs w:val="18"/>
              </w:rPr>
            </w:pPr>
            <w:r>
              <w:rPr>
                <w:kern w:val="0"/>
                <w:sz w:val="18"/>
                <w:szCs w:val="18"/>
              </w:rPr>
              <w:t>1</w:t>
            </w:r>
          </w:p>
        </w:tc>
        <w:tc>
          <w:tcPr>
            <w:tcW w:w="468" w:type="pct"/>
            <w:vAlign w:val="center"/>
          </w:tcPr>
          <w:p>
            <w:pPr>
              <w:snapToGrid w:val="0"/>
              <w:spacing w:line="300" w:lineRule="auto"/>
              <w:jc w:val="center"/>
              <w:rPr>
                <w:sz w:val="18"/>
                <w:szCs w:val="18"/>
              </w:rPr>
            </w:pPr>
            <w:r>
              <w:rPr>
                <w:kern w:val="0"/>
                <w:sz w:val="18"/>
                <w:szCs w:val="18"/>
              </w:rPr>
              <w:t>必开</w:t>
            </w:r>
          </w:p>
        </w:tc>
        <w:tc>
          <w:tcPr>
            <w:tcW w:w="398" w:type="pct"/>
            <w:vAlign w:val="center"/>
          </w:tcPr>
          <w:p>
            <w:pPr>
              <w:snapToGrid w:val="0"/>
              <w:spacing w:line="300" w:lineRule="auto"/>
              <w:jc w:val="center"/>
              <w:rPr>
                <w:sz w:val="18"/>
                <w:szCs w:val="18"/>
              </w:rPr>
            </w:pPr>
            <w:r>
              <w:rPr>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10" w:type="pct"/>
            <w:vAlign w:val="center"/>
          </w:tcPr>
          <w:p>
            <w:pPr>
              <w:snapToGrid w:val="0"/>
              <w:spacing w:line="300" w:lineRule="auto"/>
              <w:jc w:val="center"/>
              <w:rPr>
                <w:sz w:val="18"/>
                <w:szCs w:val="18"/>
              </w:rPr>
            </w:pPr>
            <w:r>
              <w:rPr>
                <w:sz w:val="18"/>
                <w:szCs w:val="18"/>
              </w:rPr>
              <w:t>4</w:t>
            </w:r>
          </w:p>
        </w:tc>
        <w:tc>
          <w:tcPr>
            <w:tcW w:w="785" w:type="pct"/>
            <w:vAlign w:val="center"/>
          </w:tcPr>
          <w:p>
            <w:pPr>
              <w:snapToGrid w:val="0"/>
              <w:spacing w:line="300" w:lineRule="auto"/>
              <w:rPr>
                <w:sz w:val="18"/>
                <w:szCs w:val="18"/>
              </w:rPr>
            </w:pPr>
            <w:r>
              <w:rPr>
                <w:sz w:val="18"/>
                <w:szCs w:val="18"/>
              </w:rPr>
              <w:t>连续时间LTI系统的零极点分析</w:t>
            </w:r>
            <w:r>
              <w:rPr>
                <w:rFonts w:hint="eastAsia"/>
                <w:sz w:val="18"/>
                <w:szCs w:val="18"/>
              </w:rPr>
              <w:t>以及</w:t>
            </w:r>
            <w:r>
              <w:rPr>
                <w:sz w:val="18"/>
                <w:szCs w:val="18"/>
              </w:rPr>
              <w:t>典型离散信号及其MATLAB实现</w:t>
            </w:r>
          </w:p>
        </w:tc>
        <w:tc>
          <w:tcPr>
            <w:tcW w:w="1707"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运用MATLAB求解系统函数的零极点；</w:t>
            </w:r>
            <w:r>
              <w:rPr>
                <w:rFonts w:hint="eastAsia" w:ascii="宋体" w:hAnsi="宋体" w:cs="宋体"/>
                <w:kern w:val="0"/>
                <w:sz w:val="18"/>
                <w:szCs w:val="18"/>
              </w:rPr>
              <w:t>②</w:t>
            </w:r>
            <w:r>
              <w:rPr>
                <w:sz w:val="18"/>
                <w:szCs w:val="18"/>
              </w:rPr>
              <w:t>运用MATLAB分析系统函数的零极点分布与其时域特性的关系；</w:t>
            </w:r>
            <w:r>
              <w:rPr>
                <w:rFonts w:hint="eastAsia" w:ascii="宋体" w:hAnsi="宋体" w:cs="宋体"/>
                <w:kern w:val="0"/>
                <w:sz w:val="18"/>
                <w:szCs w:val="18"/>
              </w:rPr>
              <w:t>③</w:t>
            </w:r>
            <w:r>
              <w:rPr>
                <w:sz w:val="18"/>
                <w:szCs w:val="18"/>
              </w:rPr>
              <w:t>运用MATLAB分析系统函数的零极点分布与其系统稳定性的关系</w:t>
            </w:r>
            <w:r>
              <w:rPr>
                <w:rFonts w:hint="eastAsia"/>
                <w:sz w:val="18"/>
                <w:szCs w:val="18"/>
              </w:rPr>
              <w:t>；</w:t>
            </w:r>
            <w:r>
              <w:rPr>
                <w:rFonts w:hint="eastAsia" w:ascii="宋体" w:hAnsi="宋体" w:cs="宋体"/>
                <w:kern w:val="0"/>
                <w:sz w:val="18"/>
                <w:szCs w:val="18"/>
              </w:rPr>
              <w:t>④</w:t>
            </w:r>
            <w:r>
              <w:rPr>
                <w:sz w:val="18"/>
                <w:szCs w:val="18"/>
              </w:rPr>
              <w:t>掌握MATLAB产生常用离散时间信号的编程方法；</w:t>
            </w:r>
            <w:r>
              <w:rPr>
                <w:rFonts w:hint="eastAsia" w:ascii="宋体" w:hAnsi="宋体" w:cs="宋体"/>
                <w:kern w:val="0"/>
                <w:sz w:val="18"/>
                <w:szCs w:val="18"/>
              </w:rPr>
              <w:t>⑤</w:t>
            </w:r>
            <w:r>
              <w:rPr>
                <w:sz w:val="18"/>
                <w:szCs w:val="18"/>
              </w:rPr>
              <w:t>掌握MATLAB计算卷积的方法。</w:t>
            </w:r>
          </w:p>
        </w:tc>
        <w:tc>
          <w:tcPr>
            <w:tcW w:w="427" w:type="pct"/>
            <w:vAlign w:val="center"/>
          </w:tcPr>
          <w:p>
            <w:pPr>
              <w:snapToGrid w:val="0"/>
              <w:spacing w:line="300" w:lineRule="auto"/>
              <w:jc w:val="center"/>
              <w:rPr>
                <w:sz w:val="18"/>
                <w:szCs w:val="18"/>
              </w:rPr>
            </w:pPr>
            <w:r>
              <w:rPr>
                <w:kern w:val="0"/>
                <w:sz w:val="18"/>
                <w:szCs w:val="18"/>
              </w:rPr>
              <w:t>2</w:t>
            </w:r>
          </w:p>
        </w:tc>
        <w:tc>
          <w:tcPr>
            <w:tcW w:w="427" w:type="pct"/>
            <w:vAlign w:val="center"/>
          </w:tcPr>
          <w:p>
            <w:pPr>
              <w:snapToGrid w:val="0"/>
              <w:spacing w:line="300" w:lineRule="auto"/>
              <w:rPr>
                <w:sz w:val="18"/>
                <w:szCs w:val="18"/>
              </w:rPr>
            </w:pPr>
            <w:r>
              <w:rPr>
                <w:kern w:val="0"/>
                <w:sz w:val="18"/>
                <w:szCs w:val="18"/>
              </w:rPr>
              <w:t>验证与设计</w:t>
            </w:r>
          </w:p>
        </w:tc>
        <w:tc>
          <w:tcPr>
            <w:tcW w:w="378" w:type="pct"/>
            <w:vAlign w:val="center"/>
          </w:tcPr>
          <w:p>
            <w:pPr>
              <w:snapToGrid w:val="0"/>
              <w:spacing w:line="300" w:lineRule="auto"/>
              <w:jc w:val="center"/>
              <w:rPr>
                <w:sz w:val="18"/>
                <w:szCs w:val="18"/>
              </w:rPr>
            </w:pPr>
            <w:r>
              <w:rPr>
                <w:kern w:val="0"/>
                <w:sz w:val="18"/>
                <w:szCs w:val="18"/>
              </w:rPr>
              <w:t>1</w:t>
            </w:r>
          </w:p>
        </w:tc>
        <w:tc>
          <w:tcPr>
            <w:tcW w:w="468" w:type="pct"/>
            <w:vAlign w:val="center"/>
          </w:tcPr>
          <w:p>
            <w:pPr>
              <w:snapToGrid w:val="0"/>
              <w:spacing w:line="300" w:lineRule="auto"/>
              <w:jc w:val="center"/>
              <w:rPr>
                <w:sz w:val="18"/>
                <w:szCs w:val="18"/>
              </w:rPr>
            </w:pPr>
            <w:r>
              <w:rPr>
                <w:kern w:val="0"/>
                <w:sz w:val="18"/>
                <w:szCs w:val="18"/>
              </w:rPr>
              <w:t>必开</w:t>
            </w:r>
          </w:p>
        </w:tc>
        <w:tc>
          <w:tcPr>
            <w:tcW w:w="398" w:type="pct"/>
            <w:vAlign w:val="center"/>
          </w:tcPr>
          <w:p>
            <w:pPr>
              <w:snapToGrid w:val="0"/>
              <w:spacing w:line="300" w:lineRule="auto"/>
              <w:jc w:val="center"/>
              <w:rPr>
                <w:sz w:val="18"/>
                <w:szCs w:val="18"/>
              </w:rPr>
            </w:pPr>
            <w:r>
              <w:rPr>
                <w:kern w:val="0"/>
                <w:sz w:val="18"/>
                <w:szCs w:val="18"/>
              </w:rPr>
              <w:t>3</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w:t>
      </w:r>
      <w:r>
        <w:rPr>
          <w:szCs w:val="21"/>
        </w:rPr>
        <w:t>闭卷笔试</w:t>
      </w:r>
      <w:r>
        <w:rPr>
          <w:rFonts w:hint="eastAsia"/>
          <w:szCs w:val="21"/>
        </w:rPr>
        <w:t>、</w:t>
      </w:r>
      <w:r>
        <w:rPr>
          <w:szCs w:val="21"/>
        </w:rPr>
        <w:t>作业</w:t>
      </w:r>
      <w:r>
        <w:rPr>
          <w:rFonts w:hint="eastAsia"/>
          <w:szCs w:val="21"/>
        </w:rPr>
        <w:t>、</w:t>
      </w:r>
      <w:r>
        <w:rPr>
          <w:szCs w:val="21"/>
        </w:rPr>
        <w:t>实验报告及</w:t>
      </w:r>
      <w:r>
        <w:rPr>
          <w:rFonts w:hint="eastAsia"/>
          <w:szCs w:val="21"/>
        </w:rPr>
        <w:t>课堂表现</w:t>
      </w:r>
      <w:r>
        <w:rPr>
          <w:szCs w:val="21"/>
        </w:rPr>
        <w:t>。</w:t>
      </w:r>
    </w:p>
    <w:p>
      <w:pPr>
        <w:snapToGrid w:val="0"/>
        <w:spacing w:line="300" w:lineRule="auto"/>
        <w:ind w:firstLine="420" w:firstLineChars="200"/>
      </w:pPr>
      <w:r>
        <w:t>2．成绩构成：</w:t>
      </w:r>
      <w:r>
        <w:rPr>
          <w:szCs w:val="21"/>
        </w:rPr>
        <w:t>笔试成绩60%，平时成绩40%（课后作业、课堂表现、实验成绩等）。</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56"/>
        <w:gridCol w:w="654"/>
        <w:gridCol w:w="639"/>
        <w:gridCol w:w="540"/>
        <w:gridCol w:w="3535"/>
        <w:gridCol w:w="92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6"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385" w:type="pct"/>
            <w:vAlign w:val="center"/>
          </w:tcPr>
          <w:p>
            <w:pPr>
              <w:snapToGrid w:val="0"/>
              <w:spacing w:line="300" w:lineRule="auto"/>
              <w:jc w:val="center"/>
              <w:rPr>
                <w:b/>
                <w:bCs/>
                <w:sz w:val="18"/>
                <w:szCs w:val="18"/>
              </w:rPr>
            </w:pPr>
            <w:r>
              <w:rPr>
                <w:b/>
                <w:bCs/>
                <w:sz w:val="18"/>
                <w:szCs w:val="18"/>
              </w:rPr>
              <w:t>分值</w:t>
            </w:r>
          </w:p>
        </w:tc>
        <w:tc>
          <w:tcPr>
            <w:tcW w:w="384" w:type="pct"/>
            <w:vAlign w:val="center"/>
          </w:tcPr>
          <w:p>
            <w:pPr>
              <w:snapToGrid w:val="0"/>
              <w:spacing w:line="300" w:lineRule="auto"/>
              <w:jc w:val="center"/>
              <w:rPr>
                <w:b/>
                <w:bCs/>
                <w:sz w:val="18"/>
                <w:szCs w:val="18"/>
              </w:rPr>
            </w:pPr>
            <w:r>
              <w:rPr>
                <w:b/>
                <w:bCs/>
                <w:sz w:val="18"/>
                <w:szCs w:val="18"/>
              </w:rPr>
              <w:t>权重</w:t>
            </w:r>
          </w:p>
        </w:tc>
        <w:tc>
          <w:tcPr>
            <w:tcW w:w="375" w:type="pct"/>
            <w:vAlign w:val="center"/>
          </w:tcPr>
          <w:p>
            <w:pPr>
              <w:snapToGrid w:val="0"/>
              <w:spacing w:line="300" w:lineRule="auto"/>
              <w:jc w:val="center"/>
              <w:rPr>
                <w:b/>
                <w:bCs/>
                <w:sz w:val="18"/>
                <w:szCs w:val="18"/>
              </w:rPr>
            </w:pPr>
            <w:r>
              <w:rPr>
                <w:b/>
                <w:bCs/>
                <w:sz w:val="18"/>
                <w:szCs w:val="18"/>
              </w:rPr>
              <w:t>类别</w:t>
            </w:r>
          </w:p>
        </w:tc>
        <w:tc>
          <w:tcPr>
            <w:tcW w:w="317" w:type="pct"/>
            <w:vAlign w:val="center"/>
          </w:tcPr>
          <w:p>
            <w:pPr>
              <w:snapToGrid w:val="0"/>
              <w:spacing w:line="300" w:lineRule="auto"/>
              <w:jc w:val="center"/>
              <w:rPr>
                <w:b/>
                <w:bCs/>
                <w:sz w:val="18"/>
                <w:szCs w:val="18"/>
              </w:rPr>
            </w:pPr>
            <w:r>
              <w:rPr>
                <w:b/>
                <w:bCs/>
                <w:sz w:val="18"/>
                <w:szCs w:val="18"/>
              </w:rPr>
              <w:t>权重</w:t>
            </w:r>
          </w:p>
        </w:tc>
        <w:tc>
          <w:tcPr>
            <w:tcW w:w="2074" w:type="pct"/>
            <w:vAlign w:val="center"/>
          </w:tcPr>
          <w:p>
            <w:pPr>
              <w:snapToGrid w:val="0"/>
              <w:spacing w:line="300" w:lineRule="auto"/>
              <w:jc w:val="center"/>
              <w:rPr>
                <w:b/>
                <w:bCs/>
                <w:sz w:val="18"/>
                <w:szCs w:val="18"/>
              </w:rPr>
            </w:pPr>
            <w:r>
              <w:rPr>
                <w:b/>
                <w:bCs/>
                <w:sz w:val="18"/>
                <w:szCs w:val="18"/>
              </w:rPr>
              <w:t>考核/评价细则</w:t>
            </w:r>
          </w:p>
        </w:tc>
        <w:tc>
          <w:tcPr>
            <w:tcW w:w="540"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39" w:type="pct"/>
            <w:vAlign w:val="center"/>
          </w:tcPr>
          <w:p>
            <w:pPr>
              <w:snapToGrid w:val="0"/>
              <w:spacing w:line="300" w:lineRule="auto"/>
              <w:jc w:val="center"/>
              <w:rPr>
                <w:b/>
                <w:bCs/>
                <w:sz w:val="18"/>
                <w:szCs w:val="18"/>
              </w:rPr>
            </w:pPr>
            <w:r>
              <w:rPr>
                <w:rFonts w:hint="eastAsia"/>
                <w:b/>
                <w:bCs/>
                <w:sz w:val="18"/>
                <w:szCs w:val="18"/>
              </w:rPr>
              <w:t>毕业</w:t>
            </w:r>
          </w:p>
          <w:p>
            <w:pPr>
              <w:snapToGrid w:val="0"/>
              <w:spacing w:line="300" w:lineRule="auto"/>
              <w:jc w:val="center"/>
              <w:rPr>
                <w:b/>
                <w:bCs/>
                <w:sz w:val="18"/>
                <w:szCs w:val="18"/>
              </w:rPr>
            </w:pPr>
            <w:r>
              <w:rPr>
                <w:rFonts w:hint="eastAsia"/>
                <w:b/>
                <w:bCs/>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4" w:type="pct"/>
            <w:vMerge w:val="restart"/>
            <w:vAlign w:val="center"/>
          </w:tcPr>
          <w:p>
            <w:pPr>
              <w:snapToGrid w:val="0"/>
              <w:spacing w:line="300" w:lineRule="auto"/>
              <w:jc w:val="center"/>
              <w:rPr>
                <w:sz w:val="18"/>
                <w:szCs w:val="18"/>
              </w:rPr>
            </w:pPr>
            <w:r>
              <w:rPr>
                <w:sz w:val="18"/>
                <w:szCs w:val="18"/>
              </w:rPr>
              <w:t>0.4</w:t>
            </w:r>
          </w:p>
        </w:tc>
        <w:tc>
          <w:tcPr>
            <w:tcW w:w="375" w:type="pct"/>
            <w:vAlign w:val="center"/>
          </w:tcPr>
          <w:p>
            <w:pPr>
              <w:snapToGrid w:val="0"/>
              <w:spacing w:line="300" w:lineRule="auto"/>
              <w:jc w:val="center"/>
              <w:rPr>
                <w:sz w:val="18"/>
                <w:szCs w:val="18"/>
              </w:rPr>
            </w:pPr>
            <w:r>
              <w:rPr>
                <w:sz w:val="18"/>
                <w:szCs w:val="18"/>
              </w:rPr>
              <w:t>课堂表现</w:t>
            </w:r>
          </w:p>
        </w:tc>
        <w:tc>
          <w:tcPr>
            <w:tcW w:w="317" w:type="pct"/>
            <w:vAlign w:val="center"/>
          </w:tcPr>
          <w:p>
            <w:pPr>
              <w:snapToGrid w:val="0"/>
              <w:spacing w:line="300" w:lineRule="auto"/>
              <w:jc w:val="center"/>
              <w:rPr>
                <w:sz w:val="18"/>
                <w:szCs w:val="18"/>
              </w:rPr>
            </w:pPr>
            <w:r>
              <w:rPr>
                <w:sz w:val="18"/>
                <w:szCs w:val="18"/>
              </w:rPr>
              <w:t>0.08</w:t>
            </w:r>
          </w:p>
        </w:tc>
        <w:tc>
          <w:tcPr>
            <w:tcW w:w="2074" w:type="pct"/>
            <w:vAlign w:val="center"/>
          </w:tcPr>
          <w:p>
            <w:pPr>
              <w:snapToGrid w:val="0"/>
              <w:spacing w:line="300" w:lineRule="auto"/>
              <w:rPr>
                <w:sz w:val="18"/>
                <w:szCs w:val="18"/>
              </w:rPr>
            </w:pPr>
            <w:r>
              <w:rPr>
                <w:sz w:val="18"/>
                <w:szCs w:val="18"/>
              </w:rPr>
              <w:t>根据学生课堂表现打分，满分100。</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restart"/>
            <w:vAlign w:val="center"/>
          </w:tcPr>
          <w:p>
            <w:pPr>
              <w:snapToGrid w:val="0"/>
              <w:spacing w:line="300" w:lineRule="auto"/>
              <w:jc w:val="center"/>
              <w:rPr>
                <w:sz w:val="18"/>
                <w:szCs w:val="18"/>
              </w:rPr>
            </w:pPr>
            <w:r>
              <w:rPr>
                <w:sz w:val="18"/>
                <w:szCs w:val="18"/>
              </w:rPr>
              <w:t>作业</w:t>
            </w:r>
          </w:p>
        </w:tc>
        <w:tc>
          <w:tcPr>
            <w:tcW w:w="317" w:type="pct"/>
            <w:vAlign w:val="center"/>
          </w:tcPr>
          <w:p>
            <w:pPr>
              <w:snapToGrid w:val="0"/>
              <w:spacing w:line="300" w:lineRule="auto"/>
              <w:jc w:val="center"/>
              <w:rPr>
                <w:sz w:val="18"/>
                <w:szCs w:val="18"/>
              </w:rPr>
            </w:pPr>
            <w:r>
              <w:rPr>
                <w:sz w:val="18"/>
                <w:szCs w:val="18"/>
              </w:rPr>
              <w:t>0.08</w:t>
            </w:r>
          </w:p>
        </w:tc>
        <w:tc>
          <w:tcPr>
            <w:tcW w:w="2074" w:type="pct"/>
            <w:vMerge w:val="restart"/>
            <w:vAlign w:val="center"/>
          </w:tcPr>
          <w:p>
            <w:pPr>
              <w:snapToGrid w:val="0"/>
              <w:spacing w:line="300" w:lineRule="auto"/>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共四次作业，</w:t>
            </w:r>
            <w:r>
              <w:rPr>
                <w:sz w:val="18"/>
                <w:szCs w:val="18"/>
              </w:rPr>
              <w:t>每次作业</w:t>
            </w:r>
            <w:r>
              <w:rPr>
                <w:rFonts w:hint="eastAsia"/>
                <w:sz w:val="18"/>
                <w:szCs w:val="18"/>
              </w:rPr>
              <w:t>满分</w:t>
            </w:r>
            <w:r>
              <w:rPr>
                <w:sz w:val="18"/>
                <w:szCs w:val="18"/>
              </w:rPr>
              <w:t>25分</w:t>
            </w:r>
            <w:r>
              <w:rPr>
                <w:rFonts w:hint="eastAsia"/>
                <w:sz w:val="18"/>
                <w:szCs w:val="18"/>
              </w:rPr>
              <w:t>，作业总成绩1</w:t>
            </w:r>
            <w:r>
              <w:rPr>
                <w:sz w:val="18"/>
                <w:szCs w:val="18"/>
              </w:rPr>
              <w:t>00</w:t>
            </w:r>
            <w:r>
              <w:rPr>
                <w:rFonts w:hint="eastAsia"/>
                <w:sz w:val="18"/>
                <w:szCs w:val="18"/>
              </w:rPr>
              <w:t>分。</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continue"/>
            <w:vAlign w:val="center"/>
          </w:tcPr>
          <w:p>
            <w:pPr>
              <w:snapToGrid w:val="0"/>
              <w:spacing w:line="300" w:lineRule="auto"/>
              <w:jc w:val="center"/>
              <w:rPr>
                <w:sz w:val="18"/>
                <w:szCs w:val="18"/>
              </w:rPr>
            </w:pPr>
          </w:p>
        </w:tc>
        <w:tc>
          <w:tcPr>
            <w:tcW w:w="317" w:type="pct"/>
            <w:vAlign w:val="center"/>
          </w:tcPr>
          <w:p>
            <w:pPr>
              <w:snapToGrid w:val="0"/>
              <w:spacing w:line="300" w:lineRule="auto"/>
              <w:jc w:val="center"/>
              <w:rPr>
                <w:sz w:val="18"/>
                <w:szCs w:val="18"/>
              </w:rPr>
            </w:pPr>
            <w:r>
              <w:rPr>
                <w:sz w:val="18"/>
                <w:szCs w:val="18"/>
              </w:rPr>
              <w:t>0.08</w:t>
            </w:r>
          </w:p>
        </w:tc>
        <w:tc>
          <w:tcPr>
            <w:tcW w:w="2074"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sz w:val="18"/>
                <w:szCs w:val="18"/>
              </w:rPr>
              <w:t>2</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Align w:val="center"/>
          </w:tcPr>
          <w:p>
            <w:pPr>
              <w:snapToGrid w:val="0"/>
              <w:spacing w:line="300" w:lineRule="auto"/>
              <w:jc w:val="center"/>
              <w:rPr>
                <w:sz w:val="18"/>
                <w:szCs w:val="18"/>
              </w:rPr>
            </w:pPr>
            <w:r>
              <w:rPr>
                <w:sz w:val="18"/>
                <w:szCs w:val="18"/>
              </w:rPr>
              <w:t>实验</w:t>
            </w:r>
          </w:p>
        </w:tc>
        <w:tc>
          <w:tcPr>
            <w:tcW w:w="317" w:type="pct"/>
            <w:vAlign w:val="center"/>
          </w:tcPr>
          <w:p>
            <w:pPr>
              <w:snapToGrid w:val="0"/>
              <w:spacing w:line="300" w:lineRule="auto"/>
              <w:jc w:val="center"/>
              <w:rPr>
                <w:sz w:val="18"/>
                <w:szCs w:val="18"/>
              </w:rPr>
            </w:pPr>
            <w:r>
              <w:rPr>
                <w:sz w:val="18"/>
                <w:szCs w:val="18"/>
              </w:rPr>
              <w:t>0.16</w:t>
            </w:r>
          </w:p>
        </w:tc>
        <w:tc>
          <w:tcPr>
            <w:tcW w:w="2074" w:type="pct"/>
            <w:vAlign w:val="center"/>
          </w:tcPr>
          <w:p>
            <w:pPr>
              <w:snapToGrid w:val="0"/>
              <w:spacing w:line="300" w:lineRule="auto"/>
              <w:rPr>
                <w:sz w:val="18"/>
                <w:szCs w:val="18"/>
              </w:rPr>
            </w:pPr>
            <w:r>
              <w:rPr>
                <w:sz w:val="18"/>
                <w:szCs w:val="18"/>
              </w:rPr>
              <w:t>根据实验完成质量以及实验报告质量评分</w:t>
            </w:r>
            <w:r>
              <w:rPr>
                <w:rFonts w:hint="eastAsia"/>
                <w:sz w:val="18"/>
                <w:szCs w:val="18"/>
              </w:rPr>
              <w:t>；共四次实验，每次实验满分2</w:t>
            </w:r>
            <w:r>
              <w:rPr>
                <w:sz w:val="18"/>
                <w:szCs w:val="18"/>
              </w:rPr>
              <w:t>5</w:t>
            </w:r>
            <w:r>
              <w:rPr>
                <w:rFonts w:hint="eastAsia"/>
                <w:sz w:val="18"/>
                <w:szCs w:val="18"/>
              </w:rPr>
              <w:t>分，实验总成绩</w:t>
            </w:r>
            <w:r>
              <w:rPr>
                <w:sz w:val="18"/>
                <w:szCs w:val="18"/>
              </w:rPr>
              <w:t>100分。</w:t>
            </w:r>
          </w:p>
        </w:tc>
        <w:tc>
          <w:tcPr>
            <w:tcW w:w="540" w:type="pct"/>
            <w:vAlign w:val="center"/>
          </w:tcPr>
          <w:p>
            <w:pPr>
              <w:snapToGrid w:val="0"/>
              <w:spacing w:line="300" w:lineRule="auto"/>
              <w:jc w:val="center"/>
              <w:rPr>
                <w:sz w:val="18"/>
                <w:szCs w:val="18"/>
              </w:rPr>
            </w:pPr>
            <w:r>
              <w:rPr>
                <w:sz w:val="18"/>
                <w:szCs w:val="18"/>
              </w:rPr>
              <w:t>3</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86" w:type="pct"/>
            <w:vMerge w:val="restart"/>
            <w:vAlign w:val="center"/>
          </w:tcPr>
          <w:p>
            <w:pPr>
              <w:snapToGrid w:val="0"/>
              <w:spacing w:line="300" w:lineRule="auto"/>
              <w:rPr>
                <w:sz w:val="18"/>
                <w:szCs w:val="18"/>
              </w:rPr>
            </w:pPr>
            <w:r>
              <w:rPr>
                <w:sz w:val="18"/>
                <w:szCs w:val="18"/>
              </w:rPr>
              <w:t>期末考试成绩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4" w:type="pct"/>
            <w:vMerge w:val="restart"/>
            <w:vAlign w:val="center"/>
          </w:tcPr>
          <w:p>
            <w:pPr>
              <w:snapToGrid w:val="0"/>
              <w:spacing w:line="300" w:lineRule="auto"/>
              <w:jc w:val="center"/>
              <w:rPr>
                <w:sz w:val="18"/>
                <w:szCs w:val="18"/>
              </w:rPr>
            </w:pPr>
            <w:r>
              <w:rPr>
                <w:sz w:val="18"/>
                <w:szCs w:val="18"/>
              </w:rPr>
              <w:t>0.6</w:t>
            </w:r>
          </w:p>
        </w:tc>
        <w:tc>
          <w:tcPr>
            <w:tcW w:w="375" w:type="pct"/>
            <w:vMerge w:val="restart"/>
            <w:vAlign w:val="center"/>
          </w:tcPr>
          <w:p>
            <w:pPr>
              <w:snapToGrid w:val="0"/>
              <w:spacing w:line="300" w:lineRule="auto"/>
              <w:jc w:val="left"/>
              <w:rPr>
                <w:sz w:val="18"/>
                <w:szCs w:val="18"/>
              </w:rPr>
            </w:pPr>
            <w:r>
              <w:rPr>
                <w:sz w:val="18"/>
                <w:szCs w:val="18"/>
              </w:rPr>
              <w:t>闭卷考试</w:t>
            </w:r>
          </w:p>
        </w:tc>
        <w:tc>
          <w:tcPr>
            <w:tcW w:w="317" w:type="pct"/>
            <w:vAlign w:val="center"/>
          </w:tcPr>
          <w:p>
            <w:pPr>
              <w:snapToGrid w:val="0"/>
              <w:spacing w:line="300" w:lineRule="auto"/>
              <w:jc w:val="center"/>
              <w:rPr>
                <w:sz w:val="18"/>
                <w:szCs w:val="18"/>
              </w:rPr>
            </w:pPr>
            <w:r>
              <w:rPr>
                <w:sz w:val="18"/>
                <w:szCs w:val="18"/>
              </w:rPr>
              <w:t>0.36</w:t>
            </w:r>
          </w:p>
        </w:tc>
        <w:tc>
          <w:tcPr>
            <w:tcW w:w="2074" w:type="pct"/>
            <w:vMerge w:val="restart"/>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第1-7章。</w:t>
            </w:r>
          </w:p>
          <w:p>
            <w:pPr>
              <w:snapToGrid w:val="0"/>
              <w:spacing w:line="300" w:lineRule="auto"/>
              <w:rPr>
                <w:sz w:val="18"/>
                <w:szCs w:val="18"/>
              </w:rPr>
            </w:pPr>
            <w:r>
              <w:rPr>
                <w:sz w:val="18"/>
                <w:szCs w:val="18"/>
              </w:rPr>
              <w:t>(3)建议考试题型包括：填空题、选择题、分析判断、画图题、简单计算题、综合计算题、证明题等其中某几种题型。</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continue"/>
            <w:vAlign w:val="center"/>
          </w:tcPr>
          <w:p>
            <w:pPr>
              <w:snapToGrid w:val="0"/>
              <w:spacing w:line="300" w:lineRule="auto"/>
              <w:jc w:val="left"/>
              <w:rPr>
                <w:sz w:val="18"/>
                <w:szCs w:val="18"/>
              </w:rPr>
            </w:pPr>
          </w:p>
        </w:tc>
        <w:tc>
          <w:tcPr>
            <w:tcW w:w="317" w:type="pct"/>
            <w:vAlign w:val="center"/>
          </w:tcPr>
          <w:p>
            <w:pPr>
              <w:snapToGrid w:val="0"/>
              <w:spacing w:line="300" w:lineRule="auto"/>
              <w:jc w:val="center"/>
              <w:rPr>
                <w:sz w:val="18"/>
                <w:szCs w:val="18"/>
              </w:rPr>
            </w:pPr>
            <w:r>
              <w:rPr>
                <w:rFonts w:hint="eastAsia"/>
                <w:sz w:val="18"/>
                <w:szCs w:val="18"/>
              </w:rPr>
              <w:t>0</w:t>
            </w:r>
            <w:r>
              <w:rPr>
                <w:sz w:val="18"/>
                <w:szCs w:val="18"/>
              </w:rPr>
              <w:t>.24</w:t>
            </w:r>
          </w:p>
        </w:tc>
        <w:tc>
          <w:tcPr>
            <w:tcW w:w="2074"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sz w:val="18"/>
                <w:szCs w:val="18"/>
              </w:rPr>
              <w:t>2</w:t>
            </w:r>
          </w:p>
        </w:tc>
        <w:tc>
          <w:tcPr>
            <w:tcW w:w="539" w:type="pct"/>
            <w:vAlign w:val="center"/>
          </w:tcPr>
          <w:p>
            <w:pPr>
              <w:snapToGrid w:val="0"/>
              <w:spacing w:line="300" w:lineRule="auto"/>
              <w:jc w:val="center"/>
              <w:rPr>
                <w:sz w:val="18"/>
                <w:szCs w:val="18"/>
              </w:rPr>
            </w:pPr>
            <w:r>
              <w:rPr>
                <w:rFonts w:hint="eastAsia"/>
                <w:sz w:val="18"/>
                <w:szCs w:val="18"/>
              </w:rPr>
              <w:t>1</w:t>
            </w:r>
            <w:r>
              <w:rPr>
                <w:sz w:val="18"/>
                <w:szCs w:val="18"/>
              </w:rPr>
              <w:t>.3</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71"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71" DrawAspect="Content" ObjectID="_1468075770" r:id="rId80">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072" o:spt="75" type="#_x0000_t75" style="height:18pt;width:278.25pt;" o:ole="t" filled="f" o:preferrelative="t" stroked="f" coordsize="21600,21600">
            <v:path/>
            <v:fill on="f" focussize="0,0"/>
            <v:stroke on="f" joinstyle="miter"/>
            <v:imagedata r:id="rId38" o:title=""/>
            <o:lock v:ext="edit" aspectratio="t"/>
            <w10:wrap type="none"/>
            <w10:anchorlock/>
          </v:shape>
          <o:OLEObject Type="Embed" ProgID="Equation.DSMT4" ShapeID="_x0000_i1072" DrawAspect="Content" ObjectID="_1468075771" r:id="rId81">
            <o:LockedField>false</o:LockedField>
          </o:OLEObject>
        </w:object>
      </w:r>
    </w:p>
    <w:p>
      <w:pPr>
        <w:snapToGrid w:val="0"/>
        <w:spacing w:line="300" w:lineRule="auto"/>
      </w:pPr>
      <w:r>
        <w:t>其中权重系数按照表6设定。</w:t>
      </w:r>
    </w:p>
    <w:p>
      <w:pPr>
        <w:snapToGrid w:val="0"/>
        <w:spacing w:line="300" w:lineRule="auto"/>
        <w:jc w:val="center"/>
        <w:rPr>
          <w:b/>
          <w:bCs/>
          <w:sz w:val="18"/>
          <w:szCs w:val="18"/>
        </w:rPr>
      </w:pPr>
      <w:r>
        <w:rPr>
          <w:b/>
          <w:bCs/>
          <w:sz w:val="18"/>
          <w:szCs w:val="18"/>
        </w:rPr>
        <w:t>表6课程目标权重系数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63"/>
        <w:gridCol w:w="1968"/>
        <w:gridCol w:w="2334"/>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099" w:type="pct"/>
            <w:vAlign w:val="center"/>
          </w:tcPr>
          <w:p>
            <w:pPr>
              <w:snapToGrid w:val="0"/>
              <w:spacing w:line="300" w:lineRule="auto"/>
              <w:jc w:val="center"/>
              <w:rPr>
                <w:b/>
                <w:bCs/>
                <w:sz w:val="18"/>
                <w:szCs w:val="18"/>
              </w:rPr>
            </w:pPr>
            <w:r>
              <w:rPr>
                <w:b/>
                <w:bCs/>
                <w:sz w:val="18"/>
                <w:szCs w:val="18"/>
              </w:rPr>
              <w:t>课程目标</w:t>
            </w:r>
          </w:p>
        </w:tc>
        <w:tc>
          <w:tcPr>
            <w:tcW w:w="1161" w:type="pct"/>
            <w:vAlign w:val="center"/>
          </w:tcPr>
          <w:p>
            <w:pPr>
              <w:snapToGrid w:val="0"/>
              <w:spacing w:line="300" w:lineRule="auto"/>
              <w:jc w:val="center"/>
              <w:rPr>
                <w:sz w:val="18"/>
                <w:szCs w:val="18"/>
              </w:rPr>
            </w:pPr>
            <w:r>
              <w:rPr>
                <w:sz w:val="18"/>
                <w:szCs w:val="18"/>
              </w:rPr>
              <w:t>1</w:t>
            </w:r>
          </w:p>
        </w:tc>
        <w:tc>
          <w:tcPr>
            <w:tcW w:w="1377" w:type="pct"/>
            <w:vAlign w:val="center"/>
          </w:tcPr>
          <w:p>
            <w:pPr>
              <w:snapToGrid w:val="0"/>
              <w:spacing w:line="300" w:lineRule="auto"/>
              <w:jc w:val="center"/>
              <w:rPr>
                <w:sz w:val="18"/>
                <w:szCs w:val="18"/>
              </w:rPr>
            </w:pPr>
            <w:r>
              <w:rPr>
                <w:sz w:val="18"/>
                <w:szCs w:val="18"/>
              </w:rPr>
              <w:t>2</w:t>
            </w:r>
          </w:p>
        </w:tc>
        <w:tc>
          <w:tcPr>
            <w:tcW w:w="1363"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099" w:type="pct"/>
            <w:vAlign w:val="center"/>
          </w:tcPr>
          <w:p>
            <w:pPr>
              <w:snapToGrid w:val="0"/>
              <w:spacing w:line="300" w:lineRule="auto"/>
              <w:jc w:val="center"/>
              <w:rPr>
                <w:b/>
                <w:bCs/>
                <w:sz w:val="18"/>
                <w:szCs w:val="18"/>
              </w:rPr>
            </w:pPr>
            <w:r>
              <w:rPr>
                <w:b/>
                <w:bCs/>
                <w:sz w:val="18"/>
                <w:szCs w:val="18"/>
              </w:rPr>
              <w:t>权重系数</w:t>
            </w:r>
          </w:p>
        </w:tc>
        <w:tc>
          <w:tcPr>
            <w:tcW w:w="1161" w:type="pct"/>
            <w:vAlign w:val="center"/>
          </w:tcPr>
          <w:p>
            <w:pPr>
              <w:snapToGrid w:val="0"/>
              <w:spacing w:line="300" w:lineRule="auto"/>
              <w:jc w:val="center"/>
              <w:rPr>
                <w:sz w:val="18"/>
                <w:szCs w:val="18"/>
              </w:rPr>
            </w:pPr>
            <w:r>
              <w:rPr>
                <w:sz w:val="18"/>
                <w:szCs w:val="18"/>
              </w:rPr>
              <w:t>0.52</w:t>
            </w:r>
          </w:p>
        </w:tc>
        <w:tc>
          <w:tcPr>
            <w:tcW w:w="1377" w:type="pct"/>
            <w:vAlign w:val="center"/>
          </w:tcPr>
          <w:p>
            <w:pPr>
              <w:snapToGrid w:val="0"/>
              <w:spacing w:line="300" w:lineRule="auto"/>
              <w:jc w:val="center"/>
              <w:rPr>
                <w:sz w:val="18"/>
                <w:szCs w:val="18"/>
              </w:rPr>
            </w:pPr>
            <w:r>
              <w:rPr>
                <w:sz w:val="18"/>
                <w:szCs w:val="18"/>
              </w:rPr>
              <w:t>0.32</w:t>
            </w:r>
          </w:p>
        </w:tc>
        <w:tc>
          <w:tcPr>
            <w:tcW w:w="1363" w:type="pct"/>
            <w:vAlign w:val="center"/>
          </w:tcPr>
          <w:p>
            <w:pPr>
              <w:snapToGrid w:val="0"/>
              <w:spacing w:line="300" w:lineRule="auto"/>
              <w:jc w:val="center"/>
              <w:rPr>
                <w:sz w:val="18"/>
                <w:szCs w:val="18"/>
              </w:rPr>
            </w:pPr>
            <w:r>
              <w:rPr>
                <w:sz w:val="18"/>
                <w:szCs w:val="18"/>
              </w:rPr>
              <w:t>0.16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73"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073" DrawAspect="Content" ObjectID="_1468075772" r:id="rId82">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32"/>
        </w:numPr>
        <w:snapToGrid w:val="0"/>
        <w:spacing w:line="300" w:lineRule="auto"/>
        <w:rPr>
          <w:rFonts w:ascii="Times New Roman" w:hAnsi="Times New Roman" w:eastAsia="宋体" w:cs="Times New Roman"/>
        </w:rPr>
      </w:pPr>
      <w:r>
        <w:rPr>
          <w:rFonts w:ascii="Times New Roman" w:hAnsi="Times New Roman" w:eastAsia="宋体" w:cs="Times New Roman"/>
          <w:szCs w:val="21"/>
        </w:rPr>
        <w:t>燕庆明主编．教育部高等学校电子电气基础课程教学指导分委员会推荐教材</w:t>
      </w:r>
      <w:r>
        <w:rPr>
          <w:rFonts w:ascii="Times New Roman" w:hAnsi="Times New Roman" w:eastAsia="宋体" w:cs="Times New Roman"/>
        </w:rPr>
        <w:t>：信号与系统教程（第</w:t>
      </w:r>
      <w:r>
        <w:rPr>
          <w:rFonts w:ascii="Times New Roman" w:hAnsi="Times New Roman" w:eastAsia="宋体" w:cs="Times New Roman"/>
          <w:szCs w:val="21"/>
        </w:rPr>
        <w:t>3版）[M]</w:t>
      </w:r>
      <w:r>
        <w:rPr>
          <w:rFonts w:ascii="Times New Roman" w:hAnsi="Times New Roman" w:eastAsia="宋体" w:cs="Times New Roman"/>
        </w:rPr>
        <w:t>．北京：高等教育出版社，</w:t>
      </w:r>
      <w:r>
        <w:rPr>
          <w:rFonts w:ascii="Times New Roman" w:hAnsi="Times New Roman" w:eastAsia="宋体" w:cs="Times New Roman"/>
          <w:szCs w:val="21"/>
        </w:rPr>
        <w:t>2014年12月。</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33"/>
        </w:numPr>
        <w:snapToGrid w:val="0"/>
        <w:spacing w:line="300" w:lineRule="auto"/>
        <w:rPr>
          <w:rFonts w:ascii="Times New Roman" w:hAnsi="Times New Roman" w:eastAsia="宋体" w:cs="Times New Roman"/>
        </w:rPr>
      </w:pPr>
      <w:r>
        <w:rPr>
          <w:rFonts w:ascii="Times New Roman" w:hAnsi="Times New Roman" w:eastAsia="宋体" w:cs="Times New Roman"/>
          <w:szCs w:val="21"/>
        </w:rPr>
        <w:t>A.V. Oppenheim等著，刘树棠译</w:t>
      </w:r>
      <w:r>
        <w:rPr>
          <w:rFonts w:ascii="Times New Roman" w:hAnsi="Times New Roman" w:eastAsia="宋体" w:cs="Times New Roman"/>
        </w:rPr>
        <w:t>．</w:t>
      </w:r>
      <w:r>
        <w:rPr>
          <w:rFonts w:ascii="Times New Roman" w:hAnsi="Times New Roman" w:eastAsia="宋体" w:cs="Times New Roman"/>
          <w:szCs w:val="21"/>
        </w:rPr>
        <w:t>信号与系统（第二版）[M]</w:t>
      </w:r>
      <w:r>
        <w:rPr>
          <w:rFonts w:ascii="Times New Roman" w:hAnsi="Times New Roman" w:eastAsia="宋体" w:cs="Times New Roman"/>
        </w:rPr>
        <w:t>．北京：</w:t>
      </w:r>
      <w:r>
        <w:rPr>
          <w:rFonts w:ascii="Times New Roman" w:hAnsi="Times New Roman" w:eastAsia="宋体" w:cs="Times New Roman"/>
          <w:szCs w:val="21"/>
        </w:rPr>
        <w:t>电子工业出版社，2014年1月。</w:t>
      </w:r>
    </w:p>
    <w:p>
      <w:pPr>
        <w:numPr>
          <w:ilvl w:val="0"/>
          <w:numId w:val="33"/>
        </w:numPr>
        <w:snapToGrid w:val="0"/>
        <w:spacing w:line="300" w:lineRule="auto"/>
        <w:rPr>
          <w:rFonts w:ascii="Times New Roman" w:hAnsi="Times New Roman" w:eastAsia="宋体" w:cs="Times New Roman"/>
        </w:rPr>
      </w:pPr>
      <w:r>
        <w:rPr>
          <w:rFonts w:ascii="Times New Roman" w:hAnsi="Times New Roman" w:eastAsia="宋体" w:cs="Times New Roman"/>
          <w:szCs w:val="21"/>
        </w:rPr>
        <w:t>B.P.Lathi著，刘树棠译</w:t>
      </w:r>
      <w:r>
        <w:rPr>
          <w:rFonts w:ascii="Times New Roman" w:hAnsi="Times New Roman" w:eastAsia="宋体" w:cs="Times New Roman"/>
        </w:rPr>
        <w:t>．</w:t>
      </w:r>
      <w:r>
        <w:rPr>
          <w:rFonts w:ascii="Times New Roman" w:hAnsi="Times New Roman" w:eastAsia="宋体" w:cs="Times New Roman"/>
          <w:szCs w:val="21"/>
        </w:rPr>
        <w:t>线性系统与信号（第二版）[M]</w:t>
      </w:r>
      <w:r>
        <w:rPr>
          <w:rFonts w:ascii="Times New Roman" w:hAnsi="Times New Roman" w:eastAsia="宋体" w:cs="Times New Roman"/>
        </w:rPr>
        <w:t>．西安：</w:t>
      </w:r>
      <w:r>
        <w:rPr>
          <w:rFonts w:ascii="Times New Roman" w:hAnsi="Times New Roman" w:eastAsia="宋体" w:cs="Times New Roman"/>
          <w:szCs w:val="21"/>
        </w:rPr>
        <w:t>西安交通大学出版社，2006年。</w:t>
      </w:r>
    </w:p>
    <w:p>
      <w:pPr>
        <w:numPr>
          <w:ilvl w:val="0"/>
          <w:numId w:val="33"/>
        </w:numPr>
        <w:snapToGrid w:val="0"/>
        <w:spacing w:line="300" w:lineRule="auto"/>
        <w:rPr>
          <w:rFonts w:ascii="Times New Roman" w:hAnsi="Times New Roman" w:eastAsia="宋体" w:cs="Times New Roman"/>
        </w:rPr>
      </w:pPr>
      <w:r>
        <w:rPr>
          <w:rFonts w:ascii="Times New Roman" w:hAnsi="Times New Roman" w:eastAsia="宋体" w:cs="Times New Roman"/>
          <w:szCs w:val="21"/>
        </w:rPr>
        <w:t>郑君里等著</w:t>
      </w:r>
      <w:r>
        <w:rPr>
          <w:rFonts w:ascii="Times New Roman" w:hAnsi="Times New Roman" w:eastAsia="宋体" w:cs="Times New Roman"/>
        </w:rPr>
        <w:t xml:space="preserve">. </w:t>
      </w:r>
      <w:r>
        <w:rPr>
          <w:rFonts w:ascii="Times New Roman" w:hAnsi="Times New Roman" w:eastAsia="宋体" w:cs="Times New Roman"/>
          <w:szCs w:val="21"/>
        </w:rPr>
        <w:t>信号与系统</w:t>
      </w:r>
      <w:r>
        <w:rPr>
          <w:rFonts w:ascii="Times New Roman" w:hAnsi="Times New Roman" w:eastAsia="宋体" w:cs="Times New Roman"/>
        </w:rPr>
        <w:t>（上、下册）</w:t>
      </w:r>
      <w:r>
        <w:rPr>
          <w:rFonts w:ascii="Times New Roman" w:hAnsi="Times New Roman" w:eastAsia="宋体" w:cs="Times New Roman"/>
          <w:szCs w:val="21"/>
        </w:rPr>
        <w:t>[M]</w:t>
      </w:r>
      <w:r>
        <w:rPr>
          <w:rFonts w:ascii="Times New Roman" w:hAnsi="Times New Roman" w:eastAsia="宋体" w:cs="Times New Roman"/>
        </w:rPr>
        <w:t>．北京：</w:t>
      </w:r>
      <w:r>
        <w:rPr>
          <w:rFonts w:ascii="Times New Roman" w:hAnsi="Times New Roman" w:eastAsia="宋体" w:cs="Times New Roman"/>
          <w:szCs w:val="21"/>
        </w:rPr>
        <w:t>高等教育出版社，2011年3月第三版。</w:t>
      </w:r>
    </w:p>
    <w:p>
      <w:pPr>
        <w:numPr>
          <w:ilvl w:val="0"/>
          <w:numId w:val="33"/>
        </w:numPr>
        <w:snapToGrid w:val="0"/>
        <w:spacing w:line="300" w:lineRule="auto"/>
        <w:rPr>
          <w:rFonts w:ascii="Times New Roman" w:hAnsi="Times New Roman" w:eastAsia="宋体" w:cs="Times New Roman"/>
        </w:rPr>
      </w:pPr>
      <w:r>
        <w:rPr>
          <w:rFonts w:ascii="Times New Roman" w:hAnsi="Times New Roman" w:eastAsia="宋体" w:cs="Times New Roman"/>
        </w:rPr>
        <w:t>管致中等. 信号与线性系统（上、下册）</w:t>
      </w:r>
      <w:r>
        <w:rPr>
          <w:rFonts w:ascii="Times New Roman" w:hAnsi="Times New Roman" w:eastAsia="宋体" w:cs="Times New Roman"/>
          <w:szCs w:val="21"/>
        </w:rPr>
        <w:t>[M]</w:t>
      </w:r>
      <w:r>
        <w:rPr>
          <w:rFonts w:ascii="Times New Roman" w:hAnsi="Times New Roman" w:eastAsia="宋体" w:cs="Times New Roman"/>
        </w:rPr>
        <w:t>．北京：高等教育出版社，2004年1月第四版。</w:t>
      </w:r>
    </w:p>
    <w:p>
      <w:pPr>
        <w:numPr>
          <w:ilvl w:val="0"/>
          <w:numId w:val="33"/>
        </w:numPr>
        <w:snapToGrid w:val="0"/>
        <w:spacing w:line="300" w:lineRule="auto"/>
        <w:rPr>
          <w:rFonts w:ascii="Times New Roman" w:hAnsi="Times New Roman" w:eastAsia="宋体" w:cs="Times New Roman"/>
        </w:rPr>
      </w:pPr>
      <w:r>
        <w:rPr>
          <w:rFonts w:ascii="Times New Roman" w:hAnsi="Times New Roman" w:eastAsia="宋体" w:cs="Times New Roman"/>
          <w:szCs w:val="21"/>
        </w:rPr>
        <w:t>吴大正主编．信号与线性系统分析（第四版）[M]．</w:t>
      </w:r>
      <w:r>
        <w:rPr>
          <w:rFonts w:ascii="Times New Roman" w:hAnsi="Times New Roman" w:eastAsia="宋体" w:cs="Times New Roman"/>
        </w:rPr>
        <w:t>北京：</w:t>
      </w:r>
      <w:r>
        <w:rPr>
          <w:rFonts w:ascii="Times New Roman" w:hAnsi="Times New Roman" w:eastAsia="宋体" w:cs="Times New Roman"/>
          <w:szCs w:val="21"/>
        </w:rPr>
        <w:t>高等教育出版社，2005年8月。</w:t>
      </w:r>
    </w:p>
    <w:p>
      <w:pPr>
        <w:numPr>
          <w:ilvl w:val="0"/>
          <w:numId w:val="33"/>
        </w:numPr>
        <w:snapToGrid w:val="0"/>
        <w:spacing w:line="300" w:lineRule="auto"/>
        <w:rPr>
          <w:rFonts w:ascii="Times New Roman" w:hAnsi="Times New Roman" w:eastAsia="宋体" w:cs="Times New Roman"/>
        </w:rPr>
      </w:pPr>
      <w:bookmarkStart w:id="80" w:name="_Hlk35811113"/>
      <w:r>
        <w:rPr>
          <w:rFonts w:ascii="Times New Roman" w:hAnsi="Times New Roman" w:eastAsia="宋体" w:cs="Times New Roman"/>
          <w:szCs w:val="21"/>
        </w:rPr>
        <w:t>燕庆明主编．教育部高等学校电子电气基础课程教学指导分委员会推荐教材</w:t>
      </w:r>
      <w:r>
        <w:rPr>
          <w:rFonts w:ascii="Times New Roman" w:hAnsi="Times New Roman" w:eastAsia="宋体" w:cs="Times New Roman"/>
        </w:rPr>
        <w:t>：信号与系统教程（第</w:t>
      </w:r>
      <w:r>
        <w:rPr>
          <w:rFonts w:ascii="Times New Roman" w:hAnsi="Times New Roman" w:eastAsia="宋体" w:cs="Times New Roman"/>
          <w:szCs w:val="21"/>
        </w:rPr>
        <w:t>3版）学习指导与题解[M]</w:t>
      </w:r>
      <w:r>
        <w:rPr>
          <w:rFonts w:ascii="Times New Roman" w:hAnsi="Times New Roman" w:eastAsia="宋体" w:cs="Times New Roman"/>
        </w:rPr>
        <w:t>．北京：高等教育出版社，</w:t>
      </w:r>
      <w:r>
        <w:rPr>
          <w:rFonts w:ascii="Times New Roman" w:hAnsi="Times New Roman" w:eastAsia="宋体" w:cs="Times New Roman"/>
          <w:szCs w:val="21"/>
        </w:rPr>
        <w:t>2015年9月。</w:t>
      </w:r>
      <w:bookmarkEnd w:id="80"/>
      <w:r>
        <w:rPr>
          <w:rFonts w:ascii="Times New Roman" w:hAnsi="Times New Roman" w:eastAsia="宋体" w:cs="Times New Roman"/>
          <w:szCs w:val="21"/>
        </w:rPr>
        <w:t xml:space="preserve">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tc>
      </w:tr>
      <w:bookmarkEnd w:id="71"/>
      <w:bookmarkEnd w:id="72"/>
      <w:bookmarkEnd w:id="73"/>
      <w:bookmarkEnd w:id="74"/>
      <w:bookmarkEnd w:id="75"/>
    </w:tbl>
    <w:p>
      <w:pPr>
        <w:snapToGrid w:val="0"/>
        <w:spacing w:line="300" w:lineRule="auto"/>
        <w:ind w:firstLine="420" w:firstLineChars="200"/>
        <w:rPr>
          <w:szCs w:val="21"/>
        </w:rPr>
      </w:pPr>
      <w:bookmarkStart w:id="81" w:name="_Toc47719754"/>
      <w:bookmarkStart w:id="82" w:name="_Hlk47615906"/>
      <w:bookmarkStart w:id="83" w:name="_Toc47774710"/>
      <w:bookmarkStart w:id="84" w:name="_Toc47718783"/>
    </w:p>
    <w:p>
      <w:pPr>
        <w:snapToGrid w:val="0"/>
        <w:spacing w:line="300" w:lineRule="auto"/>
        <w:ind w:firstLine="420" w:firstLineChars="200"/>
        <w:rPr>
          <w:szCs w:val="21"/>
        </w:rPr>
      </w:pPr>
      <w:r>
        <w:rPr>
          <w:szCs w:val="21"/>
        </w:rPr>
        <w:br w:type="page"/>
      </w:r>
    </w:p>
    <w:p>
      <w:pPr>
        <w:keepNext/>
        <w:keepLines/>
        <w:tabs>
          <w:tab w:val="left" w:pos="0"/>
          <w:tab w:val="left" w:pos="420"/>
        </w:tabs>
        <w:spacing w:before="260" w:after="260" w:line="413" w:lineRule="auto"/>
        <w:jc w:val="center"/>
        <w:outlineLvl w:val="2"/>
        <w:rPr>
          <w:b/>
          <w:sz w:val="32"/>
        </w:rPr>
      </w:pPr>
      <w:bookmarkStart w:id="85" w:name="_Toc7723"/>
      <w:r>
        <w:rPr>
          <w:rFonts w:ascii="Times New Roman" w:hAnsi="Times New Roman" w:cs="Times New Roman"/>
          <w:b/>
          <w:sz w:val="32"/>
        </w:rPr>
        <w:t>16632230《模拟电子技术》课程教学大纲</w:t>
      </w:r>
      <w:bookmarkEnd w:id="8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szCs w:val="21"/>
              </w:rPr>
              <w:t>16632230</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szCs w:val="21"/>
              </w:rPr>
              <w:t>模拟电子技术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kern w:val="0"/>
                <w:szCs w:val="21"/>
              </w:rPr>
              <w:t>专业基础类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szCs w:val="21"/>
              </w:rPr>
              <w:t>Analog Electronic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3.5 </w:t>
            </w:r>
            <w:r>
              <w:rPr>
                <w:kern w:val="0"/>
                <w:szCs w:val="21"/>
              </w:rPr>
              <w:t>: 56（10）</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王骥、杨文虎、谢钦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rFonts w:hint="eastAsia"/>
                <w:kern w:val="0"/>
                <w:szCs w:val="21"/>
              </w:rPr>
              <w:t>卢庆杰</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高等数学、大学物理和工程数学</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数字电子技术基础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模拟电子技术》是电子与信息工程学院电类各个专业的专业教育核心课，主要讲授了常用半导体器件、基本放大电路、多级放大电路、集成运算放大电路、放大电路的频率响应、放大电路中的反馈、信号的运算和处理、波形的发生和信号的转换、功率放大电路和直流电源等知识。通过本课程的学习，使学生应掌握模拟电子技术方面的基本知识、基本理论和基本技能，培养学生的逻辑思维能力、综合运用电路理论分析和解决问题的能力，为后续《数字电子技术》、《高频电子线路》、《单片机及应用》和《微机原理》等课程的学习打下坚实基础。因此，该课程是一门重要的承上启下的专业基础课。</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通过本课程学习，学生应当理解和掌握模拟电路中的基本概念、基本原理和基本分析方法；掌握常用半导体元器件的模型建立、外部特性及分析方法与应用，特别是集成运算放大器的熟练应用与设计；掌握信号放大、反馈、信号处理、信号发生与转换等重要且不同的技术实现方案，建立集成与系统的概念；具有定量计算基本电路性能指标的能力；初步具有读图能力。培养学生的逻辑思维能力、具备工程意识、综合运用模拟电路理论分析和解决问题的能力，为解决复杂工程问题及今后深入学习和从事电子技术相关工作奠定基础。</w:t>
      </w:r>
      <w:r>
        <w:rPr>
          <w:b/>
          <w:kern w:val="0"/>
          <w:szCs w:val="21"/>
        </w:rPr>
        <w:t>讲授过程植入电子技术史上杰出科学家的工匠精神，国内著名电子公司的爱国与担当精神。旨在培育学生创新精神，使学生的学习能力提升的同时，精神层面也得到升华。</w:t>
      </w:r>
      <w:r>
        <w:rPr>
          <w:kern w:val="0"/>
          <w:szCs w:val="21"/>
        </w:rPr>
        <w:t>本课程的具体教学目标如下：</w:t>
      </w:r>
    </w:p>
    <w:p>
      <w:pPr>
        <w:widowControl/>
        <w:snapToGrid w:val="0"/>
        <w:spacing w:line="300" w:lineRule="auto"/>
        <w:ind w:firstLine="420" w:firstLineChars="200"/>
        <w:rPr>
          <w:kern w:val="0"/>
          <w:szCs w:val="21"/>
        </w:rPr>
      </w:pPr>
      <w:r>
        <w:rPr>
          <w:kern w:val="0"/>
          <w:szCs w:val="21"/>
        </w:rPr>
        <w:t>1．掌握常用半导体元器件的外部特性、等效模型及应用，分立元件放大电路的基本分析和计算方法，放大电路中反馈的重要性，运算电路的分析和应用；理解非线性元器件的模型，建立估算和简化的工程观念，具备常用半导体元器件及分立元件放大电路的熟练分析与设计。[1</w:t>
      </w:r>
      <w:r>
        <w:rPr>
          <w:rFonts w:hint="eastAsia"/>
          <w:kern w:val="0"/>
          <w:szCs w:val="21"/>
        </w:rPr>
        <w:t>.</w:t>
      </w:r>
      <w:r>
        <w:rPr>
          <w:kern w:val="0"/>
          <w:szCs w:val="21"/>
        </w:rPr>
        <w:t>2]</w:t>
      </w:r>
    </w:p>
    <w:p>
      <w:pPr>
        <w:widowControl/>
        <w:snapToGrid w:val="0"/>
        <w:spacing w:line="300" w:lineRule="auto"/>
        <w:ind w:firstLine="420" w:firstLineChars="200"/>
        <w:rPr>
          <w:szCs w:val="21"/>
        </w:rPr>
      </w:pPr>
      <w:r>
        <w:rPr>
          <w:kern w:val="0"/>
          <w:szCs w:val="21"/>
        </w:rPr>
        <w:t>2．</w:t>
      </w:r>
      <w:r>
        <w:rPr>
          <w:szCs w:val="21"/>
        </w:rPr>
        <w:t>能够利用模拟电子技术专业知识，针对给定需求，设计出满足要求的系统总体方案与系统拓扑图、单元子系统（或单元电路）、软硬件模块或工艺。[3</w:t>
      </w:r>
      <w:r>
        <w:rPr>
          <w:rFonts w:hint="eastAsia"/>
          <w:szCs w:val="21"/>
        </w:rPr>
        <w:t>.</w:t>
      </w:r>
      <w:r>
        <w:rPr>
          <w:szCs w:val="21"/>
        </w:rPr>
        <w:t>1]</w:t>
      </w:r>
    </w:p>
    <w:p>
      <w:pPr>
        <w:snapToGrid w:val="0"/>
        <w:spacing w:line="300" w:lineRule="auto"/>
        <w:ind w:firstLine="420" w:firstLineChars="200"/>
        <w:rPr>
          <w:szCs w:val="21"/>
        </w:rPr>
      </w:pPr>
      <w:r>
        <w:rPr>
          <w:szCs w:val="21"/>
        </w:rPr>
        <w:t>3．具备利用Multisim EDA等仿真软件对于复杂工程模型电路进行仿真和应用实际电路实验装置与仪器进行实验的能力。[5</w:t>
      </w:r>
      <w:r>
        <w:rPr>
          <w:rFonts w:hint="eastAsia"/>
          <w:szCs w:val="21"/>
        </w:rPr>
        <w:t>.</w:t>
      </w:r>
      <w:r>
        <w:rPr>
          <w:szCs w:val="21"/>
        </w:rPr>
        <w:t>1]</w:t>
      </w:r>
    </w:p>
    <w:p>
      <w:pPr>
        <w:snapToGrid w:val="0"/>
        <w:spacing w:line="300" w:lineRule="auto"/>
        <w:ind w:firstLine="420" w:firstLineChars="200"/>
        <w:rPr>
          <w:szCs w:val="21"/>
        </w:rPr>
      </w:pPr>
      <w:r>
        <w:rPr>
          <w:szCs w:val="21"/>
        </w:rPr>
        <w:t>课程教学目标与毕业要求的对应关系见表</w:t>
      </w:r>
      <w:r>
        <w:rPr>
          <w:rFonts w:hint="eastAsia"/>
          <w:szCs w:val="21"/>
        </w:rPr>
        <w:t>1</w:t>
      </w:r>
      <w:r>
        <w:rPr>
          <w:szCs w:val="21"/>
        </w:rPr>
        <w:t>所示。</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1．工程知识</w:t>
            </w:r>
          </w:p>
        </w:tc>
        <w:tc>
          <w:tcPr>
            <w:tcW w:w="6143" w:type="dxa"/>
          </w:tcPr>
          <w:p>
            <w:pPr>
              <w:snapToGrid w:val="0"/>
              <w:spacing w:line="300" w:lineRule="auto"/>
              <w:rPr>
                <w:sz w:val="18"/>
                <w:szCs w:val="18"/>
              </w:rPr>
            </w:pPr>
            <w:r>
              <w:rPr>
                <w:sz w:val="18"/>
                <w:szCs w:val="18"/>
              </w:rPr>
              <w:t>1</w:t>
            </w:r>
            <w:r>
              <w:rPr>
                <w:rFonts w:hint="eastAsia"/>
                <w:sz w:val="18"/>
                <w:szCs w:val="18"/>
              </w:rPr>
              <w:t>.</w:t>
            </w:r>
            <w:r>
              <w:rPr>
                <w:sz w:val="18"/>
                <w:szCs w:val="18"/>
              </w:rPr>
              <w:t>2掌握计算机、电子、信息、通信、测控及其它工程基础知识，并有效将其应用于电子信息领域工程问题的软硬件分析与设计</w:t>
            </w:r>
            <w:r>
              <w:rPr>
                <w:szCs w:val="21"/>
              </w:rPr>
              <w:t>。</w:t>
            </w:r>
          </w:p>
        </w:tc>
        <w:tc>
          <w:tcPr>
            <w:tcW w:w="689"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snapToGrid w:val="0"/>
              <w:spacing w:line="300" w:lineRule="auto"/>
              <w:rPr>
                <w:sz w:val="18"/>
                <w:szCs w:val="18"/>
              </w:rPr>
            </w:pPr>
            <w:r>
              <w:rPr>
                <w:sz w:val="18"/>
                <w:szCs w:val="18"/>
              </w:rPr>
              <w:t>3．设计/开发解决方案</w:t>
            </w:r>
          </w:p>
        </w:tc>
        <w:tc>
          <w:tcPr>
            <w:tcW w:w="6143" w:type="dxa"/>
            <w:vAlign w:val="center"/>
          </w:tcPr>
          <w:p>
            <w:pPr>
              <w:snapToGrid w:val="0"/>
              <w:spacing w:line="300" w:lineRule="auto"/>
              <w:ind w:right="-334"/>
              <w:rPr>
                <w:sz w:val="18"/>
                <w:szCs w:val="18"/>
              </w:rPr>
            </w:pPr>
            <w:r>
              <w:rPr>
                <w:sz w:val="18"/>
                <w:szCs w:val="18"/>
              </w:rPr>
              <w:t>3</w:t>
            </w:r>
            <w:r>
              <w:rPr>
                <w:rFonts w:hint="eastAsia"/>
                <w:sz w:val="18"/>
                <w:szCs w:val="18"/>
              </w:rPr>
              <w:t>.</w:t>
            </w:r>
            <w:r>
              <w:rPr>
                <w:sz w:val="18"/>
                <w:szCs w:val="18"/>
              </w:rPr>
              <w:t>1能够利用专业知识，针对给定需求，设计出满足要求的系统总体方案与系统拓扑图、单元子系统（或单元电路）、软硬件模块或工艺。</w:t>
            </w:r>
          </w:p>
        </w:tc>
        <w:tc>
          <w:tcPr>
            <w:tcW w:w="689"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5．现代工具使用</w:t>
            </w:r>
          </w:p>
        </w:tc>
        <w:tc>
          <w:tcPr>
            <w:tcW w:w="6143" w:type="dxa"/>
            <w:vAlign w:val="center"/>
          </w:tcPr>
          <w:p>
            <w:pPr>
              <w:snapToGrid w:val="0"/>
              <w:spacing w:line="300" w:lineRule="auto"/>
              <w:rPr>
                <w:sz w:val="18"/>
                <w:szCs w:val="18"/>
              </w:rPr>
            </w:pPr>
            <w:r>
              <w:rPr>
                <w:sz w:val="18"/>
                <w:szCs w:val="18"/>
              </w:rPr>
              <w:t>5</w:t>
            </w:r>
            <w:r>
              <w:rPr>
                <w:rFonts w:hint="eastAsia"/>
                <w:sz w:val="18"/>
                <w:szCs w:val="18"/>
              </w:rPr>
              <w:t>.</w:t>
            </w:r>
            <w:r>
              <w:rPr>
                <w:sz w:val="18"/>
                <w:szCs w:val="18"/>
              </w:rPr>
              <w:t>1具备使用实验设备、软件和现代工程工具对复杂工程问题进行模拟或仿真的能力，并能够理解其局限性。</w:t>
            </w:r>
          </w:p>
        </w:tc>
        <w:tc>
          <w:tcPr>
            <w:tcW w:w="689" w:type="dxa"/>
            <w:vAlign w:val="center"/>
          </w:tcPr>
          <w:p>
            <w:pPr>
              <w:snapToGrid w:val="0"/>
              <w:spacing w:line="300" w:lineRule="auto"/>
              <w:jc w:val="center"/>
              <w:rPr>
                <w:sz w:val="18"/>
                <w:szCs w:val="18"/>
              </w:rPr>
            </w:pPr>
            <w:r>
              <w:rPr>
                <w:sz w:val="18"/>
                <w:szCs w:val="18"/>
              </w:rPr>
              <w:t>3</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8"/>
        <w:gridCol w:w="1927"/>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92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56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1. 掌握常用半导体元器件的外部特性、等效模型及应用，分立元件放大电路的基本分析和计算方法，放大电路中反馈的重要性，运算电路的分析和应用；理解非线性元器件的模型，建立估算和简化的工程观念，具备常用半导体元器件及分立元件放大电路的熟练分析与设计。</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rPr>
              <w:t>2．能运用模拟电子技术的基本原理和综合知识，掌握典型集成运放电路的各种应用电路（信号运算、信号发生、功率放大电路等）的分析和设计；建立系统、集成的观念；学生通过对集成运放综合应用的设计掌握深入分析工程需求、学会综合取舍，达到总体最优的设计目标。</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课堂表现、习题作业、考试与方案报告。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3．能够利用模拟电子技术专业知识，针对给定需求，设计出满足要求的系统总体方案与系统拓扑图、单元子系统（或单元电路）、软硬件模块或工艺。</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讲授、实验、作业等达成。</w:t>
            </w:r>
          </w:p>
        </w:tc>
        <w:tc>
          <w:tcPr>
            <w:tcW w:w="1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课堂讲授为主，网络多媒体教学、课程独立网站（含教学视频）以及“雨课堂”同步学习为辅，注重与专业相关工程实践教学环节和场景配合的案例教学，搜集《模拟电子技术》相关内容在实际工程中的案例，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线路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1780"/>
        <w:gridCol w:w="5340"/>
        <w:gridCol w:w="4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87"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780" w:type="dxa"/>
            <w:vAlign w:val="center"/>
          </w:tcPr>
          <w:p>
            <w:pPr>
              <w:snapToGrid w:val="0"/>
              <w:spacing w:line="300" w:lineRule="auto"/>
              <w:ind w:firstLine="361" w:firstLineChars="200"/>
              <w:rPr>
                <w:b/>
                <w:bCs/>
                <w:sz w:val="18"/>
                <w:szCs w:val="18"/>
              </w:rPr>
            </w:pPr>
            <w:r>
              <w:rPr>
                <w:b/>
                <w:bCs/>
                <w:sz w:val="18"/>
                <w:szCs w:val="18"/>
              </w:rPr>
              <w:t>教学内容</w:t>
            </w:r>
          </w:p>
        </w:tc>
        <w:tc>
          <w:tcPr>
            <w:tcW w:w="5340"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447" w:type="dxa"/>
            <w:vAlign w:val="center"/>
          </w:tcPr>
          <w:p>
            <w:pPr>
              <w:snapToGrid w:val="0"/>
              <w:spacing w:line="300" w:lineRule="auto"/>
              <w:jc w:val="center"/>
              <w:rPr>
                <w:b/>
                <w:bCs/>
                <w:sz w:val="18"/>
                <w:szCs w:val="18"/>
              </w:rPr>
            </w:pPr>
            <w:r>
              <w:rPr>
                <w:b/>
                <w:bCs/>
                <w:sz w:val="18"/>
                <w:szCs w:val="18"/>
              </w:rPr>
              <w:t>学时</w:t>
            </w:r>
          </w:p>
        </w:tc>
        <w:tc>
          <w:tcPr>
            <w:tcW w:w="890"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1</w:t>
            </w:r>
          </w:p>
        </w:tc>
        <w:tc>
          <w:tcPr>
            <w:tcW w:w="1780" w:type="dxa"/>
            <w:vAlign w:val="center"/>
          </w:tcPr>
          <w:p>
            <w:pPr>
              <w:tabs>
                <w:tab w:val="left" w:pos="0"/>
              </w:tabs>
              <w:adjustRightInd w:val="0"/>
              <w:snapToGrid w:val="0"/>
              <w:spacing w:line="300" w:lineRule="auto"/>
              <w:rPr>
                <w:sz w:val="18"/>
                <w:szCs w:val="18"/>
              </w:rPr>
            </w:pPr>
            <w:r>
              <w:rPr>
                <w:sz w:val="18"/>
                <w:szCs w:val="18"/>
              </w:rPr>
              <w:t>0 绪论，引入课程思政</w:t>
            </w:r>
          </w:p>
          <w:p>
            <w:pPr>
              <w:tabs>
                <w:tab w:val="left" w:pos="0"/>
              </w:tabs>
              <w:adjustRightInd w:val="0"/>
              <w:snapToGrid w:val="0"/>
              <w:spacing w:line="300" w:lineRule="auto"/>
              <w:rPr>
                <w:sz w:val="18"/>
                <w:szCs w:val="18"/>
              </w:rPr>
            </w:pPr>
            <w:r>
              <w:rPr>
                <w:sz w:val="18"/>
                <w:szCs w:val="18"/>
              </w:rPr>
              <w:t>1半导体基础</w:t>
            </w:r>
          </w:p>
          <w:p>
            <w:pPr>
              <w:adjustRightInd w:val="0"/>
              <w:snapToGrid w:val="0"/>
              <w:spacing w:line="300" w:lineRule="auto"/>
              <w:ind w:right="-31" w:rightChars="-15"/>
              <w:rPr>
                <w:sz w:val="18"/>
                <w:szCs w:val="18"/>
              </w:rPr>
            </w:pPr>
            <w:r>
              <w:rPr>
                <w:sz w:val="18"/>
                <w:szCs w:val="18"/>
              </w:rPr>
              <w:t>1.1　电子信息系统：电信号，模拟信号的概念。</w:t>
            </w:r>
          </w:p>
          <w:p>
            <w:pPr>
              <w:adjustRightInd w:val="0"/>
              <w:snapToGrid w:val="0"/>
              <w:spacing w:line="300" w:lineRule="auto"/>
              <w:ind w:right="-31" w:rightChars="-15"/>
              <w:rPr>
                <w:sz w:val="18"/>
                <w:szCs w:val="18"/>
              </w:rPr>
            </w:pPr>
            <w:r>
              <w:rPr>
                <w:sz w:val="18"/>
                <w:szCs w:val="18"/>
              </w:rPr>
              <w:t>1.2　半导体的基础知识：半导体材料分类，本征半导体，杂质半导体。</w:t>
            </w:r>
          </w:p>
          <w:p>
            <w:pPr>
              <w:adjustRightInd w:val="0"/>
              <w:snapToGrid w:val="0"/>
              <w:spacing w:line="300" w:lineRule="auto"/>
              <w:rPr>
                <w:sz w:val="18"/>
                <w:szCs w:val="18"/>
              </w:rPr>
            </w:pPr>
            <w:r>
              <w:rPr>
                <w:sz w:val="18"/>
                <w:szCs w:val="18"/>
              </w:rPr>
              <w:t>1.3　PN结：PN结的形成，PN结的单向导电性，PN结的电容效应和击穿特性。</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（1）了解：电信号和模拟信号的概念，半导体材料分类。</w:t>
            </w:r>
          </w:p>
          <w:p>
            <w:pPr>
              <w:adjustRightInd w:val="0"/>
              <w:snapToGrid w:val="0"/>
              <w:spacing w:line="300" w:lineRule="auto"/>
              <w:ind w:right="-31" w:rightChars="-15"/>
              <w:rPr>
                <w:sz w:val="18"/>
                <w:szCs w:val="18"/>
              </w:rPr>
            </w:pPr>
            <w:r>
              <w:rPr>
                <w:sz w:val="18"/>
                <w:szCs w:val="18"/>
              </w:rPr>
              <w:t>（2）理解：本征半导体和杂质半导体的结构和导电机理，PN结的电容效应和击穿特性。</w:t>
            </w:r>
          </w:p>
          <w:p>
            <w:pPr>
              <w:adjustRightInd w:val="0"/>
              <w:snapToGrid w:val="0"/>
              <w:spacing w:line="300" w:lineRule="auto"/>
              <w:ind w:right="-31" w:rightChars="-15"/>
              <w:rPr>
                <w:sz w:val="18"/>
                <w:szCs w:val="18"/>
              </w:rPr>
            </w:pPr>
            <w:r>
              <w:rPr>
                <w:sz w:val="18"/>
                <w:szCs w:val="18"/>
              </w:rPr>
              <w:t>（3）掌握：PN结的形成过程和PN结的单向导电性。</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（1）学习和了解模拟电路的发展历程；</w:t>
            </w:r>
          </w:p>
          <w:p>
            <w:pPr>
              <w:adjustRightInd w:val="0"/>
              <w:snapToGrid w:val="0"/>
              <w:spacing w:line="300" w:lineRule="auto"/>
              <w:rPr>
                <w:sz w:val="18"/>
                <w:szCs w:val="18"/>
              </w:rPr>
            </w:pPr>
            <w:r>
              <w:rPr>
                <w:sz w:val="18"/>
                <w:szCs w:val="18"/>
              </w:rPr>
              <w:t>（2）复习第一章内容；</w:t>
            </w:r>
          </w:p>
          <w:p>
            <w:pPr>
              <w:adjustRightInd w:val="0"/>
              <w:snapToGrid w:val="0"/>
              <w:spacing w:line="300" w:lineRule="auto"/>
              <w:rPr>
                <w:sz w:val="18"/>
                <w:szCs w:val="18"/>
              </w:rPr>
            </w:pPr>
            <w:r>
              <w:rPr>
                <w:sz w:val="18"/>
                <w:szCs w:val="18"/>
              </w:rPr>
              <w:t>（3）完成教材第一章作业。</w:t>
            </w:r>
          </w:p>
          <w:p>
            <w:pPr>
              <w:adjustRightInd w:val="0"/>
              <w:snapToGrid w:val="0"/>
              <w:spacing w:line="300" w:lineRule="auto"/>
              <w:rPr>
                <w:sz w:val="18"/>
                <w:szCs w:val="18"/>
              </w:rPr>
            </w:pPr>
            <w:r>
              <w:rPr>
                <w:sz w:val="18"/>
                <w:szCs w:val="18"/>
              </w:rPr>
              <w:t>3.教学方法：讲授式、讨论式、案例式与启发式相结合。</w:t>
            </w:r>
          </w:p>
          <w:p>
            <w:pPr>
              <w:snapToGrid w:val="0"/>
              <w:spacing w:line="300" w:lineRule="auto"/>
              <w:rPr>
                <w:sz w:val="18"/>
                <w:szCs w:val="18"/>
              </w:rPr>
            </w:pPr>
            <w:r>
              <w:rPr>
                <w:sz w:val="18"/>
                <w:szCs w:val="18"/>
              </w:rPr>
              <w:t>案例1：3个红、绿和</w:t>
            </w:r>
            <w:r>
              <w:rPr>
                <w:rFonts w:hint="eastAsia"/>
                <w:sz w:val="18"/>
                <w:szCs w:val="18"/>
              </w:rPr>
              <w:t>蓝</w:t>
            </w:r>
            <w:r>
              <w:rPr>
                <w:sz w:val="18"/>
                <w:szCs w:val="18"/>
              </w:rPr>
              <w:t>普通发光二极管，分别串接在1k电阻，然后接在5V/3A的直流电压源上，测试三个颜色发光二极管的管压降和功率。</w:t>
            </w:r>
          </w:p>
        </w:tc>
        <w:tc>
          <w:tcPr>
            <w:tcW w:w="447" w:type="dxa"/>
            <w:vAlign w:val="center"/>
          </w:tcPr>
          <w:p>
            <w:pPr>
              <w:snapToGrid w:val="0"/>
              <w:spacing w:line="300" w:lineRule="auto"/>
              <w:jc w:val="center"/>
              <w:rPr>
                <w:sz w:val="18"/>
                <w:szCs w:val="18"/>
              </w:rPr>
            </w:pPr>
            <w:r>
              <w:rPr>
                <w:kern w:val="0"/>
                <w:sz w:val="18"/>
                <w:szCs w:val="18"/>
              </w:rPr>
              <w:t>3</w:t>
            </w:r>
          </w:p>
        </w:tc>
        <w:tc>
          <w:tcPr>
            <w:tcW w:w="890" w:type="dxa"/>
            <w:vAlign w:val="center"/>
          </w:tcPr>
          <w:p>
            <w:pPr>
              <w:snapToGrid w:val="0"/>
              <w:spacing w:line="300" w:lineRule="auto"/>
              <w:jc w:val="center"/>
              <w:rPr>
                <w:sz w:val="18"/>
                <w:szCs w:val="18"/>
              </w:rPr>
            </w:pPr>
            <w:r>
              <w:rPr>
                <w:kern w:val="0"/>
                <w:sz w:val="18"/>
                <w:szCs w:val="18"/>
              </w:rPr>
              <w:t>1，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2</w:t>
            </w:r>
          </w:p>
        </w:tc>
        <w:tc>
          <w:tcPr>
            <w:tcW w:w="1780" w:type="dxa"/>
            <w:vAlign w:val="center"/>
          </w:tcPr>
          <w:p>
            <w:pPr>
              <w:adjustRightInd w:val="0"/>
              <w:snapToGrid w:val="0"/>
              <w:spacing w:line="300" w:lineRule="auto"/>
              <w:rPr>
                <w:sz w:val="18"/>
                <w:szCs w:val="18"/>
              </w:rPr>
            </w:pPr>
            <w:r>
              <w:rPr>
                <w:sz w:val="18"/>
                <w:szCs w:val="18"/>
              </w:rPr>
              <w:t>2半导体晶体管及其基本电路</w:t>
            </w:r>
          </w:p>
          <w:p>
            <w:pPr>
              <w:adjustRightInd w:val="0"/>
              <w:snapToGrid w:val="0"/>
              <w:spacing w:line="300" w:lineRule="auto"/>
              <w:ind w:right="-31" w:rightChars="-15"/>
              <w:rPr>
                <w:sz w:val="18"/>
                <w:szCs w:val="18"/>
              </w:rPr>
            </w:pPr>
            <w:r>
              <w:rPr>
                <w:sz w:val="18"/>
                <w:szCs w:val="18"/>
              </w:rPr>
              <w:t>2.1　半导体二极管</w:t>
            </w:r>
          </w:p>
          <w:p>
            <w:pPr>
              <w:adjustRightInd w:val="0"/>
              <w:snapToGrid w:val="0"/>
              <w:spacing w:line="300" w:lineRule="auto"/>
              <w:ind w:right="-31" w:rightChars="-15"/>
              <w:rPr>
                <w:sz w:val="18"/>
                <w:szCs w:val="18"/>
              </w:rPr>
            </w:pPr>
            <w:r>
              <w:rPr>
                <w:sz w:val="18"/>
                <w:szCs w:val="18"/>
              </w:rPr>
              <w:t>2.2　晶体三极管及其基本放大电路</w:t>
            </w:r>
          </w:p>
          <w:p>
            <w:pPr>
              <w:adjustRightInd w:val="0"/>
              <w:snapToGrid w:val="0"/>
              <w:spacing w:line="300" w:lineRule="auto"/>
              <w:ind w:right="-31" w:rightChars="-15"/>
              <w:rPr>
                <w:sz w:val="18"/>
                <w:szCs w:val="18"/>
              </w:rPr>
            </w:pPr>
            <w:r>
              <w:rPr>
                <w:sz w:val="18"/>
                <w:szCs w:val="18"/>
              </w:rPr>
              <w:t>2.3　放大的概念及放大电路的性能指标</w:t>
            </w:r>
          </w:p>
          <w:p>
            <w:pPr>
              <w:adjustRightInd w:val="0"/>
              <w:snapToGrid w:val="0"/>
              <w:spacing w:line="300" w:lineRule="auto"/>
              <w:ind w:right="-31" w:rightChars="-15"/>
              <w:rPr>
                <w:sz w:val="18"/>
                <w:szCs w:val="18"/>
              </w:rPr>
            </w:pPr>
            <w:r>
              <w:rPr>
                <w:sz w:val="18"/>
                <w:szCs w:val="18"/>
              </w:rPr>
              <w:t>2.4　放大电路的微变等效电路分析法</w:t>
            </w:r>
          </w:p>
          <w:p>
            <w:pPr>
              <w:adjustRightInd w:val="0"/>
              <w:snapToGrid w:val="0"/>
              <w:spacing w:line="300" w:lineRule="auto"/>
              <w:ind w:right="-31" w:rightChars="-15"/>
              <w:rPr>
                <w:sz w:val="18"/>
                <w:szCs w:val="18"/>
              </w:rPr>
            </w:pPr>
            <w:r>
              <w:rPr>
                <w:sz w:val="18"/>
                <w:szCs w:val="18"/>
              </w:rPr>
              <w:t>2.5　分压式稳定静态工作点电路</w:t>
            </w:r>
          </w:p>
          <w:p>
            <w:pPr>
              <w:adjustRightInd w:val="0"/>
              <w:snapToGrid w:val="0"/>
              <w:spacing w:line="300" w:lineRule="auto"/>
              <w:ind w:right="-31" w:rightChars="-15"/>
              <w:rPr>
                <w:sz w:val="18"/>
                <w:szCs w:val="18"/>
              </w:rPr>
            </w:pPr>
            <w:r>
              <w:rPr>
                <w:sz w:val="18"/>
                <w:szCs w:val="18"/>
              </w:rPr>
              <w:t>2.6　共集电极放大电路</w:t>
            </w:r>
          </w:p>
          <w:p>
            <w:pPr>
              <w:adjustRightInd w:val="0"/>
              <w:snapToGrid w:val="0"/>
              <w:spacing w:line="300" w:lineRule="auto"/>
              <w:rPr>
                <w:sz w:val="18"/>
                <w:szCs w:val="18"/>
              </w:rPr>
            </w:pPr>
            <w:r>
              <w:rPr>
                <w:sz w:val="18"/>
                <w:szCs w:val="18"/>
              </w:rPr>
              <w:t>2.7 共基极放大电路</w:t>
            </w:r>
          </w:p>
          <w:p>
            <w:pPr>
              <w:adjustRightInd w:val="0"/>
              <w:snapToGrid w:val="0"/>
              <w:spacing w:line="300" w:lineRule="auto"/>
              <w:rPr>
                <w:sz w:val="18"/>
                <w:szCs w:val="18"/>
              </w:rPr>
            </w:pPr>
            <w:r>
              <w:rPr>
                <w:sz w:val="18"/>
                <w:szCs w:val="18"/>
              </w:rPr>
              <w:t>课程思政：介绍蓝色发光二极管的意义</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（1）了解：二极管和三极管的类型，放大的基本概念与放大电路的主要性能指标。</w:t>
            </w:r>
          </w:p>
          <w:p>
            <w:pPr>
              <w:adjustRightInd w:val="0"/>
              <w:snapToGrid w:val="0"/>
              <w:spacing w:line="300" w:lineRule="auto"/>
              <w:ind w:right="-31" w:rightChars="-15"/>
              <w:rPr>
                <w:sz w:val="18"/>
                <w:szCs w:val="18"/>
              </w:rPr>
            </w:pPr>
            <w:r>
              <w:rPr>
                <w:sz w:val="18"/>
                <w:szCs w:val="18"/>
              </w:rPr>
              <w:t>（2）理解：二极管和三极管的结构、电路符号和温度的影响，稳压二极管的结构特点，放大电路的组成和工作原理。</w:t>
            </w:r>
          </w:p>
          <w:p>
            <w:pPr>
              <w:adjustRightInd w:val="0"/>
              <w:snapToGrid w:val="0"/>
              <w:spacing w:line="300" w:lineRule="auto"/>
              <w:ind w:right="-31" w:rightChars="-15"/>
              <w:rPr>
                <w:sz w:val="18"/>
                <w:szCs w:val="18"/>
              </w:rPr>
            </w:pPr>
            <w:r>
              <w:rPr>
                <w:sz w:val="18"/>
                <w:szCs w:val="18"/>
              </w:rPr>
              <w:t>（3）掌握：二极管和三极管的伏安特性曲线，三极管放大电路的静态分析和动态分析方法。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（1）复习第二章内容；</w:t>
            </w:r>
          </w:p>
          <w:p>
            <w:pPr>
              <w:adjustRightInd w:val="0"/>
              <w:snapToGrid w:val="0"/>
              <w:spacing w:line="300" w:lineRule="auto"/>
              <w:rPr>
                <w:sz w:val="18"/>
                <w:szCs w:val="18"/>
              </w:rPr>
            </w:pPr>
            <w:r>
              <w:rPr>
                <w:sz w:val="18"/>
                <w:szCs w:val="18"/>
              </w:rPr>
              <w:t>（2）完成教材第二章作业。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案例2：一个5V/0.5W的稳压管，选择一个合适的电阻，串联接在9V/3A电源上，设计一个5V的稳压电源，并研究不同负载下，稳压特性。</w:t>
            </w:r>
          </w:p>
        </w:tc>
        <w:tc>
          <w:tcPr>
            <w:tcW w:w="447" w:type="dxa"/>
            <w:vAlign w:val="center"/>
          </w:tcPr>
          <w:p>
            <w:pPr>
              <w:snapToGrid w:val="0"/>
              <w:spacing w:line="300" w:lineRule="auto"/>
              <w:jc w:val="center"/>
              <w:rPr>
                <w:sz w:val="18"/>
                <w:szCs w:val="18"/>
              </w:rPr>
            </w:pPr>
            <w:r>
              <w:rPr>
                <w:kern w:val="0"/>
                <w:sz w:val="18"/>
                <w:szCs w:val="18"/>
              </w:rPr>
              <w:t>10</w:t>
            </w:r>
          </w:p>
        </w:tc>
        <w:tc>
          <w:tcPr>
            <w:tcW w:w="890" w:type="dxa"/>
            <w:vAlign w:val="center"/>
          </w:tcPr>
          <w:p>
            <w:pPr>
              <w:snapToGrid w:val="0"/>
              <w:spacing w:line="300" w:lineRule="auto"/>
              <w:jc w:val="center"/>
              <w:rPr>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3</w:t>
            </w:r>
          </w:p>
        </w:tc>
        <w:tc>
          <w:tcPr>
            <w:tcW w:w="1780" w:type="dxa"/>
            <w:vAlign w:val="center"/>
          </w:tcPr>
          <w:p>
            <w:pPr>
              <w:adjustRightInd w:val="0"/>
              <w:snapToGrid w:val="0"/>
              <w:spacing w:line="300" w:lineRule="auto"/>
              <w:rPr>
                <w:sz w:val="18"/>
                <w:szCs w:val="18"/>
              </w:rPr>
            </w:pPr>
            <w:r>
              <w:rPr>
                <w:sz w:val="18"/>
                <w:szCs w:val="18"/>
              </w:rPr>
              <w:t>3  场效应管与特殊三极管基本应用电路</w:t>
            </w:r>
          </w:p>
          <w:p>
            <w:pPr>
              <w:adjustRightInd w:val="0"/>
              <w:snapToGrid w:val="0"/>
              <w:spacing w:line="300" w:lineRule="auto"/>
              <w:ind w:right="-31" w:rightChars="-15"/>
              <w:rPr>
                <w:sz w:val="18"/>
                <w:szCs w:val="18"/>
              </w:rPr>
            </w:pPr>
            <w:r>
              <w:rPr>
                <w:sz w:val="18"/>
                <w:szCs w:val="18"/>
              </w:rPr>
              <w:t>3.1　结型场效应管</w:t>
            </w:r>
          </w:p>
          <w:p>
            <w:pPr>
              <w:adjustRightInd w:val="0"/>
              <w:snapToGrid w:val="0"/>
              <w:spacing w:line="300" w:lineRule="auto"/>
              <w:ind w:right="-31" w:rightChars="-15"/>
              <w:rPr>
                <w:sz w:val="18"/>
                <w:szCs w:val="18"/>
              </w:rPr>
            </w:pPr>
            <w:r>
              <w:rPr>
                <w:sz w:val="18"/>
                <w:szCs w:val="18"/>
              </w:rPr>
              <w:t>3.2　绝缘栅场效应管</w:t>
            </w:r>
          </w:p>
          <w:p>
            <w:pPr>
              <w:adjustRightInd w:val="0"/>
              <w:snapToGrid w:val="0"/>
              <w:spacing w:line="300" w:lineRule="auto"/>
              <w:ind w:right="-31" w:rightChars="-15"/>
              <w:rPr>
                <w:sz w:val="18"/>
                <w:szCs w:val="18"/>
              </w:rPr>
            </w:pPr>
            <w:r>
              <w:rPr>
                <w:sz w:val="18"/>
                <w:szCs w:val="18"/>
              </w:rPr>
              <w:t>3.3　场效应管放大电路</w:t>
            </w:r>
          </w:p>
          <w:p>
            <w:pPr>
              <w:adjustRightInd w:val="0"/>
              <w:snapToGrid w:val="0"/>
              <w:spacing w:line="300" w:lineRule="auto"/>
              <w:ind w:left="23" w:leftChars="11"/>
              <w:rPr>
                <w:sz w:val="18"/>
                <w:szCs w:val="18"/>
              </w:rPr>
            </w:pPr>
            <w:r>
              <w:rPr>
                <w:sz w:val="18"/>
                <w:szCs w:val="18"/>
              </w:rPr>
              <w:t>3.4　特殊场效应三极管与应用电路</w:t>
            </w:r>
          </w:p>
          <w:p>
            <w:pPr>
              <w:snapToGrid w:val="0"/>
              <w:spacing w:line="300" w:lineRule="auto"/>
              <w:rPr>
                <w:sz w:val="18"/>
                <w:szCs w:val="18"/>
              </w:rPr>
            </w:pP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（1）了解：场效应管的类型和主要参数，绝缘栅双极型晶体管和单结晶体管的结构。</w:t>
            </w:r>
          </w:p>
          <w:p>
            <w:pPr>
              <w:adjustRightInd w:val="0"/>
              <w:snapToGrid w:val="0"/>
              <w:spacing w:line="300" w:lineRule="auto"/>
              <w:ind w:right="-31" w:rightChars="-15"/>
              <w:rPr>
                <w:sz w:val="18"/>
                <w:szCs w:val="18"/>
              </w:rPr>
            </w:pPr>
            <w:r>
              <w:rPr>
                <w:sz w:val="18"/>
                <w:szCs w:val="18"/>
              </w:rPr>
              <w:t>（2）理解：场效应的结构、工作原理，晶阐管的结构和工作原理。</w:t>
            </w:r>
          </w:p>
          <w:p>
            <w:pPr>
              <w:adjustRightInd w:val="0"/>
              <w:snapToGrid w:val="0"/>
              <w:spacing w:line="300" w:lineRule="auto"/>
              <w:ind w:right="-31" w:rightChars="-15"/>
              <w:rPr>
                <w:sz w:val="18"/>
                <w:szCs w:val="18"/>
              </w:rPr>
            </w:pPr>
            <w:r>
              <w:rPr>
                <w:sz w:val="18"/>
                <w:szCs w:val="18"/>
              </w:rPr>
              <w:t>（3）掌握：场效应管的伏安特性，场效应管放大电路的静态和动态分析。</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（1）复习第三章内容；</w:t>
            </w:r>
          </w:p>
          <w:p>
            <w:pPr>
              <w:adjustRightInd w:val="0"/>
              <w:snapToGrid w:val="0"/>
              <w:spacing w:line="300" w:lineRule="auto"/>
              <w:rPr>
                <w:sz w:val="18"/>
                <w:szCs w:val="18"/>
              </w:rPr>
            </w:pPr>
            <w:r>
              <w:rPr>
                <w:sz w:val="18"/>
                <w:szCs w:val="18"/>
              </w:rPr>
              <w:t>（2）完成教材第三章作业。</w:t>
            </w:r>
          </w:p>
          <w:p>
            <w:pPr>
              <w:adjustRightInd w:val="0"/>
              <w:snapToGrid w:val="0"/>
              <w:spacing w:line="300" w:lineRule="auto"/>
              <w:rPr>
                <w:sz w:val="18"/>
                <w:szCs w:val="18"/>
              </w:rPr>
            </w:pPr>
            <w:r>
              <w:rPr>
                <w:sz w:val="18"/>
                <w:szCs w:val="18"/>
              </w:rPr>
              <w:t>3.教学方法：讲授式、讨论式与启发式相结合。</w:t>
            </w:r>
          </w:p>
        </w:tc>
        <w:tc>
          <w:tcPr>
            <w:tcW w:w="447" w:type="dxa"/>
            <w:vAlign w:val="center"/>
          </w:tcPr>
          <w:p>
            <w:pPr>
              <w:snapToGrid w:val="0"/>
              <w:spacing w:line="300" w:lineRule="auto"/>
              <w:jc w:val="center"/>
              <w:rPr>
                <w:sz w:val="18"/>
                <w:szCs w:val="18"/>
              </w:rPr>
            </w:pPr>
            <w:r>
              <w:rPr>
                <w:sz w:val="18"/>
                <w:szCs w:val="18"/>
              </w:rPr>
              <w:t>4</w:t>
            </w:r>
          </w:p>
        </w:tc>
        <w:tc>
          <w:tcPr>
            <w:tcW w:w="890"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4</w:t>
            </w:r>
          </w:p>
        </w:tc>
        <w:tc>
          <w:tcPr>
            <w:tcW w:w="1780" w:type="dxa"/>
            <w:vAlign w:val="center"/>
          </w:tcPr>
          <w:p>
            <w:pPr>
              <w:adjustRightInd w:val="0"/>
              <w:snapToGrid w:val="0"/>
              <w:spacing w:line="300" w:lineRule="auto"/>
              <w:rPr>
                <w:sz w:val="18"/>
                <w:szCs w:val="18"/>
              </w:rPr>
            </w:pPr>
            <w:r>
              <w:rPr>
                <w:sz w:val="18"/>
                <w:szCs w:val="18"/>
              </w:rPr>
              <w:t>4  集成运算放大器</w:t>
            </w:r>
          </w:p>
          <w:p>
            <w:pPr>
              <w:adjustRightInd w:val="0"/>
              <w:snapToGrid w:val="0"/>
              <w:spacing w:line="300" w:lineRule="auto"/>
              <w:ind w:right="-31" w:rightChars="-15"/>
              <w:rPr>
                <w:sz w:val="18"/>
                <w:szCs w:val="18"/>
              </w:rPr>
            </w:pPr>
            <w:r>
              <w:rPr>
                <w:sz w:val="18"/>
                <w:szCs w:val="18"/>
              </w:rPr>
              <w:t>4.1　多级放大电路</w:t>
            </w:r>
          </w:p>
          <w:p>
            <w:pPr>
              <w:adjustRightInd w:val="0"/>
              <w:snapToGrid w:val="0"/>
              <w:spacing w:line="300" w:lineRule="auto"/>
              <w:ind w:right="-31" w:rightChars="-15"/>
              <w:rPr>
                <w:sz w:val="18"/>
                <w:szCs w:val="18"/>
              </w:rPr>
            </w:pPr>
            <w:r>
              <w:rPr>
                <w:sz w:val="18"/>
                <w:szCs w:val="18"/>
              </w:rPr>
              <w:t>4.2　集成运放中的电流源</w:t>
            </w:r>
          </w:p>
          <w:p>
            <w:pPr>
              <w:adjustRightInd w:val="0"/>
              <w:snapToGrid w:val="0"/>
              <w:spacing w:line="300" w:lineRule="auto"/>
              <w:ind w:right="-31" w:rightChars="-15"/>
              <w:rPr>
                <w:sz w:val="18"/>
                <w:szCs w:val="18"/>
              </w:rPr>
            </w:pPr>
            <w:r>
              <w:rPr>
                <w:sz w:val="18"/>
                <w:szCs w:val="18"/>
              </w:rPr>
              <w:t>4.3　差动放大电路</w:t>
            </w:r>
          </w:p>
          <w:p>
            <w:pPr>
              <w:adjustRightInd w:val="0"/>
              <w:snapToGrid w:val="0"/>
              <w:spacing w:line="300" w:lineRule="auto"/>
              <w:rPr>
                <w:sz w:val="18"/>
                <w:szCs w:val="18"/>
              </w:rPr>
            </w:pPr>
            <w:r>
              <w:rPr>
                <w:sz w:val="18"/>
                <w:szCs w:val="18"/>
              </w:rPr>
              <w:t>4.4　集成运算放大器原理与应用分析</w:t>
            </w:r>
          </w:p>
          <w:p>
            <w:pPr>
              <w:adjustRightInd w:val="0"/>
              <w:snapToGrid w:val="0"/>
              <w:spacing w:line="300" w:lineRule="auto"/>
              <w:rPr>
                <w:sz w:val="18"/>
                <w:szCs w:val="18"/>
              </w:rPr>
            </w:pPr>
            <w:r>
              <w:rPr>
                <w:sz w:val="18"/>
                <w:szCs w:val="18"/>
              </w:rPr>
              <w:t>课程思政：介绍最新海思麒麟处理器，增强民族自信心。</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（1）了解：多级放大电路的级间耦合方式，集成运算放大器的电路符号。</w:t>
            </w:r>
          </w:p>
          <w:p>
            <w:pPr>
              <w:adjustRightInd w:val="0"/>
              <w:snapToGrid w:val="0"/>
              <w:spacing w:line="300" w:lineRule="auto"/>
              <w:ind w:right="-31" w:rightChars="-15"/>
              <w:rPr>
                <w:sz w:val="18"/>
                <w:szCs w:val="18"/>
              </w:rPr>
            </w:pPr>
            <w:r>
              <w:rPr>
                <w:sz w:val="18"/>
                <w:szCs w:val="18"/>
              </w:rPr>
              <w:t>（2）理解：多级放大电路的分析方法，集成运放中的电流源，零点漂移，差分放大电路的作用，差模信号和共模信号，集成运算放大器的电路符号，集成运放的电压传输特性。</w:t>
            </w:r>
          </w:p>
          <w:p>
            <w:pPr>
              <w:adjustRightInd w:val="0"/>
              <w:snapToGrid w:val="0"/>
              <w:spacing w:line="300" w:lineRule="auto"/>
              <w:ind w:right="-31" w:rightChars="-15"/>
              <w:rPr>
                <w:sz w:val="18"/>
                <w:szCs w:val="18"/>
              </w:rPr>
            </w:pPr>
            <w:r>
              <w:rPr>
                <w:sz w:val="18"/>
                <w:szCs w:val="18"/>
              </w:rPr>
              <w:t>（3）掌握：长尾式差分放大电路的静态分析和动态分析，理想集成运放的条件。</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（1）复习第四章内容；</w:t>
            </w:r>
          </w:p>
          <w:p>
            <w:pPr>
              <w:adjustRightInd w:val="0"/>
              <w:snapToGrid w:val="0"/>
              <w:spacing w:line="300" w:lineRule="auto"/>
              <w:rPr>
                <w:sz w:val="18"/>
                <w:szCs w:val="18"/>
              </w:rPr>
            </w:pPr>
            <w:r>
              <w:rPr>
                <w:sz w:val="18"/>
                <w:szCs w:val="18"/>
              </w:rPr>
              <w:t>（2）完成教材第四章作业。</w:t>
            </w:r>
          </w:p>
          <w:p>
            <w:pPr>
              <w:adjustRightInd w:val="0"/>
              <w:snapToGrid w:val="0"/>
              <w:spacing w:line="300" w:lineRule="auto"/>
              <w:rPr>
                <w:sz w:val="18"/>
                <w:szCs w:val="18"/>
              </w:rPr>
            </w:pPr>
            <w:r>
              <w:rPr>
                <w:sz w:val="18"/>
                <w:szCs w:val="18"/>
              </w:rPr>
              <w:t>3.教学方法：讲授式、讨论式与启发式相结合。</w:t>
            </w:r>
          </w:p>
        </w:tc>
        <w:tc>
          <w:tcPr>
            <w:tcW w:w="447" w:type="dxa"/>
            <w:vAlign w:val="center"/>
          </w:tcPr>
          <w:p>
            <w:pPr>
              <w:adjustRightInd w:val="0"/>
              <w:snapToGrid w:val="0"/>
              <w:spacing w:line="300" w:lineRule="auto"/>
              <w:jc w:val="center"/>
              <w:rPr>
                <w:sz w:val="18"/>
                <w:szCs w:val="18"/>
              </w:rPr>
            </w:pPr>
            <w:r>
              <w:rPr>
                <w:sz w:val="18"/>
                <w:szCs w:val="18"/>
              </w:rPr>
              <w:t>4</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5</w:t>
            </w:r>
          </w:p>
        </w:tc>
        <w:tc>
          <w:tcPr>
            <w:tcW w:w="1780" w:type="dxa"/>
            <w:vAlign w:val="center"/>
          </w:tcPr>
          <w:p>
            <w:pPr>
              <w:adjustRightInd w:val="0"/>
              <w:snapToGrid w:val="0"/>
              <w:spacing w:line="300" w:lineRule="auto"/>
              <w:rPr>
                <w:sz w:val="18"/>
                <w:szCs w:val="18"/>
              </w:rPr>
            </w:pPr>
            <w:r>
              <w:rPr>
                <w:sz w:val="18"/>
                <w:szCs w:val="18"/>
              </w:rPr>
              <w:t>5放大电路的频率响应</w:t>
            </w:r>
          </w:p>
          <w:p>
            <w:pPr>
              <w:adjustRightInd w:val="0"/>
              <w:snapToGrid w:val="0"/>
              <w:spacing w:line="300" w:lineRule="auto"/>
              <w:ind w:firstLine="19" w:firstLineChars="11"/>
              <w:rPr>
                <w:sz w:val="18"/>
                <w:szCs w:val="18"/>
              </w:rPr>
            </w:pPr>
            <w:r>
              <w:rPr>
                <w:sz w:val="18"/>
                <w:szCs w:val="18"/>
              </w:rPr>
              <w:t>5.1 频率响应概述</w:t>
            </w:r>
          </w:p>
          <w:p>
            <w:pPr>
              <w:adjustRightInd w:val="0"/>
              <w:snapToGrid w:val="0"/>
              <w:spacing w:line="300" w:lineRule="auto"/>
              <w:ind w:firstLine="19" w:firstLineChars="11"/>
              <w:rPr>
                <w:sz w:val="18"/>
                <w:szCs w:val="18"/>
              </w:rPr>
            </w:pPr>
            <w:r>
              <w:rPr>
                <w:sz w:val="18"/>
                <w:szCs w:val="18"/>
              </w:rPr>
              <w:t>5.2 晶体管的高频等效模型</w:t>
            </w:r>
          </w:p>
          <w:p>
            <w:pPr>
              <w:adjustRightInd w:val="0"/>
              <w:snapToGrid w:val="0"/>
              <w:spacing w:line="300" w:lineRule="auto"/>
              <w:ind w:firstLine="19" w:firstLineChars="11"/>
              <w:rPr>
                <w:sz w:val="18"/>
                <w:szCs w:val="18"/>
              </w:rPr>
            </w:pPr>
            <w:r>
              <w:rPr>
                <w:sz w:val="18"/>
                <w:szCs w:val="18"/>
              </w:rPr>
              <w:t>5.3 场效应管的高频等效模型</w:t>
            </w:r>
          </w:p>
          <w:p>
            <w:pPr>
              <w:adjustRightInd w:val="0"/>
              <w:snapToGrid w:val="0"/>
              <w:spacing w:line="300" w:lineRule="auto"/>
              <w:ind w:firstLine="19" w:firstLineChars="11"/>
              <w:rPr>
                <w:sz w:val="18"/>
                <w:szCs w:val="18"/>
              </w:rPr>
            </w:pPr>
            <w:r>
              <w:rPr>
                <w:sz w:val="18"/>
                <w:szCs w:val="18"/>
              </w:rPr>
              <w:t>5.4 单管放大电路的频率响应</w:t>
            </w:r>
          </w:p>
          <w:p>
            <w:pPr>
              <w:adjustRightInd w:val="0"/>
              <w:snapToGrid w:val="0"/>
              <w:spacing w:line="300" w:lineRule="auto"/>
              <w:rPr>
                <w:sz w:val="18"/>
                <w:szCs w:val="18"/>
              </w:rPr>
            </w:pPr>
            <w:r>
              <w:rPr>
                <w:sz w:val="18"/>
                <w:szCs w:val="18"/>
              </w:rPr>
              <w:t>5.5 多级放大电路的频率响应</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（（1）了解：频率响应概念，场效应管高频等效模型；</w:t>
            </w:r>
          </w:p>
          <w:p>
            <w:pPr>
              <w:adjustRightInd w:val="0"/>
              <w:snapToGrid w:val="0"/>
              <w:spacing w:line="300" w:lineRule="auto"/>
              <w:ind w:right="-31" w:rightChars="-15"/>
              <w:rPr>
                <w:sz w:val="18"/>
                <w:szCs w:val="18"/>
              </w:rPr>
            </w:pPr>
            <w:r>
              <w:rPr>
                <w:sz w:val="18"/>
                <w:szCs w:val="18"/>
              </w:rPr>
              <w:t>（2）掌握：晶体管的高频等效模型，单管放大电路的频率响应。</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（1）复习第五章内容；</w:t>
            </w:r>
          </w:p>
          <w:p>
            <w:pPr>
              <w:adjustRightInd w:val="0"/>
              <w:snapToGrid w:val="0"/>
              <w:spacing w:line="300" w:lineRule="auto"/>
              <w:rPr>
                <w:sz w:val="18"/>
                <w:szCs w:val="18"/>
              </w:rPr>
            </w:pPr>
            <w:r>
              <w:rPr>
                <w:sz w:val="18"/>
                <w:szCs w:val="18"/>
              </w:rPr>
              <w:t>（2）完成教材第五章作业。</w:t>
            </w:r>
          </w:p>
          <w:p>
            <w:pPr>
              <w:adjustRightInd w:val="0"/>
              <w:snapToGrid w:val="0"/>
              <w:spacing w:line="300" w:lineRule="auto"/>
              <w:rPr>
                <w:sz w:val="18"/>
                <w:szCs w:val="18"/>
              </w:rPr>
            </w:pPr>
            <w:r>
              <w:rPr>
                <w:sz w:val="18"/>
                <w:szCs w:val="18"/>
              </w:rPr>
              <w:t>3.教学方法：讲授式、讨论式与启发式相结合。</w:t>
            </w:r>
          </w:p>
        </w:tc>
        <w:tc>
          <w:tcPr>
            <w:tcW w:w="447" w:type="dxa"/>
            <w:vAlign w:val="center"/>
          </w:tcPr>
          <w:p>
            <w:pPr>
              <w:adjustRightInd w:val="0"/>
              <w:snapToGrid w:val="0"/>
              <w:spacing w:line="300" w:lineRule="auto"/>
              <w:jc w:val="center"/>
              <w:rPr>
                <w:sz w:val="18"/>
                <w:szCs w:val="18"/>
              </w:rPr>
            </w:pPr>
            <w:r>
              <w:rPr>
                <w:kern w:val="0"/>
                <w:sz w:val="18"/>
                <w:szCs w:val="18"/>
              </w:rPr>
              <w:t>4</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6</w:t>
            </w:r>
          </w:p>
        </w:tc>
        <w:tc>
          <w:tcPr>
            <w:tcW w:w="1780" w:type="dxa"/>
            <w:vAlign w:val="center"/>
          </w:tcPr>
          <w:p>
            <w:pPr>
              <w:adjustRightInd w:val="0"/>
              <w:snapToGrid w:val="0"/>
              <w:spacing w:line="300" w:lineRule="auto"/>
              <w:rPr>
                <w:sz w:val="18"/>
                <w:szCs w:val="18"/>
              </w:rPr>
            </w:pPr>
            <w:r>
              <w:rPr>
                <w:sz w:val="18"/>
                <w:szCs w:val="18"/>
              </w:rPr>
              <w:t>6负反馈放大器</w:t>
            </w:r>
          </w:p>
          <w:p>
            <w:pPr>
              <w:adjustRightInd w:val="0"/>
              <w:snapToGrid w:val="0"/>
              <w:spacing w:line="300" w:lineRule="auto"/>
              <w:ind w:firstLine="19" w:firstLineChars="11"/>
              <w:rPr>
                <w:sz w:val="18"/>
                <w:szCs w:val="18"/>
              </w:rPr>
            </w:pPr>
            <w:r>
              <w:rPr>
                <w:sz w:val="18"/>
                <w:szCs w:val="18"/>
              </w:rPr>
              <w:t>6.1 反馈的基本概念及判断方法</w:t>
            </w:r>
          </w:p>
          <w:p>
            <w:pPr>
              <w:adjustRightInd w:val="0"/>
              <w:snapToGrid w:val="0"/>
              <w:spacing w:line="300" w:lineRule="auto"/>
              <w:ind w:firstLine="19" w:firstLineChars="11"/>
              <w:rPr>
                <w:sz w:val="18"/>
                <w:szCs w:val="18"/>
              </w:rPr>
            </w:pPr>
            <w:r>
              <w:rPr>
                <w:sz w:val="18"/>
                <w:szCs w:val="18"/>
              </w:rPr>
              <w:t>6.2 反馈放大电路的四种基本组态</w:t>
            </w:r>
          </w:p>
          <w:p>
            <w:pPr>
              <w:adjustRightInd w:val="0"/>
              <w:snapToGrid w:val="0"/>
              <w:spacing w:line="300" w:lineRule="auto"/>
              <w:ind w:firstLine="19" w:firstLineChars="11"/>
              <w:rPr>
                <w:sz w:val="18"/>
                <w:szCs w:val="18"/>
              </w:rPr>
            </w:pPr>
            <w:r>
              <w:rPr>
                <w:sz w:val="18"/>
                <w:szCs w:val="18"/>
              </w:rPr>
              <w:t>6.3 负反馈放大电路的方块图及一般表达式</w:t>
            </w:r>
          </w:p>
          <w:p>
            <w:pPr>
              <w:adjustRightInd w:val="0"/>
              <w:snapToGrid w:val="0"/>
              <w:spacing w:line="300" w:lineRule="auto"/>
              <w:ind w:firstLine="19" w:firstLineChars="11"/>
              <w:rPr>
                <w:sz w:val="18"/>
                <w:szCs w:val="18"/>
              </w:rPr>
            </w:pPr>
            <w:r>
              <w:rPr>
                <w:sz w:val="18"/>
                <w:szCs w:val="18"/>
              </w:rPr>
              <w:t>6.4 深度负反馈放大电路放大倍数的分析</w:t>
            </w:r>
          </w:p>
          <w:p>
            <w:pPr>
              <w:adjustRightInd w:val="0"/>
              <w:snapToGrid w:val="0"/>
              <w:spacing w:line="300" w:lineRule="auto"/>
              <w:rPr>
                <w:sz w:val="18"/>
                <w:szCs w:val="18"/>
              </w:rPr>
            </w:pPr>
            <w:r>
              <w:rPr>
                <w:sz w:val="18"/>
                <w:szCs w:val="18"/>
              </w:rPr>
              <w:t>6.5 负反馈对放大电路性能的影响</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（1）了解：反馈系统的基本形式与概念：反馈放大电路方框图形式及其相关概念。</w:t>
            </w:r>
          </w:p>
          <w:p>
            <w:pPr>
              <w:adjustRightInd w:val="0"/>
              <w:snapToGrid w:val="0"/>
              <w:spacing w:line="300" w:lineRule="auto"/>
              <w:ind w:right="-31" w:rightChars="-15"/>
              <w:rPr>
                <w:sz w:val="18"/>
                <w:szCs w:val="18"/>
              </w:rPr>
            </w:pPr>
            <w:r>
              <w:rPr>
                <w:sz w:val="18"/>
                <w:szCs w:val="18"/>
              </w:rPr>
              <w:t>（2）理解：反馈放大电路增益的一般表达式。</w:t>
            </w:r>
          </w:p>
          <w:p>
            <w:pPr>
              <w:adjustRightInd w:val="0"/>
              <w:snapToGrid w:val="0"/>
              <w:spacing w:line="300" w:lineRule="auto"/>
              <w:ind w:right="-31" w:rightChars="-15"/>
              <w:rPr>
                <w:sz w:val="18"/>
                <w:szCs w:val="18"/>
              </w:rPr>
            </w:pPr>
            <w:r>
              <w:rPr>
                <w:sz w:val="18"/>
                <w:szCs w:val="18"/>
              </w:rPr>
              <w:t>（3）掌握：反馈放大电路的分类组态及判别方法，负反馈对放大电路性能的影响。</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（1）复习第六章内容；</w:t>
            </w:r>
          </w:p>
          <w:p>
            <w:pPr>
              <w:adjustRightInd w:val="0"/>
              <w:snapToGrid w:val="0"/>
              <w:spacing w:line="300" w:lineRule="auto"/>
              <w:rPr>
                <w:sz w:val="18"/>
                <w:szCs w:val="18"/>
              </w:rPr>
            </w:pPr>
            <w:r>
              <w:rPr>
                <w:sz w:val="18"/>
                <w:szCs w:val="18"/>
              </w:rPr>
              <w:t>（2）完成教材第六章作业。</w:t>
            </w:r>
          </w:p>
          <w:p>
            <w:pPr>
              <w:adjustRightInd w:val="0"/>
              <w:snapToGrid w:val="0"/>
              <w:spacing w:line="300" w:lineRule="auto"/>
              <w:rPr>
                <w:sz w:val="18"/>
                <w:szCs w:val="18"/>
              </w:rPr>
            </w:pPr>
            <w:r>
              <w:rPr>
                <w:sz w:val="18"/>
                <w:szCs w:val="18"/>
              </w:rPr>
              <w:t>3.教学方法：讲授式、讨论式与启发式相结合。</w:t>
            </w:r>
          </w:p>
        </w:tc>
        <w:tc>
          <w:tcPr>
            <w:tcW w:w="447" w:type="dxa"/>
            <w:vAlign w:val="center"/>
          </w:tcPr>
          <w:p>
            <w:pPr>
              <w:adjustRightInd w:val="0"/>
              <w:snapToGrid w:val="0"/>
              <w:spacing w:line="300" w:lineRule="auto"/>
              <w:jc w:val="center"/>
              <w:rPr>
                <w:sz w:val="18"/>
                <w:szCs w:val="18"/>
              </w:rPr>
            </w:pPr>
            <w:r>
              <w:rPr>
                <w:sz w:val="18"/>
                <w:szCs w:val="18"/>
              </w:rPr>
              <w:t>4</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7</w:t>
            </w:r>
          </w:p>
        </w:tc>
        <w:tc>
          <w:tcPr>
            <w:tcW w:w="1780" w:type="dxa"/>
            <w:vAlign w:val="center"/>
          </w:tcPr>
          <w:p>
            <w:pPr>
              <w:adjustRightInd w:val="0"/>
              <w:snapToGrid w:val="0"/>
              <w:spacing w:line="300" w:lineRule="auto"/>
              <w:rPr>
                <w:sz w:val="18"/>
                <w:szCs w:val="18"/>
              </w:rPr>
            </w:pPr>
            <w:r>
              <w:rPr>
                <w:sz w:val="18"/>
                <w:szCs w:val="18"/>
              </w:rPr>
              <w:t>7.集成运算放大器组成的运算电路</w:t>
            </w:r>
          </w:p>
          <w:p>
            <w:pPr>
              <w:adjustRightInd w:val="0"/>
              <w:snapToGrid w:val="0"/>
              <w:spacing w:line="300" w:lineRule="auto"/>
              <w:ind w:right="-31" w:rightChars="-15"/>
              <w:rPr>
                <w:sz w:val="18"/>
                <w:szCs w:val="18"/>
              </w:rPr>
            </w:pPr>
            <w:r>
              <w:rPr>
                <w:sz w:val="18"/>
                <w:szCs w:val="18"/>
              </w:rPr>
              <w:t>7.1　集成运算放大器概述</w:t>
            </w:r>
          </w:p>
          <w:p>
            <w:pPr>
              <w:adjustRightInd w:val="0"/>
              <w:snapToGrid w:val="0"/>
              <w:spacing w:line="300" w:lineRule="auto"/>
              <w:ind w:right="-31" w:rightChars="-15"/>
              <w:rPr>
                <w:sz w:val="18"/>
                <w:szCs w:val="18"/>
              </w:rPr>
            </w:pPr>
            <w:r>
              <w:rPr>
                <w:sz w:val="18"/>
                <w:szCs w:val="18"/>
              </w:rPr>
              <w:t>7.2　基本运算电路：比例运算电路，积分和微分运算电路，对数和指数运算电路。</w:t>
            </w:r>
          </w:p>
          <w:p>
            <w:pPr>
              <w:adjustRightInd w:val="0"/>
              <w:snapToGrid w:val="0"/>
              <w:spacing w:line="300" w:lineRule="auto"/>
              <w:rPr>
                <w:sz w:val="18"/>
                <w:szCs w:val="18"/>
              </w:rPr>
            </w:pPr>
            <w:r>
              <w:rPr>
                <w:sz w:val="18"/>
                <w:szCs w:val="18"/>
              </w:rPr>
              <w:t>7.3　模拟乘法及除法运算电路</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（1）了解：集成运放工作在线性区的特点和工作在非线性区的特点。</w:t>
            </w:r>
          </w:p>
          <w:p>
            <w:pPr>
              <w:adjustRightInd w:val="0"/>
              <w:snapToGrid w:val="0"/>
              <w:spacing w:line="300" w:lineRule="auto"/>
              <w:ind w:right="-31" w:rightChars="-15"/>
              <w:rPr>
                <w:sz w:val="18"/>
                <w:szCs w:val="18"/>
              </w:rPr>
            </w:pPr>
            <w:r>
              <w:rPr>
                <w:sz w:val="18"/>
                <w:szCs w:val="18"/>
              </w:rPr>
              <w:t>（2）理解：对数和指数运算电路，由对数和指数运算组成的乘法和除法运算电路。</w:t>
            </w:r>
          </w:p>
          <w:p>
            <w:pPr>
              <w:adjustRightInd w:val="0"/>
              <w:snapToGrid w:val="0"/>
              <w:spacing w:line="300" w:lineRule="auto"/>
              <w:ind w:right="-31" w:rightChars="-15"/>
              <w:rPr>
                <w:sz w:val="18"/>
                <w:szCs w:val="18"/>
              </w:rPr>
            </w:pPr>
            <w:r>
              <w:rPr>
                <w:sz w:val="18"/>
                <w:szCs w:val="18"/>
              </w:rPr>
              <w:t>（3）掌握：比例运算电路，积分和微分运算电路，模拟乘法器构成的乘方和开方运算电路。</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（1）复习第七章内容；</w:t>
            </w:r>
          </w:p>
          <w:p>
            <w:pPr>
              <w:adjustRightInd w:val="0"/>
              <w:snapToGrid w:val="0"/>
              <w:spacing w:line="300" w:lineRule="auto"/>
              <w:rPr>
                <w:sz w:val="18"/>
                <w:szCs w:val="18"/>
              </w:rPr>
            </w:pPr>
            <w:r>
              <w:rPr>
                <w:sz w:val="18"/>
                <w:szCs w:val="18"/>
              </w:rPr>
              <w:t>（2）完成教材第七章作业。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案例3：用运放µA741设计减法电路，实现A-B=C运算。</w:t>
            </w:r>
          </w:p>
        </w:tc>
        <w:tc>
          <w:tcPr>
            <w:tcW w:w="447" w:type="dxa"/>
            <w:vAlign w:val="center"/>
          </w:tcPr>
          <w:p>
            <w:pPr>
              <w:adjustRightInd w:val="0"/>
              <w:snapToGrid w:val="0"/>
              <w:spacing w:line="300" w:lineRule="auto"/>
              <w:jc w:val="center"/>
              <w:rPr>
                <w:sz w:val="18"/>
                <w:szCs w:val="18"/>
              </w:rPr>
            </w:pPr>
            <w:r>
              <w:rPr>
                <w:sz w:val="18"/>
                <w:szCs w:val="18"/>
              </w:rPr>
              <w:t>6</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8</w:t>
            </w:r>
          </w:p>
        </w:tc>
        <w:tc>
          <w:tcPr>
            <w:tcW w:w="1780" w:type="dxa"/>
            <w:vAlign w:val="center"/>
          </w:tcPr>
          <w:p>
            <w:pPr>
              <w:adjustRightInd w:val="0"/>
              <w:snapToGrid w:val="0"/>
              <w:spacing w:line="300" w:lineRule="auto"/>
              <w:rPr>
                <w:sz w:val="18"/>
                <w:szCs w:val="18"/>
              </w:rPr>
            </w:pPr>
            <w:r>
              <w:rPr>
                <w:sz w:val="18"/>
                <w:szCs w:val="18"/>
              </w:rPr>
              <w:t>8低频功率放大器</w:t>
            </w:r>
          </w:p>
          <w:p>
            <w:pPr>
              <w:adjustRightInd w:val="0"/>
              <w:snapToGrid w:val="0"/>
              <w:spacing w:line="300" w:lineRule="auto"/>
              <w:ind w:right="-31" w:rightChars="-15"/>
              <w:rPr>
                <w:sz w:val="18"/>
                <w:szCs w:val="18"/>
              </w:rPr>
            </w:pPr>
            <w:r>
              <w:rPr>
                <w:sz w:val="18"/>
                <w:szCs w:val="18"/>
              </w:rPr>
              <w:t>8.1　功率放大电路的特殊问题及其分类</w:t>
            </w:r>
          </w:p>
          <w:p>
            <w:pPr>
              <w:adjustRightInd w:val="0"/>
              <w:snapToGrid w:val="0"/>
              <w:spacing w:line="300" w:lineRule="auto"/>
              <w:rPr>
                <w:sz w:val="18"/>
                <w:szCs w:val="18"/>
              </w:rPr>
            </w:pPr>
            <w:r>
              <w:rPr>
                <w:sz w:val="18"/>
                <w:szCs w:val="18"/>
              </w:rPr>
              <w:t>8.2　互补对称功率放大电路</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（1）了解：功率放大电路的特殊问题和主要性能指标。</w:t>
            </w:r>
          </w:p>
          <w:p>
            <w:pPr>
              <w:adjustRightInd w:val="0"/>
              <w:snapToGrid w:val="0"/>
              <w:spacing w:line="300" w:lineRule="auto"/>
              <w:ind w:right="-31" w:rightChars="-15"/>
              <w:rPr>
                <w:sz w:val="18"/>
                <w:szCs w:val="18"/>
              </w:rPr>
            </w:pPr>
            <w:r>
              <w:rPr>
                <w:sz w:val="18"/>
                <w:szCs w:val="18"/>
              </w:rPr>
              <w:t>（2）理解：B类和AB类互补对称功率放大电路（OCL和OTL）的结构、工作原理。</w:t>
            </w:r>
          </w:p>
          <w:p>
            <w:pPr>
              <w:adjustRightInd w:val="0"/>
              <w:snapToGrid w:val="0"/>
              <w:spacing w:line="300" w:lineRule="auto"/>
              <w:ind w:right="-31" w:rightChars="-15"/>
              <w:rPr>
                <w:sz w:val="18"/>
                <w:szCs w:val="18"/>
              </w:rPr>
            </w:pPr>
            <w:r>
              <w:rPr>
                <w:sz w:val="18"/>
                <w:szCs w:val="18"/>
              </w:rPr>
              <w:t>（3）掌握：B类互补对称功率放大电路（OCL和OTL）性能指标的计算</w:t>
            </w:r>
            <w:r>
              <w:rPr>
                <w:sz w:val="18"/>
                <w:szCs w:val="18"/>
              </w:rPr>
              <w:tab/>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（1）复习第八章内容；</w:t>
            </w:r>
          </w:p>
          <w:p>
            <w:pPr>
              <w:adjustRightInd w:val="0"/>
              <w:snapToGrid w:val="0"/>
              <w:spacing w:line="300" w:lineRule="auto"/>
              <w:rPr>
                <w:sz w:val="18"/>
                <w:szCs w:val="18"/>
              </w:rPr>
            </w:pPr>
            <w:r>
              <w:rPr>
                <w:sz w:val="18"/>
                <w:szCs w:val="18"/>
              </w:rPr>
              <w:t>（2）完成教材第八章作业。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案例4：用LA4112功放设计扩音器系统。</w:t>
            </w:r>
          </w:p>
        </w:tc>
        <w:tc>
          <w:tcPr>
            <w:tcW w:w="447" w:type="dxa"/>
            <w:vAlign w:val="center"/>
          </w:tcPr>
          <w:p>
            <w:pPr>
              <w:adjustRightInd w:val="0"/>
              <w:snapToGrid w:val="0"/>
              <w:spacing w:line="300" w:lineRule="auto"/>
              <w:jc w:val="center"/>
              <w:rPr>
                <w:sz w:val="18"/>
                <w:szCs w:val="18"/>
              </w:rPr>
            </w:pPr>
            <w:r>
              <w:rPr>
                <w:sz w:val="18"/>
                <w:szCs w:val="18"/>
              </w:rPr>
              <w:t>3</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9</w:t>
            </w:r>
          </w:p>
        </w:tc>
        <w:tc>
          <w:tcPr>
            <w:tcW w:w="1780" w:type="dxa"/>
            <w:vAlign w:val="center"/>
          </w:tcPr>
          <w:p>
            <w:pPr>
              <w:adjustRightInd w:val="0"/>
              <w:snapToGrid w:val="0"/>
              <w:spacing w:line="300" w:lineRule="auto"/>
              <w:rPr>
                <w:sz w:val="18"/>
                <w:szCs w:val="18"/>
              </w:rPr>
            </w:pPr>
            <w:r>
              <w:rPr>
                <w:sz w:val="18"/>
                <w:szCs w:val="18"/>
              </w:rPr>
              <w:t>9信号检测与处理电路</w:t>
            </w:r>
          </w:p>
          <w:p>
            <w:pPr>
              <w:adjustRightInd w:val="0"/>
              <w:snapToGrid w:val="0"/>
              <w:spacing w:line="300" w:lineRule="auto"/>
              <w:ind w:right="-31" w:rightChars="-15"/>
              <w:rPr>
                <w:sz w:val="18"/>
                <w:szCs w:val="18"/>
              </w:rPr>
            </w:pPr>
            <w:r>
              <w:rPr>
                <w:sz w:val="18"/>
                <w:szCs w:val="18"/>
              </w:rPr>
              <w:t>9.1  概述</w:t>
            </w:r>
          </w:p>
          <w:p>
            <w:pPr>
              <w:adjustRightInd w:val="0"/>
              <w:snapToGrid w:val="0"/>
              <w:spacing w:line="300" w:lineRule="auto"/>
              <w:ind w:right="-31" w:rightChars="-15"/>
              <w:rPr>
                <w:sz w:val="18"/>
                <w:szCs w:val="18"/>
              </w:rPr>
            </w:pPr>
            <w:r>
              <w:rPr>
                <w:sz w:val="18"/>
                <w:szCs w:val="18"/>
              </w:rPr>
              <w:t>9.2　有源滤波电路：滤波电路的基础知识，有源低通滤波器。</w:t>
            </w:r>
          </w:p>
          <w:p>
            <w:pPr>
              <w:adjustRightInd w:val="0"/>
              <w:snapToGrid w:val="0"/>
              <w:spacing w:line="300" w:lineRule="auto"/>
              <w:rPr>
                <w:sz w:val="18"/>
                <w:szCs w:val="18"/>
              </w:rPr>
            </w:pPr>
            <w:r>
              <w:rPr>
                <w:sz w:val="18"/>
                <w:szCs w:val="18"/>
              </w:rPr>
              <w:t>9.3　电压比较器：单阈值电压比较器，改进型比较器。</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（1）了解：滤波电路的基础知识。</w:t>
            </w:r>
          </w:p>
          <w:p>
            <w:pPr>
              <w:adjustRightInd w:val="0"/>
              <w:snapToGrid w:val="0"/>
              <w:spacing w:line="300" w:lineRule="auto"/>
              <w:ind w:right="-31" w:rightChars="-15"/>
              <w:rPr>
                <w:sz w:val="18"/>
                <w:szCs w:val="18"/>
              </w:rPr>
            </w:pPr>
            <w:r>
              <w:rPr>
                <w:sz w:val="18"/>
                <w:szCs w:val="18"/>
              </w:rPr>
              <w:t>（2）理解：有源低通滤波器的结构和工作原理。</w:t>
            </w:r>
          </w:p>
          <w:p>
            <w:pPr>
              <w:adjustRightInd w:val="0"/>
              <w:snapToGrid w:val="0"/>
              <w:spacing w:line="300" w:lineRule="auto"/>
              <w:rPr>
                <w:sz w:val="18"/>
                <w:szCs w:val="18"/>
              </w:rPr>
            </w:pPr>
            <w:r>
              <w:rPr>
                <w:sz w:val="18"/>
                <w:szCs w:val="18"/>
              </w:rPr>
              <w:t>（3）掌握：单阈值电压比较器的结构和工作原理。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（1）复习第九章内容；</w:t>
            </w:r>
          </w:p>
          <w:p>
            <w:pPr>
              <w:adjustRightInd w:val="0"/>
              <w:snapToGrid w:val="0"/>
              <w:spacing w:line="300" w:lineRule="auto"/>
              <w:rPr>
                <w:sz w:val="18"/>
                <w:szCs w:val="18"/>
              </w:rPr>
            </w:pPr>
            <w:r>
              <w:rPr>
                <w:sz w:val="18"/>
                <w:szCs w:val="18"/>
              </w:rPr>
              <w:t>（2）完成教材第九章作业。</w:t>
            </w:r>
          </w:p>
          <w:p>
            <w:pPr>
              <w:adjustRightInd w:val="0"/>
              <w:snapToGrid w:val="0"/>
              <w:spacing w:line="300" w:lineRule="auto"/>
              <w:rPr>
                <w:sz w:val="18"/>
                <w:szCs w:val="18"/>
              </w:rPr>
            </w:pPr>
            <w:r>
              <w:rPr>
                <w:sz w:val="18"/>
                <w:szCs w:val="18"/>
              </w:rPr>
              <w:t>3.教学方法：讲授式、讨论式与启发式相结合。</w:t>
            </w:r>
          </w:p>
        </w:tc>
        <w:tc>
          <w:tcPr>
            <w:tcW w:w="447" w:type="dxa"/>
            <w:vAlign w:val="center"/>
          </w:tcPr>
          <w:p>
            <w:pPr>
              <w:adjustRightInd w:val="0"/>
              <w:snapToGrid w:val="0"/>
              <w:spacing w:line="300" w:lineRule="auto"/>
              <w:jc w:val="center"/>
              <w:rPr>
                <w:sz w:val="18"/>
                <w:szCs w:val="18"/>
              </w:rPr>
            </w:pPr>
            <w:r>
              <w:rPr>
                <w:kern w:val="0"/>
                <w:sz w:val="18"/>
                <w:szCs w:val="18"/>
              </w:rPr>
              <w:t>2</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10</w:t>
            </w:r>
          </w:p>
        </w:tc>
        <w:tc>
          <w:tcPr>
            <w:tcW w:w="1780" w:type="dxa"/>
            <w:vAlign w:val="center"/>
          </w:tcPr>
          <w:p>
            <w:pPr>
              <w:adjustRightInd w:val="0"/>
              <w:snapToGrid w:val="0"/>
              <w:spacing w:line="300" w:lineRule="auto"/>
              <w:rPr>
                <w:sz w:val="18"/>
                <w:szCs w:val="18"/>
              </w:rPr>
            </w:pPr>
            <w:r>
              <w:rPr>
                <w:sz w:val="18"/>
                <w:szCs w:val="18"/>
              </w:rPr>
              <w:t>10波形发生电路</w:t>
            </w:r>
          </w:p>
          <w:p>
            <w:pPr>
              <w:adjustRightInd w:val="0"/>
              <w:snapToGrid w:val="0"/>
              <w:spacing w:line="300" w:lineRule="auto"/>
              <w:rPr>
                <w:sz w:val="18"/>
                <w:szCs w:val="18"/>
              </w:rPr>
            </w:pPr>
            <w:r>
              <w:rPr>
                <w:sz w:val="18"/>
                <w:szCs w:val="18"/>
              </w:rPr>
              <w:t>10.1 正弦波振荡电路</w:t>
            </w:r>
          </w:p>
          <w:p>
            <w:pPr>
              <w:adjustRightInd w:val="0"/>
              <w:snapToGrid w:val="0"/>
              <w:spacing w:line="300" w:lineRule="auto"/>
              <w:rPr>
                <w:sz w:val="18"/>
                <w:szCs w:val="18"/>
              </w:rPr>
            </w:pPr>
            <w:r>
              <w:rPr>
                <w:sz w:val="18"/>
                <w:szCs w:val="18"/>
              </w:rPr>
              <w:t>10.3 非正弦波发生电路</w:t>
            </w:r>
          </w:p>
          <w:p>
            <w:pPr>
              <w:adjustRightInd w:val="0"/>
              <w:snapToGrid w:val="0"/>
              <w:spacing w:line="300" w:lineRule="auto"/>
              <w:rPr>
                <w:sz w:val="18"/>
                <w:szCs w:val="18"/>
              </w:rPr>
            </w:pP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w:t>
            </w:r>
            <w:r>
              <w:rPr>
                <w:sz w:val="18"/>
                <w:szCs w:val="18"/>
                <w:shd w:val="clear" w:color="auto" w:fill="FFFFFF"/>
              </w:rPr>
              <w:t>非正弦波发生电路</w:t>
            </w:r>
            <w:r>
              <w:rPr>
                <w:sz w:val="18"/>
                <w:szCs w:val="18"/>
              </w:rPr>
              <w:t>；</w:t>
            </w:r>
          </w:p>
          <w:p>
            <w:pPr>
              <w:adjustRightInd w:val="0"/>
              <w:snapToGrid w:val="0"/>
              <w:spacing w:line="300" w:lineRule="auto"/>
              <w:ind w:right="-31" w:rightChars="-15"/>
              <w:rPr>
                <w:sz w:val="18"/>
                <w:szCs w:val="18"/>
              </w:rPr>
            </w:pPr>
            <w:r>
              <w:rPr>
                <w:sz w:val="18"/>
                <w:szCs w:val="18"/>
              </w:rPr>
              <w:t>（2）掌握：</w:t>
            </w:r>
            <w:r>
              <w:rPr>
                <w:sz w:val="18"/>
                <w:szCs w:val="18"/>
                <w:shd w:val="clear" w:color="auto" w:fill="FFFFFF"/>
              </w:rPr>
              <w:t>正弦波发生电路</w:t>
            </w:r>
            <w:r>
              <w:rPr>
                <w:sz w:val="18"/>
                <w:szCs w:val="18"/>
              </w:rPr>
              <w:t>。</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（1）复习第十章内容；</w:t>
            </w:r>
          </w:p>
          <w:p>
            <w:pPr>
              <w:adjustRightInd w:val="0"/>
              <w:snapToGrid w:val="0"/>
              <w:spacing w:line="300" w:lineRule="auto"/>
              <w:rPr>
                <w:sz w:val="18"/>
                <w:szCs w:val="18"/>
              </w:rPr>
            </w:pPr>
            <w:r>
              <w:rPr>
                <w:sz w:val="18"/>
                <w:szCs w:val="18"/>
              </w:rPr>
              <w:t>（2）完成教材第十章作业。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案例5：用运放µA741，若干电阻和电容，设计正弦波发生电路</w:t>
            </w:r>
          </w:p>
        </w:tc>
        <w:tc>
          <w:tcPr>
            <w:tcW w:w="447" w:type="dxa"/>
            <w:vAlign w:val="center"/>
          </w:tcPr>
          <w:p>
            <w:pPr>
              <w:adjustRightInd w:val="0"/>
              <w:snapToGrid w:val="0"/>
              <w:spacing w:line="300" w:lineRule="auto"/>
              <w:jc w:val="center"/>
              <w:rPr>
                <w:sz w:val="18"/>
                <w:szCs w:val="18"/>
              </w:rPr>
            </w:pPr>
            <w:r>
              <w:rPr>
                <w:sz w:val="18"/>
                <w:szCs w:val="18"/>
              </w:rPr>
              <w:t>2</w:t>
            </w:r>
          </w:p>
        </w:tc>
        <w:tc>
          <w:tcPr>
            <w:tcW w:w="890"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7"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11</w:t>
            </w:r>
          </w:p>
        </w:tc>
        <w:tc>
          <w:tcPr>
            <w:tcW w:w="1780" w:type="dxa"/>
            <w:vAlign w:val="center"/>
          </w:tcPr>
          <w:p>
            <w:pPr>
              <w:adjustRightInd w:val="0"/>
              <w:snapToGrid w:val="0"/>
              <w:spacing w:line="300" w:lineRule="auto"/>
              <w:rPr>
                <w:sz w:val="18"/>
                <w:szCs w:val="18"/>
              </w:rPr>
            </w:pPr>
            <w:r>
              <w:rPr>
                <w:sz w:val="18"/>
                <w:szCs w:val="18"/>
              </w:rPr>
              <w:t>11直流电源</w:t>
            </w:r>
          </w:p>
          <w:p>
            <w:pPr>
              <w:adjustRightInd w:val="0"/>
              <w:snapToGrid w:val="0"/>
              <w:spacing w:line="300" w:lineRule="auto"/>
              <w:ind w:right="-31" w:rightChars="-15"/>
              <w:rPr>
                <w:sz w:val="18"/>
                <w:szCs w:val="18"/>
              </w:rPr>
            </w:pPr>
            <w:r>
              <w:rPr>
                <w:sz w:val="18"/>
                <w:szCs w:val="18"/>
              </w:rPr>
              <w:t>11.1　概述</w:t>
            </w:r>
          </w:p>
          <w:p>
            <w:pPr>
              <w:adjustRightInd w:val="0"/>
              <w:snapToGrid w:val="0"/>
              <w:spacing w:line="300" w:lineRule="auto"/>
              <w:ind w:right="-31" w:rightChars="-15"/>
              <w:rPr>
                <w:sz w:val="18"/>
                <w:szCs w:val="18"/>
              </w:rPr>
            </w:pPr>
            <w:r>
              <w:rPr>
                <w:sz w:val="18"/>
                <w:szCs w:val="18"/>
              </w:rPr>
              <w:t>11.2　整流电路</w:t>
            </w:r>
          </w:p>
          <w:p>
            <w:pPr>
              <w:adjustRightInd w:val="0"/>
              <w:snapToGrid w:val="0"/>
              <w:spacing w:line="300" w:lineRule="auto"/>
              <w:ind w:right="-31" w:rightChars="-15"/>
              <w:rPr>
                <w:sz w:val="18"/>
                <w:szCs w:val="18"/>
              </w:rPr>
            </w:pPr>
            <w:r>
              <w:rPr>
                <w:sz w:val="18"/>
                <w:szCs w:val="18"/>
              </w:rPr>
              <w:t>11.3　滤波电路</w:t>
            </w:r>
          </w:p>
          <w:p>
            <w:pPr>
              <w:adjustRightInd w:val="0"/>
              <w:snapToGrid w:val="0"/>
              <w:spacing w:line="300" w:lineRule="auto"/>
              <w:ind w:right="-31" w:rightChars="-15"/>
              <w:rPr>
                <w:sz w:val="18"/>
                <w:szCs w:val="18"/>
              </w:rPr>
            </w:pPr>
            <w:r>
              <w:rPr>
                <w:sz w:val="18"/>
                <w:szCs w:val="18"/>
              </w:rPr>
              <w:t>11.4　分立元件稳压电路</w:t>
            </w:r>
          </w:p>
          <w:p>
            <w:pPr>
              <w:adjustRightInd w:val="0"/>
              <w:snapToGrid w:val="0"/>
              <w:spacing w:line="300" w:lineRule="auto"/>
              <w:rPr>
                <w:sz w:val="18"/>
                <w:szCs w:val="18"/>
              </w:rPr>
            </w:pPr>
            <w:r>
              <w:rPr>
                <w:sz w:val="18"/>
                <w:szCs w:val="18"/>
              </w:rPr>
              <w:t>11.5　三端稳压电路</w:t>
            </w:r>
          </w:p>
          <w:p>
            <w:pPr>
              <w:adjustRightInd w:val="0"/>
              <w:snapToGrid w:val="0"/>
              <w:spacing w:line="300" w:lineRule="auto"/>
              <w:rPr>
                <w:sz w:val="18"/>
                <w:szCs w:val="18"/>
              </w:rPr>
            </w:pPr>
            <w:r>
              <w:rPr>
                <w:sz w:val="18"/>
                <w:szCs w:val="18"/>
              </w:rPr>
              <w:t>课程思政：介绍我国公司生产的电源，加强爱国与担当精神。</w:t>
            </w:r>
          </w:p>
        </w:tc>
        <w:tc>
          <w:tcPr>
            <w:tcW w:w="5340"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ind w:right="-31" w:rightChars="-15"/>
              <w:rPr>
                <w:sz w:val="18"/>
                <w:szCs w:val="18"/>
              </w:rPr>
            </w:pPr>
            <w:r>
              <w:rPr>
                <w:sz w:val="18"/>
                <w:szCs w:val="18"/>
              </w:rPr>
              <w:t>（1）了解：直流电源电路的组成及各部分的作用、波形。</w:t>
            </w:r>
          </w:p>
          <w:p>
            <w:pPr>
              <w:adjustRightInd w:val="0"/>
              <w:snapToGrid w:val="0"/>
              <w:spacing w:line="300" w:lineRule="auto"/>
              <w:ind w:right="-31" w:rightChars="-15"/>
              <w:rPr>
                <w:sz w:val="18"/>
                <w:szCs w:val="18"/>
              </w:rPr>
            </w:pPr>
            <w:r>
              <w:rPr>
                <w:sz w:val="18"/>
                <w:szCs w:val="18"/>
              </w:rPr>
              <w:t>（2）理解：直流电源电路各部分的结构和工作原理。</w:t>
            </w:r>
          </w:p>
          <w:p>
            <w:pPr>
              <w:adjustRightInd w:val="0"/>
              <w:snapToGrid w:val="0"/>
              <w:spacing w:line="300" w:lineRule="auto"/>
              <w:ind w:right="-31" w:rightChars="-15"/>
              <w:rPr>
                <w:sz w:val="18"/>
                <w:szCs w:val="18"/>
              </w:rPr>
            </w:pPr>
            <w:r>
              <w:rPr>
                <w:sz w:val="18"/>
                <w:szCs w:val="18"/>
              </w:rPr>
              <w:t>（3）掌握：直流电源电路各部分的输出电压的平均值，三端集成稳压器的型号特点，串联型稳压电压的分析。</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（1）复习第十一章内容；</w:t>
            </w:r>
          </w:p>
          <w:p>
            <w:pPr>
              <w:adjustRightInd w:val="0"/>
              <w:snapToGrid w:val="0"/>
              <w:spacing w:line="300" w:lineRule="auto"/>
              <w:rPr>
                <w:sz w:val="18"/>
                <w:szCs w:val="18"/>
              </w:rPr>
            </w:pPr>
            <w:r>
              <w:rPr>
                <w:sz w:val="18"/>
                <w:szCs w:val="18"/>
              </w:rPr>
              <w:t>（2）完成教材第十一章作业。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案例6：用7809稳压芯片，设计一个9V的直流稳压源</w:t>
            </w:r>
          </w:p>
        </w:tc>
        <w:tc>
          <w:tcPr>
            <w:tcW w:w="447" w:type="dxa"/>
            <w:vAlign w:val="center"/>
          </w:tcPr>
          <w:p>
            <w:pPr>
              <w:adjustRightInd w:val="0"/>
              <w:snapToGrid w:val="0"/>
              <w:spacing w:line="300" w:lineRule="auto"/>
              <w:jc w:val="center"/>
              <w:rPr>
                <w:sz w:val="18"/>
                <w:szCs w:val="18"/>
              </w:rPr>
            </w:pPr>
            <w:r>
              <w:rPr>
                <w:sz w:val="18"/>
                <w:szCs w:val="18"/>
              </w:rPr>
              <w:t>4</w:t>
            </w:r>
          </w:p>
        </w:tc>
        <w:tc>
          <w:tcPr>
            <w:tcW w:w="890" w:type="dxa"/>
            <w:vAlign w:val="center"/>
          </w:tcPr>
          <w:p>
            <w:pPr>
              <w:adjustRightInd w:val="0"/>
              <w:snapToGrid w:val="0"/>
              <w:spacing w:line="300" w:lineRule="auto"/>
              <w:jc w:val="center"/>
              <w:rPr>
                <w:sz w:val="18"/>
                <w:szCs w:val="18"/>
              </w:rPr>
            </w:pPr>
            <w:r>
              <w:rPr>
                <w:sz w:val="18"/>
                <w:szCs w:val="18"/>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4"/>
        <w:gridCol w:w="1926"/>
        <w:gridCol w:w="3855"/>
        <w:gridCol w:w="445"/>
        <w:gridCol w:w="445"/>
        <w:gridCol w:w="445"/>
        <w:gridCol w:w="743"/>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blHeader/>
          <w:jc w:val="center"/>
        </w:trPr>
        <w:tc>
          <w:tcPr>
            <w:tcW w:w="444" w:type="dxa"/>
            <w:vAlign w:val="center"/>
          </w:tcPr>
          <w:p>
            <w:pPr>
              <w:snapToGrid w:val="0"/>
              <w:spacing w:line="300" w:lineRule="auto"/>
              <w:rPr>
                <w:b/>
                <w:bCs/>
                <w:sz w:val="18"/>
                <w:szCs w:val="18"/>
              </w:rPr>
            </w:pPr>
            <w:r>
              <w:rPr>
                <w:b/>
                <w:bCs/>
                <w:kern w:val="0"/>
                <w:sz w:val="18"/>
                <w:szCs w:val="18"/>
              </w:rPr>
              <w:t>序号</w:t>
            </w:r>
          </w:p>
        </w:tc>
        <w:tc>
          <w:tcPr>
            <w:tcW w:w="1926" w:type="dxa"/>
            <w:vAlign w:val="center"/>
          </w:tcPr>
          <w:p>
            <w:pPr>
              <w:snapToGrid w:val="0"/>
              <w:spacing w:line="300" w:lineRule="auto"/>
              <w:jc w:val="center"/>
              <w:rPr>
                <w:b/>
                <w:bCs/>
                <w:sz w:val="18"/>
                <w:szCs w:val="18"/>
              </w:rPr>
            </w:pPr>
            <w:r>
              <w:rPr>
                <w:b/>
                <w:bCs/>
                <w:kern w:val="0"/>
                <w:sz w:val="18"/>
                <w:szCs w:val="18"/>
              </w:rPr>
              <w:t>实验项目名称</w:t>
            </w:r>
          </w:p>
        </w:tc>
        <w:tc>
          <w:tcPr>
            <w:tcW w:w="3855" w:type="dxa"/>
            <w:vAlign w:val="center"/>
          </w:tcPr>
          <w:p>
            <w:pPr>
              <w:snapToGrid w:val="0"/>
              <w:spacing w:line="300" w:lineRule="auto"/>
              <w:jc w:val="center"/>
              <w:rPr>
                <w:b/>
                <w:bCs/>
                <w:sz w:val="18"/>
                <w:szCs w:val="18"/>
              </w:rPr>
            </w:pPr>
            <w:r>
              <w:rPr>
                <w:b/>
                <w:bCs/>
                <w:kern w:val="0"/>
                <w:sz w:val="18"/>
                <w:szCs w:val="18"/>
              </w:rPr>
              <w:t>目的要求</w:t>
            </w:r>
          </w:p>
        </w:tc>
        <w:tc>
          <w:tcPr>
            <w:tcW w:w="445" w:type="dxa"/>
            <w:vAlign w:val="center"/>
          </w:tcPr>
          <w:p>
            <w:pPr>
              <w:snapToGrid w:val="0"/>
              <w:spacing w:line="300" w:lineRule="auto"/>
              <w:jc w:val="center"/>
              <w:rPr>
                <w:b/>
                <w:bCs/>
                <w:sz w:val="18"/>
                <w:szCs w:val="18"/>
              </w:rPr>
            </w:pPr>
            <w:r>
              <w:rPr>
                <w:b/>
                <w:bCs/>
                <w:kern w:val="0"/>
                <w:sz w:val="18"/>
                <w:szCs w:val="18"/>
              </w:rPr>
              <w:t>学时分配</w:t>
            </w:r>
          </w:p>
        </w:tc>
        <w:tc>
          <w:tcPr>
            <w:tcW w:w="445" w:type="dxa"/>
            <w:vAlign w:val="center"/>
          </w:tcPr>
          <w:p>
            <w:pPr>
              <w:snapToGrid w:val="0"/>
              <w:spacing w:line="300" w:lineRule="auto"/>
              <w:jc w:val="center"/>
              <w:rPr>
                <w:b/>
                <w:bCs/>
                <w:kern w:val="0"/>
                <w:sz w:val="18"/>
                <w:szCs w:val="18"/>
              </w:rPr>
            </w:pPr>
            <w:r>
              <w:rPr>
                <w:b/>
                <w:bCs/>
                <w:kern w:val="0"/>
                <w:sz w:val="18"/>
                <w:szCs w:val="18"/>
              </w:rPr>
              <w:t>实验类型</w:t>
            </w:r>
          </w:p>
        </w:tc>
        <w:tc>
          <w:tcPr>
            <w:tcW w:w="445" w:type="dxa"/>
            <w:vAlign w:val="center"/>
          </w:tcPr>
          <w:p>
            <w:pPr>
              <w:snapToGrid w:val="0"/>
              <w:spacing w:line="300" w:lineRule="auto"/>
              <w:jc w:val="center"/>
              <w:rPr>
                <w:b/>
                <w:bCs/>
                <w:kern w:val="0"/>
                <w:sz w:val="18"/>
                <w:szCs w:val="18"/>
              </w:rPr>
            </w:pPr>
            <w:r>
              <w:rPr>
                <w:b/>
                <w:bCs/>
                <w:kern w:val="0"/>
                <w:sz w:val="18"/>
                <w:szCs w:val="18"/>
              </w:rPr>
              <w:t>每组人数</w:t>
            </w:r>
          </w:p>
        </w:tc>
        <w:tc>
          <w:tcPr>
            <w:tcW w:w="74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888"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dxa"/>
            <w:vAlign w:val="center"/>
          </w:tcPr>
          <w:p>
            <w:pPr>
              <w:snapToGrid w:val="0"/>
              <w:spacing w:line="300" w:lineRule="auto"/>
              <w:jc w:val="center"/>
              <w:rPr>
                <w:sz w:val="18"/>
                <w:szCs w:val="18"/>
              </w:rPr>
            </w:pPr>
            <w:r>
              <w:rPr>
                <w:sz w:val="18"/>
                <w:szCs w:val="18"/>
              </w:rPr>
              <w:t>1</w:t>
            </w:r>
          </w:p>
        </w:tc>
        <w:tc>
          <w:tcPr>
            <w:tcW w:w="1926" w:type="dxa"/>
            <w:vAlign w:val="center"/>
          </w:tcPr>
          <w:p>
            <w:pPr>
              <w:snapToGrid w:val="0"/>
              <w:spacing w:line="300" w:lineRule="auto"/>
              <w:rPr>
                <w:sz w:val="18"/>
                <w:szCs w:val="18"/>
              </w:rPr>
            </w:pPr>
            <w:r>
              <w:rPr>
                <w:sz w:val="18"/>
                <w:szCs w:val="18"/>
              </w:rPr>
              <w:t>单管放大电路的测试</w:t>
            </w:r>
          </w:p>
        </w:tc>
        <w:tc>
          <w:tcPr>
            <w:tcW w:w="3855" w:type="dxa"/>
            <w:vAlign w:val="center"/>
          </w:tcPr>
          <w:p>
            <w:pPr>
              <w:snapToGrid w:val="0"/>
              <w:spacing w:line="300" w:lineRule="auto"/>
              <w:rPr>
                <w:sz w:val="18"/>
                <w:szCs w:val="18"/>
              </w:rPr>
            </w:pPr>
            <w:r>
              <w:rPr>
                <w:sz w:val="18"/>
                <w:szCs w:val="18"/>
              </w:rPr>
              <w:t>会测试单管放大电路的</w:t>
            </w:r>
            <w:r>
              <w:rPr>
                <w:i/>
                <w:sz w:val="18"/>
                <w:szCs w:val="18"/>
              </w:rPr>
              <w:t>Q</w:t>
            </w:r>
            <w:r>
              <w:rPr>
                <w:sz w:val="18"/>
                <w:szCs w:val="18"/>
              </w:rPr>
              <w:t>点和动态性能指标</w:t>
            </w:r>
          </w:p>
        </w:tc>
        <w:tc>
          <w:tcPr>
            <w:tcW w:w="445"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验证</w:t>
            </w:r>
          </w:p>
        </w:tc>
        <w:tc>
          <w:tcPr>
            <w:tcW w:w="445" w:type="dxa"/>
            <w:vAlign w:val="center"/>
          </w:tcPr>
          <w:p>
            <w:pPr>
              <w:snapToGrid w:val="0"/>
              <w:spacing w:line="300" w:lineRule="auto"/>
              <w:jc w:val="center"/>
              <w:rPr>
                <w:sz w:val="18"/>
                <w:szCs w:val="18"/>
              </w:rPr>
            </w:pPr>
            <w:r>
              <w:rPr>
                <w:kern w:val="0"/>
                <w:sz w:val="18"/>
                <w:szCs w:val="18"/>
              </w:rPr>
              <w:t>2</w:t>
            </w:r>
          </w:p>
        </w:tc>
        <w:tc>
          <w:tcPr>
            <w:tcW w:w="743" w:type="dxa"/>
            <w:vAlign w:val="center"/>
          </w:tcPr>
          <w:p>
            <w:pPr>
              <w:snapToGrid w:val="0"/>
              <w:spacing w:line="300" w:lineRule="auto"/>
              <w:jc w:val="center"/>
              <w:rPr>
                <w:sz w:val="18"/>
                <w:szCs w:val="18"/>
              </w:rPr>
            </w:pPr>
            <w:r>
              <w:rPr>
                <w:kern w:val="0"/>
                <w:sz w:val="18"/>
                <w:szCs w:val="18"/>
              </w:rPr>
              <w:t>必开</w:t>
            </w:r>
          </w:p>
        </w:tc>
        <w:tc>
          <w:tcPr>
            <w:tcW w:w="888" w:type="dxa"/>
            <w:vAlign w:val="center"/>
          </w:tcPr>
          <w:p>
            <w:pPr>
              <w:snapToGrid w:val="0"/>
              <w:spacing w:line="300" w:lineRule="auto"/>
              <w:jc w:val="center"/>
              <w:rPr>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444" w:type="dxa"/>
            <w:vAlign w:val="center"/>
          </w:tcPr>
          <w:p>
            <w:pPr>
              <w:snapToGrid w:val="0"/>
              <w:spacing w:line="300" w:lineRule="auto"/>
              <w:jc w:val="center"/>
              <w:rPr>
                <w:sz w:val="18"/>
                <w:szCs w:val="18"/>
              </w:rPr>
            </w:pPr>
            <w:r>
              <w:rPr>
                <w:sz w:val="18"/>
                <w:szCs w:val="18"/>
              </w:rPr>
              <w:t>2</w:t>
            </w:r>
          </w:p>
        </w:tc>
        <w:tc>
          <w:tcPr>
            <w:tcW w:w="1926" w:type="dxa"/>
            <w:vAlign w:val="center"/>
          </w:tcPr>
          <w:p>
            <w:pPr>
              <w:snapToGrid w:val="0"/>
              <w:spacing w:line="300" w:lineRule="auto"/>
              <w:rPr>
                <w:sz w:val="18"/>
                <w:szCs w:val="18"/>
              </w:rPr>
            </w:pPr>
            <w:r>
              <w:rPr>
                <w:sz w:val="18"/>
                <w:szCs w:val="18"/>
              </w:rPr>
              <w:t>差分放大电路的测试</w:t>
            </w:r>
          </w:p>
        </w:tc>
        <w:tc>
          <w:tcPr>
            <w:tcW w:w="3855" w:type="dxa"/>
            <w:vAlign w:val="center"/>
          </w:tcPr>
          <w:p>
            <w:pPr>
              <w:snapToGrid w:val="0"/>
              <w:spacing w:line="300" w:lineRule="auto"/>
              <w:rPr>
                <w:sz w:val="18"/>
                <w:szCs w:val="18"/>
              </w:rPr>
            </w:pPr>
            <w:r>
              <w:rPr>
                <w:sz w:val="18"/>
                <w:szCs w:val="18"/>
              </w:rPr>
              <w:t>会测试差分放大电路的</w:t>
            </w:r>
            <w:r>
              <w:rPr>
                <w:i/>
                <w:sz w:val="18"/>
                <w:szCs w:val="18"/>
              </w:rPr>
              <w:t>Q</w:t>
            </w:r>
            <w:r>
              <w:rPr>
                <w:sz w:val="18"/>
                <w:szCs w:val="18"/>
              </w:rPr>
              <w:t>点和动态性能指标</w:t>
            </w:r>
          </w:p>
        </w:tc>
        <w:tc>
          <w:tcPr>
            <w:tcW w:w="445"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验证</w:t>
            </w:r>
          </w:p>
        </w:tc>
        <w:tc>
          <w:tcPr>
            <w:tcW w:w="445" w:type="dxa"/>
            <w:vAlign w:val="center"/>
          </w:tcPr>
          <w:p>
            <w:pPr>
              <w:snapToGrid w:val="0"/>
              <w:spacing w:line="300" w:lineRule="auto"/>
              <w:jc w:val="center"/>
              <w:rPr>
                <w:sz w:val="18"/>
                <w:szCs w:val="18"/>
              </w:rPr>
            </w:pPr>
            <w:r>
              <w:rPr>
                <w:kern w:val="0"/>
                <w:sz w:val="18"/>
                <w:szCs w:val="18"/>
              </w:rPr>
              <w:t>2</w:t>
            </w:r>
          </w:p>
        </w:tc>
        <w:tc>
          <w:tcPr>
            <w:tcW w:w="743" w:type="dxa"/>
            <w:vAlign w:val="center"/>
          </w:tcPr>
          <w:p>
            <w:pPr>
              <w:snapToGrid w:val="0"/>
              <w:spacing w:line="300" w:lineRule="auto"/>
              <w:jc w:val="center"/>
              <w:rPr>
                <w:sz w:val="18"/>
                <w:szCs w:val="18"/>
              </w:rPr>
            </w:pPr>
            <w:r>
              <w:rPr>
                <w:kern w:val="0"/>
                <w:sz w:val="18"/>
                <w:szCs w:val="18"/>
              </w:rPr>
              <w:t>必开</w:t>
            </w:r>
          </w:p>
        </w:tc>
        <w:tc>
          <w:tcPr>
            <w:tcW w:w="888" w:type="dxa"/>
            <w:vAlign w:val="center"/>
          </w:tcPr>
          <w:p>
            <w:pPr>
              <w:widowControl/>
              <w:snapToGrid w:val="0"/>
              <w:spacing w:line="300" w:lineRule="auto"/>
              <w:jc w:val="center"/>
              <w:rPr>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 w:hRule="atLeast"/>
          <w:jc w:val="center"/>
        </w:trPr>
        <w:tc>
          <w:tcPr>
            <w:tcW w:w="444" w:type="dxa"/>
            <w:vAlign w:val="center"/>
          </w:tcPr>
          <w:p>
            <w:pPr>
              <w:snapToGrid w:val="0"/>
              <w:spacing w:line="300" w:lineRule="auto"/>
              <w:jc w:val="center"/>
              <w:rPr>
                <w:sz w:val="18"/>
                <w:szCs w:val="18"/>
              </w:rPr>
            </w:pPr>
            <w:r>
              <w:rPr>
                <w:sz w:val="18"/>
                <w:szCs w:val="18"/>
              </w:rPr>
              <w:t>3</w:t>
            </w:r>
          </w:p>
        </w:tc>
        <w:tc>
          <w:tcPr>
            <w:tcW w:w="1926" w:type="dxa"/>
            <w:vAlign w:val="center"/>
          </w:tcPr>
          <w:p>
            <w:pPr>
              <w:snapToGrid w:val="0"/>
              <w:spacing w:line="300" w:lineRule="auto"/>
              <w:ind w:right="-334"/>
              <w:rPr>
                <w:sz w:val="18"/>
                <w:szCs w:val="18"/>
              </w:rPr>
            </w:pPr>
            <w:r>
              <w:rPr>
                <w:sz w:val="18"/>
                <w:szCs w:val="18"/>
              </w:rPr>
              <w:t>集成运放的应用</w:t>
            </w:r>
          </w:p>
        </w:tc>
        <w:tc>
          <w:tcPr>
            <w:tcW w:w="3855" w:type="dxa"/>
            <w:vAlign w:val="center"/>
          </w:tcPr>
          <w:p>
            <w:pPr>
              <w:snapToGrid w:val="0"/>
              <w:spacing w:line="300" w:lineRule="auto"/>
              <w:ind w:right="-334"/>
              <w:rPr>
                <w:sz w:val="18"/>
                <w:szCs w:val="18"/>
              </w:rPr>
            </w:pPr>
            <w:r>
              <w:rPr>
                <w:sz w:val="18"/>
                <w:szCs w:val="18"/>
              </w:rPr>
              <w:t>掌握比例电路、加法和减法电路的测试</w:t>
            </w:r>
          </w:p>
        </w:tc>
        <w:tc>
          <w:tcPr>
            <w:tcW w:w="445" w:type="dxa"/>
            <w:vAlign w:val="center"/>
          </w:tcPr>
          <w:p>
            <w:pPr>
              <w:snapToGrid w:val="0"/>
              <w:spacing w:line="300" w:lineRule="auto"/>
              <w:jc w:val="center"/>
              <w:rPr>
                <w:kern w:val="0"/>
                <w:sz w:val="18"/>
                <w:szCs w:val="18"/>
              </w:rPr>
            </w:pPr>
            <w:r>
              <w:rPr>
                <w:kern w:val="0"/>
                <w:sz w:val="18"/>
                <w:szCs w:val="18"/>
              </w:rPr>
              <w:t>2</w:t>
            </w:r>
          </w:p>
        </w:tc>
        <w:tc>
          <w:tcPr>
            <w:tcW w:w="445" w:type="dxa"/>
            <w:vAlign w:val="center"/>
          </w:tcPr>
          <w:p>
            <w:pPr>
              <w:snapToGrid w:val="0"/>
              <w:spacing w:line="300" w:lineRule="auto"/>
              <w:jc w:val="center"/>
              <w:rPr>
                <w:kern w:val="0"/>
                <w:sz w:val="18"/>
                <w:szCs w:val="18"/>
              </w:rPr>
            </w:pPr>
            <w:r>
              <w:rPr>
                <w:kern w:val="0"/>
                <w:sz w:val="18"/>
                <w:szCs w:val="18"/>
              </w:rPr>
              <w:t>设计</w:t>
            </w:r>
          </w:p>
        </w:tc>
        <w:tc>
          <w:tcPr>
            <w:tcW w:w="445" w:type="dxa"/>
            <w:vAlign w:val="center"/>
          </w:tcPr>
          <w:p>
            <w:pPr>
              <w:snapToGrid w:val="0"/>
              <w:spacing w:line="300" w:lineRule="auto"/>
              <w:jc w:val="center"/>
              <w:rPr>
                <w:kern w:val="0"/>
                <w:sz w:val="18"/>
                <w:szCs w:val="18"/>
              </w:rPr>
            </w:pPr>
            <w:r>
              <w:rPr>
                <w:kern w:val="0"/>
                <w:sz w:val="18"/>
                <w:szCs w:val="18"/>
              </w:rPr>
              <w:t>2</w:t>
            </w:r>
          </w:p>
        </w:tc>
        <w:tc>
          <w:tcPr>
            <w:tcW w:w="743" w:type="dxa"/>
            <w:vAlign w:val="center"/>
          </w:tcPr>
          <w:p>
            <w:pPr>
              <w:snapToGrid w:val="0"/>
              <w:spacing w:line="300" w:lineRule="auto"/>
              <w:jc w:val="center"/>
              <w:rPr>
                <w:sz w:val="18"/>
                <w:szCs w:val="18"/>
              </w:rPr>
            </w:pPr>
            <w:r>
              <w:rPr>
                <w:kern w:val="0"/>
                <w:sz w:val="18"/>
                <w:szCs w:val="18"/>
              </w:rPr>
              <w:t>必开</w:t>
            </w:r>
          </w:p>
        </w:tc>
        <w:tc>
          <w:tcPr>
            <w:tcW w:w="888" w:type="dxa"/>
            <w:vAlign w:val="center"/>
          </w:tcPr>
          <w:p>
            <w:pPr>
              <w:snapToGrid w:val="0"/>
              <w:spacing w:line="300" w:lineRule="auto"/>
              <w:jc w:val="center"/>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444" w:type="dxa"/>
            <w:vAlign w:val="center"/>
          </w:tcPr>
          <w:p>
            <w:pPr>
              <w:snapToGrid w:val="0"/>
              <w:spacing w:line="300" w:lineRule="auto"/>
              <w:jc w:val="center"/>
              <w:rPr>
                <w:sz w:val="18"/>
                <w:szCs w:val="18"/>
              </w:rPr>
            </w:pPr>
            <w:r>
              <w:rPr>
                <w:sz w:val="18"/>
                <w:szCs w:val="18"/>
              </w:rPr>
              <w:t>4</w:t>
            </w:r>
          </w:p>
        </w:tc>
        <w:tc>
          <w:tcPr>
            <w:tcW w:w="1926" w:type="dxa"/>
            <w:vAlign w:val="center"/>
          </w:tcPr>
          <w:p>
            <w:pPr>
              <w:snapToGrid w:val="0"/>
              <w:spacing w:line="300" w:lineRule="auto"/>
              <w:rPr>
                <w:sz w:val="18"/>
                <w:szCs w:val="18"/>
              </w:rPr>
            </w:pPr>
            <w:r>
              <w:rPr>
                <w:sz w:val="18"/>
                <w:szCs w:val="18"/>
              </w:rPr>
              <w:t>功率放大电路的测试</w:t>
            </w:r>
          </w:p>
        </w:tc>
        <w:tc>
          <w:tcPr>
            <w:tcW w:w="3855" w:type="dxa"/>
            <w:vAlign w:val="center"/>
          </w:tcPr>
          <w:p>
            <w:pPr>
              <w:snapToGrid w:val="0"/>
              <w:spacing w:line="300" w:lineRule="auto"/>
              <w:rPr>
                <w:sz w:val="18"/>
                <w:szCs w:val="18"/>
              </w:rPr>
            </w:pPr>
            <w:r>
              <w:rPr>
                <w:sz w:val="18"/>
                <w:szCs w:val="18"/>
              </w:rPr>
              <w:t>掌握测试功率放大电路的静态和动态性能</w:t>
            </w:r>
          </w:p>
        </w:tc>
        <w:tc>
          <w:tcPr>
            <w:tcW w:w="445"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设计</w:t>
            </w:r>
          </w:p>
        </w:tc>
        <w:tc>
          <w:tcPr>
            <w:tcW w:w="445" w:type="dxa"/>
            <w:vAlign w:val="center"/>
          </w:tcPr>
          <w:p>
            <w:pPr>
              <w:snapToGrid w:val="0"/>
              <w:spacing w:line="300" w:lineRule="auto"/>
              <w:jc w:val="center"/>
              <w:rPr>
                <w:sz w:val="18"/>
                <w:szCs w:val="18"/>
              </w:rPr>
            </w:pPr>
            <w:r>
              <w:rPr>
                <w:kern w:val="0"/>
                <w:sz w:val="18"/>
                <w:szCs w:val="18"/>
              </w:rPr>
              <w:t>2</w:t>
            </w:r>
          </w:p>
        </w:tc>
        <w:tc>
          <w:tcPr>
            <w:tcW w:w="743" w:type="dxa"/>
            <w:vAlign w:val="center"/>
          </w:tcPr>
          <w:p>
            <w:pPr>
              <w:snapToGrid w:val="0"/>
              <w:spacing w:line="300" w:lineRule="auto"/>
              <w:jc w:val="center"/>
              <w:rPr>
                <w:sz w:val="18"/>
                <w:szCs w:val="18"/>
              </w:rPr>
            </w:pPr>
            <w:r>
              <w:rPr>
                <w:kern w:val="0"/>
                <w:sz w:val="18"/>
                <w:szCs w:val="18"/>
              </w:rPr>
              <w:t>必开</w:t>
            </w:r>
          </w:p>
        </w:tc>
        <w:tc>
          <w:tcPr>
            <w:tcW w:w="888" w:type="dxa"/>
            <w:vAlign w:val="center"/>
          </w:tcPr>
          <w:p>
            <w:pPr>
              <w:snapToGrid w:val="0"/>
              <w:spacing w:line="300" w:lineRule="auto"/>
              <w:jc w:val="center"/>
              <w:rPr>
                <w:sz w:val="18"/>
                <w:szCs w:val="18"/>
              </w:rPr>
            </w:pPr>
            <w:r>
              <w:rPr>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dxa"/>
            <w:vAlign w:val="center"/>
          </w:tcPr>
          <w:p>
            <w:pPr>
              <w:snapToGrid w:val="0"/>
              <w:spacing w:line="300" w:lineRule="auto"/>
              <w:jc w:val="center"/>
              <w:rPr>
                <w:sz w:val="18"/>
                <w:szCs w:val="18"/>
              </w:rPr>
            </w:pPr>
            <w:r>
              <w:rPr>
                <w:sz w:val="18"/>
                <w:szCs w:val="18"/>
              </w:rPr>
              <w:t>5</w:t>
            </w:r>
          </w:p>
        </w:tc>
        <w:tc>
          <w:tcPr>
            <w:tcW w:w="1926" w:type="dxa"/>
            <w:vAlign w:val="center"/>
          </w:tcPr>
          <w:p>
            <w:pPr>
              <w:snapToGrid w:val="0"/>
              <w:spacing w:line="300" w:lineRule="auto"/>
              <w:rPr>
                <w:sz w:val="18"/>
                <w:szCs w:val="18"/>
              </w:rPr>
            </w:pPr>
            <w:r>
              <w:rPr>
                <w:sz w:val="18"/>
                <w:szCs w:val="18"/>
              </w:rPr>
              <w:t>直流电源电路的测试</w:t>
            </w:r>
          </w:p>
        </w:tc>
        <w:tc>
          <w:tcPr>
            <w:tcW w:w="3855" w:type="dxa"/>
            <w:vAlign w:val="center"/>
          </w:tcPr>
          <w:p>
            <w:pPr>
              <w:snapToGrid w:val="0"/>
              <w:spacing w:line="300" w:lineRule="auto"/>
              <w:rPr>
                <w:sz w:val="18"/>
                <w:szCs w:val="18"/>
              </w:rPr>
            </w:pPr>
            <w:r>
              <w:rPr>
                <w:sz w:val="18"/>
                <w:szCs w:val="18"/>
              </w:rPr>
              <w:t>掌握整流电路、集成稳压电路的测试</w:t>
            </w:r>
          </w:p>
        </w:tc>
        <w:tc>
          <w:tcPr>
            <w:tcW w:w="445"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综合</w:t>
            </w:r>
          </w:p>
        </w:tc>
        <w:tc>
          <w:tcPr>
            <w:tcW w:w="445" w:type="dxa"/>
            <w:vAlign w:val="center"/>
          </w:tcPr>
          <w:p>
            <w:pPr>
              <w:snapToGrid w:val="0"/>
              <w:spacing w:line="300" w:lineRule="auto"/>
              <w:jc w:val="center"/>
              <w:rPr>
                <w:sz w:val="18"/>
                <w:szCs w:val="18"/>
              </w:rPr>
            </w:pPr>
            <w:r>
              <w:rPr>
                <w:kern w:val="0"/>
                <w:sz w:val="18"/>
                <w:szCs w:val="18"/>
              </w:rPr>
              <w:t>2</w:t>
            </w:r>
          </w:p>
        </w:tc>
        <w:tc>
          <w:tcPr>
            <w:tcW w:w="743" w:type="dxa"/>
            <w:vAlign w:val="center"/>
          </w:tcPr>
          <w:p>
            <w:pPr>
              <w:snapToGrid w:val="0"/>
              <w:spacing w:line="300" w:lineRule="auto"/>
              <w:jc w:val="center"/>
              <w:rPr>
                <w:sz w:val="18"/>
                <w:szCs w:val="18"/>
              </w:rPr>
            </w:pPr>
            <w:r>
              <w:rPr>
                <w:kern w:val="0"/>
                <w:sz w:val="18"/>
                <w:szCs w:val="18"/>
              </w:rPr>
              <w:t>必开</w:t>
            </w:r>
          </w:p>
        </w:tc>
        <w:tc>
          <w:tcPr>
            <w:tcW w:w="888" w:type="dxa"/>
            <w:vAlign w:val="center"/>
          </w:tcPr>
          <w:p>
            <w:pPr>
              <w:snapToGrid w:val="0"/>
              <w:spacing w:line="300" w:lineRule="auto"/>
              <w:jc w:val="center"/>
              <w:rPr>
                <w:sz w:val="18"/>
                <w:szCs w:val="18"/>
              </w:rPr>
            </w:pPr>
            <w:r>
              <w:rPr>
                <w:kern w:val="0"/>
                <w:sz w:val="18"/>
                <w:szCs w:val="18"/>
              </w:rPr>
              <w:t>2，3</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1．考核方式：闭卷笔试，平时测验及作业，实验报告。</w:t>
      </w:r>
    </w:p>
    <w:p>
      <w:pPr>
        <w:snapToGrid w:val="0"/>
        <w:spacing w:line="300" w:lineRule="auto"/>
        <w:ind w:firstLine="420" w:firstLineChars="200"/>
      </w:pPr>
      <w:r>
        <w:t>2．成绩构成：笔试成绩70%，平时成绩20%（课后作业、课堂表现、随堂测验、口头报告等），实验成绩10%。</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394"/>
        <w:gridCol w:w="394"/>
        <w:gridCol w:w="786"/>
        <w:gridCol w:w="396"/>
        <w:gridCol w:w="4597"/>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blHeader/>
          <w:jc w:val="center"/>
        </w:trPr>
        <w:tc>
          <w:tcPr>
            <w:tcW w:w="521"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394" w:type="dxa"/>
            <w:vAlign w:val="center"/>
          </w:tcPr>
          <w:p>
            <w:pPr>
              <w:snapToGrid w:val="0"/>
              <w:spacing w:line="300" w:lineRule="auto"/>
              <w:jc w:val="center"/>
              <w:rPr>
                <w:b/>
                <w:bCs/>
                <w:sz w:val="18"/>
                <w:szCs w:val="18"/>
              </w:rPr>
            </w:pPr>
            <w:r>
              <w:rPr>
                <w:b/>
                <w:bCs/>
                <w:sz w:val="18"/>
                <w:szCs w:val="18"/>
              </w:rPr>
              <w:t>分值</w:t>
            </w:r>
          </w:p>
        </w:tc>
        <w:tc>
          <w:tcPr>
            <w:tcW w:w="394" w:type="dxa"/>
            <w:vAlign w:val="center"/>
          </w:tcPr>
          <w:p>
            <w:pPr>
              <w:snapToGrid w:val="0"/>
              <w:spacing w:line="300" w:lineRule="auto"/>
              <w:jc w:val="center"/>
              <w:rPr>
                <w:b/>
                <w:bCs/>
                <w:sz w:val="18"/>
                <w:szCs w:val="18"/>
              </w:rPr>
            </w:pPr>
            <w:r>
              <w:rPr>
                <w:b/>
                <w:bCs/>
                <w:sz w:val="18"/>
                <w:szCs w:val="18"/>
              </w:rPr>
              <w:t>权重</w:t>
            </w:r>
          </w:p>
        </w:tc>
        <w:tc>
          <w:tcPr>
            <w:tcW w:w="786" w:type="dxa"/>
            <w:vAlign w:val="center"/>
          </w:tcPr>
          <w:p>
            <w:pPr>
              <w:snapToGrid w:val="0"/>
              <w:spacing w:line="300" w:lineRule="auto"/>
              <w:jc w:val="center"/>
              <w:rPr>
                <w:b/>
                <w:bCs/>
                <w:sz w:val="18"/>
                <w:szCs w:val="18"/>
              </w:rPr>
            </w:pPr>
            <w:r>
              <w:rPr>
                <w:b/>
                <w:bCs/>
                <w:sz w:val="18"/>
                <w:szCs w:val="18"/>
              </w:rPr>
              <w:t>类别</w:t>
            </w:r>
          </w:p>
        </w:tc>
        <w:tc>
          <w:tcPr>
            <w:tcW w:w="396" w:type="dxa"/>
            <w:vAlign w:val="center"/>
          </w:tcPr>
          <w:p>
            <w:pPr>
              <w:snapToGrid w:val="0"/>
              <w:spacing w:line="300" w:lineRule="auto"/>
              <w:jc w:val="center"/>
              <w:rPr>
                <w:b/>
                <w:bCs/>
                <w:sz w:val="18"/>
                <w:szCs w:val="18"/>
              </w:rPr>
            </w:pPr>
            <w:r>
              <w:rPr>
                <w:b/>
                <w:bCs/>
                <w:sz w:val="18"/>
                <w:szCs w:val="18"/>
              </w:rPr>
              <w:t>权重</w:t>
            </w:r>
          </w:p>
        </w:tc>
        <w:tc>
          <w:tcPr>
            <w:tcW w:w="4597" w:type="dxa"/>
            <w:vAlign w:val="center"/>
          </w:tcPr>
          <w:p>
            <w:pPr>
              <w:snapToGrid w:val="0"/>
              <w:spacing w:line="300" w:lineRule="auto"/>
              <w:jc w:val="center"/>
              <w:rPr>
                <w:b/>
                <w:bCs/>
                <w:sz w:val="18"/>
                <w:szCs w:val="18"/>
              </w:rPr>
            </w:pPr>
            <w:r>
              <w:rPr>
                <w:b/>
                <w:bCs/>
                <w:sz w:val="18"/>
                <w:szCs w:val="18"/>
              </w:rPr>
              <w:t>考核/评价细则</w:t>
            </w:r>
          </w:p>
        </w:tc>
        <w:tc>
          <w:tcPr>
            <w:tcW w:w="916" w:type="dxa"/>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vAlign w:val="center"/>
          </w:tcPr>
          <w:p>
            <w:pPr>
              <w:snapToGrid w:val="0"/>
              <w:spacing w:line="300" w:lineRule="auto"/>
              <w:jc w:val="center"/>
              <w:rPr>
                <w:sz w:val="18"/>
                <w:szCs w:val="18"/>
              </w:rPr>
            </w:pPr>
            <w:r>
              <w:rPr>
                <w:sz w:val="18"/>
                <w:szCs w:val="18"/>
              </w:rPr>
              <w:t>平时</w:t>
            </w:r>
          </w:p>
          <w:p>
            <w:pPr>
              <w:snapToGrid w:val="0"/>
              <w:spacing w:line="300" w:lineRule="auto"/>
              <w:jc w:val="center"/>
              <w:rPr>
                <w:sz w:val="18"/>
                <w:szCs w:val="18"/>
              </w:rPr>
            </w:pPr>
            <w:r>
              <w:rPr>
                <w:sz w:val="18"/>
                <w:szCs w:val="18"/>
              </w:rPr>
              <w:t>成绩</w:t>
            </w:r>
          </w:p>
        </w:tc>
        <w:tc>
          <w:tcPr>
            <w:tcW w:w="394" w:type="dxa"/>
            <w:vMerge w:val="restart"/>
            <w:vAlign w:val="center"/>
          </w:tcPr>
          <w:p>
            <w:pPr>
              <w:snapToGrid w:val="0"/>
              <w:spacing w:line="300" w:lineRule="auto"/>
              <w:jc w:val="center"/>
              <w:rPr>
                <w:sz w:val="18"/>
                <w:szCs w:val="18"/>
              </w:rPr>
            </w:pPr>
            <w:r>
              <w:rPr>
                <w:sz w:val="18"/>
                <w:szCs w:val="18"/>
              </w:rPr>
              <w:t>100</w:t>
            </w:r>
          </w:p>
        </w:tc>
        <w:tc>
          <w:tcPr>
            <w:tcW w:w="394" w:type="dxa"/>
            <w:vMerge w:val="restart"/>
            <w:vAlign w:val="center"/>
          </w:tcPr>
          <w:p>
            <w:pPr>
              <w:snapToGrid w:val="0"/>
              <w:spacing w:line="300" w:lineRule="auto"/>
              <w:jc w:val="center"/>
              <w:rPr>
                <w:sz w:val="18"/>
                <w:szCs w:val="18"/>
              </w:rPr>
            </w:pPr>
            <w:r>
              <w:rPr>
                <w:sz w:val="18"/>
                <w:szCs w:val="18"/>
              </w:rPr>
              <w:t>0.</w:t>
            </w:r>
            <w:r>
              <w:rPr>
                <w:rFonts w:hint="eastAsia"/>
                <w:sz w:val="18"/>
                <w:szCs w:val="18"/>
              </w:rPr>
              <w:t>2</w:t>
            </w:r>
          </w:p>
        </w:tc>
        <w:tc>
          <w:tcPr>
            <w:tcW w:w="786" w:type="dxa"/>
            <w:vAlign w:val="center"/>
          </w:tcPr>
          <w:p>
            <w:pPr>
              <w:snapToGrid w:val="0"/>
              <w:spacing w:line="300" w:lineRule="auto"/>
              <w:jc w:val="center"/>
              <w:rPr>
                <w:sz w:val="18"/>
                <w:szCs w:val="18"/>
              </w:rPr>
            </w:pPr>
            <w:r>
              <w:rPr>
                <w:sz w:val="18"/>
                <w:szCs w:val="18"/>
              </w:rPr>
              <w:t>课堂表现</w:t>
            </w:r>
          </w:p>
        </w:tc>
        <w:tc>
          <w:tcPr>
            <w:tcW w:w="396" w:type="dxa"/>
            <w:vAlign w:val="center"/>
          </w:tcPr>
          <w:p>
            <w:pPr>
              <w:snapToGrid w:val="0"/>
              <w:spacing w:line="300" w:lineRule="auto"/>
              <w:jc w:val="center"/>
              <w:rPr>
                <w:sz w:val="18"/>
                <w:szCs w:val="18"/>
              </w:rPr>
            </w:pPr>
            <w:r>
              <w:rPr>
                <w:sz w:val="18"/>
                <w:szCs w:val="18"/>
              </w:rPr>
              <w:t>0.</w:t>
            </w:r>
            <w:r>
              <w:rPr>
                <w:rFonts w:hint="eastAsia"/>
                <w:sz w:val="18"/>
                <w:szCs w:val="18"/>
              </w:rPr>
              <w:t>2</w:t>
            </w:r>
          </w:p>
        </w:tc>
        <w:tc>
          <w:tcPr>
            <w:tcW w:w="4597" w:type="dxa"/>
            <w:vAlign w:val="center"/>
          </w:tcPr>
          <w:p>
            <w:pPr>
              <w:snapToGrid w:val="0"/>
              <w:spacing w:line="300" w:lineRule="auto"/>
              <w:rPr>
                <w:sz w:val="18"/>
                <w:szCs w:val="18"/>
              </w:rPr>
            </w:pPr>
            <w:r>
              <w:rPr>
                <w:sz w:val="18"/>
                <w:szCs w:val="18"/>
              </w:rPr>
              <w:t>根据学生课堂表现打分，满分100。</w:t>
            </w:r>
          </w:p>
        </w:tc>
        <w:tc>
          <w:tcPr>
            <w:tcW w:w="916" w:type="dxa"/>
            <w:vAlign w:val="center"/>
          </w:tcPr>
          <w:p>
            <w:pPr>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521"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786" w:type="dxa"/>
            <w:vAlign w:val="center"/>
          </w:tcPr>
          <w:p>
            <w:pPr>
              <w:snapToGrid w:val="0"/>
              <w:spacing w:line="300" w:lineRule="auto"/>
              <w:jc w:val="center"/>
              <w:rPr>
                <w:sz w:val="18"/>
                <w:szCs w:val="18"/>
              </w:rPr>
            </w:pPr>
            <w:r>
              <w:rPr>
                <w:sz w:val="18"/>
                <w:szCs w:val="18"/>
              </w:rPr>
              <w:t>作业</w:t>
            </w:r>
          </w:p>
        </w:tc>
        <w:tc>
          <w:tcPr>
            <w:tcW w:w="396" w:type="dxa"/>
            <w:vAlign w:val="center"/>
          </w:tcPr>
          <w:p>
            <w:pPr>
              <w:snapToGrid w:val="0"/>
              <w:spacing w:line="300" w:lineRule="auto"/>
              <w:jc w:val="center"/>
              <w:rPr>
                <w:sz w:val="18"/>
                <w:szCs w:val="18"/>
              </w:rPr>
            </w:pPr>
            <w:r>
              <w:rPr>
                <w:sz w:val="18"/>
                <w:szCs w:val="18"/>
              </w:rPr>
              <w:t>0.3</w:t>
            </w:r>
          </w:p>
        </w:tc>
        <w:tc>
          <w:tcPr>
            <w:tcW w:w="4597"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916"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21"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786" w:type="dxa"/>
            <w:vAlign w:val="center"/>
          </w:tcPr>
          <w:p>
            <w:pPr>
              <w:snapToGrid w:val="0"/>
              <w:spacing w:line="300" w:lineRule="auto"/>
              <w:jc w:val="center"/>
              <w:rPr>
                <w:sz w:val="18"/>
                <w:szCs w:val="18"/>
              </w:rPr>
            </w:pPr>
            <w:r>
              <w:rPr>
                <w:sz w:val="18"/>
                <w:szCs w:val="18"/>
              </w:rPr>
              <w:t>平时测验</w:t>
            </w:r>
          </w:p>
        </w:tc>
        <w:tc>
          <w:tcPr>
            <w:tcW w:w="396" w:type="dxa"/>
            <w:vAlign w:val="center"/>
          </w:tcPr>
          <w:p>
            <w:pPr>
              <w:snapToGrid w:val="0"/>
              <w:spacing w:line="300" w:lineRule="auto"/>
              <w:jc w:val="center"/>
              <w:rPr>
                <w:sz w:val="18"/>
                <w:szCs w:val="18"/>
              </w:rPr>
            </w:pPr>
            <w:r>
              <w:rPr>
                <w:sz w:val="18"/>
                <w:szCs w:val="18"/>
              </w:rPr>
              <w:t>0.</w:t>
            </w:r>
            <w:r>
              <w:rPr>
                <w:rFonts w:hint="eastAsia"/>
                <w:sz w:val="18"/>
                <w:szCs w:val="18"/>
              </w:rPr>
              <w:t>3</w:t>
            </w:r>
          </w:p>
        </w:tc>
        <w:tc>
          <w:tcPr>
            <w:tcW w:w="4597" w:type="dxa"/>
            <w:vAlign w:val="center"/>
          </w:tcPr>
          <w:p>
            <w:pPr>
              <w:snapToGrid w:val="0"/>
              <w:spacing w:line="300" w:lineRule="auto"/>
              <w:jc w:val="left"/>
              <w:rPr>
                <w:sz w:val="18"/>
                <w:szCs w:val="18"/>
              </w:rPr>
            </w:pPr>
            <w:r>
              <w:rPr>
                <w:sz w:val="18"/>
                <w:szCs w:val="18"/>
              </w:rPr>
              <w:t>做两三次平时测验，每次满分100分。</w:t>
            </w:r>
          </w:p>
        </w:tc>
        <w:tc>
          <w:tcPr>
            <w:tcW w:w="916"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521"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394" w:type="dxa"/>
            <w:vMerge w:val="continue"/>
            <w:vAlign w:val="center"/>
          </w:tcPr>
          <w:p>
            <w:pPr>
              <w:snapToGrid w:val="0"/>
              <w:spacing w:line="300" w:lineRule="auto"/>
              <w:jc w:val="center"/>
              <w:rPr>
                <w:sz w:val="18"/>
                <w:szCs w:val="18"/>
              </w:rPr>
            </w:pPr>
          </w:p>
        </w:tc>
        <w:tc>
          <w:tcPr>
            <w:tcW w:w="786" w:type="dxa"/>
            <w:vAlign w:val="center"/>
          </w:tcPr>
          <w:p>
            <w:pPr>
              <w:snapToGrid w:val="0"/>
              <w:spacing w:line="300" w:lineRule="auto"/>
              <w:jc w:val="center"/>
              <w:rPr>
                <w:sz w:val="18"/>
                <w:szCs w:val="18"/>
              </w:rPr>
            </w:pPr>
            <w:r>
              <w:rPr>
                <w:sz w:val="18"/>
                <w:szCs w:val="18"/>
              </w:rPr>
              <w:t>项目研究</w:t>
            </w:r>
          </w:p>
        </w:tc>
        <w:tc>
          <w:tcPr>
            <w:tcW w:w="396" w:type="dxa"/>
            <w:vAlign w:val="center"/>
          </w:tcPr>
          <w:p>
            <w:pPr>
              <w:snapToGrid w:val="0"/>
              <w:spacing w:line="300" w:lineRule="auto"/>
              <w:jc w:val="center"/>
              <w:rPr>
                <w:sz w:val="18"/>
                <w:szCs w:val="18"/>
              </w:rPr>
            </w:pPr>
            <w:r>
              <w:rPr>
                <w:sz w:val="18"/>
                <w:szCs w:val="18"/>
              </w:rPr>
              <w:t>0.</w:t>
            </w:r>
            <w:r>
              <w:rPr>
                <w:rFonts w:hint="eastAsia"/>
                <w:sz w:val="18"/>
                <w:szCs w:val="18"/>
              </w:rPr>
              <w:t>2</w:t>
            </w:r>
          </w:p>
        </w:tc>
        <w:tc>
          <w:tcPr>
            <w:tcW w:w="4597" w:type="dxa"/>
            <w:vAlign w:val="center"/>
          </w:tcPr>
          <w:p>
            <w:pPr>
              <w:snapToGrid w:val="0"/>
              <w:spacing w:line="300" w:lineRule="auto"/>
              <w:jc w:val="left"/>
              <w:rPr>
                <w:sz w:val="18"/>
                <w:szCs w:val="18"/>
              </w:rPr>
            </w:pPr>
            <w:r>
              <w:rPr>
                <w:sz w:val="18"/>
                <w:szCs w:val="18"/>
              </w:rPr>
              <w:t>以小组为单位选题，设计系统，并撰写报告，设计PPT，最高分100分。</w:t>
            </w:r>
          </w:p>
        </w:tc>
        <w:tc>
          <w:tcPr>
            <w:tcW w:w="916"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521" w:type="dxa"/>
            <w:vAlign w:val="center"/>
          </w:tcPr>
          <w:p>
            <w:pPr>
              <w:snapToGrid w:val="0"/>
              <w:spacing w:line="300" w:lineRule="auto"/>
              <w:jc w:val="center"/>
              <w:rPr>
                <w:sz w:val="18"/>
                <w:szCs w:val="18"/>
              </w:rPr>
            </w:pPr>
            <w:r>
              <w:rPr>
                <w:sz w:val="18"/>
                <w:szCs w:val="18"/>
              </w:rPr>
              <w:t>实验</w:t>
            </w:r>
            <w:r>
              <w:rPr>
                <w:rFonts w:hint="eastAsia"/>
                <w:sz w:val="18"/>
                <w:szCs w:val="18"/>
              </w:rPr>
              <w:t>成绩</w:t>
            </w:r>
          </w:p>
        </w:tc>
        <w:tc>
          <w:tcPr>
            <w:tcW w:w="394" w:type="dxa"/>
            <w:vAlign w:val="center"/>
          </w:tcPr>
          <w:p>
            <w:pPr>
              <w:snapToGrid w:val="0"/>
              <w:spacing w:line="300" w:lineRule="auto"/>
              <w:jc w:val="center"/>
              <w:rPr>
                <w:sz w:val="18"/>
                <w:szCs w:val="18"/>
              </w:rPr>
            </w:pPr>
            <w:r>
              <w:rPr>
                <w:rFonts w:hint="eastAsia"/>
                <w:sz w:val="18"/>
                <w:szCs w:val="18"/>
              </w:rPr>
              <w:t>100</w:t>
            </w:r>
          </w:p>
        </w:tc>
        <w:tc>
          <w:tcPr>
            <w:tcW w:w="394" w:type="dxa"/>
            <w:vAlign w:val="center"/>
          </w:tcPr>
          <w:p>
            <w:pPr>
              <w:snapToGrid w:val="0"/>
              <w:spacing w:line="300" w:lineRule="auto"/>
              <w:jc w:val="center"/>
              <w:rPr>
                <w:sz w:val="18"/>
                <w:szCs w:val="18"/>
              </w:rPr>
            </w:pPr>
            <w:r>
              <w:rPr>
                <w:rFonts w:hint="eastAsia"/>
                <w:sz w:val="18"/>
                <w:szCs w:val="18"/>
              </w:rPr>
              <w:t>0.1</w:t>
            </w:r>
          </w:p>
        </w:tc>
        <w:tc>
          <w:tcPr>
            <w:tcW w:w="786" w:type="dxa"/>
            <w:vAlign w:val="center"/>
          </w:tcPr>
          <w:p>
            <w:pPr>
              <w:snapToGrid w:val="0"/>
              <w:spacing w:line="300" w:lineRule="auto"/>
              <w:jc w:val="center"/>
              <w:rPr>
                <w:sz w:val="18"/>
                <w:szCs w:val="18"/>
              </w:rPr>
            </w:pPr>
            <w:r>
              <w:rPr>
                <w:rFonts w:hint="eastAsia"/>
                <w:sz w:val="18"/>
                <w:szCs w:val="18"/>
              </w:rPr>
              <w:t>实验报告</w:t>
            </w:r>
          </w:p>
        </w:tc>
        <w:tc>
          <w:tcPr>
            <w:tcW w:w="396" w:type="dxa"/>
            <w:vAlign w:val="center"/>
          </w:tcPr>
          <w:p>
            <w:pPr>
              <w:snapToGrid w:val="0"/>
              <w:spacing w:line="300" w:lineRule="auto"/>
              <w:jc w:val="center"/>
              <w:rPr>
                <w:sz w:val="18"/>
                <w:szCs w:val="18"/>
              </w:rPr>
            </w:pPr>
            <w:r>
              <w:rPr>
                <w:rFonts w:hint="eastAsia"/>
                <w:sz w:val="18"/>
                <w:szCs w:val="18"/>
              </w:rPr>
              <w:t>1</w:t>
            </w:r>
          </w:p>
        </w:tc>
        <w:tc>
          <w:tcPr>
            <w:tcW w:w="4597"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916" w:type="dxa"/>
            <w:vAlign w:val="center"/>
          </w:tcPr>
          <w:p>
            <w:pPr>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521" w:type="dxa"/>
            <w:vAlign w:val="center"/>
          </w:tcPr>
          <w:p>
            <w:pPr>
              <w:snapToGrid w:val="0"/>
              <w:spacing w:line="300" w:lineRule="auto"/>
              <w:jc w:val="center"/>
              <w:rPr>
                <w:sz w:val="18"/>
                <w:szCs w:val="18"/>
              </w:rPr>
            </w:pPr>
            <w:r>
              <w:rPr>
                <w:sz w:val="18"/>
                <w:szCs w:val="18"/>
              </w:rPr>
              <w:t>期末考试成绩</w:t>
            </w:r>
          </w:p>
        </w:tc>
        <w:tc>
          <w:tcPr>
            <w:tcW w:w="394" w:type="dxa"/>
            <w:vAlign w:val="center"/>
          </w:tcPr>
          <w:p>
            <w:pPr>
              <w:snapToGrid w:val="0"/>
              <w:spacing w:line="300" w:lineRule="auto"/>
              <w:jc w:val="center"/>
              <w:rPr>
                <w:sz w:val="18"/>
                <w:szCs w:val="18"/>
              </w:rPr>
            </w:pPr>
            <w:r>
              <w:rPr>
                <w:sz w:val="18"/>
                <w:szCs w:val="18"/>
              </w:rPr>
              <w:t>100</w:t>
            </w:r>
          </w:p>
        </w:tc>
        <w:tc>
          <w:tcPr>
            <w:tcW w:w="394" w:type="dxa"/>
            <w:vAlign w:val="center"/>
          </w:tcPr>
          <w:p>
            <w:pPr>
              <w:snapToGrid w:val="0"/>
              <w:spacing w:line="300" w:lineRule="auto"/>
              <w:jc w:val="center"/>
              <w:rPr>
                <w:sz w:val="18"/>
                <w:szCs w:val="18"/>
              </w:rPr>
            </w:pPr>
            <w:r>
              <w:rPr>
                <w:sz w:val="18"/>
                <w:szCs w:val="18"/>
              </w:rPr>
              <w:t>0.7</w:t>
            </w:r>
          </w:p>
        </w:tc>
        <w:tc>
          <w:tcPr>
            <w:tcW w:w="786" w:type="dxa"/>
            <w:vAlign w:val="center"/>
          </w:tcPr>
          <w:p>
            <w:pPr>
              <w:snapToGrid w:val="0"/>
              <w:spacing w:line="300" w:lineRule="auto"/>
              <w:jc w:val="left"/>
              <w:rPr>
                <w:sz w:val="18"/>
                <w:szCs w:val="18"/>
              </w:rPr>
            </w:pPr>
            <w:r>
              <w:rPr>
                <w:sz w:val="18"/>
                <w:szCs w:val="18"/>
              </w:rPr>
              <w:t>闭卷考试</w:t>
            </w:r>
          </w:p>
        </w:tc>
        <w:tc>
          <w:tcPr>
            <w:tcW w:w="396" w:type="dxa"/>
            <w:vAlign w:val="center"/>
          </w:tcPr>
          <w:p>
            <w:pPr>
              <w:snapToGrid w:val="0"/>
              <w:spacing w:line="300" w:lineRule="auto"/>
              <w:jc w:val="center"/>
              <w:rPr>
                <w:sz w:val="18"/>
                <w:szCs w:val="18"/>
              </w:rPr>
            </w:pPr>
            <w:r>
              <w:rPr>
                <w:sz w:val="18"/>
                <w:szCs w:val="18"/>
              </w:rPr>
              <w:t>1</w:t>
            </w:r>
          </w:p>
        </w:tc>
        <w:tc>
          <w:tcPr>
            <w:tcW w:w="4597"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(2)考核内容包括：第1-11章。</w:t>
            </w:r>
          </w:p>
          <w:p>
            <w:pPr>
              <w:snapToGrid w:val="0"/>
              <w:spacing w:line="300" w:lineRule="auto"/>
              <w:rPr>
                <w:sz w:val="18"/>
                <w:szCs w:val="18"/>
              </w:rPr>
            </w:pPr>
            <w:r>
              <w:rPr>
                <w:sz w:val="18"/>
                <w:szCs w:val="18"/>
              </w:rPr>
              <w:t>(3)建议考试题型包括：选择题、填空题、判断题、分析题、综合计算题等其中某几种题型。</w:t>
            </w:r>
          </w:p>
        </w:tc>
        <w:tc>
          <w:tcPr>
            <w:tcW w:w="916" w:type="dxa"/>
            <w:vAlign w:val="center"/>
          </w:tcPr>
          <w:p>
            <w:pPr>
              <w:snapToGrid w:val="0"/>
              <w:spacing w:line="300" w:lineRule="auto"/>
              <w:jc w:val="center"/>
              <w:rPr>
                <w:sz w:val="18"/>
                <w:szCs w:val="18"/>
              </w:rPr>
            </w:pPr>
            <w:r>
              <w:rPr>
                <w:sz w:val="18"/>
                <w:szCs w:val="18"/>
              </w:rPr>
              <w:t>1，2</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74"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074" DrawAspect="Content" ObjectID="_1468075773" r:id="rId83">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object>
          <v:shape id="_x0000_i1075" o:spt="75" type="#_x0000_t75" style="height:18pt;width:268.5pt;" o:ole="t" filled="f" o:preferrelative="t" stroked="f" coordsize="21600,21600">
            <v:path/>
            <v:fill on="f" focussize="0,0"/>
            <v:stroke on="f" joinstyle="miter"/>
            <v:imagedata r:id="rId38" o:title=""/>
            <o:lock v:ext="edit" aspectratio="t"/>
            <w10:wrap type="none"/>
            <w10:anchorlock/>
          </v:shape>
          <o:OLEObject Type="Embed" ProgID="Equation.DSMT4" ShapeID="_x0000_i1075" DrawAspect="Content" ObjectID="_1468075774" r:id="rId84">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0" w:type="auto"/>
        <w:tblInd w:w="1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5"/>
        <w:gridCol w:w="1304"/>
        <w:gridCol w:w="1545"/>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235" w:type="dxa"/>
            <w:vAlign w:val="center"/>
          </w:tcPr>
          <w:p>
            <w:pPr>
              <w:snapToGrid w:val="0"/>
              <w:spacing w:line="300" w:lineRule="auto"/>
              <w:jc w:val="center"/>
              <w:rPr>
                <w:b/>
                <w:bCs/>
                <w:sz w:val="18"/>
                <w:szCs w:val="18"/>
              </w:rPr>
            </w:pPr>
            <w:r>
              <w:rPr>
                <w:b/>
                <w:bCs/>
                <w:sz w:val="18"/>
                <w:szCs w:val="18"/>
              </w:rPr>
              <w:t>课程目标</w:t>
            </w:r>
          </w:p>
        </w:tc>
        <w:tc>
          <w:tcPr>
            <w:tcW w:w="1304" w:type="dxa"/>
            <w:vAlign w:val="center"/>
          </w:tcPr>
          <w:p>
            <w:pPr>
              <w:snapToGrid w:val="0"/>
              <w:spacing w:line="300" w:lineRule="auto"/>
              <w:jc w:val="center"/>
              <w:rPr>
                <w:sz w:val="18"/>
                <w:szCs w:val="18"/>
              </w:rPr>
            </w:pPr>
            <w:r>
              <w:rPr>
                <w:sz w:val="18"/>
                <w:szCs w:val="18"/>
              </w:rPr>
              <w:t>1</w:t>
            </w:r>
          </w:p>
        </w:tc>
        <w:tc>
          <w:tcPr>
            <w:tcW w:w="1545" w:type="dxa"/>
            <w:vAlign w:val="center"/>
          </w:tcPr>
          <w:p>
            <w:pPr>
              <w:snapToGrid w:val="0"/>
              <w:spacing w:line="300" w:lineRule="auto"/>
              <w:jc w:val="center"/>
              <w:rPr>
                <w:sz w:val="18"/>
                <w:szCs w:val="18"/>
              </w:rPr>
            </w:pPr>
            <w:r>
              <w:rPr>
                <w:sz w:val="18"/>
                <w:szCs w:val="18"/>
              </w:rPr>
              <w:t>2</w:t>
            </w:r>
          </w:p>
        </w:tc>
        <w:tc>
          <w:tcPr>
            <w:tcW w:w="1531"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235" w:type="dxa"/>
            <w:vAlign w:val="center"/>
          </w:tcPr>
          <w:p>
            <w:pPr>
              <w:snapToGrid w:val="0"/>
              <w:spacing w:line="300" w:lineRule="auto"/>
              <w:jc w:val="center"/>
              <w:rPr>
                <w:b/>
                <w:bCs/>
                <w:sz w:val="18"/>
                <w:szCs w:val="18"/>
              </w:rPr>
            </w:pPr>
            <w:r>
              <w:rPr>
                <w:b/>
                <w:bCs/>
                <w:sz w:val="18"/>
                <w:szCs w:val="18"/>
              </w:rPr>
              <w:t>权重系数</w:t>
            </w:r>
          </w:p>
        </w:tc>
        <w:tc>
          <w:tcPr>
            <w:tcW w:w="1304" w:type="dxa"/>
            <w:vAlign w:val="center"/>
          </w:tcPr>
          <w:p>
            <w:pPr>
              <w:snapToGrid w:val="0"/>
              <w:spacing w:line="300" w:lineRule="auto"/>
              <w:jc w:val="center"/>
              <w:rPr>
                <w:sz w:val="18"/>
                <w:szCs w:val="18"/>
              </w:rPr>
            </w:pPr>
            <w:r>
              <w:rPr>
                <w:rFonts w:hint="eastAsia"/>
                <w:sz w:val="18"/>
                <w:szCs w:val="18"/>
              </w:rPr>
              <w:t>0.6</w:t>
            </w:r>
          </w:p>
        </w:tc>
        <w:tc>
          <w:tcPr>
            <w:tcW w:w="1545" w:type="dxa"/>
            <w:vAlign w:val="center"/>
          </w:tcPr>
          <w:p>
            <w:pPr>
              <w:snapToGrid w:val="0"/>
              <w:spacing w:line="300" w:lineRule="auto"/>
              <w:jc w:val="center"/>
              <w:rPr>
                <w:sz w:val="18"/>
                <w:szCs w:val="18"/>
              </w:rPr>
            </w:pPr>
            <w:r>
              <w:rPr>
                <w:rFonts w:hint="eastAsia"/>
                <w:sz w:val="18"/>
                <w:szCs w:val="18"/>
              </w:rPr>
              <w:t>0.2</w:t>
            </w:r>
          </w:p>
        </w:tc>
        <w:tc>
          <w:tcPr>
            <w:tcW w:w="1531" w:type="dxa"/>
            <w:vAlign w:val="center"/>
          </w:tcPr>
          <w:p>
            <w:pPr>
              <w:snapToGrid w:val="0"/>
              <w:spacing w:line="300" w:lineRule="auto"/>
              <w:jc w:val="center"/>
              <w:rPr>
                <w:sz w:val="18"/>
                <w:szCs w:val="18"/>
              </w:rPr>
            </w:pPr>
            <w:r>
              <w:rPr>
                <w:rFonts w:hint="eastAsia"/>
                <w:sz w:val="18"/>
                <w:szCs w:val="18"/>
              </w:rPr>
              <w:t>0.2</w:t>
            </w:r>
          </w:p>
        </w:tc>
      </w:tr>
    </w:tbl>
    <w:p>
      <w:pPr>
        <w:snapToGrid w:val="0"/>
        <w:spacing w:line="300" w:lineRule="auto"/>
        <w:ind w:firstLine="420" w:firstLineChars="200"/>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76" o:spt="75" type="#_x0000_t75" style="height:19.5pt;width:282.75pt;" o:ole="t" filled="f" o:preferrelative="t" stroked="f" coordsize="21600,21600">
            <v:path/>
            <v:fill on="f" focussize="0,0"/>
            <v:stroke on="f" joinstyle="miter"/>
            <v:imagedata r:id="rId40" o:title=""/>
            <o:lock v:ext="edit" aspectratio="t"/>
            <w10:wrap type="none"/>
            <w10:anchorlock/>
          </v:shape>
          <o:OLEObject Type="Embed" ProgID="Equation.3" ShapeID="_x0000_i1076" DrawAspect="Content" ObjectID="_1468075775" r:id="rId85">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before="156" w:beforeLines="50" w:after="156" w:afterLines="50" w:line="300" w:lineRule="auto"/>
        <w:rPr>
          <w:rFonts w:ascii="Times New Roman" w:hAnsi="Times New Roman"/>
          <w:b/>
          <w:sz w:val="24"/>
        </w:rPr>
      </w:pPr>
      <w:r>
        <w:rPr>
          <w:szCs w:val="21"/>
        </w:rPr>
        <w:t>依据达成度评价、教师自评、学生评价，以及课程教学情况、考试情况，对课程进行有针对性的总结，每学年撰写试卷分析、课程总结与自我评价表，提出持续改进课程教学的措施。</w:t>
      </w:r>
      <w:r>
        <w:rPr>
          <w:rFonts w:ascii="Times New Roman" w:hAnsi="Times New Roman"/>
          <w:b/>
          <w:sz w:val="24"/>
        </w:rPr>
        <w:t>七、教材及参考资料</w:t>
      </w:r>
    </w:p>
    <w:p>
      <w:pPr>
        <w:snapToGrid w:val="0"/>
        <w:spacing w:line="300" w:lineRule="auto"/>
        <w:ind w:firstLine="420" w:firstLineChars="200"/>
        <w:rPr>
          <w:rFonts w:ascii="Times New Roman" w:hAnsi="Times New Roman"/>
        </w:rPr>
      </w:pPr>
      <w:r>
        <w:rPr>
          <w:rFonts w:ascii="Times New Roman" w:hAnsi="Times New Roman"/>
        </w:rPr>
        <w:t>1．教材</w:t>
      </w:r>
    </w:p>
    <w:p>
      <w:pPr>
        <w:numPr>
          <w:ilvl w:val="0"/>
          <w:numId w:val="34"/>
        </w:numPr>
        <w:snapToGrid w:val="0"/>
        <w:spacing w:line="300" w:lineRule="auto"/>
        <w:rPr>
          <w:rFonts w:ascii="Times New Roman" w:hAnsi="Times New Roman"/>
        </w:rPr>
      </w:pPr>
      <w:r>
        <w:rPr>
          <w:rFonts w:ascii="Times New Roman" w:hAnsi="Times New Roman"/>
          <w:szCs w:val="21"/>
        </w:rPr>
        <w:t>王骥，</w:t>
      </w:r>
      <w:r>
        <w:rPr>
          <w:rFonts w:hint="eastAsia" w:ascii="Times New Roman" w:hAnsi="Times New Roman"/>
          <w:szCs w:val="21"/>
        </w:rPr>
        <w:t>王</w:t>
      </w:r>
      <w:r>
        <w:rPr>
          <w:rFonts w:ascii="Times New Roman" w:hAnsi="Times New Roman"/>
          <w:szCs w:val="21"/>
        </w:rPr>
        <w:t>立臣，杜爽编著.模拟电路分析与设计[M].北京：清华大学出版社，2012年7月。</w:t>
      </w:r>
    </w:p>
    <w:p>
      <w:pPr>
        <w:snapToGrid w:val="0"/>
        <w:spacing w:line="300" w:lineRule="auto"/>
        <w:ind w:firstLine="420" w:firstLineChars="200"/>
        <w:rPr>
          <w:rFonts w:ascii="Times New Roman" w:hAnsi="Times New Roman"/>
        </w:rPr>
      </w:pPr>
      <w:r>
        <w:rPr>
          <w:rFonts w:ascii="Times New Roman" w:hAnsi="Times New Roman"/>
        </w:rPr>
        <w:t>2．参考资料</w:t>
      </w:r>
    </w:p>
    <w:p>
      <w:pPr>
        <w:numPr>
          <w:ilvl w:val="0"/>
          <w:numId w:val="35"/>
        </w:numPr>
        <w:snapToGrid w:val="0"/>
        <w:spacing w:line="300" w:lineRule="auto"/>
        <w:rPr>
          <w:rFonts w:ascii="Times New Roman" w:hAnsi="Times New Roman"/>
        </w:rPr>
      </w:pPr>
      <w:r>
        <w:rPr>
          <w:rFonts w:ascii="Times New Roman" w:hAnsi="Times New Roman"/>
          <w:szCs w:val="21"/>
        </w:rPr>
        <w:t>童诗白，华成英主编.模拟电子技术基础（第四版）[M].北京：高等教育出版社，2011年11月。</w:t>
      </w:r>
    </w:p>
    <w:p>
      <w:pPr>
        <w:numPr>
          <w:ilvl w:val="0"/>
          <w:numId w:val="35"/>
        </w:numPr>
        <w:snapToGrid w:val="0"/>
        <w:spacing w:line="300" w:lineRule="auto"/>
        <w:rPr>
          <w:rFonts w:ascii="Times New Roman" w:hAnsi="Times New Roman"/>
        </w:rPr>
      </w:pPr>
      <w:r>
        <w:rPr>
          <w:rFonts w:ascii="Times New Roman" w:hAnsi="Times New Roman"/>
          <w:szCs w:val="21"/>
        </w:rPr>
        <w:t>毕满清主编.模拟电子技术基础[M].北京：电子工业出版社，2011年2月。</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szCs w:val="21"/>
              </w:rPr>
            </w:pPr>
            <w:r>
              <w:rPr>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szCs w:val="21"/>
              </w:rPr>
            </w:pPr>
            <w:r>
              <w:rPr>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szCs w:val="21"/>
              </w:rPr>
            </w:pPr>
            <w:r>
              <w:rPr>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szCs w:val="21"/>
              </w:rPr>
            </w:pPr>
          </w:p>
        </w:tc>
      </w:tr>
      <w:bookmarkEnd w:id="81"/>
      <w:bookmarkEnd w:id="82"/>
      <w:bookmarkEnd w:id="83"/>
      <w:bookmarkEnd w:id="84"/>
    </w:tbl>
    <w:p>
      <w:pPr>
        <w:keepNext/>
        <w:keepLines/>
        <w:spacing w:before="260" w:after="260" w:line="413" w:lineRule="auto"/>
        <w:jc w:val="center"/>
        <w:outlineLvl w:val="2"/>
        <w:rPr>
          <w:rFonts w:ascii="Times New Roman" w:hAnsi="Times New Roman" w:eastAsia="宋体" w:cs="Times New Roman"/>
          <w:b/>
          <w:sz w:val="32"/>
        </w:rPr>
        <w:sectPr>
          <w:pgSz w:w="11906" w:h="16838"/>
          <w:pgMar w:top="1440" w:right="1800" w:bottom="1440" w:left="1800" w:header="851" w:footer="992" w:gutter="0"/>
          <w:cols w:space="425" w:num="1"/>
          <w:docGrid w:type="lines" w:linePitch="312" w:charSpace="0"/>
        </w:sectPr>
      </w:pPr>
      <w:bookmarkStart w:id="86" w:name="_Toc62651728"/>
      <w:bookmarkStart w:id="87" w:name="_Toc47718784"/>
      <w:bookmarkStart w:id="88" w:name="_Toc47774711"/>
      <w:bookmarkStart w:id="89" w:name="_Toc47719755"/>
    </w:p>
    <w:p>
      <w:pPr>
        <w:keepNext/>
        <w:keepLines/>
        <w:spacing w:before="260" w:after="260" w:line="413" w:lineRule="auto"/>
        <w:jc w:val="center"/>
        <w:outlineLvl w:val="2"/>
        <w:rPr>
          <w:rFonts w:ascii="Times New Roman" w:hAnsi="Times New Roman" w:eastAsia="宋体" w:cs="Times New Roman"/>
          <w:b/>
          <w:sz w:val="32"/>
        </w:rPr>
      </w:pPr>
      <w:bookmarkStart w:id="90" w:name="_Toc11058"/>
      <w:r>
        <w:rPr>
          <w:rFonts w:ascii="Times New Roman" w:hAnsi="Times New Roman" w:eastAsia="宋体" w:cs="Times New Roman"/>
          <w:b/>
          <w:sz w:val="32"/>
        </w:rPr>
        <w:t>16632206《数字电子技术基础》课程教学大纲</w:t>
      </w:r>
      <w:bookmarkEnd w:id="86"/>
      <w:bookmarkEnd w:id="9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128"/>
        <w:gridCol w:w="15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kern w:val="0"/>
                <w:szCs w:val="21"/>
              </w:rPr>
            </w:pPr>
            <w:r>
              <w:rPr>
                <w:kern w:val="0"/>
                <w:szCs w:val="21"/>
              </w:rPr>
              <w:t>课程编号</w:t>
            </w:r>
          </w:p>
        </w:tc>
        <w:tc>
          <w:tcPr>
            <w:tcW w:w="2128" w:type="dxa"/>
            <w:vAlign w:val="center"/>
          </w:tcPr>
          <w:p>
            <w:pPr>
              <w:jc w:val="center"/>
              <w:rPr>
                <w:kern w:val="0"/>
                <w:szCs w:val="21"/>
              </w:rPr>
            </w:pPr>
            <w:r>
              <w:rPr>
                <w:kern w:val="0"/>
                <w:szCs w:val="21"/>
              </w:rPr>
              <w:t>16632206</w:t>
            </w:r>
          </w:p>
        </w:tc>
        <w:tc>
          <w:tcPr>
            <w:tcW w:w="1559" w:type="dxa"/>
            <w:vAlign w:val="center"/>
          </w:tcPr>
          <w:p>
            <w:pPr>
              <w:jc w:val="center"/>
              <w:rPr>
                <w:kern w:val="0"/>
                <w:szCs w:val="21"/>
              </w:rPr>
            </w:pPr>
            <w:r>
              <w:rPr>
                <w:kern w:val="0"/>
                <w:szCs w:val="21"/>
              </w:rPr>
              <w:t>课程名称</w:t>
            </w:r>
          </w:p>
        </w:tc>
        <w:tc>
          <w:tcPr>
            <w:tcW w:w="3261" w:type="dxa"/>
            <w:vAlign w:val="center"/>
          </w:tcPr>
          <w:p>
            <w:pPr>
              <w:jc w:val="center"/>
              <w:rPr>
                <w:kern w:val="0"/>
                <w:szCs w:val="21"/>
              </w:rPr>
            </w:pPr>
            <w:r>
              <w:rPr>
                <w:kern w:val="0"/>
                <w:szCs w:val="21"/>
              </w:rPr>
              <w:t>数字电子技术基础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kern w:val="0"/>
                <w:szCs w:val="21"/>
              </w:rPr>
            </w:pPr>
            <w:r>
              <w:rPr>
                <w:kern w:val="0"/>
                <w:szCs w:val="21"/>
              </w:rPr>
              <w:t>课程性质</w:t>
            </w:r>
          </w:p>
        </w:tc>
        <w:tc>
          <w:tcPr>
            <w:tcW w:w="2128" w:type="dxa"/>
            <w:vAlign w:val="center"/>
          </w:tcPr>
          <w:p>
            <w:pPr>
              <w:jc w:val="center"/>
              <w:rPr>
                <w:kern w:val="0"/>
                <w:szCs w:val="21"/>
              </w:rPr>
            </w:pPr>
            <w:r>
              <w:rPr>
                <w:kern w:val="0"/>
                <w:szCs w:val="21"/>
              </w:rPr>
              <w:t>专业基础类</w:t>
            </w:r>
          </w:p>
        </w:tc>
        <w:tc>
          <w:tcPr>
            <w:tcW w:w="1559" w:type="dxa"/>
            <w:vAlign w:val="center"/>
          </w:tcPr>
          <w:p>
            <w:pPr>
              <w:jc w:val="center"/>
              <w:rPr>
                <w:kern w:val="0"/>
                <w:szCs w:val="21"/>
              </w:rPr>
            </w:pPr>
            <w:r>
              <w:rPr>
                <w:kern w:val="0"/>
                <w:szCs w:val="21"/>
              </w:rPr>
              <w:t>英文名称</w:t>
            </w:r>
          </w:p>
        </w:tc>
        <w:tc>
          <w:tcPr>
            <w:tcW w:w="3261" w:type="dxa"/>
            <w:vAlign w:val="center"/>
          </w:tcPr>
          <w:p>
            <w:pPr>
              <w:jc w:val="center"/>
              <w:rPr>
                <w:kern w:val="0"/>
                <w:szCs w:val="21"/>
              </w:rPr>
            </w:pPr>
            <w:r>
              <w:rPr>
                <w:szCs w:val="21"/>
              </w:rPr>
              <w:t>Fundamentals of</w:t>
            </w:r>
            <w:r>
              <w:rPr>
                <w:szCs w:val="21"/>
                <w:shd w:val="clear" w:color="auto" w:fill="FFFFFF"/>
              </w:rPr>
              <w:t xml:space="preserve"> </w:t>
            </w:r>
            <w:r>
              <w:rPr>
                <w:szCs w:val="21"/>
              </w:rPr>
              <w:t>Digital Electronic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kern w:val="0"/>
                <w:szCs w:val="21"/>
              </w:rPr>
            </w:pPr>
            <w:r>
              <w:rPr>
                <w:kern w:val="0"/>
                <w:szCs w:val="21"/>
              </w:rPr>
              <w:t>学分学时</w:t>
            </w:r>
          </w:p>
        </w:tc>
        <w:tc>
          <w:tcPr>
            <w:tcW w:w="2128" w:type="dxa"/>
            <w:vAlign w:val="center"/>
          </w:tcPr>
          <w:p>
            <w:pPr>
              <w:jc w:val="center"/>
              <w:rPr>
                <w:kern w:val="0"/>
                <w:szCs w:val="21"/>
              </w:rPr>
            </w:pPr>
            <w:r>
              <w:rPr>
                <w:kern w:val="0"/>
                <w:szCs w:val="21"/>
              </w:rPr>
              <w:t>3 : 48（8）</w:t>
            </w:r>
          </w:p>
        </w:tc>
        <w:tc>
          <w:tcPr>
            <w:tcW w:w="1559" w:type="dxa"/>
            <w:vAlign w:val="center"/>
          </w:tcPr>
          <w:p>
            <w:pPr>
              <w:jc w:val="center"/>
              <w:rPr>
                <w:kern w:val="0"/>
                <w:szCs w:val="21"/>
              </w:rPr>
            </w:pPr>
            <w:r>
              <w:rPr>
                <w:kern w:val="0"/>
                <w:szCs w:val="21"/>
              </w:rPr>
              <w:t>任课教师</w:t>
            </w:r>
          </w:p>
        </w:tc>
        <w:tc>
          <w:tcPr>
            <w:tcW w:w="3261" w:type="dxa"/>
            <w:vAlign w:val="center"/>
          </w:tcPr>
          <w:p>
            <w:pPr>
              <w:jc w:val="center"/>
              <w:rPr>
                <w:kern w:val="0"/>
                <w:szCs w:val="21"/>
              </w:rPr>
            </w:pPr>
            <w:r>
              <w:rPr>
                <w:rFonts w:hint="eastAsia"/>
                <w:kern w:val="0"/>
                <w:szCs w:val="21"/>
              </w:rPr>
              <w:t>任肖丽</w:t>
            </w:r>
            <w:r>
              <w:rPr>
                <w:kern w:val="0"/>
                <w:szCs w:val="21"/>
              </w:rPr>
              <w:t>、李依潼</w:t>
            </w:r>
            <w:r>
              <w:rPr>
                <w:rFonts w:hint="eastAsia"/>
                <w:kern w:val="0"/>
                <w:szCs w:val="21"/>
              </w:rPr>
              <w:t>、卢庆杰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23" w:type="dxa"/>
            <w:vAlign w:val="center"/>
          </w:tcPr>
          <w:p>
            <w:pPr>
              <w:jc w:val="center"/>
              <w:rPr>
                <w:kern w:val="0"/>
                <w:szCs w:val="21"/>
              </w:rPr>
            </w:pPr>
            <w:r>
              <w:rPr>
                <w:kern w:val="0"/>
                <w:szCs w:val="21"/>
              </w:rPr>
              <w:t>企业专家</w:t>
            </w:r>
          </w:p>
        </w:tc>
        <w:tc>
          <w:tcPr>
            <w:tcW w:w="2128" w:type="dxa"/>
            <w:vAlign w:val="center"/>
          </w:tcPr>
          <w:p>
            <w:pPr>
              <w:widowControl/>
              <w:jc w:val="center"/>
              <w:rPr>
                <w:kern w:val="0"/>
                <w:szCs w:val="21"/>
              </w:rPr>
            </w:pPr>
            <w:r>
              <w:rPr>
                <w:kern w:val="0"/>
                <w:szCs w:val="21"/>
              </w:rPr>
              <w:t>曾耿滨</w:t>
            </w:r>
          </w:p>
        </w:tc>
        <w:tc>
          <w:tcPr>
            <w:tcW w:w="1559" w:type="dxa"/>
            <w:vAlign w:val="center"/>
          </w:tcPr>
          <w:p>
            <w:pPr>
              <w:jc w:val="center"/>
              <w:rPr>
                <w:kern w:val="0"/>
                <w:szCs w:val="21"/>
              </w:rPr>
            </w:pPr>
            <w:r>
              <w:rPr>
                <w:kern w:val="0"/>
                <w:szCs w:val="21"/>
              </w:rPr>
              <w:t>行业专家</w:t>
            </w:r>
          </w:p>
        </w:tc>
        <w:tc>
          <w:tcPr>
            <w:tcW w:w="3261"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823" w:type="dxa"/>
            <w:vAlign w:val="center"/>
          </w:tcPr>
          <w:p>
            <w:pPr>
              <w:widowControl/>
              <w:jc w:val="center"/>
              <w:rPr>
                <w:kern w:val="0"/>
                <w:szCs w:val="21"/>
              </w:rPr>
            </w:pPr>
            <w:r>
              <w:rPr>
                <w:kern w:val="0"/>
                <w:szCs w:val="21"/>
              </w:rPr>
              <w:t>执笔教师</w:t>
            </w:r>
          </w:p>
        </w:tc>
        <w:tc>
          <w:tcPr>
            <w:tcW w:w="2128" w:type="dxa"/>
            <w:vAlign w:val="center"/>
          </w:tcPr>
          <w:p>
            <w:pPr>
              <w:widowControl/>
              <w:jc w:val="center"/>
              <w:rPr>
                <w:kern w:val="0"/>
                <w:szCs w:val="21"/>
              </w:rPr>
            </w:pPr>
            <w:r>
              <w:rPr>
                <w:rFonts w:hint="eastAsia"/>
                <w:kern w:val="0"/>
                <w:szCs w:val="21"/>
              </w:rPr>
              <w:t>任肖丽</w:t>
            </w:r>
          </w:p>
        </w:tc>
        <w:tc>
          <w:tcPr>
            <w:tcW w:w="1559" w:type="dxa"/>
            <w:vAlign w:val="center"/>
          </w:tcPr>
          <w:p>
            <w:pPr>
              <w:widowControl/>
              <w:jc w:val="center"/>
              <w:rPr>
                <w:kern w:val="0"/>
                <w:szCs w:val="21"/>
              </w:rPr>
            </w:pPr>
            <w:r>
              <w:rPr>
                <w:kern w:val="0"/>
                <w:szCs w:val="21"/>
              </w:rPr>
              <w:t>责任教授</w:t>
            </w:r>
          </w:p>
        </w:tc>
        <w:tc>
          <w:tcPr>
            <w:tcW w:w="3261" w:type="dxa"/>
            <w:vAlign w:val="center"/>
          </w:tcPr>
          <w:p>
            <w:pPr>
              <w:widowControl/>
              <w:jc w:val="center"/>
              <w:rPr>
                <w:kern w:val="0"/>
                <w:szCs w:val="21"/>
              </w:rPr>
            </w:pPr>
            <w:r>
              <w:rPr>
                <w:kern w:val="0"/>
                <w:szCs w:val="21"/>
              </w:rPr>
              <w:t>欧触灵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23" w:type="dxa"/>
            <w:vAlign w:val="center"/>
          </w:tcPr>
          <w:p>
            <w:pPr>
              <w:widowControl/>
              <w:jc w:val="center"/>
              <w:rPr>
                <w:kern w:val="0"/>
                <w:szCs w:val="21"/>
              </w:rPr>
            </w:pPr>
            <w:r>
              <w:rPr>
                <w:kern w:val="0"/>
                <w:szCs w:val="21"/>
              </w:rPr>
              <w:t>适用专业</w:t>
            </w:r>
          </w:p>
        </w:tc>
        <w:tc>
          <w:tcPr>
            <w:tcW w:w="2128" w:type="dxa"/>
            <w:vAlign w:val="center"/>
          </w:tcPr>
          <w:p>
            <w:pPr>
              <w:widowControl/>
              <w:jc w:val="center"/>
              <w:rPr>
                <w:kern w:val="0"/>
                <w:szCs w:val="21"/>
              </w:rPr>
            </w:pPr>
            <w:r>
              <w:rPr>
                <w:kern w:val="0"/>
                <w:szCs w:val="21"/>
              </w:rPr>
              <w:t>电子信息工程</w:t>
            </w:r>
            <w:r>
              <w:rPr>
                <w:rFonts w:hint="eastAsia"/>
                <w:kern w:val="0"/>
                <w:szCs w:val="21"/>
              </w:rPr>
              <w:t>、电子科学与技术</w:t>
            </w:r>
          </w:p>
        </w:tc>
        <w:tc>
          <w:tcPr>
            <w:tcW w:w="1559" w:type="dxa"/>
            <w:vAlign w:val="center"/>
          </w:tcPr>
          <w:p>
            <w:pPr>
              <w:widowControl/>
              <w:jc w:val="center"/>
              <w:rPr>
                <w:kern w:val="0"/>
                <w:szCs w:val="21"/>
              </w:rPr>
            </w:pPr>
            <w:r>
              <w:rPr>
                <w:kern w:val="0"/>
                <w:szCs w:val="21"/>
              </w:rPr>
              <w:t>适用对象</w:t>
            </w:r>
          </w:p>
        </w:tc>
        <w:tc>
          <w:tcPr>
            <w:tcW w:w="3261" w:type="dxa"/>
            <w:vAlign w:val="center"/>
          </w:tcPr>
          <w:p>
            <w:pPr>
              <w:widowControl/>
              <w:jc w:val="center"/>
              <w:rPr>
                <w:kern w:val="0"/>
                <w:szCs w:val="21"/>
              </w:rPr>
            </w:pPr>
            <w:r>
              <w:rPr>
                <w:kern w:val="0"/>
                <w:szCs w:val="21"/>
              </w:rPr>
              <w:t>本科</w:t>
            </w:r>
            <w:r>
              <w:rPr>
                <w:rFonts w:hint="eastAsia"/>
                <w:kern w:val="0"/>
                <w:szCs w:val="21"/>
              </w:rPr>
              <w:t>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23" w:type="dxa"/>
            <w:vAlign w:val="center"/>
          </w:tcPr>
          <w:p>
            <w:pPr>
              <w:jc w:val="center"/>
              <w:rPr>
                <w:kern w:val="0"/>
                <w:szCs w:val="21"/>
              </w:rPr>
            </w:pPr>
            <w:r>
              <w:rPr>
                <w:kern w:val="0"/>
                <w:szCs w:val="21"/>
              </w:rPr>
              <w:t>先修课程</w:t>
            </w:r>
          </w:p>
        </w:tc>
        <w:tc>
          <w:tcPr>
            <w:tcW w:w="2128" w:type="dxa"/>
            <w:vAlign w:val="center"/>
          </w:tcPr>
          <w:p>
            <w:pPr>
              <w:widowControl/>
              <w:jc w:val="center"/>
              <w:rPr>
                <w:kern w:val="0"/>
                <w:szCs w:val="21"/>
              </w:rPr>
            </w:pPr>
            <w:r>
              <w:rPr>
                <w:kern w:val="0"/>
                <w:szCs w:val="21"/>
              </w:rPr>
              <w:t>电路分析、模拟电子技术</w:t>
            </w:r>
          </w:p>
        </w:tc>
        <w:tc>
          <w:tcPr>
            <w:tcW w:w="1559" w:type="dxa"/>
            <w:vAlign w:val="center"/>
          </w:tcPr>
          <w:p>
            <w:pPr>
              <w:snapToGrid w:val="0"/>
              <w:spacing w:line="300" w:lineRule="auto"/>
              <w:jc w:val="center"/>
              <w:rPr>
                <w:kern w:val="0"/>
                <w:szCs w:val="21"/>
              </w:rPr>
            </w:pPr>
            <w:r>
              <w:rPr>
                <w:kern w:val="0"/>
                <w:szCs w:val="21"/>
              </w:rPr>
              <w:t>同修课程</w:t>
            </w:r>
          </w:p>
        </w:tc>
        <w:tc>
          <w:tcPr>
            <w:tcW w:w="3261"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823" w:type="dxa"/>
            <w:vAlign w:val="center"/>
          </w:tcPr>
          <w:p>
            <w:pPr>
              <w:jc w:val="center"/>
              <w:rPr>
                <w:kern w:val="0"/>
                <w:szCs w:val="21"/>
              </w:rPr>
            </w:pPr>
            <w:r>
              <w:rPr>
                <w:kern w:val="0"/>
                <w:szCs w:val="21"/>
              </w:rPr>
              <w:t>排斥课程</w:t>
            </w:r>
          </w:p>
        </w:tc>
        <w:tc>
          <w:tcPr>
            <w:tcW w:w="2128" w:type="dxa"/>
            <w:vAlign w:val="center"/>
          </w:tcPr>
          <w:p>
            <w:pPr>
              <w:widowControl/>
              <w:jc w:val="center"/>
              <w:rPr>
                <w:kern w:val="0"/>
                <w:szCs w:val="21"/>
              </w:rPr>
            </w:pPr>
            <w:r>
              <w:rPr>
                <w:kern w:val="0"/>
                <w:szCs w:val="21"/>
              </w:rPr>
              <w:t>无</w:t>
            </w:r>
          </w:p>
        </w:tc>
        <w:tc>
          <w:tcPr>
            <w:tcW w:w="1559" w:type="dxa"/>
            <w:vAlign w:val="center"/>
          </w:tcPr>
          <w:p>
            <w:pPr>
              <w:snapToGrid w:val="0"/>
              <w:spacing w:line="300" w:lineRule="auto"/>
              <w:jc w:val="center"/>
              <w:rPr>
                <w:kern w:val="0"/>
                <w:szCs w:val="21"/>
              </w:rPr>
            </w:pPr>
            <w:r>
              <w:rPr>
                <w:kern w:val="0"/>
                <w:szCs w:val="21"/>
              </w:rPr>
              <w:t>定稿日期</w:t>
            </w:r>
          </w:p>
        </w:tc>
        <w:tc>
          <w:tcPr>
            <w:tcW w:w="3261"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 w:val="18"/>
          <w:szCs w:val="18"/>
        </w:rPr>
      </w:pPr>
      <w:r>
        <w:rPr>
          <w:kern w:val="0"/>
          <w:szCs w:val="20"/>
        </w:rPr>
        <w:t>*</w:t>
      </w:r>
      <w:r>
        <w:rPr>
          <w:sz w:val="18"/>
          <w:szCs w:val="18"/>
        </w:rPr>
        <w:t>数学与自然科学类、工程基础类、专业基础类、专业类、工程实践与毕业设计（论文）、人文社会科学类；学分学时处（）内为实验学时</w:t>
      </w:r>
      <w:r>
        <w:rPr>
          <w:rFonts w:hint="eastAsia"/>
          <w:sz w:val="18"/>
          <w:szCs w:val="18"/>
        </w:rPr>
        <w:t>。</w:t>
      </w:r>
    </w:p>
    <w:p>
      <w:pPr>
        <w:snapToGrid w:val="0"/>
        <w:spacing w:line="300" w:lineRule="auto"/>
        <w:ind w:firstLine="360" w:firstLineChars="200"/>
        <w:rPr>
          <w:sz w:val="18"/>
          <w:szCs w:val="18"/>
        </w:rPr>
      </w:pPr>
    </w:p>
    <w:p>
      <w:pPr>
        <w:snapToGrid w:val="0"/>
        <w:spacing w:line="300" w:lineRule="auto"/>
        <w:rPr>
          <w:b/>
          <w:sz w:val="24"/>
        </w:rPr>
      </w:pPr>
      <w:r>
        <w:rPr>
          <w:b/>
          <w:sz w:val="24"/>
        </w:rPr>
        <w:t>一、课程简介</w:t>
      </w:r>
    </w:p>
    <w:p>
      <w:pPr>
        <w:autoSpaceDE w:val="0"/>
        <w:autoSpaceDN w:val="0"/>
        <w:adjustRightInd w:val="0"/>
        <w:snapToGrid w:val="0"/>
        <w:spacing w:line="300" w:lineRule="auto"/>
        <w:ind w:firstLine="420" w:firstLineChars="200"/>
        <w:rPr>
          <w:kern w:val="0"/>
          <w:szCs w:val="21"/>
        </w:rPr>
      </w:pPr>
      <w:r>
        <w:rPr>
          <w:kern w:val="0"/>
          <w:szCs w:val="21"/>
        </w:rPr>
        <w:t>《数字电子技术基础》课程是电子信息工程专业必修的专业基础课。该课程具有很强的理论性和实践性。通过这门课程的学习，使学生系统地掌握数字电路的基础知识和相关基本技能；通过查阅集成电路手册，正确选用所需的数字集成芯片；掌握各种仪器、仪表的使用；学会数字系统的分析和设计方法、系统调试及故障排除，为后续专业课学习打下基础。</w:t>
      </w:r>
      <w:r>
        <w:rPr>
          <w:szCs w:val="21"/>
        </w:rPr>
        <w:t xml:space="preserve">讲授过程植入数字电子史上杰出学者严济慈爱国与担当精神。旨在培育学生创新精神，使学生的学习能力提升的同时，精神层面也得到升华。 </w:t>
      </w:r>
    </w:p>
    <w:p>
      <w:pPr>
        <w:snapToGrid w:val="0"/>
        <w:spacing w:line="300" w:lineRule="auto"/>
        <w:rPr>
          <w:b/>
          <w:sz w:val="24"/>
        </w:rPr>
      </w:pPr>
      <w:r>
        <w:rPr>
          <w:b/>
          <w:sz w:val="24"/>
        </w:rPr>
        <w:t>二、课程教学目标</w:t>
      </w:r>
    </w:p>
    <w:p>
      <w:pPr>
        <w:snapToGrid w:val="0"/>
        <w:spacing w:line="300" w:lineRule="auto"/>
        <w:ind w:firstLine="420" w:firstLineChars="200"/>
        <w:rPr>
          <w:szCs w:val="21"/>
        </w:rPr>
      </w:pPr>
      <w:r>
        <w:rPr>
          <w:kern w:val="0"/>
          <w:szCs w:val="21"/>
        </w:rPr>
        <w:t>本课程是电子信息工程等电</w:t>
      </w:r>
      <w:r>
        <w:rPr>
          <w:rFonts w:hint="eastAsia"/>
          <w:kern w:val="0"/>
          <w:szCs w:val="21"/>
        </w:rPr>
        <w:t>类</w:t>
      </w:r>
      <w:r>
        <w:rPr>
          <w:kern w:val="0"/>
          <w:szCs w:val="21"/>
        </w:rPr>
        <w:t>专业必修的专业基础课。该课程具有自身的独特理论体系，同时也是一门实践性很强的课程。本课程的任务是使学生掌握数字电路的基本工作原理、分析方法和基本实践技能。培养学生严谨的科学态度和严密的数字逻辑思维方法。注重技术创新能力的开发与提高。通过本课程的教学，使学生掌握数字电子技术的基础理论，培养学生设计组合逻辑电路和时序</w:t>
      </w:r>
      <w:r>
        <w:rPr>
          <w:rFonts w:hint="eastAsia"/>
          <w:kern w:val="0"/>
          <w:szCs w:val="21"/>
        </w:rPr>
        <w:t>逻辑</w:t>
      </w:r>
      <w:r>
        <w:rPr>
          <w:kern w:val="0"/>
          <w:szCs w:val="21"/>
        </w:rPr>
        <w:t>电路的能力。能够在查阅器件手册的基础上，熟悉各类数字电路器件的特点及应用。使学生初步具有数字电路设计、制作、调试能力，具有数字系统设计的思想。在教学中，顺应数字电子技术发展的潮流，加强数字集成电路部分的教学内容。通过本课程的学习，使学生能根据需要选用集成器件来设计实际数字系统，树立现代数字电路设计的思想，为其今后计算机硬件课程的学习打好基础。</w:t>
      </w:r>
      <w:r>
        <w:rPr>
          <w:szCs w:val="21"/>
        </w:rPr>
        <w:t>本课程的具体教学目标如下：</w:t>
      </w:r>
    </w:p>
    <w:p>
      <w:pPr>
        <w:widowControl/>
        <w:spacing w:line="300" w:lineRule="auto"/>
        <w:ind w:firstLine="420" w:firstLineChars="200"/>
        <w:jc w:val="left"/>
        <w:rPr>
          <w:kern w:val="0"/>
          <w:szCs w:val="21"/>
        </w:rPr>
      </w:pPr>
      <w:r>
        <w:rPr>
          <w:kern w:val="0"/>
          <w:szCs w:val="21"/>
        </w:rPr>
        <w:t>1. 理解和掌握数字电路中的基本概念、基本原理和基本分析方法。</w:t>
      </w:r>
      <w:r>
        <w:rPr>
          <w:kern w:val="0"/>
          <w:szCs w:val="21"/>
          <w:shd w:val="clear" w:color="auto" w:fill="FEFEFF"/>
        </w:rPr>
        <w:t>[1</w:t>
      </w:r>
      <w:r>
        <w:rPr>
          <w:rFonts w:hint="eastAsia"/>
          <w:kern w:val="0"/>
          <w:szCs w:val="21"/>
          <w:shd w:val="clear" w:color="auto" w:fill="FEFEFF"/>
        </w:rPr>
        <w:t>.</w:t>
      </w:r>
      <w:r>
        <w:rPr>
          <w:kern w:val="0"/>
          <w:szCs w:val="21"/>
          <w:shd w:val="clear" w:color="auto" w:fill="FEFEFF"/>
        </w:rPr>
        <w:t>2]</w:t>
      </w:r>
    </w:p>
    <w:p>
      <w:pPr>
        <w:snapToGrid w:val="0"/>
        <w:spacing w:line="30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 学习布尔逻辑的计算和</w:t>
      </w:r>
      <w:r>
        <w:rPr>
          <w:color w:val="000000" w:themeColor="text1"/>
          <w:kern w:val="0"/>
          <w:szCs w:val="21"/>
          <w14:textFill>
            <w14:solidFill>
              <w14:schemeClr w14:val="tx1"/>
            </w14:solidFill>
          </w14:textFill>
        </w:rPr>
        <w:t>推断</w:t>
      </w:r>
      <w:r>
        <w:rPr>
          <w:color w:val="000000" w:themeColor="text1"/>
          <w:szCs w:val="21"/>
          <w14:textFill>
            <w14:solidFill>
              <w14:schemeClr w14:val="tx1"/>
            </w14:solidFill>
          </w14:textFill>
        </w:rPr>
        <w:t>过程。</w:t>
      </w:r>
      <w:r>
        <w:rPr>
          <w:color w:val="000000" w:themeColor="text1"/>
          <w:szCs w:val="21"/>
          <w:shd w:val="clear" w:color="auto" w:fill="FEFEFF"/>
          <w14:textFill>
            <w14:solidFill>
              <w14:schemeClr w14:val="tx1"/>
            </w14:solidFill>
          </w14:textFill>
        </w:rPr>
        <w:t>[2</w:t>
      </w:r>
      <w:r>
        <w:rPr>
          <w:rFonts w:hint="eastAsia"/>
          <w:color w:val="000000" w:themeColor="text1"/>
          <w:szCs w:val="21"/>
          <w:shd w:val="clear" w:color="auto" w:fill="FEFEFF"/>
          <w14:textFill>
            <w14:solidFill>
              <w14:schemeClr w14:val="tx1"/>
            </w14:solidFill>
          </w14:textFill>
        </w:rPr>
        <w:t>.</w:t>
      </w:r>
      <w:r>
        <w:rPr>
          <w:color w:val="000000" w:themeColor="text1"/>
          <w:szCs w:val="21"/>
          <w:shd w:val="clear" w:color="auto" w:fill="FEFEFF"/>
          <w14:textFill>
            <w14:solidFill>
              <w14:schemeClr w14:val="tx1"/>
            </w14:solidFill>
          </w14:textFill>
        </w:rPr>
        <w:t>1]</w:t>
      </w:r>
    </w:p>
    <w:p>
      <w:pPr>
        <w:snapToGrid w:val="0"/>
        <w:spacing w:line="30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 能设计简单的数字电路能力，达到初步具有读图能力。</w:t>
      </w:r>
      <w:r>
        <w:rPr>
          <w:color w:val="000000" w:themeColor="text1"/>
          <w:szCs w:val="21"/>
          <w:shd w:val="clear" w:color="auto" w:fill="FEFEFF"/>
          <w14:textFill>
            <w14:solidFill>
              <w14:schemeClr w14:val="tx1"/>
            </w14:solidFill>
          </w14:textFill>
        </w:rPr>
        <w:t>[3</w:t>
      </w:r>
      <w:r>
        <w:rPr>
          <w:rFonts w:hint="eastAsia"/>
          <w:color w:val="000000" w:themeColor="text1"/>
          <w:szCs w:val="21"/>
          <w:shd w:val="clear" w:color="auto" w:fill="FEFEFF"/>
          <w14:textFill>
            <w14:solidFill>
              <w14:schemeClr w14:val="tx1"/>
            </w14:solidFill>
          </w14:textFill>
        </w:rPr>
        <w:t>.</w:t>
      </w:r>
      <w:r>
        <w:rPr>
          <w:color w:val="000000" w:themeColor="text1"/>
          <w:szCs w:val="21"/>
          <w:shd w:val="clear" w:color="auto" w:fill="FEFEFF"/>
          <w14:textFill>
            <w14:solidFill>
              <w14:schemeClr w14:val="tx1"/>
            </w14:solidFill>
          </w14:textFill>
        </w:rPr>
        <w:t>1]</w:t>
      </w:r>
    </w:p>
    <w:p>
      <w:pPr>
        <w:snapToGrid w:val="0"/>
        <w:spacing w:line="30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 培养学生的数字电路逻辑思维能力、使学生具有综合运用数字电路理论分析和解决问题的能力。</w:t>
      </w:r>
      <w:r>
        <w:rPr>
          <w:color w:val="000000" w:themeColor="text1"/>
          <w:szCs w:val="21"/>
          <w:shd w:val="clear" w:color="auto" w:fill="FEFEFF"/>
          <w14:textFill>
            <w14:solidFill>
              <w14:schemeClr w14:val="tx1"/>
            </w14:solidFill>
          </w14:textFill>
        </w:rPr>
        <w:t>[4</w:t>
      </w:r>
      <w:r>
        <w:rPr>
          <w:rFonts w:hint="eastAsia"/>
          <w:color w:val="000000" w:themeColor="text1"/>
          <w:szCs w:val="21"/>
          <w:shd w:val="clear" w:color="auto" w:fill="FEFEFF"/>
          <w14:textFill>
            <w14:solidFill>
              <w14:schemeClr w14:val="tx1"/>
            </w14:solidFill>
          </w14:textFill>
        </w:rPr>
        <w:t>.</w:t>
      </w:r>
      <w:r>
        <w:rPr>
          <w:color w:val="000000" w:themeColor="text1"/>
          <w:szCs w:val="21"/>
          <w:shd w:val="clear" w:color="auto" w:fill="FEFEFF"/>
          <w14:textFill>
            <w14:solidFill>
              <w14:schemeClr w14:val="tx1"/>
            </w14:solidFill>
          </w14:textFill>
        </w:rPr>
        <w:t>1]</w:t>
      </w:r>
    </w:p>
    <w:p>
      <w:pPr>
        <w:snapToGrid w:val="0"/>
        <w:spacing w:line="300" w:lineRule="auto"/>
        <w:ind w:firstLine="420" w:firstLineChars="200"/>
        <w:rPr>
          <w:szCs w:val="21"/>
        </w:rPr>
      </w:pPr>
      <w:r>
        <w:rPr>
          <w:szCs w:val="21"/>
        </w:rPr>
        <w:t>5. 使学生具有使用数字电路实验设备完成数字电路的验证分析和设计的能力。</w:t>
      </w:r>
      <w:r>
        <w:rPr>
          <w:szCs w:val="21"/>
          <w:shd w:val="clear" w:color="auto" w:fill="FEFEFF"/>
        </w:rPr>
        <w:t>[5</w:t>
      </w:r>
      <w:r>
        <w:rPr>
          <w:rFonts w:hint="eastAsia"/>
          <w:szCs w:val="21"/>
          <w:shd w:val="clear" w:color="auto" w:fill="FEFEFF"/>
        </w:rPr>
        <w:t>.</w:t>
      </w:r>
      <w:r>
        <w:rPr>
          <w:szCs w:val="21"/>
          <w:shd w:val="clear" w:color="auto" w:fill="FEFEFF"/>
        </w:rPr>
        <w:t>1]</w:t>
      </w:r>
    </w:p>
    <w:p>
      <w:pPr>
        <w:widowControl/>
        <w:tabs>
          <w:tab w:val="left" w:pos="426"/>
          <w:tab w:val="left" w:pos="5245"/>
          <w:tab w:val="left" w:pos="5387"/>
        </w:tabs>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pacing w:line="300" w:lineRule="auto"/>
        <w:ind w:firstLine="422" w:firstLineChars="200"/>
        <w:rPr>
          <w:b/>
          <w:kern w:val="0"/>
          <w:szCs w:val="20"/>
        </w:rPr>
      </w:pPr>
    </w:p>
    <w:p>
      <w:pPr>
        <w:widowControl/>
        <w:tabs>
          <w:tab w:val="left" w:pos="426"/>
          <w:tab w:val="left" w:pos="5245"/>
          <w:tab w:val="left" w:pos="5387"/>
        </w:tabs>
        <w:spacing w:before="156" w:beforeLines="50" w:line="300" w:lineRule="auto"/>
        <w:ind w:firstLine="361" w:firstLineChars="200"/>
        <w:jc w:val="center"/>
        <w:rPr>
          <w:bCs/>
          <w:sz w:val="18"/>
          <w:szCs w:val="18"/>
        </w:rPr>
      </w:pPr>
      <w:r>
        <w:rPr>
          <w:b/>
          <w:kern w:val="0"/>
          <w:sz w:val="18"/>
          <w:szCs w:val="18"/>
        </w:rPr>
        <w:t>表1 毕业要求指标点实现矩阵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5516"/>
        <w:gridCol w:w="74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599" w:type="dxa"/>
            <w:vAlign w:val="center"/>
          </w:tcPr>
          <w:p>
            <w:pPr>
              <w:jc w:val="center"/>
              <w:rPr>
                <w:b/>
                <w:bCs/>
                <w:sz w:val="18"/>
                <w:szCs w:val="18"/>
              </w:rPr>
            </w:pPr>
            <w:r>
              <w:rPr>
                <w:b/>
                <w:bCs/>
                <w:sz w:val="18"/>
                <w:szCs w:val="18"/>
              </w:rPr>
              <w:t>毕业要求</w:t>
            </w:r>
          </w:p>
        </w:tc>
        <w:tc>
          <w:tcPr>
            <w:tcW w:w="5516" w:type="dxa"/>
            <w:vAlign w:val="center"/>
          </w:tcPr>
          <w:p>
            <w:pPr>
              <w:jc w:val="center"/>
              <w:rPr>
                <w:b/>
                <w:bCs/>
                <w:sz w:val="18"/>
                <w:szCs w:val="18"/>
              </w:rPr>
            </w:pPr>
            <w:r>
              <w:rPr>
                <w:b/>
                <w:bCs/>
                <w:sz w:val="18"/>
                <w:szCs w:val="18"/>
              </w:rPr>
              <w:t>毕业要求指标点</w:t>
            </w:r>
          </w:p>
        </w:tc>
        <w:tc>
          <w:tcPr>
            <w:tcW w:w="741" w:type="dxa"/>
            <w:vAlign w:val="center"/>
          </w:tcPr>
          <w:p>
            <w:pPr>
              <w:rPr>
                <w:b/>
                <w:bCs/>
                <w:sz w:val="18"/>
                <w:szCs w:val="18"/>
              </w:rPr>
            </w:pPr>
            <w:r>
              <w:rPr>
                <w:b/>
                <w:bCs/>
                <w:sz w:val="18"/>
                <w:szCs w:val="18"/>
              </w:rPr>
              <w:t>课程目标</w:t>
            </w:r>
          </w:p>
        </w:tc>
        <w:tc>
          <w:tcPr>
            <w:tcW w:w="825" w:type="dxa"/>
            <w:vAlign w:val="center"/>
          </w:tcPr>
          <w:p>
            <w:pPr>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Align w:val="center"/>
          </w:tcPr>
          <w:p>
            <w:pPr>
              <w:widowControl/>
              <w:spacing w:line="228"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1.工程知识：</w:t>
            </w:r>
          </w:p>
        </w:tc>
        <w:tc>
          <w:tcPr>
            <w:tcW w:w="5516" w:type="dxa"/>
            <w:vAlign w:val="center"/>
          </w:tcPr>
          <w:p>
            <w:pPr>
              <w:widowControl/>
              <w:jc w:val="left"/>
              <w:rPr>
                <w:b/>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2掌握计算机、电子、信息、通信、测控及其它工程基础知识，并有效将其应用于电子信息领域工程问题的软硬件分析与设计。</w:t>
            </w:r>
          </w:p>
        </w:tc>
        <w:tc>
          <w:tcPr>
            <w:tcW w:w="741"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825"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99" w:type="dxa"/>
            <w:vAlign w:val="center"/>
          </w:tcPr>
          <w:p>
            <w:pPr>
              <w:widowControl/>
              <w:spacing w:line="228"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2．问题分析：</w:t>
            </w:r>
          </w:p>
        </w:tc>
        <w:tc>
          <w:tcPr>
            <w:tcW w:w="5516"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1具备应用数学、自然科学和工程科学的基本原理和方法，认识与判断电子信息工程（含海洋电子信息）相关领域复杂工程问题中的关键环节，使用数学模型和专业知识解释与描述复杂工程问题的能力。</w:t>
            </w:r>
          </w:p>
        </w:tc>
        <w:tc>
          <w:tcPr>
            <w:tcW w:w="741"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825"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99" w:type="dxa"/>
            <w:vAlign w:val="center"/>
          </w:tcPr>
          <w:p>
            <w:pPr>
              <w:widowControl/>
              <w:spacing w:line="228"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3．设计/开发解决方案：</w:t>
            </w:r>
          </w:p>
        </w:tc>
        <w:tc>
          <w:tcPr>
            <w:tcW w:w="5516" w:type="dxa"/>
            <w:vAlign w:val="center"/>
          </w:tcPr>
          <w:p>
            <w:pPr>
              <w:widowControl/>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1能够利用专业知识，针对给定需求，设计出满足要求的系统总体方案与系统拓扑图、单元子系统（或单元电路）、软硬件模块或工艺。</w:t>
            </w:r>
          </w:p>
        </w:tc>
        <w:tc>
          <w:tcPr>
            <w:tcW w:w="741"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825"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99" w:type="dxa"/>
            <w:vAlign w:val="center"/>
          </w:tcPr>
          <w:p>
            <w:pPr>
              <w:widowControl/>
              <w:spacing w:line="228"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4．研究：</w:t>
            </w:r>
          </w:p>
        </w:tc>
        <w:tc>
          <w:tcPr>
            <w:tcW w:w="5516" w:type="dxa"/>
            <w:vAlign w:val="center"/>
          </w:tcPr>
          <w:p>
            <w:pPr>
              <w:widowControl/>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1具备基于电子信息科学原理并采用科学方法对复杂工程问题的技术路线，实验方案、软/硬件模块和存在的问题进行研究的能力。</w:t>
            </w:r>
          </w:p>
        </w:tc>
        <w:tc>
          <w:tcPr>
            <w:tcW w:w="741"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825"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99" w:type="dxa"/>
            <w:vAlign w:val="center"/>
          </w:tcPr>
          <w:p>
            <w:pPr>
              <w:spacing w:line="228"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5.现代工具使用：</w:t>
            </w:r>
          </w:p>
        </w:tc>
        <w:tc>
          <w:tcPr>
            <w:tcW w:w="5516" w:type="dxa"/>
            <w:vAlign w:val="center"/>
          </w:tcPr>
          <w:p>
            <w:pPr>
              <w:widowControl/>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掌握电子信息工程专业仪器、仪表等现代工程工具的基本原理、操作方法，理解其局限性，并在复杂工程问题中合理选择并使用</w:t>
            </w:r>
            <w:r>
              <w:rPr>
                <w:rFonts w:hint="eastAsia"/>
                <w:color w:val="000000" w:themeColor="text1"/>
                <w:sz w:val="18"/>
                <w:szCs w:val="18"/>
                <w14:textFill>
                  <w14:solidFill>
                    <w14:schemeClr w14:val="tx1"/>
                  </w14:solidFill>
                </w14:textFill>
              </w:rPr>
              <w:t>。</w:t>
            </w:r>
          </w:p>
        </w:tc>
        <w:tc>
          <w:tcPr>
            <w:tcW w:w="741"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82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r>
    </w:tbl>
    <w:p>
      <w:pPr>
        <w:widowControl/>
        <w:tabs>
          <w:tab w:val="left" w:pos="426"/>
          <w:tab w:val="left" w:pos="5245"/>
          <w:tab w:val="left" w:pos="5387"/>
        </w:tabs>
        <w:spacing w:line="300" w:lineRule="auto"/>
        <w:ind w:firstLine="422" w:firstLineChars="200"/>
        <w:rPr>
          <w:b/>
          <w:kern w:val="0"/>
          <w:szCs w:val="20"/>
        </w:rPr>
      </w:pPr>
    </w:p>
    <w:p>
      <w:pPr>
        <w:snapToGrid w:val="0"/>
        <w:spacing w:line="300" w:lineRule="auto"/>
        <w:rPr>
          <w:b/>
          <w:sz w:val="24"/>
        </w:rPr>
      </w:pPr>
      <w:r>
        <w:rPr>
          <w:b/>
          <w:sz w:val="24"/>
        </w:rPr>
        <w:t>三、课程教学目标达成途径（或教学设计）</w:t>
      </w:r>
    </w:p>
    <w:p>
      <w:pPr>
        <w:widowControl/>
        <w:spacing w:line="300" w:lineRule="auto"/>
        <w:ind w:firstLine="420" w:firstLineChars="200"/>
        <w:rPr>
          <w:kern w:val="0"/>
          <w:szCs w:val="21"/>
        </w:rPr>
      </w:pPr>
      <w:r>
        <w:rPr>
          <w:kern w:val="0"/>
          <w:szCs w:val="21"/>
        </w:rPr>
        <w:t>本课程是电子信息工程专业的学科基础课程。通过本课程的学习，使学生掌握数字电子技术的基本概念、基本知识点和基本技能；能够根据要求独立完成单一功能数字电路的设计，合作完成简单数字小系统的设计。本课程的讲授重点是组合逻辑电路和时序逻辑电路的分析与设计方法。</w:t>
      </w:r>
    </w:p>
    <w:p>
      <w:pPr>
        <w:widowControl/>
        <w:spacing w:line="300" w:lineRule="auto"/>
        <w:ind w:firstLine="420" w:firstLineChars="200"/>
        <w:jc w:val="left"/>
        <w:rPr>
          <w:kern w:val="0"/>
          <w:szCs w:val="21"/>
        </w:rPr>
      </w:pPr>
      <w:r>
        <w:rPr>
          <w:kern w:val="0"/>
          <w:szCs w:val="21"/>
        </w:rPr>
        <w:t>本课程的教学方法有理论讲授、仿真演示、小组合作学习、设计实践、答辩展示等。</w:t>
      </w:r>
    </w:p>
    <w:p>
      <w:pPr>
        <w:widowControl/>
        <w:spacing w:line="300" w:lineRule="auto"/>
        <w:ind w:firstLine="420" w:firstLineChars="200"/>
        <w:rPr>
          <w:kern w:val="0"/>
          <w:szCs w:val="21"/>
        </w:rPr>
      </w:pPr>
      <w:r>
        <w:rPr>
          <w:kern w:val="0"/>
          <w:szCs w:val="21"/>
        </w:rPr>
        <w:t>在基础知识及其他相关电路部分的教学过程中，主要采用理论讲授的方式，并辅以仿真演示。通过讲授，从宏观上引导学生对课程内容的总体把握，在掌握课程基本理论和基本方法的基础上，使学生能够触类旁通；从微观上启发学生能够从基本原理、集成电路外特性及系统工程方面去分析问题，解决问题，并锻炼提高学生的自主学习与探究能力。</w:t>
      </w:r>
    </w:p>
    <w:p>
      <w:pPr>
        <w:widowControl/>
        <w:spacing w:line="300" w:lineRule="auto"/>
        <w:ind w:firstLine="420" w:firstLineChars="200"/>
        <w:rPr>
          <w:kern w:val="0"/>
          <w:szCs w:val="21"/>
        </w:rPr>
      </w:pPr>
      <w:r>
        <w:rPr>
          <w:kern w:val="0"/>
          <w:szCs w:val="21"/>
        </w:rPr>
        <w:t>在组合与时序电路分析设计及数字系统设计部分，课堂上主要是理论讲授结合仿真演示的方法；而课余则是小组合作学习与设计实践的形式。通过教师的仿真演示与理论讲授，介绍电路分析设计的方法和过程；通过各部分内容的小组合作学习和设计实践环节加深和检验学生的学习效果。尤其是数字小系统设计大作业，通过查阅资料、制定方案、分工实施、总结整理、展示答辩等环节，提高学生发现问题、提出问题、分析问题和解决问题的能力，培养学生良好的科学研究态度及团队精神。</w:t>
      </w:r>
    </w:p>
    <w:p>
      <w:pPr>
        <w:widowControl/>
        <w:spacing w:before="156" w:beforeLines="50"/>
        <w:jc w:val="center"/>
        <w:rPr>
          <w:b/>
          <w:bCs/>
          <w:sz w:val="18"/>
          <w:szCs w:val="18"/>
          <w:shd w:val="clear" w:color="auto" w:fill="FEFEFF"/>
        </w:rPr>
      </w:pPr>
      <w:r>
        <w:rPr>
          <w:b/>
          <w:bCs/>
          <w:sz w:val="18"/>
          <w:szCs w:val="18"/>
          <w:shd w:val="clear" w:color="auto" w:fill="FEFEFF"/>
        </w:rPr>
        <w:t>表2教学目标达成途径</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2693"/>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tcBorders>
              <w:top w:val="single" w:color="auto" w:sz="4" w:space="0"/>
              <w:left w:val="single" w:color="auto" w:sz="4" w:space="0"/>
              <w:bottom w:val="single" w:color="auto" w:sz="4" w:space="0"/>
              <w:right w:val="single" w:color="auto" w:sz="4" w:space="0"/>
            </w:tcBorders>
            <w:vAlign w:val="center"/>
          </w:tcPr>
          <w:p>
            <w:pPr>
              <w:widowControl/>
              <w:jc w:val="center"/>
              <w:rPr>
                <w:b/>
                <w:sz w:val="18"/>
                <w:szCs w:val="18"/>
              </w:rPr>
            </w:pPr>
            <w:r>
              <w:rPr>
                <w:b/>
                <w:sz w:val="18"/>
                <w:szCs w:val="18"/>
              </w:rPr>
              <w:t>课程教学目标</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b/>
                <w:sz w:val="18"/>
                <w:szCs w:val="18"/>
              </w:rPr>
            </w:pPr>
            <w:r>
              <w:rPr>
                <w:b/>
                <w:sz w:val="18"/>
                <w:szCs w:val="18"/>
              </w:rPr>
              <w:t>达成途径</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b/>
                <w:sz w:val="18"/>
                <w:szCs w:val="18"/>
              </w:rPr>
            </w:pPr>
            <w:r>
              <w:rPr>
                <w:sz w:val="18"/>
                <w:szCs w:val="18"/>
                <w:shd w:val="clear" w:color="auto" w:fill="FEFEFF"/>
              </w:rPr>
              <w:t>1．</w:t>
            </w:r>
            <w:r>
              <w:rPr>
                <w:sz w:val="18"/>
                <w:szCs w:val="18"/>
              </w:rPr>
              <w:t>理解和掌握数字电路中的基本概念、基本原理和基本分析方法</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通过课堂讲授与学生学习（指定阅读）等达成。</w:t>
            </w:r>
          </w:p>
        </w:tc>
        <w:tc>
          <w:tcPr>
            <w:tcW w:w="1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b/>
                <w:sz w:val="18"/>
                <w:szCs w:val="18"/>
              </w:rPr>
            </w:pPr>
            <w:r>
              <w:rPr>
                <w:sz w:val="18"/>
                <w:szCs w:val="18"/>
                <w:shd w:val="clear" w:color="auto" w:fill="FEFEFF"/>
              </w:rPr>
              <w:t>2.</w:t>
            </w:r>
            <w:r>
              <w:rPr>
                <w:sz w:val="18"/>
                <w:szCs w:val="18"/>
              </w:rPr>
              <w:t xml:space="preserve"> 学习布尔逻辑的计算和推断过程。</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通过课堂讲授与学生学习（网络学习）等达成。</w:t>
            </w:r>
          </w:p>
        </w:tc>
        <w:tc>
          <w:tcPr>
            <w:tcW w:w="1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39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b/>
                <w:sz w:val="18"/>
                <w:szCs w:val="18"/>
              </w:rPr>
            </w:pPr>
            <w:r>
              <w:rPr>
                <w:sz w:val="18"/>
                <w:szCs w:val="18"/>
                <w:shd w:val="clear" w:color="auto" w:fill="FEFEFF"/>
              </w:rPr>
              <w:t>3.</w:t>
            </w:r>
            <w:r>
              <w:rPr>
                <w:sz w:val="18"/>
                <w:szCs w:val="18"/>
              </w:rPr>
              <w:t xml:space="preserve"> 能设计简单的数字电路能力，达到初步具有读图能力。</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通过课堂讲授与学生学习（网络学习）等达成。</w:t>
            </w:r>
          </w:p>
        </w:tc>
        <w:tc>
          <w:tcPr>
            <w:tcW w:w="1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3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b/>
                <w:sz w:val="18"/>
                <w:szCs w:val="18"/>
              </w:rPr>
            </w:pPr>
            <w:r>
              <w:rPr>
                <w:sz w:val="18"/>
                <w:szCs w:val="18"/>
                <w:shd w:val="clear" w:color="auto" w:fill="FEFEFF"/>
              </w:rPr>
              <w:t>4．</w:t>
            </w:r>
            <w:r>
              <w:rPr>
                <w:sz w:val="18"/>
                <w:szCs w:val="18"/>
              </w:rPr>
              <w:t>培养学生的数字电路逻辑思维能力、使学生具有综合运用数字电路理论分析和解决问题的能力。</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通过课堂讲授与学生学习（小组讨论、案例研讨）等达成。</w:t>
            </w:r>
          </w:p>
        </w:tc>
        <w:tc>
          <w:tcPr>
            <w:tcW w:w="1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9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sz w:val="18"/>
                <w:szCs w:val="18"/>
                <w:shd w:val="clear" w:color="auto" w:fill="FEFEFF"/>
              </w:rPr>
            </w:pPr>
            <w:r>
              <w:rPr>
                <w:sz w:val="18"/>
                <w:szCs w:val="18"/>
                <w:shd w:val="clear" w:color="auto" w:fill="FEFEFF"/>
              </w:rPr>
              <w:t>5．</w:t>
            </w:r>
            <w:r>
              <w:rPr>
                <w:sz w:val="18"/>
                <w:szCs w:val="18"/>
              </w:rPr>
              <w:t>使学生具有使用数字电路实验设备完成数字电路的验证分析和设计的能力。</w:t>
            </w:r>
          </w:p>
        </w:tc>
        <w:tc>
          <w:tcPr>
            <w:tcW w:w="269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sz w:val="18"/>
                <w:szCs w:val="18"/>
                <w:shd w:val="clear" w:color="auto" w:fill="FEFEFF"/>
              </w:rPr>
            </w:pPr>
            <w:r>
              <w:rPr>
                <w:sz w:val="18"/>
                <w:szCs w:val="18"/>
                <w:shd w:val="clear" w:color="auto" w:fill="FEFEFF"/>
              </w:rPr>
              <w:t>讲授、实验、作业等达成。</w:t>
            </w:r>
          </w:p>
        </w:tc>
        <w:tc>
          <w:tcPr>
            <w:tcW w:w="1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pacing w:line="300" w:lineRule="auto"/>
        <w:ind w:firstLine="420" w:firstLineChars="200"/>
      </w:pPr>
      <w:r>
        <w:t xml:space="preserve">1. 课堂讲授为主，网络多媒体教学、课程独立网站同步学习为辅，注重工程案例教学，每周平均讲授4学时，与专业相关实践教学环节和场景配合呼应。 </w:t>
      </w:r>
    </w:p>
    <w:p>
      <w:pPr>
        <w:spacing w:line="300" w:lineRule="auto"/>
        <w:ind w:firstLine="420" w:firstLineChars="200"/>
      </w:pPr>
      <w:r>
        <w:t>2. 基于电子信息系统信息处理与传输工作流程构建课程教学体系；根据课程特点采用启发式教学、任务驱动教学、案例教学法进行教学。</w:t>
      </w:r>
    </w:p>
    <w:p>
      <w:pPr>
        <w:spacing w:line="300" w:lineRule="auto"/>
        <w:ind w:firstLine="420" w:firstLineChars="200"/>
      </w:pPr>
      <w: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pacing w:line="300" w:lineRule="auto"/>
        <w:ind w:firstLine="420" w:firstLineChars="200"/>
        <w:rPr>
          <w:szCs w:val="21"/>
        </w:rPr>
      </w:pPr>
      <w:r>
        <w:rPr>
          <w:szCs w:val="21"/>
        </w:rPr>
        <w:t>本课程理论教学内容与教学要求见表3。</w:t>
      </w:r>
    </w:p>
    <w:p>
      <w:pPr>
        <w:spacing w:before="156" w:beforeLines="50"/>
        <w:ind w:firstLine="361" w:firstLineChars="200"/>
        <w:jc w:val="center"/>
      </w:pPr>
      <w:r>
        <w:rPr>
          <w:b/>
          <w:bCs/>
          <w:sz w:val="18"/>
          <w:szCs w:val="18"/>
        </w:rPr>
        <w:t>表3教学要求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2671"/>
        <w:gridCol w:w="4599"/>
        <w:gridCol w:w="443"/>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88" w:type="dxa"/>
            <w:shd w:val="clear" w:color="auto" w:fill="FFFFFF"/>
            <w:tcMar>
              <w:left w:w="57" w:type="dxa"/>
              <w:right w:w="57" w:type="dxa"/>
            </w:tcMar>
            <w:vAlign w:val="center"/>
          </w:tcPr>
          <w:p>
            <w:pPr>
              <w:widowControl/>
              <w:adjustRightInd w:val="0"/>
              <w:snapToGrid w:val="0"/>
              <w:jc w:val="center"/>
              <w:rPr>
                <w:b/>
                <w:kern w:val="0"/>
                <w:sz w:val="18"/>
                <w:szCs w:val="18"/>
              </w:rPr>
            </w:pPr>
            <w:r>
              <w:rPr>
                <w:b/>
                <w:kern w:val="0"/>
                <w:sz w:val="18"/>
                <w:szCs w:val="18"/>
              </w:rPr>
              <w:t>序号</w:t>
            </w:r>
          </w:p>
        </w:tc>
        <w:tc>
          <w:tcPr>
            <w:tcW w:w="2671" w:type="dxa"/>
            <w:shd w:val="clear" w:color="auto" w:fill="FFFFFF"/>
            <w:vAlign w:val="center"/>
          </w:tcPr>
          <w:p>
            <w:pPr>
              <w:widowControl/>
              <w:adjustRightInd w:val="0"/>
              <w:snapToGrid w:val="0"/>
              <w:jc w:val="center"/>
              <w:rPr>
                <w:b/>
                <w:kern w:val="0"/>
                <w:sz w:val="18"/>
                <w:szCs w:val="18"/>
              </w:rPr>
            </w:pPr>
            <w:r>
              <w:rPr>
                <w:b/>
                <w:kern w:val="0"/>
                <w:sz w:val="18"/>
                <w:szCs w:val="18"/>
              </w:rPr>
              <w:t>教学内容</w:t>
            </w:r>
          </w:p>
        </w:tc>
        <w:tc>
          <w:tcPr>
            <w:tcW w:w="4599" w:type="dxa"/>
            <w:shd w:val="clear" w:color="auto" w:fill="FFFFFF"/>
            <w:vAlign w:val="center"/>
          </w:tcPr>
          <w:p>
            <w:pPr>
              <w:widowControl/>
              <w:adjustRightInd w:val="0"/>
              <w:snapToGrid w:val="0"/>
              <w:jc w:val="center"/>
              <w:rPr>
                <w:b/>
                <w:kern w:val="0"/>
                <w:sz w:val="18"/>
                <w:szCs w:val="18"/>
              </w:rPr>
            </w:pPr>
            <w:r>
              <w:rPr>
                <w:b/>
                <w:kern w:val="0"/>
                <w:sz w:val="18"/>
                <w:szCs w:val="18"/>
              </w:rPr>
              <w:t>教与学的要求</w:t>
            </w:r>
          </w:p>
        </w:tc>
        <w:tc>
          <w:tcPr>
            <w:tcW w:w="443" w:type="dxa"/>
            <w:shd w:val="clear" w:color="auto" w:fill="FFFFFF"/>
            <w:vAlign w:val="center"/>
          </w:tcPr>
          <w:p>
            <w:pPr>
              <w:widowControl/>
              <w:adjustRightInd w:val="0"/>
              <w:snapToGrid w:val="0"/>
              <w:jc w:val="center"/>
              <w:rPr>
                <w:b/>
                <w:kern w:val="0"/>
                <w:sz w:val="18"/>
                <w:szCs w:val="18"/>
              </w:rPr>
            </w:pPr>
            <w:r>
              <w:rPr>
                <w:b/>
                <w:kern w:val="0"/>
                <w:sz w:val="18"/>
                <w:szCs w:val="18"/>
              </w:rPr>
              <w:t>学时</w:t>
            </w:r>
          </w:p>
        </w:tc>
        <w:tc>
          <w:tcPr>
            <w:tcW w:w="890" w:type="dxa"/>
            <w:shd w:val="clear" w:color="auto" w:fill="FFFFFF"/>
            <w:vAlign w:val="center"/>
          </w:tcPr>
          <w:p>
            <w:pPr>
              <w:widowControl/>
              <w:adjustRightInd w:val="0"/>
              <w:snapToGrid w:val="0"/>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w:t>
            </w:r>
          </w:p>
        </w:tc>
        <w:tc>
          <w:tcPr>
            <w:tcW w:w="2671" w:type="dxa"/>
            <w:vAlign w:val="center"/>
          </w:tcPr>
          <w:p>
            <w:pPr>
              <w:adjustRightInd w:val="0"/>
              <w:snapToGrid w:val="0"/>
              <w:spacing w:line="300" w:lineRule="auto"/>
              <w:rPr>
                <w:kern w:val="0"/>
                <w:sz w:val="18"/>
                <w:szCs w:val="18"/>
              </w:rPr>
            </w:pPr>
            <w:r>
              <w:rPr>
                <w:kern w:val="0"/>
                <w:sz w:val="18"/>
                <w:szCs w:val="18"/>
              </w:rPr>
              <w:t>第1章 数制与编码</w:t>
            </w:r>
          </w:p>
          <w:p>
            <w:pPr>
              <w:adjustRightInd w:val="0"/>
              <w:snapToGrid w:val="0"/>
              <w:spacing w:line="300" w:lineRule="auto"/>
              <w:rPr>
                <w:kern w:val="0"/>
                <w:sz w:val="18"/>
                <w:szCs w:val="18"/>
              </w:rPr>
            </w:pPr>
            <w:r>
              <w:rPr>
                <w:kern w:val="0"/>
                <w:sz w:val="18"/>
                <w:szCs w:val="18"/>
              </w:rPr>
              <w:t>（1）数制；编码；</w:t>
            </w:r>
          </w:p>
          <w:p>
            <w:pPr>
              <w:adjustRightInd w:val="0"/>
              <w:snapToGrid w:val="0"/>
              <w:spacing w:line="300" w:lineRule="auto"/>
              <w:rPr>
                <w:kern w:val="0"/>
                <w:sz w:val="18"/>
                <w:szCs w:val="18"/>
              </w:rPr>
            </w:pPr>
            <w:r>
              <w:rPr>
                <w:kern w:val="0"/>
                <w:sz w:val="18"/>
                <w:szCs w:val="18"/>
              </w:rPr>
              <w:t>（2）二进制算术运算。十进制、二进制和十六进制之间的相互转换；</w:t>
            </w:r>
          </w:p>
          <w:p>
            <w:pPr>
              <w:adjustRightInd w:val="0"/>
              <w:snapToGrid w:val="0"/>
              <w:spacing w:line="300" w:lineRule="auto"/>
              <w:rPr>
                <w:kern w:val="0"/>
                <w:sz w:val="18"/>
                <w:szCs w:val="18"/>
              </w:rPr>
            </w:pPr>
            <w:r>
              <w:rPr>
                <w:kern w:val="0"/>
                <w:sz w:val="18"/>
                <w:szCs w:val="18"/>
              </w:rPr>
              <w:t>（3）BCD 码、格雷码各自的规律和特点；</w:t>
            </w:r>
          </w:p>
          <w:p>
            <w:pPr>
              <w:adjustRightInd w:val="0"/>
              <w:snapToGrid w:val="0"/>
              <w:spacing w:line="300" w:lineRule="auto"/>
              <w:rPr>
                <w:sz w:val="18"/>
                <w:szCs w:val="18"/>
              </w:rPr>
            </w:pPr>
            <w:r>
              <w:rPr>
                <w:kern w:val="0"/>
                <w:sz w:val="18"/>
                <w:szCs w:val="18"/>
              </w:rPr>
              <w:t>（4）数字电路中正负数的表示方法及补码运算。补码的意义。</w:t>
            </w:r>
          </w:p>
        </w:tc>
        <w:tc>
          <w:tcPr>
            <w:tcW w:w="4599"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1）掌握常用的</w:t>
            </w:r>
            <w:r>
              <w:rPr>
                <w:kern w:val="0"/>
                <w:sz w:val="18"/>
                <w:szCs w:val="18"/>
              </w:rPr>
              <w:t>数制和编码；</w:t>
            </w:r>
          </w:p>
          <w:p>
            <w:pPr>
              <w:adjustRightInd w:val="0"/>
              <w:snapToGrid w:val="0"/>
              <w:spacing w:line="300" w:lineRule="auto"/>
              <w:rPr>
                <w:sz w:val="18"/>
                <w:szCs w:val="18"/>
              </w:rPr>
            </w:pPr>
            <w:r>
              <w:rPr>
                <w:sz w:val="18"/>
                <w:szCs w:val="18"/>
              </w:rPr>
              <w:t>2）掌握</w:t>
            </w:r>
            <w:r>
              <w:rPr>
                <w:kern w:val="0"/>
                <w:sz w:val="18"/>
                <w:szCs w:val="18"/>
              </w:rPr>
              <w:t>二进制算术运算，并且能熟练的进行十进制、二进制和十六进制之间的相互转换</w:t>
            </w:r>
            <w:r>
              <w:rPr>
                <w:sz w:val="18"/>
                <w:szCs w:val="18"/>
              </w:rPr>
              <w:t>。</w:t>
            </w:r>
          </w:p>
          <w:p>
            <w:pPr>
              <w:adjustRightInd w:val="0"/>
              <w:snapToGrid w:val="0"/>
              <w:spacing w:line="300" w:lineRule="auto"/>
              <w:rPr>
                <w:kern w:val="0"/>
                <w:sz w:val="18"/>
                <w:szCs w:val="18"/>
              </w:rPr>
            </w:pPr>
            <w:r>
              <w:rPr>
                <w:sz w:val="18"/>
                <w:szCs w:val="18"/>
              </w:rPr>
              <w:t>3）掌握</w:t>
            </w:r>
            <w:r>
              <w:rPr>
                <w:kern w:val="0"/>
                <w:sz w:val="18"/>
                <w:szCs w:val="18"/>
              </w:rPr>
              <w:t>BCD 码、格雷码各自的规律和特点；</w:t>
            </w:r>
          </w:p>
          <w:p>
            <w:pPr>
              <w:adjustRightInd w:val="0"/>
              <w:snapToGrid w:val="0"/>
              <w:spacing w:line="300" w:lineRule="auto"/>
              <w:rPr>
                <w:kern w:val="0"/>
                <w:sz w:val="18"/>
                <w:szCs w:val="18"/>
              </w:rPr>
            </w:pPr>
            <w:r>
              <w:rPr>
                <w:sz w:val="18"/>
                <w:szCs w:val="18"/>
              </w:rPr>
              <w:t>4）了解</w:t>
            </w:r>
            <w:r>
              <w:rPr>
                <w:kern w:val="0"/>
                <w:sz w:val="18"/>
                <w:szCs w:val="18"/>
              </w:rPr>
              <w:t>BCD 码、格雷码各自的规律和特点；</w:t>
            </w:r>
          </w:p>
          <w:p>
            <w:pPr>
              <w:adjustRightInd w:val="0"/>
              <w:snapToGrid w:val="0"/>
              <w:spacing w:line="300" w:lineRule="auto"/>
              <w:rPr>
                <w:sz w:val="18"/>
                <w:szCs w:val="18"/>
              </w:rPr>
            </w:pPr>
            <w:r>
              <w:rPr>
                <w:sz w:val="18"/>
                <w:szCs w:val="18"/>
              </w:rPr>
              <w:t>5）掌握</w:t>
            </w:r>
            <w:r>
              <w:rPr>
                <w:kern w:val="0"/>
                <w:sz w:val="18"/>
                <w:szCs w:val="18"/>
              </w:rPr>
              <w:t>数字电路中正负数的表示方法及补码运算。充分理解补码的意义。</w:t>
            </w:r>
          </w:p>
          <w:p>
            <w:pPr>
              <w:adjustRightInd w:val="0"/>
              <w:snapToGrid w:val="0"/>
              <w:spacing w:line="300" w:lineRule="auto"/>
              <w:rPr>
                <w:sz w:val="18"/>
                <w:szCs w:val="18"/>
              </w:rPr>
            </w:pPr>
            <w:r>
              <w:rPr>
                <w:sz w:val="18"/>
                <w:szCs w:val="18"/>
              </w:rPr>
              <w:t>2.作业内容：</w:t>
            </w:r>
          </w:p>
          <w:p>
            <w:pPr>
              <w:adjustRightInd w:val="0"/>
              <w:snapToGrid w:val="0"/>
              <w:spacing w:line="300" w:lineRule="auto"/>
              <w:rPr>
                <w:kern w:val="0"/>
                <w:sz w:val="18"/>
                <w:szCs w:val="18"/>
              </w:rPr>
            </w:pPr>
            <w:r>
              <w:rPr>
                <w:kern w:val="0"/>
                <w:sz w:val="18"/>
                <w:szCs w:val="18"/>
              </w:rPr>
              <w:t>二进制算术运算。十进制、二进制和十六进制之间的相互转换。</w:t>
            </w:r>
          </w:p>
          <w:p>
            <w:pPr>
              <w:adjustRightInd w:val="0"/>
              <w:snapToGrid w:val="0"/>
              <w:spacing w:line="300" w:lineRule="auto"/>
              <w:rPr>
                <w:sz w:val="18"/>
                <w:szCs w:val="18"/>
              </w:rPr>
            </w:pPr>
            <w:r>
              <w:rPr>
                <w:sz w:val="18"/>
                <w:szCs w:val="18"/>
              </w:rPr>
              <w:t>3.讨论内容：</w:t>
            </w:r>
            <w:r>
              <w:rPr>
                <w:kern w:val="0"/>
                <w:sz w:val="18"/>
                <w:szCs w:val="18"/>
              </w:rPr>
              <w:t>补码的意义</w:t>
            </w:r>
          </w:p>
          <w:p>
            <w:pPr>
              <w:adjustRightInd w:val="0"/>
              <w:snapToGrid w:val="0"/>
              <w:spacing w:line="300" w:lineRule="auto"/>
              <w:rPr>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4</w:t>
            </w:r>
          </w:p>
        </w:tc>
        <w:tc>
          <w:tcPr>
            <w:tcW w:w="890"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第2章 逻辑代数及其应用</w:t>
            </w:r>
          </w:p>
          <w:p>
            <w:pPr>
              <w:autoSpaceDE w:val="0"/>
              <w:autoSpaceDN w:val="0"/>
              <w:adjustRightInd w:val="0"/>
              <w:snapToGrid w:val="0"/>
              <w:spacing w:line="300" w:lineRule="auto"/>
              <w:jc w:val="left"/>
              <w:rPr>
                <w:kern w:val="0"/>
                <w:sz w:val="18"/>
                <w:szCs w:val="18"/>
              </w:rPr>
            </w:pPr>
            <w:r>
              <w:rPr>
                <w:kern w:val="0"/>
                <w:sz w:val="18"/>
                <w:szCs w:val="18"/>
              </w:rPr>
              <w:t>（1）逻辑代数的基本公式和导出公式；</w:t>
            </w:r>
          </w:p>
          <w:p>
            <w:pPr>
              <w:autoSpaceDE w:val="0"/>
              <w:autoSpaceDN w:val="0"/>
              <w:adjustRightInd w:val="0"/>
              <w:snapToGrid w:val="0"/>
              <w:spacing w:line="300" w:lineRule="auto"/>
              <w:jc w:val="left"/>
              <w:rPr>
                <w:kern w:val="0"/>
                <w:sz w:val="18"/>
                <w:szCs w:val="18"/>
              </w:rPr>
            </w:pPr>
            <w:r>
              <w:rPr>
                <w:kern w:val="0"/>
                <w:sz w:val="18"/>
                <w:szCs w:val="18"/>
              </w:rPr>
              <w:t>（2）代入定理及其应用；</w:t>
            </w:r>
          </w:p>
          <w:p>
            <w:pPr>
              <w:autoSpaceDE w:val="0"/>
              <w:autoSpaceDN w:val="0"/>
              <w:adjustRightInd w:val="0"/>
              <w:snapToGrid w:val="0"/>
              <w:spacing w:line="300" w:lineRule="auto"/>
              <w:jc w:val="left"/>
              <w:rPr>
                <w:kern w:val="0"/>
                <w:sz w:val="18"/>
                <w:szCs w:val="18"/>
              </w:rPr>
            </w:pPr>
            <w:r>
              <w:rPr>
                <w:kern w:val="0"/>
                <w:sz w:val="18"/>
                <w:szCs w:val="18"/>
              </w:rPr>
              <w:t>（3）逻辑代数及其描述方法；</w:t>
            </w:r>
          </w:p>
          <w:p>
            <w:pPr>
              <w:autoSpaceDE w:val="0"/>
              <w:autoSpaceDN w:val="0"/>
              <w:adjustRightInd w:val="0"/>
              <w:snapToGrid w:val="0"/>
              <w:spacing w:line="300" w:lineRule="auto"/>
              <w:jc w:val="left"/>
              <w:rPr>
                <w:kern w:val="0"/>
                <w:sz w:val="18"/>
                <w:szCs w:val="18"/>
              </w:rPr>
            </w:pPr>
            <w:r>
              <w:rPr>
                <w:kern w:val="0"/>
                <w:sz w:val="18"/>
                <w:szCs w:val="18"/>
              </w:rPr>
              <w:t>（4）逻辑代数的化简方法；</w:t>
            </w:r>
          </w:p>
          <w:p>
            <w:pPr>
              <w:autoSpaceDE w:val="0"/>
              <w:autoSpaceDN w:val="0"/>
              <w:adjustRightInd w:val="0"/>
              <w:snapToGrid w:val="0"/>
              <w:spacing w:line="300" w:lineRule="auto"/>
              <w:jc w:val="left"/>
              <w:rPr>
                <w:kern w:val="0"/>
                <w:sz w:val="18"/>
                <w:szCs w:val="18"/>
              </w:rPr>
            </w:pPr>
            <w:r>
              <w:rPr>
                <w:kern w:val="0"/>
                <w:sz w:val="18"/>
                <w:szCs w:val="18"/>
              </w:rPr>
              <w:t>（5）具有无关项的逻辑函数及其化简；</w:t>
            </w:r>
          </w:p>
          <w:p>
            <w:pPr>
              <w:autoSpaceDE w:val="0"/>
              <w:autoSpaceDN w:val="0"/>
              <w:adjustRightInd w:val="0"/>
              <w:snapToGrid w:val="0"/>
              <w:spacing w:line="300" w:lineRule="auto"/>
              <w:jc w:val="left"/>
              <w:rPr>
                <w:kern w:val="0"/>
                <w:sz w:val="18"/>
                <w:szCs w:val="18"/>
              </w:rPr>
            </w:pPr>
            <w:r>
              <w:rPr>
                <w:kern w:val="0"/>
                <w:sz w:val="18"/>
                <w:szCs w:val="18"/>
              </w:rPr>
              <w:t>（6）逻辑函数式形式的变换。</w:t>
            </w:r>
          </w:p>
        </w:tc>
        <w:tc>
          <w:tcPr>
            <w:tcW w:w="4599"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sz w:val="18"/>
                <w:szCs w:val="18"/>
              </w:rPr>
            </w:pPr>
            <w:r>
              <w:rPr>
                <w:sz w:val="18"/>
                <w:szCs w:val="18"/>
              </w:rPr>
              <w:t>1）掌握</w:t>
            </w:r>
            <w:r>
              <w:rPr>
                <w:kern w:val="0"/>
                <w:sz w:val="18"/>
                <w:szCs w:val="18"/>
              </w:rPr>
              <w:t>逻辑代数的基本公式和导出公式；逻辑代数及其描述方法；</w:t>
            </w:r>
          </w:p>
          <w:p>
            <w:pPr>
              <w:adjustRightInd w:val="0"/>
              <w:snapToGrid w:val="0"/>
              <w:spacing w:line="300" w:lineRule="auto"/>
              <w:rPr>
                <w:sz w:val="18"/>
                <w:szCs w:val="18"/>
              </w:rPr>
            </w:pPr>
            <w:r>
              <w:rPr>
                <w:sz w:val="18"/>
                <w:szCs w:val="18"/>
              </w:rPr>
              <w:t>2）掌握</w:t>
            </w:r>
            <w:r>
              <w:rPr>
                <w:kern w:val="0"/>
                <w:sz w:val="18"/>
                <w:szCs w:val="18"/>
              </w:rPr>
              <w:t>逻辑代数及其描述方法，逻辑代数的化简方法</w:t>
            </w:r>
            <w:r>
              <w:rPr>
                <w:sz w:val="18"/>
                <w:szCs w:val="18"/>
              </w:rPr>
              <w:t>。</w:t>
            </w:r>
          </w:p>
          <w:p>
            <w:pPr>
              <w:adjustRightInd w:val="0"/>
              <w:snapToGrid w:val="0"/>
              <w:spacing w:line="300" w:lineRule="auto"/>
              <w:rPr>
                <w:kern w:val="0"/>
                <w:sz w:val="18"/>
                <w:szCs w:val="18"/>
              </w:rPr>
            </w:pPr>
            <w:r>
              <w:rPr>
                <w:sz w:val="18"/>
                <w:szCs w:val="18"/>
              </w:rPr>
              <w:t>3）掌握</w:t>
            </w:r>
            <w:r>
              <w:rPr>
                <w:kern w:val="0"/>
                <w:sz w:val="18"/>
                <w:szCs w:val="18"/>
              </w:rPr>
              <w:t>逻辑函数式形式的变换的规律和特点；</w:t>
            </w:r>
          </w:p>
          <w:p>
            <w:pPr>
              <w:autoSpaceDE w:val="0"/>
              <w:autoSpaceDN w:val="0"/>
              <w:adjustRightInd w:val="0"/>
              <w:snapToGrid w:val="0"/>
              <w:spacing w:line="300" w:lineRule="auto"/>
              <w:jc w:val="left"/>
              <w:rPr>
                <w:kern w:val="0"/>
                <w:sz w:val="18"/>
                <w:szCs w:val="18"/>
              </w:rPr>
            </w:pPr>
            <w:r>
              <w:rPr>
                <w:sz w:val="18"/>
                <w:szCs w:val="18"/>
              </w:rPr>
              <w:t>4）了解</w:t>
            </w:r>
            <w:r>
              <w:rPr>
                <w:kern w:val="0"/>
                <w:sz w:val="18"/>
                <w:szCs w:val="18"/>
              </w:rPr>
              <w:t>具有无关项的逻辑函数及其化简。</w:t>
            </w:r>
          </w:p>
          <w:p>
            <w:pPr>
              <w:adjustRightInd w:val="0"/>
              <w:snapToGrid w:val="0"/>
              <w:spacing w:line="300" w:lineRule="auto"/>
              <w:rPr>
                <w:sz w:val="18"/>
                <w:szCs w:val="18"/>
              </w:rPr>
            </w:pPr>
            <w:r>
              <w:rPr>
                <w:sz w:val="18"/>
                <w:szCs w:val="18"/>
              </w:rPr>
              <w:t>2.作业内容：</w:t>
            </w:r>
          </w:p>
          <w:p>
            <w:pPr>
              <w:autoSpaceDE w:val="0"/>
              <w:autoSpaceDN w:val="0"/>
              <w:adjustRightInd w:val="0"/>
              <w:snapToGrid w:val="0"/>
              <w:spacing w:line="300" w:lineRule="auto"/>
              <w:jc w:val="left"/>
              <w:rPr>
                <w:kern w:val="0"/>
                <w:sz w:val="18"/>
                <w:szCs w:val="18"/>
              </w:rPr>
            </w:pPr>
            <w:r>
              <w:rPr>
                <w:kern w:val="0"/>
                <w:sz w:val="18"/>
                <w:szCs w:val="18"/>
              </w:rPr>
              <w:t>逻辑代数及其描述方法；逻辑代数的化简方法；具有无关项的逻辑函数及其化简；逻辑函数式形式的变换。</w:t>
            </w:r>
          </w:p>
          <w:p>
            <w:pPr>
              <w:adjustRightInd w:val="0"/>
              <w:snapToGrid w:val="0"/>
              <w:spacing w:line="300" w:lineRule="auto"/>
              <w:rPr>
                <w:sz w:val="18"/>
                <w:szCs w:val="18"/>
              </w:rPr>
            </w:pPr>
            <w:r>
              <w:rPr>
                <w:sz w:val="18"/>
                <w:szCs w:val="18"/>
              </w:rPr>
              <w:t>3.讨论内容：</w:t>
            </w:r>
            <w:r>
              <w:rPr>
                <w:kern w:val="0"/>
                <w:sz w:val="18"/>
                <w:szCs w:val="18"/>
              </w:rPr>
              <w:t>导出公式与基本公式的关系。</w:t>
            </w:r>
          </w:p>
          <w:p>
            <w:pPr>
              <w:autoSpaceDE w:val="0"/>
              <w:autoSpaceDN w:val="0"/>
              <w:adjustRightInd w:val="0"/>
              <w:snapToGrid w:val="0"/>
              <w:spacing w:line="300" w:lineRule="auto"/>
              <w:jc w:val="left"/>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6</w:t>
            </w:r>
          </w:p>
        </w:tc>
        <w:tc>
          <w:tcPr>
            <w:tcW w:w="89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第3章 逻辑门</w:t>
            </w:r>
          </w:p>
          <w:p>
            <w:pPr>
              <w:autoSpaceDE w:val="0"/>
              <w:autoSpaceDN w:val="0"/>
              <w:adjustRightInd w:val="0"/>
              <w:snapToGrid w:val="0"/>
              <w:spacing w:line="300" w:lineRule="auto"/>
              <w:jc w:val="left"/>
              <w:rPr>
                <w:kern w:val="0"/>
                <w:sz w:val="18"/>
                <w:szCs w:val="18"/>
              </w:rPr>
            </w:pPr>
            <w:r>
              <w:rPr>
                <w:kern w:val="0"/>
                <w:sz w:val="18"/>
                <w:szCs w:val="18"/>
              </w:rPr>
              <w:t>（1）MOS 管的开关特性；</w:t>
            </w:r>
          </w:p>
          <w:p>
            <w:pPr>
              <w:autoSpaceDE w:val="0"/>
              <w:autoSpaceDN w:val="0"/>
              <w:adjustRightInd w:val="0"/>
              <w:snapToGrid w:val="0"/>
              <w:spacing w:line="300" w:lineRule="auto"/>
              <w:jc w:val="left"/>
              <w:rPr>
                <w:kern w:val="0"/>
                <w:sz w:val="18"/>
                <w:szCs w:val="18"/>
              </w:rPr>
            </w:pPr>
            <w:r>
              <w:rPr>
                <w:kern w:val="0"/>
                <w:sz w:val="18"/>
                <w:szCs w:val="18"/>
              </w:rPr>
              <w:t>（2）CMOS 门电路；</w:t>
            </w:r>
          </w:p>
          <w:p>
            <w:pPr>
              <w:autoSpaceDE w:val="0"/>
              <w:autoSpaceDN w:val="0"/>
              <w:adjustRightInd w:val="0"/>
              <w:snapToGrid w:val="0"/>
              <w:spacing w:line="300" w:lineRule="auto"/>
              <w:jc w:val="left"/>
              <w:rPr>
                <w:kern w:val="0"/>
                <w:sz w:val="18"/>
                <w:szCs w:val="18"/>
              </w:rPr>
            </w:pPr>
            <w:r>
              <w:rPr>
                <w:kern w:val="0"/>
                <w:sz w:val="18"/>
                <w:szCs w:val="18"/>
              </w:rPr>
              <w:t>（3）双极型半导体二极管和三极管的开关特性；</w:t>
            </w:r>
          </w:p>
          <w:p>
            <w:pPr>
              <w:autoSpaceDE w:val="0"/>
              <w:autoSpaceDN w:val="0"/>
              <w:adjustRightInd w:val="0"/>
              <w:snapToGrid w:val="0"/>
              <w:spacing w:line="300" w:lineRule="auto"/>
              <w:jc w:val="left"/>
              <w:rPr>
                <w:kern w:val="0"/>
                <w:sz w:val="18"/>
                <w:szCs w:val="18"/>
              </w:rPr>
            </w:pPr>
            <w:r>
              <w:rPr>
                <w:kern w:val="0"/>
                <w:sz w:val="18"/>
                <w:szCs w:val="18"/>
              </w:rPr>
              <w:t>（4）TTL 门电路。</w:t>
            </w:r>
          </w:p>
        </w:tc>
        <w:tc>
          <w:tcPr>
            <w:tcW w:w="4599"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1）掌握</w:t>
            </w:r>
            <w:r>
              <w:rPr>
                <w:kern w:val="0"/>
                <w:sz w:val="18"/>
                <w:szCs w:val="18"/>
              </w:rPr>
              <w:t>MOS 管的开关特性；</w:t>
            </w:r>
          </w:p>
          <w:p>
            <w:pPr>
              <w:adjustRightInd w:val="0"/>
              <w:snapToGrid w:val="0"/>
              <w:spacing w:line="300" w:lineRule="auto"/>
              <w:rPr>
                <w:sz w:val="18"/>
                <w:szCs w:val="18"/>
              </w:rPr>
            </w:pPr>
            <w:r>
              <w:rPr>
                <w:sz w:val="18"/>
                <w:szCs w:val="18"/>
              </w:rPr>
              <w:t>2）掌握</w:t>
            </w:r>
            <w:r>
              <w:rPr>
                <w:kern w:val="0"/>
                <w:sz w:val="18"/>
                <w:szCs w:val="18"/>
              </w:rPr>
              <w:t>CMOS 门电路工作原理</w:t>
            </w:r>
            <w:r>
              <w:rPr>
                <w:sz w:val="18"/>
                <w:szCs w:val="18"/>
              </w:rPr>
              <w:t>；</w:t>
            </w:r>
          </w:p>
          <w:p>
            <w:pPr>
              <w:adjustRightInd w:val="0"/>
              <w:snapToGrid w:val="0"/>
              <w:spacing w:line="300" w:lineRule="auto"/>
              <w:rPr>
                <w:kern w:val="0"/>
                <w:sz w:val="18"/>
                <w:szCs w:val="18"/>
              </w:rPr>
            </w:pPr>
            <w:r>
              <w:rPr>
                <w:sz w:val="18"/>
                <w:szCs w:val="18"/>
              </w:rPr>
              <w:t>3）掌握</w:t>
            </w:r>
            <w:r>
              <w:rPr>
                <w:kern w:val="0"/>
                <w:sz w:val="18"/>
                <w:szCs w:val="18"/>
              </w:rPr>
              <w:t>双极型半导体二极管和三极管的开关特性；</w:t>
            </w:r>
          </w:p>
          <w:p>
            <w:pPr>
              <w:adjustRightInd w:val="0"/>
              <w:snapToGrid w:val="0"/>
              <w:spacing w:line="300" w:lineRule="auto"/>
              <w:rPr>
                <w:sz w:val="18"/>
                <w:szCs w:val="18"/>
              </w:rPr>
            </w:pPr>
            <w:r>
              <w:rPr>
                <w:sz w:val="18"/>
                <w:szCs w:val="18"/>
              </w:rPr>
              <w:t>4）掌握</w:t>
            </w:r>
            <w:r>
              <w:rPr>
                <w:kern w:val="0"/>
                <w:sz w:val="18"/>
                <w:szCs w:val="18"/>
              </w:rPr>
              <w:t>TTL 门电路规律和特点</w:t>
            </w:r>
            <w:r>
              <w:rPr>
                <w:sz w:val="18"/>
                <w:szCs w:val="18"/>
              </w:rPr>
              <w:t>。</w:t>
            </w:r>
          </w:p>
          <w:p>
            <w:pPr>
              <w:adjustRightInd w:val="0"/>
              <w:snapToGrid w:val="0"/>
              <w:spacing w:line="300" w:lineRule="auto"/>
              <w:rPr>
                <w:kern w:val="0"/>
                <w:sz w:val="18"/>
                <w:szCs w:val="18"/>
              </w:rPr>
            </w:pPr>
            <w:r>
              <w:rPr>
                <w:sz w:val="18"/>
                <w:szCs w:val="18"/>
              </w:rPr>
              <w:t>2.作业内容：</w:t>
            </w:r>
            <w:r>
              <w:rPr>
                <w:kern w:val="0"/>
                <w:sz w:val="18"/>
                <w:szCs w:val="18"/>
              </w:rPr>
              <w:t>门电路逻辑功能的判断。</w:t>
            </w:r>
          </w:p>
          <w:p>
            <w:pPr>
              <w:adjustRightInd w:val="0"/>
              <w:snapToGrid w:val="0"/>
              <w:spacing w:line="300" w:lineRule="auto"/>
              <w:rPr>
                <w:sz w:val="18"/>
                <w:szCs w:val="18"/>
              </w:rPr>
            </w:pPr>
            <w:r>
              <w:rPr>
                <w:sz w:val="18"/>
                <w:szCs w:val="18"/>
              </w:rPr>
              <w:t>3.讨论内容：</w:t>
            </w:r>
            <w:r>
              <w:rPr>
                <w:kern w:val="0"/>
                <w:sz w:val="18"/>
                <w:szCs w:val="18"/>
              </w:rPr>
              <w:t>两种门电路的工作特点。</w:t>
            </w:r>
          </w:p>
          <w:p>
            <w:pPr>
              <w:autoSpaceDE w:val="0"/>
              <w:autoSpaceDN w:val="0"/>
              <w:adjustRightInd w:val="0"/>
              <w:snapToGrid w:val="0"/>
              <w:spacing w:line="300" w:lineRule="auto"/>
              <w:jc w:val="left"/>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6</w:t>
            </w:r>
          </w:p>
        </w:tc>
        <w:tc>
          <w:tcPr>
            <w:tcW w:w="89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第4章 组合逻辑电路</w:t>
            </w:r>
          </w:p>
          <w:p>
            <w:pPr>
              <w:autoSpaceDE w:val="0"/>
              <w:autoSpaceDN w:val="0"/>
              <w:adjustRightInd w:val="0"/>
              <w:snapToGrid w:val="0"/>
              <w:spacing w:line="300" w:lineRule="auto"/>
              <w:jc w:val="left"/>
              <w:rPr>
                <w:kern w:val="0"/>
                <w:sz w:val="18"/>
                <w:szCs w:val="18"/>
              </w:rPr>
            </w:pPr>
            <w:r>
              <w:rPr>
                <w:kern w:val="0"/>
                <w:sz w:val="18"/>
                <w:szCs w:val="18"/>
              </w:rPr>
              <w:t>（1）组合逻辑电路的特点和分析方法；</w:t>
            </w:r>
          </w:p>
          <w:p>
            <w:pPr>
              <w:autoSpaceDE w:val="0"/>
              <w:autoSpaceDN w:val="0"/>
              <w:adjustRightInd w:val="0"/>
              <w:snapToGrid w:val="0"/>
              <w:spacing w:line="300" w:lineRule="auto"/>
              <w:jc w:val="left"/>
              <w:rPr>
                <w:kern w:val="0"/>
                <w:sz w:val="18"/>
                <w:szCs w:val="18"/>
              </w:rPr>
            </w:pPr>
            <w:r>
              <w:rPr>
                <w:kern w:val="0"/>
                <w:sz w:val="18"/>
                <w:szCs w:val="18"/>
              </w:rPr>
              <w:t>（2）常用的组合逻辑电路；</w:t>
            </w:r>
          </w:p>
          <w:p>
            <w:pPr>
              <w:autoSpaceDE w:val="0"/>
              <w:autoSpaceDN w:val="0"/>
              <w:adjustRightInd w:val="0"/>
              <w:snapToGrid w:val="0"/>
              <w:spacing w:line="300" w:lineRule="auto"/>
              <w:jc w:val="left"/>
              <w:rPr>
                <w:kern w:val="0"/>
                <w:sz w:val="18"/>
                <w:szCs w:val="18"/>
              </w:rPr>
            </w:pPr>
            <w:r>
              <w:rPr>
                <w:kern w:val="0"/>
                <w:sz w:val="18"/>
                <w:szCs w:val="18"/>
              </w:rPr>
              <w:t>（3）组合逻辑电路的设计方法；</w:t>
            </w:r>
          </w:p>
          <w:p>
            <w:pPr>
              <w:autoSpaceDE w:val="0"/>
              <w:autoSpaceDN w:val="0"/>
              <w:adjustRightInd w:val="0"/>
              <w:snapToGrid w:val="0"/>
              <w:spacing w:line="300" w:lineRule="auto"/>
              <w:jc w:val="left"/>
              <w:rPr>
                <w:kern w:val="0"/>
                <w:sz w:val="18"/>
                <w:szCs w:val="18"/>
              </w:rPr>
            </w:pPr>
            <w:r>
              <w:rPr>
                <w:kern w:val="0"/>
                <w:sz w:val="18"/>
                <w:szCs w:val="18"/>
              </w:rPr>
              <w:t>（4）组合逻辑电路中的竞争—冒险现象。</w:t>
            </w:r>
          </w:p>
        </w:tc>
        <w:tc>
          <w:tcPr>
            <w:tcW w:w="4599"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sz w:val="18"/>
                <w:szCs w:val="18"/>
              </w:rPr>
              <w:t>1）</w:t>
            </w:r>
            <w:r>
              <w:rPr>
                <w:kern w:val="0"/>
                <w:sz w:val="18"/>
                <w:szCs w:val="18"/>
              </w:rPr>
              <w:t>组合逻辑电路的特点和分析方法；</w:t>
            </w:r>
          </w:p>
          <w:p>
            <w:pPr>
              <w:adjustRightInd w:val="0"/>
              <w:snapToGrid w:val="0"/>
              <w:spacing w:line="300" w:lineRule="auto"/>
              <w:rPr>
                <w:sz w:val="18"/>
                <w:szCs w:val="18"/>
              </w:rPr>
            </w:pPr>
            <w:r>
              <w:rPr>
                <w:sz w:val="18"/>
                <w:szCs w:val="18"/>
              </w:rPr>
              <w:t>2）掌握</w:t>
            </w:r>
            <w:r>
              <w:rPr>
                <w:kern w:val="0"/>
                <w:sz w:val="18"/>
                <w:szCs w:val="18"/>
              </w:rPr>
              <w:t>常用的组合逻辑电路</w:t>
            </w:r>
            <w:r>
              <w:rPr>
                <w:sz w:val="18"/>
                <w:szCs w:val="18"/>
              </w:rPr>
              <w:t>；</w:t>
            </w:r>
          </w:p>
          <w:p>
            <w:pPr>
              <w:adjustRightInd w:val="0"/>
              <w:snapToGrid w:val="0"/>
              <w:spacing w:line="300" w:lineRule="auto"/>
              <w:rPr>
                <w:kern w:val="0"/>
                <w:sz w:val="18"/>
                <w:szCs w:val="18"/>
              </w:rPr>
            </w:pPr>
            <w:r>
              <w:rPr>
                <w:sz w:val="18"/>
                <w:szCs w:val="18"/>
              </w:rPr>
              <w:t>3）熟练掌握</w:t>
            </w:r>
            <w:r>
              <w:rPr>
                <w:kern w:val="0"/>
                <w:sz w:val="18"/>
                <w:szCs w:val="18"/>
              </w:rPr>
              <w:t>常用的组合逻辑电路；</w:t>
            </w:r>
          </w:p>
          <w:p>
            <w:pPr>
              <w:autoSpaceDE w:val="0"/>
              <w:autoSpaceDN w:val="0"/>
              <w:adjustRightInd w:val="0"/>
              <w:snapToGrid w:val="0"/>
              <w:spacing w:line="300" w:lineRule="auto"/>
              <w:jc w:val="left"/>
              <w:rPr>
                <w:kern w:val="0"/>
                <w:sz w:val="18"/>
                <w:szCs w:val="18"/>
              </w:rPr>
            </w:pPr>
            <w:r>
              <w:rPr>
                <w:sz w:val="18"/>
                <w:szCs w:val="18"/>
              </w:rPr>
              <w:t>4）</w:t>
            </w:r>
            <w:r>
              <w:rPr>
                <w:kern w:val="0"/>
                <w:sz w:val="18"/>
                <w:szCs w:val="18"/>
              </w:rPr>
              <w:t>组合逻辑电路中的竞争—冒险现象。</w:t>
            </w:r>
          </w:p>
          <w:p>
            <w:pPr>
              <w:adjustRightInd w:val="0"/>
              <w:snapToGrid w:val="0"/>
              <w:spacing w:line="300" w:lineRule="auto"/>
              <w:rPr>
                <w:kern w:val="0"/>
                <w:sz w:val="18"/>
                <w:szCs w:val="18"/>
              </w:rPr>
            </w:pPr>
            <w:r>
              <w:rPr>
                <w:sz w:val="18"/>
                <w:szCs w:val="18"/>
              </w:rPr>
              <w:t>2.作业内容：</w:t>
            </w:r>
            <w:r>
              <w:rPr>
                <w:kern w:val="0"/>
                <w:sz w:val="18"/>
                <w:szCs w:val="18"/>
              </w:rPr>
              <w:t>组合逻辑电路的应用。</w:t>
            </w:r>
          </w:p>
          <w:p>
            <w:pPr>
              <w:adjustRightInd w:val="0"/>
              <w:snapToGrid w:val="0"/>
              <w:spacing w:line="300" w:lineRule="auto"/>
              <w:rPr>
                <w:sz w:val="18"/>
                <w:szCs w:val="18"/>
              </w:rPr>
            </w:pPr>
            <w:r>
              <w:rPr>
                <w:sz w:val="18"/>
                <w:szCs w:val="18"/>
              </w:rPr>
              <w:t>3.讨论内容：组合逻辑电路的特点</w:t>
            </w:r>
            <w:r>
              <w:rPr>
                <w:kern w:val="0"/>
                <w:sz w:val="18"/>
                <w:szCs w:val="18"/>
              </w:rPr>
              <w:t>。</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6</w:t>
            </w:r>
          </w:p>
        </w:tc>
        <w:tc>
          <w:tcPr>
            <w:tcW w:w="89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第5章 触发器</w:t>
            </w:r>
          </w:p>
          <w:p>
            <w:pPr>
              <w:autoSpaceDE w:val="0"/>
              <w:autoSpaceDN w:val="0"/>
              <w:adjustRightInd w:val="0"/>
              <w:snapToGrid w:val="0"/>
              <w:spacing w:line="300" w:lineRule="auto"/>
              <w:jc w:val="left"/>
              <w:rPr>
                <w:kern w:val="0"/>
                <w:sz w:val="18"/>
                <w:szCs w:val="18"/>
              </w:rPr>
            </w:pPr>
            <w:r>
              <w:rPr>
                <w:kern w:val="0"/>
                <w:sz w:val="18"/>
                <w:szCs w:val="18"/>
              </w:rPr>
              <w:t>（1）SR 锁存器；</w:t>
            </w:r>
          </w:p>
          <w:p>
            <w:pPr>
              <w:autoSpaceDE w:val="0"/>
              <w:autoSpaceDN w:val="0"/>
              <w:adjustRightInd w:val="0"/>
              <w:snapToGrid w:val="0"/>
              <w:spacing w:line="300" w:lineRule="auto"/>
              <w:jc w:val="left"/>
              <w:rPr>
                <w:kern w:val="0"/>
                <w:sz w:val="18"/>
                <w:szCs w:val="18"/>
              </w:rPr>
            </w:pPr>
            <w:r>
              <w:rPr>
                <w:kern w:val="0"/>
                <w:sz w:val="18"/>
                <w:szCs w:val="18"/>
              </w:rPr>
              <w:t>（2）时钟电平触发的触发器；</w:t>
            </w:r>
          </w:p>
          <w:p>
            <w:pPr>
              <w:autoSpaceDE w:val="0"/>
              <w:autoSpaceDN w:val="0"/>
              <w:adjustRightInd w:val="0"/>
              <w:snapToGrid w:val="0"/>
              <w:spacing w:line="300" w:lineRule="auto"/>
              <w:jc w:val="left"/>
              <w:rPr>
                <w:kern w:val="0"/>
                <w:sz w:val="18"/>
                <w:szCs w:val="18"/>
              </w:rPr>
            </w:pPr>
            <w:r>
              <w:rPr>
                <w:kern w:val="0"/>
                <w:sz w:val="18"/>
                <w:szCs w:val="18"/>
              </w:rPr>
              <w:t>（3）时钟脉冲触发的触发器；</w:t>
            </w:r>
          </w:p>
          <w:p>
            <w:pPr>
              <w:autoSpaceDE w:val="0"/>
              <w:autoSpaceDN w:val="0"/>
              <w:adjustRightInd w:val="0"/>
              <w:snapToGrid w:val="0"/>
              <w:spacing w:line="300" w:lineRule="auto"/>
              <w:jc w:val="left"/>
              <w:rPr>
                <w:kern w:val="0"/>
                <w:sz w:val="18"/>
                <w:szCs w:val="18"/>
              </w:rPr>
            </w:pPr>
            <w:r>
              <w:rPr>
                <w:kern w:val="0"/>
                <w:sz w:val="18"/>
                <w:szCs w:val="18"/>
              </w:rPr>
              <w:t>（4）时钟边沿触发的触发器；</w:t>
            </w:r>
          </w:p>
          <w:p>
            <w:pPr>
              <w:widowControl/>
              <w:adjustRightInd w:val="0"/>
              <w:snapToGrid w:val="0"/>
              <w:spacing w:line="300" w:lineRule="auto"/>
              <w:rPr>
                <w:b/>
                <w:sz w:val="18"/>
                <w:szCs w:val="18"/>
              </w:rPr>
            </w:pPr>
            <w:r>
              <w:rPr>
                <w:kern w:val="0"/>
                <w:sz w:val="18"/>
                <w:szCs w:val="18"/>
              </w:rPr>
              <w:t>（5）触发器逻辑功能的分类及逻辑功能的描述。</w:t>
            </w:r>
          </w:p>
        </w:tc>
        <w:tc>
          <w:tcPr>
            <w:tcW w:w="4599"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sz w:val="18"/>
                <w:szCs w:val="18"/>
              </w:rPr>
              <w:t>1）</w:t>
            </w:r>
            <w:r>
              <w:rPr>
                <w:kern w:val="0"/>
                <w:sz w:val="18"/>
                <w:szCs w:val="18"/>
              </w:rPr>
              <w:t>了解SR 锁存器；</w:t>
            </w:r>
          </w:p>
          <w:p>
            <w:pPr>
              <w:adjustRightInd w:val="0"/>
              <w:snapToGrid w:val="0"/>
              <w:spacing w:line="300" w:lineRule="auto"/>
              <w:rPr>
                <w:sz w:val="18"/>
                <w:szCs w:val="18"/>
              </w:rPr>
            </w:pPr>
            <w:r>
              <w:rPr>
                <w:sz w:val="18"/>
                <w:szCs w:val="18"/>
              </w:rPr>
              <w:t>2）掌握</w:t>
            </w:r>
            <w:r>
              <w:rPr>
                <w:kern w:val="0"/>
                <w:sz w:val="18"/>
                <w:szCs w:val="18"/>
              </w:rPr>
              <w:t>常用的触发器电路</w:t>
            </w:r>
            <w:r>
              <w:rPr>
                <w:sz w:val="18"/>
                <w:szCs w:val="18"/>
              </w:rPr>
              <w:t>；</w:t>
            </w:r>
          </w:p>
          <w:p>
            <w:pPr>
              <w:adjustRightInd w:val="0"/>
              <w:snapToGrid w:val="0"/>
              <w:spacing w:line="300" w:lineRule="auto"/>
              <w:rPr>
                <w:kern w:val="0"/>
                <w:sz w:val="18"/>
                <w:szCs w:val="18"/>
              </w:rPr>
            </w:pPr>
            <w:r>
              <w:rPr>
                <w:sz w:val="18"/>
                <w:szCs w:val="18"/>
              </w:rPr>
              <w:t>3）熟练掌握</w:t>
            </w:r>
            <w:r>
              <w:rPr>
                <w:kern w:val="0"/>
                <w:sz w:val="18"/>
                <w:szCs w:val="18"/>
              </w:rPr>
              <w:t>触发器逻辑功能的分类及逻辑功能的描述；</w:t>
            </w:r>
          </w:p>
          <w:p>
            <w:pPr>
              <w:adjustRightInd w:val="0"/>
              <w:snapToGrid w:val="0"/>
              <w:spacing w:line="300" w:lineRule="auto"/>
              <w:rPr>
                <w:kern w:val="0"/>
                <w:sz w:val="18"/>
                <w:szCs w:val="18"/>
              </w:rPr>
            </w:pPr>
            <w:r>
              <w:rPr>
                <w:sz w:val="18"/>
                <w:szCs w:val="18"/>
              </w:rPr>
              <w:t>2.作业内容：</w:t>
            </w:r>
            <w:r>
              <w:rPr>
                <w:kern w:val="0"/>
                <w:sz w:val="18"/>
                <w:szCs w:val="18"/>
              </w:rPr>
              <w:t>时钟边沿触发的触发器的应用。</w:t>
            </w:r>
          </w:p>
          <w:p>
            <w:pPr>
              <w:adjustRightInd w:val="0"/>
              <w:snapToGrid w:val="0"/>
              <w:spacing w:line="300" w:lineRule="auto"/>
              <w:rPr>
                <w:sz w:val="18"/>
                <w:szCs w:val="18"/>
              </w:rPr>
            </w:pPr>
            <w:r>
              <w:rPr>
                <w:sz w:val="18"/>
                <w:szCs w:val="18"/>
              </w:rPr>
              <w:t>3.讨论内容：不同触发方式的触发器工作特点</w:t>
            </w:r>
            <w:r>
              <w:rPr>
                <w:kern w:val="0"/>
                <w:sz w:val="18"/>
                <w:szCs w:val="18"/>
              </w:rPr>
              <w:t>。</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4</w:t>
            </w:r>
          </w:p>
        </w:tc>
        <w:tc>
          <w:tcPr>
            <w:tcW w:w="890" w:type="dxa"/>
            <w:vAlign w:val="center"/>
          </w:tcPr>
          <w:p>
            <w:pPr>
              <w:widowControl/>
              <w:adjustRightInd w:val="0"/>
              <w:snapToGrid w:val="0"/>
              <w:spacing w:line="300" w:lineRule="auto"/>
              <w:jc w:val="center"/>
              <w:rPr>
                <w:kern w:val="0"/>
                <w:sz w:val="18"/>
                <w:szCs w:val="18"/>
              </w:rPr>
            </w:pPr>
            <w:r>
              <w:rPr>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6</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第6章 时序逻辑电路</w:t>
            </w:r>
          </w:p>
          <w:p>
            <w:pPr>
              <w:autoSpaceDE w:val="0"/>
              <w:autoSpaceDN w:val="0"/>
              <w:adjustRightInd w:val="0"/>
              <w:snapToGrid w:val="0"/>
              <w:spacing w:line="300" w:lineRule="auto"/>
              <w:jc w:val="left"/>
              <w:rPr>
                <w:kern w:val="0"/>
                <w:sz w:val="18"/>
                <w:szCs w:val="18"/>
              </w:rPr>
            </w:pPr>
            <w:r>
              <w:rPr>
                <w:kern w:val="0"/>
                <w:sz w:val="18"/>
                <w:szCs w:val="18"/>
              </w:rPr>
              <w:t>（1）时序逻辑电路的特点和逻辑功能的描述；</w:t>
            </w:r>
          </w:p>
          <w:p>
            <w:pPr>
              <w:autoSpaceDE w:val="0"/>
              <w:autoSpaceDN w:val="0"/>
              <w:adjustRightInd w:val="0"/>
              <w:snapToGrid w:val="0"/>
              <w:spacing w:line="300" w:lineRule="auto"/>
              <w:jc w:val="left"/>
              <w:rPr>
                <w:kern w:val="0"/>
                <w:sz w:val="18"/>
                <w:szCs w:val="18"/>
              </w:rPr>
            </w:pPr>
            <w:r>
              <w:rPr>
                <w:kern w:val="0"/>
                <w:sz w:val="18"/>
                <w:szCs w:val="18"/>
              </w:rPr>
              <w:t>（2）时序逻辑电路的分析方法；</w:t>
            </w:r>
          </w:p>
          <w:p>
            <w:pPr>
              <w:autoSpaceDE w:val="0"/>
              <w:autoSpaceDN w:val="0"/>
              <w:adjustRightInd w:val="0"/>
              <w:snapToGrid w:val="0"/>
              <w:spacing w:line="300" w:lineRule="auto"/>
              <w:jc w:val="left"/>
              <w:rPr>
                <w:kern w:val="0"/>
                <w:sz w:val="18"/>
                <w:szCs w:val="18"/>
              </w:rPr>
            </w:pPr>
            <w:r>
              <w:rPr>
                <w:kern w:val="0"/>
                <w:sz w:val="18"/>
                <w:szCs w:val="18"/>
              </w:rPr>
              <w:t>（3）常用的时序逻辑电路；</w:t>
            </w:r>
          </w:p>
          <w:p>
            <w:pPr>
              <w:autoSpaceDE w:val="0"/>
              <w:autoSpaceDN w:val="0"/>
              <w:adjustRightInd w:val="0"/>
              <w:snapToGrid w:val="0"/>
              <w:spacing w:line="300" w:lineRule="auto"/>
              <w:jc w:val="left"/>
              <w:rPr>
                <w:kern w:val="0"/>
                <w:sz w:val="18"/>
                <w:szCs w:val="18"/>
              </w:rPr>
            </w:pPr>
            <w:r>
              <w:rPr>
                <w:kern w:val="0"/>
                <w:sz w:val="18"/>
                <w:szCs w:val="18"/>
              </w:rPr>
              <w:t>（4）同步时序逻辑电路的设计方法。</w:t>
            </w:r>
          </w:p>
        </w:tc>
        <w:tc>
          <w:tcPr>
            <w:tcW w:w="4599"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sz w:val="18"/>
                <w:szCs w:val="18"/>
              </w:rPr>
              <w:t>1）了解</w:t>
            </w:r>
            <w:r>
              <w:rPr>
                <w:kern w:val="0"/>
                <w:sz w:val="18"/>
                <w:szCs w:val="18"/>
              </w:rPr>
              <w:t>时序逻辑电路的特点和逻辑功能的描述；</w:t>
            </w:r>
          </w:p>
          <w:p>
            <w:pPr>
              <w:adjustRightInd w:val="0"/>
              <w:snapToGrid w:val="0"/>
              <w:spacing w:line="300" w:lineRule="auto"/>
              <w:rPr>
                <w:sz w:val="18"/>
                <w:szCs w:val="18"/>
              </w:rPr>
            </w:pPr>
            <w:r>
              <w:rPr>
                <w:sz w:val="18"/>
                <w:szCs w:val="18"/>
              </w:rPr>
              <w:t>2）掌握</w:t>
            </w:r>
            <w:r>
              <w:rPr>
                <w:kern w:val="0"/>
                <w:sz w:val="18"/>
                <w:szCs w:val="18"/>
              </w:rPr>
              <w:t>时序逻辑电路的分析方法</w:t>
            </w:r>
            <w:r>
              <w:rPr>
                <w:sz w:val="18"/>
                <w:szCs w:val="18"/>
              </w:rPr>
              <w:t>；</w:t>
            </w:r>
          </w:p>
          <w:p>
            <w:pPr>
              <w:adjustRightInd w:val="0"/>
              <w:snapToGrid w:val="0"/>
              <w:spacing w:line="300" w:lineRule="auto"/>
              <w:rPr>
                <w:kern w:val="0"/>
                <w:sz w:val="18"/>
                <w:szCs w:val="18"/>
              </w:rPr>
            </w:pPr>
            <w:r>
              <w:rPr>
                <w:sz w:val="18"/>
                <w:szCs w:val="18"/>
              </w:rPr>
              <w:t>3）熟练掌握</w:t>
            </w:r>
            <w:r>
              <w:rPr>
                <w:kern w:val="0"/>
                <w:sz w:val="18"/>
                <w:szCs w:val="18"/>
              </w:rPr>
              <w:t>常用的时序逻辑电路；</w:t>
            </w:r>
          </w:p>
          <w:p>
            <w:pPr>
              <w:autoSpaceDE w:val="0"/>
              <w:autoSpaceDN w:val="0"/>
              <w:adjustRightInd w:val="0"/>
              <w:snapToGrid w:val="0"/>
              <w:spacing w:line="300" w:lineRule="auto"/>
              <w:jc w:val="left"/>
              <w:rPr>
                <w:kern w:val="0"/>
                <w:sz w:val="18"/>
                <w:szCs w:val="18"/>
              </w:rPr>
            </w:pPr>
            <w:r>
              <w:rPr>
                <w:sz w:val="18"/>
                <w:szCs w:val="18"/>
              </w:rPr>
              <w:t>4）</w:t>
            </w:r>
            <w:r>
              <w:rPr>
                <w:kern w:val="0"/>
                <w:sz w:val="18"/>
                <w:szCs w:val="18"/>
              </w:rPr>
              <w:t>同步时序逻辑电路的设计方法。</w:t>
            </w:r>
          </w:p>
          <w:p>
            <w:pPr>
              <w:adjustRightInd w:val="0"/>
              <w:snapToGrid w:val="0"/>
              <w:spacing w:line="300" w:lineRule="auto"/>
              <w:rPr>
                <w:kern w:val="0"/>
                <w:sz w:val="18"/>
                <w:szCs w:val="18"/>
              </w:rPr>
            </w:pPr>
            <w:r>
              <w:rPr>
                <w:sz w:val="18"/>
                <w:szCs w:val="18"/>
              </w:rPr>
              <w:t>2.作业内容：</w:t>
            </w:r>
            <w:r>
              <w:rPr>
                <w:kern w:val="0"/>
                <w:sz w:val="18"/>
                <w:szCs w:val="18"/>
              </w:rPr>
              <w:t>时序逻辑电路的应用。</w:t>
            </w:r>
          </w:p>
          <w:p>
            <w:pPr>
              <w:adjustRightInd w:val="0"/>
              <w:snapToGrid w:val="0"/>
              <w:spacing w:line="300" w:lineRule="auto"/>
              <w:rPr>
                <w:sz w:val="18"/>
                <w:szCs w:val="18"/>
              </w:rPr>
            </w:pPr>
            <w:r>
              <w:rPr>
                <w:sz w:val="18"/>
                <w:szCs w:val="18"/>
              </w:rPr>
              <w:t>3.讨论内容：时序逻辑电路的特点</w:t>
            </w:r>
            <w:r>
              <w:rPr>
                <w:kern w:val="0"/>
                <w:sz w:val="18"/>
                <w:szCs w:val="18"/>
              </w:rPr>
              <w:t>。</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6</w:t>
            </w:r>
          </w:p>
        </w:tc>
        <w:tc>
          <w:tcPr>
            <w:tcW w:w="890" w:type="dxa"/>
            <w:vAlign w:val="center"/>
          </w:tcPr>
          <w:p>
            <w:pPr>
              <w:widowControl/>
              <w:adjustRightInd w:val="0"/>
              <w:snapToGrid w:val="0"/>
              <w:spacing w:line="300" w:lineRule="auto"/>
              <w:jc w:val="center"/>
              <w:rPr>
                <w:kern w:val="0"/>
                <w:sz w:val="18"/>
                <w:szCs w:val="18"/>
              </w:rPr>
            </w:pPr>
            <w:r>
              <w:rPr>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7</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第7章 波形的产生和整形</w:t>
            </w:r>
          </w:p>
          <w:p>
            <w:pPr>
              <w:autoSpaceDE w:val="0"/>
              <w:autoSpaceDN w:val="0"/>
              <w:adjustRightInd w:val="0"/>
              <w:snapToGrid w:val="0"/>
              <w:spacing w:line="300" w:lineRule="auto"/>
              <w:jc w:val="left"/>
              <w:rPr>
                <w:kern w:val="0"/>
                <w:sz w:val="18"/>
                <w:szCs w:val="18"/>
              </w:rPr>
            </w:pPr>
            <w:r>
              <w:rPr>
                <w:kern w:val="0"/>
                <w:sz w:val="18"/>
                <w:szCs w:val="18"/>
              </w:rPr>
              <w:t>（1）矩形脉冲的特性参数；</w:t>
            </w:r>
          </w:p>
          <w:p>
            <w:pPr>
              <w:autoSpaceDE w:val="0"/>
              <w:autoSpaceDN w:val="0"/>
              <w:adjustRightInd w:val="0"/>
              <w:snapToGrid w:val="0"/>
              <w:spacing w:line="300" w:lineRule="auto"/>
              <w:jc w:val="left"/>
              <w:rPr>
                <w:kern w:val="0"/>
                <w:sz w:val="18"/>
                <w:szCs w:val="18"/>
              </w:rPr>
            </w:pPr>
            <w:r>
              <w:rPr>
                <w:kern w:val="0"/>
                <w:sz w:val="18"/>
                <w:szCs w:val="18"/>
              </w:rPr>
              <w:t>（2）单稳态电路；</w:t>
            </w:r>
          </w:p>
          <w:p>
            <w:pPr>
              <w:autoSpaceDE w:val="0"/>
              <w:autoSpaceDN w:val="0"/>
              <w:adjustRightInd w:val="0"/>
              <w:snapToGrid w:val="0"/>
              <w:spacing w:line="300" w:lineRule="auto"/>
              <w:jc w:val="left"/>
              <w:rPr>
                <w:kern w:val="0"/>
                <w:sz w:val="18"/>
                <w:szCs w:val="18"/>
              </w:rPr>
            </w:pPr>
            <w:r>
              <w:rPr>
                <w:kern w:val="0"/>
                <w:sz w:val="18"/>
                <w:szCs w:val="18"/>
              </w:rPr>
              <w:t>（3）多谐振荡电路；</w:t>
            </w:r>
          </w:p>
          <w:p>
            <w:pPr>
              <w:autoSpaceDE w:val="0"/>
              <w:autoSpaceDN w:val="0"/>
              <w:adjustRightInd w:val="0"/>
              <w:snapToGrid w:val="0"/>
              <w:spacing w:line="300" w:lineRule="auto"/>
              <w:jc w:val="left"/>
              <w:rPr>
                <w:kern w:val="0"/>
                <w:sz w:val="18"/>
                <w:szCs w:val="18"/>
              </w:rPr>
            </w:pPr>
            <w:r>
              <w:rPr>
                <w:kern w:val="0"/>
                <w:sz w:val="18"/>
                <w:szCs w:val="18"/>
              </w:rPr>
              <w:t>（4）施密特触发器；</w:t>
            </w:r>
          </w:p>
          <w:p>
            <w:pPr>
              <w:widowControl/>
              <w:adjustRightInd w:val="0"/>
              <w:snapToGrid w:val="0"/>
              <w:spacing w:line="300" w:lineRule="auto"/>
              <w:rPr>
                <w:kern w:val="0"/>
                <w:sz w:val="18"/>
                <w:szCs w:val="18"/>
              </w:rPr>
            </w:pPr>
            <w:r>
              <w:rPr>
                <w:kern w:val="0"/>
                <w:sz w:val="18"/>
                <w:szCs w:val="18"/>
              </w:rPr>
              <w:t>（5）555 定时器。</w:t>
            </w:r>
          </w:p>
          <w:p>
            <w:pPr>
              <w:autoSpaceDE w:val="0"/>
              <w:autoSpaceDN w:val="0"/>
              <w:adjustRightInd w:val="0"/>
              <w:snapToGrid w:val="0"/>
              <w:spacing w:line="300" w:lineRule="auto"/>
              <w:jc w:val="left"/>
              <w:rPr>
                <w:kern w:val="0"/>
                <w:sz w:val="18"/>
                <w:szCs w:val="18"/>
              </w:rPr>
            </w:pPr>
            <w:r>
              <w:rPr>
                <w:kern w:val="0"/>
                <w:sz w:val="18"/>
                <w:szCs w:val="18"/>
              </w:rPr>
              <w:t>（6）</w:t>
            </w:r>
            <w:r>
              <w:rPr>
                <w:bCs/>
                <w:kern w:val="0"/>
                <w:sz w:val="18"/>
                <w:szCs w:val="18"/>
              </w:rPr>
              <w:t>中国著名科学家严济慈在多谐振荡器的设计中做出的杰出的贡献。（思政）</w:t>
            </w:r>
          </w:p>
        </w:tc>
        <w:tc>
          <w:tcPr>
            <w:tcW w:w="4599"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1）了解</w:t>
            </w:r>
            <w:r>
              <w:rPr>
                <w:kern w:val="0"/>
                <w:sz w:val="18"/>
                <w:szCs w:val="18"/>
              </w:rPr>
              <w:t>矩形脉冲的特性参数；</w:t>
            </w:r>
          </w:p>
          <w:p>
            <w:pPr>
              <w:autoSpaceDE w:val="0"/>
              <w:autoSpaceDN w:val="0"/>
              <w:adjustRightInd w:val="0"/>
              <w:snapToGrid w:val="0"/>
              <w:spacing w:line="300" w:lineRule="auto"/>
              <w:jc w:val="left"/>
              <w:rPr>
                <w:kern w:val="0"/>
                <w:sz w:val="18"/>
                <w:szCs w:val="18"/>
              </w:rPr>
            </w:pPr>
            <w:r>
              <w:rPr>
                <w:sz w:val="18"/>
                <w:szCs w:val="18"/>
              </w:rPr>
              <w:t>2）掌握</w:t>
            </w:r>
            <w:r>
              <w:rPr>
                <w:kern w:val="0"/>
                <w:sz w:val="18"/>
                <w:szCs w:val="18"/>
              </w:rPr>
              <w:t>单稳态电路；多谐振荡电路；施密特触发器；</w:t>
            </w:r>
          </w:p>
          <w:p>
            <w:pPr>
              <w:adjustRightInd w:val="0"/>
              <w:snapToGrid w:val="0"/>
              <w:spacing w:line="300" w:lineRule="auto"/>
              <w:rPr>
                <w:kern w:val="0"/>
                <w:sz w:val="18"/>
                <w:szCs w:val="18"/>
              </w:rPr>
            </w:pPr>
            <w:r>
              <w:rPr>
                <w:sz w:val="18"/>
                <w:szCs w:val="18"/>
              </w:rPr>
              <w:t>3）掌握</w:t>
            </w:r>
            <w:r>
              <w:rPr>
                <w:kern w:val="0"/>
                <w:sz w:val="18"/>
                <w:szCs w:val="18"/>
              </w:rPr>
              <w:t>555 定时器电路；</w:t>
            </w:r>
          </w:p>
          <w:p>
            <w:pPr>
              <w:adjustRightInd w:val="0"/>
              <w:snapToGrid w:val="0"/>
              <w:spacing w:line="300" w:lineRule="auto"/>
              <w:rPr>
                <w:kern w:val="0"/>
                <w:sz w:val="18"/>
                <w:szCs w:val="18"/>
              </w:rPr>
            </w:pPr>
            <w:r>
              <w:rPr>
                <w:sz w:val="18"/>
                <w:szCs w:val="18"/>
              </w:rPr>
              <w:t>2.作业内容：</w:t>
            </w:r>
            <w:r>
              <w:rPr>
                <w:kern w:val="0"/>
                <w:sz w:val="18"/>
                <w:szCs w:val="18"/>
              </w:rPr>
              <w:t>555 芯片的实际使用和计算。</w:t>
            </w:r>
          </w:p>
          <w:p>
            <w:pPr>
              <w:adjustRightInd w:val="0"/>
              <w:snapToGrid w:val="0"/>
              <w:spacing w:line="300" w:lineRule="auto"/>
              <w:rPr>
                <w:sz w:val="18"/>
                <w:szCs w:val="18"/>
              </w:rPr>
            </w:pPr>
            <w:r>
              <w:rPr>
                <w:sz w:val="18"/>
                <w:szCs w:val="18"/>
              </w:rPr>
              <w:t>3.讨论内容：</w:t>
            </w:r>
            <w:r>
              <w:rPr>
                <w:kern w:val="0"/>
                <w:sz w:val="18"/>
                <w:szCs w:val="18"/>
              </w:rPr>
              <w:t>施密特触发器的特点</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443" w:type="dxa"/>
            <w:vAlign w:val="center"/>
          </w:tcPr>
          <w:p>
            <w:pPr>
              <w:widowControl/>
              <w:adjustRightInd w:val="0"/>
              <w:snapToGrid w:val="0"/>
              <w:spacing w:line="300" w:lineRule="auto"/>
              <w:jc w:val="center"/>
              <w:rPr>
                <w:kern w:val="0"/>
                <w:sz w:val="18"/>
                <w:szCs w:val="18"/>
              </w:rPr>
            </w:pPr>
            <w:r>
              <w:rPr>
                <w:kern w:val="0"/>
                <w:sz w:val="18"/>
                <w:szCs w:val="18"/>
              </w:rPr>
              <w:t>4</w:t>
            </w:r>
          </w:p>
        </w:tc>
        <w:tc>
          <w:tcPr>
            <w:tcW w:w="890" w:type="dxa"/>
            <w:vAlign w:val="center"/>
          </w:tcPr>
          <w:p>
            <w:pPr>
              <w:widowControl/>
              <w:adjustRightInd w:val="0"/>
              <w:snapToGrid w:val="0"/>
              <w:spacing w:line="300" w:lineRule="auto"/>
              <w:jc w:val="center"/>
              <w:rPr>
                <w:kern w:val="0"/>
                <w:sz w:val="18"/>
                <w:szCs w:val="18"/>
              </w:rPr>
            </w:pPr>
            <w:r>
              <w:rPr>
                <w:kern w:val="0"/>
                <w:sz w:val="18"/>
                <w:szCs w:val="18"/>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8</w:t>
            </w:r>
          </w:p>
        </w:tc>
        <w:tc>
          <w:tcPr>
            <w:tcW w:w="2671" w:type="dxa"/>
            <w:vAlign w:val="center"/>
          </w:tcPr>
          <w:p>
            <w:pPr>
              <w:autoSpaceDE w:val="0"/>
              <w:autoSpaceDN w:val="0"/>
              <w:adjustRightInd w:val="0"/>
              <w:snapToGrid w:val="0"/>
              <w:spacing w:line="300" w:lineRule="auto"/>
              <w:jc w:val="left"/>
              <w:rPr>
                <w:kern w:val="0"/>
                <w:sz w:val="18"/>
                <w:szCs w:val="18"/>
              </w:rPr>
            </w:pPr>
            <w:r>
              <w:rPr>
                <w:kern w:val="0"/>
                <w:sz w:val="18"/>
                <w:szCs w:val="18"/>
              </w:rPr>
              <w:t>第8章 模数和数模转换</w:t>
            </w:r>
          </w:p>
          <w:p>
            <w:pPr>
              <w:autoSpaceDE w:val="0"/>
              <w:autoSpaceDN w:val="0"/>
              <w:adjustRightInd w:val="0"/>
              <w:snapToGrid w:val="0"/>
              <w:spacing w:line="300" w:lineRule="auto"/>
              <w:jc w:val="left"/>
              <w:rPr>
                <w:kern w:val="0"/>
                <w:sz w:val="18"/>
                <w:szCs w:val="18"/>
              </w:rPr>
            </w:pPr>
            <w:r>
              <w:rPr>
                <w:kern w:val="0"/>
                <w:sz w:val="18"/>
                <w:szCs w:val="18"/>
              </w:rPr>
              <w:t>（1）A/D和D/A转换；</w:t>
            </w:r>
          </w:p>
          <w:p>
            <w:pPr>
              <w:autoSpaceDE w:val="0"/>
              <w:autoSpaceDN w:val="0"/>
              <w:adjustRightInd w:val="0"/>
              <w:snapToGrid w:val="0"/>
              <w:spacing w:line="300" w:lineRule="auto"/>
              <w:jc w:val="left"/>
              <w:rPr>
                <w:kern w:val="0"/>
                <w:sz w:val="18"/>
                <w:szCs w:val="18"/>
              </w:rPr>
            </w:pPr>
            <w:r>
              <w:rPr>
                <w:kern w:val="0"/>
                <w:sz w:val="18"/>
                <w:szCs w:val="18"/>
              </w:rPr>
              <w:t>（2）权电阻型，T型；</w:t>
            </w:r>
          </w:p>
          <w:p>
            <w:pPr>
              <w:autoSpaceDE w:val="0"/>
              <w:autoSpaceDN w:val="0"/>
              <w:adjustRightInd w:val="0"/>
              <w:snapToGrid w:val="0"/>
              <w:spacing w:line="300" w:lineRule="auto"/>
              <w:jc w:val="left"/>
              <w:rPr>
                <w:kern w:val="0"/>
                <w:sz w:val="18"/>
                <w:szCs w:val="18"/>
              </w:rPr>
            </w:pPr>
            <w:r>
              <w:rPr>
                <w:kern w:val="0"/>
                <w:sz w:val="18"/>
                <w:szCs w:val="18"/>
              </w:rPr>
              <w:t>（3）逐次渐进型，双积分型。</w:t>
            </w:r>
          </w:p>
        </w:tc>
        <w:tc>
          <w:tcPr>
            <w:tcW w:w="4599"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1）了解</w:t>
            </w:r>
            <w:r>
              <w:rPr>
                <w:kern w:val="0"/>
                <w:sz w:val="18"/>
                <w:szCs w:val="18"/>
              </w:rPr>
              <w:t>A/D和D/A转换的意义；</w:t>
            </w:r>
          </w:p>
          <w:p>
            <w:pPr>
              <w:autoSpaceDE w:val="0"/>
              <w:autoSpaceDN w:val="0"/>
              <w:adjustRightInd w:val="0"/>
              <w:snapToGrid w:val="0"/>
              <w:spacing w:line="300" w:lineRule="auto"/>
              <w:jc w:val="left"/>
              <w:rPr>
                <w:kern w:val="0"/>
                <w:sz w:val="18"/>
                <w:szCs w:val="18"/>
              </w:rPr>
            </w:pPr>
            <w:r>
              <w:rPr>
                <w:sz w:val="18"/>
                <w:szCs w:val="18"/>
              </w:rPr>
              <w:t>2）掌握</w:t>
            </w:r>
            <w:r>
              <w:rPr>
                <w:kern w:val="0"/>
                <w:sz w:val="18"/>
                <w:szCs w:val="18"/>
              </w:rPr>
              <w:t>权电阻型，T型电路</w:t>
            </w:r>
            <w:r>
              <w:rPr>
                <w:sz w:val="18"/>
                <w:szCs w:val="18"/>
              </w:rPr>
              <w:t>；</w:t>
            </w:r>
          </w:p>
          <w:p>
            <w:pPr>
              <w:adjustRightInd w:val="0"/>
              <w:snapToGrid w:val="0"/>
              <w:spacing w:line="300" w:lineRule="auto"/>
              <w:rPr>
                <w:kern w:val="0"/>
                <w:sz w:val="18"/>
                <w:szCs w:val="18"/>
              </w:rPr>
            </w:pPr>
            <w:r>
              <w:rPr>
                <w:sz w:val="18"/>
                <w:szCs w:val="18"/>
              </w:rPr>
              <w:t>3）</w:t>
            </w:r>
            <w:r>
              <w:rPr>
                <w:kern w:val="0"/>
                <w:sz w:val="18"/>
                <w:szCs w:val="18"/>
              </w:rPr>
              <w:t>逐次渐进型，双积分型；</w:t>
            </w:r>
          </w:p>
          <w:p>
            <w:pPr>
              <w:adjustRightInd w:val="0"/>
              <w:snapToGrid w:val="0"/>
              <w:spacing w:line="300" w:lineRule="auto"/>
              <w:rPr>
                <w:kern w:val="0"/>
                <w:sz w:val="18"/>
                <w:szCs w:val="18"/>
              </w:rPr>
            </w:pPr>
            <w:r>
              <w:rPr>
                <w:sz w:val="18"/>
                <w:szCs w:val="18"/>
              </w:rPr>
              <w:t>2.作业内容：</w:t>
            </w:r>
            <w:r>
              <w:rPr>
                <w:kern w:val="0"/>
                <w:sz w:val="18"/>
                <w:szCs w:val="18"/>
              </w:rPr>
              <w:t>A/D和D/A转换特点和重要参数。</w:t>
            </w:r>
          </w:p>
          <w:p>
            <w:pPr>
              <w:adjustRightInd w:val="0"/>
              <w:snapToGrid w:val="0"/>
              <w:spacing w:line="300" w:lineRule="auto"/>
              <w:rPr>
                <w:sz w:val="18"/>
                <w:szCs w:val="18"/>
              </w:rPr>
            </w:pPr>
            <w:r>
              <w:rPr>
                <w:sz w:val="18"/>
                <w:szCs w:val="18"/>
              </w:rPr>
              <w:t>3.讨论内容：对比</w:t>
            </w:r>
            <w:r>
              <w:rPr>
                <w:kern w:val="0"/>
                <w:sz w:val="18"/>
                <w:szCs w:val="18"/>
              </w:rPr>
              <w:t>逐次渐进型，双积分型的各自优点。</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443" w:type="dxa"/>
            <w:vAlign w:val="center"/>
          </w:tcPr>
          <w:p>
            <w:pPr>
              <w:widowControl/>
              <w:adjustRightInd w:val="0"/>
              <w:snapToGrid w:val="0"/>
              <w:spacing w:line="300" w:lineRule="auto"/>
              <w:rPr>
                <w:kern w:val="0"/>
                <w:sz w:val="18"/>
                <w:szCs w:val="18"/>
              </w:rPr>
            </w:pPr>
            <w:r>
              <w:rPr>
                <w:kern w:val="0"/>
                <w:sz w:val="18"/>
                <w:szCs w:val="18"/>
              </w:rPr>
              <w:t>4</w:t>
            </w:r>
          </w:p>
        </w:tc>
        <w:tc>
          <w:tcPr>
            <w:tcW w:w="890" w:type="dxa"/>
            <w:vAlign w:val="center"/>
          </w:tcPr>
          <w:p>
            <w:pPr>
              <w:widowControl/>
              <w:adjustRightInd w:val="0"/>
              <w:snapToGrid w:val="0"/>
              <w:spacing w:line="300" w:lineRule="auto"/>
              <w:rPr>
                <w:kern w:val="0"/>
                <w:sz w:val="18"/>
                <w:szCs w:val="18"/>
              </w:rPr>
            </w:pPr>
            <w:r>
              <w:rPr>
                <w:kern w:val="0"/>
                <w:sz w:val="18"/>
                <w:szCs w:val="18"/>
              </w:rPr>
              <w:t>3，4，5</w:t>
            </w:r>
          </w:p>
        </w:tc>
      </w:tr>
    </w:tbl>
    <w:p>
      <w:pPr>
        <w:snapToGrid w:val="0"/>
        <w:spacing w:before="156" w:beforeLines="50" w:line="300" w:lineRule="auto"/>
        <w:ind w:firstLine="420" w:firstLineChars="200"/>
        <w:rPr>
          <w:szCs w:val="21"/>
        </w:rPr>
      </w:pPr>
      <w:r>
        <w:t>实验内容见表4所示。</w:t>
      </w:r>
    </w:p>
    <w:p>
      <w:pPr>
        <w:spacing w:before="156" w:beforeLines="50"/>
        <w:jc w:val="center"/>
      </w:pPr>
      <w:r>
        <w:rPr>
          <w:b/>
          <w:bCs/>
          <w:sz w:val="18"/>
          <w:szCs w:val="18"/>
        </w:rPr>
        <w:t>表4 实验安排表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790"/>
        <w:gridCol w:w="2549"/>
        <w:gridCol w:w="741"/>
        <w:gridCol w:w="741"/>
        <w:gridCol w:w="741"/>
        <w:gridCol w:w="74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adjustRightInd w:val="0"/>
              <w:snapToGrid w:val="0"/>
              <w:jc w:val="center"/>
              <w:rPr>
                <w:b/>
                <w:bCs/>
                <w:kern w:val="0"/>
                <w:sz w:val="18"/>
                <w:szCs w:val="18"/>
              </w:rPr>
            </w:pPr>
            <w:r>
              <w:rPr>
                <w:b/>
                <w:bCs/>
                <w:kern w:val="0"/>
                <w:sz w:val="18"/>
                <w:szCs w:val="18"/>
              </w:rPr>
              <w:t>序号</w:t>
            </w:r>
          </w:p>
        </w:tc>
        <w:tc>
          <w:tcPr>
            <w:tcW w:w="1790" w:type="dxa"/>
            <w:vAlign w:val="center"/>
          </w:tcPr>
          <w:p>
            <w:pPr>
              <w:adjustRightInd w:val="0"/>
              <w:snapToGrid w:val="0"/>
              <w:jc w:val="center"/>
              <w:rPr>
                <w:b/>
                <w:bCs/>
                <w:kern w:val="0"/>
                <w:sz w:val="18"/>
                <w:szCs w:val="18"/>
              </w:rPr>
            </w:pPr>
            <w:r>
              <w:rPr>
                <w:b/>
                <w:bCs/>
                <w:kern w:val="0"/>
                <w:sz w:val="18"/>
                <w:szCs w:val="18"/>
              </w:rPr>
              <w:t>实验项目名称</w:t>
            </w:r>
          </w:p>
        </w:tc>
        <w:tc>
          <w:tcPr>
            <w:tcW w:w="2549" w:type="dxa"/>
            <w:vAlign w:val="center"/>
          </w:tcPr>
          <w:p>
            <w:pPr>
              <w:adjustRightInd w:val="0"/>
              <w:snapToGrid w:val="0"/>
              <w:jc w:val="center"/>
              <w:rPr>
                <w:b/>
                <w:bCs/>
                <w:kern w:val="0"/>
                <w:sz w:val="18"/>
                <w:szCs w:val="18"/>
              </w:rPr>
            </w:pPr>
            <w:r>
              <w:rPr>
                <w:b/>
                <w:bCs/>
                <w:kern w:val="0"/>
                <w:sz w:val="18"/>
                <w:szCs w:val="18"/>
              </w:rPr>
              <w:t>目的要求</w:t>
            </w:r>
          </w:p>
        </w:tc>
        <w:tc>
          <w:tcPr>
            <w:tcW w:w="741" w:type="dxa"/>
            <w:vAlign w:val="center"/>
          </w:tcPr>
          <w:p>
            <w:pPr>
              <w:adjustRightInd w:val="0"/>
              <w:snapToGrid w:val="0"/>
              <w:rPr>
                <w:b/>
                <w:bCs/>
                <w:kern w:val="0"/>
                <w:sz w:val="18"/>
                <w:szCs w:val="18"/>
              </w:rPr>
            </w:pPr>
            <w:r>
              <w:rPr>
                <w:b/>
                <w:bCs/>
                <w:kern w:val="0"/>
                <w:sz w:val="18"/>
                <w:szCs w:val="18"/>
              </w:rPr>
              <w:t>学时分配</w:t>
            </w:r>
          </w:p>
        </w:tc>
        <w:tc>
          <w:tcPr>
            <w:tcW w:w="741" w:type="dxa"/>
            <w:vAlign w:val="center"/>
          </w:tcPr>
          <w:p>
            <w:pPr>
              <w:adjustRightInd w:val="0"/>
              <w:snapToGrid w:val="0"/>
              <w:rPr>
                <w:b/>
                <w:bCs/>
                <w:kern w:val="0"/>
                <w:sz w:val="18"/>
                <w:szCs w:val="18"/>
              </w:rPr>
            </w:pPr>
            <w:r>
              <w:rPr>
                <w:b/>
                <w:bCs/>
                <w:kern w:val="0"/>
                <w:sz w:val="18"/>
                <w:szCs w:val="18"/>
              </w:rPr>
              <w:t>实验类型</w:t>
            </w:r>
          </w:p>
        </w:tc>
        <w:tc>
          <w:tcPr>
            <w:tcW w:w="741" w:type="dxa"/>
            <w:vAlign w:val="center"/>
          </w:tcPr>
          <w:p>
            <w:pPr>
              <w:adjustRightInd w:val="0"/>
              <w:snapToGrid w:val="0"/>
              <w:rPr>
                <w:b/>
                <w:bCs/>
                <w:kern w:val="0"/>
                <w:sz w:val="18"/>
                <w:szCs w:val="18"/>
              </w:rPr>
            </w:pPr>
            <w:r>
              <w:rPr>
                <w:b/>
                <w:bCs/>
                <w:kern w:val="0"/>
                <w:sz w:val="18"/>
                <w:szCs w:val="18"/>
              </w:rPr>
              <w:t>每组</w:t>
            </w:r>
          </w:p>
          <w:p>
            <w:pPr>
              <w:adjustRightInd w:val="0"/>
              <w:snapToGrid w:val="0"/>
              <w:rPr>
                <w:b/>
                <w:bCs/>
                <w:kern w:val="0"/>
                <w:sz w:val="18"/>
                <w:szCs w:val="18"/>
              </w:rPr>
            </w:pPr>
            <w:r>
              <w:rPr>
                <w:b/>
                <w:bCs/>
                <w:kern w:val="0"/>
                <w:sz w:val="18"/>
                <w:szCs w:val="18"/>
              </w:rPr>
              <w:t>人数</w:t>
            </w:r>
          </w:p>
        </w:tc>
        <w:tc>
          <w:tcPr>
            <w:tcW w:w="743" w:type="dxa"/>
            <w:vAlign w:val="center"/>
          </w:tcPr>
          <w:p>
            <w:pPr>
              <w:adjustRightInd w:val="0"/>
              <w:snapToGrid w:val="0"/>
              <w:rPr>
                <w:b/>
                <w:bCs/>
                <w:kern w:val="0"/>
                <w:sz w:val="18"/>
                <w:szCs w:val="18"/>
              </w:rPr>
            </w:pPr>
            <w:r>
              <w:rPr>
                <w:b/>
                <w:bCs/>
                <w:kern w:val="0"/>
                <w:sz w:val="18"/>
                <w:szCs w:val="18"/>
              </w:rPr>
              <w:t>必开</w:t>
            </w:r>
          </w:p>
          <w:p>
            <w:pPr>
              <w:adjustRightInd w:val="0"/>
              <w:snapToGrid w:val="0"/>
              <w:rPr>
                <w:b/>
                <w:bCs/>
                <w:kern w:val="0"/>
                <w:sz w:val="18"/>
                <w:szCs w:val="18"/>
              </w:rPr>
            </w:pPr>
            <w:r>
              <w:rPr>
                <w:b/>
                <w:bCs/>
                <w:kern w:val="0"/>
                <w:sz w:val="18"/>
                <w:szCs w:val="18"/>
              </w:rPr>
              <w:t>选开</w:t>
            </w:r>
          </w:p>
        </w:tc>
        <w:tc>
          <w:tcPr>
            <w:tcW w:w="675" w:type="dxa"/>
            <w:vAlign w:val="center"/>
          </w:tcPr>
          <w:p>
            <w:pPr>
              <w:adjustRightInd w:val="0"/>
              <w:snapToGrid w:val="0"/>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adjustRightInd w:val="0"/>
              <w:snapToGrid w:val="0"/>
              <w:spacing w:line="300" w:lineRule="auto"/>
              <w:jc w:val="center"/>
              <w:rPr>
                <w:kern w:val="0"/>
                <w:sz w:val="18"/>
                <w:szCs w:val="18"/>
              </w:rPr>
            </w:pPr>
            <w:r>
              <w:rPr>
                <w:kern w:val="0"/>
                <w:sz w:val="18"/>
                <w:szCs w:val="18"/>
              </w:rPr>
              <w:t>1</w:t>
            </w:r>
          </w:p>
        </w:tc>
        <w:tc>
          <w:tcPr>
            <w:tcW w:w="1790" w:type="dxa"/>
            <w:vAlign w:val="center"/>
          </w:tcPr>
          <w:p>
            <w:pPr>
              <w:adjustRightInd w:val="0"/>
              <w:snapToGrid w:val="0"/>
              <w:spacing w:line="300" w:lineRule="auto"/>
              <w:rPr>
                <w:kern w:val="0"/>
                <w:sz w:val="18"/>
                <w:szCs w:val="18"/>
              </w:rPr>
            </w:pPr>
            <w:r>
              <w:rPr>
                <w:kern w:val="0"/>
                <w:sz w:val="18"/>
                <w:szCs w:val="18"/>
              </w:rPr>
              <w:t>实验1 TTL集成逻辑门电路的逻辑功能与参数测试</w:t>
            </w:r>
          </w:p>
        </w:tc>
        <w:tc>
          <w:tcPr>
            <w:tcW w:w="2549" w:type="dxa"/>
            <w:vAlign w:val="center"/>
          </w:tcPr>
          <w:p>
            <w:pPr>
              <w:adjustRightInd w:val="0"/>
              <w:snapToGrid w:val="0"/>
              <w:spacing w:line="300" w:lineRule="auto"/>
              <w:rPr>
                <w:kern w:val="0"/>
                <w:sz w:val="18"/>
                <w:szCs w:val="18"/>
              </w:rPr>
            </w:pPr>
            <w:r>
              <w:rPr>
                <w:kern w:val="0"/>
                <w:sz w:val="18"/>
                <w:szCs w:val="18"/>
              </w:rPr>
              <w:t>在实验台上搭接电路、验证逻辑功能；排查故障。</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验证</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adjustRightInd w:val="0"/>
              <w:snapToGrid w:val="0"/>
              <w:spacing w:line="300" w:lineRule="auto"/>
              <w:jc w:val="center"/>
              <w:rPr>
                <w:kern w:val="0"/>
                <w:sz w:val="18"/>
                <w:szCs w:val="18"/>
              </w:rPr>
            </w:pPr>
            <w:r>
              <w:rPr>
                <w:kern w:val="0"/>
                <w:sz w:val="18"/>
                <w:szCs w:val="18"/>
              </w:rPr>
              <w:t>2</w:t>
            </w:r>
          </w:p>
        </w:tc>
        <w:tc>
          <w:tcPr>
            <w:tcW w:w="1790" w:type="dxa"/>
            <w:vAlign w:val="center"/>
          </w:tcPr>
          <w:p>
            <w:pPr>
              <w:adjustRightInd w:val="0"/>
              <w:snapToGrid w:val="0"/>
              <w:spacing w:line="300" w:lineRule="auto"/>
              <w:rPr>
                <w:kern w:val="0"/>
                <w:sz w:val="18"/>
                <w:szCs w:val="18"/>
              </w:rPr>
            </w:pPr>
            <w:r>
              <w:rPr>
                <w:kern w:val="0"/>
                <w:sz w:val="18"/>
                <w:szCs w:val="18"/>
              </w:rPr>
              <w:t>实验2译码器功能的测试</w:t>
            </w:r>
          </w:p>
        </w:tc>
        <w:tc>
          <w:tcPr>
            <w:tcW w:w="2549" w:type="dxa"/>
            <w:vAlign w:val="center"/>
          </w:tcPr>
          <w:p>
            <w:pPr>
              <w:adjustRightInd w:val="0"/>
              <w:snapToGrid w:val="0"/>
              <w:spacing w:line="300" w:lineRule="auto"/>
              <w:rPr>
                <w:kern w:val="0"/>
                <w:sz w:val="18"/>
                <w:szCs w:val="18"/>
              </w:rPr>
            </w:pPr>
            <w:r>
              <w:rPr>
                <w:kern w:val="0"/>
                <w:sz w:val="18"/>
                <w:szCs w:val="18"/>
              </w:rPr>
              <w:t>在实验台上搭接电路、验证逻辑功能；排查故障。</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验证</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adjustRightInd w:val="0"/>
              <w:snapToGrid w:val="0"/>
              <w:spacing w:line="300" w:lineRule="auto"/>
              <w:jc w:val="center"/>
              <w:rPr>
                <w:kern w:val="0"/>
                <w:sz w:val="18"/>
                <w:szCs w:val="18"/>
              </w:rPr>
            </w:pPr>
            <w:r>
              <w:rPr>
                <w:kern w:val="0"/>
                <w:sz w:val="18"/>
                <w:szCs w:val="18"/>
              </w:rPr>
              <w:t>3</w:t>
            </w:r>
          </w:p>
        </w:tc>
        <w:tc>
          <w:tcPr>
            <w:tcW w:w="1790" w:type="dxa"/>
            <w:vAlign w:val="center"/>
          </w:tcPr>
          <w:p>
            <w:pPr>
              <w:adjustRightInd w:val="0"/>
              <w:snapToGrid w:val="0"/>
              <w:spacing w:line="300" w:lineRule="auto"/>
              <w:rPr>
                <w:kern w:val="0"/>
                <w:sz w:val="18"/>
                <w:szCs w:val="18"/>
              </w:rPr>
            </w:pPr>
            <w:r>
              <w:rPr>
                <w:kern w:val="0"/>
                <w:sz w:val="18"/>
                <w:szCs w:val="18"/>
              </w:rPr>
              <w:t>实验3计数器及其应用</w:t>
            </w:r>
          </w:p>
        </w:tc>
        <w:tc>
          <w:tcPr>
            <w:tcW w:w="2549" w:type="dxa"/>
            <w:vAlign w:val="center"/>
          </w:tcPr>
          <w:p>
            <w:pPr>
              <w:adjustRightInd w:val="0"/>
              <w:snapToGrid w:val="0"/>
              <w:spacing w:line="300" w:lineRule="auto"/>
              <w:rPr>
                <w:kern w:val="0"/>
                <w:sz w:val="18"/>
                <w:szCs w:val="18"/>
              </w:rPr>
            </w:pPr>
            <w:r>
              <w:rPr>
                <w:kern w:val="0"/>
                <w:sz w:val="18"/>
                <w:szCs w:val="18"/>
              </w:rPr>
              <w:t>用给定的集成计数器设计N 进制计数器。画出逻辑图、在实验台上搭接电路、验证逻辑功能；排查故障。</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验证</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pPr>
              <w:adjustRightInd w:val="0"/>
              <w:snapToGrid w:val="0"/>
              <w:spacing w:line="300" w:lineRule="auto"/>
              <w:jc w:val="center"/>
              <w:rPr>
                <w:kern w:val="0"/>
                <w:sz w:val="18"/>
                <w:szCs w:val="18"/>
              </w:rPr>
            </w:pPr>
            <w:r>
              <w:rPr>
                <w:kern w:val="0"/>
                <w:sz w:val="18"/>
                <w:szCs w:val="18"/>
              </w:rPr>
              <w:t>4</w:t>
            </w:r>
          </w:p>
        </w:tc>
        <w:tc>
          <w:tcPr>
            <w:tcW w:w="1790" w:type="dxa"/>
            <w:vAlign w:val="center"/>
          </w:tcPr>
          <w:p>
            <w:pPr>
              <w:adjustRightInd w:val="0"/>
              <w:snapToGrid w:val="0"/>
              <w:spacing w:line="300" w:lineRule="auto"/>
              <w:rPr>
                <w:kern w:val="0"/>
                <w:sz w:val="18"/>
                <w:szCs w:val="18"/>
              </w:rPr>
            </w:pPr>
            <w:r>
              <w:rPr>
                <w:kern w:val="0"/>
                <w:sz w:val="18"/>
                <w:szCs w:val="18"/>
              </w:rPr>
              <w:t>实验4脉冲发生与整</w:t>
            </w:r>
            <w:r>
              <w:rPr>
                <w:rFonts w:hint="eastAsia"/>
                <w:kern w:val="0"/>
                <w:sz w:val="18"/>
                <w:szCs w:val="18"/>
              </w:rPr>
              <w:t>形</w:t>
            </w:r>
            <w:r>
              <w:rPr>
                <w:kern w:val="0"/>
                <w:sz w:val="18"/>
                <w:szCs w:val="18"/>
              </w:rPr>
              <w:t>电路</w:t>
            </w:r>
          </w:p>
        </w:tc>
        <w:tc>
          <w:tcPr>
            <w:tcW w:w="2549" w:type="dxa"/>
            <w:vAlign w:val="center"/>
          </w:tcPr>
          <w:p>
            <w:pPr>
              <w:adjustRightInd w:val="0"/>
              <w:snapToGrid w:val="0"/>
              <w:spacing w:line="300" w:lineRule="auto"/>
              <w:rPr>
                <w:kern w:val="0"/>
                <w:sz w:val="18"/>
                <w:szCs w:val="18"/>
              </w:rPr>
            </w:pPr>
            <w:r>
              <w:rPr>
                <w:kern w:val="0"/>
                <w:sz w:val="18"/>
                <w:szCs w:val="18"/>
              </w:rPr>
              <w:t>用给定的集成器件设计出电路的逻辑图、在实验台上搭接电路、验证逻辑功能。</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综合</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c>
          <w:tcPr>
            <w:tcW w:w="74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3，4，5</w:t>
            </w:r>
          </w:p>
        </w:tc>
      </w:tr>
    </w:tbl>
    <w:p>
      <w:pPr>
        <w:snapToGrid w:val="0"/>
        <w:spacing w:before="156" w:beforeLines="50" w:after="156" w:afterLines="50" w:line="300" w:lineRule="auto"/>
        <w:rPr>
          <w:b/>
          <w:sz w:val="24"/>
        </w:rPr>
      </w:pPr>
      <w:r>
        <w:rPr>
          <w:b/>
          <w:sz w:val="24"/>
        </w:rPr>
        <w:t>五、课程考核及成绩评定</w:t>
      </w:r>
    </w:p>
    <w:p>
      <w:pPr>
        <w:spacing w:line="300" w:lineRule="auto"/>
        <w:ind w:firstLine="420" w:firstLineChars="200"/>
      </w:pPr>
      <w:r>
        <w:t>1．考核方式：闭卷笔试。</w:t>
      </w:r>
    </w:p>
    <w:p>
      <w:pPr>
        <w:spacing w:line="300" w:lineRule="auto"/>
        <w:ind w:firstLine="420" w:firstLineChars="200"/>
      </w:pPr>
      <w:r>
        <w:t>2．成绩构成：笔试成绩60%，平时成绩40%（实验成绩、课后作业、课堂表现、随堂测验、口头报告等）。</w:t>
      </w:r>
    </w:p>
    <w:p>
      <w:pPr>
        <w:snapToGrid w:val="0"/>
        <w:spacing w:line="300" w:lineRule="auto"/>
        <w:ind w:firstLine="420" w:firstLineChars="200"/>
        <w:jc w:val="left"/>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447"/>
        <w:gridCol w:w="443"/>
        <w:gridCol w:w="892"/>
        <w:gridCol w:w="445"/>
        <w:gridCol w:w="5047"/>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blHeader/>
          <w:jc w:val="center"/>
        </w:trPr>
        <w:tc>
          <w:tcPr>
            <w:tcW w:w="882" w:type="dxa"/>
            <w:vAlign w:val="center"/>
          </w:tcPr>
          <w:p>
            <w:pPr>
              <w:snapToGrid w:val="0"/>
              <w:spacing w:line="300" w:lineRule="auto"/>
              <w:jc w:val="center"/>
              <w:rPr>
                <w:b/>
                <w:bCs/>
                <w:sz w:val="18"/>
                <w:szCs w:val="18"/>
              </w:rPr>
            </w:pPr>
            <w:r>
              <w:rPr>
                <w:b/>
                <w:bCs/>
                <w:sz w:val="18"/>
                <w:szCs w:val="18"/>
              </w:rPr>
              <w:t>成绩类型</w:t>
            </w:r>
          </w:p>
        </w:tc>
        <w:tc>
          <w:tcPr>
            <w:tcW w:w="447" w:type="dxa"/>
            <w:vAlign w:val="center"/>
          </w:tcPr>
          <w:p>
            <w:pPr>
              <w:snapToGrid w:val="0"/>
              <w:spacing w:line="300" w:lineRule="auto"/>
              <w:jc w:val="center"/>
              <w:rPr>
                <w:b/>
                <w:bCs/>
                <w:sz w:val="18"/>
                <w:szCs w:val="18"/>
              </w:rPr>
            </w:pPr>
            <w:r>
              <w:rPr>
                <w:b/>
                <w:bCs/>
                <w:sz w:val="18"/>
                <w:szCs w:val="18"/>
              </w:rPr>
              <w:t>分值</w:t>
            </w:r>
          </w:p>
        </w:tc>
        <w:tc>
          <w:tcPr>
            <w:tcW w:w="443" w:type="dxa"/>
            <w:vAlign w:val="center"/>
          </w:tcPr>
          <w:p>
            <w:pPr>
              <w:snapToGrid w:val="0"/>
              <w:spacing w:line="300" w:lineRule="auto"/>
              <w:jc w:val="center"/>
              <w:rPr>
                <w:b/>
                <w:bCs/>
                <w:sz w:val="18"/>
                <w:szCs w:val="18"/>
              </w:rPr>
            </w:pPr>
            <w:r>
              <w:rPr>
                <w:b/>
                <w:bCs/>
                <w:sz w:val="18"/>
                <w:szCs w:val="18"/>
              </w:rPr>
              <w:t>权重</w:t>
            </w:r>
          </w:p>
        </w:tc>
        <w:tc>
          <w:tcPr>
            <w:tcW w:w="892" w:type="dxa"/>
            <w:vAlign w:val="center"/>
          </w:tcPr>
          <w:p>
            <w:pPr>
              <w:snapToGrid w:val="0"/>
              <w:spacing w:line="300" w:lineRule="auto"/>
              <w:jc w:val="center"/>
              <w:rPr>
                <w:b/>
                <w:bCs/>
                <w:sz w:val="18"/>
                <w:szCs w:val="18"/>
              </w:rPr>
            </w:pPr>
            <w:r>
              <w:rPr>
                <w:b/>
                <w:bCs/>
                <w:sz w:val="18"/>
                <w:szCs w:val="18"/>
              </w:rPr>
              <w:t>类别</w:t>
            </w:r>
          </w:p>
        </w:tc>
        <w:tc>
          <w:tcPr>
            <w:tcW w:w="445" w:type="dxa"/>
            <w:vAlign w:val="center"/>
          </w:tcPr>
          <w:p>
            <w:pPr>
              <w:snapToGrid w:val="0"/>
              <w:spacing w:line="300" w:lineRule="auto"/>
              <w:jc w:val="center"/>
              <w:rPr>
                <w:b/>
                <w:bCs/>
                <w:sz w:val="18"/>
                <w:szCs w:val="18"/>
              </w:rPr>
            </w:pPr>
            <w:r>
              <w:rPr>
                <w:b/>
                <w:bCs/>
                <w:sz w:val="18"/>
                <w:szCs w:val="18"/>
              </w:rPr>
              <w:t>权重</w:t>
            </w:r>
          </w:p>
        </w:tc>
        <w:tc>
          <w:tcPr>
            <w:tcW w:w="5047" w:type="dxa"/>
            <w:vAlign w:val="center"/>
          </w:tcPr>
          <w:p>
            <w:pPr>
              <w:snapToGrid w:val="0"/>
              <w:spacing w:line="300" w:lineRule="auto"/>
              <w:jc w:val="center"/>
              <w:rPr>
                <w:b/>
                <w:bCs/>
                <w:sz w:val="18"/>
                <w:szCs w:val="18"/>
              </w:rPr>
            </w:pPr>
            <w:r>
              <w:rPr>
                <w:b/>
                <w:bCs/>
                <w:sz w:val="18"/>
                <w:szCs w:val="18"/>
              </w:rPr>
              <w:t>考核/评价细则</w:t>
            </w:r>
          </w:p>
        </w:tc>
        <w:tc>
          <w:tcPr>
            <w:tcW w:w="888" w:type="dxa"/>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447" w:type="dxa"/>
            <w:vMerge w:val="restart"/>
            <w:vAlign w:val="center"/>
          </w:tcPr>
          <w:p>
            <w:pPr>
              <w:snapToGrid w:val="0"/>
              <w:spacing w:line="300" w:lineRule="auto"/>
              <w:jc w:val="center"/>
              <w:rPr>
                <w:sz w:val="18"/>
                <w:szCs w:val="18"/>
              </w:rPr>
            </w:pPr>
            <w:r>
              <w:rPr>
                <w:sz w:val="18"/>
                <w:szCs w:val="18"/>
              </w:rPr>
              <w:t>100</w:t>
            </w:r>
          </w:p>
        </w:tc>
        <w:tc>
          <w:tcPr>
            <w:tcW w:w="443" w:type="dxa"/>
            <w:vMerge w:val="restart"/>
            <w:vAlign w:val="center"/>
          </w:tcPr>
          <w:p>
            <w:pPr>
              <w:snapToGrid w:val="0"/>
              <w:spacing w:line="300" w:lineRule="auto"/>
              <w:jc w:val="center"/>
              <w:rPr>
                <w:sz w:val="18"/>
                <w:szCs w:val="18"/>
              </w:rPr>
            </w:pPr>
            <w:r>
              <w:rPr>
                <w:sz w:val="18"/>
                <w:szCs w:val="18"/>
              </w:rPr>
              <w:t>0.4</w:t>
            </w:r>
          </w:p>
        </w:tc>
        <w:tc>
          <w:tcPr>
            <w:tcW w:w="892" w:type="dxa"/>
            <w:vAlign w:val="center"/>
          </w:tcPr>
          <w:p>
            <w:pPr>
              <w:snapToGrid w:val="0"/>
              <w:spacing w:line="300" w:lineRule="auto"/>
              <w:jc w:val="center"/>
              <w:rPr>
                <w:sz w:val="18"/>
                <w:szCs w:val="18"/>
              </w:rPr>
            </w:pPr>
            <w:r>
              <w:rPr>
                <w:sz w:val="18"/>
                <w:szCs w:val="18"/>
              </w:rPr>
              <w:t>课堂表现</w:t>
            </w:r>
          </w:p>
        </w:tc>
        <w:tc>
          <w:tcPr>
            <w:tcW w:w="445" w:type="dxa"/>
            <w:vAlign w:val="center"/>
          </w:tcPr>
          <w:p>
            <w:pPr>
              <w:snapToGrid w:val="0"/>
              <w:spacing w:line="300" w:lineRule="auto"/>
              <w:jc w:val="center"/>
              <w:rPr>
                <w:sz w:val="18"/>
                <w:szCs w:val="18"/>
              </w:rPr>
            </w:pPr>
            <w:r>
              <w:rPr>
                <w:sz w:val="18"/>
                <w:szCs w:val="18"/>
              </w:rPr>
              <w:t>0.1</w:t>
            </w:r>
          </w:p>
        </w:tc>
        <w:tc>
          <w:tcPr>
            <w:tcW w:w="5047" w:type="dxa"/>
            <w:vAlign w:val="center"/>
          </w:tcPr>
          <w:p>
            <w:pPr>
              <w:snapToGrid w:val="0"/>
              <w:spacing w:line="300" w:lineRule="auto"/>
              <w:rPr>
                <w:sz w:val="18"/>
                <w:szCs w:val="18"/>
              </w:rPr>
            </w:pPr>
            <w:r>
              <w:rPr>
                <w:sz w:val="18"/>
                <w:szCs w:val="18"/>
              </w:rPr>
              <w:t>根据学生课堂表现打分，满分100。</w:t>
            </w:r>
          </w:p>
        </w:tc>
        <w:tc>
          <w:tcPr>
            <w:tcW w:w="888" w:type="dxa"/>
            <w:vAlign w:val="center"/>
          </w:tcPr>
          <w:p>
            <w:pPr>
              <w:snapToGrid w:val="0"/>
              <w:spacing w:line="300" w:lineRule="auto"/>
              <w:jc w:val="left"/>
              <w:rPr>
                <w:sz w:val="18"/>
                <w:szCs w:val="18"/>
              </w:rPr>
            </w:pPr>
            <w:r>
              <w:rPr>
                <w:sz w:val="18"/>
                <w:szCs w:val="18"/>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882" w:type="dxa"/>
            <w:vMerge w:val="continue"/>
            <w:vAlign w:val="center"/>
          </w:tcPr>
          <w:p>
            <w:pPr>
              <w:snapToGrid w:val="0"/>
              <w:spacing w:line="300" w:lineRule="auto"/>
              <w:rPr>
                <w:sz w:val="18"/>
                <w:szCs w:val="18"/>
              </w:rPr>
            </w:pPr>
          </w:p>
        </w:tc>
        <w:tc>
          <w:tcPr>
            <w:tcW w:w="447" w:type="dxa"/>
            <w:vMerge w:val="continue"/>
            <w:vAlign w:val="center"/>
          </w:tcPr>
          <w:p>
            <w:pPr>
              <w:snapToGrid w:val="0"/>
              <w:spacing w:line="300" w:lineRule="auto"/>
              <w:jc w:val="center"/>
              <w:rPr>
                <w:sz w:val="18"/>
                <w:szCs w:val="18"/>
              </w:rPr>
            </w:pPr>
          </w:p>
        </w:tc>
        <w:tc>
          <w:tcPr>
            <w:tcW w:w="443" w:type="dxa"/>
            <w:vMerge w:val="continue"/>
            <w:vAlign w:val="center"/>
          </w:tcPr>
          <w:p>
            <w:pPr>
              <w:snapToGrid w:val="0"/>
              <w:spacing w:line="300" w:lineRule="auto"/>
              <w:jc w:val="center"/>
              <w:rPr>
                <w:sz w:val="18"/>
                <w:szCs w:val="18"/>
              </w:rPr>
            </w:pPr>
          </w:p>
        </w:tc>
        <w:tc>
          <w:tcPr>
            <w:tcW w:w="892" w:type="dxa"/>
            <w:vAlign w:val="center"/>
          </w:tcPr>
          <w:p>
            <w:pPr>
              <w:snapToGrid w:val="0"/>
              <w:spacing w:line="300" w:lineRule="auto"/>
              <w:jc w:val="center"/>
              <w:rPr>
                <w:sz w:val="18"/>
                <w:szCs w:val="18"/>
              </w:rPr>
            </w:pPr>
            <w:r>
              <w:rPr>
                <w:sz w:val="18"/>
                <w:szCs w:val="18"/>
              </w:rPr>
              <w:t>作业</w:t>
            </w:r>
          </w:p>
        </w:tc>
        <w:tc>
          <w:tcPr>
            <w:tcW w:w="445" w:type="dxa"/>
            <w:vAlign w:val="center"/>
          </w:tcPr>
          <w:p>
            <w:pPr>
              <w:snapToGrid w:val="0"/>
              <w:spacing w:line="300" w:lineRule="auto"/>
              <w:jc w:val="center"/>
              <w:rPr>
                <w:sz w:val="18"/>
                <w:szCs w:val="18"/>
              </w:rPr>
            </w:pPr>
            <w:r>
              <w:rPr>
                <w:sz w:val="18"/>
                <w:szCs w:val="18"/>
              </w:rPr>
              <w:t>0.3</w:t>
            </w:r>
          </w:p>
        </w:tc>
        <w:tc>
          <w:tcPr>
            <w:tcW w:w="5047"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888" w:type="dxa"/>
            <w:vAlign w:val="center"/>
          </w:tcPr>
          <w:p>
            <w:pPr>
              <w:snapToGrid w:val="0"/>
              <w:spacing w:line="300" w:lineRule="auto"/>
              <w:jc w:val="left"/>
              <w:rPr>
                <w:sz w:val="18"/>
                <w:szCs w:val="18"/>
              </w:rPr>
            </w:pPr>
            <w:r>
              <w:rPr>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vMerge w:val="continue"/>
            <w:vAlign w:val="center"/>
          </w:tcPr>
          <w:p>
            <w:pPr>
              <w:snapToGrid w:val="0"/>
              <w:spacing w:line="300" w:lineRule="auto"/>
              <w:rPr>
                <w:sz w:val="18"/>
                <w:szCs w:val="18"/>
              </w:rPr>
            </w:pPr>
          </w:p>
        </w:tc>
        <w:tc>
          <w:tcPr>
            <w:tcW w:w="447" w:type="dxa"/>
            <w:vMerge w:val="continue"/>
            <w:vAlign w:val="center"/>
          </w:tcPr>
          <w:p>
            <w:pPr>
              <w:snapToGrid w:val="0"/>
              <w:spacing w:line="300" w:lineRule="auto"/>
              <w:jc w:val="center"/>
              <w:rPr>
                <w:sz w:val="18"/>
                <w:szCs w:val="18"/>
              </w:rPr>
            </w:pPr>
          </w:p>
        </w:tc>
        <w:tc>
          <w:tcPr>
            <w:tcW w:w="443" w:type="dxa"/>
            <w:vMerge w:val="continue"/>
            <w:vAlign w:val="center"/>
          </w:tcPr>
          <w:p>
            <w:pPr>
              <w:snapToGrid w:val="0"/>
              <w:spacing w:line="300" w:lineRule="auto"/>
              <w:jc w:val="center"/>
              <w:rPr>
                <w:sz w:val="18"/>
                <w:szCs w:val="18"/>
              </w:rPr>
            </w:pPr>
          </w:p>
        </w:tc>
        <w:tc>
          <w:tcPr>
            <w:tcW w:w="892" w:type="dxa"/>
            <w:vAlign w:val="center"/>
          </w:tcPr>
          <w:p>
            <w:pPr>
              <w:snapToGrid w:val="0"/>
              <w:spacing w:line="300" w:lineRule="auto"/>
              <w:jc w:val="center"/>
              <w:rPr>
                <w:sz w:val="18"/>
                <w:szCs w:val="18"/>
              </w:rPr>
            </w:pPr>
            <w:r>
              <w:rPr>
                <w:sz w:val="18"/>
                <w:szCs w:val="18"/>
              </w:rPr>
              <w:t>实验</w:t>
            </w:r>
          </w:p>
        </w:tc>
        <w:tc>
          <w:tcPr>
            <w:tcW w:w="445" w:type="dxa"/>
            <w:vAlign w:val="center"/>
          </w:tcPr>
          <w:p>
            <w:pPr>
              <w:snapToGrid w:val="0"/>
              <w:spacing w:line="300" w:lineRule="auto"/>
              <w:jc w:val="center"/>
              <w:rPr>
                <w:sz w:val="18"/>
                <w:szCs w:val="18"/>
              </w:rPr>
            </w:pPr>
            <w:r>
              <w:rPr>
                <w:sz w:val="18"/>
                <w:szCs w:val="18"/>
              </w:rPr>
              <w:t>0.3</w:t>
            </w:r>
          </w:p>
        </w:tc>
        <w:tc>
          <w:tcPr>
            <w:tcW w:w="5047"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888" w:type="dxa"/>
            <w:vAlign w:val="center"/>
          </w:tcPr>
          <w:p>
            <w:pPr>
              <w:snapToGrid w:val="0"/>
              <w:spacing w:line="300" w:lineRule="auto"/>
              <w:jc w:val="left"/>
              <w:rPr>
                <w:sz w:val="18"/>
                <w:szCs w:val="18"/>
              </w:rPr>
            </w:pPr>
            <w:r>
              <w:rPr>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882" w:type="dxa"/>
            <w:vMerge w:val="continue"/>
            <w:vAlign w:val="center"/>
          </w:tcPr>
          <w:p>
            <w:pPr>
              <w:snapToGrid w:val="0"/>
              <w:spacing w:line="300" w:lineRule="auto"/>
              <w:rPr>
                <w:sz w:val="18"/>
                <w:szCs w:val="18"/>
              </w:rPr>
            </w:pPr>
          </w:p>
        </w:tc>
        <w:tc>
          <w:tcPr>
            <w:tcW w:w="447" w:type="dxa"/>
            <w:vMerge w:val="continue"/>
            <w:vAlign w:val="center"/>
          </w:tcPr>
          <w:p>
            <w:pPr>
              <w:snapToGrid w:val="0"/>
              <w:spacing w:line="300" w:lineRule="auto"/>
              <w:jc w:val="center"/>
              <w:rPr>
                <w:sz w:val="18"/>
                <w:szCs w:val="18"/>
              </w:rPr>
            </w:pPr>
          </w:p>
        </w:tc>
        <w:tc>
          <w:tcPr>
            <w:tcW w:w="443" w:type="dxa"/>
            <w:vMerge w:val="continue"/>
            <w:vAlign w:val="center"/>
          </w:tcPr>
          <w:p>
            <w:pPr>
              <w:snapToGrid w:val="0"/>
              <w:spacing w:line="300" w:lineRule="auto"/>
              <w:jc w:val="center"/>
              <w:rPr>
                <w:sz w:val="18"/>
                <w:szCs w:val="18"/>
              </w:rPr>
            </w:pPr>
          </w:p>
        </w:tc>
        <w:tc>
          <w:tcPr>
            <w:tcW w:w="892" w:type="dxa"/>
            <w:vAlign w:val="center"/>
          </w:tcPr>
          <w:p>
            <w:pPr>
              <w:snapToGrid w:val="0"/>
              <w:spacing w:line="300" w:lineRule="auto"/>
              <w:jc w:val="center"/>
              <w:rPr>
                <w:sz w:val="18"/>
                <w:szCs w:val="18"/>
              </w:rPr>
            </w:pPr>
            <w:r>
              <w:rPr>
                <w:sz w:val="18"/>
                <w:szCs w:val="18"/>
              </w:rPr>
              <w:t>平时测验</w:t>
            </w:r>
          </w:p>
        </w:tc>
        <w:tc>
          <w:tcPr>
            <w:tcW w:w="445" w:type="dxa"/>
            <w:vAlign w:val="center"/>
          </w:tcPr>
          <w:p>
            <w:pPr>
              <w:snapToGrid w:val="0"/>
              <w:spacing w:line="300" w:lineRule="auto"/>
              <w:jc w:val="center"/>
              <w:rPr>
                <w:sz w:val="18"/>
                <w:szCs w:val="18"/>
              </w:rPr>
            </w:pPr>
            <w:r>
              <w:rPr>
                <w:sz w:val="18"/>
                <w:szCs w:val="18"/>
              </w:rPr>
              <w:t>0.2</w:t>
            </w:r>
          </w:p>
        </w:tc>
        <w:tc>
          <w:tcPr>
            <w:tcW w:w="5047" w:type="dxa"/>
            <w:vAlign w:val="center"/>
          </w:tcPr>
          <w:p>
            <w:pPr>
              <w:snapToGrid w:val="0"/>
              <w:spacing w:line="300" w:lineRule="auto"/>
              <w:jc w:val="left"/>
              <w:rPr>
                <w:sz w:val="18"/>
                <w:szCs w:val="18"/>
              </w:rPr>
            </w:pPr>
            <w:r>
              <w:rPr>
                <w:sz w:val="18"/>
                <w:szCs w:val="18"/>
              </w:rPr>
              <w:t>做两三次平时测验，每次满分100分。</w:t>
            </w:r>
          </w:p>
        </w:tc>
        <w:tc>
          <w:tcPr>
            <w:tcW w:w="888"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882" w:type="dxa"/>
            <w:vMerge w:val="continue"/>
            <w:vAlign w:val="center"/>
          </w:tcPr>
          <w:p>
            <w:pPr>
              <w:snapToGrid w:val="0"/>
              <w:spacing w:line="300" w:lineRule="auto"/>
              <w:rPr>
                <w:sz w:val="18"/>
                <w:szCs w:val="18"/>
              </w:rPr>
            </w:pPr>
          </w:p>
        </w:tc>
        <w:tc>
          <w:tcPr>
            <w:tcW w:w="447" w:type="dxa"/>
            <w:vMerge w:val="continue"/>
            <w:vAlign w:val="center"/>
          </w:tcPr>
          <w:p>
            <w:pPr>
              <w:snapToGrid w:val="0"/>
              <w:spacing w:line="300" w:lineRule="auto"/>
              <w:jc w:val="center"/>
              <w:rPr>
                <w:sz w:val="18"/>
                <w:szCs w:val="18"/>
              </w:rPr>
            </w:pPr>
          </w:p>
        </w:tc>
        <w:tc>
          <w:tcPr>
            <w:tcW w:w="443" w:type="dxa"/>
            <w:vMerge w:val="continue"/>
            <w:vAlign w:val="center"/>
          </w:tcPr>
          <w:p>
            <w:pPr>
              <w:snapToGrid w:val="0"/>
              <w:spacing w:line="300" w:lineRule="auto"/>
              <w:jc w:val="center"/>
              <w:rPr>
                <w:sz w:val="18"/>
                <w:szCs w:val="18"/>
              </w:rPr>
            </w:pPr>
          </w:p>
        </w:tc>
        <w:tc>
          <w:tcPr>
            <w:tcW w:w="892" w:type="dxa"/>
            <w:vAlign w:val="center"/>
          </w:tcPr>
          <w:p>
            <w:pPr>
              <w:snapToGrid w:val="0"/>
              <w:spacing w:line="300" w:lineRule="auto"/>
              <w:jc w:val="center"/>
              <w:rPr>
                <w:sz w:val="18"/>
                <w:szCs w:val="18"/>
              </w:rPr>
            </w:pPr>
            <w:r>
              <w:rPr>
                <w:sz w:val="18"/>
                <w:szCs w:val="18"/>
              </w:rPr>
              <w:t>项目研究</w:t>
            </w:r>
          </w:p>
        </w:tc>
        <w:tc>
          <w:tcPr>
            <w:tcW w:w="445" w:type="dxa"/>
            <w:vAlign w:val="center"/>
          </w:tcPr>
          <w:p>
            <w:pPr>
              <w:snapToGrid w:val="0"/>
              <w:spacing w:line="300" w:lineRule="auto"/>
              <w:jc w:val="center"/>
              <w:rPr>
                <w:sz w:val="18"/>
                <w:szCs w:val="18"/>
              </w:rPr>
            </w:pPr>
            <w:r>
              <w:rPr>
                <w:sz w:val="18"/>
                <w:szCs w:val="18"/>
              </w:rPr>
              <w:t>0.1</w:t>
            </w:r>
          </w:p>
        </w:tc>
        <w:tc>
          <w:tcPr>
            <w:tcW w:w="5047" w:type="dxa"/>
            <w:vAlign w:val="center"/>
          </w:tcPr>
          <w:p>
            <w:pPr>
              <w:snapToGrid w:val="0"/>
              <w:spacing w:line="300" w:lineRule="auto"/>
              <w:jc w:val="left"/>
              <w:rPr>
                <w:sz w:val="18"/>
                <w:szCs w:val="18"/>
              </w:rPr>
            </w:pPr>
            <w:r>
              <w:rPr>
                <w:sz w:val="18"/>
                <w:szCs w:val="18"/>
              </w:rPr>
              <w:t>以小组为单位选题，撰写报告，设计PPT，最高分100分。</w:t>
            </w:r>
          </w:p>
        </w:tc>
        <w:tc>
          <w:tcPr>
            <w:tcW w:w="888" w:type="dxa"/>
            <w:vAlign w:val="center"/>
          </w:tcPr>
          <w:p>
            <w:pPr>
              <w:snapToGrid w:val="0"/>
              <w:spacing w:line="300" w:lineRule="auto"/>
              <w:jc w:val="left"/>
              <w:rPr>
                <w:sz w:val="18"/>
                <w:szCs w:val="18"/>
              </w:rPr>
            </w:pP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5" w:hRule="atLeast"/>
          <w:jc w:val="center"/>
        </w:trPr>
        <w:tc>
          <w:tcPr>
            <w:tcW w:w="882" w:type="dxa"/>
            <w:vAlign w:val="center"/>
          </w:tcPr>
          <w:p>
            <w:pPr>
              <w:snapToGrid w:val="0"/>
              <w:spacing w:line="300" w:lineRule="auto"/>
              <w:jc w:val="left"/>
              <w:rPr>
                <w:sz w:val="18"/>
                <w:szCs w:val="18"/>
              </w:rPr>
            </w:pPr>
            <w:r>
              <w:rPr>
                <w:sz w:val="18"/>
                <w:szCs w:val="18"/>
              </w:rPr>
              <w:t>期末考试成绩</w:t>
            </w:r>
          </w:p>
        </w:tc>
        <w:tc>
          <w:tcPr>
            <w:tcW w:w="447" w:type="dxa"/>
            <w:vAlign w:val="center"/>
          </w:tcPr>
          <w:p>
            <w:pPr>
              <w:snapToGrid w:val="0"/>
              <w:spacing w:line="300" w:lineRule="auto"/>
              <w:jc w:val="center"/>
              <w:rPr>
                <w:sz w:val="18"/>
                <w:szCs w:val="18"/>
              </w:rPr>
            </w:pPr>
            <w:r>
              <w:rPr>
                <w:sz w:val="18"/>
                <w:szCs w:val="18"/>
              </w:rPr>
              <w:t>100</w:t>
            </w:r>
          </w:p>
        </w:tc>
        <w:tc>
          <w:tcPr>
            <w:tcW w:w="443" w:type="dxa"/>
            <w:vAlign w:val="center"/>
          </w:tcPr>
          <w:p>
            <w:pPr>
              <w:snapToGrid w:val="0"/>
              <w:spacing w:line="300" w:lineRule="auto"/>
              <w:jc w:val="center"/>
              <w:rPr>
                <w:sz w:val="18"/>
                <w:szCs w:val="18"/>
              </w:rPr>
            </w:pPr>
            <w:r>
              <w:rPr>
                <w:sz w:val="18"/>
                <w:szCs w:val="18"/>
              </w:rPr>
              <w:t>0.6</w:t>
            </w:r>
          </w:p>
        </w:tc>
        <w:tc>
          <w:tcPr>
            <w:tcW w:w="892" w:type="dxa"/>
            <w:vAlign w:val="center"/>
          </w:tcPr>
          <w:p>
            <w:pPr>
              <w:snapToGrid w:val="0"/>
              <w:spacing w:line="300" w:lineRule="auto"/>
              <w:jc w:val="left"/>
              <w:rPr>
                <w:sz w:val="18"/>
                <w:szCs w:val="18"/>
              </w:rPr>
            </w:pPr>
            <w:r>
              <w:rPr>
                <w:sz w:val="18"/>
                <w:szCs w:val="18"/>
              </w:rPr>
              <w:t>闭卷考试</w:t>
            </w:r>
          </w:p>
        </w:tc>
        <w:tc>
          <w:tcPr>
            <w:tcW w:w="445" w:type="dxa"/>
            <w:vAlign w:val="center"/>
          </w:tcPr>
          <w:p>
            <w:pPr>
              <w:snapToGrid w:val="0"/>
              <w:spacing w:line="300" w:lineRule="auto"/>
              <w:jc w:val="center"/>
              <w:rPr>
                <w:sz w:val="18"/>
                <w:szCs w:val="18"/>
              </w:rPr>
            </w:pPr>
            <w:r>
              <w:rPr>
                <w:sz w:val="18"/>
                <w:szCs w:val="18"/>
              </w:rPr>
              <w:t>1</w:t>
            </w:r>
          </w:p>
        </w:tc>
        <w:tc>
          <w:tcPr>
            <w:tcW w:w="5047"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第1-8章。</w:t>
            </w:r>
          </w:p>
          <w:p>
            <w:pPr>
              <w:snapToGrid w:val="0"/>
              <w:spacing w:line="300" w:lineRule="auto"/>
              <w:rPr>
                <w:sz w:val="18"/>
                <w:szCs w:val="18"/>
              </w:rPr>
            </w:pPr>
            <w:r>
              <w:rPr>
                <w:sz w:val="18"/>
                <w:szCs w:val="18"/>
              </w:rPr>
              <w:t>(3)建议考试题型包括：选择题、填空题、判断、综合计算题、证明题、分析题等其中某几种题型。</w:t>
            </w:r>
          </w:p>
        </w:tc>
        <w:tc>
          <w:tcPr>
            <w:tcW w:w="888" w:type="dxa"/>
            <w:vAlign w:val="center"/>
          </w:tcPr>
          <w:p>
            <w:pPr>
              <w:snapToGrid w:val="0"/>
              <w:spacing w:line="300" w:lineRule="auto"/>
              <w:jc w:val="left"/>
              <w:rPr>
                <w:sz w:val="18"/>
                <w:szCs w:val="18"/>
              </w:rPr>
            </w:pPr>
            <w:r>
              <w:rPr>
                <w:sz w:val="18"/>
                <w:szCs w:val="18"/>
              </w:rPr>
              <w:t>1，2，3，4</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达成度评价依据和方法：</w:t>
      </w:r>
    </w:p>
    <w:p>
      <w:pPr>
        <w:spacing w:line="300" w:lineRule="auto"/>
        <w:ind w:firstLine="420" w:firstLineChars="200"/>
      </w:pPr>
      <w:r>
        <w:t>课程各目标达成情况为该项目学生的平均得分率，其计算公式为：</w:t>
      </w:r>
    </w:p>
    <w:p>
      <w:pPr>
        <w:spacing w:line="300" w:lineRule="auto"/>
        <w:jc w:val="center"/>
      </w:pPr>
      <w:r>
        <w:rPr>
          <w:position w:val="-26"/>
        </w:rPr>
        <w:object>
          <v:shape id="_x0000_i1077" o:spt="75" type="#_x0000_t75" style="height:27.75pt;width:342pt;" o:ole="t" filled="f" o:preferrelative="t" stroked="f" coordsize="21600,21600">
            <v:path/>
            <v:fill on="f" focussize="0,0"/>
            <v:stroke on="f" joinstyle="miter"/>
            <v:imagedata r:id="rId36" o:title=""/>
            <o:lock v:ext="edit" aspectratio="t"/>
            <w10:wrap type="none"/>
            <w10:anchorlock/>
          </v:shape>
          <o:OLEObject Type="Embed" ProgID="Equation.3" ShapeID="_x0000_i1077" DrawAspect="Content" ObjectID="_1468075776" r:id="rId86">
            <o:LockedField>false</o:LockedField>
          </o:OLEObject>
        </w:object>
      </w:r>
    </w:p>
    <w:p>
      <w:pPr>
        <w:spacing w:line="300" w:lineRule="auto"/>
      </w:pPr>
      <w:r>
        <w:t>课程总目标达成情况为5个课程目标的加权得分率，其计算公式为：</w:t>
      </w:r>
    </w:p>
    <w:p>
      <w:pPr>
        <w:spacing w:line="300" w:lineRule="auto"/>
        <w:jc w:val="center"/>
      </w:pPr>
      <w:r>
        <w:object>
          <v:shape id="_x0000_i1078" o:spt="75" type="#_x0000_t75" style="height:17.25pt;width:222pt;" o:ole="t" filled="f" o:preferrelative="t" stroked="f" coordsize="21600,21600">
            <v:path/>
            <v:fill on="f" focussize="0,0"/>
            <v:stroke on="f" joinstyle="miter"/>
            <v:imagedata r:id="rId38" o:title=""/>
            <o:lock v:ext="edit" aspectratio="t"/>
            <w10:wrap type="none"/>
            <w10:anchorlock/>
          </v:shape>
          <o:OLEObject Type="Embed" ProgID="Equation.DSMT4" ShapeID="_x0000_i1078" DrawAspect="Content" ObjectID="_1468075777" r:id="rId87">
            <o:LockedField>false</o:LockedField>
          </o:OLEObject>
        </w:object>
      </w:r>
    </w:p>
    <w:p>
      <w:pPr>
        <w:spacing w:line="300" w:lineRule="auto"/>
      </w:pPr>
      <w:r>
        <w:t>其中权重系数按照表6设定.</w:t>
      </w:r>
    </w:p>
    <w:p>
      <w:pPr>
        <w:spacing w:before="156" w:beforeLines="50"/>
        <w:jc w:val="center"/>
      </w:pPr>
      <w:r>
        <w:rPr>
          <w:b/>
          <w:bCs/>
          <w:sz w:val="18"/>
          <w:szCs w:val="18"/>
        </w:rPr>
        <w:t>表6课程目标权重系数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369"/>
        <w:gridCol w:w="1445"/>
        <w:gridCol w:w="1711"/>
        <w:gridCol w:w="1699"/>
        <w:gridCol w:w="132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369" w:type="dxa"/>
            <w:vAlign w:val="center"/>
          </w:tcPr>
          <w:p>
            <w:pPr>
              <w:jc w:val="center"/>
              <w:rPr>
                <w:b/>
                <w:bCs/>
                <w:sz w:val="18"/>
                <w:szCs w:val="18"/>
              </w:rPr>
            </w:pPr>
            <w:r>
              <w:rPr>
                <w:b/>
                <w:bCs/>
                <w:sz w:val="18"/>
                <w:szCs w:val="18"/>
              </w:rPr>
              <w:t>课程目标</w:t>
            </w:r>
          </w:p>
        </w:tc>
        <w:tc>
          <w:tcPr>
            <w:tcW w:w="1445" w:type="dxa"/>
            <w:vAlign w:val="center"/>
          </w:tcPr>
          <w:p>
            <w:pPr>
              <w:jc w:val="center"/>
              <w:rPr>
                <w:sz w:val="18"/>
                <w:szCs w:val="18"/>
              </w:rPr>
            </w:pPr>
            <w:r>
              <w:rPr>
                <w:sz w:val="18"/>
                <w:szCs w:val="18"/>
              </w:rPr>
              <w:t>1</w:t>
            </w:r>
          </w:p>
        </w:tc>
        <w:tc>
          <w:tcPr>
            <w:tcW w:w="1711" w:type="dxa"/>
            <w:vAlign w:val="center"/>
          </w:tcPr>
          <w:p>
            <w:pPr>
              <w:jc w:val="center"/>
              <w:rPr>
                <w:sz w:val="18"/>
                <w:szCs w:val="18"/>
              </w:rPr>
            </w:pPr>
            <w:r>
              <w:rPr>
                <w:sz w:val="18"/>
                <w:szCs w:val="18"/>
              </w:rPr>
              <w:t>2</w:t>
            </w:r>
          </w:p>
        </w:tc>
        <w:tc>
          <w:tcPr>
            <w:tcW w:w="1699" w:type="dxa"/>
            <w:vAlign w:val="center"/>
          </w:tcPr>
          <w:p>
            <w:pPr>
              <w:jc w:val="center"/>
              <w:rPr>
                <w:sz w:val="18"/>
                <w:szCs w:val="18"/>
              </w:rPr>
            </w:pPr>
            <w:r>
              <w:rPr>
                <w:sz w:val="18"/>
                <w:szCs w:val="18"/>
              </w:rPr>
              <w:t>3</w:t>
            </w:r>
          </w:p>
        </w:tc>
        <w:tc>
          <w:tcPr>
            <w:tcW w:w="1328" w:type="dxa"/>
            <w:vAlign w:val="center"/>
          </w:tcPr>
          <w:p>
            <w:pPr>
              <w:jc w:val="center"/>
              <w:rPr>
                <w:sz w:val="18"/>
                <w:szCs w:val="18"/>
              </w:rPr>
            </w:pPr>
            <w:r>
              <w:rPr>
                <w:sz w:val="18"/>
                <w:szCs w:val="18"/>
              </w:rPr>
              <w:t>4</w:t>
            </w:r>
          </w:p>
        </w:tc>
        <w:tc>
          <w:tcPr>
            <w:tcW w:w="1126" w:type="dxa"/>
            <w:vAlign w:val="center"/>
          </w:tcPr>
          <w:p>
            <w:pPr>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369" w:type="dxa"/>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权重系数</w:t>
            </w:r>
          </w:p>
        </w:tc>
        <w:tc>
          <w:tcPr>
            <w:tcW w:w="144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c>
          <w:tcPr>
            <w:tcW w:w="1711"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5</w:t>
            </w:r>
          </w:p>
        </w:tc>
        <w:tc>
          <w:tcPr>
            <w:tcW w:w="1699"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c>
          <w:tcPr>
            <w:tcW w:w="1328"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c>
          <w:tcPr>
            <w:tcW w:w="1126"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0.15</w:t>
            </w:r>
          </w:p>
        </w:tc>
      </w:tr>
    </w:tbl>
    <w:p>
      <w:pPr>
        <w:spacing w:line="300" w:lineRule="auto"/>
        <w:rPr>
          <w:color w:val="000000" w:themeColor="text1"/>
          <w14:textFill>
            <w14:solidFill>
              <w14:schemeClr w14:val="tx1"/>
            </w14:solidFill>
          </w14:textFill>
        </w:rPr>
      </w:pPr>
      <w:r>
        <w:rPr>
          <w:color w:val="000000" w:themeColor="text1"/>
          <w14:textFill>
            <w14:solidFill>
              <w14:schemeClr w14:val="tx1"/>
            </w14:solidFill>
          </w14:textFill>
        </w:rPr>
        <w:t>课程毕业要求指标点达成情况评价：</w:t>
      </w:r>
    </w:p>
    <w:p>
      <w:pPr>
        <w:spacing w:line="300" w:lineRule="auto"/>
        <w:ind w:firstLine="420" w:firstLineChars="200"/>
      </w:pPr>
      <w:r>
        <w:rPr>
          <w:color w:val="000000" w:themeColor="text1"/>
          <w14:textFill>
            <w14:solidFill>
              <w14:schemeClr w14:val="tx1"/>
            </w14:solidFill>
          </w14:textFill>
        </w:rPr>
        <w:t>课程支撑毕业要求指标点的达成情况为对应的课程目标达成情况的加权值，其计算公式</w:t>
      </w:r>
      <w:r>
        <w:t>为：</w:t>
      </w:r>
    </w:p>
    <w:p>
      <w:pPr>
        <w:spacing w:line="300" w:lineRule="auto"/>
        <w:jc w:val="center"/>
      </w:pPr>
      <w:r>
        <w:object>
          <v:shape id="_x0000_i1079" o:spt="75" type="#_x0000_t75" style="height:17.25pt;width:267pt;" o:ole="t" filled="f" o:preferrelative="t" stroked="f" coordsize="21600,21600">
            <v:path/>
            <v:fill on="f" focussize="0,0"/>
            <v:stroke on="f" joinstyle="miter"/>
            <v:imagedata r:id="rId40" o:title=""/>
            <o:lock v:ext="edit" aspectratio="t"/>
            <w10:wrap type="none"/>
            <w10:anchorlock/>
          </v:shape>
          <o:OLEObject Type="Embed" ProgID="Equation.3" ShapeID="_x0000_i1079" DrawAspect="Content" ObjectID="_1468075778" r:id="rId88">
            <o:LockedField>false</o:LockedField>
          </o:OLEObject>
        </w:object>
      </w:r>
    </w:p>
    <w:p>
      <w:pPr>
        <w:snapToGrid w:val="0"/>
        <w:spacing w:line="300" w:lineRule="auto"/>
        <w:ind w:firstLine="420" w:firstLineChars="200"/>
        <w:rPr>
          <w:szCs w:val="21"/>
        </w:rPr>
      </w:pPr>
      <w:r>
        <w:rPr>
          <w:szCs w:val="21"/>
        </w:rPr>
        <w:t>课程总结要求：</w:t>
      </w:r>
    </w:p>
    <w:p>
      <w:pPr>
        <w:snapToGrid w:val="0"/>
        <w:spacing w:line="300" w:lineRule="auto"/>
        <w:ind w:firstLine="420" w:firstLineChars="200"/>
        <w:rPr>
          <w:szCs w:val="21"/>
        </w:rPr>
      </w:pPr>
      <w:r>
        <w:rPr>
          <w:szCs w:val="21"/>
          <w:shd w:val="clear" w:color="auto" w:fill="FFFFFF"/>
        </w:rPr>
        <w:t> </w:t>
      </w: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36"/>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阎石．数字电子技术基础（第六版）[M]．北京：高等教育出版社．2016-01．</w:t>
      </w:r>
    </w:p>
    <w:p>
      <w:pPr>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rPr>
        <w:t>2．</w:t>
      </w:r>
      <w:r>
        <w:rPr>
          <w:rFonts w:ascii="Times New Roman" w:hAnsi="Times New Roman" w:eastAsia="宋体" w:cs="Times New Roman"/>
          <w:kern w:val="0"/>
          <w:szCs w:val="21"/>
        </w:rPr>
        <w:t>参考资料：</w:t>
      </w:r>
    </w:p>
    <w:p>
      <w:pPr>
        <w:numPr>
          <w:ilvl w:val="0"/>
          <w:numId w:val="37"/>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康华光.电子技术基础数字部分（第五版）[M].北京：高等教育出版社.2016-</w:t>
      </w:r>
      <w:r>
        <w:rPr>
          <w:rFonts w:hint="eastAsia" w:ascii="Times New Roman" w:hAnsi="Times New Roman" w:eastAsia="宋体" w:cs="Times New Roman"/>
          <w:kern w:val="0"/>
          <w:szCs w:val="21"/>
        </w:rPr>
        <w:t>0</w:t>
      </w:r>
      <w:r>
        <w:rPr>
          <w:rFonts w:ascii="Times New Roman" w:hAnsi="Times New Roman" w:eastAsia="宋体" w:cs="Times New Roman"/>
          <w:kern w:val="0"/>
          <w:szCs w:val="21"/>
        </w:rPr>
        <w:t>1.</w:t>
      </w:r>
    </w:p>
    <w:p>
      <w:pPr>
        <w:numPr>
          <w:ilvl w:val="0"/>
          <w:numId w:val="37"/>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阎石．数字电子技术基本教程[M]．北京：清华大学出版社．2018-12.</w:t>
      </w:r>
    </w:p>
    <w:p>
      <w:pPr>
        <w:numPr>
          <w:ilvl w:val="0"/>
          <w:numId w:val="37"/>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王毓银.数字电路逻辑设计（第二版）[M].北京：高等教育出版社．2018-05.</w:t>
      </w:r>
    </w:p>
    <w:p>
      <w:pPr>
        <w:numPr>
          <w:ilvl w:val="0"/>
          <w:numId w:val="37"/>
        </w:numPr>
        <w:snapToGrid w:val="0"/>
        <w:spacing w:line="300" w:lineRule="auto"/>
        <w:rPr>
          <w:rFonts w:ascii="Times New Roman" w:hAnsi="Times New Roman" w:eastAsia="宋体" w:cs="Times New Roman"/>
        </w:rPr>
      </w:pPr>
      <w:r>
        <w:fldChar w:fldCharType="begin"/>
      </w:r>
      <w:r>
        <w:instrText xml:space="preserve"> HYPERLINK "https://www.amazon.cn/s/ref=dp_byline_sr_book_1?ie=UTF8&amp;field-author=Mark+Nixon&amp;search-alias=books" </w:instrText>
      </w:r>
      <w:r>
        <w:fldChar w:fldCharType="separate"/>
      </w:r>
      <w:r>
        <w:rPr>
          <w:rFonts w:ascii="Times New Roman" w:hAnsi="Times New Roman" w:eastAsia="宋体" w:cs="Times New Roman"/>
          <w:bCs/>
        </w:rPr>
        <w:t>Mark Nixon</w:t>
      </w:r>
      <w:r>
        <w:rPr>
          <w:rFonts w:ascii="Times New Roman" w:hAnsi="Times New Roman" w:eastAsia="宋体" w:cs="Times New Roman"/>
          <w:bCs/>
        </w:rPr>
        <w:fldChar w:fldCharType="end"/>
      </w:r>
      <w:r>
        <w:rPr>
          <w:rFonts w:ascii="Times New Roman" w:hAnsi="Times New Roman" w:eastAsia="宋体" w:cs="Times New Roman"/>
          <w:bCs/>
        </w:rPr>
        <w:t>，Digital Electronics: A Primer - Introductory Logic Circuit Design[M]，Imperial College Press，2015.</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adjustRightInd w:val="0"/>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adjustRightInd w:val="0"/>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8217" w:type="dxa"/>
          </w:tcPr>
          <w:p>
            <w:pPr>
              <w:adjustRightInd w:val="0"/>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adjustRightInd w:val="0"/>
              <w:snapToGrid w:val="0"/>
              <w:spacing w:line="300" w:lineRule="auto"/>
              <w:ind w:right="200"/>
              <w:rPr>
                <w:rFonts w:ascii="Times New Roman" w:hAnsi="Times New Roman" w:eastAsia="宋体" w:cs="Times New Roman"/>
                <w:kern w:val="0"/>
                <w:sz w:val="20"/>
                <w:szCs w:val="21"/>
              </w:rPr>
            </w:pPr>
          </w:p>
          <w:p>
            <w:pPr>
              <w:adjustRightInd w:val="0"/>
              <w:snapToGrid w:val="0"/>
              <w:spacing w:line="300" w:lineRule="auto"/>
              <w:ind w:right="200"/>
              <w:jc w:val="right"/>
              <w:rPr>
                <w:rFonts w:ascii="Times New Roman" w:hAnsi="Times New Roman" w:eastAsia="宋体" w:cs="Times New Roman"/>
                <w:kern w:val="0"/>
                <w:sz w:val="20"/>
                <w:szCs w:val="21"/>
              </w:rPr>
            </w:pPr>
          </w:p>
        </w:tc>
      </w:tr>
    </w:tbl>
    <w:p>
      <w:pPr>
        <w:keepNext/>
        <w:keepLines/>
        <w:tabs>
          <w:tab w:val="left" w:pos="0"/>
          <w:tab w:val="left" w:pos="420"/>
        </w:tabs>
        <w:spacing w:before="260" w:after="260" w:line="413" w:lineRule="auto"/>
        <w:jc w:val="center"/>
        <w:outlineLvl w:val="2"/>
        <w:rPr>
          <w:rFonts w:ascii="Times New Roman" w:hAnsi="Times New Roman" w:eastAsia="宋体" w:cs="Times New Roman"/>
          <w:b/>
          <w:sz w:val="32"/>
        </w:rPr>
      </w:pPr>
      <w:r>
        <w:rPr>
          <w:sz w:val="32"/>
        </w:rPr>
        <w:br w:type="page"/>
      </w:r>
      <w:bookmarkEnd w:id="87"/>
      <w:bookmarkEnd w:id="88"/>
      <w:bookmarkEnd w:id="89"/>
      <w:bookmarkStart w:id="91" w:name="_Toc18170"/>
      <w:bookmarkStart w:id="92" w:name="_Toc62651729"/>
      <w:bookmarkStart w:id="93" w:name="_Toc46489657"/>
      <w:bookmarkStart w:id="94" w:name="_Toc38126111"/>
      <w:bookmarkStart w:id="95" w:name="_Toc47774712"/>
      <w:bookmarkStart w:id="96" w:name="_Toc47718785"/>
      <w:bookmarkStart w:id="97" w:name="_Toc47719756"/>
      <w:r>
        <w:rPr>
          <w:rFonts w:ascii="Times New Roman" w:hAnsi="Times New Roman" w:eastAsia="宋体" w:cs="Times New Roman"/>
          <w:b/>
          <w:sz w:val="32"/>
        </w:rPr>
        <w:t>16632209《高频电子线路》课程教学大纲</w:t>
      </w:r>
      <w:bookmarkEnd w:id="91"/>
      <w:bookmarkEnd w:id="92"/>
      <w:bookmarkStart w:id="98" w:name="_Toc46489656"/>
      <w:bookmarkStart w:id="99" w:name="_Toc38126110"/>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971"/>
        <w:gridCol w:w="1189"/>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476" w:type="dxa"/>
            <w:vAlign w:val="center"/>
          </w:tcPr>
          <w:p>
            <w:pPr>
              <w:jc w:val="center"/>
              <w:rPr>
                <w:szCs w:val="21"/>
              </w:rPr>
            </w:pPr>
            <w:r>
              <w:rPr>
                <w:szCs w:val="21"/>
              </w:rPr>
              <w:t>课程编号</w:t>
            </w:r>
          </w:p>
        </w:tc>
        <w:tc>
          <w:tcPr>
            <w:tcW w:w="2971" w:type="dxa"/>
            <w:vAlign w:val="center"/>
          </w:tcPr>
          <w:p>
            <w:pPr>
              <w:jc w:val="center"/>
              <w:rPr>
                <w:szCs w:val="21"/>
              </w:rPr>
            </w:pPr>
            <w:r>
              <w:rPr>
                <w:szCs w:val="21"/>
              </w:rPr>
              <w:t>16632209</w:t>
            </w:r>
          </w:p>
        </w:tc>
        <w:tc>
          <w:tcPr>
            <w:tcW w:w="1189" w:type="dxa"/>
            <w:vAlign w:val="center"/>
          </w:tcPr>
          <w:p>
            <w:pPr>
              <w:jc w:val="center"/>
              <w:rPr>
                <w:szCs w:val="21"/>
              </w:rPr>
            </w:pPr>
            <w:r>
              <w:rPr>
                <w:szCs w:val="21"/>
              </w:rPr>
              <w:t>课程名称</w:t>
            </w:r>
          </w:p>
        </w:tc>
        <w:tc>
          <w:tcPr>
            <w:tcW w:w="3045" w:type="dxa"/>
            <w:vAlign w:val="center"/>
          </w:tcPr>
          <w:p>
            <w:pPr>
              <w:jc w:val="center"/>
              <w:rPr>
                <w:szCs w:val="21"/>
              </w:rPr>
            </w:pPr>
            <w:r>
              <w:rPr>
                <w:szCs w:val="21"/>
              </w:rPr>
              <w:t>高频电子线路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76" w:type="dxa"/>
            <w:vAlign w:val="center"/>
          </w:tcPr>
          <w:p>
            <w:pPr>
              <w:jc w:val="center"/>
              <w:rPr>
                <w:szCs w:val="21"/>
              </w:rPr>
            </w:pPr>
            <w:r>
              <w:rPr>
                <w:szCs w:val="21"/>
              </w:rPr>
              <w:t>课程性质*</w:t>
            </w:r>
          </w:p>
        </w:tc>
        <w:tc>
          <w:tcPr>
            <w:tcW w:w="2971" w:type="dxa"/>
            <w:vAlign w:val="center"/>
          </w:tcPr>
          <w:p>
            <w:pPr>
              <w:jc w:val="center"/>
              <w:rPr>
                <w:szCs w:val="21"/>
              </w:rPr>
            </w:pPr>
            <w:r>
              <w:rPr>
                <w:szCs w:val="21"/>
              </w:rPr>
              <w:t>专业基础类</w:t>
            </w:r>
          </w:p>
        </w:tc>
        <w:tc>
          <w:tcPr>
            <w:tcW w:w="1189" w:type="dxa"/>
            <w:vAlign w:val="center"/>
          </w:tcPr>
          <w:p>
            <w:pPr>
              <w:jc w:val="center"/>
              <w:rPr>
                <w:szCs w:val="21"/>
              </w:rPr>
            </w:pPr>
            <w:r>
              <w:rPr>
                <w:szCs w:val="21"/>
              </w:rPr>
              <w:t>英文名称</w:t>
            </w:r>
          </w:p>
        </w:tc>
        <w:tc>
          <w:tcPr>
            <w:tcW w:w="3045" w:type="dxa"/>
            <w:vAlign w:val="center"/>
          </w:tcPr>
          <w:p>
            <w:pPr>
              <w:jc w:val="center"/>
              <w:rPr>
                <w:sz w:val="18"/>
                <w:szCs w:val="18"/>
              </w:rPr>
            </w:pPr>
            <w:r>
              <w:rPr>
                <w:szCs w:val="21"/>
              </w:rPr>
              <w:t>High-Frenquency Electronic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476" w:type="dxa"/>
            <w:vAlign w:val="center"/>
          </w:tcPr>
          <w:p>
            <w:pPr>
              <w:jc w:val="center"/>
              <w:rPr>
                <w:szCs w:val="21"/>
              </w:rPr>
            </w:pPr>
            <w:r>
              <w:rPr>
                <w:szCs w:val="21"/>
              </w:rPr>
              <w:t>学分学时</w:t>
            </w:r>
          </w:p>
        </w:tc>
        <w:tc>
          <w:tcPr>
            <w:tcW w:w="2971" w:type="dxa"/>
            <w:vAlign w:val="center"/>
          </w:tcPr>
          <w:p>
            <w:pPr>
              <w:jc w:val="center"/>
              <w:rPr>
                <w:szCs w:val="21"/>
              </w:rPr>
            </w:pPr>
            <w:r>
              <w:rPr>
                <w:szCs w:val="21"/>
              </w:rPr>
              <w:t xml:space="preserve">2.5 </w:t>
            </w:r>
            <w:r>
              <w:rPr>
                <w:kern w:val="0"/>
                <w:szCs w:val="21"/>
              </w:rPr>
              <w:t>: 40</w:t>
            </w:r>
            <w:r>
              <w:rPr>
                <w:szCs w:val="21"/>
              </w:rPr>
              <w:t>（8）</w:t>
            </w:r>
          </w:p>
        </w:tc>
        <w:tc>
          <w:tcPr>
            <w:tcW w:w="1189" w:type="dxa"/>
            <w:vAlign w:val="center"/>
          </w:tcPr>
          <w:p>
            <w:pPr>
              <w:jc w:val="center"/>
              <w:rPr>
                <w:szCs w:val="21"/>
              </w:rPr>
            </w:pPr>
            <w:r>
              <w:rPr>
                <w:kern w:val="0"/>
                <w:szCs w:val="20"/>
              </w:rPr>
              <w:t>任课教师</w:t>
            </w:r>
          </w:p>
        </w:tc>
        <w:tc>
          <w:tcPr>
            <w:tcW w:w="3045" w:type="dxa"/>
            <w:vAlign w:val="center"/>
          </w:tcPr>
          <w:p>
            <w:pPr>
              <w:jc w:val="center"/>
              <w:rPr>
                <w:szCs w:val="21"/>
              </w:rPr>
            </w:pPr>
            <w:r>
              <w:rPr>
                <w:kern w:val="0"/>
                <w:szCs w:val="20"/>
              </w:rPr>
              <w:t>王骥、李依潼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76" w:type="dxa"/>
            <w:vAlign w:val="center"/>
          </w:tcPr>
          <w:p>
            <w:pPr>
              <w:jc w:val="center"/>
              <w:rPr>
                <w:kern w:val="0"/>
                <w:szCs w:val="20"/>
              </w:rPr>
            </w:pPr>
            <w:r>
              <w:rPr>
                <w:kern w:val="0"/>
                <w:szCs w:val="20"/>
              </w:rPr>
              <w:t>企业专家</w:t>
            </w:r>
          </w:p>
        </w:tc>
        <w:tc>
          <w:tcPr>
            <w:tcW w:w="2971" w:type="dxa"/>
            <w:vAlign w:val="center"/>
          </w:tcPr>
          <w:p>
            <w:pPr>
              <w:widowControl/>
              <w:jc w:val="center"/>
              <w:rPr>
                <w:kern w:val="0"/>
                <w:szCs w:val="20"/>
              </w:rPr>
            </w:pPr>
            <w:r>
              <w:rPr>
                <w:kern w:val="0"/>
                <w:szCs w:val="20"/>
              </w:rPr>
              <w:t>曾耿滨</w:t>
            </w:r>
          </w:p>
        </w:tc>
        <w:tc>
          <w:tcPr>
            <w:tcW w:w="1189" w:type="dxa"/>
            <w:vAlign w:val="center"/>
          </w:tcPr>
          <w:p>
            <w:pPr>
              <w:jc w:val="center"/>
              <w:rPr>
                <w:kern w:val="0"/>
                <w:szCs w:val="20"/>
              </w:rPr>
            </w:pPr>
            <w:r>
              <w:rPr>
                <w:kern w:val="0"/>
                <w:szCs w:val="20"/>
              </w:rPr>
              <w:t>行业专家</w:t>
            </w:r>
          </w:p>
        </w:tc>
        <w:tc>
          <w:tcPr>
            <w:tcW w:w="3045" w:type="dxa"/>
            <w:vAlign w:val="center"/>
          </w:tcPr>
          <w:p>
            <w:pPr>
              <w:widowControl/>
              <w:jc w:val="center"/>
              <w:rPr>
                <w:kern w:val="0"/>
                <w:szCs w:val="20"/>
              </w:rPr>
            </w:pPr>
            <w:r>
              <w:rPr>
                <w:kern w:val="0"/>
                <w:szCs w:val="20"/>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476" w:type="dxa"/>
            <w:vAlign w:val="center"/>
          </w:tcPr>
          <w:p>
            <w:pPr>
              <w:widowControl/>
              <w:jc w:val="center"/>
              <w:rPr>
                <w:kern w:val="0"/>
                <w:szCs w:val="20"/>
              </w:rPr>
            </w:pPr>
            <w:r>
              <w:rPr>
                <w:kern w:val="0"/>
                <w:szCs w:val="20"/>
              </w:rPr>
              <w:t>执笔教师</w:t>
            </w:r>
          </w:p>
        </w:tc>
        <w:tc>
          <w:tcPr>
            <w:tcW w:w="2971" w:type="dxa"/>
            <w:vAlign w:val="center"/>
          </w:tcPr>
          <w:p>
            <w:pPr>
              <w:widowControl/>
              <w:jc w:val="center"/>
              <w:rPr>
                <w:kern w:val="0"/>
                <w:szCs w:val="20"/>
              </w:rPr>
            </w:pPr>
            <w:r>
              <w:rPr>
                <w:kern w:val="0"/>
                <w:szCs w:val="20"/>
              </w:rPr>
              <w:t>李依潼</w:t>
            </w:r>
          </w:p>
        </w:tc>
        <w:tc>
          <w:tcPr>
            <w:tcW w:w="1189" w:type="dxa"/>
            <w:vAlign w:val="center"/>
          </w:tcPr>
          <w:p>
            <w:pPr>
              <w:widowControl/>
              <w:jc w:val="center"/>
              <w:rPr>
                <w:kern w:val="0"/>
                <w:szCs w:val="20"/>
              </w:rPr>
            </w:pPr>
            <w:r>
              <w:rPr>
                <w:kern w:val="0"/>
                <w:szCs w:val="20"/>
              </w:rPr>
              <w:t>责任教授</w:t>
            </w:r>
          </w:p>
        </w:tc>
        <w:tc>
          <w:tcPr>
            <w:tcW w:w="3045" w:type="dxa"/>
            <w:vAlign w:val="center"/>
          </w:tcPr>
          <w:p>
            <w:pPr>
              <w:widowControl/>
              <w:jc w:val="center"/>
              <w:rPr>
                <w:kern w:val="0"/>
                <w:szCs w:val="20"/>
              </w:rPr>
            </w:pPr>
            <w:r>
              <w:rPr>
                <w:kern w:val="0"/>
                <w:szCs w:val="20"/>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76" w:type="dxa"/>
            <w:vAlign w:val="center"/>
          </w:tcPr>
          <w:p>
            <w:pPr>
              <w:widowControl/>
              <w:jc w:val="center"/>
              <w:rPr>
                <w:kern w:val="0"/>
                <w:szCs w:val="20"/>
              </w:rPr>
            </w:pPr>
            <w:r>
              <w:rPr>
                <w:kern w:val="0"/>
                <w:szCs w:val="20"/>
              </w:rPr>
              <w:t>适用专业</w:t>
            </w:r>
          </w:p>
        </w:tc>
        <w:tc>
          <w:tcPr>
            <w:tcW w:w="2971" w:type="dxa"/>
            <w:vAlign w:val="center"/>
          </w:tcPr>
          <w:p>
            <w:pPr>
              <w:widowControl/>
              <w:jc w:val="center"/>
              <w:rPr>
                <w:kern w:val="0"/>
                <w:szCs w:val="20"/>
              </w:rPr>
            </w:pPr>
            <w:r>
              <w:rPr>
                <w:kern w:val="0"/>
                <w:szCs w:val="20"/>
              </w:rPr>
              <w:t>电子信息工程</w:t>
            </w:r>
          </w:p>
        </w:tc>
        <w:tc>
          <w:tcPr>
            <w:tcW w:w="1189" w:type="dxa"/>
            <w:vAlign w:val="center"/>
          </w:tcPr>
          <w:p>
            <w:pPr>
              <w:widowControl/>
              <w:jc w:val="center"/>
              <w:rPr>
                <w:kern w:val="0"/>
                <w:szCs w:val="20"/>
              </w:rPr>
            </w:pPr>
            <w:r>
              <w:rPr>
                <w:kern w:val="0"/>
                <w:szCs w:val="20"/>
              </w:rPr>
              <w:t>适用对象</w:t>
            </w:r>
          </w:p>
        </w:tc>
        <w:tc>
          <w:tcPr>
            <w:tcW w:w="3045" w:type="dxa"/>
            <w:vAlign w:val="center"/>
          </w:tcPr>
          <w:p>
            <w:pPr>
              <w:widowControl/>
              <w:jc w:val="center"/>
              <w:rPr>
                <w:kern w:val="0"/>
                <w:szCs w:val="20"/>
              </w:rPr>
            </w:pPr>
            <w:r>
              <w:rPr>
                <w:kern w:val="0"/>
                <w:szCs w:val="20"/>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76" w:type="dxa"/>
            <w:vAlign w:val="center"/>
          </w:tcPr>
          <w:p>
            <w:pPr>
              <w:jc w:val="center"/>
              <w:rPr>
                <w:kern w:val="0"/>
                <w:szCs w:val="20"/>
              </w:rPr>
            </w:pPr>
            <w:r>
              <w:rPr>
                <w:szCs w:val="21"/>
              </w:rPr>
              <w:t>先修课程</w:t>
            </w:r>
          </w:p>
        </w:tc>
        <w:tc>
          <w:tcPr>
            <w:tcW w:w="2971" w:type="dxa"/>
            <w:vAlign w:val="center"/>
          </w:tcPr>
          <w:p>
            <w:pPr>
              <w:widowControl/>
              <w:jc w:val="center"/>
              <w:rPr>
                <w:kern w:val="0"/>
                <w:szCs w:val="20"/>
              </w:rPr>
            </w:pPr>
            <w:r>
              <w:rPr>
                <w:szCs w:val="21"/>
              </w:rPr>
              <w:t>高等数学</w:t>
            </w:r>
            <w:r>
              <w:rPr>
                <w:kern w:val="0"/>
                <w:szCs w:val="20"/>
              </w:rPr>
              <w:t>；</w:t>
            </w:r>
            <w:r>
              <w:rPr>
                <w:szCs w:val="21"/>
              </w:rPr>
              <w:t>工程数学</w:t>
            </w:r>
            <w:r>
              <w:rPr>
                <w:kern w:val="0"/>
                <w:szCs w:val="20"/>
              </w:rPr>
              <w:t>；</w:t>
            </w:r>
            <w:r>
              <w:rPr>
                <w:szCs w:val="21"/>
              </w:rPr>
              <w:t>电路分析</w:t>
            </w:r>
            <w:r>
              <w:rPr>
                <w:kern w:val="0"/>
                <w:szCs w:val="20"/>
              </w:rPr>
              <w:t>；</w:t>
            </w:r>
            <w:r>
              <w:rPr>
                <w:szCs w:val="21"/>
              </w:rPr>
              <w:t>模拟电子技术</w:t>
            </w:r>
            <w:r>
              <w:rPr>
                <w:kern w:val="0"/>
                <w:szCs w:val="20"/>
              </w:rPr>
              <w:t>；</w:t>
            </w:r>
            <w:r>
              <w:rPr>
                <w:szCs w:val="21"/>
              </w:rPr>
              <w:t>信号与系统</w:t>
            </w:r>
          </w:p>
        </w:tc>
        <w:tc>
          <w:tcPr>
            <w:tcW w:w="1189" w:type="dxa"/>
            <w:vAlign w:val="center"/>
          </w:tcPr>
          <w:p>
            <w:pPr>
              <w:snapToGrid w:val="0"/>
              <w:spacing w:line="300" w:lineRule="auto"/>
              <w:jc w:val="center"/>
              <w:rPr>
                <w:kern w:val="0"/>
                <w:szCs w:val="20"/>
              </w:rPr>
            </w:pPr>
            <w:r>
              <w:rPr>
                <w:szCs w:val="21"/>
              </w:rPr>
              <w:t>同修课程</w:t>
            </w:r>
          </w:p>
        </w:tc>
        <w:tc>
          <w:tcPr>
            <w:tcW w:w="3045" w:type="dxa"/>
            <w:vAlign w:val="center"/>
          </w:tcPr>
          <w:p>
            <w:pPr>
              <w:widowControl/>
              <w:jc w:val="center"/>
              <w:rPr>
                <w:kern w:val="0"/>
                <w:szCs w:val="20"/>
              </w:rPr>
            </w:pPr>
            <w:r>
              <w:rPr>
                <w:kern w:val="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476" w:type="dxa"/>
            <w:vAlign w:val="center"/>
          </w:tcPr>
          <w:p>
            <w:pPr>
              <w:jc w:val="center"/>
              <w:rPr>
                <w:szCs w:val="21"/>
              </w:rPr>
            </w:pPr>
            <w:r>
              <w:rPr>
                <w:szCs w:val="21"/>
              </w:rPr>
              <w:t>排斥课程</w:t>
            </w:r>
          </w:p>
        </w:tc>
        <w:tc>
          <w:tcPr>
            <w:tcW w:w="2971" w:type="dxa"/>
            <w:vAlign w:val="center"/>
          </w:tcPr>
          <w:p>
            <w:pPr>
              <w:widowControl/>
              <w:jc w:val="center"/>
              <w:rPr>
                <w:kern w:val="0"/>
                <w:szCs w:val="20"/>
              </w:rPr>
            </w:pPr>
            <w:r>
              <w:rPr>
                <w:kern w:val="0"/>
                <w:szCs w:val="20"/>
              </w:rPr>
              <w:t>无</w:t>
            </w:r>
          </w:p>
        </w:tc>
        <w:tc>
          <w:tcPr>
            <w:tcW w:w="1189" w:type="dxa"/>
            <w:vAlign w:val="center"/>
          </w:tcPr>
          <w:p>
            <w:pPr>
              <w:snapToGrid w:val="0"/>
              <w:spacing w:line="300" w:lineRule="auto"/>
              <w:jc w:val="center"/>
              <w:rPr>
                <w:szCs w:val="21"/>
              </w:rPr>
            </w:pPr>
            <w:r>
              <w:rPr>
                <w:szCs w:val="21"/>
              </w:rPr>
              <w:t>定稿日期</w:t>
            </w:r>
          </w:p>
        </w:tc>
        <w:tc>
          <w:tcPr>
            <w:tcW w:w="3045" w:type="dxa"/>
            <w:vAlign w:val="center"/>
          </w:tcPr>
          <w:p>
            <w:pPr>
              <w:widowControl/>
              <w:jc w:val="center"/>
              <w:rPr>
                <w:kern w:val="0"/>
                <w:szCs w:val="20"/>
              </w:rPr>
            </w:pPr>
            <w:r>
              <w:rPr>
                <w:rFonts w:hint="eastAsia"/>
                <w:kern w:val="0"/>
                <w:szCs w:val="21"/>
              </w:rPr>
              <w:t>2022.5.10</w:t>
            </w:r>
          </w:p>
        </w:tc>
      </w:tr>
    </w:tbl>
    <w:p>
      <w:pPr>
        <w:snapToGrid w:val="0"/>
        <w:spacing w:line="300" w:lineRule="auto"/>
        <w:ind w:firstLine="420" w:firstLineChars="200"/>
        <w:rPr>
          <w:kern w:val="0"/>
          <w:szCs w:val="20"/>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《高频电子线路》是</w:t>
      </w:r>
      <w:r>
        <w:rPr>
          <w:bCs/>
          <w:szCs w:val="21"/>
        </w:rPr>
        <w:t>电子、信息、通信类</w:t>
      </w:r>
      <w:r>
        <w:rPr>
          <w:szCs w:val="21"/>
        </w:rPr>
        <w:t>专业必修的专业主修课。本课程以分立元件构成的基本非线性电路为基础，以集成电路为主体，系统讲解通信系统中无线电发送和接收设备中的高频小信号放大器、高频功率放大器、高频振荡电路、振幅调制解调电路、角度调制解调电路、变频电路和反馈控制电路等具体单元电路；重点阐述高频电路的基本概念、基本原理、基本分析方法以及典型电路，具有较强的理论性的工程应用性；使学生初步建立起信息传输系统的整体概念，培养学生从数学、物理及工程的角度去分析问题和解决问题的能力，为后续专业课程的学习打好基础。</w:t>
      </w:r>
    </w:p>
    <w:p>
      <w:pPr>
        <w:snapToGrid w:val="0"/>
        <w:spacing w:before="156" w:beforeLines="50" w:after="156" w:afterLines="50" w:line="300" w:lineRule="auto"/>
        <w:rPr>
          <w:b/>
          <w:sz w:val="24"/>
        </w:rPr>
      </w:pPr>
      <w:r>
        <w:rPr>
          <w:b/>
          <w:sz w:val="24"/>
        </w:rPr>
        <w:t>二、课程教学目标</w:t>
      </w:r>
    </w:p>
    <w:p>
      <w:pPr>
        <w:snapToGrid w:val="0"/>
        <w:spacing w:line="300" w:lineRule="auto"/>
        <w:ind w:firstLine="420" w:firstLineChars="200"/>
      </w:pPr>
      <w:r>
        <w:rPr>
          <w:szCs w:val="21"/>
        </w:rPr>
        <w:t>通过本课程的学习让电子信息类专业的学生对无线通信系统、高频设备中具体单元电路的组成、性能、特点有概念性的理解，从理论上掌握通信系统架构、典型电路原理以及重要参数计算，从技能上具备仪器使用、安装调试以及初步设计能力，对未来的职业规划有一定的认识。讲授过程中植入无线电学史、前人学者的先进事迹和射频通信前沿技术，引导学生形成正确的价值、道德、职责等观念，</w:t>
      </w:r>
      <w:r>
        <w:t>强调科学教育的同时提升人文素养。本课程具体教学目标如下：</w:t>
      </w:r>
    </w:p>
    <w:p>
      <w:pPr>
        <w:snapToGrid w:val="0"/>
        <w:spacing w:line="300" w:lineRule="auto"/>
        <w:ind w:firstLine="420" w:firstLineChars="200"/>
        <w:rPr>
          <w:szCs w:val="21"/>
        </w:rPr>
      </w:pPr>
      <w:r>
        <w:rPr>
          <w:szCs w:val="21"/>
        </w:rPr>
        <w:t xml:space="preserve">1. </w:t>
      </w:r>
      <w:bookmarkStart w:id="100" w:name="_Hlk102908091"/>
      <w:r>
        <w:rPr>
          <w:szCs w:val="21"/>
        </w:rPr>
        <w:t>了解构成通信系统各类部件的组成、特点、性能指标以及在通信系统中的地位和作用，列举重要新技术的发展趋势；归纳和指出高频电路中的基本概念、基本原理、基本方法以及技术要求。</w:t>
      </w:r>
      <w:bookmarkEnd w:id="100"/>
      <w:r>
        <w:rPr>
          <w:szCs w:val="21"/>
        </w:rPr>
        <w:t>[1.3]</w:t>
      </w:r>
    </w:p>
    <w:p>
      <w:pPr>
        <w:snapToGrid w:val="0"/>
        <w:spacing w:line="300" w:lineRule="auto"/>
        <w:ind w:firstLine="420" w:firstLineChars="200"/>
        <w:rPr>
          <w:szCs w:val="21"/>
        </w:rPr>
      </w:pPr>
      <w:r>
        <w:rPr>
          <w:szCs w:val="21"/>
        </w:rPr>
        <w:t xml:space="preserve">2. </w:t>
      </w:r>
      <w:bookmarkStart w:id="101" w:name="_Hlk102908104"/>
      <w:r>
        <w:rPr>
          <w:szCs w:val="21"/>
        </w:rPr>
        <w:t>辨识频率选择电路、阻抗匹配与阻抗变换电路、LC谐振放大电路、晶体振荡电路、乘法器电路、线性时变电路、包络检波电路、变容二极管调频电路、鉴频与鉴相电路等典型电路，能够解释它们的组成、原理及性能，并针对实际工程问题和应用对象进行电路方案选择。</w:t>
      </w:r>
      <w:bookmarkEnd w:id="101"/>
      <w:r>
        <w:rPr>
          <w:szCs w:val="21"/>
        </w:rPr>
        <w:t xml:space="preserve">[1.3] </w:t>
      </w:r>
    </w:p>
    <w:p>
      <w:pPr>
        <w:snapToGrid w:val="0"/>
        <w:spacing w:line="300" w:lineRule="auto"/>
        <w:ind w:firstLine="420" w:firstLineChars="200"/>
        <w:rPr>
          <w:szCs w:val="21"/>
        </w:rPr>
      </w:pPr>
      <w:r>
        <w:rPr>
          <w:szCs w:val="21"/>
        </w:rPr>
        <w:t xml:space="preserve">3. </w:t>
      </w:r>
      <w:bookmarkStart w:id="102" w:name="_Hlk102908134"/>
      <w:r>
        <w:rPr>
          <w:szCs w:val="21"/>
        </w:rPr>
        <w:t>掌握和推演非线性电路的近似分析方法、线性时变电路的分析方法、频谱搬移方法、调制解调的基本方法、反馈控制的基本方法，具备对给定实际电路进行分析与应用的专业素质</w:t>
      </w:r>
      <w:bookmarkEnd w:id="102"/>
      <w:r>
        <w:rPr>
          <w:szCs w:val="21"/>
        </w:rPr>
        <w:t>。[1.3]</w:t>
      </w:r>
    </w:p>
    <w:p>
      <w:pPr>
        <w:snapToGrid w:val="0"/>
        <w:spacing w:line="300" w:lineRule="auto"/>
        <w:ind w:firstLine="420" w:firstLineChars="200"/>
        <w:rPr>
          <w:szCs w:val="21"/>
        </w:rPr>
      </w:pPr>
      <w:r>
        <w:rPr>
          <w:szCs w:val="21"/>
        </w:rPr>
        <w:t xml:space="preserve">4. </w:t>
      </w:r>
      <w:bookmarkStart w:id="103" w:name="_Hlk102908157"/>
      <w:r>
        <w:rPr>
          <w:szCs w:val="21"/>
        </w:rPr>
        <w:t>理解单元电路的设计方法，合理选择高频电路元件参数，能够初步设计谐振回路、单调谐回路谐振放大器、振荡器、模拟乘法器调幅电路、二极管包络检波等电路，并利用实验仪器观察、测量、调试电路现象及性能指标，具备实验方案、软硬件模块的初步设计开发能力</w:t>
      </w:r>
      <w:bookmarkEnd w:id="103"/>
      <w:r>
        <w:rPr>
          <w:szCs w:val="21"/>
        </w:rPr>
        <w:t>。[4.1]</w:t>
      </w:r>
    </w:p>
    <w:p>
      <w:pPr>
        <w:ind w:firstLine="420" w:firstLineChars="200"/>
      </w:pPr>
      <w:r>
        <w:rPr>
          <w:szCs w:val="21"/>
        </w:rPr>
        <w:t>5</w:t>
      </w:r>
      <w:r>
        <w:rPr>
          <w:rFonts w:hint="eastAsia"/>
          <w:szCs w:val="21"/>
        </w:rPr>
        <w:t>. 引导学生形成正确的价值、道德、职责等观念，教育学生要爱岗敬业、追求真知、锐意创新，养成科学研究及勇于开拓的人文素质，具有自我完善及可持续发展的能力。</w:t>
      </w:r>
      <w:r>
        <w:rPr>
          <w:szCs w:val="21"/>
        </w:rPr>
        <w:t>[4.1]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072" w:firstLineChars="1700"/>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5285"/>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8"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专业毕业要求</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专业毕业要求指标点</w:t>
            </w:r>
          </w:p>
        </w:tc>
        <w:tc>
          <w:tcPr>
            <w:tcW w:w="98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918" w:type="pct"/>
            <w:tcBorders>
              <w:left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1.工程知识</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1.3综合运用数学、自然科学、工程基础和专业知识，用于电子信息工程领域复杂工程问题（含海洋电子信息领域）的建模和求解及解决方案的评价。</w:t>
            </w:r>
          </w:p>
        </w:tc>
        <w:tc>
          <w:tcPr>
            <w:tcW w:w="9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w:t>
            </w:r>
            <w:r>
              <w:rPr>
                <w:rFonts w:hint="eastAsia"/>
                <w:sz w:val="18"/>
                <w:szCs w:val="18"/>
              </w:rPr>
              <w:t>，</w:t>
            </w:r>
            <w:r>
              <w:rPr>
                <w:sz w:val="18"/>
                <w:szCs w:val="18"/>
              </w:rPr>
              <w:t>2</w:t>
            </w:r>
            <w:r>
              <w:rPr>
                <w:rFonts w:hint="eastAsia"/>
                <w:sz w:val="18"/>
                <w:szCs w:val="18"/>
              </w:rPr>
              <w:t>，</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8"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rFonts w:hint="eastAsia"/>
                <w:sz w:val="18"/>
                <w:szCs w:val="18"/>
              </w:rPr>
              <w:t>4</w:t>
            </w:r>
            <w:r>
              <w:rPr>
                <w:sz w:val="18"/>
                <w:szCs w:val="18"/>
              </w:rPr>
              <w:t>．</w:t>
            </w:r>
            <w:r>
              <w:rPr>
                <w:rFonts w:hint="eastAsia"/>
                <w:sz w:val="18"/>
                <w:szCs w:val="18"/>
              </w:rPr>
              <w:t>研究</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4.1具备基于电子信息科学原理并采用科学方法对复杂工程问题的技术路线，实验方案、软/硬件模块和存在的问题进行研究的能力。</w:t>
            </w:r>
          </w:p>
        </w:tc>
        <w:tc>
          <w:tcPr>
            <w:tcW w:w="9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4</w:t>
            </w:r>
            <w:r>
              <w:rPr>
                <w:rFonts w:hint="eastAsia"/>
                <w:sz w:val="18"/>
                <w:szCs w:val="18"/>
              </w:rPr>
              <w:t>，5</w:t>
            </w:r>
          </w:p>
        </w:tc>
      </w:tr>
    </w:tbl>
    <w:p>
      <w:pPr>
        <w:snapToGrid w:val="0"/>
        <w:spacing w:before="156" w:beforeLines="50" w:after="156" w:afterLines="50" w:line="300" w:lineRule="auto"/>
        <w:rPr>
          <w:b/>
          <w:sz w:val="24"/>
        </w:rPr>
      </w:pPr>
      <w:r>
        <w:rPr>
          <w:b/>
          <w:sz w:val="24"/>
        </w:rPr>
        <w:t>三、课程教学目标达成途径（或教学设计）</w:t>
      </w:r>
    </w:p>
    <w:p>
      <w:pPr>
        <w:snapToGrid w:val="0"/>
        <w:spacing w:before="156" w:beforeLines="50" w:line="300" w:lineRule="auto"/>
        <w:ind w:firstLine="361" w:firstLineChars="200"/>
        <w:jc w:val="center"/>
        <w:rPr>
          <w:b/>
          <w:sz w:val="24"/>
        </w:rPr>
      </w:pPr>
      <w:r>
        <w:rPr>
          <w:b/>
          <w:kern w:val="0"/>
          <w:sz w:val="18"/>
          <w:szCs w:val="18"/>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3"/>
        <w:gridCol w:w="182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达成途径</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1.了解构成通信系统各类部件的组成、特点、性能指标以及在通信系统中的地位和作用，列举重要新技术的发展趋势；归纳和指出高频电路中的基本概念、基本原理、基本方法以及技术要求；</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rPr>
              <w:t>通过课堂讲授、学生自主学习（指定阅读）、作业等达成。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bCs/>
                <w:sz w:val="18"/>
                <w:szCs w:val="18"/>
              </w:rPr>
              <w:t>课堂表现、习题作业、考试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2.辨识频率选择电路、阻抗匹配与阻抗变换电路、LC谐振放大电路、晶体振荡电路、乘法器电路、线性时变电路、包络检波电路、变容二极管调频电路、鉴频与鉴相电路等典型电路，能够解释它们的组成、原理及性能，并针对实际工程问题和应用对象进行电路方案选择。</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rPr>
              <w:t>通过课堂讲授、指定阅读、案例研讨、作业等达成。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bCs/>
                <w:sz w:val="18"/>
                <w:szCs w:val="18"/>
              </w:rPr>
              <w:t>课堂表现、习题作业、大作业、考试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3.掌握和推演非线性电路的近似分析方法、线性时变电路的分析方法、频谱搬移方法、调制解调的基本方法、反馈控制的基本方法，具备对给定实际电路进行分析与应用的专业素质。</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bCs/>
                <w:sz w:val="18"/>
                <w:szCs w:val="18"/>
              </w:rPr>
              <w:t>通过课堂讲授、案例分析、任务驱动等达成。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bCs/>
                <w:sz w:val="18"/>
                <w:szCs w:val="18"/>
              </w:rPr>
              <w:t>课堂表现、习题作业、大作业、考试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4.理解单元电路的设计方法，合理选择高频电路元件参数，能够初步设计谐振回路、单调谐回路谐振放大器、振荡器、模拟乘法器调幅电路、二级管包络检波等电路，并利用实验仪器观察、测量、调试电路现象及性能指标，具备实验方案、软硬件模块的初步设计开发能力。</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sz w:val="18"/>
                <w:szCs w:val="18"/>
              </w:rPr>
              <w:t>通过课堂讲授、小组讨论、任务驱动、实验、作业等达成。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bCs/>
                <w:sz w:val="18"/>
                <w:szCs w:val="18"/>
              </w:rPr>
              <w:t>方案报告、实验报告、考试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3" w:type="dxa"/>
            <w:tcBorders>
              <w:top w:val="single" w:color="auto" w:sz="4" w:space="0"/>
              <w:left w:val="single" w:color="auto" w:sz="4" w:space="0"/>
              <w:bottom w:val="single" w:color="auto" w:sz="4" w:space="0"/>
              <w:right w:val="single" w:color="auto" w:sz="4" w:space="0"/>
            </w:tcBorders>
            <w:shd w:val="clear" w:color="auto" w:fill="FFFFFF"/>
            <w:vAlign w:val="center"/>
          </w:tcPr>
          <w:p>
            <w:pPr>
              <w:rPr>
                <w:sz w:val="18"/>
                <w:szCs w:val="18"/>
              </w:rPr>
            </w:pPr>
            <w:r>
              <w:rPr>
                <w:rFonts w:hint="eastAsia"/>
                <w:sz w:val="18"/>
                <w:szCs w:val="18"/>
              </w:rPr>
              <w:t>5. 引导学生形成正确的价值、道德、职责等观念，教育学生要爱岗敬业、追求真知、锐意创新，养成科学研究及勇于开拓的人文素质，具有自我完善及可持续发展的能力。</w:t>
            </w:r>
          </w:p>
        </w:tc>
        <w:tc>
          <w:tcPr>
            <w:tcW w:w="18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rFonts w:hint="eastAsia"/>
                <w:bCs/>
                <w:sz w:val="18"/>
                <w:szCs w:val="18"/>
              </w:rPr>
              <w:t>通过案例、大作业等大成。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rFonts w:hint="eastAsia"/>
                <w:bCs/>
                <w:sz w:val="18"/>
                <w:szCs w:val="18"/>
              </w:rPr>
              <w:t>学习报告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t>1. 基于无线电信号发送与接收的工作流程构建课程体系，以课堂讲授为主，网络多媒体、课程独立网站、“慕课堂”为辅，</w:t>
      </w:r>
      <w:r>
        <w:rPr>
          <w:szCs w:val="21"/>
        </w:rPr>
        <w:t>注重与专业相关工程实践教学环节和场景配合的案例教学，案例由浅入深，结合课程中的相应知识点进行分析，培养学生对复杂工程问题的应用能力。案例见教学内容部分。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 根据课程特点，采用启发式、案例驱动与模块化整合的教学方法，</w:t>
      </w:r>
      <w:r>
        <w:t>将知识点分散到5个模块、6个案例的学习过程中，</w:t>
      </w:r>
      <w:r>
        <w:rPr>
          <w:szCs w:val="21"/>
        </w:rPr>
        <w:t>核心能力知识点采用“原理描述-方法分析-应用案例展示”相互呼应的教学模式，</w:t>
      </w:r>
      <w:r>
        <w:t>案例覆盖单个知识点应用、多知识点的复杂工程问题及拓展专业视野三方面，强调学生对复杂问题的分析能力与实际动手能力的培养，体现</w:t>
      </w:r>
      <w:r>
        <w:rPr>
          <w:szCs w:val="21"/>
        </w:rPr>
        <w:t>完整清晰的教学方法和教学实施途径。</w:t>
      </w:r>
    </w:p>
    <w:p>
      <w:pPr>
        <w:snapToGrid w:val="0"/>
        <w:spacing w:line="300" w:lineRule="auto"/>
        <w:ind w:firstLine="420" w:firstLineChars="200"/>
      </w:pPr>
      <w:r>
        <w:t>3. 注重学生兴趣的培养，设置从简单到复杂的实验项目，充分调动学生的学习积极性。实践教学以课堂提问为主，实验报告为辅进行验收，通过对每一组同学每个实验的课堂提问验收，一方面在实验课堂辅导的基础上增加了与学生进行实践经验交流的环节，另一方面督促学生切实理解和掌握实践环节的每个知识点，确保实践教学成效。</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6"/>
        <w:gridCol w:w="2745"/>
        <w:gridCol w:w="3839"/>
        <w:gridCol w:w="413"/>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326"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640" w:type="pct"/>
            <w:vAlign w:val="center"/>
          </w:tcPr>
          <w:p>
            <w:pPr>
              <w:snapToGrid w:val="0"/>
              <w:spacing w:line="300" w:lineRule="auto"/>
              <w:ind w:firstLine="361" w:firstLineChars="200"/>
              <w:rPr>
                <w:b/>
                <w:bCs/>
                <w:sz w:val="18"/>
                <w:szCs w:val="18"/>
              </w:rPr>
            </w:pPr>
            <w:r>
              <w:rPr>
                <w:b/>
                <w:bCs/>
                <w:sz w:val="18"/>
                <w:szCs w:val="18"/>
              </w:rPr>
              <w:t>教学内容</w:t>
            </w:r>
          </w:p>
        </w:tc>
        <w:tc>
          <w:tcPr>
            <w:tcW w:w="2294" w:type="pct"/>
            <w:vAlign w:val="center"/>
          </w:tcPr>
          <w:p>
            <w:pPr>
              <w:snapToGrid w:val="0"/>
              <w:spacing w:line="300" w:lineRule="auto"/>
              <w:ind w:firstLine="361" w:firstLineChars="200"/>
              <w:jc w:val="center"/>
              <w:rPr>
                <w:b/>
                <w:bCs/>
                <w:sz w:val="18"/>
                <w:szCs w:val="18"/>
              </w:rPr>
            </w:pPr>
            <w:r>
              <w:rPr>
                <w:b/>
                <w:bCs/>
                <w:sz w:val="18"/>
                <w:szCs w:val="18"/>
              </w:rPr>
              <w:t>教与学的要求</w:t>
            </w:r>
          </w:p>
        </w:tc>
        <w:tc>
          <w:tcPr>
            <w:tcW w:w="247" w:type="pct"/>
            <w:vAlign w:val="center"/>
          </w:tcPr>
          <w:p>
            <w:pPr>
              <w:snapToGrid w:val="0"/>
              <w:spacing w:line="300" w:lineRule="auto"/>
              <w:jc w:val="center"/>
              <w:rPr>
                <w:b/>
                <w:bCs/>
                <w:sz w:val="18"/>
                <w:szCs w:val="18"/>
              </w:rPr>
            </w:pPr>
            <w:r>
              <w:rPr>
                <w:b/>
                <w:bCs/>
                <w:sz w:val="18"/>
                <w:szCs w:val="18"/>
              </w:rPr>
              <w:t>学时</w:t>
            </w:r>
          </w:p>
        </w:tc>
        <w:tc>
          <w:tcPr>
            <w:tcW w:w="491"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 w:type="pct"/>
            <w:tcMar>
              <w:left w:w="57" w:type="dxa"/>
              <w:right w:w="57" w:type="dxa"/>
            </w:tcMar>
            <w:vAlign w:val="center"/>
          </w:tcPr>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snapToGrid w:val="0"/>
              <w:spacing w:line="300" w:lineRule="auto"/>
              <w:jc w:val="center"/>
              <w:rPr>
                <w:sz w:val="18"/>
                <w:szCs w:val="18"/>
              </w:rPr>
            </w:pPr>
            <w:r>
              <w:rPr>
                <w:sz w:val="18"/>
                <w:szCs w:val="18"/>
              </w:rPr>
              <w:t>1</w:t>
            </w:r>
          </w:p>
        </w:tc>
        <w:tc>
          <w:tcPr>
            <w:tcW w:w="1640" w:type="pct"/>
            <w:vAlign w:val="center"/>
          </w:tcPr>
          <w:p>
            <w:pPr>
              <w:adjustRightInd w:val="0"/>
              <w:snapToGrid w:val="0"/>
              <w:spacing w:line="300" w:lineRule="auto"/>
              <w:rPr>
                <w:sz w:val="18"/>
                <w:szCs w:val="18"/>
              </w:rPr>
            </w:pPr>
            <w:r>
              <w:rPr>
                <w:sz w:val="18"/>
                <w:szCs w:val="18"/>
              </w:rPr>
              <w:t>第1章  绪论</w:t>
            </w:r>
          </w:p>
          <w:p>
            <w:pPr>
              <w:adjustRightInd w:val="0"/>
              <w:snapToGrid w:val="0"/>
              <w:spacing w:line="300" w:lineRule="auto"/>
              <w:rPr>
                <w:sz w:val="18"/>
                <w:szCs w:val="18"/>
              </w:rPr>
            </w:pPr>
            <w:r>
              <w:rPr>
                <w:sz w:val="18"/>
                <w:szCs w:val="18"/>
              </w:rPr>
              <w:t>1.1无线电通信发展简史</w:t>
            </w:r>
          </w:p>
          <w:p>
            <w:pPr>
              <w:adjustRightInd w:val="0"/>
              <w:snapToGrid w:val="0"/>
              <w:spacing w:line="300" w:lineRule="auto"/>
              <w:rPr>
                <w:sz w:val="18"/>
                <w:szCs w:val="18"/>
              </w:rPr>
            </w:pPr>
            <w:r>
              <w:rPr>
                <w:sz w:val="18"/>
                <w:szCs w:val="18"/>
              </w:rPr>
              <w:t>1.2无线电信号传输原理</w:t>
            </w:r>
          </w:p>
          <w:p>
            <w:pPr>
              <w:adjustRightInd w:val="0"/>
              <w:snapToGrid w:val="0"/>
              <w:spacing w:line="300" w:lineRule="auto"/>
              <w:rPr>
                <w:sz w:val="18"/>
                <w:szCs w:val="18"/>
              </w:rPr>
            </w:pPr>
            <w:r>
              <w:rPr>
                <w:sz w:val="18"/>
                <w:szCs w:val="18"/>
              </w:rPr>
              <w:t>1.3通信的传输媒质</w:t>
            </w:r>
          </w:p>
          <w:p>
            <w:pPr>
              <w:adjustRightInd w:val="0"/>
              <w:snapToGrid w:val="0"/>
              <w:spacing w:line="300" w:lineRule="auto"/>
              <w:rPr>
                <w:sz w:val="18"/>
                <w:szCs w:val="18"/>
              </w:rPr>
            </w:pPr>
            <w:r>
              <w:rPr>
                <w:sz w:val="18"/>
                <w:szCs w:val="18"/>
              </w:rPr>
              <w:t>1.4本课程的特点、学习任务及要求</w:t>
            </w:r>
          </w:p>
          <w:p>
            <w:pPr>
              <w:snapToGrid w:val="0"/>
              <w:spacing w:line="300" w:lineRule="auto"/>
              <w:rPr>
                <w:sz w:val="18"/>
                <w:szCs w:val="18"/>
              </w:rPr>
            </w:pPr>
            <w:r>
              <w:rPr>
                <w:sz w:val="18"/>
                <w:szCs w:val="18"/>
              </w:rPr>
              <w:t>课程思政主题：从发展和矛盾的观点看待通信系统的发展，通过中国在3G、4G、5G中的重要作用，引导专业认可、专业热爱和道路自信。</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（1）了解：无线电通信发展简史、通信传输媒质、无线电波传播方式、波段划分；</w:t>
            </w:r>
          </w:p>
          <w:p>
            <w:pPr>
              <w:adjustRightInd w:val="0"/>
              <w:snapToGrid w:val="0"/>
              <w:spacing w:line="300" w:lineRule="auto"/>
              <w:rPr>
                <w:sz w:val="18"/>
                <w:szCs w:val="18"/>
              </w:rPr>
            </w:pPr>
            <w:r>
              <w:rPr>
                <w:sz w:val="18"/>
                <w:szCs w:val="18"/>
              </w:rPr>
              <w:t>（2）理解：无线电信号的特征及调制的必要性；</w:t>
            </w:r>
          </w:p>
          <w:p>
            <w:pPr>
              <w:adjustRightInd w:val="0"/>
              <w:snapToGrid w:val="0"/>
              <w:spacing w:line="300" w:lineRule="auto"/>
              <w:rPr>
                <w:sz w:val="18"/>
                <w:szCs w:val="18"/>
              </w:rPr>
            </w:pPr>
            <w:r>
              <w:rPr>
                <w:sz w:val="18"/>
                <w:szCs w:val="18"/>
              </w:rPr>
              <w:t>（3）掌握：无线通信系统的组成及无线电信号传输原理。</w:t>
            </w:r>
          </w:p>
          <w:p>
            <w:pPr>
              <w:adjustRightInd w:val="0"/>
              <w:snapToGrid w:val="0"/>
              <w:spacing w:line="300" w:lineRule="auto"/>
              <w:rPr>
                <w:sz w:val="18"/>
                <w:szCs w:val="18"/>
              </w:rPr>
            </w:pPr>
            <w:r>
              <w:rPr>
                <w:sz w:val="18"/>
                <w:szCs w:val="18"/>
              </w:rPr>
              <w:t>2.作业内容：第一章课后题。</w:t>
            </w:r>
          </w:p>
          <w:p>
            <w:pPr>
              <w:adjustRightInd w:val="0"/>
              <w:snapToGrid w:val="0"/>
              <w:spacing w:line="300" w:lineRule="auto"/>
              <w:rPr>
                <w:sz w:val="18"/>
                <w:szCs w:val="18"/>
              </w:rPr>
            </w:pPr>
            <w:r>
              <w:rPr>
                <w:sz w:val="18"/>
                <w:szCs w:val="18"/>
              </w:rPr>
              <w:t>3.教学方法：讲授式、案例式与启发式相结合。</w:t>
            </w:r>
          </w:p>
          <w:p>
            <w:pPr>
              <w:snapToGrid w:val="0"/>
              <w:spacing w:line="300" w:lineRule="auto"/>
              <w:rPr>
                <w:sz w:val="18"/>
                <w:szCs w:val="18"/>
              </w:rPr>
            </w:pPr>
            <w:r>
              <w:rPr>
                <w:sz w:val="18"/>
                <w:szCs w:val="18"/>
              </w:rPr>
              <w:t>案例1：无线电学史及无线通信设备认知</w:t>
            </w:r>
          </w:p>
        </w:tc>
        <w:tc>
          <w:tcPr>
            <w:tcW w:w="247" w:type="pct"/>
            <w:vAlign w:val="center"/>
          </w:tcPr>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widowControl/>
              <w:adjustRightInd w:val="0"/>
              <w:snapToGrid w:val="0"/>
              <w:spacing w:line="300" w:lineRule="auto"/>
              <w:ind w:firstLine="180" w:firstLineChars="100"/>
              <w:rPr>
                <w:kern w:val="0"/>
                <w:sz w:val="18"/>
                <w:szCs w:val="18"/>
              </w:rPr>
            </w:pPr>
            <w:r>
              <w:rPr>
                <w:kern w:val="0"/>
                <w:sz w:val="18"/>
                <w:szCs w:val="18"/>
              </w:rPr>
              <w:t>2</w:t>
            </w:r>
          </w:p>
          <w:p>
            <w:pPr>
              <w:widowControl/>
              <w:adjustRightInd w:val="0"/>
              <w:snapToGrid w:val="0"/>
              <w:spacing w:line="300" w:lineRule="auto"/>
              <w:jc w:val="center"/>
              <w:rPr>
                <w:kern w:val="0"/>
                <w:sz w:val="18"/>
                <w:szCs w:val="18"/>
              </w:rPr>
            </w:pPr>
          </w:p>
          <w:p>
            <w:pPr>
              <w:widowControl/>
              <w:adjustRightInd w:val="0"/>
              <w:snapToGrid w:val="0"/>
              <w:spacing w:line="300" w:lineRule="auto"/>
              <w:jc w:val="center"/>
              <w:rPr>
                <w:kern w:val="0"/>
                <w:sz w:val="18"/>
                <w:szCs w:val="18"/>
              </w:rPr>
            </w:pPr>
          </w:p>
          <w:p>
            <w:pPr>
              <w:snapToGrid w:val="0"/>
              <w:spacing w:line="300" w:lineRule="auto"/>
              <w:jc w:val="center"/>
              <w:rPr>
                <w:sz w:val="18"/>
                <w:szCs w:val="18"/>
              </w:rPr>
            </w:pPr>
          </w:p>
        </w:tc>
        <w:tc>
          <w:tcPr>
            <w:tcW w:w="491" w:type="pct"/>
            <w:vAlign w:val="center"/>
          </w:tcPr>
          <w:p>
            <w:pPr>
              <w:widowControl/>
              <w:adjustRightInd w:val="0"/>
              <w:snapToGrid w:val="0"/>
              <w:spacing w:line="300" w:lineRule="auto"/>
              <w:jc w:val="center"/>
              <w:rPr>
                <w:kern w:val="0"/>
                <w:sz w:val="18"/>
                <w:szCs w:val="18"/>
              </w:rPr>
            </w:pPr>
          </w:p>
          <w:p>
            <w:pPr>
              <w:widowControl/>
              <w:adjustRightInd w:val="0"/>
              <w:snapToGrid w:val="0"/>
              <w:spacing w:line="300" w:lineRule="auto"/>
              <w:ind w:firstLine="360" w:firstLineChars="200"/>
              <w:rPr>
                <w:kern w:val="0"/>
                <w:sz w:val="18"/>
                <w:szCs w:val="18"/>
              </w:rPr>
            </w:pPr>
            <w:r>
              <w:rPr>
                <w:kern w:val="0"/>
                <w:sz w:val="18"/>
                <w:szCs w:val="18"/>
              </w:rPr>
              <w:t>1</w:t>
            </w:r>
          </w:p>
          <w:p>
            <w:pPr>
              <w:widowControl/>
              <w:adjustRightInd w:val="0"/>
              <w:snapToGrid w:val="0"/>
              <w:spacing w:line="300" w:lineRule="auto"/>
              <w:jc w:val="center"/>
              <w:rPr>
                <w:kern w:val="0"/>
                <w:sz w:val="18"/>
                <w:szCs w:val="18"/>
              </w:rPr>
            </w:pPr>
          </w:p>
          <w:p>
            <w:pPr>
              <w:snapToGrid w:val="0"/>
              <w:spacing w:line="30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2</w:t>
            </w:r>
          </w:p>
        </w:tc>
        <w:tc>
          <w:tcPr>
            <w:tcW w:w="1640" w:type="pct"/>
            <w:vAlign w:val="center"/>
          </w:tcPr>
          <w:p>
            <w:pPr>
              <w:adjustRightInd w:val="0"/>
              <w:snapToGrid w:val="0"/>
              <w:spacing w:line="300" w:lineRule="auto"/>
              <w:rPr>
                <w:sz w:val="18"/>
                <w:szCs w:val="18"/>
              </w:rPr>
            </w:pPr>
            <w:r>
              <w:rPr>
                <w:sz w:val="18"/>
                <w:szCs w:val="18"/>
              </w:rPr>
              <w:t>第2章  选频网络</w:t>
            </w:r>
          </w:p>
          <w:p>
            <w:pPr>
              <w:adjustRightInd w:val="0"/>
              <w:snapToGrid w:val="0"/>
              <w:spacing w:line="300" w:lineRule="auto"/>
              <w:rPr>
                <w:sz w:val="18"/>
                <w:szCs w:val="18"/>
              </w:rPr>
            </w:pPr>
            <w:r>
              <w:rPr>
                <w:sz w:val="18"/>
                <w:szCs w:val="18"/>
              </w:rPr>
              <w:t>2.1串联谐振回路</w:t>
            </w:r>
          </w:p>
          <w:p>
            <w:pPr>
              <w:adjustRightInd w:val="0"/>
              <w:snapToGrid w:val="0"/>
              <w:spacing w:line="300" w:lineRule="auto"/>
              <w:rPr>
                <w:sz w:val="18"/>
                <w:szCs w:val="18"/>
              </w:rPr>
            </w:pPr>
            <w:r>
              <w:rPr>
                <w:sz w:val="18"/>
                <w:szCs w:val="18"/>
              </w:rPr>
              <w:t>2.2并联谐振回路</w:t>
            </w:r>
          </w:p>
          <w:p>
            <w:pPr>
              <w:adjustRightInd w:val="0"/>
              <w:snapToGrid w:val="0"/>
              <w:spacing w:line="300" w:lineRule="auto"/>
              <w:rPr>
                <w:sz w:val="18"/>
                <w:szCs w:val="18"/>
              </w:rPr>
            </w:pPr>
            <w:r>
              <w:rPr>
                <w:sz w:val="18"/>
                <w:szCs w:val="18"/>
              </w:rPr>
              <w:t>2.3串并联阻抗的等效互换和回路抽头时的阻抗变换</w:t>
            </w:r>
          </w:p>
          <w:p>
            <w:pPr>
              <w:adjustRightInd w:val="0"/>
              <w:snapToGrid w:val="0"/>
              <w:spacing w:line="300" w:lineRule="auto"/>
              <w:rPr>
                <w:sz w:val="18"/>
                <w:szCs w:val="18"/>
              </w:rPr>
            </w:pPr>
            <w:r>
              <w:rPr>
                <w:sz w:val="18"/>
                <w:szCs w:val="18"/>
              </w:rPr>
              <w:t>2.4耦合回路</w:t>
            </w:r>
          </w:p>
          <w:p>
            <w:pPr>
              <w:snapToGrid w:val="0"/>
              <w:spacing w:line="300" w:lineRule="auto"/>
              <w:rPr>
                <w:sz w:val="18"/>
                <w:szCs w:val="18"/>
              </w:rPr>
            </w:pPr>
            <w:r>
              <w:rPr>
                <w:sz w:val="18"/>
                <w:szCs w:val="18"/>
              </w:rPr>
              <w:t>2.5滤波器的其他形式</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（1）了解：常见滤波器；</w:t>
            </w:r>
          </w:p>
          <w:p>
            <w:pPr>
              <w:adjustRightInd w:val="0"/>
              <w:snapToGrid w:val="0"/>
              <w:spacing w:line="300" w:lineRule="auto"/>
              <w:rPr>
                <w:sz w:val="18"/>
                <w:szCs w:val="18"/>
              </w:rPr>
            </w:pPr>
            <w:r>
              <w:rPr>
                <w:sz w:val="18"/>
                <w:szCs w:val="18"/>
              </w:rPr>
              <w:t>（2）理解：串并联阻抗的等效互换、回路抽头时的阻抗变换、耦合回路特点；</w:t>
            </w:r>
          </w:p>
          <w:p>
            <w:pPr>
              <w:adjustRightInd w:val="0"/>
              <w:snapToGrid w:val="0"/>
              <w:spacing w:line="300" w:lineRule="auto"/>
              <w:rPr>
                <w:sz w:val="18"/>
                <w:szCs w:val="18"/>
              </w:rPr>
            </w:pPr>
            <w:r>
              <w:rPr>
                <w:sz w:val="18"/>
                <w:szCs w:val="18"/>
              </w:rPr>
              <w:t>（3）掌握：串、并联谐振回路的特点及参数计算。</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（1）课后习题2-3、2-5、2-7；</w:t>
            </w:r>
          </w:p>
          <w:p>
            <w:pPr>
              <w:adjustRightInd w:val="0"/>
              <w:snapToGrid w:val="0"/>
              <w:spacing w:line="300" w:lineRule="auto"/>
              <w:rPr>
                <w:sz w:val="18"/>
                <w:szCs w:val="18"/>
              </w:rPr>
            </w:pPr>
            <w:r>
              <w:rPr>
                <w:sz w:val="18"/>
                <w:szCs w:val="18"/>
              </w:rPr>
              <w:t>（2）在MOOC讨论区讨论</w:t>
            </w:r>
            <w:r>
              <w:fldChar w:fldCharType="begin"/>
            </w:r>
            <w:r>
              <w:instrText xml:space="preserve"> HYPERLINK "https://www.icourse163.org/learn/HUST-1003157002?tid=1450254453" \l "/learn/forumdetail?pid=1310793457" \t "_self" </w:instrText>
            </w:r>
            <w:r>
              <w:fldChar w:fldCharType="separate"/>
            </w:r>
            <w:r>
              <w:rPr>
                <w:sz w:val="18"/>
                <w:szCs w:val="18"/>
              </w:rPr>
              <w:t>为什么实际运用时低频用RC滤波器不用LC滤滤器？</w:t>
            </w:r>
            <w:r>
              <w:rPr>
                <w:sz w:val="18"/>
                <w:szCs w:val="18"/>
              </w:rPr>
              <w:fldChar w:fldCharType="end"/>
            </w:r>
          </w:p>
          <w:p>
            <w:pPr>
              <w:snapToGrid w:val="0"/>
              <w:spacing w:line="300" w:lineRule="auto"/>
              <w:rPr>
                <w:sz w:val="18"/>
                <w:szCs w:val="18"/>
              </w:rPr>
            </w:pPr>
            <w:r>
              <w:rPr>
                <w:sz w:val="18"/>
                <w:szCs w:val="18"/>
              </w:rPr>
              <w:t>3.教学方法：讲授式、讨论式与启发式相结合。</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ind w:firstLine="180" w:firstLineChars="100"/>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3</w:t>
            </w:r>
          </w:p>
        </w:tc>
        <w:tc>
          <w:tcPr>
            <w:tcW w:w="1640" w:type="pct"/>
            <w:vAlign w:val="center"/>
          </w:tcPr>
          <w:p>
            <w:pPr>
              <w:adjustRightInd w:val="0"/>
              <w:snapToGrid w:val="0"/>
              <w:spacing w:line="300" w:lineRule="auto"/>
              <w:rPr>
                <w:sz w:val="18"/>
                <w:szCs w:val="18"/>
              </w:rPr>
            </w:pPr>
            <w:r>
              <w:rPr>
                <w:sz w:val="18"/>
                <w:szCs w:val="18"/>
              </w:rPr>
              <w:t>第3章  高频小信号放大器</w:t>
            </w:r>
          </w:p>
          <w:p>
            <w:pPr>
              <w:adjustRightInd w:val="0"/>
              <w:snapToGrid w:val="0"/>
              <w:spacing w:line="300" w:lineRule="auto"/>
              <w:rPr>
                <w:sz w:val="18"/>
                <w:szCs w:val="18"/>
              </w:rPr>
            </w:pPr>
            <w:r>
              <w:rPr>
                <w:sz w:val="18"/>
                <w:szCs w:val="18"/>
              </w:rPr>
              <w:t>3.1高频小信号放大器质量指标</w:t>
            </w:r>
          </w:p>
          <w:p>
            <w:pPr>
              <w:adjustRightInd w:val="0"/>
              <w:snapToGrid w:val="0"/>
              <w:spacing w:line="300" w:lineRule="auto"/>
              <w:rPr>
                <w:sz w:val="18"/>
                <w:szCs w:val="18"/>
              </w:rPr>
            </w:pPr>
            <w:r>
              <w:rPr>
                <w:sz w:val="18"/>
                <w:szCs w:val="18"/>
              </w:rPr>
              <w:t>3.2高频小信号等效电路与参数</w:t>
            </w:r>
          </w:p>
          <w:p>
            <w:pPr>
              <w:adjustRightInd w:val="0"/>
              <w:snapToGrid w:val="0"/>
              <w:spacing w:line="300" w:lineRule="auto"/>
              <w:rPr>
                <w:sz w:val="18"/>
                <w:szCs w:val="18"/>
              </w:rPr>
            </w:pPr>
            <w:r>
              <w:rPr>
                <w:sz w:val="18"/>
                <w:szCs w:val="18"/>
              </w:rPr>
              <w:t>3.3单调谐回路谐振放大器</w:t>
            </w:r>
          </w:p>
          <w:p>
            <w:pPr>
              <w:adjustRightInd w:val="0"/>
              <w:snapToGrid w:val="0"/>
              <w:spacing w:line="300" w:lineRule="auto"/>
              <w:rPr>
                <w:sz w:val="18"/>
                <w:szCs w:val="18"/>
              </w:rPr>
            </w:pPr>
            <w:r>
              <w:rPr>
                <w:sz w:val="18"/>
                <w:szCs w:val="18"/>
              </w:rPr>
              <w:t>3.4多级单调谐回路谐振放大器</w:t>
            </w:r>
          </w:p>
          <w:p>
            <w:pPr>
              <w:adjustRightInd w:val="0"/>
              <w:snapToGrid w:val="0"/>
              <w:spacing w:line="300" w:lineRule="auto"/>
              <w:rPr>
                <w:sz w:val="18"/>
                <w:szCs w:val="18"/>
              </w:rPr>
            </w:pPr>
            <w:r>
              <w:rPr>
                <w:sz w:val="18"/>
                <w:szCs w:val="18"/>
              </w:rPr>
              <w:t>3.5双调谐回路谐振放大器</w:t>
            </w:r>
          </w:p>
          <w:p>
            <w:pPr>
              <w:adjustRightInd w:val="0"/>
              <w:snapToGrid w:val="0"/>
              <w:spacing w:line="300" w:lineRule="auto"/>
              <w:rPr>
                <w:sz w:val="18"/>
                <w:szCs w:val="18"/>
              </w:rPr>
            </w:pPr>
            <w:r>
              <w:rPr>
                <w:sz w:val="18"/>
                <w:szCs w:val="18"/>
              </w:rPr>
              <w:t>3.6谐振放大器稳定性与稳定措施</w:t>
            </w:r>
          </w:p>
          <w:p>
            <w:pPr>
              <w:adjustRightInd w:val="0"/>
              <w:snapToGrid w:val="0"/>
              <w:spacing w:line="300" w:lineRule="auto"/>
              <w:rPr>
                <w:sz w:val="18"/>
                <w:szCs w:val="18"/>
              </w:rPr>
            </w:pPr>
            <w:r>
              <w:rPr>
                <w:sz w:val="18"/>
                <w:szCs w:val="18"/>
              </w:rPr>
              <w:t>3.7放大器中的噪声</w:t>
            </w:r>
          </w:p>
          <w:p>
            <w:pPr>
              <w:snapToGrid w:val="0"/>
              <w:spacing w:line="300" w:lineRule="auto"/>
              <w:rPr>
                <w:sz w:val="18"/>
                <w:szCs w:val="18"/>
              </w:rPr>
            </w:pPr>
            <w:r>
              <w:rPr>
                <w:sz w:val="18"/>
                <w:szCs w:val="18"/>
              </w:rPr>
              <w:t>课程思政主题：理解系统的整体性与相关性，以本质和现象的观点看待小信号谐振放大器及其等效电路。</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（1）了解：放大器噪声；</w:t>
            </w:r>
          </w:p>
          <w:p>
            <w:pPr>
              <w:adjustRightInd w:val="0"/>
              <w:snapToGrid w:val="0"/>
              <w:spacing w:line="300" w:lineRule="auto"/>
              <w:rPr>
                <w:sz w:val="18"/>
                <w:szCs w:val="18"/>
              </w:rPr>
            </w:pPr>
            <w:r>
              <w:rPr>
                <w:sz w:val="18"/>
                <w:szCs w:val="18"/>
              </w:rPr>
              <w:t>（2）理解：双调谐回路谐振放大器、多级单调谐回路谐振放大器；</w:t>
            </w:r>
          </w:p>
          <w:p>
            <w:pPr>
              <w:adjustRightInd w:val="0"/>
              <w:snapToGrid w:val="0"/>
              <w:spacing w:line="300" w:lineRule="auto"/>
              <w:rPr>
                <w:sz w:val="18"/>
                <w:szCs w:val="18"/>
              </w:rPr>
            </w:pPr>
            <w:r>
              <w:rPr>
                <w:sz w:val="18"/>
                <w:szCs w:val="18"/>
              </w:rPr>
              <w:t>（3）掌握：晶体管高频小信号等效电路与参数、单调谐回路谐振放大器的工作原理、分析方法及性能指标。</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（1）课后习题3-2、3-9；</w:t>
            </w:r>
          </w:p>
          <w:p>
            <w:pPr>
              <w:adjustRightInd w:val="0"/>
              <w:snapToGrid w:val="0"/>
              <w:spacing w:line="300" w:lineRule="auto"/>
              <w:rPr>
                <w:sz w:val="18"/>
                <w:szCs w:val="18"/>
              </w:rPr>
            </w:pPr>
            <w:r>
              <w:rPr>
                <w:sz w:val="18"/>
                <w:szCs w:val="18"/>
              </w:rPr>
              <w:t>（2）总结晶体管低频小信号放大器与高频小信号放大器的分析方法有何不同？</w:t>
            </w:r>
          </w:p>
          <w:p>
            <w:pPr>
              <w:snapToGrid w:val="0"/>
              <w:spacing w:line="300" w:lineRule="auto"/>
              <w:rPr>
                <w:sz w:val="18"/>
                <w:szCs w:val="18"/>
              </w:rPr>
            </w:pPr>
            <w:r>
              <w:rPr>
                <w:sz w:val="18"/>
                <w:szCs w:val="18"/>
              </w:rPr>
              <w:t>3.教学方法：讲授式、讨论式与启发式相结合。</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1，2，4</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4</w:t>
            </w:r>
          </w:p>
        </w:tc>
        <w:tc>
          <w:tcPr>
            <w:tcW w:w="1640" w:type="pct"/>
            <w:vAlign w:val="center"/>
          </w:tcPr>
          <w:p>
            <w:pPr>
              <w:adjustRightInd w:val="0"/>
              <w:snapToGrid w:val="0"/>
              <w:spacing w:line="300" w:lineRule="auto"/>
              <w:ind w:right="-31" w:rightChars="-15"/>
              <w:rPr>
                <w:sz w:val="18"/>
                <w:szCs w:val="18"/>
              </w:rPr>
            </w:pPr>
            <w:r>
              <w:rPr>
                <w:sz w:val="18"/>
                <w:szCs w:val="18"/>
              </w:rPr>
              <w:t>第4章  非线性电路、时变参量电路和变频器</w:t>
            </w:r>
          </w:p>
          <w:p>
            <w:pPr>
              <w:adjustRightInd w:val="0"/>
              <w:snapToGrid w:val="0"/>
              <w:spacing w:line="300" w:lineRule="auto"/>
              <w:rPr>
                <w:sz w:val="18"/>
                <w:szCs w:val="18"/>
              </w:rPr>
            </w:pPr>
            <w:r>
              <w:rPr>
                <w:sz w:val="18"/>
                <w:szCs w:val="18"/>
              </w:rPr>
              <w:t>4.1概述</w:t>
            </w:r>
          </w:p>
          <w:p>
            <w:pPr>
              <w:adjustRightInd w:val="0"/>
              <w:snapToGrid w:val="0"/>
              <w:spacing w:line="300" w:lineRule="auto"/>
              <w:rPr>
                <w:sz w:val="18"/>
                <w:szCs w:val="18"/>
              </w:rPr>
            </w:pPr>
            <w:r>
              <w:rPr>
                <w:sz w:val="18"/>
                <w:szCs w:val="18"/>
              </w:rPr>
              <w:t>4.2非线性元件的特性</w:t>
            </w:r>
          </w:p>
          <w:p>
            <w:pPr>
              <w:adjustRightInd w:val="0"/>
              <w:snapToGrid w:val="0"/>
              <w:spacing w:line="300" w:lineRule="auto"/>
              <w:rPr>
                <w:sz w:val="18"/>
                <w:szCs w:val="18"/>
              </w:rPr>
            </w:pPr>
            <w:r>
              <w:rPr>
                <w:sz w:val="18"/>
                <w:szCs w:val="18"/>
              </w:rPr>
              <w:t>4.3非线性电路分析法</w:t>
            </w:r>
          </w:p>
          <w:p>
            <w:pPr>
              <w:adjustRightInd w:val="0"/>
              <w:snapToGrid w:val="0"/>
              <w:spacing w:line="300" w:lineRule="auto"/>
              <w:rPr>
                <w:sz w:val="18"/>
                <w:szCs w:val="18"/>
              </w:rPr>
            </w:pPr>
            <w:r>
              <w:rPr>
                <w:sz w:val="18"/>
                <w:szCs w:val="18"/>
              </w:rPr>
              <w:t>4.5变频器的工作原理</w:t>
            </w:r>
          </w:p>
          <w:p>
            <w:pPr>
              <w:adjustRightInd w:val="0"/>
              <w:snapToGrid w:val="0"/>
              <w:spacing w:line="300" w:lineRule="auto"/>
              <w:rPr>
                <w:sz w:val="18"/>
                <w:szCs w:val="18"/>
              </w:rPr>
            </w:pPr>
            <w:r>
              <w:rPr>
                <w:sz w:val="18"/>
                <w:szCs w:val="18"/>
              </w:rPr>
              <w:t>4.6晶体管混频器</w:t>
            </w:r>
          </w:p>
          <w:p>
            <w:pPr>
              <w:adjustRightInd w:val="0"/>
              <w:snapToGrid w:val="0"/>
              <w:spacing w:line="300" w:lineRule="auto"/>
              <w:rPr>
                <w:sz w:val="18"/>
                <w:szCs w:val="18"/>
              </w:rPr>
            </w:pPr>
            <w:r>
              <w:rPr>
                <w:sz w:val="18"/>
                <w:szCs w:val="18"/>
              </w:rPr>
              <w:t>4.7二极管混频器</w:t>
            </w:r>
          </w:p>
          <w:p>
            <w:pPr>
              <w:adjustRightInd w:val="0"/>
              <w:snapToGrid w:val="0"/>
              <w:spacing w:line="300" w:lineRule="auto"/>
              <w:rPr>
                <w:sz w:val="18"/>
                <w:szCs w:val="18"/>
              </w:rPr>
            </w:pPr>
            <w:r>
              <w:rPr>
                <w:sz w:val="18"/>
                <w:szCs w:val="18"/>
              </w:rPr>
              <w:t>4.8混频器的干扰</w:t>
            </w:r>
          </w:p>
          <w:p>
            <w:pPr>
              <w:snapToGrid w:val="0"/>
              <w:spacing w:line="300" w:lineRule="auto"/>
              <w:rPr>
                <w:sz w:val="18"/>
                <w:szCs w:val="18"/>
              </w:rPr>
            </w:pPr>
            <w:r>
              <w:rPr>
                <w:sz w:val="18"/>
                <w:szCs w:val="18"/>
              </w:rPr>
              <w:t>课程思政主题：具体问题具体分析，用联系与矛盾的观点看待频谱搬移原理，由抽象的混频概念上升到具体混频电路的理解和学习。</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（1）了解：变频器中干扰产生的原因及判别方法；</w:t>
            </w:r>
          </w:p>
          <w:p>
            <w:pPr>
              <w:adjustRightInd w:val="0"/>
              <w:snapToGrid w:val="0"/>
              <w:spacing w:line="300" w:lineRule="auto"/>
              <w:rPr>
                <w:sz w:val="18"/>
                <w:szCs w:val="18"/>
              </w:rPr>
            </w:pPr>
            <w:r>
              <w:rPr>
                <w:sz w:val="18"/>
                <w:szCs w:val="18"/>
              </w:rPr>
              <w:t>（2）理解：线性和非线性电子线路中有源器件的工作条件、非线性器件的特点、变频跨导的含义；</w:t>
            </w:r>
          </w:p>
          <w:p>
            <w:pPr>
              <w:adjustRightInd w:val="0"/>
              <w:snapToGrid w:val="0"/>
              <w:spacing w:line="300" w:lineRule="auto"/>
              <w:rPr>
                <w:sz w:val="18"/>
                <w:szCs w:val="18"/>
              </w:rPr>
            </w:pPr>
            <w:r>
              <w:rPr>
                <w:sz w:val="18"/>
                <w:szCs w:val="18"/>
              </w:rPr>
              <w:t>（3）掌握：变频器的工作原理。</w:t>
            </w:r>
          </w:p>
          <w:p>
            <w:pPr>
              <w:adjustRightInd w:val="0"/>
              <w:snapToGrid w:val="0"/>
              <w:spacing w:line="300" w:lineRule="auto"/>
              <w:rPr>
                <w:sz w:val="18"/>
                <w:szCs w:val="18"/>
              </w:rPr>
            </w:pPr>
            <w:r>
              <w:rPr>
                <w:sz w:val="18"/>
                <w:szCs w:val="18"/>
              </w:rPr>
              <w:t>2.作业内容：课后习题4-5、4-8、4-19、4-20。</w:t>
            </w:r>
          </w:p>
          <w:p>
            <w:pPr>
              <w:snapToGrid w:val="0"/>
              <w:spacing w:line="300" w:lineRule="auto"/>
              <w:rPr>
                <w:sz w:val="18"/>
                <w:szCs w:val="18"/>
              </w:rPr>
            </w:pPr>
            <w:r>
              <w:rPr>
                <w:sz w:val="18"/>
                <w:szCs w:val="18"/>
              </w:rPr>
              <w:t>3.教学方法：讲授式与启发式相结合。</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1，3</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5</w:t>
            </w:r>
          </w:p>
        </w:tc>
        <w:tc>
          <w:tcPr>
            <w:tcW w:w="1640" w:type="pct"/>
            <w:vAlign w:val="center"/>
          </w:tcPr>
          <w:p>
            <w:pPr>
              <w:adjustRightInd w:val="0"/>
              <w:snapToGrid w:val="0"/>
              <w:spacing w:line="300" w:lineRule="auto"/>
              <w:rPr>
                <w:sz w:val="18"/>
                <w:szCs w:val="18"/>
              </w:rPr>
            </w:pPr>
            <w:r>
              <w:rPr>
                <w:sz w:val="18"/>
                <w:szCs w:val="18"/>
              </w:rPr>
              <w:t>第5章  高频功率放大器</w:t>
            </w:r>
          </w:p>
          <w:p>
            <w:pPr>
              <w:adjustRightInd w:val="0"/>
              <w:snapToGrid w:val="0"/>
              <w:spacing w:line="300" w:lineRule="auto"/>
              <w:rPr>
                <w:sz w:val="18"/>
                <w:szCs w:val="18"/>
              </w:rPr>
            </w:pPr>
            <w:r>
              <w:rPr>
                <w:sz w:val="18"/>
                <w:szCs w:val="18"/>
              </w:rPr>
              <w:t>5.1高频功率放大器与低频功率放大器的异同点</w:t>
            </w:r>
          </w:p>
          <w:p>
            <w:pPr>
              <w:adjustRightInd w:val="0"/>
              <w:snapToGrid w:val="0"/>
              <w:spacing w:line="300" w:lineRule="auto"/>
              <w:rPr>
                <w:sz w:val="18"/>
                <w:szCs w:val="18"/>
              </w:rPr>
            </w:pPr>
            <w:r>
              <w:rPr>
                <w:sz w:val="18"/>
                <w:szCs w:val="18"/>
              </w:rPr>
              <w:t>5.2谐振功率放大器的工作原理</w:t>
            </w:r>
          </w:p>
          <w:p>
            <w:pPr>
              <w:adjustRightInd w:val="0"/>
              <w:snapToGrid w:val="0"/>
              <w:spacing w:line="300" w:lineRule="auto"/>
              <w:rPr>
                <w:sz w:val="18"/>
                <w:szCs w:val="18"/>
              </w:rPr>
            </w:pPr>
            <w:r>
              <w:rPr>
                <w:sz w:val="18"/>
                <w:szCs w:val="18"/>
              </w:rPr>
              <w:t>5.3晶体管谐振功率放大器的折线近似分析法</w:t>
            </w:r>
          </w:p>
          <w:p>
            <w:pPr>
              <w:adjustRightInd w:val="0"/>
              <w:snapToGrid w:val="0"/>
              <w:spacing w:line="300" w:lineRule="auto"/>
              <w:rPr>
                <w:sz w:val="18"/>
                <w:szCs w:val="18"/>
              </w:rPr>
            </w:pPr>
            <w:r>
              <w:rPr>
                <w:sz w:val="18"/>
                <w:szCs w:val="18"/>
              </w:rPr>
              <w:t>5.4晶体管功率放大器的高频特性</w:t>
            </w:r>
          </w:p>
          <w:p>
            <w:pPr>
              <w:adjustRightInd w:val="0"/>
              <w:snapToGrid w:val="0"/>
              <w:spacing w:line="300" w:lineRule="auto"/>
              <w:rPr>
                <w:sz w:val="18"/>
                <w:szCs w:val="18"/>
              </w:rPr>
            </w:pPr>
            <w:r>
              <w:rPr>
                <w:sz w:val="18"/>
                <w:szCs w:val="18"/>
              </w:rPr>
              <w:t>5.5高频功率放大器的电路组成</w:t>
            </w:r>
          </w:p>
          <w:p>
            <w:pPr>
              <w:adjustRightInd w:val="0"/>
              <w:snapToGrid w:val="0"/>
              <w:spacing w:line="300" w:lineRule="auto"/>
              <w:rPr>
                <w:sz w:val="18"/>
                <w:szCs w:val="18"/>
              </w:rPr>
            </w:pPr>
            <w:r>
              <w:rPr>
                <w:sz w:val="18"/>
                <w:szCs w:val="18"/>
              </w:rPr>
              <w:t>课程思政主题：用联系和发展的观点看待丙类谐振功率放大器的工作原理，利用唯物辩证法分析丙类谐振功率放大器的优缺点。</w:t>
            </w:r>
          </w:p>
          <w:p>
            <w:pPr>
              <w:snapToGrid w:val="0"/>
              <w:spacing w:line="300" w:lineRule="auto"/>
              <w:rPr>
                <w:sz w:val="18"/>
                <w:szCs w:val="18"/>
              </w:rPr>
            </w:pP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（1）了解：高频功率放大器直流馈电方法和阻抗匹配的概念；</w:t>
            </w:r>
          </w:p>
          <w:p>
            <w:pPr>
              <w:adjustRightInd w:val="0"/>
              <w:snapToGrid w:val="0"/>
              <w:spacing w:line="300" w:lineRule="auto"/>
              <w:rPr>
                <w:sz w:val="18"/>
                <w:szCs w:val="18"/>
              </w:rPr>
            </w:pPr>
            <w:r>
              <w:rPr>
                <w:sz w:val="18"/>
                <w:szCs w:val="18"/>
              </w:rPr>
              <w:t>（2）理解：高频功率放大器动态特性、三种工作状态的特点及判断；</w:t>
            </w:r>
          </w:p>
          <w:p>
            <w:pPr>
              <w:adjustRightInd w:val="0"/>
              <w:snapToGrid w:val="0"/>
              <w:spacing w:line="300" w:lineRule="auto"/>
              <w:rPr>
                <w:sz w:val="18"/>
                <w:szCs w:val="18"/>
              </w:rPr>
            </w:pPr>
            <w:r>
              <w:rPr>
                <w:sz w:val="18"/>
                <w:szCs w:val="18"/>
              </w:rPr>
              <w:t>（3）掌握：丙类功率放大器的电路组成、工作状态、工作原理、负载特性、调制特性、放大特性及功放性能指标的估算方法。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（1）课后习题5-4、5-7、5-16、5-17；</w:t>
            </w:r>
          </w:p>
          <w:p>
            <w:pPr>
              <w:adjustRightInd w:val="0"/>
              <w:snapToGrid w:val="0"/>
              <w:spacing w:line="300" w:lineRule="auto"/>
              <w:rPr>
                <w:sz w:val="18"/>
                <w:szCs w:val="18"/>
              </w:rPr>
            </w:pPr>
            <w:r>
              <w:rPr>
                <w:sz w:val="18"/>
                <w:szCs w:val="18"/>
              </w:rPr>
              <w:t>（2）在MOOC讨论区讨论为什么低频放大器不可以工作在丙类？而高频放大器可以工作在丙类？</w:t>
            </w:r>
          </w:p>
          <w:p>
            <w:pPr>
              <w:adjustRightInd w:val="0"/>
              <w:snapToGrid w:val="0"/>
              <w:spacing w:line="300" w:lineRule="auto"/>
              <w:rPr>
                <w:sz w:val="18"/>
                <w:szCs w:val="18"/>
              </w:rPr>
            </w:pPr>
            <w:r>
              <w:rPr>
                <w:sz w:val="18"/>
                <w:szCs w:val="18"/>
              </w:rPr>
              <w:t>3.教学方法：讲授式、讨论式、案例式与启发式相结合。</w:t>
            </w:r>
          </w:p>
          <w:p>
            <w:pPr>
              <w:snapToGrid w:val="0"/>
              <w:spacing w:line="300" w:lineRule="auto"/>
              <w:rPr>
                <w:sz w:val="18"/>
                <w:szCs w:val="18"/>
              </w:rPr>
            </w:pPr>
            <w:r>
              <w:rPr>
                <w:sz w:val="18"/>
                <w:szCs w:val="18"/>
              </w:rPr>
              <w:t>案例2：谐振功放电路组装及调试</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1，2，3，4</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6</w:t>
            </w:r>
          </w:p>
        </w:tc>
        <w:tc>
          <w:tcPr>
            <w:tcW w:w="1640" w:type="pct"/>
            <w:vAlign w:val="center"/>
          </w:tcPr>
          <w:p>
            <w:pPr>
              <w:adjustRightInd w:val="0"/>
              <w:snapToGrid w:val="0"/>
              <w:spacing w:line="300" w:lineRule="auto"/>
              <w:rPr>
                <w:sz w:val="18"/>
                <w:szCs w:val="18"/>
              </w:rPr>
            </w:pPr>
            <w:r>
              <w:rPr>
                <w:sz w:val="18"/>
                <w:szCs w:val="18"/>
              </w:rPr>
              <w:t>第6章 正弦波振荡器</w:t>
            </w:r>
          </w:p>
          <w:p>
            <w:pPr>
              <w:adjustRightInd w:val="0"/>
              <w:snapToGrid w:val="0"/>
              <w:spacing w:line="300" w:lineRule="auto"/>
              <w:rPr>
                <w:sz w:val="18"/>
                <w:szCs w:val="18"/>
              </w:rPr>
            </w:pPr>
            <w:r>
              <w:rPr>
                <w:sz w:val="18"/>
                <w:szCs w:val="18"/>
              </w:rPr>
              <w:t>6.1LC振荡器的基本工作原理</w:t>
            </w:r>
          </w:p>
          <w:p>
            <w:pPr>
              <w:adjustRightInd w:val="0"/>
              <w:snapToGrid w:val="0"/>
              <w:spacing w:line="300" w:lineRule="auto"/>
              <w:rPr>
                <w:sz w:val="18"/>
                <w:szCs w:val="18"/>
              </w:rPr>
            </w:pPr>
            <w:r>
              <w:rPr>
                <w:sz w:val="18"/>
                <w:szCs w:val="18"/>
              </w:rPr>
              <w:t>6.2振荡器的平衡与稳定条件</w:t>
            </w:r>
          </w:p>
          <w:p>
            <w:pPr>
              <w:adjustRightInd w:val="0"/>
              <w:snapToGrid w:val="0"/>
              <w:spacing w:line="300" w:lineRule="auto"/>
              <w:rPr>
                <w:sz w:val="18"/>
                <w:szCs w:val="18"/>
              </w:rPr>
            </w:pPr>
            <w:r>
              <w:rPr>
                <w:sz w:val="18"/>
                <w:szCs w:val="18"/>
              </w:rPr>
              <w:t>6.3反馈型LC振荡器线路</w:t>
            </w:r>
          </w:p>
          <w:p>
            <w:pPr>
              <w:adjustRightInd w:val="0"/>
              <w:snapToGrid w:val="0"/>
              <w:spacing w:line="300" w:lineRule="auto"/>
              <w:rPr>
                <w:sz w:val="18"/>
                <w:szCs w:val="18"/>
              </w:rPr>
            </w:pPr>
            <w:r>
              <w:rPr>
                <w:sz w:val="18"/>
                <w:szCs w:val="18"/>
              </w:rPr>
              <w:t>6.4振荡器的频率稳定问题</w:t>
            </w:r>
          </w:p>
          <w:p>
            <w:pPr>
              <w:adjustRightInd w:val="0"/>
              <w:snapToGrid w:val="0"/>
              <w:spacing w:line="300" w:lineRule="auto"/>
              <w:rPr>
                <w:sz w:val="18"/>
                <w:szCs w:val="18"/>
              </w:rPr>
            </w:pPr>
            <w:r>
              <w:rPr>
                <w:sz w:val="18"/>
                <w:szCs w:val="18"/>
              </w:rPr>
              <w:t>6.5石英晶体振荡器</w:t>
            </w:r>
          </w:p>
          <w:p>
            <w:pPr>
              <w:adjustRightInd w:val="0"/>
              <w:snapToGrid w:val="0"/>
              <w:spacing w:line="300" w:lineRule="auto"/>
              <w:rPr>
                <w:sz w:val="18"/>
                <w:szCs w:val="18"/>
              </w:rPr>
            </w:pPr>
            <w:r>
              <w:rPr>
                <w:sz w:val="18"/>
                <w:szCs w:val="18"/>
              </w:rPr>
              <w:t>6.6负阻振荡器</w:t>
            </w:r>
          </w:p>
          <w:p>
            <w:pPr>
              <w:adjustRightInd w:val="0"/>
              <w:snapToGrid w:val="0"/>
              <w:spacing w:line="300" w:lineRule="auto"/>
              <w:rPr>
                <w:sz w:val="18"/>
                <w:szCs w:val="18"/>
              </w:rPr>
            </w:pPr>
            <w:r>
              <w:rPr>
                <w:sz w:val="18"/>
                <w:szCs w:val="18"/>
              </w:rPr>
              <w:t>6.7RC振荡器</w:t>
            </w:r>
          </w:p>
          <w:p>
            <w:pPr>
              <w:snapToGrid w:val="0"/>
              <w:spacing w:line="300" w:lineRule="auto"/>
              <w:rPr>
                <w:sz w:val="18"/>
                <w:szCs w:val="18"/>
              </w:rPr>
            </w:pPr>
            <w:r>
              <w:rPr>
                <w:sz w:val="18"/>
                <w:szCs w:val="18"/>
              </w:rPr>
              <w:t>课程思政主题：用矛盾观点探究振荡的平衡条件和起振条件。</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（1）了解：石英晶体振荡器的组成、特点、分类及RC正弦波振荡器；</w:t>
            </w:r>
          </w:p>
          <w:p>
            <w:pPr>
              <w:adjustRightInd w:val="0"/>
              <w:snapToGrid w:val="0"/>
              <w:spacing w:line="300" w:lineRule="auto"/>
              <w:rPr>
                <w:sz w:val="18"/>
                <w:szCs w:val="18"/>
              </w:rPr>
            </w:pPr>
            <w:r>
              <w:rPr>
                <w:sz w:val="18"/>
                <w:szCs w:val="18"/>
              </w:rPr>
              <w:t>（2）理解：LC振荡器的基本工作原理、克拉泼振荡电路、西勒振荡电路；</w:t>
            </w:r>
          </w:p>
          <w:p>
            <w:pPr>
              <w:adjustRightInd w:val="0"/>
              <w:snapToGrid w:val="0"/>
              <w:spacing w:line="300" w:lineRule="auto"/>
              <w:rPr>
                <w:sz w:val="18"/>
                <w:szCs w:val="18"/>
              </w:rPr>
            </w:pPr>
            <w:r>
              <w:rPr>
                <w:sz w:val="18"/>
                <w:szCs w:val="18"/>
              </w:rPr>
              <w:t>（3）掌握：振荡器的起振、平衡、稳定条件，LC三点式振荡器的交流通路及振荡频率计算。</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（1）课后习题6-3、6-5、6-7；</w:t>
            </w:r>
          </w:p>
          <w:p>
            <w:pPr>
              <w:adjustRightInd w:val="0"/>
              <w:snapToGrid w:val="0"/>
              <w:spacing w:line="300" w:lineRule="auto"/>
              <w:rPr>
                <w:sz w:val="18"/>
                <w:szCs w:val="18"/>
              </w:rPr>
            </w:pPr>
            <w:r>
              <w:rPr>
                <w:sz w:val="18"/>
                <w:szCs w:val="18"/>
              </w:rPr>
              <w:t>（2）在MOOC讨论区讨论LC振荡器和RC振荡器的本质区别是什么？</w:t>
            </w:r>
          </w:p>
          <w:p>
            <w:pPr>
              <w:adjustRightInd w:val="0"/>
              <w:snapToGrid w:val="0"/>
              <w:spacing w:line="300" w:lineRule="auto"/>
              <w:rPr>
                <w:sz w:val="18"/>
                <w:szCs w:val="18"/>
              </w:rPr>
            </w:pPr>
            <w:r>
              <w:rPr>
                <w:sz w:val="18"/>
                <w:szCs w:val="18"/>
              </w:rPr>
              <w:t>3.教学方法：案例3：</w:t>
            </w:r>
            <w:r>
              <w:rPr>
                <w:kern w:val="0"/>
                <w:sz w:val="18"/>
                <w:szCs w:val="18"/>
              </w:rPr>
              <w:t>正弦波振荡器组装及调试</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1，2，3，4</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7</w:t>
            </w:r>
          </w:p>
        </w:tc>
        <w:tc>
          <w:tcPr>
            <w:tcW w:w="1640" w:type="pct"/>
            <w:vAlign w:val="center"/>
          </w:tcPr>
          <w:p>
            <w:pPr>
              <w:adjustRightInd w:val="0"/>
              <w:snapToGrid w:val="0"/>
              <w:spacing w:line="300" w:lineRule="auto"/>
              <w:rPr>
                <w:sz w:val="18"/>
                <w:szCs w:val="18"/>
              </w:rPr>
            </w:pPr>
            <w:r>
              <w:rPr>
                <w:sz w:val="18"/>
                <w:szCs w:val="18"/>
              </w:rPr>
              <w:t>第7章 振幅调制与解调</w:t>
            </w:r>
          </w:p>
          <w:p>
            <w:pPr>
              <w:adjustRightInd w:val="0"/>
              <w:snapToGrid w:val="0"/>
              <w:spacing w:line="300" w:lineRule="auto"/>
              <w:rPr>
                <w:sz w:val="18"/>
                <w:szCs w:val="18"/>
              </w:rPr>
            </w:pPr>
            <w:r>
              <w:rPr>
                <w:sz w:val="18"/>
                <w:szCs w:val="18"/>
              </w:rPr>
              <w:t>7.1概述</w:t>
            </w:r>
          </w:p>
          <w:p>
            <w:pPr>
              <w:adjustRightInd w:val="0"/>
              <w:snapToGrid w:val="0"/>
              <w:spacing w:line="300" w:lineRule="auto"/>
              <w:rPr>
                <w:sz w:val="18"/>
                <w:szCs w:val="18"/>
              </w:rPr>
            </w:pPr>
            <w:r>
              <w:rPr>
                <w:sz w:val="18"/>
                <w:szCs w:val="18"/>
              </w:rPr>
              <w:t>7.2调幅波的性质</w:t>
            </w:r>
          </w:p>
          <w:p>
            <w:pPr>
              <w:adjustRightInd w:val="0"/>
              <w:snapToGrid w:val="0"/>
              <w:spacing w:line="300" w:lineRule="auto"/>
              <w:rPr>
                <w:sz w:val="18"/>
                <w:szCs w:val="18"/>
              </w:rPr>
            </w:pPr>
            <w:r>
              <w:rPr>
                <w:sz w:val="18"/>
                <w:szCs w:val="18"/>
              </w:rPr>
              <w:t>7.3平方律调幅</w:t>
            </w:r>
          </w:p>
          <w:p>
            <w:pPr>
              <w:adjustRightInd w:val="0"/>
              <w:snapToGrid w:val="0"/>
              <w:spacing w:line="300" w:lineRule="auto"/>
              <w:rPr>
                <w:sz w:val="18"/>
                <w:szCs w:val="18"/>
              </w:rPr>
            </w:pPr>
            <w:r>
              <w:rPr>
                <w:sz w:val="18"/>
                <w:szCs w:val="18"/>
              </w:rPr>
              <w:t>7.4斩波调幅</w:t>
            </w:r>
          </w:p>
          <w:p>
            <w:pPr>
              <w:adjustRightInd w:val="0"/>
              <w:snapToGrid w:val="0"/>
              <w:spacing w:line="300" w:lineRule="auto"/>
              <w:rPr>
                <w:sz w:val="18"/>
                <w:szCs w:val="18"/>
              </w:rPr>
            </w:pPr>
            <w:r>
              <w:rPr>
                <w:sz w:val="18"/>
                <w:szCs w:val="18"/>
              </w:rPr>
              <w:t>7.5模拟乘法器调幅</w:t>
            </w:r>
          </w:p>
          <w:p>
            <w:pPr>
              <w:adjustRightInd w:val="0"/>
              <w:snapToGrid w:val="0"/>
              <w:spacing w:line="300" w:lineRule="auto"/>
              <w:rPr>
                <w:sz w:val="18"/>
                <w:szCs w:val="18"/>
              </w:rPr>
            </w:pPr>
            <w:r>
              <w:rPr>
                <w:sz w:val="18"/>
                <w:szCs w:val="18"/>
              </w:rPr>
              <w:t>7.6单边带信号的产生</w:t>
            </w:r>
          </w:p>
          <w:p>
            <w:pPr>
              <w:adjustRightInd w:val="0"/>
              <w:snapToGrid w:val="0"/>
              <w:spacing w:line="300" w:lineRule="auto"/>
              <w:rPr>
                <w:sz w:val="18"/>
                <w:szCs w:val="18"/>
              </w:rPr>
            </w:pPr>
            <w:r>
              <w:rPr>
                <w:sz w:val="18"/>
                <w:szCs w:val="18"/>
              </w:rPr>
              <w:t>7.7残留边带调幅</w:t>
            </w:r>
          </w:p>
          <w:p>
            <w:pPr>
              <w:adjustRightInd w:val="0"/>
              <w:snapToGrid w:val="0"/>
              <w:spacing w:line="300" w:lineRule="auto"/>
              <w:rPr>
                <w:sz w:val="18"/>
                <w:szCs w:val="18"/>
              </w:rPr>
            </w:pPr>
            <w:r>
              <w:rPr>
                <w:sz w:val="18"/>
                <w:szCs w:val="18"/>
              </w:rPr>
              <w:t>7.8高电平调幅</w:t>
            </w:r>
          </w:p>
          <w:p>
            <w:pPr>
              <w:adjustRightInd w:val="0"/>
              <w:snapToGrid w:val="0"/>
              <w:spacing w:line="300" w:lineRule="auto"/>
              <w:rPr>
                <w:sz w:val="18"/>
                <w:szCs w:val="18"/>
              </w:rPr>
            </w:pPr>
            <w:r>
              <w:rPr>
                <w:sz w:val="18"/>
                <w:szCs w:val="18"/>
              </w:rPr>
              <w:t>7.9包络检波</w:t>
            </w:r>
          </w:p>
          <w:p>
            <w:pPr>
              <w:snapToGrid w:val="0"/>
              <w:spacing w:line="300" w:lineRule="auto"/>
              <w:rPr>
                <w:sz w:val="18"/>
                <w:szCs w:val="18"/>
              </w:rPr>
            </w:pPr>
            <w:r>
              <w:rPr>
                <w:sz w:val="18"/>
                <w:szCs w:val="18"/>
              </w:rPr>
              <w:t>课程思政主题：用联系和发展的观点看待多种振幅调制的机理，辩证地分析各种振幅调制方式的优越性与局限性。</w:t>
            </w:r>
          </w:p>
          <w:p>
            <w:pPr>
              <w:snapToGrid w:val="0"/>
              <w:spacing w:line="300" w:lineRule="auto"/>
              <w:rPr>
                <w:sz w:val="18"/>
                <w:szCs w:val="18"/>
              </w:rPr>
            </w:pPr>
          </w:p>
          <w:p>
            <w:pPr>
              <w:snapToGrid w:val="0"/>
              <w:spacing w:line="300" w:lineRule="auto"/>
              <w:rPr>
                <w:sz w:val="18"/>
                <w:szCs w:val="18"/>
              </w:rPr>
            </w:pP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（1）了解：振幅调制的类型及已调信号的基本特性；</w:t>
            </w:r>
          </w:p>
          <w:p>
            <w:pPr>
              <w:adjustRightInd w:val="0"/>
              <w:snapToGrid w:val="0"/>
              <w:spacing w:line="300" w:lineRule="auto"/>
              <w:rPr>
                <w:sz w:val="18"/>
                <w:szCs w:val="18"/>
              </w:rPr>
            </w:pPr>
            <w:r>
              <w:rPr>
                <w:sz w:val="18"/>
                <w:szCs w:val="18"/>
              </w:rPr>
              <w:t>（2）理解：调制和解调的含义、惰性失真、负峰切割失真；</w:t>
            </w:r>
          </w:p>
          <w:p>
            <w:pPr>
              <w:adjustRightInd w:val="0"/>
              <w:snapToGrid w:val="0"/>
              <w:spacing w:line="300" w:lineRule="auto"/>
              <w:rPr>
                <w:sz w:val="18"/>
                <w:szCs w:val="18"/>
              </w:rPr>
            </w:pPr>
            <w:r>
              <w:rPr>
                <w:sz w:val="18"/>
                <w:szCs w:val="18"/>
              </w:rPr>
              <w:t>（3）掌握：AM、DSB、SSB信号的特点、波形图、频谱图，基极调幅电路、集电极调幅电路、模拟乘法器调幅电路、二极管平衡调幅电路、包络检波的工作原理。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（1）课后习题7-4、7-5、7-14；</w:t>
            </w:r>
          </w:p>
          <w:p>
            <w:pPr>
              <w:adjustRightInd w:val="0"/>
              <w:snapToGrid w:val="0"/>
              <w:spacing w:line="300" w:lineRule="auto"/>
              <w:rPr>
                <w:sz w:val="18"/>
                <w:szCs w:val="18"/>
              </w:rPr>
            </w:pPr>
            <w:r>
              <w:rPr>
                <w:sz w:val="18"/>
                <w:szCs w:val="18"/>
              </w:rPr>
              <w:t>（2）总结低电平调幅电路和高电平调幅电路分析方法与区别。</w:t>
            </w:r>
          </w:p>
          <w:p>
            <w:pPr>
              <w:adjustRightInd w:val="0"/>
              <w:snapToGrid w:val="0"/>
              <w:spacing w:line="300" w:lineRule="auto"/>
              <w:rPr>
                <w:sz w:val="18"/>
                <w:szCs w:val="18"/>
              </w:rPr>
            </w:pPr>
            <w:r>
              <w:rPr>
                <w:sz w:val="18"/>
                <w:szCs w:val="18"/>
              </w:rPr>
              <w:t>3.教学方法：讲授式、案例式启发式相结合。</w:t>
            </w:r>
          </w:p>
          <w:p>
            <w:pPr>
              <w:snapToGrid w:val="0"/>
              <w:spacing w:line="300" w:lineRule="auto"/>
              <w:rPr>
                <w:sz w:val="18"/>
                <w:szCs w:val="18"/>
              </w:rPr>
            </w:pPr>
            <w:r>
              <w:rPr>
                <w:sz w:val="18"/>
                <w:szCs w:val="18"/>
              </w:rPr>
              <w:t>案例4：</w:t>
            </w:r>
            <w:r>
              <w:rPr>
                <w:kern w:val="0"/>
                <w:sz w:val="18"/>
                <w:szCs w:val="18"/>
              </w:rPr>
              <w:t>调幅发射机组装及调试</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1，2，3，4</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8</w:t>
            </w:r>
          </w:p>
        </w:tc>
        <w:tc>
          <w:tcPr>
            <w:tcW w:w="1640" w:type="pct"/>
            <w:vAlign w:val="center"/>
          </w:tcPr>
          <w:p>
            <w:pPr>
              <w:adjustRightInd w:val="0"/>
              <w:snapToGrid w:val="0"/>
              <w:spacing w:line="300" w:lineRule="auto"/>
              <w:rPr>
                <w:sz w:val="18"/>
                <w:szCs w:val="18"/>
              </w:rPr>
            </w:pPr>
            <w:r>
              <w:rPr>
                <w:sz w:val="18"/>
                <w:szCs w:val="18"/>
              </w:rPr>
              <w:t>第8章  角度调制与解调</w:t>
            </w:r>
          </w:p>
          <w:p>
            <w:pPr>
              <w:adjustRightInd w:val="0"/>
              <w:snapToGrid w:val="0"/>
              <w:spacing w:line="300" w:lineRule="auto"/>
              <w:rPr>
                <w:sz w:val="18"/>
                <w:szCs w:val="18"/>
              </w:rPr>
            </w:pPr>
            <w:r>
              <w:rPr>
                <w:sz w:val="18"/>
                <w:szCs w:val="18"/>
              </w:rPr>
              <w:t>8.1概述</w:t>
            </w:r>
          </w:p>
          <w:p>
            <w:pPr>
              <w:adjustRightInd w:val="0"/>
              <w:snapToGrid w:val="0"/>
              <w:spacing w:line="300" w:lineRule="auto"/>
              <w:rPr>
                <w:sz w:val="18"/>
                <w:szCs w:val="18"/>
              </w:rPr>
            </w:pPr>
            <w:r>
              <w:rPr>
                <w:sz w:val="18"/>
                <w:szCs w:val="18"/>
              </w:rPr>
              <w:t xml:space="preserve">8.2调角波的性质 </w:t>
            </w:r>
          </w:p>
          <w:p>
            <w:pPr>
              <w:adjustRightInd w:val="0"/>
              <w:snapToGrid w:val="0"/>
              <w:spacing w:line="300" w:lineRule="auto"/>
              <w:rPr>
                <w:sz w:val="18"/>
                <w:szCs w:val="18"/>
              </w:rPr>
            </w:pPr>
            <w:r>
              <w:rPr>
                <w:sz w:val="18"/>
                <w:szCs w:val="18"/>
              </w:rPr>
              <w:t>8.3调频方法概述</w:t>
            </w:r>
          </w:p>
          <w:p>
            <w:pPr>
              <w:adjustRightInd w:val="0"/>
              <w:snapToGrid w:val="0"/>
              <w:spacing w:line="300" w:lineRule="auto"/>
              <w:rPr>
                <w:sz w:val="18"/>
                <w:szCs w:val="18"/>
              </w:rPr>
            </w:pPr>
            <w:r>
              <w:rPr>
                <w:sz w:val="18"/>
                <w:szCs w:val="18"/>
              </w:rPr>
              <w:t>8.4变容二极管调频</w:t>
            </w:r>
          </w:p>
          <w:p>
            <w:pPr>
              <w:adjustRightInd w:val="0"/>
              <w:snapToGrid w:val="0"/>
              <w:spacing w:line="300" w:lineRule="auto"/>
              <w:rPr>
                <w:sz w:val="18"/>
                <w:szCs w:val="18"/>
              </w:rPr>
            </w:pPr>
            <w:r>
              <w:rPr>
                <w:sz w:val="18"/>
                <w:szCs w:val="18"/>
              </w:rPr>
              <w:t>8.5晶体振荡器直接调频</w:t>
            </w:r>
          </w:p>
          <w:p>
            <w:pPr>
              <w:adjustRightInd w:val="0"/>
              <w:snapToGrid w:val="0"/>
              <w:spacing w:line="300" w:lineRule="auto"/>
              <w:rPr>
                <w:sz w:val="18"/>
                <w:szCs w:val="18"/>
              </w:rPr>
            </w:pPr>
            <w:r>
              <w:rPr>
                <w:sz w:val="18"/>
                <w:szCs w:val="18"/>
              </w:rPr>
              <w:t>8.6间接调频</w:t>
            </w:r>
          </w:p>
          <w:p>
            <w:pPr>
              <w:adjustRightInd w:val="0"/>
              <w:snapToGrid w:val="0"/>
              <w:spacing w:line="300" w:lineRule="auto"/>
              <w:rPr>
                <w:sz w:val="18"/>
                <w:szCs w:val="18"/>
              </w:rPr>
            </w:pPr>
            <w:r>
              <w:rPr>
                <w:sz w:val="18"/>
                <w:szCs w:val="18"/>
              </w:rPr>
              <w:t>8.8相位鉴频器</w:t>
            </w:r>
          </w:p>
          <w:p>
            <w:pPr>
              <w:adjustRightInd w:val="0"/>
              <w:snapToGrid w:val="0"/>
              <w:spacing w:line="300" w:lineRule="auto"/>
              <w:rPr>
                <w:sz w:val="18"/>
                <w:szCs w:val="18"/>
              </w:rPr>
            </w:pPr>
            <w:r>
              <w:rPr>
                <w:sz w:val="18"/>
                <w:szCs w:val="18"/>
              </w:rPr>
              <w:t>8.9比例鉴频器</w:t>
            </w:r>
          </w:p>
          <w:p>
            <w:pPr>
              <w:snapToGrid w:val="0"/>
              <w:spacing w:line="300" w:lineRule="auto"/>
              <w:rPr>
                <w:sz w:val="18"/>
                <w:szCs w:val="18"/>
              </w:rPr>
            </w:pPr>
            <w:r>
              <w:rPr>
                <w:sz w:val="18"/>
                <w:szCs w:val="18"/>
              </w:rPr>
              <w:t>课程思政主题：用联系的观点看待调频电路中直接调频与间接调频之间的区别，辩证分析两种调频方式的优劣。</w:t>
            </w: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（1）了解：鉴频特性曲线、扩展调频波最大频偏的方法；</w:t>
            </w:r>
          </w:p>
          <w:p>
            <w:pPr>
              <w:adjustRightInd w:val="0"/>
              <w:snapToGrid w:val="0"/>
              <w:spacing w:line="300" w:lineRule="auto"/>
              <w:rPr>
                <w:sz w:val="18"/>
                <w:szCs w:val="18"/>
              </w:rPr>
            </w:pPr>
            <w:r>
              <w:rPr>
                <w:sz w:val="18"/>
                <w:szCs w:val="18"/>
              </w:rPr>
              <w:t>（2）理解：直接调频、比例鉴频器、相位鉴频器的工作原理；</w:t>
            </w:r>
          </w:p>
          <w:p>
            <w:pPr>
              <w:adjustRightInd w:val="0"/>
              <w:snapToGrid w:val="0"/>
              <w:spacing w:line="300" w:lineRule="auto"/>
              <w:rPr>
                <w:sz w:val="18"/>
                <w:szCs w:val="18"/>
              </w:rPr>
            </w:pPr>
            <w:r>
              <w:rPr>
                <w:sz w:val="18"/>
                <w:szCs w:val="18"/>
              </w:rPr>
              <w:t>（3）掌握：调频信号和调相信号的定义、数字表达式、调频信号波形、频谱结构及主要参数的计算，变容二极管直接调频、间接调频电路的原理及分析方法。</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（1）课后习题8-3、8-5、8-15。</w:t>
            </w:r>
          </w:p>
          <w:p>
            <w:pPr>
              <w:adjustRightInd w:val="0"/>
              <w:snapToGrid w:val="0"/>
              <w:spacing w:line="300" w:lineRule="auto"/>
              <w:rPr>
                <w:sz w:val="18"/>
                <w:szCs w:val="18"/>
              </w:rPr>
            </w:pPr>
            <w:r>
              <w:rPr>
                <w:sz w:val="18"/>
                <w:szCs w:val="18"/>
              </w:rPr>
              <w:t>（2）在MOOC讨论区讨论PM和FM通频带的区别主要体现在哪里？</w:t>
            </w:r>
          </w:p>
          <w:p>
            <w:pPr>
              <w:adjustRightInd w:val="0"/>
              <w:snapToGrid w:val="0"/>
              <w:spacing w:line="300" w:lineRule="auto"/>
              <w:rPr>
                <w:sz w:val="18"/>
                <w:szCs w:val="18"/>
              </w:rPr>
            </w:pPr>
            <w:r>
              <w:rPr>
                <w:sz w:val="18"/>
                <w:szCs w:val="18"/>
              </w:rPr>
              <w:t>3.教学方法：讲授式、讨论式、案例式与启发式相结合。</w:t>
            </w:r>
          </w:p>
          <w:p>
            <w:pPr>
              <w:widowControl/>
              <w:adjustRightInd w:val="0"/>
              <w:snapToGrid w:val="0"/>
              <w:spacing w:line="300" w:lineRule="auto"/>
              <w:rPr>
                <w:kern w:val="0"/>
                <w:sz w:val="18"/>
                <w:szCs w:val="18"/>
              </w:rPr>
            </w:pPr>
            <w:r>
              <w:rPr>
                <w:sz w:val="18"/>
                <w:szCs w:val="18"/>
              </w:rPr>
              <w:t>案例5：</w:t>
            </w:r>
            <w:r>
              <w:rPr>
                <w:kern w:val="0"/>
                <w:sz w:val="18"/>
                <w:szCs w:val="18"/>
              </w:rPr>
              <w:t>调幅收音机组装及调试</w:t>
            </w:r>
          </w:p>
          <w:p>
            <w:pPr>
              <w:snapToGrid w:val="0"/>
              <w:spacing w:line="300" w:lineRule="auto"/>
              <w:rPr>
                <w:sz w:val="18"/>
                <w:szCs w:val="18"/>
              </w:rPr>
            </w:pPr>
            <w:r>
              <w:rPr>
                <w:kern w:val="0"/>
                <w:sz w:val="18"/>
                <w:szCs w:val="18"/>
              </w:rPr>
              <w:t>案例6：半双工调频无线对讲机组装及调试</w:t>
            </w:r>
          </w:p>
        </w:tc>
        <w:tc>
          <w:tcPr>
            <w:tcW w:w="247" w:type="pct"/>
            <w:vAlign w:val="center"/>
          </w:tcPr>
          <w:p>
            <w:pPr>
              <w:snapToGrid w:val="0"/>
              <w:spacing w:line="300" w:lineRule="auto"/>
              <w:jc w:val="center"/>
              <w:rPr>
                <w:sz w:val="18"/>
                <w:szCs w:val="18"/>
              </w:rPr>
            </w:pPr>
            <w:r>
              <w:rPr>
                <w:kern w:val="0"/>
                <w:sz w:val="18"/>
                <w:szCs w:val="18"/>
              </w:rPr>
              <w:t>4</w:t>
            </w:r>
          </w:p>
        </w:tc>
        <w:tc>
          <w:tcPr>
            <w:tcW w:w="491" w:type="pct"/>
            <w:vAlign w:val="center"/>
          </w:tcPr>
          <w:p>
            <w:pPr>
              <w:snapToGrid w:val="0"/>
              <w:spacing w:line="300" w:lineRule="auto"/>
              <w:rPr>
                <w:sz w:val="18"/>
                <w:szCs w:val="18"/>
              </w:rPr>
            </w:pPr>
            <w:r>
              <w:rPr>
                <w:kern w:val="0"/>
                <w:sz w:val="18"/>
                <w:szCs w:val="18"/>
              </w:rPr>
              <w:t>1，2，3，4</w:t>
            </w: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326" w:type="pct"/>
            <w:tcMar>
              <w:left w:w="57" w:type="dxa"/>
              <w:right w:w="57" w:type="dxa"/>
            </w:tcMar>
            <w:vAlign w:val="center"/>
          </w:tcPr>
          <w:p>
            <w:pPr>
              <w:snapToGrid w:val="0"/>
              <w:spacing w:line="300" w:lineRule="auto"/>
              <w:jc w:val="center"/>
              <w:rPr>
                <w:sz w:val="18"/>
                <w:szCs w:val="18"/>
              </w:rPr>
            </w:pPr>
            <w:r>
              <w:rPr>
                <w:kern w:val="0"/>
                <w:sz w:val="18"/>
                <w:szCs w:val="18"/>
              </w:rPr>
              <w:t>9</w:t>
            </w:r>
          </w:p>
        </w:tc>
        <w:tc>
          <w:tcPr>
            <w:tcW w:w="1640" w:type="pct"/>
            <w:vAlign w:val="center"/>
          </w:tcPr>
          <w:p>
            <w:pPr>
              <w:adjustRightInd w:val="0"/>
              <w:snapToGrid w:val="0"/>
              <w:spacing w:line="300" w:lineRule="auto"/>
              <w:rPr>
                <w:sz w:val="18"/>
                <w:szCs w:val="18"/>
              </w:rPr>
            </w:pPr>
            <w:r>
              <w:rPr>
                <w:sz w:val="18"/>
                <w:szCs w:val="18"/>
              </w:rPr>
              <w:t>第</w:t>
            </w:r>
            <w:r>
              <w:rPr>
                <w:rFonts w:hint="eastAsia"/>
                <w:sz w:val="18"/>
                <w:szCs w:val="18"/>
              </w:rPr>
              <w:t>1</w:t>
            </w:r>
            <w:r>
              <w:rPr>
                <w:sz w:val="18"/>
                <w:szCs w:val="18"/>
              </w:rPr>
              <w:t>0章  反馈控制电路</w:t>
            </w:r>
          </w:p>
          <w:p>
            <w:pPr>
              <w:adjustRightInd w:val="0"/>
              <w:snapToGrid w:val="0"/>
              <w:spacing w:line="300" w:lineRule="auto"/>
              <w:rPr>
                <w:sz w:val="18"/>
                <w:szCs w:val="18"/>
              </w:rPr>
            </w:pPr>
            <w:r>
              <w:rPr>
                <w:sz w:val="18"/>
                <w:szCs w:val="18"/>
              </w:rPr>
              <w:t>10.1自动增益控制（AGC）</w:t>
            </w:r>
          </w:p>
          <w:p>
            <w:pPr>
              <w:adjustRightInd w:val="0"/>
              <w:snapToGrid w:val="0"/>
              <w:spacing w:line="300" w:lineRule="auto"/>
              <w:rPr>
                <w:sz w:val="18"/>
                <w:szCs w:val="18"/>
              </w:rPr>
            </w:pPr>
            <w:r>
              <w:rPr>
                <w:sz w:val="18"/>
                <w:szCs w:val="18"/>
              </w:rPr>
              <w:t>10.2自动频率微调(AFC)</w:t>
            </w:r>
          </w:p>
          <w:p>
            <w:pPr>
              <w:adjustRightInd w:val="0"/>
              <w:snapToGrid w:val="0"/>
              <w:spacing w:line="300" w:lineRule="auto"/>
              <w:rPr>
                <w:sz w:val="18"/>
                <w:szCs w:val="18"/>
              </w:rPr>
            </w:pPr>
            <w:r>
              <w:rPr>
                <w:sz w:val="18"/>
                <w:szCs w:val="18"/>
              </w:rPr>
              <w:t>10.3锁相环路的基本工作原理</w:t>
            </w:r>
          </w:p>
          <w:p>
            <w:pPr>
              <w:adjustRightInd w:val="0"/>
              <w:snapToGrid w:val="0"/>
              <w:spacing w:line="300" w:lineRule="auto"/>
              <w:rPr>
                <w:sz w:val="18"/>
                <w:szCs w:val="18"/>
              </w:rPr>
            </w:pPr>
            <w:r>
              <w:rPr>
                <w:sz w:val="18"/>
                <w:szCs w:val="18"/>
              </w:rPr>
              <w:t>10.4锁相环路各部件及其数学模型</w:t>
            </w:r>
          </w:p>
          <w:p>
            <w:pPr>
              <w:adjustRightInd w:val="0"/>
              <w:snapToGrid w:val="0"/>
              <w:spacing w:line="300" w:lineRule="auto"/>
              <w:rPr>
                <w:sz w:val="18"/>
                <w:szCs w:val="18"/>
              </w:rPr>
            </w:pPr>
          </w:p>
          <w:p>
            <w:pPr>
              <w:snapToGrid w:val="0"/>
              <w:spacing w:line="300" w:lineRule="auto"/>
              <w:rPr>
                <w:sz w:val="18"/>
                <w:szCs w:val="18"/>
              </w:rPr>
            </w:pPr>
          </w:p>
        </w:tc>
        <w:tc>
          <w:tcPr>
            <w:tcW w:w="2294"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（1）了解：自动增益控制原理、锁相环路的分析与应用；</w:t>
            </w:r>
          </w:p>
          <w:p>
            <w:pPr>
              <w:adjustRightInd w:val="0"/>
              <w:snapToGrid w:val="0"/>
              <w:spacing w:line="300" w:lineRule="auto"/>
              <w:rPr>
                <w:sz w:val="18"/>
                <w:szCs w:val="18"/>
              </w:rPr>
            </w:pPr>
            <w:r>
              <w:rPr>
                <w:sz w:val="18"/>
                <w:szCs w:val="18"/>
              </w:rPr>
              <w:t>（2）理解：自动频率微调原理、锁相环路的数学模型；</w:t>
            </w:r>
          </w:p>
          <w:p>
            <w:pPr>
              <w:adjustRightInd w:val="0"/>
              <w:snapToGrid w:val="0"/>
              <w:spacing w:line="300" w:lineRule="auto"/>
              <w:rPr>
                <w:sz w:val="18"/>
                <w:szCs w:val="18"/>
              </w:rPr>
            </w:pPr>
            <w:r>
              <w:rPr>
                <w:sz w:val="18"/>
                <w:szCs w:val="18"/>
              </w:rPr>
              <w:t>（3）掌握：锁相环路的基本工作原理。</w:t>
            </w:r>
          </w:p>
          <w:p>
            <w:pPr>
              <w:adjustRightInd w:val="0"/>
              <w:snapToGrid w:val="0"/>
              <w:spacing w:line="300" w:lineRule="auto"/>
              <w:rPr>
                <w:sz w:val="18"/>
                <w:szCs w:val="18"/>
              </w:rPr>
            </w:pPr>
            <w:r>
              <w:rPr>
                <w:sz w:val="18"/>
                <w:szCs w:val="18"/>
              </w:rPr>
              <w:t>2.作业内容：课后习题9-3、9-5。</w:t>
            </w:r>
          </w:p>
          <w:p>
            <w:pPr>
              <w:snapToGrid w:val="0"/>
              <w:spacing w:line="300" w:lineRule="auto"/>
              <w:rPr>
                <w:sz w:val="18"/>
                <w:szCs w:val="18"/>
              </w:rPr>
            </w:pPr>
            <w:r>
              <w:rPr>
                <w:sz w:val="18"/>
                <w:szCs w:val="18"/>
              </w:rPr>
              <w:t>3.教学方法：讲授式与启发式相结合。</w:t>
            </w:r>
          </w:p>
        </w:tc>
        <w:tc>
          <w:tcPr>
            <w:tcW w:w="247" w:type="pct"/>
            <w:vAlign w:val="center"/>
          </w:tcPr>
          <w:p>
            <w:pPr>
              <w:snapToGrid w:val="0"/>
              <w:spacing w:line="300" w:lineRule="auto"/>
              <w:jc w:val="center"/>
              <w:rPr>
                <w:sz w:val="18"/>
                <w:szCs w:val="18"/>
              </w:rPr>
            </w:pPr>
            <w:r>
              <w:rPr>
                <w:kern w:val="0"/>
                <w:sz w:val="18"/>
                <w:szCs w:val="18"/>
              </w:rPr>
              <w:t>2</w:t>
            </w:r>
          </w:p>
        </w:tc>
        <w:tc>
          <w:tcPr>
            <w:tcW w:w="491" w:type="pct"/>
            <w:vAlign w:val="center"/>
          </w:tcPr>
          <w:p>
            <w:pPr>
              <w:snapToGrid w:val="0"/>
              <w:spacing w:line="300" w:lineRule="auto"/>
              <w:rPr>
                <w:sz w:val="18"/>
                <w:szCs w:val="18"/>
              </w:rPr>
            </w:pPr>
            <w:r>
              <w:rPr>
                <w:kern w:val="0"/>
                <w:sz w:val="18"/>
                <w:szCs w:val="18"/>
              </w:rPr>
              <w:t>1，2</w:t>
            </w:r>
          </w:p>
        </w:tc>
      </w:tr>
    </w:tbl>
    <w:p>
      <w:pPr>
        <w:snapToGrid w:val="0"/>
        <w:spacing w:before="156" w:beforeLines="50" w:after="156" w:afterLines="50" w:line="300" w:lineRule="auto"/>
        <w:ind w:firstLine="420" w:firstLineChars="200"/>
        <w:jc w:val="left"/>
        <w:rPr>
          <w:b/>
          <w:bCs/>
          <w:sz w:val="18"/>
          <w:szCs w:val="20"/>
        </w:rPr>
      </w:pPr>
      <w:r>
        <w:t>实验内容见表4所示。</w:t>
      </w:r>
    </w:p>
    <w:p>
      <w:pPr>
        <w:snapToGrid w:val="0"/>
        <w:spacing w:before="156" w:beforeLines="50" w:line="300" w:lineRule="auto"/>
        <w:jc w:val="center"/>
        <w:rPr>
          <w:b/>
          <w:bCs/>
          <w:sz w:val="18"/>
          <w:szCs w:val="20"/>
        </w:rPr>
      </w:pPr>
      <w:r>
        <w:rPr>
          <w:b/>
          <w:bCs/>
          <w:sz w:val="18"/>
          <w:szCs w:val="20"/>
        </w:rPr>
        <w:t>表4 实验安排情况</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259"/>
        <w:gridCol w:w="2394"/>
        <w:gridCol w:w="650"/>
        <w:gridCol w:w="615"/>
        <w:gridCol w:w="615"/>
        <w:gridCol w:w="615"/>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序号</w:t>
            </w:r>
          </w:p>
        </w:tc>
        <w:tc>
          <w:tcPr>
            <w:tcW w:w="13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实验项目名称</w:t>
            </w:r>
          </w:p>
        </w:tc>
        <w:tc>
          <w:tcPr>
            <w:tcW w:w="140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实验目的要求</w:t>
            </w:r>
          </w:p>
        </w:tc>
        <w:tc>
          <w:tcPr>
            <w:tcW w:w="3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学时分配</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实验类型</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每组人数</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必开选开</w:t>
            </w:r>
          </w:p>
        </w:tc>
        <w:tc>
          <w:tcPr>
            <w:tcW w:w="393" w:type="pct"/>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
                <w:sz w:val="18"/>
                <w:szCs w:val="18"/>
              </w:rPr>
            </w:pPr>
            <w:r>
              <w:rPr>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w:t>
            </w:r>
          </w:p>
        </w:tc>
        <w:tc>
          <w:tcPr>
            <w:tcW w:w="13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rPr>
              <w:t>单调谐高频小信号放大电路</w:t>
            </w:r>
          </w:p>
        </w:tc>
        <w:tc>
          <w:tcPr>
            <w:tcW w:w="140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掌握静态工作点、谐振时放大器动态范围及放大器的通频带</w:t>
            </w:r>
          </w:p>
        </w:tc>
        <w:tc>
          <w:tcPr>
            <w:tcW w:w="3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验证</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3</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必开</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2</w:t>
            </w:r>
          </w:p>
        </w:tc>
        <w:tc>
          <w:tcPr>
            <w:tcW w:w="13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rPr>
              <w:t>丙类高频功率放大器</w:t>
            </w:r>
          </w:p>
        </w:tc>
        <w:tc>
          <w:tcPr>
            <w:tcW w:w="140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掌握丙类功放的工作电压、输入输出峰值电压测量方法</w:t>
            </w:r>
          </w:p>
        </w:tc>
        <w:tc>
          <w:tcPr>
            <w:tcW w:w="3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验证</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3</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必开</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3</w:t>
            </w:r>
          </w:p>
        </w:tc>
        <w:tc>
          <w:tcPr>
            <w:tcW w:w="13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rPr>
              <w:t>振幅调制与解调</w:t>
            </w:r>
          </w:p>
        </w:tc>
        <w:tc>
          <w:tcPr>
            <w:tcW w:w="140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掌握全载波调幅、实现抑制载波调幅的方法</w:t>
            </w:r>
          </w:p>
        </w:tc>
        <w:tc>
          <w:tcPr>
            <w:tcW w:w="3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综合</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3</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必开</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4</w:t>
            </w:r>
          </w:p>
        </w:tc>
        <w:tc>
          <w:tcPr>
            <w:tcW w:w="13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sz w:val="18"/>
                <w:szCs w:val="18"/>
              </w:rPr>
            </w:pPr>
            <w:r>
              <w:rPr>
                <w:sz w:val="18"/>
                <w:szCs w:val="18"/>
              </w:rPr>
              <w:t>频率调制与解调</w:t>
            </w:r>
          </w:p>
        </w:tc>
        <w:tc>
          <w:tcPr>
            <w:tcW w:w="140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掌握频率调制方法</w:t>
            </w:r>
          </w:p>
        </w:tc>
        <w:tc>
          <w:tcPr>
            <w:tcW w:w="3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综合</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3</w:t>
            </w:r>
          </w:p>
        </w:tc>
        <w:tc>
          <w:tcPr>
            <w:tcW w:w="36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必开</w:t>
            </w:r>
          </w:p>
        </w:tc>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2，4</w:t>
            </w:r>
          </w:p>
        </w:tc>
      </w:tr>
    </w:tbl>
    <w:p>
      <w:pPr>
        <w:spacing w:before="156" w:beforeLines="50" w:after="156" w:afterLines="50" w:line="360" w:lineRule="auto"/>
        <w:rPr>
          <w:b/>
          <w:sz w:val="24"/>
        </w:rPr>
      </w:pPr>
      <w:r>
        <w:rPr>
          <w:b/>
          <w:sz w:val="24"/>
        </w:rPr>
        <w:t>五、课程考核及成绩评定</w:t>
      </w:r>
    </w:p>
    <w:p>
      <w:pPr>
        <w:snapToGrid w:val="0"/>
        <w:spacing w:line="300" w:lineRule="auto"/>
        <w:ind w:firstLine="420" w:firstLineChars="200"/>
        <w:rPr>
          <w:szCs w:val="21"/>
        </w:rPr>
      </w:pPr>
      <w:r>
        <w:rPr>
          <w:bCs/>
          <w:szCs w:val="21"/>
        </w:rPr>
        <w:t>1.考核方式：课堂表现</w:t>
      </w:r>
      <w:r>
        <w:rPr>
          <w:szCs w:val="21"/>
        </w:rPr>
        <w:t>（提问讨论、出勤考核、任务分析讨论）、实验环节（实验表现、知识掌握、报告撰写）、平时测验、习题作业（计算题、综合应用题）、大作业（3人一组，提交论文、PPT汇报答辩）、期末考试（闭卷）。</w:t>
      </w:r>
    </w:p>
    <w:p>
      <w:pPr>
        <w:snapToGrid w:val="0"/>
        <w:spacing w:line="300" w:lineRule="auto"/>
        <w:ind w:firstLine="420" w:firstLineChars="200"/>
      </w:pPr>
      <w:r>
        <w:rPr>
          <w:bCs/>
          <w:szCs w:val="21"/>
        </w:rPr>
        <w:t>2.成绩构成：</w:t>
      </w:r>
      <w:r>
        <w:t>期末成绩60%+平时成绩40%（课堂表现、实验环节、平时测验、习题作业、大作业）。</w:t>
      </w:r>
    </w:p>
    <w:p>
      <w:pPr>
        <w:snapToGrid w:val="0"/>
        <w:spacing w:line="300" w:lineRule="auto"/>
        <w:ind w:firstLine="420" w:firstLineChars="200"/>
        <w:rPr>
          <w:bCs/>
          <w:szCs w:val="21"/>
        </w:rPr>
      </w:pPr>
      <w:r>
        <w:rPr>
          <w:bCs/>
          <w:szCs w:val="21"/>
        </w:rPr>
        <w:t>3.考核评价标准见表5所示。</w:t>
      </w:r>
    </w:p>
    <w:p>
      <w:pPr>
        <w:snapToGrid w:val="0"/>
        <w:spacing w:before="156" w:beforeLines="50" w:line="300" w:lineRule="auto"/>
        <w:ind w:firstLine="3072" w:firstLineChars="1700"/>
        <w:rPr>
          <w:b/>
          <w:bCs/>
          <w:sz w:val="18"/>
          <w:szCs w:val="20"/>
        </w:rPr>
      </w:pPr>
      <w:r>
        <w:rPr>
          <w:b/>
          <w:bCs/>
          <w:sz w:val="18"/>
          <w:szCs w:val="20"/>
        </w:rPr>
        <w:t>表5 教学目标评价标准</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498"/>
        <w:gridCol w:w="562"/>
        <w:gridCol w:w="827"/>
        <w:gridCol w:w="603"/>
        <w:gridCol w:w="3284"/>
        <w:gridCol w:w="973"/>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802"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498" w:type="dxa"/>
            <w:vAlign w:val="center"/>
          </w:tcPr>
          <w:p>
            <w:pPr>
              <w:snapToGrid w:val="0"/>
              <w:spacing w:line="300" w:lineRule="auto"/>
              <w:jc w:val="center"/>
              <w:rPr>
                <w:b/>
                <w:bCs/>
                <w:sz w:val="18"/>
                <w:szCs w:val="18"/>
              </w:rPr>
            </w:pPr>
            <w:r>
              <w:rPr>
                <w:b/>
                <w:bCs/>
                <w:sz w:val="18"/>
                <w:szCs w:val="18"/>
              </w:rPr>
              <w:t>分值</w:t>
            </w:r>
          </w:p>
        </w:tc>
        <w:tc>
          <w:tcPr>
            <w:tcW w:w="562" w:type="dxa"/>
            <w:vAlign w:val="center"/>
          </w:tcPr>
          <w:p>
            <w:pPr>
              <w:snapToGrid w:val="0"/>
              <w:spacing w:line="300" w:lineRule="auto"/>
              <w:jc w:val="center"/>
              <w:rPr>
                <w:b/>
                <w:bCs/>
                <w:sz w:val="18"/>
                <w:szCs w:val="18"/>
              </w:rPr>
            </w:pPr>
            <w:r>
              <w:rPr>
                <w:b/>
                <w:bCs/>
                <w:sz w:val="18"/>
                <w:szCs w:val="18"/>
              </w:rPr>
              <w:t>权重</w:t>
            </w:r>
          </w:p>
        </w:tc>
        <w:tc>
          <w:tcPr>
            <w:tcW w:w="827" w:type="dxa"/>
            <w:vAlign w:val="center"/>
          </w:tcPr>
          <w:p>
            <w:pPr>
              <w:snapToGrid w:val="0"/>
              <w:spacing w:line="300" w:lineRule="auto"/>
              <w:jc w:val="center"/>
              <w:rPr>
                <w:b/>
                <w:bCs/>
                <w:sz w:val="18"/>
                <w:szCs w:val="18"/>
              </w:rPr>
            </w:pPr>
            <w:r>
              <w:rPr>
                <w:b/>
                <w:bCs/>
                <w:sz w:val="18"/>
                <w:szCs w:val="18"/>
              </w:rPr>
              <w:t>类别</w:t>
            </w:r>
          </w:p>
        </w:tc>
        <w:tc>
          <w:tcPr>
            <w:tcW w:w="603" w:type="dxa"/>
            <w:vAlign w:val="center"/>
          </w:tcPr>
          <w:p>
            <w:pPr>
              <w:snapToGrid w:val="0"/>
              <w:spacing w:line="300" w:lineRule="auto"/>
              <w:jc w:val="center"/>
              <w:rPr>
                <w:b/>
                <w:bCs/>
                <w:sz w:val="18"/>
                <w:szCs w:val="18"/>
              </w:rPr>
            </w:pPr>
            <w:r>
              <w:rPr>
                <w:b/>
                <w:bCs/>
                <w:sz w:val="18"/>
                <w:szCs w:val="18"/>
              </w:rPr>
              <w:t>权重</w:t>
            </w:r>
          </w:p>
        </w:tc>
        <w:tc>
          <w:tcPr>
            <w:tcW w:w="3284" w:type="dxa"/>
            <w:vAlign w:val="center"/>
          </w:tcPr>
          <w:p>
            <w:pPr>
              <w:snapToGrid w:val="0"/>
              <w:spacing w:line="300" w:lineRule="auto"/>
              <w:jc w:val="center"/>
              <w:rPr>
                <w:b/>
                <w:bCs/>
                <w:sz w:val="18"/>
                <w:szCs w:val="18"/>
              </w:rPr>
            </w:pPr>
            <w:r>
              <w:rPr>
                <w:b/>
                <w:bCs/>
                <w:sz w:val="18"/>
                <w:szCs w:val="18"/>
              </w:rPr>
              <w:t>考核/评价细则</w:t>
            </w:r>
          </w:p>
        </w:tc>
        <w:tc>
          <w:tcPr>
            <w:tcW w:w="973" w:type="dxa"/>
            <w:vAlign w:val="center"/>
          </w:tcPr>
          <w:p>
            <w:pPr>
              <w:snapToGrid w:val="0"/>
              <w:spacing w:line="300" w:lineRule="auto"/>
              <w:jc w:val="center"/>
              <w:rPr>
                <w:b/>
                <w:bCs/>
                <w:sz w:val="18"/>
                <w:szCs w:val="18"/>
              </w:rPr>
            </w:pPr>
            <w:r>
              <w:rPr>
                <w:b/>
                <w:bCs/>
                <w:sz w:val="18"/>
                <w:szCs w:val="18"/>
              </w:rPr>
              <w:t>课程目标</w:t>
            </w:r>
          </w:p>
        </w:tc>
        <w:tc>
          <w:tcPr>
            <w:tcW w:w="973" w:type="dxa"/>
            <w:vAlign w:val="center"/>
          </w:tcPr>
          <w:p>
            <w:pPr>
              <w:snapToGrid w:val="0"/>
              <w:spacing w:line="300" w:lineRule="auto"/>
              <w:rPr>
                <w:b/>
                <w:bCs/>
                <w:sz w:val="18"/>
                <w:szCs w:val="18"/>
              </w:rPr>
            </w:pPr>
            <w:r>
              <w:rPr>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restart"/>
            <w:vAlign w:val="center"/>
          </w:tcPr>
          <w:p>
            <w:pPr>
              <w:snapToGrid w:val="0"/>
              <w:spacing w:line="300" w:lineRule="auto"/>
              <w:jc w:val="center"/>
              <w:rPr>
                <w:sz w:val="18"/>
                <w:szCs w:val="18"/>
              </w:rPr>
            </w:pPr>
          </w:p>
          <w:p>
            <w:pPr>
              <w:snapToGrid w:val="0"/>
              <w:spacing w:line="300" w:lineRule="auto"/>
              <w:jc w:val="center"/>
              <w:rPr>
                <w:sz w:val="18"/>
                <w:szCs w:val="18"/>
              </w:rPr>
            </w:pPr>
            <w:r>
              <w:rPr>
                <w:sz w:val="18"/>
                <w:szCs w:val="18"/>
              </w:rPr>
              <w:t>平时</w:t>
            </w:r>
          </w:p>
          <w:p>
            <w:pPr>
              <w:snapToGrid w:val="0"/>
              <w:spacing w:line="300" w:lineRule="auto"/>
              <w:jc w:val="center"/>
              <w:rPr>
                <w:sz w:val="18"/>
                <w:szCs w:val="18"/>
              </w:rPr>
            </w:pPr>
            <w:r>
              <w:rPr>
                <w:sz w:val="18"/>
                <w:szCs w:val="18"/>
              </w:rPr>
              <w:t>成绩</w:t>
            </w:r>
          </w:p>
        </w:tc>
        <w:tc>
          <w:tcPr>
            <w:tcW w:w="498" w:type="dxa"/>
            <w:vMerge w:val="restart"/>
            <w:vAlign w:val="center"/>
          </w:tcPr>
          <w:p>
            <w:pPr>
              <w:snapToGrid w:val="0"/>
              <w:spacing w:line="300" w:lineRule="auto"/>
              <w:jc w:val="center"/>
              <w:rPr>
                <w:sz w:val="18"/>
                <w:szCs w:val="18"/>
              </w:rPr>
            </w:pPr>
            <w:r>
              <w:rPr>
                <w:sz w:val="18"/>
                <w:szCs w:val="18"/>
              </w:rPr>
              <w:t>100</w:t>
            </w:r>
          </w:p>
        </w:tc>
        <w:tc>
          <w:tcPr>
            <w:tcW w:w="562" w:type="dxa"/>
            <w:vMerge w:val="restart"/>
            <w:vAlign w:val="center"/>
          </w:tcPr>
          <w:p>
            <w:pPr>
              <w:snapToGrid w:val="0"/>
              <w:spacing w:line="300" w:lineRule="auto"/>
              <w:jc w:val="center"/>
              <w:rPr>
                <w:sz w:val="18"/>
                <w:szCs w:val="18"/>
              </w:rPr>
            </w:pPr>
            <w:r>
              <w:rPr>
                <w:sz w:val="18"/>
                <w:szCs w:val="18"/>
              </w:rPr>
              <w:t>0.4</w:t>
            </w:r>
          </w:p>
        </w:tc>
        <w:tc>
          <w:tcPr>
            <w:tcW w:w="827" w:type="dxa"/>
            <w:vAlign w:val="center"/>
          </w:tcPr>
          <w:p>
            <w:pPr>
              <w:snapToGrid w:val="0"/>
              <w:spacing w:line="300" w:lineRule="auto"/>
              <w:jc w:val="center"/>
              <w:rPr>
                <w:sz w:val="18"/>
                <w:szCs w:val="18"/>
              </w:rPr>
            </w:pPr>
            <w:r>
              <w:rPr>
                <w:sz w:val="18"/>
                <w:szCs w:val="18"/>
              </w:rPr>
              <w:t>课堂表现</w:t>
            </w:r>
          </w:p>
        </w:tc>
        <w:tc>
          <w:tcPr>
            <w:tcW w:w="603" w:type="dxa"/>
            <w:vAlign w:val="center"/>
          </w:tcPr>
          <w:p>
            <w:pPr>
              <w:snapToGrid w:val="0"/>
              <w:spacing w:line="300" w:lineRule="auto"/>
              <w:jc w:val="center"/>
              <w:rPr>
                <w:sz w:val="18"/>
                <w:szCs w:val="18"/>
              </w:rPr>
            </w:pPr>
            <w:r>
              <w:rPr>
                <w:sz w:val="18"/>
                <w:szCs w:val="18"/>
              </w:rPr>
              <w:t>0.1</w:t>
            </w:r>
          </w:p>
        </w:tc>
        <w:tc>
          <w:tcPr>
            <w:tcW w:w="3284" w:type="dxa"/>
            <w:vAlign w:val="center"/>
          </w:tcPr>
          <w:p>
            <w:pPr>
              <w:widowControl/>
              <w:snapToGrid w:val="0"/>
              <w:spacing w:line="300" w:lineRule="auto"/>
              <w:rPr>
                <w:sz w:val="18"/>
                <w:szCs w:val="18"/>
              </w:rPr>
            </w:pPr>
            <w:r>
              <w:rPr>
                <w:sz w:val="18"/>
                <w:szCs w:val="18"/>
              </w:rPr>
              <w:t>能否足量查阅资料;能否熟练运用知识;能否积极参加任务讨论;能否阐明自己的观点;团队合作程度;出勤率。</w:t>
            </w:r>
          </w:p>
        </w:tc>
        <w:tc>
          <w:tcPr>
            <w:tcW w:w="973" w:type="dxa"/>
            <w:vAlign w:val="center"/>
          </w:tcPr>
          <w:p>
            <w:pPr>
              <w:snapToGrid w:val="0"/>
              <w:spacing w:line="300" w:lineRule="auto"/>
              <w:jc w:val="center"/>
              <w:rPr>
                <w:sz w:val="18"/>
                <w:szCs w:val="18"/>
              </w:rPr>
            </w:pPr>
            <w:r>
              <w:rPr>
                <w:sz w:val="18"/>
                <w:szCs w:val="18"/>
              </w:rPr>
              <w:t>1，2</w:t>
            </w:r>
            <w:r>
              <w:rPr>
                <w:rFonts w:hint="eastAsia"/>
                <w:sz w:val="18"/>
                <w:szCs w:val="18"/>
              </w:rPr>
              <w:t>，4，5</w:t>
            </w:r>
          </w:p>
        </w:tc>
        <w:tc>
          <w:tcPr>
            <w:tcW w:w="973" w:type="dxa"/>
            <w:vAlign w:val="center"/>
          </w:tcPr>
          <w:p>
            <w:pPr>
              <w:snapToGrid w:val="0"/>
              <w:spacing w:line="300" w:lineRule="auto"/>
              <w:jc w:val="center"/>
              <w:rPr>
                <w:sz w:val="18"/>
                <w:szCs w:val="18"/>
              </w:rPr>
            </w:pPr>
            <w:r>
              <w:rPr>
                <w:rFonts w:hint="eastAsia"/>
                <w:sz w:val="18"/>
                <w:szCs w:val="18"/>
              </w:rPr>
              <w:t>1</w:t>
            </w:r>
            <w:r>
              <w:rPr>
                <w:sz w:val="18"/>
                <w:szCs w:val="18"/>
              </w:rPr>
              <w:t>.3</w:t>
            </w:r>
            <w:r>
              <w:rPr>
                <w:rFonts w:hint="eastAsia"/>
                <w:sz w:val="18"/>
                <w:szCs w:val="18"/>
              </w:rPr>
              <w:t>，</w:t>
            </w:r>
            <w:r>
              <w:rPr>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02" w:type="dxa"/>
            <w:vMerge w:val="continue"/>
            <w:vAlign w:val="center"/>
          </w:tcPr>
          <w:p>
            <w:pPr>
              <w:snapToGrid w:val="0"/>
              <w:spacing w:line="300" w:lineRule="auto"/>
              <w:jc w:val="center"/>
              <w:rPr>
                <w:sz w:val="18"/>
                <w:szCs w:val="18"/>
              </w:rPr>
            </w:pPr>
          </w:p>
        </w:tc>
        <w:tc>
          <w:tcPr>
            <w:tcW w:w="498" w:type="dxa"/>
            <w:vMerge w:val="continue"/>
            <w:vAlign w:val="center"/>
          </w:tcPr>
          <w:p>
            <w:pPr>
              <w:snapToGrid w:val="0"/>
              <w:spacing w:line="300" w:lineRule="auto"/>
              <w:jc w:val="center"/>
              <w:rPr>
                <w:sz w:val="18"/>
                <w:szCs w:val="18"/>
              </w:rPr>
            </w:pPr>
          </w:p>
        </w:tc>
        <w:tc>
          <w:tcPr>
            <w:tcW w:w="562" w:type="dxa"/>
            <w:vMerge w:val="continue"/>
            <w:vAlign w:val="center"/>
          </w:tcPr>
          <w:p>
            <w:pPr>
              <w:snapToGrid w:val="0"/>
              <w:spacing w:line="300" w:lineRule="auto"/>
              <w:jc w:val="center"/>
              <w:rPr>
                <w:sz w:val="18"/>
                <w:szCs w:val="18"/>
              </w:rPr>
            </w:pPr>
          </w:p>
        </w:tc>
        <w:tc>
          <w:tcPr>
            <w:tcW w:w="827" w:type="dxa"/>
            <w:vAlign w:val="center"/>
          </w:tcPr>
          <w:p>
            <w:pPr>
              <w:snapToGrid w:val="0"/>
              <w:spacing w:line="300" w:lineRule="auto"/>
              <w:jc w:val="center"/>
              <w:rPr>
                <w:sz w:val="18"/>
                <w:szCs w:val="18"/>
              </w:rPr>
            </w:pPr>
            <w:r>
              <w:rPr>
                <w:sz w:val="18"/>
                <w:szCs w:val="18"/>
              </w:rPr>
              <w:t>实验环节</w:t>
            </w:r>
          </w:p>
        </w:tc>
        <w:tc>
          <w:tcPr>
            <w:tcW w:w="603" w:type="dxa"/>
            <w:vAlign w:val="center"/>
          </w:tcPr>
          <w:p>
            <w:pPr>
              <w:snapToGrid w:val="0"/>
              <w:spacing w:line="300" w:lineRule="auto"/>
              <w:jc w:val="center"/>
              <w:rPr>
                <w:sz w:val="18"/>
                <w:szCs w:val="18"/>
              </w:rPr>
            </w:pPr>
            <w:r>
              <w:rPr>
                <w:sz w:val="18"/>
                <w:szCs w:val="18"/>
              </w:rPr>
              <w:t>0.3</w:t>
            </w:r>
          </w:p>
        </w:tc>
        <w:tc>
          <w:tcPr>
            <w:tcW w:w="3284" w:type="dxa"/>
            <w:vAlign w:val="center"/>
          </w:tcPr>
          <w:p>
            <w:pPr>
              <w:widowControl/>
              <w:snapToGrid w:val="0"/>
              <w:spacing w:line="300" w:lineRule="auto"/>
              <w:rPr>
                <w:sz w:val="18"/>
                <w:szCs w:val="18"/>
              </w:rPr>
            </w:pPr>
            <w:r>
              <w:rPr>
                <w:sz w:val="18"/>
                <w:szCs w:val="18"/>
              </w:rPr>
              <w:t>实验报告能否完整、规范;实验过程能否协作、合规;实验结果能否准确、清晰。</w:t>
            </w:r>
          </w:p>
        </w:tc>
        <w:tc>
          <w:tcPr>
            <w:tcW w:w="973" w:type="dxa"/>
            <w:vAlign w:val="center"/>
          </w:tcPr>
          <w:p>
            <w:pPr>
              <w:snapToGrid w:val="0"/>
              <w:spacing w:line="300" w:lineRule="auto"/>
              <w:jc w:val="center"/>
              <w:rPr>
                <w:sz w:val="18"/>
                <w:szCs w:val="18"/>
              </w:rPr>
            </w:pPr>
            <w:r>
              <w:rPr>
                <w:sz w:val="18"/>
                <w:szCs w:val="18"/>
              </w:rPr>
              <w:t>2，4</w:t>
            </w:r>
          </w:p>
        </w:tc>
        <w:tc>
          <w:tcPr>
            <w:tcW w:w="973" w:type="dxa"/>
            <w:vAlign w:val="center"/>
          </w:tcPr>
          <w:p>
            <w:pPr>
              <w:snapToGrid w:val="0"/>
              <w:spacing w:line="300" w:lineRule="auto"/>
              <w:jc w:val="center"/>
              <w:rPr>
                <w:sz w:val="18"/>
                <w:szCs w:val="18"/>
              </w:rPr>
            </w:pPr>
            <w:r>
              <w:rPr>
                <w:sz w:val="18"/>
                <w:szCs w:val="18"/>
              </w:rPr>
              <w:t>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02" w:type="dxa"/>
            <w:vMerge w:val="continue"/>
            <w:vAlign w:val="center"/>
          </w:tcPr>
          <w:p>
            <w:pPr>
              <w:snapToGrid w:val="0"/>
              <w:spacing w:line="300" w:lineRule="auto"/>
              <w:jc w:val="center"/>
              <w:rPr>
                <w:sz w:val="18"/>
                <w:szCs w:val="18"/>
              </w:rPr>
            </w:pPr>
          </w:p>
        </w:tc>
        <w:tc>
          <w:tcPr>
            <w:tcW w:w="498" w:type="dxa"/>
            <w:vMerge w:val="continue"/>
            <w:vAlign w:val="center"/>
          </w:tcPr>
          <w:p>
            <w:pPr>
              <w:snapToGrid w:val="0"/>
              <w:spacing w:line="300" w:lineRule="auto"/>
              <w:jc w:val="center"/>
              <w:rPr>
                <w:sz w:val="18"/>
                <w:szCs w:val="18"/>
              </w:rPr>
            </w:pPr>
          </w:p>
        </w:tc>
        <w:tc>
          <w:tcPr>
            <w:tcW w:w="562" w:type="dxa"/>
            <w:vMerge w:val="continue"/>
            <w:vAlign w:val="center"/>
          </w:tcPr>
          <w:p>
            <w:pPr>
              <w:snapToGrid w:val="0"/>
              <w:spacing w:line="300" w:lineRule="auto"/>
              <w:jc w:val="center"/>
              <w:rPr>
                <w:sz w:val="18"/>
                <w:szCs w:val="18"/>
              </w:rPr>
            </w:pPr>
          </w:p>
        </w:tc>
        <w:tc>
          <w:tcPr>
            <w:tcW w:w="827" w:type="dxa"/>
            <w:vAlign w:val="center"/>
          </w:tcPr>
          <w:p>
            <w:pPr>
              <w:snapToGrid w:val="0"/>
              <w:spacing w:line="300" w:lineRule="auto"/>
              <w:jc w:val="center"/>
              <w:rPr>
                <w:sz w:val="18"/>
                <w:szCs w:val="18"/>
              </w:rPr>
            </w:pPr>
            <w:r>
              <w:rPr>
                <w:sz w:val="18"/>
                <w:szCs w:val="18"/>
              </w:rPr>
              <w:t>平时测验</w:t>
            </w:r>
          </w:p>
        </w:tc>
        <w:tc>
          <w:tcPr>
            <w:tcW w:w="603" w:type="dxa"/>
            <w:vAlign w:val="center"/>
          </w:tcPr>
          <w:p>
            <w:pPr>
              <w:snapToGrid w:val="0"/>
              <w:spacing w:line="300" w:lineRule="auto"/>
              <w:jc w:val="center"/>
              <w:rPr>
                <w:sz w:val="18"/>
                <w:szCs w:val="18"/>
              </w:rPr>
            </w:pPr>
            <w:r>
              <w:rPr>
                <w:sz w:val="18"/>
                <w:szCs w:val="18"/>
              </w:rPr>
              <w:t>0.2</w:t>
            </w:r>
          </w:p>
        </w:tc>
        <w:tc>
          <w:tcPr>
            <w:tcW w:w="3284" w:type="dxa"/>
            <w:vAlign w:val="center"/>
          </w:tcPr>
          <w:p>
            <w:pPr>
              <w:snapToGrid w:val="0"/>
              <w:spacing w:line="300" w:lineRule="auto"/>
              <w:jc w:val="left"/>
              <w:rPr>
                <w:sz w:val="18"/>
                <w:szCs w:val="18"/>
              </w:rPr>
            </w:pPr>
            <w:r>
              <w:rPr>
                <w:sz w:val="18"/>
                <w:szCs w:val="18"/>
              </w:rPr>
              <w:t>做两三次平时测验，每次满分100分。</w:t>
            </w:r>
          </w:p>
        </w:tc>
        <w:tc>
          <w:tcPr>
            <w:tcW w:w="973" w:type="dxa"/>
            <w:vAlign w:val="center"/>
          </w:tcPr>
          <w:p>
            <w:pPr>
              <w:snapToGrid w:val="0"/>
              <w:spacing w:line="300" w:lineRule="auto"/>
              <w:jc w:val="center"/>
              <w:rPr>
                <w:sz w:val="18"/>
                <w:szCs w:val="18"/>
              </w:rPr>
            </w:pPr>
            <w:r>
              <w:rPr>
                <w:sz w:val="18"/>
                <w:szCs w:val="18"/>
              </w:rPr>
              <w:t>1，2</w:t>
            </w:r>
          </w:p>
        </w:tc>
        <w:tc>
          <w:tcPr>
            <w:tcW w:w="973" w:type="dxa"/>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2" w:type="dxa"/>
            <w:vMerge w:val="continue"/>
            <w:vAlign w:val="center"/>
          </w:tcPr>
          <w:p>
            <w:pPr>
              <w:snapToGrid w:val="0"/>
              <w:spacing w:line="300" w:lineRule="auto"/>
              <w:jc w:val="center"/>
              <w:rPr>
                <w:sz w:val="18"/>
                <w:szCs w:val="18"/>
              </w:rPr>
            </w:pPr>
          </w:p>
        </w:tc>
        <w:tc>
          <w:tcPr>
            <w:tcW w:w="498" w:type="dxa"/>
            <w:vMerge w:val="continue"/>
            <w:vAlign w:val="center"/>
          </w:tcPr>
          <w:p>
            <w:pPr>
              <w:snapToGrid w:val="0"/>
              <w:spacing w:line="300" w:lineRule="auto"/>
              <w:jc w:val="center"/>
              <w:rPr>
                <w:sz w:val="18"/>
                <w:szCs w:val="18"/>
              </w:rPr>
            </w:pPr>
          </w:p>
        </w:tc>
        <w:tc>
          <w:tcPr>
            <w:tcW w:w="562" w:type="dxa"/>
            <w:vMerge w:val="continue"/>
            <w:vAlign w:val="center"/>
          </w:tcPr>
          <w:p>
            <w:pPr>
              <w:snapToGrid w:val="0"/>
              <w:spacing w:line="300" w:lineRule="auto"/>
              <w:jc w:val="center"/>
              <w:rPr>
                <w:sz w:val="18"/>
                <w:szCs w:val="18"/>
              </w:rPr>
            </w:pPr>
          </w:p>
        </w:tc>
        <w:tc>
          <w:tcPr>
            <w:tcW w:w="827" w:type="dxa"/>
            <w:vAlign w:val="center"/>
          </w:tcPr>
          <w:p>
            <w:pPr>
              <w:snapToGrid w:val="0"/>
              <w:spacing w:line="300" w:lineRule="auto"/>
              <w:jc w:val="center"/>
              <w:rPr>
                <w:sz w:val="18"/>
                <w:szCs w:val="18"/>
              </w:rPr>
            </w:pPr>
            <w:r>
              <w:rPr>
                <w:sz w:val="18"/>
                <w:szCs w:val="18"/>
              </w:rPr>
              <w:t>习题作业</w:t>
            </w:r>
          </w:p>
        </w:tc>
        <w:tc>
          <w:tcPr>
            <w:tcW w:w="603" w:type="dxa"/>
            <w:vAlign w:val="center"/>
          </w:tcPr>
          <w:p>
            <w:pPr>
              <w:snapToGrid w:val="0"/>
              <w:spacing w:line="300" w:lineRule="auto"/>
              <w:jc w:val="center"/>
              <w:rPr>
                <w:sz w:val="18"/>
                <w:szCs w:val="18"/>
              </w:rPr>
            </w:pPr>
            <w:r>
              <w:rPr>
                <w:sz w:val="18"/>
                <w:szCs w:val="18"/>
              </w:rPr>
              <w:t>0.2</w:t>
            </w:r>
          </w:p>
        </w:tc>
        <w:tc>
          <w:tcPr>
            <w:tcW w:w="3284" w:type="dxa"/>
            <w:vAlign w:val="center"/>
          </w:tcPr>
          <w:p>
            <w:pPr>
              <w:widowControl/>
              <w:snapToGrid w:val="0"/>
              <w:spacing w:line="300" w:lineRule="auto"/>
              <w:jc w:val="left"/>
              <w:rPr>
                <w:sz w:val="18"/>
                <w:szCs w:val="18"/>
              </w:rPr>
            </w:pPr>
            <w:r>
              <w:rPr>
                <w:sz w:val="18"/>
                <w:szCs w:val="18"/>
              </w:rPr>
              <w:t>能否按要求及时完成;能否清晰掌握基本概念;能否正确运用基本知识。每次作业按10分制单独评分，取各次成绩的平均值作为习题作业成绩。</w:t>
            </w:r>
          </w:p>
        </w:tc>
        <w:tc>
          <w:tcPr>
            <w:tcW w:w="973" w:type="dxa"/>
            <w:vAlign w:val="center"/>
          </w:tcPr>
          <w:p>
            <w:pPr>
              <w:snapToGrid w:val="0"/>
              <w:spacing w:line="300" w:lineRule="auto"/>
              <w:jc w:val="center"/>
              <w:rPr>
                <w:sz w:val="18"/>
                <w:szCs w:val="18"/>
              </w:rPr>
            </w:pPr>
            <w:r>
              <w:rPr>
                <w:sz w:val="18"/>
                <w:szCs w:val="18"/>
              </w:rPr>
              <w:t>1，2</w:t>
            </w:r>
          </w:p>
        </w:tc>
        <w:tc>
          <w:tcPr>
            <w:tcW w:w="973" w:type="dxa"/>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02" w:type="dxa"/>
            <w:vMerge w:val="continue"/>
            <w:vAlign w:val="center"/>
          </w:tcPr>
          <w:p>
            <w:pPr>
              <w:snapToGrid w:val="0"/>
              <w:spacing w:line="300" w:lineRule="auto"/>
              <w:jc w:val="center"/>
              <w:rPr>
                <w:sz w:val="18"/>
                <w:szCs w:val="18"/>
              </w:rPr>
            </w:pPr>
          </w:p>
        </w:tc>
        <w:tc>
          <w:tcPr>
            <w:tcW w:w="498" w:type="dxa"/>
            <w:vMerge w:val="continue"/>
            <w:vAlign w:val="center"/>
          </w:tcPr>
          <w:p>
            <w:pPr>
              <w:snapToGrid w:val="0"/>
              <w:spacing w:line="300" w:lineRule="auto"/>
              <w:jc w:val="center"/>
              <w:rPr>
                <w:sz w:val="18"/>
                <w:szCs w:val="18"/>
              </w:rPr>
            </w:pPr>
          </w:p>
        </w:tc>
        <w:tc>
          <w:tcPr>
            <w:tcW w:w="562" w:type="dxa"/>
            <w:vMerge w:val="continue"/>
            <w:vAlign w:val="center"/>
          </w:tcPr>
          <w:p>
            <w:pPr>
              <w:snapToGrid w:val="0"/>
              <w:spacing w:line="300" w:lineRule="auto"/>
              <w:jc w:val="center"/>
              <w:rPr>
                <w:sz w:val="18"/>
                <w:szCs w:val="18"/>
              </w:rPr>
            </w:pPr>
          </w:p>
        </w:tc>
        <w:tc>
          <w:tcPr>
            <w:tcW w:w="827" w:type="dxa"/>
            <w:vAlign w:val="center"/>
          </w:tcPr>
          <w:p>
            <w:pPr>
              <w:snapToGrid w:val="0"/>
              <w:spacing w:line="300" w:lineRule="auto"/>
              <w:jc w:val="center"/>
              <w:rPr>
                <w:sz w:val="18"/>
                <w:szCs w:val="18"/>
              </w:rPr>
            </w:pPr>
            <w:r>
              <w:rPr>
                <w:sz w:val="18"/>
                <w:szCs w:val="18"/>
              </w:rPr>
              <w:t>大作业</w:t>
            </w:r>
          </w:p>
        </w:tc>
        <w:tc>
          <w:tcPr>
            <w:tcW w:w="603" w:type="dxa"/>
            <w:vAlign w:val="center"/>
          </w:tcPr>
          <w:p>
            <w:pPr>
              <w:snapToGrid w:val="0"/>
              <w:spacing w:line="300" w:lineRule="auto"/>
              <w:jc w:val="center"/>
              <w:rPr>
                <w:sz w:val="18"/>
                <w:szCs w:val="18"/>
              </w:rPr>
            </w:pPr>
            <w:r>
              <w:rPr>
                <w:sz w:val="18"/>
                <w:szCs w:val="18"/>
              </w:rPr>
              <w:t>0.2</w:t>
            </w:r>
          </w:p>
        </w:tc>
        <w:tc>
          <w:tcPr>
            <w:tcW w:w="3284" w:type="dxa"/>
            <w:vAlign w:val="center"/>
          </w:tcPr>
          <w:p>
            <w:pPr>
              <w:widowControl/>
              <w:snapToGrid w:val="0"/>
              <w:spacing w:line="300" w:lineRule="auto"/>
              <w:jc w:val="left"/>
              <w:rPr>
                <w:sz w:val="18"/>
                <w:szCs w:val="18"/>
              </w:rPr>
            </w:pPr>
            <w:r>
              <w:rPr>
                <w:sz w:val="18"/>
                <w:szCs w:val="18"/>
              </w:rPr>
              <w:t>能否合理提出解决问题方案;能否规范撰写科技论文;能否高质量制作PPT;能否顺利进行汇报答辩。</w:t>
            </w:r>
          </w:p>
        </w:tc>
        <w:tc>
          <w:tcPr>
            <w:tcW w:w="973" w:type="dxa"/>
            <w:vAlign w:val="center"/>
          </w:tcPr>
          <w:p>
            <w:pPr>
              <w:snapToGrid w:val="0"/>
              <w:spacing w:line="300" w:lineRule="auto"/>
              <w:jc w:val="center"/>
              <w:rPr>
                <w:sz w:val="18"/>
                <w:szCs w:val="18"/>
              </w:rPr>
            </w:pPr>
            <w:r>
              <w:rPr>
                <w:sz w:val="18"/>
                <w:szCs w:val="18"/>
              </w:rPr>
              <w:t>3，4</w:t>
            </w:r>
            <w:r>
              <w:rPr>
                <w:rFonts w:hint="eastAsia"/>
                <w:sz w:val="18"/>
                <w:szCs w:val="18"/>
              </w:rPr>
              <w:t>，5</w:t>
            </w:r>
          </w:p>
        </w:tc>
        <w:tc>
          <w:tcPr>
            <w:tcW w:w="973" w:type="dxa"/>
            <w:vAlign w:val="center"/>
          </w:tcPr>
          <w:p>
            <w:pPr>
              <w:snapToGrid w:val="0"/>
              <w:spacing w:line="300" w:lineRule="auto"/>
              <w:jc w:val="center"/>
              <w:rPr>
                <w:sz w:val="18"/>
                <w:szCs w:val="18"/>
              </w:rPr>
            </w:pPr>
            <w:r>
              <w:rPr>
                <w:sz w:val="18"/>
                <w:szCs w:val="18"/>
              </w:rPr>
              <w:t>1.3</w:t>
            </w:r>
            <w:r>
              <w:rPr>
                <w:rFonts w:hint="eastAsia"/>
                <w:sz w:val="18"/>
                <w:szCs w:val="18"/>
              </w:rPr>
              <w:t>，</w:t>
            </w:r>
            <w:r>
              <w:rPr>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02" w:type="dxa"/>
            <w:vMerge w:val="restart"/>
            <w:vAlign w:val="center"/>
          </w:tcPr>
          <w:p>
            <w:pPr>
              <w:snapToGrid w:val="0"/>
              <w:spacing w:line="300" w:lineRule="auto"/>
              <w:jc w:val="center"/>
              <w:rPr>
                <w:sz w:val="18"/>
                <w:szCs w:val="18"/>
              </w:rPr>
            </w:pPr>
            <w:r>
              <w:rPr>
                <w:sz w:val="18"/>
                <w:szCs w:val="18"/>
              </w:rPr>
              <w:t>期末</w:t>
            </w:r>
          </w:p>
          <w:p>
            <w:pPr>
              <w:snapToGrid w:val="0"/>
              <w:spacing w:line="300" w:lineRule="auto"/>
              <w:jc w:val="center"/>
              <w:rPr>
                <w:sz w:val="18"/>
                <w:szCs w:val="18"/>
              </w:rPr>
            </w:pPr>
            <w:r>
              <w:rPr>
                <w:sz w:val="18"/>
                <w:szCs w:val="18"/>
              </w:rPr>
              <w:t>成绩</w:t>
            </w:r>
          </w:p>
        </w:tc>
        <w:tc>
          <w:tcPr>
            <w:tcW w:w="498" w:type="dxa"/>
            <w:vMerge w:val="restart"/>
            <w:vAlign w:val="center"/>
          </w:tcPr>
          <w:p>
            <w:pPr>
              <w:snapToGrid w:val="0"/>
              <w:spacing w:line="300" w:lineRule="auto"/>
              <w:jc w:val="center"/>
              <w:rPr>
                <w:sz w:val="18"/>
                <w:szCs w:val="18"/>
              </w:rPr>
            </w:pPr>
            <w:r>
              <w:rPr>
                <w:sz w:val="18"/>
                <w:szCs w:val="18"/>
              </w:rPr>
              <w:t>100</w:t>
            </w:r>
          </w:p>
        </w:tc>
        <w:tc>
          <w:tcPr>
            <w:tcW w:w="562" w:type="dxa"/>
            <w:vMerge w:val="restart"/>
            <w:vAlign w:val="center"/>
          </w:tcPr>
          <w:p>
            <w:pPr>
              <w:snapToGrid w:val="0"/>
              <w:spacing w:line="300" w:lineRule="auto"/>
              <w:jc w:val="center"/>
              <w:rPr>
                <w:sz w:val="18"/>
                <w:szCs w:val="18"/>
              </w:rPr>
            </w:pPr>
            <w:r>
              <w:rPr>
                <w:sz w:val="18"/>
                <w:szCs w:val="18"/>
              </w:rPr>
              <w:t>0.6</w:t>
            </w:r>
          </w:p>
        </w:tc>
        <w:tc>
          <w:tcPr>
            <w:tcW w:w="827" w:type="dxa"/>
            <w:vAlign w:val="center"/>
          </w:tcPr>
          <w:p>
            <w:pPr>
              <w:widowControl/>
              <w:snapToGrid w:val="0"/>
              <w:spacing w:line="300" w:lineRule="auto"/>
              <w:jc w:val="center"/>
              <w:rPr>
                <w:sz w:val="18"/>
                <w:szCs w:val="18"/>
              </w:rPr>
            </w:pPr>
            <w:r>
              <w:rPr>
                <w:sz w:val="18"/>
                <w:szCs w:val="18"/>
              </w:rPr>
              <w:t>填空选择</w:t>
            </w:r>
          </w:p>
        </w:tc>
        <w:tc>
          <w:tcPr>
            <w:tcW w:w="603" w:type="dxa"/>
            <w:vAlign w:val="center"/>
          </w:tcPr>
          <w:p>
            <w:pPr>
              <w:snapToGrid w:val="0"/>
              <w:spacing w:line="300" w:lineRule="auto"/>
              <w:jc w:val="center"/>
              <w:rPr>
                <w:sz w:val="18"/>
                <w:szCs w:val="18"/>
              </w:rPr>
            </w:pPr>
            <w:r>
              <w:rPr>
                <w:sz w:val="18"/>
                <w:szCs w:val="18"/>
              </w:rPr>
              <w:t>0.25</w:t>
            </w:r>
          </w:p>
        </w:tc>
        <w:tc>
          <w:tcPr>
            <w:tcW w:w="3284" w:type="dxa"/>
            <w:vMerge w:val="restart"/>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(2)考核内容分布：除考察基本知识外，应考察</w:t>
            </w:r>
            <w:r>
              <w:rPr>
                <w:kern w:val="0"/>
                <w:sz w:val="18"/>
                <w:szCs w:val="18"/>
              </w:rPr>
              <w:t>学生</w:t>
            </w:r>
            <w:r>
              <w:rPr>
                <w:sz w:val="18"/>
                <w:szCs w:val="18"/>
              </w:rPr>
              <w:t>综合应用能力和逻辑分析能力。建议基础题占45%、综合题30%、较难题10%、开放性题占15%。</w:t>
            </w:r>
          </w:p>
          <w:p>
            <w:pPr>
              <w:snapToGrid w:val="0"/>
              <w:spacing w:line="300" w:lineRule="auto"/>
              <w:rPr>
                <w:sz w:val="18"/>
                <w:szCs w:val="18"/>
              </w:rPr>
            </w:pPr>
          </w:p>
        </w:tc>
        <w:tc>
          <w:tcPr>
            <w:tcW w:w="973" w:type="dxa"/>
            <w:vMerge w:val="restart"/>
            <w:vAlign w:val="center"/>
          </w:tcPr>
          <w:p>
            <w:pPr>
              <w:snapToGrid w:val="0"/>
              <w:spacing w:line="300" w:lineRule="auto"/>
              <w:jc w:val="center"/>
              <w:rPr>
                <w:sz w:val="18"/>
                <w:szCs w:val="18"/>
              </w:rPr>
            </w:pPr>
            <w:r>
              <w:rPr>
                <w:sz w:val="18"/>
                <w:szCs w:val="18"/>
              </w:rPr>
              <w:t>1，2，3，4</w:t>
            </w:r>
            <w:r>
              <w:rPr>
                <w:rFonts w:hint="eastAsia"/>
                <w:sz w:val="18"/>
                <w:szCs w:val="18"/>
              </w:rPr>
              <w:t>，5</w:t>
            </w:r>
          </w:p>
        </w:tc>
        <w:tc>
          <w:tcPr>
            <w:tcW w:w="973" w:type="dxa"/>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2" w:type="dxa"/>
            <w:vMerge w:val="continue"/>
            <w:vAlign w:val="center"/>
          </w:tcPr>
          <w:p>
            <w:pPr>
              <w:snapToGrid w:val="0"/>
              <w:spacing w:line="300" w:lineRule="auto"/>
              <w:rPr>
                <w:sz w:val="18"/>
                <w:szCs w:val="18"/>
              </w:rPr>
            </w:pPr>
          </w:p>
        </w:tc>
        <w:tc>
          <w:tcPr>
            <w:tcW w:w="498" w:type="dxa"/>
            <w:vMerge w:val="continue"/>
            <w:vAlign w:val="center"/>
          </w:tcPr>
          <w:p>
            <w:pPr>
              <w:snapToGrid w:val="0"/>
              <w:spacing w:line="300" w:lineRule="auto"/>
              <w:rPr>
                <w:sz w:val="18"/>
                <w:szCs w:val="18"/>
              </w:rPr>
            </w:pPr>
          </w:p>
        </w:tc>
        <w:tc>
          <w:tcPr>
            <w:tcW w:w="562" w:type="dxa"/>
            <w:vMerge w:val="continue"/>
            <w:vAlign w:val="center"/>
          </w:tcPr>
          <w:p>
            <w:pPr>
              <w:snapToGrid w:val="0"/>
              <w:spacing w:line="300" w:lineRule="auto"/>
              <w:rPr>
                <w:sz w:val="18"/>
                <w:szCs w:val="18"/>
              </w:rPr>
            </w:pPr>
          </w:p>
        </w:tc>
        <w:tc>
          <w:tcPr>
            <w:tcW w:w="827" w:type="dxa"/>
            <w:vAlign w:val="center"/>
          </w:tcPr>
          <w:p>
            <w:pPr>
              <w:widowControl/>
              <w:snapToGrid w:val="0"/>
              <w:spacing w:line="300" w:lineRule="auto"/>
              <w:jc w:val="center"/>
              <w:rPr>
                <w:sz w:val="18"/>
                <w:szCs w:val="18"/>
              </w:rPr>
            </w:pPr>
            <w:r>
              <w:rPr>
                <w:sz w:val="18"/>
                <w:szCs w:val="18"/>
              </w:rPr>
              <w:t>简答</w:t>
            </w:r>
          </w:p>
        </w:tc>
        <w:tc>
          <w:tcPr>
            <w:tcW w:w="603" w:type="dxa"/>
            <w:vAlign w:val="center"/>
          </w:tcPr>
          <w:p>
            <w:pPr>
              <w:snapToGrid w:val="0"/>
              <w:spacing w:line="300" w:lineRule="auto"/>
              <w:jc w:val="center"/>
              <w:rPr>
                <w:sz w:val="18"/>
                <w:szCs w:val="18"/>
              </w:rPr>
            </w:pPr>
            <w:r>
              <w:rPr>
                <w:sz w:val="18"/>
                <w:szCs w:val="18"/>
              </w:rPr>
              <w:t>0.2</w:t>
            </w:r>
          </w:p>
        </w:tc>
        <w:tc>
          <w:tcPr>
            <w:tcW w:w="3284" w:type="dxa"/>
            <w:vMerge w:val="continue"/>
            <w:vAlign w:val="center"/>
          </w:tcPr>
          <w:p>
            <w:pPr>
              <w:snapToGrid w:val="0"/>
              <w:spacing w:line="300" w:lineRule="auto"/>
              <w:rPr>
                <w:sz w:val="18"/>
                <w:szCs w:val="18"/>
              </w:rPr>
            </w:pPr>
          </w:p>
        </w:tc>
        <w:tc>
          <w:tcPr>
            <w:tcW w:w="973" w:type="dxa"/>
            <w:vMerge w:val="continue"/>
            <w:vAlign w:val="center"/>
          </w:tcPr>
          <w:p>
            <w:pPr>
              <w:snapToGrid w:val="0"/>
              <w:spacing w:line="300" w:lineRule="auto"/>
              <w:jc w:val="center"/>
              <w:rPr>
                <w:sz w:val="18"/>
                <w:szCs w:val="18"/>
              </w:rPr>
            </w:pPr>
          </w:p>
        </w:tc>
        <w:tc>
          <w:tcPr>
            <w:tcW w:w="973" w:type="dxa"/>
            <w:vAlign w:val="center"/>
          </w:tcPr>
          <w:p>
            <w:pPr>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02" w:type="dxa"/>
            <w:vMerge w:val="continue"/>
            <w:vAlign w:val="center"/>
          </w:tcPr>
          <w:p>
            <w:pPr>
              <w:snapToGrid w:val="0"/>
              <w:spacing w:line="300" w:lineRule="auto"/>
              <w:rPr>
                <w:sz w:val="18"/>
                <w:szCs w:val="18"/>
              </w:rPr>
            </w:pPr>
          </w:p>
        </w:tc>
        <w:tc>
          <w:tcPr>
            <w:tcW w:w="498" w:type="dxa"/>
            <w:vMerge w:val="continue"/>
            <w:vAlign w:val="center"/>
          </w:tcPr>
          <w:p>
            <w:pPr>
              <w:snapToGrid w:val="0"/>
              <w:spacing w:line="300" w:lineRule="auto"/>
              <w:rPr>
                <w:sz w:val="18"/>
                <w:szCs w:val="18"/>
              </w:rPr>
            </w:pPr>
          </w:p>
        </w:tc>
        <w:tc>
          <w:tcPr>
            <w:tcW w:w="562" w:type="dxa"/>
            <w:vMerge w:val="continue"/>
            <w:vAlign w:val="center"/>
          </w:tcPr>
          <w:p>
            <w:pPr>
              <w:snapToGrid w:val="0"/>
              <w:spacing w:line="300" w:lineRule="auto"/>
              <w:rPr>
                <w:sz w:val="18"/>
                <w:szCs w:val="18"/>
              </w:rPr>
            </w:pPr>
          </w:p>
        </w:tc>
        <w:tc>
          <w:tcPr>
            <w:tcW w:w="827" w:type="dxa"/>
            <w:vAlign w:val="center"/>
          </w:tcPr>
          <w:p>
            <w:pPr>
              <w:widowControl/>
              <w:snapToGrid w:val="0"/>
              <w:spacing w:line="300" w:lineRule="auto"/>
              <w:jc w:val="center"/>
              <w:rPr>
                <w:sz w:val="18"/>
                <w:szCs w:val="18"/>
              </w:rPr>
            </w:pPr>
            <w:r>
              <w:rPr>
                <w:sz w:val="18"/>
                <w:szCs w:val="18"/>
              </w:rPr>
              <w:t>综合计算</w:t>
            </w:r>
          </w:p>
        </w:tc>
        <w:tc>
          <w:tcPr>
            <w:tcW w:w="603" w:type="dxa"/>
            <w:vAlign w:val="center"/>
          </w:tcPr>
          <w:p>
            <w:pPr>
              <w:snapToGrid w:val="0"/>
              <w:spacing w:line="300" w:lineRule="auto"/>
              <w:jc w:val="center"/>
              <w:rPr>
                <w:sz w:val="18"/>
                <w:szCs w:val="18"/>
              </w:rPr>
            </w:pPr>
            <w:r>
              <w:rPr>
                <w:sz w:val="18"/>
                <w:szCs w:val="18"/>
              </w:rPr>
              <w:t>0.3</w:t>
            </w:r>
          </w:p>
        </w:tc>
        <w:tc>
          <w:tcPr>
            <w:tcW w:w="3284" w:type="dxa"/>
            <w:vMerge w:val="continue"/>
            <w:vAlign w:val="center"/>
          </w:tcPr>
          <w:p>
            <w:pPr>
              <w:snapToGrid w:val="0"/>
              <w:spacing w:line="300" w:lineRule="auto"/>
              <w:rPr>
                <w:sz w:val="18"/>
                <w:szCs w:val="18"/>
              </w:rPr>
            </w:pPr>
          </w:p>
        </w:tc>
        <w:tc>
          <w:tcPr>
            <w:tcW w:w="973" w:type="dxa"/>
            <w:vMerge w:val="continue"/>
            <w:vAlign w:val="center"/>
          </w:tcPr>
          <w:p>
            <w:pPr>
              <w:snapToGrid w:val="0"/>
              <w:spacing w:line="300" w:lineRule="auto"/>
              <w:jc w:val="center"/>
              <w:rPr>
                <w:sz w:val="18"/>
                <w:szCs w:val="18"/>
              </w:rPr>
            </w:pPr>
          </w:p>
        </w:tc>
        <w:tc>
          <w:tcPr>
            <w:tcW w:w="973" w:type="dxa"/>
            <w:vAlign w:val="center"/>
          </w:tcPr>
          <w:p>
            <w:pPr>
              <w:snapToGrid w:val="0"/>
              <w:spacing w:line="300" w:lineRule="auto"/>
              <w:jc w:val="center"/>
              <w:rPr>
                <w:sz w:val="18"/>
                <w:szCs w:val="18"/>
              </w:rPr>
            </w:pPr>
            <w:r>
              <w:rPr>
                <w:sz w:val="18"/>
                <w:szCs w:val="18"/>
              </w:rPr>
              <w:t>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2" w:type="dxa"/>
            <w:vMerge w:val="continue"/>
            <w:vAlign w:val="center"/>
          </w:tcPr>
          <w:p>
            <w:pPr>
              <w:snapToGrid w:val="0"/>
              <w:spacing w:line="300" w:lineRule="auto"/>
              <w:rPr>
                <w:sz w:val="18"/>
                <w:szCs w:val="18"/>
              </w:rPr>
            </w:pPr>
          </w:p>
        </w:tc>
        <w:tc>
          <w:tcPr>
            <w:tcW w:w="498" w:type="dxa"/>
            <w:vMerge w:val="continue"/>
            <w:vAlign w:val="center"/>
          </w:tcPr>
          <w:p>
            <w:pPr>
              <w:snapToGrid w:val="0"/>
              <w:spacing w:line="300" w:lineRule="auto"/>
              <w:rPr>
                <w:sz w:val="18"/>
                <w:szCs w:val="18"/>
              </w:rPr>
            </w:pPr>
          </w:p>
        </w:tc>
        <w:tc>
          <w:tcPr>
            <w:tcW w:w="562" w:type="dxa"/>
            <w:vMerge w:val="continue"/>
            <w:vAlign w:val="center"/>
          </w:tcPr>
          <w:p>
            <w:pPr>
              <w:snapToGrid w:val="0"/>
              <w:spacing w:line="300" w:lineRule="auto"/>
              <w:rPr>
                <w:sz w:val="18"/>
                <w:szCs w:val="18"/>
              </w:rPr>
            </w:pPr>
          </w:p>
        </w:tc>
        <w:tc>
          <w:tcPr>
            <w:tcW w:w="827" w:type="dxa"/>
            <w:vAlign w:val="center"/>
          </w:tcPr>
          <w:p>
            <w:pPr>
              <w:widowControl/>
              <w:snapToGrid w:val="0"/>
              <w:spacing w:line="300" w:lineRule="auto"/>
              <w:jc w:val="center"/>
              <w:rPr>
                <w:sz w:val="18"/>
                <w:szCs w:val="18"/>
              </w:rPr>
            </w:pPr>
            <w:r>
              <w:rPr>
                <w:sz w:val="18"/>
                <w:szCs w:val="18"/>
              </w:rPr>
              <w:t>分析设计</w:t>
            </w:r>
          </w:p>
        </w:tc>
        <w:tc>
          <w:tcPr>
            <w:tcW w:w="603" w:type="dxa"/>
            <w:vAlign w:val="center"/>
          </w:tcPr>
          <w:p>
            <w:pPr>
              <w:snapToGrid w:val="0"/>
              <w:spacing w:line="300" w:lineRule="auto"/>
              <w:jc w:val="center"/>
              <w:rPr>
                <w:sz w:val="18"/>
                <w:szCs w:val="18"/>
              </w:rPr>
            </w:pPr>
            <w:r>
              <w:rPr>
                <w:sz w:val="18"/>
                <w:szCs w:val="18"/>
              </w:rPr>
              <w:t>0.25</w:t>
            </w:r>
          </w:p>
        </w:tc>
        <w:tc>
          <w:tcPr>
            <w:tcW w:w="3284" w:type="dxa"/>
            <w:vMerge w:val="continue"/>
            <w:vAlign w:val="center"/>
          </w:tcPr>
          <w:p>
            <w:pPr>
              <w:snapToGrid w:val="0"/>
              <w:spacing w:line="300" w:lineRule="auto"/>
              <w:rPr>
                <w:sz w:val="18"/>
                <w:szCs w:val="18"/>
              </w:rPr>
            </w:pPr>
          </w:p>
        </w:tc>
        <w:tc>
          <w:tcPr>
            <w:tcW w:w="973" w:type="dxa"/>
            <w:vMerge w:val="continue"/>
            <w:vAlign w:val="center"/>
          </w:tcPr>
          <w:p>
            <w:pPr>
              <w:snapToGrid w:val="0"/>
              <w:spacing w:line="300" w:lineRule="auto"/>
              <w:jc w:val="center"/>
              <w:rPr>
                <w:sz w:val="18"/>
                <w:szCs w:val="18"/>
              </w:rPr>
            </w:pPr>
          </w:p>
        </w:tc>
        <w:tc>
          <w:tcPr>
            <w:tcW w:w="973" w:type="dxa"/>
            <w:vAlign w:val="center"/>
          </w:tcPr>
          <w:p>
            <w:pPr>
              <w:snapToGrid w:val="0"/>
              <w:spacing w:line="300" w:lineRule="auto"/>
              <w:jc w:val="center"/>
              <w:rPr>
                <w:sz w:val="18"/>
                <w:szCs w:val="18"/>
              </w:rPr>
            </w:pPr>
            <w:r>
              <w:rPr>
                <w:sz w:val="18"/>
                <w:szCs w:val="18"/>
              </w:rPr>
              <w:t>1.3，4.1</w:t>
            </w:r>
          </w:p>
        </w:tc>
      </w:tr>
    </w:tbl>
    <w:p>
      <w:pPr>
        <w:snapToGrid w:val="0"/>
        <w:spacing w:before="156" w:beforeLines="50" w:after="156" w:afterLines="50" w:line="300" w:lineRule="auto"/>
        <w:rPr>
          <w:b/>
          <w:sz w:val="24"/>
        </w:rPr>
      </w:pPr>
      <w:r>
        <w:rPr>
          <w:b/>
          <w:sz w:val="24"/>
        </w:rPr>
        <w:t>六、课程教学目标达成情况评价</w:t>
      </w:r>
    </w:p>
    <w:p>
      <w:pPr>
        <w:snapToGrid w:val="0"/>
        <w:spacing w:line="300" w:lineRule="auto"/>
        <w:ind w:firstLine="420" w:firstLineChars="200"/>
        <w:rPr>
          <w:szCs w:val="21"/>
        </w:rPr>
      </w:pPr>
      <w:r>
        <w:rPr>
          <w:szCs w:val="21"/>
        </w:rPr>
        <w:t>1.评价依据和方法</w:t>
      </w:r>
    </w:p>
    <w:p>
      <w:pPr>
        <w:snapToGrid w:val="0"/>
        <w:spacing w:line="300" w:lineRule="auto"/>
        <w:ind w:right="270" w:firstLine="420" w:firstLineChars="200"/>
        <w:rPr>
          <w:szCs w:val="21"/>
        </w:rPr>
      </w:pPr>
      <w:r>
        <w:rPr>
          <w:szCs w:val="21"/>
        </w:rPr>
        <w:t>教学目标评价方式：教学</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方</w:t>
      </w:r>
      <w:r>
        <w:rPr>
          <w:szCs w:val="21"/>
        </w:rPr>
        <w:t>法</w:t>
      </w:r>
      <w:r>
        <w:rPr>
          <w:spacing w:val="-2"/>
          <w:szCs w:val="21"/>
        </w:rPr>
        <w:t>如</w:t>
      </w:r>
      <w:r>
        <w:rPr>
          <w:szCs w:val="21"/>
        </w:rPr>
        <w:t>下：</w:t>
      </w:r>
    </w:p>
    <w:p>
      <w:pPr>
        <w:snapToGrid w:val="0"/>
        <w:spacing w:line="300" w:lineRule="auto"/>
        <w:ind w:right="270" w:firstLine="420" w:firstLineChars="200"/>
        <w:rPr>
          <w:szCs w:val="21"/>
        </w:rPr>
      </w:pPr>
      <w:r>
        <w:rPr>
          <w:szCs w:val="21"/>
        </w:rPr>
        <w:t>课程各目标达成情况为该项目学生的平均得分率，其计算公式为：</w:t>
      </w:r>
    </w:p>
    <w:p>
      <w:pPr>
        <w:snapToGrid w:val="0"/>
        <w:spacing w:line="300" w:lineRule="auto"/>
        <w:ind w:right="270"/>
        <w:jc w:val="center"/>
        <w:rPr>
          <w:szCs w:val="21"/>
        </w:rPr>
      </w:pPr>
      <w:r>
        <w:rPr>
          <w:rFonts w:hint="eastAsia"/>
          <w:position w:val="-24"/>
        </w:rPr>
        <w:object>
          <v:shape id="_x0000_i1080" o:spt="75" type="#_x0000_t75" style="height:30pt;width:351pt;" o:ole="t" filled="f" o:preferrelative="t" stroked="f" coordsize="21600,21600">
            <v:path/>
            <v:fill on="f" focussize="0,0"/>
            <v:stroke on="f" joinstyle="miter"/>
            <v:imagedata r:id="rId90" o:title=""/>
            <o:lock v:ext="edit" aspectratio="t"/>
            <w10:wrap type="none"/>
            <w10:anchorlock/>
          </v:shape>
          <o:OLEObject Type="Embed" ProgID="Equation.3" ShapeID="_x0000_i1080" DrawAspect="Content" ObjectID="_1468075779" r:id="rId89">
            <o:LockedField>false</o:LockedField>
          </o:OLEObject>
        </w:object>
      </w:r>
    </w:p>
    <w:p>
      <w:pPr>
        <w:spacing w:before="70" w:line="153"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w:t>
      </w:r>
      <w:r>
        <w:rPr>
          <w:spacing w:val="-6"/>
          <w:position w:val="-1"/>
          <w:szCs w:val="21"/>
        </w:rPr>
        <w:t xml:space="preserve"> </w:t>
      </w:r>
      <w:r>
        <w:rPr>
          <w:position w:val="-1"/>
          <w:szCs w:val="21"/>
        </w:rPr>
        <w:t>4</w:t>
      </w:r>
      <w:r>
        <w:rPr>
          <w:spacing w:val="-2"/>
          <w:position w:val="-1"/>
          <w:szCs w:val="21"/>
        </w:rPr>
        <w:t>个</w:t>
      </w:r>
      <w:r>
        <w:rPr>
          <w:position w:val="-1"/>
          <w:szCs w:val="21"/>
        </w:rPr>
        <w:t>课程</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pacing w:before="72"/>
        <w:ind w:right="-20" w:firstLine="1050" w:firstLineChars="500"/>
        <w:rPr>
          <w:sz w:val="24"/>
        </w:rPr>
      </w:pPr>
      <w:r>
        <w:rPr>
          <w:rFonts w:hint="eastAsia"/>
          <w:position w:val="-14"/>
        </w:rPr>
        <w:object>
          <v:shape id="_x0000_i1081" o:spt="75" type="#_x0000_t75" style="height:19.5pt;width:246pt;" o:ole="t" filled="f" o:preferrelative="t" stroked="f" coordsize="21600,21600">
            <v:path/>
            <v:fill on="f" focussize="0,0"/>
            <v:stroke on="f" joinstyle="miter"/>
            <v:imagedata r:id="rId92" o:title=""/>
            <o:lock v:ext="edit" aspectratio="t"/>
            <w10:wrap type="none"/>
            <w10:anchorlock/>
          </v:shape>
          <o:OLEObject Type="Embed" ProgID="Equation.3" ShapeID="_x0000_i1081" DrawAspect="Content" ObjectID="_1468075780" r:id="rId91">
            <o:LockedField>false</o:LockedField>
          </o:OLEObject>
        </w:object>
      </w:r>
    </w:p>
    <w:p>
      <w:pPr>
        <w:spacing w:before="72"/>
        <w:ind w:right="-20"/>
        <w:jc w:val="left"/>
        <w:rPr>
          <w:sz w:val="24"/>
        </w:rPr>
      </w:pPr>
      <w:r>
        <w:rPr>
          <w:szCs w:val="21"/>
        </w:rPr>
        <w:t>其中权重系数按表6设定。</w:t>
      </w:r>
    </w:p>
    <w:p>
      <w:pPr>
        <w:snapToGrid w:val="0"/>
        <w:spacing w:before="156" w:beforeLines="50" w:line="300" w:lineRule="auto"/>
        <w:ind w:left="782" w:right="-23"/>
        <w:jc w:val="center"/>
        <w:rPr>
          <w:b/>
          <w:bCs/>
          <w:position w:val="-3"/>
          <w:sz w:val="18"/>
          <w:szCs w:val="18"/>
        </w:rPr>
      </w:pPr>
      <w:r>
        <w:rPr>
          <w:b/>
          <w:bCs/>
          <w:position w:val="-3"/>
          <w:sz w:val="18"/>
          <w:szCs w:val="18"/>
        </w:rPr>
        <w:t>表6 课程目标考核</w:t>
      </w:r>
      <w:r>
        <w:rPr>
          <w:b/>
          <w:bCs/>
          <w:spacing w:val="-2"/>
          <w:position w:val="-3"/>
          <w:sz w:val="18"/>
          <w:szCs w:val="18"/>
        </w:rPr>
        <w:t>权</w:t>
      </w:r>
      <w:r>
        <w:rPr>
          <w:b/>
          <w:bCs/>
          <w:position w:val="-3"/>
          <w:sz w:val="18"/>
          <w:szCs w:val="18"/>
        </w:rPr>
        <w:t>重</w:t>
      </w:r>
      <w:r>
        <w:rPr>
          <w:b/>
          <w:bCs/>
          <w:spacing w:val="-2"/>
          <w:position w:val="-3"/>
          <w:sz w:val="18"/>
          <w:szCs w:val="18"/>
        </w:rPr>
        <w:t>系</w:t>
      </w:r>
      <w:r>
        <w:rPr>
          <w:b/>
          <w:bCs/>
          <w:position w:val="-3"/>
          <w:sz w:val="18"/>
          <w:szCs w:val="18"/>
        </w:rPr>
        <w:t>数</w:t>
      </w:r>
    </w:p>
    <w:tbl>
      <w:tblPr>
        <w:tblStyle w:val="22"/>
        <w:tblW w:w="5000" w:type="pct"/>
        <w:jc w:val="center"/>
        <w:tblLayout w:type="autofit"/>
        <w:tblCellMar>
          <w:top w:w="0" w:type="dxa"/>
          <w:left w:w="0" w:type="dxa"/>
          <w:bottom w:w="0" w:type="dxa"/>
          <w:right w:w="0" w:type="dxa"/>
        </w:tblCellMar>
      </w:tblPr>
      <w:tblGrid>
        <w:gridCol w:w="1611"/>
        <w:gridCol w:w="1341"/>
        <w:gridCol w:w="1341"/>
        <w:gridCol w:w="1341"/>
        <w:gridCol w:w="1341"/>
        <w:gridCol w:w="1341"/>
      </w:tblGrid>
      <w:tr>
        <w:tblPrEx>
          <w:tblCellMar>
            <w:top w:w="0" w:type="dxa"/>
            <w:left w:w="0" w:type="dxa"/>
            <w:bottom w:w="0" w:type="dxa"/>
            <w:right w:w="0" w:type="dxa"/>
          </w:tblCellMar>
        </w:tblPrEx>
        <w:trPr>
          <w:trHeight w:val="437" w:hRule="exact"/>
          <w:jc w:val="center"/>
        </w:trPr>
        <w:tc>
          <w:tcPr>
            <w:tcW w:w="969" w:type="pct"/>
            <w:tcBorders>
              <w:top w:val="single" w:color="000000" w:sz="4" w:space="0"/>
              <w:left w:val="single" w:color="000000" w:sz="4" w:space="0"/>
              <w:bottom w:val="single" w:color="000000" w:sz="4" w:space="0"/>
              <w:right w:val="single" w:color="000000" w:sz="4" w:space="0"/>
            </w:tcBorders>
            <w:vAlign w:val="center"/>
          </w:tcPr>
          <w:p>
            <w:pPr>
              <w:ind w:firstLine="542" w:firstLineChars="300"/>
              <w:rPr>
                <w:b/>
                <w:bCs/>
                <w:sz w:val="18"/>
                <w:szCs w:val="20"/>
              </w:rPr>
            </w:pPr>
            <w:r>
              <w:rPr>
                <w:b/>
                <w:bCs/>
                <w:sz w:val="18"/>
                <w:szCs w:val="20"/>
              </w:rPr>
              <w:t>课程目标</w:t>
            </w:r>
          </w:p>
        </w:tc>
        <w:tc>
          <w:tcPr>
            <w:tcW w:w="807"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1</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2</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1" w:right="-20"/>
              <w:jc w:val="center"/>
              <w:rPr>
                <w:sz w:val="18"/>
                <w:szCs w:val="20"/>
              </w:rPr>
            </w:pPr>
            <w:r>
              <w:rPr>
                <w:sz w:val="18"/>
                <w:szCs w:val="20"/>
              </w:rPr>
              <w:t>3</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4</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rFonts w:hint="eastAsia"/>
                <w:sz w:val="18"/>
                <w:szCs w:val="20"/>
              </w:rPr>
              <w:t>5</w:t>
            </w:r>
          </w:p>
        </w:tc>
      </w:tr>
      <w:tr>
        <w:tblPrEx>
          <w:tblCellMar>
            <w:top w:w="0" w:type="dxa"/>
            <w:left w:w="0" w:type="dxa"/>
            <w:bottom w:w="0" w:type="dxa"/>
            <w:right w:w="0" w:type="dxa"/>
          </w:tblCellMar>
        </w:tblPrEx>
        <w:trPr>
          <w:trHeight w:val="482" w:hRule="exact"/>
          <w:jc w:val="center"/>
        </w:trPr>
        <w:tc>
          <w:tcPr>
            <w:tcW w:w="969" w:type="pct"/>
            <w:tcBorders>
              <w:top w:val="single" w:color="000000" w:sz="4" w:space="0"/>
              <w:left w:val="single" w:color="000000" w:sz="4" w:space="0"/>
              <w:bottom w:val="single" w:color="000000" w:sz="4" w:space="0"/>
              <w:right w:val="single" w:color="000000" w:sz="4" w:space="0"/>
            </w:tcBorders>
            <w:vAlign w:val="center"/>
          </w:tcPr>
          <w:p>
            <w:pPr>
              <w:ind w:right="392" w:firstLine="181" w:firstLineChars="100"/>
              <w:jc w:val="center"/>
              <w:rPr>
                <w:b/>
                <w:bCs/>
                <w:sz w:val="18"/>
                <w:szCs w:val="20"/>
              </w:rPr>
            </w:pPr>
            <w:r>
              <w:rPr>
                <w:b/>
                <w:bCs/>
                <w:sz w:val="18"/>
                <w:szCs w:val="20"/>
              </w:rPr>
              <w:t>权重系数</w:t>
            </w:r>
          </w:p>
        </w:tc>
        <w:tc>
          <w:tcPr>
            <w:tcW w:w="807"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0.2</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0.2</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0.2</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sz w:val="18"/>
                <w:szCs w:val="20"/>
              </w:rPr>
              <w:t>0.3</w:t>
            </w:r>
          </w:p>
        </w:tc>
        <w:tc>
          <w:tcPr>
            <w:tcW w:w="806" w:type="pct"/>
            <w:tcBorders>
              <w:top w:val="single" w:color="000000" w:sz="4" w:space="0"/>
              <w:left w:val="single" w:color="000000" w:sz="4" w:space="0"/>
              <w:bottom w:val="single" w:color="000000" w:sz="4" w:space="0"/>
              <w:right w:val="single" w:color="000000" w:sz="4" w:space="0"/>
            </w:tcBorders>
            <w:vAlign w:val="center"/>
          </w:tcPr>
          <w:p>
            <w:pPr>
              <w:spacing w:before="5"/>
              <w:ind w:left="133" w:right="-20"/>
              <w:jc w:val="center"/>
              <w:rPr>
                <w:sz w:val="18"/>
                <w:szCs w:val="20"/>
              </w:rPr>
            </w:pPr>
            <w:r>
              <w:rPr>
                <w:rFonts w:hint="eastAsia"/>
                <w:sz w:val="18"/>
                <w:szCs w:val="20"/>
              </w:rPr>
              <w:t>0</w:t>
            </w:r>
            <w:r>
              <w:rPr>
                <w:sz w:val="18"/>
                <w:szCs w:val="20"/>
              </w:rPr>
              <w:t>.1</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jc w:val="center"/>
      </w:pPr>
      <w:r>
        <w:rPr>
          <w:rFonts w:hint="eastAsia"/>
          <w:position w:val="-14"/>
          <w:szCs w:val="21"/>
          <w:lang w:bidi="ar"/>
        </w:rPr>
        <w:object>
          <v:shape id="_x0000_i1082" o:spt="75" type="#_x0000_t75" style="height:19.5pt;width:267pt;" o:ole="t" filled="f" o:preferrelative="t" stroked="f" coordsize="21600,21600">
            <v:path/>
            <v:fill on="f" focussize="0,0"/>
            <v:stroke on="f" joinstyle="miter"/>
            <v:imagedata r:id="rId94" o:title=""/>
            <o:lock v:ext="edit" aspectratio="t"/>
            <w10:wrap type="none"/>
            <w10:anchorlock/>
          </v:shape>
          <o:OLEObject Type="Embed" ProgID="Equation.3" ShapeID="_x0000_i1082" DrawAspect="Content" ObjectID="_1468075781" r:id="rId93">
            <o:LockedField>false</o:LockedField>
          </o:OLEObject>
        </w:object>
      </w:r>
    </w:p>
    <w:p>
      <w:pPr>
        <w:snapToGrid w:val="0"/>
        <w:spacing w:line="300" w:lineRule="auto"/>
        <w:ind w:firstLine="420" w:firstLineChars="200"/>
        <w:rPr>
          <w:szCs w:val="21"/>
        </w:rPr>
      </w:pPr>
      <w:r>
        <w:rPr>
          <w:szCs w:val="21"/>
        </w:rPr>
        <w:t>2.课程总结要求</w:t>
      </w:r>
    </w:p>
    <w:p>
      <w:pPr>
        <w:snapToGrid w:val="0"/>
        <w:spacing w:line="300" w:lineRule="auto"/>
        <w:ind w:firstLine="420" w:firstLineChars="200"/>
        <w:rPr>
          <w:szCs w:val="21"/>
        </w:rPr>
      </w:pPr>
      <w:r>
        <w:rPr>
          <w:szCs w:val="21"/>
        </w:rPr>
        <w:t>依据达成情况评价、教师自评、学生评价，以及课程教学情况、考试情况，对课程进行有针对性的总结，每学年撰写试卷分析、课程总结与自我评价表，提出持续改进课程教学的措施。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 教材：</w:t>
      </w:r>
    </w:p>
    <w:p>
      <w:pPr>
        <w:snapToGrid w:val="0"/>
        <w:spacing w:line="300" w:lineRule="auto"/>
        <w:ind w:firstLine="420" w:firstLineChars="200"/>
        <w:rPr>
          <w:rFonts w:ascii="Times New Roman" w:hAnsi="Times New Roman" w:eastAsia="宋体" w:cs="Times New Roman"/>
          <w:b/>
          <w:bCs/>
          <w:sz w:val="24"/>
        </w:rPr>
      </w:pPr>
      <w:r>
        <w:rPr>
          <w:rFonts w:ascii="Times New Roman" w:hAnsi="Times New Roman" w:eastAsia="宋体" w:cs="Times New Roman"/>
          <w:szCs w:val="21"/>
        </w:rPr>
        <w:t>[1]</w:t>
      </w:r>
      <w:r>
        <w:rPr>
          <w:rFonts w:ascii="Times New Roman" w:hAnsi="Times New Roman" w:eastAsia="宋体" w:cs="Times New Roman"/>
          <w:bCs/>
          <w:szCs w:val="21"/>
        </w:rPr>
        <w:t xml:space="preserve"> 张肃文.《高频电子线路》（第五版）</w:t>
      </w:r>
      <w:r>
        <w:rPr>
          <w:rFonts w:ascii="Times New Roman" w:hAnsi="Times New Roman" w:eastAsia="宋体" w:cs="Times New Roman"/>
          <w:szCs w:val="21"/>
        </w:rPr>
        <w:t>[M].北京：</w:t>
      </w:r>
      <w:r>
        <w:rPr>
          <w:rFonts w:ascii="Times New Roman" w:hAnsi="Times New Roman" w:eastAsia="宋体" w:cs="Times New Roman"/>
          <w:bCs/>
          <w:szCs w:val="21"/>
        </w:rPr>
        <w:t>高等教育出版社</w:t>
      </w:r>
      <w:r>
        <w:rPr>
          <w:rFonts w:ascii="Times New Roman" w:hAnsi="Times New Roman" w:eastAsia="宋体" w:cs="Times New Roman"/>
          <w:szCs w:val="21"/>
        </w:rPr>
        <w:t>，2009.</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bCs/>
          <w:szCs w:val="21"/>
        </w:rPr>
        <w:t xml:space="preserve"> </w:t>
      </w:r>
      <w:r>
        <w:rPr>
          <w:rFonts w:ascii="Times New Roman" w:hAnsi="Times New Roman" w:eastAsia="宋体" w:cs="Times New Roman"/>
          <w:szCs w:val="21"/>
        </w:rPr>
        <w:t>曾兴雯</w:t>
      </w:r>
      <w:r>
        <w:rPr>
          <w:rFonts w:ascii="Times New Roman" w:hAnsi="Times New Roman" w:eastAsia="宋体" w:cs="Times New Roman"/>
          <w:bCs/>
          <w:szCs w:val="21"/>
        </w:rPr>
        <w:t>.《高频电子线路》（第四版）</w:t>
      </w:r>
      <w:r>
        <w:rPr>
          <w:rFonts w:ascii="Times New Roman" w:hAnsi="Times New Roman" w:eastAsia="宋体" w:cs="Times New Roman"/>
          <w:szCs w:val="21"/>
        </w:rPr>
        <w:t>[M].北京：高等教育出版社，2009.</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rPr>
        <w:t xml:space="preserve">2. </w:t>
      </w:r>
      <w:r>
        <w:rPr>
          <w:rFonts w:ascii="Times New Roman" w:hAnsi="Times New Roman" w:eastAsia="宋体" w:cs="Times New Roman"/>
          <w:bCs/>
          <w:szCs w:val="21"/>
        </w:rPr>
        <w:t>参考资料</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szCs w:val="21"/>
        </w:rPr>
        <w:t>[1]</w:t>
      </w:r>
      <w:r>
        <w:rPr>
          <w:rFonts w:ascii="Times New Roman" w:hAnsi="Times New Roman" w:eastAsia="宋体" w:cs="Times New Roman"/>
          <w:bCs/>
          <w:szCs w:val="21"/>
        </w:rPr>
        <w:t xml:space="preserve"> 高吉祥.《高频电子线路》（第四版）</w:t>
      </w:r>
      <w:r>
        <w:rPr>
          <w:rFonts w:ascii="Times New Roman" w:hAnsi="Times New Roman" w:eastAsia="宋体" w:cs="Times New Roman"/>
          <w:szCs w:val="21"/>
        </w:rPr>
        <w:t>[M].西安：</w:t>
      </w:r>
      <w:r>
        <w:rPr>
          <w:rFonts w:ascii="Times New Roman" w:hAnsi="Times New Roman" w:eastAsia="宋体" w:cs="Times New Roman"/>
          <w:bCs/>
          <w:szCs w:val="21"/>
        </w:rPr>
        <w:t>电子工业</w:t>
      </w:r>
      <w:r>
        <w:rPr>
          <w:rFonts w:ascii="Times New Roman" w:hAnsi="Times New Roman" w:eastAsia="宋体" w:cs="Times New Roman"/>
          <w:szCs w:val="21"/>
        </w:rPr>
        <w:t>出版社，2009.</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bCs/>
          <w:szCs w:val="21"/>
        </w:rPr>
        <w:t xml:space="preserve"> </w:t>
      </w:r>
      <w:r>
        <w:rPr>
          <w:rFonts w:ascii="Times New Roman" w:hAnsi="Times New Roman" w:eastAsia="宋体" w:cs="Times New Roman"/>
          <w:szCs w:val="21"/>
        </w:rPr>
        <w:t>高如云</w:t>
      </w:r>
      <w:r>
        <w:rPr>
          <w:rFonts w:ascii="Times New Roman" w:hAnsi="Times New Roman" w:eastAsia="宋体" w:cs="Times New Roman"/>
          <w:bCs/>
          <w:szCs w:val="21"/>
        </w:rPr>
        <w:t>.《高频电子线路》（第四版）</w:t>
      </w:r>
      <w:r>
        <w:rPr>
          <w:rFonts w:ascii="Times New Roman" w:hAnsi="Times New Roman" w:eastAsia="宋体" w:cs="Times New Roman"/>
          <w:szCs w:val="21"/>
        </w:rPr>
        <w:t>[M].西：西安电子科技大学出版社，2009.</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eastAsia="宋体" w:cs="Times New Roman"/>
                <w:kern w:val="0"/>
                <w:sz w:val="20"/>
                <w:szCs w:val="21"/>
              </w:rPr>
            </w:pPr>
          </w:p>
        </w:tc>
      </w:tr>
      <w:bookmarkEnd w:id="98"/>
      <w:bookmarkEnd w:id="99"/>
    </w:tbl>
    <w:p>
      <w:pPr>
        <w:keepNext/>
        <w:keepLines/>
        <w:tabs>
          <w:tab w:val="left" w:pos="0"/>
          <w:tab w:val="left" w:pos="420"/>
        </w:tabs>
        <w:spacing w:before="260" w:after="260" w:line="413" w:lineRule="auto"/>
        <w:jc w:val="center"/>
        <w:outlineLvl w:val="2"/>
        <w:rPr>
          <w:b/>
          <w:sz w:val="32"/>
        </w:rPr>
      </w:pPr>
      <w:r>
        <w:rPr>
          <w:sz w:val="32"/>
        </w:rPr>
        <w:br w:type="page"/>
      </w:r>
      <w:bookmarkEnd w:id="93"/>
      <w:bookmarkEnd w:id="94"/>
      <w:bookmarkEnd w:id="95"/>
      <w:bookmarkEnd w:id="96"/>
      <w:bookmarkEnd w:id="97"/>
      <w:bookmarkStart w:id="104" w:name="_Toc17363"/>
      <w:bookmarkStart w:id="105" w:name="_Toc10942"/>
      <w:bookmarkStart w:id="106" w:name="_Toc22870"/>
      <w:r>
        <w:rPr>
          <w:rFonts w:ascii="Times New Roman" w:hAnsi="Times New Roman" w:cs="Times New Roman"/>
          <w:b/>
          <w:sz w:val="32"/>
        </w:rPr>
        <w:t>33442006《数字信号处理》课程教学大纲</w:t>
      </w:r>
      <w:bookmarkEnd w:id="104"/>
      <w:bookmarkEnd w:id="10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2497"/>
        <w:gridCol w:w="1306"/>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Align w:val="center"/>
          </w:tcPr>
          <w:p>
            <w:pPr>
              <w:jc w:val="center"/>
              <w:rPr>
                <w:szCs w:val="21"/>
              </w:rPr>
            </w:pPr>
            <w:r>
              <w:rPr>
                <w:szCs w:val="21"/>
              </w:rPr>
              <w:t>课程编号</w:t>
            </w:r>
          </w:p>
        </w:tc>
        <w:tc>
          <w:tcPr>
            <w:tcW w:w="2497" w:type="dxa"/>
            <w:vAlign w:val="center"/>
          </w:tcPr>
          <w:p>
            <w:pPr>
              <w:jc w:val="center"/>
              <w:rPr>
                <w:szCs w:val="21"/>
              </w:rPr>
            </w:pPr>
            <w:r>
              <w:rPr>
                <w:kern w:val="0"/>
                <w:szCs w:val="21"/>
              </w:rPr>
              <w:t>33442006</w:t>
            </w:r>
          </w:p>
        </w:tc>
        <w:tc>
          <w:tcPr>
            <w:tcW w:w="1306" w:type="dxa"/>
            <w:vAlign w:val="center"/>
          </w:tcPr>
          <w:p>
            <w:pPr>
              <w:jc w:val="center"/>
              <w:rPr>
                <w:szCs w:val="21"/>
              </w:rPr>
            </w:pPr>
            <w:r>
              <w:rPr>
                <w:szCs w:val="21"/>
              </w:rPr>
              <w:t>课程名称</w:t>
            </w:r>
          </w:p>
        </w:tc>
        <w:tc>
          <w:tcPr>
            <w:tcW w:w="3228" w:type="dxa"/>
            <w:vAlign w:val="center"/>
          </w:tcPr>
          <w:p>
            <w:pPr>
              <w:jc w:val="center"/>
              <w:rPr>
                <w:szCs w:val="21"/>
              </w:rPr>
            </w:pPr>
            <w:r>
              <w:rPr>
                <w:kern w:val="0"/>
                <w:szCs w:val="21"/>
              </w:rPr>
              <w:t>数字信号处理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Align w:val="center"/>
          </w:tcPr>
          <w:p>
            <w:pPr>
              <w:jc w:val="center"/>
              <w:rPr>
                <w:szCs w:val="21"/>
              </w:rPr>
            </w:pPr>
            <w:r>
              <w:rPr>
                <w:szCs w:val="21"/>
              </w:rPr>
              <w:t>课程性质*</w:t>
            </w:r>
          </w:p>
        </w:tc>
        <w:tc>
          <w:tcPr>
            <w:tcW w:w="2497" w:type="dxa"/>
            <w:vAlign w:val="center"/>
          </w:tcPr>
          <w:p>
            <w:pPr>
              <w:jc w:val="center"/>
              <w:rPr>
                <w:szCs w:val="21"/>
              </w:rPr>
            </w:pPr>
            <w:r>
              <w:rPr>
                <w:kern w:val="0"/>
                <w:szCs w:val="21"/>
              </w:rPr>
              <w:t>专业基础类</w:t>
            </w:r>
          </w:p>
        </w:tc>
        <w:tc>
          <w:tcPr>
            <w:tcW w:w="1306" w:type="dxa"/>
            <w:vAlign w:val="center"/>
          </w:tcPr>
          <w:p>
            <w:pPr>
              <w:jc w:val="center"/>
              <w:rPr>
                <w:szCs w:val="21"/>
              </w:rPr>
            </w:pPr>
            <w:r>
              <w:rPr>
                <w:szCs w:val="21"/>
              </w:rPr>
              <w:t>英文名称</w:t>
            </w:r>
          </w:p>
        </w:tc>
        <w:tc>
          <w:tcPr>
            <w:tcW w:w="3228" w:type="dxa"/>
            <w:vAlign w:val="center"/>
          </w:tcPr>
          <w:p>
            <w:pPr>
              <w:jc w:val="center"/>
              <w:rPr>
                <w:szCs w:val="21"/>
              </w:rPr>
            </w:pPr>
            <w:r>
              <w:rPr>
                <w:kern w:val="0"/>
                <w:szCs w:val="21"/>
              </w:rPr>
              <w:t>Digital Signal Processing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dxa"/>
            <w:vAlign w:val="center"/>
          </w:tcPr>
          <w:p>
            <w:pPr>
              <w:jc w:val="center"/>
              <w:rPr>
                <w:szCs w:val="21"/>
              </w:rPr>
            </w:pPr>
            <w:r>
              <w:rPr>
                <w:szCs w:val="21"/>
              </w:rPr>
              <w:t>学分学时</w:t>
            </w:r>
          </w:p>
        </w:tc>
        <w:tc>
          <w:tcPr>
            <w:tcW w:w="2497" w:type="dxa"/>
            <w:vAlign w:val="center"/>
          </w:tcPr>
          <w:p>
            <w:pPr>
              <w:jc w:val="center"/>
              <w:rPr>
                <w:szCs w:val="21"/>
              </w:rPr>
            </w:pPr>
            <w:r>
              <w:rPr>
                <w:szCs w:val="21"/>
              </w:rPr>
              <w:t xml:space="preserve">2.5 </w:t>
            </w:r>
            <w:r>
              <w:rPr>
                <w:kern w:val="0"/>
                <w:szCs w:val="21"/>
              </w:rPr>
              <w:t xml:space="preserve">: </w:t>
            </w:r>
            <w:r>
              <w:rPr>
                <w:szCs w:val="21"/>
              </w:rPr>
              <w:t>40（8）</w:t>
            </w:r>
          </w:p>
        </w:tc>
        <w:tc>
          <w:tcPr>
            <w:tcW w:w="1306" w:type="dxa"/>
            <w:vAlign w:val="center"/>
          </w:tcPr>
          <w:p>
            <w:pPr>
              <w:jc w:val="center"/>
              <w:rPr>
                <w:szCs w:val="21"/>
              </w:rPr>
            </w:pPr>
            <w:r>
              <w:rPr>
                <w:kern w:val="0"/>
                <w:szCs w:val="21"/>
              </w:rPr>
              <w:t>任课教师</w:t>
            </w:r>
          </w:p>
        </w:tc>
        <w:tc>
          <w:tcPr>
            <w:tcW w:w="3228" w:type="dxa"/>
            <w:vAlign w:val="center"/>
          </w:tcPr>
          <w:p>
            <w:pPr>
              <w:jc w:val="center"/>
              <w:rPr>
                <w:szCs w:val="21"/>
              </w:rPr>
            </w:pPr>
            <w:r>
              <w:rPr>
                <w:kern w:val="0"/>
                <w:szCs w:val="21"/>
              </w:rPr>
              <w:t>张培珍、邹阿金、李灿苹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0" w:type="dxa"/>
            <w:vAlign w:val="center"/>
          </w:tcPr>
          <w:p>
            <w:pPr>
              <w:widowControl/>
              <w:jc w:val="center"/>
              <w:rPr>
                <w:kern w:val="0"/>
                <w:szCs w:val="21"/>
              </w:rPr>
            </w:pPr>
            <w:r>
              <w:rPr>
                <w:kern w:val="0"/>
                <w:szCs w:val="21"/>
              </w:rPr>
              <w:t>企业专家</w:t>
            </w:r>
          </w:p>
        </w:tc>
        <w:tc>
          <w:tcPr>
            <w:tcW w:w="2497" w:type="dxa"/>
            <w:vAlign w:val="center"/>
          </w:tcPr>
          <w:p>
            <w:pPr>
              <w:widowControl/>
              <w:jc w:val="center"/>
              <w:rPr>
                <w:kern w:val="0"/>
                <w:szCs w:val="21"/>
              </w:rPr>
            </w:pPr>
            <w:r>
              <w:rPr>
                <w:kern w:val="0"/>
                <w:szCs w:val="21"/>
              </w:rPr>
              <w:t>曾耿滨</w:t>
            </w:r>
          </w:p>
        </w:tc>
        <w:tc>
          <w:tcPr>
            <w:tcW w:w="1306" w:type="dxa"/>
            <w:vAlign w:val="center"/>
          </w:tcPr>
          <w:p>
            <w:pPr>
              <w:jc w:val="center"/>
              <w:rPr>
                <w:kern w:val="0"/>
                <w:szCs w:val="21"/>
              </w:rPr>
            </w:pPr>
            <w:r>
              <w:rPr>
                <w:kern w:val="0"/>
                <w:szCs w:val="21"/>
              </w:rPr>
              <w:t>行业专家</w:t>
            </w:r>
          </w:p>
        </w:tc>
        <w:tc>
          <w:tcPr>
            <w:tcW w:w="3228"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650" w:type="dxa"/>
            <w:vAlign w:val="center"/>
          </w:tcPr>
          <w:p>
            <w:pPr>
              <w:widowControl/>
              <w:jc w:val="center"/>
              <w:rPr>
                <w:kern w:val="0"/>
                <w:szCs w:val="21"/>
              </w:rPr>
            </w:pPr>
            <w:r>
              <w:rPr>
                <w:kern w:val="0"/>
                <w:szCs w:val="21"/>
              </w:rPr>
              <w:t>执笔教师</w:t>
            </w:r>
          </w:p>
        </w:tc>
        <w:tc>
          <w:tcPr>
            <w:tcW w:w="2497" w:type="dxa"/>
            <w:vAlign w:val="center"/>
          </w:tcPr>
          <w:p>
            <w:pPr>
              <w:widowControl/>
              <w:jc w:val="center"/>
              <w:rPr>
                <w:kern w:val="0"/>
                <w:szCs w:val="21"/>
              </w:rPr>
            </w:pPr>
            <w:r>
              <w:rPr>
                <w:kern w:val="0"/>
                <w:szCs w:val="21"/>
              </w:rPr>
              <w:t>邹阿金</w:t>
            </w:r>
          </w:p>
        </w:tc>
        <w:tc>
          <w:tcPr>
            <w:tcW w:w="1306" w:type="dxa"/>
            <w:vAlign w:val="center"/>
          </w:tcPr>
          <w:p>
            <w:pPr>
              <w:widowControl/>
              <w:jc w:val="center"/>
              <w:rPr>
                <w:kern w:val="0"/>
                <w:szCs w:val="21"/>
              </w:rPr>
            </w:pPr>
            <w:r>
              <w:rPr>
                <w:kern w:val="0"/>
                <w:szCs w:val="21"/>
              </w:rPr>
              <w:t>责任教授</w:t>
            </w:r>
          </w:p>
        </w:tc>
        <w:tc>
          <w:tcPr>
            <w:tcW w:w="3228" w:type="dxa"/>
            <w:vAlign w:val="center"/>
          </w:tcPr>
          <w:p>
            <w:pPr>
              <w:widowControl/>
              <w:jc w:val="center"/>
              <w:rPr>
                <w:kern w:val="0"/>
                <w:szCs w:val="21"/>
              </w:rPr>
            </w:pPr>
            <w:r>
              <w:rPr>
                <w:kern w:val="0"/>
                <w:szCs w:val="21"/>
              </w:rPr>
              <w:t>邹阿金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50" w:type="dxa"/>
            <w:vAlign w:val="center"/>
          </w:tcPr>
          <w:p>
            <w:pPr>
              <w:widowControl/>
              <w:jc w:val="center"/>
              <w:rPr>
                <w:kern w:val="0"/>
                <w:szCs w:val="21"/>
              </w:rPr>
            </w:pPr>
            <w:r>
              <w:rPr>
                <w:kern w:val="0"/>
                <w:szCs w:val="21"/>
              </w:rPr>
              <w:t>适用专业</w:t>
            </w:r>
          </w:p>
        </w:tc>
        <w:tc>
          <w:tcPr>
            <w:tcW w:w="2497" w:type="dxa"/>
            <w:vAlign w:val="center"/>
          </w:tcPr>
          <w:p>
            <w:pPr>
              <w:widowControl/>
              <w:jc w:val="center"/>
              <w:rPr>
                <w:kern w:val="0"/>
                <w:szCs w:val="21"/>
              </w:rPr>
            </w:pPr>
            <w:r>
              <w:rPr>
                <w:kern w:val="0"/>
                <w:szCs w:val="21"/>
              </w:rPr>
              <w:t>电子信息工程</w:t>
            </w:r>
          </w:p>
        </w:tc>
        <w:tc>
          <w:tcPr>
            <w:tcW w:w="1306" w:type="dxa"/>
            <w:vAlign w:val="center"/>
          </w:tcPr>
          <w:p>
            <w:pPr>
              <w:widowControl/>
              <w:jc w:val="center"/>
              <w:rPr>
                <w:kern w:val="0"/>
                <w:szCs w:val="21"/>
              </w:rPr>
            </w:pPr>
            <w:r>
              <w:rPr>
                <w:kern w:val="0"/>
                <w:szCs w:val="21"/>
              </w:rPr>
              <w:t>适用对象</w:t>
            </w:r>
          </w:p>
        </w:tc>
        <w:tc>
          <w:tcPr>
            <w:tcW w:w="3228"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650" w:type="dxa"/>
            <w:vAlign w:val="center"/>
          </w:tcPr>
          <w:p>
            <w:pPr>
              <w:jc w:val="center"/>
              <w:rPr>
                <w:b/>
                <w:kern w:val="0"/>
                <w:szCs w:val="21"/>
              </w:rPr>
            </w:pPr>
            <w:r>
              <w:rPr>
                <w:szCs w:val="21"/>
              </w:rPr>
              <w:t>先修课程</w:t>
            </w:r>
          </w:p>
        </w:tc>
        <w:tc>
          <w:tcPr>
            <w:tcW w:w="2497" w:type="dxa"/>
            <w:vAlign w:val="center"/>
          </w:tcPr>
          <w:p>
            <w:pPr>
              <w:jc w:val="center"/>
              <w:rPr>
                <w:kern w:val="0"/>
                <w:szCs w:val="21"/>
              </w:rPr>
            </w:pPr>
            <w:r>
              <w:rPr>
                <w:szCs w:val="21"/>
              </w:rPr>
              <w:t>信号与系统、工程数学</w:t>
            </w:r>
          </w:p>
        </w:tc>
        <w:tc>
          <w:tcPr>
            <w:tcW w:w="1306" w:type="dxa"/>
            <w:vAlign w:val="center"/>
          </w:tcPr>
          <w:p>
            <w:pPr>
              <w:snapToGrid w:val="0"/>
              <w:spacing w:line="300" w:lineRule="auto"/>
              <w:jc w:val="center"/>
              <w:rPr>
                <w:b/>
                <w:kern w:val="0"/>
                <w:szCs w:val="21"/>
              </w:rPr>
            </w:pPr>
            <w:r>
              <w:rPr>
                <w:szCs w:val="21"/>
              </w:rPr>
              <w:t>同修课程</w:t>
            </w:r>
          </w:p>
        </w:tc>
        <w:tc>
          <w:tcPr>
            <w:tcW w:w="3228" w:type="dxa"/>
            <w:vAlign w:val="center"/>
          </w:tcPr>
          <w:p>
            <w:pPr>
              <w:widowControl/>
              <w:jc w:val="center"/>
              <w:rPr>
                <w:kern w:val="0"/>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650" w:type="dxa"/>
            <w:vAlign w:val="center"/>
          </w:tcPr>
          <w:p>
            <w:pPr>
              <w:jc w:val="center"/>
              <w:rPr>
                <w:szCs w:val="21"/>
              </w:rPr>
            </w:pPr>
            <w:r>
              <w:rPr>
                <w:szCs w:val="21"/>
              </w:rPr>
              <w:t>排斥课程</w:t>
            </w:r>
          </w:p>
        </w:tc>
        <w:tc>
          <w:tcPr>
            <w:tcW w:w="2497" w:type="dxa"/>
            <w:vAlign w:val="center"/>
          </w:tcPr>
          <w:p>
            <w:pPr>
              <w:widowControl/>
              <w:jc w:val="center"/>
              <w:rPr>
                <w:kern w:val="0"/>
                <w:szCs w:val="21"/>
              </w:rPr>
            </w:pPr>
            <w:r>
              <w:rPr>
                <w:kern w:val="0"/>
                <w:szCs w:val="21"/>
              </w:rPr>
              <w:t>无</w:t>
            </w:r>
          </w:p>
        </w:tc>
        <w:tc>
          <w:tcPr>
            <w:tcW w:w="1306" w:type="dxa"/>
            <w:vAlign w:val="center"/>
          </w:tcPr>
          <w:p>
            <w:pPr>
              <w:snapToGrid w:val="0"/>
              <w:spacing w:line="300" w:lineRule="auto"/>
              <w:jc w:val="center"/>
              <w:rPr>
                <w:szCs w:val="21"/>
              </w:rPr>
            </w:pPr>
            <w:r>
              <w:rPr>
                <w:szCs w:val="21"/>
              </w:rPr>
              <w:t>定稿日期</w:t>
            </w:r>
          </w:p>
        </w:tc>
        <w:tc>
          <w:tcPr>
            <w:tcW w:w="3228"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b/>
          <w:sz w:val="24"/>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widowControl/>
        <w:adjustRightInd w:val="0"/>
        <w:snapToGrid w:val="0"/>
        <w:spacing w:line="300" w:lineRule="auto"/>
        <w:ind w:firstLine="420" w:firstLineChars="200"/>
        <w:rPr>
          <w:kern w:val="0"/>
          <w:sz w:val="24"/>
          <w:szCs w:val="21"/>
        </w:rPr>
      </w:pPr>
      <w:r>
        <w:rPr>
          <w:kern w:val="0"/>
          <w:szCs w:val="21"/>
        </w:rPr>
        <w:t>《数字信号处理》是电子信息工程相关专业人才培养方案中的专业核心课，通过理论和实验教学使学生掌握数字信号处理的基本原理和方法。课程详细介绍了数字信号处理软、硬件实现的应用领域，以离散信号与系统的时频分析、离散傅立叶变换为基础，重点阐述数字滤波器的基本理论、结构和设计方法，在各章节中导入应用实例，有助于学生掌握数字信号处理的基本分析方法和设计工具，培养学生从数学概念、物理概念及工程概念去分析问题和解决问题的能力。</w:t>
      </w:r>
    </w:p>
    <w:p>
      <w:pPr>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kern w:val="0"/>
          <w:szCs w:val="21"/>
        </w:rPr>
        <w:t>本课程的目的和任务是使学生全面掌握各种常用的数字滤波器的基本理论、技术和设计方法，为以后从事电子信息工程等相关领域的科研与应用开发奠定良好的基础，提高学生运用数字滤波器解决实际问题的能力；在教学过程中，培养学生以科学报国的爱国主义情怀。本课程的具体教学目标如下：</w:t>
      </w:r>
    </w:p>
    <w:p>
      <w:pPr>
        <w:widowControl/>
        <w:adjustRightInd w:val="0"/>
        <w:snapToGrid w:val="0"/>
        <w:spacing w:line="300" w:lineRule="auto"/>
        <w:ind w:firstLine="420" w:firstLineChars="200"/>
        <w:rPr>
          <w:kern w:val="0"/>
          <w:szCs w:val="21"/>
        </w:rPr>
      </w:pPr>
      <w:r>
        <w:rPr>
          <w:kern w:val="0"/>
          <w:szCs w:val="21"/>
        </w:rPr>
        <w:t>1.掌握数字信号处理的基本概念、基本分析方法和处理技术；掌握离散时间信号和系统的基础理论、离散傅里叶变换（DFT）理论及其信号分析方法；[1</w:t>
      </w:r>
      <w:r>
        <w:rPr>
          <w:rFonts w:hint="eastAsia"/>
          <w:kern w:val="0"/>
          <w:szCs w:val="21"/>
        </w:rPr>
        <w:t>.</w:t>
      </w:r>
      <w:r>
        <w:rPr>
          <w:kern w:val="0"/>
          <w:szCs w:val="21"/>
        </w:rPr>
        <w:t xml:space="preserve">1] </w:t>
      </w:r>
    </w:p>
    <w:p>
      <w:pPr>
        <w:widowControl/>
        <w:adjustRightInd w:val="0"/>
        <w:snapToGrid w:val="0"/>
        <w:spacing w:line="300" w:lineRule="auto"/>
        <w:ind w:firstLine="420" w:firstLineChars="200"/>
        <w:rPr>
          <w:kern w:val="0"/>
          <w:szCs w:val="21"/>
        </w:rPr>
      </w:pPr>
      <w:r>
        <w:rPr>
          <w:kern w:val="0"/>
          <w:szCs w:val="21"/>
        </w:rPr>
        <w:t>2.掌握IIR和FIR数字滤波器设计原理和设计方法，为研究设计各种数字滤波系统提供必要的基础；掌握MATLAB软件包中的信号处理工具箱的使用方法，具有初步的算法分析和运用MATLAB编程的能力；[2</w:t>
      </w:r>
      <w:r>
        <w:rPr>
          <w:rFonts w:hint="eastAsia"/>
          <w:kern w:val="0"/>
          <w:szCs w:val="21"/>
        </w:rPr>
        <w:t>.</w:t>
      </w:r>
      <w:r>
        <w:rPr>
          <w:kern w:val="0"/>
          <w:szCs w:val="21"/>
        </w:rPr>
        <w:t>1]</w:t>
      </w:r>
    </w:p>
    <w:p>
      <w:pPr>
        <w:widowControl/>
        <w:adjustRightInd w:val="0"/>
        <w:snapToGrid w:val="0"/>
        <w:spacing w:line="300" w:lineRule="auto"/>
        <w:ind w:firstLine="420" w:firstLineChars="200"/>
        <w:rPr>
          <w:kern w:val="0"/>
          <w:szCs w:val="21"/>
        </w:rPr>
      </w:pPr>
      <w:r>
        <w:rPr>
          <w:kern w:val="0"/>
          <w:szCs w:val="21"/>
        </w:rPr>
        <w:t>3.通过本课程的学习，培养学生用数学、物理概念及信号处理工具箱去分析问题和解决问题的能力；具备对给定实际问题设计数字滤波器的专业素质。[3</w:t>
      </w:r>
      <w:r>
        <w:rPr>
          <w:rFonts w:hint="eastAsia"/>
          <w:kern w:val="0"/>
          <w:szCs w:val="21"/>
        </w:rPr>
        <w:t>.</w:t>
      </w:r>
      <w:r>
        <w:rPr>
          <w:kern w:val="0"/>
          <w:szCs w:val="21"/>
        </w:rPr>
        <w:t>1]</w:t>
      </w:r>
    </w:p>
    <w:p>
      <w:pPr>
        <w:widowControl/>
        <w:adjustRightInd w:val="0"/>
        <w:snapToGrid w:val="0"/>
        <w:spacing w:line="300" w:lineRule="auto"/>
        <w:ind w:firstLine="420" w:firstLineChars="200"/>
        <w:jc w:val="left"/>
        <w:rPr>
          <w:kern w:val="0"/>
          <w:szCs w:val="21"/>
        </w:rPr>
      </w:pPr>
      <w:r>
        <w:rPr>
          <w:kern w:val="0"/>
          <w:szCs w:val="21"/>
        </w:rPr>
        <w:t>课程教学目标与毕业要求的对应关系如表1所示：</w:t>
      </w:r>
    </w:p>
    <w:p>
      <w:pPr>
        <w:widowControl/>
        <w:adjustRightInd w:val="0"/>
        <w:snapToGrid w:val="0"/>
        <w:spacing w:before="156" w:beforeLines="50" w:line="300" w:lineRule="auto"/>
        <w:jc w:val="center"/>
        <w:rPr>
          <w:b/>
          <w:kern w:val="0"/>
          <w:szCs w:val="21"/>
        </w:rPr>
      </w:pPr>
      <w:r>
        <w:rPr>
          <w:b/>
          <w:kern w:val="0"/>
          <w:sz w:val="18"/>
          <w:szCs w:val="18"/>
        </w:rPr>
        <w:t>表1毕业要求指标点实现矩阵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25"/>
        <w:gridCol w:w="5760"/>
        <w:gridCol w:w="594"/>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13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毕业要求</w:t>
            </w:r>
          </w:p>
        </w:tc>
        <w:tc>
          <w:tcPr>
            <w:tcW w:w="57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毕业要求指标点</w:t>
            </w:r>
          </w:p>
        </w:tc>
        <w:tc>
          <w:tcPr>
            <w:tcW w:w="5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w:t>
            </w:r>
          </w:p>
          <w:p>
            <w:pPr>
              <w:widowControl/>
              <w:adjustRightInd w:val="0"/>
              <w:snapToGrid w:val="0"/>
              <w:spacing w:line="300" w:lineRule="auto"/>
              <w:jc w:val="center"/>
              <w:rPr>
                <w:b/>
                <w:sz w:val="18"/>
                <w:szCs w:val="18"/>
              </w:rPr>
            </w:pPr>
            <w:r>
              <w:rPr>
                <w:b/>
                <w:sz w:val="18"/>
                <w:szCs w:val="18"/>
              </w:rPr>
              <w:t>目标</w:t>
            </w:r>
          </w:p>
        </w:tc>
        <w:tc>
          <w:tcPr>
            <w:tcW w:w="10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6" w:hRule="atLeast"/>
          <w:jc w:val="center"/>
        </w:trPr>
        <w:tc>
          <w:tcPr>
            <w:tcW w:w="1325"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rPr>
                <w:sz w:val="18"/>
                <w:szCs w:val="18"/>
              </w:rPr>
            </w:pPr>
            <w:r>
              <w:rPr>
                <w:sz w:val="18"/>
                <w:szCs w:val="18"/>
              </w:rPr>
              <w:t>1.工程知识</w:t>
            </w:r>
          </w:p>
        </w:tc>
        <w:tc>
          <w:tcPr>
            <w:tcW w:w="5760"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kern w:val="0"/>
                <w:szCs w:val="21"/>
              </w:rPr>
            </w:pPr>
            <w:r>
              <w:rPr>
                <w:kern w:val="0"/>
                <w:sz w:val="18"/>
                <w:szCs w:val="18"/>
              </w:rPr>
              <w:t>1</w:t>
            </w:r>
            <w:r>
              <w:rPr>
                <w:rFonts w:hint="eastAsia"/>
                <w:kern w:val="0"/>
                <w:sz w:val="18"/>
                <w:szCs w:val="18"/>
              </w:rPr>
              <w:t>.</w:t>
            </w:r>
            <w:r>
              <w:rPr>
                <w:kern w:val="0"/>
                <w:sz w:val="18"/>
                <w:szCs w:val="18"/>
              </w:rPr>
              <w:t>1掌握电子信息工程专业理论和知识体系的数学和自然科学知识，将其应用于信息技术（IT）行业知识和专业知识的学习。</w:t>
            </w:r>
          </w:p>
        </w:tc>
        <w:tc>
          <w:tcPr>
            <w:tcW w:w="594"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1</w:t>
            </w:r>
          </w:p>
        </w:tc>
        <w:tc>
          <w:tcPr>
            <w:tcW w:w="1002"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5" w:hRule="atLeast"/>
          <w:jc w:val="center"/>
        </w:trPr>
        <w:tc>
          <w:tcPr>
            <w:tcW w:w="1325" w:type="dxa"/>
            <w:tcBorders>
              <w:left w:val="single" w:color="auto" w:sz="4" w:space="0"/>
              <w:right w:val="single" w:color="auto" w:sz="4" w:space="0"/>
            </w:tcBorders>
            <w:shd w:val="clear" w:color="auto" w:fill="FFFFFF"/>
            <w:vAlign w:val="center"/>
          </w:tcPr>
          <w:p>
            <w:pPr>
              <w:widowControl/>
              <w:adjustRightInd w:val="0"/>
              <w:snapToGrid w:val="0"/>
              <w:spacing w:line="300" w:lineRule="auto"/>
              <w:rPr>
                <w:sz w:val="18"/>
                <w:szCs w:val="18"/>
              </w:rPr>
            </w:pPr>
            <w:r>
              <w:rPr>
                <w:sz w:val="18"/>
                <w:szCs w:val="18"/>
              </w:rPr>
              <w:t>2．问题分析</w:t>
            </w:r>
          </w:p>
        </w:tc>
        <w:tc>
          <w:tcPr>
            <w:tcW w:w="5760" w:type="dxa"/>
            <w:tcBorders>
              <w:left w:val="single" w:color="auto" w:sz="4" w:space="0"/>
              <w:right w:val="single" w:color="auto" w:sz="4" w:space="0"/>
            </w:tcBorders>
            <w:shd w:val="clear" w:color="auto" w:fill="FFFFFF"/>
            <w:vAlign w:val="center"/>
          </w:tcPr>
          <w:p>
            <w:pPr>
              <w:widowControl/>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1具备应用数学、自然科学和工程科学的基本原理和方法，认识与判断电子信息工程（含海洋电子信息）相关领域复杂工程问题中的关键环节，使用数学模型和专业知识解释与描述复杂工程问题的能力。</w:t>
            </w:r>
          </w:p>
        </w:tc>
        <w:tc>
          <w:tcPr>
            <w:tcW w:w="594"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2</w:t>
            </w:r>
          </w:p>
        </w:tc>
        <w:tc>
          <w:tcPr>
            <w:tcW w:w="1002" w:type="dxa"/>
            <w:tcBorders>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jc w:val="center"/>
        </w:trPr>
        <w:tc>
          <w:tcPr>
            <w:tcW w:w="1325" w:type="dxa"/>
            <w:tcBorders>
              <w:left w:val="single" w:color="auto" w:sz="4" w:space="0"/>
              <w:right w:val="single" w:color="auto" w:sz="4" w:space="0"/>
            </w:tcBorders>
            <w:shd w:val="clear" w:color="auto" w:fill="FFFFFF"/>
            <w:vAlign w:val="center"/>
          </w:tcPr>
          <w:p>
            <w:pPr>
              <w:widowControl/>
              <w:adjustRightInd w:val="0"/>
              <w:snapToGrid w:val="0"/>
              <w:spacing w:line="300" w:lineRule="auto"/>
              <w:rPr>
                <w:sz w:val="18"/>
                <w:szCs w:val="18"/>
              </w:rPr>
            </w:pPr>
            <w:r>
              <w:rPr>
                <w:sz w:val="18"/>
                <w:szCs w:val="18"/>
              </w:rPr>
              <w:t>3．设计/开发解决方案</w:t>
            </w:r>
          </w:p>
        </w:tc>
        <w:tc>
          <w:tcPr>
            <w:tcW w:w="5760" w:type="dxa"/>
            <w:tcBorders>
              <w:left w:val="single" w:color="auto" w:sz="4" w:space="0"/>
              <w:right w:val="single" w:color="auto" w:sz="4" w:space="0"/>
            </w:tcBorders>
            <w:shd w:val="clear" w:color="auto" w:fill="FFFFFF"/>
            <w:vAlign w:val="center"/>
          </w:tcPr>
          <w:p>
            <w:pPr>
              <w:widowControl/>
              <w:adjustRightInd w:val="0"/>
              <w:snapToGrid w:val="0"/>
              <w:spacing w:line="300" w:lineRule="auto"/>
              <w:jc w:val="left"/>
              <w:rPr>
                <w:kern w:val="0"/>
                <w:sz w:val="18"/>
                <w:szCs w:val="18"/>
              </w:rPr>
            </w:pPr>
            <w:r>
              <w:rPr>
                <w:kern w:val="0"/>
                <w:sz w:val="18"/>
                <w:szCs w:val="18"/>
              </w:rPr>
              <w:t>3</w:t>
            </w:r>
            <w:r>
              <w:rPr>
                <w:rFonts w:hint="eastAsia"/>
                <w:kern w:val="0"/>
                <w:sz w:val="18"/>
                <w:szCs w:val="18"/>
              </w:rPr>
              <w:t>.</w:t>
            </w:r>
            <w:r>
              <w:rPr>
                <w:kern w:val="0"/>
                <w:sz w:val="18"/>
                <w:szCs w:val="18"/>
              </w:rPr>
              <w:t>1能够利用专业知识，针对给定需求，设计出满足要求的系统总体方案与系统拓扑图、单元子系统（或单元电路）、软硬件模块或工艺。</w:t>
            </w:r>
          </w:p>
        </w:tc>
        <w:tc>
          <w:tcPr>
            <w:tcW w:w="594" w:type="dxa"/>
            <w:tcBorders>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3</w:t>
            </w:r>
          </w:p>
        </w:tc>
        <w:tc>
          <w:tcPr>
            <w:tcW w:w="1002" w:type="dxa"/>
            <w:tcBorders>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Cs w:val="21"/>
              </w:rPr>
            </w:pPr>
            <w:r>
              <w:rPr>
                <w:kern w:val="0"/>
                <w:szCs w:val="21"/>
              </w:rPr>
              <w:t>0.2</w:t>
            </w:r>
          </w:p>
        </w:tc>
      </w:tr>
    </w:tbl>
    <w:p>
      <w:pPr>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line="300" w:lineRule="auto"/>
        <w:jc w:val="center"/>
        <w:rPr>
          <w:b/>
          <w:kern w:val="0"/>
          <w:szCs w:val="21"/>
        </w:rPr>
      </w:pPr>
      <w:r>
        <w:rPr>
          <w:b/>
          <w:kern w:val="0"/>
          <w:sz w:val="18"/>
          <w:szCs w:val="18"/>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311"/>
        <w:gridCol w:w="1688"/>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531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
                <w:sz w:val="18"/>
                <w:szCs w:val="18"/>
              </w:rPr>
            </w:pPr>
            <w:r>
              <w:rPr>
                <w:b/>
                <w:sz w:val="18"/>
                <w:szCs w:val="18"/>
              </w:rPr>
              <w:t>课程教学目标</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
                <w:sz w:val="18"/>
                <w:szCs w:val="18"/>
              </w:rPr>
            </w:pPr>
            <w:r>
              <w:rPr>
                <w:b/>
                <w:sz w:val="18"/>
                <w:szCs w:val="18"/>
              </w:rPr>
              <w:t>达成途径</w:t>
            </w:r>
          </w:p>
        </w:tc>
        <w:tc>
          <w:tcPr>
            <w:tcW w:w="16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31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1.掌握数字信号处理的基本概念、基本分析方法和处理技术；掌握离散时间信号和系统的基础理论、离散傅里叶变换（DFT）理论及其信号分析方法。</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多媒体授课、提问、讨论、案例分析、实验。</w:t>
            </w:r>
          </w:p>
        </w:tc>
        <w:tc>
          <w:tcPr>
            <w:tcW w:w="16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b/>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31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2.掌握IIR和FIR数字滤波器设计原理和设计方法，为研究设计各种数字滤波系统提供必要的基础；掌握MATLAB软件包中的信号处理工具箱的使用方法，具有初步的算法分析和运用MATLAB编程的能力。</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多媒体授课、提问、讨论、案例分析、实验。</w:t>
            </w:r>
          </w:p>
        </w:tc>
        <w:tc>
          <w:tcPr>
            <w:tcW w:w="16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31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3.通过本课程的学习，培养学生用数学、物理概念及信号处理工具箱去分析问题和解决问题的能力；具备对给定实际问题设计数字滤波器的专业素质。</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多媒体授课、提问、讨论、案例分析。</w:t>
            </w:r>
          </w:p>
        </w:tc>
        <w:tc>
          <w:tcPr>
            <w:tcW w:w="16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rPr>
                <w:sz w:val="18"/>
                <w:szCs w:val="18"/>
              </w:rPr>
            </w:pPr>
            <w:r>
              <w:rPr>
                <w:sz w:val="18"/>
                <w:szCs w:val="18"/>
              </w:rPr>
              <w:t>课堂表现、习题作业、期末考试。</w:t>
            </w:r>
          </w:p>
        </w:tc>
      </w:tr>
    </w:tbl>
    <w:p>
      <w:pPr>
        <w:snapToGrid w:val="0"/>
        <w:spacing w:before="156" w:beforeLines="50" w:after="156" w:afterLines="50" w:line="300" w:lineRule="auto"/>
        <w:ind w:firstLine="482" w:firstLineChars="200"/>
        <w:rPr>
          <w:b/>
          <w:sz w:val="24"/>
        </w:rPr>
      </w:pPr>
      <w:r>
        <w:rPr>
          <w:b/>
          <w:sz w:val="24"/>
        </w:rPr>
        <w:t>四、课程教学内容、教与学的要求</w:t>
      </w:r>
    </w:p>
    <w:p>
      <w:pPr>
        <w:widowControl/>
        <w:adjustRightInd w:val="0"/>
        <w:snapToGrid w:val="0"/>
        <w:spacing w:line="300" w:lineRule="auto"/>
        <w:ind w:firstLine="420" w:firstLineChars="200"/>
        <w:rPr>
          <w:kern w:val="0"/>
          <w:szCs w:val="21"/>
        </w:rPr>
      </w:pPr>
      <w:r>
        <w:rPr>
          <w:kern w:val="0"/>
          <w:szCs w:val="21"/>
        </w:rPr>
        <w:t>1. 课堂讲授为主，课程网站自学为辅；注重工程案例教学，每周平均讲授4学时，与专业相关实践教学环节和场景配合呼应。</w:t>
      </w:r>
    </w:p>
    <w:p>
      <w:pPr>
        <w:widowControl/>
        <w:adjustRightInd w:val="0"/>
        <w:snapToGrid w:val="0"/>
        <w:spacing w:line="300" w:lineRule="auto"/>
        <w:ind w:firstLine="420" w:firstLineChars="200"/>
        <w:rPr>
          <w:kern w:val="0"/>
          <w:szCs w:val="21"/>
        </w:rPr>
      </w:pPr>
      <w:r>
        <w:rPr>
          <w:kern w:val="0"/>
          <w:szCs w:val="21"/>
        </w:rPr>
        <w:t>2. 基于电子信息系统信息处理与传输工作流程构建课程教学体系；根据课程特点采用启发式教学、任务驱动教学、案例教学法进行教学方法创新；核心能力知识点采用“原理描述-设计要点分析-应用案例展示”相互呼应的教学模式。</w:t>
      </w:r>
    </w:p>
    <w:p>
      <w:pPr>
        <w:widowControl/>
        <w:adjustRightInd w:val="0"/>
        <w:snapToGrid w:val="0"/>
        <w:spacing w:line="300" w:lineRule="auto"/>
        <w:ind w:firstLine="420" w:firstLineChars="200"/>
        <w:jc w:val="left"/>
        <w:rPr>
          <w:kern w:val="0"/>
          <w:szCs w:val="21"/>
        </w:rPr>
      </w:pPr>
      <w:r>
        <w:rPr>
          <w:kern w:val="0"/>
          <w:szCs w:val="21"/>
        </w:rPr>
        <w:t>本课程理论教学内容与教学要求见表3。</w:t>
      </w:r>
    </w:p>
    <w:p>
      <w:pPr>
        <w:widowControl/>
        <w:adjustRightInd w:val="0"/>
        <w:snapToGrid w:val="0"/>
        <w:spacing w:before="156" w:beforeLines="50" w:line="300" w:lineRule="auto"/>
        <w:jc w:val="center"/>
        <w:rPr>
          <w:b/>
          <w:kern w:val="0"/>
          <w:sz w:val="18"/>
          <w:szCs w:val="18"/>
        </w:rPr>
      </w:pPr>
      <w:r>
        <w:rPr>
          <w:b/>
          <w:kern w:val="0"/>
          <w:sz w:val="18"/>
          <w:szCs w:val="18"/>
        </w:rPr>
        <w:t>表3教学要求</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44"/>
        <w:gridCol w:w="2270"/>
        <w:gridCol w:w="4746"/>
        <w:gridCol w:w="447"/>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7" w:hRule="atLeast"/>
          <w:tblHeader/>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b/>
                <w:kern w:val="0"/>
                <w:sz w:val="18"/>
                <w:szCs w:val="18"/>
              </w:rPr>
            </w:pPr>
            <w:r>
              <w:rPr>
                <w:b/>
                <w:kern w:val="0"/>
                <w:sz w:val="18"/>
                <w:szCs w:val="18"/>
              </w:rPr>
              <w:t>序号</w:t>
            </w:r>
          </w:p>
        </w:tc>
        <w:tc>
          <w:tcPr>
            <w:tcW w:w="2270"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教学内容</w:t>
            </w:r>
          </w:p>
        </w:tc>
        <w:tc>
          <w:tcPr>
            <w:tcW w:w="4746"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教与学的要求</w:t>
            </w:r>
          </w:p>
        </w:tc>
        <w:tc>
          <w:tcPr>
            <w:tcW w:w="447"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学时</w:t>
            </w:r>
          </w:p>
        </w:tc>
        <w:tc>
          <w:tcPr>
            <w:tcW w:w="888"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w:t>
            </w:r>
          </w:p>
        </w:tc>
        <w:tc>
          <w:tcPr>
            <w:tcW w:w="2270" w:type="dxa"/>
            <w:shd w:val="clear" w:color="auto" w:fill="FFFFFF"/>
            <w:vAlign w:val="center"/>
          </w:tcPr>
          <w:p>
            <w:pPr>
              <w:adjustRightInd w:val="0"/>
              <w:snapToGrid w:val="0"/>
              <w:spacing w:line="300" w:lineRule="auto"/>
              <w:rPr>
                <w:sz w:val="18"/>
                <w:szCs w:val="18"/>
              </w:rPr>
            </w:pPr>
            <w:r>
              <w:rPr>
                <w:sz w:val="18"/>
                <w:szCs w:val="18"/>
              </w:rPr>
              <w:t>1绪论</w:t>
            </w:r>
          </w:p>
          <w:p>
            <w:pPr>
              <w:adjustRightInd w:val="0"/>
              <w:snapToGrid w:val="0"/>
              <w:spacing w:line="300" w:lineRule="auto"/>
              <w:rPr>
                <w:sz w:val="18"/>
                <w:szCs w:val="18"/>
              </w:rPr>
            </w:pPr>
            <w:r>
              <w:rPr>
                <w:sz w:val="18"/>
                <w:szCs w:val="18"/>
              </w:rPr>
              <w:t>1.1数字信号处理研究内容</w:t>
            </w:r>
          </w:p>
          <w:p>
            <w:pPr>
              <w:adjustRightInd w:val="0"/>
              <w:snapToGrid w:val="0"/>
              <w:spacing w:line="300" w:lineRule="auto"/>
              <w:rPr>
                <w:sz w:val="18"/>
                <w:szCs w:val="18"/>
              </w:rPr>
            </w:pPr>
            <w:r>
              <w:rPr>
                <w:sz w:val="18"/>
                <w:szCs w:val="18"/>
              </w:rPr>
              <w:t>1.2 数字信号处理实现方法</w:t>
            </w:r>
          </w:p>
          <w:p>
            <w:pPr>
              <w:adjustRightInd w:val="0"/>
              <w:snapToGrid w:val="0"/>
              <w:spacing w:line="300" w:lineRule="auto"/>
              <w:rPr>
                <w:sz w:val="18"/>
                <w:szCs w:val="18"/>
              </w:rPr>
            </w:pPr>
            <w:r>
              <w:rPr>
                <w:sz w:val="18"/>
                <w:szCs w:val="18"/>
              </w:rPr>
              <w:t>1.3 数字信号处理系统构成</w:t>
            </w:r>
          </w:p>
          <w:p>
            <w:pPr>
              <w:adjustRightInd w:val="0"/>
              <w:snapToGrid w:val="0"/>
              <w:spacing w:line="300" w:lineRule="auto"/>
              <w:rPr>
                <w:sz w:val="18"/>
                <w:szCs w:val="18"/>
              </w:rPr>
            </w:pPr>
            <w:r>
              <w:rPr>
                <w:sz w:val="18"/>
                <w:szCs w:val="18"/>
              </w:rPr>
              <w:t>1.4 数字信号处理的应用领域</w:t>
            </w:r>
          </w:p>
          <w:p>
            <w:pPr>
              <w:adjustRightInd w:val="0"/>
              <w:snapToGrid w:val="0"/>
              <w:spacing w:line="300" w:lineRule="auto"/>
              <w:rPr>
                <w:sz w:val="18"/>
                <w:szCs w:val="18"/>
              </w:rPr>
            </w:pPr>
            <w:r>
              <w:rPr>
                <w:sz w:val="18"/>
                <w:szCs w:val="18"/>
              </w:rPr>
              <w:t>1.5数字信号处理的优点</w:t>
            </w:r>
          </w:p>
          <w:p>
            <w:pPr>
              <w:adjustRightInd w:val="0"/>
              <w:snapToGrid w:val="0"/>
              <w:spacing w:line="300" w:lineRule="auto"/>
              <w:rPr>
                <w:szCs w:val="21"/>
              </w:rPr>
            </w:pPr>
            <w:r>
              <w:rPr>
                <w:b/>
                <w:bCs/>
                <w:sz w:val="18"/>
                <w:szCs w:val="18"/>
              </w:rPr>
              <w:t>1.6介绍美国政府为其霸权主义，对我国几所重点院校禁止使用MATLAB软件，以抑制中国科技发展的事实。</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（1）了解数字信号处理的应用领域、发展概况，以及数字信号处理与MATLAB的关系；</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（2）理解数字信号处理系统的优点和特点；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（3）掌握数字信号处理的基本概念和系统组成。</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教学方法：启发式授课、提问、讨论。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2</w:t>
            </w:r>
          </w:p>
        </w:tc>
        <w:tc>
          <w:tcPr>
            <w:tcW w:w="888" w:type="dxa"/>
            <w:shd w:val="clear" w:color="auto" w:fill="FFFFFF"/>
            <w:vAlign w:val="center"/>
          </w:tcPr>
          <w:p>
            <w:pPr>
              <w:widowControl/>
              <w:adjustRightInd w:val="0"/>
              <w:snapToGrid w:val="0"/>
              <w:spacing w:line="300" w:lineRule="auto"/>
              <w:jc w:val="center"/>
              <w:rPr>
                <w:kern w:val="0"/>
                <w:sz w:val="18"/>
                <w:szCs w:val="18"/>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270" w:type="dxa"/>
            <w:shd w:val="clear" w:color="auto" w:fill="FFFFFF"/>
            <w:vAlign w:val="center"/>
          </w:tcPr>
          <w:p>
            <w:pPr>
              <w:adjustRightInd w:val="0"/>
              <w:snapToGrid w:val="0"/>
              <w:spacing w:line="300" w:lineRule="auto"/>
              <w:rPr>
                <w:sz w:val="18"/>
                <w:szCs w:val="18"/>
              </w:rPr>
            </w:pPr>
            <w:r>
              <w:rPr>
                <w:sz w:val="18"/>
                <w:szCs w:val="18"/>
              </w:rPr>
              <w:t>2离散时间信号与系统</w:t>
            </w:r>
          </w:p>
          <w:p>
            <w:pPr>
              <w:adjustRightInd w:val="0"/>
              <w:snapToGrid w:val="0"/>
              <w:spacing w:line="300" w:lineRule="auto"/>
              <w:rPr>
                <w:sz w:val="18"/>
                <w:szCs w:val="18"/>
              </w:rPr>
            </w:pPr>
            <w:r>
              <w:rPr>
                <w:sz w:val="18"/>
                <w:szCs w:val="18"/>
              </w:rPr>
              <w:t>2.1模-数信号转换方法</w:t>
            </w:r>
          </w:p>
          <w:p>
            <w:pPr>
              <w:adjustRightInd w:val="0"/>
              <w:snapToGrid w:val="0"/>
              <w:spacing w:line="300" w:lineRule="auto"/>
              <w:rPr>
                <w:sz w:val="18"/>
                <w:szCs w:val="18"/>
              </w:rPr>
            </w:pPr>
            <w:r>
              <w:rPr>
                <w:sz w:val="18"/>
                <w:szCs w:val="18"/>
              </w:rPr>
              <w:t>2.2离散时间信号——序列</w:t>
            </w:r>
          </w:p>
          <w:p>
            <w:pPr>
              <w:adjustRightInd w:val="0"/>
              <w:snapToGrid w:val="0"/>
              <w:spacing w:line="300" w:lineRule="auto"/>
              <w:rPr>
                <w:sz w:val="18"/>
                <w:szCs w:val="18"/>
              </w:rPr>
            </w:pPr>
            <w:r>
              <w:rPr>
                <w:sz w:val="18"/>
                <w:szCs w:val="18"/>
              </w:rPr>
              <w:t>2.3 离散时间系统</w:t>
            </w:r>
          </w:p>
          <w:p>
            <w:pPr>
              <w:adjustRightInd w:val="0"/>
              <w:snapToGrid w:val="0"/>
              <w:spacing w:line="300" w:lineRule="auto"/>
              <w:rPr>
                <w:sz w:val="18"/>
                <w:szCs w:val="18"/>
              </w:rPr>
            </w:pPr>
            <w:r>
              <w:rPr>
                <w:sz w:val="18"/>
                <w:szCs w:val="18"/>
              </w:rPr>
              <w:t>2.4 离散时间系统分析——差分方程</w:t>
            </w:r>
          </w:p>
          <w:p>
            <w:pPr>
              <w:adjustRightInd w:val="0"/>
              <w:snapToGrid w:val="0"/>
              <w:spacing w:line="300" w:lineRule="auto"/>
              <w:rPr>
                <w:sz w:val="18"/>
                <w:szCs w:val="18"/>
              </w:rPr>
            </w:pPr>
            <w:r>
              <w:rPr>
                <w:sz w:val="18"/>
                <w:szCs w:val="18"/>
              </w:rPr>
              <w:t>2.5 MATLAB应用实例</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（1）了解离散时间信号的基本概念，以及几种典型序列的定义；</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（2）理解离散时间系统的描述方法；常系数线性差分方程的求解方法；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（3）掌握离散时间信号的运算，判断离散时间系统的线性、时不变性、稳定、因果性。</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3.教学方法：启发式授课、案例教学、提问、讨论。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888" w:type="dxa"/>
            <w:shd w:val="clear" w:color="auto" w:fill="FFFFFF"/>
            <w:vAlign w:val="center"/>
          </w:tcPr>
          <w:p>
            <w:pPr>
              <w:widowControl/>
              <w:adjustRightInd w:val="0"/>
              <w:snapToGrid w:val="0"/>
              <w:spacing w:line="300" w:lineRule="auto"/>
              <w:jc w:val="center"/>
              <w:rPr>
                <w:kern w:val="0"/>
                <w:sz w:val="18"/>
                <w:szCs w:val="18"/>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270" w:type="dxa"/>
            <w:shd w:val="clear" w:color="auto" w:fill="FFFFFF"/>
            <w:vAlign w:val="center"/>
          </w:tcPr>
          <w:p>
            <w:pPr>
              <w:adjustRightInd w:val="0"/>
              <w:snapToGrid w:val="0"/>
              <w:spacing w:line="300" w:lineRule="auto"/>
              <w:rPr>
                <w:sz w:val="18"/>
                <w:szCs w:val="18"/>
              </w:rPr>
            </w:pPr>
            <w:r>
              <w:rPr>
                <w:sz w:val="18"/>
                <w:szCs w:val="18"/>
              </w:rPr>
              <w:t>3 z变换与序列傅里叶变换</w:t>
            </w:r>
          </w:p>
          <w:p>
            <w:pPr>
              <w:adjustRightInd w:val="0"/>
              <w:snapToGrid w:val="0"/>
              <w:spacing w:line="300" w:lineRule="auto"/>
              <w:rPr>
                <w:sz w:val="18"/>
                <w:szCs w:val="18"/>
              </w:rPr>
            </w:pPr>
            <w:r>
              <w:rPr>
                <w:sz w:val="18"/>
                <w:szCs w:val="18"/>
              </w:rPr>
              <w:t>3.1 序列的z变换</w:t>
            </w:r>
          </w:p>
          <w:p>
            <w:pPr>
              <w:adjustRightInd w:val="0"/>
              <w:snapToGrid w:val="0"/>
              <w:spacing w:line="300" w:lineRule="auto"/>
              <w:rPr>
                <w:sz w:val="18"/>
                <w:szCs w:val="18"/>
              </w:rPr>
            </w:pPr>
            <w:r>
              <w:rPr>
                <w:sz w:val="18"/>
                <w:szCs w:val="18"/>
              </w:rPr>
              <w:t>3.2 序列的傅里叶变换及性质</w:t>
            </w:r>
          </w:p>
          <w:p>
            <w:pPr>
              <w:adjustRightInd w:val="0"/>
              <w:snapToGrid w:val="0"/>
              <w:spacing w:line="300" w:lineRule="auto"/>
              <w:rPr>
                <w:sz w:val="18"/>
                <w:szCs w:val="18"/>
              </w:rPr>
            </w:pPr>
            <w:r>
              <w:rPr>
                <w:sz w:val="18"/>
                <w:szCs w:val="18"/>
              </w:rPr>
              <w:t>3.3 拉氏变换、z变换、傅里叶变换的关系</w:t>
            </w:r>
          </w:p>
          <w:p>
            <w:pPr>
              <w:adjustRightInd w:val="0"/>
              <w:snapToGrid w:val="0"/>
              <w:spacing w:line="300" w:lineRule="auto"/>
              <w:rPr>
                <w:sz w:val="18"/>
                <w:szCs w:val="18"/>
              </w:rPr>
            </w:pPr>
            <w:r>
              <w:rPr>
                <w:sz w:val="18"/>
                <w:szCs w:val="18"/>
              </w:rPr>
              <w:t>3.4离散时间系统的频域分析</w:t>
            </w:r>
          </w:p>
          <w:p>
            <w:pPr>
              <w:adjustRightInd w:val="0"/>
              <w:snapToGrid w:val="0"/>
              <w:spacing w:line="300" w:lineRule="auto"/>
              <w:rPr>
                <w:sz w:val="18"/>
                <w:szCs w:val="18"/>
              </w:rPr>
            </w:pPr>
            <w:r>
              <w:rPr>
                <w:sz w:val="18"/>
                <w:szCs w:val="18"/>
              </w:rPr>
              <w:t>3.5 MATLAB应用实例</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（1）了解z变换和z逆变换的性质和定理；</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（2）理解序列的傅里叶变换的定义域性质；</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（2）掌握z变换收敛域；离散系统的频域分析。</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3.教学方法：启发式授课、案例教学、提问、讨论。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888" w:type="dxa"/>
            <w:shd w:val="clear" w:color="auto" w:fill="FFFFFF"/>
            <w:vAlign w:val="center"/>
          </w:tcPr>
          <w:p>
            <w:pPr>
              <w:widowControl/>
              <w:adjustRightInd w:val="0"/>
              <w:snapToGrid w:val="0"/>
              <w:spacing w:line="300" w:lineRule="auto"/>
              <w:jc w:val="center"/>
              <w:rPr>
                <w:kern w:val="0"/>
                <w:sz w:val="18"/>
                <w:szCs w:val="18"/>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270" w:type="dxa"/>
            <w:shd w:val="clear" w:color="auto" w:fill="FFFFFF"/>
            <w:vAlign w:val="center"/>
          </w:tcPr>
          <w:p>
            <w:pPr>
              <w:adjustRightInd w:val="0"/>
              <w:snapToGrid w:val="0"/>
              <w:spacing w:line="300" w:lineRule="auto"/>
              <w:rPr>
                <w:sz w:val="18"/>
                <w:szCs w:val="18"/>
              </w:rPr>
            </w:pPr>
            <w:r>
              <w:rPr>
                <w:sz w:val="18"/>
                <w:szCs w:val="18"/>
              </w:rPr>
              <w:t>4离散傅里叶变换</w:t>
            </w:r>
          </w:p>
          <w:p>
            <w:pPr>
              <w:adjustRightInd w:val="0"/>
              <w:snapToGrid w:val="0"/>
              <w:spacing w:line="300" w:lineRule="auto"/>
              <w:rPr>
                <w:sz w:val="18"/>
                <w:szCs w:val="18"/>
              </w:rPr>
            </w:pPr>
            <w:r>
              <w:rPr>
                <w:sz w:val="18"/>
                <w:szCs w:val="18"/>
              </w:rPr>
              <w:t>4.1周期序列的离散傅里叶级数</w:t>
            </w:r>
          </w:p>
          <w:p>
            <w:pPr>
              <w:adjustRightInd w:val="0"/>
              <w:snapToGrid w:val="0"/>
              <w:spacing w:line="300" w:lineRule="auto"/>
              <w:rPr>
                <w:sz w:val="18"/>
                <w:szCs w:val="18"/>
              </w:rPr>
            </w:pPr>
            <w:r>
              <w:rPr>
                <w:sz w:val="18"/>
                <w:szCs w:val="18"/>
              </w:rPr>
              <w:t>4.2有限长序列离散傅里叶变换</w:t>
            </w:r>
          </w:p>
          <w:p>
            <w:pPr>
              <w:adjustRightInd w:val="0"/>
              <w:snapToGrid w:val="0"/>
              <w:spacing w:line="300" w:lineRule="auto"/>
              <w:rPr>
                <w:sz w:val="18"/>
                <w:szCs w:val="18"/>
              </w:rPr>
            </w:pPr>
            <w:r>
              <w:rPr>
                <w:sz w:val="18"/>
                <w:szCs w:val="18"/>
              </w:rPr>
              <w:t>4.3离散傅里叶变换性质</w:t>
            </w:r>
          </w:p>
          <w:p>
            <w:pPr>
              <w:adjustRightInd w:val="0"/>
              <w:snapToGrid w:val="0"/>
              <w:spacing w:line="300" w:lineRule="auto"/>
              <w:rPr>
                <w:sz w:val="18"/>
                <w:szCs w:val="18"/>
              </w:rPr>
            </w:pPr>
            <w:r>
              <w:rPr>
                <w:sz w:val="18"/>
                <w:szCs w:val="18"/>
              </w:rPr>
              <w:t>4.4频域采样理论</w:t>
            </w:r>
          </w:p>
          <w:p>
            <w:pPr>
              <w:adjustRightInd w:val="0"/>
              <w:snapToGrid w:val="0"/>
              <w:spacing w:line="300" w:lineRule="auto"/>
              <w:rPr>
                <w:sz w:val="18"/>
                <w:szCs w:val="18"/>
              </w:rPr>
            </w:pPr>
            <w:r>
              <w:rPr>
                <w:sz w:val="18"/>
                <w:szCs w:val="18"/>
              </w:rPr>
              <w:t>4.5 MATLAB应用实例</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（1）了解离散傅里叶级数定义；</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（2）理解离散傅里叶变换的性质和定理；</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（3）掌握频域采样理论。</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3.教学方法：启发式授课、案例教学、提问、讨论。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888" w:type="dxa"/>
            <w:shd w:val="clear" w:color="auto" w:fill="FFFFFF"/>
            <w:vAlign w:val="center"/>
          </w:tcPr>
          <w:p>
            <w:pPr>
              <w:widowControl/>
              <w:adjustRightInd w:val="0"/>
              <w:snapToGrid w:val="0"/>
              <w:spacing w:line="300" w:lineRule="auto"/>
              <w:jc w:val="center"/>
              <w:rPr>
                <w:kern w:val="0"/>
                <w:sz w:val="18"/>
                <w:szCs w:val="18"/>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270" w:type="dxa"/>
            <w:shd w:val="clear" w:color="auto" w:fill="FFFFFF"/>
            <w:vAlign w:val="center"/>
          </w:tcPr>
          <w:p>
            <w:pPr>
              <w:adjustRightInd w:val="0"/>
              <w:snapToGrid w:val="0"/>
              <w:spacing w:line="300" w:lineRule="auto"/>
              <w:rPr>
                <w:sz w:val="18"/>
                <w:szCs w:val="18"/>
              </w:rPr>
            </w:pPr>
            <w:r>
              <w:rPr>
                <w:sz w:val="18"/>
                <w:szCs w:val="18"/>
              </w:rPr>
              <w:t>5 IIR数字滤波器的设计</w:t>
            </w:r>
          </w:p>
          <w:p>
            <w:pPr>
              <w:adjustRightInd w:val="0"/>
              <w:snapToGrid w:val="0"/>
              <w:spacing w:line="300" w:lineRule="auto"/>
              <w:rPr>
                <w:sz w:val="18"/>
                <w:szCs w:val="18"/>
              </w:rPr>
            </w:pPr>
            <w:r>
              <w:rPr>
                <w:sz w:val="18"/>
                <w:szCs w:val="18"/>
              </w:rPr>
              <w:t>5.1滤波器基本概念</w:t>
            </w:r>
          </w:p>
          <w:p>
            <w:pPr>
              <w:adjustRightInd w:val="0"/>
              <w:snapToGrid w:val="0"/>
              <w:spacing w:line="300" w:lineRule="auto"/>
              <w:rPr>
                <w:sz w:val="18"/>
                <w:szCs w:val="18"/>
              </w:rPr>
            </w:pPr>
            <w:r>
              <w:rPr>
                <w:sz w:val="18"/>
                <w:szCs w:val="18"/>
              </w:rPr>
              <w:t>5.2模拟滤波器设计</w:t>
            </w:r>
          </w:p>
          <w:p>
            <w:pPr>
              <w:adjustRightInd w:val="0"/>
              <w:snapToGrid w:val="0"/>
              <w:spacing w:line="300" w:lineRule="auto"/>
              <w:rPr>
                <w:sz w:val="18"/>
                <w:szCs w:val="18"/>
              </w:rPr>
            </w:pPr>
            <w:r>
              <w:rPr>
                <w:sz w:val="18"/>
                <w:szCs w:val="18"/>
              </w:rPr>
              <w:t>5.3脉冲响应不变法设计IIR数字滤波器</w:t>
            </w:r>
          </w:p>
          <w:p>
            <w:pPr>
              <w:adjustRightInd w:val="0"/>
              <w:snapToGrid w:val="0"/>
              <w:spacing w:line="300" w:lineRule="auto"/>
              <w:rPr>
                <w:sz w:val="18"/>
                <w:szCs w:val="18"/>
              </w:rPr>
            </w:pPr>
            <w:r>
              <w:rPr>
                <w:sz w:val="18"/>
                <w:szCs w:val="18"/>
              </w:rPr>
              <w:t>5.4双线性变换法设计IIR数字滤波器</w:t>
            </w:r>
          </w:p>
          <w:p>
            <w:pPr>
              <w:adjustRightInd w:val="0"/>
              <w:snapToGrid w:val="0"/>
              <w:spacing w:line="300" w:lineRule="auto"/>
              <w:rPr>
                <w:sz w:val="18"/>
                <w:szCs w:val="18"/>
              </w:rPr>
            </w:pPr>
            <w:r>
              <w:rPr>
                <w:sz w:val="18"/>
                <w:szCs w:val="18"/>
              </w:rPr>
              <w:t>5.5 MATLAB应用实例</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（1）了解滤波器的基本概念和幅度平方函数与幅度函数的特点；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（2）掌握巴特沃斯滤波器设计方法；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（3）掌握基于模拟滤波器设计IIR的两种方法，即脉冲响应不变法和双线性变换法的原理、步骤、s平面和z平面之间映射关系。</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3.教学方法：启发式授课、案例教学、提问、讨论。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888" w:type="dxa"/>
            <w:shd w:val="clear" w:color="auto" w:fill="FFFFFF"/>
            <w:vAlign w:val="center"/>
          </w:tcPr>
          <w:p>
            <w:pPr>
              <w:widowControl/>
              <w:adjustRightInd w:val="0"/>
              <w:snapToGrid w:val="0"/>
              <w:spacing w:line="300" w:lineRule="auto"/>
              <w:jc w:val="center"/>
              <w:rPr>
                <w:kern w:val="0"/>
                <w:sz w:val="18"/>
                <w:szCs w:val="18"/>
              </w:rPr>
            </w:pPr>
            <w:r>
              <w:rPr>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44"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2270" w:type="dxa"/>
            <w:shd w:val="clear" w:color="auto" w:fill="FFFFFF"/>
            <w:vAlign w:val="center"/>
          </w:tcPr>
          <w:p>
            <w:pPr>
              <w:adjustRightInd w:val="0"/>
              <w:snapToGrid w:val="0"/>
              <w:spacing w:line="300" w:lineRule="auto"/>
              <w:rPr>
                <w:sz w:val="18"/>
                <w:szCs w:val="18"/>
              </w:rPr>
            </w:pPr>
            <w:r>
              <w:rPr>
                <w:sz w:val="18"/>
                <w:szCs w:val="18"/>
              </w:rPr>
              <w:t>6 FIR数字滤波器的设计</w:t>
            </w:r>
          </w:p>
          <w:p>
            <w:pPr>
              <w:adjustRightInd w:val="0"/>
              <w:snapToGrid w:val="0"/>
              <w:spacing w:line="300" w:lineRule="auto"/>
              <w:rPr>
                <w:sz w:val="18"/>
                <w:szCs w:val="18"/>
              </w:rPr>
            </w:pPr>
            <w:r>
              <w:rPr>
                <w:sz w:val="18"/>
                <w:szCs w:val="18"/>
              </w:rPr>
              <w:t>6.1 线性相位FIR数字滤波器性质</w:t>
            </w:r>
          </w:p>
          <w:p>
            <w:pPr>
              <w:adjustRightInd w:val="0"/>
              <w:snapToGrid w:val="0"/>
              <w:spacing w:line="300" w:lineRule="auto"/>
              <w:rPr>
                <w:sz w:val="18"/>
                <w:szCs w:val="18"/>
              </w:rPr>
            </w:pPr>
            <w:r>
              <w:rPr>
                <w:sz w:val="18"/>
                <w:szCs w:val="18"/>
              </w:rPr>
              <w:t>6.2窗口函数法设计FIR数字滤波器</w:t>
            </w:r>
          </w:p>
          <w:p>
            <w:pPr>
              <w:adjustRightInd w:val="0"/>
              <w:snapToGrid w:val="0"/>
              <w:spacing w:line="300" w:lineRule="auto"/>
              <w:rPr>
                <w:sz w:val="18"/>
                <w:szCs w:val="18"/>
              </w:rPr>
            </w:pPr>
            <w:r>
              <w:rPr>
                <w:sz w:val="18"/>
                <w:szCs w:val="18"/>
              </w:rPr>
              <w:t>6.3 频率取样设计法</w:t>
            </w:r>
          </w:p>
          <w:p>
            <w:pPr>
              <w:adjustRightInd w:val="0"/>
              <w:snapToGrid w:val="0"/>
              <w:spacing w:line="300" w:lineRule="auto"/>
              <w:rPr>
                <w:sz w:val="18"/>
                <w:szCs w:val="18"/>
              </w:rPr>
            </w:pPr>
            <w:r>
              <w:rPr>
                <w:sz w:val="18"/>
                <w:szCs w:val="18"/>
              </w:rPr>
              <w:t>6.4 MATLAB应用实例</w:t>
            </w:r>
          </w:p>
        </w:tc>
        <w:tc>
          <w:tcPr>
            <w:tcW w:w="4746"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（1）了解FIR滤波器的幅度特性、零点特性；</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（2）理解设计线性相位滤波器的约束条件；</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 FIR滤波器的线性相位条件；频率采样法设计FIR滤波器的基本原理和方法；窗函数法设计FIR滤波器的基本思想和方法；矩形窗、三角窗、汉宁窗、海明窗、布莱克曼窗、凯塞窗等不同窗的设计特性。</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3.教学方法：启发式授课、案例教学、提问、讨论。</w:t>
            </w:r>
          </w:p>
        </w:tc>
        <w:tc>
          <w:tcPr>
            <w:tcW w:w="447"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888" w:type="dxa"/>
            <w:shd w:val="clear" w:color="auto" w:fill="FFFFFF"/>
            <w:vAlign w:val="center"/>
          </w:tcPr>
          <w:p>
            <w:pPr>
              <w:widowControl/>
              <w:adjustRightInd w:val="0"/>
              <w:snapToGrid w:val="0"/>
              <w:spacing w:line="300" w:lineRule="auto"/>
              <w:jc w:val="center"/>
              <w:rPr>
                <w:kern w:val="0"/>
                <w:sz w:val="18"/>
                <w:szCs w:val="18"/>
              </w:rPr>
            </w:pPr>
            <w:r>
              <w:rPr>
                <w:szCs w:val="21"/>
              </w:rPr>
              <w:t>2，3</w:t>
            </w:r>
          </w:p>
        </w:tc>
      </w:tr>
    </w:tbl>
    <w:p>
      <w:pPr>
        <w:widowControl/>
        <w:tabs>
          <w:tab w:val="left" w:pos="426"/>
          <w:tab w:val="left" w:pos="5245"/>
          <w:tab w:val="left" w:pos="5387"/>
        </w:tabs>
        <w:spacing w:line="300" w:lineRule="auto"/>
        <w:ind w:firstLine="420" w:firstLineChars="200"/>
        <w:rPr>
          <w:kern w:val="0"/>
          <w:szCs w:val="20"/>
        </w:rPr>
      </w:pPr>
      <w:r>
        <w:t>实验内容见表4。</w:t>
      </w:r>
    </w:p>
    <w:p>
      <w:pPr>
        <w:widowControl/>
        <w:adjustRightInd w:val="0"/>
        <w:snapToGrid w:val="0"/>
        <w:spacing w:before="156" w:beforeLines="50" w:line="300" w:lineRule="auto"/>
        <w:jc w:val="center"/>
        <w:rPr>
          <w:b/>
          <w:kern w:val="0"/>
          <w:sz w:val="18"/>
          <w:szCs w:val="18"/>
        </w:rPr>
      </w:pPr>
      <w:r>
        <w:rPr>
          <w:b/>
          <w:kern w:val="0"/>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938"/>
        <w:gridCol w:w="2629"/>
        <w:gridCol w:w="691"/>
        <w:gridCol w:w="691"/>
        <w:gridCol w:w="691"/>
        <w:gridCol w:w="69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59"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序号</w:t>
            </w:r>
          </w:p>
        </w:tc>
        <w:tc>
          <w:tcPr>
            <w:tcW w:w="1938"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实验项目名称</w:t>
            </w:r>
          </w:p>
        </w:tc>
        <w:tc>
          <w:tcPr>
            <w:tcW w:w="2629"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目的要求</w:t>
            </w:r>
          </w:p>
        </w:tc>
        <w:tc>
          <w:tcPr>
            <w:tcW w:w="691"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学时分配</w:t>
            </w:r>
          </w:p>
        </w:tc>
        <w:tc>
          <w:tcPr>
            <w:tcW w:w="691"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实验类型</w:t>
            </w:r>
          </w:p>
        </w:tc>
        <w:tc>
          <w:tcPr>
            <w:tcW w:w="691"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每组人数</w:t>
            </w:r>
          </w:p>
        </w:tc>
        <w:tc>
          <w:tcPr>
            <w:tcW w:w="691" w:type="dxa"/>
            <w:vAlign w:val="center"/>
          </w:tcPr>
          <w:p>
            <w:pPr>
              <w:widowControl/>
              <w:tabs>
                <w:tab w:val="left" w:pos="426"/>
                <w:tab w:val="left" w:pos="5245"/>
                <w:tab w:val="left" w:pos="5387"/>
              </w:tabs>
              <w:adjustRightInd w:val="0"/>
              <w:snapToGrid w:val="0"/>
              <w:spacing w:line="300" w:lineRule="auto"/>
              <w:jc w:val="center"/>
              <w:rPr>
                <w:b/>
                <w:kern w:val="0"/>
                <w:sz w:val="18"/>
                <w:szCs w:val="18"/>
              </w:rPr>
            </w:pPr>
            <w:r>
              <w:rPr>
                <w:b/>
                <w:kern w:val="0"/>
                <w:sz w:val="18"/>
                <w:szCs w:val="18"/>
              </w:rPr>
              <w:t>必开选开</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5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1938" w:type="dxa"/>
            <w:vAlign w:val="center"/>
          </w:tcPr>
          <w:p>
            <w:pPr>
              <w:widowControl/>
              <w:tabs>
                <w:tab w:val="left" w:pos="426"/>
                <w:tab w:val="left" w:pos="5245"/>
                <w:tab w:val="left" w:pos="5387"/>
              </w:tabs>
              <w:adjustRightInd w:val="0"/>
              <w:snapToGrid w:val="0"/>
              <w:spacing w:line="300" w:lineRule="auto"/>
              <w:ind w:left="-105" w:leftChars="-50" w:right="-105" w:rightChars="-50"/>
              <w:jc w:val="center"/>
              <w:rPr>
                <w:kern w:val="0"/>
                <w:sz w:val="18"/>
                <w:szCs w:val="18"/>
              </w:rPr>
            </w:pPr>
            <w:r>
              <w:rPr>
                <w:kern w:val="0"/>
                <w:sz w:val="18"/>
                <w:szCs w:val="18"/>
              </w:rPr>
              <w:t>离散时间信号频域分析</w:t>
            </w:r>
          </w:p>
        </w:tc>
        <w:tc>
          <w:tcPr>
            <w:tcW w:w="262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掌握离散时间信号分析方法，完成MATLAB仿真</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5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1938" w:type="dxa"/>
            <w:vAlign w:val="center"/>
          </w:tcPr>
          <w:p>
            <w:pPr>
              <w:widowControl/>
              <w:tabs>
                <w:tab w:val="left" w:pos="426"/>
                <w:tab w:val="left" w:pos="5245"/>
                <w:tab w:val="left" w:pos="5387"/>
              </w:tabs>
              <w:adjustRightInd w:val="0"/>
              <w:snapToGrid w:val="0"/>
              <w:spacing w:line="300" w:lineRule="auto"/>
              <w:ind w:left="-105" w:leftChars="-50" w:right="-105" w:rightChars="-50"/>
              <w:jc w:val="center"/>
              <w:rPr>
                <w:kern w:val="0"/>
                <w:sz w:val="18"/>
                <w:szCs w:val="18"/>
              </w:rPr>
            </w:pPr>
            <w:r>
              <w:rPr>
                <w:kern w:val="0"/>
                <w:sz w:val="18"/>
                <w:szCs w:val="18"/>
              </w:rPr>
              <w:t>离散傅里叶变换及快速算法</w:t>
            </w:r>
          </w:p>
        </w:tc>
        <w:tc>
          <w:tcPr>
            <w:tcW w:w="262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完成傅里叶变换及快速算法MATLAB仿真</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691" w:type="dxa"/>
            <w:vAlign w:val="center"/>
          </w:tcPr>
          <w:p>
            <w:pPr>
              <w:adjustRightInd w:val="0"/>
              <w:snapToGrid w:val="0"/>
              <w:spacing w:line="300" w:lineRule="auto"/>
              <w:jc w:val="cente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5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3</w:t>
            </w:r>
          </w:p>
        </w:tc>
        <w:tc>
          <w:tcPr>
            <w:tcW w:w="1938" w:type="dxa"/>
            <w:vAlign w:val="center"/>
          </w:tcPr>
          <w:p>
            <w:pPr>
              <w:widowControl/>
              <w:tabs>
                <w:tab w:val="left" w:pos="426"/>
                <w:tab w:val="left" w:pos="5245"/>
                <w:tab w:val="left" w:pos="5387"/>
              </w:tabs>
              <w:adjustRightInd w:val="0"/>
              <w:snapToGrid w:val="0"/>
              <w:spacing w:line="300" w:lineRule="auto"/>
              <w:ind w:left="-105" w:leftChars="-50" w:right="-105" w:rightChars="-50"/>
              <w:jc w:val="center"/>
              <w:rPr>
                <w:kern w:val="0"/>
                <w:sz w:val="18"/>
                <w:szCs w:val="18"/>
              </w:rPr>
            </w:pPr>
            <w:r>
              <w:rPr>
                <w:kern w:val="0"/>
                <w:sz w:val="18"/>
                <w:szCs w:val="18"/>
              </w:rPr>
              <w:t>IIR数字滤波器的设计</w:t>
            </w:r>
          </w:p>
        </w:tc>
        <w:tc>
          <w:tcPr>
            <w:tcW w:w="262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掌握IIR数字滤波器的设计方法，完成MATLAB仿真</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691" w:type="dxa"/>
            <w:vAlign w:val="center"/>
          </w:tcPr>
          <w:p>
            <w:pPr>
              <w:adjustRightInd w:val="0"/>
              <w:snapToGrid w:val="0"/>
              <w:spacing w:line="300" w:lineRule="auto"/>
              <w:jc w:val="cente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65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4</w:t>
            </w:r>
          </w:p>
        </w:tc>
        <w:tc>
          <w:tcPr>
            <w:tcW w:w="1938" w:type="dxa"/>
            <w:vAlign w:val="center"/>
          </w:tcPr>
          <w:p>
            <w:pPr>
              <w:widowControl/>
              <w:tabs>
                <w:tab w:val="left" w:pos="426"/>
                <w:tab w:val="left" w:pos="5245"/>
                <w:tab w:val="left" w:pos="5387"/>
              </w:tabs>
              <w:adjustRightInd w:val="0"/>
              <w:snapToGrid w:val="0"/>
              <w:spacing w:line="300" w:lineRule="auto"/>
              <w:ind w:left="-105" w:leftChars="-50" w:right="-105" w:rightChars="-50"/>
              <w:jc w:val="center"/>
              <w:rPr>
                <w:kern w:val="0"/>
                <w:sz w:val="18"/>
                <w:szCs w:val="18"/>
              </w:rPr>
            </w:pPr>
            <w:r>
              <w:rPr>
                <w:kern w:val="0"/>
                <w:sz w:val="18"/>
                <w:szCs w:val="18"/>
              </w:rPr>
              <w:t>FIR数字滤波器的设计</w:t>
            </w:r>
          </w:p>
        </w:tc>
        <w:tc>
          <w:tcPr>
            <w:tcW w:w="262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掌握FIR数字滤波器的设计方法，完成MATLAB仿真</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综合</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691"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691" w:type="dxa"/>
            <w:vAlign w:val="center"/>
          </w:tcPr>
          <w:p>
            <w:pPr>
              <w:adjustRightInd w:val="0"/>
              <w:snapToGrid w:val="0"/>
              <w:spacing w:line="300" w:lineRule="auto"/>
              <w:jc w:val="center"/>
            </w:pPr>
            <w:r>
              <w:rPr>
                <w:kern w:val="0"/>
                <w:sz w:val="18"/>
                <w:szCs w:val="18"/>
              </w:rPr>
              <w:t>1，2</w:t>
            </w:r>
          </w:p>
        </w:tc>
      </w:tr>
    </w:tbl>
    <w:p>
      <w:pPr>
        <w:widowControl/>
        <w:adjustRightInd w:val="0"/>
        <w:snapToGrid w:val="0"/>
        <w:spacing w:before="156" w:beforeLines="50" w:line="300" w:lineRule="auto"/>
        <w:ind w:firstLine="420" w:firstLineChars="200"/>
        <w:jc w:val="left"/>
        <w:rPr>
          <w:kern w:val="0"/>
          <w:szCs w:val="21"/>
        </w:rPr>
      </w:pPr>
      <w:r>
        <w:rPr>
          <w:kern w:val="0"/>
          <w:szCs w:val="21"/>
        </w:rPr>
        <w:t>实验报告撰写要求</w:t>
      </w:r>
    </w:p>
    <w:p>
      <w:pPr>
        <w:widowControl/>
        <w:adjustRightInd w:val="0"/>
        <w:snapToGrid w:val="0"/>
        <w:spacing w:line="300" w:lineRule="auto"/>
        <w:ind w:firstLine="420" w:firstLineChars="200"/>
        <w:rPr>
          <w:kern w:val="0"/>
          <w:szCs w:val="21"/>
        </w:rPr>
      </w:pPr>
      <w:r>
        <w:rPr>
          <w:kern w:val="0"/>
          <w:szCs w:val="21"/>
        </w:rPr>
        <w:t>学生要提交的实验报告包括纸质版和电子版，纸质版A4打印。实验报告包括原理说明、实验记录和实验总结三项内容：</w:t>
      </w:r>
    </w:p>
    <w:p>
      <w:pPr>
        <w:widowControl/>
        <w:adjustRightInd w:val="0"/>
        <w:snapToGrid w:val="0"/>
        <w:spacing w:line="300" w:lineRule="auto"/>
        <w:ind w:firstLine="420" w:firstLineChars="200"/>
        <w:jc w:val="left"/>
        <w:rPr>
          <w:kern w:val="0"/>
          <w:szCs w:val="21"/>
        </w:rPr>
      </w:pPr>
      <w:r>
        <w:rPr>
          <w:kern w:val="0"/>
          <w:szCs w:val="21"/>
        </w:rPr>
        <w:t>（1）实验原理要写明实验目的、要求、实验步骤等提纲；</w:t>
      </w:r>
    </w:p>
    <w:p>
      <w:pPr>
        <w:widowControl/>
        <w:adjustRightInd w:val="0"/>
        <w:snapToGrid w:val="0"/>
        <w:spacing w:line="300" w:lineRule="auto"/>
        <w:ind w:firstLine="420" w:firstLineChars="200"/>
        <w:jc w:val="left"/>
        <w:rPr>
          <w:kern w:val="0"/>
          <w:szCs w:val="21"/>
        </w:rPr>
      </w:pPr>
      <w:r>
        <w:rPr>
          <w:kern w:val="0"/>
          <w:szCs w:val="21"/>
        </w:rPr>
        <w:t>（2）实验记录包括实验结果和实验过程中出现的问题和解决方案；</w:t>
      </w:r>
    </w:p>
    <w:p>
      <w:pPr>
        <w:widowControl/>
        <w:adjustRightInd w:val="0"/>
        <w:snapToGrid w:val="0"/>
        <w:spacing w:line="300" w:lineRule="auto"/>
        <w:ind w:firstLine="420" w:firstLineChars="200"/>
        <w:rPr>
          <w:kern w:val="0"/>
          <w:szCs w:val="21"/>
        </w:rPr>
      </w:pPr>
      <w:r>
        <w:rPr>
          <w:kern w:val="0"/>
          <w:szCs w:val="21"/>
        </w:rPr>
        <w:t>（3）实验报告对实验数据、结果、实验过程中出现的问题等进行解释、分析、总结，根据实验结论提出对实验改进的途径和方案。</w:t>
      </w:r>
    </w:p>
    <w:p>
      <w:pPr>
        <w:snapToGrid w:val="0"/>
        <w:spacing w:before="156" w:beforeLines="50" w:after="156" w:afterLines="50" w:line="300" w:lineRule="auto"/>
        <w:ind w:firstLine="482" w:firstLineChars="200"/>
        <w:rPr>
          <w:b/>
          <w:sz w:val="24"/>
        </w:rPr>
      </w:pPr>
      <w:r>
        <w:rPr>
          <w:b/>
          <w:sz w:val="24"/>
        </w:rPr>
        <w:t>五、课程考核及成绩评定</w:t>
      </w:r>
    </w:p>
    <w:p>
      <w:pPr>
        <w:widowControl/>
        <w:adjustRightInd w:val="0"/>
        <w:snapToGrid w:val="0"/>
        <w:spacing w:line="300" w:lineRule="auto"/>
        <w:ind w:firstLine="420" w:firstLineChars="200"/>
        <w:jc w:val="left"/>
        <w:rPr>
          <w:kern w:val="0"/>
          <w:szCs w:val="21"/>
        </w:rPr>
      </w:pPr>
      <w:r>
        <w:rPr>
          <w:kern w:val="0"/>
          <w:szCs w:val="21"/>
        </w:rPr>
        <w:t>1.考核方式：课堂表现（考勤、回答问题等）、习题作业、实验和考试。</w:t>
      </w:r>
    </w:p>
    <w:p>
      <w:pPr>
        <w:widowControl/>
        <w:adjustRightInd w:val="0"/>
        <w:snapToGrid w:val="0"/>
        <w:spacing w:line="300" w:lineRule="auto"/>
        <w:ind w:firstLine="420" w:firstLineChars="200"/>
        <w:jc w:val="left"/>
        <w:rPr>
          <w:kern w:val="0"/>
          <w:szCs w:val="21"/>
        </w:rPr>
      </w:pPr>
      <w:r>
        <w:rPr>
          <w:kern w:val="0"/>
          <w:szCs w:val="21"/>
        </w:rPr>
        <w:t>2.考核成绩组成：课堂表现成绩10 %+作业成绩10 %+实验成绩10%+期末成绩70 %。</w:t>
      </w:r>
    </w:p>
    <w:p>
      <w:pPr>
        <w:widowControl/>
        <w:adjustRightInd w:val="0"/>
        <w:snapToGrid w:val="0"/>
        <w:spacing w:line="300" w:lineRule="auto"/>
        <w:ind w:firstLine="420" w:firstLineChars="200"/>
        <w:jc w:val="left"/>
        <w:rPr>
          <w:kern w:val="0"/>
          <w:szCs w:val="21"/>
        </w:rPr>
      </w:pPr>
      <w:r>
        <w:rPr>
          <w:kern w:val="0"/>
          <w:szCs w:val="21"/>
        </w:rPr>
        <w:t>3.考核评价标准如表5所示：</w:t>
      </w:r>
    </w:p>
    <w:p>
      <w:pPr>
        <w:widowControl/>
        <w:adjustRightInd w:val="0"/>
        <w:snapToGrid w:val="0"/>
        <w:spacing w:before="156" w:beforeLines="50" w:line="300" w:lineRule="auto"/>
        <w:jc w:val="center"/>
        <w:rPr>
          <w:b/>
          <w:kern w:val="0"/>
          <w:szCs w:val="21"/>
        </w:rPr>
      </w:pPr>
      <w:r>
        <w:rPr>
          <w:b/>
          <w:kern w:val="0"/>
          <w:sz w:val="18"/>
          <w:szCs w:val="18"/>
        </w:rPr>
        <w:t>表5教学目标评价标准</w:t>
      </w:r>
    </w:p>
    <w:tbl>
      <w:tblPr>
        <w:tblStyle w:val="22"/>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580"/>
        <w:gridCol w:w="610"/>
        <w:gridCol w:w="740"/>
        <w:gridCol w:w="670"/>
        <w:gridCol w:w="3480"/>
        <w:gridCol w:w="101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pPr>
              <w:jc w:val="center"/>
              <w:rPr>
                <w:b/>
                <w:bCs/>
                <w:sz w:val="18"/>
                <w:szCs w:val="18"/>
              </w:rPr>
            </w:pPr>
            <w:r>
              <w:rPr>
                <w:b/>
                <w:bCs/>
                <w:sz w:val="18"/>
                <w:szCs w:val="18"/>
              </w:rPr>
              <w:t>成绩</w:t>
            </w:r>
          </w:p>
          <w:p>
            <w:pPr>
              <w:jc w:val="center"/>
              <w:rPr>
                <w:sz w:val="18"/>
                <w:szCs w:val="18"/>
              </w:rPr>
            </w:pPr>
            <w:r>
              <w:rPr>
                <w:b/>
                <w:bCs/>
                <w:sz w:val="18"/>
                <w:szCs w:val="18"/>
              </w:rPr>
              <w:t>类型</w:t>
            </w:r>
          </w:p>
        </w:tc>
        <w:tc>
          <w:tcPr>
            <w:tcW w:w="580" w:type="dxa"/>
            <w:vAlign w:val="center"/>
          </w:tcPr>
          <w:p>
            <w:pPr>
              <w:rPr>
                <w:b/>
                <w:sz w:val="18"/>
                <w:szCs w:val="18"/>
              </w:rPr>
            </w:pPr>
            <w:r>
              <w:rPr>
                <w:b/>
                <w:sz w:val="18"/>
                <w:szCs w:val="18"/>
              </w:rPr>
              <w:t>分值</w:t>
            </w:r>
          </w:p>
        </w:tc>
        <w:tc>
          <w:tcPr>
            <w:tcW w:w="610" w:type="dxa"/>
            <w:vAlign w:val="center"/>
          </w:tcPr>
          <w:p>
            <w:pPr>
              <w:rPr>
                <w:b/>
                <w:sz w:val="18"/>
                <w:szCs w:val="18"/>
              </w:rPr>
            </w:pPr>
            <w:r>
              <w:rPr>
                <w:b/>
                <w:sz w:val="18"/>
                <w:szCs w:val="18"/>
              </w:rPr>
              <w:t>权重</w:t>
            </w:r>
          </w:p>
        </w:tc>
        <w:tc>
          <w:tcPr>
            <w:tcW w:w="740" w:type="dxa"/>
            <w:vAlign w:val="center"/>
          </w:tcPr>
          <w:p>
            <w:pPr>
              <w:jc w:val="center"/>
              <w:rPr>
                <w:b/>
                <w:sz w:val="18"/>
                <w:szCs w:val="18"/>
              </w:rPr>
            </w:pPr>
            <w:r>
              <w:rPr>
                <w:b/>
                <w:sz w:val="18"/>
                <w:szCs w:val="18"/>
              </w:rPr>
              <w:t>类别</w:t>
            </w:r>
          </w:p>
        </w:tc>
        <w:tc>
          <w:tcPr>
            <w:tcW w:w="670" w:type="dxa"/>
            <w:vAlign w:val="center"/>
          </w:tcPr>
          <w:p>
            <w:pPr>
              <w:jc w:val="center"/>
              <w:rPr>
                <w:sz w:val="18"/>
                <w:szCs w:val="18"/>
              </w:rPr>
            </w:pPr>
            <w:r>
              <w:rPr>
                <w:b/>
                <w:sz w:val="18"/>
                <w:szCs w:val="18"/>
              </w:rPr>
              <w:t>权重</w:t>
            </w:r>
          </w:p>
        </w:tc>
        <w:tc>
          <w:tcPr>
            <w:tcW w:w="3480" w:type="dxa"/>
            <w:vAlign w:val="center"/>
          </w:tcPr>
          <w:p>
            <w:pPr>
              <w:snapToGrid w:val="0"/>
              <w:spacing w:line="300" w:lineRule="auto"/>
              <w:jc w:val="center"/>
              <w:rPr>
                <w:b/>
                <w:bCs/>
                <w:sz w:val="18"/>
                <w:szCs w:val="18"/>
              </w:rPr>
            </w:pPr>
            <w:r>
              <w:rPr>
                <w:b/>
                <w:bCs/>
                <w:sz w:val="18"/>
                <w:szCs w:val="18"/>
              </w:rPr>
              <w:t>考核/评价细则</w:t>
            </w:r>
          </w:p>
        </w:tc>
        <w:tc>
          <w:tcPr>
            <w:tcW w:w="1010" w:type="dxa"/>
            <w:vAlign w:val="center"/>
          </w:tcPr>
          <w:p>
            <w:pPr>
              <w:snapToGrid w:val="0"/>
              <w:spacing w:line="300" w:lineRule="auto"/>
              <w:jc w:val="center"/>
              <w:rPr>
                <w:b/>
                <w:bCs/>
                <w:sz w:val="18"/>
                <w:szCs w:val="18"/>
              </w:rPr>
            </w:pPr>
            <w:r>
              <w:rPr>
                <w:b/>
                <w:bCs/>
                <w:sz w:val="18"/>
                <w:szCs w:val="18"/>
              </w:rPr>
              <w:t>课程目标</w:t>
            </w:r>
          </w:p>
        </w:tc>
        <w:tc>
          <w:tcPr>
            <w:tcW w:w="950" w:type="dxa"/>
            <w:vAlign w:val="center"/>
          </w:tcPr>
          <w:p>
            <w:pPr>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45" w:type="dxa"/>
            <w:vMerge w:val="restart"/>
            <w:vAlign w:val="center"/>
          </w:tcPr>
          <w:p>
            <w:pPr>
              <w:jc w:val="center"/>
              <w:rPr>
                <w:sz w:val="18"/>
                <w:szCs w:val="18"/>
              </w:rPr>
            </w:pPr>
            <w:r>
              <w:rPr>
                <w:sz w:val="18"/>
                <w:szCs w:val="18"/>
              </w:rPr>
              <w:t>平时</w:t>
            </w:r>
          </w:p>
          <w:p>
            <w:pPr>
              <w:jc w:val="center"/>
              <w:rPr>
                <w:sz w:val="18"/>
                <w:szCs w:val="18"/>
              </w:rPr>
            </w:pPr>
            <w:r>
              <w:rPr>
                <w:sz w:val="18"/>
                <w:szCs w:val="18"/>
              </w:rPr>
              <w:t>成绩</w:t>
            </w:r>
          </w:p>
        </w:tc>
        <w:tc>
          <w:tcPr>
            <w:tcW w:w="580" w:type="dxa"/>
            <w:vMerge w:val="restart"/>
            <w:vAlign w:val="center"/>
          </w:tcPr>
          <w:p>
            <w:pPr>
              <w:jc w:val="center"/>
              <w:rPr>
                <w:sz w:val="18"/>
                <w:szCs w:val="18"/>
              </w:rPr>
            </w:pPr>
            <w:r>
              <w:rPr>
                <w:sz w:val="18"/>
                <w:szCs w:val="18"/>
              </w:rPr>
              <w:t>100</w:t>
            </w:r>
          </w:p>
        </w:tc>
        <w:tc>
          <w:tcPr>
            <w:tcW w:w="610" w:type="dxa"/>
            <w:vMerge w:val="restart"/>
            <w:vAlign w:val="center"/>
          </w:tcPr>
          <w:p>
            <w:pPr>
              <w:jc w:val="center"/>
              <w:rPr>
                <w:sz w:val="18"/>
                <w:szCs w:val="18"/>
              </w:rPr>
            </w:pPr>
            <w:r>
              <w:rPr>
                <w:sz w:val="18"/>
                <w:szCs w:val="18"/>
              </w:rPr>
              <w:t>0.3</w:t>
            </w:r>
          </w:p>
        </w:tc>
        <w:tc>
          <w:tcPr>
            <w:tcW w:w="740" w:type="dxa"/>
            <w:vAlign w:val="center"/>
          </w:tcPr>
          <w:p>
            <w:pPr>
              <w:jc w:val="center"/>
              <w:rPr>
                <w:sz w:val="18"/>
                <w:szCs w:val="18"/>
              </w:rPr>
            </w:pPr>
            <w:r>
              <w:rPr>
                <w:sz w:val="18"/>
                <w:szCs w:val="18"/>
              </w:rPr>
              <w:t>课堂表现</w:t>
            </w:r>
          </w:p>
        </w:tc>
        <w:tc>
          <w:tcPr>
            <w:tcW w:w="670" w:type="dxa"/>
            <w:vAlign w:val="center"/>
          </w:tcPr>
          <w:p>
            <w:pPr>
              <w:jc w:val="center"/>
              <w:rPr>
                <w:sz w:val="18"/>
                <w:szCs w:val="18"/>
              </w:rPr>
            </w:pPr>
            <w:r>
              <w:rPr>
                <w:sz w:val="18"/>
                <w:szCs w:val="18"/>
              </w:rPr>
              <w:t>0.2</w:t>
            </w:r>
          </w:p>
        </w:tc>
        <w:tc>
          <w:tcPr>
            <w:tcW w:w="3480" w:type="dxa"/>
            <w:vAlign w:val="center"/>
          </w:tcPr>
          <w:p>
            <w:pPr>
              <w:jc w:val="left"/>
              <w:rPr>
                <w:sz w:val="18"/>
                <w:szCs w:val="18"/>
              </w:rPr>
            </w:pPr>
            <w:r>
              <w:rPr>
                <w:sz w:val="18"/>
                <w:szCs w:val="18"/>
              </w:rPr>
              <w:t>每次课堂考勤按20分制单独评分，取各次成绩的平均值作为课堂表现成绩</w:t>
            </w:r>
          </w:p>
        </w:tc>
        <w:tc>
          <w:tcPr>
            <w:tcW w:w="1010" w:type="dxa"/>
            <w:vAlign w:val="center"/>
          </w:tcPr>
          <w:p>
            <w:pPr>
              <w:jc w:val="center"/>
              <w:rPr>
                <w:sz w:val="18"/>
                <w:szCs w:val="18"/>
              </w:rPr>
            </w:pPr>
            <w:r>
              <w:rPr>
                <w:sz w:val="18"/>
                <w:szCs w:val="18"/>
              </w:rPr>
              <w:t>1，2，3</w:t>
            </w:r>
          </w:p>
        </w:tc>
        <w:tc>
          <w:tcPr>
            <w:tcW w:w="950" w:type="dxa"/>
            <w:vAlign w:val="center"/>
          </w:tcPr>
          <w:p>
            <w:pPr>
              <w:jc w:val="center"/>
              <w:rPr>
                <w:sz w:val="18"/>
                <w:szCs w:val="18"/>
              </w:rPr>
            </w:pPr>
            <w:r>
              <w:rPr>
                <w:rFonts w:hint="eastAsia"/>
                <w:sz w:val="18"/>
                <w:szCs w:val="18"/>
              </w:rPr>
              <w:t>1.1，2.1，3.1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vAlign w:val="center"/>
          </w:tcPr>
          <w:p>
            <w:pPr>
              <w:jc w:val="center"/>
              <w:rPr>
                <w:sz w:val="18"/>
                <w:szCs w:val="18"/>
              </w:rPr>
            </w:pPr>
          </w:p>
        </w:tc>
        <w:tc>
          <w:tcPr>
            <w:tcW w:w="580" w:type="dxa"/>
            <w:vMerge w:val="continue"/>
            <w:vAlign w:val="center"/>
          </w:tcPr>
          <w:p>
            <w:pPr>
              <w:jc w:val="center"/>
              <w:rPr>
                <w:sz w:val="18"/>
                <w:szCs w:val="18"/>
              </w:rPr>
            </w:pPr>
          </w:p>
        </w:tc>
        <w:tc>
          <w:tcPr>
            <w:tcW w:w="610" w:type="dxa"/>
            <w:vMerge w:val="continue"/>
            <w:vAlign w:val="center"/>
          </w:tcPr>
          <w:p>
            <w:pPr>
              <w:jc w:val="center"/>
              <w:rPr>
                <w:sz w:val="18"/>
                <w:szCs w:val="18"/>
              </w:rPr>
            </w:pPr>
          </w:p>
        </w:tc>
        <w:tc>
          <w:tcPr>
            <w:tcW w:w="740" w:type="dxa"/>
            <w:vAlign w:val="center"/>
          </w:tcPr>
          <w:p>
            <w:pPr>
              <w:jc w:val="center"/>
              <w:rPr>
                <w:sz w:val="18"/>
                <w:szCs w:val="18"/>
              </w:rPr>
            </w:pPr>
            <w:r>
              <w:rPr>
                <w:sz w:val="18"/>
                <w:szCs w:val="18"/>
              </w:rPr>
              <w:t>作业</w:t>
            </w:r>
          </w:p>
        </w:tc>
        <w:tc>
          <w:tcPr>
            <w:tcW w:w="670" w:type="dxa"/>
            <w:vAlign w:val="center"/>
          </w:tcPr>
          <w:p>
            <w:pPr>
              <w:jc w:val="center"/>
              <w:rPr>
                <w:sz w:val="18"/>
                <w:szCs w:val="18"/>
              </w:rPr>
            </w:pPr>
            <w:r>
              <w:rPr>
                <w:sz w:val="18"/>
                <w:szCs w:val="18"/>
              </w:rPr>
              <w:t>0.4</w:t>
            </w:r>
          </w:p>
        </w:tc>
        <w:tc>
          <w:tcPr>
            <w:tcW w:w="3480" w:type="dxa"/>
            <w:vAlign w:val="center"/>
          </w:tcPr>
          <w:p>
            <w:pPr>
              <w:jc w:val="left"/>
              <w:rPr>
                <w:sz w:val="18"/>
                <w:szCs w:val="18"/>
              </w:rPr>
            </w:pPr>
            <w:r>
              <w:rPr>
                <w:sz w:val="18"/>
                <w:szCs w:val="18"/>
              </w:rPr>
              <w:t>主要考核学生对每章节知识点的理解和掌握程度；每次作业按40分制单独评分，取各次成绩的平均值作为书面作业成绩</w:t>
            </w:r>
          </w:p>
        </w:tc>
        <w:tc>
          <w:tcPr>
            <w:tcW w:w="1010" w:type="dxa"/>
            <w:vAlign w:val="center"/>
          </w:tcPr>
          <w:p>
            <w:pPr>
              <w:jc w:val="center"/>
              <w:rPr>
                <w:sz w:val="18"/>
                <w:szCs w:val="18"/>
              </w:rPr>
            </w:pPr>
            <w:r>
              <w:rPr>
                <w:sz w:val="18"/>
                <w:szCs w:val="18"/>
              </w:rPr>
              <w:t>1，2，3</w:t>
            </w:r>
          </w:p>
        </w:tc>
        <w:tc>
          <w:tcPr>
            <w:tcW w:w="950" w:type="dxa"/>
            <w:vAlign w:val="center"/>
          </w:tcPr>
          <w:p>
            <w:pPr>
              <w:jc w:val="center"/>
              <w:rPr>
                <w:sz w:val="18"/>
                <w:szCs w:val="18"/>
              </w:rPr>
            </w:pPr>
            <w:r>
              <w:rPr>
                <w:rFonts w:hint="eastAsia"/>
                <w:sz w:val="18"/>
                <w:szCs w:val="18"/>
              </w:rPr>
              <w:t>1.1，2.1，3.1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45" w:type="dxa"/>
            <w:vMerge w:val="continue"/>
            <w:vAlign w:val="center"/>
          </w:tcPr>
          <w:p>
            <w:pPr>
              <w:jc w:val="center"/>
              <w:rPr>
                <w:sz w:val="18"/>
                <w:szCs w:val="18"/>
              </w:rPr>
            </w:pPr>
          </w:p>
        </w:tc>
        <w:tc>
          <w:tcPr>
            <w:tcW w:w="580" w:type="dxa"/>
            <w:vMerge w:val="continue"/>
            <w:vAlign w:val="center"/>
          </w:tcPr>
          <w:p>
            <w:pPr>
              <w:jc w:val="center"/>
              <w:rPr>
                <w:sz w:val="18"/>
                <w:szCs w:val="18"/>
              </w:rPr>
            </w:pPr>
          </w:p>
        </w:tc>
        <w:tc>
          <w:tcPr>
            <w:tcW w:w="610" w:type="dxa"/>
            <w:vMerge w:val="continue"/>
            <w:vAlign w:val="center"/>
          </w:tcPr>
          <w:p>
            <w:pPr>
              <w:jc w:val="center"/>
              <w:rPr>
                <w:sz w:val="18"/>
                <w:szCs w:val="18"/>
              </w:rPr>
            </w:pPr>
          </w:p>
        </w:tc>
        <w:tc>
          <w:tcPr>
            <w:tcW w:w="740" w:type="dxa"/>
            <w:vAlign w:val="center"/>
          </w:tcPr>
          <w:p>
            <w:pPr>
              <w:jc w:val="center"/>
              <w:rPr>
                <w:sz w:val="18"/>
                <w:szCs w:val="18"/>
              </w:rPr>
            </w:pPr>
            <w:r>
              <w:rPr>
                <w:sz w:val="18"/>
                <w:szCs w:val="18"/>
              </w:rPr>
              <w:t>实验</w:t>
            </w:r>
          </w:p>
        </w:tc>
        <w:tc>
          <w:tcPr>
            <w:tcW w:w="670" w:type="dxa"/>
            <w:vAlign w:val="center"/>
          </w:tcPr>
          <w:p>
            <w:pPr>
              <w:jc w:val="center"/>
              <w:rPr>
                <w:sz w:val="18"/>
                <w:szCs w:val="18"/>
              </w:rPr>
            </w:pPr>
            <w:r>
              <w:rPr>
                <w:sz w:val="18"/>
                <w:szCs w:val="18"/>
              </w:rPr>
              <w:t>0.4</w:t>
            </w:r>
          </w:p>
        </w:tc>
        <w:tc>
          <w:tcPr>
            <w:tcW w:w="3480" w:type="dxa"/>
            <w:vAlign w:val="center"/>
          </w:tcPr>
          <w:p>
            <w:pPr>
              <w:jc w:val="left"/>
              <w:rPr>
                <w:sz w:val="18"/>
                <w:szCs w:val="18"/>
              </w:rPr>
            </w:pPr>
            <w:r>
              <w:rPr>
                <w:sz w:val="18"/>
                <w:szCs w:val="18"/>
              </w:rPr>
              <w:t>根据实验完成质量，以及实验报告质量评分；每次实验按40分制单独评分，取各次成绩的平均值作为实验成绩</w:t>
            </w:r>
          </w:p>
        </w:tc>
        <w:tc>
          <w:tcPr>
            <w:tcW w:w="1010" w:type="dxa"/>
            <w:vAlign w:val="center"/>
          </w:tcPr>
          <w:p>
            <w:pPr>
              <w:jc w:val="center"/>
              <w:rPr>
                <w:sz w:val="18"/>
                <w:szCs w:val="18"/>
              </w:rPr>
            </w:pPr>
            <w:r>
              <w:rPr>
                <w:sz w:val="18"/>
                <w:szCs w:val="18"/>
              </w:rPr>
              <w:t>2，3</w:t>
            </w:r>
          </w:p>
        </w:tc>
        <w:tc>
          <w:tcPr>
            <w:tcW w:w="950" w:type="dxa"/>
            <w:vAlign w:val="center"/>
          </w:tcPr>
          <w:p>
            <w:pPr>
              <w:jc w:val="center"/>
              <w:rPr>
                <w:sz w:val="18"/>
                <w:szCs w:val="18"/>
              </w:rPr>
            </w:pPr>
            <w:r>
              <w:rPr>
                <w:rFonts w:hint="eastAsia"/>
                <w:sz w:val="18"/>
                <w:szCs w:val="18"/>
              </w:rPr>
              <w:t>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45" w:type="dxa"/>
            <w:vAlign w:val="center"/>
          </w:tcPr>
          <w:p>
            <w:pPr>
              <w:jc w:val="center"/>
              <w:rPr>
                <w:sz w:val="18"/>
                <w:szCs w:val="18"/>
              </w:rPr>
            </w:pPr>
            <w:r>
              <w:rPr>
                <w:sz w:val="18"/>
                <w:szCs w:val="18"/>
              </w:rPr>
              <w:t>期末</w:t>
            </w:r>
          </w:p>
          <w:p>
            <w:pPr>
              <w:jc w:val="center"/>
              <w:rPr>
                <w:sz w:val="18"/>
                <w:szCs w:val="18"/>
              </w:rPr>
            </w:pPr>
            <w:r>
              <w:rPr>
                <w:sz w:val="18"/>
                <w:szCs w:val="18"/>
              </w:rPr>
              <w:t>考试</w:t>
            </w:r>
          </w:p>
          <w:p>
            <w:pPr>
              <w:jc w:val="center"/>
              <w:rPr>
                <w:sz w:val="18"/>
                <w:szCs w:val="18"/>
              </w:rPr>
            </w:pPr>
            <w:r>
              <w:rPr>
                <w:sz w:val="18"/>
                <w:szCs w:val="18"/>
              </w:rPr>
              <w:t>成绩</w:t>
            </w:r>
          </w:p>
        </w:tc>
        <w:tc>
          <w:tcPr>
            <w:tcW w:w="580" w:type="dxa"/>
            <w:vAlign w:val="center"/>
          </w:tcPr>
          <w:p>
            <w:pPr>
              <w:jc w:val="center"/>
              <w:rPr>
                <w:sz w:val="18"/>
                <w:szCs w:val="18"/>
              </w:rPr>
            </w:pPr>
            <w:r>
              <w:rPr>
                <w:sz w:val="18"/>
                <w:szCs w:val="18"/>
              </w:rPr>
              <w:t>100</w:t>
            </w:r>
          </w:p>
        </w:tc>
        <w:tc>
          <w:tcPr>
            <w:tcW w:w="610" w:type="dxa"/>
            <w:vAlign w:val="center"/>
          </w:tcPr>
          <w:p>
            <w:pPr>
              <w:jc w:val="center"/>
              <w:rPr>
                <w:sz w:val="18"/>
                <w:szCs w:val="18"/>
              </w:rPr>
            </w:pPr>
            <w:r>
              <w:rPr>
                <w:sz w:val="18"/>
                <w:szCs w:val="18"/>
              </w:rPr>
              <w:t>0.7</w:t>
            </w:r>
          </w:p>
        </w:tc>
        <w:tc>
          <w:tcPr>
            <w:tcW w:w="740" w:type="dxa"/>
            <w:vAlign w:val="center"/>
          </w:tcPr>
          <w:p>
            <w:pPr>
              <w:rPr>
                <w:sz w:val="18"/>
                <w:szCs w:val="18"/>
              </w:rPr>
            </w:pPr>
            <w:r>
              <w:rPr>
                <w:sz w:val="18"/>
                <w:szCs w:val="18"/>
              </w:rPr>
              <w:t>闭卷考试</w:t>
            </w:r>
          </w:p>
        </w:tc>
        <w:tc>
          <w:tcPr>
            <w:tcW w:w="670" w:type="dxa"/>
            <w:vAlign w:val="center"/>
          </w:tcPr>
          <w:p>
            <w:pPr>
              <w:jc w:val="center"/>
              <w:rPr>
                <w:sz w:val="18"/>
                <w:szCs w:val="18"/>
              </w:rPr>
            </w:pPr>
            <w:r>
              <w:rPr>
                <w:sz w:val="18"/>
                <w:szCs w:val="18"/>
              </w:rPr>
              <w:t>1</w:t>
            </w:r>
          </w:p>
        </w:tc>
        <w:tc>
          <w:tcPr>
            <w:tcW w:w="3480" w:type="dxa"/>
            <w:vAlign w:val="center"/>
          </w:tcPr>
          <w:p>
            <w:pPr>
              <w:rPr>
                <w:sz w:val="18"/>
                <w:szCs w:val="18"/>
              </w:rPr>
            </w:pPr>
            <w:r>
              <w:rPr>
                <w:sz w:val="18"/>
                <w:szCs w:val="18"/>
              </w:rPr>
              <w:t>卷面成绩100分，卷面成绩按比例计入课程总评成绩</w:t>
            </w:r>
          </w:p>
        </w:tc>
        <w:tc>
          <w:tcPr>
            <w:tcW w:w="1010" w:type="dxa"/>
            <w:vAlign w:val="center"/>
          </w:tcPr>
          <w:p>
            <w:pPr>
              <w:jc w:val="center"/>
              <w:rPr>
                <w:sz w:val="18"/>
                <w:szCs w:val="18"/>
              </w:rPr>
            </w:pPr>
            <w:r>
              <w:rPr>
                <w:sz w:val="18"/>
                <w:szCs w:val="18"/>
              </w:rPr>
              <w:t>1，2，3</w:t>
            </w:r>
          </w:p>
        </w:tc>
        <w:tc>
          <w:tcPr>
            <w:tcW w:w="950" w:type="dxa"/>
            <w:vAlign w:val="center"/>
          </w:tcPr>
          <w:p>
            <w:pPr>
              <w:jc w:val="center"/>
              <w:rPr>
                <w:sz w:val="18"/>
                <w:szCs w:val="18"/>
              </w:rPr>
            </w:pPr>
            <w:r>
              <w:rPr>
                <w:rFonts w:hint="eastAsia"/>
                <w:sz w:val="18"/>
                <w:szCs w:val="18"/>
              </w:rPr>
              <w:t>1.1，2.1，3.1</w:t>
            </w:r>
          </w:p>
        </w:tc>
      </w:tr>
    </w:tbl>
    <w:p>
      <w:pPr>
        <w:snapToGrid w:val="0"/>
        <w:spacing w:before="156" w:beforeLines="50" w:after="156" w:afterLines="50" w:line="300" w:lineRule="auto"/>
        <w:ind w:firstLine="482" w:firstLineChars="200"/>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rPr>
          <w:rFonts w:hint="eastAsia"/>
          <w:szCs w:val="21"/>
        </w:rPr>
        <w:t>评价依据和方法</w:t>
      </w:r>
      <w:r>
        <w:rPr>
          <w:szCs w:val="21"/>
        </w:rPr>
        <w:t>：</w:t>
      </w:r>
    </w:p>
    <w:p>
      <w:pPr>
        <w:snapToGrid w:val="0"/>
        <w:spacing w:before="6" w:line="300" w:lineRule="auto"/>
        <w:ind w:right="270" w:firstLine="420" w:firstLineChars="200"/>
        <w:rPr>
          <w:szCs w:val="21"/>
        </w:rPr>
      </w:pPr>
      <w:r>
        <w:rPr>
          <w:szCs w:val="21"/>
        </w:rPr>
        <w:t>课程目标评价方式：课程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公式如</w:t>
      </w:r>
      <w:r>
        <w:rPr>
          <w:szCs w:val="21"/>
        </w:rPr>
        <w:t>下：</w:t>
      </w:r>
    </w:p>
    <w:p>
      <w:pPr>
        <w:snapToGrid w:val="0"/>
        <w:spacing w:line="300" w:lineRule="auto"/>
        <w:ind w:left="661"/>
      </w:pPr>
      <w:r>
        <w:rPr>
          <w:rFonts w:hint="eastAsia"/>
          <w:position w:val="-16"/>
        </w:rPr>
        <w:object>
          <v:shape id="_x0000_i1083"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083" DrawAspect="Content" ObjectID="_1468075782" r:id="rId95">
            <o:LockedField>false</o:LockedField>
          </o:OLEObject>
        </w:object>
      </w:r>
    </w:p>
    <w:p>
      <w:pPr>
        <w:snapToGrid w:val="0"/>
        <w:spacing w:before="70" w:line="300"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为3</w:t>
      </w:r>
      <w:r>
        <w:rPr>
          <w:spacing w:val="-2"/>
          <w:position w:val="-1"/>
          <w:szCs w:val="21"/>
        </w:rPr>
        <w:t>个</w:t>
      </w:r>
      <w:r>
        <w:rPr>
          <w:position w:val="-1"/>
          <w:szCs w:val="21"/>
        </w:rPr>
        <w:t>课程分</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napToGrid w:val="0"/>
        <w:spacing w:before="72" w:line="300" w:lineRule="auto"/>
        <w:ind w:right="-20"/>
        <w:jc w:val="center"/>
        <w:rPr>
          <w:szCs w:val="21"/>
        </w:rPr>
      </w:pPr>
      <w:r>
        <w:rPr>
          <w:rFonts w:hint="eastAsia"/>
          <w:position w:val="-10"/>
        </w:rPr>
        <w:object>
          <v:shape id="_x0000_i1084" o:spt="75" type="#_x0000_t75" style="height:24pt;width:246pt;" o:ole="t" filled="f" o:preferrelative="t" stroked="f" coordsize="21600,21600">
            <v:path/>
            <v:fill on="f" focussize="0,0"/>
            <v:stroke on="f" joinstyle="miter"/>
            <v:imagedata r:id="rId59" o:title=""/>
            <o:lock v:ext="edit" aspectratio="t"/>
            <w10:wrap type="none"/>
            <w10:anchorlock/>
          </v:shape>
          <o:OLEObject Type="Embed" ProgID="Equation.DSMT4" ShapeID="_x0000_i1084" DrawAspect="Content" ObjectID="_1468075783" r:id="rId96">
            <o:LockedField>false</o:LockedField>
          </o:OLEObject>
        </w:object>
      </w:r>
    </w:p>
    <w:p>
      <w:pPr>
        <w:snapToGrid w:val="0"/>
        <w:spacing w:line="300" w:lineRule="auto"/>
      </w:pPr>
      <w:r>
        <w:t>其中权重系数按照表6设定。</w:t>
      </w:r>
    </w:p>
    <w:p>
      <w:pPr>
        <w:widowControl/>
        <w:adjustRightInd w:val="0"/>
        <w:snapToGrid w:val="0"/>
        <w:spacing w:before="156" w:beforeLines="50" w:line="300" w:lineRule="auto"/>
        <w:jc w:val="center"/>
        <w:rPr>
          <w:b/>
          <w:kern w:val="0"/>
          <w:sz w:val="18"/>
          <w:szCs w:val="18"/>
        </w:rPr>
      </w:pPr>
      <w:r>
        <w:rPr>
          <w:b/>
          <w:kern w:val="0"/>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2083"/>
        <w:gridCol w:w="2083"/>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2" w:type="dxa"/>
          </w:tcPr>
          <w:p>
            <w:pPr>
              <w:spacing w:line="288" w:lineRule="exact"/>
              <w:ind w:right="-20"/>
              <w:jc w:val="center"/>
              <w:rPr>
                <w:b/>
                <w:sz w:val="18"/>
                <w:szCs w:val="18"/>
              </w:rPr>
            </w:pPr>
            <w:r>
              <w:rPr>
                <w:b/>
                <w:sz w:val="18"/>
                <w:szCs w:val="18"/>
              </w:rPr>
              <w:t>课程目标</w:t>
            </w:r>
          </w:p>
        </w:tc>
        <w:tc>
          <w:tcPr>
            <w:tcW w:w="2083" w:type="dxa"/>
          </w:tcPr>
          <w:p>
            <w:pPr>
              <w:spacing w:line="288" w:lineRule="exact"/>
              <w:ind w:right="-20"/>
              <w:jc w:val="center"/>
              <w:rPr>
                <w:sz w:val="18"/>
                <w:szCs w:val="18"/>
              </w:rPr>
            </w:pPr>
            <w:r>
              <w:rPr>
                <w:sz w:val="18"/>
                <w:szCs w:val="18"/>
              </w:rPr>
              <w:t>1</w:t>
            </w:r>
          </w:p>
        </w:tc>
        <w:tc>
          <w:tcPr>
            <w:tcW w:w="2083" w:type="dxa"/>
          </w:tcPr>
          <w:p>
            <w:pPr>
              <w:spacing w:line="288" w:lineRule="exact"/>
              <w:ind w:right="-20"/>
              <w:jc w:val="center"/>
              <w:rPr>
                <w:sz w:val="18"/>
                <w:szCs w:val="18"/>
              </w:rPr>
            </w:pPr>
            <w:r>
              <w:rPr>
                <w:sz w:val="18"/>
                <w:szCs w:val="18"/>
              </w:rPr>
              <w:t>2</w:t>
            </w:r>
          </w:p>
        </w:tc>
        <w:tc>
          <w:tcPr>
            <w:tcW w:w="2083" w:type="dxa"/>
          </w:tcPr>
          <w:p>
            <w:pPr>
              <w:spacing w:line="288" w:lineRule="exact"/>
              <w:ind w:right="-2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2" w:type="dxa"/>
          </w:tcPr>
          <w:p>
            <w:pPr>
              <w:spacing w:line="288" w:lineRule="exact"/>
              <w:ind w:right="-20"/>
              <w:jc w:val="center"/>
              <w:rPr>
                <w:b/>
                <w:sz w:val="18"/>
                <w:szCs w:val="18"/>
              </w:rPr>
            </w:pPr>
            <w:r>
              <w:rPr>
                <w:b/>
                <w:sz w:val="18"/>
                <w:szCs w:val="18"/>
              </w:rPr>
              <w:t>权重系数</w:t>
            </w:r>
          </w:p>
        </w:tc>
        <w:tc>
          <w:tcPr>
            <w:tcW w:w="2083" w:type="dxa"/>
          </w:tcPr>
          <w:p>
            <w:pPr>
              <w:spacing w:line="288" w:lineRule="exact"/>
              <w:ind w:right="-20"/>
              <w:jc w:val="center"/>
              <w:rPr>
                <w:sz w:val="18"/>
                <w:szCs w:val="18"/>
              </w:rPr>
            </w:pPr>
            <w:r>
              <w:rPr>
                <w:sz w:val="18"/>
                <w:szCs w:val="18"/>
              </w:rPr>
              <w:t>0.4</w:t>
            </w:r>
          </w:p>
        </w:tc>
        <w:tc>
          <w:tcPr>
            <w:tcW w:w="2083" w:type="dxa"/>
          </w:tcPr>
          <w:p>
            <w:pPr>
              <w:spacing w:line="288" w:lineRule="exact"/>
              <w:ind w:right="-20"/>
              <w:jc w:val="center"/>
              <w:rPr>
                <w:sz w:val="18"/>
                <w:szCs w:val="18"/>
              </w:rPr>
            </w:pPr>
            <w:r>
              <w:rPr>
                <w:sz w:val="18"/>
                <w:szCs w:val="18"/>
              </w:rPr>
              <w:t>0.4</w:t>
            </w:r>
          </w:p>
        </w:tc>
        <w:tc>
          <w:tcPr>
            <w:tcW w:w="2083" w:type="dxa"/>
          </w:tcPr>
          <w:p>
            <w:pPr>
              <w:spacing w:line="288" w:lineRule="exact"/>
              <w:ind w:right="-20"/>
              <w:jc w:val="center"/>
              <w:rPr>
                <w:sz w:val="18"/>
                <w:szCs w:val="18"/>
              </w:rPr>
            </w:pPr>
            <w:r>
              <w:rPr>
                <w:sz w:val="18"/>
                <w:szCs w:val="18"/>
              </w:rPr>
              <w:t>0.2</w:t>
            </w:r>
          </w:p>
        </w:tc>
      </w:tr>
    </w:tbl>
    <w:p>
      <w:pPr>
        <w:spacing w:before="9" w:line="40" w:lineRule="exact"/>
        <w:rPr>
          <w:sz w:val="4"/>
          <w:szCs w:val="4"/>
          <w:highlight w:val="yellow"/>
        </w:rPr>
      </w:pPr>
    </w:p>
    <w:p>
      <w:pPr>
        <w:snapToGrid w:val="0"/>
        <w:spacing w:line="300" w:lineRule="auto"/>
        <w:ind w:firstLine="420" w:firstLineChars="200"/>
        <w:rPr>
          <w:szCs w:val="21"/>
        </w:rPr>
      </w:pPr>
      <w:r>
        <w:rPr>
          <w:szCs w:val="21"/>
        </w:rPr>
        <w:t>课程毕业要求指标点达成情况评价：</w:t>
      </w:r>
    </w:p>
    <w:p>
      <w:pPr>
        <w:snapToGrid w:val="0"/>
        <w:spacing w:line="300" w:lineRule="auto"/>
        <w:ind w:firstLine="420" w:firstLineChars="200"/>
        <w:rPr>
          <w:szCs w:val="21"/>
        </w:rPr>
      </w:pPr>
      <w:r>
        <w:rPr>
          <w:szCs w:val="21"/>
        </w:rPr>
        <w:t>课程支撑毕业要求指标点的达成情况为对应的课程目标达成情况的加权值，其计算公式为：</w:t>
      </w:r>
    </w:p>
    <w:p>
      <w:pPr>
        <w:snapToGrid w:val="0"/>
        <w:spacing w:line="300" w:lineRule="auto"/>
        <w:ind w:firstLine="420" w:firstLineChars="200"/>
        <w:jc w:val="center"/>
        <w:rPr>
          <w:szCs w:val="21"/>
        </w:rPr>
      </w:pPr>
      <w:r>
        <w:rPr>
          <w:rFonts w:hint="eastAsia"/>
          <w:position w:val="-10"/>
        </w:rPr>
        <w:object>
          <v:shape id="_x0000_i1085" o:spt="75" type="#_x0000_t75" style="height:26.25pt;width:316.5pt;" o:ole="t" filled="f" o:preferrelative="t" stroked="f" coordsize="21600,21600">
            <v:path/>
            <v:fill on="f" focussize="0,0"/>
            <v:stroke on="f" joinstyle="miter"/>
            <v:imagedata r:id="rId61" o:title=""/>
            <o:lock v:ext="edit" aspectratio="t"/>
            <w10:wrap type="none"/>
            <w10:anchorlock/>
          </v:shape>
          <o:OLEObject Type="Embed" ProgID="Equation.DSMT4" ShapeID="_x0000_i1085" DrawAspect="Content" ObjectID="_1468075784" r:id="rId97">
            <o:LockedField>false</o:LockedField>
          </o:OLEObject>
        </w:object>
      </w:r>
    </w:p>
    <w:p>
      <w:pPr>
        <w:snapToGrid w:val="0"/>
        <w:spacing w:line="300" w:lineRule="auto"/>
        <w:ind w:firstLine="420" w:firstLineChars="200"/>
        <w:rPr>
          <w:szCs w:val="21"/>
        </w:rPr>
      </w:pPr>
      <w:r>
        <w:rPr>
          <w:szCs w:val="21"/>
        </w:rPr>
        <w:t>2．课程总结要求：</w:t>
      </w:r>
    </w:p>
    <w:p>
      <w:pPr>
        <w:snapToGrid w:val="0"/>
        <w:spacing w:line="300" w:lineRule="auto"/>
        <w:ind w:firstLine="420" w:firstLineChars="200"/>
        <w:rPr>
          <w:rFonts w:ascii="Times New Roman" w:hAnsi="Times New Roman"/>
          <w:szCs w:val="21"/>
        </w:rPr>
      </w:pPr>
      <w:r>
        <w:rPr>
          <w:szCs w:val="21"/>
          <w:shd w:val="clear" w:color="auto" w:fill="FFFFFF"/>
        </w:rPr>
        <w:t> </w:t>
      </w: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ind w:firstLine="482" w:firstLineChars="200"/>
        <w:rPr>
          <w:rFonts w:ascii="Times New Roman" w:hAnsi="Times New Roman"/>
          <w:b/>
          <w:sz w:val="24"/>
        </w:rPr>
      </w:pPr>
      <w:r>
        <w:rPr>
          <w:rFonts w:ascii="Times New Roman" w:hAnsi="Times New Roman"/>
          <w:b/>
          <w:sz w:val="24"/>
        </w:rPr>
        <w:t>七、教材及参考资料</w:t>
      </w:r>
    </w:p>
    <w:p>
      <w:pPr>
        <w:spacing w:line="360" w:lineRule="exact"/>
        <w:ind w:firstLine="420" w:firstLineChars="200"/>
        <w:jc w:val="left"/>
        <w:rPr>
          <w:rFonts w:ascii="Times New Roman" w:hAnsi="Times New Roman"/>
          <w:szCs w:val="21"/>
        </w:rPr>
      </w:pPr>
      <w:r>
        <w:rPr>
          <w:rFonts w:ascii="Times New Roman" w:hAnsi="Times New Roman"/>
          <w:szCs w:val="21"/>
        </w:rPr>
        <w:t>1. 教材</w:t>
      </w:r>
    </w:p>
    <w:p>
      <w:pPr>
        <w:numPr>
          <w:ilvl w:val="0"/>
          <w:numId w:val="38"/>
        </w:numPr>
        <w:snapToGrid w:val="0"/>
        <w:spacing w:line="300" w:lineRule="auto"/>
        <w:jc w:val="left"/>
        <w:rPr>
          <w:rFonts w:ascii="Times New Roman" w:hAnsi="Times New Roman"/>
        </w:rPr>
      </w:pPr>
      <w:r>
        <w:rPr>
          <w:rFonts w:ascii="Times New Roman" w:hAnsi="Times New Roman"/>
        </w:rPr>
        <w:t>陈纯锴，龙帮强等编，数字信号处理基础教程[M]，北京</w:t>
      </w:r>
      <w:r>
        <w:rPr>
          <w:rFonts w:ascii="Times New Roman" w:hAnsi="Times New Roman"/>
          <w:b/>
          <w:szCs w:val="21"/>
        </w:rPr>
        <w:t>：</w:t>
      </w:r>
      <w:r>
        <w:rPr>
          <w:rFonts w:ascii="Times New Roman" w:hAnsi="Times New Roman"/>
        </w:rPr>
        <w:t>清华大学出版社，2018年。</w:t>
      </w:r>
    </w:p>
    <w:p>
      <w:pPr>
        <w:spacing w:line="360" w:lineRule="exact"/>
        <w:ind w:firstLine="420" w:firstLineChars="200"/>
        <w:jc w:val="left"/>
        <w:rPr>
          <w:rFonts w:ascii="Times New Roman" w:hAnsi="Times New Roman"/>
          <w:szCs w:val="21"/>
        </w:rPr>
      </w:pPr>
      <w:r>
        <w:rPr>
          <w:rFonts w:ascii="Times New Roman" w:hAnsi="Times New Roman"/>
          <w:szCs w:val="21"/>
        </w:rPr>
        <w:t>2. 参考资料：</w:t>
      </w:r>
    </w:p>
    <w:p>
      <w:pPr>
        <w:numPr>
          <w:ilvl w:val="0"/>
          <w:numId w:val="39"/>
        </w:numPr>
        <w:snapToGrid w:val="0"/>
        <w:spacing w:line="300" w:lineRule="auto"/>
        <w:jc w:val="left"/>
        <w:rPr>
          <w:rFonts w:ascii="Times New Roman" w:hAnsi="Times New Roman"/>
        </w:rPr>
      </w:pPr>
      <w:r>
        <w:rPr>
          <w:rFonts w:ascii="Times New Roman" w:hAnsi="Times New Roman"/>
          <w:bCs/>
        </w:rPr>
        <w:t>吴镇扬，数字信号处理[M]，北京：高等教育出版社出版，2004年9月。</w:t>
      </w:r>
    </w:p>
    <w:p>
      <w:pPr>
        <w:numPr>
          <w:ilvl w:val="0"/>
          <w:numId w:val="39"/>
        </w:numPr>
        <w:snapToGrid w:val="0"/>
        <w:spacing w:line="300" w:lineRule="auto"/>
        <w:jc w:val="left"/>
        <w:rPr>
          <w:rFonts w:ascii="Times New Roman" w:hAnsi="Times New Roman"/>
        </w:rPr>
      </w:pPr>
      <w:r>
        <w:rPr>
          <w:rFonts w:ascii="Times New Roman" w:hAnsi="Times New Roman"/>
          <w:bCs/>
        </w:rPr>
        <w:t>丁玉美，数字信号处理[M]，西安：电子科技大学出版社，2001年。</w:t>
      </w:r>
    </w:p>
    <w:p>
      <w:pPr>
        <w:spacing w:line="360" w:lineRule="exact"/>
        <w:ind w:firstLine="420" w:firstLineChars="200"/>
        <w:jc w:val="left"/>
        <w:rPr>
          <w:rFonts w:ascii="Times New Roman" w:hAnsi="Times New Roman"/>
          <w:szCs w:val="21"/>
        </w:rPr>
      </w:pPr>
      <w:r>
        <w:rPr>
          <w:rFonts w:ascii="Times New Roman" w:hAnsi="Times New Roman"/>
          <w:szCs w:val="21"/>
        </w:rPr>
        <w:t>3. 网站</w:t>
      </w:r>
    </w:p>
    <w:p>
      <w:pPr>
        <w:numPr>
          <w:ilvl w:val="0"/>
          <w:numId w:val="40"/>
        </w:numPr>
        <w:snapToGrid w:val="0"/>
        <w:spacing w:line="300" w:lineRule="auto"/>
        <w:jc w:val="left"/>
        <w:rPr>
          <w:rFonts w:ascii="Times New Roman" w:hAnsi="Times New Roman"/>
        </w:rPr>
      </w:pPr>
      <w:r>
        <w:fldChar w:fldCharType="begin"/>
      </w:r>
      <w:r>
        <w:instrText xml:space="preserve"> HYPERLINK "http://www.tup.com.cn" </w:instrText>
      </w:r>
      <w:r>
        <w:fldChar w:fldCharType="separate"/>
      </w:r>
      <w:r>
        <w:rPr>
          <w:rFonts w:ascii="Times New Roman" w:hAnsi="Times New Roman"/>
          <w:u w:val="single"/>
        </w:rPr>
        <w:t>http://www.tup.com.cn</w:t>
      </w:r>
      <w:r>
        <w:rPr>
          <w:rFonts w:ascii="Times New Roman" w:hAnsi="Times New Roman"/>
          <w:u w:val="single"/>
        </w:rPr>
        <w:fldChar w:fldCharType="end"/>
      </w:r>
      <w:r>
        <w:rPr>
          <w:rFonts w:ascii="Times New Roman" w:hAnsi="Times New Roman"/>
          <w:szCs w:val="21"/>
        </w:rPr>
        <w:t xml:space="preserve">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tc>
      </w:tr>
      <w:bookmarkEnd w:id="106"/>
    </w:tbl>
    <w:p>
      <w:pPr>
        <w:widowControl/>
        <w:jc w:val="left"/>
        <w:rPr>
          <w:rFonts w:ascii="Times New Roman" w:hAnsi="Times New Roman" w:eastAsia="宋体" w:cs="Times New Roman"/>
          <w:b/>
          <w:sz w:val="32"/>
        </w:rPr>
      </w:pPr>
      <w:bookmarkStart w:id="107" w:name="_Toc62651731"/>
      <w:r>
        <w:rPr>
          <w:rFonts w:ascii="Times New Roman" w:hAnsi="Times New Roman" w:eastAsia="宋体" w:cs="Times New Roman"/>
          <w:b/>
          <w:sz w:val="32"/>
        </w:rPr>
        <w:br w:type="page"/>
      </w:r>
    </w:p>
    <w:p>
      <w:pPr>
        <w:keepNext/>
        <w:keepLines/>
        <w:spacing w:before="260" w:after="260" w:line="413" w:lineRule="auto"/>
        <w:jc w:val="center"/>
        <w:outlineLvl w:val="2"/>
        <w:rPr>
          <w:rFonts w:ascii="Times New Roman" w:hAnsi="Times New Roman" w:eastAsia="宋体" w:cs="Times New Roman"/>
          <w:b/>
          <w:sz w:val="32"/>
        </w:rPr>
      </w:pPr>
      <w:bookmarkStart w:id="108" w:name="_Toc6926"/>
      <w:r>
        <w:rPr>
          <w:rFonts w:ascii="Times New Roman" w:hAnsi="Times New Roman" w:eastAsia="宋体" w:cs="Times New Roman"/>
          <w:b/>
          <w:sz w:val="32"/>
        </w:rPr>
        <w:t>33442004《信息论与编码》课程教学大纲</w:t>
      </w:r>
      <w:bookmarkEnd w:id="107"/>
      <w:bookmarkEnd w:id="10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097"/>
        <w:gridCol w:w="1189"/>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vAlign w:val="center"/>
          </w:tcPr>
          <w:p>
            <w:pPr>
              <w:jc w:val="center"/>
              <w:rPr>
                <w:kern w:val="0"/>
                <w:szCs w:val="21"/>
              </w:rPr>
            </w:pPr>
            <w:r>
              <w:rPr>
                <w:kern w:val="0"/>
                <w:szCs w:val="21"/>
              </w:rPr>
              <w:t>课程编号</w:t>
            </w:r>
          </w:p>
        </w:tc>
        <w:tc>
          <w:tcPr>
            <w:tcW w:w="3097" w:type="dxa"/>
            <w:vAlign w:val="center"/>
          </w:tcPr>
          <w:p>
            <w:pPr>
              <w:jc w:val="center"/>
              <w:rPr>
                <w:kern w:val="0"/>
                <w:szCs w:val="21"/>
              </w:rPr>
            </w:pPr>
            <w:r>
              <w:rPr>
                <w:bCs/>
                <w:kern w:val="0"/>
                <w:szCs w:val="21"/>
              </w:rPr>
              <w:t>33442004</w:t>
            </w:r>
          </w:p>
        </w:tc>
        <w:tc>
          <w:tcPr>
            <w:tcW w:w="1189" w:type="dxa"/>
            <w:vAlign w:val="center"/>
          </w:tcPr>
          <w:p>
            <w:pPr>
              <w:jc w:val="center"/>
              <w:rPr>
                <w:kern w:val="0"/>
                <w:szCs w:val="21"/>
              </w:rPr>
            </w:pPr>
            <w:r>
              <w:rPr>
                <w:kern w:val="0"/>
                <w:szCs w:val="21"/>
              </w:rPr>
              <w:t>课程名称</w:t>
            </w:r>
          </w:p>
        </w:tc>
        <w:tc>
          <w:tcPr>
            <w:tcW w:w="3047" w:type="dxa"/>
            <w:vAlign w:val="center"/>
          </w:tcPr>
          <w:p>
            <w:pPr>
              <w:jc w:val="center"/>
              <w:rPr>
                <w:kern w:val="0"/>
                <w:szCs w:val="21"/>
              </w:rPr>
            </w:pPr>
            <w:r>
              <w:rPr>
                <w:szCs w:val="21"/>
              </w:rPr>
              <w:t>信息论与编码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vAlign w:val="center"/>
          </w:tcPr>
          <w:p>
            <w:pPr>
              <w:jc w:val="center"/>
              <w:rPr>
                <w:kern w:val="0"/>
                <w:szCs w:val="21"/>
              </w:rPr>
            </w:pPr>
            <w:r>
              <w:rPr>
                <w:kern w:val="0"/>
                <w:szCs w:val="21"/>
              </w:rPr>
              <w:t>课程性质</w:t>
            </w:r>
            <w:r>
              <w:rPr>
                <w:kern w:val="0"/>
                <w:sz w:val="20"/>
                <w:szCs w:val="20"/>
              </w:rPr>
              <w:t>*</w:t>
            </w:r>
          </w:p>
        </w:tc>
        <w:tc>
          <w:tcPr>
            <w:tcW w:w="3097" w:type="dxa"/>
            <w:vAlign w:val="center"/>
          </w:tcPr>
          <w:p>
            <w:pPr>
              <w:jc w:val="center"/>
              <w:rPr>
                <w:kern w:val="0"/>
                <w:szCs w:val="21"/>
              </w:rPr>
            </w:pPr>
            <w:r>
              <w:rPr>
                <w:kern w:val="0"/>
                <w:szCs w:val="21"/>
              </w:rPr>
              <w:t>专业基础类</w:t>
            </w:r>
          </w:p>
        </w:tc>
        <w:tc>
          <w:tcPr>
            <w:tcW w:w="1189" w:type="dxa"/>
            <w:vAlign w:val="center"/>
          </w:tcPr>
          <w:p>
            <w:pPr>
              <w:jc w:val="center"/>
              <w:rPr>
                <w:kern w:val="0"/>
                <w:szCs w:val="21"/>
              </w:rPr>
            </w:pPr>
            <w:r>
              <w:rPr>
                <w:kern w:val="0"/>
                <w:szCs w:val="21"/>
              </w:rPr>
              <w:t>英文名称</w:t>
            </w:r>
          </w:p>
        </w:tc>
        <w:tc>
          <w:tcPr>
            <w:tcW w:w="3047" w:type="dxa"/>
            <w:vAlign w:val="center"/>
          </w:tcPr>
          <w:p>
            <w:pPr>
              <w:jc w:val="center"/>
              <w:rPr>
                <w:bCs/>
                <w:kern w:val="0"/>
                <w:szCs w:val="21"/>
              </w:rPr>
            </w:pPr>
            <w:r>
              <w:rPr>
                <w:szCs w:val="21"/>
              </w:rPr>
              <w:t>Information Theory and 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vAlign w:val="center"/>
          </w:tcPr>
          <w:p>
            <w:pPr>
              <w:jc w:val="center"/>
              <w:rPr>
                <w:kern w:val="0"/>
                <w:szCs w:val="21"/>
              </w:rPr>
            </w:pPr>
            <w:r>
              <w:rPr>
                <w:kern w:val="0"/>
                <w:szCs w:val="21"/>
              </w:rPr>
              <w:t>学分学时</w:t>
            </w:r>
          </w:p>
        </w:tc>
        <w:tc>
          <w:tcPr>
            <w:tcW w:w="3097" w:type="dxa"/>
            <w:vAlign w:val="center"/>
          </w:tcPr>
          <w:p>
            <w:pPr>
              <w:jc w:val="center"/>
              <w:rPr>
                <w:kern w:val="0"/>
                <w:szCs w:val="21"/>
              </w:rPr>
            </w:pPr>
            <w:r>
              <w:rPr>
                <w:bCs/>
                <w:kern w:val="0"/>
                <w:szCs w:val="21"/>
              </w:rPr>
              <w:t>2.5</w:t>
            </w:r>
            <w:r>
              <w:rPr>
                <w:szCs w:val="21"/>
              </w:rPr>
              <w:t xml:space="preserve"> </w:t>
            </w:r>
            <w:r>
              <w:rPr>
                <w:kern w:val="0"/>
                <w:szCs w:val="21"/>
              </w:rPr>
              <w:t>: 40（8）</w:t>
            </w:r>
          </w:p>
        </w:tc>
        <w:tc>
          <w:tcPr>
            <w:tcW w:w="1189" w:type="dxa"/>
            <w:vAlign w:val="center"/>
          </w:tcPr>
          <w:p>
            <w:pPr>
              <w:jc w:val="center"/>
              <w:rPr>
                <w:kern w:val="0"/>
                <w:szCs w:val="21"/>
              </w:rPr>
            </w:pPr>
            <w:r>
              <w:rPr>
                <w:kern w:val="0"/>
                <w:szCs w:val="21"/>
              </w:rPr>
              <w:t>任课教师</w:t>
            </w:r>
          </w:p>
        </w:tc>
        <w:tc>
          <w:tcPr>
            <w:tcW w:w="3047" w:type="dxa"/>
            <w:vAlign w:val="center"/>
          </w:tcPr>
          <w:p>
            <w:pPr>
              <w:jc w:val="center"/>
              <w:rPr>
                <w:kern w:val="0"/>
                <w:szCs w:val="21"/>
              </w:rPr>
            </w:pPr>
            <w:r>
              <w:rPr>
                <w:kern w:val="0"/>
                <w:szCs w:val="21"/>
              </w:rPr>
              <w:t>郭磊、李灿苹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vAlign w:val="center"/>
          </w:tcPr>
          <w:p>
            <w:pPr>
              <w:jc w:val="center"/>
              <w:rPr>
                <w:bCs/>
                <w:kern w:val="0"/>
                <w:szCs w:val="21"/>
              </w:rPr>
            </w:pPr>
            <w:r>
              <w:rPr>
                <w:bCs/>
                <w:kern w:val="0"/>
                <w:szCs w:val="21"/>
              </w:rPr>
              <w:t>企业专家</w:t>
            </w:r>
          </w:p>
        </w:tc>
        <w:tc>
          <w:tcPr>
            <w:tcW w:w="3097" w:type="dxa"/>
            <w:vAlign w:val="center"/>
          </w:tcPr>
          <w:p>
            <w:pPr>
              <w:widowControl/>
              <w:jc w:val="center"/>
              <w:rPr>
                <w:kern w:val="0"/>
                <w:szCs w:val="21"/>
              </w:rPr>
            </w:pPr>
            <w:r>
              <w:rPr>
                <w:kern w:val="0"/>
                <w:szCs w:val="21"/>
              </w:rPr>
              <w:t>曾耿滨</w:t>
            </w:r>
          </w:p>
        </w:tc>
        <w:tc>
          <w:tcPr>
            <w:tcW w:w="1189" w:type="dxa"/>
            <w:vAlign w:val="center"/>
          </w:tcPr>
          <w:p>
            <w:pPr>
              <w:jc w:val="center"/>
              <w:rPr>
                <w:bCs/>
                <w:kern w:val="0"/>
                <w:szCs w:val="21"/>
              </w:rPr>
            </w:pPr>
            <w:r>
              <w:rPr>
                <w:bCs/>
                <w:kern w:val="0"/>
                <w:szCs w:val="21"/>
              </w:rPr>
              <w:t>行业专家</w:t>
            </w:r>
          </w:p>
        </w:tc>
        <w:tc>
          <w:tcPr>
            <w:tcW w:w="3047"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vAlign w:val="center"/>
          </w:tcPr>
          <w:p>
            <w:pPr>
              <w:widowControl/>
              <w:jc w:val="center"/>
              <w:rPr>
                <w:bCs/>
                <w:kern w:val="0"/>
                <w:szCs w:val="21"/>
              </w:rPr>
            </w:pPr>
            <w:r>
              <w:rPr>
                <w:bCs/>
                <w:kern w:val="0"/>
                <w:szCs w:val="21"/>
              </w:rPr>
              <w:t>执笔教师</w:t>
            </w:r>
          </w:p>
        </w:tc>
        <w:tc>
          <w:tcPr>
            <w:tcW w:w="3097" w:type="dxa"/>
            <w:vAlign w:val="center"/>
          </w:tcPr>
          <w:p>
            <w:pPr>
              <w:widowControl/>
              <w:jc w:val="center"/>
              <w:rPr>
                <w:kern w:val="0"/>
                <w:szCs w:val="21"/>
              </w:rPr>
            </w:pPr>
            <w:r>
              <w:rPr>
                <w:kern w:val="0"/>
                <w:szCs w:val="21"/>
              </w:rPr>
              <w:t>郭磊</w:t>
            </w:r>
          </w:p>
        </w:tc>
        <w:tc>
          <w:tcPr>
            <w:tcW w:w="1189" w:type="dxa"/>
            <w:vAlign w:val="center"/>
          </w:tcPr>
          <w:p>
            <w:pPr>
              <w:widowControl/>
              <w:jc w:val="center"/>
              <w:rPr>
                <w:bCs/>
                <w:kern w:val="0"/>
                <w:szCs w:val="21"/>
              </w:rPr>
            </w:pPr>
            <w:r>
              <w:rPr>
                <w:bCs/>
                <w:kern w:val="0"/>
                <w:szCs w:val="21"/>
              </w:rPr>
              <w:t>责任教授</w:t>
            </w:r>
          </w:p>
        </w:tc>
        <w:tc>
          <w:tcPr>
            <w:tcW w:w="3047"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vAlign w:val="center"/>
          </w:tcPr>
          <w:p>
            <w:pPr>
              <w:widowControl/>
              <w:jc w:val="center"/>
              <w:rPr>
                <w:bCs/>
                <w:kern w:val="0"/>
                <w:szCs w:val="21"/>
              </w:rPr>
            </w:pPr>
            <w:r>
              <w:rPr>
                <w:bCs/>
                <w:kern w:val="0"/>
                <w:szCs w:val="21"/>
              </w:rPr>
              <w:t>适用专业</w:t>
            </w:r>
          </w:p>
        </w:tc>
        <w:tc>
          <w:tcPr>
            <w:tcW w:w="3097" w:type="dxa"/>
            <w:vAlign w:val="center"/>
          </w:tcPr>
          <w:p>
            <w:pPr>
              <w:widowControl/>
              <w:jc w:val="center"/>
              <w:rPr>
                <w:kern w:val="0"/>
                <w:szCs w:val="21"/>
              </w:rPr>
            </w:pPr>
            <w:r>
              <w:rPr>
                <w:kern w:val="0"/>
                <w:szCs w:val="21"/>
              </w:rPr>
              <w:t>电子信息工程</w:t>
            </w:r>
          </w:p>
        </w:tc>
        <w:tc>
          <w:tcPr>
            <w:tcW w:w="1189" w:type="dxa"/>
            <w:vAlign w:val="center"/>
          </w:tcPr>
          <w:p>
            <w:pPr>
              <w:widowControl/>
              <w:jc w:val="center"/>
              <w:rPr>
                <w:bCs/>
                <w:kern w:val="0"/>
                <w:szCs w:val="21"/>
              </w:rPr>
            </w:pPr>
            <w:r>
              <w:rPr>
                <w:bCs/>
                <w:kern w:val="0"/>
                <w:szCs w:val="21"/>
              </w:rPr>
              <w:t>适用对象</w:t>
            </w:r>
          </w:p>
        </w:tc>
        <w:tc>
          <w:tcPr>
            <w:tcW w:w="3047"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vAlign w:val="center"/>
          </w:tcPr>
          <w:p>
            <w:pPr>
              <w:jc w:val="center"/>
              <w:rPr>
                <w:b/>
                <w:kern w:val="0"/>
                <w:szCs w:val="21"/>
              </w:rPr>
            </w:pPr>
            <w:r>
              <w:rPr>
                <w:kern w:val="0"/>
                <w:szCs w:val="21"/>
              </w:rPr>
              <w:t>先修课程</w:t>
            </w:r>
          </w:p>
        </w:tc>
        <w:tc>
          <w:tcPr>
            <w:tcW w:w="3097" w:type="dxa"/>
            <w:vAlign w:val="center"/>
          </w:tcPr>
          <w:p>
            <w:pPr>
              <w:widowControl/>
              <w:jc w:val="center"/>
              <w:rPr>
                <w:bCs/>
                <w:kern w:val="0"/>
                <w:szCs w:val="21"/>
              </w:rPr>
            </w:pPr>
            <w:r>
              <w:rPr>
                <w:szCs w:val="21"/>
              </w:rPr>
              <w:t>高等数学、</w:t>
            </w:r>
            <w:r>
              <w:t>线性代数、概率论与数理统计、信号与系统</w:t>
            </w:r>
            <w:r>
              <w:rPr>
                <w:szCs w:val="21"/>
              </w:rPr>
              <w:t>等</w:t>
            </w:r>
          </w:p>
        </w:tc>
        <w:tc>
          <w:tcPr>
            <w:tcW w:w="1189" w:type="dxa"/>
            <w:vAlign w:val="center"/>
          </w:tcPr>
          <w:p>
            <w:pPr>
              <w:snapToGrid w:val="0"/>
              <w:spacing w:line="300" w:lineRule="auto"/>
              <w:jc w:val="center"/>
              <w:rPr>
                <w:b/>
                <w:kern w:val="0"/>
                <w:szCs w:val="21"/>
              </w:rPr>
            </w:pPr>
            <w:r>
              <w:rPr>
                <w:kern w:val="0"/>
                <w:szCs w:val="21"/>
              </w:rPr>
              <w:t>同修课程</w:t>
            </w:r>
          </w:p>
        </w:tc>
        <w:tc>
          <w:tcPr>
            <w:tcW w:w="3047"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vAlign w:val="center"/>
          </w:tcPr>
          <w:p>
            <w:pPr>
              <w:jc w:val="center"/>
              <w:rPr>
                <w:kern w:val="0"/>
                <w:szCs w:val="21"/>
              </w:rPr>
            </w:pPr>
            <w:r>
              <w:rPr>
                <w:kern w:val="0"/>
                <w:szCs w:val="21"/>
              </w:rPr>
              <w:t>排斥课程</w:t>
            </w:r>
          </w:p>
        </w:tc>
        <w:tc>
          <w:tcPr>
            <w:tcW w:w="3097" w:type="dxa"/>
            <w:vAlign w:val="center"/>
          </w:tcPr>
          <w:p>
            <w:pPr>
              <w:widowControl/>
              <w:jc w:val="center"/>
              <w:rPr>
                <w:kern w:val="0"/>
                <w:szCs w:val="21"/>
              </w:rPr>
            </w:pPr>
            <w:r>
              <w:rPr>
                <w:kern w:val="0"/>
                <w:szCs w:val="21"/>
              </w:rPr>
              <w:t>无</w:t>
            </w:r>
          </w:p>
        </w:tc>
        <w:tc>
          <w:tcPr>
            <w:tcW w:w="1189" w:type="dxa"/>
            <w:vAlign w:val="center"/>
          </w:tcPr>
          <w:p>
            <w:pPr>
              <w:snapToGrid w:val="0"/>
              <w:spacing w:line="300" w:lineRule="auto"/>
              <w:jc w:val="center"/>
              <w:rPr>
                <w:kern w:val="0"/>
                <w:szCs w:val="21"/>
              </w:rPr>
            </w:pPr>
            <w:r>
              <w:rPr>
                <w:kern w:val="0"/>
                <w:szCs w:val="21"/>
              </w:rPr>
              <w:t>定稿日期</w:t>
            </w:r>
          </w:p>
        </w:tc>
        <w:tc>
          <w:tcPr>
            <w:tcW w:w="3047"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《信息论与编码》是信息类专业重要的专业基础课之一。该课程主要培养学生如何对信息科学中的可能性和存在性的问题进行研究</w:t>
      </w:r>
      <w:r>
        <w:rPr>
          <w:rFonts w:hint="eastAsia"/>
          <w:szCs w:val="21"/>
        </w:rPr>
        <w:t>的能力</w:t>
      </w:r>
      <w:r>
        <w:rPr>
          <w:szCs w:val="21"/>
        </w:rPr>
        <w:t>。课程重点研究信息论基础和编码理论。信息论与编码是理论性很强的学科，学生需要较好的数学功底。在完成本课程的学习后，学生能够掌握信源和信道的基本理论以及信源编码的基本方法，并为后续的《通信原理》等课程学习奠定理论基础。</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 xml:space="preserve">信息论与编码侧重讲授信息论基础理论和基础的编码理论。通过学习，学生能够熟练计算离散信源的信息量和信息熵、离散序列信源的序列熵以及信源的冗余度；学生能够熟练计算离散单符号信道以及离散序列的信道容量；学生能够熟练计算离散信源的信息率失真函数；学生能够熟练对信源进行简单编码。讲授过程植入抗战时期我党采用的密码趣闻（如：难懂的温州话）以及国内知名密码学者（如山东大学王小云教授破解MD5和SHA-1加密算法）的事迹，旨在培育学生创新精神，使学生的学习能力提升的同时，精神层面也得到升华。本课程的具体教学目标如下： </w:t>
      </w:r>
    </w:p>
    <w:p>
      <w:pPr>
        <w:snapToGrid w:val="0"/>
        <w:spacing w:line="300" w:lineRule="auto"/>
        <w:ind w:firstLine="420" w:firstLineChars="200"/>
        <w:rPr>
          <w:szCs w:val="21"/>
        </w:rPr>
      </w:pPr>
      <w:r>
        <w:rPr>
          <w:szCs w:val="21"/>
        </w:rPr>
        <w:t>1．掌握信息论与编码的基本概念并将其应用与后续专业知识的学习中。具体为：学生能够界定出信息论学科的发展阶段并指出它的研究内容；描述通信系统的模型；列举信息论的应用。学生能够分类信源的类型；归纳不同信源的数学模型；对信道进行分类；归纳不同信道的数学模型；复述信息率失真函数的概念；区别信源编码和信道编码的概念。[1.2]</w:t>
      </w:r>
    </w:p>
    <w:p>
      <w:pPr>
        <w:snapToGrid w:val="0"/>
        <w:spacing w:line="300" w:lineRule="auto"/>
        <w:ind w:firstLine="420" w:firstLineChars="200"/>
        <w:rPr>
          <w:szCs w:val="21"/>
        </w:rPr>
      </w:pPr>
      <w:r>
        <w:rPr>
          <w:szCs w:val="21"/>
        </w:rPr>
        <w:t xml:space="preserve">2．掌握信息论与编码的基本理论以及计算方法和常用的编译码方式，从而对通信过程中信息的产生、发送、传输以及编译码进行识别、表达和分析，并获得有效结论。具体为：学生能够计算离散信源熵和互信息；计算离散序列信源的熵；计算离散单个符号信道的信道容量；计算离散序列的信道容量；熟练运用无失真信源编码定理以及限失真信源编码定理；熟练套用常用信源编码方法。[2.1] </w:t>
      </w:r>
    </w:p>
    <w:p>
      <w:pPr>
        <w:snapToGrid w:val="0"/>
        <w:spacing w:line="300" w:lineRule="auto"/>
        <w:ind w:firstLine="420" w:firstLineChars="200"/>
        <w:rPr>
          <w:szCs w:val="21"/>
        </w:rPr>
      </w:pPr>
      <w:r>
        <w:rPr>
          <w:szCs w:val="21"/>
        </w:rPr>
        <w:t>3．能够利用专业知识，针对给定需求对通信系统中信息传递的性能进行分析。具体为：学生能够评估信源的冗余度；比较信源与信道的匹配程度；推演离散信源的信息率失真函数。[1.2</w:t>
      </w:r>
      <w:r>
        <w:rPr>
          <w:rFonts w:hint="eastAsia"/>
          <w:szCs w:val="21"/>
        </w:rPr>
        <w:t>、</w:t>
      </w:r>
      <w:r>
        <w:rPr>
          <w:szCs w:val="21"/>
        </w:rPr>
        <w:t>2.1]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kern w:val="0"/>
          <w:sz w:val="18"/>
          <w:szCs w:val="18"/>
        </w:rPr>
      </w:pPr>
      <w:r>
        <w:rPr>
          <w:b/>
          <w:kern w:val="0"/>
          <w:sz w:val="18"/>
          <w:szCs w:val="18"/>
        </w:rPr>
        <w:t>表1 毕业要求指标点实现矩阵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6523"/>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trPr>
        <w:tc>
          <w:tcPr>
            <w:tcW w:w="743" w:type="pct"/>
            <w:vAlign w:val="center"/>
          </w:tcPr>
          <w:p>
            <w:pPr>
              <w:snapToGrid w:val="0"/>
              <w:spacing w:line="300" w:lineRule="auto"/>
              <w:rPr>
                <w:b/>
                <w:bCs/>
                <w:sz w:val="18"/>
                <w:szCs w:val="18"/>
              </w:rPr>
            </w:pPr>
            <w:r>
              <w:rPr>
                <w:b/>
                <w:bCs/>
                <w:sz w:val="18"/>
                <w:szCs w:val="18"/>
              </w:rPr>
              <w:t>毕业要求</w:t>
            </w:r>
          </w:p>
        </w:tc>
        <w:tc>
          <w:tcPr>
            <w:tcW w:w="3827" w:type="pct"/>
            <w:vAlign w:val="center"/>
          </w:tcPr>
          <w:p>
            <w:pPr>
              <w:snapToGrid w:val="0"/>
              <w:spacing w:line="300" w:lineRule="auto"/>
              <w:jc w:val="center"/>
              <w:rPr>
                <w:b/>
                <w:bCs/>
                <w:sz w:val="18"/>
                <w:szCs w:val="18"/>
              </w:rPr>
            </w:pPr>
            <w:r>
              <w:rPr>
                <w:b/>
                <w:bCs/>
                <w:sz w:val="18"/>
                <w:szCs w:val="18"/>
              </w:rPr>
              <w:t>毕业要求指标点</w:t>
            </w:r>
          </w:p>
        </w:tc>
        <w:tc>
          <w:tcPr>
            <w:tcW w:w="430" w:type="pct"/>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pPr>
              <w:snapToGrid w:val="0"/>
              <w:spacing w:line="300" w:lineRule="auto"/>
              <w:rPr>
                <w:sz w:val="18"/>
                <w:szCs w:val="18"/>
              </w:rPr>
            </w:pPr>
            <w:r>
              <w:rPr>
                <w:sz w:val="18"/>
                <w:szCs w:val="18"/>
              </w:rPr>
              <w:t>1．工程知识</w:t>
            </w:r>
          </w:p>
        </w:tc>
        <w:tc>
          <w:tcPr>
            <w:tcW w:w="3827" w:type="pct"/>
          </w:tcPr>
          <w:p>
            <w:pPr>
              <w:snapToGrid w:val="0"/>
              <w:spacing w:line="300" w:lineRule="auto"/>
              <w:rPr>
                <w:sz w:val="18"/>
                <w:szCs w:val="18"/>
              </w:rPr>
            </w:pPr>
            <w:r>
              <w:rPr>
                <w:rFonts w:hint="eastAsia"/>
                <w:sz w:val="18"/>
                <w:szCs w:val="18"/>
              </w:rPr>
              <w:t>1.1 掌握电子信息工程专业理论和知识体系的数学和自然科学知识，将其应用于信息技术（IT）行业知识和专业知识的学习。</w:t>
            </w:r>
          </w:p>
        </w:tc>
        <w:tc>
          <w:tcPr>
            <w:tcW w:w="430" w:type="pct"/>
            <w:vAlign w:val="center"/>
          </w:tcPr>
          <w:p>
            <w:pPr>
              <w:snapToGrid w:val="0"/>
              <w:spacing w:line="300" w:lineRule="auto"/>
              <w:jc w:val="center"/>
              <w:rPr>
                <w:sz w:val="18"/>
                <w:szCs w:val="18"/>
              </w:rPr>
            </w:pPr>
            <w:r>
              <w:rPr>
                <w:sz w:val="18"/>
                <w:szCs w:val="18"/>
              </w:rPr>
              <w:t>1</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43" w:type="pct"/>
            <w:vAlign w:val="center"/>
          </w:tcPr>
          <w:p>
            <w:pPr>
              <w:snapToGrid w:val="0"/>
              <w:spacing w:line="300" w:lineRule="auto"/>
              <w:rPr>
                <w:sz w:val="18"/>
                <w:szCs w:val="18"/>
              </w:rPr>
            </w:pPr>
            <w:r>
              <w:rPr>
                <w:sz w:val="18"/>
                <w:szCs w:val="18"/>
              </w:rPr>
              <w:t>2．问题分析</w:t>
            </w:r>
          </w:p>
        </w:tc>
        <w:tc>
          <w:tcPr>
            <w:tcW w:w="3827" w:type="pct"/>
          </w:tcPr>
          <w:p>
            <w:pPr>
              <w:snapToGrid w:val="0"/>
              <w:spacing w:line="300" w:lineRule="auto"/>
              <w:rPr>
                <w:sz w:val="18"/>
                <w:szCs w:val="18"/>
              </w:rPr>
            </w:pPr>
            <w:r>
              <w:rPr>
                <w:sz w:val="18"/>
                <w:szCs w:val="18"/>
              </w:rPr>
              <w:t>2.1</w:t>
            </w:r>
            <w:r>
              <w:rPr>
                <w:rFonts w:hint="eastAsia"/>
                <w:sz w:val="18"/>
                <w:szCs w:val="18"/>
              </w:rPr>
              <w:t>具备应用数学、自然科学和工程科学的基本原理和方法，认识与判断电子信息工程（含海洋电子信息）相关领域复杂工程问题中的关键环节，使用数学模型和专业知识解释与描述复杂工程问题的能力。</w:t>
            </w:r>
          </w:p>
        </w:tc>
        <w:tc>
          <w:tcPr>
            <w:tcW w:w="430" w:type="pct"/>
            <w:vAlign w:val="center"/>
          </w:tcPr>
          <w:p>
            <w:pPr>
              <w:snapToGrid w:val="0"/>
              <w:spacing w:line="300" w:lineRule="auto"/>
              <w:jc w:val="center"/>
              <w:rPr>
                <w:sz w:val="18"/>
                <w:szCs w:val="18"/>
              </w:rPr>
            </w:pPr>
            <w:r>
              <w:rPr>
                <w:sz w:val="18"/>
                <w:szCs w:val="18"/>
              </w:rPr>
              <w:t>2</w:t>
            </w:r>
            <w:r>
              <w:rPr>
                <w:rFonts w:hint="eastAsia"/>
                <w:sz w:val="18"/>
                <w:szCs w:val="18"/>
              </w:rPr>
              <w:t>，</w:t>
            </w:r>
            <w:r>
              <w:rPr>
                <w:sz w:val="18"/>
                <w:szCs w:val="18"/>
              </w:rPr>
              <w:t>3</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rPr>
      </w:pPr>
      <w:r>
        <w:rPr>
          <w:b/>
          <w:bCs/>
          <w:sz w:val="18"/>
          <w:szCs w:val="18"/>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9"/>
        <w:gridCol w:w="1457"/>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14"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bookmarkStart w:id="109" w:name="_Hlk74596800"/>
            <w:r>
              <w:rPr>
                <w:b/>
                <w:sz w:val="18"/>
                <w:szCs w:val="18"/>
              </w:rPr>
              <w:t>课程教学目标</w:t>
            </w:r>
          </w:p>
        </w:tc>
        <w:tc>
          <w:tcPr>
            <w:tcW w:w="85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731"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1．掌握信息论与编码的基本概念并将其应用与后续专业知识的学习中。具体为：学生能够界定出信息论学科的发展阶段并指出它的研究内容；描述通信系统的模型；列举信息论的应用。学生能够分类信源的类型；归纳不同信源的数学模型；对信道进行分类；归纳不同信道的数学模型；复述信息率失真函数的概念；区别信源编码和信道编码的概念。</w:t>
            </w:r>
          </w:p>
        </w:tc>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通过课堂讲授与学生</w:t>
            </w:r>
            <w:r>
              <w:rPr>
                <w:rFonts w:hint="eastAsia"/>
                <w:sz w:val="18"/>
                <w:szCs w:val="18"/>
              </w:rPr>
              <w:t>学习</w:t>
            </w:r>
            <w:r>
              <w:rPr>
                <w:sz w:val="18"/>
                <w:szCs w:val="18"/>
              </w:rPr>
              <w:t>，作业等达成。</w:t>
            </w:r>
          </w:p>
        </w:tc>
        <w:tc>
          <w:tcPr>
            <w:tcW w:w="73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课堂表现与考试。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4"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2．掌握信息论与编码的基本理论以及计算方法和常用的编译码方式，从而对通信过程中信息的产生、发送、传输以及编译码进行识别、表达和分析，并获得有效结论。具体为：学生能够计算离散信源熵和互信息；计算离散序列信源的熵；计算离散单个符号信道的信道容量；计算离散序列的信道容量；熟练运用无失真信源编码定理以及限失真信源编码定理；熟练套用常用信源编码方法。</w:t>
            </w:r>
          </w:p>
        </w:tc>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通过课堂讲授与学生实验,作业等达成。</w:t>
            </w:r>
          </w:p>
        </w:tc>
        <w:tc>
          <w:tcPr>
            <w:tcW w:w="73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习题作业</w:t>
            </w:r>
            <w:r>
              <w:rPr>
                <w:rFonts w:hint="eastAsia"/>
                <w:sz w:val="18"/>
                <w:szCs w:val="18"/>
              </w:rPr>
              <w:t>、</w:t>
            </w:r>
            <w:r>
              <w:rPr>
                <w:sz w:val="18"/>
                <w:szCs w:val="18"/>
              </w:rPr>
              <w:t>实验报告与考试。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4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3．能够利用专业知识，针对给定需求对通信系统中信息传递的性能进行分析。具体为：学生能够评估信源的冗余度；比较信源与信道的匹配程度；推演离散信源的信息率失真函数。</w:t>
            </w:r>
          </w:p>
        </w:tc>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通过课堂讲授与学生</w:t>
            </w:r>
            <w:r>
              <w:rPr>
                <w:rFonts w:hint="eastAsia"/>
                <w:sz w:val="18"/>
                <w:szCs w:val="18"/>
              </w:rPr>
              <w:t>学习</w:t>
            </w:r>
            <w:r>
              <w:rPr>
                <w:sz w:val="18"/>
                <w:szCs w:val="18"/>
              </w:rPr>
              <w:t>，作业等达成。</w:t>
            </w:r>
          </w:p>
        </w:tc>
        <w:tc>
          <w:tcPr>
            <w:tcW w:w="73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习题作业</w:t>
            </w:r>
            <w:r>
              <w:rPr>
                <w:rFonts w:hint="eastAsia"/>
                <w:sz w:val="18"/>
                <w:szCs w:val="18"/>
              </w:rPr>
              <w:t>与</w:t>
            </w:r>
            <w:r>
              <w:rPr>
                <w:sz w:val="18"/>
                <w:szCs w:val="18"/>
              </w:rPr>
              <w:t>考试。</w:t>
            </w:r>
          </w:p>
        </w:tc>
      </w:tr>
      <w:bookmarkEnd w:id="109"/>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rPr>
          <w:szCs w:val="21"/>
        </w:rPr>
      </w:pPr>
      <w:r>
        <w:rPr>
          <w:szCs w:val="21"/>
        </w:rPr>
        <w:t>1、理论教学环节为主：本课程是一门偏重于理论教学的课程，目前理论教学和实践教学的比例确定为4:1，强调学生的扎实理论功底的养成和分析并解决实际问题的能力的培养。课堂授课以讲授式教学为主：</w:t>
      </w:r>
      <w:r>
        <w:t>基于电子信息系统信息处理与传输工作流程构建课程教学体系，根据课程特点采用启发式教学、任务驱动教学进行教学方法创新，核心能力知识点采用“原理描述-设计要点分析-实例展示”相互呼应的教学模式；辅以网络多媒体教学、课程独立网站（含教学视频）同步学习，每周平均讲授4学时，与专业相关实践教学环节和场景配合呼应。</w:t>
      </w:r>
    </w:p>
    <w:p>
      <w:pPr>
        <w:snapToGrid w:val="0"/>
        <w:spacing w:line="300" w:lineRule="auto"/>
        <w:ind w:firstLine="420"/>
        <w:rPr>
          <w:szCs w:val="21"/>
        </w:rPr>
      </w:pPr>
      <w:r>
        <w:rPr>
          <w:szCs w:val="21"/>
        </w:rPr>
        <w:t>2、实践教学环节为辅：</w:t>
      </w:r>
      <w:r>
        <w:rPr>
          <w:rFonts w:hint="eastAsia" w:ascii="宋体" w:hAnsi="宋体" w:cs="宋体"/>
          <w:szCs w:val="21"/>
        </w:rPr>
        <w:t>①</w:t>
      </w:r>
      <w:r>
        <w:rPr>
          <w:szCs w:val="21"/>
        </w:rPr>
        <w:t>注重学生理论体系在实践中的体现——设置从简单到复杂并且符合课程脉络的实验例程，充分梳理课程结构，调动学生的学习积极性；</w:t>
      </w:r>
      <w:r>
        <w:rPr>
          <w:rFonts w:hint="eastAsia" w:ascii="宋体" w:hAnsi="宋体" w:cs="宋体"/>
          <w:szCs w:val="21"/>
        </w:rPr>
        <w:t>②</w:t>
      </w:r>
      <w:r>
        <w:rPr>
          <w:szCs w:val="21"/>
        </w:rPr>
        <w:t>提供实践能力培养的平台——为学生提供实验例程之外且需要进行独立思考的内容，以增强学生的实践学习能力。</w:t>
      </w:r>
    </w:p>
    <w:p>
      <w:pPr>
        <w:snapToGrid w:val="0"/>
        <w:spacing w:line="300" w:lineRule="auto"/>
        <w:ind w:firstLine="420" w:firstLineChars="200"/>
        <w:rPr>
          <w:szCs w:val="21"/>
        </w:rPr>
      </w:pPr>
      <w:r>
        <w:rPr>
          <w:szCs w:val="21"/>
        </w:rPr>
        <w:t>3、</w:t>
      </w:r>
      <w:r>
        <w:t>注重学生兴趣的培养，充分调动学生的学习积极性。实践教学以学生自主完成实验任务和教师辅导相结合，通过对学生每个实验完成情况的询问和了解，一方面在实验课堂辅导的基础上增加了与学生进行实践经验交流的环节，另一方面督促学生切实理解和掌握实践环节的每个知识点，确保实践教学成效。</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1987"/>
        <w:gridCol w:w="4447"/>
        <w:gridCol w:w="572"/>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trPr>
        <w:tc>
          <w:tcPr>
            <w:tcW w:w="339"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187" w:type="pct"/>
            <w:vAlign w:val="center"/>
          </w:tcPr>
          <w:p>
            <w:pPr>
              <w:snapToGrid w:val="0"/>
              <w:spacing w:line="300" w:lineRule="auto"/>
              <w:ind w:firstLine="361" w:firstLineChars="200"/>
              <w:rPr>
                <w:b/>
                <w:bCs/>
                <w:sz w:val="18"/>
                <w:szCs w:val="18"/>
              </w:rPr>
            </w:pPr>
            <w:r>
              <w:rPr>
                <w:b/>
                <w:bCs/>
                <w:sz w:val="18"/>
                <w:szCs w:val="18"/>
              </w:rPr>
              <w:t>教学内容</w:t>
            </w:r>
          </w:p>
        </w:tc>
        <w:tc>
          <w:tcPr>
            <w:tcW w:w="2657" w:type="pct"/>
            <w:vAlign w:val="center"/>
          </w:tcPr>
          <w:p>
            <w:pPr>
              <w:snapToGrid w:val="0"/>
              <w:spacing w:line="300" w:lineRule="auto"/>
              <w:ind w:firstLine="361" w:firstLineChars="200"/>
              <w:jc w:val="center"/>
              <w:rPr>
                <w:b/>
                <w:bCs/>
                <w:sz w:val="18"/>
                <w:szCs w:val="18"/>
              </w:rPr>
            </w:pPr>
            <w:r>
              <w:rPr>
                <w:b/>
                <w:bCs/>
                <w:sz w:val="18"/>
                <w:szCs w:val="18"/>
              </w:rPr>
              <w:t>教与学的要求</w:t>
            </w:r>
          </w:p>
        </w:tc>
        <w:tc>
          <w:tcPr>
            <w:tcW w:w="342" w:type="pct"/>
            <w:vAlign w:val="center"/>
          </w:tcPr>
          <w:p>
            <w:pPr>
              <w:snapToGrid w:val="0"/>
              <w:spacing w:line="300" w:lineRule="auto"/>
              <w:jc w:val="center"/>
              <w:rPr>
                <w:b/>
                <w:bCs/>
                <w:sz w:val="18"/>
                <w:szCs w:val="18"/>
              </w:rPr>
            </w:pPr>
            <w:r>
              <w:rPr>
                <w:b/>
                <w:bCs/>
                <w:sz w:val="18"/>
                <w:szCs w:val="18"/>
              </w:rPr>
              <w:t>学时</w:t>
            </w:r>
          </w:p>
        </w:tc>
        <w:tc>
          <w:tcPr>
            <w:tcW w:w="475"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9" w:type="pct"/>
            <w:tcMar>
              <w:left w:w="57" w:type="dxa"/>
              <w:right w:w="57" w:type="dxa"/>
            </w:tcMar>
            <w:vAlign w:val="center"/>
          </w:tcPr>
          <w:p>
            <w:pPr>
              <w:snapToGrid w:val="0"/>
              <w:spacing w:line="300" w:lineRule="auto"/>
              <w:jc w:val="center"/>
              <w:rPr>
                <w:sz w:val="18"/>
                <w:szCs w:val="18"/>
              </w:rPr>
            </w:pPr>
            <w:r>
              <w:rPr>
                <w:sz w:val="18"/>
                <w:szCs w:val="18"/>
              </w:rPr>
              <w:t>1</w:t>
            </w:r>
          </w:p>
        </w:tc>
        <w:tc>
          <w:tcPr>
            <w:tcW w:w="1187" w:type="pct"/>
            <w:vAlign w:val="center"/>
          </w:tcPr>
          <w:p>
            <w:pPr>
              <w:adjustRightInd w:val="0"/>
              <w:snapToGrid w:val="0"/>
              <w:spacing w:line="300" w:lineRule="auto"/>
              <w:rPr>
                <w:bCs/>
                <w:sz w:val="18"/>
                <w:szCs w:val="18"/>
              </w:rPr>
            </w:pPr>
            <w:r>
              <w:rPr>
                <w:bCs/>
                <w:sz w:val="18"/>
                <w:szCs w:val="18"/>
              </w:rPr>
              <w:t>1</w:t>
            </w:r>
            <w:r>
              <w:rPr>
                <w:rFonts w:hint="eastAsia"/>
                <w:bCs/>
                <w:sz w:val="18"/>
                <w:szCs w:val="18"/>
              </w:rPr>
              <w:t>概论</w:t>
            </w:r>
          </w:p>
          <w:p>
            <w:pPr>
              <w:widowControl/>
              <w:adjustRightInd w:val="0"/>
              <w:snapToGrid w:val="0"/>
              <w:spacing w:line="300" w:lineRule="auto"/>
              <w:jc w:val="left"/>
              <w:textAlignment w:val="baseline"/>
              <w:rPr>
                <w:bCs/>
                <w:kern w:val="0"/>
                <w:sz w:val="18"/>
                <w:szCs w:val="18"/>
              </w:rPr>
            </w:pPr>
            <w:r>
              <w:rPr>
                <w:bCs/>
                <w:kern w:val="0"/>
                <w:sz w:val="18"/>
                <w:szCs w:val="18"/>
              </w:rPr>
              <w:t>1.1</w:t>
            </w:r>
            <w:r>
              <w:rPr>
                <w:rFonts w:hint="eastAsia"/>
                <w:bCs/>
                <w:kern w:val="0"/>
                <w:sz w:val="18"/>
                <w:szCs w:val="18"/>
              </w:rPr>
              <w:t>信息的概念和分类</w:t>
            </w:r>
          </w:p>
          <w:p>
            <w:pPr>
              <w:widowControl/>
              <w:adjustRightInd w:val="0"/>
              <w:snapToGrid w:val="0"/>
              <w:spacing w:line="300" w:lineRule="auto"/>
              <w:jc w:val="left"/>
              <w:textAlignment w:val="baseline"/>
              <w:rPr>
                <w:bCs/>
                <w:kern w:val="0"/>
                <w:sz w:val="18"/>
                <w:szCs w:val="18"/>
              </w:rPr>
            </w:pPr>
            <w:r>
              <w:rPr>
                <w:bCs/>
                <w:kern w:val="0"/>
                <w:sz w:val="18"/>
                <w:szCs w:val="18"/>
              </w:rPr>
              <w:t>1.2</w:t>
            </w:r>
            <w:r>
              <w:rPr>
                <w:rFonts w:hint="eastAsia"/>
                <w:bCs/>
                <w:kern w:val="0"/>
                <w:sz w:val="18"/>
                <w:szCs w:val="18"/>
              </w:rPr>
              <w:t>信息论的起源和发展</w:t>
            </w:r>
          </w:p>
          <w:p>
            <w:pPr>
              <w:widowControl/>
              <w:adjustRightInd w:val="0"/>
              <w:snapToGrid w:val="0"/>
              <w:spacing w:line="300" w:lineRule="auto"/>
              <w:jc w:val="left"/>
              <w:textAlignment w:val="baseline"/>
              <w:rPr>
                <w:bCs/>
                <w:kern w:val="0"/>
                <w:sz w:val="18"/>
                <w:szCs w:val="18"/>
              </w:rPr>
            </w:pPr>
            <w:r>
              <w:rPr>
                <w:bCs/>
                <w:kern w:val="0"/>
                <w:sz w:val="18"/>
                <w:szCs w:val="18"/>
              </w:rPr>
              <w:t>1.3</w:t>
            </w:r>
            <w:r>
              <w:rPr>
                <w:rFonts w:hint="eastAsia"/>
                <w:bCs/>
                <w:kern w:val="0"/>
                <w:sz w:val="18"/>
                <w:szCs w:val="18"/>
              </w:rPr>
              <w:t>信息论的研究内容</w:t>
            </w:r>
            <w:r>
              <w:rPr>
                <w:bCs/>
                <w:sz w:val="18"/>
                <w:szCs w:val="18"/>
              </w:rPr>
              <w:t>（讲解抗战时期为了不让日军破译电报密码而选用难懂的温州话来传输电文）</w:t>
            </w:r>
          </w:p>
        </w:tc>
        <w:tc>
          <w:tcPr>
            <w:tcW w:w="2657"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bCs/>
                <w:sz w:val="18"/>
                <w:szCs w:val="18"/>
              </w:rPr>
              <w:t>（1）</w:t>
            </w:r>
            <w:r>
              <w:rPr>
                <w:rFonts w:hint="eastAsia"/>
                <w:bCs/>
                <w:sz w:val="18"/>
                <w:szCs w:val="18"/>
              </w:rPr>
              <w:t>学生能够明确信息的概念和分类</w:t>
            </w:r>
          </w:p>
          <w:p>
            <w:pPr>
              <w:adjustRightInd w:val="0"/>
              <w:snapToGrid w:val="0"/>
              <w:spacing w:line="300" w:lineRule="auto"/>
              <w:rPr>
                <w:bCs/>
                <w:sz w:val="18"/>
                <w:szCs w:val="18"/>
              </w:rPr>
            </w:pPr>
            <w:r>
              <w:rPr>
                <w:rFonts w:hint="eastAsia"/>
                <w:bCs/>
                <w:sz w:val="18"/>
                <w:szCs w:val="18"/>
              </w:rPr>
              <w:t>（2）</w:t>
            </w:r>
            <w:r>
              <w:rPr>
                <w:bCs/>
                <w:sz w:val="18"/>
                <w:szCs w:val="18"/>
              </w:rPr>
              <w:t>学生能够界定出信息论学科的发展阶段并指出它的研究内容；</w:t>
            </w:r>
          </w:p>
          <w:p>
            <w:pPr>
              <w:adjustRightInd w:val="0"/>
              <w:snapToGrid w:val="0"/>
              <w:spacing w:line="300" w:lineRule="auto"/>
              <w:rPr>
                <w:bCs/>
                <w:sz w:val="18"/>
                <w:szCs w:val="18"/>
              </w:rPr>
            </w:pPr>
            <w:r>
              <w:rPr>
                <w:bCs/>
                <w:sz w:val="18"/>
                <w:szCs w:val="18"/>
              </w:rPr>
              <w:t xml:space="preserve">（3）学生能够描述通信系统的模型； </w:t>
            </w:r>
          </w:p>
          <w:p>
            <w:pPr>
              <w:snapToGrid w:val="0"/>
              <w:spacing w:line="300" w:lineRule="auto"/>
              <w:rPr>
                <w:sz w:val="18"/>
                <w:szCs w:val="18"/>
              </w:rPr>
            </w:pPr>
            <w:r>
              <w:rPr>
                <w:bCs/>
                <w:sz w:val="18"/>
                <w:szCs w:val="18"/>
              </w:rPr>
              <w:t>（4）学生能够列举信息论的应用</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（1）学习和了解</w:t>
            </w:r>
            <w:r>
              <w:rPr>
                <w:rFonts w:hint="eastAsia"/>
                <w:sz w:val="18"/>
                <w:szCs w:val="18"/>
              </w:rPr>
              <w:t>信息论</w:t>
            </w:r>
            <w:r>
              <w:rPr>
                <w:sz w:val="18"/>
                <w:szCs w:val="18"/>
              </w:rPr>
              <w:t>的发展历程；</w:t>
            </w:r>
          </w:p>
          <w:p>
            <w:pPr>
              <w:snapToGrid w:val="0"/>
              <w:spacing w:line="300" w:lineRule="auto"/>
              <w:rPr>
                <w:sz w:val="18"/>
                <w:szCs w:val="18"/>
              </w:rPr>
            </w:pPr>
            <w:r>
              <w:rPr>
                <w:sz w:val="18"/>
                <w:szCs w:val="18"/>
              </w:rPr>
              <w:t>（2）复习第一章内容；</w:t>
            </w:r>
          </w:p>
          <w:p>
            <w:pPr>
              <w:snapToGrid w:val="0"/>
              <w:spacing w:line="300" w:lineRule="auto"/>
              <w:rPr>
                <w:sz w:val="18"/>
                <w:szCs w:val="18"/>
              </w:rPr>
            </w:pPr>
            <w:r>
              <w:rPr>
                <w:sz w:val="18"/>
                <w:szCs w:val="18"/>
              </w:rPr>
              <w:t>（3）完成教材第一章</w:t>
            </w:r>
            <w:r>
              <w:rPr>
                <w:rFonts w:hint="eastAsia"/>
                <w:sz w:val="18"/>
                <w:szCs w:val="18"/>
              </w:rPr>
              <w:t>课后</w:t>
            </w:r>
            <w:r>
              <w:rPr>
                <w:sz w:val="18"/>
                <w:szCs w:val="18"/>
              </w:rPr>
              <w:t>作业</w:t>
            </w:r>
          </w:p>
          <w:p>
            <w:pPr>
              <w:snapToGrid w:val="0"/>
              <w:spacing w:line="300" w:lineRule="auto"/>
              <w:rPr>
                <w:sz w:val="18"/>
                <w:szCs w:val="18"/>
              </w:rPr>
            </w:pPr>
            <w:r>
              <w:rPr>
                <w:sz w:val="18"/>
                <w:szCs w:val="18"/>
              </w:rPr>
              <w:t>3.教学方法：讲授式、讨论式与启发式相结合。</w:t>
            </w:r>
          </w:p>
        </w:tc>
        <w:tc>
          <w:tcPr>
            <w:tcW w:w="342" w:type="pct"/>
            <w:vAlign w:val="center"/>
          </w:tcPr>
          <w:p>
            <w:pPr>
              <w:snapToGrid w:val="0"/>
              <w:spacing w:line="300" w:lineRule="auto"/>
              <w:jc w:val="center"/>
              <w:rPr>
                <w:sz w:val="18"/>
                <w:szCs w:val="18"/>
              </w:rPr>
            </w:pPr>
            <w:r>
              <w:rPr>
                <w:sz w:val="18"/>
                <w:szCs w:val="18"/>
              </w:rPr>
              <w:t>2</w:t>
            </w:r>
          </w:p>
        </w:tc>
        <w:tc>
          <w:tcPr>
            <w:tcW w:w="475" w:type="pct"/>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2</w:t>
            </w:r>
          </w:p>
        </w:tc>
        <w:tc>
          <w:tcPr>
            <w:tcW w:w="1187" w:type="pct"/>
            <w:vAlign w:val="center"/>
          </w:tcPr>
          <w:p>
            <w:pPr>
              <w:adjustRightInd w:val="0"/>
              <w:snapToGrid w:val="0"/>
              <w:spacing w:line="300" w:lineRule="auto"/>
              <w:rPr>
                <w:bCs/>
                <w:sz w:val="18"/>
                <w:szCs w:val="18"/>
              </w:rPr>
            </w:pPr>
            <w:r>
              <w:rPr>
                <w:bCs/>
                <w:sz w:val="18"/>
                <w:szCs w:val="18"/>
              </w:rPr>
              <w:t>2</w:t>
            </w:r>
            <w:r>
              <w:rPr>
                <w:rFonts w:hint="eastAsia"/>
                <w:bCs/>
                <w:sz w:val="18"/>
                <w:szCs w:val="18"/>
              </w:rPr>
              <w:t>离散信源熵</w:t>
            </w:r>
          </w:p>
          <w:p>
            <w:pPr>
              <w:adjustRightInd w:val="0"/>
              <w:snapToGrid w:val="0"/>
              <w:spacing w:line="300" w:lineRule="auto"/>
              <w:rPr>
                <w:bCs/>
                <w:kern w:val="0"/>
                <w:sz w:val="18"/>
                <w:szCs w:val="18"/>
              </w:rPr>
            </w:pPr>
            <w:r>
              <w:rPr>
                <w:bCs/>
                <w:kern w:val="0"/>
                <w:sz w:val="18"/>
                <w:szCs w:val="18"/>
              </w:rPr>
              <w:t xml:space="preserve">2.1 </w:t>
            </w:r>
            <w:r>
              <w:rPr>
                <w:rFonts w:hint="eastAsia"/>
                <w:bCs/>
                <w:kern w:val="0"/>
                <w:sz w:val="18"/>
                <w:szCs w:val="18"/>
              </w:rPr>
              <w:t>基本概念</w:t>
            </w:r>
          </w:p>
          <w:p>
            <w:pPr>
              <w:adjustRightInd w:val="0"/>
              <w:snapToGrid w:val="0"/>
              <w:spacing w:line="300" w:lineRule="auto"/>
              <w:rPr>
                <w:bCs/>
                <w:kern w:val="0"/>
                <w:sz w:val="18"/>
                <w:szCs w:val="18"/>
              </w:rPr>
            </w:pPr>
            <w:r>
              <w:rPr>
                <w:bCs/>
                <w:kern w:val="0"/>
                <w:sz w:val="18"/>
                <w:szCs w:val="18"/>
              </w:rPr>
              <w:t>2.2 离散信源熵</w:t>
            </w:r>
            <w:r>
              <w:rPr>
                <w:rFonts w:hint="eastAsia"/>
                <w:bCs/>
                <w:kern w:val="0"/>
                <w:sz w:val="18"/>
                <w:szCs w:val="18"/>
              </w:rPr>
              <w:t>的基本概念和性质</w:t>
            </w:r>
          </w:p>
          <w:p>
            <w:pPr>
              <w:adjustRightInd w:val="0"/>
              <w:snapToGrid w:val="0"/>
              <w:spacing w:line="300" w:lineRule="auto"/>
              <w:rPr>
                <w:bCs/>
                <w:kern w:val="0"/>
                <w:sz w:val="18"/>
                <w:szCs w:val="18"/>
              </w:rPr>
            </w:pPr>
            <w:r>
              <w:rPr>
                <w:bCs/>
                <w:kern w:val="0"/>
                <w:sz w:val="18"/>
                <w:szCs w:val="18"/>
              </w:rPr>
              <w:t xml:space="preserve">2.3 </w:t>
            </w:r>
            <w:r>
              <w:rPr>
                <w:rFonts w:hint="eastAsia"/>
                <w:bCs/>
                <w:kern w:val="0"/>
                <w:sz w:val="18"/>
                <w:szCs w:val="18"/>
              </w:rPr>
              <w:t>多符号离散平稳信源熵</w:t>
            </w:r>
          </w:p>
        </w:tc>
        <w:tc>
          <w:tcPr>
            <w:tcW w:w="2657"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bCs/>
                <w:sz w:val="18"/>
                <w:szCs w:val="18"/>
              </w:rPr>
              <w:t>（1）学生能够计算</w:t>
            </w:r>
            <w:r>
              <w:rPr>
                <w:rFonts w:hint="eastAsia"/>
                <w:bCs/>
                <w:sz w:val="18"/>
                <w:szCs w:val="18"/>
              </w:rPr>
              <w:t>单符号</w:t>
            </w:r>
            <w:r>
              <w:rPr>
                <w:bCs/>
                <w:sz w:val="18"/>
                <w:szCs w:val="18"/>
              </w:rPr>
              <w:t xml:space="preserve">离散信源熵； </w:t>
            </w:r>
          </w:p>
          <w:p>
            <w:pPr>
              <w:adjustRightInd w:val="0"/>
              <w:snapToGrid w:val="0"/>
              <w:spacing w:line="300" w:lineRule="auto"/>
              <w:rPr>
                <w:bCs/>
                <w:sz w:val="18"/>
                <w:szCs w:val="18"/>
              </w:rPr>
            </w:pPr>
            <w:r>
              <w:rPr>
                <w:rFonts w:hint="eastAsia"/>
                <w:bCs/>
                <w:sz w:val="18"/>
                <w:szCs w:val="18"/>
              </w:rPr>
              <w:t>（2）学生能够掌握信源熵及其性质；</w:t>
            </w:r>
          </w:p>
          <w:p>
            <w:pPr>
              <w:adjustRightInd w:val="0"/>
              <w:snapToGrid w:val="0"/>
              <w:spacing w:line="300" w:lineRule="auto"/>
              <w:rPr>
                <w:bCs/>
                <w:sz w:val="18"/>
                <w:szCs w:val="18"/>
              </w:rPr>
            </w:pPr>
            <w:r>
              <w:rPr>
                <w:bCs/>
                <w:sz w:val="18"/>
                <w:szCs w:val="18"/>
              </w:rPr>
              <w:t>（3）学生能够计算</w:t>
            </w:r>
            <w:r>
              <w:rPr>
                <w:rFonts w:hint="eastAsia"/>
                <w:bCs/>
                <w:kern w:val="0"/>
                <w:sz w:val="18"/>
                <w:szCs w:val="18"/>
              </w:rPr>
              <w:t>多符号离散平稳信源熵</w:t>
            </w:r>
            <w:r>
              <w:rPr>
                <w:bCs/>
                <w:sz w:val="18"/>
                <w:szCs w:val="18"/>
              </w:rPr>
              <w:t>；</w:t>
            </w:r>
          </w:p>
          <w:p>
            <w:pPr>
              <w:snapToGrid w:val="0"/>
              <w:spacing w:line="300" w:lineRule="auto"/>
              <w:rPr>
                <w:sz w:val="18"/>
                <w:szCs w:val="18"/>
              </w:rPr>
            </w:pPr>
            <w:r>
              <w:rPr>
                <w:bCs/>
                <w:sz w:val="18"/>
                <w:szCs w:val="18"/>
              </w:rPr>
              <w:t>（4）学生能够计算信源的冗余度</w:t>
            </w:r>
            <w:r>
              <w:rPr>
                <w:rFonts w:hint="eastAsia"/>
                <w:bCs/>
                <w:sz w:val="18"/>
                <w:szCs w:val="18"/>
              </w:rPr>
              <w:t>、自然语信源及信息差变</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（1）复习第二章内容；</w:t>
            </w:r>
          </w:p>
          <w:p>
            <w:pPr>
              <w:snapToGrid w:val="0"/>
              <w:spacing w:line="300" w:lineRule="auto"/>
              <w:rPr>
                <w:sz w:val="18"/>
                <w:szCs w:val="18"/>
              </w:rPr>
            </w:pPr>
            <w:r>
              <w:rPr>
                <w:sz w:val="18"/>
                <w:szCs w:val="18"/>
              </w:rPr>
              <w:t>（2）完成教材第二章</w:t>
            </w:r>
            <w:r>
              <w:rPr>
                <w:rFonts w:hint="eastAsia"/>
                <w:sz w:val="18"/>
                <w:szCs w:val="18"/>
              </w:rPr>
              <w:t>课后</w:t>
            </w:r>
            <w:r>
              <w:rPr>
                <w:sz w:val="18"/>
                <w:szCs w:val="18"/>
              </w:rPr>
              <w:t>作业。</w:t>
            </w:r>
          </w:p>
          <w:p>
            <w:pPr>
              <w:snapToGrid w:val="0"/>
              <w:spacing w:line="300" w:lineRule="auto"/>
              <w:rPr>
                <w:sz w:val="18"/>
                <w:szCs w:val="18"/>
              </w:rPr>
            </w:pPr>
            <w:r>
              <w:rPr>
                <w:sz w:val="18"/>
                <w:szCs w:val="18"/>
              </w:rPr>
              <w:t>3.教学方法：讲授式、讨论式与启发式相结合。</w:t>
            </w:r>
          </w:p>
        </w:tc>
        <w:tc>
          <w:tcPr>
            <w:tcW w:w="342" w:type="pct"/>
            <w:vAlign w:val="center"/>
          </w:tcPr>
          <w:p>
            <w:pPr>
              <w:snapToGrid w:val="0"/>
              <w:spacing w:line="300" w:lineRule="auto"/>
              <w:jc w:val="center"/>
              <w:rPr>
                <w:sz w:val="18"/>
                <w:szCs w:val="18"/>
              </w:rPr>
            </w:pPr>
            <w:r>
              <w:rPr>
                <w:sz w:val="18"/>
                <w:szCs w:val="18"/>
              </w:rPr>
              <w:t>10</w:t>
            </w:r>
          </w:p>
        </w:tc>
        <w:tc>
          <w:tcPr>
            <w:tcW w:w="475" w:type="pct"/>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3</w:t>
            </w:r>
          </w:p>
        </w:tc>
        <w:tc>
          <w:tcPr>
            <w:tcW w:w="1187" w:type="pct"/>
            <w:vAlign w:val="center"/>
          </w:tcPr>
          <w:p>
            <w:pPr>
              <w:adjustRightInd w:val="0"/>
              <w:snapToGrid w:val="0"/>
              <w:spacing w:line="300" w:lineRule="auto"/>
              <w:rPr>
                <w:bCs/>
                <w:sz w:val="18"/>
                <w:szCs w:val="18"/>
              </w:rPr>
            </w:pPr>
            <w:r>
              <w:rPr>
                <w:bCs/>
                <w:sz w:val="18"/>
                <w:szCs w:val="18"/>
              </w:rPr>
              <w:t>3</w:t>
            </w:r>
            <w:r>
              <w:rPr>
                <w:rFonts w:hint="eastAsia"/>
                <w:bCs/>
                <w:sz w:val="18"/>
                <w:szCs w:val="18"/>
              </w:rPr>
              <w:t>无失真离散信源编码</w:t>
            </w:r>
          </w:p>
          <w:p>
            <w:pPr>
              <w:widowControl/>
              <w:adjustRightInd w:val="0"/>
              <w:snapToGrid w:val="0"/>
              <w:spacing w:line="300" w:lineRule="auto"/>
              <w:jc w:val="left"/>
              <w:textAlignment w:val="baseline"/>
              <w:rPr>
                <w:bCs/>
                <w:kern w:val="0"/>
                <w:sz w:val="18"/>
                <w:szCs w:val="18"/>
              </w:rPr>
            </w:pPr>
            <w:r>
              <w:rPr>
                <w:bCs/>
                <w:kern w:val="0"/>
                <w:sz w:val="18"/>
                <w:szCs w:val="18"/>
              </w:rPr>
              <w:t>3.1 基本概念</w:t>
            </w:r>
          </w:p>
          <w:p>
            <w:pPr>
              <w:widowControl/>
              <w:adjustRightInd w:val="0"/>
              <w:snapToGrid w:val="0"/>
              <w:spacing w:line="300" w:lineRule="auto"/>
              <w:jc w:val="left"/>
              <w:textAlignment w:val="baseline"/>
              <w:rPr>
                <w:bCs/>
                <w:kern w:val="0"/>
                <w:sz w:val="18"/>
                <w:szCs w:val="18"/>
              </w:rPr>
            </w:pPr>
            <w:r>
              <w:rPr>
                <w:bCs/>
                <w:kern w:val="0"/>
                <w:sz w:val="18"/>
                <w:szCs w:val="18"/>
              </w:rPr>
              <w:t xml:space="preserve">3.2 </w:t>
            </w:r>
            <w:r>
              <w:rPr>
                <w:rFonts w:hint="eastAsia"/>
                <w:bCs/>
                <w:kern w:val="0"/>
                <w:sz w:val="18"/>
                <w:szCs w:val="18"/>
              </w:rPr>
              <w:t>离散无失真信源编码定理</w:t>
            </w:r>
          </w:p>
          <w:p>
            <w:pPr>
              <w:widowControl/>
              <w:adjustRightInd w:val="0"/>
              <w:snapToGrid w:val="0"/>
              <w:spacing w:line="300" w:lineRule="auto"/>
              <w:jc w:val="left"/>
              <w:textAlignment w:val="baseline"/>
              <w:rPr>
                <w:bCs/>
                <w:kern w:val="0"/>
                <w:sz w:val="18"/>
                <w:szCs w:val="18"/>
              </w:rPr>
            </w:pPr>
            <w:r>
              <w:rPr>
                <w:bCs/>
                <w:kern w:val="0"/>
                <w:sz w:val="18"/>
                <w:szCs w:val="18"/>
              </w:rPr>
              <w:t xml:space="preserve">3.3 </w:t>
            </w:r>
            <w:r>
              <w:rPr>
                <w:rFonts w:hint="eastAsia"/>
                <w:bCs/>
                <w:kern w:val="0"/>
                <w:sz w:val="18"/>
                <w:szCs w:val="18"/>
              </w:rPr>
              <w:t>香农编码</w:t>
            </w:r>
          </w:p>
          <w:p>
            <w:pPr>
              <w:widowControl/>
              <w:adjustRightInd w:val="0"/>
              <w:snapToGrid w:val="0"/>
              <w:spacing w:line="300" w:lineRule="auto"/>
              <w:jc w:val="left"/>
              <w:textAlignment w:val="baseline"/>
              <w:rPr>
                <w:bCs/>
                <w:kern w:val="0"/>
                <w:sz w:val="18"/>
                <w:szCs w:val="18"/>
              </w:rPr>
            </w:pPr>
            <w:r>
              <w:rPr>
                <w:bCs/>
                <w:kern w:val="0"/>
                <w:sz w:val="18"/>
                <w:szCs w:val="18"/>
              </w:rPr>
              <w:t xml:space="preserve">3.4 </w:t>
            </w:r>
            <w:r>
              <w:rPr>
                <w:rFonts w:hint="eastAsia"/>
                <w:bCs/>
                <w:kern w:val="0"/>
                <w:sz w:val="18"/>
                <w:szCs w:val="18"/>
              </w:rPr>
              <w:t>费诺编码</w:t>
            </w:r>
          </w:p>
          <w:p>
            <w:pPr>
              <w:widowControl/>
              <w:adjustRightInd w:val="0"/>
              <w:snapToGrid w:val="0"/>
              <w:spacing w:line="300" w:lineRule="auto"/>
              <w:jc w:val="left"/>
              <w:textAlignment w:val="baseline"/>
              <w:rPr>
                <w:bCs/>
                <w:kern w:val="0"/>
                <w:sz w:val="18"/>
                <w:szCs w:val="18"/>
              </w:rPr>
            </w:pPr>
            <w:r>
              <w:rPr>
                <w:rFonts w:hint="eastAsia"/>
                <w:bCs/>
                <w:kern w:val="0"/>
                <w:sz w:val="18"/>
                <w:szCs w:val="18"/>
              </w:rPr>
              <w:t>3</w:t>
            </w:r>
            <w:r>
              <w:rPr>
                <w:bCs/>
                <w:kern w:val="0"/>
                <w:sz w:val="18"/>
                <w:szCs w:val="18"/>
              </w:rPr>
              <w:t xml:space="preserve">.5 </w:t>
            </w:r>
            <w:r>
              <w:rPr>
                <w:rFonts w:hint="eastAsia"/>
                <w:bCs/>
                <w:kern w:val="0"/>
                <w:sz w:val="18"/>
                <w:szCs w:val="18"/>
              </w:rPr>
              <w:t>赫夫曼编码</w:t>
            </w:r>
          </w:p>
          <w:p>
            <w:pPr>
              <w:widowControl/>
              <w:adjustRightInd w:val="0"/>
              <w:snapToGrid w:val="0"/>
              <w:spacing w:line="300" w:lineRule="auto"/>
              <w:jc w:val="left"/>
              <w:textAlignment w:val="baseline"/>
              <w:rPr>
                <w:bCs/>
                <w:kern w:val="0"/>
                <w:sz w:val="18"/>
                <w:szCs w:val="18"/>
              </w:rPr>
            </w:pPr>
            <w:r>
              <w:rPr>
                <w:rFonts w:hint="eastAsia"/>
                <w:bCs/>
                <w:kern w:val="0"/>
                <w:sz w:val="18"/>
                <w:szCs w:val="18"/>
              </w:rPr>
              <w:t>3</w:t>
            </w:r>
            <w:r>
              <w:rPr>
                <w:bCs/>
                <w:kern w:val="0"/>
                <w:sz w:val="18"/>
                <w:szCs w:val="18"/>
              </w:rPr>
              <w:t xml:space="preserve">.6 </w:t>
            </w:r>
            <w:r>
              <w:rPr>
                <w:rFonts w:hint="eastAsia"/>
                <w:bCs/>
                <w:kern w:val="0"/>
                <w:sz w:val="18"/>
                <w:szCs w:val="18"/>
              </w:rPr>
              <w:t>游程组合编码</w:t>
            </w:r>
          </w:p>
          <w:p>
            <w:pPr>
              <w:widowControl/>
              <w:adjustRightInd w:val="0"/>
              <w:snapToGrid w:val="0"/>
              <w:spacing w:line="300" w:lineRule="auto"/>
              <w:jc w:val="left"/>
              <w:textAlignment w:val="baseline"/>
              <w:rPr>
                <w:bCs/>
                <w:kern w:val="0"/>
                <w:sz w:val="18"/>
                <w:szCs w:val="18"/>
              </w:rPr>
            </w:pPr>
            <w:r>
              <w:rPr>
                <w:rFonts w:hint="eastAsia"/>
                <w:bCs/>
                <w:kern w:val="0"/>
                <w:sz w:val="18"/>
                <w:szCs w:val="18"/>
              </w:rPr>
              <w:t>3</w:t>
            </w:r>
            <w:r>
              <w:rPr>
                <w:bCs/>
                <w:kern w:val="0"/>
                <w:sz w:val="18"/>
                <w:szCs w:val="18"/>
              </w:rPr>
              <w:t xml:space="preserve">.7 </w:t>
            </w:r>
            <w:r>
              <w:rPr>
                <w:rFonts w:hint="eastAsia"/>
                <w:bCs/>
                <w:kern w:val="0"/>
                <w:sz w:val="18"/>
                <w:szCs w:val="18"/>
              </w:rPr>
              <w:t>算数编码</w:t>
            </w:r>
          </w:p>
        </w:tc>
        <w:tc>
          <w:tcPr>
            <w:tcW w:w="2657"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bCs/>
                <w:sz w:val="18"/>
                <w:szCs w:val="18"/>
              </w:rPr>
              <w:t>（1）学生能够</w:t>
            </w:r>
            <w:r>
              <w:rPr>
                <w:rFonts w:hint="eastAsia"/>
                <w:bCs/>
                <w:sz w:val="18"/>
                <w:szCs w:val="18"/>
              </w:rPr>
              <w:t>说明信源编码的基本概念</w:t>
            </w:r>
            <w:r>
              <w:rPr>
                <w:bCs/>
                <w:sz w:val="18"/>
                <w:szCs w:val="18"/>
              </w:rPr>
              <w:t xml:space="preserve">； </w:t>
            </w:r>
          </w:p>
          <w:p>
            <w:pPr>
              <w:adjustRightInd w:val="0"/>
              <w:snapToGrid w:val="0"/>
              <w:spacing w:line="300" w:lineRule="auto"/>
              <w:rPr>
                <w:bCs/>
                <w:sz w:val="18"/>
                <w:szCs w:val="18"/>
              </w:rPr>
            </w:pPr>
            <w:r>
              <w:rPr>
                <w:bCs/>
                <w:sz w:val="18"/>
                <w:szCs w:val="18"/>
              </w:rPr>
              <w:t>（2）学生能够</w:t>
            </w:r>
            <w:r>
              <w:rPr>
                <w:rFonts w:hint="eastAsia"/>
                <w:bCs/>
                <w:sz w:val="18"/>
                <w:szCs w:val="18"/>
              </w:rPr>
              <w:t>复述无失真信源编码定理，包括定长编码定理和变长编码定理；</w:t>
            </w:r>
          </w:p>
          <w:p>
            <w:pPr>
              <w:adjustRightInd w:val="0"/>
              <w:snapToGrid w:val="0"/>
              <w:spacing w:line="300" w:lineRule="auto"/>
              <w:rPr>
                <w:bCs/>
                <w:sz w:val="18"/>
                <w:szCs w:val="18"/>
              </w:rPr>
            </w:pPr>
            <w:r>
              <w:rPr>
                <w:rFonts w:hint="eastAsia"/>
                <w:bCs/>
                <w:sz w:val="18"/>
                <w:szCs w:val="18"/>
              </w:rPr>
              <w:t>（3）</w:t>
            </w:r>
            <w:r>
              <w:rPr>
                <w:bCs/>
                <w:sz w:val="18"/>
                <w:szCs w:val="18"/>
              </w:rPr>
              <w:t>学生能够</w:t>
            </w:r>
            <w:r>
              <w:rPr>
                <w:rFonts w:hint="eastAsia"/>
                <w:bCs/>
                <w:sz w:val="18"/>
                <w:szCs w:val="18"/>
              </w:rPr>
              <w:t>理解码字唯一可译条件</w:t>
            </w:r>
            <w:r>
              <w:rPr>
                <w:bCs/>
                <w:sz w:val="18"/>
                <w:szCs w:val="18"/>
              </w:rPr>
              <w:t xml:space="preserve">； </w:t>
            </w:r>
          </w:p>
          <w:p>
            <w:pPr>
              <w:snapToGrid w:val="0"/>
              <w:spacing w:line="300" w:lineRule="auto"/>
              <w:rPr>
                <w:bCs/>
                <w:sz w:val="18"/>
                <w:szCs w:val="18"/>
              </w:rPr>
            </w:pPr>
            <w:r>
              <w:rPr>
                <w:bCs/>
                <w:sz w:val="18"/>
                <w:szCs w:val="18"/>
              </w:rPr>
              <w:t>（4）学生能够</w:t>
            </w:r>
            <w:r>
              <w:rPr>
                <w:rFonts w:hint="eastAsia"/>
                <w:bCs/>
                <w:sz w:val="18"/>
                <w:szCs w:val="18"/>
              </w:rPr>
              <w:t>掌握香农编码、费诺编码、赫夫曼编码编码方法和步骤；</w:t>
            </w:r>
          </w:p>
          <w:p>
            <w:pPr>
              <w:snapToGrid w:val="0"/>
              <w:spacing w:line="300" w:lineRule="auto"/>
              <w:rPr>
                <w:bCs/>
                <w:sz w:val="18"/>
                <w:szCs w:val="18"/>
              </w:rPr>
            </w:pPr>
            <w:r>
              <w:rPr>
                <w:rFonts w:hint="eastAsia"/>
                <w:bCs/>
                <w:sz w:val="18"/>
                <w:szCs w:val="18"/>
              </w:rPr>
              <w:t>（</w:t>
            </w:r>
            <w:r>
              <w:rPr>
                <w:bCs/>
                <w:sz w:val="18"/>
                <w:szCs w:val="18"/>
              </w:rPr>
              <w:t>5</w:t>
            </w:r>
            <w:r>
              <w:rPr>
                <w:rFonts w:hint="eastAsia"/>
                <w:bCs/>
                <w:sz w:val="18"/>
                <w:szCs w:val="18"/>
              </w:rPr>
              <w:t>）</w:t>
            </w:r>
            <w:r>
              <w:rPr>
                <w:bCs/>
                <w:sz w:val="18"/>
                <w:szCs w:val="18"/>
              </w:rPr>
              <w:t>学生能够</w:t>
            </w:r>
            <w:r>
              <w:rPr>
                <w:rFonts w:hint="eastAsia"/>
                <w:bCs/>
                <w:sz w:val="18"/>
                <w:szCs w:val="18"/>
              </w:rPr>
              <w:t>复述游程组合编码和算数编码的编码方法和步骤</w:t>
            </w:r>
            <w:r>
              <w:rPr>
                <w:bCs/>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（1）复习第三章内容；</w:t>
            </w:r>
          </w:p>
          <w:p>
            <w:pPr>
              <w:snapToGrid w:val="0"/>
              <w:spacing w:line="300" w:lineRule="auto"/>
              <w:rPr>
                <w:sz w:val="18"/>
                <w:szCs w:val="18"/>
              </w:rPr>
            </w:pPr>
            <w:r>
              <w:rPr>
                <w:sz w:val="18"/>
                <w:szCs w:val="18"/>
              </w:rPr>
              <w:t>（2）完成教材第三章</w:t>
            </w:r>
            <w:r>
              <w:rPr>
                <w:rFonts w:hint="eastAsia"/>
                <w:sz w:val="18"/>
                <w:szCs w:val="18"/>
              </w:rPr>
              <w:t>课后</w:t>
            </w:r>
            <w:r>
              <w:rPr>
                <w:sz w:val="18"/>
                <w:szCs w:val="18"/>
              </w:rPr>
              <w:t>作业。</w:t>
            </w:r>
          </w:p>
          <w:p>
            <w:pPr>
              <w:snapToGrid w:val="0"/>
              <w:spacing w:line="300" w:lineRule="auto"/>
              <w:rPr>
                <w:sz w:val="18"/>
                <w:szCs w:val="18"/>
              </w:rPr>
            </w:pPr>
            <w:r>
              <w:rPr>
                <w:sz w:val="18"/>
                <w:szCs w:val="18"/>
              </w:rPr>
              <w:t>3.教学方法：讲授式、讨论式与启发式相结合。</w:t>
            </w:r>
          </w:p>
        </w:tc>
        <w:tc>
          <w:tcPr>
            <w:tcW w:w="342" w:type="pct"/>
            <w:vAlign w:val="center"/>
          </w:tcPr>
          <w:p>
            <w:pPr>
              <w:snapToGrid w:val="0"/>
              <w:spacing w:line="300" w:lineRule="auto"/>
              <w:jc w:val="center"/>
              <w:rPr>
                <w:sz w:val="18"/>
                <w:szCs w:val="18"/>
              </w:rPr>
            </w:pPr>
            <w:r>
              <w:rPr>
                <w:sz w:val="18"/>
                <w:szCs w:val="18"/>
              </w:rPr>
              <w:t>10</w:t>
            </w:r>
          </w:p>
        </w:tc>
        <w:tc>
          <w:tcPr>
            <w:tcW w:w="475" w:type="pct"/>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4</w:t>
            </w:r>
          </w:p>
        </w:tc>
        <w:tc>
          <w:tcPr>
            <w:tcW w:w="1187" w:type="pct"/>
            <w:vAlign w:val="center"/>
          </w:tcPr>
          <w:p>
            <w:pPr>
              <w:adjustRightInd w:val="0"/>
              <w:snapToGrid w:val="0"/>
              <w:spacing w:line="300" w:lineRule="auto"/>
              <w:rPr>
                <w:bCs/>
                <w:sz w:val="18"/>
                <w:szCs w:val="18"/>
              </w:rPr>
            </w:pPr>
            <w:r>
              <w:rPr>
                <w:bCs/>
                <w:sz w:val="18"/>
                <w:szCs w:val="18"/>
              </w:rPr>
              <w:t>4</w:t>
            </w:r>
            <w:r>
              <w:rPr>
                <w:rFonts w:hint="eastAsia"/>
                <w:bCs/>
                <w:sz w:val="18"/>
                <w:szCs w:val="18"/>
              </w:rPr>
              <w:t>离散信道容量</w:t>
            </w:r>
          </w:p>
          <w:p>
            <w:pPr>
              <w:adjustRightInd w:val="0"/>
              <w:snapToGrid w:val="0"/>
              <w:spacing w:line="300" w:lineRule="auto"/>
              <w:ind w:right="-31" w:rightChars="-15"/>
              <w:rPr>
                <w:bCs/>
                <w:sz w:val="18"/>
                <w:szCs w:val="18"/>
              </w:rPr>
            </w:pPr>
            <w:r>
              <w:rPr>
                <w:bCs/>
                <w:sz w:val="18"/>
                <w:szCs w:val="18"/>
              </w:rPr>
              <w:t xml:space="preserve">4.1 </w:t>
            </w:r>
            <w:r>
              <w:rPr>
                <w:rFonts w:hint="eastAsia"/>
                <w:bCs/>
                <w:sz w:val="18"/>
                <w:szCs w:val="18"/>
              </w:rPr>
              <w:t>互信息量和平均互信息量</w:t>
            </w:r>
          </w:p>
          <w:p>
            <w:pPr>
              <w:snapToGrid w:val="0"/>
              <w:spacing w:line="300" w:lineRule="auto"/>
              <w:rPr>
                <w:bCs/>
                <w:sz w:val="18"/>
                <w:szCs w:val="18"/>
              </w:rPr>
            </w:pPr>
            <w:r>
              <w:rPr>
                <w:bCs/>
                <w:sz w:val="18"/>
                <w:szCs w:val="18"/>
              </w:rPr>
              <w:t xml:space="preserve">4.2 </w:t>
            </w:r>
            <w:r>
              <w:rPr>
                <w:rFonts w:hint="eastAsia"/>
                <w:bCs/>
                <w:sz w:val="18"/>
                <w:szCs w:val="18"/>
              </w:rPr>
              <w:t>单符号离散信道的信道容量</w:t>
            </w:r>
          </w:p>
          <w:p>
            <w:pPr>
              <w:snapToGrid w:val="0"/>
              <w:spacing w:line="300" w:lineRule="auto"/>
              <w:rPr>
                <w:bCs/>
                <w:sz w:val="18"/>
                <w:szCs w:val="18"/>
              </w:rPr>
            </w:pPr>
            <w:r>
              <w:rPr>
                <w:rFonts w:hint="eastAsia"/>
                <w:bCs/>
                <w:sz w:val="18"/>
                <w:szCs w:val="18"/>
              </w:rPr>
              <w:t>4</w:t>
            </w:r>
            <w:r>
              <w:rPr>
                <w:bCs/>
                <w:sz w:val="18"/>
                <w:szCs w:val="18"/>
              </w:rPr>
              <w:t>.3</w:t>
            </w:r>
            <w:r>
              <w:rPr>
                <w:rFonts w:hint="eastAsia"/>
                <w:bCs/>
                <w:sz w:val="18"/>
                <w:szCs w:val="18"/>
              </w:rPr>
              <w:t>多符号离散信道的信道容量</w:t>
            </w:r>
          </w:p>
          <w:p>
            <w:pPr>
              <w:snapToGrid w:val="0"/>
              <w:spacing w:line="300" w:lineRule="auto"/>
              <w:rPr>
                <w:sz w:val="18"/>
                <w:szCs w:val="18"/>
              </w:rPr>
            </w:pPr>
            <w:r>
              <w:rPr>
                <w:rFonts w:hint="eastAsia"/>
                <w:bCs/>
                <w:sz w:val="18"/>
                <w:szCs w:val="18"/>
              </w:rPr>
              <w:t>4</w:t>
            </w:r>
            <w:r>
              <w:rPr>
                <w:bCs/>
                <w:sz w:val="18"/>
                <w:szCs w:val="18"/>
              </w:rPr>
              <w:t xml:space="preserve">.4 </w:t>
            </w:r>
            <w:r>
              <w:rPr>
                <w:rFonts w:hint="eastAsia"/>
                <w:bCs/>
                <w:sz w:val="18"/>
                <w:szCs w:val="18"/>
              </w:rPr>
              <w:t>网络信息论</w:t>
            </w:r>
          </w:p>
        </w:tc>
        <w:tc>
          <w:tcPr>
            <w:tcW w:w="2657" w:type="pct"/>
            <w:vAlign w:val="center"/>
          </w:tcPr>
          <w:p>
            <w:pPr>
              <w:snapToGrid w:val="0"/>
              <w:spacing w:line="300" w:lineRule="auto"/>
              <w:rPr>
                <w:sz w:val="18"/>
                <w:szCs w:val="18"/>
              </w:rPr>
            </w:pPr>
            <w:r>
              <w:rPr>
                <w:sz w:val="18"/>
                <w:szCs w:val="18"/>
              </w:rPr>
              <w:t>1.要求</w:t>
            </w:r>
          </w:p>
          <w:p>
            <w:pPr>
              <w:adjustRightInd w:val="0"/>
              <w:snapToGrid w:val="0"/>
              <w:spacing w:line="300" w:lineRule="auto"/>
              <w:rPr>
                <w:bCs/>
                <w:sz w:val="18"/>
                <w:szCs w:val="18"/>
              </w:rPr>
            </w:pPr>
            <w:r>
              <w:rPr>
                <w:rFonts w:hint="eastAsia"/>
                <w:bCs/>
                <w:sz w:val="18"/>
                <w:szCs w:val="18"/>
              </w:rPr>
              <w:t>（1）学生能够计算互信息量和平均互信息量；</w:t>
            </w:r>
          </w:p>
          <w:p>
            <w:pPr>
              <w:adjustRightInd w:val="0"/>
              <w:snapToGrid w:val="0"/>
              <w:spacing w:line="300" w:lineRule="auto"/>
              <w:rPr>
                <w:bCs/>
                <w:sz w:val="18"/>
                <w:szCs w:val="18"/>
              </w:rPr>
            </w:pPr>
            <w:r>
              <w:rPr>
                <w:rFonts w:hint="eastAsia"/>
                <w:bCs/>
                <w:sz w:val="18"/>
                <w:szCs w:val="18"/>
              </w:rPr>
              <w:t>（2）学生能够复述互信息量的性质以及平均互信息量的性质；</w:t>
            </w:r>
          </w:p>
          <w:p>
            <w:pPr>
              <w:adjustRightInd w:val="0"/>
              <w:snapToGrid w:val="0"/>
              <w:spacing w:line="300" w:lineRule="auto"/>
              <w:rPr>
                <w:bCs/>
                <w:sz w:val="18"/>
                <w:szCs w:val="18"/>
              </w:rPr>
            </w:pPr>
            <w:r>
              <w:rPr>
                <w:bCs/>
                <w:sz w:val="18"/>
                <w:szCs w:val="18"/>
              </w:rPr>
              <w:t>（3）学生能够说明</w:t>
            </w:r>
            <w:r>
              <w:rPr>
                <w:rFonts w:hint="eastAsia"/>
                <w:bCs/>
                <w:sz w:val="18"/>
                <w:szCs w:val="18"/>
              </w:rPr>
              <w:t>信道容量</w:t>
            </w:r>
            <w:r>
              <w:rPr>
                <w:bCs/>
                <w:sz w:val="18"/>
                <w:szCs w:val="18"/>
              </w:rPr>
              <w:t xml:space="preserve">的概念； </w:t>
            </w:r>
          </w:p>
          <w:p>
            <w:pPr>
              <w:adjustRightInd w:val="0"/>
              <w:snapToGrid w:val="0"/>
              <w:spacing w:line="300" w:lineRule="auto"/>
              <w:rPr>
                <w:bCs/>
                <w:sz w:val="18"/>
                <w:szCs w:val="18"/>
              </w:rPr>
            </w:pPr>
            <w:r>
              <w:rPr>
                <w:bCs/>
                <w:sz w:val="18"/>
                <w:szCs w:val="18"/>
              </w:rPr>
              <w:t>（4）学生能够推演</w:t>
            </w:r>
            <w:r>
              <w:rPr>
                <w:rFonts w:hint="eastAsia"/>
                <w:bCs/>
                <w:sz w:val="18"/>
                <w:szCs w:val="18"/>
              </w:rPr>
              <w:t>单符号离散信道的信道容量</w:t>
            </w:r>
            <w:r>
              <w:rPr>
                <w:bCs/>
                <w:sz w:val="18"/>
                <w:szCs w:val="18"/>
              </w:rPr>
              <w:t xml:space="preserve">； </w:t>
            </w:r>
          </w:p>
          <w:p>
            <w:pPr>
              <w:adjustRightInd w:val="0"/>
              <w:snapToGrid w:val="0"/>
              <w:spacing w:line="300" w:lineRule="auto"/>
              <w:rPr>
                <w:bCs/>
                <w:sz w:val="18"/>
                <w:szCs w:val="18"/>
              </w:rPr>
            </w:pPr>
            <w:r>
              <w:rPr>
                <w:bCs/>
                <w:sz w:val="18"/>
                <w:szCs w:val="18"/>
              </w:rPr>
              <w:t>（5）学生能够推演</w:t>
            </w:r>
            <w:r>
              <w:rPr>
                <w:rFonts w:hint="eastAsia"/>
                <w:bCs/>
                <w:sz w:val="18"/>
                <w:szCs w:val="18"/>
              </w:rPr>
              <w:t>多符号离散信道的信道容量；</w:t>
            </w:r>
          </w:p>
          <w:p>
            <w:pPr>
              <w:snapToGrid w:val="0"/>
              <w:spacing w:line="300" w:lineRule="auto"/>
              <w:rPr>
                <w:sz w:val="18"/>
                <w:szCs w:val="18"/>
              </w:rPr>
            </w:pPr>
            <w:r>
              <w:rPr>
                <w:bCs/>
                <w:sz w:val="18"/>
                <w:szCs w:val="18"/>
              </w:rPr>
              <w:t>（6）学生能够</w:t>
            </w:r>
            <w:r>
              <w:rPr>
                <w:rFonts w:hint="eastAsia"/>
                <w:bCs/>
                <w:sz w:val="18"/>
                <w:szCs w:val="18"/>
              </w:rPr>
              <w:t>说明网络信息论的基本概念并能够进行简单计算</w:t>
            </w:r>
            <w:r>
              <w:rPr>
                <w:bCs/>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（1）复习第四章内容；</w:t>
            </w:r>
          </w:p>
          <w:p>
            <w:pPr>
              <w:snapToGrid w:val="0"/>
              <w:spacing w:line="300" w:lineRule="auto"/>
              <w:rPr>
                <w:sz w:val="18"/>
                <w:szCs w:val="18"/>
              </w:rPr>
            </w:pPr>
            <w:r>
              <w:rPr>
                <w:sz w:val="18"/>
                <w:szCs w:val="18"/>
              </w:rPr>
              <w:t>（2）完成教材第四章</w:t>
            </w:r>
            <w:r>
              <w:rPr>
                <w:rFonts w:hint="eastAsia"/>
                <w:sz w:val="18"/>
                <w:szCs w:val="18"/>
              </w:rPr>
              <w:t>课后</w:t>
            </w:r>
            <w:r>
              <w:rPr>
                <w:sz w:val="18"/>
                <w:szCs w:val="18"/>
              </w:rPr>
              <w:t>作业。</w:t>
            </w:r>
          </w:p>
          <w:p>
            <w:pPr>
              <w:snapToGrid w:val="0"/>
              <w:spacing w:line="300" w:lineRule="auto"/>
              <w:rPr>
                <w:sz w:val="18"/>
                <w:szCs w:val="18"/>
              </w:rPr>
            </w:pPr>
            <w:r>
              <w:rPr>
                <w:sz w:val="18"/>
                <w:szCs w:val="18"/>
              </w:rPr>
              <w:t>3.教学方法：讲授式、讨论式与启发式相结合。</w:t>
            </w:r>
          </w:p>
        </w:tc>
        <w:tc>
          <w:tcPr>
            <w:tcW w:w="342" w:type="pct"/>
            <w:vAlign w:val="center"/>
          </w:tcPr>
          <w:p>
            <w:pPr>
              <w:snapToGrid w:val="0"/>
              <w:spacing w:line="300" w:lineRule="auto"/>
              <w:jc w:val="center"/>
              <w:rPr>
                <w:sz w:val="18"/>
                <w:szCs w:val="18"/>
              </w:rPr>
            </w:pPr>
            <w:r>
              <w:rPr>
                <w:sz w:val="18"/>
                <w:szCs w:val="18"/>
              </w:rPr>
              <w:t>10</w:t>
            </w:r>
          </w:p>
        </w:tc>
        <w:tc>
          <w:tcPr>
            <w:tcW w:w="475" w:type="pct"/>
            <w:vAlign w:val="center"/>
          </w:tcPr>
          <w:p>
            <w:pPr>
              <w:snapToGrid w:val="0"/>
              <w:spacing w:line="300" w:lineRule="auto"/>
              <w:jc w:val="center"/>
              <w:rPr>
                <w:sz w:val="18"/>
                <w:szCs w:val="18"/>
              </w:rPr>
            </w:pPr>
            <w:r>
              <w:rPr>
                <w:sz w:val="18"/>
                <w:szCs w:val="18"/>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1"/>
        <w:gridCol w:w="1271"/>
        <w:gridCol w:w="4088"/>
        <w:gridCol w:w="422"/>
        <w:gridCol w:w="564"/>
        <w:gridCol w:w="424"/>
        <w:gridCol w:w="564"/>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blHeader/>
          <w:jc w:val="center"/>
        </w:trPr>
        <w:tc>
          <w:tcPr>
            <w:tcW w:w="253" w:type="pct"/>
            <w:vAlign w:val="center"/>
          </w:tcPr>
          <w:p>
            <w:pPr>
              <w:snapToGrid w:val="0"/>
              <w:spacing w:line="300" w:lineRule="auto"/>
              <w:rPr>
                <w:b/>
                <w:bCs/>
                <w:sz w:val="18"/>
                <w:szCs w:val="18"/>
              </w:rPr>
            </w:pPr>
            <w:r>
              <w:rPr>
                <w:b/>
                <w:bCs/>
                <w:kern w:val="0"/>
                <w:sz w:val="18"/>
                <w:szCs w:val="18"/>
              </w:rPr>
              <w:t>序号</w:t>
            </w:r>
          </w:p>
        </w:tc>
        <w:tc>
          <w:tcPr>
            <w:tcW w:w="764" w:type="pct"/>
            <w:vAlign w:val="center"/>
          </w:tcPr>
          <w:p>
            <w:pPr>
              <w:snapToGrid w:val="0"/>
              <w:spacing w:line="300" w:lineRule="auto"/>
              <w:jc w:val="center"/>
              <w:rPr>
                <w:b/>
                <w:bCs/>
                <w:sz w:val="18"/>
                <w:szCs w:val="18"/>
              </w:rPr>
            </w:pPr>
            <w:r>
              <w:rPr>
                <w:b/>
                <w:bCs/>
                <w:kern w:val="0"/>
                <w:sz w:val="18"/>
                <w:szCs w:val="18"/>
              </w:rPr>
              <w:t>实验项目名称</w:t>
            </w:r>
          </w:p>
        </w:tc>
        <w:tc>
          <w:tcPr>
            <w:tcW w:w="2458" w:type="pct"/>
            <w:vAlign w:val="center"/>
          </w:tcPr>
          <w:p>
            <w:pPr>
              <w:snapToGrid w:val="0"/>
              <w:spacing w:line="300" w:lineRule="auto"/>
              <w:jc w:val="center"/>
              <w:rPr>
                <w:b/>
                <w:bCs/>
                <w:sz w:val="18"/>
                <w:szCs w:val="18"/>
              </w:rPr>
            </w:pPr>
            <w:r>
              <w:rPr>
                <w:b/>
                <w:bCs/>
                <w:kern w:val="0"/>
                <w:sz w:val="18"/>
                <w:szCs w:val="18"/>
              </w:rPr>
              <w:t>目的要求</w:t>
            </w:r>
          </w:p>
        </w:tc>
        <w:tc>
          <w:tcPr>
            <w:tcW w:w="254" w:type="pct"/>
            <w:vAlign w:val="center"/>
          </w:tcPr>
          <w:p>
            <w:pPr>
              <w:snapToGrid w:val="0"/>
              <w:spacing w:line="300" w:lineRule="auto"/>
              <w:jc w:val="center"/>
              <w:rPr>
                <w:b/>
                <w:bCs/>
                <w:sz w:val="18"/>
                <w:szCs w:val="18"/>
              </w:rPr>
            </w:pPr>
            <w:r>
              <w:rPr>
                <w:b/>
                <w:bCs/>
                <w:kern w:val="0"/>
                <w:sz w:val="18"/>
                <w:szCs w:val="18"/>
              </w:rPr>
              <w:t>学时分配</w:t>
            </w:r>
          </w:p>
        </w:tc>
        <w:tc>
          <w:tcPr>
            <w:tcW w:w="339" w:type="pct"/>
            <w:vAlign w:val="center"/>
          </w:tcPr>
          <w:p>
            <w:pPr>
              <w:snapToGrid w:val="0"/>
              <w:spacing w:line="300" w:lineRule="auto"/>
              <w:jc w:val="center"/>
              <w:rPr>
                <w:b/>
                <w:bCs/>
                <w:kern w:val="0"/>
                <w:sz w:val="18"/>
                <w:szCs w:val="18"/>
              </w:rPr>
            </w:pPr>
            <w:r>
              <w:rPr>
                <w:b/>
                <w:bCs/>
                <w:kern w:val="0"/>
                <w:sz w:val="18"/>
                <w:szCs w:val="18"/>
              </w:rPr>
              <w:t>实验</w:t>
            </w:r>
          </w:p>
          <w:p>
            <w:pPr>
              <w:snapToGrid w:val="0"/>
              <w:spacing w:line="300" w:lineRule="auto"/>
              <w:jc w:val="center"/>
              <w:rPr>
                <w:b/>
                <w:bCs/>
                <w:kern w:val="0"/>
                <w:sz w:val="18"/>
                <w:szCs w:val="18"/>
              </w:rPr>
            </w:pPr>
            <w:r>
              <w:rPr>
                <w:b/>
                <w:bCs/>
                <w:kern w:val="0"/>
                <w:sz w:val="18"/>
                <w:szCs w:val="18"/>
              </w:rPr>
              <w:t>类型</w:t>
            </w:r>
          </w:p>
        </w:tc>
        <w:tc>
          <w:tcPr>
            <w:tcW w:w="255" w:type="pct"/>
            <w:vAlign w:val="center"/>
          </w:tcPr>
          <w:p>
            <w:pPr>
              <w:snapToGrid w:val="0"/>
              <w:spacing w:line="300" w:lineRule="auto"/>
              <w:jc w:val="center"/>
              <w:rPr>
                <w:b/>
                <w:bCs/>
                <w:kern w:val="0"/>
                <w:sz w:val="18"/>
                <w:szCs w:val="18"/>
              </w:rPr>
            </w:pPr>
            <w:r>
              <w:rPr>
                <w:b/>
                <w:bCs/>
                <w:kern w:val="0"/>
                <w:sz w:val="18"/>
                <w:szCs w:val="18"/>
              </w:rPr>
              <w:t>每组人数</w:t>
            </w:r>
          </w:p>
        </w:tc>
        <w:tc>
          <w:tcPr>
            <w:tcW w:w="339" w:type="pct"/>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339" w:type="pct"/>
            <w:vAlign w:val="center"/>
          </w:tcPr>
          <w:p>
            <w:pPr>
              <w:snapToGrid w:val="0"/>
              <w:spacing w:line="300" w:lineRule="auto"/>
              <w:jc w:val="center"/>
              <w:rPr>
                <w:b/>
                <w:bCs/>
                <w:kern w:val="0"/>
                <w:sz w:val="18"/>
                <w:szCs w:val="18"/>
              </w:rPr>
            </w:pPr>
            <w:r>
              <w:rPr>
                <w:b/>
                <w:bCs/>
                <w:kern w:val="0"/>
                <w:sz w:val="18"/>
                <w:szCs w:val="18"/>
              </w:rPr>
              <w:t>课程</w:t>
            </w:r>
          </w:p>
          <w:p>
            <w:pPr>
              <w:snapToGrid w:val="0"/>
              <w:spacing w:line="300" w:lineRule="auto"/>
              <w:jc w:val="center"/>
              <w:rPr>
                <w:b/>
                <w:bCs/>
                <w:kern w:val="0"/>
                <w:sz w:val="18"/>
                <w:szCs w:val="18"/>
              </w:rPr>
            </w:pPr>
            <w:r>
              <w:rPr>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3" w:type="pct"/>
            <w:vAlign w:val="center"/>
          </w:tcPr>
          <w:p>
            <w:pPr>
              <w:snapToGrid w:val="0"/>
              <w:spacing w:line="300" w:lineRule="auto"/>
              <w:jc w:val="center"/>
              <w:rPr>
                <w:sz w:val="18"/>
                <w:szCs w:val="18"/>
              </w:rPr>
            </w:pPr>
            <w:r>
              <w:rPr>
                <w:sz w:val="18"/>
                <w:szCs w:val="18"/>
              </w:rPr>
              <w:t>1</w:t>
            </w:r>
          </w:p>
        </w:tc>
        <w:tc>
          <w:tcPr>
            <w:tcW w:w="764" w:type="pct"/>
            <w:vAlign w:val="center"/>
          </w:tcPr>
          <w:p>
            <w:pPr>
              <w:snapToGrid w:val="0"/>
              <w:spacing w:line="300" w:lineRule="auto"/>
              <w:rPr>
                <w:sz w:val="18"/>
                <w:szCs w:val="18"/>
              </w:rPr>
            </w:pPr>
            <w:r>
              <w:rPr>
                <w:sz w:val="18"/>
                <w:szCs w:val="18"/>
              </w:rPr>
              <w:t>信息熵的计算</w:t>
            </w:r>
          </w:p>
        </w:tc>
        <w:tc>
          <w:tcPr>
            <w:tcW w:w="2458"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使学生进一步巩固信息熵的基本概念；</w:t>
            </w:r>
            <w:r>
              <w:rPr>
                <w:rFonts w:hint="eastAsia" w:ascii="宋体" w:hAnsi="宋体" w:cs="宋体"/>
                <w:kern w:val="0"/>
                <w:sz w:val="18"/>
                <w:szCs w:val="18"/>
              </w:rPr>
              <w:t>②</w:t>
            </w:r>
            <w:r>
              <w:rPr>
                <w:sz w:val="18"/>
                <w:szCs w:val="18"/>
              </w:rPr>
              <w:t>掌握信息熵的计算方法；</w:t>
            </w:r>
            <w:r>
              <w:rPr>
                <w:rFonts w:hint="eastAsia" w:ascii="宋体" w:hAnsi="宋体" w:cs="宋体"/>
                <w:kern w:val="0"/>
                <w:sz w:val="18"/>
                <w:szCs w:val="18"/>
              </w:rPr>
              <w:t>③</w:t>
            </w:r>
            <w:r>
              <w:rPr>
                <w:sz w:val="18"/>
                <w:szCs w:val="18"/>
              </w:rPr>
              <w:t>培养学生使用编程工具进行分析计算的基本能力。</w:t>
            </w:r>
          </w:p>
        </w:tc>
        <w:tc>
          <w:tcPr>
            <w:tcW w:w="254" w:type="pct"/>
            <w:vAlign w:val="center"/>
          </w:tcPr>
          <w:p>
            <w:pPr>
              <w:snapToGrid w:val="0"/>
              <w:spacing w:line="300" w:lineRule="auto"/>
              <w:jc w:val="center"/>
              <w:rPr>
                <w:sz w:val="18"/>
                <w:szCs w:val="18"/>
              </w:rPr>
            </w:pPr>
            <w:r>
              <w:rPr>
                <w:kern w:val="0"/>
                <w:sz w:val="18"/>
                <w:szCs w:val="18"/>
              </w:rPr>
              <w:t>2</w:t>
            </w:r>
          </w:p>
        </w:tc>
        <w:tc>
          <w:tcPr>
            <w:tcW w:w="339" w:type="pct"/>
            <w:vAlign w:val="center"/>
          </w:tcPr>
          <w:p>
            <w:pPr>
              <w:snapToGrid w:val="0"/>
              <w:spacing w:line="300" w:lineRule="auto"/>
              <w:rPr>
                <w:sz w:val="18"/>
                <w:szCs w:val="18"/>
              </w:rPr>
            </w:pPr>
            <w:r>
              <w:rPr>
                <w:sz w:val="18"/>
                <w:szCs w:val="18"/>
              </w:rPr>
              <w:t>验证与设计</w:t>
            </w:r>
          </w:p>
        </w:tc>
        <w:tc>
          <w:tcPr>
            <w:tcW w:w="255" w:type="pct"/>
            <w:vAlign w:val="center"/>
          </w:tcPr>
          <w:p>
            <w:pPr>
              <w:snapToGrid w:val="0"/>
              <w:spacing w:line="300" w:lineRule="auto"/>
              <w:jc w:val="center"/>
              <w:rPr>
                <w:sz w:val="18"/>
                <w:szCs w:val="18"/>
              </w:rPr>
            </w:pPr>
            <w:r>
              <w:rPr>
                <w:kern w:val="0"/>
                <w:sz w:val="18"/>
                <w:szCs w:val="18"/>
              </w:rPr>
              <w:t>1</w:t>
            </w:r>
          </w:p>
        </w:tc>
        <w:tc>
          <w:tcPr>
            <w:tcW w:w="339" w:type="pct"/>
            <w:vAlign w:val="center"/>
          </w:tcPr>
          <w:p>
            <w:pPr>
              <w:snapToGrid w:val="0"/>
              <w:spacing w:line="300" w:lineRule="auto"/>
              <w:jc w:val="center"/>
              <w:rPr>
                <w:sz w:val="18"/>
                <w:szCs w:val="18"/>
              </w:rPr>
            </w:pPr>
            <w:r>
              <w:rPr>
                <w:kern w:val="0"/>
                <w:sz w:val="18"/>
                <w:szCs w:val="18"/>
              </w:rPr>
              <w:t>必开</w:t>
            </w:r>
          </w:p>
        </w:tc>
        <w:tc>
          <w:tcPr>
            <w:tcW w:w="339" w:type="pct"/>
            <w:vAlign w:val="center"/>
          </w:tcPr>
          <w:p>
            <w:pPr>
              <w:snapToGrid w:val="0"/>
              <w:spacing w:line="300" w:lineRule="auto"/>
              <w:jc w:val="center"/>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253" w:type="pct"/>
            <w:vAlign w:val="center"/>
          </w:tcPr>
          <w:p>
            <w:pPr>
              <w:snapToGrid w:val="0"/>
              <w:spacing w:line="300" w:lineRule="auto"/>
              <w:jc w:val="center"/>
              <w:rPr>
                <w:sz w:val="18"/>
                <w:szCs w:val="18"/>
              </w:rPr>
            </w:pPr>
            <w:r>
              <w:rPr>
                <w:sz w:val="18"/>
                <w:szCs w:val="18"/>
              </w:rPr>
              <w:t>2</w:t>
            </w:r>
          </w:p>
        </w:tc>
        <w:tc>
          <w:tcPr>
            <w:tcW w:w="764" w:type="pct"/>
            <w:vAlign w:val="center"/>
          </w:tcPr>
          <w:p>
            <w:pPr>
              <w:snapToGrid w:val="0"/>
              <w:spacing w:line="300" w:lineRule="auto"/>
              <w:rPr>
                <w:sz w:val="18"/>
                <w:szCs w:val="18"/>
              </w:rPr>
            </w:pPr>
            <w:r>
              <w:rPr>
                <w:sz w:val="18"/>
                <w:szCs w:val="18"/>
              </w:rPr>
              <w:t>信道容量的迭代计算</w:t>
            </w:r>
          </w:p>
        </w:tc>
        <w:tc>
          <w:tcPr>
            <w:tcW w:w="2458"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使学生进一步巩固信息容量的基本概念；</w:t>
            </w:r>
            <w:r>
              <w:rPr>
                <w:rFonts w:hint="eastAsia" w:ascii="宋体" w:hAnsi="宋体" w:cs="宋体"/>
                <w:kern w:val="0"/>
                <w:sz w:val="18"/>
                <w:szCs w:val="18"/>
              </w:rPr>
              <w:t>②</w:t>
            </w:r>
            <w:r>
              <w:rPr>
                <w:sz w:val="18"/>
                <w:szCs w:val="18"/>
              </w:rPr>
              <w:t>掌握信息容量的迭代计算的基本原理和方法；</w:t>
            </w:r>
            <w:r>
              <w:rPr>
                <w:rFonts w:hint="eastAsia" w:ascii="宋体" w:hAnsi="宋体" w:cs="宋体"/>
                <w:sz w:val="18"/>
                <w:szCs w:val="18"/>
              </w:rPr>
              <w:t>③</w:t>
            </w:r>
            <w:r>
              <w:rPr>
                <w:sz w:val="18"/>
                <w:szCs w:val="18"/>
              </w:rPr>
              <w:t>培养学生使用编程工具进行分析计算的基本能力。</w:t>
            </w:r>
          </w:p>
        </w:tc>
        <w:tc>
          <w:tcPr>
            <w:tcW w:w="254" w:type="pct"/>
            <w:vAlign w:val="center"/>
          </w:tcPr>
          <w:p>
            <w:pPr>
              <w:snapToGrid w:val="0"/>
              <w:spacing w:line="300" w:lineRule="auto"/>
              <w:jc w:val="center"/>
              <w:rPr>
                <w:sz w:val="18"/>
                <w:szCs w:val="18"/>
              </w:rPr>
            </w:pPr>
            <w:r>
              <w:rPr>
                <w:kern w:val="0"/>
                <w:sz w:val="18"/>
                <w:szCs w:val="18"/>
              </w:rPr>
              <w:t>2</w:t>
            </w:r>
          </w:p>
        </w:tc>
        <w:tc>
          <w:tcPr>
            <w:tcW w:w="339" w:type="pct"/>
            <w:vAlign w:val="center"/>
          </w:tcPr>
          <w:p>
            <w:pPr>
              <w:snapToGrid w:val="0"/>
              <w:spacing w:line="300" w:lineRule="auto"/>
              <w:rPr>
                <w:sz w:val="18"/>
                <w:szCs w:val="18"/>
              </w:rPr>
            </w:pPr>
            <w:r>
              <w:rPr>
                <w:sz w:val="18"/>
                <w:szCs w:val="18"/>
              </w:rPr>
              <w:t>验证与设计</w:t>
            </w:r>
          </w:p>
        </w:tc>
        <w:tc>
          <w:tcPr>
            <w:tcW w:w="255" w:type="pct"/>
            <w:vAlign w:val="center"/>
          </w:tcPr>
          <w:p>
            <w:pPr>
              <w:snapToGrid w:val="0"/>
              <w:spacing w:line="300" w:lineRule="auto"/>
              <w:jc w:val="center"/>
              <w:rPr>
                <w:sz w:val="18"/>
                <w:szCs w:val="18"/>
              </w:rPr>
            </w:pPr>
            <w:r>
              <w:rPr>
                <w:kern w:val="0"/>
                <w:sz w:val="18"/>
                <w:szCs w:val="18"/>
              </w:rPr>
              <w:t>1</w:t>
            </w:r>
          </w:p>
        </w:tc>
        <w:tc>
          <w:tcPr>
            <w:tcW w:w="339" w:type="pct"/>
            <w:vAlign w:val="center"/>
          </w:tcPr>
          <w:p>
            <w:pPr>
              <w:snapToGrid w:val="0"/>
              <w:spacing w:line="300" w:lineRule="auto"/>
              <w:jc w:val="center"/>
              <w:rPr>
                <w:sz w:val="18"/>
                <w:szCs w:val="18"/>
              </w:rPr>
            </w:pPr>
            <w:r>
              <w:rPr>
                <w:kern w:val="0"/>
                <w:sz w:val="18"/>
                <w:szCs w:val="18"/>
              </w:rPr>
              <w:t>必开</w:t>
            </w:r>
          </w:p>
        </w:tc>
        <w:tc>
          <w:tcPr>
            <w:tcW w:w="339" w:type="pct"/>
            <w:vAlign w:val="center"/>
          </w:tcPr>
          <w:p>
            <w:pPr>
              <w:widowControl/>
              <w:snapToGrid w:val="0"/>
              <w:spacing w:line="300" w:lineRule="auto"/>
              <w:jc w:val="center"/>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 w:hRule="atLeast"/>
          <w:jc w:val="center"/>
        </w:trPr>
        <w:tc>
          <w:tcPr>
            <w:tcW w:w="253" w:type="pct"/>
            <w:vAlign w:val="center"/>
          </w:tcPr>
          <w:p>
            <w:pPr>
              <w:snapToGrid w:val="0"/>
              <w:spacing w:line="300" w:lineRule="auto"/>
              <w:jc w:val="center"/>
              <w:rPr>
                <w:sz w:val="18"/>
                <w:szCs w:val="18"/>
              </w:rPr>
            </w:pPr>
            <w:r>
              <w:rPr>
                <w:sz w:val="18"/>
                <w:szCs w:val="18"/>
              </w:rPr>
              <w:t>3</w:t>
            </w:r>
          </w:p>
        </w:tc>
        <w:tc>
          <w:tcPr>
            <w:tcW w:w="764" w:type="pct"/>
            <w:vAlign w:val="center"/>
          </w:tcPr>
          <w:p>
            <w:pPr>
              <w:snapToGrid w:val="0"/>
              <w:spacing w:line="300" w:lineRule="auto"/>
              <w:rPr>
                <w:sz w:val="18"/>
                <w:szCs w:val="18"/>
              </w:rPr>
            </w:pPr>
            <w:r>
              <w:rPr>
                <w:sz w:val="18"/>
                <w:szCs w:val="18"/>
              </w:rPr>
              <w:t>Huffman编码的实现</w:t>
            </w:r>
          </w:p>
        </w:tc>
        <w:tc>
          <w:tcPr>
            <w:tcW w:w="2458" w:type="pct"/>
            <w:vAlign w:val="center"/>
          </w:tcPr>
          <w:p>
            <w:pPr>
              <w:snapToGrid w:val="0"/>
              <w:spacing w:line="300" w:lineRule="auto"/>
              <w:rPr>
                <w:sz w:val="18"/>
                <w:szCs w:val="18"/>
              </w:rPr>
            </w:pPr>
            <w:r>
              <w:rPr>
                <w:rFonts w:hint="eastAsia" w:ascii="宋体" w:hAnsi="宋体" w:cs="宋体"/>
                <w:kern w:val="0"/>
                <w:sz w:val="18"/>
                <w:szCs w:val="18"/>
              </w:rPr>
              <w:t>①</w:t>
            </w:r>
            <w:r>
              <w:rPr>
                <w:sz w:val="18"/>
                <w:szCs w:val="18"/>
              </w:rPr>
              <w:t>使学生进一步巩固霍夫曼编码的原理；</w:t>
            </w:r>
            <w:r>
              <w:rPr>
                <w:rFonts w:hint="eastAsia" w:ascii="宋体" w:hAnsi="宋体" w:cs="宋体"/>
                <w:kern w:val="0"/>
                <w:sz w:val="18"/>
                <w:szCs w:val="18"/>
              </w:rPr>
              <w:t>②</w:t>
            </w:r>
            <w:r>
              <w:rPr>
                <w:sz w:val="18"/>
                <w:szCs w:val="18"/>
              </w:rPr>
              <w:t>掌握</w:t>
            </w:r>
            <w:r>
              <w:rPr>
                <w:rFonts w:hint="eastAsia"/>
                <w:sz w:val="18"/>
                <w:szCs w:val="18"/>
              </w:rPr>
              <w:t>一般赫夫曼</w:t>
            </w:r>
            <w:r>
              <w:rPr>
                <w:sz w:val="18"/>
                <w:szCs w:val="18"/>
              </w:rPr>
              <w:t>编码方法</w:t>
            </w:r>
            <w:r>
              <w:rPr>
                <w:rFonts w:hint="eastAsia"/>
                <w:sz w:val="18"/>
                <w:szCs w:val="18"/>
              </w:rPr>
              <w:t>和最佳赫夫曼编码方法</w:t>
            </w:r>
            <w:r>
              <w:rPr>
                <w:sz w:val="18"/>
                <w:szCs w:val="18"/>
              </w:rPr>
              <w:t>；</w:t>
            </w:r>
            <w:r>
              <w:rPr>
                <w:rFonts w:hint="eastAsia" w:ascii="宋体" w:hAnsi="宋体" w:cs="宋体"/>
                <w:sz w:val="18"/>
                <w:szCs w:val="18"/>
              </w:rPr>
              <w:t>③</w:t>
            </w:r>
            <w:r>
              <w:rPr>
                <w:sz w:val="18"/>
                <w:szCs w:val="18"/>
              </w:rPr>
              <w:t>培养学生使用编程工具进行分析计算的基本能力。</w:t>
            </w:r>
          </w:p>
        </w:tc>
        <w:tc>
          <w:tcPr>
            <w:tcW w:w="254" w:type="pct"/>
            <w:vAlign w:val="center"/>
          </w:tcPr>
          <w:p>
            <w:pPr>
              <w:snapToGrid w:val="0"/>
              <w:spacing w:line="300" w:lineRule="auto"/>
              <w:jc w:val="center"/>
              <w:rPr>
                <w:kern w:val="0"/>
                <w:sz w:val="18"/>
                <w:szCs w:val="18"/>
              </w:rPr>
            </w:pPr>
            <w:r>
              <w:rPr>
                <w:kern w:val="0"/>
                <w:sz w:val="18"/>
                <w:szCs w:val="18"/>
              </w:rPr>
              <w:t>4</w:t>
            </w:r>
          </w:p>
        </w:tc>
        <w:tc>
          <w:tcPr>
            <w:tcW w:w="339" w:type="pct"/>
            <w:vAlign w:val="center"/>
          </w:tcPr>
          <w:p>
            <w:pPr>
              <w:snapToGrid w:val="0"/>
              <w:spacing w:line="300" w:lineRule="auto"/>
              <w:ind w:right="-334"/>
              <w:rPr>
                <w:sz w:val="18"/>
                <w:szCs w:val="18"/>
              </w:rPr>
            </w:pPr>
            <w:r>
              <w:rPr>
                <w:kern w:val="0"/>
                <w:sz w:val="18"/>
                <w:szCs w:val="18"/>
              </w:rPr>
              <w:t>设计</w:t>
            </w:r>
          </w:p>
        </w:tc>
        <w:tc>
          <w:tcPr>
            <w:tcW w:w="255" w:type="pct"/>
            <w:vAlign w:val="center"/>
          </w:tcPr>
          <w:p>
            <w:pPr>
              <w:snapToGrid w:val="0"/>
              <w:spacing w:line="300" w:lineRule="auto"/>
              <w:jc w:val="center"/>
              <w:rPr>
                <w:sz w:val="18"/>
                <w:szCs w:val="18"/>
              </w:rPr>
            </w:pPr>
            <w:r>
              <w:rPr>
                <w:kern w:val="0"/>
                <w:sz w:val="18"/>
                <w:szCs w:val="18"/>
              </w:rPr>
              <w:t>1</w:t>
            </w:r>
          </w:p>
        </w:tc>
        <w:tc>
          <w:tcPr>
            <w:tcW w:w="339" w:type="pct"/>
            <w:vAlign w:val="center"/>
          </w:tcPr>
          <w:p>
            <w:pPr>
              <w:snapToGrid w:val="0"/>
              <w:spacing w:line="300" w:lineRule="auto"/>
              <w:jc w:val="center"/>
              <w:rPr>
                <w:sz w:val="18"/>
                <w:szCs w:val="18"/>
              </w:rPr>
            </w:pPr>
            <w:r>
              <w:rPr>
                <w:kern w:val="0"/>
                <w:sz w:val="18"/>
                <w:szCs w:val="18"/>
              </w:rPr>
              <w:t>必开</w:t>
            </w:r>
          </w:p>
        </w:tc>
        <w:tc>
          <w:tcPr>
            <w:tcW w:w="339" w:type="pct"/>
            <w:vAlign w:val="center"/>
          </w:tcPr>
          <w:p>
            <w:pPr>
              <w:snapToGrid w:val="0"/>
              <w:spacing w:line="300" w:lineRule="auto"/>
              <w:jc w:val="center"/>
              <w:rPr>
                <w:sz w:val="18"/>
                <w:szCs w:val="18"/>
              </w:rPr>
            </w:pPr>
            <w:r>
              <w:rPr>
                <w:kern w:val="0"/>
                <w:sz w:val="18"/>
                <w:szCs w:val="18"/>
              </w:rPr>
              <w:t>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w:t>
      </w:r>
      <w:r>
        <w:rPr>
          <w:szCs w:val="21"/>
        </w:rPr>
        <w:t>闭卷笔试，平时测验，作业及实验报告</w:t>
      </w:r>
      <w:r>
        <w:t>。</w:t>
      </w:r>
    </w:p>
    <w:p>
      <w:pPr>
        <w:snapToGrid w:val="0"/>
        <w:spacing w:line="300" w:lineRule="auto"/>
        <w:ind w:firstLine="420" w:firstLineChars="200"/>
      </w:pPr>
      <w:r>
        <w:t>2．成绩构成：</w:t>
      </w:r>
      <w:r>
        <w:rPr>
          <w:szCs w:val="21"/>
        </w:rPr>
        <w:t>笔试成绩60%，平时成绩40%（课后作业、课堂表现、实验成绩等）</w:t>
      </w:r>
      <w:r>
        <w:t>。</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56"/>
        <w:gridCol w:w="653"/>
        <w:gridCol w:w="637"/>
        <w:gridCol w:w="545"/>
        <w:gridCol w:w="3537"/>
        <w:gridCol w:w="91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6"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385" w:type="pct"/>
            <w:vAlign w:val="center"/>
          </w:tcPr>
          <w:p>
            <w:pPr>
              <w:snapToGrid w:val="0"/>
              <w:spacing w:line="300" w:lineRule="auto"/>
              <w:jc w:val="center"/>
              <w:rPr>
                <w:b/>
                <w:bCs/>
                <w:sz w:val="18"/>
                <w:szCs w:val="18"/>
              </w:rPr>
            </w:pPr>
            <w:r>
              <w:rPr>
                <w:b/>
                <w:bCs/>
                <w:sz w:val="18"/>
                <w:szCs w:val="18"/>
              </w:rPr>
              <w:t>分值</w:t>
            </w:r>
          </w:p>
        </w:tc>
        <w:tc>
          <w:tcPr>
            <w:tcW w:w="383" w:type="pct"/>
            <w:vAlign w:val="center"/>
          </w:tcPr>
          <w:p>
            <w:pPr>
              <w:snapToGrid w:val="0"/>
              <w:spacing w:line="300" w:lineRule="auto"/>
              <w:jc w:val="center"/>
              <w:rPr>
                <w:b/>
                <w:bCs/>
                <w:sz w:val="18"/>
                <w:szCs w:val="18"/>
              </w:rPr>
            </w:pPr>
            <w:r>
              <w:rPr>
                <w:b/>
                <w:bCs/>
                <w:sz w:val="18"/>
                <w:szCs w:val="18"/>
              </w:rPr>
              <w:t>权重</w:t>
            </w:r>
          </w:p>
        </w:tc>
        <w:tc>
          <w:tcPr>
            <w:tcW w:w="374" w:type="pct"/>
            <w:vAlign w:val="center"/>
          </w:tcPr>
          <w:p>
            <w:pPr>
              <w:snapToGrid w:val="0"/>
              <w:spacing w:line="300" w:lineRule="auto"/>
              <w:jc w:val="center"/>
              <w:rPr>
                <w:b/>
                <w:bCs/>
                <w:sz w:val="18"/>
                <w:szCs w:val="18"/>
              </w:rPr>
            </w:pPr>
            <w:r>
              <w:rPr>
                <w:b/>
                <w:bCs/>
                <w:sz w:val="18"/>
                <w:szCs w:val="18"/>
              </w:rPr>
              <w:t>类别</w:t>
            </w:r>
          </w:p>
        </w:tc>
        <w:tc>
          <w:tcPr>
            <w:tcW w:w="320" w:type="pct"/>
            <w:vAlign w:val="center"/>
          </w:tcPr>
          <w:p>
            <w:pPr>
              <w:snapToGrid w:val="0"/>
              <w:spacing w:line="300" w:lineRule="auto"/>
              <w:jc w:val="center"/>
              <w:rPr>
                <w:b/>
                <w:bCs/>
                <w:sz w:val="18"/>
                <w:szCs w:val="18"/>
              </w:rPr>
            </w:pPr>
            <w:r>
              <w:rPr>
                <w:b/>
                <w:bCs/>
                <w:sz w:val="18"/>
                <w:szCs w:val="18"/>
              </w:rPr>
              <w:t>权重</w:t>
            </w:r>
          </w:p>
        </w:tc>
        <w:tc>
          <w:tcPr>
            <w:tcW w:w="2075" w:type="pct"/>
            <w:vAlign w:val="center"/>
          </w:tcPr>
          <w:p>
            <w:pPr>
              <w:snapToGrid w:val="0"/>
              <w:spacing w:line="300" w:lineRule="auto"/>
              <w:jc w:val="center"/>
              <w:rPr>
                <w:b/>
                <w:bCs/>
                <w:sz w:val="18"/>
                <w:szCs w:val="18"/>
              </w:rPr>
            </w:pPr>
            <w:r>
              <w:rPr>
                <w:b/>
                <w:bCs/>
                <w:sz w:val="18"/>
                <w:szCs w:val="18"/>
              </w:rPr>
              <w:t>考核/评价细则</w:t>
            </w:r>
          </w:p>
        </w:tc>
        <w:tc>
          <w:tcPr>
            <w:tcW w:w="539"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38" w:type="pct"/>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0.4</w:t>
            </w:r>
          </w:p>
        </w:tc>
        <w:tc>
          <w:tcPr>
            <w:tcW w:w="374" w:type="pct"/>
            <w:vAlign w:val="center"/>
          </w:tcPr>
          <w:p>
            <w:pPr>
              <w:snapToGrid w:val="0"/>
              <w:spacing w:line="300" w:lineRule="auto"/>
              <w:jc w:val="center"/>
              <w:rPr>
                <w:sz w:val="18"/>
                <w:szCs w:val="18"/>
              </w:rPr>
            </w:pPr>
            <w:r>
              <w:rPr>
                <w:sz w:val="18"/>
                <w:szCs w:val="18"/>
              </w:rPr>
              <w:t>课堂表现</w:t>
            </w:r>
          </w:p>
        </w:tc>
        <w:tc>
          <w:tcPr>
            <w:tcW w:w="320" w:type="pct"/>
            <w:vAlign w:val="center"/>
          </w:tcPr>
          <w:p>
            <w:pPr>
              <w:snapToGrid w:val="0"/>
              <w:spacing w:line="300" w:lineRule="auto"/>
              <w:jc w:val="center"/>
              <w:rPr>
                <w:sz w:val="18"/>
                <w:szCs w:val="18"/>
              </w:rPr>
            </w:pPr>
            <w:r>
              <w:rPr>
                <w:sz w:val="18"/>
                <w:szCs w:val="18"/>
              </w:rPr>
              <w:t>0.08</w:t>
            </w:r>
          </w:p>
        </w:tc>
        <w:tc>
          <w:tcPr>
            <w:tcW w:w="2075" w:type="pct"/>
            <w:vAlign w:val="center"/>
          </w:tcPr>
          <w:p>
            <w:pPr>
              <w:snapToGrid w:val="0"/>
              <w:spacing w:line="300" w:lineRule="auto"/>
              <w:rPr>
                <w:sz w:val="18"/>
                <w:szCs w:val="18"/>
              </w:rPr>
            </w:pPr>
            <w:r>
              <w:rPr>
                <w:sz w:val="18"/>
                <w:szCs w:val="18"/>
              </w:rPr>
              <w:t>根据学生课堂表现打分，满分100。</w:t>
            </w:r>
          </w:p>
        </w:tc>
        <w:tc>
          <w:tcPr>
            <w:tcW w:w="539" w:type="pct"/>
            <w:vAlign w:val="center"/>
          </w:tcPr>
          <w:p>
            <w:pPr>
              <w:snapToGrid w:val="0"/>
              <w:spacing w:line="300" w:lineRule="auto"/>
              <w:jc w:val="center"/>
              <w:rPr>
                <w:sz w:val="18"/>
                <w:szCs w:val="18"/>
              </w:rPr>
            </w:pPr>
            <w:r>
              <w:rPr>
                <w:sz w:val="18"/>
                <w:szCs w:val="18"/>
              </w:rPr>
              <w:t>1</w:t>
            </w:r>
          </w:p>
        </w:tc>
        <w:tc>
          <w:tcPr>
            <w:tcW w:w="538"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restart"/>
            <w:vAlign w:val="center"/>
          </w:tcPr>
          <w:p>
            <w:pPr>
              <w:snapToGrid w:val="0"/>
              <w:spacing w:line="300" w:lineRule="auto"/>
              <w:jc w:val="center"/>
              <w:rPr>
                <w:sz w:val="18"/>
                <w:szCs w:val="18"/>
              </w:rPr>
            </w:pPr>
            <w:r>
              <w:rPr>
                <w:sz w:val="18"/>
                <w:szCs w:val="18"/>
              </w:rPr>
              <w:t>作业</w:t>
            </w:r>
          </w:p>
        </w:tc>
        <w:tc>
          <w:tcPr>
            <w:tcW w:w="320" w:type="pct"/>
            <w:vAlign w:val="center"/>
          </w:tcPr>
          <w:p>
            <w:pPr>
              <w:snapToGrid w:val="0"/>
              <w:spacing w:line="300" w:lineRule="auto"/>
              <w:jc w:val="center"/>
              <w:rPr>
                <w:sz w:val="18"/>
                <w:szCs w:val="18"/>
              </w:rPr>
            </w:pPr>
            <w:r>
              <w:rPr>
                <w:sz w:val="18"/>
                <w:szCs w:val="18"/>
              </w:rPr>
              <w:t>0.09</w:t>
            </w:r>
          </w:p>
        </w:tc>
        <w:tc>
          <w:tcPr>
            <w:tcW w:w="2075" w:type="pct"/>
            <w:vMerge w:val="restart"/>
            <w:vAlign w:val="center"/>
          </w:tcPr>
          <w:p>
            <w:pPr>
              <w:snapToGrid w:val="0"/>
              <w:spacing w:line="300" w:lineRule="auto"/>
              <w:jc w:val="left"/>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w:t>
            </w:r>
            <w:r>
              <w:rPr>
                <w:sz w:val="18"/>
                <w:szCs w:val="18"/>
              </w:rPr>
              <w:t>4</w:t>
            </w:r>
            <w:r>
              <w:rPr>
                <w:rFonts w:hint="eastAsia"/>
                <w:sz w:val="18"/>
                <w:szCs w:val="18"/>
              </w:rPr>
              <w:t>次作业，</w:t>
            </w:r>
            <w:r>
              <w:rPr>
                <w:sz w:val="18"/>
                <w:szCs w:val="18"/>
              </w:rPr>
              <w:t>每次作业</w:t>
            </w:r>
            <w:r>
              <w:rPr>
                <w:rFonts w:hint="eastAsia"/>
                <w:sz w:val="18"/>
                <w:szCs w:val="18"/>
              </w:rPr>
              <w:t>满分</w:t>
            </w:r>
            <w:r>
              <w:rPr>
                <w:sz w:val="18"/>
                <w:szCs w:val="18"/>
              </w:rPr>
              <w:t>25分</w:t>
            </w:r>
            <w:r>
              <w:rPr>
                <w:rFonts w:hint="eastAsia"/>
                <w:sz w:val="18"/>
                <w:szCs w:val="18"/>
              </w:rPr>
              <w:t>，作业总成绩1</w:t>
            </w:r>
            <w:r>
              <w:rPr>
                <w:sz w:val="18"/>
                <w:szCs w:val="18"/>
              </w:rPr>
              <w:t>00</w:t>
            </w:r>
            <w:r>
              <w:rPr>
                <w:rFonts w:hint="eastAsia"/>
                <w:sz w:val="18"/>
                <w:szCs w:val="18"/>
              </w:rPr>
              <w:t>分。</w:t>
            </w:r>
          </w:p>
        </w:tc>
        <w:tc>
          <w:tcPr>
            <w:tcW w:w="539" w:type="pct"/>
            <w:vAlign w:val="center"/>
          </w:tcPr>
          <w:p>
            <w:pPr>
              <w:snapToGrid w:val="0"/>
              <w:spacing w:line="300" w:lineRule="auto"/>
              <w:jc w:val="center"/>
              <w:rPr>
                <w:sz w:val="18"/>
                <w:szCs w:val="18"/>
              </w:rPr>
            </w:pPr>
            <w:r>
              <w:rPr>
                <w:sz w:val="18"/>
                <w:szCs w:val="18"/>
              </w:rPr>
              <w:t>2</w:t>
            </w:r>
          </w:p>
        </w:tc>
        <w:tc>
          <w:tcPr>
            <w:tcW w:w="538" w:type="pct"/>
            <w:vAlign w:val="center"/>
          </w:tcPr>
          <w:p>
            <w:pPr>
              <w:snapToGrid w:val="0"/>
              <w:spacing w:line="300" w:lineRule="auto"/>
              <w:jc w:val="center"/>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center"/>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.03</w:t>
            </w:r>
          </w:p>
        </w:tc>
        <w:tc>
          <w:tcPr>
            <w:tcW w:w="2075" w:type="pct"/>
            <w:vMerge w:val="continue"/>
            <w:vAlign w:val="center"/>
          </w:tcPr>
          <w:p>
            <w:pPr>
              <w:snapToGrid w:val="0"/>
              <w:spacing w:line="300" w:lineRule="auto"/>
              <w:jc w:val="left"/>
              <w:rPr>
                <w:sz w:val="18"/>
                <w:szCs w:val="18"/>
              </w:rPr>
            </w:pPr>
          </w:p>
        </w:tc>
        <w:tc>
          <w:tcPr>
            <w:tcW w:w="539" w:type="pct"/>
            <w:vAlign w:val="center"/>
          </w:tcPr>
          <w:p>
            <w:pPr>
              <w:snapToGrid w:val="0"/>
              <w:spacing w:line="300" w:lineRule="auto"/>
              <w:jc w:val="center"/>
              <w:rPr>
                <w:sz w:val="18"/>
                <w:szCs w:val="18"/>
              </w:rPr>
            </w:pPr>
            <w:r>
              <w:rPr>
                <w:rFonts w:hint="eastAsia"/>
                <w:sz w:val="18"/>
                <w:szCs w:val="18"/>
              </w:rPr>
              <w:t>3</w:t>
            </w:r>
          </w:p>
        </w:tc>
        <w:tc>
          <w:tcPr>
            <w:tcW w:w="538" w:type="pct"/>
            <w:vAlign w:val="center"/>
          </w:tcPr>
          <w:p>
            <w:pPr>
              <w:snapToGrid w:val="0"/>
              <w:spacing w:line="300" w:lineRule="auto"/>
              <w:jc w:val="center"/>
              <w:rPr>
                <w:sz w:val="18"/>
                <w:szCs w:val="18"/>
              </w:rPr>
            </w:pPr>
            <w:r>
              <w:rPr>
                <w:rFonts w:hint="eastAsia"/>
                <w:sz w:val="18"/>
                <w:szCs w:val="18"/>
              </w:rPr>
              <w:t>1</w:t>
            </w:r>
            <w:r>
              <w:rPr>
                <w:sz w:val="18"/>
                <w:szCs w:val="18"/>
              </w:rPr>
              <w:t>.2</w:t>
            </w:r>
            <w:r>
              <w:rPr>
                <w:rFonts w:hint="eastAsia"/>
                <w:sz w:val="18"/>
                <w:szCs w:val="18"/>
              </w:rPr>
              <w:t>，</w:t>
            </w: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3"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实验</w:t>
            </w:r>
          </w:p>
        </w:tc>
        <w:tc>
          <w:tcPr>
            <w:tcW w:w="320" w:type="pct"/>
            <w:vAlign w:val="center"/>
          </w:tcPr>
          <w:p>
            <w:pPr>
              <w:snapToGrid w:val="0"/>
              <w:spacing w:line="300" w:lineRule="auto"/>
              <w:jc w:val="center"/>
              <w:rPr>
                <w:sz w:val="18"/>
                <w:szCs w:val="18"/>
              </w:rPr>
            </w:pPr>
            <w:r>
              <w:rPr>
                <w:sz w:val="18"/>
                <w:szCs w:val="18"/>
              </w:rPr>
              <w:t>0.2</w:t>
            </w:r>
          </w:p>
        </w:tc>
        <w:tc>
          <w:tcPr>
            <w:tcW w:w="2075" w:type="pct"/>
            <w:vAlign w:val="center"/>
          </w:tcPr>
          <w:p>
            <w:pPr>
              <w:snapToGrid w:val="0"/>
              <w:spacing w:line="300" w:lineRule="auto"/>
              <w:jc w:val="left"/>
              <w:rPr>
                <w:sz w:val="18"/>
                <w:szCs w:val="18"/>
              </w:rPr>
            </w:pPr>
            <w:r>
              <w:rPr>
                <w:sz w:val="18"/>
                <w:szCs w:val="18"/>
              </w:rPr>
              <w:t>根据实验完成质量以及实验报告质量评分</w:t>
            </w:r>
            <w:r>
              <w:rPr>
                <w:rFonts w:hint="eastAsia"/>
                <w:sz w:val="18"/>
                <w:szCs w:val="18"/>
              </w:rPr>
              <w:t>；共三次实验，其中前两个实验满分均为2</w:t>
            </w:r>
            <w:r>
              <w:rPr>
                <w:sz w:val="18"/>
                <w:szCs w:val="18"/>
              </w:rPr>
              <w:t>5</w:t>
            </w:r>
            <w:r>
              <w:rPr>
                <w:rFonts w:hint="eastAsia"/>
                <w:sz w:val="18"/>
                <w:szCs w:val="18"/>
              </w:rPr>
              <w:t>分，第三个实验满分5</w:t>
            </w:r>
            <w:r>
              <w:rPr>
                <w:sz w:val="18"/>
                <w:szCs w:val="18"/>
              </w:rPr>
              <w:t>0</w:t>
            </w:r>
            <w:r>
              <w:rPr>
                <w:rFonts w:hint="eastAsia"/>
                <w:sz w:val="18"/>
                <w:szCs w:val="18"/>
              </w:rPr>
              <w:t>分，实验总成绩</w:t>
            </w:r>
            <w:r>
              <w:rPr>
                <w:sz w:val="18"/>
                <w:szCs w:val="18"/>
              </w:rPr>
              <w:t>100分。</w:t>
            </w:r>
          </w:p>
        </w:tc>
        <w:tc>
          <w:tcPr>
            <w:tcW w:w="539" w:type="pct"/>
            <w:vAlign w:val="center"/>
          </w:tcPr>
          <w:p>
            <w:pPr>
              <w:snapToGrid w:val="0"/>
              <w:spacing w:line="300" w:lineRule="auto"/>
              <w:jc w:val="center"/>
              <w:rPr>
                <w:sz w:val="18"/>
                <w:szCs w:val="18"/>
              </w:rPr>
            </w:pPr>
            <w:r>
              <w:rPr>
                <w:sz w:val="18"/>
                <w:szCs w:val="18"/>
              </w:rPr>
              <w:t>2</w:t>
            </w:r>
          </w:p>
        </w:tc>
        <w:tc>
          <w:tcPr>
            <w:tcW w:w="538" w:type="pct"/>
            <w:vAlign w:val="center"/>
          </w:tcPr>
          <w:p>
            <w:pPr>
              <w:snapToGrid w:val="0"/>
              <w:spacing w:line="300" w:lineRule="auto"/>
              <w:jc w:val="center"/>
              <w:rPr>
                <w:sz w:val="18"/>
                <w:szCs w:val="18"/>
              </w:rPr>
            </w:pPr>
            <w:r>
              <w:rPr>
                <w:rFonts w:hint="eastAsia"/>
                <w:sz w:val="18"/>
                <w:szCs w:val="18"/>
              </w:rPr>
              <w:t>2</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86" w:type="pct"/>
            <w:vMerge w:val="restart"/>
            <w:vAlign w:val="center"/>
          </w:tcPr>
          <w:p>
            <w:pPr>
              <w:snapToGrid w:val="0"/>
              <w:spacing w:line="300" w:lineRule="auto"/>
              <w:jc w:val="left"/>
              <w:rPr>
                <w:sz w:val="18"/>
                <w:szCs w:val="18"/>
              </w:rPr>
            </w:pPr>
            <w:r>
              <w:rPr>
                <w:sz w:val="18"/>
                <w:szCs w:val="18"/>
              </w:rPr>
              <w:t>期末考试成绩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3" w:type="pct"/>
            <w:vMerge w:val="restart"/>
            <w:vAlign w:val="center"/>
          </w:tcPr>
          <w:p>
            <w:pPr>
              <w:snapToGrid w:val="0"/>
              <w:spacing w:line="300" w:lineRule="auto"/>
              <w:jc w:val="center"/>
              <w:rPr>
                <w:sz w:val="18"/>
                <w:szCs w:val="18"/>
              </w:rPr>
            </w:pPr>
            <w:r>
              <w:rPr>
                <w:sz w:val="18"/>
                <w:szCs w:val="18"/>
              </w:rPr>
              <w:t>0.6</w:t>
            </w:r>
          </w:p>
        </w:tc>
        <w:tc>
          <w:tcPr>
            <w:tcW w:w="374" w:type="pct"/>
            <w:vMerge w:val="restart"/>
            <w:vAlign w:val="center"/>
          </w:tcPr>
          <w:p>
            <w:pPr>
              <w:snapToGrid w:val="0"/>
              <w:spacing w:line="300" w:lineRule="auto"/>
              <w:jc w:val="left"/>
              <w:rPr>
                <w:sz w:val="18"/>
                <w:szCs w:val="18"/>
              </w:rPr>
            </w:pPr>
            <w:r>
              <w:rPr>
                <w:sz w:val="18"/>
                <w:szCs w:val="18"/>
              </w:rPr>
              <w:t>闭卷考试</w:t>
            </w:r>
          </w:p>
        </w:tc>
        <w:tc>
          <w:tcPr>
            <w:tcW w:w="320" w:type="pct"/>
            <w:vAlign w:val="center"/>
          </w:tcPr>
          <w:p>
            <w:pPr>
              <w:snapToGrid w:val="0"/>
              <w:spacing w:line="300" w:lineRule="auto"/>
              <w:jc w:val="center"/>
              <w:rPr>
                <w:sz w:val="18"/>
                <w:szCs w:val="18"/>
              </w:rPr>
            </w:pPr>
            <w:r>
              <w:rPr>
                <w:sz w:val="18"/>
                <w:szCs w:val="18"/>
              </w:rPr>
              <w:t>0.06</w:t>
            </w:r>
          </w:p>
        </w:tc>
        <w:tc>
          <w:tcPr>
            <w:tcW w:w="2075" w:type="pct"/>
            <w:vMerge w:val="restart"/>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第1-5章。</w:t>
            </w:r>
          </w:p>
          <w:p>
            <w:pPr>
              <w:snapToGrid w:val="0"/>
              <w:spacing w:line="300" w:lineRule="auto"/>
              <w:rPr>
                <w:sz w:val="18"/>
                <w:szCs w:val="18"/>
              </w:rPr>
            </w:pPr>
            <w:r>
              <w:rPr>
                <w:sz w:val="18"/>
                <w:szCs w:val="18"/>
              </w:rPr>
              <w:t>(3)建议考试题型包括：填空题、选择题、分析判断、画图题、简单计算题、综合计算题、证明题等其中某几种题型。</w:t>
            </w:r>
          </w:p>
        </w:tc>
        <w:tc>
          <w:tcPr>
            <w:tcW w:w="539" w:type="pct"/>
            <w:vAlign w:val="center"/>
          </w:tcPr>
          <w:p>
            <w:pPr>
              <w:snapToGrid w:val="0"/>
              <w:spacing w:line="300" w:lineRule="auto"/>
              <w:jc w:val="center"/>
              <w:rPr>
                <w:sz w:val="18"/>
                <w:szCs w:val="18"/>
              </w:rPr>
            </w:pPr>
            <w:r>
              <w:rPr>
                <w:sz w:val="18"/>
                <w:szCs w:val="18"/>
              </w:rPr>
              <w:t>1</w:t>
            </w:r>
          </w:p>
        </w:tc>
        <w:tc>
          <w:tcPr>
            <w:tcW w:w="538" w:type="pct"/>
            <w:vAlign w:val="center"/>
          </w:tcPr>
          <w:p>
            <w:pPr>
              <w:snapToGrid w:val="0"/>
              <w:spacing w:line="300" w:lineRule="auto"/>
              <w:jc w:val="center"/>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86" w:type="pct"/>
            <w:vMerge w:val="continue"/>
            <w:vAlign w:val="center"/>
          </w:tcPr>
          <w:p>
            <w:pPr>
              <w:snapToGrid w:val="0"/>
              <w:spacing w:line="300" w:lineRule="auto"/>
              <w:jc w:val="left"/>
              <w:rPr>
                <w:sz w:val="18"/>
                <w:szCs w:val="18"/>
              </w:rPr>
            </w:pPr>
          </w:p>
        </w:tc>
        <w:tc>
          <w:tcPr>
            <w:tcW w:w="385" w:type="pct"/>
            <w:vMerge w:val="continue"/>
            <w:vAlign w:val="center"/>
          </w:tcPr>
          <w:p>
            <w:pPr>
              <w:snapToGrid w:val="0"/>
              <w:spacing w:line="300" w:lineRule="auto"/>
              <w:jc w:val="center"/>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.48</w:t>
            </w:r>
          </w:p>
        </w:tc>
        <w:tc>
          <w:tcPr>
            <w:tcW w:w="2075" w:type="pct"/>
            <w:vMerge w:val="continue"/>
            <w:vAlign w:val="center"/>
          </w:tcPr>
          <w:p>
            <w:pPr>
              <w:snapToGrid w:val="0"/>
              <w:spacing w:line="300" w:lineRule="auto"/>
              <w:rPr>
                <w:sz w:val="18"/>
                <w:szCs w:val="18"/>
              </w:rPr>
            </w:pPr>
          </w:p>
        </w:tc>
        <w:tc>
          <w:tcPr>
            <w:tcW w:w="539" w:type="pct"/>
            <w:vAlign w:val="center"/>
          </w:tcPr>
          <w:p>
            <w:pPr>
              <w:snapToGrid w:val="0"/>
              <w:spacing w:line="300" w:lineRule="auto"/>
              <w:jc w:val="center"/>
              <w:rPr>
                <w:sz w:val="18"/>
                <w:szCs w:val="18"/>
              </w:rPr>
            </w:pPr>
            <w:r>
              <w:rPr>
                <w:rFonts w:hint="eastAsia"/>
                <w:sz w:val="18"/>
                <w:szCs w:val="18"/>
              </w:rPr>
              <w:t>2</w:t>
            </w:r>
          </w:p>
        </w:tc>
        <w:tc>
          <w:tcPr>
            <w:tcW w:w="538" w:type="pct"/>
            <w:vAlign w:val="center"/>
          </w:tcPr>
          <w:p>
            <w:pPr>
              <w:snapToGrid w:val="0"/>
              <w:spacing w:line="300" w:lineRule="auto"/>
              <w:jc w:val="center"/>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86" w:type="pct"/>
            <w:vMerge w:val="continue"/>
            <w:vAlign w:val="center"/>
          </w:tcPr>
          <w:p>
            <w:pPr>
              <w:snapToGrid w:val="0"/>
              <w:spacing w:line="300" w:lineRule="auto"/>
              <w:jc w:val="left"/>
              <w:rPr>
                <w:sz w:val="18"/>
                <w:szCs w:val="18"/>
              </w:rPr>
            </w:pPr>
          </w:p>
        </w:tc>
        <w:tc>
          <w:tcPr>
            <w:tcW w:w="385" w:type="pct"/>
            <w:vMerge w:val="continue"/>
            <w:vAlign w:val="center"/>
          </w:tcPr>
          <w:p>
            <w:pPr>
              <w:snapToGrid w:val="0"/>
              <w:spacing w:line="300" w:lineRule="auto"/>
              <w:jc w:val="center"/>
              <w:rPr>
                <w:sz w:val="18"/>
                <w:szCs w:val="18"/>
              </w:rPr>
            </w:pPr>
          </w:p>
        </w:tc>
        <w:tc>
          <w:tcPr>
            <w:tcW w:w="383" w:type="pct"/>
            <w:vMerge w:val="continue"/>
            <w:vAlign w:val="center"/>
          </w:tcPr>
          <w:p>
            <w:pPr>
              <w:snapToGrid w:val="0"/>
              <w:spacing w:line="300" w:lineRule="auto"/>
              <w:jc w:val="center"/>
              <w:rPr>
                <w:sz w:val="18"/>
                <w:szCs w:val="18"/>
              </w:rPr>
            </w:pPr>
          </w:p>
        </w:tc>
        <w:tc>
          <w:tcPr>
            <w:tcW w:w="374" w:type="pct"/>
            <w:vMerge w:val="continue"/>
            <w:vAlign w:val="center"/>
          </w:tcPr>
          <w:p>
            <w:pPr>
              <w:snapToGrid w:val="0"/>
              <w:spacing w:line="300" w:lineRule="auto"/>
              <w:jc w:val="left"/>
              <w:rPr>
                <w:sz w:val="18"/>
                <w:szCs w:val="18"/>
              </w:rPr>
            </w:pPr>
          </w:p>
        </w:tc>
        <w:tc>
          <w:tcPr>
            <w:tcW w:w="320" w:type="pct"/>
            <w:vAlign w:val="center"/>
          </w:tcPr>
          <w:p>
            <w:pPr>
              <w:snapToGrid w:val="0"/>
              <w:spacing w:line="300" w:lineRule="auto"/>
              <w:jc w:val="center"/>
              <w:rPr>
                <w:sz w:val="18"/>
                <w:szCs w:val="18"/>
              </w:rPr>
            </w:pPr>
            <w:r>
              <w:rPr>
                <w:rFonts w:hint="eastAsia"/>
                <w:sz w:val="18"/>
                <w:szCs w:val="18"/>
              </w:rPr>
              <w:t>0</w:t>
            </w:r>
            <w:r>
              <w:rPr>
                <w:sz w:val="18"/>
                <w:szCs w:val="18"/>
              </w:rPr>
              <w:t>.06</w:t>
            </w:r>
          </w:p>
        </w:tc>
        <w:tc>
          <w:tcPr>
            <w:tcW w:w="2075" w:type="pct"/>
            <w:vMerge w:val="continue"/>
            <w:vAlign w:val="center"/>
          </w:tcPr>
          <w:p>
            <w:pPr>
              <w:snapToGrid w:val="0"/>
              <w:spacing w:line="300" w:lineRule="auto"/>
              <w:rPr>
                <w:sz w:val="18"/>
                <w:szCs w:val="18"/>
              </w:rPr>
            </w:pPr>
          </w:p>
        </w:tc>
        <w:tc>
          <w:tcPr>
            <w:tcW w:w="539" w:type="pct"/>
            <w:vAlign w:val="center"/>
          </w:tcPr>
          <w:p>
            <w:pPr>
              <w:snapToGrid w:val="0"/>
              <w:spacing w:line="300" w:lineRule="auto"/>
              <w:jc w:val="center"/>
              <w:rPr>
                <w:sz w:val="18"/>
                <w:szCs w:val="18"/>
              </w:rPr>
            </w:pPr>
            <w:r>
              <w:rPr>
                <w:rFonts w:hint="eastAsia"/>
                <w:sz w:val="18"/>
                <w:szCs w:val="18"/>
              </w:rPr>
              <w:t>3</w:t>
            </w:r>
          </w:p>
        </w:tc>
        <w:tc>
          <w:tcPr>
            <w:tcW w:w="538" w:type="pct"/>
            <w:vAlign w:val="center"/>
          </w:tcPr>
          <w:p>
            <w:pPr>
              <w:snapToGrid w:val="0"/>
              <w:spacing w:line="300" w:lineRule="auto"/>
              <w:jc w:val="center"/>
              <w:rPr>
                <w:sz w:val="18"/>
                <w:szCs w:val="18"/>
              </w:rPr>
            </w:pPr>
            <w:r>
              <w:rPr>
                <w:rFonts w:hint="eastAsia"/>
                <w:sz w:val="18"/>
                <w:szCs w:val="18"/>
              </w:rPr>
              <w:t>1</w:t>
            </w:r>
            <w:r>
              <w:rPr>
                <w:sz w:val="18"/>
                <w:szCs w:val="18"/>
              </w:rPr>
              <w:t>.2</w:t>
            </w:r>
            <w:r>
              <w:rPr>
                <w:rFonts w:hint="eastAsia"/>
                <w:sz w:val="18"/>
                <w:szCs w:val="18"/>
              </w:rPr>
              <w:t>，</w:t>
            </w:r>
            <w:r>
              <w:rPr>
                <w:sz w:val="18"/>
                <w:szCs w:val="18"/>
              </w:rPr>
              <w:t>2.1</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86" o:spt="75" type="#_x0000_t75" style="height:30pt;width:360pt;" o:ole="t" filled="f" o:preferrelative="t" stroked="f" coordsize="21600,21600">
            <v:path/>
            <v:fill on="f" focussize="0,0"/>
            <v:stroke on="f" joinstyle="miter"/>
            <v:imagedata r:id="rId36" o:title=""/>
            <o:lock v:ext="edit" aspectratio="t"/>
            <w10:wrap type="none"/>
            <w10:anchorlock/>
          </v:shape>
          <o:OLEObject Type="Embed" ProgID="Equation.3" ShapeID="_x0000_i1086" DrawAspect="Content" ObjectID="_1468075785" r:id="rId98">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087" o:spt="75" type="#_x0000_t75" style="height:18pt;width:306pt;" o:ole="t" filled="f" o:preferrelative="t" stroked="f" coordsize="21600,21600">
            <v:path/>
            <v:fill on="f" focussize="0,0"/>
            <v:stroke on="f" joinstyle="miter"/>
            <v:imagedata r:id="rId38" o:title=""/>
            <o:lock v:ext="edit" aspectratio="t"/>
            <w10:wrap type="none"/>
            <w10:anchorlock/>
          </v:shape>
          <o:OLEObject Type="Embed" ProgID="Equation.DSMT4" ShapeID="_x0000_i1087" DrawAspect="Content" ObjectID="_1468075786" r:id="rId99">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63"/>
        <w:gridCol w:w="1968"/>
        <w:gridCol w:w="2334"/>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099" w:type="pct"/>
            <w:vAlign w:val="center"/>
          </w:tcPr>
          <w:p>
            <w:pPr>
              <w:snapToGrid w:val="0"/>
              <w:spacing w:line="300" w:lineRule="auto"/>
              <w:jc w:val="center"/>
              <w:rPr>
                <w:b/>
                <w:bCs/>
                <w:sz w:val="18"/>
                <w:szCs w:val="18"/>
              </w:rPr>
            </w:pPr>
            <w:r>
              <w:rPr>
                <w:b/>
                <w:bCs/>
                <w:sz w:val="18"/>
                <w:szCs w:val="18"/>
              </w:rPr>
              <w:t>课程目标</w:t>
            </w:r>
          </w:p>
        </w:tc>
        <w:tc>
          <w:tcPr>
            <w:tcW w:w="1161" w:type="pct"/>
            <w:vAlign w:val="center"/>
          </w:tcPr>
          <w:p>
            <w:pPr>
              <w:snapToGrid w:val="0"/>
              <w:spacing w:line="300" w:lineRule="auto"/>
              <w:jc w:val="center"/>
              <w:rPr>
                <w:sz w:val="18"/>
                <w:szCs w:val="18"/>
              </w:rPr>
            </w:pPr>
            <w:r>
              <w:rPr>
                <w:sz w:val="18"/>
                <w:szCs w:val="18"/>
              </w:rPr>
              <w:t>1</w:t>
            </w:r>
          </w:p>
        </w:tc>
        <w:tc>
          <w:tcPr>
            <w:tcW w:w="1377" w:type="pct"/>
            <w:vAlign w:val="center"/>
          </w:tcPr>
          <w:p>
            <w:pPr>
              <w:snapToGrid w:val="0"/>
              <w:spacing w:line="300" w:lineRule="auto"/>
              <w:jc w:val="center"/>
              <w:rPr>
                <w:sz w:val="18"/>
                <w:szCs w:val="18"/>
              </w:rPr>
            </w:pPr>
            <w:r>
              <w:rPr>
                <w:sz w:val="18"/>
                <w:szCs w:val="18"/>
              </w:rPr>
              <w:t>2</w:t>
            </w:r>
          </w:p>
        </w:tc>
        <w:tc>
          <w:tcPr>
            <w:tcW w:w="1363"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099" w:type="pct"/>
            <w:vAlign w:val="center"/>
          </w:tcPr>
          <w:p>
            <w:pPr>
              <w:snapToGrid w:val="0"/>
              <w:spacing w:line="300" w:lineRule="auto"/>
              <w:jc w:val="center"/>
              <w:rPr>
                <w:b/>
                <w:bCs/>
                <w:sz w:val="18"/>
                <w:szCs w:val="18"/>
              </w:rPr>
            </w:pPr>
            <w:r>
              <w:rPr>
                <w:b/>
                <w:bCs/>
                <w:sz w:val="18"/>
                <w:szCs w:val="18"/>
              </w:rPr>
              <w:t>权重系数</w:t>
            </w:r>
          </w:p>
        </w:tc>
        <w:tc>
          <w:tcPr>
            <w:tcW w:w="1161" w:type="pct"/>
            <w:vAlign w:val="center"/>
          </w:tcPr>
          <w:p>
            <w:pPr>
              <w:snapToGrid w:val="0"/>
              <w:spacing w:line="300" w:lineRule="auto"/>
              <w:jc w:val="center"/>
              <w:rPr>
                <w:sz w:val="18"/>
                <w:szCs w:val="18"/>
              </w:rPr>
            </w:pPr>
            <w:r>
              <w:rPr>
                <w:sz w:val="18"/>
                <w:szCs w:val="18"/>
              </w:rPr>
              <w:t>0.14</w:t>
            </w:r>
          </w:p>
        </w:tc>
        <w:tc>
          <w:tcPr>
            <w:tcW w:w="1377" w:type="pct"/>
            <w:vAlign w:val="center"/>
          </w:tcPr>
          <w:p>
            <w:pPr>
              <w:snapToGrid w:val="0"/>
              <w:spacing w:line="300" w:lineRule="auto"/>
              <w:jc w:val="center"/>
              <w:rPr>
                <w:sz w:val="18"/>
                <w:szCs w:val="18"/>
              </w:rPr>
            </w:pPr>
            <w:r>
              <w:rPr>
                <w:sz w:val="18"/>
                <w:szCs w:val="18"/>
              </w:rPr>
              <w:t>0.77</w:t>
            </w:r>
          </w:p>
        </w:tc>
        <w:tc>
          <w:tcPr>
            <w:tcW w:w="1363" w:type="pct"/>
            <w:vAlign w:val="center"/>
          </w:tcPr>
          <w:p>
            <w:pPr>
              <w:snapToGrid w:val="0"/>
              <w:spacing w:line="300" w:lineRule="auto"/>
              <w:jc w:val="center"/>
              <w:rPr>
                <w:sz w:val="18"/>
                <w:szCs w:val="18"/>
              </w:rPr>
            </w:pPr>
            <w:r>
              <w:rPr>
                <w:sz w:val="18"/>
                <w:szCs w:val="18"/>
              </w:rPr>
              <w:t>0.09</w:t>
            </w:r>
          </w:p>
        </w:tc>
      </w:tr>
    </w:tbl>
    <w:p>
      <w:pPr>
        <w:snapToGrid w:val="0"/>
        <w:spacing w:before="156" w:beforeLines="50"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88" o:spt="75" type="#_x0000_t75" style="height:18pt;width:282pt;" o:ole="t" filled="f" o:preferrelative="t" stroked="f" coordsize="21600,21600">
            <v:path/>
            <v:fill on="f" focussize="0,0"/>
            <v:stroke on="f" joinstyle="miter"/>
            <v:imagedata r:id="rId40" o:title=""/>
            <o:lock v:ext="edit" aspectratio="t"/>
            <w10:wrap type="none"/>
            <w10:anchorlock/>
          </v:shape>
          <o:OLEObject Type="Embed" ProgID="Equation.3" ShapeID="_x0000_i1088" DrawAspect="Content" ObjectID="_1468075787" r:id="rId100">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41"/>
        </w:numPr>
        <w:snapToGrid w:val="0"/>
        <w:spacing w:line="300" w:lineRule="auto"/>
        <w:rPr>
          <w:rFonts w:ascii="Times New Roman" w:hAnsi="Times New Roman" w:eastAsia="宋体" w:cs="Times New Roman"/>
        </w:rPr>
      </w:pPr>
      <w:r>
        <w:rPr>
          <w:rFonts w:ascii="Times New Roman" w:hAnsi="Times New Roman" w:eastAsia="宋体" w:cs="Times New Roman"/>
          <w:szCs w:val="21"/>
        </w:rPr>
        <w:t xml:space="preserve">曹雪虹，张宗橙编. </w:t>
      </w:r>
      <w:r>
        <w:rPr>
          <w:rFonts w:ascii="Times New Roman" w:hAnsi="Times New Roman" w:eastAsia="宋体" w:cs="Times New Roman"/>
        </w:rPr>
        <w:t>信</w:t>
      </w:r>
      <w:r>
        <w:rPr>
          <w:rFonts w:ascii="Times New Roman" w:hAnsi="Times New Roman" w:eastAsia="宋体" w:cs="Times New Roman"/>
          <w:szCs w:val="21"/>
        </w:rPr>
        <w:t xml:space="preserve">息论与编码（第3版）[M]. </w:t>
      </w:r>
      <w:r>
        <w:rPr>
          <w:rFonts w:ascii="Times New Roman" w:hAnsi="Times New Roman" w:eastAsia="宋体" w:cs="Times New Roman"/>
        </w:rPr>
        <w:t>北京：</w:t>
      </w:r>
      <w:r>
        <w:rPr>
          <w:rFonts w:ascii="Times New Roman" w:hAnsi="Times New Roman" w:eastAsia="宋体" w:cs="Times New Roman"/>
          <w:szCs w:val="21"/>
        </w:rPr>
        <w:t>清华大学出版社，2016年6月。</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42"/>
        </w:numPr>
        <w:snapToGrid w:val="0"/>
        <w:spacing w:line="300" w:lineRule="auto"/>
        <w:rPr>
          <w:rFonts w:ascii="Times New Roman" w:hAnsi="Times New Roman" w:eastAsia="宋体" w:cs="Times New Roman"/>
        </w:rPr>
      </w:pPr>
      <w:r>
        <w:rPr>
          <w:rFonts w:ascii="Times New Roman" w:hAnsi="Times New Roman" w:eastAsia="宋体" w:cs="Times New Roman"/>
        </w:rPr>
        <w:t xml:space="preserve">陈运等编. </w:t>
      </w:r>
      <w:r>
        <w:rPr>
          <w:rFonts w:ascii="Times New Roman" w:hAnsi="Times New Roman" w:eastAsia="宋体" w:cs="Times New Roman"/>
          <w:szCs w:val="21"/>
        </w:rPr>
        <w:t>信息论-基础理论与应用</w:t>
      </w:r>
      <w:r>
        <w:rPr>
          <w:rFonts w:ascii="Times New Roman" w:hAnsi="Times New Roman" w:eastAsia="宋体" w:cs="Times New Roman"/>
        </w:rPr>
        <w:t>（上、下册，第3版）[M]. 北京：</w:t>
      </w:r>
      <w:r>
        <w:rPr>
          <w:rFonts w:ascii="Times New Roman" w:hAnsi="Times New Roman" w:eastAsia="宋体" w:cs="Times New Roman"/>
          <w:szCs w:val="21"/>
        </w:rPr>
        <w:t>电子工业出版社，2016年1月</w:t>
      </w:r>
      <w:r>
        <w:rPr>
          <w:rFonts w:ascii="Times New Roman" w:hAnsi="Times New Roman" w:eastAsia="宋体" w:cs="Times New Roman"/>
        </w:rPr>
        <w:t>。</w:t>
      </w:r>
    </w:p>
    <w:p>
      <w:pPr>
        <w:numPr>
          <w:ilvl w:val="0"/>
          <w:numId w:val="42"/>
        </w:numPr>
        <w:snapToGrid w:val="0"/>
        <w:spacing w:line="300" w:lineRule="auto"/>
        <w:rPr>
          <w:rFonts w:ascii="Times New Roman" w:hAnsi="Times New Roman" w:eastAsia="宋体" w:cs="Times New Roman"/>
        </w:rPr>
      </w:pPr>
      <w:r>
        <w:rPr>
          <w:rFonts w:ascii="Times New Roman" w:hAnsi="Times New Roman" w:eastAsia="宋体" w:cs="Times New Roman"/>
        </w:rPr>
        <w:t xml:space="preserve">郭世泽等编. </w:t>
      </w:r>
      <w:r>
        <w:rPr>
          <w:rFonts w:ascii="Times New Roman" w:hAnsi="Times New Roman" w:eastAsia="宋体" w:cs="Times New Roman"/>
          <w:szCs w:val="21"/>
        </w:rPr>
        <w:t>信息论-基础理论与应用</w:t>
      </w:r>
      <w:bookmarkStart w:id="110" w:name="_Hlk35825989"/>
      <w:r>
        <w:rPr>
          <w:rFonts w:ascii="Times New Roman" w:hAnsi="Times New Roman" w:eastAsia="宋体" w:cs="Times New Roman"/>
        </w:rPr>
        <w:t>（上、下册，第3版）</w:t>
      </w:r>
      <w:bookmarkEnd w:id="110"/>
      <w:r>
        <w:rPr>
          <w:rFonts w:ascii="Times New Roman" w:hAnsi="Times New Roman" w:eastAsia="宋体" w:cs="Times New Roman"/>
        </w:rPr>
        <w:t>[M]. 北京：科学出版社</w:t>
      </w:r>
      <w:r>
        <w:rPr>
          <w:rFonts w:ascii="Times New Roman" w:hAnsi="Times New Roman" w:eastAsia="宋体" w:cs="Times New Roman"/>
          <w:szCs w:val="21"/>
        </w:rPr>
        <w:t>，2014年</w:t>
      </w:r>
      <w:r>
        <w:rPr>
          <w:rFonts w:ascii="Times New Roman" w:hAnsi="Times New Roman" w:eastAsia="宋体" w:cs="Times New Roman"/>
        </w:rPr>
        <w:t>。</w:t>
      </w:r>
    </w:p>
    <w:p>
      <w:pPr>
        <w:numPr>
          <w:ilvl w:val="0"/>
          <w:numId w:val="42"/>
        </w:numPr>
        <w:snapToGrid w:val="0"/>
        <w:spacing w:line="300" w:lineRule="auto"/>
        <w:rPr>
          <w:rFonts w:ascii="Times New Roman" w:hAnsi="Times New Roman" w:eastAsia="宋体" w:cs="Times New Roman"/>
        </w:rPr>
      </w:pPr>
      <w:r>
        <w:rPr>
          <w:rFonts w:ascii="Times New Roman" w:hAnsi="Times New Roman" w:eastAsia="宋体" w:cs="Times New Roman"/>
          <w:szCs w:val="21"/>
        </w:rPr>
        <w:t xml:space="preserve">傅祖芸等著. 信息论-基础理论与应用（第3版）[M]. </w:t>
      </w:r>
      <w:r>
        <w:rPr>
          <w:rFonts w:ascii="Times New Roman" w:hAnsi="Times New Roman" w:eastAsia="宋体" w:cs="Times New Roman"/>
        </w:rPr>
        <w:t>北京：</w:t>
      </w:r>
      <w:r>
        <w:rPr>
          <w:rFonts w:ascii="Times New Roman" w:hAnsi="Times New Roman" w:eastAsia="宋体" w:cs="Times New Roman"/>
          <w:szCs w:val="21"/>
        </w:rPr>
        <w:t>电子工业出版社, 2011年。</w:t>
      </w:r>
    </w:p>
    <w:p>
      <w:pPr>
        <w:numPr>
          <w:ilvl w:val="0"/>
          <w:numId w:val="42"/>
        </w:numPr>
        <w:snapToGrid w:val="0"/>
        <w:spacing w:line="300" w:lineRule="auto"/>
        <w:rPr>
          <w:rFonts w:ascii="Times New Roman" w:hAnsi="Times New Roman" w:eastAsia="宋体" w:cs="Times New Roman"/>
        </w:rPr>
      </w:pPr>
      <w:r>
        <w:rPr>
          <w:rFonts w:ascii="Times New Roman" w:hAnsi="Times New Roman" w:eastAsia="宋体" w:cs="Times New Roman"/>
        </w:rPr>
        <w:t>唐朝京、雷菁</w:t>
      </w:r>
      <w:r>
        <w:rPr>
          <w:rFonts w:ascii="Times New Roman" w:hAnsi="Times New Roman" w:eastAsia="宋体" w:cs="Times New Roman"/>
          <w:szCs w:val="21"/>
        </w:rPr>
        <w:t xml:space="preserve">编. </w:t>
      </w:r>
      <w:r>
        <w:rPr>
          <w:rFonts w:ascii="Times New Roman" w:hAnsi="Times New Roman" w:eastAsia="宋体" w:cs="Times New Roman"/>
        </w:rPr>
        <w:t>信息论与编码基础</w:t>
      </w:r>
      <w:r>
        <w:rPr>
          <w:rFonts w:ascii="Times New Roman" w:hAnsi="Times New Roman" w:eastAsia="宋体" w:cs="Times New Roman"/>
          <w:szCs w:val="21"/>
        </w:rPr>
        <w:t>（第2版）</w:t>
      </w:r>
      <w:r>
        <w:rPr>
          <w:rFonts w:ascii="Times New Roman" w:hAnsi="Times New Roman" w:eastAsia="宋体" w:cs="Times New Roman"/>
        </w:rPr>
        <w:t>[M]. 北京：</w:t>
      </w:r>
      <w:r>
        <w:rPr>
          <w:rFonts w:ascii="Times New Roman" w:hAnsi="Times New Roman" w:eastAsia="宋体" w:cs="Times New Roman"/>
          <w:szCs w:val="21"/>
        </w:rPr>
        <w:t xml:space="preserve">电子工业出版社，2010年3月。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eastAsia="宋体" w:cs="Times New Roman"/>
                <w:kern w:val="0"/>
                <w:sz w:val="20"/>
                <w:szCs w:val="21"/>
              </w:rPr>
            </w:pPr>
          </w:p>
        </w:tc>
      </w:tr>
    </w:tbl>
    <w:p>
      <w:pPr>
        <w:keepNext/>
        <w:keepLines/>
        <w:tabs>
          <w:tab w:val="left" w:pos="0"/>
          <w:tab w:val="left" w:pos="420"/>
        </w:tabs>
        <w:spacing w:before="260" w:after="260" w:line="413" w:lineRule="auto"/>
        <w:jc w:val="center"/>
        <w:outlineLvl w:val="2"/>
        <w:rPr>
          <w:b/>
          <w:sz w:val="32"/>
        </w:rPr>
      </w:pPr>
      <w:bookmarkStart w:id="111" w:name="_Toc29812"/>
      <w:r>
        <w:rPr>
          <w:rFonts w:ascii="Times New Roman" w:hAnsi="Times New Roman" w:cs="Times New Roman"/>
          <w:b/>
          <w:sz w:val="32"/>
        </w:rPr>
        <w:t>33442003《通信原理》课程教学大纲</w:t>
      </w:r>
      <w:bookmarkEnd w:id="11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066"/>
        <w:gridCol w:w="1245"/>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326" w:type="dxa"/>
            <w:vAlign w:val="center"/>
          </w:tcPr>
          <w:p>
            <w:pPr>
              <w:jc w:val="center"/>
              <w:rPr>
                <w:kern w:val="0"/>
                <w:szCs w:val="21"/>
              </w:rPr>
            </w:pPr>
            <w:r>
              <w:rPr>
                <w:kern w:val="0"/>
                <w:szCs w:val="21"/>
              </w:rPr>
              <w:t>课程编号</w:t>
            </w:r>
          </w:p>
        </w:tc>
        <w:tc>
          <w:tcPr>
            <w:tcW w:w="3066" w:type="dxa"/>
            <w:vAlign w:val="center"/>
          </w:tcPr>
          <w:p>
            <w:pPr>
              <w:jc w:val="center"/>
              <w:rPr>
                <w:kern w:val="0"/>
                <w:szCs w:val="21"/>
              </w:rPr>
            </w:pPr>
            <w:r>
              <w:rPr>
                <w:kern w:val="0"/>
                <w:szCs w:val="21"/>
              </w:rPr>
              <w:t>33442003</w:t>
            </w:r>
          </w:p>
        </w:tc>
        <w:tc>
          <w:tcPr>
            <w:tcW w:w="1245" w:type="dxa"/>
            <w:vAlign w:val="center"/>
          </w:tcPr>
          <w:p>
            <w:pPr>
              <w:jc w:val="center"/>
              <w:rPr>
                <w:kern w:val="0"/>
                <w:szCs w:val="21"/>
              </w:rPr>
            </w:pPr>
            <w:r>
              <w:rPr>
                <w:kern w:val="0"/>
                <w:szCs w:val="21"/>
              </w:rPr>
              <w:t>课程名称</w:t>
            </w:r>
          </w:p>
        </w:tc>
        <w:tc>
          <w:tcPr>
            <w:tcW w:w="3044" w:type="dxa"/>
            <w:vAlign w:val="center"/>
          </w:tcPr>
          <w:p>
            <w:pPr>
              <w:jc w:val="center"/>
              <w:rPr>
                <w:kern w:val="0"/>
                <w:szCs w:val="21"/>
              </w:rPr>
            </w:pPr>
            <w:r>
              <w:rPr>
                <w:kern w:val="0"/>
                <w:szCs w:val="21"/>
              </w:rPr>
              <w:t>通信原理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26" w:type="dxa"/>
            <w:vAlign w:val="center"/>
          </w:tcPr>
          <w:p>
            <w:pPr>
              <w:jc w:val="center"/>
              <w:rPr>
                <w:kern w:val="0"/>
                <w:szCs w:val="21"/>
              </w:rPr>
            </w:pPr>
            <w:r>
              <w:rPr>
                <w:kern w:val="0"/>
                <w:szCs w:val="21"/>
              </w:rPr>
              <w:t>课程性质*</w:t>
            </w:r>
          </w:p>
        </w:tc>
        <w:tc>
          <w:tcPr>
            <w:tcW w:w="3066" w:type="dxa"/>
            <w:vAlign w:val="center"/>
          </w:tcPr>
          <w:p>
            <w:pPr>
              <w:jc w:val="center"/>
              <w:rPr>
                <w:kern w:val="0"/>
                <w:szCs w:val="21"/>
              </w:rPr>
            </w:pPr>
            <w:r>
              <w:rPr>
                <w:kern w:val="0"/>
                <w:szCs w:val="21"/>
              </w:rPr>
              <w:t>专业基础类</w:t>
            </w:r>
          </w:p>
        </w:tc>
        <w:tc>
          <w:tcPr>
            <w:tcW w:w="1245" w:type="dxa"/>
            <w:vAlign w:val="center"/>
          </w:tcPr>
          <w:p>
            <w:pPr>
              <w:jc w:val="center"/>
              <w:rPr>
                <w:kern w:val="0"/>
                <w:szCs w:val="21"/>
              </w:rPr>
            </w:pPr>
            <w:r>
              <w:rPr>
                <w:kern w:val="0"/>
                <w:szCs w:val="21"/>
              </w:rPr>
              <w:t>英文名称</w:t>
            </w:r>
          </w:p>
        </w:tc>
        <w:tc>
          <w:tcPr>
            <w:tcW w:w="3044" w:type="dxa"/>
            <w:vAlign w:val="center"/>
          </w:tcPr>
          <w:p>
            <w:pPr>
              <w:jc w:val="center"/>
              <w:rPr>
                <w:kern w:val="0"/>
                <w:szCs w:val="21"/>
              </w:rPr>
            </w:pPr>
            <w:r>
              <w:fldChar w:fldCharType="begin"/>
            </w:r>
            <w:r>
              <w:instrText xml:space="preserve"> HYPERLINK "app:lj:%E9%80%9A%E4%BF%A1%E5%8E%9F%E7%90%86?ljtype=blng&amp;ljblngcont=0&amp;ljtran=communication%20theory" \t "_self" </w:instrText>
            </w:r>
            <w:r>
              <w:fldChar w:fldCharType="separate"/>
            </w:r>
            <w:r>
              <w:rPr>
                <w:szCs w:val="21"/>
              </w:rPr>
              <w:t>Communication Theory</w:t>
            </w:r>
            <w:r>
              <w:rPr>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26" w:type="dxa"/>
            <w:vAlign w:val="center"/>
          </w:tcPr>
          <w:p>
            <w:pPr>
              <w:jc w:val="center"/>
              <w:rPr>
                <w:kern w:val="0"/>
                <w:szCs w:val="21"/>
              </w:rPr>
            </w:pPr>
            <w:r>
              <w:rPr>
                <w:kern w:val="0"/>
                <w:szCs w:val="21"/>
              </w:rPr>
              <w:t>学分学时</w:t>
            </w:r>
          </w:p>
        </w:tc>
        <w:tc>
          <w:tcPr>
            <w:tcW w:w="3066" w:type="dxa"/>
            <w:vAlign w:val="center"/>
          </w:tcPr>
          <w:p>
            <w:pPr>
              <w:jc w:val="center"/>
              <w:rPr>
                <w:kern w:val="0"/>
                <w:szCs w:val="21"/>
              </w:rPr>
            </w:pPr>
            <w:r>
              <w:rPr>
                <w:kern w:val="0"/>
                <w:szCs w:val="21"/>
              </w:rPr>
              <w:t>2.5</w:t>
            </w:r>
            <w:r>
              <w:rPr>
                <w:szCs w:val="21"/>
              </w:rPr>
              <w:t xml:space="preserve"> </w:t>
            </w:r>
            <w:r>
              <w:rPr>
                <w:kern w:val="0"/>
                <w:szCs w:val="21"/>
              </w:rPr>
              <w:t>: 40（8）</w:t>
            </w:r>
          </w:p>
        </w:tc>
        <w:tc>
          <w:tcPr>
            <w:tcW w:w="1245" w:type="dxa"/>
            <w:vAlign w:val="center"/>
          </w:tcPr>
          <w:p>
            <w:pPr>
              <w:jc w:val="center"/>
              <w:rPr>
                <w:kern w:val="0"/>
                <w:szCs w:val="21"/>
              </w:rPr>
            </w:pPr>
            <w:r>
              <w:rPr>
                <w:kern w:val="0"/>
                <w:szCs w:val="21"/>
              </w:rPr>
              <w:t>任课教师</w:t>
            </w:r>
          </w:p>
        </w:tc>
        <w:tc>
          <w:tcPr>
            <w:tcW w:w="3044" w:type="dxa"/>
            <w:vAlign w:val="center"/>
          </w:tcPr>
          <w:p>
            <w:pPr>
              <w:jc w:val="center"/>
              <w:rPr>
                <w:kern w:val="0"/>
                <w:szCs w:val="21"/>
              </w:rPr>
            </w:pPr>
            <w:r>
              <w:rPr>
                <w:kern w:val="0"/>
                <w:szCs w:val="21"/>
              </w:rPr>
              <w:t>冯青、邓锐、张培珍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6" w:type="dxa"/>
            <w:vAlign w:val="center"/>
          </w:tcPr>
          <w:p>
            <w:pPr>
              <w:jc w:val="center"/>
              <w:rPr>
                <w:kern w:val="0"/>
                <w:szCs w:val="21"/>
              </w:rPr>
            </w:pPr>
            <w:r>
              <w:rPr>
                <w:kern w:val="0"/>
                <w:szCs w:val="21"/>
              </w:rPr>
              <w:t>企业专家</w:t>
            </w:r>
          </w:p>
        </w:tc>
        <w:tc>
          <w:tcPr>
            <w:tcW w:w="3066" w:type="dxa"/>
            <w:vAlign w:val="center"/>
          </w:tcPr>
          <w:p>
            <w:pPr>
              <w:jc w:val="center"/>
              <w:rPr>
                <w:kern w:val="0"/>
                <w:szCs w:val="21"/>
              </w:rPr>
            </w:pPr>
            <w:r>
              <w:rPr>
                <w:kern w:val="0"/>
                <w:szCs w:val="21"/>
              </w:rPr>
              <w:t>曾耿滨</w:t>
            </w:r>
          </w:p>
        </w:tc>
        <w:tc>
          <w:tcPr>
            <w:tcW w:w="1245" w:type="dxa"/>
            <w:vAlign w:val="center"/>
          </w:tcPr>
          <w:p>
            <w:pPr>
              <w:jc w:val="center"/>
              <w:rPr>
                <w:kern w:val="0"/>
                <w:szCs w:val="21"/>
              </w:rPr>
            </w:pPr>
            <w:r>
              <w:rPr>
                <w:kern w:val="0"/>
                <w:szCs w:val="21"/>
              </w:rPr>
              <w:t>行业专家</w:t>
            </w:r>
          </w:p>
        </w:tc>
        <w:tc>
          <w:tcPr>
            <w:tcW w:w="3044" w:type="dxa"/>
            <w:vAlign w:val="center"/>
          </w:tcPr>
          <w:p>
            <w:pPr>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26" w:type="dxa"/>
            <w:vAlign w:val="center"/>
          </w:tcPr>
          <w:p>
            <w:pPr>
              <w:jc w:val="center"/>
              <w:rPr>
                <w:kern w:val="0"/>
                <w:szCs w:val="21"/>
              </w:rPr>
            </w:pPr>
            <w:r>
              <w:rPr>
                <w:kern w:val="0"/>
                <w:szCs w:val="21"/>
              </w:rPr>
              <w:t>执笔教师</w:t>
            </w:r>
          </w:p>
        </w:tc>
        <w:tc>
          <w:tcPr>
            <w:tcW w:w="3066" w:type="dxa"/>
            <w:vAlign w:val="center"/>
          </w:tcPr>
          <w:p>
            <w:pPr>
              <w:jc w:val="center"/>
              <w:rPr>
                <w:kern w:val="0"/>
                <w:szCs w:val="21"/>
              </w:rPr>
            </w:pPr>
            <w:r>
              <w:rPr>
                <w:kern w:val="0"/>
                <w:szCs w:val="21"/>
              </w:rPr>
              <w:t>王骥</w:t>
            </w:r>
          </w:p>
        </w:tc>
        <w:tc>
          <w:tcPr>
            <w:tcW w:w="1245" w:type="dxa"/>
            <w:vAlign w:val="center"/>
          </w:tcPr>
          <w:p>
            <w:pPr>
              <w:jc w:val="center"/>
              <w:rPr>
                <w:kern w:val="0"/>
                <w:szCs w:val="21"/>
              </w:rPr>
            </w:pPr>
            <w:r>
              <w:rPr>
                <w:kern w:val="0"/>
                <w:szCs w:val="21"/>
              </w:rPr>
              <w:t>责任教授</w:t>
            </w:r>
          </w:p>
        </w:tc>
        <w:tc>
          <w:tcPr>
            <w:tcW w:w="3044" w:type="dxa"/>
            <w:vAlign w:val="center"/>
          </w:tcPr>
          <w:p>
            <w:pPr>
              <w:jc w:val="center"/>
              <w:rPr>
                <w:kern w:val="0"/>
                <w:szCs w:val="21"/>
              </w:rPr>
            </w:pPr>
            <w:r>
              <w:rPr>
                <w:kern w:val="0"/>
                <w:szCs w:val="21"/>
              </w:rPr>
              <w:t>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26" w:type="dxa"/>
            <w:vAlign w:val="center"/>
          </w:tcPr>
          <w:p>
            <w:pPr>
              <w:jc w:val="center"/>
              <w:rPr>
                <w:kern w:val="0"/>
                <w:szCs w:val="21"/>
              </w:rPr>
            </w:pPr>
            <w:r>
              <w:rPr>
                <w:kern w:val="0"/>
                <w:szCs w:val="21"/>
              </w:rPr>
              <w:t>适用专业</w:t>
            </w:r>
          </w:p>
        </w:tc>
        <w:tc>
          <w:tcPr>
            <w:tcW w:w="3066" w:type="dxa"/>
            <w:vAlign w:val="center"/>
          </w:tcPr>
          <w:p>
            <w:pPr>
              <w:jc w:val="center"/>
              <w:rPr>
                <w:kern w:val="0"/>
                <w:szCs w:val="21"/>
              </w:rPr>
            </w:pPr>
            <w:r>
              <w:rPr>
                <w:kern w:val="0"/>
                <w:szCs w:val="21"/>
              </w:rPr>
              <w:t>电子信息工程</w:t>
            </w:r>
          </w:p>
        </w:tc>
        <w:tc>
          <w:tcPr>
            <w:tcW w:w="1245" w:type="dxa"/>
            <w:vAlign w:val="center"/>
          </w:tcPr>
          <w:p>
            <w:pPr>
              <w:jc w:val="center"/>
              <w:rPr>
                <w:kern w:val="0"/>
                <w:szCs w:val="21"/>
              </w:rPr>
            </w:pPr>
            <w:r>
              <w:rPr>
                <w:kern w:val="0"/>
                <w:szCs w:val="21"/>
              </w:rPr>
              <w:t>适用对象</w:t>
            </w:r>
          </w:p>
        </w:tc>
        <w:tc>
          <w:tcPr>
            <w:tcW w:w="3044"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326" w:type="dxa"/>
            <w:vAlign w:val="center"/>
          </w:tcPr>
          <w:p>
            <w:pPr>
              <w:jc w:val="center"/>
              <w:rPr>
                <w:kern w:val="0"/>
                <w:szCs w:val="21"/>
              </w:rPr>
            </w:pPr>
            <w:r>
              <w:rPr>
                <w:kern w:val="0"/>
                <w:szCs w:val="21"/>
              </w:rPr>
              <w:t>先修课程</w:t>
            </w:r>
          </w:p>
        </w:tc>
        <w:tc>
          <w:tcPr>
            <w:tcW w:w="3066" w:type="dxa"/>
            <w:vAlign w:val="center"/>
          </w:tcPr>
          <w:p>
            <w:pPr>
              <w:jc w:val="center"/>
              <w:rPr>
                <w:kern w:val="0"/>
                <w:szCs w:val="21"/>
              </w:rPr>
            </w:pPr>
            <w:r>
              <w:rPr>
                <w:kern w:val="0"/>
                <w:szCs w:val="21"/>
              </w:rPr>
              <w:t>信号与系统、数字信号处理</w:t>
            </w:r>
          </w:p>
        </w:tc>
        <w:tc>
          <w:tcPr>
            <w:tcW w:w="1245" w:type="dxa"/>
            <w:vAlign w:val="center"/>
          </w:tcPr>
          <w:p>
            <w:pPr>
              <w:jc w:val="center"/>
              <w:rPr>
                <w:kern w:val="0"/>
                <w:szCs w:val="21"/>
              </w:rPr>
            </w:pPr>
            <w:r>
              <w:rPr>
                <w:kern w:val="0"/>
                <w:szCs w:val="21"/>
              </w:rPr>
              <w:t>同修课程</w:t>
            </w:r>
          </w:p>
        </w:tc>
        <w:tc>
          <w:tcPr>
            <w:tcW w:w="3044" w:type="dxa"/>
            <w:vAlign w:val="center"/>
          </w:tcPr>
          <w:p>
            <w:pPr>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326" w:type="dxa"/>
            <w:vAlign w:val="center"/>
          </w:tcPr>
          <w:p>
            <w:pPr>
              <w:jc w:val="center"/>
              <w:rPr>
                <w:kern w:val="0"/>
                <w:szCs w:val="21"/>
              </w:rPr>
            </w:pPr>
            <w:r>
              <w:rPr>
                <w:kern w:val="0"/>
                <w:szCs w:val="21"/>
              </w:rPr>
              <w:t>排斥课程</w:t>
            </w:r>
          </w:p>
        </w:tc>
        <w:tc>
          <w:tcPr>
            <w:tcW w:w="3066" w:type="dxa"/>
            <w:vAlign w:val="center"/>
          </w:tcPr>
          <w:p>
            <w:pPr>
              <w:jc w:val="center"/>
              <w:rPr>
                <w:kern w:val="0"/>
                <w:szCs w:val="21"/>
              </w:rPr>
            </w:pPr>
            <w:r>
              <w:rPr>
                <w:kern w:val="0"/>
                <w:szCs w:val="21"/>
              </w:rPr>
              <w:t>无</w:t>
            </w:r>
          </w:p>
        </w:tc>
        <w:tc>
          <w:tcPr>
            <w:tcW w:w="1245" w:type="dxa"/>
            <w:vAlign w:val="center"/>
          </w:tcPr>
          <w:p>
            <w:pPr>
              <w:jc w:val="center"/>
              <w:rPr>
                <w:kern w:val="0"/>
                <w:szCs w:val="21"/>
              </w:rPr>
            </w:pPr>
            <w:r>
              <w:rPr>
                <w:kern w:val="0"/>
                <w:szCs w:val="21"/>
              </w:rPr>
              <w:t>定稿日期</w:t>
            </w:r>
          </w:p>
        </w:tc>
        <w:tc>
          <w:tcPr>
            <w:tcW w:w="3044" w:type="dxa"/>
            <w:vAlign w:val="center"/>
          </w:tcPr>
          <w:p>
            <w:pPr>
              <w:jc w:val="center"/>
              <w:rPr>
                <w:kern w:val="0"/>
                <w:szCs w:val="21"/>
              </w:rPr>
            </w:pPr>
            <w:r>
              <w:rPr>
                <w:rFonts w:hint="eastAsia"/>
                <w:kern w:val="0"/>
                <w:szCs w:val="21"/>
              </w:rPr>
              <w:t>2022.5.10</w:t>
            </w:r>
          </w:p>
        </w:tc>
      </w:tr>
    </w:tbl>
    <w:p>
      <w:pPr>
        <w:snapToGrid w:val="0"/>
        <w:ind w:firstLine="480"/>
        <w:rPr>
          <w:szCs w:val="21"/>
        </w:rPr>
      </w:pPr>
      <w:r>
        <w:rPr>
          <w:kern w:val="0"/>
          <w:sz w:val="18"/>
          <w:szCs w:val="18"/>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360" w:firstLineChars="200"/>
        <w:rPr>
          <w:szCs w:val="21"/>
        </w:rPr>
      </w:pPr>
      <w:bookmarkStart w:id="112" w:name="_Hlk36225299"/>
      <w:r>
        <w:rPr>
          <w:sz w:val="18"/>
          <w:szCs w:val="18"/>
        </w:rPr>
        <w:t>《通信原理》</w:t>
      </w:r>
      <w:bookmarkEnd w:id="112"/>
      <w:r>
        <w:rPr>
          <w:sz w:val="18"/>
          <w:szCs w:val="18"/>
        </w:rPr>
        <w:t>是电子信息工程、通信工程、信息工程等电子信息类专业最为重要的专业技术基础课之一。它从理论上建立了完整的通信系统架构以及对通信信号和系统性能的分析方法和系统模型，从基带传输和带通传输分析通信系统的基本原理、过程以及信号在时域和频域的特性，同时对通信系统中的编码、调制、信道、接收等功能模块给出分析和设计方案。《通信原理》是理论性和工程性都很强的学科技术基础课，该课程注重“信息传输”的理论与工程应用的紧密结合，使学生深入理解通信系统的内涵和实质，了解通信相关的标准和协议，为深入学习研究各类现代通信技术打下坚实的理论基础。</w:t>
      </w:r>
    </w:p>
    <w:p>
      <w:pPr>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360" w:firstLineChars="200"/>
        <w:rPr>
          <w:sz w:val="18"/>
          <w:szCs w:val="18"/>
        </w:rPr>
      </w:pPr>
      <w:r>
        <w:rPr>
          <w:sz w:val="18"/>
          <w:szCs w:val="18"/>
        </w:rPr>
        <w:t>本课程注重培养德才兼备的人才，教师就要把学生的思想道德教育放在专业课的重要位置，贯穿课程始终。核心宗旨在于培育学生创新精神，使学生的专业能力提升的同时，精神层面也得到升华。学生要熟悉通信系统信道的模型，掌握各种模拟通信系统和数字通信系统的基本原理及抗噪声性能，掌握模拟信号数字化传输的基本原理及实现方法，熟悉新型数字带通调制技术及差错编码的基本原理；同时培养学生具有通信史上杰出学者的工匠精神、爱国与担当精神。</w:t>
      </w:r>
    </w:p>
    <w:p>
      <w:pPr>
        <w:adjustRightInd w:val="0"/>
        <w:snapToGrid w:val="0"/>
        <w:spacing w:line="300" w:lineRule="auto"/>
        <w:rPr>
          <w:sz w:val="18"/>
          <w:szCs w:val="18"/>
        </w:rPr>
      </w:pPr>
      <w:r>
        <w:rPr>
          <w:sz w:val="18"/>
          <w:szCs w:val="18"/>
        </w:rPr>
        <w:t>本课程的具体教学目标如下：</w:t>
      </w:r>
    </w:p>
    <w:p>
      <w:pPr>
        <w:adjustRightInd w:val="0"/>
        <w:snapToGrid w:val="0"/>
        <w:spacing w:line="300" w:lineRule="auto"/>
        <w:rPr>
          <w:sz w:val="18"/>
          <w:szCs w:val="18"/>
        </w:rPr>
      </w:pPr>
      <w:r>
        <w:rPr>
          <w:sz w:val="18"/>
          <w:szCs w:val="18"/>
        </w:rPr>
        <w:t>1．具备利用自然科学知识，分析通信系统信源、信道与传输环境的数学与物理特性，掌握通信信号的时频域的特征，具有建立通信系统模型的基础能力；掌握利用自然科学理论分析通信系信息传输的基本原理、过程及信号变化的规律的方法，并能用于工程上分析通信系统的传输方案。[1.3]</w:t>
      </w:r>
    </w:p>
    <w:p>
      <w:pPr>
        <w:adjustRightInd w:val="0"/>
        <w:snapToGrid w:val="0"/>
        <w:spacing w:line="300" w:lineRule="auto"/>
        <w:rPr>
          <w:sz w:val="18"/>
          <w:szCs w:val="18"/>
        </w:rPr>
      </w:pPr>
      <w:r>
        <w:rPr>
          <w:sz w:val="18"/>
          <w:szCs w:val="18"/>
        </w:rPr>
        <w:t>2．掌握现代通信理论拓展知识和能力的基本方法和途径，具有能够不断深入研究通信工程领域新技术的能力。[1.3]</w:t>
      </w:r>
    </w:p>
    <w:p>
      <w:pPr>
        <w:adjustRightInd w:val="0"/>
        <w:snapToGrid w:val="0"/>
        <w:spacing w:line="300" w:lineRule="auto"/>
        <w:rPr>
          <w:sz w:val="18"/>
          <w:szCs w:val="18"/>
        </w:rPr>
      </w:pPr>
      <w:r>
        <w:rPr>
          <w:sz w:val="18"/>
          <w:szCs w:val="18"/>
        </w:rPr>
        <w:t>3．能利用工程理论对系统通信过程和环节进行分析，能根据给定条件对通信系统利用数学物理理论进行性能和可靠性分析。[12.1]</w:t>
      </w:r>
    </w:p>
    <w:p>
      <w:pPr>
        <w:adjustRightInd w:val="0"/>
        <w:snapToGrid w:val="0"/>
        <w:spacing w:line="300" w:lineRule="auto"/>
        <w:rPr>
          <w:sz w:val="18"/>
          <w:szCs w:val="18"/>
        </w:rPr>
      </w:pPr>
      <w:r>
        <w:rPr>
          <w:sz w:val="18"/>
          <w:szCs w:val="18"/>
        </w:rPr>
        <w:t>4．了解通信系统的基本架构及各环节的作用，具有根据通信系统的设计指标进行需求分析与设计通信系统的结构（画出框图），清晰掌握通信过程、环节及其信号模型。[2.1]</w:t>
      </w:r>
    </w:p>
    <w:p>
      <w:pPr>
        <w:adjustRightInd w:val="0"/>
        <w:snapToGrid w:val="0"/>
        <w:spacing w:line="300" w:lineRule="auto"/>
        <w:rPr>
          <w:sz w:val="18"/>
          <w:szCs w:val="18"/>
        </w:rPr>
      </w:pPr>
      <w:r>
        <w:rPr>
          <w:sz w:val="18"/>
          <w:szCs w:val="18"/>
        </w:rPr>
        <w:t>5．能对通信系统基本的编码和调制原理进行实验验证，并给出正确结论。[3.1]</w:t>
      </w:r>
    </w:p>
    <w:p>
      <w:pPr>
        <w:adjustRightInd w:val="0"/>
        <w:snapToGrid w:val="0"/>
        <w:spacing w:line="300" w:lineRule="auto"/>
        <w:rPr>
          <w:sz w:val="18"/>
          <w:szCs w:val="18"/>
        </w:rPr>
      </w:pPr>
      <w:r>
        <w:rPr>
          <w:sz w:val="18"/>
          <w:szCs w:val="18"/>
        </w:rPr>
        <w:t>课程教学目标与毕业要求的对应关系见表1。</w:t>
      </w:r>
    </w:p>
    <w:p>
      <w:pPr>
        <w:widowControl/>
        <w:tabs>
          <w:tab w:val="left" w:pos="426"/>
          <w:tab w:val="left" w:pos="5245"/>
          <w:tab w:val="left" w:pos="5387"/>
        </w:tabs>
        <w:spacing w:before="156" w:beforeLines="50"/>
        <w:ind w:firstLine="361" w:firstLineChars="200"/>
        <w:jc w:val="center"/>
        <w:rPr>
          <w:b/>
          <w:sz w:val="18"/>
          <w:szCs w:val="18"/>
        </w:rPr>
      </w:pPr>
      <w:r>
        <w:rPr>
          <w:b/>
          <w:kern w:val="0"/>
          <w:sz w:val="18"/>
          <w:szCs w:val="18"/>
        </w:rPr>
        <w:t>表1 毕业要求指标点实现矩阵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6082"/>
        <w:gridCol w:w="707"/>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213" w:type="dxa"/>
            <w:vAlign w:val="center"/>
          </w:tcPr>
          <w:p>
            <w:pPr>
              <w:rPr>
                <w:b/>
                <w:bCs/>
                <w:sz w:val="18"/>
                <w:szCs w:val="18"/>
              </w:rPr>
            </w:pPr>
            <w:r>
              <w:rPr>
                <w:b/>
                <w:bCs/>
                <w:sz w:val="18"/>
                <w:szCs w:val="18"/>
              </w:rPr>
              <w:t>毕业要求</w:t>
            </w:r>
          </w:p>
        </w:tc>
        <w:tc>
          <w:tcPr>
            <w:tcW w:w="6082" w:type="dxa"/>
            <w:vAlign w:val="center"/>
          </w:tcPr>
          <w:p>
            <w:pPr>
              <w:jc w:val="center"/>
              <w:rPr>
                <w:b/>
                <w:bCs/>
                <w:sz w:val="18"/>
                <w:szCs w:val="18"/>
              </w:rPr>
            </w:pPr>
            <w:r>
              <w:rPr>
                <w:b/>
                <w:bCs/>
                <w:sz w:val="18"/>
                <w:szCs w:val="18"/>
              </w:rPr>
              <w:t>毕业要求指标点</w:t>
            </w:r>
          </w:p>
        </w:tc>
        <w:tc>
          <w:tcPr>
            <w:tcW w:w="707" w:type="dxa"/>
            <w:vAlign w:val="center"/>
          </w:tcPr>
          <w:p>
            <w:pPr>
              <w:jc w:val="center"/>
              <w:rPr>
                <w:b/>
                <w:bCs/>
                <w:sz w:val="18"/>
                <w:szCs w:val="18"/>
              </w:rPr>
            </w:pPr>
            <w:r>
              <w:rPr>
                <w:b/>
                <w:bCs/>
                <w:sz w:val="18"/>
                <w:szCs w:val="18"/>
              </w:rPr>
              <w:t>课程目标</w:t>
            </w:r>
          </w:p>
        </w:tc>
        <w:tc>
          <w:tcPr>
            <w:tcW w:w="679" w:type="dxa"/>
            <w:vAlign w:val="center"/>
          </w:tcPr>
          <w:p>
            <w:pPr>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Align w:val="center"/>
          </w:tcPr>
          <w:p>
            <w:pPr>
              <w:adjustRightInd w:val="0"/>
              <w:snapToGrid w:val="0"/>
              <w:spacing w:line="300" w:lineRule="auto"/>
              <w:rPr>
                <w:sz w:val="18"/>
                <w:szCs w:val="18"/>
              </w:rPr>
            </w:pPr>
            <w:r>
              <w:rPr>
                <w:sz w:val="18"/>
                <w:szCs w:val="18"/>
              </w:rPr>
              <w:t>1.工程知识</w:t>
            </w:r>
          </w:p>
        </w:tc>
        <w:tc>
          <w:tcPr>
            <w:tcW w:w="6082" w:type="dxa"/>
            <w:vAlign w:val="center"/>
          </w:tcPr>
          <w:p>
            <w:pPr>
              <w:adjustRightInd w:val="0"/>
              <w:snapToGrid w:val="0"/>
              <w:spacing w:line="300" w:lineRule="auto"/>
              <w:rPr>
                <w:sz w:val="18"/>
                <w:szCs w:val="18"/>
              </w:rPr>
            </w:pPr>
            <w:r>
              <w:rPr>
                <w:sz w:val="18"/>
                <w:szCs w:val="18"/>
              </w:rPr>
              <w:t>1-3掌握电子信息工程专业理论和知识体系的数学和自然科学知识，将其应用于信息技术（IT）行业知识和专业知识的学习。</w:t>
            </w:r>
          </w:p>
        </w:tc>
        <w:tc>
          <w:tcPr>
            <w:tcW w:w="707" w:type="dxa"/>
            <w:vAlign w:val="center"/>
          </w:tcPr>
          <w:p>
            <w:pPr>
              <w:adjustRightInd w:val="0"/>
              <w:snapToGrid w:val="0"/>
              <w:spacing w:line="300" w:lineRule="auto"/>
              <w:jc w:val="center"/>
              <w:rPr>
                <w:sz w:val="18"/>
                <w:szCs w:val="18"/>
              </w:rPr>
            </w:pPr>
            <w:r>
              <w:rPr>
                <w:sz w:val="18"/>
                <w:szCs w:val="18"/>
              </w:rPr>
              <w:t>1，2</w:t>
            </w:r>
          </w:p>
        </w:tc>
        <w:tc>
          <w:tcPr>
            <w:tcW w:w="679" w:type="dxa"/>
            <w:vAlign w:val="center"/>
          </w:tcPr>
          <w:p>
            <w:pPr>
              <w:adjustRightInd w:val="0"/>
              <w:snapToGrid w:val="0"/>
              <w:spacing w:line="300" w:lineRule="auto"/>
              <w:jc w:val="center"/>
              <w:rPr>
                <w:sz w:val="18"/>
                <w:szCs w:val="18"/>
              </w:rPr>
            </w:pPr>
            <w:r>
              <w:rPr>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Align w:val="center"/>
          </w:tcPr>
          <w:p>
            <w:pPr>
              <w:adjustRightInd w:val="0"/>
              <w:snapToGrid w:val="0"/>
              <w:spacing w:line="300" w:lineRule="auto"/>
              <w:rPr>
                <w:sz w:val="18"/>
                <w:szCs w:val="18"/>
              </w:rPr>
            </w:pPr>
            <w:r>
              <w:rPr>
                <w:sz w:val="18"/>
                <w:szCs w:val="18"/>
              </w:rPr>
              <w:t>2.问题分析</w:t>
            </w:r>
          </w:p>
        </w:tc>
        <w:tc>
          <w:tcPr>
            <w:tcW w:w="6082" w:type="dxa"/>
            <w:vAlign w:val="center"/>
          </w:tcPr>
          <w:p>
            <w:pPr>
              <w:adjustRightInd w:val="0"/>
              <w:snapToGrid w:val="0"/>
              <w:spacing w:line="300" w:lineRule="auto"/>
              <w:rPr>
                <w:sz w:val="18"/>
                <w:szCs w:val="18"/>
              </w:rPr>
            </w:pPr>
            <w:r>
              <w:rPr>
                <w:sz w:val="18"/>
                <w:szCs w:val="18"/>
              </w:rPr>
              <w:t>2-1具备应用数学、自然科学和工程科学的基本原理和方法，认识与判断电子信息工程（含海洋电子信息）相关领域复杂工程问题中的关键环节，使用数学模型和专业知识解释与描述复杂工程问题的能力。</w:t>
            </w:r>
          </w:p>
        </w:tc>
        <w:tc>
          <w:tcPr>
            <w:tcW w:w="707" w:type="dxa"/>
            <w:vAlign w:val="center"/>
          </w:tcPr>
          <w:p>
            <w:pPr>
              <w:adjustRightInd w:val="0"/>
              <w:snapToGrid w:val="0"/>
              <w:spacing w:line="300" w:lineRule="auto"/>
              <w:jc w:val="center"/>
              <w:rPr>
                <w:sz w:val="18"/>
                <w:szCs w:val="18"/>
              </w:rPr>
            </w:pPr>
            <w:r>
              <w:rPr>
                <w:sz w:val="18"/>
                <w:szCs w:val="18"/>
              </w:rPr>
              <w:t>4</w:t>
            </w:r>
          </w:p>
        </w:tc>
        <w:tc>
          <w:tcPr>
            <w:tcW w:w="679" w:type="dxa"/>
            <w:vAlign w:val="center"/>
          </w:tcPr>
          <w:p>
            <w:pPr>
              <w:adjustRightInd w:val="0"/>
              <w:snapToGrid w:val="0"/>
              <w:spacing w:line="30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Align w:val="center"/>
          </w:tcPr>
          <w:p>
            <w:pPr>
              <w:adjustRightInd w:val="0"/>
              <w:snapToGrid w:val="0"/>
              <w:spacing w:line="300" w:lineRule="auto"/>
              <w:rPr>
                <w:sz w:val="18"/>
                <w:szCs w:val="18"/>
              </w:rPr>
            </w:pPr>
            <w:r>
              <w:rPr>
                <w:sz w:val="18"/>
                <w:szCs w:val="18"/>
              </w:rPr>
              <w:t>3．设计/开发解决方案</w:t>
            </w:r>
          </w:p>
        </w:tc>
        <w:tc>
          <w:tcPr>
            <w:tcW w:w="6082" w:type="dxa"/>
            <w:vAlign w:val="center"/>
          </w:tcPr>
          <w:p>
            <w:pPr>
              <w:adjustRightInd w:val="0"/>
              <w:snapToGrid w:val="0"/>
              <w:spacing w:line="300" w:lineRule="auto"/>
              <w:rPr>
                <w:sz w:val="18"/>
                <w:szCs w:val="18"/>
              </w:rPr>
            </w:pPr>
            <w:r>
              <w:rPr>
                <w:sz w:val="18"/>
                <w:szCs w:val="18"/>
              </w:rPr>
              <w:t>3-1能够利用专业知识，针对给定需求，设计出满足要求的系统总体方案与系统拓扑图、单元子系统（或单元电路）、软硬件模块或工艺。</w:t>
            </w:r>
          </w:p>
        </w:tc>
        <w:tc>
          <w:tcPr>
            <w:tcW w:w="707" w:type="dxa"/>
            <w:vAlign w:val="center"/>
          </w:tcPr>
          <w:p>
            <w:pPr>
              <w:adjustRightInd w:val="0"/>
              <w:snapToGrid w:val="0"/>
              <w:spacing w:line="300" w:lineRule="auto"/>
              <w:jc w:val="center"/>
              <w:rPr>
                <w:sz w:val="18"/>
                <w:szCs w:val="18"/>
              </w:rPr>
            </w:pPr>
            <w:r>
              <w:rPr>
                <w:sz w:val="18"/>
                <w:szCs w:val="18"/>
              </w:rPr>
              <w:t>5</w:t>
            </w:r>
          </w:p>
        </w:tc>
        <w:tc>
          <w:tcPr>
            <w:tcW w:w="679" w:type="dxa"/>
            <w:vAlign w:val="center"/>
          </w:tcPr>
          <w:p>
            <w:pPr>
              <w:adjustRightInd w:val="0"/>
              <w:snapToGrid w:val="0"/>
              <w:spacing w:line="30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13" w:type="dxa"/>
            <w:vAlign w:val="center"/>
          </w:tcPr>
          <w:p>
            <w:pPr>
              <w:adjustRightInd w:val="0"/>
              <w:snapToGrid w:val="0"/>
              <w:spacing w:line="300" w:lineRule="auto"/>
              <w:rPr>
                <w:sz w:val="18"/>
                <w:szCs w:val="18"/>
              </w:rPr>
            </w:pPr>
            <w:r>
              <w:rPr>
                <w:sz w:val="18"/>
                <w:szCs w:val="18"/>
              </w:rPr>
              <w:t>12.终身学习</w:t>
            </w:r>
          </w:p>
        </w:tc>
        <w:tc>
          <w:tcPr>
            <w:tcW w:w="6082" w:type="dxa"/>
            <w:vAlign w:val="center"/>
          </w:tcPr>
          <w:p>
            <w:pPr>
              <w:adjustRightInd w:val="0"/>
              <w:snapToGrid w:val="0"/>
              <w:spacing w:line="300" w:lineRule="auto"/>
              <w:rPr>
                <w:sz w:val="18"/>
                <w:szCs w:val="18"/>
              </w:rPr>
            </w:pPr>
            <w:r>
              <w:rPr>
                <w:sz w:val="18"/>
                <w:szCs w:val="18"/>
              </w:rPr>
              <w:t xml:space="preserve">12-1具有自主学习和终身学习的意识，掌握拓展知识和能力的基本方法和途径。 </w:t>
            </w:r>
          </w:p>
        </w:tc>
        <w:tc>
          <w:tcPr>
            <w:tcW w:w="707" w:type="dxa"/>
            <w:vAlign w:val="center"/>
          </w:tcPr>
          <w:p>
            <w:pPr>
              <w:adjustRightInd w:val="0"/>
              <w:snapToGrid w:val="0"/>
              <w:spacing w:line="300" w:lineRule="auto"/>
              <w:jc w:val="center"/>
              <w:rPr>
                <w:sz w:val="18"/>
                <w:szCs w:val="18"/>
              </w:rPr>
            </w:pPr>
            <w:r>
              <w:rPr>
                <w:sz w:val="18"/>
                <w:szCs w:val="18"/>
              </w:rPr>
              <w:t>3</w:t>
            </w:r>
          </w:p>
        </w:tc>
        <w:tc>
          <w:tcPr>
            <w:tcW w:w="679" w:type="dxa"/>
            <w:vAlign w:val="center"/>
          </w:tcPr>
          <w:p>
            <w:pPr>
              <w:adjustRightInd w:val="0"/>
              <w:snapToGrid w:val="0"/>
              <w:spacing w:line="300" w:lineRule="auto"/>
              <w:jc w:val="center"/>
              <w:rPr>
                <w:sz w:val="18"/>
                <w:szCs w:val="18"/>
              </w:rPr>
            </w:pPr>
            <w:r>
              <w:rPr>
                <w:sz w:val="18"/>
                <w:szCs w:val="18"/>
              </w:rPr>
              <w:t>0.3</w:t>
            </w:r>
          </w:p>
        </w:tc>
      </w:tr>
    </w:tbl>
    <w:p>
      <w:pPr>
        <w:snapToGrid w:val="0"/>
        <w:spacing w:before="156" w:beforeLines="50" w:after="156" w:afterLines="50" w:line="300" w:lineRule="auto"/>
        <w:rPr>
          <w:b/>
          <w:sz w:val="24"/>
        </w:rPr>
      </w:pPr>
      <w:r>
        <w:rPr>
          <w:b/>
          <w:sz w:val="24"/>
        </w:rPr>
        <w:t>三、课程教学目标达成途径（或教学设计）</w:t>
      </w:r>
    </w:p>
    <w:p>
      <w:pPr>
        <w:widowControl/>
        <w:tabs>
          <w:tab w:val="left" w:pos="426"/>
          <w:tab w:val="left" w:pos="5245"/>
          <w:tab w:val="left" w:pos="5387"/>
        </w:tabs>
        <w:ind w:firstLine="361" w:firstLineChars="200"/>
        <w:jc w:val="center"/>
        <w:rPr>
          <w:b/>
          <w:kern w:val="0"/>
          <w:sz w:val="18"/>
          <w:szCs w:val="18"/>
        </w:rPr>
      </w:pPr>
      <w:r>
        <w:rPr>
          <w:b/>
          <w:kern w:val="0"/>
          <w:sz w:val="18"/>
          <w:szCs w:val="18"/>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604"/>
        <w:gridCol w:w="2502"/>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课程教学目标</w:t>
            </w:r>
          </w:p>
        </w:tc>
        <w:tc>
          <w:tcPr>
            <w:tcW w:w="25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达成途径</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1．具备利用自然科学知识，分析通信系统信源、信道与传输环境的数学与物理特性，掌握通信信号的时频域的特征，具有建立通信系统模型的基础能力；掌握利用自然科学理论分析通信系信息传输的基本原理、过程及信号变化的规律的方法，并能用于工程上分析通信系统的传输方案</w:t>
            </w:r>
            <w:r>
              <w:rPr>
                <w:rFonts w:hint="eastAsia"/>
                <w:sz w:val="18"/>
                <w:szCs w:val="18"/>
              </w:rPr>
              <w:t>。</w:t>
            </w:r>
          </w:p>
        </w:tc>
        <w:tc>
          <w:tcPr>
            <w:tcW w:w="25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通过课堂讲授与学生学习（指定阅读）等达成。</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rFonts w:hint="eastAsia"/>
                <w:sz w:val="18"/>
                <w:szCs w:val="18"/>
              </w:rPr>
              <w:t>2.</w:t>
            </w:r>
            <w:r>
              <w:rPr>
                <w:sz w:val="18"/>
                <w:szCs w:val="18"/>
              </w:rPr>
              <w:t>掌握现代通信理论拓展知识和能力的基本方法和途径，具有能够不断深入研究通信工程领域新技术的能力。</w:t>
            </w:r>
          </w:p>
        </w:tc>
        <w:tc>
          <w:tcPr>
            <w:tcW w:w="25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通过课堂讲授与学生学习（网络学习）等达成。</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6" w:hRule="atLeast"/>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3．能利用工程理论对系统通信过程和环节进行分析，能根据给定条件对通信系统利用数学物理理论进行性能和可靠性分析。</w:t>
            </w:r>
          </w:p>
        </w:tc>
        <w:tc>
          <w:tcPr>
            <w:tcW w:w="25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讲授、实验、作业等达成。</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4" w:hRule="atLeast"/>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4．了解通信系统的基本架构及各环节的作用，具有根据通信系统的设计指标进行需求分析与设计通信系统的结构（画出框图），清晰掌握通信过程、环节及其信号模型。</w:t>
            </w:r>
          </w:p>
        </w:tc>
        <w:tc>
          <w:tcPr>
            <w:tcW w:w="2502"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rPr>
                <w:sz w:val="18"/>
                <w:szCs w:val="18"/>
              </w:rPr>
            </w:pPr>
            <w:r>
              <w:rPr>
                <w:sz w:val="18"/>
                <w:szCs w:val="18"/>
              </w:rPr>
              <w:t>通过课堂讲授与学生学习（小组讨论、案例研讨）等达成。</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31" w:hRule="atLeast"/>
          <w:jc w:val="center"/>
        </w:trPr>
        <w:tc>
          <w:tcPr>
            <w:tcW w:w="460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5．能对通信系统基本的编码和调制原理进行实验验证，并给出正确结论。</w:t>
            </w:r>
          </w:p>
        </w:tc>
        <w:tc>
          <w:tcPr>
            <w:tcW w:w="2502"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rPr>
                <w:sz w:val="18"/>
                <w:szCs w:val="18"/>
              </w:rPr>
            </w:pPr>
            <w:r>
              <w:rPr>
                <w:sz w:val="18"/>
                <w:szCs w:val="18"/>
              </w:rPr>
              <w:t>通过课堂讲授与学生学习（实验与仿真）等达成。</w:t>
            </w:r>
          </w:p>
        </w:tc>
        <w:tc>
          <w:tcPr>
            <w:tcW w:w="1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pPr>
      <w:r>
        <w:t>     1. 课堂讲授为主，网络多媒体教学、中国大学mooc以及“腾讯会议/腾讯课堂”同步学习为辅，注重工程案例教学，每周平均讲授4学时，与专业相关实践教学环节和场景配合呼应。</w:t>
      </w:r>
    </w:p>
    <w:p>
      <w:pPr>
        <w:adjustRightInd w:val="0"/>
        <w:snapToGrid w:val="0"/>
        <w:spacing w:line="300" w:lineRule="auto"/>
        <w:ind w:firstLine="420" w:firstLineChars="200"/>
      </w:pPr>
      <w:r>
        <w:t> 2. 基于电子信息系统信息处理与传输工作流程构建课程教学体系；根据课程特点采用启发式教学、任务驱动教学、案例教学法进行教学方法创新；核心能力知识点采用“原理描述-设计要点分析-应用案例展示”相互呼应的教学模式。</w:t>
      </w:r>
    </w:p>
    <w:p>
      <w:pPr>
        <w:adjustRightInd w:val="0"/>
        <w:snapToGrid w:val="0"/>
        <w:spacing w:line="300" w:lineRule="auto"/>
        <w:ind w:firstLine="420" w:firstLineChars="200"/>
      </w:pPr>
      <w:r>
        <w:t> 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pPr>
      <w:r>
        <w:rPr>
          <w:szCs w:val="21"/>
        </w:rPr>
        <w:t>本课程理论教学内容与教学要求见表3。</w:t>
      </w:r>
    </w:p>
    <w:p>
      <w:pPr>
        <w:snapToGrid w:val="0"/>
        <w:spacing w:before="156" w:beforeLines="50" w:line="300" w:lineRule="auto"/>
        <w:jc w:val="center"/>
        <w:rPr>
          <w:b/>
          <w:bCs/>
          <w:sz w:val="18"/>
          <w:szCs w:val="18"/>
        </w:rPr>
      </w:pPr>
      <w:r>
        <w:rPr>
          <w:b/>
          <w:bCs/>
          <w:sz w:val="18"/>
          <w:szCs w:val="18"/>
        </w:rPr>
        <w:t>表3教学内容与教学要求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135"/>
        <w:gridCol w:w="4224"/>
        <w:gridCol w:w="67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532" w:type="dxa"/>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2135" w:type="dxa"/>
            <w:vAlign w:val="center"/>
          </w:tcPr>
          <w:p>
            <w:pPr>
              <w:widowControl/>
              <w:snapToGrid w:val="0"/>
              <w:jc w:val="center"/>
              <w:rPr>
                <w:b/>
                <w:kern w:val="0"/>
                <w:sz w:val="18"/>
                <w:szCs w:val="18"/>
              </w:rPr>
            </w:pPr>
            <w:r>
              <w:rPr>
                <w:b/>
                <w:kern w:val="0"/>
                <w:sz w:val="18"/>
                <w:szCs w:val="18"/>
              </w:rPr>
              <w:t>教学内容</w:t>
            </w:r>
          </w:p>
        </w:tc>
        <w:tc>
          <w:tcPr>
            <w:tcW w:w="4224" w:type="dxa"/>
            <w:vAlign w:val="center"/>
          </w:tcPr>
          <w:p>
            <w:pPr>
              <w:widowControl/>
              <w:snapToGrid w:val="0"/>
              <w:jc w:val="center"/>
              <w:rPr>
                <w:b/>
                <w:kern w:val="0"/>
                <w:sz w:val="18"/>
                <w:szCs w:val="18"/>
              </w:rPr>
            </w:pPr>
            <w:r>
              <w:rPr>
                <w:b/>
                <w:kern w:val="0"/>
                <w:sz w:val="18"/>
                <w:szCs w:val="18"/>
              </w:rPr>
              <w:t>教与学的要求</w:t>
            </w:r>
          </w:p>
        </w:tc>
        <w:tc>
          <w:tcPr>
            <w:tcW w:w="673" w:type="dxa"/>
            <w:vAlign w:val="center"/>
          </w:tcPr>
          <w:p>
            <w:pPr>
              <w:widowControl/>
              <w:snapToGrid w:val="0"/>
              <w:jc w:val="center"/>
              <w:rPr>
                <w:b/>
                <w:kern w:val="0"/>
                <w:sz w:val="18"/>
                <w:szCs w:val="18"/>
              </w:rPr>
            </w:pPr>
            <w:r>
              <w:rPr>
                <w:b/>
                <w:kern w:val="0"/>
                <w:sz w:val="18"/>
                <w:szCs w:val="18"/>
              </w:rPr>
              <w:t>学时</w:t>
            </w:r>
          </w:p>
        </w:tc>
        <w:tc>
          <w:tcPr>
            <w:tcW w:w="1114" w:type="dxa"/>
            <w:vAlign w:val="center"/>
          </w:tcPr>
          <w:p>
            <w:pPr>
              <w:widowControl/>
              <w:snapToGrid w:val="0"/>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1</w:t>
            </w:r>
          </w:p>
        </w:tc>
        <w:tc>
          <w:tcPr>
            <w:tcW w:w="2135" w:type="dxa"/>
            <w:vAlign w:val="center"/>
          </w:tcPr>
          <w:p>
            <w:pPr>
              <w:adjustRightInd w:val="0"/>
              <w:snapToGrid w:val="0"/>
              <w:spacing w:line="300" w:lineRule="auto"/>
              <w:rPr>
                <w:sz w:val="18"/>
                <w:szCs w:val="18"/>
              </w:rPr>
            </w:pPr>
            <w:r>
              <w:rPr>
                <w:sz w:val="18"/>
                <w:szCs w:val="18"/>
              </w:rPr>
              <w:t>1绪论</w:t>
            </w:r>
          </w:p>
          <w:p>
            <w:pPr>
              <w:adjustRightInd w:val="0"/>
              <w:snapToGrid w:val="0"/>
              <w:spacing w:line="300" w:lineRule="auto"/>
              <w:rPr>
                <w:sz w:val="18"/>
                <w:szCs w:val="18"/>
              </w:rPr>
            </w:pPr>
            <w:r>
              <w:rPr>
                <w:sz w:val="18"/>
                <w:szCs w:val="18"/>
              </w:rPr>
              <w:t>1.1通信的基本概念</w:t>
            </w:r>
          </w:p>
          <w:p>
            <w:pPr>
              <w:adjustRightInd w:val="0"/>
              <w:snapToGrid w:val="0"/>
              <w:spacing w:line="300" w:lineRule="auto"/>
              <w:rPr>
                <w:sz w:val="18"/>
                <w:szCs w:val="18"/>
              </w:rPr>
            </w:pPr>
            <w:r>
              <w:rPr>
                <w:sz w:val="18"/>
                <w:szCs w:val="18"/>
              </w:rPr>
              <w:t>1.2通信系统的组成</w:t>
            </w:r>
          </w:p>
          <w:p>
            <w:pPr>
              <w:adjustRightInd w:val="0"/>
              <w:snapToGrid w:val="0"/>
              <w:spacing w:line="300" w:lineRule="auto"/>
              <w:rPr>
                <w:sz w:val="18"/>
                <w:szCs w:val="18"/>
              </w:rPr>
            </w:pPr>
            <w:r>
              <w:rPr>
                <w:sz w:val="18"/>
                <w:szCs w:val="18"/>
              </w:rPr>
              <w:t>1.3通信系统的分类与通信方式</w:t>
            </w:r>
          </w:p>
          <w:p>
            <w:pPr>
              <w:adjustRightInd w:val="0"/>
              <w:snapToGrid w:val="0"/>
              <w:spacing w:line="300" w:lineRule="auto"/>
              <w:rPr>
                <w:sz w:val="18"/>
                <w:szCs w:val="18"/>
              </w:rPr>
            </w:pPr>
            <w:r>
              <w:rPr>
                <w:sz w:val="18"/>
                <w:szCs w:val="18"/>
              </w:rPr>
              <w:t>1.4信息及其度量</w:t>
            </w:r>
          </w:p>
          <w:p>
            <w:pPr>
              <w:adjustRightInd w:val="0"/>
              <w:snapToGrid w:val="0"/>
              <w:spacing w:line="300" w:lineRule="auto"/>
              <w:rPr>
                <w:sz w:val="18"/>
                <w:szCs w:val="18"/>
              </w:rPr>
            </w:pPr>
            <w:r>
              <w:rPr>
                <w:sz w:val="18"/>
                <w:szCs w:val="18"/>
              </w:rPr>
              <w:t>1.5通信系统主要性能指标</w:t>
            </w:r>
          </w:p>
          <w:p>
            <w:pPr>
              <w:adjustRightInd w:val="0"/>
              <w:snapToGrid w:val="0"/>
              <w:spacing w:line="300" w:lineRule="auto"/>
              <w:rPr>
                <w:sz w:val="18"/>
                <w:szCs w:val="18"/>
              </w:rPr>
            </w:pPr>
            <w:r>
              <w:rPr>
                <w:sz w:val="18"/>
                <w:szCs w:val="18"/>
              </w:rPr>
              <w:t>1.6小结（思政结论）</w:t>
            </w:r>
          </w:p>
          <w:p>
            <w:pPr>
              <w:adjustRightInd w:val="0"/>
              <w:snapToGrid w:val="0"/>
              <w:spacing w:line="300" w:lineRule="auto"/>
              <w:rPr>
                <w:sz w:val="18"/>
                <w:szCs w:val="18"/>
              </w:rPr>
            </w:pPr>
            <w:r>
              <w:rPr>
                <w:sz w:val="18"/>
                <w:szCs w:val="18"/>
              </w:rPr>
              <w:t>中兴事件的教训与启示</w:t>
            </w:r>
          </w:p>
        </w:tc>
        <w:tc>
          <w:tcPr>
            <w:tcW w:w="4224"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1)通过绪论的介绍，使得学生掌握通信的基本概念、学习内容、学习目的、基础和主要特点；</w:t>
            </w:r>
          </w:p>
          <w:p>
            <w:pPr>
              <w:adjustRightInd w:val="0"/>
              <w:snapToGrid w:val="0"/>
              <w:spacing w:line="300" w:lineRule="auto"/>
              <w:rPr>
                <w:sz w:val="18"/>
                <w:szCs w:val="18"/>
              </w:rPr>
            </w:pPr>
            <w:r>
              <w:rPr>
                <w:sz w:val="18"/>
                <w:szCs w:val="18"/>
              </w:rPr>
              <w:t>2)重点把握通信系统（模拟通信系统和数字通信系统）模型、数字通信系统的特点，正确理解信息及其度量以及衡量通信系统的主要性能指标；</w:t>
            </w:r>
          </w:p>
          <w:p>
            <w:pPr>
              <w:adjustRightInd w:val="0"/>
              <w:snapToGrid w:val="0"/>
              <w:spacing w:line="300" w:lineRule="auto"/>
              <w:rPr>
                <w:sz w:val="18"/>
                <w:szCs w:val="18"/>
              </w:rPr>
            </w:pPr>
            <w:r>
              <w:rPr>
                <w:sz w:val="18"/>
                <w:szCs w:val="18"/>
              </w:rPr>
              <w:t>3)了解通信技术的发展历史。</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平均信息量的计算、误码率和误信率的计算。</w:t>
            </w:r>
          </w:p>
          <w:p>
            <w:pPr>
              <w:adjustRightInd w:val="0"/>
              <w:snapToGrid w:val="0"/>
              <w:spacing w:line="300" w:lineRule="auto"/>
              <w:rPr>
                <w:sz w:val="18"/>
                <w:szCs w:val="18"/>
              </w:rPr>
            </w:pPr>
            <w:r>
              <w:rPr>
                <w:sz w:val="18"/>
                <w:szCs w:val="18"/>
              </w:rPr>
              <w:t>3.讨论内容</w:t>
            </w:r>
          </w:p>
          <w:p>
            <w:pPr>
              <w:adjustRightInd w:val="0"/>
              <w:snapToGrid w:val="0"/>
              <w:spacing w:line="300" w:lineRule="auto"/>
              <w:rPr>
                <w:sz w:val="18"/>
                <w:szCs w:val="18"/>
              </w:rPr>
            </w:pPr>
            <w:r>
              <w:rPr>
                <w:sz w:val="18"/>
                <w:szCs w:val="18"/>
              </w:rPr>
              <w:t>2018年“中兴事件”的教训与启示。</w:t>
            </w:r>
          </w:p>
        </w:tc>
        <w:tc>
          <w:tcPr>
            <w:tcW w:w="673" w:type="dxa"/>
            <w:vAlign w:val="center"/>
          </w:tcPr>
          <w:p>
            <w:pPr>
              <w:widowControl/>
              <w:adjustRightInd w:val="0"/>
              <w:snapToGrid w:val="0"/>
              <w:spacing w:line="300" w:lineRule="auto"/>
              <w:jc w:val="center"/>
              <w:rPr>
                <w:sz w:val="18"/>
                <w:szCs w:val="18"/>
              </w:rPr>
            </w:pPr>
            <w:r>
              <w:rPr>
                <w:kern w:val="0"/>
                <w:sz w:val="18"/>
                <w:szCs w:val="18"/>
              </w:rPr>
              <w:t>2</w:t>
            </w:r>
          </w:p>
        </w:tc>
        <w:tc>
          <w:tcPr>
            <w:tcW w:w="1114" w:type="dxa"/>
            <w:vAlign w:val="center"/>
          </w:tcPr>
          <w:p>
            <w:pPr>
              <w:widowControl/>
              <w:adjustRightInd w:val="0"/>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2</w:t>
            </w:r>
          </w:p>
        </w:tc>
        <w:tc>
          <w:tcPr>
            <w:tcW w:w="2135" w:type="dxa"/>
            <w:vAlign w:val="center"/>
          </w:tcPr>
          <w:p>
            <w:pPr>
              <w:adjustRightInd w:val="0"/>
              <w:snapToGrid w:val="0"/>
              <w:spacing w:line="300" w:lineRule="auto"/>
              <w:rPr>
                <w:sz w:val="18"/>
                <w:szCs w:val="18"/>
              </w:rPr>
            </w:pPr>
            <w:r>
              <w:rPr>
                <w:sz w:val="18"/>
                <w:szCs w:val="18"/>
              </w:rPr>
              <w:t>2确知信号</w:t>
            </w:r>
          </w:p>
          <w:p>
            <w:pPr>
              <w:adjustRightInd w:val="0"/>
              <w:snapToGrid w:val="0"/>
              <w:spacing w:line="300" w:lineRule="auto"/>
              <w:rPr>
                <w:sz w:val="18"/>
                <w:szCs w:val="18"/>
              </w:rPr>
            </w:pPr>
            <w:r>
              <w:rPr>
                <w:sz w:val="18"/>
                <w:szCs w:val="18"/>
              </w:rPr>
              <w:t>2.1确知信号的类型</w:t>
            </w:r>
          </w:p>
          <w:p>
            <w:pPr>
              <w:adjustRightInd w:val="0"/>
              <w:snapToGrid w:val="0"/>
              <w:spacing w:line="300" w:lineRule="auto"/>
              <w:rPr>
                <w:sz w:val="18"/>
                <w:szCs w:val="18"/>
              </w:rPr>
            </w:pPr>
            <w:r>
              <w:rPr>
                <w:sz w:val="18"/>
                <w:szCs w:val="18"/>
              </w:rPr>
              <w:t>2.2确知信号的频域性质</w:t>
            </w:r>
          </w:p>
          <w:p>
            <w:pPr>
              <w:adjustRightInd w:val="0"/>
              <w:snapToGrid w:val="0"/>
              <w:spacing w:line="300" w:lineRule="auto"/>
              <w:rPr>
                <w:sz w:val="18"/>
                <w:szCs w:val="18"/>
              </w:rPr>
            </w:pPr>
            <w:r>
              <w:rPr>
                <w:sz w:val="18"/>
                <w:szCs w:val="18"/>
              </w:rPr>
              <w:t>2.3确知信号的时域性质</w:t>
            </w:r>
          </w:p>
          <w:p>
            <w:pPr>
              <w:adjustRightInd w:val="0"/>
              <w:snapToGrid w:val="0"/>
              <w:spacing w:line="300" w:lineRule="auto"/>
              <w:rPr>
                <w:sz w:val="18"/>
                <w:szCs w:val="18"/>
              </w:rPr>
            </w:pPr>
            <w:r>
              <w:rPr>
                <w:sz w:val="18"/>
                <w:szCs w:val="18"/>
              </w:rPr>
              <w:t>2.4小结（思政结论）</w:t>
            </w: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 xml:space="preserve">1）把握能量确知信号和功率确知信号的判别方法； </w:t>
            </w:r>
          </w:p>
          <w:p>
            <w:pPr>
              <w:adjustRightInd w:val="0"/>
              <w:snapToGrid w:val="0"/>
              <w:spacing w:line="300" w:lineRule="auto"/>
              <w:rPr>
                <w:sz w:val="18"/>
                <w:szCs w:val="18"/>
              </w:rPr>
            </w:pPr>
            <w:r>
              <w:rPr>
                <w:sz w:val="18"/>
                <w:szCs w:val="18"/>
              </w:rPr>
              <w:t>2）把握确知周期功率信号的频谱、能量信号的频谱密度、能量信号的能量谱密度及功率信号的功率谱密度的物理意义，各种谱的单位；</w:t>
            </w:r>
          </w:p>
          <w:p>
            <w:pPr>
              <w:adjustRightInd w:val="0"/>
              <w:snapToGrid w:val="0"/>
              <w:spacing w:line="300" w:lineRule="auto"/>
              <w:rPr>
                <w:sz w:val="18"/>
                <w:szCs w:val="18"/>
              </w:rPr>
            </w:pPr>
            <w:r>
              <w:rPr>
                <w:sz w:val="18"/>
                <w:szCs w:val="18"/>
              </w:rPr>
              <w:t xml:space="preserve">3）掌握单位冲击函数的原始定义及频谱密度、余弦函数的频谱和功率谱、门函数的傅里叶变换； </w:t>
            </w:r>
          </w:p>
          <w:p>
            <w:pPr>
              <w:adjustRightInd w:val="0"/>
              <w:snapToGrid w:val="0"/>
              <w:spacing w:line="300" w:lineRule="auto"/>
              <w:rPr>
                <w:sz w:val="18"/>
                <w:szCs w:val="18"/>
              </w:rPr>
            </w:pPr>
            <w:r>
              <w:rPr>
                <w:sz w:val="18"/>
                <w:szCs w:val="18"/>
              </w:rPr>
              <w:t>4）掌握确知能量信号的自相关函数以及确知功率信号的自相关函数的定义，能谱密度和功率谱密度与子相关函数之间的关系。</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功率谱密度函数的验证、平均功率的计算。</w:t>
            </w:r>
          </w:p>
          <w:p>
            <w:pPr>
              <w:adjustRightInd w:val="0"/>
              <w:snapToGrid w:val="0"/>
              <w:spacing w:line="300" w:lineRule="auto"/>
              <w:rPr>
                <w:sz w:val="18"/>
                <w:szCs w:val="18"/>
              </w:rPr>
            </w:pPr>
            <w:r>
              <w:rPr>
                <w:sz w:val="18"/>
                <w:szCs w:val="18"/>
              </w:rPr>
              <w:t>3.讨论内容：</w:t>
            </w:r>
          </w:p>
          <w:p>
            <w:pPr>
              <w:adjustRightInd w:val="0"/>
              <w:snapToGrid w:val="0"/>
              <w:spacing w:line="300" w:lineRule="auto"/>
              <w:rPr>
                <w:sz w:val="18"/>
                <w:szCs w:val="18"/>
              </w:rPr>
            </w:pPr>
            <w:r>
              <w:rPr>
                <w:sz w:val="18"/>
                <w:szCs w:val="18"/>
              </w:rPr>
              <w:t>频谱密度、能谱密度及功率谱密度的量纲分别是什么？</w:t>
            </w:r>
          </w:p>
          <w:p>
            <w:pPr>
              <w:adjustRightInd w:val="0"/>
              <w:snapToGrid w:val="0"/>
              <w:spacing w:line="300" w:lineRule="auto"/>
              <w:rPr>
                <w:sz w:val="18"/>
                <w:szCs w:val="18"/>
              </w:rPr>
            </w:pPr>
            <w:r>
              <w:rPr>
                <w:sz w:val="18"/>
                <w:szCs w:val="18"/>
              </w:rPr>
              <w:t>4.自学拓展：</w:t>
            </w:r>
          </w:p>
          <w:p>
            <w:pPr>
              <w:adjustRightInd w:val="0"/>
              <w:snapToGrid w:val="0"/>
              <w:spacing w:line="300" w:lineRule="auto"/>
              <w:ind w:firstLine="360" w:firstLineChars="200"/>
              <w:rPr>
                <w:sz w:val="18"/>
                <w:szCs w:val="18"/>
              </w:rPr>
            </w:pPr>
            <w:r>
              <w:rPr>
                <w:sz w:val="18"/>
                <w:szCs w:val="18"/>
              </w:rPr>
              <w:t>小结通过数学方法在信号分析中的应用，修正学生头脑中数学和工程实际问题之间割裂的状态，建立起数学是解决工程问题的工具，工程问题要用数学模型来表述的概念，提升学习动力与客服科学难题的勇气。</w:t>
            </w:r>
          </w:p>
        </w:tc>
        <w:tc>
          <w:tcPr>
            <w:tcW w:w="673" w:type="dxa"/>
            <w:vAlign w:val="center"/>
          </w:tcPr>
          <w:p>
            <w:pPr>
              <w:widowControl/>
              <w:adjustRightInd w:val="0"/>
              <w:snapToGrid w:val="0"/>
              <w:spacing w:line="300" w:lineRule="auto"/>
              <w:jc w:val="center"/>
              <w:rPr>
                <w:sz w:val="18"/>
                <w:szCs w:val="18"/>
              </w:rPr>
            </w:pPr>
            <w:r>
              <w:rPr>
                <w:kern w:val="0"/>
                <w:sz w:val="18"/>
                <w:szCs w:val="18"/>
              </w:rPr>
              <w:t>2</w:t>
            </w:r>
          </w:p>
        </w:tc>
        <w:tc>
          <w:tcPr>
            <w:tcW w:w="1114" w:type="dxa"/>
            <w:vAlign w:val="center"/>
          </w:tcPr>
          <w:p>
            <w:pPr>
              <w:widowControl/>
              <w:adjustRightInd w:val="0"/>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3</w:t>
            </w:r>
          </w:p>
        </w:tc>
        <w:tc>
          <w:tcPr>
            <w:tcW w:w="2135" w:type="dxa"/>
            <w:vAlign w:val="center"/>
          </w:tcPr>
          <w:p>
            <w:pPr>
              <w:adjustRightInd w:val="0"/>
              <w:snapToGrid w:val="0"/>
              <w:spacing w:line="300" w:lineRule="auto"/>
              <w:rPr>
                <w:sz w:val="18"/>
                <w:szCs w:val="18"/>
              </w:rPr>
            </w:pPr>
            <w:r>
              <w:rPr>
                <w:sz w:val="18"/>
                <w:szCs w:val="18"/>
              </w:rPr>
              <w:t>3  随机过程</w:t>
            </w:r>
          </w:p>
          <w:p>
            <w:pPr>
              <w:adjustRightInd w:val="0"/>
              <w:snapToGrid w:val="0"/>
              <w:spacing w:line="300" w:lineRule="auto"/>
              <w:rPr>
                <w:sz w:val="18"/>
                <w:szCs w:val="18"/>
              </w:rPr>
            </w:pPr>
            <w:r>
              <w:rPr>
                <w:sz w:val="18"/>
                <w:szCs w:val="18"/>
              </w:rPr>
              <w:t>3.1 随机过程的基本概念</w:t>
            </w:r>
          </w:p>
          <w:p>
            <w:pPr>
              <w:adjustRightInd w:val="0"/>
              <w:snapToGrid w:val="0"/>
              <w:spacing w:line="300" w:lineRule="auto"/>
              <w:rPr>
                <w:sz w:val="18"/>
                <w:szCs w:val="18"/>
              </w:rPr>
            </w:pPr>
            <w:r>
              <w:rPr>
                <w:sz w:val="18"/>
                <w:szCs w:val="18"/>
              </w:rPr>
              <w:t>3.2 平稳随机过程</w:t>
            </w:r>
          </w:p>
          <w:p>
            <w:pPr>
              <w:adjustRightInd w:val="0"/>
              <w:snapToGrid w:val="0"/>
              <w:spacing w:line="300" w:lineRule="auto"/>
              <w:rPr>
                <w:sz w:val="18"/>
                <w:szCs w:val="18"/>
              </w:rPr>
            </w:pPr>
            <w:r>
              <w:rPr>
                <w:sz w:val="18"/>
                <w:szCs w:val="18"/>
              </w:rPr>
              <w:t>3.3 高斯随机过程</w:t>
            </w:r>
          </w:p>
          <w:p>
            <w:pPr>
              <w:adjustRightInd w:val="0"/>
              <w:snapToGrid w:val="0"/>
              <w:spacing w:line="300" w:lineRule="auto"/>
              <w:rPr>
                <w:sz w:val="18"/>
                <w:szCs w:val="18"/>
              </w:rPr>
            </w:pPr>
            <w:r>
              <w:rPr>
                <w:sz w:val="18"/>
                <w:szCs w:val="18"/>
              </w:rPr>
              <w:t>3.4 平稳随机过程通过线性系统</w:t>
            </w:r>
          </w:p>
          <w:p>
            <w:pPr>
              <w:adjustRightInd w:val="0"/>
              <w:snapToGrid w:val="0"/>
              <w:spacing w:line="300" w:lineRule="auto"/>
              <w:rPr>
                <w:sz w:val="18"/>
                <w:szCs w:val="18"/>
              </w:rPr>
            </w:pPr>
            <w:r>
              <w:rPr>
                <w:sz w:val="18"/>
                <w:szCs w:val="18"/>
              </w:rPr>
              <w:t>3.5 窄带随机过程</w:t>
            </w:r>
          </w:p>
          <w:p>
            <w:pPr>
              <w:adjustRightInd w:val="0"/>
              <w:snapToGrid w:val="0"/>
              <w:spacing w:line="300" w:lineRule="auto"/>
              <w:rPr>
                <w:sz w:val="18"/>
                <w:szCs w:val="18"/>
              </w:rPr>
            </w:pPr>
            <w:r>
              <w:rPr>
                <w:sz w:val="18"/>
                <w:szCs w:val="18"/>
              </w:rPr>
              <w:t>3.6 正弦波加窄带随机过程</w:t>
            </w:r>
          </w:p>
          <w:p>
            <w:pPr>
              <w:adjustRightInd w:val="0"/>
              <w:snapToGrid w:val="0"/>
              <w:spacing w:line="300" w:lineRule="auto"/>
              <w:rPr>
                <w:sz w:val="18"/>
                <w:szCs w:val="18"/>
              </w:rPr>
            </w:pPr>
            <w:r>
              <w:rPr>
                <w:sz w:val="18"/>
                <w:szCs w:val="18"/>
              </w:rPr>
              <w:t>3.7 高斯白噪声</w:t>
            </w:r>
          </w:p>
          <w:p>
            <w:pPr>
              <w:adjustRightInd w:val="0"/>
              <w:snapToGrid w:val="0"/>
              <w:spacing w:line="300" w:lineRule="auto"/>
              <w:rPr>
                <w:sz w:val="18"/>
                <w:szCs w:val="18"/>
              </w:rPr>
            </w:pPr>
            <w:r>
              <w:rPr>
                <w:sz w:val="18"/>
                <w:szCs w:val="18"/>
              </w:rPr>
              <w:t>2.4小结（思政结论）</w:t>
            </w:r>
          </w:p>
          <w:p>
            <w:pPr>
              <w:adjustRightInd w:val="0"/>
              <w:snapToGrid w:val="0"/>
              <w:spacing w:line="300" w:lineRule="auto"/>
              <w:rPr>
                <w:sz w:val="18"/>
                <w:szCs w:val="18"/>
              </w:rPr>
            </w:pP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1）熟悉随机过程的两种定义方法，学会平稳随机过程的判决方法，熟悉平稳随机过程功率谱的定义，了解引入遍历随机过程的工程意义；</w:t>
            </w:r>
          </w:p>
          <w:p>
            <w:pPr>
              <w:adjustRightInd w:val="0"/>
              <w:snapToGrid w:val="0"/>
              <w:spacing w:line="300" w:lineRule="auto"/>
              <w:rPr>
                <w:sz w:val="18"/>
                <w:szCs w:val="18"/>
              </w:rPr>
            </w:pPr>
            <w:r>
              <w:rPr>
                <w:sz w:val="18"/>
                <w:szCs w:val="18"/>
              </w:rPr>
              <w:t>2）掌握平稳随机过程通过线性系统后，输出的功率谱密度与输入的功率谱密度及系统的传递函数之间的关系</w:t>
            </w:r>
          </w:p>
          <w:p>
            <w:pPr>
              <w:adjustRightInd w:val="0"/>
              <w:snapToGrid w:val="0"/>
              <w:spacing w:line="300" w:lineRule="auto"/>
              <w:rPr>
                <w:sz w:val="18"/>
                <w:szCs w:val="18"/>
              </w:rPr>
            </w:pPr>
            <w:r>
              <w:rPr>
                <w:sz w:val="18"/>
                <w:szCs w:val="18"/>
              </w:rPr>
              <w:t xml:space="preserve">3）掌握高斯随机过程的定义和重要性质； </w:t>
            </w:r>
          </w:p>
          <w:p>
            <w:pPr>
              <w:adjustRightInd w:val="0"/>
              <w:snapToGrid w:val="0"/>
              <w:spacing w:line="300" w:lineRule="auto"/>
              <w:rPr>
                <w:sz w:val="18"/>
                <w:szCs w:val="18"/>
              </w:rPr>
            </w:pPr>
            <w:r>
              <w:rPr>
                <w:sz w:val="18"/>
                <w:szCs w:val="18"/>
              </w:rPr>
              <w:t xml:space="preserve">4）熟悉窄带随机过程的数学表示方法：包络相位法、同相分量和正交分量法；掌握窄带随机过程包络和相位的概率密度函数、同相分量和正交分量的统计特性； </w:t>
            </w:r>
          </w:p>
          <w:p>
            <w:pPr>
              <w:adjustRightInd w:val="0"/>
              <w:snapToGrid w:val="0"/>
              <w:spacing w:line="300" w:lineRule="auto"/>
              <w:rPr>
                <w:sz w:val="18"/>
                <w:szCs w:val="18"/>
              </w:rPr>
            </w:pPr>
            <w:r>
              <w:rPr>
                <w:sz w:val="18"/>
                <w:szCs w:val="18"/>
              </w:rPr>
              <w:t xml:space="preserve">5）掌握正弦波加窄带高斯过程包络的概率密度函数； </w:t>
            </w:r>
          </w:p>
          <w:p>
            <w:pPr>
              <w:adjustRightInd w:val="0"/>
              <w:snapToGrid w:val="0"/>
              <w:spacing w:line="300" w:lineRule="auto"/>
              <w:rPr>
                <w:sz w:val="18"/>
                <w:szCs w:val="18"/>
              </w:rPr>
            </w:pPr>
            <w:r>
              <w:rPr>
                <w:sz w:val="18"/>
                <w:szCs w:val="18"/>
              </w:rPr>
              <w:t>6）高斯白噪声的物理意义；</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平稳随机过程通过线性系统功率谱密度的计算、随机过程功率谱密度和自相关函数之间的变换。</w:t>
            </w:r>
          </w:p>
          <w:p>
            <w:pPr>
              <w:adjustRightInd w:val="0"/>
              <w:snapToGrid w:val="0"/>
              <w:spacing w:line="300" w:lineRule="auto"/>
              <w:rPr>
                <w:sz w:val="18"/>
                <w:szCs w:val="18"/>
              </w:rPr>
            </w:pPr>
            <w:r>
              <w:rPr>
                <w:sz w:val="18"/>
                <w:szCs w:val="18"/>
              </w:rPr>
              <w:t>3.讨论内容：</w:t>
            </w:r>
          </w:p>
          <w:p>
            <w:pPr>
              <w:adjustRightInd w:val="0"/>
              <w:snapToGrid w:val="0"/>
              <w:spacing w:line="300" w:lineRule="auto"/>
              <w:rPr>
                <w:sz w:val="18"/>
                <w:szCs w:val="18"/>
              </w:rPr>
            </w:pPr>
            <w:r>
              <w:rPr>
                <w:sz w:val="18"/>
                <w:szCs w:val="18"/>
              </w:rPr>
              <w:t>窄带信号的表示。</w:t>
            </w:r>
          </w:p>
          <w:p>
            <w:pPr>
              <w:adjustRightInd w:val="0"/>
              <w:snapToGrid w:val="0"/>
              <w:spacing w:line="300" w:lineRule="auto"/>
              <w:rPr>
                <w:sz w:val="18"/>
                <w:szCs w:val="18"/>
              </w:rPr>
            </w:pPr>
            <w:r>
              <w:rPr>
                <w:sz w:val="18"/>
                <w:szCs w:val="18"/>
              </w:rPr>
              <w:t>4.自学拓展：</w:t>
            </w:r>
          </w:p>
        </w:tc>
        <w:tc>
          <w:tcPr>
            <w:tcW w:w="673" w:type="dxa"/>
            <w:vAlign w:val="center"/>
          </w:tcPr>
          <w:p>
            <w:pPr>
              <w:widowControl/>
              <w:adjustRightInd w:val="0"/>
              <w:snapToGrid w:val="0"/>
              <w:spacing w:line="300" w:lineRule="auto"/>
              <w:jc w:val="center"/>
              <w:rPr>
                <w:sz w:val="18"/>
                <w:szCs w:val="18"/>
              </w:rPr>
            </w:pPr>
            <w:r>
              <w:rPr>
                <w:sz w:val="18"/>
                <w:szCs w:val="18"/>
              </w:rPr>
              <w:t xml:space="preserve">4 </w:t>
            </w:r>
          </w:p>
        </w:tc>
        <w:tc>
          <w:tcPr>
            <w:tcW w:w="1114" w:type="dxa"/>
            <w:vAlign w:val="center"/>
          </w:tcPr>
          <w:p>
            <w:pPr>
              <w:widowControl/>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4</w:t>
            </w:r>
          </w:p>
        </w:tc>
        <w:tc>
          <w:tcPr>
            <w:tcW w:w="2135" w:type="dxa"/>
            <w:vAlign w:val="center"/>
          </w:tcPr>
          <w:p>
            <w:pPr>
              <w:adjustRightInd w:val="0"/>
              <w:snapToGrid w:val="0"/>
              <w:spacing w:line="300" w:lineRule="auto"/>
              <w:rPr>
                <w:sz w:val="18"/>
                <w:szCs w:val="18"/>
              </w:rPr>
            </w:pPr>
            <w:r>
              <w:rPr>
                <w:sz w:val="18"/>
                <w:szCs w:val="18"/>
              </w:rPr>
              <w:t>4  信道</w:t>
            </w:r>
          </w:p>
          <w:p>
            <w:pPr>
              <w:adjustRightInd w:val="0"/>
              <w:snapToGrid w:val="0"/>
              <w:spacing w:line="300" w:lineRule="auto"/>
              <w:rPr>
                <w:sz w:val="18"/>
                <w:szCs w:val="18"/>
              </w:rPr>
            </w:pPr>
            <w:r>
              <w:rPr>
                <w:sz w:val="18"/>
                <w:szCs w:val="18"/>
              </w:rPr>
              <w:t>4.1 无线信道和有线信道</w:t>
            </w:r>
          </w:p>
          <w:p>
            <w:pPr>
              <w:adjustRightInd w:val="0"/>
              <w:snapToGrid w:val="0"/>
              <w:spacing w:line="300" w:lineRule="auto"/>
              <w:rPr>
                <w:sz w:val="18"/>
                <w:szCs w:val="18"/>
              </w:rPr>
            </w:pPr>
            <w:r>
              <w:rPr>
                <w:sz w:val="18"/>
                <w:szCs w:val="18"/>
              </w:rPr>
              <w:t>4.2 信道的数学模型</w:t>
            </w:r>
          </w:p>
          <w:p>
            <w:pPr>
              <w:adjustRightInd w:val="0"/>
              <w:snapToGrid w:val="0"/>
              <w:spacing w:line="300" w:lineRule="auto"/>
              <w:rPr>
                <w:sz w:val="18"/>
                <w:szCs w:val="18"/>
              </w:rPr>
            </w:pPr>
            <w:r>
              <w:rPr>
                <w:sz w:val="18"/>
                <w:szCs w:val="18"/>
              </w:rPr>
              <w:t>4.3 信道特性对信号传输的影响</w:t>
            </w:r>
          </w:p>
          <w:p>
            <w:pPr>
              <w:adjustRightInd w:val="0"/>
              <w:snapToGrid w:val="0"/>
              <w:spacing w:line="300" w:lineRule="auto"/>
              <w:rPr>
                <w:sz w:val="18"/>
                <w:szCs w:val="18"/>
              </w:rPr>
            </w:pPr>
            <w:r>
              <w:rPr>
                <w:sz w:val="18"/>
                <w:szCs w:val="18"/>
              </w:rPr>
              <w:t>4.4 信道中的噪声</w:t>
            </w:r>
          </w:p>
          <w:p>
            <w:pPr>
              <w:adjustRightInd w:val="0"/>
              <w:snapToGrid w:val="0"/>
              <w:spacing w:line="300" w:lineRule="auto"/>
              <w:rPr>
                <w:sz w:val="18"/>
                <w:szCs w:val="18"/>
              </w:rPr>
            </w:pPr>
            <w:r>
              <w:rPr>
                <w:sz w:val="18"/>
                <w:szCs w:val="18"/>
              </w:rPr>
              <w:t>4.5 信道容量</w:t>
            </w:r>
          </w:p>
          <w:p>
            <w:pPr>
              <w:adjustRightInd w:val="0"/>
              <w:snapToGrid w:val="0"/>
              <w:spacing w:line="300" w:lineRule="auto"/>
              <w:rPr>
                <w:sz w:val="18"/>
                <w:szCs w:val="18"/>
              </w:rPr>
            </w:pPr>
            <w:r>
              <w:rPr>
                <w:sz w:val="18"/>
                <w:szCs w:val="18"/>
              </w:rPr>
              <w:t>4.6小结（思政结论）</w:t>
            </w:r>
          </w:p>
          <w:p>
            <w:pPr>
              <w:adjustRightInd w:val="0"/>
              <w:snapToGrid w:val="0"/>
              <w:spacing w:line="300" w:lineRule="auto"/>
              <w:rPr>
                <w:sz w:val="18"/>
                <w:szCs w:val="18"/>
              </w:rPr>
            </w:pP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1）了解有线信道和无线信道的传输特性；</w:t>
            </w:r>
          </w:p>
          <w:p>
            <w:pPr>
              <w:adjustRightInd w:val="0"/>
              <w:snapToGrid w:val="0"/>
              <w:spacing w:line="300" w:lineRule="auto"/>
              <w:rPr>
                <w:sz w:val="18"/>
                <w:szCs w:val="18"/>
              </w:rPr>
            </w:pPr>
            <w:r>
              <w:rPr>
                <w:sz w:val="18"/>
                <w:szCs w:val="18"/>
              </w:rPr>
              <w:t>2）掌握调制信道和编码信道的研究范围，理解乘性干扰和加性干扰的特性；</w:t>
            </w:r>
          </w:p>
          <w:p>
            <w:pPr>
              <w:adjustRightInd w:val="0"/>
              <w:snapToGrid w:val="0"/>
              <w:spacing w:line="300" w:lineRule="auto"/>
              <w:rPr>
                <w:sz w:val="18"/>
                <w:szCs w:val="18"/>
              </w:rPr>
            </w:pPr>
            <w:r>
              <w:rPr>
                <w:sz w:val="18"/>
                <w:szCs w:val="18"/>
              </w:rPr>
              <w:t>3）熟悉信道特性对信号传输的影响，信号无失真传输的条件，瑞利衰落和频率选择性衰落的产生机理；</w:t>
            </w:r>
          </w:p>
          <w:p>
            <w:pPr>
              <w:adjustRightInd w:val="0"/>
              <w:snapToGrid w:val="0"/>
              <w:spacing w:line="300" w:lineRule="auto"/>
              <w:rPr>
                <w:sz w:val="18"/>
                <w:szCs w:val="18"/>
              </w:rPr>
            </w:pPr>
            <w:r>
              <w:rPr>
                <w:sz w:val="18"/>
                <w:szCs w:val="18"/>
              </w:rPr>
              <w:t>4）掌握热噪声和散粒噪声的产生机理及功率谱密度函数；噪声等效带宽的定义和等效原则；</w:t>
            </w:r>
          </w:p>
          <w:p>
            <w:pPr>
              <w:adjustRightInd w:val="0"/>
              <w:snapToGrid w:val="0"/>
              <w:spacing w:line="300" w:lineRule="auto"/>
              <w:rPr>
                <w:sz w:val="18"/>
                <w:szCs w:val="18"/>
              </w:rPr>
            </w:pPr>
            <w:r>
              <w:rPr>
                <w:sz w:val="18"/>
                <w:szCs w:val="18"/>
              </w:rPr>
              <w:t>5）掌握离散信道（重点是对称信道）的信道容量度量方法；能够灵活利用信道容量香农公式分析具体高斯白噪声信道。</w:t>
            </w:r>
          </w:p>
          <w:p>
            <w:pPr>
              <w:adjustRightInd w:val="0"/>
              <w:snapToGrid w:val="0"/>
              <w:spacing w:line="300" w:lineRule="auto"/>
              <w:rPr>
                <w:sz w:val="18"/>
                <w:szCs w:val="18"/>
              </w:rPr>
            </w:pPr>
            <w:r>
              <w:rPr>
                <w:sz w:val="18"/>
                <w:szCs w:val="18"/>
              </w:rPr>
              <w:t>2.作业内容：离散对称信道的信道容量的估算，连续高斯白噪声信道容量的估算.</w:t>
            </w:r>
          </w:p>
          <w:p>
            <w:pPr>
              <w:widowControl/>
              <w:adjustRightInd w:val="0"/>
              <w:snapToGrid w:val="0"/>
              <w:spacing w:line="300" w:lineRule="auto"/>
              <w:jc w:val="left"/>
              <w:rPr>
                <w:kern w:val="0"/>
                <w:sz w:val="24"/>
              </w:rPr>
            </w:pPr>
            <w:r>
              <w:rPr>
                <w:sz w:val="18"/>
                <w:szCs w:val="18"/>
              </w:rPr>
              <w:t>3. 讨论内容：“当今时代，学习通信技术对你意味着什么，你能为国家和社会做出哪些贡献？”</w:t>
            </w:r>
          </w:p>
          <w:p>
            <w:pPr>
              <w:adjustRightInd w:val="0"/>
              <w:snapToGrid w:val="0"/>
              <w:spacing w:line="300" w:lineRule="auto"/>
              <w:rPr>
                <w:sz w:val="18"/>
                <w:szCs w:val="18"/>
              </w:rPr>
            </w:pPr>
            <w:r>
              <w:rPr>
                <w:sz w:val="18"/>
                <w:szCs w:val="18"/>
              </w:rPr>
              <w:t>4.自学拓展：对于连续高斯白噪声信道，带宽趋于无穷，信道容量是否也趋于无穷？信道容量与三要素之间的关系</w:t>
            </w:r>
          </w:p>
        </w:tc>
        <w:tc>
          <w:tcPr>
            <w:tcW w:w="673" w:type="dxa"/>
            <w:vAlign w:val="center"/>
          </w:tcPr>
          <w:p>
            <w:pPr>
              <w:widowControl/>
              <w:adjustRightInd w:val="0"/>
              <w:snapToGrid w:val="0"/>
              <w:spacing w:line="300" w:lineRule="auto"/>
              <w:jc w:val="center"/>
              <w:rPr>
                <w:sz w:val="18"/>
                <w:szCs w:val="18"/>
              </w:rPr>
            </w:pPr>
            <w:r>
              <w:rPr>
                <w:sz w:val="18"/>
                <w:szCs w:val="18"/>
              </w:rPr>
              <w:t>4</w:t>
            </w:r>
            <w:r>
              <w:rPr>
                <w:kern w:val="0"/>
                <w:sz w:val="18"/>
                <w:szCs w:val="18"/>
              </w:rPr>
              <w:t xml:space="preserve"> </w:t>
            </w:r>
          </w:p>
        </w:tc>
        <w:tc>
          <w:tcPr>
            <w:tcW w:w="1114" w:type="dxa"/>
            <w:vAlign w:val="center"/>
          </w:tcPr>
          <w:p>
            <w:pPr>
              <w:widowControl/>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5</w:t>
            </w:r>
          </w:p>
        </w:tc>
        <w:tc>
          <w:tcPr>
            <w:tcW w:w="2135" w:type="dxa"/>
            <w:vAlign w:val="center"/>
          </w:tcPr>
          <w:p>
            <w:pPr>
              <w:adjustRightInd w:val="0"/>
              <w:snapToGrid w:val="0"/>
              <w:spacing w:line="300" w:lineRule="auto"/>
              <w:rPr>
                <w:sz w:val="18"/>
                <w:szCs w:val="18"/>
              </w:rPr>
            </w:pPr>
            <w:r>
              <w:rPr>
                <w:sz w:val="18"/>
                <w:szCs w:val="18"/>
              </w:rPr>
              <w:t>5模拟调制系统</w:t>
            </w:r>
          </w:p>
          <w:p>
            <w:pPr>
              <w:adjustRightInd w:val="0"/>
              <w:snapToGrid w:val="0"/>
              <w:spacing w:line="300" w:lineRule="auto"/>
              <w:rPr>
                <w:sz w:val="18"/>
                <w:szCs w:val="18"/>
              </w:rPr>
            </w:pPr>
            <w:r>
              <w:rPr>
                <w:sz w:val="18"/>
                <w:szCs w:val="18"/>
              </w:rPr>
              <w:t>5.1 幅度调制原理</w:t>
            </w:r>
          </w:p>
          <w:p>
            <w:pPr>
              <w:adjustRightInd w:val="0"/>
              <w:snapToGrid w:val="0"/>
              <w:spacing w:line="300" w:lineRule="auto"/>
              <w:rPr>
                <w:sz w:val="18"/>
                <w:szCs w:val="18"/>
              </w:rPr>
            </w:pPr>
            <w:r>
              <w:rPr>
                <w:sz w:val="18"/>
                <w:szCs w:val="18"/>
              </w:rPr>
              <w:t>5.2 线性调制抗噪声性能</w:t>
            </w:r>
          </w:p>
          <w:p>
            <w:pPr>
              <w:adjustRightInd w:val="0"/>
              <w:snapToGrid w:val="0"/>
              <w:spacing w:line="300" w:lineRule="auto"/>
              <w:rPr>
                <w:sz w:val="18"/>
                <w:szCs w:val="18"/>
              </w:rPr>
            </w:pPr>
            <w:r>
              <w:rPr>
                <w:sz w:val="18"/>
                <w:szCs w:val="18"/>
              </w:rPr>
              <w:t>5.3 信道特性对信号传输的非线性调制原理</w:t>
            </w:r>
          </w:p>
          <w:p>
            <w:pPr>
              <w:adjustRightInd w:val="0"/>
              <w:snapToGrid w:val="0"/>
              <w:spacing w:line="300" w:lineRule="auto"/>
              <w:rPr>
                <w:sz w:val="18"/>
                <w:szCs w:val="18"/>
              </w:rPr>
            </w:pPr>
            <w:r>
              <w:rPr>
                <w:sz w:val="18"/>
                <w:szCs w:val="18"/>
              </w:rPr>
              <w:t>5.4 调频系统的抗噪声性能</w:t>
            </w:r>
          </w:p>
          <w:p>
            <w:pPr>
              <w:adjustRightInd w:val="0"/>
              <w:snapToGrid w:val="0"/>
              <w:spacing w:line="300" w:lineRule="auto"/>
              <w:rPr>
                <w:sz w:val="18"/>
                <w:szCs w:val="18"/>
              </w:rPr>
            </w:pPr>
            <w:r>
              <w:rPr>
                <w:sz w:val="18"/>
                <w:szCs w:val="18"/>
              </w:rPr>
              <w:t>5.5 各种模拟调制系统比较</w:t>
            </w:r>
          </w:p>
          <w:p>
            <w:pPr>
              <w:adjustRightInd w:val="0"/>
              <w:snapToGrid w:val="0"/>
              <w:spacing w:line="300" w:lineRule="auto"/>
              <w:rPr>
                <w:sz w:val="18"/>
                <w:szCs w:val="18"/>
              </w:rPr>
            </w:pPr>
            <w:r>
              <w:rPr>
                <w:sz w:val="18"/>
                <w:szCs w:val="18"/>
              </w:rPr>
              <w:t>5.5小结（思政结论）</w:t>
            </w: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1）掌握调制的目的和作用；</w:t>
            </w:r>
          </w:p>
          <w:p>
            <w:pPr>
              <w:adjustRightInd w:val="0"/>
              <w:snapToGrid w:val="0"/>
              <w:spacing w:line="300" w:lineRule="auto"/>
              <w:rPr>
                <w:sz w:val="18"/>
                <w:szCs w:val="18"/>
              </w:rPr>
            </w:pPr>
            <w:r>
              <w:rPr>
                <w:sz w:val="18"/>
                <w:szCs w:val="18"/>
              </w:rPr>
              <w:t xml:space="preserve">2）掌握AM、DSB、SSB、VSB调制信号的实现方法（原理框图），已调调信号的频谱特性； </w:t>
            </w:r>
          </w:p>
          <w:p>
            <w:pPr>
              <w:adjustRightInd w:val="0"/>
              <w:snapToGrid w:val="0"/>
              <w:spacing w:line="300" w:lineRule="auto"/>
              <w:rPr>
                <w:sz w:val="18"/>
                <w:szCs w:val="18"/>
              </w:rPr>
            </w:pPr>
            <w:r>
              <w:rPr>
                <w:sz w:val="18"/>
                <w:szCs w:val="18"/>
              </w:rPr>
              <w:t>3）掌握AM、DSB、SSB、VSB解调实现方法（原理框图），学会分析解调前和解调后信噪比分析计算；</w:t>
            </w:r>
          </w:p>
          <w:p>
            <w:pPr>
              <w:adjustRightInd w:val="0"/>
              <w:snapToGrid w:val="0"/>
              <w:spacing w:line="300" w:lineRule="auto"/>
              <w:rPr>
                <w:sz w:val="18"/>
                <w:szCs w:val="18"/>
              </w:rPr>
            </w:pPr>
            <w:r>
              <w:rPr>
                <w:sz w:val="18"/>
                <w:szCs w:val="18"/>
              </w:rPr>
              <w:t>4）掌握角度调制的基本概念，窄带调频和宽带调频的带宽分析计算，理解调频信号的相干解调和非相干解调机理，以及抗噪声性能分析；</w:t>
            </w:r>
          </w:p>
          <w:p>
            <w:pPr>
              <w:adjustRightInd w:val="0"/>
              <w:snapToGrid w:val="0"/>
              <w:spacing w:line="300" w:lineRule="auto"/>
              <w:rPr>
                <w:sz w:val="18"/>
                <w:szCs w:val="18"/>
              </w:rPr>
            </w:pPr>
            <w:r>
              <w:rPr>
                <w:sz w:val="18"/>
                <w:szCs w:val="18"/>
              </w:rPr>
              <w:t>5）从已调信号占用带宽，解调器输出端信噪比，调制解调设备复杂程度来比较各种模拟调制系统；</w:t>
            </w:r>
          </w:p>
          <w:p>
            <w:pPr>
              <w:adjustRightInd w:val="0"/>
              <w:snapToGrid w:val="0"/>
              <w:spacing w:line="300" w:lineRule="auto"/>
              <w:rPr>
                <w:sz w:val="18"/>
                <w:szCs w:val="18"/>
              </w:rPr>
            </w:pPr>
            <w:r>
              <w:rPr>
                <w:sz w:val="18"/>
                <w:szCs w:val="18"/>
              </w:rPr>
              <w:t>6）了解频分复用的基本概念，以及实现原理框图。</w:t>
            </w:r>
          </w:p>
          <w:p>
            <w:pPr>
              <w:adjustRightInd w:val="0"/>
              <w:snapToGrid w:val="0"/>
              <w:spacing w:line="300" w:lineRule="auto"/>
              <w:rPr>
                <w:sz w:val="18"/>
                <w:szCs w:val="18"/>
              </w:rPr>
            </w:pPr>
            <w:r>
              <w:rPr>
                <w:sz w:val="18"/>
                <w:szCs w:val="18"/>
              </w:rPr>
              <w:t>2  作业内容：</w:t>
            </w:r>
          </w:p>
          <w:p>
            <w:pPr>
              <w:adjustRightInd w:val="0"/>
              <w:snapToGrid w:val="0"/>
              <w:spacing w:line="300" w:lineRule="auto"/>
              <w:rPr>
                <w:sz w:val="18"/>
                <w:szCs w:val="18"/>
              </w:rPr>
            </w:pPr>
            <w:r>
              <w:rPr>
                <w:sz w:val="18"/>
                <w:szCs w:val="18"/>
              </w:rPr>
              <w:t>各种模拟调制系统解调器输出端信噪比估算，已调信号带宽的估算</w:t>
            </w:r>
          </w:p>
          <w:p>
            <w:pPr>
              <w:adjustRightInd w:val="0"/>
              <w:snapToGrid w:val="0"/>
              <w:spacing w:line="300" w:lineRule="auto"/>
              <w:rPr>
                <w:sz w:val="18"/>
                <w:szCs w:val="18"/>
              </w:rPr>
            </w:pPr>
            <w:r>
              <w:rPr>
                <w:sz w:val="18"/>
                <w:szCs w:val="18"/>
              </w:rPr>
              <w:t>3 讨论内容：华为孟晚舟事件与5G技术之间的关系，华夏电子电子信息专业大学生应该树立的使命感与价值观。</w:t>
            </w:r>
          </w:p>
          <w:p>
            <w:pPr>
              <w:adjustRightInd w:val="0"/>
              <w:snapToGrid w:val="0"/>
              <w:spacing w:line="300" w:lineRule="auto"/>
              <w:rPr>
                <w:sz w:val="18"/>
                <w:szCs w:val="18"/>
              </w:rPr>
            </w:pPr>
            <w:r>
              <w:rPr>
                <w:sz w:val="18"/>
                <w:szCs w:val="18"/>
              </w:rPr>
              <w:t>单边带调制技术和包络检波技术</w:t>
            </w:r>
          </w:p>
          <w:p>
            <w:pPr>
              <w:adjustRightInd w:val="0"/>
              <w:snapToGrid w:val="0"/>
              <w:spacing w:line="300" w:lineRule="auto"/>
              <w:rPr>
                <w:sz w:val="18"/>
                <w:szCs w:val="18"/>
              </w:rPr>
            </w:pPr>
            <w:r>
              <w:rPr>
                <w:sz w:val="18"/>
                <w:szCs w:val="18"/>
              </w:rPr>
              <w:t>4自学拓展：</w:t>
            </w:r>
          </w:p>
        </w:tc>
        <w:tc>
          <w:tcPr>
            <w:tcW w:w="673" w:type="dxa"/>
            <w:vAlign w:val="center"/>
          </w:tcPr>
          <w:p>
            <w:pPr>
              <w:widowControl/>
              <w:adjustRightInd w:val="0"/>
              <w:snapToGrid w:val="0"/>
              <w:spacing w:line="300" w:lineRule="auto"/>
              <w:jc w:val="center"/>
              <w:rPr>
                <w:sz w:val="18"/>
                <w:szCs w:val="18"/>
              </w:rPr>
            </w:pPr>
            <w:r>
              <w:rPr>
                <w:kern w:val="0"/>
                <w:sz w:val="18"/>
                <w:szCs w:val="18"/>
              </w:rPr>
              <w:t>4</w:t>
            </w:r>
          </w:p>
        </w:tc>
        <w:tc>
          <w:tcPr>
            <w:tcW w:w="1114" w:type="dxa"/>
            <w:vAlign w:val="center"/>
          </w:tcPr>
          <w:p>
            <w:pPr>
              <w:widowControl/>
              <w:adjustRightInd w:val="0"/>
              <w:snapToGrid w:val="0"/>
              <w:spacing w:line="300" w:lineRule="auto"/>
              <w:jc w:val="center"/>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6</w:t>
            </w:r>
          </w:p>
        </w:tc>
        <w:tc>
          <w:tcPr>
            <w:tcW w:w="2135" w:type="dxa"/>
            <w:vAlign w:val="center"/>
          </w:tcPr>
          <w:p>
            <w:pPr>
              <w:adjustRightInd w:val="0"/>
              <w:snapToGrid w:val="0"/>
              <w:spacing w:line="300" w:lineRule="auto"/>
              <w:rPr>
                <w:sz w:val="18"/>
                <w:szCs w:val="18"/>
              </w:rPr>
            </w:pPr>
            <w:r>
              <w:rPr>
                <w:sz w:val="18"/>
                <w:szCs w:val="18"/>
              </w:rPr>
              <w:t>6数字基带传输系统</w:t>
            </w:r>
          </w:p>
          <w:p>
            <w:pPr>
              <w:adjustRightInd w:val="0"/>
              <w:snapToGrid w:val="0"/>
              <w:spacing w:line="300" w:lineRule="auto"/>
              <w:rPr>
                <w:sz w:val="18"/>
                <w:szCs w:val="18"/>
              </w:rPr>
            </w:pPr>
            <w:r>
              <w:rPr>
                <w:sz w:val="18"/>
                <w:szCs w:val="18"/>
              </w:rPr>
              <w:t>6.1数字基带信号（码型波形的选择）以及功率谱分析</w:t>
            </w:r>
          </w:p>
          <w:p>
            <w:pPr>
              <w:adjustRightInd w:val="0"/>
              <w:snapToGrid w:val="0"/>
              <w:spacing w:line="300" w:lineRule="auto"/>
              <w:rPr>
                <w:sz w:val="18"/>
                <w:szCs w:val="18"/>
              </w:rPr>
            </w:pPr>
            <w:r>
              <w:rPr>
                <w:sz w:val="18"/>
                <w:szCs w:val="18"/>
              </w:rPr>
              <w:t>6.2数字基带传输性能分析</w:t>
            </w:r>
          </w:p>
          <w:p>
            <w:pPr>
              <w:adjustRightInd w:val="0"/>
              <w:snapToGrid w:val="0"/>
              <w:spacing w:line="300" w:lineRule="auto"/>
              <w:rPr>
                <w:sz w:val="18"/>
                <w:szCs w:val="18"/>
              </w:rPr>
            </w:pPr>
            <w:r>
              <w:rPr>
                <w:sz w:val="18"/>
                <w:szCs w:val="18"/>
              </w:rPr>
              <w:t> 6.2.1 无码间串扰</w:t>
            </w:r>
          </w:p>
          <w:p>
            <w:pPr>
              <w:adjustRightInd w:val="0"/>
              <w:snapToGrid w:val="0"/>
              <w:spacing w:line="300" w:lineRule="auto"/>
              <w:rPr>
                <w:sz w:val="18"/>
                <w:szCs w:val="18"/>
              </w:rPr>
            </w:pPr>
            <w:r>
              <w:rPr>
                <w:sz w:val="18"/>
                <w:szCs w:val="18"/>
              </w:rPr>
              <w:t>6.2.2 抗噪声性能分析</w:t>
            </w:r>
          </w:p>
          <w:p>
            <w:pPr>
              <w:adjustRightInd w:val="0"/>
              <w:snapToGrid w:val="0"/>
              <w:spacing w:line="300" w:lineRule="auto"/>
              <w:rPr>
                <w:sz w:val="18"/>
                <w:szCs w:val="18"/>
              </w:rPr>
            </w:pPr>
            <w:r>
              <w:rPr>
                <w:sz w:val="18"/>
                <w:szCs w:val="18"/>
              </w:rPr>
              <w:t>6.2.3 眼图</w:t>
            </w:r>
          </w:p>
          <w:p>
            <w:pPr>
              <w:adjustRightInd w:val="0"/>
              <w:snapToGrid w:val="0"/>
              <w:spacing w:line="300" w:lineRule="auto"/>
              <w:rPr>
                <w:sz w:val="18"/>
                <w:szCs w:val="18"/>
              </w:rPr>
            </w:pPr>
            <w:r>
              <w:rPr>
                <w:sz w:val="18"/>
                <w:szCs w:val="18"/>
              </w:rPr>
              <w:t>6.3部分响应和时域均衡</w:t>
            </w:r>
          </w:p>
          <w:p>
            <w:pPr>
              <w:adjustRightInd w:val="0"/>
              <w:snapToGrid w:val="0"/>
              <w:spacing w:line="300" w:lineRule="auto"/>
              <w:rPr>
                <w:sz w:val="18"/>
                <w:szCs w:val="18"/>
              </w:rPr>
            </w:pPr>
            <w:r>
              <w:rPr>
                <w:sz w:val="18"/>
                <w:szCs w:val="18"/>
              </w:rPr>
              <w:t>6.4小结（思政结论）</w:t>
            </w:r>
          </w:p>
        </w:tc>
        <w:tc>
          <w:tcPr>
            <w:tcW w:w="4224" w:type="dxa"/>
            <w:vAlign w:val="center"/>
          </w:tcPr>
          <w:p>
            <w:pPr>
              <w:adjustRightInd w:val="0"/>
              <w:snapToGrid w:val="0"/>
              <w:spacing w:line="300" w:lineRule="auto"/>
              <w:rPr>
                <w:sz w:val="18"/>
                <w:szCs w:val="18"/>
              </w:rPr>
            </w:pPr>
            <w:r>
              <w:rPr>
                <w:sz w:val="18"/>
                <w:szCs w:val="18"/>
              </w:rPr>
              <w:t>2  目标及要求：</w:t>
            </w:r>
          </w:p>
          <w:p>
            <w:pPr>
              <w:adjustRightInd w:val="0"/>
              <w:snapToGrid w:val="0"/>
              <w:spacing w:line="300" w:lineRule="auto"/>
              <w:rPr>
                <w:sz w:val="18"/>
                <w:szCs w:val="18"/>
              </w:rPr>
            </w:pPr>
            <w:r>
              <w:rPr>
                <w:sz w:val="18"/>
                <w:szCs w:val="18"/>
              </w:rPr>
              <w:t>1） 学习和了解数字基带信号的特征（数字基带信号的表达方法，常用数字基带信号的码型波形特点），能够进行数字基带信号的功率谱分析。</w:t>
            </w:r>
          </w:p>
          <w:p>
            <w:pPr>
              <w:adjustRightInd w:val="0"/>
              <w:snapToGrid w:val="0"/>
              <w:spacing w:line="300" w:lineRule="auto"/>
              <w:rPr>
                <w:sz w:val="18"/>
                <w:szCs w:val="18"/>
              </w:rPr>
            </w:pPr>
            <w:r>
              <w:rPr>
                <w:sz w:val="18"/>
                <w:szCs w:val="18"/>
              </w:rPr>
              <w:t>2） 重点学习数字基带传输系统的原理，掌握码间串扰的概念和无码间串扰的时域和频域条件，根据奈奎斯特第一准则设计无码间串扰的数字基带传输系统；学习掌握数字基带信号的接收原理，对不同数字基带传输系统进行误码率分析；学会眼图的测试方法，并能分析眼图所体现的信号参数。</w:t>
            </w:r>
          </w:p>
          <w:p>
            <w:pPr>
              <w:adjustRightInd w:val="0"/>
              <w:snapToGrid w:val="0"/>
              <w:spacing w:line="300" w:lineRule="auto"/>
              <w:rPr>
                <w:sz w:val="18"/>
                <w:szCs w:val="18"/>
              </w:rPr>
            </w:pPr>
            <w:r>
              <w:rPr>
                <w:sz w:val="18"/>
                <w:szCs w:val="18"/>
              </w:rPr>
              <w:t>3）了解部分响应系统的目的，通过学习第I类和第IV类部分响应系统中相关编码和预编码的具体规则、频域和时域特性，了解各类部分响应系统的基本原理和特性；</w:t>
            </w:r>
          </w:p>
          <w:p>
            <w:pPr>
              <w:adjustRightInd w:val="0"/>
              <w:snapToGrid w:val="0"/>
              <w:spacing w:line="300" w:lineRule="auto"/>
              <w:rPr>
                <w:sz w:val="18"/>
                <w:szCs w:val="18"/>
              </w:rPr>
            </w:pPr>
            <w:r>
              <w:rPr>
                <w:sz w:val="18"/>
                <w:szCs w:val="18"/>
              </w:rPr>
              <w:t>4）定性了解均衡的目的以及时域均衡的基本原理。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数字基带信号码型波形图、无码间串扰的计算和判断、误码率的计算。</w:t>
            </w:r>
          </w:p>
          <w:p>
            <w:pPr>
              <w:adjustRightInd w:val="0"/>
              <w:snapToGrid w:val="0"/>
              <w:spacing w:line="300" w:lineRule="auto"/>
              <w:rPr>
                <w:sz w:val="18"/>
                <w:szCs w:val="18"/>
              </w:rPr>
            </w:pPr>
            <w:r>
              <w:rPr>
                <w:sz w:val="18"/>
                <w:szCs w:val="18"/>
              </w:rPr>
              <w:t>3.讨论内容：我国通信尖端技术与民族自豪感。</w:t>
            </w:r>
          </w:p>
          <w:p>
            <w:pPr>
              <w:adjustRightInd w:val="0"/>
              <w:snapToGrid w:val="0"/>
              <w:spacing w:line="300" w:lineRule="auto"/>
              <w:jc w:val="left"/>
              <w:rPr>
                <w:sz w:val="18"/>
                <w:szCs w:val="18"/>
              </w:rPr>
            </w:pPr>
            <w:r>
              <w:rPr>
                <w:sz w:val="18"/>
                <w:szCs w:val="18"/>
              </w:rPr>
              <w:t>4.自学拓展：均衡技术的新发展方向。</w:t>
            </w:r>
          </w:p>
        </w:tc>
        <w:tc>
          <w:tcPr>
            <w:tcW w:w="673" w:type="dxa"/>
            <w:vAlign w:val="center"/>
          </w:tcPr>
          <w:p>
            <w:pPr>
              <w:widowControl/>
              <w:adjustRightInd w:val="0"/>
              <w:snapToGrid w:val="0"/>
              <w:spacing w:line="300" w:lineRule="auto"/>
              <w:jc w:val="center"/>
              <w:rPr>
                <w:sz w:val="18"/>
                <w:szCs w:val="18"/>
              </w:rPr>
            </w:pPr>
            <w:r>
              <w:rPr>
                <w:sz w:val="18"/>
                <w:szCs w:val="18"/>
              </w:rPr>
              <w:t>4</w:t>
            </w:r>
          </w:p>
        </w:tc>
        <w:tc>
          <w:tcPr>
            <w:tcW w:w="1114" w:type="dxa"/>
            <w:vAlign w:val="center"/>
          </w:tcPr>
          <w:p>
            <w:pPr>
              <w:widowControl/>
              <w:adjustRightInd w:val="0"/>
              <w:snapToGrid w:val="0"/>
              <w:spacing w:line="300" w:lineRule="auto"/>
              <w:jc w:val="center"/>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7</w:t>
            </w:r>
          </w:p>
        </w:tc>
        <w:tc>
          <w:tcPr>
            <w:tcW w:w="2135" w:type="dxa"/>
            <w:vAlign w:val="center"/>
          </w:tcPr>
          <w:p>
            <w:pPr>
              <w:adjustRightInd w:val="0"/>
              <w:snapToGrid w:val="0"/>
              <w:spacing w:line="300" w:lineRule="auto"/>
              <w:rPr>
                <w:sz w:val="18"/>
                <w:szCs w:val="18"/>
              </w:rPr>
            </w:pPr>
            <w:r>
              <w:rPr>
                <w:sz w:val="18"/>
                <w:szCs w:val="18"/>
              </w:rPr>
              <w:t>7数字频带传输系统</w:t>
            </w:r>
          </w:p>
          <w:p>
            <w:pPr>
              <w:adjustRightInd w:val="0"/>
              <w:snapToGrid w:val="0"/>
              <w:spacing w:line="300" w:lineRule="auto"/>
              <w:rPr>
                <w:sz w:val="18"/>
                <w:szCs w:val="18"/>
              </w:rPr>
            </w:pPr>
            <w:r>
              <w:rPr>
                <w:sz w:val="18"/>
                <w:szCs w:val="18"/>
              </w:rPr>
              <w:t>7.1二进制数字调制原理</w:t>
            </w:r>
          </w:p>
          <w:p>
            <w:pPr>
              <w:adjustRightInd w:val="0"/>
              <w:snapToGrid w:val="0"/>
              <w:spacing w:line="300" w:lineRule="auto"/>
              <w:rPr>
                <w:sz w:val="18"/>
                <w:szCs w:val="18"/>
              </w:rPr>
            </w:pPr>
            <w:r>
              <w:rPr>
                <w:sz w:val="18"/>
                <w:szCs w:val="18"/>
              </w:rPr>
              <w:t>7.1.1 二进制振幅键控（2ASK）</w:t>
            </w:r>
          </w:p>
          <w:p>
            <w:pPr>
              <w:adjustRightInd w:val="0"/>
              <w:snapToGrid w:val="0"/>
              <w:spacing w:line="300" w:lineRule="auto"/>
              <w:rPr>
                <w:sz w:val="18"/>
                <w:szCs w:val="18"/>
              </w:rPr>
            </w:pPr>
            <w:r>
              <w:rPr>
                <w:sz w:val="18"/>
                <w:szCs w:val="18"/>
              </w:rPr>
              <w:t>  7.1.2 二进制频移键控（2FSK）</w:t>
            </w:r>
          </w:p>
          <w:p>
            <w:pPr>
              <w:adjustRightInd w:val="0"/>
              <w:snapToGrid w:val="0"/>
              <w:spacing w:line="300" w:lineRule="auto"/>
              <w:rPr>
                <w:sz w:val="18"/>
                <w:szCs w:val="18"/>
              </w:rPr>
            </w:pPr>
            <w:r>
              <w:rPr>
                <w:sz w:val="18"/>
                <w:szCs w:val="18"/>
              </w:rPr>
              <w:t>  7.1.3 二进制相移键控（2PSK）</w:t>
            </w:r>
          </w:p>
          <w:p>
            <w:pPr>
              <w:adjustRightInd w:val="0"/>
              <w:snapToGrid w:val="0"/>
              <w:spacing w:line="300" w:lineRule="auto"/>
              <w:rPr>
                <w:sz w:val="18"/>
                <w:szCs w:val="18"/>
              </w:rPr>
            </w:pPr>
            <w:r>
              <w:rPr>
                <w:sz w:val="18"/>
                <w:szCs w:val="18"/>
              </w:rPr>
              <w:t>7.1.4二进制差分相移键控（2DPSK）</w:t>
            </w:r>
          </w:p>
          <w:p>
            <w:pPr>
              <w:adjustRightInd w:val="0"/>
              <w:snapToGrid w:val="0"/>
              <w:spacing w:line="300" w:lineRule="auto"/>
              <w:rPr>
                <w:sz w:val="18"/>
                <w:szCs w:val="18"/>
              </w:rPr>
            </w:pPr>
            <w:r>
              <w:rPr>
                <w:sz w:val="18"/>
                <w:szCs w:val="18"/>
              </w:rPr>
              <w:t>7.2二进制数字调制系统的抗噪声性能</w:t>
            </w:r>
          </w:p>
          <w:p>
            <w:pPr>
              <w:adjustRightInd w:val="0"/>
              <w:snapToGrid w:val="0"/>
              <w:spacing w:line="300" w:lineRule="auto"/>
              <w:rPr>
                <w:sz w:val="18"/>
                <w:szCs w:val="18"/>
              </w:rPr>
            </w:pPr>
            <w:r>
              <w:rPr>
                <w:sz w:val="18"/>
                <w:szCs w:val="18"/>
              </w:rPr>
              <w:t>7.2.1 二进制振幅键控（2ASK）系统的抗噪声性能</w:t>
            </w:r>
          </w:p>
          <w:p>
            <w:pPr>
              <w:adjustRightInd w:val="0"/>
              <w:snapToGrid w:val="0"/>
              <w:spacing w:line="300" w:lineRule="auto"/>
              <w:rPr>
                <w:sz w:val="18"/>
                <w:szCs w:val="18"/>
              </w:rPr>
            </w:pPr>
            <w:r>
              <w:rPr>
                <w:sz w:val="18"/>
                <w:szCs w:val="18"/>
              </w:rPr>
              <w:t>7.2.2 二进制频移键控（2FSK）系统的抗噪声性能</w:t>
            </w:r>
          </w:p>
          <w:p>
            <w:pPr>
              <w:adjustRightInd w:val="0"/>
              <w:snapToGrid w:val="0"/>
              <w:spacing w:line="300" w:lineRule="auto"/>
              <w:rPr>
                <w:sz w:val="18"/>
                <w:szCs w:val="18"/>
              </w:rPr>
            </w:pPr>
            <w:r>
              <w:rPr>
                <w:sz w:val="18"/>
                <w:szCs w:val="18"/>
              </w:rPr>
              <w:t>7.2.3 二进制相移键控（2PSK）系统的抗噪声性能</w:t>
            </w:r>
          </w:p>
          <w:p>
            <w:pPr>
              <w:adjustRightInd w:val="0"/>
              <w:snapToGrid w:val="0"/>
              <w:spacing w:line="300" w:lineRule="auto"/>
              <w:rPr>
                <w:sz w:val="18"/>
                <w:szCs w:val="18"/>
              </w:rPr>
            </w:pPr>
            <w:r>
              <w:rPr>
                <w:sz w:val="18"/>
                <w:szCs w:val="18"/>
              </w:rPr>
              <w:t>7.2.4二进制差分相移键控（2DPSK）系统的抗噪声性能</w:t>
            </w:r>
          </w:p>
          <w:p>
            <w:pPr>
              <w:adjustRightInd w:val="0"/>
              <w:snapToGrid w:val="0"/>
              <w:spacing w:line="300" w:lineRule="auto"/>
              <w:rPr>
                <w:sz w:val="18"/>
                <w:szCs w:val="18"/>
              </w:rPr>
            </w:pPr>
            <w:r>
              <w:rPr>
                <w:sz w:val="18"/>
                <w:szCs w:val="18"/>
              </w:rPr>
              <w:t>7.3二进制数字调制系统的性能比较</w:t>
            </w:r>
          </w:p>
          <w:p>
            <w:pPr>
              <w:adjustRightInd w:val="0"/>
              <w:snapToGrid w:val="0"/>
              <w:spacing w:line="300" w:lineRule="auto"/>
              <w:rPr>
                <w:sz w:val="18"/>
                <w:szCs w:val="18"/>
              </w:rPr>
            </w:pPr>
            <w:r>
              <w:rPr>
                <w:sz w:val="18"/>
                <w:szCs w:val="18"/>
              </w:rPr>
              <w:t>7.4多进制数字调制原理和抗噪声性能</w:t>
            </w:r>
          </w:p>
          <w:p>
            <w:pPr>
              <w:adjustRightInd w:val="0"/>
              <w:snapToGrid w:val="0"/>
              <w:spacing w:line="300" w:lineRule="auto"/>
              <w:rPr>
                <w:sz w:val="18"/>
                <w:szCs w:val="18"/>
              </w:rPr>
            </w:pPr>
            <w:r>
              <w:rPr>
                <w:sz w:val="18"/>
                <w:szCs w:val="18"/>
              </w:rPr>
              <w:t>7.5小结</w:t>
            </w:r>
          </w:p>
        </w:tc>
        <w:tc>
          <w:tcPr>
            <w:tcW w:w="4224" w:type="dxa"/>
            <w:vAlign w:val="center"/>
          </w:tcPr>
          <w:p>
            <w:pPr>
              <w:adjustRightInd w:val="0"/>
              <w:snapToGrid w:val="0"/>
              <w:spacing w:line="300" w:lineRule="auto"/>
              <w:rPr>
                <w:sz w:val="18"/>
                <w:szCs w:val="18"/>
              </w:rPr>
            </w:pPr>
            <w:r>
              <w:rPr>
                <w:sz w:val="18"/>
                <w:szCs w:val="18"/>
              </w:rPr>
              <w:t>1  目标及要求：</w:t>
            </w:r>
          </w:p>
          <w:p>
            <w:pPr>
              <w:adjustRightInd w:val="0"/>
              <w:snapToGrid w:val="0"/>
              <w:spacing w:line="300" w:lineRule="auto"/>
              <w:rPr>
                <w:sz w:val="18"/>
                <w:szCs w:val="18"/>
              </w:rPr>
            </w:pPr>
            <w:r>
              <w:rPr>
                <w:sz w:val="18"/>
                <w:szCs w:val="18"/>
              </w:rPr>
              <w:t>1）   重点学习二进制数字频带传输的调制原理（OOK、2FSK、2PSK和2DPSK的调制原理、相干/非相干解调方法、信号表达式、调制解调框图、信号波形、功率谱分析等）以及2PSK中的相位模糊问题；</w:t>
            </w:r>
          </w:p>
          <w:p>
            <w:pPr>
              <w:adjustRightInd w:val="0"/>
              <w:snapToGrid w:val="0"/>
              <w:spacing w:line="300" w:lineRule="auto"/>
              <w:rPr>
                <w:sz w:val="18"/>
                <w:szCs w:val="18"/>
              </w:rPr>
            </w:pPr>
            <w:r>
              <w:rPr>
                <w:sz w:val="18"/>
                <w:szCs w:val="18"/>
              </w:rPr>
              <w:t>2）   学习分析二进制数字调制系统的抗噪声性能（采用不同调制技术，不同解调方法时的误码率分析和计算）；</w:t>
            </w:r>
          </w:p>
          <w:p>
            <w:pPr>
              <w:adjustRightInd w:val="0"/>
              <w:snapToGrid w:val="0"/>
              <w:spacing w:line="300" w:lineRule="auto"/>
              <w:rPr>
                <w:sz w:val="18"/>
                <w:szCs w:val="18"/>
              </w:rPr>
            </w:pPr>
            <w:r>
              <w:rPr>
                <w:sz w:val="18"/>
                <w:szCs w:val="18"/>
              </w:rPr>
              <w:t>3）   能够对不同系统的有效性和可靠性以及对信道特性的敏感性等方面进行定性定量的分析比较；</w:t>
            </w:r>
          </w:p>
          <w:p>
            <w:pPr>
              <w:adjustRightInd w:val="0"/>
              <w:snapToGrid w:val="0"/>
              <w:spacing w:line="300" w:lineRule="auto"/>
              <w:rPr>
                <w:sz w:val="18"/>
                <w:szCs w:val="18"/>
              </w:rPr>
            </w:pPr>
            <w:r>
              <w:rPr>
                <w:sz w:val="18"/>
                <w:szCs w:val="18"/>
              </w:rPr>
              <w:t>4）   定性了解多进制数字调制的原理和抗噪声性能。</w:t>
            </w:r>
          </w:p>
          <w:p>
            <w:pPr>
              <w:adjustRightInd w:val="0"/>
              <w:snapToGrid w:val="0"/>
              <w:spacing w:line="300" w:lineRule="auto"/>
              <w:rPr>
                <w:sz w:val="18"/>
                <w:szCs w:val="18"/>
              </w:rPr>
            </w:pPr>
            <w:r>
              <w:rPr>
                <w:sz w:val="18"/>
                <w:szCs w:val="18"/>
              </w:rPr>
              <w:t>2 .作业内容：</w:t>
            </w:r>
          </w:p>
          <w:p>
            <w:pPr>
              <w:adjustRightInd w:val="0"/>
              <w:snapToGrid w:val="0"/>
              <w:spacing w:line="300" w:lineRule="auto"/>
              <w:rPr>
                <w:sz w:val="18"/>
                <w:szCs w:val="18"/>
              </w:rPr>
            </w:pPr>
            <w:r>
              <w:rPr>
                <w:sz w:val="18"/>
                <w:szCs w:val="18"/>
              </w:rPr>
              <w:t>二进制数字频带调制信号波形图、调制解调框图、带宽计算、误码率的计算。</w:t>
            </w:r>
          </w:p>
          <w:p>
            <w:pPr>
              <w:adjustRightInd w:val="0"/>
              <w:snapToGrid w:val="0"/>
              <w:spacing w:line="300" w:lineRule="auto"/>
              <w:rPr>
                <w:sz w:val="18"/>
                <w:szCs w:val="18"/>
              </w:rPr>
            </w:pPr>
            <w:r>
              <w:rPr>
                <w:sz w:val="18"/>
                <w:szCs w:val="18"/>
              </w:rPr>
              <w:t>3. 讨论内容：我国在量子通信领域取得的重大成就与对世界科技的贡献。</w:t>
            </w:r>
          </w:p>
          <w:p>
            <w:pPr>
              <w:adjustRightInd w:val="0"/>
              <w:snapToGrid w:val="0"/>
              <w:spacing w:line="300" w:lineRule="auto"/>
              <w:rPr>
                <w:sz w:val="18"/>
                <w:szCs w:val="18"/>
              </w:rPr>
            </w:pPr>
            <w:r>
              <w:rPr>
                <w:sz w:val="18"/>
                <w:szCs w:val="18"/>
              </w:rPr>
              <w:t>4.自学拓展：高阶调制系统的频谱利用率（比如BPSK，QPSK，8PSK，16PSK等与香农极限的比较）。</w:t>
            </w:r>
          </w:p>
        </w:tc>
        <w:tc>
          <w:tcPr>
            <w:tcW w:w="673" w:type="dxa"/>
            <w:vAlign w:val="center"/>
          </w:tcPr>
          <w:p>
            <w:pPr>
              <w:widowControl/>
              <w:adjustRightInd w:val="0"/>
              <w:snapToGrid w:val="0"/>
              <w:spacing w:line="300" w:lineRule="auto"/>
              <w:jc w:val="center"/>
              <w:rPr>
                <w:sz w:val="18"/>
                <w:szCs w:val="18"/>
              </w:rPr>
            </w:pPr>
            <w:r>
              <w:rPr>
                <w:sz w:val="18"/>
                <w:szCs w:val="18"/>
              </w:rPr>
              <w:t>4</w:t>
            </w:r>
          </w:p>
        </w:tc>
        <w:tc>
          <w:tcPr>
            <w:tcW w:w="1114" w:type="dxa"/>
            <w:vAlign w:val="center"/>
          </w:tcPr>
          <w:p>
            <w:pPr>
              <w:widowControl/>
              <w:adjustRightInd w:val="0"/>
              <w:snapToGrid w:val="0"/>
              <w:spacing w:line="300" w:lineRule="auto"/>
              <w:jc w:val="center"/>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8</w:t>
            </w:r>
          </w:p>
        </w:tc>
        <w:tc>
          <w:tcPr>
            <w:tcW w:w="2135" w:type="dxa"/>
            <w:vAlign w:val="center"/>
          </w:tcPr>
          <w:p>
            <w:pPr>
              <w:adjustRightInd w:val="0"/>
              <w:snapToGrid w:val="0"/>
              <w:spacing w:line="300" w:lineRule="auto"/>
              <w:rPr>
                <w:sz w:val="18"/>
                <w:szCs w:val="18"/>
              </w:rPr>
            </w:pPr>
            <w:r>
              <w:rPr>
                <w:sz w:val="18"/>
                <w:szCs w:val="18"/>
              </w:rPr>
              <w:t>8新型数字带通调制技术</w:t>
            </w:r>
          </w:p>
          <w:p>
            <w:pPr>
              <w:adjustRightInd w:val="0"/>
              <w:snapToGrid w:val="0"/>
              <w:spacing w:line="300" w:lineRule="auto"/>
              <w:rPr>
                <w:sz w:val="18"/>
                <w:szCs w:val="18"/>
              </w:rPr>
            </w:pPr>
            <w:r>
              <w:rPr>
                <w:sz w:val="18"/>
                <w:szCs w:val="18"/>
              </w:rPr>
              <w:t>8.1正交振幅调制</w:t>
            </w:r>
          </w:p>
          <w:p>
            <w:pPr>
              <w:adjustRightInd w:val="0"/>
              <w:snapToGrid w:val="0"/>
              <w:spacing w:line="300" w:lineRule="auto"/>
              <w:rPr>
                <w:sz w:val="18"/>
                <w:szCs w:val="18"/>
              </w:rPr>
            </w:pPr>
            <w:r>
              <w:rPr>
                <w:sz w:val="18"/>
                <w:szCs w:val="18"/>
              </w:rPr>
              <w:t>8.2最小频移键控</w:t>
            </w:r>
          </w:p>
          <w:p>
            <w:pPr>
              <w:adjustRightInd w:val="0"/>
              <w:snapToGrid w:val="0"/>
              <w:spacing w:line="300" w:lineRule="auto"/>
              <w:rPr>
                <w:sz w:val="18"/>
                <w:szCs w:val="18"/>
              </w:rPr>
            </w:pPr>
            <w:r>
              <w:rPr>
                <w:sz w:val="18"/>
                <w:szCs w:val="18"/>
              </w:rPr>
              <w:t>8.3正交频分复用</w:t>
            </w:r>
          </w:p>
          <w:p>
            <w:pPr>
              <w:adjustRightInd w:val="0"/>
              <w:snapToGrid w:val="0"/>
              <w:spacing w:line="300" w:lineRule="auto"/>
              <w:rPr>
                <w:sz w:val="18"/>
                <w:szCs w:val="18"/>
              </w:rPr>
            </w:pPr>
            <w:r>
              <w:rPr>
                <w:sz w:val="18"/>
                <w:szCs w:val="18"/>
              </w:rPr>
              <w:t>8.4小结（思政结论）</w:t>
            </w: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1）定性了解正交振幅调制（QAM）、最小频移键控（MSK）、正交频分复用（OFDM）的基本原理</w:t>
            </w:r>
          </w:p>
          <w:p>
            <w:pPr>
              <w:adjustRightInd w:val="0"/>
              <w:snapToGrid w:val="0"/>
              <w:spacing w:line="300" w:lineRule="auto"/>
              <w:rPr>
                <w:sz w:val="18"/>
                <w:szCs w:val="18"/>
              </w:rPr>
            </w:pPr>
            <w:r>
              <w:rPr>
                <w:sz w:val="18"/>
                <w:szCs w:val="18"/>
              </w:rPr>
              <w:t>2 作业内容：新型调制技术优缺点对比；正交频分复用理论。</w:t>
            </w:r>
          </w:p>
          <w:p>
            <w:pPr>
              <w:adjustRightInd w:val="0"/>
              <w:snapToGrid w:val="0"/>
              <w:spacing w:line="300" w:lineRule="auto"/>
              <w:rPr>
                <w:sz w:val="18"/>
                <w:szCs w:val="18"/>
              </w:rPr>
            </w:pPr>
            <w:r>
              <w:rPr>
                <w:sz w:val="18"/>
                <w:szCs w:val="18"/>
              </w:rPr>
              <w:t>3 讨论内容：华为与苹果手机的技术优势对比与我们对民族品牌发展的历史思维与应该承担的责任。</w:t>
            </w:r>
          </w:p>
          <w:p>
            <w:pPr>
              <w:adjustRightInd w:val="0"/>
              <w:snapToGrid w:val="0"/>
              <w:spacing w:line="300" w:lineRule="auto"/>
              <w:rPr>
                <w:sz w:val="18"/>
                <w:szCs w:val="18"/>
              </w:rPr>
            </w:pPr>
            <w:r>
              <w:rPr>
                <w:sz w:val="18"/>
                <w:szCs w:val="18"/>
              </w:rPr>
              <w:t>4自学拓展：新型数字带通调制技术在现代通信系统中的应用。</w:t>
            </w:r>
          </w:p>
        </w:tc>
        <w:tc>
          <w:tcPr>
            <w:tcW w:w="673" w:type="dxa"/>
            <w:vAlign w:val="center"/>
          </w:tcPr>
          <w:p>
            <w:pPr>
              <w:widowControl/>
              <w:adjustRightInd w:val="0"/>
              <w:snapToGrid w:val="0"/>
              <w:spacing w:line="300" w:lineRule="auto"/>
              <w:jc w:val="center"/>
              <w:rPr>
                <w:sz w:val="18"/>
                <w:szCs w:val="18"/>
              </w:rPr>
            </w:pPr>
            <w:r>
              <w:rPr>
                <w:sz w:val="18"/>
                <w:szCs w:val="18"/>
              </w:rPr>
              <w:t>2</w:t>
            </w:r>
            <w:r>
              <w:rPr>
                <w:kern w:val="0"/>
                <w:sz w:val="18"/>
                <w:szCs w:val="18"/>
              </w:rPr>
              <w:t xml:space="preserve"> </w:t>
            </w:r>
          </w:p>
        </w:tc>
        <w:tc>
          <w:tcPr>
            <w:tcW w:w="1114" w:type="dxa"/>
            <w:vAlign w:val="center"/>
          </w:tcPr>
          <w:p>
            <w:pPr>
              <w:widowControl/>
              <w:adjustRightInd w:val="0"/>
              <w:snapToGrid w:val="0"/>
              <w:spacing w:line="300" w:lineRule="auto"/>
              <w:jc w:val="center"/>
              <w:rPr>
                <w:sz w:val="18"/>
                <w:szCs w:val="18"/>
              </w:rPr>
            </w:pPr>
            <w:r>
              <w:rPr>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9</w:t>
            </w:r>
          </w:p>
        </w:tc>
        <w:tc>
          <w:tcPr>
            <w:tcW w:w="2135" w:type="dxa"/>
            <w:vAlign w:val="center"/>
          </w:tcPr>
          <w:p>
            <w:pPr>
              <w:adjustRightInd w:val="0"/>
              <w:snapToGrid w:val="0"/>
              <w:spacing w:line="300" w:lineRule="auto"/>
              <w:rPr>
                <w:sz w:val="18"/>
                <w:szCs w:val="18"/>
              </w:rPr>
            </w:pPr>
            <w:r>
              <w:rPr>
                <w:sz w:val="18"/>
                <w:szCs w:val="18"/>
              </w:rPr>
              <w:t>9模拟信号的数字传输</w:t>
            </w:r>
          </w:p>
          <w:p>
            <w:pPr>
              <w:adjustRightInd w:val="0"/>
              <w:snapToGrid w:val="0"/>
              <w:spacing w:line="300" w:lineRule="auto"/>
              <w:rPr>
                <w:sz w:val="18"/>
                <w:szCs w:val="18"/>
              </w:rPr>
            </w:pPr>
            <w:r>
              <w:rPr>
                <w:sz w:val="18"/>
                <w:szCs w:val="18"/>
              </w:rPr>
              <w:t>9.1模拟信号的抽样定理</w:t>
            </w:r>
          </w:p>
          <w:p>
            <w:pPr>
              <w:adjustRightInd w:val="0"/>
              <w:snapToGrid w:val="0"/>
              <w:spacing w:line="300" w:lineRule="auto"/>
              <w:rPr>
                <w:sz w:val="18"/>
                <w:szCs w:val="18"/>
              </w:rPr>
            </w:pPr>
            <w:r>
              <w:rPr>
                <w:sz w:val="18"/>
                <w:szCs w:val="18"/>
              </w:rPr>
              <w:t>9.1.1 低通型信号的抽样定理</w:t>
            </w:r>
          </w:p>
          <w:p>
            <w:pPr>
              <w:adjustRightInd w:val="0"/>
              <w:snapToGrid w:val="0"/>
              <w:spacing w:line="300" w:lineRule="auto"/>
              <w:rPr>
                <w:sz w:val="18"/>
                <w:szCs w:val="18"/>
              </w:rPr>
            </w:pPr>
            <w:r>
              <w:rPr>
                <w:sz w:val="18"/>
                <w:szCs w:val="18"/>
              </w:rPr>
              <w:t> 9.1.2 带通型信号的抽样定理</w:t>
            </w:r>
          </w:p>
          <w:p>
            <w:pPr>
              <w:adjustRightInd w:val="0"/>
              <w:snapToGrid w:val="0"/>
              <w:spacing w:line="300" w:lineRule="auto"/>
              <w:rPr>
                <w:sz w:val="18"/>
                <w:szCs w:val="18"/>
              </w:rPr>
            </w:pPr>
            <w:r>
              <w:rPr>
                <w:sz w:val="18"/>
                <w:szCs w:val="18"/>
              </w:rPr>
              <w:t>9.2抽样信号的量化</w:t>
            </w:r>
          </w:p>
          <w:p>
            <w:pPr>
              <w:adjustRightInd w:val="0"/>
              <w:snapToGrid w:val="0"/>
              <w:spacing w:line="300" w:lineRule="auto"/>
              <w:rPr>
                <w:sz w:val="18"/>
                <w:szCs w:val="18"/>
              </w:rPr>
            </w:pPr>
            <w:r>
              <w:rPr>
                <w:sz w:val="18"/>
                <w:szCs w:val="18"/>
              </w:rPr>
              <w:t>9.2.1 量化的基本原理</w:t>
            </w:r>
          </w:p>
          <w:p>
            <w:pPr>
              <w:adjustRightInd w:val="0"/>
              <w:snapToGrid w:val="0"/>
              <w:spacing w:line="300" w:lineRule="auto"/>
              <w:rPr>
                <w:sz w:val="18"/>
                <w:szCs w:val="18"/>
              </w:rPr>
            </w:pPr>
            <w:r>
              <w:rPr>
                <w:sz w:val="18"/>
                <w:szCs w:val="18"/>
              </w:rPr>
              <w:t>9.2.2 均匀量化</w:t>
            </w:r>
          </w:p>
          <w:p>
            <w:pPr>
              <w:adjustRightInd w:val="0"/>
              <w:snapToGrid w:val="0"/>
              <w:spacing w:line="300" w:lineRule="auto"/>
              <w:rPr>
                <w:sz w:val="18"/>
                <w:szCs w:val="18"/>
              </w:rPr>
            </w:pPr>
            <w:r>
              <w:rPr>
                <w:sz w:val="18"/>
                <w:szCs w:val="18"/>
              </w:rPr>
              <w:t> 9.2.3 非均匀量化</w:t>
            </w:r>
          </w:p>
          <w:p>
            <w:pPr>
              <w:adjustRightInd w:val="0"/>
              <w:snapToGrid w:val="0"/>
              <w:spacing w:line="300" w:lineRule="auto"/>
              <w:rPr>
                <w:sz w:val="18"/>
                <w:szCs w:val="18"/>
              </w:rPr>
            </w:pPr>
            <w:r>
              <w:rPr>
                <w:sz w:val="18"/>
                <w:szCs w:val="18"/>
              </w:rPr>
              <w:t>9.3脉冲编码调制</w:t>
            </w:r>
          </w:p>
          <w:p>
            <w:pPr>
              <w:adjustRightInd w:val="0"/>
              <w:snapToGrid w:val="0"/>
              <w:spacing w:line="300" w:lineRule="auto"/>
              <w:rPr>
                <w:sz w:val="18"/>
                <w:szCs w:val="18"/>
              </w:rPr>
            </w:pPr>
            <w:r>
              <w:rPr>
                <w:sz w:val="18"/>
                <w:szCs w:val="18"/>
              </w:rPr>
              <w:t>9.4差分脉冲编码调制和增量调制</w:t>
            </w:r>
          </w:p>
          <w:p>
            <w:pPr>
              <w:adjustRightInd w:val="0"/>
              <w:snapToGrid w:val="0"/>
              <w:spacing w:line="300" w:lineRule="auto"/>
              <w:rPr>
                <w:sz w:val="18"/>
                <w:szCs w:val="18"/>
              </w:rPr>
            </w:pPr>
            <w:r>
              <w:rPr>
                <w:sz w:val="18"/>
                <w:szCs w:val="18"/>
              </w:rPr>
              <w:t>9.5时分复用和复接</w:t>
            </w:r>
          </w:p>
          <w:p>
            <w:pPr>
              <w:adjustRightInd w:val="0"/>
              <w:snapToGrid w:val="0"/>
              <w:spacing w:line="300" w:lineRule="auto"/>
              <w:rPr>
                <w:sz w:val="18"/>
                <w:szCs w:val="18"/>
              </w:rPr>
            </w:pPr>
            <w:r>
              <w:rPr>
                <w:sz w:val="18"/>
                <w:szCs w:val="18"/>
              </w:rPr>
              <w:t>9.6小结（思政结论）</w:t>
            </w:r>
          </w:p>
        </w:tc>
        <w:tc>
          <w:tcPr>
            <w:tcW w:w="4224"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sz w:val="18"/>
                <w:szCs w:val="18"/>
              </w:rPr>
              <w:t>1）   重点学习模拟信号数字的步骤方法（抽样定理和方法、量化原理和方法、A律13折线法和m律15折线法、脉冲编码调制的原理，编码译码规则、抗噪声性能分析等）。</w:t>
            </w:r>
          </w:p>
          <w:p>
            <w:pPr>
              <w:adjustRightInd w:val="0"/>
              <w:snapToGrid w:val="0"/>
              <w:spacing w:line="300" w:lineRule="auto"/>
              <w:rPr>
                <w:sz w:val="18"/>
                <w:szCs w:val="18"/>
              </w:rPr>
            </w:pPr>
            <w:r>
              <w:rPr>
                <w:sz w:val="18"/>
                <w:szCs w:val="18"/>
              </w:rPr>
              <w:t>2）   学习了解差分脉冲编码调制和增量调制的基本原理以及过载量化噪声。</w:t>
            </w:r>
          </w:p>
          <w:p>
            <w:pPr>
              <w:adjustRightInd w:val="0"/>
              <w:snapToGrid w:val="0"/>
              <w:spacing w:line="300" w:lineRule="auto"/>
              <w:rPr>
                <w:sz w:val="18"/>
                <w:szCs w:val="18"/>
              </w:rPr>
            </w:pPr>
            <w:r>
              <w:rPr>
                <w:sz w:val="18"/>
                <w:szCs w:val="18"/>
              </w:rPr>
              <w:t>3）   定性了解时分复用的基本原理及其在电话通信系统中的应用。</w:t>
            </w:r>
          </w:p>
          <w:p>
            <w:pPr>
              <w:adjustRightInd w:val="0"/>
              <w:snapToGrid w:val="0"/>
              <w:spacing w:line="300" w:lineRule="auto"/>
              <w:rPr>
                <w:sz w:val="18"/>
                <w:szCs w:val="18"/>
              </w:rPr>
            </w:pPr>
            <w:r>
              <w:rPr>
                <w:sz w:val="18"/>
                <w:szCs w:val="18"/>
              </w:rPr>
              <w:t>4） 定性了解复接和分接的基本原理及PDH和SDH标准。</w:t>
            </w:r>
          </w:p>
          <w:p>
            <w:pPr>
              <w:adjustRightInd w:val="0"/>
              <w:snapToGrid w:val="0"/>
              <w:spacing w:line="300" w:lineRule="auto"/>
              <w:rPr>
                <w:sz w:val="18"/>
                <w:szCs w:val="18"/>
              </w:rPr>
            </w:pPr>
            <w:r>
              <w:rPr>
                <w:sz w:val="18"/>
                <w:szCs w:val="18"/>
              </w:rPr>
              <w:t>2  作业内容：脉冲编码调制A律13折线编译码。</w:t>
            </w:r>
          </w:p>
          <w:p>
            <w:pPr>
              <w:adjustRightInd w:val="0"/>
              <w:snapToGrid w:val="0"/>
              <w:spacing w:line="300" w:lineRule="auto"/>
              <w:rPr>
                <w:sz w:val="18"/>
                <w:szCs w:val="18"/>
              </w:rPr>
            </w:pPr>
            <w:r>
              <w:rPr>
                <w:sz w:val="18"/>
                <w:szCs w:val="18"/>
              </w:rPr>
              <w:t>3 讨论内容：我国航母通信系统与电信人才发展方向。</w:t>
            </w:r>
          </w:p>
          <w:p>
            <w:pPr>
              <w:adjustRightInd w:val="0"/>
              <w:snapToGrid w:val="0"/>
              <w:spacing w:line="300" w:lineRule="auto"/>
              <w:rPr>
                <w:sz w:val="18"/>
                <w:szCs w:val="18"/>
              </w:rPr>
            </w:pPr>
            <w:r>
              <w:rPr>
                <w:sz w:val="18"/>
                <w:szCs w:val="18"/>
              </w:rPr>
              <w:t>4自学拓展：时分复用和频分复用在现代通信系统中应用。</w:t>
            </w:r>
          </w:p>
        </w:tc>
        <w:tc>
          <w:tcPr>
            <w:tcW w:w="673" w:type="dxa"/>
            <w:vAlign w:val="center"/>
          </w:tcPr>
          <w:p>
            <w:pPr>
              <w:widowControl/>
              <w:adjustRightInd w:val="0"/>
              <w:snapToGrid w:val="0"/>
              <w:spacing w:line="300" w:lineRule="auto"/>
              <w:jc w:val="center"/>
              <w:rPr>
                <w:sz w:val="18"/>
                <w:szCs w:val="18"/>
              </w:rPr>
            </w:pPr>
            <w:r>
              <w:rPr>
                <w:kern w:val="0"/>
                <w:sz w:val="18"/>
                <w:szCs w:val="18"/>
              </w:rPr>
              <w:t>4</w:t>
            </w:r>
          </w:p>
        </w:tc>
        <w:tc>
          <w:tcPr>
            <w:tcW w:w="1114" w:type="dxa"/>
            <w:vAlign w:val="center"/>
          </w:tcPr>
          <w:p>
            <w:pPr>
              <w:widowControl/>
              <w:adjustRightInd w:val="0"/>
              <w:snapToGrid w:val="0"/>
              <w:spacing w:line="300" w:lineRule="auto"/>
              <w:jc w:val="center"/>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2"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10</w:t>
            </w:r>
          </w:p>
        </w:tc>
        <w:tc>
          <w:tcPr>
            <w:tcW w:w="2135" w:type="dxa"/>
            <w:vAlign w:val="center"/>
          </w:tcPr>
          <w:p>
            <w:pPr>
              <w:adjustRightInd w:val="0"/>
              <w:snapToGrid w:val="0"/>
              <w:spacing w:line="300" w:lineRule="auto"/>
              <w:rPr>
                <w:sz w:val="18"/>
                <w:szCs w:val="18"/>
              </w:rPr>
            </w:pPr>
            <w:r>
              <w:rPr>
                <w:sz w:val="18"/>
                <w:szCs w:val="18"/>
              </w:rPr>
              <w:t>11差错控制编码</w:t>
            </w:r>
          </w:p>
          <w:p>
            <w:pPr>
              <w:adjustRightInd w:val="0"/>
              <w:snapToGrid w:val="0"/>
              <w:spacing w:line="300" w:lineRule="auto"/>
              <w:rPr>
                <w:sz w:val="18"/>
                <w:szCs w:val="18"/>
              </w:rPr>
            </w:pPr>
            <w:r>
              <w:rPr>
                <w:sz w:val="18"/>
                <w:szCs w:val="18"/>
              </w:rPr>
              <w:t>11.1纠错编码的基本原理</w:t>
            </w:r>
          </w:p>
          <w:p>
            <w:pPr>
              <w:adjustRightInd w:val="0"/>
              <w:snapToGrid w:val="0"/>
              <w:spacing w:line="300" w:lineRule="auto"/>
              <w:rPr>
                <w:sz w:val="18"/>
                <w:szCs w:val="18"/>
              </w:rPr>
            </w:pPr>
            <w:r>
              <w:rPr>
                <w:sz w:val="18"/>
                <w:szCs w:val="18"/>
              </w:rPr>
              <w:t>11.2汉明码的编码规则</w:t>
            </w:r>
          </w:p>
          <w:p>
            <w:pPr>
              <w:adjustRightInd w:val="0"/>
              <w:snapToGrid w:val="0"/>
              <w:spacing w:line="300" w:lineRule="auto"/>
              <w:rPr>
                <w:sz w:val="18"/>
                <w:szCs w:val="18"/>
              </w:rPr>
            </w:pPr>
            <w:r>
              <w:rPr>
                <w:sz w:val="18"/>
                <w:szCs w:val="18"/>
              </w:rPr>
              <w:t>11.3小结（思政结论）</w:t>
            </w:r>
          </w:p>
        </w:tc>
        <w:tc>
          <w:tcPr>
            <w:tcW w:w="4224" w:type="dxa"/>
            <w:vAlign w:val="center"/>
          </w:tcPr>
          <w:p>
            <w:pPr>
              <w:adjustRightInd w:val="0"/>
              <w:snapToGrid w:val="0"/>
              <w:spacing w:line="300" w:lineRule="auto"/>
              <w:rPr>
                <w:sz w:val="18"/>
                <w:szCs w:val="18"/>
              </w:rPr>
            </w:pPr>
            <w:r>
              <w:rPr>
                <w:sz w:val="18"/>
                <w:szCs w:val="18"/>
              </w:rPr>
              <w:t>1 目标及要求：</w:t>
            </w:r>
          </w:p>
          <w:p>
            <w:pPr>
              <w:adjustRightInd w:val="0"/>
              <w:snapToGrid w:val="0"/>
              <w:spacing w:line="300" w:lineRule="auto"/>
              <w:rPr>
                <w:sz w:val="18"/>
                <w:szCs w:val="18"/>
              </w:rPr>
            </w:pPr>
            <w:r>
              <w:rPr>
                <w:sz w:val="18"/>
                <w:szCs w:val="18"/>
              </w:rPr>
              <w:t>1）   定性了解纠错编码的基本原理以及汉明码的编码规则</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3.讨论内容：核潜艇之父大大国情怀与海洋类院校电信学子的历史使命感。</w:t>
            </w:r>
          </w:p>
          <w:p>
            <w:pPr>
              <w:adjustRightInd w:val="0"/>
              <w:snapToGrid w:val="0"/>
              <w:spacing w:line="300" w:lineRule="auto"/>
              <w:rPr>
                <w:sz w:val="18"/>
                <w:szCs w:val="18"/>
              </w:rPr>
            </w:pPr>
            <w:r>
              <w:rPr>
                <w:sz w:val="18"/>
                <w:szCs w:val="18"/>
              </w:rPr>
              <w:t>4. 自学拓展：纠错编码在现代通信系统中的应用及标准。</w:t>
            </w:r>
          </w:p>
        </w:tc>
        <w:tc>
          <w:tcPr>
            <w:tcW w:w="673" w:type="dxa"/>
            <w:vAlign w:val="center"/>
          </w:tcPr>
          <w:p>
            <w:pPr>
              <w:widowControl/>
              <w:adjustRightInd w:val="0"/>
              <w:snapToGrid w:val="0"/>
              <w:spacing w:line="300" w:lineRule="auto"/>
              <w:jc w:val="center"/>
              <w:rPr>
                <w:sz w:val="18"/>
                <w:szCs w:val="18"/>
              </w:rPr>
            </w:pPr>
            <w:r>
              <w:rPr>
                <w:sz w:val="18"/>
                <w:szCs w:val="18"/>
              </w:rPr>
              <w:t>2</w:t>
            </w:r>
          </w:p>
        </w:tc>
        <w:tc>
          <w:tcPr>
            <w:tcW w:w="1114" w:type="dxa"/>
            <w:vAlign w:val="center"/>
          </w:tcPr>
          <w:p>
            <w:pPr>
              <w:widowControl/>
              <w:adjustRightInd w:val="0"/>
              <w:snapToGrid w:val="0"/>
              <w:spacing w:line="300" w:lineRule="auto"/>
              <w:jc w:val="center"/>
              <w:rPr>
                <w:sz w:val="18"/>
                <w:szCs w:val="18"/>
              </w:rPr>
            </w:pPr>
            <w:r>
              <w:rPr>
                <w:kern w:val="0"/>
                <w:sz w:val="18"/>
                <w:szCs w:val="18"/>
              </w:rPr>
              <w:t>1</w:t>
            </w:r>
            <w:r>
              <w:rPr>
                <w:rFonts w:hint="eastAsia"/>
                <w:kern w:val="0"/>
                <w:sz w:val="18"/>
                <w:szCs w:val="18"/>
              </w:rPr>
              <w:t>，</w:t>
            </w:r>
            <w:r>
              <w:rPr>
                <w:kern w:val="0"/>
                <w:sz w:val="18"/>
                <w:szCs w:val="18"/>
              </w:rPr>
              <w:t>2</w:t>
            </w:r>
            <w:r>
              <w:rPr>
                <w:rFonts w:hint="eastAsia"/>
                <w:kern w:val="0"/>
                <w:sz w:val="18"/>
                <w:szCs w:val="18"/>
              </w:rPr>
              <w:t>，</w:t>
            </w:r>
            <w:r>
              <w:rPr>
                <w:kern w:val="0"/>
                <w:sz w:val="18"/>
                <w:szCs w:val="18"/>
              </w:rPr>
              <w:t>3</w:t>
            </w:r>
            <w:r>
              <w:rPr>
                <w:rFonts w:hint="eastAsia"/>
                <w:kern w:val="0"/>
                <w:sz w:val="18"/>
                <w:szCs w:val="18"/>
              </w:rPr>
              <w:t>，</w:t>
            </w:r>
            <w:r>
              <w:rPr>
                <w:kern w:val="0"/>
                <w:sz w:val="18"/>
                <w:szCs w:val="18"/>
              </w:rPr>
              <w:t>4</w:t>
            </w:r>
            <w:r>
              <w:rPr>
                <w:rFonts w:hint="eastAsia"/>
                <w:kern w:val="0"/>
                <w:sz w:val="18"/>
                <w:szCs w:val="18"/>
              </w:rPr>
              <w:t>，</w:t>
            </w:r>
            <w:r>
              <w:rPr>
                <w:kern w:val="0"/>
                <w:sz w:val="18"/>
                <w:szCs w:val="18"/>
              </w:rPr>
              <w:t>5</w:t>
            </w:r>
          </w:p>
        </w:tc>
      </w:tr>
    </w:tbl>
    <w:p>
      <w:pPr>
        <w:adjustRightInd w:val="0"/>
        <w:snapToGrid w:val="0"/>
        <w:spacing w:before="156" w:beforeLines="50" w:line="300" w:lineRule="auto"/>
        <w:ind w:firstLine="420" w:firstLineChars="200"/>
      </w:pPr>
      <w:bookmarkStart w:id="113" w:name="_Hlk36222951"/>
      <w:r>
        <w:t>实验内容见表4所示。</w:t>
      </w:r>
      <w:bookmarkEnd w:id="113"/>
    </w:p>
    <w:p>
      <w:pPr>
        <w:spacing w:before="156" w:beforeLines="50"/>
        <w:jc w:val="center"/>
        <w:rPr>
          <w:b/>
          <w:kern w:val="0"/>
          <w:sz w:val="18"/>
          <w:szCs w:val="18"/>
        </w:rPr>
      </w:pPr>
      <w:r>
        <w:rPr>
          <w:b/>
          <w:kern w:val="0"/>
          <w:sz w:val="18"/>
          <w:szCs w:val="18"/>
        </w:rPr>
        <w:t>表4 实验安排表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023"/>
        <w:gridCol w:w="2424"/>
        <w:gridCol w:w="613"/>
        <w:gridCol w:w="774"/>
        <w:gridCol w:w="741"/>
        <w:gridCol w:w="74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89" w:type="dxa"/>
            <w:vAlign w:val="center"/>
          </w:tcPr>
          <w:p>
            <w:pPr>
              <w:rPr>
                <w:b/>
                <w:bCs/>
                <w:sz w:val="18"/>
                <w:szCs w:val="18"/>
              </w:rPr>
            </w:pPr>
            <w:r>
              <w:rPr>
                <w:b/>
                <w:bCs/>
                <w:sz w:val="18"/>
                <w:szCs w:val="18"/>
              </w:rPr>
              <w:t>序号</w:t>
            </w:r>
          </w:p>
        </w:tc>
        <w:tc>
          <w:tcPr>
            <w:tcW w:w="2023" w:type="dxa"/>
            <w:vAlign w:val="center"/>
          </w:tcPr>
          <w:p>
            <w:pPr>
              <w:jc w:val="center"/>
              <w:rPr>
                <w:b/>
                <w:bCs/>
                <w:sz w:val="18"/>
                <w:szCs w:val="18"/>
              </w:rPr>
            </w:pPr>
            <w:r>
              <w:rPr>
                <w:b/>
                <w:bCs/>
                <w:sz w:val="18"/>
                <w:szCs w:val="18"/>
              </w:rPr>
              <w:t>实验项目名称</w:t>
            </w:r>
          </w:p>
        </w:tc>
        <w:tc>
          <w:tcPr>
            <w:tcW w:w="2424" w:type="dxa"/>
            <w:vAlign w:val="center"/>
          </w:tcPr>
          <w:p>
            <w:pPr>
              <w:jc w:val="center"/>
              <w:rPr>
                <w:b/>
                <w:bCs/>
                <w:sz w:val="18"/>
                <w:szCs w:val="18"/>
              </w:rPr>
            </w:pPr>
            <w:r>
              <w:rPr>
                <w:b/>
                <w:bCs/>
                <w:sz w:val="18"/>
                <w:szCs w:val="18"/>
              </w:rPr>
              <w:t>目的要求</w:t>
            </w:r>
          </w:p>
        </w:tc>
        <w:tc>
          <w:tcPr>
            <w:tcW w:w="613" w:type="dxa"/>
            <w:vAlign w:val="center"/>
          </w:tcPr>
          <w:p>
            <w:pPr>
              <w:rPr>
                <w:b/>
                <w:bCs/>
                <w:sz w:val="18"/>
                <w:szCs w:val="18"/>
              </w:rPr>
            </w:pPr>
            <w:r>
              <w:rPr>
                <w:b/>
                <w:kern w:val="0"/>
                <w:sz w:val="18"/>
                <w:szCs w:val="18"/>
              </w:rPr>
              <w:t>学时分配</w:t>
            </w:r>
          </w:p>
        </w:tc>
        <w:tc>
          <w:tcPr>
            <w:tcW w:w="774" w:type="dxa"/>
            <w:vAlign w:val="center"/>
          </w:tcPr>
          <w:p>
            <w:pPr>
              <w:rPr>
                <w:b/>
                <w:bCs/>
                <w:sz w:val="18"/>
                <w:szCs w:val="18"/>
              </w:rPr>
            </w:pPr>
            <w:r>
              <w:rPr>
                <w:b/>
                <w:kern w:val="0"/>
                <w:sz w:val="18"/>
                <w:szCs w:val="18"/>
              </w:rPr>
              <w:t>实验类型</w:t>
            </w:r>
          </w:p>
        </w:tc>
        <w:tc>
          <w:tcPr>
            <w:tcW w:w="741" w:type="dxa"/>
            <w:vAlign w:val="center"/>
          </w:tcPr>
          <w:p>
            <w:pPr>
              <w:rPr>
                <w:b/>
                <w:bCs/>
                <w:sz w:val="18"/>
                <w:szCs w:val="18"/>
              </w:rPr>
            </w:pPr>
            <w:r>
              <w:rPr>
                <w:b/>
                <w:kern w:val="0"/>
                <w:sz w:val="18"/>
                <w:szCs w:val="18"/>
              </w:rPr>
              <w:t>每组人数</w:t>
            </w:r>
          </w:p>
        </w:tc>
        <w:tc>
          <w:tcPr>
            <w:tcW w:w="743" w:type="dxa"/>
            <w:vAlign w:val="center"/>
          </w:tcPr>
          <w:p>
            <w:pPr>
              <w:rPr>
                <w:b/>
                <w:bCs/>
                <w:sz w:val="18"/>
                <w:szCs w:val="18"/>
              </w:rPr>
            </w:pPr>
            <w:r>
              <w:rPr>
                <w:b/>
                <w:kern w:val="0"/>
                <w:sz w:val="18"/>
                <w:szCs w:val="18"/>
              </w:rPr>
              <w:t>必开选开</w:t>
            </w:r>
          </w:p>
        </w:tc>
        <w:tc>
          <w:tcPr>
            <w:tcW w:w="674" w:type="dxa"/>
            <w:vAlign w:val="center"/>
          </w:tcPr>
          <w:p>
            <w:pPr>
              <w:rPr>
                <w:b/>
                <w:bCs/>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89" w:type="dxa"/>
            <w:vAlign w:val="center"/>
          </w:tcPr>
          <w:p>
            <w:pPr>
              <w:adjustRightInd w:val="0"/>
              <w:snapToGrid w:val="0"/>
              <w:spacing w:line="300" w:lineRule="auto"/>
              <w:jc w:val="center"/>
              <w:rPr>
                <w:sz w:val="18"/>
                <w:szCs w:val="18"/>
              </w:rPr>
            </w:pPr>
            <w:r>
              <w:rPr>
                <w:sz w:val="18"/>
                <w:szCs w:val="18"/>
              </w:rPr>
              <w:t>1</w:t>
            </w:r>
          </w:p>
        </w:tc>
        <w:tc>
          <w:tcPr>
            <w:tcW w:w="2023" w:type="dxa"/>
            <w:vAlign w:val="center"/>
          </w:tcPr>
          <w:p>
            <w:pPr>
              <w:adjustRightInd w:val="0"/>
              <w:snapToGrid w:val="0"/>
              <w:spacing w:line="300" w:lineRule="auto"/>
              <w:rPr>
                <w:sz w:val="18"/>
                <w:szCs w:val="18"/>
              </w:rPr>
            </w:pPr>
            <w:r>
              <w:rPr>
                <w:sz w:val="18"/>
                <w:szCs w:val="18"/>
              </w:rPr>
              <w:t>PCM编译码系统实验</w:t>
            </w:r>
          </w:p>
        </w:tc>
        <w:tc>
          <w:tcPr>
            <w:tcW w:w="2424" w:type="dxa"/>
            <w:vAlign w:val="center"/>
          </w:tcPr>
          <w:p>
            <w:pPr>
              <w:adjustRightInd w:val="0"/>
              <w:snapToGrid w:val="0"/>
              <w:spacing w:line="300" w:lineRule="auto"/>
              <w:rPr>
                <w:sz w:val="18"/>
                <w:szCs w:val="18"/>
              </w:rPr>
            </w:pPr>
            <w:r>
              <w:rPr>
                <w:sz w:val="18"/>
                <w:szCs w:val="18"/>
              </w:rPr>
              <w:t>掌握PCM编译码原理</w:t>
            </w:r>
          </w:p>
        </w:tc>
        <w:tc>
          <w:tcPr>
            <w:tcW w:w="613" w:type="dxa"/>
            <w:vAlign w:val="center"/>
          </w:tcPr>
          <w:p>
            <w:pPr>
              <w:adjustRightInd w:val="0"/>
              <w:snapToGrid w:val="0"/>
              <w:spacing w:line="300" w:lineRule="auto"/>
              <w:jc w:val="center"/>
              <w:rPr>
                <w:sz w:val="18"/>
                <w:szCs w:val="18"/>
              </w:rPr>
            </w:pPr>
            <w:r>
              <w:rPr>
                <w:sz w:val="18"/>
                <w:szCs w:val="18"/>
              </w:rPr>
              <w:t>2</w:t>
            </w:r>
          </w:p>
        </w:tc>
        <w:tc>
          <w:tcPr>
            <w:tcW w:w="774" w:type="dxa"/>
            <w:vAlign w:val="center"/>
          </w:tcPr>
          <w:p>
            <w:pPr>
              <w:adjustRightInd w:val="0"/>
              <w:snapToGrid w:val="0"/>
              <w:spacing w:line="300" w:lineRule="auto"/>
              <w:jc w:val="center"/>
              <w:rPr>
                <w:sz w:val="18"/>
                <w:szCs w:val="18"/>
              </w:rPr>
            </w:pPr>
            <w:r>
              <w:rPr>
                <w:sz w:val="18"/>
                <w:szCs w:val="18"/>
              </w:rPr>
              <w:t>验证</w:t>
            </w:r>
          </w:p>
        </w:tc>
        <w:tc>
          <w:tcPr>
            <w:tcW w:w="741" w:type="dxa"/>
            <w:vAlign w:val="center"/>
          </w:tcPr>
          <w:p>
            <w:pPr>
              <w:adjustRightInd w:val="0"/>
              <w:snapToGrid w:val="0"/>
              <w:spacing w:line="300" w:lineRule="auto"/>
              <w:jc w:val="center"/>
              <w:rPr>
                <w:sz w:val="18"/>
                <w:szCs w:val="18"/>
              </w:rPr>
            </w:pPr>
            <w:r>
              <w:rPr>
                <w:sz w:val="18"/>
                <w:szCs w:val="18"/>
              </w:rPr>
              <w:t>2</w:t>
            </w:r>
          </w:p>
        </w:tc>
        <w:tc>
          <w:tcPr>
            <w:tcW w:w="743" w:type="dxa"/>
            <w:vAlign w:val="center"/>
          </w:tcPr>
          <w:p>
            <w:pPr>
              <w:adjustRightInd w:val="0"/>
              <w:snapToGrid w:val="0"/>
              <w:spacing w:line="300" w:lineRule="auto"/>
              <w:jc w:val="center"/>
              <w:rPr>
                <w:sz w:val="18"/>
                <w:szCs w:val="18"/>
              </w:rPr>
            </w:pPr>
            <w:r>
              <w:rPr>
                <w:sz w:val="18"/>
                <w:szCs w:val="18"/>
              </w:rPr>
              <w:t>必开</w:t>
            </w:r>
          </w:p>
        </w:tc>
        <w:tc>
          <w:tcPr>
            <w:tcW w:w="674" w:type="dxa"/>
            <w:vAlign w:val="center"/>
          </w:tcPr>
          <w:p>
            <w:pPr>
              <w:adjustRightInd w:val="0"/>
              <w:snapToGrid w:val="0"/>
              <w:spacing w:line="300" w:lineRule="auto"/>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adjustRightInd w:val="0"/>
              <w:snapToGrid w:val="0"/>
              <w:spacing w:line="300" w:lineRule="auto"/>
              <w:jc w:val="center"/>
              <w:rPr>
                <w:sz w:val="18"/>
                <w:szCs w:val="18"/>
              </w:rPr>
            </w:pPr>
            <w:r>
              <w:rPr>
                <w:sz w:val="18"/>
                <w:szCs w:val="18"/>
              </w:rPr>
              <w:t>2</w:t>
            </w:r>
          </w:p>
        </w:tc>
        <w:tc>
          <w:tcPr>
            <w:tcW w:w="2023" w:type="dxa"/>
            <w:vAlign w:val="center"/>
          </w:tcPr>
          <w:p>
            <w:pPr>
              <w:adjustRightInd w:val="0"/>
              <w:snapToGrid w:val="0"/>
              <w:spacing w:line="300" w:lineRule="auto"/>
              <w:rPr>
                <w:sz w:val="18"/>
                <w:szCs w:val="18"/>
              </w:rPr>
            </w:pPr>
            <w:r>
              <w:rPr>
                <w:sz w:val="18"/>
                <w:szCs w:val="18"/>
              </w:rPr>
              <w:t>基带信号常见码型、AMI/HDB3编译码实验</w:t>
            </w:r>
          </w:p>
        </w:tc>
        <w:tc>
          <w:tcPr>
            <w:tcW w:w="2424" w:type="dxa"/>
            <w:vAlign w:val="center"/>
          </w:tcPr>
          <w:p>
            <w:pPr>
              <w:adjustRightInd w:val="0"/>
              <w:snapToGrid w:val="0"/>
              <w:spacing w:line="300" w:lineRule="auto"/>
              <w:rPr>
                <w:sz w:val="18"/>
                <w:szCs w:val="18"/>
              </w:rPr>
            </w:pPr>
            <w:r>
              <w:rPr>
                <w:sz w:val="18"/>
                <w:szCs w:val="18"/>
              </w:rPr>
              <w:t>掌握基带信号常见码型的特点和变换规则以及AMI/HDB3编译码原理</w:t>
            </w:r>
          </w:p>
        </w:tc>
        <w:tc>
          <w:tcPr>
            <w:tcW w:w="613" w:type="dxa"/>
            <w:vAlign w:val="center"/>
          </w:tcPr>
          <w:p>
            <w:pPr>
              <w:adjustRightInd w:val="0"/>
              <w:snapToGrid w:val="0"/>
              <w:spacing w:line="300" w:lineRule="auto"/>
              <w:jc w:val="center"/>
              <w:rPr>
                <w:sz w:val="18"/>
                <w:szCs w:val="18"/>
              </w:rPr>
            </w:pPr>
            <w:r>
              <w:rPr>
                <w:sz w:val="18"/>
                <w:szCs w:val="18"/>
              </w:rPr>
              <w:t>3</w:t>
            </w:r>
          </w:p>
        </w:tc>
        <w:tc>
          <w:tcPr>
            <w:tcW w:w="774" w:type="dxa"/>
            <w:vAlign w:val="center"/>
          </w:tcPr>
          <w:p>
            <w:pPr>
              <w:adjustRightInd w:val="0"/>
              <w:snapToGrid w:val="0"/>
              <w:spacing w:line="300" w:lineRule="auto"/>
              <w:jc w:val="center"/>
              <w:rPr>
                <w:sz w:val="18"/>
                <w:szCs w:val="18"/>
              </w:rPr>
            </w:pPr>
            <w:r>
              <w:rPr>
                <w:sz w:val="18"/>
                <w:szCs w:val="18"/>
              </w:rPr>
              <w:t>验证</w:t>
            </w:r>
          </w:p>
        </w:tc>
        <w:tc>
          <w:tcPr>
            <w:tcW w:w="741" w:type="dxa"/>
            <w:vAlign w:val="center"/>
          </w:tcPr>
          <w:p>
            <w:pPr>
              <w:adjustRightInd w:val="0"/>
              <w:snapToGrid w:val="0"/>
              <w:spacing w:line="300" w:lineRule="auto"/>
              <w:jc w:val="center"/>
              <w:rPr>
                <w:sz w:val="18"/>
                <w:szCs w:val="18"/>
              </w:rPr>
            </w:pPr>
            <w:r>
              <w:rPr>
                <w:sz w:val="18"/>
                <w:szCs w:val="18"/>
              </w:rPr>
              <w:t>2</w:t>
            </w:r>
          </w:p>
        </w:tc>
        <w:tc>
          <w:tcPr>
            <w:tcW w:w="743" w:type="dxa"/>
            <w:vAlign w:val="center"/>
          </w:tcPr>
          <w:p>
            <w:pPr>
              <w:adjustRightInd w:val="0"/>
              <w:snapToGrid w:val="0"/>
              <w:spacing w:line="300" w:lineRule="auto"/>
              <w:jc w:val="center"/>
              <w:rPr>
                <w:sz w:val="18"/>
                <w:szCs w:val="18"/>
              </w:rPr>
            </w:pPr>
            <w:r>
              <w:rPr>
                <w:sz w:val="18"/>
                <w:szCs w:val="18"/>
              </w:rPr>
              <w:t>必开</w:t>
            </w:r>
          </w:p>
        </w:tc>
        <w:tc>
          <w:tcPr>
            <w:tcW w:w="674" w:type="dxa"/>
            <w:vAlign w:val="center"/>
          </w:tcPr>
          <w:p>
            <w:pPr>
              <w:adjustRightInd w:val="0"/>
              <w:snapToGrid w:val="0"/>
              <w:spacing w:line="300" w:lineRule="auto"/>
              <w:rPr>
                <w:sz w:val="18"/>
                <w:szCs w:val="18"/>
              </w:rPr>
            </w:pPr>
            <w:r>
              <w:rPr>
                <w:sz w:val="18"/>
                <w:szCs w:val="18"/>
              </w:rPr>
              <w:t>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adjustRightInd w:val="0"/>
              <w:snapToGrid w:val="0"/>
              <w:spacing w:line="300" w:lineRule="auto"/>
              <w:jc w:val="center"/>
              <w:rPr>
                <w:sz w:val="18"/>
                <w:szCs w:val="18"/>
              </w:rPr>
            </w:pPr>
            <w:r>
              <w:rPr>
                <w:sz w:val="18"/>
                <w:szCs w:val="18"/>
              </w:rPr>
              <w:t>3</w:t>
            </w:r>
          </w:p>
        </w:tc>
        <w:tc>
          <w:tcPr>
            <w:tcW w:w="2023" w:type="dxa"/>
            <w:vAlign w:val="center"/>
          </w:tcPr>
          <w:p>
            <w:pPr>
              <w:adjustRightInd w:val="0"/>
              <w:snapToGrid w:val="0"/>
              <w:spacing w:line="300" w:lineRule="auto"/>
              <w:rPr>
                <w:sz w:val="18"/>
                <w:szCs w:val="18"/>
              </w:rPr>
            </w:pPr>
            <w:r>
              <w:rPr>
                <w:sz w:val="18"/>
                <w:szCs w:val="18"/>
              </w:rPr>
              <w:t>ASK、FSK、PSK、DPSK调制解调及眼图观察测量实验</w:t>
            </w:r>
          </w:p>
        </w:tc>
        <w:tc>
          <w:tcPr>
            <w:tcW w:w="2424" w:type="dxa"/>
            <w:vAlign w:val="center"/>
          </w:tcPr>
          <w:p>
            <w:pPr>
              <w:adjustRightInd w:val="0"/>
              <w:snapToGrid w:val="0"/>
              <w:spacing w:line="300" w:lineRule="auto"/>
              <w:jc w:val="left"/>
              <w:rPr>
                <w:sz w:val="18"/>
                <w:szCs w:val="18"/>
              </w:rPr>
            </w:pPr>
            <w:r>
              <w:rPr>
                <w:sz w:val="18"/>
                <w:szCs w:val="18"/>
              </w:rPr>
              <w:t>掌握ASK/FSK/PSK/DPSK调制解调原理和眼图特征</w:t>
            </w:r>
          </w:p>
        </w:tc>
        <w:tc>
          <w:tcPr>
            <w:tcW w:w="613" w:type="dxa"/>
            <w:vAlign w:val="center"/>
          </w:tcPr>
          <w:p>
            <w:pPr>
              <w:adjustRightInd w:val="0"/>
              <w:snapToGrid w:val="0"/>
              <w:spacing w:line="300" w:lineRule="auto"/>
              <w:jc w:val="center"/>
              <w:rPr>
                <w:sz w:val="18"/>
                <w:szCs w:val="18"/>
              </w:rPr>
            </w:pPr>
            <w:r>
              <w:rPr>
                <w:sz w:val="18"/>
                <w:szCs w:val="18"/>
              </w:rPr>
              <w:t>3</w:t>
            </w:r>
          </w:p>
        </w:tc>
        <w:tc>
          <w:tcPr>
            <w:tcW w:w="774" w:type="dxa"/>
            <w:vAlign w:val="center"/>
          </w:tcPr>
          <w:p>
            <w:pPr>
              <w:adjustRightInd w:val="0"/>
              <w:snapToGrid w:val="0"/>
              <w:spacing w:line="300" w:lineRule="auto"/>
              <w:jc w:val="center"/>
              <w:rPr>
                <w:sz w:val="18"/>
                <w:szCs w:val="18"/>
              </w:rPr>
            </w:pPr>
            <w:r>
              <w:rPr>
                <w:sz w:val="18"/>
                <w:szCs w:val="18"/>
              </w:rPr>
              <w:t>验证</w:t>
            </w:r>
          </w:p>
        </w:tc>
        <w:tc>
          <w:tcPr>
            <w:tcW w:w="741" w:type="dxa"/>
            <w:vAlign w:val="center"/>
          </w:tcPr>
          <w:p>
            <w:pPr>
              <w:adjustRightInd w:val="0"/>
              <w:snapToGrid w:val="0"/>
              <w:spacing w:line="300" w:lineRule="auto"/>
              <w:jc w:val="center"/>
              <w:rPr>
                <w:sz w:val="18"/>
                <w:szCs w:val="18"/>
              </w:rPr>
            </w:pPr>
            <w:r>
              <w:rPr>
                <w:sz w:val="18"/>
                <w:szCs w:val="18"/>
              </w:rPr>
              <w:t>2</w:t>
            </w:r>
          </w:p>
        </w:tc>
        <w:tc>
          <w:tcPr>
            <w:tcW w:w="743" w:type="dxa"/>
            <w:vAlign w:val="center"/>
          </w:tcPr>
          <w:p>
            <w:pPr>
              <w:adjustRightInd w:val="0"/>
              <w:snapToGrid w:val="0"/>
              <w:spacing w:line="300" w:lineRule="auto"/>
              <w:jc w:val="center"/>
              <w:rPr>
                <w:sz w:val="18"/>
                <w:szCs w:val="18"/>
              </w:rPr>
            </w:pPr>
            <w:r>
              <w:rPr>
                <w:sz w:val="18"/>
                <w:szCs w:val="18"/>
              </w:rPr>
              <w:t>必开</w:t>
            </w:r>
          </w:p>
        </w:tc>
        <w:tc>
          <w:tcPr>
            <w:tcW w:w="674" w:type="dxa"/>
            <w:vAlign w:val="center"/>
          </w:tcPr>
          <w:p>
            <w:pPr>
              <w:adjustRightInd w:val="0"/>
              <w:snapToGrid w:val="0"/>
              <w:spacing w:line="300" w:lineRule="auto"/>
              <w:rPr>
                <w:sz w:val="18"/>
                <w:szCs w:val="18"/>
              </w:rPr>
            </w:pPr>
            <w:r>
              <w:rPr>
                <w:sz w:val="18"/>
                <w:szCs w:val="18"/>
              </w:rPr>
              <w:t>2，3</w:t>
            </w:r>
          </w:p>
          <w:p>
            <w:pPr>
              <w:adjustRightInd w:val="0"/>
              <w:snapToGrid w:val="0"/>
              <w:spacing w:line="300" w:lineRule="auto"/>
              <w:rPr>
                <w:sz w:val="18"/>
                <w:szCs w:val="18"/>
              </w:rPr>
            </w:pPr>
            <w:r>
              <w:rPr>
                <w:sz w:val="18"/>
                <w:szCs w:val="18"/>
              </w:rPr>
              <w:t>4，5</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1．考核方式：闭卷笔试，平时测验及作业，实验报告。</w:t>
      </w:r>
    </w:p>
    <w:p>
      <w:pPr>
        <w:adjustRightInd w:val="0"/>
        <w:snapToGrid w:val="0"/>
        <w:spacing w:line="300" w:lineRule="auto"/>
        <w:ind w:firstLine="420" w:firstLineChars="200"/>
      </w:pPr>
      <w:r>
        <w:t>2．成绩构成：笔试成绩70%，平时成绩20%（课后作业、课堂表现、随堂测验、口头报告等），实验成绩10%。</w:t>
      </w:r>
    </w:p>
    <w:p>
      <w:pPr>
        <w:adjustRightInd w:val="0"/>
        <w:snapToGrid w:val="0"/>
        <w:spacing w:line="300" w:lineRule="auto"/>
        <w:ind w:firstLine="420" w:firstLineChars="200"/>
        <w:rPr>
          <w:b/>
          <w:szCs w:val="21"/>
        </w:rPr>
      </w:pPr>
      <w:r>
        <w:rPr>
          <w:bCs/>
          <w:szCs w:val="21"/>
        </w:rPr>
        <w:t>3.考核评价标准见表5所示：</w:t>
      </w:r>
    </w:p>
    <w:p>
      <w:pPr>
        <w:spacing w:before="156" w:beforeLines="50"/>
        <w:jc w:val="center"/>
        <w:rPr>
          <w:b/>
          <w:kern w:val="0"/>
          <w:sz w:val="18"/>
          <w:szCs w:val="18"/>
        </w:rPr>
      </w:pPr>
      <w:r>
        <w:rPr>
          <w:b/>
          <w:kern w:val="0"/>
          <w:sz w:val="18"/>
          <w:szCs w:val="18"/>
        </w:rPr>
        <w:t>表5教学目标评价标准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708"/>
        <w:gridCol w:w="687"/>
        <w:gridCol w:w="589"/>
        <w:gridCol w:w="3686"/>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blHeader/>
          <w:jc w:val="center"/>
        </w:trPr>
        <w:tc>
          <w:tcPr>
            <w:tcW w:w="846" w:type="dxa"/>
            <w:vAlign w:val="center"/>
          </w:tcPr>
          <w:p>
            <w:pPr>
              <w:jc w:val="center"/>
              <w:rPr>
                <w:b/>
                <w:bCs/>
                <w:sz w:val="18"/>
                <w:szCs w:val="18"/>
              </w:rPr>
            </w:pPr>
            <w:r>
              <w:rPr>
                <w:b/>
                <w:bCs/>
                <w:sz w:val="18"/>
                <w:szCs w:val="18"/>
              </w:rPr>
              <w:t>成绩</w:t>
            </w:r>
          </w:p>
          <w:p>
            <w:pPr>
              <w:jc w:val="center"/>
              <w:rPr>
                <w:b/>
                <w:bCs/>
                <w:sz w:val="18"/>
                <w:szCs w:val="18"/>
              </w:rPr>
            </w:pPr>
            <w:r>
              <w:rPr>
                <w:b/>
                <w:bCs/>
                <w:sz w:val="18"/>
                <w:szCs w:val="18"/>
              </w:rPr>
              <w:t>类型</w:t>
            </w:r>
          </w:p>
        </w:tc>
        <w:tc>
          <w:tcPr>
            <w:tcW w:w="709" w:type="dxa"/>
            <w:vAlign w:val="center"/>
          </w:tcPr>
          <w:p>
            <w:pPr>
              <w:jc w:val="center"/>
              <w:rPr>
                <w:b/>
                <w:bCs/>
                <w:sz w:val="18"/>
                <w:szCs w:val="18"/>
              </w:rPr>
            </w:pPr>
            <w:r>
              <w:rPr>
                <w:b/>
                <w:bCs/>
                <w:sz w:val="18"/>
                <w:szCs w:val="18"/>
              </w:rPr>
              <w:t>分值</w:t>
            </w:r>
          </w:p>
        </w:tc>
        <w:tc>
          <w:tcPr>
            <w:tcW w:w="708" w:type="dxa"/>
            <w:vAlign w:val="center"/>
          </w:tcPr>
          <w:p>
            <w:pPr>
              <w:jc w:val="center"/>
              <w:rPr>
                <w:b/>
                <w:bCs/>
                <w:sz w:val="18"/>
                <w:szCs w:val="18"/>
              </w:rPr>
            </w:pPr>
            <w:r>
              <w:rPr>
                <w:b/>
                <w:bCs/>
                <w:sz w:val="18"/>
                <w:szCs w:val="18"/>
              </w:rPr>
              <w:t>权重</w:t>
            </w:r>
          </w:p>
        </w:tc>
        <w:tc>
          <w:tcPr>
            <w:tcW w:w="687" w:type="dxa"/>
            <w:vAlign w:val="center"/>
          </w:tcPr>
          <w:p>
            <w:pPr>
              <w:jc w:val="center"/>
              <w:rPr>
                <w:b/>
                <w:bCs/>
                <w:sz w:val="18"/>
                <w:szCs w:val="18"/>
              </w:rPr>
            </w:pPr>
            <w:r>
              <w:rPr>
                <w:b/>
                <w:bCs/>
                <w:sz w:val="18"/>
                <w:szCs w:val="18"/>
              </w:rPr>
              <w:t>类别</w:t>
            </w:r>
          </w:p>
        </w:tc>
        <w:tc>
          <w:tcPr>
            <w:tcW w:w="589" w:type="dxa"/>
            <w:vAlign w:val="center"/>
          </w:tcPr>
          <w:p>
            <w:pPr>
              <w:jc w:val="center"/>
              <w:rPr>
                <w:b/>
                <w:bCs/>
                <w:sz w:val="18"/>
                <w:szCs w:val="18"/>
              </w:rPr>
            </w:pPr>
            <w:r>
              <w:rPr>
                <w:b/>
                <w:bCs/>
                <w:sz w:val="18"/>
                <w:szCs w:val="18"/>
              </w:rPr>
              <w:t>权重</w:t>
            </w:r>
          </w:p>
        </w:tc>
        <w:tc>
          <w:tcPr>
            <w:tcW w:w="3686" w:type="dxa"/>
            <w:vAlign w:val="center"/>
          </w:tcPr>
          <w:p>
            <w:pPr>
              <w:jc w:val="center"/>
              <w:rPr>
                <w:b/>
                <w:bCs/>
                <w:sz w:val="18"/>
                <w:szCs w:val="18"/>
              </w:rPr>
            </w:pPr>
            <w:r>
              <w:rPr>
                <w:b/>
                <w:bCs/>
                <w:sz w:val="18"/>
                <w:szCs w:val="18"/>
              </w:rPr>
              <w:t>考核/评价细则</w:t>
            </w:r>
          </w:p>
        </w:tc>
        <w:tc>
          <w:tcPr>
            <w:tcW w:w="1071" w:type="dxa"/>
            <w:vAlign w:val="center"/>
          </w:tcPr>
          <w:p>
            <w:pPr>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846" w:type="dxa"/>
            <w:vMerge w:val="restart"/>
            <w:vAlign w:val="center"/>
          </w:tcPr>
          <w:p>
            <w:pPr>
              <w:adjustRightInd w:val="0"/>
              <w:snapToGrid w:val="0"/>
              <w:spacing w:line="300" w:lineRule="auto"/>
              <w:jc w:val="center"/>
              <w:rPr>
                <w:sz w:val="18"/>
                <w:szCs w:val="18"/>
              </w:rPr>
            </w:pPr>
            <w:r>
              <w:rPr>
                <w:sz w:val="18"/>
                <w:szCs w:val="18"/>
              </w:rPr>
              <w:t>平时</w:t>
            </w:r>
          </w:p>
          <w:p>
            <w:pPr>
              <w:adjustRightInd w:val="0"/>
              <w:snapToGrid w:val="0"/>
              <w:spacing w:line="300" w:lineRule="auto"/>
              <w:jc w:val="center"/>
              <w:rPr>
                <w:sz w:val="18"/>
                <w:szCs w:val="18"/>
              </w:rPr>
            </w:pPr>
            <w:r>
              <w:rPr>
                <w:sz w:val="18"/>
                <w:szCs w:val="18"/>
              </w:rPr>
              <w:t>成绩</w:t>
            </w:r>
          </w:p>
        </w:tc>
        <w:tc>
          <w:tcPr>
            <w:tcW w:w="709" w:type="dxa"/>
            <w:vMerge w:val="restart"/>
            <w:vAlign w:val="center"/>
          </w:tcPr>
          <w:p>
            <w:pPr>
              <w:adjustRightInd w:val="0"/>
              <w:snapToGrid w:val="0"/>
              <w:spacing w:line="300" w:lineRule="auto"/>
              <w:jc w:val="center"/>
              <w:rPr>
                <w:sz w:val="18"/>
                <w:szCs w:val="18"/>
              </w:rPr>
            </w:pPr>
            <w:r>
              <w:rPr>
                <w:sz w:val="18"/>
                <w:szCs w:val="18"/>
              </w:rPr>
              <w:t>100</w:t>
            </w:r>
          </w:p>
        </w:tc>
        <w:tc>
          <w:tcPr>
            <w:tcW w:w="708" w:type="dxa"/>
            <w:vMerge w:val="restart"/>
            <w:vAlign w:val="center"/>
          </w:tcPr>
          <w:p>
            <w:pPr>
              <w:adjustRightInd w:val="0"/>
              <w:snapToGrid w:val="0"/>
              <w:spacing w:line="300" w:lineRule="auto"/>
              <w:jc w:val="center"/>
              <w:rPr>
                <w:sz w:val="18"/>
                <w:szCs w:val="18"/>
              </w:rPr>
            </w:pPr>
            <w:r>
              <w:rPr>
                <w:sz w:val="18"/>
                <w:szCs w:val="18"/>
              </w:rPr>
              <w:t>0.3</w:t>
            </w:r>
          </w:p>
        </w:tc>
        <w:tc>
          <w:tcPr>
            <w:tcW w:w="687" w:type="dxa"/>
            <w:vAlign w:val="center"/>
          </w:tcPr>
          <w:p>
            <w:pPr>
              <w:adjustRightInd w:val="0"/>
              <w:snapToGrid w:val="0"/>
              <w:spacing w:line="300" w:lineRule="auto"/>
              <w:jc w:val="center"/>
              <w:rPr>
                <w:sz w:val="18"/>
                <w:szCs w:val="18"/>
              </w:rPr>
            </w:pPr>
            <w:r>
              <w:rPr>
                <w:sz w:val="18"/>
                <w:szCs w:val="18"/>
              </w:rPr>
              <w:t>课堂表现</w:t>
            </w:r>
          </w:p>
        </w:tc>
        <w:tc>
          <w:tcPr>
            <w:tcW w:w="589" w:type="dxa"/>
            <w:vAlign w:val="center"/>
          </w:tcPr>
          <w:p>
            <w:pPr>
              <w:adjustRightInd w:val="0"/>
              <w:snapToGrid w:val="0"/>
              <w:spacing w:line="300" w:lineRule="auto"/>
              <w:jc w:val="center"/>
              <w:rPr>
                <w:sz w:val="18"/>
                <w:szCs w:val="18"/>
              </w:rPr>
            </w:pPr>
            <w:r>
              <w:rPr>
                <w:sz w:val="18"/>
                <w:szCs w:val="18"/>
              </w:rPr>
              <w:t>0.1</w:t>
            </w:r>
          </w:p>
        </w:tc>
        <w:tc>
          <w:tcPr>
            <w:tcW w:w="3686" w:type="dxa"/>
            <w:vAlign w:val="center"/>
          </w:tcPr>
          <w:p>
            <w:pPr>
              <w:adjustRightInd w:val="0"/>
              <w:snapToGrid w:val="0"/>
              <w:spacing w:line="300" w:lineRule="auto"/>
              <w:jc w:val="center"/>
              <w:rPr>
                <w:sz w:val="18"/>
                <w:szCs w:val="18"/>
              </w:rPr>
            </w:pPr>
            <w:r>
              <w:rPr>
                <w:sz w:val="18"/>
                <w:szCs w:val="18"/>
              </w:rPr>
              <w:t>根据学生课堂表现打分</w:t>
            </w:r>
          </w:p>
        </w:tc>
        <w:tc>
          <w:tcPr>
            <w:tcW w:w="1071" w:type="dxa"/>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blHeader/>
          <w:jc w:val="center"/>
        </w:trPr>
        <w:tc>
          <w:tcPr>
            <w:tcW w:w="846"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jc w:val="center"/>
              <w:rPr>
                <w:sz w:val="18"/>
                <w:szCs w:val="18"/>
              </w:rPr>
            </w:pPr>
          </w:p>
        </w:tc>
        <w:tc>
          <w:tcPr>
            <w:tcW w:w="708" w:type="dxa"/>
            <w:vMerge w:val="continue"/>
            <w:vAlign w:val="center"/>
          </w:tcPr>
          <w:p>
            <w:pPr>
              <w:adjustRightInd w:val="0"/>
              <w:snapToGrid w:val="0"/>
              <w:spacing w:line="300" w:lineRule="auto"/>
              <w:jc w:val="center"/>
              <w:rPr>
                <w:sz w:val="18"/>
                <w:szCs w:val="18"/>
              </w:rPr>
            </w:pPr>
          </w:p>
        </w:tc>
        <w:tc>
          <w:tcPr>
            <w:tcW w:w="687" w:type="dxa"/>
            <w:vAlign w:val="center"/>
          </w:tcPr>
          <w:p>
            <w:pPr>
              <w:adjustRightInd w:val="0"/>
              <w:snapToGrid w:val="0"/>
              <w:spacing w:line="300" w:lineRule="auto"/>
              <w:jc w:val="center"/>
              <w:rPr>
                <w:sz w:val="18"/>
                <w:szCs w:val="18"/>
              </w:rPr>
            </w:pPr>
            <w:r>
              <w:rPr>
                <w:sz w:val="18"/>
                <w:szCs w:val="18"/>
              </w:rPr>
              <w:t>作业</w:t>
            </w:r>
          </w:p>
        </w:tc>
        <w:tc>
          <w:tcPr>
            <w:tcW w:w="589" w:type="dxa"/>
            <w:vAlign w:val="center"/>
          </w:tcPr>
          <w:p>
            <w:pPr>
              <w:adjustRightInd w:val="0"/>
              <w:snapToGrid w:val="0"/>
              <w:spacing w:line="300" w:lineRule="auto"/>
              <w:jc w:val="center"/>
              <w:rPr>
                <w:sz w:val="18"/>
                <w:szCs w:val="18"/>
              </w:rPr>
            </w:pPr>
            <w:r>
              <w:rPr>
                <w:sz w:val="18"/>
                <w:szCs w:val="18"/>
              </w:rPr>
              <w:t>0.4</w:t>
            </w:r>
          </w:p>
        </w:tc>
        <w:tc>
          <w:tcPr>
            <w:tcW w:w="3686" w:type="dxa"/>
            <w:vAlign w:val="center"/>
          </w:tcPr>
          <w:p>
            <w:pPr>
              <w:adjustRightInd w:val="0"/>
              <w:snapToGrid w:val="0"/>
              <w:spacing w:line="300" w:lineRule="auto"/>
              <w:jc w:val="left"/>
              <w:rPr>
                <w:sz w:val="18"/>
                <w:szCs w:val="18"/>
              </w:rPr>
            </w:pPr>
            <w:r>
              <w:rPr>
                <w:sz w:val="18"/>
                <w:szCs w:val="18"/>
              </w:rPr>
              <w:t>考核学生对知识点的理解和掌握程度；每次作业按40分制单独评分，取各次成绩平均值作为书面作业成绩。</w:t>
            </w:r>
          </w:p>
        </w:tc>
        <w:tc>
          <w:tcPr>
            <w:tcW w:w="1071" w:type="dxa"/>
            <w:vAlign w:val="center"/>
          </w:tcPr>
          <w:p>
            <w:pPr>
              <w:adjustRightInd w:val="0"/>
              <w:snapToGrid w:val="0"/>
              <w:spacing w:line="300" w:lineRule="auto"/>
              <w:jc w:val="center"/>
              <w:rPr>
                <w:sz w:val="18"/>
                <w:szCs w:val="18"/>
              </w:rPr>
            </w:pPr>
            <w:r>
              <w:rPr>
                <w:sz w:val="18"/>
                <w:szCs w:val="1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46"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jc w:val="center"/>
              <w:rPr>
                <w:sz w:val="18"/>
                <w:szCs w:val="18"/>
              </w:rPr>
            </w:pPr>
          </w:p>
        </w:tc>
        <w:tc>
          <w:tcPr>
            <w:tcW w:w="708" w:type="dxa"/>
            <w:vMerge w:val="continue"/>
            <w:vAlign w:val="center"/>
          </w:tcPr>
          <w:p>
            <w:pPr>
              <w:adjustRightInd w:val="0"/>
              <w:snapToGrid w:val="0"/>
              <w:spacing w:line="300" w:lineRule="auto"/>
              <w:jc w:val="center"/>
              <w:rPr>
                <w:sz w:val="18"/>
                <w:szCs w:val="18"/>
              </w:rPr>
            </w:pPr>
          </w:p>
        </w:tc>
        <w:tc>
          <w:tcPr>
            <w:tcW w:w="687" w:type="dxa"/>
            <w:vAlign w:val="center"/>
          </w:tcPr>
          <w:p>
            <w:pPr>
              <w:adjustRightInd w:val="0"/>
              <w:snapToGrid w:val="0"/>
              <w:spacing w:line="300" w:lineRule="auto"/>
              <w:jc w:val="center"/>
              <w:rPr>
                <w:sz w:val="18"/>
                <w:szCs w:val="18"/>
              </w:rPr>
            </w:pPr>
            <w:r>
              <w:rPr>
                <w:sz w:val="18"/>
                <w:szCs w:val="18"/>
              </w:rPr>
              <w:t>实验</w:t>
            </w:r>
          </w:p>
        </w:tc>
        <w:tc>
          <w:tcPr>
            <w:tcW w:w="589" w:type="dxa"/>
            <w:vAlign w:val="center"/>
          </w:tcPr>
          <w:p>
            <w:pPr>
              <w:adjustRightInd w:val="0"/>
              <w:snapToGrid w:val="0"/>
              <w:spacing w:line="300" w:lineRule="auto"/>
              <w:jc w:val="center"/>
              <w:rPr>
                <w:sz w:val="18"/>
                <w:szCs w:val="18"/>
              </w:rPr>
            </w:pPr>
            <w:r>
              <w:rPr>
                <w:sz w:val="18"/>
                <w:szCs w:val="18"/>
              </w:rPr>
              <w:t>0.3</w:t>
            </w:r>
          </w:p>
        </w:tc>
        <w:tc>
          <w:tcPr>
            <w:tcW w:w="3686" w:type="dxa"/>
            <w:vAlign w:val="center"/>
          </w:tcPr>
          <w:p>
            <w:pPr>
              <w:adjustRightInd w:val="0"/>
              <w:snapToGrid w:val="0"/>
              <w:spacing w:line="300" w:lineRule="auto"/>
              <w:jc w:val="left"/>
              <w:rPr>
                <w:sz w:val="18"/>
                <w:szCs w:val="18"/>
              </w:rPr>
            </w:pPr>
            <w:r>
              <w:rPr>
                <w:sz w:val="18"/>
                <w:szCs w:val="18"/>
              </w:rPr>
              <w:t>根据实验完成质量与实验报告质量评分，满分40分。</w:t>
            </w:r>
          </w:p>
        </w:tc>
        <w:tc>
          <w:tcPr>
            <w:tcW w:w="1071" w:type="dxa"/>
            <w:vAlign w:val="center"/>
          </w:tcPr>
          <w:p>
            <w:pPr>
              <w:adjustRightInd w:val="0"/>
              <w:snapToGrid w:val="0"/>
              <w:spacing w:line="300" w:lineRule="auto"/>
              <w:jc w:val="center"/>
              <w:rPr>
                <w:sz w:val="18"/>
                <w:szCs w:val="18"/>
              </w:rPr>
            </w:pPr>
            <w:r>
              <w:rPr>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846"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jc w:val="center"/>
              <w:rPr>
                <w:sz w:val="18"/>
                <w:szCs w:val="18"/>
              </w:rPr>
            </w:pPr>
          </w:p>
        </w:tc>
        <w:tc>
          <w:tcPr>
            <w:tcW w:w="708" w:type="dxa"/>
            <w:vMerge w:val="continue"/>
            <w:vAlign w:val="center"/>
          </w:tcPr>
          <w:p>
            <w:pPr>
              <w:adjustRightInd w:val="0"/>
              <w:snapToGrid w:val="0"/>
              <w:spacing w:line="300" w:lineRule="auto"/>
              <w:jc w:val="center"/>
              <w:rPr>
                <w:sz w:val="18"/>
                <w:szCs w:val="18"/>
              </w:rPr>
            </w:pPr>
          </w:p>
        </w:tc>
        <w:tc>
          <w:tcPr>
            <w:tcW w:w="687" w:type="dxa"/>
            <w:vAlign w:val="center"/>
          </w:tcPr>
          <w:p>
            <w:pPr>
              <w:adjustRightInd w:val="0"/>
              <w:snapToGrid w:val="0"/>
              <w:spacing w:line="300" w:lineRule="auto"/>
              <w:jc w:val="center"/>
              <w:rPr>
                <w:sz w:val="18"/>
                <w:szCs w:val="18"/>
              </w:rPr>
            </w:pPr>
            <w:r>
              <w:rPr>
                <w:sz w:val="18"/>
                <w:szCs w:val="18"/>
              </w:rPr>
              <w:t>项目研究</w:t>
            </w:r>
          </w:p>
        </w:tc>
        <w:tc>
          <w:tcPr>
            <w:tcW w:w="589" w:type="dxa"/>
            <w:vAlign w:val="center"/>
          </w:tcPr>
          <w:p>
            <w:pPr>
              <w:adjustRightInd w:val="0"/>
              <w:snapToGrid w:val="0"/>
              <w:spacing w:line="300" w:lineRule="auto"/>
              <w:jc w:val="center"/>
              <w:rPr>
                <w:sz w:val="18"/>
                <w:szCs w:val="18"/>
              </w:rPr>
            </w:pPr>
            <w:r>
              <w:rPr>
                <w:sz w:val="18"/>
                <w:szCs w:val="18"/>
              </w:rPr>
              <w:t>0.2</w:t>
            </w:r>
          </w:p>
        </w:tc>
        <w:tc>
          <w:tcPr>
            <w:tcW w:w="3686" w:type="dxa"/>
            <w:vAlign w:val="center"/>
          </w:tcPr>
          <w:p>
            <w:pPr>
              <w:adjustRightInd w:val="0"/>
              <w:snapToGrid w:val="0"/>
              <w:spacing w:line="300" w:lineRule="auto"/>
              <w:jc w:val="left"/>
              <w:rPr>
                <w:sz w:val="18"/>
                <w:szCs w:val="18"/>
              </w:rPr>
            </w:pPr>
            <w:r>
              <w:rPr>
                <w:sz w:val="18"/>
                <w:szCs w:val="18"/>
              </w:rPr>
              <w:t>以小组为单位选题，并撰写报告，设计PPT。</w:t>
            </w:r>
          </w:p>
        </w:tc>
        <w:tc>
          <w:tcPr>
            <w:tcW w:w="1071" w:type="dxa"/>
            <w:vAlign w:val="center"/>
          </w:tcPr>
          <w:p>
            <w:pPr>
              <w:adjustRightInd w:val="0"/>
              <w:snapToGrid w:val="0"/>
              <w:spacing w:line="300" w:lineRule="auto"/>
              <w:jc w:val="center"/>
              <w:rPr>
                <w:sz w:val="18"/>
                <w:szCs w:val="18"/>
              </w:rPr>
            </w:pP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blHeader/>
          <w:jc w:val="center"/>
        </w:trPr>
        <w:tc>
          <w:tcPr>
            <w:tcW w:w="846" w:type="dxa"/>
            <w:vAlign w:val="center"/>
          </w:tcPr>
          <w:p>
            <w:pPr>
              <w:adjustRightInd w:val="0"/>
              <w:snapToGrid w:val="0"/>
              <w:spacing w:line="300" w:lineRule="auto"/>
              <w:jc w:val="center"/>
              <w:rPr>
                <w:sz w:val="18"/>
                <w:szCs w:val="18"/>
              </w:rPr>
            </w:pPr>
            <w:r>
              <w:rPr>
                <w:sz w:val="18"/>
                <w:szCs w:val="18"/>
              </w:rPr>
              <w:t>期末</w:t>
            </w:r>
          </w:p>
          <w:p>
            <w:pPr>
              <w:adjustRightInd w:val="0"/>
              <w:snapToGrid w:val="0"/>
              <w:spacing w:line="300" w:lineRule="auto"/>
              <w:jc w:val="center"/>
              <w:rPr>
                <w:sz w:val="18"/>
                <w:szCs w:val="18"/>
              </w:rPr>
            </w:pPr>
            <w:r>
              <w:rPr>
                <w:sz w:val="18"/>
                <w:szCs w:val="18"/>
              </w:rPr>
              <w:t>考试</w:t>
            </w:r>
          </w:p>
          <w:p>
            <w:pPr>
              <w:adjustRightInd w:val="0"/>
              <w:snapToGrid w:val="0"/>
              <w:spacing w:line="300" w:lineRule="auto"/>
              <w:jc w:val="center"/>
              <w:rPr>
                <w:sz w:val="18"/>
                <w:szCs w:val="18"/>
              </w:rPr>
            </w:pPr>
            <w:r>
              <w:rPr>
                <w:sz w:val="18"/>
                <w:szCs w:val="18"/>
              </w:rPr>
              <w:t>成绩</w:t>
            </w:r>
          </w:p>
        </w:tc>
        <w:tc>
          <w:tcPr>
            <w:tcW w:w="709" w:type="dxa"/>
            <w:vAlign w:val="center"/>
          </w:tcPr>
          <w:p>
            <w:pPr>
              <w:adjustRightInd w:val="0"/>
              <w:snapToGrid w:val="0"/>
              <w:spacing w:line="300" w:lineRule="auto"/>
              <w:jc w:val="center"/>
              <w:rPr>
                <w:sz w:val="18"/>
                <w:szCs w:val="18"/>
              </w:rPr>
            </w:pPr>
            <w:r>
              <w:rPr>
                <w:sz w:val="18"/>
                <w:szCs w:val="18"/>
              </w:rPr>
              <w:t>100</w:t>
            </w:r>
          </w:p>
        </w:tc>
        <w:tc>
          <w:tcPr>
            <w:tcW w:w="708" w:type="dxa"/>
            <w:vAlign w:val="center"/>
          </w:tcPr>
          <w:p>
            <w:pPr>
              <w:adjustRightInd w:val="0"/>
              <w:snapToGrid w:val="0"/>
              <w:spacing w:line="300" w:lineRule="auto"/>
              <w:jc w:val="center"/>
              <w:rPr>
                <w:sz w:val="18"/>
                <w:szCs w:val="18"/>
              </w:rPr>
            </w:pPr>
            <w:r>
              <w:rPr>
                <w:sz w:val="18"/>
                <w:szCs w:val="18"/>
              </w:rPr>
              <w:t>0.7</w:t>
            </w:r>
          </w:p>
        </w:tc>
        <w:tc>
          <w:tcPr>
            <w:tcW w:w="687" w:type="dxa"/>
            <w:vAlign w:val="center"/>
          </w:tcPr>
          <w:p>
            <w:pPr>
              <w:adjustRightInd w:val="0"/>
              <w:snapToGrid w:val="0"/>
              <w:spacing w:line="300" w:lineRule="auto"/>
              <w:rPr>
                <w:sz w:val="18"/>
                <w:szCs w:val="18"/>
              </w:rPr>
            </w:pPr>
            <w:r>
              <w:rPr>
                <w:sz w:val="18"/>
                <w:szCs w:val="18"/>
              </w:rPr>
              <w:t>闭卷考试</w:t>
            </w:r>
          </w:p>
        </w:tc>
        <w:tc>
          <w:tcPr>
            <w:tcW w:w="589" w:type="dxa"/>
            <w:vAlign w:val="center"/>
          </w:tcPr>
          <w:p>
            <w:pPr>
              <w:adjustRightInd w:val="0"/>
              <w:snapToGrid w:val="0"/>
              <w:spacing w:line="300" w:lineRule="auto"/>
              <w:jc w:val="center"/>
              <w:rPr>
                <w:sz w:val="18"/>
                <w:szCs w:val="18"/>
              </w:rPr>
            </w:pPr>
            <w:r>
              <w:rPr>
                <w:sz w:val="18"/>
                <w:szCs w:val="18"/>
              </w:rPr>
              <w:t>1</w:t>
            </w:r>
          </w:p>
        </w:tc>
        <w:tc>
          <w:tcPr>
            <w:tcW w:w="3686" w:type="dxa"/>
            <w:vAlign w:val="center"/>
          </w:tcPr>
          <w:p>
            <w:pPr>
              <w:adjustRightInd w:val="0"/>
              <w:snapToGrid w:val="0"/>
              <w:spacing w:line="300" w:lineRule="auto"/>
              <w:rPr>
                <w:sz w:val="18"/>
                <w:szCs w:val="18"/>
              </w:rPr>
            </w:pPr>
            <w:r>
              <w:rPr>
                <w:sz w:val="18"/>
                <w:szCs w:val="18"/>
              </w:rPr>
              <w:t>(1)卷面成绩100分。卷面成绩按比例计入课程总评成绩</w:t>
            </w:r>
          </w:p>
          <w:p>
            <w:pPr>
              <w:adjustRightInd w:val="0"/>
              <w:snapToGrid w:val="0"/>
              <w:spacing w:line="300" w:lineRule="auto"/>
              <w:rPr>
                <w:sz w:val="18"/>
                <w:szCs w:val="18"/>
              </w:rPr>
            </w:pPr>
            <w:r>
              <w:rPr>
                <w:sz w:val="18"/>
                <w:szCs w:val="18"/>
              </w:rPr>
              <w:t xml:space="preserve">(2)考核内容包括： </w:t>
            </w:r>
          </w:p>
          <w:p>
            <w:pPr>
              <w:adjustRightInd w:val="0"/>
              <w:snapToGrid w:val="0"/>
              <w:spacing w:line="300" w:lineRule="auto"/>
              <w:rPr>
                <w:sz w:val="18"/>
                <w:szCs w:val="18"/>
              </w:rPr>
            </w:pPr>
            <w:r>
              <w:rPr>
                <w:sz w:val="18"/>
                <w:szCs w:val="18"/>
              </w:rPr>
              <w:t>(3)建议考试题型包括：选择填空题、分析判断、综合计算题、证明题等其中某几种题型。</w:t>
            </w:r>
          </w:p>
        </w:tc>
        <w:tc>
          <w:tcPr>
            <w:tcW w:w="1071" w:type="dxa"/>
            <w:vAlign w:val="center"/>
          </w:tcPr>
          <w:p>
            <w:pPr>
              <w:adjustRightInd w:val="0"/>
              <w:snapToGrid w:val="0"/>
              <w:spacing w:line="300" w:lineRule="auto"/>
              <w:jc w:val="center"/>
              <w:rPr>
                <w:sz w:val="18"/>
                <w:szCs w:val="18"/>
              </w:rPr>
            </w:pPr>
            <w:r>
              <w:rPr>
                <w:sz w:val="18"/>
                <w:szCs w:val="18"/>
              </w:rPr>
              <w:t>2，3，4，5</w:t>
            </w:r>
          </w:p>
        </w:tc>
      </w:tr>
    </w:tbl>
    <w:p>
      <w:pPr>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rPr>
          <w:szCs w:val="21"/>
        </w:rPr>
      </w:pPr>
      <w:r>
        <w:rPr>
          <w:szCs w:val="21"/>
        </w:rPr>
        <w:t>1.达成度评价依据和方法</w:t>
      </w:r>
    </w:p>
    <w:p>
      <w:pPr>
        <w:adjustRightInd w:val="0"/>
        <w:snapToGrid w:val="0"/>
        <w:spacing w:line="300" w:lineRule="auto"/>
        <w:ind w:firstLine="420" w:firstLineChars="200"/>
        <w:rPr>
          <w:szCs w:val="21"/>
        </w:rPr>
      </w:pPr>
      <w:r>
        <w:rPr>
          <w:szCs w:val="21"/>
        </w:rPr>
        <w:t>课程各目标达成情况为该项目学生的平均得分率，其计算公式为：</w:t>
      </w:r>
    </w:p>
    <w:p>
      <w:pPr>
        <w:adjustRightInd w:val="0"/>
        <w:snapToGrid w:val="0"/>
        <w:spacing w:line="300" w:lineRule="auto"/>
        <w:jc w:val="center"/>
        <w:rPr>
          <w:szCs w:val="21"/>
        </w:rPr>
      </w:pPr>
      <w:r>
        <w:rPr>
          <w:position w:val="-26"/>
          <w:szCs w:val="21"/>
        </w:rPr>
        <w:object>
          <v:shape id="_x0000_i1089" o:spt="75" type="#_x0000_t75" style="height:30pt;width:360pt;" o:ole="t" filled="f" o:preferrelative="t" stroked="f" coordsize="21600,21600">
            <v:path/>
            <v:fill on="f" focussize="0,0"/>
            <v:stroke on="f" joinstyle="miter"/>
            <v:imagedata r:id="rId36" o:title=""/>
            <o:lock v:ext="edit" aspectratio="t"/>
            <w10:wrap type="none"/>
            <w10:anchorlock/>
          </v:shape>
          <o:OLEObject Type="Embed" ProgID="Equation.3" ShapeID="_x0000_i1089" DrawAspect="Content" ObjectID="_1468075788" r:id="rId101">
            <o:LockedField>false</o:LockedField>
          </o:OLEObject>
        </w:object>
      </w:r>
    </w:p>
    <w:p>
      <w:pPr>
        <w:adjustRightInd w:val="0"/>
        <w:snapToGrid w:val="0"/>
        <w:spacing w:line="300" w:lineRule="auto"/>
        <w:rPr>
          <w:szCs w:val="21"/>
        </w:rPr>
      </w:pPr>
      <w:r>
        <w:rPr>
          <w:szCs w:val="21"/>
        </w:rPr>
        <w:t>课程总目标达成情况为6个课程目标的加权得分率，其计算公式为：</w:t>
      </w:r>
    </w:p>
    <w:p>
      <w:pPr>
        <w:adjustRightInd w:val="0"/>
        <w:snapToGrid w:val="0"/>
        <w:spacing w:line="300" w:lineRule="auto"/>
        <w:jc w:val="center"/>
        <w:rPr>
          <w:szCs w:val="21"/>
        </w:rPr>
      </w:pPr>
      <w:r>
        <w:rPr>
          <w:szCs w:val="21"/>
        </w:rPr>
        <w:object>
          <v:shape id="_x0000_i1090" o:spt="75" type="#_x0000_t75" style="height:18pt;width:264pt;" o:ole="t" filled="f" o:preferrelative="t" stroked="f" coordsize="21600,21600">
            <v:path/>
            <v:fill on="f" focussize="0,0"/>
            <v:stroke on="f" joinstyle="miter"/>
            <v:imagedata r:id="rId38" o:title=""/>
            <o:lock v:ext="edit" aspectratio="t"/>
            <w10:wrap type="none"/>
            <w10:anchorlock/>
          </v:shape>
          <o:OLEObject Type="Embed" ProgID="Equation.DSMT4" ShapeID="_x0000_i1090" DrawAspect="Content" ObjectID="_1468075789" r:id="rId102">
            <o:LockedField>false</o:LockedField>
          </o:OLEObject>
        </w:object>
      </w:r>
    </w:p>
    <w:p>
      <w:pPr>
        <w:adjustRightInd w:val="0"/>
        <w:snapToGrid w:val="0"/>
        <w:spacing w:line="300" w:lineRule="auto"/>
        <w:rPr>
          <w:szCs w:val="21"/>
        </w:rPr>
      </w:pPr>
      <w:r>
        <w:rPr>
          <w:szCs w:val="21"/>
        </w:rPr>
        <w:t>其中权重系数按照表6设定。</w:t>
      </w:r>
    </w:p>
    <w:p>
      <w:pPr>
        <w:spacing w:before="156" w:beforeLines="50"/>
        <w:jc w:val="center"/>
        <w:rPr>
          <w:b/>
          <w:kern w:val="0"/>
          <w:sz w:val="18"/>
          <w:szCs w:val="18"/>
        </w:rPr>
      </w:pPr>
      <w:r>
        <w:rPr>
          <w:b/>
          <w:kern w:val="0"/>
          <w:sz w:val="18"/>
          <w:szCs w:val="18"/>
        </w:rPr>
        <w:t>表6课程目标权重系数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42"/>
        <w:gridCol w:w="1102"/>
        <w:gridCol w:w="1306"/>
        <w:gridCol w:w="1295"/>
        <w:gridCol w:w="129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75" w:hRule="atLeast"/>
          <w:jc w:val="center"/>
        </w:trPr>
        <w:tc>
          <w:tcPr>
            <w:tcW w:w="1042" w:type="dxa"/>
            <w:vAlign w:val="center"/>
          </w:tcPr>
          <w:p>
            <w:pPr>
              <w:adjustRightInd w:val="0"/>
              <w:snapToGrid w:val="0"/>
              <w:spacing w:line="300" w:lineRule="auto"/>
              <w:jc w:val="center"/>
              <w:rPr>
                <w:b/>
                <w:bCs/>
                <w:sz w:val="18"/>
                <w:szCs w:val="18"/>
              </w:rPr>
            </w:pPr>
            <w:r>
              <w:rPr>
                <w:b/>
                <w:bCs/>
                <w:sz w:val="18"/>
                <w:szCs w:val="18"/>
              </w:rPr>
              <w:t>课程目标</w:t>
            </w:r>
          </w:p>
        </w:tc>
        <w:tc>
          <w:tcPr>
            <w:tcW w:w="1102" w:type="dxa"/>
            <w:vAlign w:val="center"/>
          </w:tcPr>
          <w:p>
            <w:pPr>
              <w:adjustRightInd w:val="0"/>
              <w:snapToGrid w:val="0"/>
              <w:spacing w:line="300" w:lineRule="auto"/>
              <w:jc w:val="center"/>
              <w:rPr>
                <w:sz w:val="18"/>
                <w:szCs w:val="18"/>
              </w:rPr>
            </w:pPr>
            <w:r>
              <w:rPr>
                <w:sz w:val="18"/>
                <w:szCs w:val="18"/>
              </w:rPr>
              <w:t>1</w:t>
            </w:r>
          </w:p>
        </w:tc>
        <w:tc>
          <w:tcPr>
            <w:tcW w:w="1306" w:type="dxa"/>
            <w:vAlign w:val="center"/>
          </w:tcPr>
          <w:p>
            <w:pPr>
              <w:adjustRightInd w:val="0"/>
              <w:snapToGrid w:val="0"/>
              <w:spacing w:line="300" w:lineRule="auto"/>
              <w:jc w:val="center"/>
              <w:rPr>
                <w:sz w:val="18"/>
                <w:szCs w:val="18"/>
              </w:rPr>
            </w:pPr>
            <w:r>
              <w:rPr>
                <w:sz w:val="18"/>
                <w:szCs w:val="18"/>
              </w:rPr>
              <w:t>2</w:t>
            </w:r>
          </w:p>
        </w:tc>
        <w:tc>
          <w:tcPr>
            <w:tcW w:w="1295" w:type="dxa"/>
            <w:vAlign w:val="center"/>
          </w:tcPr>
          <w:p>
            <w:pPr>
              <w:adjustRightInd w:val="0"/>
              <w:snapToGrid w:val="0"/>
              <w:spacing w:line="300" w:lineRule="auto"/>
              <w:jc w:val="center"/>
              <w:rPr>
                <w:sz w:val="18"/>
                <w:szCs w:val="18"/>
              </w:rPr>
            </w:pPr>
            <w:r>
              <w:rPr>
                <w:sz w:val="18"/>
                <w:szCs w:val="18"/>
              </w:rPr>
              <w:t>3</w:t>
            </w:r>
          </w:p>
        </w:tc>
        <w:tc>
          <w:tcPr>
            <w:tcW w:w="1297" w:type="dxa"/>
            <w:vAlign w:val="center"/>
          </w:tcPr>
          <w:p>
            <w:pPr>
              <w:adjustRightInd w:val="0"/>
              <w:snapToGrid w:val="0"/>
              <w:spacing w:line="300" w:lineRule="auto"/>
              <w:jc w:val="center"/>
              <w:rPr>
                <w:sz w:val="18"/>
                <w:szCs w:val="18"/>
              </w:rPr>
            </w:pPr>
            <w:r>
              <w:rPr>
                <w:sz w:val="18"/>
                <w:szCs w:val="18"/>
              </w:rPr>
              <w:t>4</w:t>
            </w:r>
          </w:p>
        </w:tc>
        <w:tc>
          <w:tcPr>
            <w:tcW w:w="1297" w:type="dxa"/>
            <w:vAlign w:val="center"/>
          </w:tcPr>
          <w:p>
            <w:pPr>
              <w:adjustRightInd w:val="0"/>
              <w:snapToGrid w:val="0"/>
              <w:spacing w:line="30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67" w:hRule="atLeast"/>
          <w:jc w:val="center"/>
        </w:trPr>
        <w:tc>
          <w:tcPr>
            <w:tcW w:w="1042" w:type="dxa"/>
            <w:vAlign w:val="center"/>
          </w:tcPr>
          <w:p>
            <w:pPr>
              <w:adjustRightInd w:val="0"/>
              <w:snapToGrid w:val="0"/>
              <w:spacing w:line="300" w:lineRule="auto"/>
              <w:jc w:val="center"/>
              <w:rPr>
                <w:b/>
                <w:bCs/>
                <w:sz w:val="18"/>
                <w:szCs w:val="18"/>
              </w:rPr>
            </w:pPr>
            <w:r>
              <w:rPr>
                <w:b/>
                <w:bCs/>
                <w:sz w:val="18"/>
                <w:szCs w:val="18"/>
              </w:rPr>
              <w:t>权重系数</w:t>
            </w:r>
          </w:p>
        </w:tc>
        <w:tc>
          <w:tcPr>
            <w:tcW w:w="1102" w:type="dxa"/>
            <w:vAlign w:val="center"/>
          </w:tcPr>
          <w:p>
            <w:pPr>
              <w:adjustRightInd w:val="0"/>
              <w:snapToGrid w:val="0"/>
              <w:spacing w:line="300" w:lineRule="auto"/>
              <w:jc w:val="center"/>
              <w:rPr>
                <w:sz w:val="18"/>
                <w:szCs w:val="18"/>
              </w:rPr>
            </w:pPr>
            <w:r>
              <w:rPr>
                <w:sz w:val="18"/>
                <w:szCs w:val="18"/>
              </w:rPr>
              <w:t>0.25</w:t>
            </w:r>
          </w:p>
        </w:tc>
        <w:tc>
          <w:tcPr>
            <w:tcW w:w="1306" w:type="dxa"/>
            <w:vAlign w:val="center"/>
          </w:tcPr>
          <w:p>
            <w:pPr>
              <w:adjustRightInd w:val="0"/>
              <w:snapToGrid w:val="0"/>
              <w:spacing w:line="300" w:lineRule="auto"/>
              <w:jc w:val="center"/>
              <w:rPr>
                <w:sz w:val="18"/>
                <w:szCs w:val="18"/>
              </w:rPr>
            </w:pPr>
            <w:r>
              <w:rPr>
                <w:sz w:val="18"/>
                <w:szCs w:val="18"/>
              </w:rPr>
              <w:t>0.25</w:t>
            </w:r>
          </w:p>
        </w:tc>
        <w:tc>
          <w:tcPr>
            <w:tcW w:w="1295" w:type="dxa"/>
            <w:vAlign w:val="center"/>
          </w:tcPr>
          <w:p>
            <w:pPr>
              <w:adjustRightInd w:val="0"/>
              <w:snapToGrid w:val="0"/>
              <w:spacing w:line="300" w:lineRule="auto"/>
              <w:jc w:val="center"/>
              <w:rPr>
                <w:sz w:val="18"/>
                <w:szCs w:val="18"/>
              </w:rPr>
            </w:pPr>
            <w:r>
              <w:rPr>
                <w:sz w:val="18"/>
                <w:szCs w:val="18"/>
              </w:rPr>
              <w:t>0.3</w:t>
            </w:r>
          </w:p>
        </w:tc>
        <w:tc>
          <w:tcPr>
            <w:tcW w:w="1297" w:type="dxa"/>
            <w:vAlign w:val="center"/>
          </w:tcPr>
          <w:p>
            <w:pPr>
              <w:adjustRightInd w:val="0"/>
              <w:snapToGrid w:val="0"/>
              <w:spacing w:line="300" w:lineRule="auto"/>
              <w:jc w:val="center"/>
              <w:rPr>
                <w:sz w:val="18"/>
                <w:szCs w:val="18"/>
              </w:rPr>
            </w:pPr>
            <w:r>
              <w:rPr>
                <w:sz w:val="18"/>
                <w:szCs w:val="18"/>
              </w:rPr>
              <w:t>0.1</w:t>
            </w:r>
          </w:p>
        </w:tc>
        <w:tc>
          <w:tcPr>
            <w:tcW w:w="1297" w:type="dxa"/>
            <w:vAlign w:val="center"/>
          </w:tcPr>
          <w:p>
            <w:pPr>
              <w:adjustRightInd w:val="0"/>
              <w:snapToGrid w:val="0"/>
              <w:spacing w:line="300" w:lineRule="auto"/>
              <w:jc w:val="center"/>
              <w:rPr>
                <w:sz w:val="18"/>
                <w:szCs w:val="18"/>
              </w:rPr>
            </w:pPr>
            <w:r>
              <w:rPr>
                <w:sz w:val="18"/>
                <w:szCs w:val="18"/>
              </w:rPr>
              <w:t>0.1</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091" o:spt="75" type="#_x0000_t75" style="height:18pt;width:282pt;" o:ole="t" filled="f" o:preferrelative="t" stroked="f" coordsize="21600,21600">
            <v:path/>
            <v:fill on="f" focussize="0,0"/>
            <v:stroke on="f" joinstyle="miter"/>
            <v:imagedata r:id="rId40" o:title=""/>
            <o:lock v:ext="edit" aspectratio="t"/>
            <w10:wrap type="none"/>
            <w10:anchorlock/>
          </v:shape>
          <o:OLEObject Type="Embed" ProgID="Equation.3" ShapeID="_x0000_i1091" DrawAspect="Content" ObjectID="_1468075790" r:id="rId103">
            <o:LockedField>false</o:LockedField>
          </o:OLEObject>
        </w:object>
      </w:r>
    </w:p>
    <w:p>
      <w:pPr>
        <w:adjustRightInd w:val="0"/>
        <w:snapToGrid w:val="0"/>
        <w:spacing w:line="300" w:lineRule="auto"/>
      </w:pPr>
      <w:r>
        <w:t>2.课程总结要求</w:t>
      </w:r>
    </w:p>
    <w:p>
      <w:pPr>
        <w:adjustRightInd w:val="0"/>
        <w:snapToGrid w:val="0"/>
        <w:spacing w:line="300" w:lineRule="auto"/>
        <w:ind w:firstLine="420" w:firstLineChars="200"/>
        <w:rPr>
          <w:rFonts w:ascii="Times New Roman" w:hAnsi="Times New Roman"/>
          <w:szCs w:val="21"/>
        </w:rPr>
      </w:pPr>
      <w:r>
        <w:rPr>
          <w:szCs w:val="21"/>
          <w:shd w:val="clear" w:color="auto" w:fill="FFFFFF"/>
        </w:rPr>
        <w:t> </w:t>
      </w: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b/>
          <w:sz w:val="24"/>
        </w:rPr>
      </w:pPr>
      <w:r>
        <w:rPr>
          <w:rFonts w:ascii="Times New Roman" w:hAnsi="Times New Roman"/>
          <w:b/>
          <w:sz w:val="24"/>
        </w:rPr>
        <w:t>七、教材及参考资料</w:t>
      </w:r>
    </w:p>
    <w:p>
      <w:pPr>
        <w:adjustRightInd w:val="0"/>
        <w:snapToGrid w:val="0"/>
        <w:spacing w:line="300" w:lineRule="auto"/>
        <w:ind w:firstLine="420" w:firstLineChars="200"/>
        <w:rPr>
          <w:rFonts w:ascii="Times New Roman" w:hAnsi="Times New Roman"/>
          <w:szCs w:val="21"/>
          <w:shd w:val="clear" w:color="auto" w:fill="FEFEFF"/>
        </w:rPr>
      </w:pPr>
      <w:r>
        <w:rPr>
          <w:rFonts w:ascii="Times New Roman" w:hAnsi="Times New Roman"/>
          <w:szCs w:val="21"/>
          <w:shd w:val="clear" w:color="auto" w:fill="FEFEFF"/>
        </w:rPr>
        <w:t>1.教材</w:t>
      </w:r>
    </w:p>
    <w:p>
      <w:pPr>
        <w:adjustRightInd w:val="0"/>
        <w:snapToGrid w:val="0"/>
        <w:spacing w:line="300" w:lineRule="auto"/>
        <w:ind w:firstLine="420" w:firstLineChars="200"/>
        <w:rPr>
          <w:rFonts w:ascii="Times New Roman" w:hAnsi="Times New Roman"/>
          <w:szCs w:val="21"/>
          <w:shd w:val="clear" w:color="auto" w:fill="FEFEFF"/>
        </w:rPr>
      </w:pPr>
      <w:r>
        <w:rPr>
          <w:rFonts w:ascii="Times New Roman" w:hAnsi="Times New Roman"/>
          <w:szCs w:val="21"/>
          <w:shd w:val="clear" w:color="auto" w:fill="FEFEFF"/>
        </w:rPr>
        <w:t>[1] 樊昌信/曹丽娜.《通信原理》（第6版）[M]，国防工业出版社，北京：2009-10.</w:t>
      </w:r>
    </w:p>
    <w:p>
      <w:pPr>
        <w:adjustRightInd w:val="0"/>
        <w:snapToGrid w:val="0"/>
        <w:spacing w:line="300" w:lineRule="auto"/>
        <w:ind w:firstLine="420" w:firstLineChars="200"/>
        <w:rPr>
          <w:rFonts w:ascii="Times New Roman" w:hAnsi="Times New Roman"/>
          <w:szCs w:val="21"/>
          <w:shd w:val="clear" w:color="auto" w:fill="FEFEFF"/>
        </w:rPr>
      </w:pPr>
      <w:r>
        <w:rPr>
          <w:rFonts w:ascii="Times New Roman" w:hAnsi="Times New Roman"/>
          <w:szCs w:val="21"/>
          <w:shd w:val="clear" w:color="auto" w:fill="FEFEFF"/>
        </w:rPr>
        <w:t>2.参考书</w:t>
      </w:r>
    </w:p>
    <w:p>
      <w:pPr>
        <w:adjustRightInd w:val="0"/>
        <w:snapToGrid w:val="0"/>
        <w:spacing w:line="300" w:lineRule="auto"/>
        <w:ind w:firstLine="420" w:firstLineChars="200"/>
        <w:rPr>
          <w:rFonts w:ascii="Times New Roman" w:hAnsi="Times New Roman"/>
          <w:szCs w:val="21"/>
          <w:shd w:val="clear" w:color="auto" w:fill="FEFEFF"/>
        </w:rPr>
      </w:pPr>
      <w:r>
        <w:rPr>
          <w:rFonts w:ascii="Times New Roman" w:hAnsi="Times New Roman"/>
          <w:szCs w:val="21"/>
          <w:shd w:val="clear" w:color="auto" w:fill="FEFEFF"/>
        </w:rPr>
        <w:t>[1] 曹志刚.《现代通信原理》[M]，清华大学出版社，北京：1992-08.</w:t>
      </w:r>
    </w:p>
    <w:p>
      <w:pPr>
        <w:adjustRightInd w:val="0"/>
        <w:snapToGrid w:val="0"/>
        <w:spacing w:line="300" w:lineRule="auto"/>
        <w:ind w:firstLine="420" w:firstLineChars="200"/>
        <w:rPr>
          <w:rFonts w:ascii="Times New Roman" w:hAnsi="Times New Roman"/>
          <w:szCs w:val="21"/>
          <w:shd w:val="clear" w:color="auto" w:fill="FEFEFF"/>
        </w:rPr>
      </w:pPr>
      <w:r>
        <w:rPr>
          <w:rFonts w:ascii="Times New Roman" w:hAnsi="Times New Roman"/>
          <w:szCs w:val="21"/>
          <w:shd w:val="clear" w:color="auto" w:fill="FEFEFF"/>
        </w:rPr>
        <w:t>[2] J. G. Proakis.《数字通信》第5版[M]，电子工业出版社，北京：2011-01.</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kern w:val="0"/>
                <w:sz w:val="20"/>
                <w:szCs w:val="21"/>
              </w:rPr>
            </w:pPr>
            <w:r>
              <w:rPr>
                <w:rFonts w:ascii="Times New Roman" w:hAnsi="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kern w:val="0"/>
                <w:sz w:val="20"/>
                <w:szCs w:val="21"/>
              </w:rPr>
            </w:pPr>
            <w:r>
              <w:rPr>
                <w:rFonts w:ascii="Times New Roman" w:hAnsi="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kern w:val="0"/>
                <w:sz w:val="20"/>
                <w:szCs w:val="21"/>
              </w:rPr>
            </w:pPr>
            <w:r>
              <w:rPr>
                <w:rFonts w:ascii="Times New Roman" w:hAnsi="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kern w:val="0"/>
                <w:sz w:val="20"/>
                <w:szCs w:val="21"/>
              </w:rPr>
            </w:pPr>
          </w:p>
        </w:tc>
      </w:tr>
    </w:tbl>
    <w:p/>
    <w:p>
      <w:pPr>
        <w:widowControl/>
        <w:jc w:val="left"/>
        <w:rPr>
          <w:rFonts w:ascii="Times New Roman" w:hAnsi="Times New Roman"/>
          <w:szCs w:val="21"/>
          <w:shd w:val="clear" w:color="auto" w:fill="FEFEFF"/>
        </w:rPr>
      </w:pPr>
      <w:bookmarkStart w:id="114" w:name="_Toc46489659"/>
      <w:bookmarkStart w:id="115" w:name="_Toc47718787"/>
      <w:bookmarkStart w:id="116" w:name="_Toc20279"/>
      <w:bookmarkStart w:id="117" w:name="_Toc47774714"/>
      <w:bookmarkStart w:id="118" w:name="_Toc38126113"/>
      <w:bookmarkStart w:id="119" w:name="_Toc47719758"/>
      <w:bookmarkStart w:id="120" w:name="_Toc46489660"/>
      <w:bookmarkStart w:id="121" w:name="_Toc47719759"/>
      <w:bookmarkStart w:id="122" w:name="_Toc17233"/>
      <w:bookmarkStart w:id="123" w:name="_Toc38126114"/>
      <w:bookmarkStart w:id="124" w:name="_Toc47774715"/>
      <w:bookmarkStart w:id="125" w:name="_Toc47718788"/>
      <w:r>
        <w:rPr>
          <w:rFonts w:ascii="Times New Roman" w:hAnsi="Times New Roman"/>
          <w:szCs w:val="21"/>
          <w:shd w:val="clear" w:color="auto" w:fill="FEFEFF"/>
        </w:rPr>
        <w:br w:type="page"/>
      </w:r>
    </w:p>
    <w:p>
      <w:pPr>
        <w:keepNext/>
        <w:keepLines/>
        <w:tabs>
          <w:tab w:val="left" w:pos="0"/>
          <w:tab w:val="left" w:pos="420"/>
        </w:tabs>
        <w:spacing w:before="260" w:after="260" w:line="413" w:lineRule="auto"/>
        <w:jc w:val="center"/>
        <w:outlineLvl w:val="2"/>
        <w:rPr>
          <w:rFonts w:ascii="Times New Roman" w:hAnsi="Times New Roman" w:cs="Times New Roman"/>
          <w:b/>
          <w:sz w:val="32"/>
        </w:rPr>
      </w:pPr>
      <w:bookmarkStart w:id="126" w:name="_Toc12717"/>
      <w:r>
        <w:rPr>
          <w:rFonts w:ascii="Times New Roman" w:hAnsi="Times New Roman" w:cs="Times New Roman"/>
          <w:b/>
          <w:sz w:val="32"/>
        </w:rPr>
        <w:t>33442007《微机原理与接口技术》课程教学大纲</w:t>
      </w:r>
      <w:bookmarkEnd w:id="114"/>
      <w:bookmarkEnd w:id="115"/>
      <w:bookmarkEnd w:id="116"/>
      <w:bookmarkEnd w:id="117"/>
      <w:bookmarkEnd w:id="118"/>
      <w:bookmarkEnd w:id="119"/>
      <w:bookmarkEnd w:id="126"/>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33442007</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微机原理与接口技术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szCs w:val="21"/>
              </w:rPr>
              <w:t>专业基础类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Microcomputer Principle</w:t>
            </w:r>
            <w:r>
              <w:rPr>
                <w:rFonts w:hint="eastAsia"/>
                <w:bCs/>
                <w:kern w:val="0"/>
                <w:szCs w:val="21"/>
              </w:rPr>
              <w:t>s</w:t>
            </w:r>
            <w:r>
              <w:rPr>
                <w:bCs/>
                <w:kern w:val="0"/>
                <w:szCs w:val="21"/>
              </w:rPr>
              <w:t xml:space="preserve"> and Interface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2.5</w:t>
            </w:r>
            <w:r>
              <w:rPr>
                <w:szCs w:val="21"/>
              </w:rPr>
              <w:t xml:space="preserve"> </w:t>
            </w:r>
            <w:r>
              <w:rPr>
                <w:kern w:val="0"/>
                <w:szCs w:val="21"/>
              </w:rPr>
              <w:t xml:space="preserve">: </w:t>
            </w:r>
            <w:r>
              <w:rPr>
                <w:bCs/>
                <w:kern w:val="0"/>
                <w:szCs w:val="21"/>
              </w:rPr>
              <w:t>40（8）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李小立、欧触灵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李小立</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欧触灵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C语言程序设计、数字电子技术基础等</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本课程是电子信息工程专业本科生学习和掌握微型计算机硬件知识、汇编语言程序设计和微型计算机接口技术的入门课程，是该专业的必修专业基础课，它担负着专业培养方案中培养学生具有初步的计算机应用能力的功能。它以计算机基础、程序设计语言和数字逻辑与系统为知识和能力发展的基础，为后期的单片机原理及接口技术、DSP技术与应用和嵌入式系统的学习奠定科学合理的方法和能力支持；其教学目的和任务是使学生掌握微处理器的基本结构，微型计算机工作原理，汇编语言程序设计方法，接口电路的结构、工作原理及其与CPU、微型计算机外部设备等的硬件连接以及微型计算机应用系统的基本组成、体系结构、工作原理和相应的程序设计等系统开发技术。该课程的学习方法和课程特色可以概括为注重理解、注重实践和注重应用。</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在层次递进的计算机应用能力培养过程中，融合了系统硬件设计、应用软件设计和系统调试的综合性应用需要从科学合理的知识结构和相应的能力培养和工程素质等多方面努力，对学生的基本理论、基本知识和基本技能都提出了较高的要求。本课程通过系统学习Intel 8086 16位微型机的组成、工作原理、系统结构以及各种相关的接口技术知识，为本专业学生的计算机应用综合能力和素质提高奠定基础。在学习到微处理器的发展历史部分还可介绍中科院计算所设计开发的国产微处理器龙芯系列产品，以及银河系列、曙光系列大型、巨型计算机在我国从无到有的发展历程。课程教学目标如下：</w:t>
      </w:r>
    </w:p>
    <w:p>
      <w:pPr>
        <w:widowControl/>
        <w:snapToGrid w:val="0"/>
        <w:spacing w:line="300" w:lineRule="auto"/>
        <w:ind w:firstLine="420" w:firstLineChars="200"/>
        <w:rPr>
          <w:kern w:val="0"/>
          <w:szCs w:val="21"/>
        </w:rPr>
      </w:pPr>
      <w:r>
        <w:rPr>
          <w:kern w:val="0"/>
          <w:szCs w:val="21"/>
        </w:rPr>
        <w:t>1．通过对本课程的学习要求掌握微型计算机的基本概念、微型计算机系统的基本结构、工作原理等基本知识；掌握微型计算机应用系统软/硬件的基本分析方法、设计的方法，为有关后续课程的学习打下较好的基础；认识用计算机系统知识解决工程问题的方法和途径。[1.2]</w:t>
      </w:r>
    </w:p>
    <w:p>
      <w:pPr>
        <w:widowControl/>
        <w:snapToGrid w:val="0"/>
        <w:spacing w:line="300" w:lineRule="auto"/>
        <w:ind w:firstLine="420" w:firstLineChars="200"/>
        <w:rPr>
          <w:kern w:val="0"/>
          <w:szCs w:val="21"/>
        </w:rPr>
      </w:pPr>
      <w:r>
        <w:rPr>
          <w:kern w:val="0"/>
          <w:szCs w:val="21"/>
        </w:rPr>
        <w:t>2. 熟悉常用微型计算机应用系统的设计/开发解决方案、设计技术，常用可编程接口芯片的硬件接口设计和接口软件设计以及微机系统的调试方法。[4.2]</w:t>
      </w:r>
    </w:p>
    <w:p>
      <w:pPr>
        <w:widowControl/>
        <w:snapToGrid w:val="0"/>
        <w:spacing w:line="300" w:lineRule="auto"/>
        <w:ind w:firstLine="420" w:firstLineChars="200"/>
        <w:rPr>
          <w:kern w:val="0"/>
          <w:szCs w:val="21"/>
        </w:rPr>
      </w:pPr>
      <w:r>
        <w:rPr>
          <w:kern w:val="0"/>
          <w:szCs w:val="21"/>
        </w:rPr>
        <w:t>3. 能够对复杂工程问题进行分析并研究使用计算机设计解决方案，获得有效的实验数据。[4.2]</w:t>
      </w:r>
    </w:p>
    <w:p>
      <w:pPr>
        <w:widowControl/>
        <w:snapToGrid w:val="0"/>
        <w:spacing w:line="300" w:lineRule="auto"/>
        <w:ind w:firstLine="420" w:firstLineChars="200"/>
        <w:rPr>
          <w:kern w:val="0"/>
          <w:sz w:val="24"/>
          <w:szCs w:val="21"/>
        </w:rPr>
      </w:pPr>
      <w:r>
        <w:rPr>
          <w:kern w:val="0"/>
          <w:szCs w:val="21"/>
        </w:rPr>
        <w:t>4. 开阔对于微型计算机应用的新技术、新体系结构的认识，研究微机应用系统设计技术及新技术、新系统，培养终身学习的能力和习惯。[12.1]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6006"/>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330" w:type="dxa"/>
            <w:vAlign w:val="center"/>
          </w:tcPr>
          <w:p>
            <w:pPr>
              <w:adjustRightInd w:val="0"/>
              <w:snapToGrid w:val="0"/>
              <w:spacing w:line="300" w:lineRule="auto"/>
              <w:rPr>
                <w:b/>
                <w:bCs/>
                <w:sz w:val="18"/>
                <w:szCs w:val="18"/>
              </w:rPr>
            </w:pPr>
            <w:r>
              <w:rPr>
                <w:b/>
                <w:bCs/>
                <w:sz w:val="18"/>
                <w:szCs w:val="18"/>
              </w:rPr>
              <w:t>毕业要求</w:t>
            </w:r>
          </w:p>
        </w:tc>
        <w:tc>
          <w:tcPr>
            <w:tcW w:w="6006"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c>
          <w:tcPr>
            <w:tcW w:w="656"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30" w:type="dxa"/>
            <w:vAlign w:val="center"/>
          </w:tcPr>
          <w:p>
            <w:pPr>
              <w:adjustRightInd w:val="0"/>
              <w:snapToGrid w:val="0"/>
              <w:spacing w:line="300" w:lineRule="auto"/>
              <w:rPr>
                <w:sz w:val="18"/>
                <w:szCs w:val="18"/>
              </w:rPr>
            </w:pPr>
            <w:r>
              <w:rPr>
                <w:sz w:val="18"/>
                <w:szCs w:val="18"/>
              </w:rPr>
              <w:t>1．工程知识</w:t>
            </w:r>
          </w:p>
        </w:tc>
        <w:tc>
          <w:tcPr>
            <w:tcW w:w="6006" w:type="dxa"/>
          </w:tcPr>
          <w:p>
            <w:pPr>
              <w:adjustRightInd w:val="0"/>
              <w:snapToGrid w:val="0"/>
              <w:spacing w:line="300" w:lineRule="auto"/>
              <w:rPr>
                <w:sz w:val="18"/>
                <w:szCs w:val="18"/>
              </w:rPr>
            </w:pPr>
            <w:r>
              <w:rPr>
                <w:sz w:val="18"/>
                <w:szCs w:val="18"/>
              </w:rPr>
              <w:t>1.2掌握计算机、电子、信息、通信、测控及其它工程基础知识，并有效将其应用于电子信息领域工程问题的软硬件分析与设计</w:t>
            </w:r>
            <w:r>
              <w:rPr>
                <w:szCs w:val="21"/>
              </w:rPr>
              <w:t>。</w:t>
            </w:r>
          </w:p>
        </w:tc>
        <w:tc>
          <w:tcPr>
            <w:tcW w:w="689" w:type="dxa"/>
            <w:vAlign w:val="center"/>
          </w:tcPr>
          <w:p>
            <w:pPr>
              <w:adjustRightInd w:val="0"/>
              <w:snapToGrid w:val="0"/>
              <w:spacing w:line="300" w:lineRule="auto"/>
              <w:ind w:firstLine="90" w:firstLineChars="50"/>
              <w:rPr>
                <w:sz w:val="18"/>
                <w:szCs w:val="18"/>
              </w:rPr>
            </w:pPr>
            <w:r>
              <w:rPr>
                <w:sz w:val="18"/>
                <w:szCs w:val="18"/>
              </w:rPr>
              <w:t>1</w:t>
            </w:r>
          </w:p>
        </w:tc>
        <w:tc>
          <w:tcPr>
            <w:tcW w:w="656" w:type="dxa"/>
            <w:vAlign w:val="center"/>
          </w:tcPr>
          <w:p>
            <w:pPr>
              <w:adjustRightInd w:val="0"/>
              <w:snapToGrid w:val="0"/>
              <w:spacing w:line="300" w:lineRule="auto"/>
              <w:rPr>
                <w:sz w:val="18"/>
                <w:szCs w:val="18"/>
              </w:rPr>
            </w:pPr>
            <w:r>
              <w:rPr>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30" w:type="dxa"/>
            <w:vAlign w:val="center"/>
          </w:tcPr>
          <w:p>
            <w:pPr>
              <w:adjustRightInd w:val="0"/>
              <w:snapToGrid w:val="0"/>
              <w:spacing w:line="300" w:lineRule="auto"/>
              <w:rPr>
                <w:sz w:val="18"/>
                <w:szCs w:val="18"/>
              </w:rPr>
            </w:pPr>
            <w:r>
              <w:rPr>
                <w:sz w:val="18"/>
                <w:szCs w:val="18"/>
              </w:rPr>
              <w:t>4．研究</w:t>
            </w:r>
          </w:p>
        </w:tc>
        <w:tc>
          <w:tcPr>
            <w:tcW w:w="6006" w:type="dxa"/>
            <w:vAlign w:val="center"/>
          </w:tcPr>
          <w:p>
            <w:pPr>
              <w:adjustRightInd w:val="0"/>
              <w:snapToGrid w:val="0"/>
              <w:spacing w:line="300" w:lineRule="auto"/>
              <w:rPr>
                <w:sz w:val="18"/>
                <w:szCs w:val="18"/>
              </w:rPr>
            </w:pPr>
            <w:r>
              <w:rPr>
                <w:sz w:val="18"/>
                <w:szCs w:val="18"/>
              </w:rPr>
              <w:t>4.2针对电子信息工程的复杂工程问题，具备选择技术路线、设计实验方案能力，并获取准确实验数据。</w:t>
            </w:r>
          </w:p>
        </w:tc>
        <w:tc>
          <w:tcPr>
            <w:tcW w:w="689" w:type="dxa"/>
            <w:vAlign w:val="center"/>
          </w:tcPr>
          <w:p>
            <w:pPr>
              <w:adjustRightInd w:val="0"/>
              <w:snapToGrid w:val="0"/>
              <w:spacing w:line="300" w:lineRule="auto"/>
              <w:ind w:firstLine="90" w:firstLineChars="50"/>
              <w:rPr>
                <w:sz w:val="18"/>
                <w:szCs w:val="18"/>
              </w:rPr>
            </w:pPr>
            <w:r>
              <w:rPr>
                <w:sz w:val="18"/>
                <w:szCs w:val="18"/>
              </w:rPr>
              <w:t>2，3</w:t>
            </w:r>
          </w:p>
        </w:tc>
        <w:tc>
          <w:tcPr>
            <w:tcW w:w="656" w:type="dxa"/>
            <w:vAlign w:val="center"/>
          </w:tcPr>
          <w:p>
            <w:pPr>
              <w:adjustRightInd w:val="0"/>
              <w:snapToGrid w:val="0"/>
              <w:spacing w:line="300" w:lineRule="auto"/>
              <w:rPr>
                <w:sz w:val="18"/>
                <w:szCs w:val="18"/>
              </w:rPr>
            </w:pPr>
            <w:r>
              <w:rPr>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vAlign w:val="center"/>
          </w:tcPr>
          <w:p>
            <w:pPr>
              <w:adjustRightInd w:val="0"/>
              <w:snapToGrid w:val="0"/>
              <w:spacing w:line="300" w:lineRule="auto"/>
              <w:rPr>
                <w:sz w:val="18"/>
                <w:szCs w:val="18"/>
              </w:rPr>
            </w:pPr>
            <w:r>
              <w:rPr>
                <w:sz w:val="18"/>
                <w:szCs w:val="18"/>
              </w:rPr>
              <w:t>12．终身学习</w:t>
            </w:r>
          </w:p>
        </w:tc>
        <w:tc>
          <w:tcPr>
            <w:tcW w:w="6006" w:type="dxa"/>
            <w:vAlign w:val="center"/>
          </w:tcPr>
          <w:p>
            <w:pPr>
              <w:adjustRightInd w:val="0"/>
              <w:snapToGrid w:val="0"/>
              <w:spacing w:line="300" w:lineRule="auto"/>
              <w:rPr>
                <w:sz w:val="18"/>
                <w:szCs w:val="18"/>
              </w:rPr>
            </w:pPr>
            <w:r>
              <w:rPr>
                <w:sz w:val="18"/>
                <w:szCs w:val="18"/>
              </w:rPr>
              <w:t>12.1具有自主学习和终身学习的意识，掌握拓展知识和能力的基本方法和途径。</w:t>
            </w:r>
          </w:p>
        </w:tc>
        <w:tc>
          <w:tcPr>
            <w:tcW w:w="689" w:type="dxa"/>
            <w:vAlign w:val="center"/>
          </w:tcPr>
          <w:p>
            <w:pPr>
              <w:adjustRightInd w:val="0"/>
              <w:snapToGrid w:val="0"/>
              <w:spacing w:line="300" w:lineRule="auto"/>
              <w:rPr>
                <w:sz w:val="18"/>
                <w:szCs w:val="18"/>
              </w:rPr>
            </w:pPr>
            <w:r>
              <w:rPr>
                <w:sz w:val="18"/>
                <w:szCs w:val="18"/>
              </w:rPr>
              <w:t xml:space="preserve"> 4</w:t>
            </w:r>
          </w:p>
        </w:tc>
        <w:tc>
          <w:tcPr>
            <w:tcW w:w="656" w:type="dxa"/>
            <w:vAlign w:val="center"/>
          </w:tcPr>
          <w:p>
            <w:pPr>
              <w:adjustRightInd w:val="0"/>
              <w:snapToGrid w:val="0"/>
              <w:spacing w:line="300" w:lineRule="auto"/>
              <w:rPr>
                <w:sz w:val="18"/>
                <w:szCs w:val="18"/>
              </w:rPr>
            </w:pPr>
            <w:r>
              <w:rPr>
                <w:sz w:val="18"/>
                <w:szCs w:val="18"/>
              </w:rPr>
              <w:t>0.25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239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w:t>
            </w:r>
            <w:r>
              <w:rPr>
                <w:sz w:val="18"/>
                <w:szCs w:val="18"/>
              </w:rPr>
              <w:t>．</w:t>
            </w:r>
            <w:r>
              <w:rPr>
                <w:sz w:val="18"/>
                <w:szCs w:val="18"/>
                <w:shd w:val="clear" w:color="auto" w:fill="FEFEFF"/>
              </w:rPr>
              <w:t>通过对本课程的学习要求掌握微型计算机的基本概念、微型计算机系统的基本结构、工作原理等基本知识；掌握微型计算机应用系统软/硬件的基本分析方法、设计的方法，为有关后续课程的学习打下较好的基础；认识用计算机系统知识解决工程问题的方法和途径。</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w:t>
            </w:r>
            <w:r>
              <w:rPr>
                <w:rFonts w:hint="eastAsia"/>
                <w:sz w:val="18"/>
                <w:szCs w:val="18"/>
                <w:shd w:val="clear" w:color="auto" w:fill="FEFEFF"/>
              </w:rPr>
              <w:t>、实验动手能力</w:t>
            </w:r>
            <w:r>
              <w:rPr>
                <w:sz w:val="18"/>
                <w:szCs w:val="18"/>
                <w:shd w:val="clear" w:color="auto" w:fill="FEFEFF"/>
              </w:rPr>
              <w:t>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2</w:t>
            </w:r>
            <w:r>
              <w:rPr>
                <w:sz w:val="18"/>
                <w:szCs w:val="18"/>
              </w:rPr>
              <w:t>．</w:t>
            </w:r>
            <w:r>
              <w:rPr>
                <w:sz w:val="18"/>
                <w:szCs w:val="18"/>
                <w:shd w:val="clear" w:color="auto" w:fill="FEFEFF"/>
              </w:rPr>
              <w:t>熟悉常用微型计算机应用系统的设计/开发解决方案、设计技术，常用可编程接口芯片的硬件接口设计和接口软件设计以及微机系统的调试方法。</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w:t>
            </w:r>
            <w:r>
              <w:rPr>
                <w:rFonts w:hint="eastAsia"/>
                <w:sz w:val="18"/>
                <w:szCs w:val="18"/>
                <w:shd w:val="clear" w:color="auto" w:fill="FEFEFF"/>
              </w:rPr>
              <w:t>实验</w:t>
            </w:r>
            <w:r>
              <w:rPr>
                <w:sz w:val="18"/>
                <w:szCs w:val="18"/>
                <w:shd w:val="clear" w:color="auto" w:fill="FEFEFF"/>
              </w:rPr>
              <w:t>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3．能够对复杂工程问题进行分析并研究使用计算机设计解决方案，获得有效的实验数据。</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实验、作业</w:t>
            </w:r>
            <w:r>
              <w:rPr>
                <w:rFonts w:hint="eastAsia"/>
                <w:sz w:val="18"/>
                <w:szCs w:val="18"/>
                <w:shd w:val="clear" w:color="auto" w:fill="FEFEFF"/>
              </w:rPr>
              <w:t>课程实习</w:t>
            </w:r>
            <w:r>
              <w:rPr>
                <w:sz w:val="18"/>
                <w:szCs w:val="18"/>
                <w:shd w:val="clear" w:color="auto" w:fill="FEFEFF"/>
              </w:rPr>
              <w:t>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w:t>
            </w:r>
            <w:r>
              <w:rPr>
                <w:rFonts w:hint="eastAsia"/>
                <w:sz w:val="18"/>
                <w:szCs w:val="18"/>
                <w:shd w:val="clear" w:color="auto" w:fill="FEFEFF"/>
              </w:rPr>
              <w:t>设计</w:t>
            </w:r>
            <w:r>
              <w:rPr>
                <w:sz w:val="18"/>
                <w:szCs w:val="18"/>
                <w:shd w:val="clear" w:color="auto" w:fill="FEFEFF"/>
              </w:rPr>
              <w:t>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4</w:t>
            </w:r>
            <w:r>
              <w:rPr>
                <w:sz w:val="18"/>
                <w:szCs w:val="18"/>
              </w:rPr>
              <w:t>．</w:t>
            </w:r>
            <w:r>
              <w:rPr>
                <w:sz w:val="18"/>
                <w:szCs w:val="18"/>
                <w:shd w:val="clear" w:color="auto" w:fill="FEFEFF"/>
              </w:rPr>
              <w:t>开阔对于微型计算机应用的新技术、新体系结构的认识，研究微机应用系统设计技术及新技术、新系统，培养终身学习的能力和习惯。</w:t>
            </w:r>
          </w:p>
        </w:tc>
        <w:tc>
          <w:tcPr>
            <w:tcW w:w="2394"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研究</w:t>
            </w:r>
            <w:r>
              <w:rPr>
                <w:sz w:val="18"/>
                <w:szCs w:val="18"/>
                <w:shd w:val="clear" w:color="auto" w:fill="FEFEFF"/>
              </w:rPr>
              <w:t>报告</w:t>
            </w:r>
            <w:r>
              <w:rPr>
                <w:rFonts w:hint="eastAsia"/>
                <w:sz w:val="18"/>
                <w:szCs w:val="18"/>
                <w:shd w:val="clear" w:color="auto" w:fill="FEFEFF"/>
              </w:rPr>
              <w:t>等</w:t>
            </w:r>
            <w:r>
              <w:rPr>
                <w:sz w:val="18"/>
                <w:szCs w:val="18"/>
                <w:shd w:val="clear" w:color="auto" w:fill="FEFEFF"/>
              </w:rPr>
              <w:t>。</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jc w:val="left"/>
        <w:rPr>
          <w:szCs w:val="21"/>
        </w:rPr>
      </w:pPr>
      <w:r>
        <w:rPr>
          <w:szCs w:val="21"/>
        </w:rPr>
        <w:t>本课程教学内容要从学生的学习、认识规律出发，一切以学生为中心地组织内容和学习过程，把抽象的计算机体系结构、工作原理和工作过程通过由浅入深、由表及里的螺旋式推进过程展现出来，并引导学生直观地认识、理解所学内容；同时要结合具体的学时数合理地安排、组织教学内容，切忌填鸭式、死记硬背式的不求甚解的教与学方式。在教学理念、教学方法和教学过程中要</w:t>
      </w:r>
      <w:r>
        <w:rPr>
          <w:rFonts w:hint="eastAsia"/>
          <w:szCs w:val="21"/>
        </w:rPr>
        <w:t>自始至终</w:t>
      </w:r>
      <w:r>
        <w:rPr>
          <w:szCs w:val="21"/>
        </w:rPr>
        <w:t>体现该门课程的特点，即注重理解、注重实践和应用广泛。同时也要从学生的具体情况出发，把抽象的微型计算机概念、工作原理、工作过程、分析方法、设计过程和应用方法通过具体、直观的讲解以帮助学生全面、直观地认识它们，帮助学生克服畏难情绪以树立科学的学习精神和信心，通过安排学生动手实验培养和锻炼学生分析具体工程问题和有关工业标准的能力，理解汇编语言程序设计的原理和过程、汇编程序执行过程和方法、程序调试技术，微型计算机接口技术以及应用计算机技术解决实际工程问题的综合能力，还要体现飞速发展的计算机新体系结构、新技术标准、新产品对当今时代的影响，培养学生良好的学习习惯、学习方法以及继续学习、自主学习和终生学习的习惯和素养，达到提高学生微型计算机应用能力的综合要求。具体要求见表3。</w:t>
      </w:r>
    </w:p>
    <w:p>
      <w:pPr>
        <w:snapToGrid w:val="0"/>
        <w:spacing w:before="156" w:beforeLines="50" w:line="300" w:lineRule="auto"/>
        <w:ind w:firstLine="3104" w:firstLineChars="1718"/>
        <w:rPr>
          <w:b/>
          <w:sz w:val="18"/>
          <w:szCs w:val="18"/>
        </w:rPr>
      </w:pPr>
      <w:r>
        <w:rPr>
          <w:b/>
          <w:sz w:val="18"/>
          <w:szCs w:val="18"/>
        </w:rPr>
        <w:t>表3教学内容与教学要求要求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2518"/>
        <w:gridCol w:w="3807"/>
        <w:gridCol w:w="734"/>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91"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518" w:type="dxa"/>
            <w:vAlign w:val="center"/>
          </w:tcPr>
          <w:p>
            <w:pPr>
              <w:snapToGrid w:val="0"/>
              <w:spacing w:line="300" w:lineRule="auto"/>
              <w:ind w:firstLine="361" w:firstLineChars="200"/>
              <w:rPr>
                <w:b/>
                <w:bCs/>
                <w:sz w:val="18"/>
                <w:szCs w:val="18"/>
              </w:rPr>
            </w:pPr>
            <w:r>
              <w:rPr>
                <w:b/>
                <w:bCs/>
                <w:sz w:val="18"/>
                <w:szCs w:val="18"/>
              </w:rPr>
              <w:t>教学内容</w:t>
            </w:r>
          </w:p>
        </w:tc>
        <w:tc>
          <w:tcPr>
            <w:tcW w:w="3807"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34" w:type="dxa"/>
            <w:vAlign w:val="center"/>
          </w:tcPr>
          <w:p>
            <w:pPr>
              <w:snapToGrid w:val="0"/>
              <w:spacing w:line="300" w:lineRule="auto"/>
              <w:jc w:val="center"/>
              <w:rPr>
                <w:b/>
                <w:bCs/>
                <w:sz w:val="18"/>
                <w:szCs w:val="18"/>
              </w:rPr>
            </w:pPr>
            <w:r>
              <w:rPr>
                <w:b/>
                <w:bCs/>
                <w:sz w:val="18"/>
                <w:szCs w:val="18"/>
              </w:rPr>
              <w:t>学时</w:t>
            </w:r>
          </w:p>
        </w:tc>
        <w:tc>
          <w:tcPr>
            <w:tcW w:w="1031"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1</w:t>
            </w:r>
          </w:p>
        </w:tc>
        <w:tc>
          <w:tcPr>
            <w:tcW w:w="2518" w:type="dxa"/>
            <w:vAlign w:val="center"/>
          </w:tcPr>
          <w:p>
            <w:pPr>
              <w:snapToGrid w:val="0"/>
              <w:spacing w:line="300" w:lineRule="auto"/>
              <w:rPr>
                <w:sz w:val="18"/>
                <w:szCs w:val="18"/>
              </w:rPr>
            </w:pPr>
            <w:r>
              <w:rPr>
                <w:sz w:val="18"/>
                <w:szCs w:val="18"/>
              </w:rPr>
              <w:t>分章节详细阐明主要教学内容或教学活动，体现和说明授课进度编排的逻辑关系，使学生对课程有一个全面、概略性的了解</w:t>
            </w:r>
          </w:p>
          <w:p>
            <w:pPr>
              <w:snapToGrid w:val="0"/>
              <w:spacing w:line="300" w:lineRule="auto"/>
              <w:rPr>
                <w:sz w:val="18"/>
                <w:szCs w:val="18"/>
              </w:rPr>
            </w:pPr>
            <w:r>
              <w:rPr>
                <w:sz w:val="18"/>
                <w:szCs w:val="18"/>
              </w:rPr>
              <w:t xml:space="preserve">第1章  计算机基础知识   </w:t>
            </w:r>
          </w:p>
          <w:p>
            <w:pPr>
              <w:snapToGrid w:val="0"/>
              <w:spacing w:line="300" w:lineRule="auto"/>
              <w:rPr>
                <w:sz w:val="18"/>
                <w:szCs w:val="18"/>
              </w:rPr>
            </w:pPr>
            <w:r>
              <w:rPr>
                <w:sz w:val="18"/>
                <w:szCs w:val="18"/>
              </w:rPr>
              <w:t xml:space="preserve"> 1.1 数制 ：二进制数、十六进制数、十进制数及其转换</w:t>
            </w:r>
          </w:p>
          <w:p>
            <w:pPr>
              <w:snapToGrid w:val="0"/>
              <w:spacing w:line="300" w:lineRule="auto"/>
              <w:rPr>
                <w:sz w:val="18"/>
                <w:szCs w:val="18"/>
              </w:rPr>
            </w:pPr>
            <w:r>
              <w:rPr>
                <w:sz w:val="18"/>
                <w:szCs w:val="18"/>
              </w:rPr>
              <w:t xml:space="preserve"> 1.2 逻辑电路 ：与、或、非、与非、或非、异或等    </w:t>
            </w:r>
          </w:p>
          <w:p>
            <w:pPr>
              <w:snapToGrid w:val="0"/>
              <w:spacing w:line="300" w:lineRule="auto"/>
              <w:rPr>
                <w:sz w:val="18"/>
                <w:szCs w:val="18"/>
              </w:rPr>
            </w:pPr>
            <w:r>
              <w:rPr>
                <w:sz w:val="18"/>
                <w:szCs w:val="18"/>
              </w:rPr>
              <w:t xml:space="preserve"> 1.3 布尔代数：逻辑运算     </w:t>
            </w:r>
          </w:p>
          <w:p>
            <w:pPr>
              <w:snapToGrid w:val="0"/>
              <w:spacing w:line="300" w:lineRule="auto"/>
              <w:rPr>
                <w:sz w:val="18"/>
                <w:szCs w:val="18"/>
              </w:rPr>
            </w:pPr>
            <w:r>
              <w:rPr>
                <w:sz w:val="18"/>
                <w:szCs w:val="18"/>
              </w:rPr>
              <w:t xml:space="preserve"> 1.4 二进制数的运算及加法电路：运算规则、电路实现等</w:t>
            </w:r>
          </w:p>
        </w:tc>
        <w:tc>
          <w:tcPr>
            <w:tcW w:w="3807" w:type="dxa"/>
          </w:tcPr>
          <w:p>
            <w:pPr>
              <w:snapToGrid w:val="0"/>
              <w:spacing w:line="300" w:lineRule="auto"/>
              <w:rPr>
                <w:sz w:val="18"/>
                <w:szCs w:val="18"/>
              </w:rPr>
            </w:pPr>
            <w:r>
              <w:rPr>
                <w:sz w:val="18"/>
                <w:szCs w:val="18"/>
              </w:rPr>
              <w:t>阐明主要教学重点和难点，知识和能力目标达成的教学方法，授课进度，测验考试作业安排，基本教学要求</w:t>
            </w:r>
          </w:p>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主要教学重点和难点：数制、逻辑电路、布尔代数、原码、反码、补码</w:t>
            </w:r>
          </w:p>
          <w:p>
            <w:pPr>
              <w:snapToGrid w:val="0"/>
              <w:spacing w:line="300" w:lineRule="auto"/>
              <w:rPr>
                <w:sz w:val="18"/>
                <w:szCs w:val="18"/>
              </w:rPr>
            </w:pPr>
            <w:r>
              <w:rPr>
                <w:sz w:val="18"/>
                <w:szCs w:val="18"/>
              </w:rPr>
              <w:t>（1）教学方法：讲授式、讨论式、启发式。</w:t>
            </w:r>
          </w:p>
          <w:p>
            <w:pPr>
              <w:snapToGrid w:val="0"/>
              <w:spacing w:line="300" w:lineRule="auto"/>
              <w:rPr>
                <w:sz w:val="18"/>
                <w:szCs w:val="18"/>
              </w:rPr>
            </w:pPr>
            <w:r>
              <w:rPr>
                <w:sz w:val="18"/>
                <w:szCs w:val="18"/>
              </w:rPr>
              <w:t>（2）教学手段：板书、多媒体。</w:t>
            </w:r>
          </w:p>
          <w:p>
            <w:pPr>
              <w:snapToGrid w:val="0"/>
              <w:spacing w:line="300" w:lineRule="auto"/>
              <w:rPr>
                <w:sz w:val="18"/>
                <w:szCs w:val="18"/>
              </w:rPr>
            </w:pPr>
            <w:r>
              <w:rPr>
                <w:sz w:val="18"/>
                <w:szCs w:val="18"/>
              </w:rPr>
              <w:t>（3）教学要求：</w:t>
            </w:r>
          </w:p>
          <w:p>
            <w:pPr>
              <w:snapToGrid w:val="0"/>
              <w:spacing w:line="300" w:lineRule="auto"/>
              <w:rPr>
                <w:sz w:val="18"/>
                <w:szCs w:val="18"/>
              </w:rPr>
            </w:pPr>
            <w:r>
              <w:rPr>
                <w:sz w:val="18"/>
                <w:szCs w:val="18"/>
              </w:rPr>
              <w:t>1)了解：微处理器的发展历史。</w:t>
            </w:r>
          </w:p>
          <w:p>
            <w:pPr>
              <w:snapToGrid w:val="0"/>
              <w:spacing w:line="300" w:lineRule="auto"/>
              <w:rPr>
                <w:sz w:val="18"/>
                <w:szCs w:val="18"/>
              </w:rPr>
            </w:pPr>
            <w:r>
              <w:rPr>
                <w:sz w:val="18"/>
                <w:szCs w:val="18"/>
              </w:rPr>
              <w:t>2)理解：二进制数的运算及加法电路。</w:t>
            </w:r>
          </w:p>
          <w:p>
            <w:pPr>
              <w:snapToGrid w:val="0"/>
              <w:spacing w:line="300" w:lineRule="auto"/>
              <w:rPr>
                <w:sz w:val="18"/>
                <w:szCs w:val="18"/>
              </w:rPr>
            </w:pPr>
            <w:r>
              <w:rPr>
                <w:sz w:val="18"/>
                <w:szCs w:val="18"/>
              </w:rPr>
              <w:t>3)掌握：数制、逻辑电路、布尔代数、原码、反码、补码</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（1）复习第1章内容；</w:t>
            </w:r>
          </w:p>
          <w:p>
            <w:pPr>
              <w:snapToGrid w:val="0"/>
              <w:spacing w:line="300" w:lineRule="auto"/>
              <w:rPr>
                <w:sz w:val="18"/>
                <w:szCs w:val="18"/>
              </w:rPr>
            </w:pPr>
            <w:r>
              <w:rPr>
                <w:sz w:val="18"/>
                <w:szCs w:val="18"/>
              </w:rPr>
              <w:t>（2）完成教材第1章作业。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tc>
        <w:tc>
          <w:tcPr>
            <w:tcW w:w="734" w:type="dxa"/>
            <w:vAlign w:val="center"/>
          </w:tcPr>
          <w:p>
            <w:pPr>
              <w:snapToGrid w:val="0"/>
              <w:spacing w:line="300" w:lineRule="auto"/>
              <w:jc w:val="center"/>
              <w:rPr>
                <w:sz w:val="18"/>
                <w:szCs w:val="18"/>
              </w:rPr>
            </w:pPr>
            <w:r>
              <w:rPr>
                <w:sz w:val="18"/>
                <w:szCs w:val="18"/>
              </w:rPr>
              <w:t>2</w:t>
            </w:r>
          </w:p>
        </w:tc>
        <w:tc>
          <w:tcPr>
            <w:tcW w:w="1031"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2</w:t>
            </w:r>
          </w:p>
        </w:tc>
        <w:tc>
          <w:tcPr>
            <w:tcW w:w="2518" w:type="dxa"/>
            <w:vAlign w:val="center"/>
          </w:tcPr>
          <w:p>
            <w:pPr>
              <w:snapToGrid w:val="0"/>
              <w:spacing w:line="300" w:lineRule="auto"/>
              <w:rPr>
                <w:sz w:val="18"/>
                <w:szCs w:val="18"/>
              </w:rPr>
            </w:pPr>
            <w:r>
              <w:rPr>
                <w:sz w:val="18"/>
                <w:szCs w:val="18"/>
              </w:rPr>
              <w:t>第2章 微型计算机的基本组成电路</w:t>
            </w:r>
          </w:p>
          <w:p>
            <w:pPr>
              <w:snapToGrid w:val="0"/>
              <w:spacing w:line="300" w:lineRule="auto"/>
              <w:rPr>
                <w:sz w:val="18"/>
                <w:szCs w:val="18"/>
              </w:rPr>
            </w:pPr>
            <w:r>
              <w:rPr>
                <w:sz w:val="18"/>
                <w:szCs w:val="18"/>
              </w:rPr>
              <w:t xml:space="preserve"> 2.1  算术逻辑单元：ALU      </w:t>
            </w:r>
          </w:p>
          <w:p>
            <w:pPr>
              <w:snapToGrid w:val="0"/>
              <w:spacing w:line="300" w:lineRule="auto"/>
              <w:rPr>
                <w:sz w:val="18"/>
                <w:szCs w:val="18"/>
              </w:rPr>
            </w:pPr>
            <w:r>
              <w:rPr>
                <w:sz w:val="18"/>
                <w:szCs w:val="18"/>
              </w:rPr>
              <w:t xml:space="preserve"> 2.2  触发器            </w:t>
            </w:r>
          </w:p>
          <w:p>
            <w:pPr>
              <w:snapToGrid w:val="0"/>
              <w:spacing w:line="300" w:lineRule="auto"/>
              <w:rPr>
                <w:sz w:val="18"/>
                <w:szCs w:val="18"/>
              </w:rPr>
            </w:pPr>
            <w:r>
              <w:rPr>
                <w:sz w:val="18"/>
                <w:szCs w:val="18"/>
              </w:rPr>
              <w:t xml:space="preserve"> 2.3  寄存器 ：缓冲寄存器、移位寄存器、计数器、累加器</w:t>
            </w:r>
          </w:p>
          <w:p>
            <w:pPr>
              <w:snapToGrid w:val="0"/>
              <w:spacing w:line="300" w:lineRule="auto"/>
              <w:rPr>
                <w:sz w:val="18"/>
                <w:szCs w:val="18"/>
              </w:rPr>
            </w:pPr>
            <w:r>
              <w:rPr>
                <w:sz w:val="18"/>
                <w:szCs w:val="18"/>
              </w:rPr>
              <w:t xml:space="preserve"> 2.4  三态输出电路：三态门      </w:t>
            </w:r>
          </w:p>
          <w:p>
            <w:pPr>
              <w:snapToGrid w:val="0"/>
              <w:spacing w:line="300" w:lineRule="auto"/>
              <w:rPr>
                <w:sz w:val="18"/>
                <w:szCs w:val="18"/>
              </w:rPr>
            </w:pPr>
            <w:r>
              <w:rPr>
                <w:sz w:val="18"/>
                <w:szCs w:val="18"/>
              </w:rPr>
              <w:t xml:space="preserve"> 2.5  总线结构 </w:t>
            </w:r>
          </w:p>
          <w:p>
            <w:pPr>
              <w:snapToGrid w:val="0"/>
              <w:spacing w:line="300" w:lineRule="auto"/>
              <w:ind w:firstLine="90" w:firstLineChars="50"/>
              <w:rPr>
                <w:sz w:val="18"/>
                <w:szCs w:val="18"/>
              </w:rPr>
            </w:pPr>
            <w:r>
              <w:rPr>
                <w:sz w:val="18"/>
                <w:szCs w:val="18"/>
              </w:rPr>
              <w:t>2.6  译码器</w:t>
            </w:r>
          </w:p>
          <w:p>
            <w:pPr>
              <w:snapToGrid w:val="0"/>
              <w:spacing w:line="300" w:lineRule="auto"/>
              <w:rPr>
                <w:sz w:val="18"/>
                <w:szCs w:val="18"/>
              </w:rPr>
            </w:pPr>
            <w:r>
              <w:rPr>
                <w:sz w:val="18"/>
                <w:szCs w:val="18"/>
              </w:rPr>
              <w:t xml:space="preserve"> 2.7  存储器 ：只读存储器、随机存储器</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（1）了解：只读存储器、随机存储器。</w:t>
            </w:r>
          </w:p>
          <w:p>
            <w:pPr>
              <w:snapToGrid w:val="0"/>
              <w:spacing w:line="300" w:lineRule="auto"/>
              <w:ind w:firstLine="90" w:firstLineChars="50"/>
              <w:rPr>
                <w:sz w:val="18"/>
                <w:szCs w:val="18"/>
              </w:rPr>
            </w:pPr>
            <w:r>
              <w:rPr>
                <w:sz w:val="18"/>
                <w:szCs w:val="18"/>
              </w:rPr>
              <w:t>(2）理解：触发器、算术逻辑单元、寄存器、三态输出电路、译码器、总线结构、存储器</w:t>
            </w:r>
          </w:p>
          <w:p>
            <w:pPr>
              <w:snapToGrid w:val="0"/>
              <w:spacing w:line="300" w:lineRule="auto"/>
              <w:ind w:firstLine="90" w:firstLineChars="50"/>
              <w:rPr>
                <w:sz w:val="18"/>
                <w:szCs w:val="18"/>
              </w:rPr>
            </w:pPr>
            <w:r>
              <w:rPr>
                <w:sz w:val="18"/>
                <w:szCs w:val="18"/>
              </w:rPr>
              <w:t>2.作业内容</w:t>
            </w:r>
          </w:p>
          <w:p>
            <w:pPr>
              <w:snapToGrid w:val="0"/>
              <w:spacing w:line="300" w:lineRule="auto"/>
              <w:rPr>
                <w:sz w:val="18"/>
                <w:szCs w:val="18"/>
              </w:rPr>
            </w:pPr>
            <w:r>
              <w:rPr>
                <w:sz w:val="18"/>
                <w:szCs w:val="18"/>
              </w:rPr>
              <w:t>（1）复习第2章内容；</w:t>
            </w:r>
          </w:p>
          <w:p>
            <w:pPr>
              <w:snapToGrid w:val="0"/>
              <w:spacing w:line="300" w:lineRule="auto"/>
              <w:rPr>
                <w:sz w:val="18"/>
                <w:szCs w:val="18"/>
              </w:rPr>
            </w:pPr>
            <w:r>
              <w:rPr>
                <w:sz w:val="18"/>
                <w:szCs w:val="18"/>
              </w:rPr>
              <w:t>（2）完成教材第2章作业。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案例2:总线的结构</w:t>
            </w:r>
          </w:p>
        </w:tc>
        <w:tc>
          <w:tcPr>
            <w:tcW w:w="734" w:type="dxa"/>
            <w:vAlign w:val="center"/>
          </w:tcPr>
          <w:p>
            <w:pPr>
              <w:snapToGrid w:val="0"/>
              <w:spacing w:line="300" w:lineRule="auto"/>
              <w:jc w:val="center"/>
              <w:rPr>
                <w:sz w:val="18"/>
                <w:szCs w:val="18"/>
              </w:rPr>
            </w:pPr>
            <w:r>
              <w:rPr>
                <w:sz w:val="18"/>
                <w:szCs w:val="18"/>
              </w:rPr>
              <w:t>2</w:t>
            </w:r>
          </w:p>
        </w:tc>
        <w:tc>
          <w:tcPr>
            <w:tcW w:w="1031"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3</w:t>
            </w:r>
          </w:p>
        </w:tc>
        <w:tc>
          <w:tcPr>
            <w:tcW w:w="2518" w:type="dxa"/>
            <w:vAlign w:val="center"/>
          </w:tcPr>
          <w:p>
            <w:pPr>
              <w:snapToGrid w:val="0"/>
              <w:spacing w:line="300" w:lineRule="auto"/>
              <w:rPr>
                <w:sz w:val="18"/>
                <w:szCs w:val="18"/>
              </w:rPr>
            </w:pPr>
            <w:r>
              <w:rPr>
                <w:sz w:val="18"/>
                <w:szCs w:val="18"/>
              </w:rPr>
              <w:t xml:space="preserve">第3章  微型计算机的基本工作原理   </w:t>
            </w:r>
          </w:p>
          <w:p>
            <w:pPr>
              <w:snapToGrid w:val="0"/>
              <w:spacing w:line="300" w:lineRule="auto"/>
              <w:rPr>
                <w:sz w:val="18"/>
                <w:szCs w:val="18"/>
              </w:rPr>
            </w:pPr>
            <w:r>
              <w:rPr>
                <w:sz w:val="18"/>
                <w:szCs w:val="18"/>
              </w:rPr>
              <w:t xml:space="preserve">3.1  微型计算机结构的简化形式   </w:t>
            </w:r>
          </w:p>
          <w:p>
            <w:pPr>
              <w:snapToGrid w:val="0"/>
              <w:spacing w:line="300" w:lineRule="auto"/>
              <w:rPr>
                <w:sz w:val="18"/>
                <w:szCs w:val="18"/>
              </w:rPr>
            </w:pPr>
            <w:r>
              <w:rPr>
                <w:sz w:val="18"/>
                <w:szCs w:val="18"/>
              </w:rPr>
              <w:t xml:space="preserve">3.2  指令系统                   </w:t>
            </w:r>
          </w:p>
          <w:p>
            <w:pPr>
              <w:snapToGrid w:val="0"/>
              <w:spacing w:line="300" w:lineRule="auto"/>
              <w:rPr>
                <w:sz w:val="18"/>
                <w:szCs w:val="18"/>
              </w:rPr>
            </w:pPr>
            <w:r>
              <w:rPr>
                <w:sz w:val="18"/>
                <w:szCs w:val="18"/>
              </w:rPr>
              <w:t>3.3  程序设计</w:t>
            </w:r>
          </w:p>
          <w:p>
            <w:pPr>
              <w:snapToGrid w:val="0"/>
              <w:spacing w:line="300" w:lineRule="auto"/>
              <w:rPr>
                <w:sz w:val="18"/>
                <w:szCs w:val="18"/>
              </w:rPr>
            </w:pPr>
            <w:r>
              <w:rPr>
                <w:sz w:val="18"/>
                <w:szCs w:val="18"/>
              </w:rPr>
              <w:t xml:space="preserve">3.4  执行指令的例行程序         </w:t>
            </w:r>
          </w:p>
          <w:p>
            <w:pPr>
              <w:snapToGrid w:val="0"/>
              <w:spacing w:line="300" w:lineRule="auto"/>
              <w:rPr>
                <w:sz w:val="18"/>
                <w:szCs w:val="18"/>
              </w:rPr>
            </w:pPr>
            <w:r>
              <w:rPr>
                <w:sz w:val="18"/>
                <w:szCs w:val="18"/>
              </w:rPr>
              <w:t xml:space="preserve">3.5  控制部件                   </w:t>
            </w:r>
          </w:p>
          <w:p>
            <w:pPr>
              <w:snapToGrid w:val="0"/>
              <w:spacing w:line="300" w:lineRule="auto"/>
              <w:rPr>
                <w:sz w:val="18"/>
                <w:szCs w:val="18"/>
              </w:rPr>
            </w:pPr>
            <w:r>
              <w:rPr>
                <w:sz w:val="18"/>
                <w:szCs w:val="18"/>
              </w:rPr>
              <w:t xml:space="preserve">3.6  微型计算机功能的扩展       </w:t>
            </w:r>
          </w:p>
          <w:p>
            <w:pPr>
              <w:snapToGrid w:val="0"/>
              <w:spacing w:line="300" w:lineRule="auto"/>
              <w:rPr>
                <w:sz w:val="18"/>
                <w:szCs w:val="18"/>
              </w:rPr>
            </w:pPr>
            <w:r>
              <w:rPr>
                <w:sz w:val="18"/>
                <w:szCs w:val="18"/>
              </w:rPr>
              <w:t xml:space="preserve">3.7  初级程序设计举例           </w:t>
            </w:r>
          </w:p>
          <w:p>
            <w:pPr>
              <w:snapToGrid w:val="0"/>
              <w:spacing w:line="300" w:lineRule="auto"/>
              <w:rPr>
                <w:sz w:val="18"/>
                <w:szCs w:val="18"/>
              </w:rPr>
            </w:pPr>
            <w:r>
              <w:rPr>
                <w:sz w:val="18"/>
                <w:szCs w:val="18"/>
              </w:rPr>
              <w:t xml:space="preserve"> 3.8  控制部件的扩展             </w:t>
            </w:r>
          </w:p>
          <w:p>
            <w:pPr>
              <w:snapToGrid w:val="0"/>
              <w:spacing w:line="300" w:lineRule="auto"/>
              <w:rPr>
                <w:sz w:val="18"/>
                <w:szCs w:val="18"/>
              </w:rPr>
            </w:pPr>
            <w:r>
              <w:rPr>
                <w:sz w:val="18"/>
                <w:szCs w:val="18"/>
              </w:rPr>
              <w:t xml:space="preserve"> 3.9  现代技术在微型计算机中的应用</w:t>
            </w:r>
          </w:p>
          <w:p>
            <w:pPr>
              <w:snapToGrid w:val="0"/>
              <w:spacing w:line="300" w:lineRule="auto"/>
              <w:rPr>
                <w:b/>
                <w:sz w:val="18"/>
                <w:szCs w:val="18"/>
              </w:rPr>
            </w:pPr>
            <w:r>
              <w:rPr>
                <w:sz w:val="18"/>
                <w:szCs w:val="18"/>
              </w:rPr>
              <w:t xml:space="preserve">   </w:t>
            </w:r>
            <w:r>
              <w:rPr>
                <w:b/>
                <w:sz w:val="18"/>
                <w:szCs w:val="18"/>
              </w:rPr>
              <w:t>介绍微处理器的发展历史部分还可介绍中科院计算所设计开发的国产微处理器龙芯系列产品，以及银河系列、曙光系列大型、巨型计算机在我国从无到有的发展历程。</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 微型计算机能运算、能判别、能决策及运行速度快。</w:t>
            </w:r>
          </w:p>
          <w:p>
            <w:pPr>
              <w:snapToGrid w:val="0"/>
              <w:spacing w:line="300" w:lineRule="auto"/>
              <w:rPr>
                <w:sz w:val="18"/>
                <w:szCs w:val="18"/>
              </w:rPr>
            </w:pPr>
            <w:r>
              <w:rPr>
                <w:sz w:val="18"/>
                <w:szCs w:val="18"/>
              </w:rPr>
              <w:t>2）理解: 微型计算机结构的简化形式、执行指令的例行程序、控制部件、微型计算机功能的扩展、初级程序设计、控制部件的扩展、现代技术在微型计算机中的应用。</w:t>
            </w:r>
          </w:p>
          <w:p>
            <w:pPr>
              <w:snapToGrid w:val="0"/>
              <w:spacing w:line="300" w:lineRule="auto"/>
              <w:rPr>
                <w:sz w:val="18"/>
                <w:szCs w:val="18"/>
              </w:rPr>
            </w:pPr>
            <w:r>
              <w:rPr>
                <w:sz w:val="18"/>
                <w:szCs w:val="18"/>
              </w:rPr>
              <w:t>3）掌握: 指令系统、程序设计。</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（1）复习第3章内容；</w:t>
            </w:r>
          </w:p>
          <w:p>
            <w:pPr>
              <w:snapToGrid w:val="0"/>
              <w:spacing w:line="300" w:lineRule="auto"/>
              <w:rPr>
                <w:sz w:val="18"/>
                <w:szCs w:val="18"/>
              </w:rPr>
            </w:pPr>
            <w:r>
              <w:rPr>
                <w:sz w:val="18"/>
                <w:szCs w:val="18"/>
              </w:rPr>
              <w:t>（2）完成教材第3章作业。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tc>
        <w:tc>
          <w:tcPr>
            <w:tcW w:w="734" w:type="dxa"/>
            <w:vAlign w:val="center"/>
          </w:tcPr>
          <w:p>
            <w:pPr>
              <w:snapToGrid w:val="0"/>
              <w:spacing w:line="300" w:lineRule="auto"/>
              <w:jc w:val="center"/>
              <w:rPr>
                <w:sz w:val="18"/>
                <w:szCs w:val="18"/>
              </w:rPr>
            </w:pPr>
            <w:r>
              <w:rPr>
                <w:sz w:val="18"/>
                <w:szCs w:val="18"/>
              </w:rPr>
              <w:t>4</w:t>
            </w:r>
          </w:p>
        </w:tc>
        <w:tc>
          <w:tcPr>
            <w:tcW w:w="1031" w:type="dxa"/>
            <w:vAlign w:val="center"/>
          </w:tcPr>
          <w:p>
            <w:pPr>
              <w:snapToGrid w:val="0"/>
              <w:spacing w:line="300" w:lineRule="auto"/>
              <w:jc w:val="center"/>
              <w:rPr>
                <w:sz w:val="18"/>
                <w:szCs w:val="18"/>
              </w:rPr>
            </w:pPr>
            <w:r>
              <w:rPr>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4</w:t>
            </w:r>
          </w:p>
        </w:tc>
        <w:tc>
          <w:tcPr>
            <w:tcW w:w="2518" w:type="dxa"/>
            <w:vAlign w:val="center"/>
          </w:tcPr>
          <w:p>
            <w:pPr>
              <w:snapToGrid w:val="0"/>
              <w:spacing w:line="300" w:lineRule="auto"/>
              <w:rPr>
                <w:sz w:val="18"/>
                <w:szCs w:val="18"/>
              </w:rPr>
            </w:pPr>
            <w:r>
              <w:rPr>
                <w:sz w:val="18"/>
                <w:szCs w:val="18"/>
              </w:rPr>
              <w:t xml:space="preserve">第4章  16位微处理器    </w:t>
            </w:r>
          </w:p>
          <w:p>
            <w:pPr>
              <w:snapToGrid w:val="0"/>
              <w:spacing w:line="300" w:lineRule="auto"/>
              <w:rPr>
                <w:sz w:val="18"/>
                <w:szCs w:val="18"/>
              </w:rPr>
            </w:pPr>
            <w:r>
              <w:rPr>
                <w:sz w:val="18"/>
                <w:szCs w:val="18"/>
              </w:rPr>
              <w:t xml:space="preserve">4.1  16位微处理器概述     </w:t>
            </w:r>
          </w:p>
          <w:p>
            <w:pPr>
              <w:snapToGrid w:val="0"/>
              <w:spacing w:line="300" w:lineRule="auto"/>
              <w:rPr>
                <w:sz w:val="18"/>
                <w:szCs w:val="18"/>
              </w:rPr>
            </w:pPr>
            <w:r>
              <w:rPr>
                <w:sz w:val="18"/>
                <w:szCs w:val="18"/>
              </w:rPr>
              <w:t xml:space="preserve">4.2  8086/8088 CPU的结构   </w:t>
            </w:r>
          </w:p>
          <w:p>
            <w:pPr>
              <w:snapToGrid w:val="0"/>
              <w:spacing w:line="300" w:lineRule="auto"/>
              <w:rPr>
                <w:sz w:val="18"/>
                <w:szCs w:val="18"/>
              </w:rPr>
            </w:pPr>
            <w:r>
              <w:rPr>
                <w:sz w:val="18"/>
                <w:szCs w:val="18"/>
              </w:rPr>
              <w:t xml:space="preserve">4.3  8086/8088 CPU的引脚信号和工作模式  </w:t>
            </w:r>
          </w:p>
          <w:p>
            <w:pPr>
              <w:snapToGrid w:val="0"/>
              <w:spacing w:line="300" w:lineRule="auto"/>
              <w:rPr>
                <w:sz w:val="18"/>
                <w:szCs w:val="18"/>
              </w:rPr>
            </w:pPr>
            <w:r>
              <w:rPr>
                <w:sz w:val="18"/>
                <w:szCs w:val="18"/>
              </w:rPr>
              <w:t>4.4  8086/8088的主要操作功能</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(1）了解：微处理器的发展历史。</w:t>
            </w:r>
          </w:p>
          <w:p>
            <w:pPr>
              <w:snapToGrid w:val="0"/>
              <w:spacing w:line="300" w:lineRule="auto"/>
              <w:rPr>
                <w:sz w:val="18"/>
                <w:szCs w:val="18"/>
              </w:rPr>
            </w:pPr>
            <w:r>
              <w:rPr>
                <w:sz w:val="18"/>
                <w:szCs w:val="18"/>
              </w:rPr>
              <w:t>(2）理解：8086/8088的主要操作功能。</w:t>
            </w:r>
          </w:p>
          <w:p>
            <w:pPr>
              <w:snapToGrid w:val="0"/>
              <w:spacing w:line="300" w:lineRule="auto"/>
              <w:rPr>
                <w:sz w:val="18"/>
                <w:szCs w:val="18"/>
              </w:rPr>
            </w:pPr>
            <w:r>
              <w:rPr>
                <w:sz w:val="18"/>
                <w:szCs w:val="18"/>
              </w:rPr>
              <w:t>(3）掌握：8086/8088 CPU的结构、8086/8088 CPU的引脚信号和工作模式。</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（1）复习第4章内容；</w:t>
            </w:r>
          </w:p>
          <w:p>
            <w:pPr>
              <w:snapToGrid w:val="0"/>
              <w:spacing w:line="300" w:lineRule="auto"/>
              <w:rPr>
                <w:sz w:val="18"/>
                <w:szCs w:val="18"/>
              </w:rPr>
            </w:pPr>
            <w:r>
              <w:rPr>
                <w:sz w:val="18"/>
                <w:szCs w:val="18"/>
              </w:rPr>
              <w:t>（2）完成教材第4章作业。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734" w:type="dxa"/>
            <w:vAlign w:val="center"/>
          </w:tcPr>
          <w:p>
            <w:pPr>
              <w:snapToGrid w:val="0"/>
              <w:spacing w:line="300" w:lineRule="auto"/>
              <w:jc w:val="center"/>
              <w:rPr>
                <w:sz w:val="18"/>
                <w:szCs w:val="18"/>
              </w:rPr>
            </w:pPr>
            <w:r>
              <w:rPr>
                <w:sz w:val="18"/>
                <w:szCs w:val="18"/>
              </w:rPr>
              <w:t>4</w:t>
            </w:r>
          </w:p>
        </w:tc>
        <w:tc>
          <w:tcPr>
            <w:tcW w:w="1031"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5</w:t>
            </w:r>
          </w:p>
        </w:tc>
        <w:tc>
          <w:tcPr>
            <w:tcW w:w="2518" w:type="dxa"/>
            <w:vAlign w:val="center"/>
          </w:tcPr>
          <w:p>
            <w:pPr>
              <w:snapToGrid w:val="0"/>
              <w:spacing w:line="300" w:lineRule="auto"/>
              <w:rPr>
                <w:sz w:val="18"/>
                <w:szCs w:val="18"/>
              </w:rPr>
            </w:pPr>
            <w:r>
              <w:rPr>
                <w:sz w:val="18"/>
                <w:szCs w:val="18"/>
              </w:rPr>
              <w:t xml:space="preserve">第6章  PC的总线及整机结构   </w:t>
            </w:r>
          </w:p>
          <w:p>
            <w:pPr>
              <w:snapToGrid w:val="0"/>
              <w:spacing w:line="300" w:lineRule="auto"/>
              <w:rPr>
                <w:sz w:val="18"/>
                <w:szCs w:val="18"/>
              </w:rPr>
            </w:pPr>
            <w:r>
              <w:rPr>
                <w:sz w:val="18"/>
                <w:szCs w:val="18"/>
              </w:rPr>
              <w:t xml:space="preserve">6.1 总线概述  </w:t>
            </w:r>
          </w:p>
          <w:p>
            <w:pPr>
              <w:snapToGrid w:val="0"/>
              <w:spacing w:line="300" w:lineRule="auto"/>
              <w:rPr>
                <w:sz w:val="18"/>
                <w:szCs w:val="18"/>
              </w:rPr>
            </w:pPr>
            <w:r>
              <w:rPr>
                <w:sz w:val="18"/>
                <w:szCs w:val="18"/>
              </w:rPr>
              <w:t>6.2 局部总线</w:t>
            </w:r>
          </w:p>
          <w:p>
            <w:pPr>
              <w:snapToGrid w:val="0"/>
              <w:spacing w:line="300" w:lineRule="auto"/>
              <w:rPr>
                <w:sz w:val="18"/>
                <w:szCs w:val="18"/>
              </w:rPr>
            </w:pPr>
            <w:r>
              <w:rPr>
                <w:sz w:val="18"/>
                <w:szCs w:val="18"/>
              </w:rPr>
              <w:t>6.3 输入输出接口总线 6.4 Pentium微型计算机系统</w:t>
            </w:r>
          </w:p>
          <w:p>
            <w:pPr>
              <w:snapToGrid w:val="0"/>
              <w:spacing w:line="300" w:lineRule="auto"/>
              <w:rPr>
                <w:sz w:val="18"/>
                <w:szCs w:val="18"/>
              </w:rPr>
            </w:pPr>
            <w:r>
              <w:rPr>
                <w:sz w:val="18"/>
                <w:szCs w:val="18"/>
              </w:rPr>
              <w:t>6.5 PC主机结构及主板</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(1）了解：PC主机结构及主板、Pentium微型计算机系统、PC的外存储设备。</w:t>
            </w:r>
          </w:p>
          <w:p>
            <w:pPr>
              <w:snapToGrid w:val="0"/>
              <w:spacing w:line="300" w:lineRule="auto"/>
              <w:rPr>
                <w:sz w:val="18"/>
                <w:szCs w:val="18"/>
              </w:rPr>
            </w:pPr>
            <w:r>
              <w:rPr>
                <w:sz w:val="18"/>
                <w:szCs w:val="18"/>
              </w:rPr>
              <w:t>(2）理解：总线分类、局部总线、输入输出接口总线。</w:t>
            </w:r>
          </w:p>
          <w:p>
            <w:pPr>
              <w:snapToGrid w:val="0"/>
              <w:spacing w:line="300" w:lineRule="auto"/>
              <w:rPr>
                <w:sz w:val="18"/>
                <w:szCs w:val="18"/>
              </w:rPr>
            </w:pPr>
            <w:r>
              <w:rPr>
                <w:sz w:val="18"/>
                <w:szCs w:val="18"/>
              </w:rPr>
              <w:t>(3）掌握：局部总线、输入输出接口总线。</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（1）复习第6章内容；</w:t>
            </w:r>
          </w:p>
          <w:p>
            <w:pPr>
              <w:snapToGrid w:val="0"/>
              <w:spacing w:line="300" w:lineRule="auto"/>
              <w:rPr>
                <w:sz w:val="18"/>
                <w:szCs w:val="18"/>
              </w:rPr>
            </w:pPr>
            <w:r>
              <w:rPr>
                <w:sz w:val="18"/>
                <w:szCs w:val="18"/>
              </w:rPr>
              <w:t>（2）完成教材第6章作业。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734" w:type="dxa"/>
            <w:vAlign w:val="center"/>
          </w:tcPr>
          <w:p>
            <w:pPr>
              <w:snapToGrid w:val="0"/>
              <w:spacing w:line="300" w:lineRule="auto"/>
              <w:jc w:val="center"/>
              <w:rPr>
                <w:sz w:val="18"/>
                <w:szCs w:val="18"/>
              </w:rPr>
            </w:pPr>
            <w:r>
              <w:rPr>
                <w:sz w:val="18"/>
                <w:szCs w:val="18"/>
              </w:rPr>
              <w:t>2</w:t>
            </w:r>
          </w:p>
        </w:tc>
        <w:tc>
          <w:tcPr>
            <w:tcW w:w="1031"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6</w:t>
            </w:r>
          </w:p>
        </w:tc>
        <w:tc>
          <w:tcPr>
            <w:tcW w:w="2518" w:type="dxa"/>
            <w:vAlign w:val="center"/>
          </w:tcPr>
          <w:p>
            <w:pPr>
              <w:snapToGrid w:val="0"/>
              <w:spacing w:line="300" w:lineRule="auto"/>
              <w:rPr>
                <w:sz w:val="18"/>
                <w:szCs w:val="18"/>
              </w:rPr>
            </w:pPr>
            <w:r>
              <w:rPr>
                <w:sz w:val="18"/>
                <w:szCs w:val="18"/>
              </w:rPr>
              <w:t xml:space="preserve">第7章  汇编语言与汇编程序   </w:t>
            </w:r>
          </w:p>
          <w:p>
            <w:pPr>
              <w:snapToGrid w:val="0"/>
              <w:spacing w:line="300" w:lineRule="auto"/>
              <w:rPr>
                <w:sz w:val="18"/>
                <w:szCs w:val="18"/>
              </w:rPr>
            </w:pPr>
            <w:r>
              <w:rPr>
                <w:sz w:val="18"/>
                <w:szCs w:val="18"/>
              </w:rPr>
              <w:t xml:space="preserve">7.1 符号指令中的表达式    </w:t>
            </w:r>
          </w:p>
          <w:p>
            <w:pPr>
              <w:snapToGrid w:val="0"/>
              <w:spacing w:line="300" w:lineRule="auto"/>
              <w:rPr>
                <w:sz w:val="18"/>
                <w:szCs w:val="18"/>
              </w:rPr>
            </w:pPr>
            <w:r>
              <w:rPr>
                <w:sz w:val="18"/>
                <w:szCs w:val="18"/>
              </w:rPr>
              <w:t>7.2 符号指令的寻址方式</w:t>
            </w:r>
          </w:p>
          <w:p>
            <w:pPr>
              <w:snapToGrid w:val="0"/>
              <w:spacing w:line="300" w:lineRule="auto"/>
              <w:rPr>
                <w:sz w:val="18"/>
                <w:szCs w:val="18"/>
              </w:rPr>
            </w:pPr>
            <w:r>
              <w:rPr>
                <w:sz w:val="18"/>
                <w:szCs w:val="18"/>
              </w:rPr>
              <w:t>7.3 常用指令</w:t>
            </w:r>
          </w:p>
          <w:p>
            <w:pPr>
              <w:snapToGrid w:val="0"/>
              <w:spacing w:line="300" w:lineRule="auto"/>
              <w:rPr>
                <w:sz w:val="18"/>
                <w:szCs w:val="18"/>
              </w:rPr>
            </w:pPr>
            <w:r>
              <w:rPr>
                <w:sz w:val="18"/>
                <w:szCs w:val="18"/>
              </w:rPr>
              <w:t>7.4 常用伪指令</w:t>
            </w:r>
          </w:p>
          <w:p>
            <w:pPr>
              <w:snapToGrid w:val="0"/>
              <w:spacing w:line="300" w:lineRule="auto"/>
              <w:rPr>
                <w:sz w:val="18"/>
                <w:szCs w:val="18"/>
              </w:rPr>
            </w:pPr>
            <w:r>
              <w:rPr>
                <w:sz w:val="18"/>
                <w:szCs w:val="18"/>
              </w:rPr>
              <w:t>7.5 常用DOS系统功能调用</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(1）了解：汇编语言的特点、宏汇编语言。</w:t>
            </w:r>
          </w:p>
          <w:p>
            <w:pPr>
              <w:snapToGrid w:val="0"/>
              <w:spacing w:line="300" w:lineRule="auto"/>
              <w:rPr>
                <w:sz w:val="18"/>
                <w:szCs w:val="18"/>
              </w:rPr>
            </w:pPr>
            <w:r>
              <w:rPr>
                <w:sz w:val="18"/>
                <w:szCs w:val="18"/>
              </w:rPr>
              <w:t>(2）理解：符号指令、表达式、汇编语言程序结构。</w:t>
            </w:r>
          </w:p>
          <w:p>
            <w:pPr>
              <w:snapToGrid w:val="0"/>
              <w:spacing w:line="300" w:lineRule="auto"/>
              <w:rPr>
                <w:sz w:val="18"/>
                <w:szCs w:val="18"/>
              </w:rPr>
            </w:pPr>
            <w:r>
              <w:rPr>
                <w:sz w:val="18"/>
                <w:szCs w:val="18"/>
              </w:rPr>
              <w:t>(3）掌握：寻址方式、常用指令、常用伪指令、常用DOS系统功能调用。</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（1）复习第7章内容；</w:t>
            </w:r>
          </w:p>
          <w:p>
            <w:pPr>
              <w:snapToGrid w:val="0"/>
              <w:spacing w:line="300" w:lineRule="auto"/>
              <w:rPr>
                <w:sz w:val="18"/>
                <w:szCs w:val="18"/>
              </w:rPr>
            </w:pPr>
            <w:r>
              <w:rPr>
                <w:sz w:val="18"/>
                <w:szCs w:val="18"/>
              </w:rPr>
              <w:t>（2）完成教材第7章作业。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4</w:t>
            </w:r>
          </w:p>
        </w:tc>
        <w:tc>
          <w:tcPr>
            <w:tcW w:w="1031" w:type="dxa"/>
            <w:vAlign w:val="center"/>
          </w:tcPr>
          <w:p>
            <w:pPr>
              <w:snapToGrid w:val="0"/>
              <w:spacing w:line="300" w:lineRule="auto"/>
              <w:ind w:firstLine="90" w:firstLineChars="50"/>
              <w:jc w:val="center"/>
              <w:rPr>
                <w:sz w:val="18"/>
                <w:szCs w:val="18"/>
              </w:rPr>
            </w:pP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7</w:t>
            </w:r>
          </w:p>
        </w:tc>
        <w:tc>
          <w:tcPr>
            <w:tcW w:w="2518" w:type="dxa"/>
          </w:tcPr>
          <w:p>
            <w:pPr>
              <w:snapToGrid w:val="0"/>
              <w:spacing w:line="300" w:lineRule="auto"/>
              <w:rPr>
                <w:sz w:val="18"/>
                <w:szCs w:val="18"/>
              </w:rPr>
            </w:pPr>
            <w:r>
              <w:rPr>
                <w:sz w:val="18"/>
                <w:szCs w:val="18"/>
              </w:rPr>
              <w:t xml:space="preserve">第8章  汇编语言程序设计   </w:t>
            </w:r>
          </w:p>
          <w:p>
            <w:pPr>
              <w:snapToGrid w:val="0"/>
              <w:spacing w:line="300" w:lineRule="auto"/>
              <w:rPr>
                <w:sz w:val="18"/>
                <w:szCs w:val="18"/>
              </w:rPr>
            </w:pPr>
            <w:r>
              <w:rPr>
                <w:sz w:val="18"/>
                <w:szCs w:val="18"/>
              </w:rPr>
              <w:t xml:space="preserve">8.1 顺序程序设计    </w:t>
            </w:r>
          </w:p>
          <w:p>
            <w:pPr>
              <w:snapToGrid w:val="0"/>
              <w:spacing w:line="300" w:lineRule="auto"/>
              <w:rPr>
                <w:sz w:val="18"/>
                <w:szCs w:val="18"/>
              </w:rPr>
            </w:pPr>
            <w:r>
              <w:rPr>
                <w:sz w:val="18"/>
                <w:szCs w:val="18"/>
              </w:rPr>
              <w:t>8.2 分支程序设计</w:t>
            </w:r>
          </w:p>
          <w:p>
            <w:pPr>
              <w:snapToGrid w:val="0"/>
              <w:spacing w:line="300" w:lineRule="auto"/>
              <w:rPr>
                <w:sz w:val="18"/>
                <w:szCs w:val="18"/>
              </w:rPr>
            </w:pPr>
            <w:r>
              <w:rPr>
                <w:sz w:val="18"/>
                <w:szCs w:val="18"/>
              </w:rPr>
              <w:t>8.3 循环程序设计</w:t>
            </w:r>
          </w:p>
          <w:p>
            <w:pPr>
              <w:snapToGrid w:val="0"/>
              <w:spacing w:line="300" w:lineRule="auto"/>
              <w:rPr>
                <w:sz w:val="18"/>
                <w:szCs w:val="18"/>
              </w:rPr>
            </w:pPr>
            <w:r>
              <w:rPr>
                <w:sz w:val="18"/>
                <w:szCs w:val="18"/>
              </w:rPr>
              <w:t>8.4 串处理程序设计</w:t>
            </w:r>
          </w:p>
          <w:p>
            <w:pPr>
              <w:snapToGrid w:val="0"/>
              <w:spacing w:line="300" w:lineRule="auto"/>
              <w:rPr>
                <w:sz w:val="18"/>
                <w:szCs w:val="18"/>
              </w:rPr>
            </w:pPr>
            <w:r>
              <w:rPr>
                <w:sz w:val="18"/>
                <w:szCs w:val="18"/>
              </w:rPr>
              <w:t>8.5 子程序设计</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1）了解：汇编语言程序设计。</w:t>
            </w:r>
          </w:p>
          <w:p>
            <w:pPr>
              <w:snapToGrid w:val="0"/>
              <w:spacing w:line="300" w:lineRule="auto"/>
              <w:rPr>
                <w:sz w:val="18"/>
                <w:szCs w:val="18"/>
              </w:rPr>
            </w:pPr>
            <w:r>
              <w:rPr>
                <w:sz w:val="18"/>
                <w:szCs w:val="18"/>
              </w:rPr>
              <w:t>2）理解：顺序程序设计、分支程序设计、循环程序设计、子程序设计。</w:t>
            </w:r>
          </w:p>
          <w:p>
            <w:pPr>
              <w:snapToGrid w:val="0"/>
              <w:spacing w:line="300" w:lineRule="auto"/>
              <w:rPr>
                <w:sz w:val="18"/>
                <w:szCs w:val="18"/>
              </w:rPr>
            </w:pPr>
            <w:r>
              <w:rPr>
                <w:sz w:val="18"/>
                <w:szCs w:val="18"/>
              </w:rPr>
              <w:t>3）掌握：乘除法指令、BCD数调整指令。</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（1）复习第8章内容；</w:t>
            </w:r>
          </w:p>
          <w:p>
            <w:pPr>
              <w:snapToGrid w:val="0"/>
              <w:spacing w:line="300" w:lineRule="auto"/>
              <w:rPr>
                <w:sz w:val="18"/>
                <w:szCs w:val="18"/>
              </w:rPr>
            </w:pPr>
            <w:r>
              <w:rPr>
                <w:sz w:val="18"/>
                <w:szCs w:val="18"/>
              </w:rPr>
              <w:t>（2）完成教材第8章作业。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3</w:t>
            </w:r>
          </w:p>
        </w:tc>
        <w:tc>
          <w:tcPr>
            <w:tcW w:w="1031" w:type="dxa"/>
            <w:vAlign w:val="center"/>
          </w:tcPr>
          <w:p>
            <w:pPr>
              <w:snapToGrid w:val="0"/>
              <w:spacing w:line="300" w:lineRule="auto"/>
              <w:jc w:val="center"/>
              <w:rPr>
                <w:sz w:val="18"/>
                <w:szCs w:val="18"/>
              </w:rPr>
            </w:pPr>
            <w:r>
              <w:rPr>
                <w:sz w:val="18"/>
                <w:szCs w:val="18"/>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8</w:t>
            </w:r>
          </w:p>
        </w:tc>
        <w:tc>
          <w:tcPr>
            <w:tcW w:w="2518" w:type="dxa"/>
          </w:tcPr>
          <w:p>
            <w:pPr>
              <w:snapToGrid w:val="0"/>
              <w:spacing w:line="300" w:lineRule="auto"/>
              <w:rPr>
                <w:sz w:val="18"/>
                <w:szCs w:val="18"/>
              </w:rPr>
            </w:pPr>
            <w:r>
              <w:rPr>
                <w:sz w:val="18"/>
                <w:szCs w:val="18"/>
              </w:rPr>
              <w:t xml:space="preserve">第9章  输入输出和接口技术   </w:t>
            </w:r>
          </w:p>
          <w:p>
            <w:pPr>
              <w:snapToGrid w:val="0"/>
              <w:spacing w:line="300" w:lineRule="auto"/>
              <w:rPr>
                <w:sz w:val="18"/>
                <w:szCs w:val="18"/>
              </w:rPr>
            </w:pPr>
            <w:r>
              <w:rPr>
                <w:sz w:val="18"/>
                <w:szCs w:val="18"/>
              </w:rPr>
              <w:t xml:space="preserve"> 9.1 接口的基本概念    </w:t>
            </w:r>
          </w:p>
          <w:p>
            <w:pPr>
              <w:snapToGrid w:val="0"/>
              <w:spacing w:line="300" w:lineRule="auto"/>
              <w:rPr>
                <w:sz w:val="18"/>
                <w:szCs w:val="18"/>
              </w:rPr>
            </w:pPr>
            <w:r>
              <w:rPr>
                <w:sz w:val="18"/>
                <w:szCs w:val="18"/>
              </w:rPr>
              <w:t xml:space="preserve"> 9.2  I/O指令和I/O地址译码</w:t>
            </w:r>
          </w:p>
          <w:p>
            <w:pPr>
              <w:snapToGrid w:val="0"/>
              <w:spacing w:line="300" w:lineRule="auto"/>
              <w:rPr>
                <w:sz w:val="18"/>
                <w:szCs w:val="18"/>
              </w:rPr>
            </w:pPr>
            <w:r>
              <w:rPr>
                <w:sz w:val="18"/>
                <w:szCs w:val="18"/>
              </w:rPr>
              <w:t xml:space="preserve"> 9.3 简单的数据输入输出接口</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1）了解：接口的基本概念、接口控制原理、接口控制信号。</w:t>
            </w:r>
          </w:p>
          <w:p>
            <w:pPr>
              <w:snapToGrid w:val="0"/>
              <w:spacing w:line="300" w:lineRule="auto"/>
              <w:rPr>
                <w:sz w:val="18"/>
                <w:szCs w:val="18"/>
              </w:rPr>
            </w:pPr>
            <w:r>
              <w:rPr>
                <w:sz w:val="18"/>
                <w:szCs w:val="18"/>
              </w:rPr>
              <w:t>2）理解: I/O指令、I/O地址译码。</w:t>
            </w:r>
          </w:p>
          <w:p>
            <w:pPr>
              <w:snapToGrid w:val="0"/>
              <w:spacing w:line="300" w:lineRule="auto"/>
              <w:rPr>
                <w:sz w:val="18"/>
                <w:szCs w:val="18"/>
              </w:rPr>
            </w:pPr>
            <w:r>
              <w:rPr>
                <w:sz w:val="18"/>
                <w:szCs w:val="18"/>
              </w:rPr>
              <w:t>3）掌握：I/O接口与CPU及外设的信号联络关系。2.作业内容</w:t>
            </w:r>
          </w:p>
          <w:p>
            <w:pPr>
              <w:snapToGrid w:val="0"/>
              <w:spacing w:line="300" w:lineRule="auto"/>
              <w:rPr>
                <w:sz w:val="18"/>
                <w:szCs w:val="18"/>
              </w:rPr>
            </w:pPr>
            <w:r>
              <w:rPr>
                <w:sz w:val="18"/>
                <w:szCs w:val="18"/>
              </w:rPr>
              <w:t>（1）复习第9章内容；</w:t>
            </w:r>
          </w:p>
          <w:p>
            <w:pPr>
              <w:snapToGrid w:val="0"/>
              <w:spacing w:line="300" w:lineRule="auto"/>
              <w:rPr>
                <w:sz w:val="18"/>
                <w:szCs w:val="18"/>
              </w:rPr>
            </w:pPr>
            <w:r>
              <w:rPr>
                <w:sz w:val="18"/>
                <w:szCs w:val="18"/>
              </w:rPr>
              <w:t>（2）完成教材第9章作业。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2</w:t>
            </w:r>
          </w:p>
        </w:tc>
        <w:tc>
          <w:tcPr>
            <w:tcW w:w="1031" w:type="dxa"/>
            <w:vAlign w:val="center"/>
          </w:tcPr>
          <w:p>
            <w:pPr>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9</w:t>
            </w:r>
          </w:p>
        </w:tc>
        <w:tc>
          <w:tcPr>
            <w:tcW w:w="2518" w:type="dxa"/>
            <w:vAlign w:val="center"/>
          </w:tcPr>
          <w:p>
            <w:pPr>
              <w:snapToGrid w:val="0"/>
              <w:spacing w:line="300" w:lineRule="auto"/>
              <w:rPr>
                <w:sz w:val="18"/>
                <w:szCs w:val="18"/>
              </w:rPr>
            </w:pPr>
            <w:r>
              <w:rPr>
                <w:sz w:val="18"/>
                <w:szCs w:val="18"/>
              </w:rPr>
              <w:t xml:space="preserve">第10章  中断技术   </w:t>
            </w:r>
          </w:p>
          <w:p>
            <w:pPr>
              <w:snapToGrid w:val="0"/>
              <w:spacing w:line="300" w:lineRule="auto"/>
              <w:rPr>
                <w:sz w:val="18"/>
                <w:szCs w:val="18"/>
              </w:rPr>
            </w:pPr>
            <w:r>
              <w:rPr>
                <w:sz w:val="18"/>
                <w:szCs w:val="18"/>
              </w:rPr>
              <w:t xml:space="preserve">10.1 中断和中断系统    </w:t>
            </w:r>
          </w:p>
          <w:p>
            <w:pPr>
              <w:snapToGrid w:val="0"/>
              <w:spacing w:line="300" w:lineRule="auto"/>
              <w:rPr>
                <w:sz w:val="18"/>
                <w:szCs w:val="18"/>
              </w:rPr>
            </w:pPr>
            <w:r>
              <w:rPr>
                <w:sz w:val="18"/>
                <w:szCs w:val="18"/>
              </w:rPr>
              <w:t>10.2 中断控制器8259A</w:t>
            </w:r>
          </w:p>
          <w:p>
            <w:pPr>
              <w:snapToGrid w:val="0"/>
              <w:spacing w:line="300" w:lineRule="auto"/>
              <w:rPr>
                <w:sz w:val="18"/>
                <w:szCs w:val="18"/>
              </w:rPr>
            </w:pPr>
            <w:r>
              <w:rPr>
                <w:sz w:val="18"/>
                <w:szCs w:val="18"/>
              </w:rPr>
              <w:t>10.3 中断指令和中断系统</w:t>
            </w:r>
          </w:p>
          <w:p>
            <w:pPr>
              <w:snapToGrid w:val="0"/>
              <w:spacing w:line="300" w:lineRule="auto"/>
              <w:rPr>
                <w:sz w:val="18"/>
                <w:szCs w:val="18"/>
              </w:rPr>
            </w:pPr>
            <w:r>
              <w:rPr>
                <w:sz w:val="18"/>
                <w:szCs w:val="18"/>
              </w:rPr>
              <w:t>10.4 实地址方式下的可屏蔽中断服务程序设计</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(1）了解：中断的概念。</w:t>
            </w:r>
          </w:p>
          <w:p>
            <w:pPr>
              <w:snapToGrid w:val="0"/>
              <w:spacing w:line="300" w:lineRule="auto"/>
              <w:rPr>
                <w:sz w:val="18"/>
                <w:szCs w:val="18"/>
              </w:rPr>
            </w:pPr>
            <w:r>
              <w:rPr>
                <w:sz w:val="18"/>
                <w:szCs w:val="18"/>
              </w:rPr>
              <w:t>(2）理解：CPU对外部可屏蔽中断的响应及中断过程。</w:t>
            </w:r>
          </w:p>
          <w:p>
            <w:pPr>
              <w:snapToGrid w:val="0"/>
              <w:spacing w:line="300" w:lineRule="auto"/>
              <w:rPr>
                <w:sz w:val="18"/>
                <w:szCs w:val="18"/>
              </w:rPr>
            </w:pPr>
            <w:r>
              <w:rPr>
                <w:sz w:val="18"/>
                <w:szCs w:val="18"/>
              </w:rPr>
              <w:t>(3）掌握：中断系统、中断控制器8259A。</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（1）复习第10章内容；</w:t>
            </w:r>
          </w:p>
          <w:p>
            <w:pPr>
              <w:snapToGrid w:val="0"/>
              <w:spacing w:line="300" w:lineRule="auto"/>
              <w:rPr>
                <w:sz w:val="18"/>
                <w:szCs w:val="18"/>
              </w:rPr>
            </w:pPr>
            <w:r>
              <w:rPr>
                <w:sz w:val="18"/>
                <w:szCs w:val="18"/>
              </w:rPr>
              <w:t>（2）完成教材第10章作业。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讲授式、讨论式与启发式相结合。</w:t>
            </w:r>
          </w:p>
        </w:tc>
        <w:tc>
          <w:tcPr>
            <w:tcW w:w="734" w:type="dxa"/>
            <w:vAlign w:val="center"/>
          </w:tcPr>
          <w:p>
            <w:pPr>
              <w:snapToGrid w:val="0"/>
              <w:spacing w:line="300" w:lineRule="auto"/>
              <w:jc w:val="center"/>
              <w:rPr>
                <w:sz w:val="18"/>
                <w:szCs w:val="18"/>
              </w:rPr>
            </w:pPr>
            <w:r>
              <w:rPr>
                <w:sz w:val="18"/>
                <w:szCs w:val="18"/>
              </w:rPr>
              <w:t>5</w:t>
            </w:r>
          </w:p>
        </w:tc>
        <w:tc>
          <w:tcPr>
            <w:tcW w:w="1031" w:type="dxa"/>
            <w:vAlign w:val="center"/>
          </w:tcPr>
          <w:p>
            <w:pPr>
              <w:snapToGrid w:val="0"/>
              <w:spacing w:line="300" w:lineRule="auto"/>
              <w:ind w:firstLine="90" w:firstLineChars="50"/>
              <w:jc w:val="center"/>
              <w:rPr>
                <w:sz w:val="18"/>
                <w:szCs w:val="18"/>
              </w:rPr>
            </w:pPr>
            <w:r>
              <w:rPr>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591" w:type="dxa"/>
            <w:tcMar>
              <w:left w:w="57" w:type="dxa"/>
              <w:right w:w="57" w:type="dxa"/>
            </w:tcMar>
            <w:vAlign w:val="center"/>
          </w:tcPr>
          <w:p>
            <w:pPr>
              <w:snapToGrid w:val="0"/>
              <w:spacing w:line="300" w:lineRule="auto"/>
              <w:jc w:val="center"/>
              <w:rPr>
                <w:sz w:val="18"/>
                <w:szCs w:val="18"/>
              </w:rPr>
            </w:pPr>
            <w:r>
              <w:rPr>
                <w:sz w:val="18"/>
                <w:szCs w:val="18"/>
              </w:rPr>
              <w:t>10</w:t>
            </w:r>
          </w:p>
        </w:tc>
        <w:tc>
          <w:tcPr>
            <w:tcW w:w="2518" w:type="dxa"/>
          </w:tcPr>
          <w:p>
            <w:pPr>
              <w:snapToGrid w:val="0"/>
              <w:spacing w:line="300" w:lineRule="auto"/>
              <w:rPr>
                <w:sz w:val="18"/>
                <w:szCs w:val="18"/>
              </w:rPr>
            </w:pPr>
            <w:r>
              <w:rPr>
                <w:sz w:val="18"/>
                <w:szCs w:val="18"/>
              </w:rPr>
              <w:t xml:space="preserve">第11章  常用可编程接口芯片   </w:t>
            </w:r>
          </w:p>
          <w:p>
            <w:pPr>
              <w:snapToGrid w:val="0"/>
              <w:spacing w:line="300" w:lineRule="auto"/>
              <w:rPr>
                <w:sz w:val="18"/>
                <w:szCs w:val="18"/>
              </w:rPr>
            </w:pPr>
            <w:r>
              <w:rPr>
                <w:sz w:val="18"/>
                <w:szCs w:val="18"/>
              </w:rPr>
              <w:t xml:space="preserve">11.1 可编程并行接口8255A   </w:t>
            </w:r>
          </w:p>
          <w:p>
            <w:pPr>
              <w:snapToGrid w:val="0"/>
              <w:spacing w:line="300" w:lineRule="auto"/>
              <w:rPr>
                <w:sz w:val="18"/>
                <w:szCs w:val="18"/>
              </w:rPr>
            </w:pPr>
            <w:r>
              <w:rPr>
                <w:sz w:val="18"/>
                <w:szCs w:val="18"/>
              </w:rPr>
              <w:t>11.2 可编程计数器/定时器8253</w:t>
            </w:r>
          </w:p>
        </w:tc>
        <w:tc>
          <w:tcPr>
            <w:tcW w:w="38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1）了解：接口芯片</w:t>
            </w:r>
          </w:p>
          <w:p>
            <w:pPr>
              <w:snapToGrid w:val="0"/>
              <w:spacing w:line="300" w:lineRule="auto"/>
              <w:rPr>
                <w:sz w:val="18"/>
                <w:szCs w:val="18"/>
              </w:rPr>
            </w:pPr>
            <w:r>
              <w:rPr>
                <w:sz w:val="18"/>
                <w:szCs w:val="18"/>
              </w:rPr>
              <w:t>2）理解：可编程并行接口8255A、可编程计数器/定时器8253结构。</w:t>
            </w:r>
          </w:p>
          <w:p>
            <w:pPr>
              <w:snapToGrid w:val="0"/>
              <w:spacing w:line="300" w:lineRule="auto"/>
              <w:rPr>
                <w:sz w:val="18"/>
                <w:szCs w:val="18"/>
              </w:rPr>
            </w:pPr>
            <w:r>
              <w:rPr>
                <w:sz w:val="18"/>
                <w:szCs w:val="18"/>
              </w:rPr>
              <w:t>3）掌握：8255A初始化编程、8253初始化编程。2.作业内容</w:t>
            </w:r>
          </w:p>
          <w:p>
            <w:pPr>
              <w:snapToGrid w:val="0"/>
              <w:spacing w:line="300" w:lineRule="auto"/>
              <w:rPr>
                <w:sz w:val="18"/>
                <w:szCs w:val="18"/>
              </w:rPr>
            </w:pPr>
            <w:r>
              <w:rPr>
                <w:sz w:val="18"/>
                <w:szCs w:val="18"/>
              </w:rPr>
              <w:t>（1）复习第11章内容；</w:t>
            </w:r>
          </w:p>
          <w:p>
            <w:pPr>
              <w:snapToGrid w:val="0"/>
              <w:spacing w:line="300" w:lineRule="auto"/>
              <w:rPr>
                <w:sz w:val="18"/>
                <w:szCs w:val="18"/>
              </w:rPr>
            </w:pPr>
            <w:r>
              <w:rPr>
                <w:sz w:val="18"/>
                <w:szCs w:val="18"/>
              </w:rPr>
              <w:t>（2）完成教材第11章作业。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案例2 8255并行接口方式0、1接口。</w:t>
            </w:r>
          </w:p>
        </w:tc>
        <w:tc>
          <w:tcPr>
            <w:tcW w:w="734" w:type="dxa"/>
            <w:vAlign w:val="center"/>
          </w:tcPr>
          <w:p>
            <w:pPr>
              <w:snapToGrid w:val="0"/>
              <w:spacing w:line="300" w:lineRule="auto"/>
              <w:jc w:val="center"/>
              <w:rPr>
                <w:sz w:val="18"/>
                <w:szCs w:val="18"/>
              </w:rPr>
            </w:pPr>
            <w:r>
              <w:rPr>
                <w:sz w:val="18"/>
                <w:szCs w:val="18"/>
              </w:rPr>
              <w:t>4</w:t>
            </w:r>
          </w:p>
        </w:tc>
        <w:tc>
          <w:tcPr>
            <w:tcW w:w="1031" w:type="dxa"/>
            <w:vAlign w:val="center"/>
          </w:tcPr>
          <w:p>
            <w:pPr>
              <w:snapToGrid w:val="0"/>
              <w:spacing w:line="300" w:lineRule="auto"/>
              <w:jc w:val="center"/>
              <w:rPr>
                <w:sz w:val="18"/>
                <w:szCs w:val="18"/>
              </w:rPr>
            </w:pPr>
            <w:r>
              <w:rPr>
                <w:sz w:val="18"/>
                <w:szCs w:val="18"/>
              </w:rPr>
              <w:t>2</w:t>
            </w:r>
          </w:p>
        </w:tc>
      </w:tr>
    </w:tbl>
    <w:p>
      <w:pPr>
        <w:snapToGrid w:val="0"/>
        <w:spacing w:before="156" w:beforeLines="50" w:line="300" w:lineRule="auto"/>
        <w:ind w:firstLine="420" w:firstLineChars="200"/>
      </w:pPr>
      <w:r>
        <w:t>实验内容见表4所示。</w:t>
      </w:r>
    </w:p>
    <w:p>
      <w:pPr>
        <w:snapToGrid w:val="0"/>
        <w:spacing w:before="156" w:beforeLines="50" w:line="300" w:lineRule="auto"/>
        <w:ind w:firstLine="420" w:firstLineChars="200"/>
      </w:pP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741"/>
        <w:gridCol w:w="2467"/>
        <w:gridCol w:w="752"/>
        <w:gridCol w:w="754"/>
        <w:gridCol w:w="752"/>
        <w:gridCol w:w="75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7" w:type="dxa"/>
            <w:vAlign w:val="center"/>
          </w:tcPr>
          <w:p>
            <w:pPr>
              <w:snapToGrid w:val="0"/>
              <w:spacing w:line="300" w:lineRule="auto"/>
              <w:rPr>
                <w:b/>
                <w:bCs/>
                <w:sz w:val="18"/>
                <w:szCs w:val="18"/>
              </w:rPr>
            </w:pPr>
            <w:r>
              <w:rPr>
                <w:b/>
                <w:bCs/>
                <w:kern w:val="0"/>
                <w:sz w:val="18"/>
                <w:szCs w:val="18"/>
              </w:rPr>
              <w:t>序号</w:t>
            </w:r>
          </w:p>
        </w:tc>
        <w:tc>
          <w:tcPr>
            <w:tcW w:w="1741" w:type="dxa"/>
            <w:vAlign w:val="center"/>
          </w:tcPr>
          <w:p>
            <w:pPr>
              <w:snapToGrid w:val="0"/>
              <w:spacing w:line="300" w:lineRule="auto"/>
              <w:jc w:val="center"/>
              <w:rPr>
                <w:b/>
                <w:bCs/>
                <w:sz w:val="18"/>
                <w:szCs w:val="18"/>
              </w:rPr>
            </w:pPr>
            <w:r>
              <w:rPr>
                <w:b/>
                <w:bCs/>
                <w:kern w:val="0"/>
                <w:sz w:val="18"/>
                <w:szCs w:val="18"/>
              </w:rPr>
              <w:t>实验项目名称</w:t>
            </w:r>
          </w:p>
        </w:tc>
        <w:tc>
          <w:tcPr>
            <w:tcW w:w="2467" w:type="dxa"/>
            <w:vAlign w:val="center"/>
          </w:tcPr>
          <w:p>
            <w:pPr>
              <w:snapToGrid w:val="0"/>
              <w:spacing w:line="300" w:lineRule="auto"/>
              <w:jc w:val="center"/>
              <w:rPr>
                <w:b/>
                <w:bCs/>
                <w:sz w:val="18"/>
                <w:szCs w:val="18"/>
              </w:rPr>
            </w:pPr>
            <w:r>
              <w:rPr>
                <w:b/>
                <w:bCs/>
                <w:kern w:val="0"/>
                <w:sz w:val="18"/>
                <w:szCs w:val="18"/>
              </w:rPr>
              <w:t>目的要求</w:t>
            </w:r>
          </w:p>
        </w:tc>
        <w:tc>
          <w:tcPr>
            <w:tcW w:w="752" w:type="dxa"/>
            <w:vAlign w:val="center"/>
          </w:tcPr>
          <w:p>
            <w:pPr>
              <w:snapToGrid w:val="0"/>
              <w:spacing w:line="300" w:lineRule="auto"/>
              <w:jc w:val="center"/>
              <w:rPr>
                <w:b/>
                <w:bCs/>
                <w:sz w:val="18"/>
                <w:szCs w:val="18"/>
              </w:rPr>
            </w:pPr>
            <w:r>
              <w:rPr>
                <w:b/>
                <w:bCs/>
                <w:kern w:val="0"/>
                <w:sz w:val="18"/>
                <w:szCs w:val="18"/>
              </w:rPr>
              <w:t>学时分配</w:t>
            </w:r>
          </w:p>
        </w:tc>
        <w:tc>
          <w:tcPr>
            <w:tcW w:w="754" w:type="dxa"/>
            <w:vAlign w:val="center"/>
          </w:tcPr>
          <w:p>
            <w:pPr>
              <w:snapToGrid w:val="0"/>
              <w:spacing w:line="300" w:lineRule="auto"/>
              <w:jc w:val="center"/>
              <w:rPr>
                <w:b/>
                <w:bCs/>
                <w:kern w:val="0"/>
                <w:sz w:val="18"/>
                <w:szCs w:val="18"/>
              </w:rPr>
            </w:pPr>
            <w:r>
              <w:rPr>
                <w:b/>
                <w:bCs/>
                <w:kern w:val="0"/>
                <w:sz w:val="18"/>
                <w:szCs w:val="18"/>
              </w:rPr>
              <w:t>实验类型</w:t>
            </w:r>
          </w:p>
        </w:tc>
        <w:tc>
          <w:tcPr>
            <w:tcW w:w="752" w:type="dxa"/>
            <w:vAlign w:val="center"/>
          </w:tcPr>
          <w:p>
            <w:pPr>
              <w:snapToGrid w:val="0"/>
              <w:spacing w:line="300" w:lineRule="auto"/>
              <w:jc w:val="center"/>
              <w:rPr>
                <w:b/>
                <w:bCs/>
                <w:kern w:val="0"/>
                <w:sz w:val="18"/>
                <w:szCs w:val="18"/>
              </w:rPr>
            </w:pPr>
            <w:r>
              <w:rPr>
                <w:b/>
                <w:bCs/>
                <w:kern w:val="0"/>
                <w:sz w:val="18"/>
                <w:szCs w:val="18"/>
              </w:rPr>
              <w:t>每组人数</w:t>
            </w:r>
          </w:p>
        </w:tc>
        <w:tc>
          <w:tcPr>
            <w:tcW w:w="754"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54"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snapToGrid w:val="0"/>
              <w:spacing w:line="300" w:lineRule="auto"/>
              <w:jc w:val="center"/>
              <w:rPr>
                <w:sz w:val="18"/>
                <w:szCs w:val="18"/>
              </w:rPr>
            </w:pPr>
            <w:r>
              <w:rPr>
                <w:sz w:val="18"/>
                <w:szCs w:val="18"/>
              </w:rPr>
              <w:t>1</w:t>
            </w:r>
          </w:p>
        </w:tc>
        <w:tc>
          <w:tcPr>
            <w:tcW w:w="1741" w:type="dxa"/>
            <w:vAlign w:val="center"/>
          </w:tcPr>
          <w:p>
            <w:pPr>
              <w:snapToGrid w:val="0"/>
              <w:spacing w:line="300" w:lineRule="auto"/>
              <w:rPr>
                <w:sz w:val="18"/>
                <w:szCs w:val="18"/>
              </w:rPr>
            </w:pPr>
            <w:r>
              <w:rPr>
                <w:sz w:val="18"/>
                <w:szCs w:val="18"/>
              </w:rPr>
              <w:t>数据传送程序</w:t>
            </w:r>
          </w:p>
        </w:tc>
        <w:tc>
          <w:tcPr>
            <w:tcW w:w="2467" w:type="dxa"/>
            <w:vAlign w:val="center"/>
          </w:tcPr>
          <w:p>
            <w:pPr>
              <w:snapToGrid w:val="0"/>
              <w:spacing w:line="300" w:lineRule="auto"/>
              <w:rPr>
                <w:sz w:val="18"/>
                <w:szCs w:val="18"/>
              </w:rPr>
            </w:pPr>
            <w:r>
              <w:rPr>
                <w:sz w:val="18"/>
                <w:szCs w:val="18"/>
              </w:rPr>
              <w:t>掌握集成开发环境的使用及常用调试命令用法，认识程序结构及查看结果的方法。</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验证</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必开</w:t>
            </w:r>
          </w:p>
        </w:tc>
        <w:tc>
          <w:tcPr>
            <w:tcW w:w="754" w:type="dxa"/>
            <w:vAlign w:val="center"/>
          </w:tcPr>
          <w:p>
            <w:pPr>
              <w:snapToGrid w:val="0"/>
              <w:spacing w:line="300" w:lineRule="auto"/>
              <w:jc w:val="center"/>
              <w:rPr>
                <w:sz w:val="18"/>
                <w:szCs w:val="18"/>
              </w:rPr>
            </w:pPr>
            <w:r>
              <w:rPr>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7" w:type="dxa"/>
            <w:vAlign w:val="center"/>
          </w:tcPr>
          <w:p>
            <w:pPr>
              <w:snapToGrid w:val="0"/>
              <w:spacing w:line="300" w:lineRule="auto"/>
              <w:jc w:val="center"/>
              <w:rPr>
                <w:sz w:val="18"/>
                <w:szCs w:val="18"/>
              </w:rPr>
            </w:pPr>
            <w:r>
              <w:rPr>
                <w:sz w:val="18"/>
                <w:szCs w:val="18"/>
              </w:rPr>
              <w:t>2</w:t>
            </w:r>
          </w:p>
        </w:tc>
        <w:tc>
          <w:tcPr>
            <w:tcW w:w="1741" w:type="dxa"/>
            <w:vAlign w:val="center"/>
          </w:tcPr>
          <w:p>
            <w:pPr>
              <w:snapToGrid w:val="0"/>
              <w:spacing w:line="300" w:lineRule="auto"/>
              <w:rPr>
                <w:sz w:val="18"/>
                <w:szCs w:val="18"/>
              </w:rPr>
            </w:pPr>
            <w:r>
              <w:rPr>
                <w:kern w:val="0"/>
                <w:sz w:val="18"/>
                <w:szCs w:val="18"/>
              </w:rPr>
              <w:t>数码转换及程序调试</w:t>
            </w:r>
          </w:p>
        </w:tc>
        <w:tc>
          <w:tcPr>
            <w:tcW w:w="2467" w:type="dxa"/>
            <w:vAlign w:val="center"/>
          </w:tcPr>
          <w:p>
            <w:pPr>
              <w:snapToGrid w:val="0"/>
              <w:spacing w:line="300" w:lineRule="auto"/>
              <w:rPr>
                <w:sz w:val="18"/>
                <w:szCs w:val="18"/>
              </w:rPr>
            </w:pPr>
            <w:r>
              <w:rPr>
                <w:sz w:val="18"/>
                <w:szCs w:val="18"/>
              </w:rPr>
              <w:t>掌握数制及转换方法，常用程序设计方法</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验证</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必开</w:t>
            </w:r>
          </w:p>
        </w:tc>
        <w:tc>
          <w:tcPr>
            <w:tcW w:w="754" w:type="dxa"/>
            <w:vAlign w:val="center"/>
          </w:tcPr>
          <w:p>
            <w:pPr>
              <w:widowControl/>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07" w:type="dxa"/>
            <w:vAlign w:val="center"/>
          </w:tcPr>
          <w:p>
            <w:pPr>
              <w:snapToGrid w:val="0"/>
              <w:spacing w:line="300" w:lineRule="auto"/>
              <w:jc w:val="center"/>
              <w:rPr>
                <w:sz w:val="18"/>
                <w:szCs w:val="18"/>
              </w:rPr>
            </w:pPr>
            <w:r>
              <w:rPr>
                <w:sz w:val="18"/>
                <w:szCs w:val="18"/>
              </w:rPr>
              <w:t>3</w:t>
            </w:r>
          </w:p>
        </w:tc>
        <w:tc>
          <w:tcPr>
            <w:tcW w:w="1741" w:type="dxa"/>
            <w:vAlign w:val="center"/>
          </w:tcPr>
          <w:p>
            <w:pPr>
              <w:snapToGrid w:val="0"/>
              <w:spacing w:line="300" w:lineRule="auto"/>
              <w:ind w:right="-334"/>
              <w:rPr>
                <w:sz w:val="18"/>
                <w:szCs w:val="18"/>
              </w:rPr>
            </w:pPr>
            <w:r>
              <w:rPr>
                <w:kern w:val="0"/>
                <w:sz w:val="18"/>
                <w:szCs w:val="18"/>
              </w:rPr>
              <w:t>系统中断实验</w:t>
            </w:r>
          </w:p>
        </w:tc>
        <w:tc>
          <w:tcPr>
            <w:tcW w:w="2467" w:type="dxa"/>
            <w:vAlign w:val="center"/>
          </w:tcPr>
          <w:p>
            <w:pPr>
              <w:snapToGrid w:val="0"/>
              <w:spacing w:line="300" w:lineRule="auto"/>
              <w:ind w:right="-334"/>
              <w:rPr>
                <w:sz w:val="18"/>
                <w:szCs w:val="18"/>
              </w:rPr>
            </w:pPr>
            <w:r>
              <w:rPr>
                <w:kern w:val="0"/>
                <w:sz w:val="18"/>
                <w:szCs w:val="18"/>
              </w:rPr>
              <w:t>掌握中断的原理、工作过程以及中断程序的设计</w:t>
            </w:r>
          </w:p>
        </w:tc>
        <w:tc>
          <w:tcPr>
            <w:tcW w:w="752" w:type="dxa"/>
            <w:vAlign w:val="center"/>
          </w:tcPr>
          <w:p>
            <w:pPr>
              <w:snapToGrid w:val="0"/>
              <w:spacing w:line="300" w:lineRule="auto"/>
              <w:jc w:val="center"/>
              <w:rPr>
                <w:kern w:val="0"/>
                <w:sz w:val="18"/>
                <w:szCs w:val="18"/>
              </w:rPr>
            </w:pPr>
            <w:r>
              <w:rPr>
                <w:kern w:val="0"/>
                <w:sz w:val="18"/>
                <w:szCs w:val="18"/>
              </w:rPr>
              <w:t>2</w:t>
            </w:r>
          </w:p>
        </w:tc>
        <w:tc>
          <w:tcPr>
            <w:tcW w:w="754" w:type="dxa"/>
            <w:vAlign w:val="center"/>
          </w:tcPr>
          <w:p>
            <w:pPr>
              <w:snapToGrid w:val="0"/>
              <w:spacing w:line="300" w:lineRule="auto"/>
              <w:jc w:val="center"/>
              <w:rPr>
                <w:kern w:val="0"/>
                <w:sz w:val="18"/>
                <w:szCs w:val="18"/>
              </w:rPr>
            </w:pPr>
            <w:r>
              <w:rPr>
                <w:kern w:val="0"/>
                <w:sz w:val="18"/>
                <w:szCs w:val="18"/>
              </w:rPr>
              <w:t>设计</w:t>
            </w:r>
          </w:p>
        </w:tc>
        <w:tc>
          <w:tcPr>
            <w:tcW w:w="752" w:type="dxa"/>
            <w:vAlign w:val="center"/>
          </w:tcPr>
          <w:p>
            <w:pPr>
              <w:snapToGrid w:val="0"/>
              <w:spacing w:line="300" w:lineRule="auto"/>
              <w:jc w:val="center"/>
              <w:rPr>
                <w:kern w:val="0"/>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必开</w:t>
            </w:r>
          </w:p>
        </w:tc>
        <w:tc>
          <w:tcPr>
            <w:tcW w:w="754" w:type="dxa"/>
            <w:vAlign w:val="center"/>
          </w:tcPr>
          <w:p>
            <w:pPr>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07" w:type="dxa"/>
            <w:vAlign w:val="center"/>
          </w:tcPr>
          <w:p>
            <w:pPr>
              <w:snapToGrid w:val="0"/>
              <w:spacing w:line="300" w:lineRule="auto"/>
              <w:jc w:val="center"/>
              <w:rPr>
                <w:sz w:val="18"/>
                <w:szCs w:val="18"/>
              </w:rPr>
            </w:pPr>
            <w:r>
              <w:rPr>
                <w:sz w:val="18"/>
                <w:szCs w:val="18"/>
              </w:rPr>
              <w:t>4</w:t>
            </w:r>
          </w:p>
        </w:tc>
        <w:tc>
          <w:tcPr>
            <w:tcW w:w="1741" w:type="dxa"/>
            <w:vAlign w:val="center"/>
          </w:tcPr>
          <w:p>
            <w:pPr>
              <w:snapToGrid w:val="0"/>
              <w:spacing w:line="300" w:lineRule="auto"/>
              <w:rPr>
                <w:sz w:val="18"/>
                <w:szCs w:val="18"/>
              </w:rPr>
            </w:pPr>
            <w:r>
              <w:rPr>
                <w:kern w:val="0"/>
                <w:sz w:val="18"/>
                <w:szCs w:val="18"/>
              </w:rPr>
              <w:t>8255并行I/O输入输出</w:t>
            </w:r>
          </w:p>
        </w:tc>
        <w:tc>
          <w:tcPr>
            <w:tcW w:w="2467" w:type="dxa"/>
            <w:vAlign w:val="center"/>
          </w:tcPr>
          <w:p>
            <w:pPr>
              <w:snapToGrid w:val="0"/>
              <w:spacing w:line="300" w:lineRule="auto"/>
              <w:rPr>
                <w:sz w:val="18"/>
                <w:szCs w:val="18"/>
              </w:rPr>
            </w:pPr>
            <w:r>
              <w:rPr>
                <w:kern w:val="0"/>
                <w:sz w:val="18"/>
                <w:szCs w:val="18"/>
              </w:rPr>
              <w:t>掌握接口芯片8255的工作原理、接口技术及接口程序设计</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综合</w:t>
            </w:r>
          </w:p>
        </w:tc>
        <w:tc>
          <w:tcPr>
            <w:tcW w:w="752" w:type="dxa"/>
            <w:vAlign w:val="center"/>
          </w:tcPr>
          <w:p>
            <w:pPr>
              <w:snapToGrid w:val="0"/>
              <w:spacing w:line="300" w:lineRule="auto"/>
              <w:jc w:val="center"/>
              <w:rPr>
                <w:sz w:val="18"/>
                <w:szCs w:val="18"/>
              </w:rPr>
            </w:pPr>
            <w:r>
              <w:rPr>
                <w:kern w:val="0"/>
                <w:sz w:val="18"/>
                <w:szCs w:val="18"/>
              </w:rPr>
              <w:t>2</w:t>
            </w:r>
          </w:p>
        </w:tc>
        <w:tc>
          <w:tcPr>
            <w:tcW w:w="754" w:type="dxa"/>
            <w:vAlign w:val="center"/>
          </w:tcPr>
          <w:p>
            <w:pPr>
              <w:snapToGrid w:val="0"/>
              <w:spacing w:line="300" w:lineRule="auto"/>
              <w:jc w:val="center"/>
              <w:rPr>
                <w:sz w:val="18"/>
                <w:szCs w:val="18"/>
              </w:rPr>
            </w:pPr>
            <w:r>
              <w:rPr>
                <w:kern w:val="0"/>
                <w:sz w:val="18"/>
                <w:szCs w:val="18"/>
              </w:rPr>
              <w:t>必开</w:t>
            </w:r>
          </w:p>
        </w:tc>
        <w:tc>
          <w:tcPr>
            <w:tcW w:w="754" w:type="dxa"/>
            <w:vAlign w:val="center"/>
          </w:tcPr>
          <w:p>
            <w:pPr>
              <w:snapToGrid w:val="0"/>
              <w:spacing w:line="300" w:lineRule="auto"/>
              <w:jc w:val="center"/>
              <w:rPr>
                <w:sz w:val="18"/>
                <w:szCs w:val="18"/>
              </w:rPr>
            </w:pPr>
            <w:r>
              <w:rPr>
                <w:kern w:val="0"/>
                <w:sz w:val="18"/>
                <w:szCs w:val="18"/>
              </w:rPr>
              <w:t>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1.考核方式：过程考核、形成性评价、终结性评价</w:t>
      </w:r>
    </w:p>
    <w:p>
      <w:pPr>
        <w:snapToGrid w:val="0"/>
        <w:spacing w:line="300" w:lineRule="auto"/>
        <w:ind w:left="1860" w:leftChars="200" w:hanging="1440" w:hangingChars="686"/>
      </w:pPr>
      <w:r>
        <w:rPr>
          <w:szCs w:val="21"/>
        </w:rPr>
        <w:t>2.考核成绩组成：</w:t>
      </w:r>
      <w:r>
        <w:t>结合教学要求中的知识、理解、分析、应用及综合等能力层次，体现对学生基本知识、基本技能、分析问题能力、综合应用能力、专业素养及创新能力考核要求。</w:t>
      </w:r>
    </w:p>
    <w:p>
      <w:pPr>
        <w:snapToGrid w:val="0"/>
        <w:spacing w:line="300" w:lineRule="auto"/>
        <w:ind w:firstLine="420" w:firstLineChars="200"/>
      </w:pPr>
      <w:r>
        <w:t>考核成绩由平时成绩和期末考试成绩组成，其中平时成绩占50%（包括课堂表现、课后作业、课堂讨论、随堂测验、在线学习、口头报告、实验和实验报告等组成），期末成绩（卷面成绩）占50%。具体见表5。</w:t>
      </w:r>
    </w:p>
    <w:p>
      <w:pPr>
        <w:widowControl/>
        <w:snapToGrid w:val="0"/>
        <w:spacing w:before="156" w:beforeLines="50" w:line="300" w:lineRule="auto"/>
        <w:ind w:left="1827" w:leftChars="870" w:firstLine="1446" w:firstLineChars="800"/>
        <w:jc w:val="left"/>
        <w:rPr>
          <w:b/>
          <w:kern w:val="0"/>
          <w:sz w:val="18"/>
          <w:szCs w:val="18"/>
        </w:rPr>
      </w:pPr>
      <w:r>
        <w:rPr>
          <w:b/>
          <w:kern w:val="0"/>
          <w:sz w:val="18"/>
          <w:szCs w:val="18"/>
        </w:rPr>
        <w:t>表5 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3"/>
        <w:gridCol w:w="703"/>
        <w:gridCol w:w="686"/>
        <w:gridCol w:w="759"/>
        <w:gridCol w:w="3215"/>
        <w:gridCol w:w="9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5" w:type="dxa"/>
            <w:vAlign w:val="center"/>
          </w:tcPr>
          <w:p>
            <w:pPr>
              <w:snapToGrid w:val="0"/>
              <w:spacing w:line="300" w:lineRule="auto"/>
              <w:jc w:val="center"/>
              <w:rPr>
                <w:b/>
                <w:sz w:val="18"/>
                <w:szCs w:val="18"/>
              </w:rPr>
            </w:pPr>
            <w:r>
              <w:rPr>
                <w:b/>
                <w:sz w:val="18"/>
                <w:szCs w:val="18"/>
              </w:rPr>
              <w:t>成绩</w:t>
            </w:r>
          </w:p>
          <w:p>
            <w:pPr>
              <w:snapToGrid w:val="0"/>
              <w:spacing w:line="300" w:lineRule="auto"/>
              <w:jc w:val="center"/>
              <w:rPr>
                <w:b/>
                <w:bCs/>
                <w:sz w:val="18"/>
                <w:szCs w:val="18"/>
              </w:rPr>
            </w:pPr>
            <w:r>
              <w:rPr>
                <w:b/>
                <w:sz w:val="18"/>
                <w:szCs w:val="18"/>
              </w:rPr>
              <w:t>类型</w:t>
            </w:r>
          </w:p>
        </w:tc>
        <w:tc>
          <w:tcPr>
            <w:tcW w:w="703" w:type="dxa"/>
            <w:vAlign w:val="center"/>
          </w:tcPr>
          <w:p>
            <w:pPr>
              <w:snapToGrid w:val="0"/>
              <w:spacing w:line="300" w:lineRule="auto"/>
              <w:jc w:val="center"/>
              <w:rPr>
                <w:b/>
                <w:bCs/>
                <w:sz w:val="18"/>
                <w:szCs w:val="18"/>
              </w:rPr>
            </w:pPr>
            <w:r>
              <w:rPr>
                <w:b/>
                <w:sz w:val="18"/>
                <w:szCs w:val="18"/>
              </w:rPr>
              <w:t>分值</w:t>
            </w:r>
          </w:p>
        </w:tc>
        <w:tc>
          <w:tcPr>
            <w:tcW w:w="703" w:type="dxa"/>
            <w:vAlign w:val="center"/>
          </w:tcPr>
          <w:p>
            <w:pPr>
              <w:snapToGrid w:val="0"/>
              <w:spacing w:line="300" w:lineRule="auto"/>
              <w:jc w:val="center"/>
              <w:rPr>
                <w:b/>
                <w:bCs/>
                <w:sz w:val="18"/>
                <w:szCs w:val="18"/>
              </w:rPr>
            </w:pPr>
            <w:r>
              <w:rPr>
                <w:b/>
                <w:sz w:val="18"/>
                <w:szCs w:val="18"/>
              </w:rPr>
              <w:t>权重</w:t>
            </w:r>
          </w:p>
        </w:tc>
        <w:tc>
          <w:tcPr>
            <w:tcW w:w="686" w:type="dxa"/>
            <w:vAlign w:val="center"/>
          </w:tcPr>
          <w:p>
            <w:pPr>
              <w:snapToGrid w:val="0"/>
              <w:spacing w:line="300" w:lineRule="auto"/>
              <w:jc w:val="center"/>
              <w:rPr>
                <w:b/>
                <w:bCs/>
                <w:sz w:val="18"/>
                <w:szCs w:val="18"/>
              </w:rPr>
            </w:pPr>
            <w:r>
              <w:rPr>
                <w:b/>
                <w:sz w:val="18"/>
                <w:szCs w:val="18"/>
              </w:rPr>
              <w:t>类别</w:t>
            </w:r>
          </w:p>
        </w:tc>
        <w:tc>
          <w:tcPr>
            <w:tcW w:w="759" w:type="dxa"/>
            <w:vAlign w:val="center"/>
          </w:tcPr>
          <w:p>
            <w:pPr>
              <w:snapToGrid w:val="0"/>
              <w:spacing w:line="300" w:lineRule="auto"/>
              <w:jc w:val="center"/>
              <w:rPr>
                <w:b/>
                <w:bCs/>
                <w:sz w:val="18"/>
                <w:szCs w:val="18"/>
              </w:rPr>
            </w:pPr>
            <w:r>
              <w:rPr>
                <w:b/>
                <w:sz w:val="18"/>
                <w:szCs w:val="18"/>
              </w:rPr>
              <w:t>权重</w:t>
            </w:r>
          </w:p>
        </w:tc>
        <w:tc>
          <w:tcPr>
            <w:tcW w:w="3215" w:type="dxa"/>
            <w:vAlign w:val="center"/>
          </w:tcPr>
          <w:p>
            <w:pPr>
              <w:snapToGrid w:val="0"/>
              <w:spacing w:line="300" w:lineRule="auto"/>
              <w:jc w:val="center"/>
              <w:rPr>
                <w:b/>
                <w:bCs/>
                <w:sz w:val="18"/>
                <w:szCs w:val="18"/>
              </w:rPr>
            </w:pPr>
            <w:r>
              <w:rPr>
                <w:b/>
                <w:bCs/>
                <w:sz w:val="18"/>
                <w:szCs w:val="18"/>
              </w:rPr>
              <w:t>考核/评价细则</w:t>
            </w:r>
          </w:p>
        </w:tc>
        <w:tc>
          <w:tcPr>
            <w:tcW w:w="955" w:type="dxa"/>
            <w:vAlign w:val="center"/>
          </w:tcPr>
          <w:p>
            <w:pPr>
              <w:snapToGrid w:val="0"/>
              <w:spacing w:line="300" w:lineRule="auto"/>
              <w:jc w:val="center"/>
              <w:rPr>
                <w:b/>
                <w:bCs/>
                <w:sz w:val="18"/>
                <w:szCs w:val="18"/>
              </w:rPr>
            </w:pPr>
            <w:r>
              <w:rPr>
                <w:b/>
                <w:bCs/>
                <w:sz w:val="18"/>
                <w:szCs w:val="18"/>
              </w:rPr>
              <w:t>课程目标</w:t>
            </w:r>
          </w:p>
        </w:tc>
        <w:tc>
          <w:tcPr>
            <w:tcW w:w="955" w:type="dxa"/>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snapToGrid w:val="0"/>
              <w:spacing w:line="300" w:lineRule="auto"/>
              <w:rPr>
                <w:sz w:val="18"/>
                <w:szCs w:val="18"/>
              </w:rPr>
            </w:pPr>
          </w:p>
          <w:p>
            <w:pPr>
              <w:snapToGrid w:val="0"/>
              <w:spacing w:line="300" w:lineRule="auto"/>
              <w:jc w:val="left"/>
              <w:rPr>
                <w:sz w:val="18"/>
                <w:szCs w:val="18"/>
              </w:rPr>
            </w:pPr>
            <w:r>
              <w:rPr>
                <w:sz w:val="18"/>
                <w:szCs w:val="18"/>
              </w:rPr>
              <w:t>平时成绩</w:t>
            </w:r>
          </w:p>
        </w:tc>
        <w:tc>
          <w:tcPr>
            <w:tcW w:w="703" w:type="dxa"/>
            <w:vMerge w:val="restart"/>
            <w:vAlign w:val="center"/>
          </w:tcPr>
          <w:p>
            <w:pPr>
              <w:snapToGrid w:val="0"/>
              <w:spacing w:line="300" w:lineRule="auto"/>
              <w:jc w:val="center"/>
              <w:rPr>
                <w:sz w:val="18"/>
                <w:szCs w:val="18"/>
              </w:rPr>
            </w:pPr>
            <w:r>
              <w:rPr>
                <w:sz w:val="18"/>
                <w:szCs w:val="18"/>
              </w:rPr>
              <w:t>100</w:t>
            </w:r>
          </w:p>
        </w:tc>
        <w:tc>
          <w:tcPr>
            <w:tcW w:w="703" w:type="dxa"/>
            <w:vMerge w:val="restart"/>
            <w:vAlign w:val="center"/>
          </w:tcPr>
          <w:p>
            <w:pPr>
              <w:snapToGrid w:val="0"/>
              <w:spacing w:line="300" w:lineRule="auto"/>
              <w:jc w:val="center"/>
              <w:rPr>
                <w:sz w:val="18"/>
                <w:szCs w:val="18"/>
              </w:rPr>
            </w:pPr>
            <w:r>
              <w:rPr>
                <w:sz w:val="18"/>
                <w:szCs w:val="18"/>
              </w:rPr>
              <w:t>0.5</w:t>
            </w:r>
          </w:p>
        </w:tc>
        <w:tc>
          <w:tcPr>
            <w:tcW w:w="686" w:type="dxa"/>
            <w:vAlign w:val="center"/>
          </w:tcPr>
          <w:p>
            <w:pPr>
              <w:snapToGrid w:val="0"/>
              <w:spacing w:line="300" w:lineRule="auto"/>
              <w:jc w:val="center"/>
              <w:rPr>
                <w:sz w:val="18"/>
                <w:szCs w:val="18"/>
              </w:rPr>
            </w:pPr>
            <w:r>
              <w:rPr>
                <w:sz w:val="18"/>
                <w:szCs w:val="18"/>
              </w:rPr>
              <w:t>课堂表现</w:t>
            </w:r>
          </w:p>
        </w:tc>
        <w:tc>
          <w:tcPr>
            <w:tcW w:w="759" w:type="dxa"/>
            <w:vAlign w:val="center"/>
          </w:tcPr>
          <w:p>
            <w:pPr>
              <w:snapToGrid w:val="0"/>
              <w:spacing w:line="300" w:lineRule="auto"/>
              <w:jc w:val="center"/>
              <w:rPr>
                <w:sz w:val="18"/>
                <w:szCs w:val="18"/>
              </w:rPr>
            </w:pPr>
            <w:r>
              <w:rPr>
                <w:sz w:val="18"/>
                <w:szCs w:val="18"/>
              </w:rPr>
              <w:t>0.1</w:t>
            </w:r>
          </w:p>
        </w:tc>
        <w:tc>
          <w:tcPr>
            <w:tcW w:w="3215" w:type="dxa"/>
            <w:vAlign w:val="center"/>
          </w:tcPr>
          <w:p>
            <w:pPr>
              <w:snapToGrid w:val="0"/>
              <w:spacing w:line="300" w:lineRule="auto"/>
              <w:jc w:val="left"/>
              <w:rPr>
                <w:sz w:val="18"/>
                <w:szCs w:val="18"/>
              </w:rPr>
            </w:pPr>
            <w:r>
              <w:rPr>
                <w:sz w:val="18"/>
                <w:szCs w:val="18"/>
              </w:rPr>
              <w:t>根据学生课堂表现打分，满分100。</w:t>
            </w:r>
          </w:p>
        </w:tc>
        <w:tc>
          <w:tcPr>
            <w:tcW w:w="955" w:type="dxa"/>
            <w:vAlign w:val="center"/>
          </w:tcPr>
          <w:p>
            <w:pPr>
              <w:snapToGrid w:val="0"/>
              <w:spacing w:line="300" w:lineRule="auto"/>
              <w:jc w:val="center"/>
              <w:rPr>
                <w:sz w:val="18"/>
                <w:szCs w:val="18"/>
              </w:rPr>
            </w:pPr>
            <w:r>
              <w:rPr>
                <w:sz w:val="18"/>
                <w:szCs w:val="18"/>
              </w:rPr>
              <w:t>1，2，4</w:t>
            </w:r>
          </w:p>
        </w:tc>
        <w:tc>
          <w:tcPr>
            <w:tcW w:w="955" w:type="dxa"/>
            <w:vMerge w:val="restart"/>
            <w:vAlign w:val="center"/>
          </w:tcPr>
          <w:p>
            <w:pPr>
              <w:snapToGrid w:val="0"/>
              <w:spacing w:line="300" w:lineRule="auto"/>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05" w:type="dxa"/>
            <w:vMerge w:val="continue"/>
            <w:vAlign w:val="center"/>
          </w:tcPr>
          <w:p>
            <w:pPr>
              <w:snapToGrid w:val="0"/>
              <w:spacing w:line="300" w:lineRule="auto"/>
              <w:rPr>
                <w:sz w:val="18"/>
                <w:szCs w:val="18"/>
              </w:rPr>
            </w:pPr>
          </w:p>
        </w:tc>
        <w:tc>
          <w:tcPr>
            <w:tcW w:w="703" w:type="dxa"/>
            <w:vMerge w:val="continue"/>
            <w:vAlign w:val="center"/>
          </w:tcPr>
          <w:p>
            <w:pPr>
              <w:snapToGrid w:val="0"/>
              <w:spacing w:line="300" w:lineRule="auto"/>
              <w:jc w:val="center"/>
              <w:rPr>
                <w:sz w:val="18"/>
                <w:szCs w:val="18"/>
              </w:rPr>
            </w:pPr>
          </w:p>
        </w:tc>
        <w:tc>
          <w:tcPr>
            <w:tcW w:w="703" w:type="dxa"/>
            <w:vMerge w:val="continue"/>
            <w:vAlign w:val="center"/>
          </w:tcPr>
          <w:p>
            <w:pPr>
              <w:snapToGrid w:val="0"/>
              <w:spacing w:line="300" w:lineRule="auto"/>
              <w:jc w:val="center"/>
              <w:rPr>
                <w:sz w:val="18"/>
                <w:szCs w:val="18"/>
              </w:rPr>
            </w:pPr>
          </w:p>
        </w:tc>
        <w:tc>
          <w:tcPr>
            <w:tcW w:w="686" w:type="dxa"/>
            <w:vAlign w:val="center"/>
          </w:tcPr>
          <w:p>
            <w:pPr>
              <w:snapToGrid w:val="0"/>
              <w:spacing w:line="300" w:lineRule="auto"/>
              <w:jc w:val="center"/>
              <w:rPr>
                <w:sz w:val="18"/>
                <w:szCs w:val="18"/>
              </w:rPr>
            </w:pPr>
            <w:r>
              <w:rPr>
                <w:sz w:val="18"/>
                <w:szCs w:val="18"/>
              </w:rPr>
              <w:t>作业</w:t>
            </w:r>
          </w:p>
        </w:tc>
        <w:tc>
          <w:tcPr>
            <w:tcW w:w="759" w:type="dxa"/>
            <w:vAlign w:val="center"/>
          </w:tcPr>
          <w:p>
            <w:pPr>
              <w:snapToGrid w:val="0"/>
              <w:spacing w:line="300" w:lineRule="auto"/>
              <w:jc w:val="center"/>
              <w:rPr>
                <w:sz w:val="18"/>
                <w:szCs w:val="18"/>
              </w:rPr>
            </w:pPr>
            <w:r>
              <w:rPr>
                <w:sz w:val="18"/>
                <w:szCs w:val="18"/>
              </w:rPr>
              <w:t>0.3</w:t>
            </w:r>
          </w:p>
        </w:tc>
        <w:tc>
          <w:tcPr>
            <w:tcW w:w="3215"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955" w:type="dxa"/>
            <w:vAlign w:val="center"/>
          </w:tcPr>
          <w:p>
            <w:pPr>
              <w:snapToGrid w:val="0"/>
              <w:spacing w:line="300" w:lineRule="auto"/>
              <w:jc w:val="center"/>
              <w:rPr>
                <w:sz w:val="18"/>
                <w:szCs w:val="18"/>
              </w:rPr>
            </w:pPr>
            <w:r>
              <w:rPr>
                <w:sz w:val="18"/>
                <w:szCs w:val="18"/>
              </w:rPr>
              <w:t>1，2，3</w:t>
            </w:r>
          </w:p>
        </w:tc>
        <w:tc>
          <w:tcPr>
            <w:tcW w:w="955" w:type="dxa"/>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snapToGrid w:val="0"/>
              <w:spacing w:line="300" w:lineRule="auto"/>
              <w:rPr>
                <w:sz w:val="18"/>
                <w:szCs w:val="18"/>
              </w:rPr>
            </w:pPr>
          </w:p>
        </w:tc>
        <w:tc>
          <w:tcPr>
            <w:tcW w:w="703" w:type="dxa"/>
            <w:vMerge w:val="continue"/>
            <w:vAlign w:val="center"/>
          </w:tcPr>
          <w:p>
            <w:pPr>
              <w:snapToGrid w:val="0"/>
              <w:spacing w:line="300" w:lineRule="auto"/>
              <w:jc w:val="center"/>
              <w:rPr>
                <w:sz w:val="18"/>
                <w:szCs w:val="18"/>
              </w:rPr>
            </w:pPr>
          </w:p>
        </w:tc>
        <w:tc>
          <w:tcPr>
            <w:tcW w:w="703" w:type="dxa"/>
            <w:vMerge w:val="continue"/>
            <w:vAlign w:val="center"/>
          </w:tcPr>
          <w:p>
            <w:pPr>
              <w:snapToGrid w:val="0"/>
              <w:spacing w:line="300" w:lineRule="auto"/>
              <w:jc w:val="center"/>
              <w:rPr>
                <w:sz w:val="18"/>
                <w:szCs w:val="18"/>
              </w:rPr>
            </w:pPr>
          </w:p>
        </w:tc>
        <w:tc>
          <w:tcPr>
            <w:tcW w:w="686" w:type="dxa"/>
            <w:vAlign w:val="center"/>
          </w:tcPr>
          <w:p>
            <w:pPr>
              <w:snapToGrid w:val="0"/>
              <w:spacing w:line="300" w:lineRule="auto"/>
              <w:jc w:val="center"/>
              <w:rPr>
                <w:sz w:val="18"/>
                <w:szCs w:val="18"/>
              </w:rPr>
            </w:pPr>
            <w:r>
              <w:rPr>
                <w:sz w:val="18"/>
                <w:szCs w:val="18"/>
              </w:rPr>
              <w:t>实验</w:t>
            </w:r>
          </w:p>
        </w:tc>
        <w:tc>
          <w:tcPr>
            <w:tcW w:w="759" w:type="dxa"/>
            <w:vAlign w:val="center"/>
          </w:tcPr>
          <w:p>
            <w:pPr>
              <w:snapToGrid w:val="0"/>
              <w:spacing w:line="300" w:lineRule="auto"/>
              <w:jc w:val="center"/>
              <w:rPr>
                <w:sz w:val="18"/>
                <w:szCs w:val="18"/>
              </w:rPr>
            </w:pPr>
            <w:r>
              <w:rPr>
                <w:sz w:val="18"/>
                <w:szCs w:val="18"/>
              </w:rPr>
              <w:t>0.3</w:t>
            </w:r>
          </w:p>
        </w:tc>
        <w:tc>
          <w:tcPr>
            <w:tcW w:w="3215"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955" w:type="dxa"/>
            <w:vAlign w:val="center"/>
          </w:tcPr>
          <w:p>
            <w:pPr>
              <w:snapToGrid w:val="0"/>
              <w:spacing w:line="300" w:lineRule="auto"/>
              <w:jc w:val="center"/>
              <w:rPr>
                <w:sz w:val="18"/>
                <w:szCs w:val="18"/>
              </w:rPr>
            </w:pPr>
            <w:r>
              <w:rPr>
                <w:sz w:val="18"/>
                <w:szCs w:val="18"/>
              </w:rPr>
              <w:t>2，3</w:t>
            </w:r>
          </w:p>
        </w:tc>
        <w:tc>
          <w:tcPr>
            <w:tcW w:w="955" w:type="dxa"/>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5" w:type="dxa"/>
            <w:vMerge w:val="continue"/>
            <w:vAlign w:val="center"/>
          </w:tcPr>
          <w:p>
            <w:pPr>
              <w:snapToGrid w:val="0"/>
              <w:spacing w:line="300" w:lineRule="auto"/>
              <w:rPr>
                <w:sz w:val="18"/>
                <w:szCs w:val="18"/>
              </w:rPr>
            </w:pPr>
          </w:p>
        </w:tc>
        <w:tc>
          <w:tcPr>
            <w:tcW w:w="703" w:type="dxa"/>
            <w:vMerge w:val="continue"/>
            <w:vAlign w:val="center"/>
          </w:tcPr>
          <w:p>
            <w:pPr>
              <w:snapToGrid w:val="0"/>
              <w:spacing w:line="300" w:lineRule="auto"/>
              <w:jc w:val="center"/>
              <w:rPr>
                <w:sz w:val="18"/>
                <w:szCs w:val="18"/>
              </w:rPr>
            </w:pPr>
          </w:p>
        </w:tc>
        <w:tc>
          <w:tcPr>
            <w:tcW w:w="703" w:type="dxa"/>
            <w:vMerge w:val="continue"/>
            <w:vAlign w:val="center"/>
          </w:tcPr>
          <w:p>
            <w:pPr>
              <w:snapToGrid w:val="0"/>
              <w:spacing w:line="300" w:lineRule="auto"/>
              <w:jc w:val="center"/>
              <w:rPr>
                <w:sz w:val="18"/>
                <w:szCs w:val="18"/>
              </w:rPr>
            </w:pPr>
          </w:p>
        </w:tc>
        <w:tc>
          <w:tcPr>
            <w:tcW w:w="686" w:type="dxa"/>
            <w:vAlign w:val="center"/>
          </w:tcPr>
          <w:p>
            <w:pPr>
              <w:snapToGrid w:val="0"/>
              <w:spacing w:line="300" w:lineRule="auto"/>
              <w:jc w:val="center"/>
              <w:rPr>
                <w:sz w:val="18"/>
                <w:szCs w:val="18"/>
              </w:rPr>
            </w:pPr>
            <w:r>
              <w:rPr>
                <w:sz w:val="18"/>
                <w:szCs w:val="18"/>
              </w:rPr>
              <w:t>平时测验</w:t>
            </w:r>
          </w:p>
        </w:tc>
        <w:tc>
          <w:tcPr>
            <w:tcW w:w="759" w:type="dxa"/>
            <w:vAlign w:val="center"/>
          </w:tcPr>
          <w:p>
            <w:pPr>
              <w:snapToGrid w:val="0"/>
              <w:spacing w:line="300" w:lineRule="auto"/>
              <w:jc w:val="center"/>
              <w:rPr>
                <w:sz w:val="18"/>
                <w:szCs w:val="18"/>
              </w:rPr>
            </w:pPr>
            <w:r>
              <w:rPr>
                <w:sz w:val="18"/>
                <w:szCs w:val="18"/>
              </w:rPr>
              <w:t>0.2</w:t>
            </w:r>
          </w:p>
        </w:tc>
        <w:tc>
          <w:tcPr>
            <w:tcW w:w="3215" w:type="dxa"/>
            <w:vAlign w:val="center"/>
          </w:tcPr>
          <w:p>
            <w:pPr>
              <w:snapToGrid w:val="0"/>
              <w:spacing w:line="300" w:lineRule="auto"/>
              <w:jc w:val="left"/>
              <w:rPr>
                <w:sz w:val="18"/>
                <w:szCs w:val="18"/>
              </w:rPr>
            </w:pPr>
            <w:r>
              <w:rPr>
                <w:sz w:val="18"/>
                <w:szCs w:val="18"/>
              </w:rPr>
              <w:t>做两三次平时测验，每次满分100分。</w:t>
            </w:r>
          </w:p>
        </w:tc>
        <w:tc>
          <w:tcPr>
            <w:tcW w:w="955" w:type="dxa"/>
            <w:vAlign w:val="center"/>
          </w:tcPr>
          <w:p>
            <w:pPr>
              <w:snapToGrid w:val="0"/>
              <w:spacing w:line="300" w:lineRule="auto"/>
              <w:jc w:val="center"/>
              <w:rPr>
                <w:sz w:val="18"/>
                <w:szCs w:val="18"/>
              </w:rPr>
            </w:pPr>
            <w:r>
              <w:rPr>
                <w:sz w:val="18"/>
                <w:szCs w:val="18"/>
              </w:rPr>
              <w:t>1，2</w:t>
            </w:r>
          </w:p>
        </w:tc>
        <w:tc>
          <w:tcPr>
            <w:tcW w:w="955" w:type="dxa"/>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05" w:type="dxa"/>
            <w:vMerge w:val="continue"/>
            <w:vAlign w:val="center"/>
          </w:tcPr>
          <w:p>
            <w:pPr>
              <w:snapToGrid w:val="0"/>
              <w:spacing w:line="300" w:lineRule="auto"/>
              <w:rPr>
                <w:sz w:val="18"/>
                <w:szCs w:val="18"/>
              </w:rPr>
            </w:pPr>
          </w:p>
        </w:tc>
        <w:tc>
          <w:tcPr>
            <w:tcW w:w="703" w:type="dxa"/>
            <w:vMerge w:val="continue"/>
            <w:vAlign w:val="center"/>
          </w:tcPr>
          <w:p>
            <w:pPr>
              <w:snapToGrid w:val="0"/>
              <w:spacing w:line="300" w:lineRule="auto"/>
              <w:jc w:val="center"/>
              <w:rPr>
                <w:sz w:val="18"/>
                <w:szCs w:val="18"/>
              </w:rPr>
            </w:pPr>
          </w:p>
        </w:tc>
        <w:tc>
          <w:tcPr>
            <w:tcW w:w="703" w:type="dxa"/>
            <w:vMerge w:val="continue"/>
            <w:vAlign w:val="center"/>
          </w:tcPr>
          <w:p>
            <w:pPr>
              <w:snapToGrid w:val="0"/>
              <w:spacing w:line="300" w:lineRule="auto"/>
              <w:jc w:val="center"/>
              <w:rPr>
                <w:sz w:val="18"/>
                <w:szCs w:val="18"/>
              </w:rPr>
            </w:pPr>
          </w:p>
        </w:tc>
        <w:tc>
          <w:tcPr>
            <w:tcW w:w="686" w:type="dxa"/>
            <w:vAlign w:val="center"/>
          </w:tcPr>
          <w:p>
            <w:pPr>
              <w:snapToGrid w:val="0"/>
              <w:spacing w:line="300" w:lineRule="auto"/>
              <w:jc w:val="center"/>
              <w:rPr>
                <w:sz w:val="18"/>
                <w:szCs w:val="18"/>
              </w:rPr>
            </w:pPr>
            <w:r>
              <w:rPr>
                <w:sz w:val="18"/>
                <w:szCs w:val="18"/>
              </w:rPr>
              <w:t>项目研究</w:t>
            </w:r>
          </w:p>
        </w:tc>
        <w:tc>
          <w:tcPr>
            <w:tcW w:w="759" w:type="dxa"/>
            <w:vAlign w:val="center"/>
          </w:tcPr>
          <w:p>
            <w:pPr>
              <w:snapToGrid w:val="0"/>
              <w:spacing w:line="300" w:lineRule="auto"/>
              <w:jc w:val="center"/>
              <w:rPr>
                <w:sz w:val="18"/>
                <w:szCs w:val="18"/>
              </w:rPr>
            </w:pPr>
            <w:r>
              <w:rPr>
                <w:sz w:val="18"/>
                <w:szCs w:val="18"/>
              </w:rPr>
              <w:t>0.1</w:t>
            </w:r>
          </w:p>
        </w:tc>
        <w:tc>
          <w:tcPr>
            <w:tcW w:w="3215" w:type="dxa"/>
            <w:vAlign w:val="center"/>
          </w:tcPr>
          <w:p>
            <w:pPr>
              <w:snapToGrid w:val="0"/>
              <w:spacing w:line="300" w:lineRule="auto"/>
              <w:jc w:val="left"/>
              <w:rPr>
                <w:sz w:val="18"/>
                <w:szCs w:val="18"/>
              </w:rPr>
            </w:pPr>
            <w:r>
              <w:rPr>
                <w:sz w:val="18"/>
                <w:szCs w:val="18"/>
              </w:rPr>
              <w:t>以小组为单位选题，并撰写报告，设计PPT，最高分100分</w:t>
            </w:r>
          </w:p>
        </w:tc>
        <w:tc>
          <w:tcPr>
            <w:tcW w:w="955" w:type="dxa"/>
            <w:vAlign w:val="center"/>
          </w:tcPr>
          <w:p>
            <w:pPr>
              <w:snapToGrid w:val="0"/>
              <w:spacing w:line="300" w:lineRule="auto"/>
              <w:jc w:val="center"/>
              <w:rPr>
                <w:sz w:val="18"/>
                <w:szCs w:val="18"/>
              </w:rPr>
            </w:pPr>
            <w:r>
              <w:rPr>
                <w:sz w:val="18"/>
                <w:szCs w:val="18"/>
              </w:rPr>
              <w:t>1，4</w:t>
            </w:r>
          </w:p>
        </w:tc>
        <w:tc>
          <w:tcPr>
            <w:tcW w:w="955" w:type="dxa"/>
            <w:vAlign w:val="center"/>
          </w:tcPr>
          <w:p>
            <w:pPr>
              <w:snapToGrid w:val="0"/>
              <w:spacing w:line="300" w:lineRule="auto"/>
              <w:jc w:val="center"/>
              <w:rPr>
                <w:sz w:val="18"/>
                <w:szCs w:val="18"/>
              </w:rPr>
            </w:pPr>
            <w:r>
              <w:rPr>
                <w:rFonts w:hint="eastAsia"/>
                <w:sz w:val="18"/>
                <w:szCs w:val="18"/>
              </w:rPr>
              <w:t>4</w:t>
            </w:r>
            <w:r>
              <w:rPr>
                <w:sz w:val="18"/>
                <w:szCs w:val="18"/>
              </w:rPr>
              <w:t>.</w:t>
            </w:r>
            <w:r>
              <w:rPr>
                <w:rFonts w:hint="eastAsia"/>
                <w:sz w:val="18"/>
                <w:szCs w:val="18"/>
              </w:rPr>
              <w:t>2</w:t>
            </w:r>
          </w:p>
          <w:p>
            <w:pPr>
              <w:snapToGrid w:val="0"/>
              <w:spacing w:line="300" w:lineRule="auto"/>
              <w:jc w:val="center"/>
              <w:rPr>
                <w:sz w:val="18"/>
                <w:szCs w:val="18"/>
              </w:rPr>
            </w:pPr>
            <w:r>
              <w:rPr>
                <w:rFonts w:hint="eastAsia"/>
                <w:sz w:val="18"/>
                <w:szCs w:val="18"/>
              </w:rPr>
              <w:t>12</w:t>
            </w:r>
            <w:r>
              <w:rPr>
                <w:sz w:val="18"/>
                <w:szCs w:val="18"/>
              </w:rPr>
              <w:t>.</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05" w:type="dxa"/>
            <w:vAlign w:val="center"/>
          </w:tcPr>
          <w:p>
            <w:pPr>
              <w:snapToGrid w:val="0"/>
              <w:spacing w:line="300" w:lineRule="auto"/>
              <w:jc w:val="left"/>
              <w:rPr>
                <w:sz w:val="18"/>
                <w:szCs w:val="18"/>
              </w:rPr>
            </w:pPr>
            <w:r>
              <w:rPr>
                <w:sz w:val="18"/>
                <w:szCs w:val="18"/>
              </w:rPr>
              <w:t>期末考试成绩</w:t>
            </w:r>
          </w:p>
        </w:tc>
        <w:tc>
          <w:tcPr>
            <w:tcW w:w="703" w:type="dxa"/>
            <w:vAlign w:val="center"/>
          </w:tcPr>
          <w:p>
            <w:pPr>
              <w:snapToGrid w:val="0"/>
              <w:spacing w:line="300" w:lineRule="auto"/>
              <w:jc w:val="center"/>
              <w:rPr>
                <w:sz w:val="18"/>
                <w:szCs w:val="18"/>
              </w:rPr>
            </w:pPr>
            <w:r>
              <w:rPr>
                <w:sz w:val="18"/>
                <w:szCs w:val="18"/>
              </w:rPr>
              <w:t>100</w:t>
            </w:r>
          </w:p>
        </w:tc>
        <w:tc>
          <w:tcPr>
            <w:tcW w:w="703" w:type="dxa"/>
            <w:vAlign w:val="center"/>
          </w:tcPr>
          <w:p>
            <w:pPr>
              <w:snapToGrid w:val="0"/>
              <w:spacing w:line="300" w:lineRule="auto"/>
              <w:jc w:val="center"/>
              <w:rPr>
                <w:sz w:val="18"/>
                <w:szCs w:val="18"/>
              </w:rPr>
            </w:pPr>
            <w:r>
              <w:rPr>
                <w:sz w:val="18"/>
                <w:szCs w:val="18"/>
              </w:rPr>
              <w:t>0.5</w:t>
            </w:r>
          </w:p>
        </w:tc>
        <w:tc>
          <w:tcPr>
            <w:tcW w:w="686" w:type="dxa"/>
            <w:vAlign w:val="center"/>
          </w:tcPr>
          <w:p>
            <w:pPr>
              <w:snapToGrid w:val="0"/>
              <w:spacing w:line="300" w:lineRule="auto"/>
              <w:rPr>
                <w:sz w:val="18"/>
                <w:szCs w:val="18"/>
              </w:rPr>
            </w:pPr>
            <w:r>
              <w:rPr>
                <w:sz w:val="18"/>
                <w:szCs w:val="18"/>
              </w:rPr>
              <w:t>闭卷考试</w:t>
            </w:r>
          </w:p>
        </w:tc>
        <w:tc>
          <w:tcPr>
            <w:tcW w:w="759" w:type="dxa"/>
            <w:vAlign w:val="center"/>
          </w:tcPr>
          <w:p>
            <w:pPr>
              <w:snapToGrid w:val="0"/>
              <w:spacing w:line="300" w:lineRule="auto"/>
              <w:jc w:val="center"/>
              <w:rPr>
                <w:sz w:val="18"/>
                <w:szCs w:val="18"/>
              </w:rPr>
            </w:pPr>
            <w:r>
              <w:rPr>
                <w:sz w:val="18"/>
                <w:szCs w:val="18"/>
              </w:rPr>
              <w:t>1</w:t>
            </w:r>
          </w:p>
        </w:tc>
        <w:tc>
          <w:tcPr>
            <w:tcW w:w="3215"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第1-11章</w:t>
            </w:r>
          </w:p>
          <w:p>
            <w:pPr>
              <w:snapToGrid w:val="0"/>
              <w:spacing w:line="300" w:lineRule="auto"/>
              <w:rPr>
                <w:sz w:val="18"/>
                <w:szCs w:val="18"/>
              </w:rPr>
            </w:pPr>
            <w:r>
              <w:rPr>
                <w:sz w:val="18"/>
                <w:szCs w:val="18"/>
              </w:rPr>
              <w:t>(3)建议考试题型包括：选择题、填空题、分析判断、综合计算题、设计、综合题等其中某几种题型</w:t>
            </w:r>
          </w:p>
        </w:tc>
        <w:tc>
          <w:tcPr>
            <w:tcW w:w="955" w:type="dxa"/>
            <w:vAlign w:val="center"/>
          </w:tcPr>
          <w:p>
            <w:pPr>
              <w:snapToGrid w:val="0"/>
              <w:spacing w:line="300" w:lineRule="auto"/>
              <w:jc w:val="center"/>
              <w:rPr>
                <w:sz w:val="18"/>
                <w:szCs w:val="18"/>
              </w:rPr>
            </w:pPr>
            <w:r>
              <w:rPr>
                <w:sz w:val="18"/>
                <w:szCs w:val="18"/>
              </w:rPr>
              <w:t>1，2，3，4</w:t>
            </w:r>
          </w:p>
        </w:tc>
        <w:tc>
          <w:tcPr>
            <w:tcW w:w="955" w:type="dxa"/>
            <w:vAlign w:val="center"/>
          </w:tcPr>
          <w:p>
            <w:pPr>
              <w:snapToGrid w:val="0"/>
              <w:spacing w:line="300" w:lineRule="auto"/>
              <w:jc w:val="center"/>
              <w:rPr>
                <w:sz w:val="18"/>
                <w:szCs w:val="18"/>
              </w:rPr>
            </w:pPr>
            <w:r>
              <w:rPr>
                <w:rFonts w:hint="eastAsia"/>
                <w:sz w:val="18"/>
                <w:szCs w:val="18"/>
              </w:rPr>
              <w:t>1</w:t>
            </w:r>
            <w:r>
              <w:rPr>
                <w:sz w:val="18"/>
                <w:szCs w:val="18"/>
              </w:rPr>
              <w:t>.</w:t>
            </w:r>
            <w:r>
              <w:rPr>
                <w:rFonts w:hint="eastAsia"/>
                <w:sz w:val="18"/>
                <w:szCs w:val="18"/>
              </w:rPr>
              <w:t>2</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rPr>
          <w:szCs w:val="21"/>
        </w:rPr>
      </w:pPr>
      <w:r>
        <w:rPr>
          <w:szCs w:val="21"/>
        </w:rPr>
        <w:t>1.达成度评价依据和方法：</w:t>
      </w:r>
    </w:p>
    <w:p>
      <w:pPr>
        <w:snapToGrid w:val="0"/>
        <w:spacing w:before="6" w:line="300" w:lineRule="auto"/>
        <w:ind w:right="272" w:firstLine="420" w:firstLineChars="200"/>
        <w:rPr>
          <w:szCs w:val="21"/>
        </w:rPr>
      </w:pPr>
      <w:r>
        <w:rPr>
          <w:szCs w:val="21"/>
        </w:rPr>
        <w:t>课程目标评价方式 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方</w:t>
      </w:r>
      <w:r>
        <w:rPr>
          <w:szCs w:val="21"/>
        </w:rPr>
        <w:t>法</w:t>
      </w:r>
      <w:r>
        <w:rPr>
          <w:spacing w:val="-2"/>
          <w:szCs w:val="21"/>
        </w:rPr>
        <w:t>如</w:t>
      </w:r>
      <w:r>
        <w:rPr>
          <w:szCs w:val="21"/>
        </w:rPr>
        <w:t>下：</w:t>
      </w:r>
    </w:p>
    <w:p>
      <w:pPr>
        <w:snapToGrid w:val="0"/>
        <w:spacing w:line="300" w:lineRule="auto"/>
        <w:ind w:left="661"/>
      </w:pPr>
      <w:r>
        <w:rPr>
          <w:position w:val="-26"/>
        </w:rPr>
        <w:object>
          <v:shape id="_x0000_i1092" o:spt="75" type="#_x0000_t75" style="height:30pt;width:360pt;" o:ole="t" filled="f" o:preferrelative="t" stroked="f" coordsize="21600,21600">
            <v:path/>
            <v:fill on="f" focussize="0,0"/>
            <v:stroke on="f" joinstyle="miter"/>
            <v:imagedata r:id="rId36" o:title=""/>
            <o:lock v:ext="edit" aspectratio="t"/>
            <w10:wrap type="none"/>
            <w10:anchorlock/>
          </v:shape>
          <o:OLEObject Type="Embed" ProgID="Equation.3" ShapeID="_x0000_i1092" DrawAspect="Content" ObjectID="_1468075791" r:id="rId104">
            <o:LockedField>false</o:LockedField>
          </o:OLEObject>
        </w:object>
      </w:r>
    </w:p>
    <w:p>
      <w:pPr>
        <w:snapToGrid w:val="0"/>
        <w:spacing w:before="6" w:line="300" w:lineRule="auto"/>
        <w:ind w:right="272" w:firstLine="420"/>
        <w:rPr>
          <w:szCs w:val="21"/>
        </w:rPr>
      </w:pPr>
      <w:r>
        <w:rPr>
          <w:szCs w:val="21"/>
        </w:rPr>
        <w:t>课程总目标达成度为 4个课程目标的加权得分率，其计算公式为：</w:t>
      </w:r>
    </w:p>
    <w:p>
      <w:pPr>
        <w:snapToGrid w:val="0"/>
        <w:spacing w:before="72" w:line="300" w:lineRule="auto"/>
        <w:ind w:right="-20"/>
        <w:jc w:val="center"/>
        <w:rPr>
          <w:szCs w:val="21"/>
        </w:rPr>
      </w:pPr>
      <w:bookmarkStart w:id="127" w:name="_Hlk36223692"/>
      <w:r>
        <w:object>
          <v:shape id="_x0000_i1093" o:spt="75" type="#_x0000_t75" style="height:20.25pt;width:316.5pt;" o:ole="t" filled="f" o:preferrelative="t" stroked="f" coordsize="21600,21600">
            <v:path/>
            <v:fill on="f" focussize="0,0"/>
            <v:stroke on="f" joinstyle="miter"/>
            <v:imagedata r:id="rId38" o:title=""/>
            <o:lock v:ext="edit" aspectratio="t"/>
            <w10:wrap type="none"/>
            <w10:anchorlock/>
          </v:shape>
          <o:OLEObject Type="Embed" ProgID="Equation.DSMT4" ShapeID="_x0000_i1093" DrawAspect="Content" ObjectID="_1468075792" r:id="rId105">
            <o:LockedField>false</o:LockedField>
          </o:OLEObject>
        </w:object>
      </w:r>
      <w:bookmarkEnd w:id="127"/>
    </w:p>
    <w:p>
      <w:pPr>
        <w:snapToGrid w:val="0"/>
        <w:spacing w:line="300" w:lineRule="auto"/>
        <w:ind w:right="-23"/>
        <w:rPr>
          <w:spacing w:val="-2"/>
          <w:position w:val="-3"/>
          <w:szCs w:val="21"/>
        </w:rPr>
      </w:pPr>
      <w:r>
        <w:rPr>
          <w:position w:val="-3"/>
          <w:szCs w:val="21"/>
        </w:rPr>
        <w:t>其中</w:t>
      </w:r>
      <w:r>
        <w:rPr>
          <w:spacing w:val="-2"/>
          <w:position w:val="-3"/>
          <w:szCs w:val="21"/>
        </w:rPr>
        <w:t>权</w:t>
      </w:r>
      <w:r>
        <w:rPr>
          <w:position w:val="-3"/>
          <w:szCs w:val="21"/>
        </w:rPr>
        <w:t>重</w:t>
      </w:r>
      <w:r>
        <w:rPr>
          <w:spacing w:val="-2"/>
          <w:position w:val="-3"/>
          <w:szCs w:val="21"/>
        </w:rPr>
        <w:t>系</w:t>
      </w:r>
      <w:r>
        <w:rPr>
          <w:position w:val="-3"/>
          <w:szCs w:val="21"/>
        </w:rPr>
        <w:t>数</w:t>
      </w:r>
      <w:r>
        <w:rPr>
          <w:spacing w:val="-2"/>
          <w:position w:val="-3"/>
          <w:szCs w:val="21"/>
        </w:rPr>
        <w:t>设</w:t>
      </w:r>
      <w:r>
        <w:rPr>
          <w:position w:val="-3"/>
          <w:szCs w:val="21"/>
        </w:rPr>
        <w:t>定</w:t>
      </w:r>
      <w:r>
        <w:rPr>
          <w:spacing w:val="-2"/>
          <w:position w:val="-3"/>
          <w:szCs w:val="21"/>
        </w:rPr>
        <w:t>如表6。</w:t>
      </w:r>
    </w:p>
    <w:p>
      <w:pPr>
        <w:snapToGrid w:val="0"/>
        <w:spacing w:before="156" w:beforeLines="50" w:line="300" w:lineRule="auto"/>
        <w:ind w:left="300" w:leftChars="143" w:right="-23" w:firstLine="2620" w:firstLineChars="1450"/>
        <w:rPr>
          <w:b/>
          <w:sz w:val="18"/>
          <w:szCs w:val="18"/>
        </w:rPr>
      </w:pPr>
      <w:r>
        <w:rPr>
          <w:b/>
          <w:sz w:val="18"/>
          <w:szCs w:val="18"/>
        </w:rPr>
        <w:t>表6 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501"/>
        <w:gridCol w:w="1795"/>
        <w:gridCol w:w="1795"/>
        <w:gridCol w:w="179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01" w:type="dxa"/>
            <w:vAlign w:val="center"/>
          </w:tcPr>
          <w:p>
            <w:pPr>
              <w:snapToGrid w:val="0"/>
              <w:spacing w:line="300" w:lineRule="auto"/>
              <w:jc w:val="center"/>
              <w:rPr>
                <w:b/>
                <w:bCs/>
                <w:sz w:val="18"/>
                <w:szCs w:val="18"/>
              </w:rPr>
            </w:pPr>
            <w:r>
              <w:rPr>
                <w:b/>
                <w:bCs/>
                <w:sz w:val="18"/>
                <w:szCs w:val="18"/>
              </w:rPr>
              <w:t>课程目标</w:t>
            </w:r>
          </w:p>
        </w:tc>
        <w:tc>
          <w:tcPr>
            <w:tcW w:w="1795" w:type="dxa"/>
            <w:vAlign w:val="center"/>
          </w:tcPr>
          <w:p>
            <w:pPr>
              <w:snapToGrid w:val="0"/>
              <w:spacing w:line="300" w:lineRule="auto"/>
              <w:rPr>
                <w:sz w:val="18"/>
                <w:szCs w:val="18"/>
              </w:rPr>
            </w:pPr>
            <w:r>
              <w:rPr>
                <w:rFonts w:hint="eastAsia"/>
                <w:sz w:val="18"/>
                <w:szCs w:val="18"/>
              </w:rPr>
              <w:t xml:space="preserve">        1 </w:t>
            </w:r>
          </w:p>
        </w:tc>
        <w:tc>
          <w:tcPr>
            <w:tcW w:w="1795" w:type="dxa"/>
            <w:vAlign w:val="center"/>
          </w:tcPr>
          <w:p>
            <w:pPr>
              <w:snapToGrid w:val="0"/>
              <w:spacing w:line="300" w:lineRule="auto"/>
              <w:rPr>
                <w:sz w:val="18"/>
                <w:szCs w:val="18"/>
              </w:rPr>
            </w:pPr>
            <w:r>
              <w:rPr>
                <w:rFonts w:hint="eastAsia"/>
                <w:sz w:val="18"/>
                <w:szCs w:val="18"/>
              </w:rPr>
              <w:t xml:space="preserve">        2</w:t>
            </w:r>
          </w:p>
        </w:tc>
        <w:tc>
          <w:tcPr>
            <w:tcW w:w="1795" w:type="dxa"/>
            <w:vAlign w:val="center"/>
          </w:tcPr>
          <w:p>
            <w:pPr>
              <w:snapToGrid w:val="0"/>
              <w:spacing w:line="300" w:lineRule="auto"/>
              <w:rPr>
                <w:sz w:val="18"/>
                <w:szCs w:val="18"/>
              </w:rPr>
            </w:pPr>
            <w:r>
              <w:rPr>
                <w:rFonts w:hint="eastAsia"/>
                <w:sz w:val="18"/>
                <w:szCs w:val="18"/>
              </w:rPr>
              <w:t xml:space="preserve">        3</w:t>
            </w:r>
          </w:p>
        </w:tc>
        <w:tc>
          <w:tcPr>
            <w:tcW w:w="1795" w:type="dxa"/>
            <w:vAlign w:val="center"/>
          </w:tcPr>
          <w:p>
            <w:pPr>
              <w:snapToGrid w:val="0"/>
              <w:spacing w:line="300" w:lineRule="auto"/>
              <w:rPr>
                <w:sz w:val="18"/>
                <w:szCs w:val="18"/>
              </w:rPr>
            </w:pPr>
            <w:r>
              <w:rPr>
                <w:rFonts w:hint="eastAsia"/>
                <w:sz w:val="18"/>
                <w:szCs w:val="18"/>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01" w:type="dxa"/>
            <w:vAlign w:val="center"/>
          </w:tcPr>
          <w:p>
            <w:pPr>
              <w:snapToGrid w:val="0"/>
              <w:spacing w:line="300" w:lineRule="auto"/>
              <w:jc w:val="center"/>
              <w:rPr>
                <w:b/>
                <w:bCs/>
                <w:sz w:val="18"/>
                <w:szCs w:val="18"/>
              </w:rPr>
            </w:pPr>
            <w:r>
              <w:rPr>
                <w:b/>
                <w:bCs/>
                <w:sz w:val="18"/>
                <w:szCs w:val="18"/>
              </w:rPr>
              <w:t>权重系数</w:t>
            </w:r>
          </w:p>
        </w:tc>
        <w:tc>
          <w:tcPr>
            <w:tcW w:w="1795" w:type="dxa"/>
            <w:vAlign w:val="center"/>
          </w:tcPr>
          <w:p>
            <w:pPr>
              <w:snapToGrid w:val="0"/>
              <w:spacing w:line="300" w:lineRule="auto"/>
              <w:jc w:val="center"/>
              <w:rPr>
                <w:sz w:val="18"/>
                <w:szCs w:val="18"/>
              </w:rPr>
            </w:pPr>
            <w:r>
              <w:rPr>
                <w:rFonts w:hint="eastAsia"/>
                <w:sz w:val="18"/>
                <w:szCs w:val="18"/>
              </w:rPr>
              <w:t>0.25</w:t>
            </w:r>
          </w:p>
        </w:tc>
        <w:tc>
          <w:tcPr>
            <w:tcW w:w="1795" w:type="dxa"/>
            <w:vAlign w:val="center"/>
          </w:tcPr>
          <w:p>
            <w:pPr>
              <w:snapToGrid w:val="0"/>
              <w:spacing w:line="300" w:lineRule="auto"/>
              <w:jc w:val="center"/>
              <w:rPr>
                <w:sz w:val="18"/>
                <w:szCs w:val="18"/>
              </w:rPr>
            </w:pPr>
            <w:r>
              <w:rPr>
                <w:rFonts w:hint="eastAsia"/>
                <w:sz w:val="18"/>
                <w:szCs w:val="18"/>
              </w:rPr>
              <w:t>0.25</w:t>
            </w:r>
          </w:p>
        </w:tc>
        <w:tc>
          <w:tcPr>
            <w:tcW w:w="1795" w:type="dxa"/>
            <w:vAlign w:val="center"/>
          </w:tcPr>
          <w:p>
            <w:pPr>
              <w:snapToGrid w:val="0"/>
              <w:spacing w:line="300" w:lineRule="auto"/>
              <w:jc w:val="center"/>
              <w:rPr>
                <w:sz w:val="18"/>
                <w:szCs w:val="18"/>
              </w:rPr>
            </w:pPr>
            <w:r>
              <w:rPr>
                <w:rFonts w:hint="eastAsia"/>
                <w:sz w:val="18"/>
                <w:szCs w:val="18"/>
              </w:rPr>
              <w:t>0.25</w:t>
            </w:r>
          </w:p>
        </w:tc>
        <w:tc>
          <w:tcPr>
            <w:tcW w:w="1795" w:type="dxa"/>
            <w:vAlign w:val="center"/>
          </w:tcPr>
          <w:p>
            <w:pPr>
              <w:snapToGrid w:val="0"/>
              <w:spacing w:line="300" w:lineRule="auto"/>
              <w:jc w:val="center"/>
              <w:rPr>
                <w:sz w:val="18"/>
                <w:szCs w:val="18"/>
              </w:rPr>
            </w:pPr>
            <w:r>
              <w:rPr>
                <w:rFonts w:hint="eastAsia"/>
                <w:sz w:val="18"/>
                <w:szCs w:val="18"/>
              </w:rPr>
              <w:t>0.25</w:t>
            </w:r>
          </w:p>
        </w:tc>
      </w:tr>
    </w:tbl>
    <w:p>
      <w:pPr>
        <w:snapToGrid w:val="0"/>
        <w:spacing w:before="156" w:beforeLines="50"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94" o:spt="75" type="#_x0000_t75" style="height:18pt;width:282pt;" o:ole="t" filled="f" o:preferrelative="t" stroked="f" coordsize="21600,21600">
            <v:path/>
            <v:fill on="f" focussize="0,0"/>
            <v:stroke on="f" joinstyle="miter"/>
            <v:imagedata r:id="rId40" o:title=""/>
            <o:lock v:ext="edit" aspectratio="t"/>
            <w10:wrap type="none"/>
            <w10:anchorlock/>
          </v:shape>
          <o:OLEObject Type="Embed" ProgID="Equation.3" ShapeID="_x0000_i1094" DrawAspect="Content" ObjectID="_1468075793" r:id="rId106">
            <o:LockedField>false</o:LockedField>
          </o:OLEObject>
        </w:object>
      </w:r>
    </w:p>
    <w:p>
      <w:pPr>
        <w:snapToGrid w:val="0"/>
        <w:spacing w:line="300" w:lineRule="auto"/>
      </w:pPr>
      <w:r>
        <w:t>2.课程总结要求</w:t>
      </w:r>
    </w:p>
    <w:p>
      <w:pPr>
        <w:snapToGrid w:val="0"/>
        <w:spacing w:line="300" w:lineRule="auto"/>
        <w:ind w:firstLine="420" w:firstLineChars="200"/>
      </w:pPr>
      <w: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1．推荐教材</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[1] 郑学坚等. 微型计算机原理及应用第四版[M].北京：清华大学出版社，2013.1. </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2.主要参考资料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田艾平等. 微型计算机技术[M]. 北京：清华大学出版社，2005.6.</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戴梅萼 史嘉权. 微型计算机技术及应用[M].北京：清华大学出版社，2008.2.</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等线" w:cs="Times New Roman"/>
                <w:kern w:val="0"/>
                <w:sz w:val="20"/>
                <w:szCs w:val="21"/>
              </w:rPr>
              <w:t>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p>
            <w:pPr>
              <w:snapToGrid w:val="0"/>
              <w:spacing w:line="300" w:lineRule="auto"/>
              <w:ind w:right="200"/>
              <w:rPr>
                <w:rFonts w:ascii="Times New Roman" w:hAnsi="Times New Roman" w:eastAsia="宋体" w:cs="Times New Roman"/>
                <w:kern w:val="0"/>
                <w:sz w:val="20"/>
                <w:szCs w:val="21"/>
              </w:rPr>
            </w:pPr>
          </w:p>
        </w:tc>
      </w:tr>
    </w:tbl>
    <w:p>
      <w:pPr>
        <w:keepNext/>
        <w:keepLines/>
        <w:numPr>
          <w:ilvl w:val="2"/>
          <w:numId w:val="0"/>
        </w:numPr>
        <w:tabs>
          <w:tab w:val="left" w:pos="420"/>
        </w:tabs>
        <w:spacing w:before="260" w:after="260" w:line="413" w:lineRule="auto"/>
        <w:jc w:val="center"/>
        <w:outlineLvl w:val="2"/>
        <w:rPr>
          <w:rFonts w:ascii="Times New Roman" w:hAnsi="Times New Roman" w:eastAsia="宋体" w:cs="Times New Roman"/>
          <w:b/>
          <w:sz w:val="32"/>
          <w:szCs w:val="32"/>
        </w:rPr>
      </w:pPr>
      <w:r>
        <w:rPr>
          <w:rFonts w:ascii="Times New Roman" w:hAnsi="Times New Roman" w:eastAsia="宋体" w:cs="Times New Roman"/>
          <w:b/>
          <w:sz w:val="32"/>
        </w:rPr>
        <w:br w:type="page"/>
      </w:r>
      <w:bookmarkEnd w:id="120"/>
      <w:bookmarkEnd w:id="121"/>
      <w:bookmarkEnd w:id="122"/>
      <w:bookmarkEnd w:id="123"/>
      <w:bookmarkEnd w:id="124"/>
      <w:bookmarkEnd w:id="125"/>
      <w:bookmarkStart w:id="128" w:name="_Toc1140"/>
      <w:r>
        <w:rPr>
          <w:rFonts w:hint="eastAsia" w:ascii="Times New Roman" w:hAnsi="Times New Roman" w:eastAsia="宋体" w:cs="Times New Roman"/>
          <w:b/>
          <w:sz w:val="32"/>
          <w:szCs w:val="32"/>
        </w:rPr>
        <w:t>33421101</w:t>
      </w:r>
      <w:r>
        <w:rPr>
          <w:rFonts w:ascii="Times New Roman" w:hAnsi="Times New Roman" w:eastAsia="宋体" w:cs="Times New Roman"/>
          <w:b/>
          <w:sz w:val="32"/>
          <w:szCs w:val="32"/>
        </w:rPr>
        <w:t>《</w:t>
      </w:r>
      <w:r>
        <w:rPr>
          <w:rFonts w:hint="eastAsia" w:ascii="Times New Roman" w:hAnsi="Times New Roman" w:eastAsia="宋体" w:cs="Times New Roman"/>
          <w:b/>
          <w:sz w:val="32"/>
          <w:szCs w:val="32"/>
        </w:rPr>
        <w:t>电磁场与电磁波</w:t>
      </w:r>
      <w:r>
        <w:rPr>
          <w:rFonts w:ascii="Times New Roman" w:hAnsi="Times New Roman" w:eastAsia="宋体" w:cs="Times New Roman"/>
          <w:b/>
          <w:sz w:val="32"/>
          <w:szCs w:val="32"/>
        </w:rPr>
        <w:t>》课程教学大纲</w:t>
      </w:r>
      <w:bookmarkEnd w:id="128"/>
    </w:p>
    <w:tbl>
      <w:tblPr>
        <w:tblStyle w:val="22"/>
        <w:tblW w:w="8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6"/>
        <w:gridCol w:w="3285"/>
        <w:gridCol w:w="1143"/>
        <w:gridCol w:w="2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1286" w:type="dxa"/>
          </w:tcPr>
          <w:p>
            <w:pPr>
              <w:jc w:val="center"/>
              <w:rPr>
                <w:kern w:val="0"/>
                <w:szCs w:val="21"/>
              </w:rPr>
            </w:pPr>
            <w:r>
              <w:rPr>
                <w:kern w:val="0"/>
                <w:szCs w:val="21"/>
              </w:rPr>
              <w:t>课程编号</w:t>
            </w:r>
          </w:p>
        </w:tc>
        <w:tc>
          <w:tcPr>
            <w:tcW w:w="3285" w:type="dxa"/>
          </w:tcPr>
          <w:p>
            <w:pPr>
              <w:jc w:val="center"/>
              <w:rPr>
                <w:kern w:val="0"/>
                <w:szCs w:val="21"/>
              </w:rPr>
            </w:pPr>
            <w:r>
              <w:rPr>
                <w:rFonts w:hint="eastAsia"/>
                <w:bCs/>
                <w:kern w:val="0"/>
                <w:szCs w:val="21"/>
              </w:rPr>
              <w:t>33421101</w:t>
            </w:r>
          </w:p>
        </w:tc>
        <w:tc>
          <w:tcPr>
            <w:tcW w:w="1143" w:type="dxa"/>
          </w:tcPr>
          <w:p>
            <w:pPr>
              <w:jc w:val="center"/>
              <w:rPr>
                <w:kern w:val="0"/>
                <w:szCs w:val="21"/>
              </w:rPr>
            </w:pPr>
            <w:r>
              <w:rPr>
                <w:kern w:val="0"/>
                <w:szCs w:val="21"/>
              </w:rPr>
              <w:t>课程名称</w:t>
            </w:r>
          </w:p>
        </w:tc>
        <w:tc>
          <w:tcPr>
            <w:tcW w:w="2572" w:type="dxa"/>
          </w:tcPr>
          <w:p>
            <w:pPr>
              <w:jc w:val="center"/>
              <w:rPr>
                <w:kern w:val="0"/>
                <w:szCs w:val="21"/>
              </w:rPr>
            </w:pPr>
            <w:r>
              <w:rPr>
                <w:rFonts w:hint="eastAsia"/>
                <w:bCs/>
                <w:kern w:val="0"/>
                <w:szCs w:val="21"/>
              </w:rPr>
              <w:t>电磁场与电磁波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86" w:type="dxa"/>
          </w:tcPr>
          <w:p>
            <w:pPr>
              <w:jc w:val="center"/>
              <w:rPr>
                <w:kern w:val="0"/>
                <w:szCs w:val="21"/>
              </w:rPr>
            </w:pPr>
            <w:r>
              <w:rPr>
                <w:kern w:val="0"/>
                <w:szCs w:val="21"/>
              </w:rPr>
              <w:t>课程性质</w:t>
            </w:r>
            <w:r>
              <w:rPr>
                <w:kern w:val="0"/>
                <w:sz w:val="20"/>
                <w:szCs w:val="20"/>
              </w:rPr>
              <w:t>*</w:t>
            </w:r>
          </w:p>
        </w:tc>
        <w:tc>
          <w:tcPr>
            <w:tcW w:w="3285" w:type="dxa"/>
          </w:tcPr>
          <w:p>
            <w:pPr>
              <w:jc w:val="center"/>
              <w:rPr>
                <w:kern w:val="0"/>
                <w:szCs w:val="21"/>
              </w:rPr>
            </w:pPr>
            <w:r>
              <w:rPr>
                <w:rFonts w:hint="eastAsia"/>
                <w:kern w:val="0"/>
                <w:szCs w:val="21"/>
              </w:rPr>
              <w:t>专业基础类</w:t>
            </w:r>
          </w:p>
        </w:tc>
        <w:tc>
          <w:tcPr>
            <w:tcW w:w="1143" w:type="dxa"/>
          </w:tcPr>
          <w:p>
            <w:pPr>
              <w:jc w:val="center"/>
              <w:rPr>
                <w:kern w:val="0"/>
                <w:szCs w:val="21"/>
              </w:rPr>
            </w:pPr>
            <w:r>
              <w:rPr>
                <w:kern w:val="0"/>
                <w:szCs w:val="21"/>
              </w:rPr>
              <w:t>英文名称</w:t>
            </w:r>
          </w:p>
        </w:tc>
        <w:tc>
          <w:tcPr>
            <w:tcW w:w="2572" w:type="dxa"/>
            <w:vAlign w:val="center"/>
          </w:tcPr>
          <w:p>
            <w:pPr>
              <w:jc w:val="center"/>
              <w:rPr>
                <w:bCs/>
                <w:kern w:val="0"/>
                <w:szCs w:val="21"/>
              </w:rPr>
            </w:pPr>
            <w:r>
              <w:rPr>
                <w:rFonts w:hint="eastAsia"/>
                <w:bCs/>
                <w:kern w:val="0"/>
                <w:szCs w:val="21"/>
              </w:rPr>
              <w:t>Electromagnetic Fields and Magnetic Waves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286" w:type="dxa"/>
          </w:tcPr>
          <w:p>
            <w:pPr>
              <w:jc w:val="center"/>
              <w:rPr>
                <w:kern w:val="0"/>
                <w:szCs w:val="21"/>
              </w:rPr>
            </w:pPr>
            <w:r>
              <w:rPr>
                <w:kern w:val="0"/>
                <w:szCs w:val="21"/>
              </w:rPr>
              <w:t>学分学时</w:t>
            </w:r>
          </w:p>
        </w:tc>
        <w:tc>
          <w:tcPr>
            <w:tcW w:w="3285" w:type="dxa"/>
          </w:tcPr>
          <w:p>
            <w:pPr>
              <w:jc w:val="center"/>
              <w:rPr>
                <w:kern w:val="0"/>
                <w:szCs w:val="21"/>
              </w:rPr>
            </w:pPr>
            <w:r>
              <w:rPr>
                <w:rFonts w:hint="eastAsia"/>
                <w:bCs/>
                <w:kern w:val="0"/>
                <w:szCs w:val="21"/>
              </w:rPr>
              <w:t>2</w:t>
            </w:r>
            <w:r>
              <w:rPr>
                <w:bCs/>
                <w:kern w:val="0"/>
                <w:szCs w:val="21"/>
              </w:rPr>
              <w:t>.</w:t>
            </w:r>
            <w:r>
              <w:rPr>
                <w:rFonts w:hint="eastAsia"/>
                <w:bCs/>
                <w:kern w:val="0"/>
                <w:szCs w:val="21"/>
              </w:rPr>
              <w:t>5</w:t>
            </w:r>
            <w:r>
              <w:rPr>
                <w:bCs/>
                <w:color w:val="FF0000"/>
                <w:kern w:val="0"/>
                <w:szCs w:val="21"/>
              </w:rPr>
              <w:t xml:space="preserve"> </w:t>
            </w:r>
            <w:r>
              <w:rPr>
                <w:rFonts w:hint="eastAsia"/>
                <w:kern w:val="0"/>
                <w:szCs w:val="21"/>
              </w:rPr>
              <w:t>;</w:t>
            </w:r>
            <w:r>
              <w:rPr>
                <w:kern w:val="0"/>
                <w:szCs w:val="21"/>
              </w:rPr>
              <w:t xml:space="preserve"> </w:t>
            </w:r>
            <w:r>
              <w:rPr>
                <w:rFonts w:hint="eastAsia"/>
                <w:kern w:val="0"/>
                <w:szCs w:val="21"/>
              </w:rPr>
              <w:t>40（4）</w:t>
            </w:r>
          </w:p>
        </w:tc>
        <w:tc>
          <w:tcPr>
            <w:tcW w:w="1143" w:type="dxa"/>
          </w:tcPr>
          <w:p>
            <w:pPr>
              <w:jc w:val="center"/>
              <w:rPr>
                <w:kern w:val="0"/>
                <w:szCs w:val="21"/>
                <w:highlight w:val="yellow"/>
              </w:rPr>
            </w:pPr>
            <w:r>
              <w:rPr>
                <w:kern w:val="0"/>
                <w:szCs w:val="21"/>
              </w:rPr>
              <w:t>任课教师</w:t>
            </w:r>
          </w:p>
        </w:tc>
        <w:tc>
          <w:tcPr>
            <w:tcW w:w="2572" w:type="dxa"/>
          </w:tcPr>
          <w:p>
            <w:pPr>
              <w:jc w:val="center"/>
              <w:rPr>
                <w:kern w:val="0"/>
                <w:szCs w:val="21"/>
                <w:highlight w:val="yellow"/>
              </w:rPr>
            </w:pPr>
            <w:r>
              <w:rPr>
                <w:kern w:val="0"/>
                <w:szCs w:val="21"/>
              </w:rPr>
              <w:t>刘雯景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286" w:type="dxa"/>
          </w:tcPr>
          <w:p>
            <w:pPr>
              <w:jc w:val="center"/>
              <w:rPr>
                <w:bCs/>
                <w:kern w:val="0"/>
                <w:szCs w:val="21"/>
              </w:rPr>
            </w:pPr>
            <w:r>
              <w:rPr>
                <w:bCs/>
                <w:kern w:val="0"/>
                <w:szCs w:val="21"/>
              </w:rPr>
              <w:t>企业专家</w:t>
            </w:r>
          </w:p>
        </w:tc>
        <w:tc>
          <w:tcPr>
            <w:tcW w:w="3285" w:type="dxa"/>
          </w:tcPr>
          <w:p>
            <w:pPr>
              <w:widowControl/>
              <w:jc w:val="center"/>
              <w:rPr>
                <w:kern w:val="0"/>
                <w:szCs w:val="21"/>
              </w:rPr>
            </w:pPr>
            <w:r>
              <w:rPr>
                <w:kern w:val="0"/>
                <w:szCs w:val="21"/>
              </w:rPr>
              <w:t>曾耿滨</w:t>
            </w:r>
          </w:p>
        </w:tc>
        <w:tc>
          <w:tcPr>
            <w:tcW w:w="1143" w:type="dxa"/>
          </w:tcPr>
          <w:p>
            <w:pPr>
              <w:jc w:val="center"/>
              <w:rPr>
                <w:bCs/>
                <w:kern w:val="0"/>
                <w:szCs w:val="21"/>
              </w:rPr>
            </w:pPr>
            <w:r>
              <w:rPr>
                <w:bCs/>
                <w:kern w:val="0"/>
                <w:szCs w:val="21"/>
              </w:rPr>
              <w:t>行业专家</w:t>
            </w:r>
          </w:p>
        </w:tc>
        <w:tc>
          <w:tcPr>
            <w:tcW w:w="2572" w:type="dxa"/>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286" w:type="dxa"/>
          </w:tcPr>
          <w:p>
            <w:pPr>
              <w:widowControl/>
              <w:jc w:val="center"/>
              <w:rPr>
                <w:bCs/>
                <w:kern w:val="0"/>
                <w:szCs w:val="21"/>
              </w:rPr>
            </w:pPr>
            <w:r>
              <w:rPr>
                <w:bCs/>
                <w:kern w:val="0"/>
                <w:szCs w:val="21"/>
              </w:rPr>
              <w:t>执笔教师</w:t>
            </w:r>
          </w:p>
        </w:tc>
        <w:tc>
          <w:tcPr>
            <w:tcW w:w="3285" w:type="dxa"/>
          </w:tcPr>
          <w:p>
            <w:pPr>
              <w:widowControl/>
              <w:jc w:val="center"/>
              <w:rPr>
                <w:kern w:val="0"/>
                <w:szCs w:val="21"/>
              </w:rPr>
            </w:pPr>
            <w:r>
              <w:rPr>
                <w:kern w:val="0"/>
                <w:szCs w:val="21"/>
              </w:rPr>
              <w:t>刘雯景</w:t>
            </w:r>
          </w:p>
        </w:tc>
        <w:tc>
          <w:tcPr>
            <w:tcW w:w="1143" w:type="dxa"/>
          </w:tcPr>
          <w:p>
            <w:pPr>
              <w:widowControl/>
              <w:jc w:val="center"/>
              <w:rPr>
                <w:bCs/>
                <w:kern w:val="0"/>
                <w:szCs w:val="21"/>
              </w:rPr>
            </w:pPr>
            <w:r>
              <w:rPr>
                <w:bCs/>
                <w:kern w:val="0"/>
                <w:szCs w:val="21"/>
              </w:rPr>
              <w:t>责任教授</w:t>
            </w:r>
          </w:p>
        </w:tc>
        <w:tc>
          <w:tcPr>
            <w:tcW w:w="2572" w:type="dxa"/>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86" w:type="dxa"/>
            <w:tcBorders>
              <w:bottom w:val="single" w:color="auto" w:sz="4" w:space="0"/>
            </w:tcBorders>
          </w:tcPr>
          <w:p>
            <w:pPr>
              <w:widowControl/>
              <w:jc w:val="center"/>
              <w:rPr>
                <w:bCs/>
                <w:kern w:val="0"/>
                <w:szCs w:val="21"/>
              </w:rPr>
            </w:pPr>
            <w:r>
              <w:rPr>
                <w:bCs/>
                <w:kern w:val="0"/>
                <w:szCs w:val="21"/>
              </w:rPr>
              <w:t>适用专业</w:t>
            </w:r>
          </w:p>
        </w:tc>
        <w:tc>
          <w:tcPr>
            <w:tcW w:w="3285" w:type="dxa"/>
            <w:tcBorders>
              <w:bottom w:val="single" w:color="auto" w:sz="4" w:space="0"/>
            </w:tcBorders>
          </w:tcPr>
          <w:p>
            <w:pPr>
              <w:widowControl/>
              <w:jc w:val="center"/>
              <w:rPr>
                <w:kern w:val="0"/>
                <w:szCs w:val="21"/>
              </w:rPr>
            </w:pPr>
            <w:r>
              <w:rPr>
                <w:kern w:val="0"/>
                <w:szCs w:val="21"/>
              </w:rPr>
              <w:t>电子信息工程</w:t>
            </w:r>
          </w:p>
        </w:tc>
        <w:tc>
          <w:tcPr>
            <w:tcW w:w="1143" w:type="dxa"/>
            <w:tcBorders>
              <w:bottom w:val="single" w:color="auto" w:sz="4" w:space="0"/>
            </w:tcBorders>
          </w:tcPr>
          <w:p>
            <w:pPr>
              <w:widowControl/>
              <w:jc w:val="center"/>
              <w:rPr>
                <w:bCs/>
                <w:kern w:val="0"/>
                <w:szCs w:val="21"/>
              </w:rPr>
            </w:pPr>
            <w:r>
              <w:rPr>
                <w:bCs/>
                <w:kern w:val="0"/>
                <w:szCs w:val="21"/>
              </w:rPr>
              <w:t>适用对象</w:t>
            </w:r>
          </w:p>
        </w:tc>
        <w:tc>
          <w:tcPr>
            <w:tcW w:w="2572" w:type="dxa"/>
            <w:tcBorders>
              <w:bottom w:val="single" w:color="auto" w:sz="4" w:space="0"/>
            </w:tcBorders>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286" w:type="dxa"/>
            <w:tcBorders>
              <w:top w:val="single" w:color="auto" w:sz="4" w:space="0"/>
              <w:bottom w:val="single" w:color="auto" w:sz="4" w:space="0"/>
            </w:tcBorders>
          </w:tcPr>
          <w:p>
            <w:pPr>
              <w:jc w:val="center"/>
              <w:rPr>
                <w:b/>
                <w:kern w:val="0"/>
                <w:szCs w:val="21"/>
              </w:rPr>
            </w:pPr>
            <w:r>
              <w:rPr>
                <w:kern w:val="0"/>
                <w:szCs w:val="21"/>
              </w:rPr>
              <w:t>先修课程</w:t>
            </w:r>
          </w:p>
        </w:tc>
        <w:tc>
          <w:tcPr>
            <w:tcW w:w="3285" w:type="dxa"/>
            <w:tcBorders>
              <w:top w:val="single" w:color="auto" w:sz="4" w:space="0"/>
              <w:bottom w:val="single" w:color="auto" w:sz="4" w:space="0"/>
            </w:tcBorders>
            <w:vAlign w:val="center"/>
          </w:tcPr>
          <w:p>
            <w:pPr>
              <w:widowControl/>
              <w:jc w:val="center"/>
              <w:rPr>
                <w:bCs/>
                <w:kern w:val="0"/>
                <w:szCs w:val="21"/>
              </w:rPr>
            </w:pPr>
            <w:r>
              <w:rPr>
                <w:bCs/>
                <w:kern w:val="0"/>
                <w:szCs w:val="21"/>
              </w:rPr>
              <w:t>高等数学、大学物理和</w:t>
            </w:r>
            <w:r>
              <w:rPr>
                <w:rFonts w:hint="eastAsia"/>
                <w:bCs/>
                <w:kern w:val="0"/>
                <w:szCs w:val="21"/>
              </w:rPr>
              <w:t>电路分析等</w:t>
            </w:r>
          </w:p>
        </w:tc>
        <w:tc>
          <w:tcPr>
            <w:tcW w:w="1143" w:type="dxa"/>
            <w:tcBorders>
              <w:top w:val="single" w:color="auto" w:sz="4" w:space="0"/>
              <w:bottom w:val="single" w:color="auto" w:sz="4" w:space="0"/>
            </w:tcBorders>
          </w:tcPr>
          <w:p>
            <w:pPr>
              <w:snapToGrid w:val="0"/>
              <w:jc w:val="center"/>
              <w:rPr>
                <w:b/>
                <w:kern w:val="0"/>
                <w:szCs w:val="21"/>
              </w:rPr>
            </w:pPr>
            <w:r>
              <w:rPr>
                <w:kern w:val="0"/>
                <w:szCs w:val="21"/>
              </w:rPr>
              <w:t>同修课程</w:t>
            </w:r>
          </w:p>
        </w:tc>
        <w:tc>
          <w:tcPr>
            <w:tcW w:w="2572" w:type="dxa"/>
            <w:tcBorders>
              <w:top w:val="single" w:color="auto" w:sz="4" w:space="0"/>
              <w:bottom w:val="single" w:color="auto" w:sz="4" w:space="0"/>
            </w:tcBorders>
          </w:tcPr>
          <w:p>
            <w:pPr>
              <w:widowControl/>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286" w:type="dxa"/>
            <w:tcBorders>
              <w:top w:val="single" w:color="auto" w:sz="4" w:space="0"/>
            </w:tcBorders>
          </w:tcPr>
          <w:p>
            <w:pPr>
              <w:jc w:val="center"/>
              <w:rPr>
                <w:kern w:val="0"/>
                <w:szCs w:val="21"/>
              </w:rPr>
            </w:pPr>
            <w:r>
              <w:rPr>
                <w:kern w:val="0"/>
                <w:szCs w:val="21"/>
              </w:rPr>
              <w:t>排斥课程</w:t>
            </w:r>
          </w:p>
        </w:tc>
        <w:tc>
          <w:tcPr>
            <w:tcW w:w="3285" w:type="dxa"/>
            <w:tcBorders>
              <w:top w:val="single" w:color="auto" w:sz="4" w:space="0"/>
            </w:tcBorders>
          </w:tcPr>
          <w:p>
            <w:pPr>
              <w:widowControl/>
              <w:jc w:val="center"/>
              <w:rPr>
                <w:kern w:val="0"/>
                <w:szCs w:val="21"/>
              </w:rPr>
            </w:pPr>
            <w:r>
              <w:rPr>
                <w:kern w:val="0"/>
                <w:szCs w:val="21"/>
              </w:rPr>
              <w:t>无</w:t>
            </w:r>
          </w:p>
        </w:tc>
        <w:tc>
          <w:tcPr>
            <w:tcW w:w="1143" w:type="dxa"/>
            <w:tcBorders>
              <w:top w:val="single" w:color="auto" w:sz="4" w:space="0"/>
            </w:tcBorders>
          </w:tcPr>
          <w:p>
            <w:pPr>
              <w:snapToGrid w:val="0"/>
              <w:jc w:val="center"/>
              <w:rPr>
                <w:kern w:val="0"/>
                <w:szCs w:val="21"/>
              </w:rPr>
            </w:pPr>
            <w:r>
              <w:rPr>
                <w:kern w:val="0"/>
                <w:szCs w:val="21"/>
              </w:rPr>
              <w:t>定稿日期</w:t>
            </w:r>
          </w:p>
        </w:tc>
        <w:tc>
          <w:tcPr>
            <w:tcW w:w="2572" w:type="dxa"/>
            <w:tcBorders>
              <w:top w:val="single" w:color="auto" w:sz="4" w:space="0"/>
            </w:tcBorders>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rFonts w:hint="eastAsia"/>
          <w:szCs w:val="21"/>
        </w:rPr>
        <w:t>电磁场与电磁波是通信、光电、电子类等专业的重要基础理论课，是理工科专业课程的桥梁，与很多重要基础学科（如物理学）有交叉，又是现代高科技技术（如无线电技术）的理论基础。其主要内容包括静电场、静磁场、静态场的边值问题、时变电磁波、平面电磁波、电磁波的传输和电磁波的辐射等。本课程使学生掌握电磁场的有关定理、定律、麦克斯韦方程等的物理意义及数学表达式。使学生熟悉一些重要的电磁场问题的数学模型的建立过程以及分析方法。培养学生正确的思维方法和分析问题的能力，使学生学会用"场"的观点去观察、分析和计算一些简单、典型的场的问题。本课程对培养学生严谨的科学学风、科学的方法以及抽象思维能力、创新精神等，都将起到十分重要的作用。</w:t>
      </w:r>
    </w:p>
    <w:p>
      <w:pPr>
        <w:snapToGrid w:val="0"/>
        <w:spacing w:before="156" w:beforeLines="50" w:after="156" w:afterLines="50" w:line="300" w:lineRule="auto"/>
        <w:rPr>
          <w:b/>
          <w:sz w:val="24"/>
        </w:rPr>
      </w:pPr>
      <w:r>
        <w:rPr>
          <w:b/>
          <w:sz w:val="24"/>
        </w:rPr>
        <w:t>二、课程教学目标</w:t>
      </w:r>
    </w:p>
    <w:p>
      <w:pPr>
        <w:pStyle w:val="20"/>
        <w:adjustRightInd w:val="0"/>
        <w:snapToGrid w:val="0"/>
        <w:spacing w:before="0" w:beforeAutospacing="0" w:after="0" w:afterAutospacing="0" w:line="300" w:lineRule="auto"/>
        <w:ind w:firstLine="420" w:firstLineChars="200"/>
        <w:jc w:val="both"/>
        <w:rPr>
          <w:rStyle w:val="89"/>
        </w:rPr>
      </w:pPr>
      <w:r>
        <w:rPr>
          <w:rStyle w:val="89"/>
          <w:rFonts w:hint="eastAsia"/>
        </w:rPr>
        <w:t>通过对电磁场与电磁波的学习，使学生全面理解和掌握电磁场和电磁波的理论体系，掌握静态场和时变场的基本方程及边界条件，对电磁场的分布和电磁波的传播特性进行计算和分析，为今后深入学习及应用打下良好的基础。讲授过程中通过案例教学、科技成果引导等构建德育课堂，激发学生的历史使命感和民族自豪感，激励学生的创新创造精神；使学生充分了解电磁辐射对生物体的影响，电磁环境污染的危害等。本课程具体课程教学目标如下：</w:t>
      </w:r>
    </w:p>
    <w:p>
      <w:pPr>
        <w:snapToGrid w:val="0"/>
        <w:spacing w:line="300" w:lineRule="auto"/>
        <w:ind w:firstLine="420" w:firstLineChars="200"/>
        <w:rPr>
          <w:szCs w:val="21"/>
        </w:rPr>
      </w:pPr>
      <w:r>
        <w:rPr>
          <w:rFonts w:hint="eastAsia"/>
          <w:szCs w:val="21"/>
        </w:rPr>
        <w:t>1、电磁场与电磁波基础知识学习目标：理解麦克斯韦方程组的内涵，掌握宏观电磁场与电磁波的基本属性、运动规律和基本分析方法；了解宏观电磁场与电磁波的主要应用领域及其工作原理；[1.1]</w:t>
      </w:r>
    </w:p>
    <w:p>
      <w:pPr>
        <w:snapToGrid w:val="0"/>
        <w:spacing w:line="300" w:lineRule="auto"/>
        <w:ind w:firstLine="420" w:firstLineChars="200"/>
        <w:rPr>
          <w:szCs w:val="21"/>
        </w:rPr>
      </w:pPr>
      <w:r>
        <w:rPr>
          <w:rFonts w:hint="eastAsia"/>
          <w:szCs w:val="21"/>
        </w:rPr>
        <w:t>2、用“场”的观点分析解决问题的能力：能够运用麦克斯韦方程组去观察、分析和计算一些简单、典型的静态以及时变电磁场的基本问题；培养学生理性思维、举一反三、应用数学方法解决问题、知识综合应用能力和创新意识。[2.1]</w:t>
      </w:r>
    </w:p>
    <w:p>
      <w:pPr>
        <w:snapToGrid w:val="0"/>
        <w:spacing w:line="300" w:lineRule="auto"/>
        <w:ind w:firstLine="420" w:firstLineChars="200"/>
        <w:rPr>
          <w:b/>
          <w:kern w:val="0"/>
          <w:sz w:val="18"/>
          <w:szCs w:val="18"/>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7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587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40" w:type="dxa"/>
            <w:vAlign w:val="center"/>
          </w:tcPr>
          <w:p>
            <w:pPr>
              <w:snapToGrid w:val="0"/>
              <w:spacing w:line="300" w:lineRule="auto"/>
              <w:rPr>
                <w:b/>
                <w:bCs/>
                <w:color w:val="000000"/>
                <w:sz w:val="18"/>
                <w:szCs w:val="18"/>
              </w:rPr>
            </w:pPr>
            <w:r>
              <w:rPr>
                <w:b/>
                <w:bCs/>
                <w:color w:val="000000"/>
                <w:sz w:val="18"/>
                <w:szCs w:val="18"/>
              </w:rPr>
              <w:t>毕业要求</w:t>
            </w:r>
          </w:p>
        </w:tc>
        <w:tc>
          <w:tcPr>
            <w:tcW w:w="5870" w:type="dxa"/>
            <w:vAlign w:val="center"/>
          </w:tcPr>
          <w:p>
            <w:pPr>
              <w:snapToGrid w:val="0"/>
              <w:spacing w:line="300" w:lineRule="auto"/>
              <w:jc w:val="center"/>
              <w:rPr>
                <w:b/>
                <w:bCs/>
                <w:color w:val="000000"/>
                <w:sz w:val="18"/>
                <w:szCs w:val="18"/>
              </w:rPr>
            </w:pPr>
            <w:r>
              <w:rPr>
                <w:b/>
                <w:bCs/>
                <w:color w:val="000000"/>
                <w:sz w:val="18"/>
                <w:szCs w:val="18"/>
              </w:rPr>
              <w:t>毕业要求指标点</w:t>
            </w:r>
          </w:p>
        </w:tc>
        <w:tc>
          <w:tcPr>
            <w:tcW w:w="65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Align w:val="center"/>
          </w:tcPr>
          <w:p>
            <w:pPr>
              <w:snapToGrid w:val="0"/>
              <w:spacing w:line="300" w:lineRule="auto"/>
              <w:rPr>
                <w:rFonts w:ascii="宋体" w:hAnsi="宋体"/>
                <w:sz w:val="18"/>
                <w:szCs w:val="18"/>
              </w:rPr>
            </w:pPr>
            <w:r>
              <w:rPr>
                <w:rFonts w:hint="eastAsia"/>
                <w:sz w:val="18"/>
                <w:szCs w:val="18"/>
              </w:rPr>
              <w:t>1工程（相关）知识</w:t>
            </w:r>
          </w:p>
        </w:tc>
        <w:tc>
          <w:tcPr>
            <w:tcW w:w="5870" w:type="dxa"/>
          </w:tcPr>
          <w:p>
            <w:pPr>
              <w:snapToGrid w:val="0"/>
              <w:spacing w:line="300" w:lineRule="auto"/>
              <w:rPr>
                <w:sz w:val="18"/>
                <w:szCs w:val="18"/>
              </w:rPr>
            </w:pPr>
            <w:r>
              <w:rPr>
                <w:rFonts w:hint="eastAsia"/>
                <w:sz w:val="18"/>
                <w:szCs w:val="18"/>
              </w:rPr>
              <w:t>1.1掌握电子信息工程专业理论和知识体系的数学和自然科学知识，将其应用于信息技术（IT）行业知识和专业知识的学习。</w:t>
            </w:r>
          </w:p>
        </w:tc>
        <w:tc>
          <w:tcPr>
            <w:tcW w:w="659" w:type="dxa"/>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40" w:type="dxa"/>
            <w:vAlign w:val="center"/>
          </w:tcPr>
          <w:p>
            <w:pPr>
              <w:snapToGrid w:val="0"/>
              <w:spacing w:line="300" w:lineRule="auto"/>
              <w:rPr>
                <w:sz w:val="18"/>
                <w:szCs w:val="18"/>
              </w:rPr>
            </w:pPr>
            <w:r>
              <w:rPr>
                <w:sz w:val="18"/>
                <w:szCs w:val="18"/>
              </w:rPr>
              <w:t>2．问题分析</w:t>
            </w:r>
          </w:p>
        </w:tc>
        <w:tc>
          <w:tcPr>
            <w:tcW w:w="5870" w:type="dxa"/>
          </w:tcPr>
          <w:p>
            <w:pPr>
              <w:snapToGrid w:val="0"/>
              <w:spacing w:line="300" w:lineRule="auto"/>
              <w:rPr>
                <w:sz w:val="18"/>
                <w:szCs w:val="18"/>
              </w:rPr>
            </w:pPr>
            <w:r>
              <w:rPr>
                <w:rFonts w:hint="eastAsia"/>
                <w:sz w:val="18"/>
                <w:szCs w:val="18"/>
              </w:rPr>
              <w:t>2.1 具备应用数学、自然科学和工程科学的基本原理和方法，认识与判断电子信息工程（含海洋电子信息）相关领域复杂工程问题中的关键环节，使用数学模型和专业知识解释与描述复杂工程问题的能力。</w:t>
            </w:r>
          </w:p>
        </w:tc>
        <w:tc>
          <w:tcPr>
            <w:tcW w:w="659" w:type="dxa"/>
            <w:vAlign w:val="center"/>
          </w:tcPr>
          <w:p>
            <w:pPr>
              <w:snapToGrid w:val="0"/>
              <w:spacing w:line="300" w:lineRule="auto"/>
              <w:rPr>
                <w:sz w:val="18"/>
                <w:szCs w:val="18"/>
              </w:rPr>
            </w:pPr>
            <w:r>
              <w:rPr>
                <w:sz w:val="18"/>
                <w:szCs w:val="18"/>
              </w:rPr>
              <w:t>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2288"/>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333333"/>
                <w:sz w:val="18"/>
                <w:szCs w:val="18"/>
                <w:shd w:val="clear" w:color="auto" w:fill="FEFEFF"/>
              </w:rPr>
              <w:t>1.电磁场与电磁波基础知识学习目标：理解麦克斯韦方程组的内涵，掌握宏观电磁场与电磁波的基本属性、运动规律和基本分析方法；了解宏观电磁场与电磁波的主要应用领域及其工作原理</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333333"/>
                <w:sz w:val="18"/>
                <w:szCs w:val="18"/>
                <w:shd w:val="clear" w:color="auto" w:fill="FEFEFF"/>
              </w:rPr>
              <w:t>课堂讲授、网络学习、指定阅读、小组讨论等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333333"/>
                <w:sz w:val="18"/>
                <w:szCs w:val="18"/>
                <w:shd w:val="clear" w:color="auto" w:fill="FEFEFF"/>
              </w:rPr>
              <w:t>抽查提问、课程论文、习题与作业、期末考试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color w:val="333333"/>
                <w:sz w:val="18"/>
                <w:szCs w:val="18"/>
                <w:shd w:val="clear" w:color="auto" w:fill="FEFEFF"/>
              </w:rPr>
            </w:pPr>
            <w:r>
              <w:rPr>
                <w:rFonts w:hint="eastAsia"/>
                <w:color w:val="333333"/>
                <w:sz w:val="18"/>
                <w:szCs w:val="18"/>
                <w:shd w:val="clear" w:color="auto" w:fill="FEFEFF"/>
              </w:rPr>
              <w:t>2.用“场”的观点分析解决问题的能力：能够运用麦克斯韦方程组去观察、分析和计算一些简单、典型的静态以及时变电磁场的基本问题；培养学生理性思维、举一反三、应用数学方法解决问题、知识综合应用能力和创新意识。</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333333"/>
                <w:sz w:val="18"/>
                <w:szCs w:val="18"/>
                <w:shd w:val="clear" w:color="auto" w:fill="FEFEFF"/>
              </w:rPr>
              <w:t>课堂讲授、网络学习、案例研讨等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333333"/>
                <w:sz w:val="18"/>
                <w:szCs w:val="18"/>
                <w:shd w:val="clear" w:color="auto" w:fill="FEFEFF"/>
              </w:rPr>
              <w:t>抽查提问、习题与作业、期末考试</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rFonts w:hint="eastAsia"/>
          <w:szCs w:val="21"/>
        </w:rPr>
        <w:t>1.理论联系实际，注重案例教学：本门课程具有公式和推理繁多、计算复杂、内容极为抽象等特点，以课堂讲授为主，注重工程案例教学，理论联系实际，将复杂的知识简单化，抽象的知识形象化，加深学生对知识点的理解。</w:t>
      </w:r>
    </w:p>
    <w:p>
      <w:pPr>
        <w:adjustRightInd w:val="0"/>
        <w:snapToGrid w:val="0"/>
        <w:spacing w:line="300" w:lineRule="auto"/>
        <w:ind w:firstLine="420" w:firstLineChars="200"/>
        <w:rPr>
          <w:szCs w:val="21"/>
        </w:rPr>
      </w:pPr>
      <w:r>
        <w:rPr>
          <w:rFonts w:hint="eastAsia"/>
          <w:szCs w:val="21"/>
        </w:rPr>
        <w:t>2.提高课堂教学服务水平：鉴于本门课程知识点极为抽象的特点，在讲授空间感很强的物理概念（如行驻波、电磁波的极化等）时，应充分借助计算机语言（譬如Matlab仿真）实现某些复杂状态的动态展示，帮助学生理解这些物理概念。</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969"/>
        <w:gridCol w:w="4078"/>
        <w:gridCol w:w="702"/>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969" w:type="dxa"/>
            <w:vAlign w:val="center"/>
          </w:tcPr>
          <w:p>
            <w:pPr>
              <w:snapToGrid w:val="0"/>
              <w:spacing w:line="300" w:lineRule="auto"/>
              <w:ind w:firstLine="361" w:firstLineChars="200"/>
              <w:rPr>
                <w:b/>
                <w:bCs/>
                <w:sz w:val="18"/>
                <w:szCs w:val="18"/>
              </w:rPr>
            </w:pPr>
            <w:r>
              <w:rPr>
                <w:b/>
                <w:bCs/>
                <w:sz w:val="18"/>
                <w:szCs w:val="18"/>
              </w:rPr>
              <w:t>教学内容</w:t>
            </w:r>
          </w:p>
        </w:tc>
        <w:tc>
          <w:tcPr>
            <w:tcW w:w="4078"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02" w:type="dxa"/>
            <w:vAlign w:val="center"/>
          </w:tcPr>
          <w:p>
            <w:pPr>
              <w:snapToGrid w:val="0"/>
              <w:spacing w:line="300" w:lineRule="auto"/>
              <w:jc w:val="center"/>
              <w:rPr>
                <w:b/>
                <w:bCs/>
                <w:sz w:val="18"/>
                <w:szCs w:val="18"/>
              </w:rPr>
            </w:pPr>
            <w:r>
              <w:rPr>
                <w:b/>
                <w:bCs/>
                <w:sz w:val="18"/>
                <w:szCs w:val="18"/>
              </w:rPr>
              <w:t>学时</w:t>
            </w:r>
          </w:p>
        </w:tc>
        <w:tc>
          <w:tcPr>
            <w:tcW w:w="984"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snapToGrid w:val="0"/>
              <w:spacing w:line="300" w:lineRule="auto"/>
              <w:rPr>
                <w:sz w:val="18"/>
                <w:szCs w:val="18"/>
              </w:rPr>
            </w:pPr>
            <w:r>
              <w:rPr>
                <w:rFonts w:hint="eastAsia"/>
                <w:sz w:val="18"/>
                <w:szCs w:val="18"/>
              </w:rPr>
              <w:t>0</w:t>
            </w:r>
          </w:p>
        </w:tc>
        <w:tc>
          <w:tcPr>
            <w:tcW w:w="1969" w:type="dxa"/>
            <w:vAlign w:val="center"/>
          </w:tcPr>
          <w:p>
            <w:pPr>
              <w:snapToGrid w:val="0"/>
              <w:spacing w:line="300" w:lineRule="auto"/>
              <w:rPr>
                <w:sz w:val="18"/>
                <w:szCs w:val="18"/>
              </w:rPr>
            </w:pPr>
            <w:r>
              <w:rPr>
                <w:rFonts w:hint="eastAsia"/>
                <w:sz w:val="18"/>
                <w:szCs w:val="18"/>
              </w:rPr>
              <w:t>绪论</w:t>
            </w:r>
          </w:p>
          <w:p>
            <w:pPr>
              <w:snapToGrid w:val="0"/>
              <w:spacing w:line="300" w:lineRule="auto"/>
              <w:rPr>
                <w:sz w:val="18"/>
                <w:szCs w:val="18"/>
              </w:rPr>
            </w:pP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rFonts w:hint="eastAsia"/>
                <w:sz w:val="18"/>
                <w:szCs w:val="18"/>
              </w:rPr>
              <w:t>了解电磁理论的发展历程；了解电磁理论的相关应用；明确该课程的学习目的和要求。</w:t>
            </w:r>
          </w:p>
          <w:p>
            <w:pPr>
              <w:snapToGrid w:val="0"/>
              <w:spacing w:line="300" w:lineRule="auto"/>
              <w:rPr>
                <w:sz w:val="18"/>
                <w:szCs w:val="18"/>
              </w:rPr>
            </w:pPr>
            <w:r>
              <w:rPr>
                <w:rFonts w:hint="eastAsia"/>
                <w:sz w:val="18"/>
                <w:szCs w:val="18"/>
              </w:rPr>
              <w:t>2、作业内容：无</w:t>
            </w:r>
          </w:p>
          <w:p>
            <w:pPr>
              <w:snapToGrid w:val="0"/>
              <w:spacing w:line="300" w:lineRule="auto"/>
              <w:rPr>
                <w:sz w:val="18"/>
                <w:szCs w:val="18"/>
              </w:rPr>
            </w:pPr>
            <w:r>
              <w:rPr>
                <w:rFonts w:hint="eastAsia"/>
                <w:sz w:val="18"/>
                <w:szCs w:val="18"/>
              </w:rPr>
              <w:t>3、讨论内容：电磁理论的应用。</w:t>
            </w:r>
          </w:p>
          <w:p>
            <w:pPr>
              <w:snapToGrid w:val="0"/>
              <w:spacing w:line="300" w:lineRule="auto"/>
              <w:rPr>
                <w:sz w:val="18"/>
                <w:szCs w:val="18"/>
              </w:rPr>
            </w:pPr>
            <w:r>
              <w:rPr>
                <w:rFonts w:hint="eastAsia"/>
                <w:sz w:val="18"/>
                <w:szCs w:val="18"/>
              </w:rPr>
              <w:t>4、自学拓展：无</w:t>
            </w:r>
          </w:p>
        </w:tc>
        <w:tc>
          <w:tcPr>
            <w:tcW w:w="702" w:type="dxa"/>
            <w:vAlign w:val="center"/>
          </w:tcPr>
          <w:p>
            <w:pPr>
              <w:snapToGrid w:val="0"/>
              <w:spacing w:line="300" w:lineRule="auto"/>
              <w:jc w:val="center"/>
              <w:rPr>
                <w:sz w:val="18"/>
                <w:szCs w:val="18"/>
              </w:rPr>
            </w:pPr>
            <w:r>
              <w:rPr>
                <w:rFonts w:hint="eastAsia"/>
                <w:sz w:val="18"/>
                <w:szCs w:val="18"/>
              </w:rPr>
              <w:t>2</w:t>
            </w:r>
          </w:p>
        </w:tc>
        <w:tc>
          <w:tcPr>
            <w:tcW w:w="984" w:type="dxa"/>
            <w:vAlign w:val="center"/>
          </w:tcPr>
          <w:p>
            <w:pPr>
              <w:snapToGrid w:val="0"/>
              <w:spacing w:line="300" w:lineRule="auto"/>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snapToGrid w:val="0"/>
              <w:spacing w:line="300" w:lineRule="auto"/>
              <w:rPr>
                <w:sz w:val="18"/>
                <w:szCs w:val="18"/>
              </w:rPr>
            </w:pPr>
            <w:r>
              <w:rPr>
                <w:sz w:val="18"/>
                <w:szCs w:val="18"/>
              </w:rPr>
              <w:t>1</w:t>
            </w:r>
          </w:p>
        </w:tc>
        <w:tc>
          <w:tcPr>
            <w:tcW w:w="1969" w:type="dxa"/>
            <w:vAlign w:val="center"/>
          </w:tcPr>
          <w:p>
            <w:pPr>
              <w:snapToGrid w:val="0"/>
              <w:spacing w:line="300" w:lineRule="auto"/>
              <w:rPr>
                <w:sz w:val="18"/>
                <w:szCs w:val="18"/>
              </w:rPr>
            </w:pPr>
            <w:r>
              <w:rPr>
                <w:rFonts w:hint="eastAsia"/>
                <w:sz w:val="18"/>
                <w:szCs w:val="18"/>
              </w:rPr>
              <w:t xml:space="preserve">第1章 矢量分析与场论基础 </w:t>
            </w:r>
          </w:p>
          <w:p>
            <w:pPr>
              <w:snapToGrid w:val="0"/>
              <w:spacing w:line="300" w:lineRule="auto"/>
              <w:rPr>
                <w:sz w:val="18"/>
                <w:szCs w:val="18"/>
              </w:rPr>
            </w:pPr>
            <w:r>
              <w:rPr>
                <w:rFonts w:hint="eastAsia"/>
                <w:sz w:val="18"/>
                <w:szCs w:val="18"/>
              </w:rPr>
              <w:t>1.1 矢量代数</w:t>
            </w:r>
          </w:p>
          <w:p>
            <w:pPr>
              <w:snapToGrid w:val="0"/>
              <w:spacing w:line="300" w:lineRule="auto"/>
              <w:rPr>
                <w:sz w:val="18"/>
                <w:szCs w:val="18"/>
              </w:rPr>
            </w:pPr>
            <w:r>
              <w:rPr>
                <w:rFonts w:hint="eastAsia"/>
                <w:sz w:val="18"/>
                <w:szCs w:val="18"/>
              </w:rPr>
              <w:t>1.2正交曲线坐标系</w:t>
            </w:r>
          </w:p>
          <w:p>
            <w:pPr>
              <w:snapToGrid w:val="0"/>
              <w:spacing w:line="300" w:lineRule="auto"/>
              <w:rPr>
                <w:sz w:val="18"/>
                <w:szCs w:val="18"/>
              </w:rPr>
            </w:pPr>
            <w:r>
              <w:rPr>
                <w:rFonts w:hint="eastAsia"/>
                <w:sz w:val="18"/>
                <w:szCs w:val="18"/>
              </w:rPr>
              <w:t>1.3 梯度</w:t>
            </w:r>
          </w:p>
          <w:p>
            <w:pPr>
              <w:snapToGrid w:val="0"/>
              <w:spacing w:line="300" w:lineRule="auto"/>
              <w:rPr>
                <w:sz w:val="18"/>
                <w:szCs w:val="18"/>
              </w:rPr>
            </w:pPr>
            <w:r>
              <w:rPr>
                <w:rFonts w:hint="eastAsia"/>
                <w:sz w:val="18"/>
                <w:szCs w:val="18"/>
              </w:rPr>
              <w:t>1.4 散度</w:t>
            </w:r>
          </w:p>
          <w:p>
            <w:pPr>
              <w:snapToGrid w:val="0"/>
              <w:spacing w:line="300" w:lineRule="auto"/>
              <w:rPr>
                <w:sz w:val="18"/>
                <w:szCs w:val="18"/>
              </w:rPr>
            </w:pPr>
            <w:r>
              <w:rPr>
                <w:rFonts w:hint="eastAsia"/>
                <w:sz w:val="18"/>
                <w:szCs w:val="18"/>
              </w:rPr>
              <w:t>1.5 旋度</w:t>
            </w:r>
          </w:p>
          <w:p>
            <w:pPr>
              <w:snapToGrid w:val="0"/>
              <w:spacing w:line="300" w:lineRule="auto"/>
              <w:rPr>
                <w:sz w:val="18"/>
                <w:szCs w:val="18"/>
              </w:rPr>
            </w:pPr>
            <w:r>
              <w:rPr>
                <w:rFonts w:hint="eastAsia"/>
                <w:sz w:val="18"/>
                <w:szCs w:val="18"/>
              </w:rPr>
              <w:t>1.6 Helmholtz定理</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sz w:val="18"/>
                <w:szCs w:val="18"/>
              </w:rPr>
              <w:t></w:t>
            </w:r>
            <w:r>
              <w:rPr>
                <w:rFonts w:hint="eastAsia"/>
                <w:sz w:val="18"/>
                <w:szCs w:val="18"/>
              </w:rPr>
              <w:t>（1）理解标量场和矢量场的概念。</w:t>
            </w:r>
          </w:p>
          <w:p>
            <w:pPr>
              <w:snapToGrid w:val="0"/>
              <w:spacing w:line="300" w:lineRule="auto"/>
              <w:rPr>
                <w:sz w:val="18"/>
                <w:szCs w:val="18"/>
              </w:rPr>
            </w:pPr>
            <w:r>
              <w:rPr>
                <w:sz w:val="18"/>
                <w:szCs w:val="18"/>
              </w:rPr>
              <w:t></w:t>
            </w:r>
            <w:r>
              <w:rPr>
                <w:rFonts w:hint="eastAsia"/>
                <w:sz w:val="18"/>
                <w:szCs w:val="18"/>
              </w:rPr>
              <w:t>（2）理解梯度、散度和旋度的物理意义，掌握直角坐标系下三个度的计算公式和方法。</w:t>
            </w:r>
          </w:p>
          <w:p>
            <w:pPr>
              <w:snapToGrid w:val="0"/>
              <w:spacing w:line="300" w:lineRule="auto"/>
              <w:rPr>
                <w:sz w:val="18"/>
                <w:szCs w:val="18"/>
              </w:rPr>
            </w:pPr>
            <w:r>
              <w:rPr>
                <w:sz w:val="18"/>
                <w:szCs w:val="18"/>
              </w:rPr>
              <w:t></w:t>
            </w:r>
            <w:r>
              <w:rPr>
                <w:rFonts w:hint="eastAsia"/>
                <w:sz w:val="18"/>
                <w:szCs w:val="18"/>
              </w:rPr>
              <w:t>（3）熟练掌握和应用高斯定理以及斯托克斯定理。</w:t>
            </w:r>
          </w:p>
          <w:p>
            <w:pPr>
              <w:snapToGrid w:val="0"/>
              <w:spacing w:line="300" w:lineRule="auto"/>
              <w:rPr>
                <w:sz w:val="18"/>
                <w:szCs w:val="18"/>
              </w:rPr>
            </w:pPr>
            <w:r>
              <w:rPr>
                <w:sz w:val="18"/>
                <w:szCs w:val="18"/>
              </w:rPr>
              <w:t></w:t>
            </w:r>
            <w:r>
              <w:rPr>
                <w:rFonts w:hint="eastAsia"/>
                <w:sz w:val="18"/>
                <w:szCs w:val="18"/>
              </w:rPr>
              <w:t>（4）理解赫姆霍兹定理的重要意义。</w:t>
            </w:r>
          </w:p>
          <w:p>
            <w:pPr>
              <w:snapToGrid w:val="0"/>
              <w:spacing w:line="300" w:lineRule="auto"/>
              <w:rPr>
                <w:sz w:val="18"/>
                <w:szCs w:val="18"/>
              </w:rPr>
            </w:pPr>
            <w:r>
              <w:rPr>
                <w:rFonts w:hint="eastAsia"/>
                <w:sz w:val="18"/>
                <w:szCs w:val="18"/>
              </w:rPr>
              <w:t>2、作业内容：教材本章思考题（1.7-1.9，1.10-1.12）和习题（1.11，1.12，1.14，1.16，1.23，1.28-1.30）</w:t>
            </w:r>
          </w:p>
          <w:p>
            <w:pPr>
              <w:snapToGrid w:val="0"/>
              <w:spacing w:line="300" w:lineRule="auto"/>
              <w:rPr>
                <w:sz w:val="18"/>
                <w:szCs w:val="18"/>
              </w:rPr>
            </w:pPr>
            <w:r>
              <w:rPr>
                <w:rFonts w:hint="eastAsia"/>
                <w:sz w:val="18"/>
                <w:szCs w:val="18"/>
              </w:rPr>
              <w:t>3、讨论内容：无</w:t>
            </w:r>
          </w:p>
          <w:p>
            <w:pPr>
              <w:snapToGrid w:val="0"/>
              <w:spacing w:line="300" w:lineRule="auto"/>
              <w:rPr>
                <w:sz w:val="18"/>
                <w:szCs w:val="18"/>
              </w:rPr>
            </w:pPr>
            <w:r>
              <w:rPr>
                <w:rFonts w:hint="eastAsia"/>
                <w:sz w:val="18"/>
                <w:szCs w:val="18"/>
              </w:rPr>
              <w:t>4、自学拓展：Helmholtz定理的证明</w:t>
            </w:r>
          </w:p>
        </w:tc>
        <w:tc>
          <w:tcPr>
            <w:tcW w:w="702" w:type="dxa"/>
            <w:vAlign w:val="center"/>
          </w:tcPr>
          <w:p>
            <w:pPr>
              <w:snapToGrid w:val="0"/>
              <w:spacing w:line="300" w:lineRule="auto"/>
              <w:jc w:val="center"/>
              <w:rPr>
                <w:sz w:val="18"/>
                <w:szCs w:val="18"/>
              </w:rPr>
            </w:pPr>
            <w:r>
              <w:rPr>
                <w:rFonts w:hint="eastAsia"/>
                <w:sz w:val="18"/>
                <w:szCs w:val="18"/>
              </w:rPr>
              <w:t>6</w:t>
            </w:r>
          </w:p>
        </w:tc>
        <w:tc>
          <w:tcPr>
            <w:tcW w:w="984" w:type="dxa"/>
            <w:vAlign w:val="center"/>
          </w:tcPr>
          <w:p>
            <w:pPr>
              <w:snapToGrid w:val="0"/>
              <w:spacing w:line="300" w:lineRule="auto"/>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snapToGrid w:val="0"/>
              <w:spacing w:line="300" w:lineRule="auto"/>
              <w:rPr>
                <w:sz w:val="18"/>
                <w:szCs w:val="18"/>
              </w:rPr>
            </w:pPr>
            <w:r>
              <w:rPr>
                <w:sz w:val="18"/>
                <w:szCs w:val="18"/>
              </w:rPr>
              <w:t>2</w:t>
            </w:r>
          </w:p>
        </w:tc>
        <w:tc>
          <w:tcPr>
            <w:tcW w:w="1969" w:type="dxa"/>
            <w:vAlign w:val="center"/>
          </w:tcPr>
          <w:p>
            <w:pPr>
              <w:snapToGrid w:val="0"/>
              <w:spacing w:line="300" w:lineRule="auto"/>
              <w:rPr>
                <w:sz w:val="18"/>
                <w:szCs w:val="18"/>
              </w:rPr>
            </w:pPr>
            <w:r>
              <w:rPr>
                <w:rFonts w:hint="eastAsia"/>
                <w:sz w:val="18"/>
                <w:szCs w:val="18"/>
              </w:rPr>
              <w:t>第2章宏观电磁场的基本规律</w:t>
            </w:r>
          </w:p>
          <w:p>
            <w:pPr>
              <w:snapToGrid w:val="0"/>
              <w:spacing w:line="300" w:lineRule="auto"/>
              <w:rPr>
                <w:sz w:val="18"/>
                <w:szCs w:val="18"/>
              </w:rPr>
            </w:pPr>
            <w:r>
              <w:rPr>
                <w:rFonts w:hint="eastAsia"/>
                <w:sz w:val="18"/>
                <w:szCs w:val="18"/>
              </w:rPr>
              <w:t>2.1 电荷守恒定律</w:t>
            </w:r>
          </w:p>
          <w:p>
            <w:pPr>
              <w:snapToGrid w:val="0"/>
              <w:spacing w:line="300" w:lineRule="auto"/>
              <w:rPr>
                <w:sz w:val="18"/>
                <w:szCs w:val="18"/>
              </w:rPr>
            </w:pPr>
            <w:r>
              <w:rPr>
                <w:rFonts w:hint="eastAsia"/>
                <w:sz w:val="18"/>
                <w:szCs w:val="18"/>
              </w:rPr>
              <w:t>2.2 真空中的静电场的基本规律</w:t>
            </w:r>
          </w:p>
          <w:p>
            <w:pPr>
              <w:snapToGrid w:val="0"/>
              <w:spacing w:line="300" w:lineRule="auto"/>
              <w:rPr>
                <w:sz w:val="18"/>
                <w:szCs w:val="18"/>
              </w:rPr>
            </w:pPr>
            <w:r>
              <w:rPr>
                <w:rFonts w:hint="eastAsia"/>
                <w:sz w:val="18"/>
                <w:szCs w:val="18"/>
              </w:rPr>
              <w:t>2.3 真空中恒定磁场的基本规律</w:t>
            </w:r>
          </w:p>
          <w:p>
            <w:pPr>
              <w:snapToGrid w:val="0"/>
              <w:spacing w:line="300" w:lineRule="auto"/>
              <w:rPr>
                <w:sz w:val="18"/>
                <w:szCs w:val="18"/>
              </w:rPr>
            </w:pPr>
            <w:r>
              <w:rPr>
                <w:rFonts w:hint="eastAsia"/>
                <w:sz w:val="18"/>
                <w:szCs w:val="18"/>
              </w:rPr>
              <w:t>2.4 媒质的电磁特性</w:t>
            </w:r>
          </w:p>
          <w:p>
            <w:pPr>
              <w:snapToGrid w:val="0"/>
              <w:spacing w:line="300" w:lineRule="auto"/>
              <w:rPr>
                <w:sz w:val="18"/>
                <w:szCs w:val="18"/>
              </w:rPr>
            </w:pPr>
            <w:r>
              <w:rPr>
                <w:rFonts w:hint="eastAsia"/>
                <w:sz w:val="18"/>
                <w:szCs w:val="18"/>
              </w:rPr>
              <w:t>2.5 电磁感应定律和位移电流</w:t>
            </w:r>
          </w:p>
          <w:p>
            <w:pPr>
              <w:snapToGrid w:val="0"/>
              <w:spacing w:line="300" w:lineRule="auto"/>
              <w:rPr>
                <w:sz w:val="18"/>
                <w:szCs w:val="18"/>
              </w:rPr>
            </w:pPr>
            <w:r>
              <w:rPr>
                <w:rFonts w:hint="eastAsia"/>
                <w:sz w:val="18"/>
                <w:szCs w:val="18"/>
              </w:rPr>
              <w:t>2.6 Maxwell方程组</w:t>
            </w:r>
          </w:p>
          <w:p>
            <w:pPr>
              <w:snapToGrid w:val="0"/>
              <w:spacing w:line="300" w:lineRule="auto"/>
              <w:rPr>
                <w:sz w:val="18"/>
                <w:szCs w:val="18"/>
              </w:rPr>
            </w:pPr>
            <w:r>
              <w:rPr>
                <w:rFonts w:hint="eastAsia"/>
                <w:sz w:val="18"/>
                <w:szCs w:val="18"/>
              </w:rPr>
              <w:t>2.7 电磁场的边界条件</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sz w:val="18"/>
                <w:szCs w:val="18"/>
              </w:rPr>
              <w:t></w:t>
            </w:r>
            <w:r>
              <w:rPr>
                <w:rFonts w:hint="eastAsia"/>
                <w:sz w:val="18"/>
                <w:szCs w:val="18"/>
              </w:rPr>
              <w:t>（1）掌握静电场的散度、旋度方程，理解其物理意义；并会用电场高斯定理求解简单物理模型的电场。</w:t>
            </w:r>
          </w:p>
          <w:p>
            <w:pPr>
              <w:snapToGrid w:val="0"/>
              <w:spacing w:line="300" w:lineRule="auto"/>
              <w:rPr>
                <w:sz w:val="18"/>
                <w:szCs w:val="18"/>
              </w:rPr>
            </w:pPr>
            <w:r>
              <w:rPr>
                <w:sz w:val="18"/>
                <w:szCs w:val="18"/>
              </w:rPr>
              <w:t></w:t>
            </w:r>
            <w:r>
              <w:rPr>
                <w:rFonts w:hint="eastAsia"/>
                <w:sz w:val="18"/>
                <w:szCs w:val="18"/>
              </w:rPr>
              <w:t>（2）掌握静磁场的散度、旋度方程，理解其物理意义；并会用安培环路定理求解简单物理模型的磁场。</w:t>
            </w:r>
          </w:p>
          <w:p>
            <w:pPr>
              <w:snapToGrid w:val="0"/>
              <w:spacing w:line="300" w:lineRule="auto"/>
              <w:rPr>
                <w:sz w:val="18"/>
                <w:szCs w:val="18"/>
              </w:rPr>
            </w:pPr>
            <w:r>
              <w:rPr>
                <w:sz w:val="18"/>
                <w:szCs w:val="18"/>
              </w:rPr>
              <w:t></w:t>
            </w:r>
            <w:r>
              <w:rPr>
                <w:rFonts w:hint="eastAsia"/>
                <w:sz w:val="18"/>
                <w:szCs w:val="18"/>
              </w:rPr>
              <w:t>（3）掌握电磁感应定律和位移电流的的概念。</w:t>
            </w:r>
          </w:p>
          <w:p>
            <w:pPr>
              <w:snapToGrid w:val="0"/>
              <w:spacing w:line="300" w:lineRule="auto"/>
              <w:rPr>
                <w:sz w:val="18"/>
                <w:szCs w:val="18"/>
              </w:rPr>
            </w:pPr>
            <w:r>
              <w:rPr>
                <w:sz w:val="18"/>
                <w:szCs w:val="18"/>
              </w:rPr>
              <w:t></w:t>
            </w:r>
            <w:r>
              <w:rPr>
                <w:rFonts w:hint="eastAsia"/>
                <w:sz w:val="18"/>
                <w:szCs w:val="18"/>
              </w:rPr>
              <w:t>（4）了解极化现象的本质，理解极化电荷与极化强度之间的关系式。</w:t>
            </w:r>
          </w:p>
          <w:p>
            <w:pPr>
              <w:snapToGrid w:val="0"/>
              <w:spacing w:line="300" w:lineRule="auto"/>
              <w:rPr>
                <w:sz w:val="18"/>
                <w:szCs w:val="18"/>
              </w:rPr>
            </w:pPr>
            <w:r>
              <w:rPr>
                <w:sz w:val="18"/>
                <w:szCs w:val="18"/>
              </w:rPr>
              <w:t></w:t>
            </w:r>
            <w:r>
              <w:rPr>
                <w:rFonts w:hint="eastAsia"/>
                <w:sz w:val="18"/>
                <w:szCs w:val="18"/>
              </w:rPr>
              <w:t>（5）了解磁化现象的本质，理解磁化电流与磁化强度之间的关系式。</w:t>
            </w:r>
          </w:p>
          <w:p>
            <w:pPr>
              <w:snapToGrid w:val="0"/>
              <w:spacing w:line="300" w:lineRule="auto"/>
              <w:rPr>
                <w:sz w:val="18"/>
                <w:szCs w:val="18"/>
              </w:rPr>
            </w:pPr>
            <w:r>
              <w:rPr>
                <w:sz w:val="18"/>
                <w:szCs w:val="18"/>
              </w:rPr>
              <w:t></w:t>
            </w:r>
            <w:r>
              <w:rPr>
                <w:rFonts w:hint="eastAsia"/>
                <w:sz w:val="18"/>
                <w:szCs w:val="18"/>
              </w:rPr>
              <w:t>（6）牢固掌握介质中的</w:t>
            </w:r>
            <w:r>
              <w:rPr>
                <w:sz w:val="18"/>
                <w:szCs w:val="18"/>
              </w:rPr>
              <w:t>Maxwell</w:t>
            </w:r>
            <w:r>
              <w:rPr>
                <w:rFonts w:hint="eastAsia"/>
                <w:sz w:val="18"/>
                <w:szCs w:val="18"/>
              </w:rPr>
              <w:t>方程组，并深刻理解其物理意义。</w:t>
            </w:r>
          </w:p>
          <w:p>
            <w:pPr>
              <w:snapToGrid w:val="0"/>
              <w:spacing w:line="300" w:lineRule="auto"/>
              <w:rPr>
                <w:sz w:val="18"/>
                <w:szCs w:val="18"/>
              </w:rPr>
            </w:pPr>
            <w:r>
              <w:rPr>
                <w:sz w:val="18"/>
                <w:szCs w:val="18"/>
              </w:rPr>
              <w:t></w:t>
            </w:r>
            <w:r>
              <w:rPr>
                <w:rFonts w:hint="eastAsia"/>
                <w:sz w:val="18"/>
                <w:szCs w:val="18"/>
              </w:rPr>
              <w:t>（7）掌握电磁场的法向和切向边界条件，理解其各自物理意义。</w:t>
            </w:r>
          </w:p>
          <w:p>
            <w:pPr>
              <w:snapToGrid w:val="0"/>
              <w:spacing w:line="300" w:lineRule="auto"/>
              <w:rPr>
                <w:sz w:val="18"/>
                <w:szCs w:val="18"/>
              </w:rPr>
            </w:pPr>
            <w:r>
              <w:rPr>
                <w:rFonts w:hint="eastAsia"/>
                <w:sz w:val="18"/>
                <w:szCs w:val="18"/>
              </w:rPr>
              <w:t>2、作业内容：教材本章思考题（2.4-2.9，2.15，2.16，2.20，2.21，2.24）和习题（2.19，2.25，2.27，2.28）</w:t>
            </w:r>
          </w:p>
          <w:p>
            <w:pPr>
              <w:snapToGrid w:val="0"/>
              <w:spacing w:line="300" w:lineRule="auto"/>
              <w:rPr>
                <w:sz w:val="18"/>
                <w:szCs w:val="18"/>
              </w:rPr>
            </w:pPr>
            <w:r>
              <w:rPr>
                <w:rFonts w:hint="eastAsia"/>
                <w:sz w:val="18"/>
                <w:szCs w:val="18"/>
              </w:rPr>
              <w:t>3、讨论内容：假设自然界存在磁荷和磁流，此时麦克斯韦方程组为何种形式？</w:t>
            </w:r>
          </w:p>
          <w:p>
            <w:pPr>
              <w:snapToGrid w:val="0"/>
              <w:spacing w:line="300" w:lineRule="auto"/>
              <w:rPr>
                <w:sz w:val="18"/>
                <w:szCs w:val="18"/>
              </w:rPr>
            </w:pPr>
            <w:r>
              <w:rPr>
                <w:rFonts w:hint="eastAsia"/>
                <w:sz w:val="18"/>
                <w:szCs w:val="18"/>
              </w:rPr>
              <w:t>4、自学拓展：无</w:t>
            </w:r>
          </w:p>
        </w:tc>
        <w:tc>
          <w:tcPr>
            <w:tcW w:w="702" w:type="dxa"/>
            <w:vAlign w:val="center"/>
          </w:tcPr>
          <w:p>
            <w:pPr>
              <w:snapToGrid w:val="0"/>
              <w:spacing w:line="300" w:lineRule="auto"/>
              <w:jc w:val="center"/>
              <w:rPr>
                <w:sz w:val="18"/>
                <w:szCs w:val="18"/>
              </w:rPr>
            </w:pPr>
            <w:r>
              <w:rPr>
                <w:rFonts w:hint="eastAsia"/>
                <w:sz w:val="18"/>
                <w:szCs w:val="18"/>
              </w:rPr>
              <w:t>8</w:t>
            </w:r>
          </w:p>
        </w:tc>
        <w:tc>
          <w:tcPr>
            <w:tcW w:w="984"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63" w:type="dxa"/>
            <w:tcMar>
              <w:left w:w="57" w:type="dxa"/>
              <w:right w:w="57" w:type="dxa"/>
            </w:tcMar>
            <w:vAlign w:val="center"/>
          </w:tcPr>
          <w:p>
            <w:pPr>
              <w:snapToGrid w:val="0"/>
              <w:spacing w:line="300" w:lineRule="auto"/>
              <w:rPr>
                <w:sz w:val="18"/>
                <w:szCs w:val="18"/>
              </w:rPr>
            </w:pPr>
            <w:r>
              <w:rPr>
                <w:sz w:val="18"/>
                <w:szCs w:val="18"/>
              </w:rPr>
              <w:t>3</w:t>
            </w:r>
          </w:p>
        </w:tc>
        <w:tc>
          <w:tcPr>
            <w:tcW w:w="1969" w:type="dxa"/>
            <w:vAlign w:val="center"/>
          </w:tcPr>
          <w:p>
            <w:pPr>
              <w:snapToGrid w:val="0"/>
              <w:spacing w:line="300" w:lineRule="auto"/>
              <w:rPr>
                <w:sz w:val="18"/>
                <w:szCs w:val="18"/>
              </w:rPr>
            </w:pPr>
            <w:r>
              <w:rPr>
                <w:rFonts w:hint="eastAsia"/>
                <w:sz w:val="18"/>
                <w:szCs w:val="18"/>
              </w:rPr>
              <w:t>第3章 静态电磁场及其边值问题的解</w:t>
            </w:r>
          </w:p>
          <w:p>
            <w:pPr>
              <w:snapToGrid w:val="0"/>
              <w:spacing w:line="300" w:lineRule="auto"/>
              <w:rPr>
                <w:sz w:val="18"/>
                <w:szCs w:val="18"/>
              </w:rPr>
            </w:pPr>
            <w:r>
              <w:rPr>
                <w:rFonts w:hint="eastAsia"/>
                <w:sz w:val="18"/>
                <w:szCs w:val="18"/>
              </w:rPr>
              <w:t>3.1 静电场分析</w:t>
            </w:r>
          </w:p>
          <w:p>
            <w:pPr>
              <w:snapToGrid w:val="0"/>
              <w:spacing w:line="300" w:lineRule="auto"/>
              <w:rPr>
                <w:sz w:val="18"/>
                <w:szCs w:val="18"/>
              </w:rPr>
            </w:pPr>
            <w:r>
              <w:rPr>
                <w:rFonts w:hint="eastAsia"/>
                <w:sz w:val="18"/>
                <w:szCs w:val="18"/>
              </w:rPr>
              <w:t xml:space="preserve">3.2导电媒质中的恒定电场分析 </w:t>
            </w:r>
          </w:p>
          <w:p>
            <w:pPr>
              <w:snapToGrid w:val="0"/>
              <w:spacing w:line="300" w:lineRule="auto"/>
              <w:rPr>
                <w:sz w:val="18"/>
                <w:szCs w:val="18"/>
              </w:rPr>
            </w:pPr>
            <w:r>
              <w:rPr>
                <w:rFonts w:hint="eastAsia"/>
                <w:sz w:val="18"/>
                <w:szCs w:val="18"/>
              </w:rPr>
              <w:t>3.3 恒定磁场分析</w:t>
            </w:r>
          </w:p>
          <w:p>
            <w:pPr>
              <w:snapToGrid w:val="0"/>
              <w:spacing w:line="300" w:lineRule="auto"/>
              <w:rPr>
                <w:sz w:val="18"/>
                <w:szCs w:val="18"/>
              </w:rPr>
            </w:pPr>
            <w:r>
              <w:rPr>
                <w:rFonts w:hint="eastAsia"/>
                <w:sz w:val="18"/>
                <w:szCs w:val="18"/>
              </w:rPr>
              <w:t>3.4 静态场的边值问题及解的唯一性定理</w:t>
            </w:r>
          </w:p>
          <w:p>
            <w:pPr>
              <w:snapToGrid w:val="0"/>
              <w:spacing w:line="300" w:lineRule="auto"/>
              <w:rPr>
                <w:sz w:val="18"/>
                <w:szCs w:val="18"/>
              </w:rPr>
            </w:pPr>
            <w:r>
              <w:rPr>
                <w:rFonts w:hint="eastAsia"/>
                <w:sz w:val="18"/>
                <w:szCs w:val="18"/>
              </w:rPr>
              <w:t>3.5 镜像法</w:t>
            </w:r>
          </w:p>
          <w:p>
            <w:pPr>
              <w:snapToGrid w:val="0"/>
              <w:spacing w:line="300" w:lineRule="auto"/>
              <w:rPr>
                <w:sz w:val="18"/>
                <w:szCs w:val="18"/>
              </w:rPr>
            </w:pPr>
            <w:r>
              <w:rPr>
                <w:rFonts w:hint="eastAsia"/>
                <w:sz w:val="18"/>
                <w:szCs w:val="18"/>
              </w:rPr>
              <w:t>3.6 分离变量法</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sz w:val="18"/>
                <w:szCs w:val="18"/>
              </w:rPr>
              <w:t></w:t>
            </w:r>
            <w:r>
              <w:rPr>
                <w:rFonts w:hint="eastAsia"/>
                <w:sz w:val="18"/>
                <w:szCs w:val="18"/>
              </w:rPr>
              <w:t>（1）掌握静电场中电位的微分方程和边界条件，并会通过求电位来间接求电场；</w:t>
            </w:r>
          </w:p>
          <w:p>
            <w:pPr>
              <w:snapToGrid w:val="0"/>
              <w:spacing w:line="300" w:lineRule="auto"/>
              <w:rPr>
                <w:sz w:val="18"/>
                <w:szCs w:val="18"/>
              </w:rPr>
            </w:pPr>
            <w:r>
              <w:rPr>
                <w:sz w:val="18"/>
                <w:szCs w:val="18"/>
              </w:rPr>
              <w:t></w:t>
            </w:r>
            <w:r>
              <w:rPr>
                <w:rFonts w:hint="eastAsia"/>
                <w:sz w:val="18"/>
                <w:szCs w:val="18"/>
              </w:rPr>
              <w:t>（2）会计算简单物理模型的电容；</w:t>
            </w:r>
          </w:p>
          <w:p>
            <w:pPr>
              <w:snapToGrid w:val="0"/>
              <w:spacing w:line="300" w:lineRule="auto"/>
              <w:rPr>
                <w:sz w:val="18"/>
                <w:szCs w:val="18"/>
              </w:rPr>
            </w:pPr>
            <w:r>
              <w:rPr>
                <w:sz w:val="18"/>
                <w:szCs w:val="18"/>
              </w:rPr>
              <w:t></w:t>
            </w:r>
            <w:r>
              <w:rPr>
                <w:rFonts w:hint="eastAsia"/>
                <w:sz w:val="18"/>
                <w:szCs w:val="18"/>
              </w:rPr>
              <w:t>（3）理解电场能量和能量密度，会计算一些典型场的电场能量和能量密度；</w:t>
            </w:r>
          </w:p>
          <w:p>
            <w:pPr>
              <w:snapToGrid w:val="0"/>
              <w:spacing w:line="300" w:lineRule="auto"/>
              <w:rPr>
                <w:sz w:val="18"/>
                <w:szCs w:val="18"/>
              </w:rPr>
            </w:pPr>
            <w:r>
              <w:rPr>
                <w:sz w:val="18"/>
                <w:szCs w:val="18"/>
              </w:rPr>
              <w:t></w:t>
            </w:r>
            <w:r>
              <w:rPr>
                <w:rFonts w:hint="eastAsia"/>
                <w:sz w:val="18"/>
                <w:szCs w:val="18"/>
              </w:rPr>
              <w:t>（4）理解恒定电场与静电场的比拟，会计算电导；</w:t>
            </w:r>
          </w:p>
          <w:p>
            <w:pPr>
              <w:snapToGrid w:val="0"/>
              <w:spacing w:line="300" w:lineRule="auto"/>
              <w:rPr>
                <w:sz w:val="18"/>
                <w:szCs w:val="18"/>
              </w:rPr>
            </w:pPr>
            <w:r>
              <w:rPr>
                <w:sz w:val="18"/>
                <w:szCs w:val="18"/>
              </w:rPr>
              <w:t></w:t>
            </w:r>
            <w:r>
              <w:rPr>
                <w:rFonts w:hint="eastAsia"/>
                <w:sz w:val="18"/>
                <w:szCs w:val="18"/>
              </w:rPr>
              <w:t>（5）掌握矢量磁位的微分方程和边界条件；</w:t>
            </w:r>
          </w:p>
          <w:p>
            <w:pPr>
              <w:snapToGrid w:val="0"/>
              <w:spacing w:line="300" w:lineRule="auto"/>
              <w:rPr>
                <w:sz w:val="18"/>
                <w:szCs w:val="18"/>
              </w:rPr>
            </w:pPr>
            <w:r>
              <w:rPr>
                <w:sz w:val="18"/>
                <w:szCs w:val="18"/>
              </w:rPr>
              <w:t></w:t>
            </w:r>
            <w:r>
              <w:rPr>
                <w:rFonts w:hint="eastAsia"/>
                <w:sz w:val="18"/>
                <w:szCs w:val="18"/>
              </w:rPr>
              <w:t>（6）理解磁场能量和能量密度，会计算一些典型场的磁场能量和能量密度；</w:t>
            </w:r>
          </w:p>
          <w:p>
            <w:pPr>
              <w:snapToGrid w:val="0"/>
              <w:spacing w:line="300" w:lineRule="auto"/>
              <w:rPr>
                <w:sz w:val="18"/>
                <w:szCs w:val="18"/>
              </w:rPr>
            </w:pPr>
            <w:r>
              <w:rPr>
                <w:sz w:val="18"/>
                <w:szCs w:val="18"/>
              </w:rPr>
              <w:t></w:t>
            </w:r>
            <w:r>
              <w:rPr>
                <w:rFonts w:hint="eastAsia"/>
                <w:sz w:val="18"/>
                <w:szCs w:val="18"/>
              </w:rPr>
              <w:t>（7）理解静态场的边值问题及解的惟一性定理；</w:t>
            </w:r>
          </w:p>
          <w:p>
            <w:pPr>
              <w:snapToGrid w:val="0"/>
              <w:spacing w:line="300" w:lineRule="auto"/>
              <w:rPr>
                <w:sz w:val="18"/>
                <w:szCs w:val="18"/>
              </w:rPr>
            </w:pPr>
            <w:r>
              <w:rPr>
                <w:sz w:val="18"/>
                <w:szCs w:val="18"/>
              </w:rPr>
              <w:t></w:t>
            </w:r>
            <w:r>
              <w:rPr>
                <w:rFonts w:hint="eastAsia"/>
                <w:sz w:val="18"/>
                <w:szCs w:val="18"/>
              </w:rPr>
              <w:t>（8）掌握镜像法的基本原理，会用镜像法求解简单物理模型问题；</w:t>
            </w:r>
          </w:p>
          <w:p>
            <w:pPr>
              <w:snapToGrid w:val="0"/>
              <w:spacing w:line="300" w:lineRule="auto"/>
              <w:rPr>
                <w:sz w:val="18"/>
                <w:szCs w:val="18"/>
              </w:rPr>
            </w:pPr>
            <w:r>
              <w:rPr>
                <w:rFonts w:hint="eastAsia"/>
                <w:sz w:val="18"/>
                <w:szCs w:val="18"/>
              </w:rPr>
              <w:t>（9）了解分离变量法的基本思想和解题思路。</w:t>
            </w:r>
          </w:p>
          <w:p>
            <w:pPr>
              <w:snapToGrid w:val="0"/>
              <w:spacing w:line="300" w:lineRule="auto"/>
              <w:rPr>
                <w:sz w:val="18"/>
                <w:szCs w:val="18"/>
              </w:rPr>
            </w:pPr>
            <w:r>
              <w:rPr>
                <w:rFonts w:hint="eastAsia"/>
                <w:sz w:val="18"/>
                <w:szCs w:val="18"/>
              </w:rPr>
              <w:t>2、作业内容：教材本章思考题（3.4，3.11，3.16-3.18）和习题（3.7-3.9，3.11，3.18，3.19，3.23）</w:t>
            </w:r>
          </w:p>
          <w:p>
            <w:pPr>
              <w:snapToGrid w:val="0"/>
              <w:spacing w:line="300" w:lineRule="auto"/>
              <w:rPr>
                <w:sz w:val="18"/>
                <w:szCs w:val="18"/>
              </w:rPr>
            </w:pPr>
            <w:r>
              <w:rPr>
                <w:rFonts w:hint="eastAsia"/>
                <w:sz w:val="18"/>
                <w:szCs w:val="18"/>
              </w:rPr>
              <w:t>3、讨论内容：同轴线单位长度电容、电感以及静电储能的计算。</w:t>
            </w:r>
          </w:p>
          <w:p>
            <w:pPr>
              <w:snapToGrid w:val="0"/>
              <w:spacing w:line="300" w:lineRule="auto"/>
              <w:rPr>
                <w:sz w:val="18"/>
                <w:szCs w:val="18"/>
              </w:rPr>
            </w:pPr>
            <w:r>
              <w:rPr>
                <w:rFonts w:hint="eastAsia"/>
                <w:sz w:val="18"/>
                <w:szCs w:val="18"/>
              </w:rPr>
              <w:t>4、自学拓展：有限差分法</w:t>
            </w:r>
          </w:p>
        </w:tc>
        <w:tc>
          <w:tcPr>
            <w:tcW w:w="702" w:type="dxa"/>
            <w:vAlign w:val="center"/>
          </w:tcPr>
          <w:p>
            <w:pPr>
              <w:snapToGrid w:val="0"/>
              <w:spacing w:line="300" w:lineRule="auto"/>
              <w:jc w:val="center"/>
              <w:rPr>
                <w:sz w:val="18"/>
                <w:szCs w:val="18"/>
              </w:rPr>
            </w:pPr>
            <w:r>
              <w:rPr>
                <w:rFonts w:hint="eastAsia"/>
                <w:sz w:val="18"/>
                <w:szCs w:val="18"/>
              </w:rPr>
              <w:t>8</w:t>
            </w:r>
          </w:p>
        </w:tc>
        <w:tc>
          <w:tcPr>
            <w:tcW w:w="984" w:type="dxa"/>
            <w:vAlign w:val="center"/>
          </w:tcPr>
          <w:p>
            <w:pPr>
              <w:snapToGrid w:val="0"/>
              <w:spacing w:line="300" w:lineRule="auto"/>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3" w:type="dxa"/>
            <w:tcMar>
              <w:left w:w="57" w:type="dxa"/>
              <w:right w:w="57" w:type="dxa"/>
            </w:tcMar>
            <w:vAlign w:val="center"/>
          </w:tcPr>
          <w:p>
            <w:pPr>
              <w:snapToGrid w:val="0"/>
              <w:spacing w:line="300" w:lineRule="auto"/>
              <w:rPr>
                <w:sz w:val="18"/>
                <w:szCs w:val="18"/>
              </w:rPr>
            </w:pPr>
            <w:r>
              <w:rPr>
                <w:sz w:val="18"/>
                <w:szCs w:val="18"/>
              </w:rPr>
              <w:t>4</w:t>
            </w:r>
          </w:p>
        </w:tc>
        <w:tc>
          <w:tcPr>
            <w:tcW w:w="1969" w:type="dxa"/>
            <w:vAlign w:val="center"/>
          </w:tcPr>
          <w:p>
            <w:pPr>
              <w:snapToGrid w:val="0"/>
              <w:spacing w:line="300" w:lineRule="auto"/>
              <w:rPr>
                <w:sz w:val="18"/>
                <w:szCs w:val="18"/>
              </w:rPr>
            </w:pPr>
            <w:r>
              <w:rPr>
                <w:rFonts w:hint="eastAsia"/>
                <w:sz w:val="18"/>
                <w:szCs w:val="18"/>
              </w:rPr>
              <w:t>第4章 时变电磁场</w:t>
            </w:r>
          </w:p>
          <w:p>
            <w:pPr>
              <w:snapToGrid w:val="0"/>
              <w:spacing w:line="300" w:lineRule="auto"/>
              <w:rPr>
                <w:sz w:val="18"/>
                <w:szCs w:val="18"/>
              </w:rPr>
            </w:pPr>
            <w:r>
              <w:rPr>
                <w:rFonts w:hint="eastAsia"/>
                <w:sz w:val="18"/>
                <w:szCs w:val="18"/>
              </w:rPr>
              <w:t>4.1 时变电磁场的波动方程</w:t>
            </w:r>
          </w:p>
          <w:p>
            <w:pPr>
              <w:snapToGrid w:val="0"/>
              <w:spacing w:line="300" w:lineRule="auto"/>
              <w:rPr>
                <w:sz w:val="18"/>
                <w:szCs w:val="18"/>
              </w:rPr>
            </w:pPr>
            <w:r>
              <w:rPr>
                <w:rFonts w:hint="eastAsia"/>
                <w:sz w:val="18"/>
                <w:szCs w:val="18"/>
              </w:rPr>
              <w:t>4.2 时变电磁场的势函数</w:t>
            </w:r>
          </w:p>
          <w:p>
            <w:pPr>
              <w:snapToGrid w:val="0"/>
              <w:spacing w:line="300" w:lineRule="auto"/>
              <w:rPr>
                <w:sz w:val="18"/>
                <w:szCs w:val="18"/>
              </w:rPr>
            </w:pPr>
            <w:r>
              <w:rPr>
                <w:rFonts w:hint="eastAsia"/>
                <w:sz w:val="18"/>
                <w:szCs w:val="18"/>
              </w:rPr>
              <w:t>4.3 时变电磁场的能量</w:t>
            </w:r>
          </w:p>
          <w:p>
            <w:pPr>
              <w:snapToGrid w:val="0"/>
              <w:spacing w:line="300" w:lineRule="auto"/>
              <w:rPr>
                <w:sz w:val="18"/>
                <w:szCs w:val="18"/>
              </w:rPr>
            </w:pPr>
            <w:r>
              <w:rPr>
                <w:rFonts w:hint="eastAsia"/>
                <w:sz w:val="18"/>
                <w:szCs w:val="18"/>
              </w:rPr>
              <w:t>4.4 唯一性定理</w:t>
            </w:r>
          </w:p>
          <w:p>
            <w:pPr>
              <w:snapToGrid w:val="0"/>
              <w:spacing w:line="300" w:lineRule="auto"/>
              <w:rPr>
                <w:sz w:val="18"/>
                <w:szCs w:val="18"/>
              </w:rPr>
            </w:pPr>
            <w:r>
              <w:rPr>
                <w:rFonts w:hint="eastAsia"/>
                <w:sz w:val="18"/>
                <w:szCs w:val="18"/>
              </w:rPr>
              <w:t>4.5 谐变电磁场</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sz w:val="18"/>
                <w:szCs w:val="18"/>
              </w:rPr>
              <w:t></w:t>
            </w:r>
            <w:r>
              <w:rPr>
                <w:rFonts w:hint="eastAsia"/>
                <w:sz w:val="18"/>
                <w:szCs w:val="18"/>
              </w:rPr>
              <w:t>（1）掌握电磁场的波动方程，会用</w:t>
            </w:r>
            <w:r>
              <w:rPr>
                <w:sz w:val="18"/>
                <w:szCs w:val="18"/>
              </w:rPr>
              <w:t>Maxwell</w:t>
            </w:r>
            <w:r>
              <w:rPr>
                <w:rFonts w:hint="eastAsia"/>
                <w:sz w:val="18"/>
                <w:szCs w:val="18"/>
              </w:rPr>
              <w:t>方程推导出波动方程；</w:t>
            </w:r>
          </w:p>
          <w:p>
            <w:pPr>
              <w:snapToGrid w:val="0"/>
              <w:spacing w:line="300" w:lineRule="auto"/>
              <w:ind w:firstLine="180" w:firstLineChars="100"/>
              <w:rPr>
                <w:sz w:val="18"/>
                <w:szCs w:val="18"/>
              </w:rPr>
            </w:pPr>
            <w:r>
              <w:rPr>
                <w:rFonts w:hint="eastAsia"/>
                <w:sz w:val="18"/>
                <w:szCs w:val="18"/>
              </w:rPr>
              <w:t>（2）理解动态矢量位和标量位的概念以及其满足的微分方程。</w:t>
            </w:r>
          </w:p>
          <w:p>
            <w:pPr>
              <w:snapToGrid w:val="0"/>
              <w:spacing w:line="300" w:lineRule="auto"/>
              <w:rPr>
                <w:sz w:val="18"/>
                <w:szCs w:val="18"/>
              </w:rPr>
            </w:pPr>
            <w:r>
              <w:rPr>
                <w:sz w:val="18"/>
                <w:szCs w:val="18"/>
              </w:rPr>
              <w:t></w:t>
            </w:r>
            <w:r>
              <w:rPr>
                <w:rFonts w:hint="eastAsia"/>
                <w:sz w:val="18"/>
                <w:szCs w:val="18"/>
              </w:rPr>
              <w:t>（3）理解坡印廷矢量的物理意义，并会计算坡印廷矢量；</w:t>
            </w:r>
          </w:p>
          <w:p>
            <w:pPr>
              <w:snapToGrid w:val="0"/>
              <w:spacing w:line="300" w:lineRule="auto"/>
              <w:rPr>
                <w:sz w:val="18"/>
                <w:szCs w:val="18"/>
              </w:rPr>
            </w:pPr>
            <w:r>
              <w:rPr>
                <w:sz w:val="18"/>
                <w:szCs w:val="18"/>
              </w:rPr>
              <w:t></w:t>
            </w:r>
            <w:r>
              <w:rPr>
                <w:rFonts w:hint="eastAsia"/>
                <w:sz w:val="18"/>
                <w:szCs w:val="18"/>
              </w:rPr>
              <w:t>（4）理解唯一性定理及其重要意义。</w:t>
            </w:r>
          </w:p>
          <w:p>
            <w:pPr>
              <w:snapToGrid w:val="0"/>
              <w:spacing w:line="300" w:lineRule="auto"/>
              <w:rPr>
                <w:sz w:val="18"/>
                <w:szCs w:val="18"/>
              </w:rPr>
            </w:pPr>
            <w:r>
              <w:rPr>
                <w:sz w:val="18"/>
                <w:szCs w:val="18"/>
              </w:rPr>
              <w:t></w:t>
            </w:r>
            <w:r>
              <w:rPr>
                <w:rFonts w:hint="eastAsia"/>
                <w:sz w:val="18"/>
                <w:szCs w:val="18"/>
              </w:rPr>
              <w:t>（5）理解谐变电磁场，会用场的复矢量来表示其瞬时矢量；掌握谐变电磁场</w:t>
            </w:r>
            <w:r>
              <w:rPr>
                <w:sz w:val="18"/>
                <w:szCs w:val="18"/>
              </w:rPr>
              <w:t>Maxwell</w:t>
            </w:r>
            <w:r>
              <w:rPr>
                <w:rFonts w:hint="eastAsia"/>
                <w:sz w:val="18"/>
                <w:szCs w:val="18"/>
              </w:rPr>
              <w:t>方程组和波动方程。</w:t>
            </w:r>
          </w:p>
          <w:p>
            <w:pPr>
              <w:snapToGrid w:val="0"/>
              <w:spacing w:line="300" w:lineRule="auto"/>
              <w:rPr>
                <w:sz w:val="18"/>
                <w:szCs w:val="18"/>
              </w:rPr>
            </w:pPr>
            <w:r>
              <w:rPr>
                <w:sz w:val="18"/>
                <w:szCs w:val="18"/>
              </w:rPr>
              <w:t></w:t>
            </w:r>
            <w:r>
              <w:rPr>
                <w:rFonts w:hint="eastAsia"/>
                <w:sz w:val="18"/>
                <w:szCs w:val="18"/>
              </w:rPr>
              <w:t>（6）了解复电容率和复磁导率；</w:t>
            </w:r>
          </w:p>
          <w:p>
            <w:pPr>
              <w:snapToGrid w:val="0"/>
              <w:spacing w:line="300" w:lineRule="auto"/>
              <w:rPr>
                <w:sz w:val="18"/>
                <w:szCs w:val="18"/>
              </w:rPr>
            </w:pPr>
            <w:r>
              <w:rPr>
                <w:sz w:val="18"/>
                <w:szCs w:val="18"/>
              </w:rPr>
              <w:t></w:t>
            </w:r>
            <w:r>
              <w:rPr>
                <w:rFonts w:hint="eastAsia"/>
                <w:sz w:val="18"/>
                <w:szCs w:val="18"/>
              </w:rPr>
              <w:t>（7）会通过场的复矢量来求解平均坡印廷矢量（平均能流密度矢量）。</w:t>
            </w:r>
          </w:p>
          <w:p>
            <w:pPr>
              <w:snapToGrid w:val="0"/>
              <w:spacing w:line="300" w:lineRule="auto"/>
              <w:rPr>
                <w:sz w:val="18"/>
                <w:szCs w:val="18"/>
              </w:rPr>
            </w:pPr>
            <w:r>
              <w:rPr>
                <w:rFonts w:hint="eastAsia"/>
                <w:sz w:val="18"/>
                <w:szCs w:val="18"/>
              </w:rPr>
              <w:t>2、作业内容：教材本章思考题（4.3，4.4，4.6，4.7，4.9，4.11）和习题（4.8，4.9）</w:t>
            </w:r>
          </w:p>
          <w:p>
            <w:pPr>
              <w:snapToGrid w:val="0"/>
              <w:spacing w:line="300" w:lineRule="auto"/>
              <w:rPr>
                <w:sz w:val="18"/>
                <w:szCs w:val="18"/>
              </w:rPr>
            </w:pPr>
            <w:r>
              <w:rPr>
                <w:rFonts w:hint="eastAsia"/>
                <w:sz w:val="18"/>
                <w:szCs w:val="18"/>
              </w:rPr>
              <w:t>3、讨论内容：何为自然边界条件？应用中常用的有哪几类自然边界条件？</w:t>
            </w:r>
          </w:p>
          <w:p>
            <w:pPr>
              <w:snapToGrid w:val="0"/>
              <w:spacing w:line="300" w:lineRule="auto"/>
              <w:rPr>
                <w:sz w:val="18"/>
                <w:szCs w:val="18"/>
              </w:rPr>
            </w:pPr>
            <w:r>
              <w:rPr>
                <w:rFonts w:hint="eastAsia"/>
                <w:sz w:val="18"/>
                <w:szCs w:val="18"/>
              </w:rPr>
              <w:t>4、自学拓展：</w:t>
            </w:r>
            <w:r>
              <w:rPr>
                <w:sz w:val="18"/>
                <w:szCs w:val="18"/>
              </w:rPr>
              <w:t xml:space="preserve"> 无</w:t>
            </w:r>
          </w:p>
        </w:tc>
        <w:tc>
          <w:tcPr>
            <w:tcW w:w="702" w:type="dxa"/>
            <w:vAlign w:val="center"/>
          </w:tcPr>
          <w:p>
            <w:pPr>
              <w:snapToGrid w:val="0"/>
              <w:spacing w:line="300" w:lineRule="auto"/>
              <w:jc w:val="center"/>
              <w:rPr>
                <w:sz w:val="18"/>
                <w:szCs w:val="18"/>
              </w:rPr>
            </w:pPr>
            <w:r>
              <w:rPr>
                <w:rFonts w:hint="eastAsia"/>
                <w:sz w:val="18"/>
                <w:szCs w:val="18"/>
              </w:rPr>
              <w:t>6</w:t>
            </w:r>
          </w:p>
        </w:tc>
        <w:tc>
          <w:tcPr>
            <w:tcW w:w="984"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63" w:type="dxa"/>
            <w:tcMar>
              <w:left w:w="57" w:type="dxa"/>
              <w:right w:w="57" w:type="dxa"/>
            </w:tcMar>
            <w:vAlign w:val="center"/>
          </w:tcPr>
          <w:p>
            <w:pPr>
              <w:snapToGrid w:val="0"/>
              <w:spacing w:line="300" w:lineRule="auto"/>
              <w:rPr>
                <w:sz w:val="18"/>
                <w:szCs w:val="18"/>
              </w:rPr>
            </w:pPr>
            <w:r>
              <w:rPr>
                <w:sz w:val="18"/>
                <w:szCs w:val="18"/>
              </w:rPr>
              <w:t>5</w:t>
            </w:r>
          </w:p>
        </w:tc>
        <w:tc>
          <w:tcPr>
            <w:tcW w:w="1969" w:type="dxa"/>
            <w:vAlign w:val="center"/>
          </w:tcPr>
          <w:p>
            <w:pPr>
              <w:snapToGrid w:val="0"/>
              <w:spacing w:line="300" w:lineRule="auto"/>
              <w:rPr>
                <w:sz w:val="18"/>
                <w:szCs w:val="18"/>
              </w:rPr>
            </w:pPr>
            <w:r>
              <w:rPr>
                <w:rFonts w:hint="eastAsia"/>
                <w:sz w:val="18"/>
                <w:szCs w:val="18"/>
              </w:rPr>
              <w:t>第5章 均匀平面波在无界空间中传播</w:t>
            </w:r>
          </w:p>
          <w:p>
            <w:pPr>
              <w:snapToGrid w:val="0"/>
              <w:spacing w:line="300" w:lineRule="auto"/>
              <w:rPr>
                <w:sz w:val="18"/>
                <w:szCs w:val="18"/>
              </w:rPr>
            </w:pPr>
            <w:r>
              <w:rPr>
                <w:rFonts w:hint="eastAsia"/>
                <w:sz w:val="18"/>
                <w:szCs w:val="18"/>
              </w:rPr>
              <w:t>5.1 理想介质中的均匀平面波</w:t>
            </w:r>
          </w:p>
          <w:p>
            <w:pPr>
              <w:snapToGrid w:val="0"/>
              <w:spacing w:line="300" w:lineRule="auto"/>
              <w:rPr>
                <w:sz w:val="18"/>
                <w:szCs w:val="18"/>
              </w:rPr>
            </w:pPr>
            <w:r>
              <w:rPr>
                <w:rFonts w:hint="eastAsia"/>
                <w:sz w:val="18"/>
                <w:szCs w:val="18"/>
              </w:rPr>
              <w:t>5.2 均匀平面波在导电媒质中的传播</w:t>
            </w:r>
          </w:p>
          <w:p>
            <w:pPr>
              <w:snapToGrid w:val="0"/>
              <w:spacing w:line="300" w:lineRule="auto"/>
              <w:rPr>
                <w:sz w:val="18"/>
                <w:szCs w:val="18"/>
              </w:rPr>
            </w:pPr>
            <w:r>
              <w:rPr>
                <w:rFonts w:hint="eastAsia"/>
                <w:sz w:val="18"/>
                <w:szCs w:val="18"/>
              </w:rPr>
              <w:t>5.3 电磁波的极化</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rPr>
                <w:sz w:val="18"/>
                <w:szCs w:val="18"/>
              </w:rPr>
            </w:pPr>
            <w:r>
              <w:rPr>
                <w:rFonts w:hint="eastAsia"/>
                <w:sz w:val="18"/>
                <w:szCs w:val="18"/>
              </w:rPr>
              <w:t>（1）掌握波的概念和表示方法，理解均匀平面波的概念以及研究均与平面波的重要意义。</w:t>
            </w:r>
          </w:p>
          <w:p>
            <w:pPr>
              <w:snapToGrid w:val="0"/>
              <w:spacing w:line="300" w:lineRule="auto"/>
              <w:rPr>
                <w:sz w:val="18"/>
                <w:szCs w:val="18"/>
              </w:rPr>
            </w:pPr>
            <w:r>
              <w:rPr>
                <w:rFonts w:hint="eastAsia"/>
                <w:sz w:val="18"/>
                <w:szCs w:val="18"/>
              </w:rPr>
              <w:t>（2）理解和掌握均匀平面波在无界理想介质中的传播特性。</w:t>
            </w:r>
          </w:p>
          <w:p>
            <w:pPr>
              <w:snapToGrid w:val="0"/>
              <w:spacing w:line="300" w:lineRule="auto"/>
              <w:rPr>
                <w:sz w:val="18"/>
                <w:szCs w:val="18"/>
              </w:rPr>
            </w:pPr>
            <w:r>
              <w:rPr>
                <w:rFonts w:hint="eastAsia"/>
                <w:sz w:val="18"/>
                <w:szCs w:val="18"/>
              </w:rPr>
              <w:t>（3）理解和掌握均匀平面波在无界有损耗媒质中的传播特习惯，理解描述传播特性参数的物理意义。</w:t>
            </w:r>
          </w:p>
          <w:p>
            <w:pPr>
              <w:snapToGrid w:val="0"/>
              <w:spacing w:line="300" w:lineRule="auto"/>
              <w:rPr>
                <w:sz w:val="18"/>
                <w:szCs w:val="18"/>
              </w:rPr>
            </w:pPr>
            <w:r>
              <w:rPr>
                <w:rFonts w:hint="eastAsia"/>
                <w:sz w:val="18"/>
                <w:szCs w:val="18"/>
              </w:rPr>
              <w:t>（4）掌握波的极化的概念以及研究波的极化的重要意义，掌握三种极化方式的条件并能正确判别波的极化状态。</w:t>
            </w:r>
          </w:p>
          <w:p>
            <w:pPr>
              <w:snapToGrid w:val="0"/>
              <w:spacing w:line="300" w:lineRule="auto"/>
              <w:rPr>
                <w:sz w:val="18"/>
                <w:szCs w:val="18"/>
              </w:rPr>
            </w:pPr>
            <w:r>
              <w:rPr>
                <w:rFonts w:hint="eastAsia"/>
                <w:sz w:val="18"/>
                <w:szCs w:val="18"/>
              </w:rPr>
              <w:t>（5）理解群速的概念以及群速与相速的关系。</w:t>
            </w:r>
          </w:p>
          <w:p>
            <w:pPr>
              <w:snapToGrid w:val="0"/>
              <w:spacing w:line="300" w:lineRule="auto"/>
              <w:rPr>
                <w:sz w:val="18"/>
                <w:szCs w:val="18"/>
              </w:rPr>
            </w:pPr>
            <w:r>
              <w:rPr>
                <w:rFonts w:hint="eastAsia"/>
                <w:sz w:val="18"/>
                <w:szCs w:val="18"/>
              </w:rPr>
              <w:t>2、作业内容：教材本章思考题（5.1，5.5，5.6，5.10，5.12）和习题（5.1，5.3，5.6，5.12）</w:t>
            </w:r>
          </w:p>
          <w:p>
            <w:pPr>
              <w:snapToGrid w:val="0"/>
              <w:spacing w:line="300" w:lineRule="auto"/>
              <w:rPr>
                <w:sz w:val="18"/>
                <w:szCs w:val="18"/>
              </w:rPr>
            </w:pPr>
            <w:r>
              <w:rPr>
                <w:rFonts w:hint="eastAsia"/>
                <w:sz w:val="18"/>
                <w:szCs w:val="18"/>
              </w:rPr>
              <w:t>3、讨论内容：电磁波极化在通信、雷达和抗干扰方面的主要应用</w:t>
            </w:r>
          </w:p>
          <w:p>
            <w:pPr>
              <w:snapToGrid w:val="0"/>
              <w:spacing w:line="300" w:lineRule="auto"/>
              <w:rPr>
                <w:sz w:val="18"/>
                <w:szCs w:val="18"/>
              </w:rPr>
            </w:pPr>
            <w:r>
              <w:rPr>
                <w:rFonts w:hint="eastAsia"/>
                <w:sz w:val="18"/>
                <w:szCs w:val="18"/>
              </w:rPr>
              <w:t>4、自学拓展：均匀平面波在各向异性媒质中的传播</w:t>
            </w:r>
          </w:p>
        </w:tc>
        <w:tc>
          <w:tcPr>
            <w:tcW w:w="702" w:type="dxa"/>
            <w:vAlign w:val="center"/>
          </w:tcPr>
          <w:p>
            <w:pPr>
              <w:snapToGrid w:val="0"/>
              <w:spacing w:line="300" w:lineRule="auto"/>
              <w:jc w:val="center"/>
              <w:rPr>
                <w:sz w:val="18"/>
                <w:szCs w:val="18"/>
              </w:rPr>
            </w:pPr>
            <w:r>
              <w:rPr>
                <w:rFonts w:hint="eastAsia"/>
                <w:sz w:val="18"/>
                <w:szCs w:val="18"/>
              </w:rPr>
              <w:t>3</w:t>
            </w:r>
          </w:p>
        </w:tc>
        <w:tc>
          <w:tcPr>
            <w:tcW w:w="984" w:type="dxa"/>
            <w:vAlign w:val="center"/>
          </w:tcPr>
          <w:p>
            <w:pPr>
              <w:snapToGrid w:val="0"/>
              <w:spacing w:line="300" w:lineRule="auto"/>
              <w:rPr>
                <w:sz w:val="18"/>
                <w:szCs w:val="18"/>
              </w:rPr>
            </w:pPr>
            <w:r>
              <w:rPr>
                <w:rFonts w:hint="eastAsia"/>
                <w:sz w:val="18"/>
                <w:szCs w:val="18"/>
              </w:rPr>
              <w:t>1，</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3" w:type="dxa"/>
            <w:tcMar>
              <w:left w:w="57" w:type="dxa"/>
              <w:right w:w="57" w:type="dxa"/>
            </w:tcMar>
            <w:vAlign w:val="center"/>
          </w:tcPr>
          <w:p>
            <w:pPr>
              <w:snapToGrid w:val="0"/>
              <w:spacing w:line="300" w:lineRule="auto"/>
              <w:rPr>
                <w:sz w:val="18"/>
                <w:szCs w:val="18"/>
              </w:rPr>
            </w:pPr>
            <w:r>
              <w:rPr>
                <w:sz w:val="18"/>
                <w:szCs w:val="18"/>
              </w:rPr>
              <w:t>6</w:t>
            </w:r>
          </w:p>
        </w:tc>
        <w:tc>
          <w:tcPr>
            <w:tcW w:w="1969" w:type="dxa"/>
            <w:vAlign w:val="center"/>
          </w:tcPr>
          <w:p>
            <w:pPr>
              <w:snapToGrid w:val="0"/>
              <w:spacing w:line="300" w:lineRule="auto"/>
              <w:rPr>
                <w:sz w:val="18"/>
                <w:szCs w:val="18"/>
              </w:rPr>
            </w:pPr>
            <w:r>
              <w:rPr>
                <w:rFonts w:hint="eastAsia"/>
                <w:sz w:val="18"/>
                <w:szCs w:val="18"/>
              </w:rPr>
              <w:t>第6章 均匀平面波的反射与透射</w:t>
            </w:r>
          </w:p>
          <w:p>
            <w:pPr>
              <w:snapToGrid w:val="0"/>
              <w:spacing w:line="300" w:lineRule="auto"/>
              <w:rPr>
                <w:sz w:val="18"/>
                <w:szCs w:val="18"/>
              </w:rPr>
            </w:pPr>
            <w:r>
              <w:rPr>
                <w:rFonts w:hint="eastAsia"/>
                <w:sz w:val="18"/>
                <w:szCs w:val="18"/>
              </w:rPr>
              <w:t>6.1 均匀平面波对分界面的垂直入射</w:t>
            </w:r>
          </w:p>
          <w:p>
            <w:pPr>
              <w:snapToGrid w:val="0"/>
              <w:spacing w:line="300" w:lineRule="auto"/>
              <w:rPr>
                <w:sz w:val="18"/>
                <w:szCs w:val="18"/>
              </w:rPr>
            </w:pPr>
            <w:r>
              <w:rPr>
                <w:rFonts w:hint="eastAsia"/>
                <w:sz w:val="18"/>
                <w:szCs w:val="18"/>
              </w:rPr>
              <w:t>6.2 均匀平面波对多层介质分界平面的垂直入射</w:t>
            </w:r>
          </w:p>
        </w:tc>
        <w:tc>
          <w:tcPr>
            <w:tcW w:w="4078" w:type="dxa"/>
            <w:vAlign w:val="center"/>
          </w:tcPr>
          <w:p>
            <w:pPr>
              <w:snapToGrid w:val="0"/>
              <w:spacing w:line="300" w:lineRule="auto"/>
              <w:rPr>
                <w:sz w:val="18"/>
                <w:szCs w:val="18"/>
              </w:rPr>
            </w:pPr>
            <w:r>
              <w:rPr>
                <w:rFonts w:hint="eastAsia"/>
                <w:sz w:val="18"/>
                <w:szCs w:val="18"/>
              </w:rPr>
              <w:t>1、目标及要求：</w:t>
            </w:r>
          </w:p>
          <w:p>
            <w:pPr>
              <w:snapToGrid w:val="0"/>
              <w:spacing w:line="300" w:lineRule="auto"/>
              <w:ind w:firstLine="180" w:firstLineChars="100"/>
              <w:rPr>
                <w:sz w:val="18"/>
                <w:szCs w:val="18"/>
              </w:rPr>
            </w:pPr>
            <w:r>
              <w:rPr>
                <w:rFonts w:hint="eastAsia"/>
                <w:sz w:val="18"/>
                <w:szCs w:val="18"/>
              </w:rPr>
              <w:t>（1）掌握均匀平面波对理想导体和理想介质的垂直入射的分析方法和过程，理解所得结果表征的物理意义。</w:t>
            </w:r>
          </w:p>
          <w:p>
            <w:pPr>
              <w:snapToGrid w:val="0"/>
              <w:spacing w:line="300" w:lineRule="auto"/>
              <w:rPr>
                <w:sz w:val="18"/>
                <w:szCs w:val="18"/>
              </w:rPr>
            </w:pPr>
            <w:r>
              <w:rPr>
                <w:rFonts w:hint="eastAsia"/>
                <w:sz w:val="18"/>
                <w:szCs w:val="18"/>
              </w:rPr>
              <w:t>（2）了解均匀平面波对多层媒质分界面垂直入射的分析方法，掌握四分之一波长匹配层和半波长介质窗的意义和应用。</w:t>
            </w:r>
            <w:r>
              <w:rPr>
                <w:rFonts w:hint="eastAsia"/>
                <w:sz w:val="18"/>
                <w:szCs w:val="18"/>
              </w:rPr>
              <w:br w:type="textWrapping"/>
            </w:r>
            <w:r>
              <w:rPr>
                <w:rFonts w:hint="eastAsia"/>
                <w:sz w:val="18"/>
                <w:szCs w:val="18"/>
              </w:rPr>
              <w:t>2、作业内容：教材本章思考题（6.1，6.4）和习题（6.1，6.2）</w:t>
            </w:r>
          </w:p>
          <w:p>
            <w:pPr>
              <w:snapToGrid w:val="0"/>
              <w:spacing w:line="300" w:lineRule="auto"/>
              <w:rPr>
                <w:sz w:val="18"/>
                <w:szCs w:val="18"/>
              </w:rPr>
            </w:pPr>
            <w:r>
              <w:rPr>
                <w:rFonts w:hint="eastAsia"/>
                <w:sz w:val="18"/>
                <w:szCs w:val="18"/>
              </w:rPr>
              <w:t>3、讨论内容：半波振子天线的设计和分析、隐形飞机中隐含的电磁场与电磁波技术</w:t>
            </w:r>
          </w:p>
          <w:p>
            <w:pPr>
              <w:snapToGrid w:val="0"/>
              <w:spacing w:line="300" w:lineRule="auto"/>
              <w:rPr>
                <w:sz w:val="18"/>
                <w:szCs w:val="18"/>
              </w:rPr>
            </w:pPr>
            <w:r>
              <w:rPr>
                <w:rFonts w:hint="eastAsia"/>
                <w:sz w:val="18"/>
                <w:szCs w:val="18"/>
              </w:rPr>
              <w:t>4、自学拓展：均匀平面波对理想介质分界平面的斜入射；均匀平面波对理想导体平面的斜入射。</w:t>
            </w:r>
          </w:p>
        </w:tc>
        <w:tc>
          <w:tcPr>
            <w:tcW w:w="702" w:type="dxa"/>
            <w:vAlign w:val="center"/>
          </w:tcPr>
          <w:p>
            <w:pPr>
              <w:snapToGrid w:val="0"/>
              <w:spacing w:line="300" w:lineRule="auto"/>
              <w:jc w:val="center"/>
              <w:rPr>
                <w:sz w:val="18"/>
                <w:szCs w:val="18"/>
              </w:rPr>
            </w:pPr>
            <w:r>
              <w:rPr>
                <w:rFonts w:hint="eastAsia"/>
                <w:sz w:val="18"/>
                <w:szCs w:val="18"/>
              </w:rPr>
              <w:t>3</w:t>
            </w:r>
          </w:p>
        </w:tc>
        <w:tc>
          <w:tcPr>
            <w:tcW w:w="984" w:type="dxa"/>
            <w:vAlign w:val="center"/>
          </w:tcPr>
          <w:p>
            <w:pPr>
              <w:snapToGrid w:val="0"/>
              <w:spacing w:line="300" w:lineRule="auto"/>
              <w:rPr>
                <w:sz w:val="18"/>
                <w:szCs w:val="18"/>
              </w:rPr>
            </w:pPr>
            <w:r>
              <w:rPr>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73"/>
        <w:gridCol w:w="2370"/>
        <w:gridCol w:w="722"/>
        <w:gridCol w:w="723"/>
        <w:gridCol w:w="722"/>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1" w:type="dxa"/>
            <w:vAlign w:val="center"/>
          </w:tcPr>
          <w:p>
            <w:pPr>
              <w:snapToGrid w:val="0"/>
              <w:spacing w:line="300" w:lineRule="auto"/>
              <w:rPr>
                <w:b/>
                <w:bCs/>
                <w:color w:val="000000"/>
                <w:sz w:val="18"/>
                <w:szCs w:val="18"/>
              </w:rPr>
            </w:pPr>
            <w:r>
              <w:rPr>
                <w:b/>
                <w:bCs/>
                <w:kern w:val="0"/>
                <w:sz w:val="18"/>
                <w:szCs w:val="18"/>
              </w:rPr>
              <w:t>序号</w:t>
            </w:r>
          </w:p>
        </w:tc>
        <w:tc>
          <w:tcPr>
            <w:tcW w:w="1673" w:type="dxa"/>
            <w:vAlign w:val="center"/>
          </w:tcPr>
          <w:p>
            <w:pPr>
              <w:snapToGrid w:val="0"/>
              <w:spacing w:line="300" w:lineRule="auto"/>
              <w:jc w:val="center"/>
              <w:rPr>
                <w:b/>
                <w:bCs/>
                <w:color w:val="000000"/>
                <w:sz w:val="18"/>
                <w:szCs w:val="18"/>
              </w:rPr>
            </w:pPr>
            <w:r>
              <w:rPr>
                <w:b/>
                <w:bCs/>
                <w:kern w:val="0"/>
                <w:sz w:val="18"/>
                <w:szCs w:val="18"/>
              </w:rPr>
              <w:t>实验项目名称</w:t>
            </w:r>
          </w:p>
        </w:tc>
        <w:tc>
          <w:tcPr>
            <w:tcW w:w="2370" w:type="dxa"/>
            <w:vAlign w:val="center"/>
          </w:tcPr>
          <w:p>
            <w:pPr>
              <w:snapToGrid w:val="0"/>
              <w:spacing w:line="300" w:lineRule="auto"/>
              <w:jc w:val="center"/>
              <w:rPr>
                <w:b/>
                <w:bCs/>
                <w:color w:val="000000"/>
                <w:sz w:val="18"/>
                <w:szCs w:val="18"/>
              </w:rPr>
            </w:pPr>
            <w:r>
              <w:rPr>
                <w:b/>
                <w:bCs/>
                <w:kern w:val="0"/>
                <w:sz w:val="18"/>
                <w:szCs w:val="18"/>
              </w:rPr>
              <w:t>目的要求</w:t>
            </w:r>
          </w:p>
        </w:tc>
        <w:tc>
          <w:tcPr>
            <w:tcW w:w="722" w:type="dxa"/>
            <w:vAlign w:val="center"/>
          </w:tcPr>
          <w:p>
            <w:pPr>
              <w:snapToGrid w:val="0"/>
              <w:spacing w:line="300" w:lineRule="auto"/>
              <w:jc w:val="center"/>
              <w:rPr>
                <w:b/>
                <w:bCs/>
                <w:color w:val="000000"/>
                <w:sz w:val="18"/>
                <w:szCs w:val="18"/>
              </w:rPr>
            </w:pPr>
            <w:r>
              <w:rPr>
                <w:b/>
                <w:bCs/>
                <w:kern w:val="0"/>
                <w:sz w:val="18"/>
                <w:szCs w:val="18"/>
              </w:rPr>
              <w:t>学时分配</w:t>
            </w:r>
          </w:p>
        </w:tc>
        <w:tc>
          <w:tcPr>
            <w:tcW w:w="723" w:type="dxa"/>
            <w:vAlign w:val="center"/>
          </w:tcPr>
          <w:p>
            <w:pPr>
              <w:snapToGrid w:val="0"/>
              <w:spacing w:line="300" w:lineRule="auto"/>
              <w:jc w:val="center"/>
              <w:rPr>
                <w:b/>
                <w:bCs/>
                <w:kern w:val="0"/>
                <w:sz w:val="18"/>
                <w:szCs w:val="18"/>
              </w:rPr>
            </w:pPr>
            <w:r>
              <w:rPr>
                <w:b/>
                <w:bCs/>
                <w:kern w:val="0"/>
                <w:sz w:val="18"/>
                <w:szCs w:val="18"/>
              </w:rPr>
              <w:t>实验类型</w:t>
            </w:r>
          </w:p>
        </w:tc>
        <w:tc>
          <w:tcPr>
            <w:tcW w:w="722" w:type="dxa"/>
            <w:vAlign w:val="center"/>
          </w:tcPr>
          <w:p>
            <w:pPr>
              <w:snapToGrid w:val="0"/>
              <w:spacing w:line="300" w:lineRule="auto"/>
              <w:jc w:val="center"/>
              <w:rPr>
                <w:b/>
                <w:bCs/>
                <w:kern w:val="0"/>
                <w:sz w:val="18"/>
                <w:szCs w:val="18"/>
              </w:rPr>
            </w:pPr>
            <w:r>
              <w:rPr>
                <w:b/>
                <w:bCs/>
                <w:kern w:val="0"/>
                <w:sz w:val="18"/>
                <w:szCs w:val="18"/>
              </w:rPr>
              <w:t>每组人数</w:t>
            </w:r>
          </w:p>
        </w:tc>
        <w:tc>
          <w:tcPr>
            <w:tcW w:w="7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23" w:type="dxa"/>
            <w:vAlign w:val="center"/>
          </w:tcPr>
          <w:p>
            <w:pPr>
              <w:snapToGrid w:val="0"/>
              <w:spacing w:line="300" w:lineRule="auto"/>
              <w:rPr>
                <w:b/>
                <w:bCs/>
                <w:kern w:val="0"/>
                <w:sz w:val="18"/>
                <w:szCs w:val="18"/>
              </w:rPr>
            </w:pPr>
            <w:r>
              <w:rPr>
                <w:rFonts w:hint="eastAsia"/>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pPr>
              <w:snapToGrid w:val="0"/>
              <w:spacing w:line="300" w:lineRule="auto"/>
              <w:rPr>
                <w:rFonts w:ascii="宋体" w:hAnsi="宋体"/>
                <w:sz w:val="18"/>
                <w:szCs w:val="18"/>
              </w:rPr>
            </w:pPr>
            <w:r>
              <w:rPr>
                <w:rFonts w:hint="eastAsia" w:ascii="宋体" w:hAnsi="宋体"/>
                <w:sz w:val="18"/>
                <w:szCs w:val="18"/>
              </w:rPr>
              <w:t>1</w:t>
            </w:r>
          </w:p>
        </w:tc>
        <w:tc>
          <w:tcPr>
            <w:tcW w:w="1673" w:type="dxa"/>
            <w:vAlign w:val="center"/>
          </w:tcPr>
          <w:p>
            <w:pPr>
              <w:snapToGrid w:val="0"/>
              <w:spacing w:line="300" w:lineRule="auto"/>
              <w:rPr>
                <w:sz w:val="18"/>
                <w:szCs w:val="18"/>
              </w:rPr>
            </w:pPr>
            <w:r>
              <w:rPr>
                <w:rFonts w:hint="eastAsia"/>
                <w:sz w:val="18"/>
                <w:szCs w:val="18"/>
              </w:rPr>
              <w:t>电磁场的计算与仿真</w:t>
            </w:r>
          </w:p>
        </w:tc>
        <w:tc>
          <w:tcPr>
            <w:tcW w:w="2370" w:type="dxa"/>
            <w:vAlign w:val="center"/>
          </w:tcPr>
          <w:p>
            <w:pPr>
              <w:snapToGrid w:val="0"/>
              <w:spacing w:line="300" w:lineRule="auto"/>
              <w:rPr>
                <w:sz w:val="18"/>
                <w:szCs w:val="18"/>
              </w:rPr>
            </w:pPr>
            <w:r>
              <w:rPr>
                <w:sz w:val="18"/>
                <w:szCs w:val="18"/>
              </w:rPr>
              <w:t>理解</w:t>
            </w:r>
            <w:r>
              <w:rPr>
                <w:rFonts w:hint="eastAsia"/>
                <w:sz w:val="18"/>
                <w:szCs w:val="18"/>
              </w:rPr>
              <w:t>和掌握典型问题的电场和磁场的分布。</w:t>
            </w:r>
          </w:p>
        </w:tc>
        <w:tc>
          <w:tcPr>
            <w:tcW w:w="722" w:type="dxa"/>
            <w:vAlign w:val="center"/>
          </w:tcPr>
          <w:p>
            <w:pPr>
              <w:snapToGrid w:val="0"/>
              <w:spacing w:line="300" w:lineRule="auto"/>
              <w:rPr>
                <w:sz w:val="18"/>
                <w:szCs w:val="18"/>
              </w:rPr>
            </w:pPr>
            <w:r>
              <w:rPr>
                <w:rFonts w:hint="eastAsia"/>
                <w:sz w:val="18"/>
                <w:szCs w:val="18"/>
              </w:rPr>
              <w:t>2</w:t>
            </w:r>
          </w:p>
        </w:tc>
        <w:tc>
          <w:tcPr>
            <w:tcW w:w="723" w:type="dxa"/>
            <w:vAlign w:val="center"/>
          </w:tcPr>
          <w:p>
            <w:pPr>
              <w:snapToGrid w:val="0"/>
              <w:spacing w:line="300" w:lineRule="auto"/>
              <w:rPr>
                <w:sz w:val="18"/>
                <w:szCs w:val="18"/>
              </w:rPr>
            </w:pPr>
            <w:r>
              <w:rPr>
                <w:sz w:val="18"/>
                <w:szCs w:val="18"/>
              </w:rPr>
              <w:t>验证型</w:t>
            </w:r>
          </w:p>
        </w:tc>
        <w:tc>
          <w:tcPr>
            <w:tcW w:w="722" w:type="dxa"/>
            <w:vAlign w:val="center"/>
          </w:tcPr>
          <w:p>
            <w:pPr>
              <w:snapToGrid w:val="0"/>
              <w:spacing w:line="300" w:lineRule="auto"/>
              <w:rPr>
                <w:sz w:val="18"/>
                <w:szCs w:val="18"/>
              </w:rPr>
            </w:pPr>
            <w:r>
              <w:rPr>
                <w:rFonts w:hint="eastAsia"/>
                <w:sz w:val="18"/>
                <w:szCs w:val="18"/>
              </w:rPr>
              <w:t>1</w:t>
            </w:r>
          </w:p>
        </w:tc>
        <w:tc>
          <w:tcPr>
            <w:tcW w:w="723" w:type="dxa"/>
            <w:vAlign w:val="center"/>
          </w:tcPr>
          <w:p>
            <w:pPr>
              <w:snapToGrid w:val="0"/>
              <w:spacing w:line="300" w:lineRule="auto"/>
              <w:rPr>
                <w:sz w:val="18"/>
                <w:szCs w:val="18"/>
              </w:rPr>
            </w:pPr>
            <w:r>
              <w:rPr>
                <w:sz w:val="18"/>
                <w:szCs w:val="18"/>
              </w:rPr>
              <w:t>必开</w:t>
            </w:r>
          </w:p>
        </w:tc>
        <w:tc>
          <w:tcPr>
            <w:tcW w:w="723" w:type="dxa"/>
            <w:vAlign w:val="center"/>
          </w:tcPr>
          <w:p>
            <w:pPr>
              <w:snapToGrid w:val="0"/>
              <w:spacing w:line="300" w:lineRule="auto"/>
              <w:rPr>
                <w:color w:val="FF0000"/>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81" w:type="dxa"/>
            <w:vAlign w:val="center"/>
          </w:tcPr>
          <w:p>
            <w:pPr>
              <w:snapToGrid w:val="0"/>
              <w:spacing w:line="300" w:lineRule="auto"/>
              <w:rPr>
                <w:sz w:val="18"/>
                <w:szCs w:val="18"/>
              </w:rPr>
            </w:pPr>
            <w:r>
              <w:rPr>
                <w:rFonts w:hint="eastAsia"/>
                <w:sz w:val="18"/>
                <w:szCs w:val="18"/>
              </w:rPr>
              <w:t>2</w:t>
            </w:r>
          </w:p>
        </w:tc>
        <w:tc>
          <w:tcPr>
            <w:tcW w:w="1673" w:type="dxa"/>
            <w:vAlign w:val="center"/>
          </w:tcPr>
          <w:p>
            <w:pPr>
              <w:snapToGrid w:val="0"/>
              <w:spacing w:line="300" w:lineRule="auto"/>
              <w:rPr>
                <w:sz w:val="18"/>
                <w:szCs w:val="18"/>
              </w:rPr>
            </w:pPr>
            <w:r>
              <w:rPr>
                <w:rFonts w:hint="eastAsia"/>
                <w:sz w:val="18"/>
                <w:szCs w:val="18"/>
              </w:rPr>
              <w:t>电磁波的计算与仿真</w:t>
            </w:r>
          </w:p>
          <w:p>
            <w:pPr>
              <w:snapToGrid w:val="0"/>
              <w:spacing w:line="300" w:lineRule="auto"/>
              <w:rPr>
                <w:sz w:val="18"/>
                <w:szCs w:val="18"/>
              </w:rPr>
            </w:pPr>
          </w:p>
        </w:tc>
        <w:tc>
          <w:tcPr>
            <w:tcW w:w="2370" w:type="dxa"/>
            <w:vAlign w:val="center"/>
          </w:tcPr>
          <w:p>
            <w:pPr>
              <w:snapToGrid w:val="0"/>
              <w:spacing w:line="300" w:lineRule="auto"/>
              <w:rPr>
                <w:sz w:val="18"/>
                <w:szCs w:val="18"/>
              </w:rPr>
            </w:pPr>
            <w:r>
              <w:rPr>
                <w:rFonts w:hint="eastAsia"/>
                <w:sz w:val="18"/>
                <w:szCs w:val="18"/>
              </w:rPr>
              <w:t>理解和掌握波的传播和极化特性。</w:t>
            </w:r>
          </w:p>
        </w:tc>
        <w:tc>
          <w:tcPr>
            <w:tcW w:w="722" w:type="dxa"/>
            <w:vAlign w:val="center"/>
          </w:tcPr>
          <w:p>
            <w:pPr>
              <w:snapToGrid w:val="0"/>
              <w:spacing w:line="300" w:lineRule="auto"/>
              <w:rPr>
                <w:sz w:val="18"/>
                <w:szCs w:val="18"/>
              </w:rPr>
            </w:pPr>
            <w:r>
              <w:rPr>
                <w:rFonts w:hint="eastAsia"/>
                <w:sz w:val="18"/>
                <w:szCs w:val="18"/>
              </w:rPr>
              <w:t>2</w:t>
            </w:r>
          </w:p>
        </w:tc>
        <w:tc>
          <w:tcPr>
            <w:tcW w:w="723" w:type="dxa"/>
            <w:vAlign w:val="center"/>
          </w:tcPr>
          <w:p>
            <w:pPr>
              <w:snapToGrid w:val="0"/>
              <w:spacing w:line="300" w:lineRule="auto"/>
              <w:rPr>
                <w:sz w:val="18"/>
                <w:szCs w:val="18"/>
              </w:rPr>
            </w:pPr>
            <w:r>
              <w:rPr>
                <w:sz w:val="18"/>
                <w:szCs w:val="18"/>
              </w:rPr>
              <w:t>验证型</w:t>
            </w:r>
          </w:p>
        </w:tc>
        <w:tc>
          <w:tcPr>
            <w:tcW w:w="722" w:type="dxa"/>
            <w:vAlign w:val="center"/>
          </w:tcPr>
          <w:p>
            <w:pPr>
              <w:snapToGrid w:val="0"/>
              <w:spacing w:line="300" w:lineRule="auto"/>
              <w:rPr>
                <w:sz w:val="18"/>
                <w:szCs w:val="18"/>
              </w:rPr>
            </w:pPr>
            <w:r>
              <w:rPr>
                <w:rFonts w:hint="eastAsia"/>
                <w:sz w:val="18"/>
                <w:szCs w:val="18"/>
              </w:rPr>
              <w:t>1</w:t>
            </w:r>
          </w:p>
        </w:tc>
        <w:tc>
          <w:tcPr>
            <w:tcW w:w="723" w:type="dxa"/>
            <w:vAlign w:val="center"/>
          </w:tcPr>
          <w:p>
            <w:pPr>
              <w:snapToGrid w:val="0"/>
              <w:spacing w:line="300" w:lineRule="auto"/>
              <w:rPr>
                <w:sz w:val="18"/>
                <w:szCs w:val="18"/>
              </w:rPr>
            </w:pPr>
            <w:r>
              <w:rPr>
                <w:sz w:val="18"/>
                <w:szCs w:val="18"/>
              </w:rPr>
              <w:t>必开</w:t>
            </w:r>
          </w:p>
        </w:tc>
        <w:tc>
          <w:tcPr>
            <w:tcW w:w="723" w:type="dxa"/>
            <w:vAlign w:val="center"/>
          </w:tcPr>
          <w:p>
            <w:pPr>
              <w:widowControl/>
              <w:snapToGrid w:val="0"/>
              <w:spacing w:line="300" w:lineRule="auto"/>
              <w:jc w:val="left"/>
              <w:rPr>
                <w:color w:val="FF0000"/>
                <w:sz w:val="18"/>
                <w:szCs w:val="18"/>
              </w:rPr>
            </w:pPr>
            <w:r>
              <w:rPr>
                <w:rFonts w:hint="eastAsia"/>
                <w:sz w:val="18"/>
                <w:szCs w:val="18"/>
              </w:rPr>
              <w:t>2</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rPr>
          <w:rFonts w:hint="eastAsia"/>
        </w:rPr>
        <w:t>1.考核方式：采取闭卷笔试的方式与平时成绩（包括课堂表现、作业及实验等）相结合。</w:t>
      </w:r>
    </w:p>
    <w:p>
      <w:pPr>
        <w:adjustRightInd w:val="0"/>
        <w:snapToGrid w:val="0"/>
        <w:spacing w:line="300" w:lineRule="auto"/>
        <w:ind w:firstLine="420" w:firstLineChars="200"/>
      </w:pPr>
      <w:r>
        <w:rPr>
          <w:rFonts w:hint="eastAsia"/>
        </w:rPr>
        <w:t>2.成绩构成：期末考试占总成绩的60％，平时占40％3.考核评价标准见表5所示</w:t>
      </w:r>
      <w:r>
        <w:t>。</w:t>
      </w:r>
    </w:p>
    <w:p>
      <w:pPr>
        <w:snapToGrid w:val="0"/>
        <w:spacing w:before="156" w:beforeLines="50" w:line="300" w:lineRule="auto"/>
        <w:ind w:firstLine="361" w:firstLineChars="200"/>
        <w:jc w:val="center"/>
        <w:rPr>
          <w:b/>
          <w:bCs/>
          <w:color w:val="000000"/>
          <w:sz w:val="18"/>
          <w:szCs w:val="18"/>
        </w:rPr>
      </w:pPr>
      <w:r>
        <w:rPr>
          <w:b/>
          <w:bCs/>
          <w:color w:val="000000"/>
          <w:sz w:val="18"/>
          <w:szCs w:val="18"/>
        </w:rPr>
        <w:t>表5教学目标评价标准</w:t>
      </w:r>
    </w:p>
    <w:tbl>
      <w:tblPr>
        <w:tblStyle w:val="22"/>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583"/>
        <w:gridCol w:w="636"/>
        <w:gridCol w:w="697"/>
        <w:gridCol w:w="724"/>
        <w:gridCol w:w="3589"/>
        <w:gridCol w:w="113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650" w:type="dxa"/>
            <w:vAlign w:val="center"/>
          </w:tcPr>
          <w:p>
            <w:pPr>
              <w:snapToGrid w:val="0"/>
              <w:spacing w:line="300" w:lineRule="auto"/>
              <w:jc w:val="center"/>
              <w:rPr>
                <w:b/>
                <w:bCs/>
                <w:sz w:val="18"/>
                <w:szCs w:val="18"/>
              </w:rPr>
            </w:pPr>
            <w:r>
              <w:rPr>
                <w:b/>
                <w:bCs/>
                <w:sz w:val="18"/>
                <w:szCs w:val="18"/>
              </w:rPr>
              <w:t>成绩</w:t>
            </w:r>
          </w:p>
        </w:tc>
        <w:tc>
          <w:tcPr>
            <w:tcW w:w="583" w:type="dxa"/>
            <w:vAlign w:val="center"/>
          </w:tcPr>
          <w:p>
            <w:pPr>
              <w:snapToGrid w:val="0"/>
              <w:spacing w:line="300" w:lineRule="auto"/>
              <w:jc w:val="center"/>
              <w:rPr>
                <w:b/>
                <w:bCs/>
                <w:sz w:val="18"/>
                <w:szCs w:val="18"/>
              </w:rPr>
            </w:pPr>
            <w:r>
              <w:rPr>
                <w:b/>
                <w:bCs/>
                <w:sz w:val="18"/>
                <w:szCs w:val="18"/>
              </w:rPr>
              <w:t>分值</w:t>
            </w:r>
          </w:p>
        </w:tc>
        <w:tc>
          <w:tcPr>
            <w:tcW w:w="636" w:type="dxa"/>
            <w:vAlign w:val="center"/>
          </w:tcPr>
          <w:p>
            <w:pPr>
              <w:snapToGrid w:val="0"/>
              <w:spacing w:line="300" w:lineRule="auto"/>
              <w:jc w:val="center"/>
              <w:rPr>
                <w:b/>
                <w:bCs/>
                <w:sz w:val="18"/>
                <w:szCs w:val="18"/>
              </w:rPr>
            </w:pPr>
            <w:r>
              <w:rPr>
                <w:b/>
                <w:bCs/>
                <w:sz w:val="18"/>
                <w:szCs w:val="18"/>
              </w:rPr>
              <w:t>权重</w:t>
            </w:r>
          </w:p>
        </w:tc>
        <w:tc>
          <w:tcPr>
            <w:tcW w:w="697" w:type="dxa"/>
            <w:vAlign w:val="center"/>
          </w:tcPr>
          <w:p>
            <w:pPr>
              <w:snapToGrid w:val="0"/>
              <w:spacing w:line="300" w:lineRule="auto"/>
              <w:jc w:val="center"/>
              <w:rPr>
                <w:b/>
                <w:bCs/>
                <w:sz w:val="18"/>
                <w:szCs w:val="18"/>
              </w:rPr>
            </w:pPr>
            <w:r>
              <w:rPr>
                <w:b/>
                <w:bCs/>
                <w:sz w:val="18"/>
                <w:szCs w:val="18"/>
              </w:rPr>
              <w:t>类别</w:t>
            </w:r>
          </w:p>
        </w:tc>
        <w:tc>
          <w:tcPr>
            <w:tcW w:w="724" w:type="dxa"/>
            <w:vAlign w:val="center"/>
          </w:tcPr>
          <w:p>
            <w:pPr>
              <w:snapToGrid w:val="0"/>
              <w:spacing w:line="300" w:lineRule="auto"/>
              <w:jc w:val="center"/>
              <w:rPr>
                <w:b/>
                <w:bCs/>
                <w:sz w:val="18"/>
                <w:szCs w:val="18"/>
              </w:rPr>
            </w:pPr>
            <w:r>
              <w:rPr>
                <w:b/>
                <w:bCs/>
                <w:sz w:val="18"/>
                <w:szCs w:val="18"/>
              </w:rPr>
              <w:t>权重</w:t>
            </w:r>
          </w:p>
        </w:tc>
        <w:tc>
          <w:tcPr>
            <w:tcW w:w="3589" w:type="dxa"/>
            <w:vAlign w:val="center"/>
          </w:tcPr>
          <w:p>
            <w:pPr>
              <w:snapToGrid w:val="0"/>
              <w:spacing w:line="300" w:lineRule="auto"/>
              <w:jc w:val="center"/>
              <w:rPr>
                <w:b/>
                <w:bCs/>
                <w:sz w:val="18"/>
                <w:szCs w:val="18"/>
              </w:rPr>
            </w:pPr>
            <w:r>
              <w:rPr>
                <w:b/>
                <w:bCs/>
                <w:sz w:val="18"/>
                <w:szCs w:val="18"/>
              </w:rPr>
              <w:t>考核/评价细则</w:t>
            </w:r>
          </w:p>
        </w:tc>
        <w:tc>
          <w:tcPr>
            <w:tcW w:w="1139" w:type="dxa"/>
            <w:vAlign w:val="center"/>
          </w:tcPr>
          <w:p>
            <w:pPr>
              <w:snapToGrid w:val="0"/>
              <w:spacing w:line="300" w:lineRule="auto"/>
              <w:jc w:val="center"/>
              <w:rPr>
                <w:b/>
                <w:bCs/>
                <w:sz w:val="18"/>
                <w:szCs w:val="18"/>
              </w:rPr>
            </w:pPr>
            <w:r>
              <w:rPr>
                <w:b/>
                <w:bCs/>
                <w:sz w:val="18"/>
                <w:szCs w:val="18"/>
              </w:rPr>
              <w:t>课程目标</w:t>
            </w:r>
          </w:p>
        </w:tc>
        <w:tc>
          <w:tcPr>
            <w:tcW w:w="1005" w:type="dxa"/>
            <w:vAlign w:val="center"/>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0" w:type="dxa"/>
            <w:vMerge w:val="restart"/>
            <w:vAlign w:val="center"/>
          </w:tcPr>
          <w:p>
            <w:pPr>
              <w:snapToGrid w:val="0"/>
              <w:spacing w:line="300" w:lineRule="auto"/>
              <w:rPr>
                <w:sz w:val="18"/>
                <w:szCs w:val="18"/>
              </w:rPr>
            </w:pPr>
            <w:r>
              <w:rPr>
                <w:sz w:val="18"/>
                <w:szCs w:val="18"/>
              </w:rPr>
              <w:t>平时</w:t>
            </w:r>
          </w:p>
          <w:p>
            <w:pPr>
              <w:snapToGrid w:val="0"/>
              <w:rPr>
                <w:sz w:val="18"/>
                <w:szCs w:val="18"/>
              </w:rPr>
            </w:pPr>
            <w:r>
              <w:rPr>
                <w:sz w:val="18"/>
                <w:szCs w:val="18"/>
              </w:rPr>
              <w:t>成绩</w:t>
            </w:r>
          </w:p>
        </w:tc>
        <w:tc>
          <w:tcPr>
            <w:tcW w:w="583" w:type="dxa"/>
            <w:vMerge w:val="restart"/>
            <w:vAlign w:val="center"/>
          </w:tcPr>
          <w:p>
            <w:pPr>
              <w:snapToGrid w:val="0"/>
              <w:rPr>
                <w:sz w:val="18"/>
                <w:szCs w:val="18"/>
              </w:rPr>
            </w:pPr>
            <w:r>
              <w:rPr>
                <w:rFonts w:hint="eastAsia"/>
                <w:sz w:val="18"/>
                <w:szCs w:val="18"/>
              </w:rPr>
              <w:t>100</w:t>
            </w:r>
          </w:p>
        </w:tc>
        <w:tc>
          <w:tcPr>
            <w:tcW w:w="636" w:type="dxa"/>
            <w:vMerge w:val="restart"/>
            <w:vAlign w:val="center"/>
          </w:tcPr>
          <w:p>
            <w:pPr>
              <w:snapToGrid w:val="0"/>
              <w:rPr>
                <w:sz w:val="18"/>
                <w:szCs w:val="18"/>
              </w:rPr>
            </w:pPr>
            <w:r>
              <w:rPr>
                <w:rFonts w:hint="eastAsia"/>
                <w:sz w:val="18"/>
                <w:szCs w:val="18"/>
              </w:rPr>
              <w:t>0.4</w:t>
            </w:r>
          </w:p>
        </w:tc>
        <w:tc>
          <w:tcPr>
            <w:tcW w:w="697" w:type="dxa"/>
            <w:vMerge w:val="restart"/>
            <w:vAlign w:val="center"/>
          </w:tcPr>
          <w:p>
            <w:pPr>
              <w:snapToGrid w:val="0"/>
              <w:jc w:val="center"/>
              <w:rPr>
                <w:sz w:val="18"/>
                <w:szCs w:val="18"/>
              </w:rPr>
            </w:pPr>
            <w:r>
              <w:rPr>
                <w:sz w:val="18"/>
                <w:szCs w:val="18"/>
              </w:rPr>
              <w:t>课堂表现</w:t>
            </w:r>
          </w:p>
        </w:tc>
        <w:tc>
          <w:tcPr>
            <w:tcW w:w="724" w:type="dxa"/>
            <w:vAlign w:val="center"/>
          </w:tcPr>
          <w:p>
            <w:pPr>
              <w:snapToGrid w:val="0"/>
              <w:jc w:val="center"/>
              <w:rPr>
                <w:sz w:val="18"/>
                <w:szCs w:val="18"/>
              </w:rPr>
            </w:pPr>
            <w:r>
              <w:rPr>
                <w:sz w:val="18"/>
                <w:szCs w:val="18"/>
              </w:rPr>
              <w:t>0.</w:t>
            </w:r>
            <w:r>
              <w:rPr>
                <w:rFonts w:hint="eastAsia"/>
                <w:sz w:val="18"/>
                <w:szCs w:val="18"/>
              </w:rPr>
              <w:t>048</w:t>
            </w:r>
          </w:p>
        </w:tc>
        <w:tc>
          <w:tcPr>
            <w:tcW w:w="3589" w:type="dxa"/>
            <w:vMerge w:val="restart"/>
            <w:vAlign w:val="center"/>
          </w:tcPr>
          <w:p>
            <w:pPr>
              <w:rPr>
                <w:sz w:val="18"/>
                <w:szCs w:val="18"/>
              </w:rPr>
            </w:pPr>
            <w:r>
              <w:rPr>
                <w:sz w:val="18"/>
                <w:szCs w:val="18"/>
              </w:rPr>
              <w:t>根据学生</w:t>
            </w:r>
            <w:r>
              <w:rPr>
                <w:rFonts w:hint="eastAsia"/>
                <w:sz w:val="18"/>
                <w:szCs w:val="18"/>
              </w:rPr>
              <w:t>考勤情况、</w:t>
            </w:r>
            <w:r>
              <w:rPr>
                <w:sz w:val="18"/>
                <w:szCs w:val="18"/>
              </w:rPr>
              <w:t>课堂回答</w:t>
            </w:r>
            <w:r>
              <w:rPr>
                <w:rFonts w:hint="eastAsia"/>
                <w:sz w:val="18"/>
                <w:szCs w:val="18"/>
              </w:rPr>
              <w:t>老师提问</w:t>
            </w:r>
            <w:r>
              <w:rPr>
                <w:sz w:val="18"/>
                <w:szCs w:val="18"/>
              </w:rPr>
              <w:t>时积极性和准确性</w:t>
            </w:r>
            <w:r>
              <w:rPr>
                <w:rFonts w:hint="eastAsia"/>
                <w:sz w:val="18"/>
                <w:szCs w:val="18"/>
              </w:rPr>
              <w:t>；</w:t>
            </w:r>
            <w:r>
              <w:rPr>
                <w:sz w:val="18"/>
                <w:szCs w:val="18"/>
              </w:rPr>
              <w:t>小组讨论时的团队合作能力和沟通能力</w:t>
            </w:r>
            <w:r>
              <w:rPr>
                <w:rFonts w:hint="eastAsia"/>
                <w:sz w:val="18"/>
                <w:szCs w:val="18"/>
              </w:rPr>
              <w:t>；</w:t>
            </w:r>
            <w:r>
              <w:rPr>
                <w:sz w:val="18"/>
                <w:szCs w:val="18"/>
              </w:rPr>
              <w:t>专题研讨时的参与程度打分</w:t>
            </w:r>
            <w:r>
              <w:rPr>
                <w:rFonts w:hint="eastAsia"/>
                <w:sz w:val="18"/>
                <w:szCs w:val="18"/>
              </w:rPr>
              <w:t>；</w:t>
            </w:r>
            <w:r>
              <w:rPr>
                <w:sz w:val="18"/>
                <w:szCs w:val="18"/>
              </w:rPr>
              <w:t>（满分</w:t>
            </w:r>
            <w:r>
              <w:rPr>
                <w:rFonts w:hint="eastAsia"/>
                <w:sz w:val="18"/>
                <w:szCs w:val="18"/>
              </w:rPr>
              <w:t>10</w:t>
            </w:r>
            <w:r>
              <w:rPr>
                <w:sz w:val="18"/>
                <w:szCs w:val="18"/>
              </w:rPr>
              <w:t>0分 ）</w:t>
            </w:r>
          </w:p>
        </w:tc>
        <w:tc>
          <w:tcPr>
            <w:tcW w:w="1139" w:type="dxa"/>
            <w:vAlign w:val="center"/>
          </w:tcPr>
          <w:p>
            <w:pPr>
              <w:jc w:val="center"/>
              <w:rPr>
                <w:sz w:val="18"/>
                <w:szCs w:val="18"/>
              </w:rPr>
            </w:pPr>
            <w:r>
              <w:rPr>
                <w:sz w:val="18"/>
                <w:szCs w:val="18"/>
              </w:rPr>
              <w:t>1</w:t>
            </w:r>
          </w:p>
        </w:tc>
        <w:tc>
          <w:tcPr>
            <w:tcW w:w="1005" w:type="dxa"/>
            <w:vAlign w:val="center"/>
          </w:tcPr>
          <w:p>
            <w:pPr>
              <w:jc w:val="center"/>
              <w:rPr>
                <w:sz w:val="18"/>
                <w:szCs w:val="18"/>
              </w:rPr>
            </w:pPr>
            <w:r>
              <w:rPr>
                <w:sz w:val="18"/>
                <w:szCs w:val="18"/>
              </w:rPr>
              <w:t>1</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0" w:type="dxa"/>
            <w:vMerge w:val="continue"/>
            <w:vAlign w:val="center"/>
          </w:tcPr>
          <w:p>
            <w:pPr>
              <w:snapToGrid w:val="0"/>
              <w:jc w:val="center"/>
            </w:pPr>
          </w:p>
        </w:tc>
        <w:tc>
          <w:tcPr>
            <w:tcW w:w="583" w:type="dxa"/>
            <w:vMerge w:val="continue"/>
            <w:vAlign w:val="center"/>
          </w:tcPr>
          <w:p>
            <w:pPr>
              <w:snapToGrid w:val="0"/>
              <w:jc w:val="center"/>
            </w:pPr>
          </w:p>
        </w:tc>
        <w:tc>
          <w:tcPr>
            <w:tcW w:w="636" w:type="dxa"/>
            <w:vMerge w:val="continue"/>
            <w:vAlign w:val="center"/>
          </w:tcPr>
          <w:p>
            <w:pPr>
              <w:snapToGrid w:val="0"/>
              <w:jc w:val="center"/>
            </w:pPr>
          </w:p>
        </w:tc>
        <w:tc>
          <w:tcPr>
            <w:tcW w:w="697" w:type="dxa"/>
            <w:vMerge w:val="continue"/>
            <w:vAlign w:val="center"/>
          </w:tcPr>
          <w:p>
            <w:pPr>
              <w:snapToGrid w:val="0"/>
              <w:jc w:val="center"/>
            </w:pPr>
          </w:p>
        </w:tc>
        <w:tc>
          <w:tcPr>
            <w:tcW w:w="724" w:type="dxa"/>
            <w:vAlign w:val="center"/>
          </w:tcPr>
          <w:p>
            <w:pPr>
              <w:snapToGrid w:val="0"/>
              <w:jc w:val="center"/>
              <w:rPr>
                <w:sz w:val="18"/>
                <w:szCs w:val="18"/>
              </w:rPr>
            </w:pPr>
            <w:r>
              <w:rPr>
                <w:rFonts w:hint="eastAsia"/>
                <w:sz w:val="18"/>
                <w:szCs w:val="18"/>
              </w:rPr>
              <w:t>0.072</w:t>
            </w:r>
          </w:p>
        </w:tc>
        <w:tc>
          <w:tcPr>
            <w:tcW w:w="3589" w:type="dxa"/>
            <w:vMerge w:val="continue"/>
            <w:vAlign w:val="center"/>
          </w:tcPr>
          <w:p>
            <w:pPr>
              <w:snapToGrid w:val="0"/>
              <w:jc w:val="center"/>
              <w:rPr>
                <w:sz w:val="18"/>
                <w:szCs w:val="18"/>
              </w:rPr>
            </w:pPr>
          </w:p>
        </w:tc>
        <w:tc>
          <w:tcPr>
            <w:tcW w:w="1139" w:type="dxa"/>
            <w:vAlign w:val="center"/>
          </w:tcPr>
          <w:p>
            <w:pPr>
              <w:snapToGrid w:val="0"/>
              <w:jc w:val="center"/>
              <w:rPr>
                <w:sz w:val="18"/>
                <w:szCs w:val="18"/>
              </w:rPr>
            </w:pPr>
            <w:r>
              <w:rPr>
                <w:rFonts w:hint="eastAsia"/>
                <w:sz w:val="18"/>
                <w:szCs w:val="18"/>
              </w:rPr>
              <w:t>2</w:t>
            </w:r>
          </w:p>
        </w:tc>
        <w:tc>
          <w:tcPr>
            <w:tcW w:w="1005" w:type="dxa"/>
            <w:vAlign w:val="center"/>
          </w:tcPr>
          <w:p>
            <w:pPr>
              <w:snapToGrid w:val="0"/>
              <w:jc w:val="center"/>
              <w:rPr>
                <w:sz w:val="18"/>
                <w:szCs w:val="18"/>
              </w:rPr>
            </w:pPr>
            <w:r>
              <w:rPr>
                <w:rFonts w:hint="eastAsia"/>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50" w:type="dxa"/>
            <w:vMerge w:val="continue"/>
            <w:vAlign w:val="center"/>
          </w:tcPr>
          <w:p>
            <w:pPr>
              <w:snapToGrid w:val="0"/>
              <w:rPr>
                <w:sz w:val="18"/>
                <w:szCs w:val="18"/>
              </w:rPr>
            </w:pPr>
          </w:p>
        </w:tc>
        <w:tc>
          <w:tcPr>
            <w:tcW w:w="583" w:type="dxa"/>
            <w:vMerge w:val="continue"/>
            <w:vAlign w:val="center"/>
          </w:tcPr>
          <w:p>
            <w:pPr>
              <w:snapToGrid w:val="0"/>
              <w:rPr>
                <w:sz w:val="18"/>
                <w:szCs w:val="18"/>
              </w:rPr>
            </w:pPr>
          </w:p>
        </w:tc>
        <w:tc>
          <w:tcPr>
            <w:tcW w:w="636" w:type="dxa"/>
            <w:vMerge w:val="continue"/>
            <w:vAlign w:val="center"/>
          </w:tcPr>
          <w:p>
            <w:pPr>
              <w:snapToGrid w:val="0"/>
              <w:rPr>
                <w:sz w:val="18"/>
                <w:szCs w:val="18"/>
              </w:rPr>
            </w:pPr>
          </w:p>
        </w:tc>
        <w:tc>
          <w:tcPr>
            <w:tcW w:w="697" w:type="dxa"/>
            <w:vMerge w:val="restart"/>
            <w:vAlign w:val="center"/>
          </w:tcPr>
          <w:p>
            <w:pPr>
              <w:snapToGrid w:val="0"/>
              <w:jc w:val="center"/>
              <w:rPr>
                <w:sz w:val="18"/>
                <w:szCs w:val="18"/>
              </w:rPr>
            </w:pPr>
            <w:r>
              <w:rPr>
                <w:sz w:val="18"/>
                <w:szCs w:val="18"/>
              </w:rPr>
              <w:t>作业</w:t>
            </w:r>
          </w:p>
        </w:tc>
        <w:tc>
          <w:tcPr>
            <w:tcW w:w="724" w:type="dxa"/>
            <w:vAlign w:val="center"/>
          </w:tcPr>
          <w:p>
            <w:pPr>
              <w:snapToGrid w:val="0"/>
              <w:jc w:val="center"/>
              <w:rPr>
                <w:sz w:val="18"/>
                <w:szCs w:val="18"/>
              </w:rPr>
            </w:pPr>
            <w:r>
              <w:rPr>
                <w:sz w:val="18"/>
                <w:szCs w:val="18"/>
              </w:rPr>
              <w:t>0.</w:t>
            </w:r>
            <w:r>
              <w:rPr>
                <w:rFonts w:hint="eastAsia"/>
                <w:sz w:val="18"/>
                <w:szCs w:val="18"/>
              </w:rPr>
              <w:t>048</w:t>
            </w:r>
          </w:p>
        </w:tc>
        <w:tc>
          <w:tcPr>
            <w:tcW w:w="3589" w:type="dxa"/>
            <w:vMerge w:val="restart"/>
            <w:vAlign w:val="center"/>
          </w:tcPr>
          <w:p>
            <w:pPr>
              <w:jc w:val="left"/>
              <w:rPr>
                <w:sz w:val="18"/>
                <w:szCs w:val="18"/>
              </w:rPr>
            </w:pPr>
            <w:r>
              <w:rPr>
                <w:sz w:val="18"/>
                <w:szCs w:val="18"/>
              </w:rPr>
              <w:t>根据是否按时提交作业</w:t>
            </w:r>
            <w:r>
              <w:rPr>
                <w:rFonts w:hint="eastAsia"/>
                <w:sz w:val="18"/>
                <w:szCs w:val="18"/>
              </w:rPr>
              <w:t>，</w:t>
            </w:r>
            <w:r>
              <w:rPr>
                <w:sz w:val="18"/>
                <w:szCs w:val="18"/>
              </w:rPr>
              <w:t>是否</w:t>
            </w:r>
            <w:r>
              <w:rPr>
                <w:rFonts w:hint="eastAsia"/>
                <w:sz w:val="18"/>
                <w:szCs w:val="18"/>
              </w:rPr>
              <w:t>准确理解和</w:t>
            </w:r>
            <w:r>
              <w:rPr>
                <w:sz w:val="18"/>
                <w:szCs w:val="18"/>
              </w:rPr>
              <w:t>掌握知识点给分</w:t>
            </w:r>
            <w:r>
              <w:rPr>
                <w:rFonts w:hint="eastAsia"/>
                <w:sz w:val="18"/>
                <w:szCs w:val="18"/>
              </w:rPr>
              <w:t>。</w:t>
            </w:r>
            <w:r>
              <w:rPr>
                <w:sz w:val="18"/>
                <w:szCs w:val="18"/>
              </w:rPr>
              <w:t>每次作业按</w:t>
            </w:r>
            <w:r>
              <w:rPr>
                <w:rFonts w:hint="eastAsia"/>
                <w:sz w:val="18"/>
                <w:szCs w:val="18"/>
              </w:rPr>
              <w:t>百</w:t>
            </w:r>
            <w:r>
              <w:rPr>
                <w:sz w:val="18"/>
                <w:szCs w:val="18"/>
              </w:rPr>
              <w:t>分制单独评分，取各次成绩的平均值作为书面作业成绩（满分</w:t>
            </w:r>
            <w:r>
              <w:rPr>
                <w:rFonts w:hint="eastAsia"/>
                <w:sz w:val="18"/>
                <w:szCs w:val="18"/>
              </w:rPr>
              <w:t>10</w:t>
            </w:r>
            <w:r>
              <w:rPr>
                <w:sz w:val="18"/>
                <w:szCs w:val="18"/>
              </w:rPr>
              <w:t>0分）</w:t>
            </w:r>
          </w:p>
        </w:tc>
        <w:tc>
          <w:tcPr>
            <w:tcW w:w="1139" w:type="dxa"/>
            <w:vAlign w:val="center"/>
          </w:tcPr>
          <w:p>
            <w:pPr>
              <w:jc w:val="center"/>
              <w:rPr>
                <w:sz w:val="18"/>
                <w:szCs w:val="18"/>
              </w:rPr>
            </w:pPr>
            <w:r>
              <w:rPr>
                <w:sz w:val="18"/>
                <w:szCs w:val="18"/>
              </w:rPr>
              <w:t>1</w:t>
            </w:r>
          </w:p>
        </w:tc>
        <w:tc>
          <w:tcPr>
            <w:tcW w:w="1005" w:type="dxa"/>
            <w:vAlign w:val="center"/>
          </w:tcPr>
          <w:p>
            <w:pPr>
              <w:jc w:val="center"/>
              <w:rPr>
                <w:sz w:val="18"/>
                <w:szCs w:val="18"/>
              </w:rPr>
            </w:pPr>
            <w:r>
              <w:rPr>
                <w:rFonts w:hint="eastAsia"/>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50" w:type="dxa"/>
            <w:vMerge w:val="continue"/>
            <w:vAlign w:val="center"/>
          </w:tcPr>
          <w:p>
            <w:pPr>
              <w:snapToGrid w:val="0"/>
              <w:jc w:val="center"/>
            </w:pPr>
          </w:p>
        </w:tc>
        <w:tc>
          <w:tcPr>
            <w:tcW w:w="583" w:type="dxa"/>
            <w:vMerge w:val="continue"/>
            <w:vAlign w:val="center"/>
          </w:tcPr>
          <w:p>
            <w:pPr>
              <w:snapToGrid w:val="0"/>
              <w:jc w:val="center"/>
            </w:pPr>
          </w:p>
        </w:tc>
        <w:tc>
          <w:tcPr>
            <w:tcW w:w="636" w:type="dxa"/>
            <w:vMerge w:val="continue"/>
            <w:vAlign w:val="center"/>
          </w:tcPr>
          <w:p>
            <w:pPr>
              <w:snapToGrid w:val="0"/>
              <w:jc w:val="center"/>
            </w:pPr>
          </w:p>
        </w:tc>
        <w:tc>
          <w:tcPr>
            <w:tcW w:w="697" w:type="dxa"/>
            <w:vMerge w:val="continue"/>
            <w:vAlign w:val="center"/>
          </w:tcPr>
          <w:p>
            <w:pPr>
              <w:snapToGrid w:val="0"/>
              <w:jc w:val="center"/>
            </w:pPr>
          </w:p>
        </w:tc>
        <w:tc>
          <w:tcPr>
            <w:tcW w:w="724" w:type="dxa"/>
            <w:vAlign w:val="center"/>
          </w:tcPr>
          <w:p>
            <w:pPr>
              <w:snapToGrid w:val="0"/>
              <w:jc w:val="center"/>
              <w:rPr>
                <w:sz w:val="18"/>
                <w:szCs w:val="18"/>
              </w:rPr>
            </w:pPr>
            <w:r>
              <w:rPr>
                <w:rFonts w:hint="eastAsia"/>
                <w:sz w:val="18"/>
                <w:szCs w:val="18"/>
              </w:rPr>
              <w:t>0.072</w:t>
            </w:r>
          </w:p>
        </w:tc>
        <w:tc>
          <w:tcPr>
            <w:tcW w:w="3589" w:type="dxa"/>
            <w:vMerge w:val="continue"/>
            <w:vAlign w:val="center"/>
          </w:tcPr>
          <w:p>
            <w:pPr>
              <w:snapToGrid w:val="0"/>
              <w:jc w:val="center"/>
              <w:rPr>
                <w:sz w:val="18"/>
                <w:szCs w:val="18"/>
              </w:rPr>
            </w:pPr>
          </w:p>
        </w:tc>
        <w:tc>
          <w:tcPr>
            <w:tcW w:w="1139" w:type="dxa"/>
            <w:vAlign w:val="center"/>
          </w:tcPr>
          <w:p>
            <w:pPr>
              <w:snapToGrid w:val="0"/>
              <w:jc w:val="center"/>
              <w:rPr>
                <w:sz w:val="18"/>
                <w:szCs w:val="18"/>
              </w:rPr>
            </w:pPr>
            <w:r>
              <w:rPr>
                <w:rFonts w:hint="eastAsia"/>
                <w:sz w:val="18"/>
                <w:szCs w:val="18"/>
              </w:rPr>
              <w:t>2</w:t>
            </w:r>
          </w:p>
        </w:tc>
        <w:tc>
          <w:tcPr>
            <w:tcW w:w="1005" w:type="dxa"/>
            <w:vAlign w:val="center"/>
          </w:tcPr>
          <w:p>
            <w:pPr>
              <w:snapToGrid w:val="0"/>
              <w:jc w:val="center"/>
              <w:rPr>
                <w:sz w:val="18"/>
                <w:szCs w:val="18"/>
              </w:rPr>
            </w:pPr>
            <w:r>
              <w:rPr>
                <w:rFonts w:hint="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0" w:type="dxa"/>
            <w:vMerge w:val="continue"/>
            <w:vAlign w:val="center"/>
          </w:tcPr>
          <w:p>
            <w:pPr>
              <w:snapToGrid w:val="0"/>
              <w:rPr>
                <w:sz w:val="18"/>
                <w:szCs w:val="18"/>
              </w:rPr>
            </w:pPr>
          </w:p>
        </w:tc>
        <w:tc>
          <w:tcPr>
            <w:tcW w:w="583" w:type="dxa"/>
            <w:vMerge w:val="continue"/>
            <w:vAlign w:val="center"/>
          </w:tcPr>
          <w:p>
            <w:pPr>
              <w:snapToGrid w:val="0"/>
              <w:rPr>
                <w:sz w:val="18"/>
                <w:szCs w:val="18"/>
              </w:rPr>
            </w:pPr>
          </w:p>
        </w:tc>
        <w:tc>
          <w:tcPr>
            <w:tcW w:w="636" w:type="dxa"/>
            <w:vMerge w:val="continue"/>
            <w:vAlign w:val="center"/>
          </w:tcPr>
          <w:p>
            <w:pPr>
              <w:snapToGrid w:val="0"/>
              <w:rPr>
                <w:sz w:val="18"/>
                <w:szCs w:val="18"/>
              </w:rPr>
            </w:pPr>
          </w:p>
        </w:tc>
        <w:tc>
          <w:tcPr>
            <w:tcW w:w="697" w:type="dxa"/>
            <w:vMerge w:val="restart"/>
            <w:vAlign w:val="center"/>
          </w:tcPr>
          <w:p>
            <w:pPr>
              <w:snapToGrid w:val="0"/>
              <w:jc w:val="center"/>
              <w:rPr>
                <w:sz w:val="18"/>
                <w:szCs w:val="18"/>
              </w:rPr>
            </w:pPr>
            <w:r>
              <w:rPr>
                <w:rFonts w:hint="eastAsia"/>
                <w:sz w:val="18"/>
                <w:szCs w:val="18"/>
              </w:rPr>
              <w:t>实验</w:t>
            </w:r>
          </w:p>
        </w:tc>
        <w:tc>
          <w:tcPr>
            <w:tcW w:w="724" w:type="dxa"/>
            <w:vAlign w:val="center"/>
          </w:tcPr>
          <w:p>
            <w:pPr>
              <w:snapToGrid w:val="0"/>
              <w:jc w:val="center"/>
              <w:rPr>
                <w:sz w:val="18"/>
                <w:szCs w:val="18"/>
              </w:rPr>
            </w:pPr>
            <w:r>
              <w:rPr>
                <w:rFonts w:hint="eastAsia"/>
                <w:sz w:val="18"/>
                <w:szCs w:val="18"/>
              </w:rPr>
              <w:t>0.064</w:t>
            </w:r>
          </w:p>
        </w:tc>
        <w:tc>
          <w:tcPr>
            <w:tcW w:w="3589" w:type="dxa"/>
            <w:vMerge w:val="restart"/>
            <w:vAlign w:val="center"/>
          </w:tcPr>
          <w:p>
            <w:pPr>
              <w:jc w:val="left"/>
              <w:rPr>
                <w:sz w:val="18"/>
                <w:szCs w:val="18"/>
              </w:rPr>
            </w:pPr>
            <w:r>
              <w:rPr>
                <w:sz w:val="18"/>
                <w:szCs w:val="18"/>
              </w:rPr>
              <w:t>根据实验完成质量以及实验报告质量评分</w:t>
            </w:r>
            <w:r>
              <w:rPr>
                <w:rFonts w:hint="eastAsia"/>
                <w:sz w:val="18"/>
                <w:szCs w:val="18"/>
              </w:rPr>
              <w:t>；</w:t>
            </w:r>
            <w:r>
              <w:rPr>
                <w:sz w:val="18"/>
                <w:szCs w:val="18"/>
              </w:rPr>
              <w:t>每次</w:t>
            </w:r>
            <w:r>
              <w:rPr>
                <w:rFonts w:hint="eastAsia"/>
                <w:sz w:val="18"/>
                <w:szCs w:val="18"/>
              </w:rPr>
              <w:t>实验</w:t>
            </w:r>
            <w:r>
              <w:rPr>
                <w:sz w:val="18"/>
                <w:szCs w:val="18"/>
              </w:rPr>
              <w:t>按</w:t>
            </w:r>
            <w:r>
              <w:rPr>
                <w:rFonts w:hint="eastAsia"/>
                <w:sz w:val="18"/>
                <w:szCs w:val="18"/>
              </w:rPr>
              <w:t>百</w:t>
            </w:r>
            <w:r>
              <w:rPr>
                <w:sz w:val="18"/>
                <w:szCs w:val="18"/>
              </w:rPr>
              <w:t>分制单独评分，取各次成绩的平均值作为</w:t>
            </w:r>
            <w:r>
              <w:rPr>
                <w:rFonts w:hint="eastAsia"/>
                <w:sz w:val="18"/>
                <w:szCs w:val="18"/>
              </w:rPr>
              <w:t>实验</w:t>
            </w:r>
            <w:r>
              <w:rPr>
                <w:sz w:val="18"/>
                <w:szCs w:val="18"/>
              </w:rPr>
              <w:t>成绩（满分</w:t>
            </w:r>
            <w:r>
              <w:rPr>
                <w:rFonts w:hint="eastAsia"/>
                <w:sz w:val="18"/>
                <w:szCs w:val="18"/>
              </w:rPr>
              <w:t>10</w:t>
            </w:r>
            <w:r>
              <w:rPr>
                <w:sz w:val="18"/>
                <w:szCs w:val="18"/>
              </w:rPr>
              <w:t>0分）</w:t>
            </w:r>
          </w:p>
        </w:tc>
        <w:tc>
          <w:tcPr>
            <w:tcW w:w="1139" w:type="dxa"/>
            <w:vAlign w:val="center"/>
          </w:tcPr>
          <w:p>
            <w:pPr>
              <w:jc w:val="center"/>
              <w:rPr>
                <w:sz w:val="18"/>
                <w:szCs w:val="18"/>
              </w:rPr>
            </w:pPr>
            <w:r>
              <w:rPr>
                <w:rFonts w:hint="eastAsia"/>
                <w:sz w:val="18"/>
                <w:szCs w:val="18"/>
              </w:rPr>
              <w:t>1</w:t>
            </w:r>
          </w:p>
        </w:tc>
        <w:tc>
          <w:tcPr>
            <w:tcW w:w="1005" w:type="dxa"/>
            <w:vAlign w:val="center"/>
          </w:tcPr>
          <w:p>
            <w:pPr>
              <w:jc w:val="center"/>
              <w:rPr>
                <w:sz w:val="18"/>
                <w:szCs w:val="18"/>
              </w:rPr>
            </w:pPr>
            <w:r>
              <w:rPr>
                <w:rFonts w:hint="eastAsia"/>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0" w:type="dxa"/>
            <w:vMerge w:val="continue"/>
            <w:vAlign w:val="center"/>
          </w:tcPr>
          <w:p>
            <w:pPr>
              <w:snapToGrid w:val="0"/>
              <w:jc w:val="center"/>
            </w:pPr>
          </w:p>
        </w:tc>
        <w:tc>
          <w:tcPr>
            <w:tcW w:w="583" w:type="dxa"/>
            <w:vMerge w:val="continue"/>
            <w:vAlign w:val="center"/>
          </w:tcPr>
          <w:p>
            <w:pPr>
              <w:snapToGrid w:val="0"/>
              <w:jc w:val="center"/>
            </w:pPr>
          </w:p>
        </w:tc>
        <w:tc>
          <w:tcPr>
            <w:tcW w:w="636" w:type="dxa"/>
            <w:vMerge w:val="continue"/>
            <w:vAlign w:val="center"/>
          </w:tcPr>
          <w:p>
            <w:pPr>
              <w:snapToGrid w:val="0"/>
              <w:jc w:val="center"/>
            </w:pPr>
          </w:p>
        </w:tc>
        <w:tc>
          <w:tcPr>
            <w:tcW w:w="697" w:type="dxa"/>
            <w:vMerge w:val="continue"/>
            <w:vAlign w:val="center"/>
          </w:tcPr>
          <w:p>
            <w:pPr>
              <w:snapToGrid w:val="0"/>
              <w:jc w:val="center"/>
            </w:pPr>
          </w:p>
        </w:tc>
        <w:tc>
          <w:tcPr>
            <w:tcW w:w="724" w:type="dxa"/>
            <w:vAlign w:val="center"/>
          </w:tcPr>
          <w:p>
            <w:pPr>
              <w:snapToGrid w:val="0"/>
              <w:jc w:val="center"/>
              <w:rPr>
                <w:sz w:val="18"/>
                <w:szCs w:val="18"/>
              </w:rPr>
            </w:pPr>
            <w:r>
              <w:rPr>
                <w:rFonts w:hint="eastAsia"/>
                <w:sz w:val="18"/>
                <w:szCs w:val="18"/>
              </w:rPr>
              <w:t>0.096</w:t>
            </w:r>
          </w:p>
        </w:tc>
        <w:tc>
          <w:tcPr>
            <w:tcW w:w="3589" w:type="dxa"/>
            <w:vMerge w:val="continue"/>
            <w:vAlign w:val="center"/>
          </w:tcPr>
          <w:p>
            <w:pPr>
              <w:snapToGrid w:val="0"/>
              <w:jc w:val="center"/>
              <w:rPr>
                <w:sz w:val="18"/>
                <w:szCs w:val="18"/>
              </w:rPr>
            </w:pPr>
          </w:p>
        </w:tc>
        <w:tc>
          <w:tcPr>
            <w:tcW w:w="1139" w:type="dxa"/>
            <w:vAlign w:val="center"/>
          </w:tcPr>
          <w:p>
            <w:pPr>
              <w:snapToGrid w:val="0"/>
              <w:jc w:val="center"/>
              <w:rPr>
                <w:sz w:val="18"/>
                <w:szCs w:val="18"/>
              </w:rPr>
            </w:pPr>
            <w:r>
              <w:rPr>
                <w:rFonts w:hint="eastAsia"/>
                <w:sz w:val="18"/>
                <w:szCs w:val="18"/>
              </w:rPr>
              <w:t>2</w:t>
            </w:r>
          </w:p>
        </w:tc>
        <w:tc>
          <w:tcPr>
            <w:tcW w:w="1005" w:type="dxa"/>
            <w:vAlign w:val="center"/>
          </w:tcPr>
          <w:p>
            <w:pPr>
              <w:snapToGrid w:val="0"/>
              <w:jc w:val="center"/>
              <w:rPr>
                <w:sz w:val="18"/>
                <w:szCs w:val="18"/>
              </w:rPr>
            </w:pPr>
            <w:r>
              <w:rPr>
                <w:rFonts w:hint="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50" w:type="dxa"/>
            <w:vMerge w:val="restart"/>
            <w:vAlign w:val="center"/>
          </w:tcPr>
          <w:p>
            <w:pPr>
              <w:snapToGrid w:val="0"/>
              <w:jc w:val="left"/>
              <w:rPr>
                <w:sz w:val="18"/>
                <w:szCs w:val="18"/>
              </w:rPr>
            </w:pPr>
            <w:r>
              <w:rPr>
                <w:sz w:val="18"/>
                <w:szCs w:val="18"/>
              </w:rPr>
              <w:t>期末考试成绩</w:t>
            </w:r>
          </w:p>
        </w:tc>
        <w:tc>
          <w:tcPr>
            <w:tcW w:w="583" w:type="dxa"/>
            <w:vMerge w:val="restart"/>
            <w:vAlign w:val="center"/>
          </w:tcPr>
          <w:p>
            <w:pPr>
              <w:snapToGrid w:val="0"/>
              <w:rPr>
                <w:sz w:val="18"/>
                <w:szCs w:val="18"/>
              </w:rPr>
            </w:pPr>
            <w:r>
              <w:rPr>
                <w:sz w:val="18"/>
                <w:szCs w:val="18"/>
              </w:rPr>
              <w:t>100</w:t>
            </w:r>
          </w:p>
        </w:tc>
        <w:tc>
          <w:tcPr>
            <w:tcW w:w="636" w:type="dxa"/>
            <w:vMerge w:val="restart"/>
            <w:vAlign w:val="center"/>
          </w:tcPr>
          <w:p>
            <w:pPr>
              <w:snapToGrid w:val="0"/>
              <w:rPr>
                <w:sz w:val="18"/>
                <w:szCs w:val="18"/>
              </w:rPr>
            </w:pPr>
            <w:r>
              <w:rPr>
                <w:sz w:val="18"/>
                <w:szCs w:val="18"/>
              </w:rPr>
              <w:t>0.</w:t>
            </w:r>
            <w:r>
              <w:rPr>
                <w:rFonts w:hint="eastAsia"/>
                <w:sz w:val="18"/>
                <w:szCs w:val="18"/>
              </w:rPr>
              <w:t>6</w:t>
            </w:r>
          </w:p>
        </w:tc>
        <w:tc>
          <w:tcPr>
            <w:tcW w:w="697" w:type="dxa"/>
            <w:vMerge w:val="restart"/>
            <w:vAlign w:val="center"/>
          </w:tcPr>
          <w:p>
            <w:pPr>
              <w:snapToGrid w:val="0"/>
              <w:jc w:val="left"/>
              <w:rPr>
                <w:sz w:val="18"/>
                <w:szCs w:val="18"/>
              </w:rPr>
            </w:pPr>
            <w:r>
              <w:rPr>
                <w:sz w:val="18"/>
                <w:szCs w:val="18"/>
              </w:rPr>
              <w:t>闭卷考试</w:t>
            </w:r>
          </w:p>
        </w:tc>
        <w:tc>
          <w:tcPr>
            <w:tcW w:w="724" w:type="dxa"/>
            <w:vAlign w:val="center"/>
          </w:tcPr>
          <w:p>
            <w:pPr>
              <w:snapToGrid w:val="0"/>
              <w:rPr>
                <w:sz w:val="18"/>
                <w:szCs w:val="18"/>
              </w:rPr>
            </w:pPr>
            <w:r>
              <w:rPr>
                <w:rFonts w:hint="eastAsia"/>
                <w:sz w:val="18"/>
                <w:szCs w:val="18"/>
              </w:rPr>
              <w:t>0.24</w:t>
            </w:r>
          </w:p>
        </w:tc>
        <w:tc>
          <w:tcPr>
            <w:tcW w:w="3589" w:type="dxa"/>
            <w:vMerge w:val="restart"/>
            <w:vAlign w:val="center"/>
          </w:tcPr>
          <w:p>
            <w:pPr>
              <w:rPr>
                <w:sz w:val="18"/>
                <w:szCs w:val="18"/>
              </w:rPr>
            </w:pPr>
            <w:r>
              <w:rPr>
                <w:sz w:val="18"/>
                <w:szCs w:val="18"/>
              </w:rPr>
              <w:t>(1)卷面成绩满分100分</w:t>
            </w:r>
            <w:r>
              <w:rPr>
                <w:rFonts w:hint="eastAsia"/>
                <w:sz w:val="18"/>
                <w:szCs w:val="18"/>
              </w:rPr>
              <w:t>，</w:t>
            </w:r>
            <w:r>
              <w:rPr>
                <w:sz w:val="18"/>
                <w:szCs w:val="18"/>
              </w:rPr>
              <w:t>根据回答问题的准确性评分</w:t>
            </w:r>
            <w:r>
              <w:rPr>
                <w:rFonts w:hint="eastAsia"/>
                <w:sz w:val="18"/>
                <w:szCs w:val="18"/>
              </w:rPr>
              <w:t>。</w:t>
            </w:r>
          </w:p>
          <w:p>
            <w:pPr>
              <w:rPr>
                <w:sz w:val="18"/>
                <w:szCs w:val="18"/>
              </w:rPr>
            </w:pPr>
            <w:r>
              <w:rPr>
                <w:sz w:val="18"/>
                <w:szCs w:val="18"/>
              </w:rPr>
              <w:t>(2)考核依据：以教学大纲为依据，重视考核学生对基本概念、基本理论和基本技能的掌握程度，也能注重考核学生综合应用所学知识、解决问题的能力。</w:t>
            </w:r>
          </w:p>
          <w:p>
            <w:pPr>
              <w:rPr>
                <w:sz w:val="18"/>
                <w:szCs w:val="18"/>
              </w:rPr>
            </w:pPr>
            <w:r>
              <w:rPr>
                <w:sz w:val="18"/>
                <w:szCs w:val="18"/>
              </w:rPr>
              <w:t>(3)考试题型包括：选择题、简述题、计算题</w:t>
            </w:r>
            <w:r>
              <w:rPr>
                <w:rFonts w:hint="eastAsia"/>
                <w:sz w:val="18"/>
                <w:szCs w:val="18"/>
              </w:rPr>
              <w:t>。其中，基础题占70%，综合题20%，较难题10%。</w:t>
            </w:r>
          </w:p>
        </w:tc>
        <w:tc>
          <w:tcPr>
            <w:tcW w:w="1139" w:type="dxa"/>
            <w:vAlign w:val="center"/>
          </w:tcPr>
          <w:p>
            <w:pPr>
              <w:jc w:val="center"/>
              <w:rPr>
                <w:sz w:val="18"/>
                <w:szCs w:val="18"/>
              </w:rPr>
            </w:pPr>
            <w:r>
              <w:rPr>
                <w:rFonts w:hint="eastAsia"/>
                <w:sz w:val="18"/>
                <w:szCs w:val="18"/>
              </w:rPr>
              <w:t>1</w:t>
            </w:r>
          </w:p>
        </w:tc>
        <w:tc>
          <w:tcPr>
            <w:tcW w:w="1005" w:type="dxa"/>
            <w:vAlign w:val="center"/>
          </w:tcPr>
          <w:p>
            <w:pPr>
              <w:jc w:val="center"/>
              <w:rPr>
                <w:sz w:val="18"/>
                <w:szCs w:val="18"/>
              </w:rPr>
            </w:pPr>
            <w:r>
              <w:rPr>
                <w:sz w:val="18"/>
                <w:szCs w:val="18"/>
              </w:rPr>
              <w:t>1</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50" w:type="dxa"/>
            <w:vMerge w:val="continue"/>
            <w:vAlign w:val="center"/>
          </w:tcPr>
          <w:p>
            <w:pPr>
              <w:snapToGrid w:val="0"/>
            </w:pPr>
          </w:p>
        </w:tc>
        <w:tc>
          <w:tcPr>
            <w:tcW w:w="583" w:type="dxa"/>
            <w:vMerge w:val="continue"/>
            <w:vAlign w:val="center"/>
          </w:tcPr>
          <w:p>
            <w:pPr>
              <w:snapToGrid w:val="0"/>
            </w:pPr>
          </w:p>
        </w:tc>
        <w:tc>
          <w:tcPr>
            <w:tcW w:w="636" w:type="dxa"/>
            <w:vMerge w:val="continue"/>
            <w:vAlign w:val="center"/>
          </w:tcPr>
          <w:p>
            <w:pPr>
              <w:snapToGrid w:val="0"/>
            </w:pPr>
          </w:p>
        </w:tc>
        <w:tc>
          <w:tcPr>
            <w:tcW w:w="697" w:type="dxa"/>
            <w:vMerge w:val="continue"/>
            <w:vAlign w:val="center"/>
          </w:tcPr>
          <w:p>
            <w:pPr>
              <w:snapToGrid w:val="0"/>
            </w:pPr>
          </w:p>
        </w:tc>
        <w:tc>
          <w:tcPr>
            <w:tcW w:w="724" w:type="dxa"/>
            <w:vAlign w:val="center"/>
          </w:tcPr>
          <w:p>
            <w:pPr>
              <w:snapToGrid w:val="0"/>
              <w:rPr>
                <w:sz w:val="18"/>
                <w:szCs w:val="18"/>
              </w:rPr>
            </w:pPr>
            <w:r>
              <w:rPr>
                <w:rFonts w:hint="eastAsia"/>
                <w:sz w:val="18"/>
                <w:szCs w:val="18"/>
              </w:rPr>
              <w:t>0.36</w:t>
            </w:r>
          </w:p>
        </w:tc>
        <w:tc>
          <w:tcPr>
            <w:tcW w:w="3589" w:type="dxa"/>
            <w:vMerge w:val="continue"/>
            <w:vAlign w:val="center"/>
          </w:tcPr>
          <w:p>
            <w:pPr>
              <w:snapToGrid w:val="0"/>
              <w:rPr>
                <w:sz w:val="18"/>
                <w:szCs w:val="18"/>
              </w:rPr>
            </w:pPr>
          </w:p>
        </w:tc>
        <w:tc>
          <w:tcPr>
            <w:tcW w:w="1139" w:type="dxa"/>
            <w:vAlign w:val="center"/>
          </w:tcPr>
          <w:p>
            <w:pPr>
              <w:snapToGrid w:val="0"/>
              <w:jc w:val="center"/>
              <w:rPr>
                <w:sz w:val="18"/>
                <w:szCs w:val="18"/>
              </w:rPr>
            </w:pPr>
            <w:r>
              <w:rPr>
                <w:rFonts w:hint="eastAsia"/>
                <w:sz w:val="18"/>
                <w:szCs w:val="18"/>
              </w:rPr>
              <w:t>2</w:t>
            </w:r>
          </w:p>
        </w:tc>
        <w:tc>
          <w:tcPr>
            <w:tcW w:w="1005" w:type="dxa"/>
            <w:vAlign w:val="center"/>
          </w:tcPr>
          <w:p>
            <w:pPr>
              <w:snapToGrid w:val="0"/>
              <w:jc w:val="center"/>
              <w:rPr>
                <w:sz w:val="18"/>
                <w:szCs w:val="18"/>
              </w:rPr>
            </w:pPr>
            <w:r>
              <w:rPr>
                <w:rFonts w:hint="eastAsia"/>
                <w:sz w:val="18"/>
                <w:szCs w:val="18"/>
              </w:rPr>
              <w:t>2.1</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color w:val="FF0000"/>
          <w:szCs w:val="21"/>
        </w:rPr>
      </w:pPr>
      <w:r>
        <w:rPr>
          <w:color w:val="000000"/>
          <w:szCs w:val="21"/>
        </w:rPr>
        <w:t>1</w:t>
      </w:r>
      <w:r>
        <w:t>．</w:t>
      </w:r>
      <w:r>
        <w:rPr>
          <w:color w:val="000000"/>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095"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095" DrawAspect="Content" ObjectID="_1468075794" r:id="rId107">
            <o:LockedField>false</o:LockedField>
          </o:OLEObject>
        </w:object>
      </w:r>
    </w:p>
    <w:p>
      <w:pPr>
        <w:snapToGrid w:val="0"/>
        <w:spacing w:line="300" w:lineRule="auto"/>
        <w:ind w:firstLine="420" w:firstLineChars="200"/>
      </w:pPr>
      <w:r>
        <w:t>课程总目标达成情况为</w:t>
      </w:r>
      <w:r>
        <w:rPr>
          <w:rFonts w:hint="eastAsia"/>
        </w:rPr>
        <w:t>各</w:t>
      </w:r>
      <w:r>
        <w:t>个课程目标的加权得分率，其计算公式为：</w:t>
      </w:r>
    </w:p>
    <w:p>
      <w:pPr>
        <w:snapToGrid w:val="0"/>
        <w:spacing w:line="300" w:lineRule="auto"/>
        <w:jc w:val="center"/>
      </w:pPr>
      <w:r>
        <w:t xml:space="preserve"> </w:t>
      </w:r>
      <w:r>
        <w:object>
          <v:shape id="_x0000_i1096" o:spt="75" type="#_x0000_t75" style="height:18.75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096" DrawAspect="Content" ObjectID="_1468075795" r:id="rId108">
            <o:LockedField>false</o:LockedField>
          </o:OLEObject>
        </w:object>
      </w:r>
    </w:p>
    <w:p>
      <w:pPr>
        <w:snapToGrid w:val="0"/>
        <w:spacing w:line="300" w:lineRule="auto"/>
      </w:pPr>
      <w:r>
        <w:t>其中权重系数按照表6设定。</w:t>
      </w:r>
    </w:p>
    <w:p>
      <w:pPr>
        <w:snapToGrid w:val="0"/>
        <w:spacing w:line="300" w:lineRule="auto"/>
      </w:pPr>
    </w:p>
    <w:p>
      <w:pPr>
        <w:snapToGrid w:val="0"/>
        <w:spacing w:line="300" w:lineRule="auto"/>
        <w:jc w:val="center"/>
        <w:rPr>
          <w:b/>
          <w:bCs/>
          <w:color w:val="000000"/>
          <w:sz w:val="18"/>
          <w:szCs w:val="18"/>
        </w:rPr>
      </w:pPr>
      <w:r>
        <w:rPr>
          <w:b/>
          <w:bCs/>
          <w:color w:val="000000"/>
          <w:sz w:val="18"/>
          <w:szCs w:val="18"/>
        </w:rPr>
        <w:t>表6课程目标权重系数</w:t>
      </w:r>
    </w:p>
    <w:tbl>
      <w:tblPr>
        <w:tblStyle w:val="22"/>
        <w:tblW w:w="4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64"/>
        <w:gridCol w:w="1546"/>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464" w:type="dxa"/>
            <w:vAlign w:val="center"/>
          </w:tcPr>
          <w:p>
            <w:pPr>
              <w:snapToGrid w:val="0"/>
              <w:spacing w:line="300" w:lineRule="auto"/>
              <w:jc w:val="center"/>
              <w:rPr>
                <w:b/>
                <w:bCs/>
                <w:sz w:val="18"/>
                <w:szCs w:val="18"/>
              </w:rPr>
            </w:pPr>
            <w:r>
              <w:rPr>
                <w:b/>
                <w:bCs/>
                <w:sz w:val="18"/>
                <w:szCs w:val="18"/>
              </w:rPr>
              <w:t>课程目标</w:t>
            </w:r>
          </w:p>
        </w:tc>
        <w:tc>
          <w:tcPr>
            <w:tcW w:w="1546" w:type="dxa"/>
            <w:vAlign w:val="center"/>
          </w:tcPr>
          <w:p>
            <w:pPr>
              <w:snapToGrid w:val="0"/>
              <w:spacing w:line="300" w:lineRule="auto"/>
              <w:jc w:val="center"/>
              <w:rPr>
                <w:sz w:val="18"/>
                <w:szCs w:val="18"/>
              </w:rPr>
            </w:pPr>
            <w:r>
              <w:rPr>
                <w:sz w:val="18"/>
                <w:szCs w:val="18"/>
              </w:rPr>
              <w:t>1</w:t>
            </w:r>
          </w:p>
        </w:tc>
        <w:tc>
          <w:tcPr>
            <w:tcW w:w="1833"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464" w:type="dxa"/>
            <w:vAlign w:val="center"/>
          </w:tcPr>
          <w:p>
            <w:pPr>
              <w:snapToGrid w:val="0"/>
              <w:spacing w:line="300" w:lineRule="auto"/>
              <w:jc w:val="center"/>
              <w:rPr>
                <w:b/>
                <w:bCs/>
                <w:sz w:val="18"/>
                <w:szCs w:val="18"/>
              </w:rPr>
            </w:pPr>
            <w:r>
              <w:rPr>
                <w:b/>
                <w:bCs/>
                <w:sz w:val="18"/>
                <w:szCs w:val="18"/>
              </w:rPr>
              <w:t>权重系数</w:t>
            </w:r>
          </w:p>
        </w:tc>
        <w:tc>
          <w:tcPr>
            <w:tcW w:w="1546" w:type="dxa"/>
            <w:vAlign w:val="center"/>
          </w:tcPr>
          <w:p>
            <w:pPr>
              <w:snapToGrid w:val="0"/>
              <w:spacing w:line="300" w:lineRule="auto"/>
              <w:jc w:val="center"/>
              <w:rPr>
                <w:sz w:val="18"/>
                <w:szCs w:val="18"/>
              </w:rPr>
            </w:pPr>
            <w:r>
              <w:rPr>
                <w:sz w:val="18"/>
                <w:szCs w:val="18"/>
              </w:rPr>
              <w:t>0.</w:t>
            </w:r>
            <w:r>
              <w:rPr>
                <w:rFonts w:hint="eastAsia"/>
                <w:sz w:val="18"/>
                <w:szCs w:val="18"/>
              </w:rPr>
              <w:t>4</w:t>
            </w:r>
          </w:p>
        </w:tc>
        <w:tc>
          <w:tcPr>
            <w:tcW w:w="1833" w:type="dxa"/>
            <w:vAlign w:val="center"/>
          </w:tcPr>
          <w:p>
            <w:pPr>
              <w:snapToGrid w:val="0"/>
              <w:spacing w:line="300" w:lineRule="auto"/>
              <w:jc w:val="center"/>
              <w:rPr>
                <w:sz w:val="18"/>
                <w:szCs w:val="18"/>
              </w:rPr>
            </w:pPr>
            <w:r>
              <w:rPr>
                <w:sz w:val="18"/>
                <w:szCs w:val="18"/>
              </w:rPr>
              <w:t>0.</w:t>
            </w:r>
            <w:r>
              <w:rPr>
                <w:rFonts w:hint="eastAsia"/>
                <w:sz w:val="18"/>
                <w:szCs w:val="18"/>
              </w:rPr>
              <w:t>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097"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097" DrawAspect="Content" ObjectID="_1468075796" r:id="rId109">
            <o:LockedField>false</o:LockedField>
          </o:OLEObject>
        </w:object>
      </w:r>
    </w:p>
    <w:p>
      <w:pPr>
        <w:snapToGrid w:val="0"/>
        <w:spacing w:line="300" w:lineRule="auto"/>
        <w:ind w:firstLine="420" w:firstLineChars="200"/>
        <w:rPr>
          <w:color w:val="000000"/>
          <w:szCs w:val="21"/>
        </w:rPr>
      </w:pPr>
      <w:r>
        <w:rPr>
          <w:color w:val="000000"/>
          <w:szCs w:val="21"/>
        </w:rPr>
        <w:t>2</w:t>
      </w:r>
      <w:r>
        <w:t>．</w:t>
      </w:r>
      <w:r>
        <w:rPr>
          <w:color w:val="000000"/>
          <w:szCs w:val="21"/>
        </w:rPr>
        <w:t>课程总结要求</w:t>
      </w:r>
    </w:p>
    <w:p>
      <w:pPr>
        <w:snapToGrid w:val="0"/>
        <w:spacing w:before="156" w:beforeLines="50" w:after="156" w:afterLines="50" w:line="300" w:lineRule="auto"/>
        <w:rPr>
          <w:rFonts w:ascii="Times New Roman" w:hAnsi="Times New Roman" w:eastAsia="宋体" w:cs="Times New Roman"/>
          <w:b/>
          <w:sz w:val="24"/>
        </w:rPr>
      </w:pPr>
      <w:r>
        <w:rPr>
          <w:color w:val="000000"/>
          <w:szCs w:val="21"/>
        </w:rPr>
        <w:t>依据达成度评价、教师自评、学生评价，以及课程教学情况、考试情况，对课程进行有针对性的总结，每学年撰写试卷分析、课程总结与自我评价表，提出持续改进课程教学的措施。</w:t>
      </w:r>
      <w:r>
        <w:rPr>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1.教材：</w:t>
      </w:r>
    </w:p>
    <w:p>
      <w:pPr>
        <w:adjustRightInd w:val="0"/>
        <w:snapToGrid w:val="0"/>
        <w:spacing w:line="300" w:lineRule="auto"/>
        <w:ind w:left="630" w:leftChars="200" w:hanging="210" w:hangingChars="100"/>
        <w:rPr>
          <w:rFonts w:ascii="Times New Roman" w:hAnsi="Times New Roman" w:eastAsia="宋体" w:cs="Times New Roman"/>
        </w:rPr>
      </w:pPr>
      <w:r>
        <w:rPr>
          <w:rFonts w:hint="eastAsia" w:ascii="Times New Roman" w:hAnsi="Times New Roman" w:eastAsia="宋体" w:cs="Times New Roman"/>
        </w:rPr>
        <w:t xml:space="preserve">谢处方等原著，杨显清等修订. 电磁场与电磁波第五版.高等教育出版社. </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[1]柯亨玉、龚子平. 电磁场理论基础. 人民邮电出版社，2011年2月.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[2]胡冰、崔正勤、陈重.电磁场理论基础.北京理工大学出版社. 2010年1月.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[3](美国）纳拉帕纳尼·纳拉亚纳·劳《电磁场基础》.电子工业出版社.2010年1月.</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rPr>
        <w:t>[4]武汉大学王慧教授主讲的国家级精品课程《电磁场与电磁波》</w:t>
      </w:r>
      <w:r>
        <w:rPr>
          <w:rFonts w:ascii="Times New Roman" w:hAnsi="Times New Roman" w:eastAsia="宋体" w:cs="Times New Roman"/>
          <w:szCs w:val="21"/>
        </w:rPr>
        <w:t>。</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[5]北京交通大学卲小桃教授主讲的国家级精品课程《电磁场与电磁波》。</w:t>
      </w:r>
    </w:p>
    <w:tbl>
      <w:tblPr>
        <w:tblStyle w:val="63"/>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tcPr>
          <w:p>
            <w:pPr>
              <w:snapToGrid w:val="0"/>
              <w:spacing w:line="300" w:lineRule="auto"/>
              <w:ind w:right="630" w:firstLine="404" w:firstLineChars="202"/>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01" w:hRule="atLeast"/>
        </w:trPr>
        <w:tc>
          <w:tcPr>
            <w:tcW w:w="8217" w:type="dxa"/>
          </w:tcPr>
          <w:p>
            <w:pPr>
              <w:snapToGrid w:val="0"/>
              <w:spacing w:line="300" w:lineRule="auto"/>
              <w:ind w:right="42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日 期：202</w:t>
            </w:r>
            <w:r>
              <w:rPr>
                <w:rFonts w:hint="eastAsia" w:ascii="Times New Roman" w:hAnsi="Times New Roman" w:eastAsia="等线" w:cs="Times New Roman"/>
                <w:kern w:val="0"/>
                <w:sz w:val="20"/>
                <w:szCs w:val="21"/>
              </w:rPr>
              <w:t>2</w:t>
            </w:r>
            <w:r>
              <w:rPr>
                <w:rFonts w:ascii="Times New Roman" w:hAnsi="Times New Roman" w:eastAsia="等线" w:cs="Times New Roman"/>
                <w:kern w:val="0"/>
                <w:sz w:val="20"/>
                <w:szCs w:val="21"/>
              </w:rPr>
              <w:t>.0</w:t>
            </w:r>
            <w:r>
              <w:rPr>
                <w:rFonts w:hint="eastAsia" w:ascii="Times New Roman" w:hAnsi="Times New Roman" w:eastAsia="等线" w:cs="Times New Roman"/>
                <w:kern w:val="0"/>
                <w:sz w:val="20"/>
                <w:szCs w:val="21"/>
              </w:rPr>
              <w:t>4</w:t>
            </w:r>
            <w:r>
              <w:rPr>
                <w:rFonts w:ascii="Times New Roman" w:hAnsi="Times New Roman" w:eastAsia="等线" w:cs="Times New Roman"/>
                <w:kern w:val="0"/>
                <w:sz w:val="20"/>
                <w:szCs w:val="21"/>
              </w:rPr>
              <w:t>.</w:t>
            </w:r>
            <w:r>
              <w:rPr>
                <w:rFonts w:hint="eastAsia" w:ascii="Times New Roman" w:hAnsi="Times New Roman" w:eastAsia="等线" w:cs="Times New Roman"/>
                <w:kern w:val="0"/>
                <w:sz w:val="20"/>
                <w:szCs w:val="21"/>
              </w:rPr>
              <w:t>20</w:t>
            </w:r>
          </w:p>
        </w:tc>
      </w:tr>
    </w:tbl>
    <w:p>
      <w:pPr>
        <w:adjustRightInd w:val="0"/>
        <w:snapToGrid w:val="0"/>
        <w:spacing w:line="300" w:lineRule="auto"/>
        <w:ind w:firstLine="420" w:firstLineChars="200"/>
        <w:rPr>
          <w:rFonts w:ascii="Times New Roman" w:hAnsi="Times New Roman"/>
          <w:szCs w:val="21"/>
          <w:shd w:val="clear" w:color="auto" w:fill="FEFEFF"/>
        </w:rPr>
      </w:pPr>
    </w:p>
    <w:p>
      <w:pPr>
        <w:keepNext/>
        <w:keepLines/>
        <w:spacing w:before="260" w:after="260" w:line="413" w:lineRule="auto"/>
        <w:outlineLvl w:val="1"/>
        <w:rPr>
          <w:rFonts w:ascii="宋体" w:hAnsi="宋体" w:eastAsia="宋体" w:cs="宋体"/>
          <w:b/>
          <w:sz w:val="36"/>
          <w:szCs w:val="36"/>
        </w:rPr>
      </w:pPr>
      <w:bookmarkStart w:id="129" w:name="_Toc30905"/>
      <w:bookmarkStart w:id="130" w:name="_Toc21218"/>
      <w:bookmarkStart w:id="131" w:name="_Toc47719763"/>
      <w:bookmarkStart w:id="132" w:name="_Toc47718792"/>
      <w:bookmarkStart w:id="133" w:name="_Toc46489663"/>
      <w:bookmarkStart w:id="134" w:name="_Toc38126117"/>
      <w:bookmarkStart w:id="135" w:name="_Toc47774719"/>
      <w:bookmarkStart w:id="136" w:name="_Toc46489673"/>
      <w:bookmarkStart w:id="137" w:name="_Toc38126127"/>
      <w:r>
        <w:rPr>
          <w:rFonts w:hint="eastAsia" w:ascii="宋体" w:hAnsi="宋体" w:eastAsia="宋体" w:cs="宋体"/>
          <w:b/>
          <w:sz w:val="36"/>
          <w:szCs w:val="36"/>
        </w:rPr>
        <w:t>2</w:t>
      </w:r>
      <w:r>
        <w:rPr>
          <w:rFonts w:ascii="宋体" w:hAnsi="宋体" w:eastAsia="宋体" w:cs="宋体"/>
          <w:b/>
          <w:sz w:val="36"/>
          <w:szCs w:val="36"/>
        </w:rPr>
        <w:t>.3专业类课程教学大纲</w:t>
      </w:r>
      <w:bookmarkEnd w:id="129"/>
      <w:bookmarkEnd w:id="130"/>
    </w:p>
    <w:p>
      <w:pPr>
        <w:keepNext/>
        <w:keepLines/>
        <w:tabs>
          <w:tab w:val="left" w:pos="0"/>
          <w:tab w:val="left" w:pos="420"/>
        </w:tabs>
        <w:spacing w:before="260" w:after="260" w:line="413" w:lineRule="auto"/>
        <w:ind w:left="709" w:hanging="709"/>
        <w:outlineLvl w:val="2"/>
        <w:rPr>
          <w:b/>
          <w:sz w:val="32"/>
        </w:rPr>
      </w:pPr>
      <w:bookmarkStart w:id="138" w:name="_Toc29263"/>
      <w:r>
        <w:rPr>
          <w:rFonts w:hint="eastAsia"/>
          <w:b/>
          <w:sz w:val="32"/>
        </w:rPr>
        <w:t>2.3.1专业限选课</w:t>
      </w:r>
      <w:bookmarkEnd w:id="138"/>
    </w:p>
    <w:p>
      <w:pPr>
        <w:keepNext/>
        <w:keepLines/>
        <w:spacing w:before="260" w:after="260" w:line="413" w:lineRule="auto"/>
        <w:jc w:val="center"/>
        <w:outlineLvl w:val="3"/>
        <w:rPr>
          <w:rFonts w:ascii="Times New Roman" w:hAnsi="Times New Roman" w:eastAsia="宋体" w:cs="Times New Roman"/>
          <w:b/>
          <w:sz w:val="32"/>
        </w:rPr>
      </w:pPr>
      <w:bookmarkStart w:id="139" w:name="_Toc28112"/>
      <w:bookmarkStart w:id="140" w:name="_Toc47774718"/>
      <w:bookmarkStart w:id="141" w:name="_Toc62651734"/>
      <w:bookmarkStart w:id="142" w:name="_Toc47719762"/>
      <w:bookmarkStart w:id="143" w:name="_Toc47718791"/>
      <w:r>
        <w:rPr>
          <w:rFonts w:hint="eastAsia" w:ascii="Times New Roman" w:hAnsi="Times New Roman" w:eastAsia="宋体" w:cs="Times New Roman"/>
          <w:b/>
          <w:sz w:val="32"/>
        </w:rPr>
        <w:t>33431001《海洋电子信息前沿技术》课程教学大纲</w:t>
      </w:r>
      <w:bookmarkEnd w:id="139"/>
    </w:p>
    <w:tbl>
      <w:tblPr>
        <w:tblStyle w:val="22"/>
        <w:tblW w:w="867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6"/>
        <w:gridCol w:w="2501"/>
        <w:gridCol w:w="1335"/>
        <w:gridCol w:w="34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346" w:type="dxa"/>
            <w:vAlign w:val="center"/>
          </w:tcPr>
          <w:p>
            <w:pPr>
              <w:jc w:val="center"/>
              <w:rPr>
                <w:kern w:val="0"/>
                <w:szCs w:val="21"/>
              </w:rPr>
            </w:pPr>
            <w:r>
              <w:rPr>
                <w:kern w:val="0"/>
                <w:szCs w:val="21"/>
              </w:rPr>
              <w:t>课程编号</w:t>
            </w:r>
          </w:p>
        </w:tc>
        <w:tc>
          <w:tcPr>
            <w:tcW w:w="2501" w:type="dxa"/>
            <w:vAlign w:val="center"/>
          </w:tcPr>
          <w:p>
            <w:pPr>
              <w:jc w:val="center"/>
              <w:rPr>
                <w:kern w:val="0"/>
                <w:szCs w:val="21"/>
              </w:rPr>
            </w:pPr>
            <w:r>
              <w:rPr>
                <w:szCs w:val="21"/>
              </w:rPr>
              <w:t>33431001</w:t>
            </w:r>
          </w:p>
        </w:tc>
        <w:tc>
          <w:tcPr>
            <w:tcW w:w="1335" w:type="dxa"/>
            <w:vAlign w:val="center"/>
          </w:tcPr>
          <w:p>
            <w:pPr>
              <w:jc w:val="center"/>
              <w:rPr>
                <w:kern w:val="0"/>
                <w:szCs w:val="21"/>
              </w:rPr>
            </w:pPr>
            <w:r>
              <w:rPr>
                <w:kern w:val="0"/>
                <w:szCs w:val="21"/>
              </w:rPr>
              <w:t>课程名称</w:t>
            </w:r>
          </w:p>
        </w:tc>
        <w:tc>
          <w:tcPr>
            <w:tcW w:w="3489" w:type="dxa"/>
            <w:vAlign w:val="center"/>
          </w:tcPr>
          <w:p>
            <w:pPr>
              <w:jc w:val="center"/>
              <w:rPr>
                <w:kern w:val="0"/>
                <w:szCs w:val="21"/>
              </w:rPr>
            </w:pPr>
            <w:r>
              <w:rPr>
                <w:szCs w:val="21"/>
              </w:rPr>
              <w:t>海洋电子信息前沿技术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346" w:type="dxa"/>
            <w:vAlign w:val="center"/>
          </w:tcPr>
          <w:p>
            <w:pPr>
              <w:jc w:val="center"/>
              <w:rPr>
                <w:kern w:val="0"/>
                <w:szCs w:val="21"/>
              </w:rPr>
            </w:pPr>
            <w:r>
              <w:rPr>
                <w:kern w:val="0"/>
                <w:szCs w:val="21"/>
              </w:rPr>
              <w:t>课程性质</w:t>
            </w:r>
            <w:r>
              <w:rPr>
                <w:kern w:val="0"/>
                <w:sz w:val="20"/>
                <w:szCs w:val="20"/>
              </w:rPr>
              <w:t>*</w:t>
            </w:r>
          </w:p>
        </w:tc>
        <w:tc>
          <w:tcPr>
            <w:tcW w:w="2501" w:type="dxa"/>
            <w:vAlign w:val="center"/>
          </w:tcPr>
          <w:p>
            <w:pPr>
              <w:jc w:val="center"/>
              <w:rPr>
                <w:kern w:val="0"/>
                <w:szCs w:val="21"/>
              </w:rPr>
            </w:pPr>
            <w:r>
              <w:rPr>
                <w:rFonts w:hint="eastAsia"/>
                <w:szCs w:val="21"/>
              </w:rPr>
              <w:t>专业类</w:t>
            </w:r>
          </w:p>
        </w:tc>
        <w:tc>
          <w:tcPr>
            <w:tcW w:w="1335" w:type="dxa"/>
            <w:vAlign w:val="center"/>
          </w:tcPr>
          <w:p>
            <w:pPr>
              <w:jc w:val="center"/>
              <w:rPr>
                <w:kern w:val="0"/>
                <w:szCs w:val="21"/>
              </w:rPr>
            </w:pPr>
            <w:r>
              <w:rPr>
                <w:kern w:val="0"/>
                <w:szCs w:val="21"/>
              </w:rPr>
              <w:t>英文名称</w:t>
            </w:r>
          </w:p>
        </w:tc>
        <w:tc>
          <w:tcPr>
            <w:tcW w:w="3489" w:type="dxa"/>
            <w:vAlign w:val="center"/>
          </w:tcPr>
          <w:p>
            <w:pPr>
              <w:jc w:val="center"/>
              <w:rPr>
                <w:bCs/>
                <w:kern w:val="0"/>
                <w:szCs w:val="21"/>
              </w:rPr>
            </w:pPr>
            <w:r>
              <w:rPr>
                <w:szCs w:val="21"/>
              </w:rPr>
              <w:t>Advanced Technology of Electronic Information Engineering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346" w:type="dxa"/>
            <w:vAlign w:val="center"/>
          </w:tcPr>
          <w:p>
            <w:pPr>
              <w:jc w:val="center"/>
              <w:rPr>
                <w:kern w:val="0"/>
                <w:szCs w:val="21"/>
              </w:rPr>
            </w:pPr>
            <w:r>
              <w:rPr>
                <w:kern w:val="0"/>
                <w:szCs w:val="21"/>
              </w:rPr>
              <w:t>学分学时</w:t>
            </w:r>
          </w:p>
        </w:tc>
        <w:tc>
          <w:tcPr>
            <w:tcW w:w="2501" w:type="dxa"/>
            <w:vAlign w:val="center"/>
          </w:tcPr>
          <w:p>
            <w:pPr>
              <w:jc w:val="center"/>
              <w:rPr>
                <w:kern w:val="0"/>
                <w:szCs w:val="21"/>
              </w:rPr>
            </w:pPr>
            <w:r>
              <w:rPr>
                <w:rFonts w:hint="eastAsia"/>
                <w:bCs/>
                <w:color w:val="000000"/>
                <w:kern w:val="0"/>
                <w:szCs w:val="21"/>
              </w:rPr>
              <w:t>2</w:t>
            </w:r>
            <w:r>
              <w:rPr>
                <w:bCs/>
                <w:color w:val="000000"/>
                <w:kern w:val="0"/>
                <w:szCs w:val="21"/>
              </w:rPr>
              <w:t xml:space="preserve"> </w:t>
            </w:r>
            <w:r>
              <w:rPr>
                <w:color w:val="000000"/>
                <w:kern w:val="0"/>
                <w:szCs w:val="21"/>
              </w:rPr>
              <w:t>:</w:t>
            </w:r>
            <w:r>
              <w:rPr>
                <w:kern w:val="0"/>
                <w:szCs w:val="21"/>
              </w:rPr>
              <w:t xml:space="preserve"> </w:t>
            </w:r>
            <w:r>
              <w:rPr>
                <w:rFonts w:hint="eastAsia"/>
                <w:kern w:val="0"/>
                <w:szCs w:val="21"/>
              </w:rPr>
              <w:t>32</w:t>
            </w:r>
            <w:r>
              <w:rPr>
                <w:kern w:val="0"/>
                <w:szCs w:val="21"/>
              </w:rPr>
              <w:t>（0）</w:t>
            </w:r>
          </w:p>
        </w:tc>
        <w:tc>
          <w:tcPr>
            <w:tcW w:w="1335" w:type="dxa"/>
            <w:vAlign w:val="center"/>
          </w:tcPr>
          <w:p>
            <w:pPr>
              <w:jc w:val="center"/>
              <w:rPr>
                <w:kern w:val="0"/>
                <w:szCs w:val="21"/>
                <w:highlight w:val="yellow"/>
              </w:rPr>
            </w:pPr>
            <w:r>
              <w:rPr>
                <w:kern w:val="0"/>
                <w:szCs w:val="21"/>
              </w:rPr>
              <w:t>任课教师</w:t>
            </w:r>
          </w:p>
        </w:tc>
        <w:tc>
          <w:tcPr>
            <w:tcW w:w="3489" w:type="dxa"/>
            <w:vAlign w:val="center"/>
          </w:tcPr>
          <w:p>
            <w:pPr>
              <w:jc w:val="center"/>
              <w:rPr>
                <w:kern w:val="0"/>
                <w:szCs w:val="21"/>
                <w:highlight w:val="yellow"/>
              </w:rPr>
            </w:pPr>
            <w:r>
              <w:rPr>
                <w:kern w:val="0"/>
                <w:szCs w:val="21"/>
              </w:rPr>
              <w:t>邓锐、冯青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46" w:type="dxa"/>
            <w:vAlign w:val="center"/>
          </w:tcPr>
          <w:p>
            <w:pPr>
              <w:jc w:val="center"/>
              <w:rPr>
                <w:bCs/>
                <w:kern w:val="0"/>
                <w:szCs w:val="21"/>
              </w:rPr>
            </w:pPr>
            <w:r>
              <w:rPr>
                <w:bCs/>
                <w:kern w:val="0"/>
                <w:szCs w:val="21"/>
              </w:rPr>
              <w:t>企业专家</w:t>
            </w:r>
          </w:p>
        </w:tc>
        <w:tc>
          <w:tcPr>
            <w:tcW w:w="2501" w:type="dxa"/>
            <w:vAlign w:val="center"/>
          </w:tcPr>
          <w:p>
            <w:pPr>
              <w:widowControl/>
              <w:jc w:val="center"/>
              <w:rPr>
                <w:kern w:val="0"/>
                <w:szCs w:val="21"/>
              </w:rPr>
            </w:pPr>
            <w:r>
              <w:rPr>
                <w:kern w:val="0"/>
                <w:szCs w:val="21"/>
              </w:rPr>
              <w:t>曾耿滨</w:t>
            </w:r>
          </w:p>
        </w:tc>
        <w:tc>
          <w:tcPr>
            <w:tcW w:w="1335" w:type="dxa"/>
            <w:vAlign w:val="center"/>
          </w:tcPr>
          <w:p>
            <w:pPr>
              <w:jc w:val="center"/>
              <w:rPr>
                <w:bCs/>
                <w:kern w:val="0"/>
                <w:szCs w:val="21"/>
              </w:rPr>
            </w:pPr>
            <w:r>
              <w:rPr>
                <w:bCs/>
                <w:kern w:val="0"/>
                <w:szCs w:val="21"/>
              </w:rPr>
              <w:t>行业专家</w:t>
            </w:r>
          </w:p>
        </w:tc>
        <w:tc>
          <w:tcPr>
            <w:tcW w:w="3489" w:type="dxa"/>
            <w:vAlign w:val="center"/>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346" w:type="dxa"/>
            <w:vAlign w:val="center"/>
          </w:tcPr>
          <w:p>
            <w:pPr>
              <w:widowControl/>
              <w:jc w:val="center"/>
              <w:rPr>
                <w:bCs/>
                <w:kern w:val="0"/>
                <w:szCs w:val="21"/>
              </w:rPr>
            </w:pPr>
            <w:r>
              <w:rPr>
                <w:bCs/>
                <w:kern w:val="0"/>
                <w:szCs w:val="21"/>
              </w:rPr>
              <w:t>执笔教师</w:t>
            </w:r>
          </w:p>
        </w:tc>
        <w:tc>
          <w:tcPr>
            <w:tcW w:w="2501" w:type="dxa"/>
            <w:vAlign w:val="center"/>
          </w:tcPr>
          <w:p>
            <w:pPr>
              <w:widowControl/>
              <w:jc w:val="center"/>
              <w:rPr>
                <w:kern w:val="0"/>
                <w:szCs w:val="21"/>
              </w:rPr>
            </w:pPr>
            <w:r>
              <w:rPr>
                <w:kern w:val="0"/>
                <w:szCs w:val="21"/>
              </w:rPr>
              <w:t>邓锐</w:t>
            </w:r>
          </w:p>
        </w:tc>
        <w:tc>
          <w:tcPr>
            <w:tcW w:w="1335" w:type="dxa"/>
            <w:vAlign w:val="center"/>
          </w:tcPr>
          <w:p>
            <w:pPr>
              <w:widowControl/>
              <w:jc w:val="center"/>
              <w:rPr>
                <w:bCs/>
                <w:kern w:val="0"/>
                <w:szCs w:val="21"/>
              </w:rPr>
            </w:pPr>
            <w:r>
              <w:rPr>
                <w:bCs/>
                <w:kern w:val="0"/>
                <w:szCs w:val="21"/>
              </w:rPr>
              <w:t>责任教授</w:t>
            </w:r>
          </w:p>
        </w:tc>
        <w:tc>
          <w:tcPr>
            <w:tcW w:w="3489" w:type="dxa"/>
            <w:vAlign w:val="center"/>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346" w:type="dxa"/>
            <w:tcBorders>
              <w:bottom w:val="single" w:color="auto" w:sz="4" w:space="0"/>
            </w:tcBorders>
            <w:vAlign w:val="center"/>
          </w:tcPr>
          <w:p>
            <w:pPr>
              <w:widowControl/>
              <w:jc w:val="center"/>
              <w:rPr>
                <w:bCs/>
                <w:kern w:val="0"/>
                <w:szCs w:val="21"/>
              </w:rPr>
            </w:pPr>
            <w:r>
              <w:rPr>
                <w:bCs/>
                <w:kern w:val="0"/>
                <w:szCs w:val="21"/>
              </w:rPr>
              <w:t>适用专业</w:t>
            </w:r>
          </w:p>
        </w:tc>
        <w:tc>
          <w:tcPr>
            <w:tcW w:w="2501" w:type="dxa"/>
            <w:tcBorders>
              <w:bottom w:val="single" w:color="auto" w:sz="4" w:space="0"/>
            </w:tcBorders>
            <w:vAlign w:val="center"/>
          </w:tcPr>
          <w:p>
            <w:pPr>
              <w:widowControl/>
              <w:jc w:val="center"/>
              <w:rPr>
                <w:kern w:val="0"/>
                <w:szCs w:val="21"/>
              </w:rPr>
            </w:pPr>
            <w:r>
              <w:rPr>
                <w:kern w:val="0"/>
                <w:szCs w:val="21"/>
              </w:rPr>
              <w:t>电子信息工程</w:t>
            </w:r>
          </w:p>
        </w:tc>
        <w:tc>
          <w:tcPr>
            <w:tcW w:w="1335" w:type="dxa"/>
            <w:tcBorders>
              <w:bottom w:val="single" w:color="auto" w:sz="4" w:space="0"/>
            </w:tcBorders>
            <w:vAlign w:val="center"/>
          </w:tcPr>
          <w:p>
            <w:pPr>
              <w:widowControl/>
              <w:jc w:val="center"/>
              <w:rPr>
                <w:bCs/>
                <w:kern w:val="0"/>
                <w:szCs w:val="21"/>
              </w:rPr>
            </w:pPr>
            <w:r>
              <w:rPr>
                <w:bCs/>
                <w:kern w:val="0"/>
                <w:szCs w:val="21"/>
              </w:rPr>
              <w:t>适用对象</w:t>
            </w:r>
          </w:p>
        </w:tc>
        <w:tc>
          <w:tcPr>
            <w:tcW w:w="3489" w:type="dxa"/>
            <w:tcBorders>
              <w:bottom w:val="single" w:color="auto" w:sz="4" w:space="0"/>
            </w:tcBorders>
            <w:vAlign w:val="center"/>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346" w:type="dxa"/>
            <w:tcBorders>
              <w:top w:val="single" w:color="auto" w:sz="4" w:space="0"/>
              <w:bottom w:val="single" w:color="auto" w:sz="4" w:space="0"/>
            </w:tcBorders>
            <w:vAlign w:val="center"/>
          </w:tcPr>
          <w:p>
            <w:pPr>
              <w:jc w:val="center"/>
              <w:rPr>
                <w:b/>
                <w:kern w:val="0"/>
                <w:szCs w:val="21"/>
              </w:rPr>
            </w:pPr>
            <w:r>
              <w:rPr>
                <w:kern w:val="0"/>
                <w:szCs w:val="21"/>
              </w:rPr>
              <w:t>先修课程</w:t>
            </w:r>
          </w:p>
        </w:tc>
        <w:tc>
          <w:tcPr>
            <w:tcW w:w="2501" w:type="dxa"/>
            <w:tcBorders>
              <w:top w:val="single" w:color="auto" w:sz="4" w:space="0"/>
              <w:bottom w:val="single" w:color="auto" w:sz="4" w:space="0"/>
            </w:tcBorders>
            <w:vAlign w:val="center"/>
          </w:tcPr>
          <w:p>
            <w:pPr>
              <w:widowControl/>
              <w:jc w:val="center"/>
              <w:rPr>
                <w:bCs/>
                <w:kern w:val="0"/>
                <w:szCs w:val="21"/>
              </w:rPr>
            </w:pPr>
            <w:r>
              <w:rPr>
                <w:kern w:val="0"/>
                <w:szCs w:val="20"/>
              </w:rPr>
              <w:t>嵌入式系统</w:t>
            </w:r>
          </w:p>
        </w:tc>
        <w:tc>
          <w:tcPr>
            <w:tcW w:w="1335" w:type="dxa"/>
            <w:tcBorders>
              <w:top w:val="single" w:color="auto" w:sz="4" w:space="0"/>
              <w:bottom w:val="single" w:color="auto" w:sz="4" w:space="0"/>
            </w:tcBorders>
            <w:vAlign w:val="center"/>
          </w:tcPr>
          <w:p>
            <w:pPr>
              <w:snapToGrid w:val="0"/>
              <w:jc w:val="center"/>
              <w:rPr>
                <w:b/>
                <w:kern w:val="0"/>
                <w:szCs w:val="21"/>
              </w:rPr>
            </w:pPr>
            <w:r>
              <w:rPr>
                <w:kern w:val="0"/>
                <w:szCs w:val="21"/>
              </w:rPr>
              <w:t>同修课程</w:t>
            </w:r>
          </w:p>
        </w:tc>
        <w:tc>
          <w:tcPr>
            <w:tcW w:w="3489" w:type="dxa"/>
            <w:tcBorders>
              <w:top w:val="single" w:color="auto" w:sz="4" w:space="0"/>
              <w:bottom w:val="single" w:color="auto" w:sz="4" w:space="0"/>
            </w:tcBorders>
            <w:vAlign w:val="center"/>
          </w:tcPr>
          <w:p>
            <w:pPr>
              <w:widowControl/>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346" w:type="dxa"/>
            <w:tcBorders>
              <w:top w:val="single" w:color="auto" w:sz="4" w:space="0"/>
            </w:tcBorders>
            <w:vAlign w:val="center"/>
          </w:tcPr>
          <w:p>
            <w:pPr>
              <w:jc w:val="center"/>
              <w:rPr>
                <w:kern w:val="0"/>
                <w:szCs w:val="21"/>
              </w:rPr>
            </w:pPr>
            <w:r>
              <w:rPr>
                <w:kern w:val="0"/>
                <w:szCs w:val="21"/>
              </w:rPr>
              <w:t>排斥课程</w:t>
            </w:r>
          </w:p>
        </w:tc>
        <w:tc>
          <w:tcPr>
            <w:tcW w:w="2501" w:type="dxa"/>
            <w:tcBorders>
              <w:top w:val="single" w:color="auto" w:sz="4" w:space="0"/>
            </w:tcBorders>
            <w:vAlign w:val="center"/>
          </w:tcPr>
          <w:p>
            <w:pPr>
              <w:widowControl/>
              <w:jc w:val="center"/>
              <w:rPr>
                <w:kern w:val="0"/>
                <w:szCs w:val="21"/>
              </w:rPr>
            </w:pPr>
            <w:r>
              <w:rPr>
                <w:kern w:val="0"/>
                <w:szCs w:val="21"/>
              </w:rPr>
              <w:t>无</w:t>
            </w:r>
          </w:p>
        </w:tc>
        <w:tc>
          <w:tcPr>
            <w:tcW w:w="1335" w:type="dxa"/>
            <w:tcBorders>
              <w:top w:val="single" w:color="auto" w:sz="4" w:space="0"/>
            </w:tcBorders>
            <w:vAlign w:val="center"/>
          </w:tcPr>
          <w:p>
            <w:pPr>
              <w:snapToGrid w:val="0"/>
              <w:jc w:val="center"/>
              <w:rPr>
                <w:kern w:val="0"/>
                <w:szCs w:val="21"/>
              </w:rPr>
            </w:pPr>
            <w:r>
              <w:rPr>
                <w:kern w:val="0"/>
                <w:szCs w:val="21"/>
              </w:rPr>
              <w:t>定稿日期</w:t>
            </w:r>
          </w:p>
        </w:tc>
        <w:tc>
          <w:tcPr>
            <w:tcW w:w="3489" w:type="dxa"/>
            <w:tcBorders>
              <w:top w:val="single" w:color="auto" w:sz="4" w:space="0"/>
            </w:tcBorders>
            <w:vAlign w:val="center"/>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szCs w:val="22"/>
        </w:rPr>
      </w:pPr>
      <w:r>
        <w:rPr>
          <w:b/>
          <w:sz w:val="24"/>
          <w:szCs w:val="22"/>
        </w:rPr>
        <w:t>一、课程简介</w:t>
      </w:r>
    </w:p>
    <w:p>
      <w:pPr>
        <w:adjustRightInd w:val="0"/>
        <w:snapToGrid w:val="0"/>
        <w:spacing w:before="156" w:beforeLines="50" w:after="156" w:afterLines="50" w:line="300" w:lineRule="auto"/>
        <w:ind w:firstLine="420" w:firstLineChars="200"/>
        <w:rPr>
          <w:szCs w:val="21"/>
        </w:rPr>
      </w:pPr>
      <w:r>
        <w:rPr>
          <w:szCs w:val="21"/>
        </w:rPr>
        <w:t>主要从人工智能技术、现代机器人技术、无人机应用技术、自动驾驶技术和生物识别技术等角度，介绍电子信息技术在在深海勘察领域、海洋遥感领域等方面的应用。一方面让学生了解信息技术领域前沿技术。掌握我国在信息领域的重大成果、贡献，树立学生民族自豪感，激发好奇心、求知欲与探索精神，为其进一步的专业学习进行先导。课程无需先修课程。教学以讲座或参观形式为主，组织多名校内外本领域的教师或行业专家授课，以考查形式进行考核。</w:t>
      </w:r>
    </w:p>
    <w:p>
      <w:pPr>
        <w:snapToGrid w:val="0"/>
        <w:spacing w:before="156" w:beforeLines="50" w:after="156" w:afterLines="50" w:line="300" w:lineRule="auto"/>
        <w:rPr>
          <w:b/>
          <w:sz w:val="24"/>
          <w:szCs w:val="22"/>
        </w:rPr>
      </w:pPr>
      <w:r>
        <w:rPr>
          <w:b/>
          <w:sz w:val="24"/>
          <w:szCs w:val="22"/>
        </w:rPr>
        <w:t>二、课程教学目标</w:t>
      </w:r>
    </w:p>
    <w:p>
      <w:pPr>
        <w:adjustRightInd w:val="0"/>
        <w:snapToGrid w:val="0"/>
        <w:spacing w:before="156" w:beforeLines="50" w:after="156" w:afterLines="50"/>
        <w:ind w:firstLine="420" w:firstLineChars="200"/>
        <w:rPr>
          <w:szCs w:val="21"/>
        </w:rPr>
      </w:pPr>
      <w:r>
        <w:rPr>
          <w:szCs w:val="21"/>
        </w:rPr>
        <w:t>1.了解当前信息技术技术基本原理及发展趋势</w:t>
      </w:r>
      <w:r>
        <w:rPr>
          <w:rFonts w:hint="eastAsia"/>
          <w:szCs w:val="21"/>
        </w:rPr>
        <w:t>，</w:t>
      </w:r>
      <w:r>
        <w:rPr>
          <w:szCs w:val="21"/>
        </w:rPr>
        <w:t>特别是大数据技术的发展方向</w:t>
      </w:r>
      <w:r>
        <w:rPr>
          <w:rFonts w:hint="eastAsia"/>
          <w:szCs w:val="21"/>
        </w:rPr>
        <w:t>和</w:t>
      </w:r>
      <w:r>
        <w:rPr>
          <w:szCs w:val="21"/>
        </w:rPr>
        <w:t>电子信息技术在在深海勘察领域、海洋遥感领域等方面的应用；[6.1]</w:t>
      </w:r>
      <w:r>
        <w:rPr>
          <w:rFonts w:hint="eastAsia"/>
          <w:szCs w:val="21"/>
        </w:rPr>
        <w:t xml:space="preserve"> </w:t>
      </w:r>
    </w:p>
    <w:p>
      <w:pPr>
        <w:adjustRightInd w:val="0"/>
        <w:snapToGrid w:val="0"/>
        <w:spacing w:before="156" w:beforeLines="50" w:after="156" w:afterLines="50"/>
        <w:ind w:firstLine="420" w:firstLineChars="200"/>
        <w:rPr>
          <w:szCs w:val="21"/>
        </w:rPr>
      </w:pPr>
      <w:r>
        <w:rPr>
          <w:szCs w:val="21"/>
        </w:rPr>
        <w:t>2.了解信息技术特别是人工智能技术与社会可持续发展的关系；[7.2]</w:t>
      </w:r>
    </w:p>
    <w:p>
      <w:pPr>
        <w:adjustRightInd w:val="0"/>
        <w:snapToGrid w:val="0"/>
        <w:spacing w:before="156" w:beforeLines="50" w:after="156" w:afterLines="50"/>
        <w:ind w:firstLine="420" w:firstLineChars="200"/>
        <w:rPr>
          <w:szCs w:val="21"/>
        </w:rPr>
      </w:pPr>
      <w:r>
        <w:rPr>
          <w:szCs w:val="21"/>
        </w:rPr>
        <w:t>3.</w:t>
      </w:r>
      <w:r>
        <w:rPr>
          <w:rFonts w:hint="eastAsia"/>
          <w:szCs w:val="21"/>
        </w:rPr>
        <w:t>理解</w:t>
      </w:r>
      <w:r>
        <w:rPr>
          <w:szCs w:val="21"/>
        </w:rPr>
        <w:t>信息技术领域前沿技术基本原理和工程项目管理方法</w:t>
      </w:r>
      <w:r>
        <w:rPr>
          <w:rFonts w:hint="eastAsia"/>
          <w:szCs w:val="21"/>
        </w:rPr>
        <w:t>。</w:t>
      </w:r>
      <w:r>
        <w:rPr>
          <w:szCs w:val="21"/>
        </w:rPr>
        <w:t>[</w:t>
      </w:r>
      <w:r>
        <w:rPr>
          <w:rFonts w:hint="eastAsia"/>
          <w:szCs w:val="21"/>
        </w:rPr>
        <w:t>11</w:t>
      </w:r>
      <w:r>
        <w:rPr>
          <w:szCs w:val="21"/>
        </w:rPr>
        <w:t>.</w:t>
      </w:r>
      <w:r>
        <w:rPr>
          <w:rFonts w:hint="eastAsia"/>
          <w:szCs w:val="21"/>
        </w:rPr>
        <w:t>1</w:t>
      </w:r>
      <w:r>
        <w:rPr>
          <w:szCs w:val="21"/>
        </w:rPr>
        <w:t>]</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541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1924" w:type="dxa"/>
            <w:vAlign w:val="center"/>
          </w:tcPr>
          <w:p>
            <w:pPr>
              <w:snapToGrid w:val="0"/>
              <w:spacing w:line="300" w:lineRule="auto"/>
              <w:jc w:val="center"/>
              <w:rPr>
                <w:b/>
                <w:bCs/>
                <w:color w:val="000000"/>
                <w:sz w:val="18"/>
                <w:szCs w:val="18"/>
              </w:rPr>
            </w:pPr>
            <w:r>
              <w:rPr>
                <w:b/>
                <w:sz w:val="18"/>
                <w:szCs w:val="18"/>
              </w:rPr>
              <w:t>专业</w:t>
            </w:r>
            <w:r>
              <w:rPr>
                <w:b/>
                <w:bCs/>
                <w:color w:val="000000"/>
                <w:sz w:val="18"/>
                <w:szCs w:val="18"/>
              </w:rPr>
              <w:t>毕业要求</w:t>
            </w:r>
          </w:p>
        </w:tc>
        <w:tc>
          <w:tcPr>
            <w:tcW w:w="5412" w:type="dxa"/>
            <w:vAlign w:val="center"/>
          </w:tcPr>
          <w:p>
            <w:pPr>
              <w:snapToGrid w:val="0"/>
              <w:spacing w:line="300" w:lineRule="auto"/>
              <w:jc w:val="center"/>
              <w:rPr>
                <w:b/>
                <w:bCs/>
                <w:color w:val="000000"/>
                <w:sz w:val="18"/>
                <w:szCs w:val="18"/>
              </w:rPr>
            </w:pPr>
            <w:r>
              <w:rPr>
                <w:b/>
                <w:sz w:val="18"/>
                <w:szCs w:val="18"/>
              </w:rPr>
              <w:t>专业</w:t>
            </w:r>
            <w:r>
              <w:rPr>
                <w:b/>
                <w:bCs/>
                <w:color w:val="000000"/>
                <w:sz w:val="18"/>
                <w:szCs w:val="18"/>
              </w:rPr>
              <w:t>毕业要求指标点</w:t>
            </w:r>
          </w:p>
        </w:tc>
        <w:tc>
          <w:tcPr>
            <w:tcW w:w="68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widowControl/>
              <w:jc w:val="center"/>
              <w:rPr>
                <w:sz w:val="18"/>
                <w:szCs w:val="18"/>
              </w:rPr>
            </w:pPr>
            <w:r>
              <w:rPr>
                <w:color w:val="000000"/>
                <w:sz w:val="18"/>
                <w:szCs w:val="18"/>
              </w:rPr>
              <w:t>6.</w:t>
            </w:r>
            <w:r>
              <w:rPr>
                <w:sz w:val="18"/>
                <w:szCs w:val="18"/>
              </w:rPr>
              <w:t>工程与社会</w:t>
            </w:r>
          </w:p>
        </w:tc>
        <w:tc>
          <w:tcPr>
            <w:tcW w:w="5412" w:type="dxa"/>
          </w:tcPr>
          <w:p>
            <w:pPr>
              <w:widowControl/>
              <w:jc w:val="left"/>
              <w:rPr>
                <w:kern w:val="0"/>
                <w:sz w:val="18"/>
                <w:szCs w:val="18"/>
              </w:rPr>
            </w:pPr>
            <w:r>
              <w:rPr>
                <w:kern w:val="0"/>
                <w:sz w:val="18"/>
                <w:szCs w:val="18"/>
              </w:rPr>
              <w:t>6.1具有工程实践经历，了解电子信息行业相关的技术标准、知识产权、产业政策和法律法规，了解工程实践和电子信息行业新产品、新技术的开发和应用与社会、健康、安全、法律以及文化的关系。</w:t>
            </w:r>
          </w:p>
        </w:tc>
        <w:tc>
          <w:tcPr>
            <w:tcW w:w="689" w:type="dxa"/>
            <w:vAlign w:val="center"/>
          </w:tcPr>
          <w:p>
            <w:pPr>
              <w:widowControl/>
              <w:jc w:val="center"/>
              <w:rPr>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24" w:type="dxa"/>
            <w:vAlign w:val="center"/>
          </w:tcPr>
          <w:p>
            <w:pPr>
              <w:widowControl/>
              <w:jc w:val="center"/>
              <w:rPr>
                <w:sz w:val="18"/>
                <w:szCs w:val="18"/>
              </w:rPr>
            </w:pPr>
            <w:r>
              <w:rPr>
                <w:color w:val="000000"/>
                <w:sz w:val="18"/>
                <w:szCs w:val="18"/>
              </w:rPr>
              <w:t>7.</w:t>
            </w:r>
            <w:r>
              <w:rPr>
                <w:sz w:val="18"/>
                <w:szCs w:val="18"/>
              </w:rPr>
              <w:t>环境和可持续发展</w:t>
            </w:r>
          </w:p>
        </w:tc>
        <w:tc>
          <w:tcPr>
            <w:tcW w:w="5412" w:type="dxa"/>
          </w:tcPr>
          <w:p>
            <w:pPr>
              <w:widowControl/>
              <w:jc w:val="left"/>
              <w:rPr>
                <w:kern w:val="0"/>
                <w:sz w:val="18"/>
                <w:szCs w:val="18"/>
              </w:rPr>
            </w:pPr>
            <w:r>
              <w:rPr>
                <w:kern w:val="0"/>
                <w:sz w:val="18"/>
                <w:szCs w:val="18"/>
              </w:rPr>
              <w:t>7.2能够理解</w:t>
            </w:r>
            <w:r>
              <w:rPr>
                <w:rFonts w:hint="eastAsia"/>
                <w:kern w:val="0"/>
                <w:sz w:val="18"/>
                <w:szCs w:val="18"/>
              </w:rPr>
              <w:t>和评价</w:t>
            </w:r>
            <w:r>
              <w:rPr>
                <w:kern w:val="0"/>
                <w:sz w:val="18"/>
                <w:szCs w:val="18"/>
              </w:rPr>
              <w:t>电子信息领域复杂工程问题对环境、社会可持续发展的影响。</w:t>
            </w:r>
          </w:p>
        </w:tc>
        <w:tc>
          <w:tcPr>
            <w:tcW w:w="689" w:type="dxa"/>
            <w:vAlign w:val="center"/>
          </w:tcPr>
          <w:p>
            <w:pPr>
              <w:widowControl/>
              <w:jc w:val="center"/>
              <w:rPr>
                <w:sz w:val="18"/>
                <w:szCs w:val="18"/>
              </w:rPr>
            </w:pPr>
            <w:r>
              <w:rPr>
                <w:bCs/>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924" w:type="dxa"/>
            <w:vAlign w:val="center"/>
          </w:tcPr>
          <w:p>
            <w:pPr>
              <w:widowControl/>
              <w:jc w:val="center"/>
              <w:rPr>
                <w:sz w:val="18"/>
                <w:szCs w:val="18"/>
              </w:rPr>
            </w:pPr>
            <w:r>
              <w:rPr>
                <w:rFonts w:hint="eastAsia"/>
                <w:color w:val="000000"/>
                <w:sz w:val="18"/>
                <w:szCs w:val="18"/>
              </w:rPr>
              <w:t>11</w:t>
            </w:r>
            <w:r>
              <w:rPr>
                <w:color w:val="000000"/>
                <w:sz w:val="18"/>
                <w:szCs w:val="18"/>
              </w:rPr>
              <w:t>.</w:t>
            </w:r>
            <w:r>
              <w:rPr>
                <w:rFonts w:hint="eastAsia"/>
                <w:sz w:val="18"/>
                <w:szCs w:val="18"/>
              </w:rPr>
              <w:t>项目</w:t>
            </w:r>
            <w:r>
              <w:rPr>
                <w:sz w:val="18"/>
                <w:szCs w:val="18"/>
              </w:rPr>
              <w:t>管理</w:t>
            </w:r>
          </w:p>
        </w:tc>
        <w:tc>
          <w:tcPr>
            <w:tcW w:w="5412" w:type="dxa"/>
          </w:tcPr>
          <w:p>
            <w:pPr>
              <w:widowControl/>
              <w:jc w:val="left"/>
              <w:rPr>
                <w:kern w:val="0"/>
                <w:sz w:val="18"/>
                <w:szCs w:val="18"/>
              </w:rPr>
            </w:pPr>
            <w:r>
              <w:rPr>
                <w:rFonts w:hint="eastAsia"/>
                <w:kern w:val="0"/>
                <w:sz w:val="18"/>
                <w:szCs w:val="18"/>
              </w:rPr>
              <w:t>11</w:t>
            </w:r>
            <w:r>
              <w:rPr>
                <w:kern w:val="0"/>
                <w:sz w:val="18"/>
                <w:szCs w:val="18"/>
              </w:rPr>
              <w:t>.</w:t>
            </w:r>
            <w:r>
              <w:rPr>
                <w:rFonts w:hint="eastAsia"/>
                <w:kern w:val="0"/>
                <w:sz w:val="18"/>
                <w:szCs w:val="18"/>
              </w:rPr>
              <w:t>1</w:t>
            </w:r>
            <w:r>
              <w:rPr>
                <w:kern w:val="0"/>
                <w:sz w:val="18"/>
                <w:szCs w:val="18"/>
              </w:rPr>
              <w:t>理解</w:t>
            </w:r>
            <w:r>
              <w:rPr>
                <w:rFonts w:hint="eastAsia"/>
                <w:kern w:val="0"/>
                <w:sz w:val="18"/>
                <w:szCs w:val="18"/>
              </w:rPr>
              <w:t>并掌握</w:t>
            </w:r>
            <w:r>
              <w:rPr>
                <w:kern w:val="0"/>
                <w:sz w:val="18"/>
                <w:szCs w:val="18"/>
              </w:rPr>
              <w:t>工程实践中工程管理的基本原理与经济决策方法。</w:t>
            </w:r>
          </w:p>
        </w:tc>
        <w:tc>
          <w:tcPr>
            <w:tcW w:w="689" w:type="dxa"/>
            <w:vAlign w:val="center"/>
          </w:tcPr>
          <w:p>
            <w:pPr>
              <w:widowControl/>
              <w:jc w:val="center"/>
              <w:rPr>
                <w:szCs w:val="21"/>
              </w:rPr>
            </w:pPr>
            <w:r>
              <w:rPr>
                <w:szCs w:val="21"/>
              </w:rPr>
              <w:t>3</w:t>
            </w:r>
          </w:p>
        </w:tc>
      </w:tr>
    </w:tbl>
    <w:p>
      <w:pPr>
        <w:snapToGrid w:val="0"/>
        <w:spacing w:before="156" w:beforeLines="50" w:after="156" w:afterLines="50" w:line="300" w:lineRule="auto"/>
        <w:rPr>
          <w:b/>
          <w:sz w:val="24"/>
          <w:szCs w:val="22"/>
        </w:rPr>
      </w:pPr>
      <w:r>
        <w:rPr>
          <w:b/>
          <w:sz w:val="24"/>
          <w:szCs w:val="22"/>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2226"/>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2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1. 了解当前信息技术技术基本原理及发展趋势</w:t>
            </w:r>
            <w:r>
              <w:rPr>
                <w:rFonts w:hint="eastAsia"/>
                <w:sz w:val="18"/>
                <w:szCs w:val="18"/>
              </w:rPr>
              <w:t>，</w:t>
            </w:r>
            <w:r>
              <w:rPr>
                <w:sz w:val="18"/>
                <w:szCs w:val="18"/>
              </w:rPr>
              <w:t>特别是大数据技术的发展方向</w:t>
            </w:r>
            <w:r>
              <w:rPr>
                <w:rFonts w:hint="eastAsia"/>
                <w:sz w:val="18"/>
                <w:szCs w:val="18"/>
              </w:rPr>
              <w:t>和</w:t>
            </w:r>
            <w:r>
              <w:rPr>
                <w:sz w:val="18"/>
                <w:szCs w:val="18"/>
              </w:rPr>
              <w:t>电子信息技术在在深海勘察领域、海洋遥感领域等方面的应用；</w:t>
            </w:r>
          </w:p>
        </w:tc>
        <w:tc>
          <w:tcPr>
            <w:tcW w:w="22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课堂讲授、指定阅读、网络学习等。</w:t>
            </w:r>
          </w:p>
        </w:tc>
        <w:tc>
          <w:tcPr>
            <w:tcW w:w="23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color w:val="FF0000"/>
                <w:sz w:val="18"/>
                <w:szCs w:val="18"/>
              </w:rPr>
            </w:pPr>
            <w:r>
              <w:rPr>
                <w:sz w:val="18"/>
                <w:szCs w:val="18"/>
              </w:rPr>
              <w:t>课堂表现、</w:t>
            </w:r>
            <w:r>
              <w:rPr>
                <w:rFonts w:hint="eastAsia"/>
                <w:sz w:val="18"/>
                <w:szCs w:val="18"/>
              </w:rPr>
              <w:t>课程</w:t>
            </w:r>
            <w:r>
              <w:rPr>
                <w:sz w:val="18"/>
                <w:szCs w:val="18"/>
              </w:rPr>
              <w:t>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2. 了解信息技术特别是人工智能技术与社会可持续发展的关系；</w:t>
            </w:r>
          </w:p>
        </w:tc>
        <w:tc>
          <w:tcPr>
            <w:tcW w:w="22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课堂讲授、案例研讨、作业、网络学习等。</w:t>
            </w:r>
          </w:p>
        </w:tc>
        <w:tc>
          <w:tcPr>
            <w:tcW w:w="2307"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jc w:val="left"/>
              <w:rPr>
                <w:sz w:val="18"/>
                <w:szCs w:val="18"/>
              </w:rPr>
            </w:pPr>
            <w:r>
              <w:rPr>
                <w:sz w:val="18"/>
                <w:szCs w:val="18"/>
              </w:rPr>
              <w:t>课堂表现、</w:t>
            </w:r>
            <w:r>
              <w:rPr>
                <w:rFonts w:hint="eastAsia"/>
                <w:sz w:val="18"/>
                <w:szCs w:val="18"/>
              </w:rPr>
              <w:t>课程</w:t>
            </w:r>
            <w:r>
              <w:rPr>
                <w:sz w:val="18"/>
                <w:szCs w:val="18"/>
              </w:rPr>
              <w:t>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4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3.</w:t>
            </w:r>
            <w:r>
              <w:rPr>
                <w:rFonts w:hint="eastAsia"/>
                <w:sz w:val="18"/>
                <w:szCs w:val="18"/>
              </w:rPr>
              <w:t xml:space="preserve"> 理解</w:t>
            </w:r>
            <w:r>
              <w:rPr>
                <w:sz w:val="18"/>
                <w:szCs w:val="18"/>
              </w:rPr>
              <w:t>信息技术领域前沿技术基本原理和工程项目管理方法。</w:t>
            </w:r>
          </w:p>
        </w:tc>
        <w:tc>
          <w:tcPr>
            <w:tcW w:w="22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课堂讲授、网络学习等。</w:t>
            </w:r>
          </w:p>
        </w:tc>
        <w:tc>
          <w:tcPr>
            <w:tcW w:w="23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rPr>
              <w:t>课堂表现、</w:t>
            </w:r>
            <w:r>
              <w:rPr>
                <w:rFonts w:hint="eastAsia"/>
                <w:sz w:val="18"/>
                <w:szCs w:val="18"/>
              </w:rPr>
              <w:t>课程</w:t>
            </w:r>
            <w:r>
              <w:rPr>
                <w:sz w:val="18"/>
                <w:szCs w:val="18"/>
              </w:rPr>
              <w:t>论文。</w:t>
            </w:r>
          </w:p>
        </w:tc>
      </w:tr>
    </w:tbl>
    <w:p>
      <w:pPr>
        <w:snapToGrid w:val="0"/>
        <w:spacing w:before="156" w:beforeLines="50" w:after="156" w:afterLines="50" w:line="300" w:lineRule="auto"/>
        <w:rPr>
          <w:b/>
          <w:sz w:val="24"/>
          <w:szCs w:val="22"/>
        </w:rPr>
      </w:pPr>
      <w:r>
        <w:rPr>
          <w:b/>
          <w:sz w:val="24"/>
          <w:szCs w:val="22"/>
        </w:rPr>
        <w:t>四、课程教学内容、教与学的要求</w:t>
      </w:r>
    </w:p>
    <w:p>
      <w:pPr>
        <w:adjustRightInd w:val="0"/>
        <w:snapToGrid w:val="0"/>
        <w:spacing w:line="300" w:lineRule="auto"/>
        <w:ind w:firstLine="420" w:firstLineChars="200"/>
        <w:rPr>
          <w:szCs w:val="22"/>
        </w:rPr>
      </w:pPr>
      <w:r>
        <w:rPr>
          <w:szCs w:val="22"/>
        </w:rPr>
        <w:t>1. 课堂讲授为主，多媒体教学、课程独立网站（含教学视频）学习为辅，注重工程案例教学，每周平均讲授4学时，与专业相关实践教学环节和场景配合呼应，注重课程思政教学理念的融入和职业道德的培养。</w:t>
      </w:r>
    </w:p>
    <w:p>
      <w:pPr>
        <w:adjustRightInd w:val="0"/>
        <w:snapToGrid w:val="0"/>
        <w:spacing w:line="300" w:lineRule="auto"/>
        <w:ind w:firstLine="420" w:firstLineChars="200"/>
        <w:rPr>
          <w:szCs w:val="22"/>
        </w:rPr>
      </w:pPr>
      <w:r>
        <w:rPr>
          <w:szCs w:val="22"/>
        </w:rPr>
        <w:t>2. 基于电子信息系统信息处理与传输工作流程构建课程教学体系；根据课程特点采用启发式教学、任务驱动教学、案例教学法进行教学方法创新；核心能力知识点采用</w:t>
      </w:r>
      <w:r>
        <w:rPr>
          <w:rFonts w:hint="eastAsia"/>
          <w:szCs w:val="22"/>
        </w:rPr>
        <w:t>“</w:t>
      </w:r>
      <w:r>
        <w:rPr>
          <w:szCs w:val="22"/>
        </w:rPr>
        <w:t>原理描述-要点分析-应用案例展示</w:t>
      </w:r>
      <w:r>
        <w:rPr>
          <w:rFonts w:hint="eastAsia"/>
          <w:szCs w:val="22"/>
        </w:rPr>
        <w:t>”</w:t>
      </w:r>
      <w:r>
        <w:rPr>
          <w:szCs w:val="22"/>
        </w:rPr>
        <w:t>相互呼应的教学模式。</w:t>
      </w:r>
    </w:p>
    <w:p>
      <w:pPr>
        <w:adjustRightInd w:val="0"/>
        <w:snapToGrid w:val="0"/>
        <w:spacing w:line="300" w:lineRule="auto"/>
        <w:ind w:firstLine="420" w:firstLineChars="200"/>
        <w:rPr>
          <w:szCs w:val="22"/>
        </w:rPr>
      </w:pPr>
      <w:r>
        <w:rPr>
          <w:szCs w:val="21"/>
        </w:rPr>
        <w:t>本课程理论教学内</w:t>
      </w:r>
      <w:r>
        <w:rPr>
          <w:szCs w:val="22"/>
        </w:rPr>
        <w:t>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4005"/>
        <w:gridCol w:w="2977"/>
        <w:gridCol w:w="5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8"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4005" w:type="dxa"/>
            <w:vAlign w:val="center"/>
          </w:tcPr>
          <w:p>
            <w:pPr>
              <w:snapToGrid w:val="0"/>
              <w:spacing w:line="300" w:lineRule="auto"/>
              <w:ind w:firstLine="361" w:firstLineChars="200"/>
              <w:rPr>
                <w:b/>
                <w:bCs/>
                <w:sz w:val="18"/>
                <w:szCs w:val="18"/>
              </w:rPr>
            </w:pPr>
            <w:r>
              <w:rPr>
                <w:b/>
                <w:bCs/>
                <w:sz w:val="18"/>
                <w:szCs w:val="18"/>
              </w:rPr>
              <w:t>教学内容</w:t>
            </w:r>
          </w:p>
        </w:tc>
        <w:tc>
          <w:tcPr>
            <w:tcW w:w="2977"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567" w:type="dxa"/>
            <w:vAlign w:val="center"/>
          </w:tcPr>
          <w:p>
            <w:pPr>
              <w:snapToGrid w:val="0"/>
              <w:spacing w:line="300" w:lineRule="auto"/>
              <w:jc w:val="center"/>
              <w:rPr>
                <w:b/>
                <w:bCs/>
                <w:sz w:val="18"/>
                <w:szCs w:val="18"/>
              </w:rPr>
            </w:pPr>
            <w:r>
              <w:rPr>
                <w:b/>
                <w:bCs/>
                <w:sz w:val="18"/>
                <w:szCs w:val="18"/>
              </w:rPr>
              <w:t>学时</w:t>
            </w:r>
          </w:p>
        </w:tc>
        <w:tc>
          <w:tcPr>
            <w:tcW w:w="709"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1</w:t>
            </w:r>
          </w:p>
        </w:tc>
        <w:tc>
          <w:tcPr>
            <w:tcW w:w="4005" w:type="dxa"/>
            <w:vAlign w:val="center"/>
          </w:tcPr>
          <w:p>
            <w:pPr>
              <w:adjustRightInd w:val="0"/>
              <w:snapToGrid w:val="0"/>
              <w:spacing w:line="300" w:lineRule="auto"/>
              <w:jc w:val="left"/>
              <w:rPr>
                <w:sz w:val="18"/>
                <w:szCs w:val="18"/>
              </w:rPr>
            </w:pPr>
            <w:r>
              <w:rPr>
                <w:sz w:val="18"/>
                <w:szCs w:val="18"/>
              </w:rPr>
              <w:t>一、机器人的发展方向</w:t>
            </w:r>
          </w:p>
          <w:p>
            <w:pPr>
              <w:widowControl/>
              <w:adjustRightInd w:val="0"/>
              <w:snapToGrid w:val="0"/>
              <w:spacing w:line="300" w:lineRule="auto"/>
              <w:ind w:firstLine="480"/>
              <w:jc w:val="left"/>
              <w:textAlignment w:val="baseline"/>
              <w:rPr>
                <w:sz w:val="18"/>
                <w:szCs w:val="18"/>
              </w:rPr>
            </w:pPr>
            <w:r>
              <w:rPr>
                <w:sz w:val="18"/>
                <w:szCs w:val="18"/>
              </w:rPr>
              <w:t>1.1 软体机器人——柔性机器人技术</w:t>
            </w:r>
          </w:p>
          <w:p>
            <w:pPr>
              <w:widowControl/>
              <w:adjustRightInd w:val="0"/>
              <w:snapToGrid w:val="0"/>
              <w:spacing w:line="300" w:lineRule="auto"/>
              <w:ind w:firstLine="480"/>
              <w:jc w:val="left"/>
              <w:textAlignment w:val="baseline"/>
              <w:rPr>
                <w:sz w:val="18"/>
                <w:szCs w:val="18"/>
              </w:rPr>
            </w:pPr>
            <w:r>
              <w:rPr>
                <w:sz w:val="18"/>
                <w:szCs w:val="18"/>
              </w:rPr>
              <w:t>1.2 机器人可变形——液态金属控制技术</w:t>
            </w:r>
          </w:p>
          <w:p>
            <w:pPr>
              <w:widowControl/>
              <w:adjustRightInd w:val="0"/>
              <w:snapToGrid w:val="0"/>
              <w:spacing w:line="300" w:lineRule="auto"/>
              <w:ind w:firstLine="480"/>
              <w:jc w:val="left"/>
              <w:textAlignment w:val="baseline"/>
              <w:rPr>
                <w:sz w:val="18"/>
                <w:szCs w:val="18"/>
              </w:rPr>
            </w:pPr>
            <w:r>
              <w:rPr>
                <w:sz w:val="18"/>
                <w:szCs w:val="18"/>
              </w:rPr>
              <w:t>1.3 机器人可以有皮肤——敏感触觉技术</w:t>
            </w:r>
          </w:p>
          <w:p>
            <w:pPr>
              <w:widowControl/>
              <w:adjustRightInd w:val="0"/>
              <w:snapToGrid w:val="0"/>
              <w:spacing w:line="300" w:lineRule="auto"/>
              <w:ind w:firstLine="480"/>
              <w:jc w:val="left"/>
              <w:textAlignment w:val="baseline"/>
              <w:rPr>
                <w:sz w:val="18"/>
                <w:szCs w:val="18"/>
              </w:rPr>
            </w:pPr>
            <w:r>
              <w:rPr>
                <w:sz w:val="18"/>
                <w:szCs w:val="18"/>
              </w:rPr>
              <w:t>1.4 机器人有心理活动——情感识别技术</w:t>
            </w:r>
          </w:p>
          <w:p>
            <w:pPr>
              <w:widowControl/>
              <w:adjustRightInd w:val="0"/>
              <w:snapToGrid w:val="0"/>
              <w:spacing w:line="300" w:lineRule="auto"/>
              <w:ind w:firstLine="480"/>
              <w:jc w:val="left"/>
              <w:textAlignment w:val="baseline"/>
              <w:rPr>
                <w:sz w:val="18"/>
                <w:szCs w:val="18"/>
              </w:rPr>
            </w:pPr>
            <w:r>
              <w:rPr>
                <w:sz w:val="18"/>
                <w:szCs w:val="18"/>
              </w:rPr>
              <w:t>1.5 用意念操控机器——脑机接口技术</w:t>
            </w:r>
          </w:p>
          <w:p>
            <w:pPr>
              <w:widowControl/>
              <w:adjustRightInd w:val="0"/>
              <w:snapToGrid w:val="0"/>
              <w:spacing w:line="300" w:lineRule="auto"/>
              <w:ind w:firstLine="480"/>
              <w:jc w:val="left"/>
              <w:textAlignment w:val="baseline"/>
              <w:rPr>
                <w:sz w:val="18"/>
                <w:szCs w:val="18"/>
              </w:rPr>
            </w:pPr>
            <w:r>
              <w:rPr>
                <w:sz w:val="18"/>
                <w:szCs w:val="18"/>
              </w:rPr>
              <w:t>1.6我国深潜水下机器人 “三龙”——“蛟龙号”载人潜水器、“海龙二号”无人有缆潜水器和“潜龙一号”无人无缆潜水器历史今生与未来。</w:t>
            </w:r>
          </w:p>
        </w:tc>
        <w:tc>
          <w:tcPr>
            <w:tcW w:w="2977" w:type="dxa"/>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1、了解机器人的应用领域；</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2、了解机器人的技术发展方向。</w:t>
            </w:r>
          </w:p>
          <w:p>
            <w:pPr>
              <w:adjustRightInd w:val="0"/>
              <w:snapToGrid w:val="0"/>
              <w:spacing w:line="300" w:lineRule="auto"/>
              <w:ind w:right="-31" w:rightChars="-15"/>
              <w:rPr>
                <w:sz w:val="18"/>
                <w:szCs w:val="18"/>
              </w:rPr>
            </w:pPr>
            <w:r>
              <w:rPr>
                <w:sz w:val="18"/>
                <w:szCs w:val="18"/>
              </w:rPr>
              <w:t>3，了解</w:t>
            </w:r>
            <w:r>
              <w:rPr>
                <w:kern w:val="0"/>
                <w:sz w:val="18"/>
                <w:szCs w:val="18"/>
              </w:rPr>
              <w:t>我国自行设计、自主集成、具有自主知识产权、在深海勘察领域应用最广泛的深海运载器，树立为祖国海洋机器人事业贡献青春与</w:t>
            </w:r>
            <w:r>
              <w:rPr>
                <w:rFonts w:hint="eastAsia"/>
                <w:kern w:val="0"/>
                <w:sz w:val="18"/>
                <w:szCs w:val="18"/>
              </w:rPr>
              <w:t>未来</w:t>
            </w:r>
            <w:r>
              <w:rPr>
                <w:kern w:val="0"/>
                <w:sz w:val="18"/>
                <w:szCs w:val="18"/>
              </w:rPr>
              <w:t>的信心与决心，培养良好的职业道德。</w:t>
            </w:r>
          </w:p>
        </w:tc>
        <w:tc>
          <w:tcPr>
            <w:tcW w:w="567" w:type="dxa"/>
            <w:vAlign w:val="center"/>
          </w:tcPr>
          <w:p>
            <w:pPr>
              <w:widowControl/>
              <w:adjustRightInd w:val="0"/>
              <w:snapToGrid w:val="0"/>
              <w:spacing w:line="300" w:lineRule="auto"/>
              <w:jc w:val="center"/>
              <w:rPr>
                <w:sz w:val="18"/>
                <w:szCs w:val="18"/>
              </w:rPr>
            </w:pPr>
            <w:r>
              <w:rPr>
                <w:rFonts w:hint="eastAsia"/>
                <w:kern w:val="0"/>
                <w:sz w:val="18"/>
                <w:szCs w:val="18"/>
              </w:rPr>
              <w:t>8</w:t>
            </w:r>
          </w:p>
        </w:tc>
        <w:tc>
          <w:tcPr>
            <w:tcW w:w="709" w:type="dxa"/>
            <w:vAlign w:val="center"/>
          </w:tcPr>
          <w:p>
            <w:pPr>
              <w:widowControl/>
              <w:adjustRightInd w:val="0"/>
              <w:snapToGrid w:val="0"/>
              <w:spacing w:line="300" w:lineRule="auto"/>
              <w:jc w:val="center"/>
              <w:rPr>
                <w:sz w:val="18"/>
                <w:szCs w:val="18"/>
              </w:rPr>
            </w:pPr>
            <w:r>
              <w:rPr>
                <w:color w:val="000000"/>
                <w:sz w:val="18"/>
                <w:szCs w:val="18"/>
              </w:rPr>
              <w:t>1，2，</w:t>
            </w:r>
            <w:r>
              <w:rPr>
                <w:rFonts w:hint="eastAsia"/>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2</w:t>
            </w:r>
          </w:p>
        </w:tc>
        <w:tc>
          <w:tcPr>
            <w:tcW w:w="4005" w:type="dxa"/>
            <w:vAlign w:val="center"/>
          </w:tcPr>
          <w:p>
            <w:pPr>
              <w:widowControl/>
              <w:adjustRightInd w:val="0"/>
              <w:snapToGrid w:val="0"/>
              <w:spacing w:line="300" w:lineRule="auto"/>
              <w:jc w:val="left"/>
              <w:textAlignment w:val="baseline"/>
              <w:rPr>
                <w:sz w:val="18"/>
                <w:szCs w:val="18"/>
              </w:rPr>
            </w:pPr>
            <w:r>
              <w:rPr>
                <w:sz w:val="18"/>
                <w:szCs w:val="18"/>
              </w:rPr>
              <w:t>二、无人机技术</w:t>
            </w:r>
          </w:p>
          <w:p>
            <w:pPr>
              <w:widowControl/>
              <w:adjustRightInd w:val="0"/>
              <w:snapToGrid w:val="0"/>
              <w:spacing w:line="300" w:lineRule="auto"/>
              <w:ind w:firstLine="480"/>
              <w:jc w:val="left"/>
              <w:textAlignment w:val="baseline"/>
              <w:rPr>
                <w:color w:val="FF0000"/>
                <w:sz w:val="18"/>
                <w:szCs w:val="18"/>
              </w:rPr>
            </w:pPr>
            <w:r>
              <w:rPr>
                <w:sz w:val="18"/>
                <w:szCs w:val="18"/>
              </w:rPr>
              <w:t>2.1 无人机视频图像目标跟踪服务</w:t>
            </w:r>
          </w:p>
          <w:p>
            <w:pPr>
              <w:widowControl/>
              <w:adjustRightInd w:val="0"/>
              <w:snapToGrid w:val="0"/>
              <w:spacing w:line="300" w:lineRule="auto"/>
              <w:ind w:firstLine="480"/>
              <w:jc w:val="left"/>
              <w:textAlignment w:val="baseline"/>
              <w:rPr>
                <w:sz w:val="18"/>
                <w:szCs w:val="18"/>
              </w:rPr>
            </w:pPr>
            <w:r>
              <w:rPr>
                <w:sz w:val="18"/>
                <w:szCs w:val="18"/>
              </w:rPr>
              <w:t>2.2 海岛监测服务</w:t>
            </w:r>
          </w:p>
          <w:p>
            <w:pPr>
              <w:widowControl/>
              <w:adjustRightInd w:val="0"/>
              <w:snapToGrid w:val="0"/>
              <w:spacing w:line="300" w:lineRule="auto"/>
              <w:ind w:firstLine="480"/>
              <w:jc w:val="left"/>
              <w:textAlignment w:val="baseline"/>
              <w:rPr>
                <w:sz w:val="18"/>
                <w:szCs w:val="18"/>
              </w:rPr>
            </w:pPr>
            <w:r>
              <w:rPr>
                <w:sz w:val="18"/>
                <w:szCs w:val="18"/>
              </w:rPr>
              <w:t>2.3 灾后监测</w:t>
            </w:r>
          </w:p>
          <w:p>
            <w:pPr>
              <w:widowControl/>
              <w:adjustRightInd w:val="0"/>
              <w:snapToGrid w:val="0"/>
              <w:spacing w:line="300" w:lineRule="auto"/>
              <w:ind w:firstLine="480"/>
              <w:jc w:val="left"/>
              <w:textAlignment w:val="baseline"/>
              <w:rPr>
                <w:sz w:val="18"/>
                <w:szCs w:val="18"/>
              </w:rPr>
            </w:pPr>
            <w:r>
              <w:rPr>
                <w:sz w:val="18"/>
                <w:szCs w:val="18"/>
              </w:rPr>
              <w:t>2.4 防汛抗旱监测</w:t>
            </w:r>
          </w:p>
          <w:p>
            <w:pPr>
              <w:widowControl/>
              <w:shd w:val="clear" w:color="auto" w:fill="FFFFFF"/>
              <w:adjustRightInd w:val="0"/>
              <w:snapToGrid w:val="0"/>
              <w:spacing w:line="300" w:lineRule="auto"/>
              <w:ind w:firstLine="480"/>
              <w:jc w:val="left"/>
              <w:textAlignment w:val="baseline"/>
              <w:rPr>
                <w:sz w:val="18"/>
                <w:szCs w:val="18"/>
              </w:rPr>
            </w:pPr>
            <w:r>
              <w:rPr>
                <w:sz w:val="18"/>
                <w:szCs w:val="18"/>
              </w:rPr>
              <w:t>2.5 无人机视频图像拼接</w:t>
            </w:r>
          </w:p>
          <w:p>
            <w:pPr>
              <w:widowControl/>
              <w:shd w:val="clear" w:color="auto" w:fill="FFFFFF"/>
              <w:adjustRightInd w:val="0"/>
              <w:snapToGrid w:val="0"/>
              <w:spacing w:line="300" w:lineRule="auto"/>
              <w:ind w:firstLine="480"/>
              <w:jc w:val="left"/>
              <w:textAlignment w:val="baseline"/>
              <w:rPr>
                <w:sz w:val="18"/>
                <w:szCs w:val="18"/>
              </w:rPr>
            </w:pPr>
            <w:r>
              <w:rPr>
                <w:sz w:val="18"/>
                <w:szCs w:val="18"/>
              </w:rPr>
              <w:t>2.6无人机海洋遥感技术</w:t>
            </w:r>
          </w:p>
        </w:tc>
        <w:tc>
          <w:tcPr>
            <w:tcW w:w="2977" w:type="dxa"/>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1、掌握无人机的应用方向；</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2、了解无人机应用领域。</w:t>
            </w:r>
          </w:p>
          <w:p>
            <w:pPr>
              <w:widowControl/>
              <w:tabs>
                <w:tab w:val="left" w:pos="426"/>
                <w:tab w:val="left" w:pos="5245"/>
                <w:tab w:val="left" w:pos="5387"/>
              </w:tabs>
              <w:adjustRightInd w:val="0"/>
              <w:snapToGrid w:val="0"/>
              <w:spacing w:line="300" w:lineRule="auto"/>
              <w:rPr>
                <w:sz w:val="18"/>
                <w:szCs w:val="18"/>
              </w:rPr>
            </w:pPr>
            <w:r>
              <w:rPr>
                <w:kern w:val="0"/>
                <w:sz w:val="18"/>
                <w:szCs w:val="18"/>
              </w:rPr>
              <w:t>3、探讨无人机在海洋遥感领域应用的重要性与社会可持续发展的关系。</w:t>
            </w:r>
          </w:p>
        </w:tc>
        <w:tc>
          <w:tcPr>
            <w:tcW w:w="567" w:type="dxa"/>
            <w:vAlign w:val="center"/>
          </w:tcPr>
          <w:p>
            <w:pPr>
              <w:widowControl/>
              <w:adjustRightInd w:val="0"/>
              <w:snapToGrid w:val="0"/>
              <w:spacing w:line="300" w:lineRule="auto"/>
              <w:jc w:val="center"/>
              <w:rPr>
                <w:sz w:val="18"/>
                <w:szCs w:val="18"/>
              </w:rPr>
            </w:pPr>
            <w:r>
              <w:rPr>
                <w:rFonts w:hint="eastAsia"/>
                <w:sz w:val="18"/>
                <w:szCs w:val="18"/>
              </w:rPr>
              <w:t>8</w:t>
            </w:r>
          </w:p>
        </w:tc>
        <w:tc>
          <w:tcPr>
            <w:tcW w:w="709" w:type="dxa"/>
            <w:vAlign w:val="center"/>
          </w:tcPr>
          <w:p>
            <w:pPr>
              <w:widowControl/>
              <w:adjustRightInd w:val="0"/>
              <w:snapToGrid w:val="0"/>
              <w:spacing w:line="300" w:lineRule="auto"/>
              <w:jc w:val="center"/>
              <w:rPr>
                <w:sz w:val="18"/>
                <w:szCs w:val="18"/>
              </w:rPr>
            </w:pPr>
            <w:r>
              <w:rPr>
                <w:color w:val="000000"/>
                <w:sz w:val="18"/>
                <w:szCs w:val="18"/>
              </w:rPr>
              <w:t>1，</w:t>
            </w:r>
            <w:r>
              <w:rPr>
                <w:rFonts w:hint="eastAsia"/>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8"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3</w:t>
            </w:r>
          </w:p>
        </w:tc>
        <w:tc>
          <w:tcPr>
            <w:tcW w:w="4005" w:type="dxa"/>
            <w:vAlign w:val="center"/>
          </w:tcPr>
          <w:p>
            <w:pPr>
              <w:adjustRightInd w:val="0"/>
              <w:snapToGrid w:val="0"/>
              <w:spacing w:line="300" w:lineRule="auto"/>
              <w:rPr>
                <w:kern w:val="0"/>
                <w:sz w:val="18"/>
                <w:szCs w:val="18"/>
              </w:rPr>
            </w:pPr>
            <w:r>
              <w:rPr>
                <w:kern w:val="0"/>
                <w:sz w:val="18"/>
                <w:szCs w:val="18"/>
              </w:rPr>
              <w:t>三、自动驾驶技术</w:t>
            </w:r>
          </w:p>
          <w:p>
            <w:pPr>
              <w:widowControl/>
              <w:adjustRightInd w:val="0"/>
              <w:snapToGrid w:val="0"/>
              <w:spacing w:line="300" w:lineRule="auto"/>
              <w:ind w:firstLine="480"/>
              <w:jc w:val="left"/>
              <w:textAlignment w:val="baseline"/>
              <w:rPr>
                <w:kern w:val="0"/>
                <w:sz w:val="18"/>
                <w:szCs w:val="18"/>
              </w:rPr>
            </w:pPr>
            <w:r>
              <w:rPr>
                <w:kern w:val="0"/>
                <w:sz w:val="18"/>
                <w:szCs w:val="18"/>
              </w:rPr>
              <w:t>3.1 全球GNSS定位系统</w:t>
            </w:r>
          </w:p>
          <w:p>
            <w:pPr>
              <w:widowControl/>
              <w:adjustRightInd w:val="0"/>
              <w:snapToGrid w:val="0"/>
              <w:spacing w:line="300" w:lineRule="auto"/>
              <w:ind w:firstLine="480"/>
              <w:jc w:val="left"/>
              <w:textAlignment w:val="baseline"/>
              <w:rPr>
                <w:kern w:val="0"/>
                <w:sz w:val="18"/>
                <w:szCs w:val="18"/>
              </w:rPr>
            </w:pPr>
            <w:r>
              <w:rPr>
                <w:kern w:val="0"/>
                <w:sz w:val="18"/>
                <w:szCs w:val="18"/>
              </w:rPr>
              <w:t>3.2 光学相机的应用</w:t>
            </w:r>
          </w:p>
          <w:p>
            <w:pPr>
              <w:widowControl/>
              <w:adjustRightInd w:val="0"/>
              <w:snapToGrid w:val="0"/>
              <w:spacing w:line="300" w:lineRule="auto"/>
              <w:ind w:firstLine="480"/>
              <w:jc w:val="left"/>
              <w:textAlignment w:val="baseline"/>
              <w:rPr>
                <w:kern w:val="0"/>
                <w:sz w:val="18"/>
                <w:szCs w:val="18"/>
              </w:rPr>
            </w:pPr>
            <w:r>
              <w:rPr>
                <w:kern w:val="0"/>
                <w:sz w:val="18"/>
                <w:szCs w:val="18"/>
              </w:rPr>
              <w:t>3.3 微波雷达在自动导航的应用</w:t>
            </w:r>
          </w:p>
          <w:p>
            <w:pPr>
              <w:widowControl/>
              <w:adjustRightInd w:val="0"/>
              <w:snapToGrid w:val="0"/>
              <w:spacing w:line="300" w:lineRule="auto"/>
              <w:ind w:firstLine="480"/>
              <w:jc w:val="left"/>
              <w:textAlignment w:val="baseline"/>
              <w:rPr>
                <w:kern w:val="0"/>
                <w:sz w:val="18"/>
                <w:szCs w:val="18"/>
              </w:rPr>
            </w:pPr>
            <w:r>
              <w:rPr>
                <w:kern w:val="0"/>
                <w:sz w:val="18"/>
                <w:szCs w:val="18"/>
              </w:rPr>
              <w:t>3.4 激光雷达在自动导航中的应用</w:t>
            </w:r>
          </w:p>
          <w:p>
            <w:pPr>
              <w:widowControl/>
              <w:adjustRightInd w:val="0"/>
              <w:snapToGrid w:val="0"/>
              <w:spacing w:line="300" w:lineRule="auto"/>
              <w:ind w:firstLine="480"/>
              <w:jc w:val="left"/>
              <w:textAlignment w:val="baseline"/>
              <w:rPr>
                <w:kern w:val="0"/>
                <w:sz w:val="18"/>
                <w:szCs w:val="18"/>
              </w:rPr>
            </w:pPr>
            <w:r>
              <w:rPr>
                <w:kern w:val="0"/>
                <w:sz w:val="18"/>
                <w:szCs w:val="18"/>
              </w:rPr>
              <w:t>3.5 人工智能在自动导航中的应用</w:t>
            </w:r>
          </w:p>
          <w:p>
            <w:pPr>
              <w:widowControl/>
              <w:adjustRightInd w:val="0"/>
              <w:snapToGrid w:val="0"/>
              <w:spacing w:line="300" w:lineRule="auto"/>
              <w:ind w:firstLine="480"/>
              <w:jc w:val="left"/>
              <w:textAlignment w:val="baseline"/>
              <w:rPr>
                <w:kern w:val="0"/>
                <w:sz w:val="18"/>
                <w:szCs w:val="18"/>
              </w:rPr>
            </w:pPr>
            <w:r>
              <w:rPr>
                <w:kern w:val="0"/>
                <w:sz w:val="18"/>
                <w:szCs w:val="18"/>
              </w:rPr>
              <w:t>3.6探讨北斗卫星定位导航系统</w:t>
            </w:r>
          </w:p>
        </w:tc>
        <w:tc>
          <w:tcPr>
            <w:tcW w:w="2977" w:type="dxa"/>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1、了解自动驾驶所涉及的关键技术；</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2、掌握自动驾驶应用领域。</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3、掌握北斗卫星定位导航系统的原理与技术优势，树立民族自豪感，并探讨如何应用北斗技术服务于人类。</w:t>
            </w:r>
          </w:p>
        </w:tc>
        <w:tc>
          <w:tcPr>
            <w:tcW w:w="567" w:type="dxa"/>
            <w:vAlign w:val="center"/>
          </w:tcPr>
          <w:p>
            <w:pPr>
              <w:widowControl/>
              <w:adjustRightInd w:val="0"/>
              <w:snapToGrid w:val="0"/>
              <w:spacing w:line="300" w:lineRule="auto"/>
              <w:jc w:val="center"/>
              <w:rPr>
                <w:sz w:val="18"/>
                <w:szCs w:val="18"/>
              </w:rPr>
            </w:pPr>
            <w:r>
              <w:rPr>
                <w:rFonts w:hint="eastAsia"/>
                <w:sz w:val="18"/>
                <w:szCs w:val="18"/>
              </w:rPr>
              <w:t>8</w:t>
            </w:r>
          </w:p>
        </w:tc>
        <w:tc>
          <w:tcPr>
            <w:tcW w:w="709" w:type="dxa"/>
            <w:vAlign w:val="center"/>
          </w:tcPr>
          <w:p>
            <w:pPr>
              <w:widowControl/>
              <w:adjustRightInd w:val="0"/>
              <w:snapToGrid w:val="0"/>
              <w:spacing w:line="300" w:lineRule="auto"/>
              <w:jc w:val="center"/>
              <w:rPr>
                <w:sz w:val="18"/>
                <w:szCs w:val="18"/>
              </w:rPr>
            </w:pPr>
            <w:r>
              <w:rPr>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8" w:type="dxa"/>
            <w:tcMar>
              <w:left w:w="57" w:type="dxa"/>
              <w:right w:w="57" w:type="dxa"/>
            </w:tcMar>
            <w:vAlign w:val="center"/>
          </w:tcPr>
          <w:p>
            <w:pPr>
              <w:widowControl/>
              <w:adjustRightInd w:val="0"/>
              <w:snapToGrid w:val="0"/>
              <w:spacing w:line="300" w:lineRule="auto"/>
              <w:jc w:val="center"/>
              <w:rPr>
                <w:sz w:val="18"/>
                <w:szCs w:val="18"/>
              </w:rPr>
            </w:pPr>
            <w:r>
              <w:rPr>
                <w:kern w:val="0"/>
                <w:sz w:val="18"/>
                <w:szCs w:val="18"/>
              </w:rPr>
              <w:t>4</w:t>
            </w:r>
          </w:p>
        </w:tc>
        <w:tc>
          <w:tcPr>
            <w:tcW w:w="4005" w:type="dxa"/>
            <w:vAlign w:val="center"/>
          </w:tcPr>
          <w:p>
            <w:pPr>
              <w:adjustRightInd w:val="0"/>
              <w:snapToGrid w:val="0"/>
              <w:spacing w:line="300" w:lineRule="auto"/>
              <w:rPr>
                <w:kern w:val="0"/>
                <w:sz w:val="18"/>
                <w:szCs w:val="18"/>
              </w:rPr>
            </w:pPr>
            <w:r>
              <w:rPr>
                <w:kern w:val="0"/>
                <w:sz w:val="18"/>
                <w:szCs w:val="18"/>
              </w:rPr>
              <w:t>四、生物特征识别技术</w:t>
            </w:r>
          </w:p>
          <w:p>
            <w:pPr>
              <w:widowControl/>
              <w:adjustRightInd w:val="0"/>
              <w:snapToGrid w:val="0"/>
              <w:spacing w:line="300" w:lineRule="auto"/>
              <w:ind w:firstLine="480"/>
              <w:jc w:val="left"/>
              <w:textAlignment w:val="baseline"/>
              <w:rPr>
                <w:kern w:val="0"/>
                <w:sz w:val="18"/>
                <w:szCs w:val="18"/>
              </w:rPr>
            </w:pPr>
            <w:r>
              <w:rPr>
                <w:kern w:val="0"/>
                <w:sz w:val="18"/>
                <w:szCs w:val="18"/>
              </w:rPr>
              <w:t>4.1 脸像识别</w:t>
            </w:r>
          </w:p>
          <w:p>
            <w:pPr>
              <w:widowControl/>
              <w:adjustRightInd w:val="0"/>
              <w:snapToGrid w:val="0"/>
              <w:spacing w:line="300" w:lineRule="auto"/>
              <w:ind w:firstLine="480"/>
              <w:jc w:val="left"/>
              <w:textAlignment w:val="baseline"/>
              <w:rPr>
                <w:kern w:val="0"/>
                <w:sz w:val="18"/>
                <w:szCs w:val="18"/>
              </w:rPr>
            </w:pPr>
            <w:r>
              <w:rPr>
                <w:kern w:val="0"/>
                <w:sz w:val="18"/>
                <w:szCs w:val="18"/>
              </w:rPr>
              <w:t>4.2 视网膜识别</w:t>
            </w:r>
          </w:p>
          <w:p>
            <w:pPr>
              <w:widowControl/>
              <w:adjustRightInd w:val="0"/>
              <w:snapToGrid w:val="0"/>
              <w:spacing w:line="300" w:lineRule="auto"/>
              <w:ind w:firstLine="480"/>
              <w:jc w:val="left"/>
              <w:textAlignment w:val="baseline"/>
              <w:rPr>
                <w:kern w:val="0"/>
                <w:sz w:val="18"/>
                <w:szCs w:val="18"/>
              </w:rPr>
            </w:pPr>
            <w:r>
              <w:rPr>
                <w:kern w:val="0"/>
                <w:sz w:val="18"/>
                <w:szCs w:val="18"/>
              </w:rPr>
              <w:t>4.3 步态识别</w:t>
            </w:r>
          </w:p>
          <w:p>
            <w:pPr>
              <w:widowControl/>
              <w:adjustRightInd w:val="0"/>
              <w:snapToGrid w:val="0"/>
              <w:spacing w:line="300" w:lineRule="auto"/>
              <w:ind w:firstLine="480"/>
              <w:jc w:val="left"/>
              <w:textAlignment w:val="baseline"/>
              <w:rPr>
                <w:kern w:val="0"/>
                <w:sz w:val="18"/>
                <w:szCs w:val="18"/>
              </w:rPr>
            </w:pPr>
            <w:r>
              <w:rPr>
                <w:kern w:val="0"/>
                <w:sz w:val="18"/>
                <w:szCs w:val="18"/>
              </w:rPr>
              <w:t>4.4我国生物识别技术的现状</w:t>
            </w:r>
          </w:p>
        </w:tc>
        <w:tc>
          <w:tcPr>
            <w:tcW w:w="2977" w:type="dxa"/>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1、了解生物特址识别的应用领域；</w:t>
            </w:r>
          </w:p>
          <w:p>
            <w:pPr>
              <w:adjustRightInd w:val="0"/>
              <w:snapToGrid w:val="0"/>
              <w:spacing w:line="300" w:lineRule="auto"/>
              <w:ind w:right="-31" w:rightChars="-15"/>
              <w:rPr>
                <w:kern w:val="0"/>
                <w:sz w:val="18"/>
                <w:szCs w:val="18"/>
              </w:rPr>
            </w:pPr>
            <w:r>
              <w:rPr>
                <w:kern w:val="0"/>
                <w:sz w:val="18"/>
                <w:szCs w:val="18"/>
              </w:rPr>
              <w:t>2、掌握未来生物特址识别的方向。</w:t>
            </w:r>
          </w:p>
          <w:p>
            <w:pPr>
              <w:adjustRightInd w:val="0"/>
              <w:snapToGrid w:val="0"/>
              <w:spacing w:line="300" w:lineRule="auto"/>
              <w:ind w:right="-31" w:rightChars="-15"/>
              <w:rPr>
                <w:kern w:val="0"/>
                <w:sz w:val="18"/>
                <w:szCs w:val="18"/>
              </w:rPr>
            </w:pPr>
            <w:r>
              <w:rPr>
                <w:kern w:val="0"/>
                <w:sz w:val="18"/>
                <w:szCs w:val="18"/>
              </w:rPr>
              <w:t>3、探讨我国在生物识别技术领域应该突破的关键技术，明确电子信息类专业学生应该承担的历史使命。</w:t>
            </w:r>
          </w:p>
        </w:tc>
        <w:tc>
          <w:tcPr>
            <w:tcW w:w="567" w:type="dxa"/>
            <w:vAlign w:val="center"/>
          </w:tcPr>
          <w:p>
            <w:pPr>
              <w:widowControl/>
              <w:adjustRightInd w:val="0"/>
              <w:snapToGrid w:val="0"/>
              <w:spacing w:line="300" w:lineRule="auto"/>
              <w:jc w:val="center"/>
              <w:rPr>
                <w:sz w:val="18"/>
                <w:szCs w:val="18"/>
              </w:rPr>
            </w:pPr>
            <w:r>
              <w:rPr>
                <w:rFonts w:hint="eastAsia"/>
                <w:kern w:val="0"/>
                <w:sz w:val="18"/>
                <w:szCs w:val="18"/>
              </w:rPr>
              <w:t>8</w:t>
            </w:r>
          </w:p>
        </w:tc>
        <w:tc>
          <w:tcPr>
            <w:tcW w:w="709" w:type="dxa"/>
            <w:vAlign w:val="center"/>
          </w:tcPr>
          <w:p>
            <w:pPr>
              <w:widowControl/>
              <w:adjustRightInd w:val="0"/>
              <w:snapToGrid w:val="0"/>
              <w:spacing w:line="300" w:lineRule="auto"/>
              <w:jc w:val="center"/>
              <w:rPr>
                <w:sz w:val="18"/>
                <w:szCs w:val="18"/>
              </w:rPr>
            </w:pPr>
            <w:r>
              <w:rPr>
                <w:rFonts w:hint="eastAsia"/>
                <w:color w:val="000000"/>
                <w:sz w:val="18"/>
                <w:szCs w:val="18"/>
              </w:rPr>
              <w:t>1，3</w:t>
            </w:r>
          </w:p>
        </w:tc>
      </w:tr>
    </w:tbl>
    <w:p>
      <w:pPr>
        <w:snapToGrid w:val="0"/>
        <w:spacing w:before="156" w:beforeLines="50" w:after="156" w:afterLines="50" w:line="300" w:lineRule="auto"/>
        <w:rPr>
          <w:b/>
          <w:sz w:val="24"/>
          <w:szCs w:val="22"/>
        </w:rPr>
      </w:pPr>
      <w:r>
        <w:rPr>
          <w:b/>
          <w:sz w:val="24"/>
          <w:szCs w:val="22"/>
        </w:rPr>
        <w:t>五、课程考核及成绩评定</w:t>
      </w:r>
    </w:p>
    <w:p>
      <w:pPr>
        <w:adjustRightInd w:val="0"/>
        <w:snapToGrid w:val="0"/>
        <w:spacing w:line="300" w:lineRule="auto"/>
        <w:ind w:firstLine="420" w:firstLineChars="200"/>
        <w:rPr>
          <w:color w:val="FF0000"/>
          <w:szCs w:val="22"/>
        </w:rPr>
      </w:pPr>
      <w:r>
        <w:rPr>
          <w:szCs w:val="22"/>
        </w:rPr>
        <w:t>1.考核方式：采取课程论文和平时成绩（包括考勤及课堂表现等）相结合，最后60分以上为合格。</w:t>
      </w:r>
    </w:p>
    <w:p>
      <w:pPr>
        <w:adjustRightInd w:val="0"/>
        <w:snapToGrid w:val="0"/>
        <w:spacing w:line="300" w:lineRule="auto"/>
        <w:ind w:firstLine="420" w:firstLineChars="200"/>
        <w:rPr>
          <w:szCs w:val="22"/>
        </w:rPr>
      </w:pPr>
      <w:r>
        <w:rPr>
          <w:szCs w:val="22"/>
        </w:rPr>
        <w:t>2.成绩构成：平时成绩30%+课程论文成绩</w:t>
      </w:r>
      <w:r>
        <w:rPr>
          <w:rFonts w:hint="eastAsia"/>
          <w:szCs w:val="22"/>
        </w:rPr>
        <w:t>7</w:t>
      </w:r>
      <w:r>
        <w:rPr>
          <w:szCs w:val="22"/>
        </w:rPr>
        <w:t>0 %。</w:t>
      </w:r>
    </w:p>
    <w:p>
      <w:pPr>
        <w:adjustRightInd w:val="0"/>
        <w:snapToGrid w:val="0"/>
        <w:spacing w:line="300" w:lineRule="auto"/>
        <w:ind w:firstLine="420" w:firstLineChars="200"/>
        <w:rPr>
          <w:szCs w:val="22"/>
        </w:rPr>
      </w:pPr>
      <w:r>
        <w:rPr>
          <w:szCs w:val="22"/>
        </w:rPr>
        <w:t>3.考核评价标准见表4所示：</w:t>
      </w:r>
    </w:p>
    <w:p>
      <w:pPr>
        <w:snapToGrid w:val="0"/>
        <w:spacing w:before="156" w:beforeLines="50" w:line="300" w:lineRule="auto"/>
        <w:ind w:firstLine="361" w:firstLineChars="200"/>
        <w:jc w:val="center"/>
        <w:rPr>
          <w:b/>
          <w:bCs/>
          <w:color w:val="000000"/>
          <w:sz w:val="18"/>
          <w:szCs w:val="18"/>
        </w:rPr>
      </w:pPr>
      <w:r>
        <w:rPr>
          <w:b/>
          <w:bCs/>
          <w:color w:val="000000"/>
          <w:sz w:val="18"/>
          <w:szCs w:val="18"/>
        </w:rPr>
        <w:t>表4教学目标评价标准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567"/>
        <w:gridCol w:w="709"/>
        <w:gridCol w:w="567"/>
        <w:gridCol w:w="3544"/>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jc w:val="center"/>
              <w:rPr>
                <w:b/>
                <w:bCs/>
                <w:sz w:val="18"/>
                <w:szCs w:val="18"/>
              </w:rPr>
            </w:pPr>
            <w:r>
              <w:rPr>
                <w:b/>
                <w:bCs/>
                <w:sz w:val="18"/>
                <w:szCs w:val="18"/>
              </w:rPr>
              <w:t>成绩</w:t>
            </w:r>
          </w:p>
          <w:p>
            <w:pPr>
              <w:jc w:val="center"/>
              <w:rPr>
                <w:sz w:val="18"/>
                <w:szCs w:val="18"/>
              </w:rPr>
            </w:pPr>
            <w:r>
              <w:rPr>
                <w:b/>
                <w:bCs/>
                <w:sz w:val="18"/>
                <w:szCs w:val="18"/>
              </w:rPr>
              <w:t>类型</w:t>
            </w:r>
          </w:p>
        </w:tc>
        <w:tc>
          <w:tcPr>
            <w:tcW w:w="567" w:type="dxa"/>
            <w:vAlign w:val="center"/>
          </w:tcPr>
          <w:p>
            <w:pPr>
              <w:rPr>
                <w:b/>
                <w:sz w:val="18"/>
                <w:szCs w:val="18"/>
              </w:rPr>
            </w:pPr>
            <w:r>
              <w:rPr>
                <w:b/>
                <w:sz w:val="18"/>
                <w:szCs w:val="18"/>
              </w:rPr>
              <w:t>分值</w:t>
            </w:r>
          </w:p>
        </w:tc>
        <w:tc>
          <w:tcPr>
            <w:tcW w:w="567" w:type="dxa"/>
            <w:vAlign w:val="center"/>
          </w:tcPr>
          <w:p>
            <w:pPr>
              <w:rPr>
                <w:b/>
                <w:sz w:val="18"/>
                <w:szCs w:val="18"/>
              </w:rPr>
            </w:pPr>
            <w:r>
              <w:rPr>
                <w:b/>
                <w:sz w:val="18"/>
                <w:szCs w:val="18"/>
              </w:rPr>
              <w:t>权重</w:t>
            </w:r>
          </w:p>
        </w:tc>
        <w:tc>
          <w:tcPr>
            <w:tcW w:w="709" w:type="dxa"/>
            <w:vAlign w:val="center"/>
          </w:tcPr>
          <w:p>
            <w:pPr>
              <w:jc w:val="center"/>
              <w:rPr>
                <w:b/>
                <w:sz w:val="18"/>
                <w:szCs w:val="18"/>
              </w:rPr>
            </w:pPr>
            <w:r>
              <w:rPr>
                <w:b/>
                <w:sz w:val="18"/>
                <w:szCs w:val="18"/>
              </w:rPr>
              <w:t>类别</w:t>
            </w:r>
          </w:p>
        </w:tc>
        <w:tc>
          <w:tcPr>
            <w:tcW w:w="567" w:type="dxa"/>
            <w:vAlign w:val="center"/>
          </w:tcPr>
          <w:p>
            <w:pPr>
              <w:jc w:val="center"/>
              <w:rPr>
                <w:sz w:val="18"/>
                <w:szCs w:val="18"/>
              </w:rPr>
            </w:pPr>
            <w:r>
              <w:rPr>
                <w:b/>
                <w:sz w:val="18"/>
                <w:szCs w:val="18"/>
              </w:rPr>
              <w:t>权重</w:t>
            </w:r>
          </w:p>
        </w:tc>
        <w:tc>
          <w:tcPr>
            <w:tcW w:w="3544" w:type="dxa"/>
            <w:vAlign w:val="center"/>
          </w:tcPr>
          <w:p>
            <w:pPr>
              <w:snapToGrid w:val="0"/>
              <w:spacing w:line="300" w:lineRule="auto"/>
              <w:jc w:val="center"/>
              <w:rPr>
                <w:b/>
                <w:bCs/>
                <w:sz w:val="18"/>
                <w:szCs w:val="18"/>
              </w:rPr>
            </w:pPr>
            <w:r>
              <w:rPr>
                <w:b/>
                <w:bCs/>
                <w:sz w:val="18"/>
                <w:szCs w:val="18"/>
              </w:rPr>
              <w:t>考核/评价细则</w:t>
            </w:r>
          </w:p>
        </w:tc>
        <w:tc>
          <w:tcPr>
            <w:tcW w:w="1026" w:type="dxa"/>
            <w:vAlign w:val="center"/>
          </w:tcPr>
          <w:p>
            <w:pPr>
              <w:snapToGrid w:val="0"/>
              <w:spacing w:line="300" w:lineRule="auto"/>
              <w:jc w:val="center"/>
              <w:rPr>
                <w:b/>
                <w:bCs/>
                <w:sz w:val="18"/>
                <w:szCs w:val="18"/>
              </w:rPr>
            </w:pPr>
            <w:r>
              <w:rPr>
                <w:b/>
                <w:bCs/>
                <w:sz w:val="18"/>
                <w:szCs w:val="18"/>
              </w:rPr>
              <w:t>课程目标</w:t>
            </w:r>
          </w:p>
        </w:tc>
        <w:tc>
          <w:tcPr>
            <w:tcW w:w="1026" w:type="dxa"/>
            <w:vAlign w:val="center"/>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75" w:type="dxa"/>
            <w:vAlign w:val="center"/>
          </w:tcPr>
          <w:p>
            <w:pPr>
              <w:jc w:val="center"/>
              <w:rPr>
                <w:sz w:val="18"/>
                <w:szCs w:val="18"/>
              </w:rPr>
            </w:pPr>
            <w:r>
              <w:rPr>
                <w:sz w:val="18"/>
                <w:szCs w:val="18"/>
              </w:rPr>
              <w:t>平时</w:t>
            </w:r>
          </w:p>
          <w:p>
            <w:pPr>
              <w:jc w:val="center"/>
              <w:rPr>
                <w:sz w:val="18"/>
                <w:szCs w:val="18"/>
              </w:rPr>
            </w:pPr>
            <w:r>
              <w:rPr>
                <w:sz w:val="18"/>
                <w:szCs w:val="18"/>
              </w:rPr>
              <w:t>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0.3</w:t>
            </w:r>
          </w:p>
        </w:tc>
        <w:tc>
          <w:tcPr>
            <w:tcW w:w="709" w:type="dxa"/>
            <w:vAlign w:val="center"/>
          </w:tcPr>
          <w:p>
            <w:pPr>
              <w:jc w:val="center"/>
              <w:rPr>
                <w:sz w:val="18"/>
                <w:szCs w:val="18"/>
              </w:rPr>
            </w:pPr>
            <w:r>
              <w:rPr>
                <w:sz w:val="18"/>
                <w:szCs w:val="18"/>
              </w:rPr>
              <w:t>课堂表现</w:t>
            </w:r>
          </w:p>
        </w:tc>
        <w:tc>
          <w:tcPr>
            <w:tcW w:w="567" w:type="dxa"/>
            <w:vAlign w:val="center"/>
          </w:tcPr>
          <w:p>
            <w:pPr>
              <w:jc w:val="center"/>
              <w:rPr>
                <w:sz w:val="18"/>
                <w:szCs w:val="18"/>
              </w:rPr>
            </w:pPr>
            <w:r>
              <w:rPr>
                <w:rFonts w:hint="eastAsia"/>
                <w:sz w:val="18"/>
                <w:szCs w:val="18"/>
              </w:rPr>
              <w:t>1</w:t>
            </w:r>
          </w:p>
        </w:tc>
        <w:tc>
          <w:tcPr>
            <w:tcW w:w="3544" w:type="dxa"/>
            <w:vAlign w:val="center"/>
          </w:tcPr>
          <w:p>
            <w:pPr>
              <w:jc w:val="left"/>
              <w:rPr>
                <w:sz w:val="18"/>
                <w:szCs w:val="18"/>
              </w:rPr>
            </w:pPr>
            <w:r>
              <w:rPr>
                <w:sz w:val="18"/>
                <w:szCs w:val="18"/>
              </w:rPr>
              <w:t>课堂提问</w:t>
            </w:r>
            <w:r>
              <w:rPr>
                <w:rFonts w:hint="eastAsia"/>
                <w:sz w:val="18"/>
                <w:szCs w:val="18"/>
              </w:rPr>
              <w:t>（含</w:t>
            </w:r>
            <w:r>
              <w:rPr>
                <w:sz w:val="18"/>
                <w:szCs w:val="18"/>
              </w:rPr>
              <w:t>考勤）</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r>
              <w:rPr>
                <w:rFonts w:hint="eastAsia"/>
                <w:sz w:val="18"/>
                <w:szCs w:val="18"/>
              </w:rPr>
              <w:t xml:space="preserve"> </w:t>
            </w:r>
          </w:p>
        </w:tc>
        <w:tc>
          <w:tcPr>
            <w:tcW w:w="1026" w:type="dxa"/>
            <w:vAlign w:val="center"/>
          </w:tcPr>
          <w:p>
            <w:pPr>
              <w:jc w:val="center"/>
              <w:rPr>
                <w:sz w:val="18"/>
                <w:szCs w:val="18"/>
              </w:rPr>
            </w:pPr>
            <w:r>
              <w:rPr>
                <w:sz w:val="18"/>
                <w:szCs w:val="18"/>
              </w:rPr>
              <w:t>1，2，3</w:t>
            </w:r>
          </w:p>
        </w:tc>
        <w:tc>
          <w:tcPr>
            <w:tcW w:w="1026" w:type="dxa"/>
            <w:vAlign w:val="center"/>
          </w:tcPr>
          <w:p>
            <w:pPr>
              <w:jc w:val="center"/>
              <w:rPr>
                <w:sz w:val="18"/>
                <w:szCs w:val="18"/>
              </w:rPr>
            </w:pPr>
            <w:r>
              <w:rPr>
                <w:rFonts w:hint="eastAsia"/>
                <w:sz w:val="18"/>
                <w:szCs w:val="18"/>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75" w:type="dxa"/>
            <w:vAlign w:val="center"/>
          </w:tcPr>
          <w:p>
            <w:pPr>
              <w:jc w:val="center"/>
              <w:rPr>
                <w:sz w:val="18"/>
                <w:szCs w:val="18"/>
              </w:rPr>
            </w:pPr>
            <w:r>
              <w:rPr>
                <w:sz w:val="18"/>
                <w:szCs w:val="18"/>
              </w:rPr>
              <w:t>期末</w:t>
            </w:r>
          </w:p>
          <w:p>
            <w:pPr>
              <w:jc w:val="center"/>
              <w:rPr>
                <w:sz w:val="18"/>
                <w:szCs w:val="18"/>
              </w:rPr>
            </w:pPr>
            <w:r>
              <w:rPr>
                <w:sz w:val="18"/>
                <w:szCs w:val="18"/>
              </w:rPr>
              <w:t>考试</w:t>
            </w:r>
          </w:p>
          <w:p>
            <w:pPr>
              <w:jc w:val="center"/>
              <w:rPr>
                <w:sz w:val="18"/>
                <w:szCs w:val="18"/>
              </w:rPr>
            </w:pPr>
            <w:r>
              <w:rPr>
                <w:sz w:val="18"/>
                <w:szCs w:val="18"/>
              </w:rPr>
              <w:t>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0.7</w:t>
            </w:r>
          </w:p>
        </w:tc>
        <w:tc>
          <w:tcPr>
            <w:tcW w:w="709" w:type="dxa"/>
            <w:vAlign w:val="center"/>
          </w:tcPr>
          <w:p>
            <w:pPr>
              <w:jc w:val="center"/>
              <w:rPr>
                <w:sz w:val="18"/>
                <w:szCs w:val="18"/>
              </w:rPr>
            </w:pPr>
            <w:r>
              <w:rPr>
                <w:sz w:val="18"/>
                <w:szCs w:val="18"/>
              </w:rPr>
              <w:t>课程论文</w:t>
            </w:r>
          </w:p>
        </w:tc>
        <w:tc>
          <w:tcPr>
            <w:tcW w:w="567" w:type="dxa"/>
            <w:vAlign w:val="center"/>
          </w:tcPr>
          <w:p>
            <w:pPr>
              <w:jc w:val="center"/>
              <w:rPr>
                <w:sz w:val="18"/>
                <w:szCs w:val="18"/>
              </w:rPr>
            </w:pPr>
            <w:r>
              <w:rPr>
                <w:sz w:val="18"/>
                <w:szCs w:val="18"/>
              </w:rPr>
              <w:t>1</w:t>
            </w:r>
          </w:p>
        </w:tc>
        <w:tc>
          <w:tcPr>
            <w:tcW w:w="3544" w:type="dxa"/>
            <w:vAlign w:val="center"/>
          </w:tcPr>
          <w:p>
            <w:pPr>
              <w:rPr>
                <w:sz w:val="18"/>
                <w:szCs w:val="18"/>
              </w:rPr>
            </w:pPr>
            <w:r>
              <w:rPr>
                <w:sz w:val="18"/>
                <w:szCs w:val="18"/>
              </w:rPr>
              <w:t>卷面成绩100分，按比例计入课程总评成绩；主要考核学生的基</w:t>
            </w:r>
            <w:r>
              <w:rPr>
                <w:rFonts w:hint="eastAsia"/>
                <w:sz w:val="18"/>
                <w:szCs w:val="18"/>
              </w:rPr>
              <w:t>础</w:t>
            </w:r>
            <w:r>
              <w:rPr>
                <w:sz w:val="18"/>
                <w:szCs w:val="18"/>
              </w:rPr>
              <w:t>知识、应用能力和逻辑分析能力。</w:t>
            </w:r>
          </w:p>
        </w:tc>
        <w:tc>
          <w:tcPr>
            <w:tcW w:w="1026" w:type="dxa"/>
            <w:vAlign w:val="center"/>
          </w:tcPr>
          <w:p>
            <w:pPr>
              <w:jc w:val="center"/>
              <w:rPr>
                <w:sz w:val="18"/>
                <w:szCs w:val="18"/>
              </w:rPr>
            </w:pPr>
            <w:r>
              <w:rPr>
                <w:sz w:val="18"/>
                <w:szCs w:val="18"/>
              </w:rPr>
              <w:t>1，2，3</w:t>
            </w:r>
          </w:p>
        </w:tc>
        <w:tc>
          <w:tcPr>
            <w:tcW w:w="1026" w:type="dxa"/>
            <w:vAlign w:val="center"/>
          </w:tcPr>
          <w:p>
            <w:pPr>
              <w:jc w:val="center"/>
              <w:rPr>
                <w:sz w:val="18"/>
                <w:szCs w:val="18"/>
              </w:rPr>
            </w:pPr>
            <w:r>
              <w:rPr>
                <w:rFonts w:hint="eastAsia"/>
                <w:sz w:val="18"/>
                <w:szCs w:val="18"/>
              </w:rPr>
              <w:t>6，7，8</w:t>
            </w:r>
          </w:p>
        </w:tc>
      </w:tr>
    </w:tbl>
    <w:p>
      <w:pPr>
        <w:snapToGrid w:val="0"/>
        <w:spacing w:before="156" w:beforeLines="50" w:after="156" w:afterLines="50" w:line="300" w:lineRule="auto"/>
        <w:rPr>
          <w:b/>
          <w:sz w:val="24"/>
          <w:szCs w:val="22"/>
        </w:rPr>
      </w:pPr>
      <w:r>
        <w:rPr>
          <w:b/>
          <w:sz w:val="24"/>
          <w:szCs w:val="22"/>
        </w:rPr>
        <w:t>六、课程教学目标达成度评价</w:t>
      </w:r>
    </w:p>
    <w:p>
      <w:pPr>
        <w:adjustRightInd w:val="0"/>
        <w:snapToGrid w:val="0"/>
        <w:spacing w:line="300" w:lineRule="auto"/>
        <w:ind w:firstLine="420" w:firstLineChars="200"/>
        <w:rPr>
          <w:color w:val="FF0000"/>
          <w:szCs w:val="21"/>
        </w:rPr>
      </w:pPr>
      <w:r>
        <w:rPr>
          <w:color w:val="000000"/>
          <w:szCs w:val="21"/>
        </w:rPr>
        <w:t>1</w:t>
      </w:r>
      <w:r>
        <w:rPr>
          <w:szCs w:val="22"/>
        </w:rPr>
        <w:t>．</w:t>
      </w:r>
      <w:r>
        <w:rPr>
          <w:color w:val="000000"/>
          <w:szCs w:val="21"/>
        </w:rPr>
        <w:t>达成度评价依据和方法</w:t>
      </w:r>
    </w:p>
    <w:p>
      <w:pPr>
        <w:adjustRightInd w:val="0"/>
        <w:snapToGrid w:val="0"/>
        <w:spacing w:line="300" w:lineRule="auto"/>
        <w:ind w:firstLine="420" w:firstLineChars="200"/>
        <w:rPr>
          <w:szCs w:val="22"/>
        </w:rPr>
      </w:pPr>
      <w:r>
        <w:rPr>
          <w:szCs w:val="22"/>
        </w:rPr>
        <w:t>课程各目标达成情况为该项目学生的平均得分率，其计算公式为：</w:t>
      </w:r>
    </w:p>
    <w:p>
      <w:pPr>
        <w:adjustRightInd w:val="0"/>
        <w:snapToGrid w:val="0"/>
        <w:spacing w:line="300" w:lineRule="auto"/>
        <w:jc w:val="center"/>
        <w:rPr>
          <w:szCs w:val="22"/>
        </w:rPr>
      </w:pPr>
      <w:r>
        <w:rPr>
          <w:position w:val="-26"/>
          <w:szCs w:val="22"/>
        </w:rPr>
        <w:object>
          <v:shape id="_x0000_i1098" o:spt="75" type="#_x0000_t75" style="height:29.25pt;width:361.5pt;" o:ole="t" filled="f" o:preferrelative="t" stroked="f" coordsize="21600,21600">
            <v:path/>
            <v:fill on="f" focussize="0,0"/>
            <v:stroke on="f" joinstyle="miter"/>
            <v:imagedata r:id="rId36" o:title=""/>
            <o:lock v:ext="edit" aspectratio="t"/>
            <w10:wrap type="none"/>
            <w10:anchorlock/>
          </v:shape>
          <o:OLEObject Type="Embed" ProgID="Equation.3" ShapeID="_x0000_i1098" DrawAspect="Content" ObjectID="_1468075797" r:id="rId110">
            <o:LockedField>false</o:LockedField>
          </o:OLEObject>
        </w:object>
      </w:r>
    </w:p>
    <w:p>
      <w:pPr>
        <w:adjustRightInd w:val="0"/>
        <w:snapToGrid w:val="0"/>
        <w:spacing w:line="300" w:lineRule="auto"/>
        <w:ind w:firstLine="420" w:firstLineChars="200"/>
        <w:rPr>
          <w:szCs w:val="22"/>
        </w:rPr>
      </w:pPr>
      <w:r>
        <w:rPr>
          <w:szCs w:val="22"/>
        </w:rPr>
        <w:t>课程总目标达成情况为各个课程目标的加权得分率，其计算公式为：</w:t>
      </w:r>
    </w:p>
    <w:p>
      <w:pPr>
        <w:adjustRightInd w:val="0"/>
        <w:snapToGrid w:val="0"/>
        <w:spacing w:line="300" w:lineRule="auto"/>
        <w:jc w:val="center"/>
        <w:rPr>
          <w:szCs w:val="22"/>
        </w:rPr>
      </w:pPr>
      <w:r>
        <w:rPr>
          <w:szCs w:val="22"/>
        </w:rPr>
        <w:t xml:space="preserve"> </w:t>
      </w:r>
      <w:r>
        <w:rPr>
          <w:szCs w:val="22"/>
        </w:rPr>
        <w:object>
          <v:shape id="_x0000_i1099" o:spt="75" type="#_x0000_t75" style="height:18pt;width:265.5pt;" o:ole="t" filled="f" o:preferrelative="t" stroked="f" coordsize="21600,21600">
            <v:path/>
            <v:fill on="f" focussize="0,0"/>
            <v:stroke on="f" joinstyle="miter"/>
            <v:imagedata r:id="rId38" o:title=""/>
            <o:lock v:ext="edit" aspectratio="t"/>
            <w10:wrap type="none"/>
            <w10:anchorlock/>
          </v:shape>
          <o:OLEObject Type="Embed" ProgID="Equation.DSMT4" ShapeID="_x0000_i1099" DrawAspect="Content" ObjectID="_1468075798" r:id="rId111">
            <o:LockedField>false</o:LockedField>
          </o:OLEObject>
        </w:object>
      </w:r>
    </w:p>
    <w:p>
      <w:pPr>
        <w:adjustRightInd w:val="0"/>
        <w:snapToGrid w:val="0"/>
        <w:spacing w:line="300" w:lineRule="auto"/>
        <w:rPr>
          <w:szCs w:val="22"/>
        </w:rPr>
      </w:pPr>
      <w:r>
        <w:rPr>
          <w:szCs w:val="22"/>
        </w:rPr>
        <w:t>其中权重系数按照表5设定。</w:t>
      </w:r>
    </w:p>
    <w:p>
      <w:pPr>
        <w:snapToGrid w:val="0"/>
        <w:spacing w:before="156" w:beforeLines="50" w:line="300" w:lineRule="auto"/>
        <w:jc w:val="center"/>
        <w:rPr>
          <w:b/>
          <w:bCs/>
          <w:color w:val="000000"/>
          <w:sz w:val="18"/>
          <w:szCs w:val="18"/>
        </w:rPr>
      </w:pPr>
      <w:r>
        <w:rPr>
          <w:b/>
          <w:bCs/>
          <w:color w:val="000000"/>
          <w:sz w:val="18"/>
          <w:szCs w:val="18"/>
        </w:rPr>
        <w:t>表5课程目标权重系数</w:t>
      </w:r>
    </w:p>
    <w:tbl>
      <w:tblPr>
        <w:tblStyle w:val="22"/>
        <w:tblW w:w="5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94"/>
        <w:gridCol w:w="1416"/>
        <w:gridCol w:w="1420"/>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94" w:type="dxa"/>
            <w:vAlign w:val="center"/>
          </w:tcPr>
          <w:p>
            <w:pPr>
              <w:snapToGrid w:val="0"/>
              <w:spacing w:line="300" w:lineRule="auto"/>
              <w:jc w:val="center"/>
              <w:rPr>
                <w:b/>
                <w:bCs/>
                <w:sz w:val="18"/>
                <w:szCs w:val="18"/>
              </w:rPr>
            </w:pPr>
            <w:r>
              <w:rPr>
                <w:b/>
                <w:bCs/>
                <w:sz w:val="18"/>
                <w:szCs w:val="18"/>
              </w:rPr>
              <w:t>课程目标</w:t>
            </w:r>
          </w:p>
        </w:tc>
        <w:tc>
          <w:tcPr>
            <w:tcW w:w="1416" w:type="dxa"/>
            <w:vAlign w:val="center"/>
          </w:tcPr>
          <w:p>
            <w:pPr>
              <w:snapToGrid w:val="0"/>
              <w:spacing w:line="300" w:lineRule="auto"/>
              <w:jc w:val="center"/>
              <w:rPr>
                <w:sz w:val="18"/>
                <w:szCs w:val="18"/>
              </w:rPr>
            </w:pPr>
            <w:r>
              <w:rPr>
                <w:sz w:val="18"/>
                <w:szCs w:val="18"/>
              </w:rPr>
              <w:t>1</w:t>
            </w:r>
          </w:p>
        </w:tc>
        <w:tc>
          <w:tcPr>
            <w:tcW w:w="1420" w:type="dxa"/>
            <w:vAlign w:val="center"/>
          </w:tcPr>
          <w:p>
            <w:pPr>
              <w:snapToGrid w:val="0"/>
              <w:spacing w:line="300" w:lineRule="auto"/>
              <w:jc w:val="center"/>
              <w:rPr>
                <w:sz w:val="18"/>
                <w:szCs w:val="18"/>
              </w:rPr>
            </w:pPr>
            <w:r>
              <w:rPr>
                <w:sz w:val="18"/>
                <w:szCs w:val="18"/>
              </w:rPr>
              <w:t>2</w:t>
            </w:r>
          </w:p>
        </w:tc>
        <w:tc>
          <w:tcPr>
            <w:tcW w:w="1122"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94" w:type="dxa"/>
            <w:vAlign w:val="center"/>
          </w:tcPr>
          <w:p>
            <w:pPr>
              <w:snapToGrid w:val="0"/>
              <w:spacing w:line="300" w:lineRule="auto"/>
              <w:jc w:val="center"/>
              <w:rPr>
                <w:b/>
                <w:bCs/>
                <w:sz w:val="18"/>
                <w:szCs w:val="18"/>
              </w:rPr>
            </w:pPr>
            <w:r>
              <w:rPr>
                <w:b/>
                <w:bCs/>
                <w:sz w:val="18"/>
                <w:szCs w:val="18"/>
              </w:rPr>
              <w:t>权重系数</w:t>
            </w:r>
          </w:p>
        </w:tc>
        <w:tc>
          <w:tcPr>
            <w:tcW w:w="1416" w:type="dxa"/>
            <w:vAlign w:val="center"/>
          </w:tcPr>
          <w:p>
            <w:pPr>
              <w:snapToGrid w:val="0"/>
              <w:spacing w:line="300" w:lineRule="auto"/>
              <w:jc w:val="center"/>
              <w:rPr>
                <w:sz w:val="18"/>
                <w:szCs w:val="18"/>
              </w:rPr>
            </w:pPr>
            <w:r>
              <w:rPr>
                <w:sz w:val="18"/>
                <w:szCs w:val="18"/>
              </w:rPr>
              <w:t>0.45</w:t>
            </w:r>
          </w:p>
        </w:tc>
        <w:tc>
          <w:tcPr>
            <w:tcW w:w="1420" w:type="dxa"/>
            <w:vAlign w:val="center"/>
          </w:tcPr>
          <w:p>
            <w:pPr>
              <w:snapToGrid w:val="0"/>
              <w:spacing w:line="300" w:lineRule="auto"/>
              <w:jc w:val="center"/>
              <w:rPr>
                <w:sz w:val="18"/>
                <w:szCs w:val="18"/>
              </w:rPr>
            </w:pPr>
            <w:r>
              <w:rPr>
                <w:sz w:val="18"/>
                <w:szCs w:val="18"/>
              </w:rPr>
              <w:t>0.45</w:t>
            </w:r>
          </w:p>
        </w:tc>
        <w:tc>
          <w:tcPr>
            <w:tcW w:w="1122" w:type="dxa"/>
            <w:vAlign w:val="center"/>
          </w:tcPr>
          <w:p>
            <w:pPr>
              <w:snapToGrid w:val="0"/>
              <w:spacing w:line="300" w:lineRule="auto"/>
              <w:jc w:val="center"/>
              <w:rPr>
                <w:sz w:val="18"/>
                <w:szCs w:val="18"/>
              </w:rPr>
            </w:pPr>
            <w:r>
              <w:rPr>
                <w:sz w:val="18"/>
                <w:szCs w:val="18"/>
              </w:rPr>
              <w:t>0.10</w:t>
            </w:r>
          </w:p>
        </w:tc>
      </w:tr>
    </w:tbl>
    <w:p>
      <w:pPr>
        <w:snapToGrid w:val="0"/>
        <w:spacing w:line="300" w:lineRule="auto"/>
        <w:rPr>
          <w:szCs w:val="22"/>
        </w:rPr>
      </w:pPr>
      <w:r>
        <w:rPr>
          <w:szCs w:val="22"/>
        </w:rPr>
        <w:t>课程毕业要求指标点达成情况评价：</w:t>
      </w:r>
    </w:p>
    <w:p>
      <w:pPr>
        <w:snapToGrid w:val="0"/>
        <w:spacing w:line="300" w:lineRule="auto"/>
        <w:ind w:firstLine="420" w:firstLineChars="200"/>
        <w:rPr>
          <w:szCs w:val="22"/>
        </w:rPr>
      </w:pPr>
      <w:r>
        <w:rPr>
          <w:szCs w:val="22"/>
        </w:rPr>
        <w:t>课程支撑毕业要求指标点的达成情况为对应的课程目标达成情况的加权值，其计算公式为：</w:t>
      </w:r>
    </w:p>
    <w:p>
      <w:pPr>
        <w:snapToGrid w:val="0"/>
        <w:spacing w:line="300" w:lineRule="auto"/>
        <w:jc w:val="center"/>
        <w:rPr>
          <w:szCs w:val="22"/>
        </w:rPr>
      </w:pPr>
      <w:r>
        <w:rPr>
          <w:szCs w:val="22"/>
        </w:rPr>
        <w:object>
          <v:shape id="_x0000_i1100" o:spt="75" type="#_x0000_t75" style="height:18.75pt;width:283.5pt;" o:ole="t" filled="f" o:preferrelative="t" stroked="f" coordsize="21600,21600">
            <v:path/>
            <v:fill on="f" focussize="0,0"/>
            <v:stroke on="f" joinstyle="miter"/>
            <v:imagedata r:id="rId40" o:title=""/>
            <o:lock v:ext="edit" aspectratio="t"/>
            <w10:wrap type="none"/>
            <w10:anchorlock/>
          </v:shape>
          <o:OLEObject Type="Embed" ProgID="Equation.3" ShapeID="_x0000_i1100" DrawAspect="Content" ObjectID="_1468075799" r:id="rId112">
            <o:LockedField>false</o:LockedField>
          </o:OLEObject>
        </w:object>
      </w:r>
    </w:p>
    <w:p>
      <w:pPr>
        <w:snapToGrid w:val="0"/>
        <w:spacing w:line="300" w:lineRule="auto"/>
        <w:ind w:firstLine="420" w:firstLineChars="200"/>
        <w:rPr>
          <w:color w:val="000000"/>
          <w:szCs w:val="21"/>
        </w:rPr>
      </w:pPr>
      <w:r>
        <w:rPr>
          <w:color w:val="000000"/>
          <w:szCs w:val="21"/>
        </w:rPr>
        <w:t>2</w:t>
      </w:r>
      <w:r>
        <w:rPr>
          <w:szCs w:val="22"/>
        </w:rPr>
        <w:t>．</w:t>
      </w:r>
      <w:r>
        <w:rPr>
          <w:color w:val="000000"/>
          <w:szCs w:val="21"/>
        </w:rPr>
        <w:t>课程总结要求</w:t>
      </w:r>
    </w:p>
    <w:p>
      <w:pPr>
        <w:snapToGrid w:val="0"/>
        <w:spacing w:line="300" w:lineRule="auto"/>
        <w:ind w:firstLine="420" w:firstLineChars="200"/>
        <w:rPr>
          <w:color w:val="000000"/>
          <w:szCs w:val="21"/>
        </w:rPr>
      </w:pPr>
      <w:r>
        <w:rPr>
          <w:color w:val="00000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b/>
          <w:sz w:val="24"/>
          <w:szCs w:val="22"/>
        </w:rPr>
      </w:pPr>
      <w:r>
        <w:rPr>
          <w:b/>
          <w:sz w:val="24"/>
          <w:szCs w:val="22"/>
        </w:rPr>
        <w:t>七、教材及参考资料</w:t>
      </w:r>
    </w:p>
    <w:p>
      <w:pPr>
        <w:adjustRightInd w:val="0"/>
        <w:snapToGrid w:val="0"/>
        <w:spacing w:line="300" w:lineRule="auto"/>
        <w:ind w:firstLine="420" w:firstLineChars="200"/>
        <w:rPr>
          <w:szCs w:val="22"/>
        </w:rPr>
      </w:pPr>
      <w:r>
        <w:rPr>
          <w:szCs w:val="22"/>
        </w:rPr>
        <w:t>1. .教材</w:t>
      </w:r>
    </w:p>
    <w:p>
      <w:pPr>
        <w:adjustRightInd w:val="0"/>
        <w:snapToGrid w:val="0"/>
        <w:spacing w:line="300" w:lineRule="auto"/>
        <w:ind w:firstLine="420" w:firstLineChars="200"/>
        <w:rPr>
          <w:szCs w:val="22"/>
        </w:rPr>
      </w:pPr>
      <w:r>
        <w:rPr>
          <w:szCs w:val="22"/>
        </w:rPr>
        <w:t>[1] 郭洪红，工业机器人技术[M]，西安：西安电子科技大学出版社，2006年。</w:t>
      </w:r>
    </w:p>
    <w:p>
      <w:pPr>
        <w:adjustRightInd w:val="0"/>
        <w:snapToGrid w:val="0"/>
        <w:spacing w:line="300" w:lineRule="auto"/>
        <w:ind w:firstLine="420" w:firstLineChars="200"/>
        <w:rPr>
          <w:szCs w:val="22"/>
        </w:rPr>
      </w:pPr>
      <w:r>
        <w:rPr>
          <w:szCs w:val="22"/>
        </w:rPr>
        <w:t>2. 参考资料</w:t>
      </w:r>
    </w:p>
    <w:p>
      <w:pPr>
        <w:adjustRightInd w:val="0"/>
        <w:snapToGrid w:val="0"/>
        <w:spacing w:line="300" w:lineRule="auto"/>
        <w:ind w:firstLine="411" w:firstLineChars="196"/>
        <w:rPr>
          <w:szCs w:val="21"/>
        </w:rPr>
      </w:pPr>
      <w:r>
        <w:rPr>
          <w:szCs w:val="22"/>
        </w:rPr>
        <w:t>[1]</w:t>
      </w:r>
      <w:r>
        <w:rPr>
          <w:szCs w:val="21"/>
        </w:rPr>
        <w:t xml:space="preserve"> 官建军，李建明.无人机遥感测绘技术及应用.</w:t>
      </w:r>
      <w:r>
        <w:rPr>
          <w:szCs w:val="22"/>
        </w:rPr>
        <w:t>西安：西北工业大学</w:t>
      </w:r>
      <w:r>
        <w:rPr>
          <w:szCs w:val="21"/>
        </w:rPr>
        <w:t>出版社，2018</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tc>
      </w:tr>
    </w:tbl>
    <w:p>
      <w:pPr>
        <w:keepNext/>
        <w:keepLines/>
        <w:spacing w:before="260" w:after="260" w:line="413" w:lineRule="auto"/>
        <w:jc w:val="center"/>
        <w:outlineLvl w:val="3"/>
        <w:rPr>
          <w:rFonts w:ascii="Times New Roman" w:hAnsi="Times New Roman" w:eastAsia="宋体" w:cs="Times New Roman"/>
          <w:b/>
          <w:sz w:val="32"/>
        </w:rPr>
        <w:sectPr>
          <w:pgSz w:w="11906" w:h="16838"/>
          <w:pgMar w:top="1440" w:right="1800" w:bottom="1440" w:left="1800" w:header="851" w:footer="992" w:gutter="0"/>
          <w:cols w:space="425" w:num="1"/>
          <w:docGrid w:type="lines" w:linePitch="312" w:charSpace="0"/>
        </w:sectPr>
      </w:pPr>
    </w:p>
    <w:p>
      <w:pPr>
        <w:keepNext/>
        <w:keepLines/>
        <w:spacing w:before="260" w:after="260" w:line="413" w:lineRule="auto"/>
        <w:jc w:val="center"/>
        <w:outlineLvl w:val="3"/>
        <w:rPr>
          <w:rFonts w:ascii="Times New Roman" w:hAnsi="Times New Roman" w:eastAsia="宋体" w:cs="Times New Roman"/>
          <w:b/>
          <w:sz w:val="32"/>
        </w:rPr>
        <w:sectPr>
          <w:type w:val="continuous"/>
          <w:pgSz w:w="11906" w:h="16838"/>
          <w:pgMar w:top="1440" w:right="1800" w:bottom="1440" w:left="1800" w:header="851" w:footer="992" w:gutter="0"/>
          <w:cols w:space="425" w:num="1"/>
          <w:docGrid w:type="lines" w:linePitch="312" w:charSpace="0"/>
        </w:sectPr>
      </w:pPr>
    </w:p>
    <w:p>
      <w:pPr>
        <w:keepNext/>
        <w:keepLines/>
        <w:spacing w:before="260" w:after="260" w:line="413" w:lineRule="auto"/>
        <w:jc w:val="center"/>
        <w:outlineLvl w:val="3"/>
        <w:rPr>
          <w:rFonts w:ascii="Times New Roman" w:hAnsi="Times New Roman" w:eastAsia="宋体" w:cs="Times New Roman"/>
          <w:b/>
          <w:sz w:val="32"/>
        </w:rPr>
      </w:pPr>
      <w:bookmarkStart w:id="144" w:name="_Toc16432"/>
      <w:r>
        <w:rPr>
          <w:rFonts w:ascii="Times New Roman" w:hAnsi="Times New Roman" w:eastAsia="宋体" w:cs="Times New Roman"/>
          <w:b/>
          <w:sz w:val="32"/>
        </w:rPr>
        <w:t>33452001《算法与数据结构》课程教学大纲</w:t>
      </w:r>
      <w:bookmarkEnd w:id="140"/>
      <w:bookmarkEnd w:id="141"/>
      <w:bookmarkEnd w:id="142"/>
      <w:bookmarkEnd w:id="143"/>
      <w:bookmarkEnd w:id="144"/>
    </w:p>
    <w:tbl>
      <w:tblPr>
        <w:tblStyle w:val="22"/>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128"/>
        <w:gridCol w:w="15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szCs w:val="21"/>
              </w:rPr>
            </w:pPr>
            <w:r>
              <w:rPr>
                <w:szCs w:val="21"/>
              </w:rPr>
              <w:t>课程编号</w:t>
            </w:r>
          </w:p>
        </w:tc>
        <w:tc>
          <w:tcPr>
            <w:tcW w:w="2128" w:type="dxa"/>
            <w:vAlign w:val="center"/>
          </w:tcPr>
          <w:p>
            <w:pPr>
              <w:jc w:val="center"/>
              <w:rPr>
                <w:szCs w:val="21"/>
              </w:rPr>
            </w:pPr>
            <w:r>
              <w:rPr>
                <w:szCs w:val="21"/>
              </w:rPr>
              <w:t>33452001</w:t>
            </w:r>
          </w:p>
        </w:tc>
        <w:tc>
          <w:tcPr>
            <w:tcW w:w="1559" w:type="dxa"/>
            <w:vAlign w:val="center"/>
          </w:tcPr>
          <w:p>
            <w:pPr>
              <w:jc w:val="center"/>
              <w:rPr>
                <w:szCs w:val="21"/>
              </w:rPr>
            </w:pPr>
            <w:r>
              <w:rPr>
                <w:szCs w:val="21"/>
              </w:rPr>
              <w:t>课程名称</w:t>
            </w:r>
          </w:p>
        </w:tc>
        <w:tc>
          <w:tcPr>
            <w:tcW w:w="3261" w:type="dxa"/>
            <w:vAlign w:val="center"/>
          </w:tcPr>
          <w:p>
            <w:pPr>
              <w:jc w:val="center"/>
              <w:rPr>
                <w:szCs w:val="21"/>
              </w:rPr>
            </w:pPr>
            <w:r>
              <w:rPr>
                <w:szCs w:val="21"/>
              </w:rPr>
              <w:t>算法与数据结构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szCs w:val="21"/>
              </w:rPr>
            </w:pPr>
            <w:r>
              <w:rPr>
                <w:szCs w:val="21"/>
              </w:rPr>
              <w:t>课程性质*</w:t>
            </w:r>
          </w:p>
        </w:tc>
        <w:tc>
          <w:tcPr>
            <w:tcW w:w="2128" w:type="dxa"/>
            <w:vAlign w:val="center"/>
          </w:tcPr>
          <w:p>
            <w:pPr>
              <w:widowControl/>
              <w:jc w:val="center"/>
              <w:rPr>
                <w:szCs w:val="21"/>
              </w:rPr>
            </w:pPr>
            <w:r>
              <w:rPr>
                <w:szCs w:val="21"/>
              </w:rPr>
              <w:t>专业类</w:t>
            </w:r>
          </w:p>
        </w:tc>
        <w:tc>
          <w:tcPr>
            <w:tcW w:w="1559" w:type="dxa"/>
            <w:vAlign w:val="center"/>
          </w:tcPr>
          <w:p>
            <w:pPr>
              <w:jc w:val="center"/>
              <w:rPr>
                <w:szCs w:val="21"/>
              </w:rPr>
            </w:pPr>
            <w:r>
              <w:rPr>
                <w:szCs w:val="21"/>
              </w:rPr>
              <w:t>英文名称</w:t>
            </w:r>
          </w:p>
        </w:tc>
        <w:tc>
          <w:tcPr>
            <w:tcW w:w="3261" w:type="dxa"/>
            <w:vAlign w:val="center"/>
          </w:tcPr>
          <w:p>
            <w:pPr>
              <w:jc w:val="center"/>
              <w:rPr>
                <w:szCs w:val="21"/>
              </w:rPr>
            </w:pPr>
            <w:r>
              <w:rPr>
                <w:szCs w:val="21"/>
              </w:rPr>
              <w:t>Algorithm and Data Structure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3" w:type="dxa"/>
            <w:vAlign w:val="center"/>
          </w:tcPr>
          <w:p>
            <w:pPr>
              <w:jc w:val="center"/>
              <w:rPr>
                <w:szCs w:val="21"/>
              </w:rPr>
            </w:pPr>
            <w:r>
              <w:rPr>
                <w:szCs w:val="21"/>
              </w:rPr>
              <w:t>学分学时</w:t>
            </w:r>
          </w:p>
        </w:tc>
        <w:tc>
          <w:tcPr>
            <w:tcW w:w="2128" w:type="dxa"/>
            <w:vAlign w:val="center"/>
          </w:tcPr>
          <w:p>
            <w:pPr>
              <w:jc w:val="center"/>
              <w:rPr>
                <w:szCs w:val="21"/>
              </w:rPr>
            </w:pPr>
            <w:r>
              <w:rPr>
                <w:szCs w:val="21"/>
              </w:rPr>
              <w:t>2</w:t>
            </w:r>
            <w:r>
              <w:rPr>
                <w:bCs/>
                <w:kern w:val="0"/>
                <w:szCs w:val="21"/>
              </w:rPr>
              <w:t xml:space="preserve"> </w:t>
            </w:r>
            <w:r>
              <w:rPr>
                <w:kern w:val="0"/>
                <w:szCs w:val="21"/>
              </w:rPr>
              <w:t xml:space="preserve">: </w:t>
            </w:r>
            <w:r>
              <w:rPr>
                <w:szCs w:val="21"/>
              </w:rPr>
              <w:t>32（8）</w:t>
            </w:r>
          </w:p>
        </w:tc>
        <w:tc>
          <w:tcPr>
            <w:tcW w:w="1559" w:type="dxa"/>
            <w:vAlign w:val="center"/>
          </w:tcPr>
          <w:p>
            <w:pPr>
              <w:jc w:val="center"/>
              <w:rPr>
                <w:szCs w:val="21"/>
              </w:rPr>
            </w:pPr>
            <w:r>
              <w:rPr>
                <w:szCs w:val="21"/>
              </w:rPr>
              <w:t>任课教师</w:t>
            </w:r>
          </w:p>
        </w:tc>
        <w:tc>
          <w:tcPr>
            <w:tcW w:w="3261" w:type="dxa"/>
            <w:vAlign w:val="center"/>
          </w:tcPr>
          <w:p>
            <w:pPr>
              <w:jc w:val="center"/>
              <w:rPr>
                <w:szCs w:val="21"/>
              </w:rPr>
            </w:pPr>
            <w:r>
              <w:rPr>
                <w:szCs w:val="21"/>
              </w:rPr>
              <w:t>邹阿金，彭银桥，邓锐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23" w:type="dxa"/>
            <w:vAlign w:val="center"/>
          </w:tcPr>
          <w:p>
            <w:pPr>
              <w:jc w:val="center"/>
              <w:rPr>
                <w:szCs w:val="21"/>
              </w:rPr>
            </w:pPr>
            <w:r>
              <w:rPr>
                <w:szCs w:val="21"/>
              </w:rPr>
              <w:t>企业专家</w:t>
            </w:r>
          </w:p>
        </w:tc>
        <w:tc>
          <w:tcPr>
            <w:tcW w:w="2128" w:type="dxa"/>
            <w:vAlign w:val="center"/>
          </w:tcPr>
          <w:p>
            <w:pPr>
              <w:widowControl/>
              <w:jc w:val="center"/>
              <w:rPr>
                <w:szCs w:val="21"/>
              </w:rPr>
            </w:pPr>
            <w:r>
              <w:rPr>
                <w:szCs w:val="21"/>
              </w:rPr>
              <w:t>曾耿滨</w:t>
            </w:r>
          </w:p>
        </w:tc>
        <w:tc>
          <w:tcPr>
            <w:tcW w:w="1559" w:type="dxa"/>
            <w:vAlign w:val="center"/>
          </w:tcPr>
          <w:p>
            <w:pPr>
              <w:jc w:val="center"/>
              <w:rPr>
                <w:szCs w:val="21"/>
              </w:rPr>
            </w:pPr>
            <w:r>
              <w:rPr>
                <w:szCs w:val="21"/>
              </w:rPr>
              <w:t>行业专家</w:t>
            </w:r>
          </w:p>
        </w:tc>
        <w:tc>
          <w:tcPr>
            <w:tcW w:w="3261" w:type="dxa"/>
            <w:vAlign w:val="center"/>
          </w:tcPr>
          <w:p>
            <w:pPr>
              <w:widowControl/>
              <w:jc w:val="center"/>
              <w:rPr>
                <w:szCs w:val="21"/>
              </w:rPr>
            </w:pPr>
            <w:r>
              <w:rPr>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823" w:type="dxa"/>
            <w:vAlign w:val="center"/>
          </w:tcPr>
          <w:p>
            <w:pPr>
              <w:jc w:val="center"/>
              <w:rPr>
                <w:szCs w:val="21"/>
              </w:rPr>
            </w:pPr>
            <w:r>
              <w:rPr>
                <w:szCs w:val="21"/>
              </w:rPr>
              <w:t>执笔教师</w:t>
            </w:r>
          </w:p>
        </w:tc>
        <w:tc>
          <w:tcPr>
            <w:tcW w:w="2128" w:type="dxa"/>
            <w:vAlign w:val="center"/>
          </w:tcPr>
          <w:p>
            <w:pPr>
              <w:jc w:val="center"/>
              <w:rPr>
                <w:szCs w:val="21"/>
              </w:rPr>
            </w:pPr>
            <w:r>
              <w:rPr>
                <w:szCs w:val="21"/>
              </w:rPr>
              <w:t>邹阿金</w:t>
            </w:r>
          </w:p>
        </w:tc>
        <w:tc>
          <w:tcPr>
            <w:tcW w:w="1559" w:type="dxa"/>
            <w:vAlign w:val="center"/>
          </w:tcPr>
          <w:p>
            <w:pPr>
              <w:jc w:val="center"/>
              <w:rPr>
                <w:szCs w:val="21"/>
              </w:rPr>
            </w:pPr>
            <w:r>
              <w:rPr>
                <w:szCs w:val="21"/>
              </w:rPr>
              <w:t>责任教授</w:t>
            </w:r>
          </w:p>
        </w:tc>
        <w:tc>
          <w:tcPr>
            <w:tcW w:w="3261" w:type="dxa"/>
            <w:vAlign w:val="center"/>
          </w:tcPr>
          <w:p>
            <w:pPr>
              <w:jc w:val="center"/>
              <w:rPr>
                <w:szCs w:val="21"/>
              </w:rPr>
            </w:pPr>
            <w:r>
              <w:rPr>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23" w:type="dxa"/>
            <w:vAlign w:val="center"/>
          </w:tcPr>
          <w:p>
            <w:pPr>
              <w:jc w:val="center"/>
              <w:rPr>
                <w:szCs w:val="21"/>
              </w:rPr>
            </w:pPr>
            <w:r>
              <w:rPr>
                <w:szCs w:val="21"/>
              </w:rPr>
              <w:t>适用专业</w:t>
            </w:r>
          </w:p>
        </w:tc>
        <w:tc>
          <w:tcPr>
            <w:tcW w:w="2128" w:type="dxa"/>
            <w:vAlign w:val="center"/>
          </w:tcPr>
          <w:p>
            <w:pPr>
              <w:jc w:val="center"/>
              <w:rPr>
                <w:szCs w:val="21"/>
              </w:rPr>
            </w:pPr>
            <w:r>
              <w:rPr>
                <w:szCs w:val="21"/>
              </w:rPr>
              <w:t>电子信息工程</w:t>
            </w:r>
          </w:p>
        </w:tc>
        <w:tc>
          <w:tcPr>
            <w:tcW w:w="1559" w:type="dxa"/>
            <w:vAlign w:val="center"/>
          </w:tcPr>
          <w:p>
            <w:pPr>
              <w:jc w:val="center"/>
              <w:rPr>
                <w:szCs w:val="21"/>
              </w:rPr>
            </w:pPr>
            <w:r>
              <w:rPr>
                <w:szCs w:val="21"/>
              </w:rPr>
              <w:t>适用对象</w:t>
            </w:r>
          </w:p>
        </w:tc>
        <w:tc>
          <w:tcPr>
            <w:tcW w:w="3261" w:type="dxa"/>
            <w:vAlign w:val="center"/>
          </w:tcPr>
          <w:p>
            <w:pPr>
              <w:jc w:val="center"/>
              <w:rPr>
                <w:szCs w:val="21"/>
              </w:rPr>
            </w:pPr>
            <w:r>
              <w:rPr>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23" w:type="dxa"/>
            <w:vAlign w:val="center"/>
          </w:tcPr>
          <w:p>
            <w:pPr>
              <w:jc w:val="center"/>
              <w:rPr>
                <w:szCs w:val="21"/>
              </w:rPr>
            </w:pPr>
            <w:r>
              <w:rPr>
                <w:szCs w:val="21"/>
              </w:rPr>
              <w:t>先修课程</w:t>
            </w:r>
          </w:p>
        </w:tc>
        <w:tc>
          <w:tcPr>
            <w:tcW w:w="2128" w:type="dxa"/>
            <w:vAlign w:val="center"/>
          </w:tcPr>
          <w:p>
            <w:pPr>
              <w:jc w:val="center"/>
              <w:rPr>
                <w:szCs w:val="21"/>
              </w:rPr>
            </w:pPr>
            <w:r>
              <w:rPr>
                <w:szCs w:val="21"/>
              </w:rPr>
              <w:t>C语言程序设计、</w:t>
            </w:r>
          </w:p>
          <w:p>
            <w:pPr>
              <w:jc w:val="center"/>
              <w:rPr>
                <w:szCs w:val="21"/>
              </w:rPr>
            </w:pPr>
            <w:r>
              <w:rPr>
                <w:bCs/>
                <w:kern w:val="0"/>
                <w:szCs w:val="21"/>
              </w:rPr>
              <w:t>工程数学</w:t>
            </w:r>
          </w:p>
        </w:tc>
        <w:tc>
          <w:tcPr>
            <w:tcW w:w="1559" w:type="dxa"/>
            <w:vAlign w:val="center"/>
          </w:tcPr>
          <w:p>
            <w:pPr>
              <w:snapToGrid w:val="0"/>
              <w:spacing w:line="300" w:lineRule="auto"/>
              <w:jc w:val="center"/>
              <w:rPr>
                <w:szCs w:val="21"/>
              </w:rPr>
            </w:pPr>
            <w:r>
              <w:rPr>
                <w:szCs w:val="21"/>
              </w:rPr>
              <w:t>同修课程</w:t>
            </w:r>
          </w:p>
        </w:tc>
        <w:tc>
          <w:tcPr>
            <w:tcW w:w="3261" w:type="dxa"/>
            <w:vAlign w:val="center"/>
          </w:tcPr>
          <w:p>
            <w:pPr>
              <w:widowControl/>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823" w:type="dxa"/>
            <w:vAlign w:val="center"/>
          </w:tcPr>
          <w:p>
            <w:pPr>
              <w:jc w:val="center"/>
              <w:rPr>
                <w:szCs w:val="21"/>
              </w:rPr>
            </w:pPr>
            <w:r>
              <w:rPr>
                <w:szCs w:val="21"/>
              </w:rPr>
              <w:t>排斥课程</w:t>
            </w:r>
          </w:p>
        </w:tc>
        <w:tc>
          <w:tcPr>
            <w:tcW w:w="2128" w:type="dxa"/>
            <w:vAlign w:val="center"/>
          </w:tcPr>
          <w:p>
            <w:pPr>
              <w:widowControl/>
              <w:jc w:val="center"/>
              <w:rPr>
                <w:szCs w:val="21"/>
              </w:rPr>
            </w:pPr>
            <w:r>
              <w:rPr>
                <w:szCs w:val="21"/>
              </w:rPr>
              <w:t>无</w:t>
            </w:r>
          </w:p>
        </w:tc>
        <w:tc>
          <w:tcPr>
            <w:tcW w:w="1559" w:type="dxa"/>
            <w:vAlign w:val="center"/>
          </w:tcPr>
          <w:p>
            <w:pPr>
              <w:snapToGrid w:val="0"/>
              <w:spacing w:line="300" w:lineRule="auto"/>
              <w:jc w:val="center"/>
              <w:rPr>
                <w:szCs w:val="21"/>
              </w:rPr>
            </w:pPr>
            <w:r>
              <w:rPr>
                <w:szCs w:val="21"/>
              </w:rPr>
              <w:t>定稿日期</w:t>
            </w:r>
          </w:p>
        </w:tc>
        <w:tc>
          <w:tcPr>
            <w:tcW w:w="3261" w:type="dxa"/>
            <w:vAlign w:val="center"/>
          </w:tcPr>
          <w:p>
            <w:pPr>
              <w:widowControl/>
              <w:jc w:val="center"/>
              <w:rPr>
                <w:szCs w:val="21"/>
              </w:rPr>
            </w:pPr>
            <w:r>
              <w:rPr>
                <w:rFonts w:hint="eastAsia"/>
                <w:kern w:val="0"/>
                <w:szCs w:val="21"/>
              </w:rPr>
              <w:t>2022.5.10</w:t>
            </w:r>
          </w:p>
        </w:tc>
      </w:tr>
    </w:tbl>
    <w:p>
      <w:pPr>
        <w:snapToGrid w:val="0"/>
        <w:spacing w:line="300" w:lineRule="auto"/>
        <w:ind w:firstLine="480"/>
        <w:rPr>
          <w:b/>
          <w:sz w:val="24"/>
        </w:rPr>
      </w:pPr>
      <w:r>
        <w:rPr>
          <w:kern w:val="0"/>
          <w:szCs w:val="20"/>
        </w:rPr>
        <w:t>*</w:t>
      </w:r>
      <w:r>
        <w:rPr>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pPr>
      <w:r>
        <w:t>《算法与数据结构》是电子信息工程专业一门重要的学科专业拓展课，是计算机学科的算法理论基础和软件设计的技术基础，主要研究信息的逻辑结构及其操作在计算机中的表示和实现。它不仅是计算机专业的核心课程，而且已成为其它理工专业的热门选修课程。本课程综述了数据、数据结构和抽象数据类型等概念；从抽象数据类型的角度，分别阐述了线性表、栈、队列、串、数组、广义表、树和二叉树及图等基本类型的数据结构及其应用，详细介绍了数据的查找和排序等常用算法。</w:t>
      </w:r>
    </w:p>
    <w:p>
      <w:pPr>
        <w:snapToGrid w:val="0"/>
        <w:spacing w:before="156" w:beforeLines="50" w:after="156" w:afterLines="50" w:line="300" w:lineRule="auto"/>
        <w:rPr>
          <w:b/>
          <w:sz w:val="24"/>
        </w:rPr>
      </w:pPr>
      <w:r>
        <w:rPr>
          <w:b/>
          <w:sz w:val="24"/>
        </w:rPr>
        <w:t>二、课程教学目标</w:t>
      </w:r>
    </w:p>
    <w:p>
      <w:pPr>
        <w:snapToGrid w:val="0"/>
        <w:spacing w:line="300" w:lineRule="auto"/>
        <w:ind w:firstLine="420" w:firstLineChars="200"/>
      </w:pPr>
      <w:r>
        <w:t>《算法与数据结构》是信息管理与信息系统专业中的一门专业拓展课，在计算机软件的各个领域中均会使用到数据结构的相关知识。本课程的目的和任务是使学生较全面地掌握各种常用的数据结构和基本的算法，为以后学习程序设计与系统开发类课程提供必要的基础，提高学生运用数据结构解决实际问题的能力，并在教学过程中，讲述算法与数据结构技术的发展历史，培养学生以科学报国的爱国主义情怀。</w:t>
      </w:r>
    </w:p>
    <w:p>
      <w:pPr>
        <w:snapToGrid w:val="0"/>
        <w:spacing w:line="300" w:lineRule="auto"/>
        <w:ind w:firstLine="420" w:firstLineChars="200"/>
      </w:pPr>
      <w:r>
        <w:t>1</w:t>
      </w:r>
      <w:r>
        <w:rPr>
          <w:kern w:val="0"/>
          <w:szCs w:val="21"/>
        </w:rPr>
        <w:t>．</w:t>
      </w:r>
      <w:r>
        <w:t>掌握算法与数据结构的基本概念、基本分析方法和处理技术；掌握数据结构和算法设计与分析方法；[1.2]</w:t>
      </w:r>
    </w:p>
    <w:p>
      <w:pPr>
        <w:snapToGrid w:val="0"/>
        <w:spacing w:line="300" w:lineRule="auto"/>
        <w:ind w:firstLine="420" w:firstLineChars="200"/>
      </w:pPr>
      <w:r>
        <w:t>2</w:t>
      </w:r>
      <w:r>
        <w:rPr>
          <w:kern w:val="0"/>
          <w:szCs w:val="21"/>
        </w:rPr>
        <w:t>．</w:t>
      </w:r>
      <w:r>
        <w:t xml:space="preserve">掌握线性表、栈、队列、串、数组、广义表、树和二叉树及图等基本类型的数据结构及其应用；掌握数据的查找与排序算法，使学生具有算法分析和运用数据结构编程的能力； [4.1] </w:t>
      </w:r>
    </w:p>
    <w:p>
      <w:pPr>
        <w:snapToGrid w:val="0"/>
        <w:spacing w:line="300" w:lineRule="auto"/>
        <w:ind w:firstLine="420" w:firstLineChars="200"/>
      </w:pPr>
      <w:r>
        <w:t>3．通过本课程的学习，培养学生从数学概念、物理概念及工程概念去分析问题和解决问题的能力；具备对复杂工程问题进行仿真的能力，并能够通过算法分析理解其局限性。[5.2]</w:t>
      </w:r>
    </w:p>
    <w:p>
      <w:pPr>
        <w:snapToGrid w:val="0"/>
        <w:spacing w:before="156" w:line="300" w:lineRule="auto"/>
        <w:ind w:firstLine="420" w:firstLineChars="200"/>
        <w:rPr>
          <w:b/>
          <w:kern w:val="0"/>
          <w:sz w:val="18"/>
          <w:szCs w:val="18"/>
        </w:rPr>
      </w:pPr>
      <w:r>
        <w:rPr>
          <w:szCs w:val="21"/>
        </w:rPr>
        <w:t>课程教学目标与毕业要求的对应关系如表1所示</w:t>
      </w:r>
      <w:r>
        <w:rPr>
          <w:rFonts w:hint="eastAsia"/>
          <w:szCs w:val="21"/>
        </w:rPr>
        <w:t>。</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表1毕业要求指标点实现矩阵</w:t>
      </w:r>
    </w:p>
    <w:tbl>
      <w:tblPr>
        <w:tblStyle w:val="22"/>
        <w:tblW w:w="8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479"/>
        <w:gridCol w:w="5785"/>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228" w:lineRule="auto"/>
              <w:jc w:val="center"/>
              <w:rPr>
                <w:b/>
                <w:sz w:val="18"/>
                <w:szCs w:val="18"/>
              </w:rPr>
            </w:pPr>
            <w:r>
              <w:rPr>
                <w:b/>
                <w:sz w:val="18"/>
                <w:szCs w:val="18"/>
              </w:rPr>
              <w:t>毕业要求</w:t>
            </w:r>
          </w:p>
        </w:tc>
        <w:tc>
          <w:tcPr>
            <w:tcW w:w="5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b/>
                <w:sz w:val="18"/>
                <w:szCs w:val="18"/>
              </w:rPr>
            </w:pPr>
            <w:r>
              <w:rPr>
                <w:b/>
                <w:sz w:val="18"/>
                <w:szCs w:val="18"/>
              </w:rPr>
              <w:t>毕业要求指标点</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b/>
                <w:sz w:val="18"/>
                <w:szCs w:val="18"/>
              </w:rPr>
            </w:pPr>
            <w:r>
              <w:rPr>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6" w:hRule="atLeast"/>
          <w:jc w:val="center"/>
        </w:trPr>
        <w:tc>
          <w:tcPr>
            <w:tcW w:w="1479"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rPr>
                <w:sz w:val="18"/>
                <w:szCs w:val="18"/>
              </w:rPr>
            </w:pPr>
            <w:r>
              <w:rPr>
                <w:sz w:val="18"/>
                <w:szCs w:val="18"/>
              </w:rPr>
              <w:t>1</w:t>
            </w:r>
            <w:r>
              <w:rPr>
                <w:kern w:val="0"/>
                <w:szCs w:val="21"/>
              </w:rPr>
              <w:t>．</w:t>
            </w:r>
            <w:r>
              <w:rPr>
                <w:sz w:val="18"/>
                <w:szCs w:val="18"/>
              </w:rPr>
              <w:t>工程知识</w:t>
            </w:r>
          </w:p>
        </w:tc>
        <w:tc>
          <w:tcPr>
            <w:tcW w:w="5785"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rPr>
                <w:kern w:val="0"/>
                <w:sz w:val="24"/>
                <w:szCs w:val="21"/>
              </w:rPr>
            </w:pPr>
            <w:r>
              <w:rPr>
                <w:kern w:val="0"/>
                <w:sz w:val="18"/>
                <w:szCs w:val="18"/>
              </w:rPr>
              <w:t>1.2掌握计算机、电子、信息、通信、测控及其它工程基础知识，并有效将其应用于电子信息领域工程问题</w:t>
            </w:r>
            <w:r>
              <w:rPr>
                <w:rFonts w:hint="eastAsia"/>
                <w:kern w:val="0"/>
                <w:sz w:val="18"/>
                <w:szCs w:val="18"/>
              </w:rPr>
              <w:t>（含海洋电子信息领域）</w:t>
            </w:r>
            <w:r>
              <w:rPr>
                <w:kern w:val="0"/>
                <w:sz w:val="18"/>
                <w:szCs w:val="18"/>
              </w:rPr>
              <w:t>的软硬件分析与设计。</w:t>
            </w:r>
          </w:p>
        </w:tc>
        <w:tc>
          <w:tcPr>
            <w:tcW w:w="743"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1479" w:type="dxa"/>
            <w:tcBorders>
              <w:left w:val="single" w:color="auto" w:sz="4" w:space="0"/>
              <w:right w:val="single" w:color="auto" w:sz="4" w:space="0"/>
            </w:tcBorders>
            <w:shd w:val="clear" w:color="auto" w:fill="FFFFFF"/>
            <w:vAlign w:val="center"/>
          </w:tcPr>
          <w:p>
            <w:pPr>
              <w:widowControl/>
              <w:adjustRightInd w:val="0"/>
              <w:snapToGrid w:val="0"/>
              <w:spacing w:line="300" w:lineRule="auto"/>
              <w:rPr>
                <w:kern w:val="0"/>
                <w:sz w:val="18"/>
                <w:szCs w:val="18"/>
              </w:rPr>
            </w:pPr>
            <w:r>
              <w:rPr>
                <w:kern w:val="0"/>
                <w:sz w:val="18"/>
                <w:szCs w:val="18"/>
              </w:rPr>
              <w:t>4．研究</w:t>
            </w:r>
          </w:p>
        </w:tc>
        <w:tc>
          <w:tcPr>
            <w:tcW w:w="5785" w:type="dxa"/>
            <w:tcBorders>
              <w:left w:val="single" w:color="auto" w:sz="4" w:space="0"/>
              <w:right w:val="single" w:color="auto" w:sz="4" w:space="0"/>
            </w:tcBorders>
            <w:shd w:val="clear" w:color="auto" w:fill="FFFFFF"/>
            <w:vAlign w:val="center"/>
          </w:tcPr>
          <w:p>
            <w:pPr>
              <w:widowControl/>
              <w:adjustRightInd w:val="0"/>
              <w:snapToGrid w:val="0"/>
              <w:spacing w:line="300" w:lineRule="auto"/>
              <w:rPr>
                <w:kern w:val="0"/>
                <w:sz w:val="18"/>
                <w:szCs w:val="18"/>
              </w:rPr>
            </w:pPr>
            <w:r>
              <w:rPr>
                <w:kern w:val="0"/>
                <w:sz w:val="18"/>
                <w:szCs w:val="18"/>
              </w:rPr>
              <w:t>4.1具备基于电子信息科学原理采用科学方法对复杂工程问题的技术路线</w:t>
            </w:r>
            <w:r>
              <w:rPr>
                <w:rFonts w:hint="eastAsia"/>
                <w:kern w:val="0"/>
                <w:sz w:val="18"/>
                <w:szCs w:val="18"/>
              </w:rPr>
              <w:t>、</w:t>
            </w:r>
            <w:r>
              <w:rPr>
                <w:kern w:val="0"/>
                <w:sz w:val="18"/>
                <w:szCs w:val="18"/>
              </w:rPr>
              <w:t>实验方案、软/硬件模块和存在的问题进行研究的能力。</w:t>
            </w:r>
          </w:p>
        </w:tc>
        <w:tc>
          <w:tcPr>
            <w:tcW w:w="743" w:type="dxa"/>
            <w:tcBorders>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79" w:type="dxa"/>
            <w:tcBorders>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kern w:val="0"/>
                <w:sz w:val="18"/>
                <w:szCs w:val="18"/>
              </w:rPr>
            </w:pPr>
            <w:r>
              <w:rPr>
                <w:kern w:val="0"/>
                <w:sz w:val="18"/>
                <w:szCs w:val="18"/>
              </w:rPr>
              <w:t>5．现代工具使用</w:t>
            </w:r>
          </w:p>
        </w:tc>
        <w:tc>
          <w:tcPr>
            <w:tcW w:w="5785" w:type="dxa"/>
            <w:tcBorders>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kern w:val="0"/>
                <w:sz w:val="18"/>
                <w:szCs w:val="18"/>
              </w:rPr>
            </w:pPr>
            <w:r>
              <w:rPr>
                <w:kern w:val="0"/>
                <w:sz w:val="18"/>
                <w:szCs w:val="18"/>
              </w:rPr>
              <w:t>5.2具备使用实验设备、软件和现代工程工具对复杂工程问题进行模拟或仿真的能力，并能够理解其局限性。</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kern w:val="0"/>
                <w:sz w:val="18"/>
                <w:szCs w:val="18"/>
              </w:rPr>
            </w:pPr>
            <w:r>
              <w:rPr>
                <w:kern w:val="0"/>
                <w:sz w:val="18"/>
                <w:szCs w:val="18"/>
              </w:rPr>
              <w:t>3</w:t>
            </w:r>
          </w:p>
        </w:tc>
      </w:tr>
    </w:tbl>
    <w:p>
      <w:pPr>
        <w:snapToGrid w:val="0"/>
        <w:spacing w:before="156" w:beforeLines="50" w:after="156" w:afterLines="50" w:line="300" w:lineRule="auto"/>
        <w:rPr>
          <w:b/>
          <w:sz w:val="24"/>
        </w:rPr>
      </w:pPr>
      <w:r>
        <w:rPr>
          <w:b/>
          <w:sz w:val="24"/>
        </w:rPr>
        <w:t>三、课程教学目标达成途径（或教学设计）</w:t>
      </w:r>
    </w:p>
    <w:p>
      <w:pPr>
        <w:widowControl/>
        <w:tabs>
          <w:tab w:val="left" w:pos="426"/>
          <w:tab w:val="left" w:pos="5245"/>
          <w:tab w:val="left" w:pos="5387"/>
        </w:tabs>
        <w:spacing w:line="300" w:lineRule="auto"/>
        <w:jc w:val="center"/>
        <w:rPr>
          <w:b/>
          <w:kern w:val="0"/>
          <w:sz w:val="18"/>
          <w:szCs w:val="18"/>
        </w:rPr>
      </w:pPr>
      <w:r>
        <w:rPr>
          <w:b/>
          <w:kern w:val="0"/>
          <w:sz w:val="18"/>
          <w:szCs w:val="18"/>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618"/>
        <w:gridCol w:w="1783"/>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6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c>
          <w:tcPr>
            <w:tcW w:w="17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达成途径</w:t>
            </w:r>
          </w:p>
        </w:tc>
        <w:tc>
          <w:tcPr>
            <w:tcW w:w="22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6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1</w:t>
            </w:r>
            <w:r>
              <w:rPr>
                <w:kern w:val="0"/>
                <w:szCs w:val="21"/>
              </w:rPr>
              <w:t>．</w:t>
            </w:r>
            <w:r>
              <w:rPr>
                <w:sz w:val="18"/>
                <w:szCs w:val="18"/>
              </w:rPr>
              <w:t>掌握算法与数据结构的基本概念、基本分析方法和处理技术；掌握数据结构和算法设计与分析方法。</w:t>
            </w:r>
          </w:p>
        </w:tc>
        <w:tc>
          <w:tcPr>
            <w:tcW w:w="17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多媒体授课、提问、讨论</w:t>
            </w:r>
          </w:p>
        </w:tc>
        <w:tc>
          <w:tcPr>
            <w:tcW w:w="22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2</w:t>
            </w:r>
            <w:r>
              <w:rPr>
                <w:kern w:val="0"/>
                <w:szCs w:val="21"/>
              </w:rPr>
              <w:t>．</w:t>
            </w:r>
            <w:r>
              <w:rPr>
                <w:sz w:val="18"/>
                <w:szCs w:val="18"/>
              </w:rPr>
              <w:t xml:space="preserve">掌握线性表、栈、队列、串、数组、广义表、树和二叉树及图等基本类型的数据结构及其应用；掌握数据的查找与排序算法，使学生具有算法分析和运用数据结构编程的能力。 </w:t>
            </w:r>
          </w:p>
        </w:tc>
        <w:tc>
          <w:tcPr>
            <w:tcW w:w="17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多媒体授课、提问、讨论、案例分析、实验</w:t>
            </w:r>
          </w:p>
        </w:tc>
        <w:tc>
          <w:tcPr>
            <w:tcW w:w="22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3</w:t>
            </w:r>
            <w:r>
              <w:rPr>
                <w:kern w:val="0"/>
                <w:szCs w:val="21"/>
              </w:rPr>
              <w:t>．</w:t>
            </w:r>
            <w:r>
              <w:rPr>
                <w:sz w:val="18"/>
                <w:szCs w:val="18"/>
              </w:rPr>
              <w:t>通过本课程的学习，培养学生从数学概念、物理概念及工程概念去分析问题和解决问题的能力；具备对复杂工程问题进行仿真的能力，并能够通过算法分析理解其局限性。</w:t>
            </w:r>
          </w:p>
        </w:tc>
        <w:tc>
          <w:tcPr>
            <w:tcW w:w="17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多媒体授课、提问、讨论、案例分析、实验</w:t>
            </w:r>
          </w:p>
        </w:tc>
        <w:tc>
          <w:tcPr>
            <w:tcW w:w="22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课堂表现、习题作业、实验报告、期末考试</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pPr>
      <w:r>
        <w:t>1. 课堂讲授为主，多媒体教学、课程自学为辅，注重工程案例教学，每周平均讲授4学时，与专业相关实践教学环节和场景配合呼应。</w:t>
      </w:r>
    </w:p>
    <w:p>
      <w:pPr>
        <w:snapToGrid w:val="0"/>
        <w:spacing w:line="300" w:lineRule="auto"/>
        <w:ind w:firstLine="420" w:firstLineChars="200"/>
      </w:pPr>
      <w:r>
        <w:t>2. 基于电子信息系统信息处理与传输工作流程构建课程教学体系；根据课程特点采用启发式教学、任务驱动教学、案例教学法进行教学方法创新；核心能力知识点采用</w:t>
      </w:r>
      <w:r>
        <w:rPr>
          <w:rFonts w:hint="eastAsia"/>
        </w:rPr>
        <w:t>“</w:t>
      </w:r>
      <w:r>
        <w:t>原理描述-设计要点分析-应用案例展示</w:t>
      </w:r>
      <w:r>
        <w:rPr>
          <w:rFonts w:hint="eastAsia"/>
        </w:rPr>
        <w:t>”</w:t>
      </w:r>
      <w:r>
        <w:t>相互呼应的教学模式。</w:t>
      </w:r>
    </w:p>
    <w:p>
      <w:pPr>
        <w:snapToGrid w:val="0"/>
        <w:spacing w:line="300" w:lineRule="auto"/>
        <w:ind w:firstLine="420" w:firstLineChars="200"/>
      </w:pPr>
      <w:r>
        <w:t xml:space="preserve">本课程理论教学内容与教学要求见表3。 </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表3教学内容与教学</w:t>
      </w:r>
      <w:r>
        <w:rPr>
          <w:b/>
          <w:bCs/>
          <w:sz w:val="18"/>
          <w:szCs w:val="18"/>
        </w:rPr>
        <w:t>要求</w:t>
      </w:r>
    </w:p>
    <w:tbl>
      <w:tblPr>
        <w:tblStyle w:val="22"/>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08"/>
        <w:gridCol w:w="2076"/>
        <w:gridCol w:w="4249"/>
        <w:gridCol w:w="426"/>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7" w:hRule="atLeast"/>
          <w:tblHeader/>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b/>
                <w:kern w:val="0"/>
                <w:sz w:val="18"/>
                <w:szCs w:val="18"/>
              </w:rPr>
            </w:pPr>
            <w:r>
              <w:rPr>
                <w:b/>
                <w:kern w:val="0"/>
                <w:sz w:val="18"/>
                <w:szCs w:val="18"/>
              </w:rPr>
              <w:t>序号</w:t>
            </w:r>
          </w:p>
        </w:tc>
        <w:tc>
          <w:tcPr>
            <w:tcW w:w="2076"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教学内容</w:t>
            </w:r>
          </w:p>
        </w:tc>
        <w:tc>
          <w:tcPr>
            <w:tcW w:w="4249"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教与学的要求</w:t>
            </w:r>
          </w:p>
        </w:tc>
        <w:tc>
          <w:tcPr>
            <w:tcW w:w="426"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学时</w:t>
            </w:r>
          </w:p>
        </w:tc>
        <w:tc>
          <w:tcPr>
            <w:tcW w:w="1104" w:type="dxa"/>
            <w:shd w:val="clear" w:color="auto" w:fill="FFFFFF"/>
            <w:vAlign w:val="center"/>
          </w:tcPr>
          <w:p>
            <w:pPr>
              <w:widowControl/>
              <w:adjustRightInd w:val="0"/>
              <w:snapToGrid w:val="0"/>
              <w:spacing w:line="300" w:lineRule="auto"/>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w:t>
            </w:r>
          </w:p>
        </w:tc>
        <w:tc>
          <w:tcPr>
            <w:tcW w:w="2076" w:type="dxa"/>
            <w:shd w:val="clear" w:color="auto" w:fill="FFFFFF"/>
            <w:vAlign w:val="center"/>
          </w:tcPr>
          <w:p>
            <w:pPr>
              <w:widowControl/>
              <w:adjustRightInd w:val="0"/>
              <w:snapToGrid w:val="0"/>
              <w:spacing w:line="300" w:lineRule="auto"/>
              <w:textAlignment w:val="baseline"/>
              <w:rPr>
                <w:kern w:val="0"/>
                <w:sz w:val="18"/>
                <w:szCs w:val="18"/>
              </w:rPr>
            </w:pPr>
            <w:r>
              <w:rPr>
                <w:kern w:val="0"/>
                <w:sz w:val="18"/>
                <w:szCs w:val="18"/>
              </w:rPr>
              <w:t>1.1 数据结构的基本概念和术语</w:t>
            </w:r>
          </w:p>
          <w:p>
            <w:pPr>
              <w:widowControl/>
              <w:adjustRightInd w:val="0"/>
              <w:snapToGrid w:val="0"/>
              <w:spacing w:line="300" w:lineRule="auto"/>
              <w:textAlignment w:val="baseline"/>
              <w:rPr>
                <w:kern w:val="0"/>
                <w:sz w:val="18"/>
                <w:szCs w:val="18"/>
              </w:rPr>
            </w:pPr>
            <w:r>
              <w:rPr>
                <w:kern w:val="0"/>
                <w:sz w:val="18"/>
                <w:szCs w:val="18"/>
              </w:rPr>
              <w:t>1.2 数据结构在软件系统中的作用</w:t>
            </w:r>
          </w:p>
          <w:p>
            <w:pPr>
              <w:widowControl/>
              <w:adjustRightInd w:val="0"/>
              <w:snapToGrid w:val="0"/>
              <w:spacing w:line="300" w:lineRule="auto"/>
              <w:textAlignment w:val="baseline"/>
              <w:rPr>
                <w:kern w:val="0"/>
                <w:sz w:val="18"/>
                <w:szCs w:val="18"/>
              </w:rPr>
            </w:pPr>
            <w:r>
              <w:rPr>
                <w:kern w:val="0"/>
                <w:sz w:val="18"/>
                <w:szCs w:val="18"/>
              </w:rPr>
              <w:t>1.3算法的描述和分析</w:t>
            </w:r>
          </w:p>
          <w:p>
            <w:pPr>
              <w:widowControl/>
              <w:adjustRightInd w:val="0"/>
              <w:snapToGrid w:val="0"/>
              <w:spacing w:line="300" w:lineRule="auto"/>
              <w:textAlignment w:val="baseline"/>
              <w:rPr>
                <w:kern w:val="0"/>
                <w:sz w:val="18"/>
                <w:szCs w:val="18"/>
              </w:rPr>
            </w:pPr>
            <w:r>
              <w:rPr>
                <w:sz w:val="18"/>
                <w:szCs w:val="18"/>
              </w:rPr>
              <w:t>课程思政主题：</w:t>
            </w:r>
            <w:r>
              <w:rPr>
                <w:rFonts w:hint="eastAsia"/>
                <w:sz w:val="18"/>
                <w:szCs w:val="18"/>
              </w:rPr>
              <w:t>讲述算法与数据结构的</w:t>
            </w:r>
            <w:r>
              <w:rPr>
                <w:sz w:val="18"/>
                <w:szCs w:val="18"/>
              </w:rPr>
              <w:t>发展</w:t>
            </w:r>
            <w:r>
              <w:rPr>
                <w:rFonts w:hint="eastAsia"/>
                <w:sz w:val="18"/>
                <w:szCs w:val="18"/>
              </w:rPr>
              <w:t>史、华为鸿蒙操作系统打破西方在软件领域的垄断地位及其重要作用</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 xml:space="preserve">（1）了解：算法概念； </w:t>
            </w:r>
          </w:p>
          <w:p>
            <w:pPr>
              <w:widowControl/>
              <w:adjustRightInd w:val="0"/>
              <w:snapToGrid w:val="0"/>
              <w:spacing w:line="300" w:lineRule="auto"/>
              <w:jc w:val="left"/>
              <w:textAlignment w:val="baseline"/>
              <w:rPr>
                <w:kern w:val="0"/>
                <w:sz w:val="18"/>
                <w:szCs w:val="18"/>
              </w:rPr>
            </w:pPr>
            <w:r>
              <w:rPr>
                <w:kern w:val="0"/>
                <w:sz w:val="18"/>
                <w:szCs w:val="18"/>
              </w:rPr>
              <w:t>（2）理解：数据结构概念；</w:t>
            </w:r>
          </w:p>
          <w:p>
            <w:pPr>
              <w:widowControl/>
              <w:adjustRightInd w:val="0"/>
              <w:snapToGrid w:val="0"/>
              <w:spacing w:line="300" w:lineRule="auto"/>
              <w:jc w:val="left"/>
              <w:textAlignment w:val="baseline"/>
              <w:rPr>
                <w:kern w:val="0"/>
                <w:sz w:val="18"/>
                <w:szCs w:val="18"/>
              </w:rPr>
            </w:pPr>
            <w:r>
              <w:rPr>
                <w:kern w:val="0"/>
                <w:sz w:val="18"/>
                <w:szCs w:val="18"/>
              </w:rPr>
              <w:t>（3）掌握：算法与数据结构设计的基本方法。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2</w:t>
            </w:r>
          </w:p>
        </w:tc>
        <w:tc>
          <w:tcPr>
            <w:tcW w:w="1104" w:type="dxa"/>
            <w:shd w:val="clear" w:color="auto" w:fill="FFFFFF"/>
            <w:vAlign w:val="center"/>
          </w:tcPr>
          <w:p>
            <w:pPr>
              <w:widowControl/>
              <w:adjustRightInd w:val="0"/>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2.1 线性表的逻辑结构</w:t>
            </w:r>
          </w:p>
          <w:p>
            <w:pPr>
              <w:widowControl/>
              <w:adjustRightInd w:val="0"/>
              <w:snapToGrid w:val="0"/>
              <w:spacing w:line="300" w:lineRule="auto"/>
              <w:jc w:val="left"/>
              <w:textAlignment w:val="baseline"/>
              <w:rPr>
                <w:kern w:val="0"/>
                <w:sz w:val="18"/>
                <w:szCs w:val="18"/>
              </w:rPr>
            </w:pPr>
            <w:r>
              <w:rPr>
                <w:kern w:val="0"/>
                <w:sz w:val="18"/>
                <w:szCs w:val="18"/>
              </w:rPr>
              <w:t>2.2 线性表的顺序存储结构</w:t>
            </w:r>
          </w:p>
          <w:p>
            <w:pPr>
              <w:widowControl/>
              <w:adjustRightInd w:val="0"/>
              <w:snapToGrid w:val="0"/>
              <w:spacing w:line="300" w:lineRule="auto"/>
              <w:jc w:val="left"/>
              <w:textAlignment w:val="baseline"/>
              <w:rPr>
                <w:kern w:val="0"/>
                <w:sz w:val="18"/>
                <w:szCs w:val="18"/>
              </w:rPr>
            </w:pPr>
            <w:r>
              <w:rPr>
                <w:kern w:val="0"/>
                <w:sz w:val="18"/>
                <w:szCs w:val="18"/>
              </w:rPr>
              <w:t>2.3 线性表的链式存储结构</w:t>
            </w:r>
          </w:p>
          <w:p>
            <w:pPr>
              <w:widowControl/>
              <w:adjustRightInd w:val="0"/>
              <w:snapToGrid w:val="0"/>
              <w:spacing w:line="300" w:lineRule="auto"/>
              <w:jc w:val="left"/>
              <w:textAlignment w:val="baseline"/>
              <w:rPr>
                <w:kern w:val="0"/>
                <w:sz w:val="18"/>
                <w:szCs w:val="18"/>
              </w:rPr>
            </w:pPr>
            <w:r>
              <w:rPr>
                <w:kern w:val="0"/>
                <w:sz w:val="18"/>
                <w:szCs w:val="18"/>
              </w:rPr>
              <w:t>2.4.顺序表和链表的比较</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（1）了解：线性表概念；</w:t>
            </w:r>
          </w:p>
          <w:p>
            <w:pPr>
              <w:widowControl/>
              <w:adjustRightInd w:val="0"/>
              <w:snapToGrid w:val="0"/>
              <w:spacing w:line="300" w:lineRule="auto"/>
              <w:jc w:val="left"/>
              <w:textAlignment w:val="baseline"/>
              <w:rPr>
                <w:kern w:val="0"/>
                <w:sz w:val="18"/>
                <w:szCs w:val="18"/>
              </w:rPr>
            </w:pPr>
            <w:r>
              <w:rPr>
                <w:kern w:val="0"/>
                <w:sz w:val="18"/>
                <w:szCs w:val="18"/>
              </w:rPr>
              <w:t>（2）理解：顺序存储结构、链表的结构；</w:t>
            </w:r>
          </w:p>
          <w:p>
            <w:pPr>
              <w:widowControl/>
              <w:adjustRightInd w:val="0"/>
              <w:snapToGrid w:val="0"/>
              <w:spacing w:line="300" w:lineRule="auto"/>
              <w:jc w:val="left"/>
              <w:textAlignment w:val="baseline"/>
              <w:rPr>
                <w:kern w:val="0"/>
                <w:sz w:val="18"/>
                <w:szCs w:val="18"/>
              </w:rPr>
            </w:pPr>
            <w:r>
              <w:rPr>
                <w:kern w:val="0"/>
                <w:sz w:val="18"/>
                <w:szCs w:val="18"/>
              </w:rPr>
              <w:t>（3）掌握：顺序表和链表访问方法。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2</w:t>
            </w:r>
          </w:p>
        </w:tc>
        <w:tc>
          <w:tcPr>
            <w:tcW w:w="1104" w:type="dxa"/>
            <w:shd w:val="clear" w:color="auto" w:fill="FFFFFF"/>
            <w:vAlign w:val="center"/>
          </w:tcPr>
          <w:p>
            <w:pPr>
              <w:widowControl/>
              <w:adjustRightInd w:val="0"/>
              <w:snapToGrid w:val="0"/>
              <w:spacing w:line="300" w:lineRule="auto"/>
              <w:jc w:val="left"/>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3.1 栈的逻辑结构、存储结构及其相关算法</w:t>
            </w:r>
          </w:p>
          <w:p>
            <w:pPr>
              <w:widowControl/>
              <w:adjustRightInd w:val="0"/>
              <w:snapToGrid w:val="0"/>
              <w:spacing w:line="300" w:lineRule="auto"/>
              <w:jc w:val="left"/>
              <w:textAlignment w:val="baseline"/>
              <w:rPr>
                <w:kern w:val="0"/>
                <w:sz w:val="18"/>
                <w:szCs w:val="18"/>
              </w:rPr>
            </w:pPr>
            <w:r>
              <w:rPr>
                <w:kern w:val="0"/>
                <w:sz w:val="18"/>
                <w:szCs w:val="18"/>
              </w:rPr>
              <w:t>3.2 队列的逻辑结构、存储结构及其相关算法</w:t>
            </w:r>
          </w:p>
          <w:p>
            <w:pPr>
              <w:widowControl/>
              <w:adjustRightInd w:val="0"/>
              <w:snapToGrid w:val="0"/>
              <w:spacing w:line="300" w:lineRule="auto"/>
              <w:jc w:val="left"/>
              <w:textAlignment w:val="baseline"/>
              <w:rPr>
                <w:kern w:val="0"/>
                <w:sz w:val="18"/>
                <w:szCs w:val="18"/>
              </w:rPr>
            </w:pPr>
            <w:r>
              <w:rPr>
                <w:kern w:val="0"/>
                <w:sz w:val="18"/>
                <w:szCs w:val="18"/>
              </w:rPr>
              <w:t>3.3 栈和队列的应用</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（1）了解：栈和队列概念；</w:t>
            </w:r>
          </w:p>
          <w:p>
            <w:pPr>
              <w:widowControl/>
              <w:adjustRightInd w:val="0"/>
              <w:snapToGrid w:val="0"/>
              <w:spacing w:line="300" w:lineRule="auto"/>
              <w:jc w:val="left"/>
              <w:textAlignment w:val="baseline"/>
              <w:rPr>
                <w:kern w:val="0"/>
                <w:sz w:val="18"/>
                <w:szCs w:val="18"/>
              </w:rPr>
            </w:pPr>
            <w:r>
              <w:rPr>
                <w:kern w:val="0"/>
                <w:sz w:val="18"/>
                <w:szCs w:val="18"/>
              </w:rPr>
              <w:t>（2）理解：入栈和出栈的方法；</w:t>
            </w:r>
          </w:p>
          <w:p>
            <w:pPr>
              <w:widowControl/>
              <w:adjustRightInd w:val="0"/>
              <w:snapToGrid w:val="0"/>
              <w:spacing w:line="300" w:lineRule="auto"/>
              <w:jc w:val="left"/>
              <w:textAlignment w:val="baseline"/>
              <w:rPr>
                <w:kern w:val="0"/>
                <w:sz w:val="18"/>
                <w:szCs w:val="18"/>
              </w:rPr>
            </w:pPr>
            <w:r>
              <w:rPr>
                <w:kern w:val="0"/>
                <w:sz w:val="18"/>
                <w:szCs w:val="18"/>
              </w:rPr>
              <w:t>（3）掌握：栈和队列使用方法。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1104" w:type="dxa"/>
            <w:shd w:val="clear" w:color="auto" w:fill="FFFFFF"/>
            <w:vAlign w:val="center"/>
          </w:tcPr>
          <w:p>
            <w:pPr>
              <w:widowControl/>
              <w:adjustRightInd w:val="0"/>
              <w:snapToGrid w:val="0"/>
              <w:spacing w:line="300" w:lineRule="auto"/>
              <w:jc w:val="left"/>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4.1 树的概念与性质</w:t>
            </w:r>
          </w:p>
          <w:p>
            <w:pPr>
              <w:widowControl/>
              <w:adjustRightInd w:val="0"/>
              <w:snapToGrid w:val="0"/>
              <w:spacing w:line="300" w:lineRule="auto"/>
              <w:jc w:val="left"/>
              <w:textAlignment w:val="baseline"/>
              <w:rPr>
                <w:kern w:val="0"/>
                <w:sz w:val="18"/>
                <w:szCs w:val="18"/>
              </w:rPr>
            </w:pPr>
            <w:r>
              <w:rPr>
                <w:kern w:val="0"/>
                <w:sz w:val="18"/>
                <w:szCs w:val="18"/>
              </w:rPr>
              <w:t>4.2 树的逻辑结构和存储结构</w:t>
            </w:r>
          </w:p>
          <w:p>
            <w:pPr>
              <w:widowControl/>
              <w:adjustRightInd w:val="0"/>
              <w:snapToGrid w:val="0"/>
              <w:spacing w:line="300" w:lineRule="auto"/>
              <w:jc w:val="left"/>
              <w:textAlignment w:val="baseline"/>
              <w:rPr>
                <w:kern w:val="0"/>
                <w:sz w:val="18"/>
                <w:szCs w:val="18"/>
              </w:rPr>
            </w:pPr>
            <w:r>
              <w:rPr>
                <w:kern w:val="0"/>
                <w:sz w:val="18"/>
                <w:szCs w:val="18"/>
              </w:rPr>
              <w:t>4.3二叉树</w:t>
            </w:r>
          </w:p>
          <w:p>
            <w:pPr>
              <w:widowControl/>
              <w:adjustRightInd w:val="0"/>
              <w:snapToGrid w:val="0"/>
              <w:spacing w:line="300" w:lineRule="auto"/>
              <w:jc w:val="left"/>
              <w:textAlignment w:val="baseline"/>
              <w:rPr>
                <w:kern w:val="0"/>
                <w:sz w:val="18"/>
                <w:szCs w:val="18"/>
              </w:rPr>
            </w:pPr>
            <w:r>
              <w:rPr>
                <w:kern w:val="0"/>
                <w:sz w:val="18"/>
                <w:szCs w:val="18"/>
              </w:rPr>
              <w:t>4.4二叉树的遍历</w:t>
            </w:r>
          </w:p>
          <w:p>
            <w:pPr>
              <w:widowControl/>
              <w:adjustRightInd w:val="0"/>
              <w:snapToGrid w:val="0"/>
              <w:spacing w:line="300" w:lineRule="auto"/>
              <w:jc w:val="left"/>
              <w:textAlignment w:val="baseline"/>
              <w:rPr>
                <w:kern w:val="0"/>
                <w:sz w:val="18"/>
                <w:szCs w:val="18"/>
              </w:rPr>
            </w:pPr>
            <w:r>
              <w:rPr>
                <w:kern w:val="0"/>
                <w:sz w:val="18"/>
                <w:szCs w:val="18"/>
              </w:rPr>
              <w:t>4.5哈夫曼树及其应用</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（1）了解：树的概念；</w:t>
            </w:r>
          </w:p>
          <w:p>
            <w:pPr>
              <w:widowControl/>
              <w:adjustRightInd w:val="0"/>
              <w:snapToGrid w:val="0"/>
              <w:spacing w:line="300" w:lineRule="auto"/>
              <w:jc w:val="left"/>
              <w:textAlignment w:val="baseline"/>
              <w:rPr>
                <w:kern w:val="0"/>
                <w:sz w:val="18"/>
                <w:szCs w:val="18"/>
              </w:rPr>
            </w:pPr>
            <w:r>
              <w:rPr>
                <w:kern w:val="0"/>
                <w:sz w:val="18"/>
                <w:szCs w:val="18"/>
              </w:rPr>
              <w:t>（2）理解：树的遍历的方法；</w:t>
            </w:r>
          </w:p>
          <w:p>
            <w:pPr>
              <w:widowControl/>
              <w:adjustRightInd w:val="0"/>
              <w:snapToGrid w:val="0"/>
              <w:spacing w:line="300" w:lineRule="auto"/>
              <w:jc w:val="left"/>
              <w:textAlignment w:val="baseline"/>
              <w:rPr>
                <w:kern w:val="0"/>
                <w:sz w:val="18"/>
                <w:szCs w:val="18"/>
              </w:rPr>
            </w:pPr>
            <w:r>
              <w:rPr>
                <w:kern w:val="0"/>
                <w:sz w:val="18"/>
                <w:szCs w:val="18"/>
              </w:rPr>
              <w:t>（3）掌握：树的逻辑结构和存储结构、哈夫曼树的构造、二叉树遍历方法。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1104" w:type="dxa"/>
            <w:shd w:val="clear" w:color="auto" w:fill="FFFFFF"/>
            <w:vAlign w:val="center"/>
          </w:tcPr>
          <w:p>
            <w:pPr>
              <w:widowControl/>
              <w:adjustRightInd w:val="0"/>
              <w:snapToGrid w:val="0"/>
              <w:spacing w:line="300" w:lineRule="auto"/>
              <w:jc w:val="left"/>
              <w:rPr>
                <w:kern w:val="0"/>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5.1 图的概念</w:t>
            </w:r>
          </w:p>
          <w:p>
            <w:pPr>
              <w:widowControl/>
              <w:adjustRightInd w:val="0"/>
              <w:snapToGrid w:val="0"/>
              <w:spacing w:line="300" w:lineRule="auto"/>
              <w:jc w:val="left"/>
              <w:textAlignment w:val="baseline"/>
              <w:rPr>
                <w:kern w:val="0"/>
                <w:sz w:val="18"/>
                <w:szCs w:val="18"/>
              </w:rPr>
            </w:pPr>
            <w:r>
              <w:rPr>
                <w:kern w:val="0"/>
                <w:sz w:val="18"/>
                <w:szCs w:val="18"/>
              </w:rPr>
              <w:t>5.2 图的存储结构</w:t>
            </w:r>
          </w:p>
          <w:p>
            <w:pPr>
              <w:widowControl/>
              <w:adjustRightInd w:val="0"/>
              <w:snapToGrid w:val="0"/>
              <w:spacing w:line="300" w:lineRule="auto"/>
              <w:jc w:val="left"/>
              <w:textAlignment w:val="baseline"/>
              <w:rPr>
                <w:kern w:val="0"/>
                <w:sz w:val="18"/>
                <w:szCs w:val="18"/>
              </w:rPr>
            </w:pPr>
            <w:r>
              <w:rPr>
                <w:kern w:val="0"/>
                <w:sz w:val="18"/>
                <w:szCs w:val="18"/>
              </w:rPr>
              <w:t>5.3 图的遍历</w:t>
            </w:r>
          </w:p>
          <w:p>
            <w:pPr>
              <w:adjustRightInd w:val="0"/>
              <w:snapToGrid w:val="0"/>
              <w:spacing w:line="300" w:lineRule="auto"/>
              <w:rPr>
                <w:sz w:val="18"/>
                <w:szCs w:val="18"/>
              </w:rPr>
            </w:pPr>
            <w:r>
              <w:rPr>
                <w:sz w:val="18"/>
                <w:szCs w:val="18"/>
              </w:rPr>
              <w:t>5.4 生成树和最小生成树</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（1）了解：图的概念；</w:t>
            </w:r>
          </w:p>
          <w:p>
            <w:pPr>
              <w:widowControl/>
              <w:adjustRightInd w:val="0"/>
              <w:snapToGrid w:val="0"/>
              <w:spacing w:line="300" w:lineRule="auto"/>
              <w:jc w:val="left"/>
              <w:textAlignment w:val="baseline"/>
              <w:rPr>
                <w:kern w:val="0"/>
                <w:sz w:val="18"/>
                <w:szCs w:val="18"/>
              </w:rPr>
            </w:pPr>
            <w:r>
              <w:rPr>
                <w:kern w:val="0"/>
                <w:sz w:val="18"/>
                <w:szCs w:val="18"/>
              </w:rPr>
              <w:t>（2）理解：图的遍历的方法；</w:t>
            </w:r>
          </w:p>
          <w:p>
            <w:pPr>
              <w:widowControl/>
              <w:adjustRightInd w:val="0"/>
              <w:snapToGrid w:val="0"/>
              <w:spacing w:line="300" w:lineRule="auto"/>
              <w:jc w:val="left"/>
              <w:textAlignment w:val="baseline"/>
              <w:rPr>
                <w:kern w:val="0"/>
                <w:sz w:val="18"/>
                <w:szCs w:val="18"/>
              </w:rPr>
            </w:pPr>
            <w:r>
              <w:rPr>
                <w:kern w:val="0"/>
                <w:sz w:val="18"/>
                <w:szCs w:val="18"/>
              </w:rPr>
              <w:t>（3）掌握：图的矩阵表示法、图的存储结构、</w:t>
            </w:r>
            <w:r>
              <w:rPr>
                <w:sz w:val="18"/>
                <w:szCs w:val="18"/>
              </w:rPr>
              <w:t>最小生成树的构造</w:t>
            </w:r>
            <w:r>
              <w:rPr>
                <w:kern w:val="0"/>
                <w:sz w:val="18"/>
                <w:szCs w:val="18"/>
              </w:rPr>
              <w:t>。</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1104" w:type="dxa"/>
            <w:shd w:val="clear" w:color="auto" w:fill="FFFFFF"/>
            <w:vAlign w:val="center"/>
          </w:tcPr>
          <w:p>
            <w:pPr>
              <w:widowControl/>
              <w:adjustRightInd w:val="0"/>
              <w:snapToGrid w:val="0"/>
              <w:spacing w:line="300" w:lineRule="auto"/>
              <w:jc w:val="left"/>
              <w:rPr>
                <w:kern w:val="0"/>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6.1基本概念</w:t>
            </w:r>
          </w:p>
          <w:p>
            <w:pPr>
              <w:widowControl/>
              <w:adjustRightInd w:val="0"/>
              <w:snapToGrid w:val="0"/>
              <w:spacing w:line="300" w:lineRule="auto"/>
              <w:jc w:val="left"/>
              <w:textAlignment w:val="baseline"/>
              <w:rPr>
                <w:kern w:val="0"/>
                <w:sz w:val="18"/>
                <w:szCs w:val="18"/>
              </w:rPr>
            </w:pPr>
            <w:r>
              <w:rPr>
                <w:kern w:val="0"/>
                <w:sz w:val="18"/>
                <w:szCs w:val="18"/>
              </w:rPr>
              <w:t>6.2线性表的查找</w:t>
            </w:r>
          </w:p>
          <w:p>
            <w:pPr>
              <w:widowControl/>
              <w:adjustRightInd w:val="0"/>
              <w:snapToGrid w:val="0"/>
              <w:spacing w:line="300" w:lineRule="auto"/>
              <w:jc w:val="left"/>
              <w:textAlignment w:val="baseline"/>
              <w:rPr>
                <w:kern w:val="0"/>
                <w:sz w:val="18"/>
                <w:szCs w:val="18"/>
              </w:rPr>
            </w:pPr>
            <w:r>
              <w:rPr>
                <w:kern w:val="0"/>
                <w:sz w:val="18"/>
                <w:szCs w:val="18"/>
              </w:rPr>
              <w:t>6.3 树的查找</w:t>
            </w:r>
          </w:p>
          <w:p>
            <w:pPr>
              <w:widowControl/>
              <w:adjustRightInd w:val="0"/>
              <w:snapToGrid w:val="0"/>
              <w:spacing w:line="300" w:lineRule="auto"/>
              <w:jc w:val="left"/>
              <w:textAlignment w:val="baseline"/>
              <w:rPr>
                <w:kern w:val="0"/>
                <w:sz w:val="18"/>
                <w:szCs w:val="18"/>
              </w:rPr>
            </w:pPr>
            <w:r>
              <w:rPr>
                <w:kern w:val="0"/>
                <w:sz w:val="18"/>
                <w:szCs w:val="18"/>
              </w:rPr>
              <w:t>6.4 散列技术</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（1）了解：查找的概念；</w:t>
            </w:r>
          </w:p>
          <w:p>
            <w:pPr>
              <w:widowControl/>
              <w:adjustRightInd w:val="0"/>
              <w:snapToGrid w:val="0"/>
              <w:spacing w:line="300" w:lineRule="auto"/>
              <w:jc w:val="left"/>
              <w:textAlignment w:val="baseline"/>
              <w:rPr>
                <w:kern w:val="0"/>
                <w:sz w:val="18"/>
                <w:szCs w:val="18"/>
              </w:rPr>
            </w:pPr>
            <w:r>
              <w:rPr>
                <w:kern w:val="0"/>
                <w:sz w:val="18"/>
                <w:szCs w:val="18"/>
              </w:rPr>
              <w:t>（2）理解：顺序查找的方法；</w:t>
            </w:r>
          </w:p>
          <w:p>
            <w:pPr>
              <w:widowControl/>
              <w:adjustRightInd w:val="0"/>
              <w:snapToGrid w:val="0"/>
              <w:spacing w:line="300" w:lineRule="auto"/>
              <w:jc w:val="left"/>
              <w:textAlignment w:val="baseline"/>
              <w:rPr>
                <w:kern w:val="0"/>
                <w:sz w:val="18"/>
                <w:szCs w:val="18"/>
              </w:rPr>
            </w:pPr>
            <w:r>
              <w:rPr>
                <w:kern w:val="0"/>
                <w:sz w:val="18"/>
                <w:szCs w:val="18"/>
              </w:rPr>
              <w:t>（3）掌握：二分查找、</w:t>
            </w:r>
            <w:r>
              <w:rPr>
                <w:rFonts w:hint="eastAsia"/>
                <w:kern w:val="0"/>
                <w:sz w:val="18"/>
                <w:szCs w:val="18"/>
              </w:rPr>
              <w:t>哈</w:t>
            </w:r>
            <w:r>
              <w:rPr>
                <w:kern w:val="0"/>
                <w:sz w:val="18"/>
                <w:szCs w:val="18"/>
              </w:rPr>
              <w:t>希查找方法。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（2）完成相关作业和实验。</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1104" w:type="dxa"/>
            <w:shd w:val="clear" w:color="auto" w:fill="FFFFFF"/>
            <w:vAlign w:val="center"/>
          </w:tcPr>
          <w:p>
            <w:pPr>
              <w:widowControl/>
              <w:adjustRightInd w:val="0"/>
              <w:snapToGrid w:val="0"/>
              <w:spacing w:line="300" w:lineRule="auto"/>
              <w:jc w:val="left"/>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0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7</w:t>
            </w:r>
          </w:p>
        </w:tc>
        <w:tc>
          <w:tcPr>
            <w:tcW w:w="2076"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7.1基本概念</w:t>
            </w:r>
          </w:p>
          <w:p>
            <w:pPr>
              <w:widowControl/>
              <w:adjustRightInd w:val="0"/>
              <w:snapToGrid w:val="0"/>
              <w:spacing w:line="300" w:lineRule="auto"/>
              <w:jc w:val="left"/>
              <w:textAlignment w:val="baseline"/>
              <w:rPr>
                <w:kern w:val="0"/>
                <w:sz w:val="18"/>
                <w:szCs w:val="18"/>
              </w:rPr>
            </w:pPr>
            <w:r>
              <w:rPr>
                <w:kern w:val="0"/>
                <w:sz w:val="18"/>
                <w:szCs w:val="18"/>
              </w:rPr>
              <w:t>7.2插入排序</w:t>
            </w:r>
          </w:p>
          <w:p>
            <w:pPr>
              <w:widowControl/>
              <w:adjustRightInd w:val="0"/>
              <w:snapToGrid w:val="0"/>
              <w:spacing w:line="300" w:lineRule="auto"/>
              <w:jc w:val="left"/>
              <w:textAlignment w:val="baseline"/>
              <w:rPr>
                <w:kern w:val="0"/>
                <w:sz w:val="18"/>
                <w:szCs w:val="18"/>
              </w:rPr>
            </w:pPr>
            <w:r>
              <w:rPr>
                <w:kern w:val="0"/>
                <w:sz w:val="18"/>
                <w:szCs w:val="18"/>
              </w:rPr>
              <w:t>7.3交换排序</w:t>
            </w:r>
          </w:p>
          <w:p>
            <w:pPr>
              <w:widowControl/>
              <w:adjustRightInd w:val="0"/>
              <w:snapToGrid w:val="0"/>
              <w:spacing w:line="300" w:lineRule="auto"/>
              <w:jc w:val="left"/>
              <w:textAlignment w:val="baseline"/>
              <w:rPr>
                <w:kern w:val="0"/>
                <w:sz w:val="18"/>
                <w:szCs w:val="18"/>
              </w:rPr>
            </w:pPr>
            <w:r>
              <w:rPr>
                <w:kern w:val="0"/>
                <w:sz w:val="18"/>
                <w:szCs w:val="18"/>
              </w:rPr>
              <w:t>7.4 选择排序</w:t>
            </w:r>
          </w:p>
          <w:p>
            <w:pPr>
              <w:widowControl/>
              <w:adjustRightInd w:val="0"/>
              <w:snapToGrid w:val="0"/>
              <w:spacing w:line="300" w:lineRule="auto"/>
              <w:jc w:val="left"/>
              <w:textAlignment w:val="baseline"/>
              <w:rPr>
                <w:kern w:val="0"/>
                <w:sz w:val="18"/>
                <w:szCs w:val="18"/>
              </w:rPr>
            </w:pPr>
            <w:r>
              <w:rPr>
                <w:kern w:val="0"/>
                <w:sz w:val="18"/>
                <w:szCs w:val="18"/>
              </w:rPr>
              <w:t>7.5 归并排序</w:t>
            </w:r>
          </w:p>
          <w:p>
            <w:pPr>
              <w:widowControl/>
              <w:adjustRightInd w:val="0"/>
              <w:snapToGrid w:val="0"/>
              <w:spacing w:line="300" w:lineRule="auto"/>
              <w:jc w:val="left"/>
              <w:textAlignment w:val="baseline"/>
              <w:rPr>
                <w:kern w:val="0"/>
                <w:sz w:val="18"/>
                <w:szCs w:val="18"/>
              </w:rPr>
            </w:pPr>
            <w:r>
              <w:rPr>
                <w:kern w:val="0"/>
                <w:sz w:val="18"/>
                <w:szCs w:val="18"/>
              </w:rPr>
              <w:t xml:space="preserve">7.6 </w:t>
            </w:r>
            <w:r>
              <w:rPr>
                <w:rFonts w:hint="eastAsia"/>
                <w:kern w:val="0"/>
                <w:sz w:val="18"/>
                <w:szCs w:val="18"/>
              </w:rPr>
              <w:t>基数</w:t>
            </w:r>
            <w:r>
              <w:rPr>
                <w:kern w:val="0"/>
                <w:sz w:val="18"/>
                <w:szCs w:val="18"/>
              </w:rPr>
              <w:t>排序</w:t>
            </w:r>
          </w:p>
        </w:tc>
        <w:tc>
          <w:tcPr>
            <w:tcW w:w="4249"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（1）了解：排序的概念；</w:t>
            </w:r>
          </w:p>
          <w:p>
            <w:pPr>
              <w:widowControl/>
              <w:adjustRightInd w:val="0"/>
              <w:snapToGrid w:val="0"/>
              <w:spacing w:line="300" w:lineRule="auto"/>
              <w:jc w:val="left"/>
              <w:textAlignment w:val="baseline"/>
              <w:rPr>
                <w:kern w:val="0"/>
                <w:sz w:val="18"/>
                <w:szCs w:val="18"/>
              </w:rPr>
            </w:pPr>
            <w:r>
              <w:rPr>
                <w:kern w:val="0"/>
                <w:sz w:val="18"/>
                <w:szCs w:val="18"/>
              </w:rPr>
              <w:t>（2）理解：</w:t>
            </w:r>
            <w:r>
              <w:rPr>
                <w:rFonts w:hint="eastAsia"/>
                <w:kern w:val="0"/>
                <w:sz w:val="18"/>
                <w:szCs w:val="18"/>
              </w:rPr>
              <w:t>插入</w:t>
            </w:r>
            <w:r>
              <w:rPr>
                <w:kern w:val="0"/>
                <w:sz w:val="18"/>
                <w:szCs w:val="18"/>
              </w:rPr>
              <w:t>排序的方法；</w:t>
            </w:r>
          </w:p>
          <w:p>
            <w:pPr>
              <w:widowControl/>
              <w:adjustRightInd w:val="0"/>
              <w:snapToGrid w:val="0"/>
              <w:spacing w:line="300" w:lineRule="auto"/>
              <w:jc w:val="left"/>
              <w:textAlignment w:val="baseline"/>
              <w:rPr>
                <w:kern w:val="0"/>
                <w:sz w:val="18"/>
                <w:szCs w:val="18"/>
              </w:rPr>
            </w:pPr>
            <w:r>
              <w:rPr>
                <w:kern w:val="0"/>
                <w:sz w:val="18"/>
                <w:szCs w:val="18"/>
              </w:rPr>
              <w:t>（3）掌握：折半排序、</w:t>
            </w:r>
            <w:r>
              <w:rPr>
                <w:rFonts w:hint="eastAsia"/>
                <w:kern w:val="0"/>
                <w:sz w:val="18"/>
                <w:szCs w:val="18"/>
              </w:rPr>
              <w:t>快速</w:t>
            </w:r>
            <w:r>
              <w:rPr>
                <w:kern w:val="0"/>
                <w:sz w:val="18"/>
                <w:szCs w:val="18"/>
              </w:rPr>
              <w:t>排序、堆排序方法。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w:t>
            </w:r>
          </w:p>
          <w:p>
            <w:pPr>
              <w:widowControl/>
              <w:adjustRightInd w:val="0"/>
              <w:snapToGrid w:val="0"/>
              <w:spacing w:line="300" w:lineRule="auto"/>
              <w:jc w:val="left"/>
              <w:textAlignment w:val="baseline"/>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426"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1104" w:type="dxa"/>
            <w:shd w:val="clear" w:color="auto" w:fill="FFFFFF"/>
            <w:vAlign w:val="center"/>
          </w:tcPr>
          <w:p>
            <w:pPr>
              <w:widowControl/>
              <w:adjustRightInd w:val="0"/>
              <w:snapToGrid w:val="0"/>
              <w:spacing w:line="300" w:lineRule="auto"/>
              <w:jc w:val="left"/>
              <w:rPr>
                <w:kern w:val="0"/>
                <w:sz w:val="18"/>
                <w:szCs w:val="18"/>
              </w:rPr>
            </w:pPr>
            <w:r>
              <w:rPr>
                <w:sz w:val="18"/>
                <w:szCs w:val="18"/>
              </w:rPr>
              <w:t>2，3</w:t>
            </w:r>
          </w:p>
        </w:tc>
      </w:tr>
    </w:tbl>
    <w:p>
      <w:pPr>
        <w:widowControl/>
        <w:tabs>
          <w:tab w:val="left" w:pos="426"/>
          <w:tab w:val="left" w:pos="5245"/>
          <w:tab w:val="left" w:pos="5387"/>
        </w:tabs>
        <w:spacing w:line="300" w:lineRule="auto"/>
        <w:ind w:firstLine="420" w:firstLineChars="200"/>
        <w:rPr>
          <w:kern w:val="0"/>
          <w:szCs w:val="20"/>
        </w:rPr>
      </w:pPr>
      <w:r>
        <w:t>实验内容见表4。</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表4 实验安排表</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50"/>
        <w:gridCol w:w="2886"/>
        <w:gridCol w:w="687"/>
        <w:gridCol w:w="687"/>
        <w:gridCol w:w="687"/>
        <w:gridCol w:w="689"/>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序号</w:t>
            </w:r>
          </w:p>
        </w:tc>
        <w:tc>
          <w:tcPr>
            <w:tcW w:w="1450"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实验项目名称</w:t>
            </w:r>
          </w:p>
        </w:tc>
        <w:tc>
          <w:tcPr>
            <w:tcW w:w="2886"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目的要求</w:t>
            </w:r>
          </w:p>
        </w:tc>
        <w:tc>
          <w:tcPr>
            <w:tcW w:w="687"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学时分配</w:t>
            </w:r>
          </w:p>
        </w:tc>
        <w:tc>
          <w:tcPr>
            <w:tcW w:w="687"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实验类型</w:t>
            </w:r>
          </w:p>
        </w:tc>
        <w:tc>
          <w:tcPr>
            <w:tcW w:w="687"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每组人数</w:t>
            </w:r>
          </w:p>
        </w:tc>
        <w:tc>
          <w:tcPr>
            <w:tcW w:w="689" w:type="dxa"/>
            <w:vAlign w:val="center"/>
          </w:tcPr>
          <w:p>
            <w:pPr>
              <w:widowControl/>
              <w:tabs>
                <w:tab w:val="left" w:pos="426"/>
                <w:tab w:val="left" w:pos="5245"/>
                <w:tab w:val="left" w:pos="5387"/>
              </w:tabs>
              <w:spacing w:line="300" w:lineRule="auto"/>
              <w:jc w:val="center"/>
              <w:rPr>
                <w:b/>
                <w:kern w:val="0"/>
                <w:sz w:val="18"/>
                <w:szCs w:val="18"/>
              </w:rPr>
            </w:pPr>
            <w:r>
              <w:rPr>
                <w:b/>
                <w:kern w:val="0"/>
                <w:sz w:val="18"/>
                <w:szCs w:val="18"/>
              </w:rPr>
              <w:t>必开选开</w:t>
            </w:r>
          </w:p>
        </w:tc>
        <w:tc>
          <w:tcPr>
            <w:tcW w:w="687" w:type="dxa"/>
          </w:tcPr>
          <w:p>
            <w:pPr>
              <w:widowControl/>
              <w:tabs>
                <w:tab w:val="left" w:pos="426"/>
                <w:tab w:val="left" w:pos="5245"/>
                <w:tab w:val="left" w:pos="5387"/>
              </w:tabs>
              <w:spacing w:line="300" w:lineRule="auto"/>
              <w:jc w:val="center"/>
              <w:rPr>
                <w:b/>
                <w:kern w:val="0"/>
                <w:sz w:val="18"/>
                <w:szCs w:val="18"/>
              </w:rPr>
            </w:pPr>
            <w:r>
              <w:rPr>
                <w:b/>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Align w:val="center"/>
          </w:tcPr>
          <w:p>
            <w:pPr>
              <w:widowControl/>
              <w:spacing w:line="360" w:lineRule="exact"/>
              <w:jc w:val="center"/>
              <w:rPr>
                <w:kern w:val="0"/>
                <w:sz w:val="18"/>
                <w:szCs w:val="18"/>
              </w:rPr>
            </w:pPr>
            <w:r>
              <w:rPr>
                <w:kern w:val="0"/>
                <w:sz w:val="18"/>
                <w:szCs w:val="18"/>
              </w:rPr>
              <w:t>1</w:t>
            </w:r>
          </w:p>
        </w:tc>
        <w:tc>
          <w:tcPr>
            <w:tcW w:w="1450" w:type="dxa"/>
            <w:vAlign w:val="center"/>
          </w:tcPr>
          <w:p>
            <w:pPr>
              <w:widowControl/>
              <w:spacing w:line="360" w:lineRule="exact"/>
              <w:jc w:val="left"/>
              <w:rPr>
                <w:kern w:val="0"/>
                <w:sz w:val="18"/>
                <w:szCs w:val="18"/>
              </w:rPr>
            </w:pPr>
            <w:r>
              <w:rPr>
                <w:kern w:val="0"/>
                <w:sz w:val="18"/>
                <w:szCs w:val="18"/>
              </w:rPr>
              <w:t>学生成绩统计</w:t>
            </w:r>
          </w:p>
        </w:tc>
        <w:tc>
          <w:tcPr>
            <w:tcW w:w="2886" w:type="dxa"/>
            <w:vAlign w:val="center"/>
          </w:tcPr>
          <w:p>
            <w:pPr>
              <w:widowControl/>
              <w:spacing w:line="360" w:lineRule="exact"/>
              <w:rPr>
                <w:kern w:val="0"/>
                <w:sz w:val="18"/>
                <w:szCs w:val="18"/>
              </w:rPr>
            </w:pPr>
            <w:r>
              <w:rPr>
                <w:kern w:val="0"/>
                <w:sz w:val="18"/>
                <w:szCs w:val="18"/>
              </w:rPr>
              <w:t>掌握线性表的相关定义及操作</w:t>
            </w:r>
          </w:p>
        </w:tc>
        <w:tc>
          <w:tcPr>
            <w:tcW w:w="687" w:type="dxa"/>
            <w:vAlign w:val="center"/>
          </w:tcPr>
          <w:p>
            <w:pPr>
              <w:widowControl/>
              <w:spacing w:line="360" w:lineRule="exact"/>
              <w:jc w:val="center"/>
              <w:rPr>
                <w:kern w:val="0"/>
                <w:sz w:val="18"/>
                <w:szCs w:val="18"/>
              </w:rPr>
            </w:pPr>
            <w:r>
              <w:rPr>
                <w:kern w:val="0"/>
                <w:sz w:val="18"/>
                <w:szCs w:val="18"/>
              </w:rPr>
              <w:t>2</w:t>
            </w:r>
          </w:p>
        </w:tc>
        <w:tc>
          <w:tcPr>
            <w:tcW w:w="687" w:type="dxa"/>
            <w:vAlign w:val="center"/>
          </w:tcPr>
          <w:p>
            <w:pPr>
              <w:widowControl/>
              <w:spacing w:line="360" w:lineRule="exact"/>
              <w:jc w:val="center"/>
              <w:rPr>
                <w:kern w:val="0"/>
                <w:sz w:val="18"/>
                <w:szCs w:val="18"/>
              </w:rPr>
            </w:pPr>
            <w:r>
              <w:rPr>
                <w:kern w:val="0"/>
                <w:sz w:val="18"/>
                <w:szCs w:val="18"/>
              </w:rPr>
              <w:t>验证</w:t>
            </w:r>
          </w:p>
        </w:tc>
        <w:tc>
          <w:tcPr>
            <w:tcW w:w="687" w:type="dxa"/>
            <w:vAlign w:val="center"/>
          </w:tcPr>
          <w:p>
            <w:pPr>
              <w:widowControl/>
              <w:spacing w:line="360" w:lineRule="exact"/>
              <w:jc w:val="center"/>
              <w:rPr>
                <w:kern w:val="0"/>
                <w:sz w:val="18"/>
                <w:szCs w:val="18"/>
              </w:rPr>
            </w:pPr>
            <w:r>
              <w:rPr>
                <w:kern w:val="0"/>
                <w:sz w:val="18"/>
                <w:szCs w:val="18"/>
              </w:rPr>
              <w:t>2</w:t>
            </w:r>
          </w:p>
        </w:tc>
        <w:tc>
          <w:tcPr>
            <w:tcW w:w="689" w:type="dxa"/>
            <w:vAlign w:val="center"/>
          </w:tcPr>
          <w:p>
            <w:pPr>
              <w:widowControl/>
              <w:spacing w:line="360" w:lineRule="exact"/>
              <w:jc w:val="center"/>
              <w:rPr>
                <w:kern w:val="0"/>
                <w:sz w:val="18"/>
                <w:szCs w:val="18"/>
              </w:rPr>
            </w:pPr>
            <w:r>
              <w:rPr>
                <w:kern w:val="0"/>
                <w:sz w:val="18"/>
                <w:szCs w:val="18"/>
              </w:rPr>
              <w:t>必开</w:t>
            </w:r>
          </w:p>
        </w:tc>
        <w:tc>
          <w:tcPr>
            <w:tcW w:w="687" w:type="dxa"/>
            <w:vAlign w:val="center"/>
          </w:tcPr>
          <w:p>
            <w:pPr>
              <w:widowControl/>
              <w:spacing w:line="360" w:lineRule="exact"/>
              <w:jc w:val="left"/>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Align w:val="center"/>
          </w:tcPr>
          <w:p>
            <w:pPr>
              <w:widowControl/>
              <w:spacing w:line="360" w:lineRule="exact"/>
              <w:jc w:val="center"/>
              <w:rPr>
                <w:kern w:val="0"/>
                <w:sz w:val="18"/>
                <w:szCs w:val="18"/>
              </w:rPr>
            </w:pPr>
            <w:r>
              <w:rPr>
                <w:kern w:val="0"/>
                <w:sz w:val="18"/>
                <w:szCs w:val="18"/>
              </w:rPr>
              <w:t>2</w:t>
            </w:r>
          </w:p>
        </w:tc>
        <w:tc>
          <w:tcPr>
            <w:tcW w:w="1450" w:type="dxa"/>
            <w:vAlign w:val="center"/>
          </w:tcPr>
          <w:p>
            <w:pPr>
              <w:widowControl/>
              <w:spacing w:line="360" w:lineRule="exact"/>
              <w:jc w:val="left"/>
              <w:rPr>
                <w:kern w:val="0"/>
                <w:sz w:val="18"/>
                <w:szCs w:val="18"/>
              </w:rPr>
            </w:pPr>
            <w:r>
              <w:rPr>
                <w:kern w:val="0"/>
                <w:sz w:val="18"/>
                <w:szCs w:val="18"/>
              </w:rPr>
              <w:t>打印杨辉三角</w:t>
            </w:r>
          </w:p>
        </w:tc>
        <w:tc>
          <w:tcPr>
            <w:tcW w:w="2886" w:type="dxa"/>
            <w:vAlign w:val="center"/>
          </w:tcPr>
          <w:p>
            <w:pPr>
              <w:widowControl/>
              <w:spacing w:line="360" w:lineRule="exact"/>
              <w:rPr>
                <w:kern w:val="0"/>
                <w:sz w:val="18"/>
                <w:szCs w:val="18"/>
              </w:rPr>
            </w:pPr>
            <w:r>
              <w:rPr>
                <w:kern w:val="0"/>
                <w:sz w:val="18"/>
                <w:szCs w:val="18"/>
              </w:rPr>
              <w:t>掌握队列的相关定义及操作</w:t>
            </w:r>
          </w:p>
        </w:tc>
        <w:tc>
          <w:tcPr>
            <w:tcW w:w="687" w:type="dxa"/>
            <w:vAlign w:val="center"/>
          </w:tcPr>
          <w:p>
            <w:pPr>
              <w:widowControl/>
              <w:spacing w:line="360" w:lineRule="exact"/>
              <w:jc w:val="center"/>
              <w:rPr>
                <w:kern w:val="0"/>
                <w:sz w:val="18"/>
                <w:szCs w:val="18"/>
              </w:rPr>
            </w:pPr>
            <w:r>
              <w:rPr>
                <w:kern w:val="0"/>
                <w:sz w:val="18"/>
                <w:szCs w:val="18"/>
              </w:rPr>
              <w:t>2</w:t>
            </w:r>
          </w:p>
        </w:tc>
        <w:tc>
          <w:tcPr>
            <w:tcW w:w="687" w:type="dxa"/>
            <w:vAlign w:val="center"/>
          </w:tcPr>
          <w:p>
            <w:pPr>
              <w:widowControl/>
              <w:spacing w:line="360" w:lineRule="exact"/>
              <w:jc w:val="center"/>
              <w:rPr>
                <w:kern w:val="0"/>
                <w:sz w:val="18"/>
                <w:szCs w:val="18"/>
              </w:rPr>
            </w:pPr>
            <w:r>
              <w:rPr>
                <w:kern w:val="0"/>
                <w:sz w:val="18"/>
                <w:szCs w:val="18"/>
              </w:rPr>
              <w:t>验证</w:t>
            </w:r>
          </w:p>
        </w:tc>
        <w:tc>
          <w:tcPr>
            <w:tcW w:w="687" w:type="dxa"/>
            <w:vAlign w:val="center"/>
          </w:tcPr>
          <w:p>
            <w:pPr>
              <w:widowControl/>
              <w:spacing w:line="360" w:lineRule="exact"/>
              <w:jc w:val="center"/>
              <w:rPr>
                <w:kern w:val="0"/>
                <w:sz w:val="18"/>
                <w:szCs w:val="18"/>
              </w:rPr>
            </w:pPr>
            <w:r>
              <w:rPr>
                <w:kern w:val="0"/>
                <w:sz w:val="18"/>
                <w:szCs w:val="18"/>
              </w:rPr>
              <w:t>2</w:t>
            </w:r>
          </w:p>
        </w:tc>
        <w:tc>
          <w:tcPr>
            <w:tcW w:w="689" w:type="dxa"/>
            <w:vAlign w:val="center"/>
          </w:tcPr>
          <w:p>
            <w:pPr>
              <w:widowControl/>
              <w:spacing w:line="360" w:lineRule="exact"/>
              <w:jc w:val="center"/>
              <w:rPr>
                <w:kern w:val="0"/>
                <w:sz w:val="18"/>
                <w:szCs w:val="18"/>
              </w:rPr>
            </w:pPr>
            <w:r>
              <w:rPr>
                <w:kern w:val="0"/>
                <w:sz w:val="18"/>
                <w:szCs w:val="18"/>
              </w:rPr>
              <w:t>必开</w:t>
            </w:r>
          </w:p>
        </w:tc>
        <w:tc>
          <w:tcPr>
            <w:tcW w:w="687" w:type="dxa"/>
            <w:vAlign w:val="center"/>
          </w:tcPr>
          <w:p>
            <w:pPr>
              <w:widowControl/>
              <w:spacing w:line="360" w:lineRule="exact"/>
              <w:jc w:val="left"/>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Align w:val="center"/>
          </w:tcPr>
          <w:p>
            <w:pPr>
              <w:widowControl/>
              <w:spacing w:line="360" w:lineRule="exact"/>
              <w:jc w:val="center"/>
              <w:rPr>
                <w:kern w:val="0"/>
                <w:sz w:val="18"/>
                <w:szCs w:val="18"/>
              </w:rPr>
            </w:pPr>
            <w:r>
              <w:rPr>
                <w:kern w:val="0"/>
                <w:sz w:val="18"/>
                <w:szCs w:val="18"/>
              </w:rPr>
              <w:t>3</w:t>
            </w:r>
          </w:p>
        </w:tc>
        <w:tc>
          <w:tcPr>
            <w:tcW w:w="1450" w:type="dxa"/>
            <w:vAlign w:val="center"/>
          </w:tcPr>
          <w:p>
            <w:pPr>
              <w:widowControl/>
              <w:spacing w:line="360" w:lineRule="exact"/>
              <w:jc w:val="left"/>
              <w:rPr>
                <w:kern w:val="0"/>
                <w:sz w:val="18"/>
                <w:szCs w:val="18"/>
              </w:rPr>
            </w:pPr>
            <w:r>
              <w:rPr>
                <w:kern w:val="0"/>
                <w:sz w:val="18"/>
                <w:szCs w:val="18"/>
              </w:rPr>
              <w:t>Huffman编码</w:t>
            </w:r>
          </w:p>
        </w:tc>
        <w:tc>
          <w:tcPr>
            <w:tcW w:w="2886" w:type="dxa"/>
            <w:vAlign w:val="center"/>
          </w:tcPr>
          <w:p>
            <w:pPr>
              <w:widowControl/>
              <w:spacing w:line="360" w:lineRule="exact"/>
              <w:rPr>
                <w:kern w:val="0"/>
                <w:sz w:val="18"/>
                <w:szCs w:val="18"/>
              </w:rPr>
            </w:pPr>
            <w:r>
              <w:rPr>
                <w:kern w:val="0"/>
                <w:sz w:val="18"/>
                <w:szCs w:val="18"/>
              </w:rPr>
              <w:t>掌握Huffman树的构造及最佳前缀编码</w:t>
            </w:r>
          </w:p>
        </w:tc>
        <w:tc>
          <w:tcPr>
            <w:tcW w:w="687" w:type="dxa"/>
            <w:vAlign w:val="center"/>
          </w:tcPr>
          <w:p>
            <w:pPr>
              <w:widowControl/>
              <w:spacing w:line="360" w:lineRule="exact"/>
              <w:jc w:val="center"/>
              <w:rPr>
                <w:kern w:val="0"/>
                <w:sz w:val="18"/>
                <w:szCs w:val="18"/>
              </w:rPr>
            </w:pPr>
            <w:r>
              <w:rPr>
                <w:kern w:val="0"/>
                <w:sz w:val="18"/>
                <w:szCs w:val="18"/>
              </w:rPr>
              <w:t>2</w:t>
            </w:r>
          </w:p>
        </w:tc>
        <w:tc>
          <w:tcPr>
            <w:tcW w:w="687" w:type="dxa"/>
            <w:vAlign w:val="center"/>
          </w:tcPr>
          <w:p>
            <w:pPr>
              <w:widowControl/>
              <w:spacing w:line="360" w:lineRule="exact"/>
              <w:jc w:val="center"/>
              <w:rPr>
                <w:kern w:val="0"/>
                <w:sz w:val="18"/>
                <w:szCs w:val="18"/>
              </w:rPr>
            </w:pPr>
            <w:r>
              <w:rPr>
                <w:kern w:val="0"/>
                <w:sz w:val="18"/>
                <w:szCs w:val="18"/>
              </w:rPr>
              <w:t>综合</w:t>
            </w:r>
          </w:p>
        </w:tc>
        <w:tc>
          <w:tcPr>
            <w:tcW w:w="687" w:type="dxa"/>
            <w:vAlign w:val="center"/>
          </w:tcPr>
          <w:p>
            <w:pPr>
              <w:widowControl/>
              <w:spacing w:line="360" w:lineRule="exact"/>
              <w:jc w:val="center"/>
              <w:rPr>
                <w:kern w:val="0"/>
                <w:sz w:val="18"/>
                <w:szCs w:val="18"/>
              </w:rPr>
            </w:pPr>
            <w:r>
              <w:rPr>
                <w:kern w:val="0"/>
                <w:sz w:val="18"/>
                <w:szCs w:val="18"/>
              </w:rPr>
              <w:t>2</w:t>
            </w:r>
          </w:p>
        </w:tc>
        <w:tc>
          <w:tcPr>
            <w:tcW w:w="689" w:type="dxa"/>
            <w:vAlign w:val="center"/>
          </w:tcPr>
          <w:p>
            <w:pPr>
              <w:widowControl/>
              <w:spacing w:line="360" w:lineRule="exact"/>
              <w:jc w:val="center"/>
              <w:rPr>
                <w:kern w:val="0"/>
                <w:sz w:val="18"/>
                <w:szCs w:val="18"/>
              </w:rPr>
            </w:pPr>
            <w:r>
              <w:rPr>
                <w:kern w:val="0"/>
                <w:sz w:val="18"/>
                <w:szCs w:val="18"/>
              </w:rPr>
              <w:t>必开</w:t>
            </w:r>
          </w:p>
        </w:tc>
        <w:tc>
          <w:tcPr>
            <w:tcW w:w="687" w:type="dxa"/>
            <w:vAlign w:val="center"/>
          </w:tcPr>
          <w:p>
            <w:pPr>
              <w:widowControl/>
              <w:spacing w:line="360" w:lineRule="exact"/>
              <w:jc w:val="left"/>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Align w:val="center"/>
          </w:tcPr>
          <w:p>
            <w:pPr>
              <w:widowControl/>
              <w:spacing w:line="360" w:lineRule="exact"/>
              <w:jc w:val="center"/>
              <w:rPr>
                <w:kern w:val="0"/>
                <w:sz w:val="18"/>
                <w:szCs w:val="18"/>
              </w:rPr>
            </w:pPr>
            <w:r>
              <w:rPr>
                <w:kern w:val="0"/>
                <w:sz w:val="18"/>
                <w:szCs w:val="18"/>
              </w:rPr>
              <w:t>4</w:t>
            </w:r>
          </w:p>
        </w:tc>
        <w:tc>
          <w:tcPr>
            <w:tcW w:w="1450" w:type="dxa"/>
            <w:vAlign w:val="center"/>
          </w:tcPr>
          <w:p>
            <w:pPr>
              <w:widowControl/>
              <w:spacing w:line="360" w:lineRule="exact"/>
              <w:jc w:val="left"/>
              <w:rPr>
                <w:kern w:val="0"/>
                <w:sz w:val="18"/>
                <w:szCs w:val="18"/>
              </w:rPr>
            </w:pPr>
            <w:r>
              <w:rPr>
                <w:kern w:val="0"/>
                <w:sz w:val="18"/>
                <w:szCs w:val="18"/>
              </w:rPr>
              <w:t>二叉排序树</w:t>
            </w:r>
          </w:p>
        </w:tc>
        <w:tc>
          <w:tcPr>
            <w:tcW w:w="2886" w:type="dxa"/>
            <w:vAlign w:val="center"/>
          </w:tcPr>
          <w:p>
            <w:pPr>
              <w:widowControl/>
              <w:spacing w:line="360" w:lineRule="exact"/>
              <w:rPr>
                <w:kern w:val="0"/>
                <w:sz w:val="18"/>
                <w:szCs w:val="18"/>
              </w:rPr>
            </w:pPr>
            <w:r>
              <w:rPr>
                <w:kern w:val="0"/>
                <w:sz w:val="18"/>
                <w:szCs w:val="18"/>
              </w:rPr>
              <w:t>掌握二叉排序树的插入、生成及查找</w:t>
            </w:r>
          </w:p>
        </w:tc>
        <w:tc>
          <w:tcPr>
            <w:tcW w:w="687" w:type="dxa"/>
            <w:vAlign w:val="center"/>
          </w:tcPr>
          <w:p>
            <w:pPr>
              <w:widowControl/>
              <w:spacing w:line="360" w:lineRule="exact"/>
              <w:jc w:val="center"/>
              <w:rPr>
                <w:kern w:val="0"/>
                <w:sz w:val="18"/>
                <w:szCs w:val="18"/>
              </w:rPr>
            </w:pPr>
            <w:r>
              <w:rPr>
                <w:kern w:val="0"/>
                <w:sz w:val="18"/>
                <w:szCs w:val="18"/>
              </w:rPr>
              <w:t>2</w:t>
            </w:r>
          </w:p>
        </w:tc>
        <w:tc>
          <w:tcPr>
            <w:tcW w:w="687" w:type="dxa"/>
            <w:vAlign w:val="center"/>
          </w:tcPr>
          <w:p>
            <w:pPr>
              <w:widowControl/>
              <w:spacing w:line="360" w:lineRule="exact"/>
              <w:jc w:val="center"/>
              <w:rPr>
                <w:kern w:val="0"/>
                <w:sz w:val="18"/>
                <w:szCs w:val="18"/>
              </w:rPr>
            </w:pPr>
            <w:r>
              <w:rPr>
                <w:kern w:val="0"/>
                <w:sz w:val="18"/>
                <w:szCs w:val="18"/>
              </w:rPr>
              <w:t>验证</w:t>
            </w:r>
          </w:p>
        </w:tc>
        <w:tc>
          <w:tcPr>
            <w:tcW w:w="687" w:type="dxa"/>
            <w:vAlign w:val="center"/>
          </w:tcPr>
          <w:p>
            <w:pPr>
              <w:widowControl/>
              <w:spacing w:line="360" w:lineRule="exact"/>
              <w:jc w:val="center"/>
              <w:rPr>
                <w:kern w:val="0"/>
                <w:sz w:val="18"/>
                <w:szCs w:val="18"/>
              </w:rPr>
            </w:pPr>
            <w:r>
              <w:rPr>
                <w:kern w:val="0"/>
                <w:sz w:val="18"/>
                <w:szCs w:val="18"/>
              </w:rPr>
              <w:t>2</w:t>
            </w:r>
          </w:p>
        </w:tc>
        <w:tc>
          <w:tcPr>
            <w:tcW w:w="689" w:type="dxa"/>
            <w:vAlign w:val="center"/>
          </w:tcPr>
          <w:p>
            <w:pPr>
              <w:widowControl/>
              <w:spacing w:line="360" w:lineRule="exact"/>
              <w:jc w:val="center"/>
              <w:rPr>
                <w:kern w:val="0"/>
                <w:sz w:val="18"/>
                <w:szCs w:val="18"/>
              </w:rPr>
            </w:pPr>
            <w:r>
              <w:rPr>
                <w:kern w:val="0"/>
                <w:sz w:val="18"/>
                <w:szCs w:val="18"/>
              </w:rPr>
              <w:t>必开</w:t>
            </w:r>
          </w:p>
        </w:tc>
        <w:tc>
          <w:tcPr>
            <w:tcW w:w="687" w:type="dxa"/>
            <w:vAlign w:val="center"/>
          </w:tcPr>
          <w:p>
            <w:pPr>
              <w:widowControl/>
              <w:spacing w:line="360" w:lineRule="exact"/>
              <w:jc w:val="left"/>
              <w:rPr>
                <w:kern w:val="0"/>
                <w:sz w:val="18"/>
                <w:szCs w:val="18"/>
              </w:rPr>
            </w:pPr>
            <w:r>
              <w:rPr>
                <w:kern w:val="0"/>
                <w:sz w:val="18"/>
                <w:szCs w:val="18"/>
              </w:rPr>
              <w:t>2，3</w:t>
            </w:r>
          </w:p>
        </w:tc>
      </w:tr>
    </w:tbl>
    <w:p>
      <w:pPr>
        <w:widowControl/>
        <w:tabs>
          <w:tab w:val="left" w:pos="426"/>
          <w:tab w:val="left" w:pos="5245"/>
          <w:tab w:val="left" w:pos="5387"/>
        </w:tabs>
        <w:spacing w:line="300" w:lineRule="auto"/>
        <w:ind w:firstLine="420" w:firstLineChars="200"/>
        <w:rPr>
          <w:szCs w:val="21"/>
        </w:rPr>
      </w:pPr>
      <w:r>
        <w:rPr>
          <w:szCs w:val="21"/>
        </w:rPr>
        <w:t>实验报告撰写要求：</w:t>
      </w:r>
    </w:p>
    <w:p>
      <w:pPr>
        <w:widowControl/>
        <w:tabs>
          <w:tab w:val="left" w:pos="426"/>
          <w:tab w:val="left" w:pos="5245"/>
          <w:tab w:val="left" w:pos="5387"/>
        </w:tabs>
        <w:spacing w:line="300" w:lineRule="auto"/>
        <w:ind w:firstLine="420" w:firstLineChars="200"/>
        <w:rPr>
          <w:szCs w:val="21"/>
        </w:rPr>
      </w:pPr>
      <w:r>
        <w:rPr>
          <w:szCs w:val="21"/>
        </w:rPr>
        <w:t>学生要提交的实验报告包括纸质版和电子版，纸质版A4打印。实验报告包括原理说明、实验记录和实验总结三项内容：</w:t>
      </w:r>
    </w:p>
    <w:p>
      <w:pPr>
        <w:widowControl/>
        <w:tabs>
          <w:tab w:val="left" w:pos="426"/>
          <w:tab w:val="left" w:pos="5245"/>
          <w:tab w:val="left" w:pos="5387"/>
        </w:tabs>
        <w:spacing w:line="300" w:lineRule="auto"/>
        <w:ind w:firstLine="420" w:firstLineChars="200"/>
        <w:rPr>
          <w:szCs w:val="21"/>
        </w:rPr>
      </w:pPr>
      <w:r>
        <w:rPr>
          <w:szCs w:val="21"/>
        </w:rPr>
        <w:t>（1）实验原理要写明实验目的、要求、实验步骤等提纲；</w:t>
      </w:r>
    </w:p>
    <w:p>
      <w:pPr>
        <w:widowControl/>
        <w:tabs>
          <w:tab w:val="left" w:pos="426"/>
          <w:tab w:val="left" w:pos="5245"/>
          <w:tab w:val="left" w:pos="5387"/>
        </w:tabs>
        <w:spacing w:line="300" w:lineRule="auto"/>
        <w:ind w:firstLine="420" w:firstLineChars="200"/>
        <w:rPr>
          <w:szCs w:val="21"/>
        </w:rPr>
      </w:pPr>
      <w:r>
        <w:rPr>
          <w:szCs w:val="21"/>
        </w:rPr>
        <w:t>（2）实验记录包括实验结果和实验过程中出现的问题和解决方案；</w:t>
      </w:r>
    </w:p>
    <w:p>
      <w:pPr>
        <w:widowControl/>
        <w:tabs>
          <w:tab w:val="left" w:pos="426"/>
          <w:tab w:val="left" w:pos="5245"/>
          <w:tab w:val="left" w:pos="5387"/>
        </w:tabs>
        <w:spacing w:line="300" w:lineRule="auto"/>
        <w:ind w:firstLine="420" w:firstLineChars="200"/>
        <w:rPr>
          <w:szCs w:val="21"/>
        </w:rPr>
      </w:pPr>
      <w:r>
        <w:rPr>
          <w:szCs w:val="21"/>
        </w:rPr>
        <w:t>（3）实验报告对实验数据、结果、实验过程中出现的问题等进行解释、分析、总结，根据实验结论提出对实验改进的途径和方案。</w:t>
      </w:r>
    </w:p>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w:t>
      </w:r>
      <w:r>
        <w:rPr>
          <w:kern w:val="0"/>
          <w:szCs w:val="21"/>
        </w:rPr>
        <w:t>．</w:t>
      </w:r>
      <w:r>
        <w:rPr>
          <w:szCs w:val="21"/>
        </w:rPr>
        <w:t>考核方式：课堂表现（考勤、回答问题等）、习题作业、实验和考试。</w:t>
      </w:r>
    </w:p>
    <w:p>
      <w:pPr>
        <w:snapToGrid w:val="0"/>
        <w:spacing w:line="300" w:lineRule="auto"/>
        <w:ind w:firstLine="420" w:firstLineChars="200"/>
        <w:rPr>
          <w:szCs w:val="21"/>
        </w:rPr>
      </w:pPr>
      <w:r>
        <w:rPr>
          <w:szCs w:val="21"/>
        </w:rPr>
        <w:t>2</w:t>
      </w:r>
      <w:r>
        <w:rPr>
          <w:kern w:val="0"/>
          <w:szCs w:val="21"/>
        </w:rPr>
        <w:t>．</w:t>
      </w:r>
      <w:r>
        <w:rPr>
          <w:szCs w:val="21"/>
        </w:rPr>
        <w:t>考核成绩组成：课堂表现成绩10 %+作业成绩10 %+实验成绩10%+期末成绩70 %。</w:t>
      </w:r>
    </w:p>
    <w:p>
      <w:pPr>
        <w:snapToGrid w:val="0"/>
        <w:spacing w:line="300" w:lineRule="auto"/>
        <w:ind w:firstLine="420" w:firstLineChars="200"/>
        <w:rPr>
          <w:szCs w:val="21"/>
        </w:rPr>
      </w:pPr>
      <w:r>
        <w:rPr>
          <w:szCs w:val="21"/>
        </w:rPr>
        <w:t>3</w:t>
      </w:r>
      <w:r>
        <w:rPr>
          <w:kern w:val="0"/>
          <w:szCs w:val="21"/>
        </w:rPr>
        <w:t>．</w:t>
      </w:r>
      <w:r>
        <w:rPr>
          <w:szCs w:val="21"/>
        </w:rPr>
        <w:t>考核评价标准如表5所示。</w:t>
      </w:r>
    </w:p>
    <w:p>
      <w:pPr>
        <w:widowControl/>
        <w:tabs>
          <w:tab w:val="left" w:pos="426"/>
          <w:tab w:val="left" w:pos="5245"/>
          <w:tab w:val="left" w:pos="5387"/>
        </w:tabs>
        <w:spacing w:before="156" w:beforeLines="50" w:line="300" w:lineRule="auto"/>
        <w:jc w:val="center"/>
        <w:rPr>
          <w:b/>
          <w:kern w:val="0"/>
          <w:sz w:val="18"/>
          <w:szCs w:val="18"/>
        </w:rPr>
      </w:pPr>
      <w:r>
        <w:rPr>
          <w:b/>
          <w:kern w:val="0"/>
          <w:sz w:val="18"/>
          <w:szCs w:val="18"/>
        </w:rPr>
        <w:t>表5教学目标评价标准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555"/>
        <w:gridCol w:w="567"/>
        <w:gridCol w:w="708"/>
        <w:gridCol w:w="567"/>
        <w:gridCol w:w="3544"/>
        <w:gridCol w:w="99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6" w:type="dxa"/>
            <w:vAlign w:val="center"/>
          </w:tcPr>
          <w:p>
            <w:pPr>
              <w:jc w:val="center"/>
              <w:rPr>
                <w:b/>
                <w:sz w:val="18"/>
                <w:szCs w:val="18"/>
              </w:rPr>
            </w:pPr>
            <w:r>
              <w:rPr>
                <w:b/>
                <w:sz w:val="18"/>
                <w:szCs w:val="18"/>
              </w:rPr>
              <w:t>成绩</w:t>
            </w:r>
          </w:p>
          <w:p>
            <w:pPr>
              <w:jc w:val="center"/>
              <w:rPr>
                <w:b/>
                <w:bCs/>
                <w:sz w:val="18"/>
                <w:szCs w:val="18"/>
              </w:rPr>
            </w:pPr>
            <w:r>
              <w:rPr>
                <w:b/>
                <w:sz w:val="18"/>
                <w:szCs w:val="18"/>
              </w:rPr>
              <w:t>类型</w:t>
            </w:r>
          </w:p>
        </w:tc>
        <w:tc>
          <w:tcPr>
            <w:tcW w:w="555" w:type="dxa"/>
            <w:vAlign w:val="center"/>
          </w:tcPr>
          <w:p>
            <w:pPr>
              <w:jc w:val="center"/>
              <w:rPr>
                <w:b/>
                <w:bCs/>
                <w:sz w:val="18"/>
                <w:szCs w:val="18"/>
              </w:rPr>
            </w:pPr>
            <w:r>
              <w:rPr>
                <w:b/>
                <w:sz w:val="18"/>
                <w:szCs w:val="18"/>
              </w:rPr>
              <w:t>分值</w:t>
            </w:r>
          </w:p>
        </w:tc>
        <w:tc>
          <w:tcPr>
            <w:tcW w:w="567" w:type="dxa"/>
            <w:vAlign w:val="center"/>
          </w:tcPr>
          <w:p>
            <w:pPr>
              <w:jc w:val="center"/>
              <w:rPr>
                <w:b/>
                <w:bCs/>
                <w:sz w:val="18"/>
                <w:szCs w:val="18"/>
              </w:rPr>
            </w:pPr>
            <w:r>
              <w:rPr>
                <w:b/>
                <w:sz w:val="18"/>
                <w:szCs w:val="18"/>
              </w:rPr>
              <w:t>权重</w:t>
            </w:r>
          </w:p>
        </w:tc>
        <w:tc>
          <w:tcPr>
            <w:tcW w:w="708" w:type="dxa"/>
            <w:vAlign w:val="center"/>
          </w:tcPr>
          <w:p>
            <w:pPr>
              <w:jc w:val="center"/>
              <w:rPr>
                <w:b/>
                <w:bCs/>
                <w:sz w:val="18"/>
                <w:szCs w:val="18"/>
              </w:rPr>
            </w:pPr>
            <w:r>
              <w:rPr>
                <w:b/>
                <w:sz w:val="18"/>
                <w:szCs w:val="18"/>
              </w:rPr>
              <w:t>类别</w:t>
            </w:r>
          </w:p>
        </w:tc>
        <w:tc>
          <w:tcPr>
            <w:tcW w:w="567" w:type="dxa"/>
            <w:vAlign w:val="center"/>
          </w:tcPr>
          <w:p>
            <w:pPr>
              <w:jc w:val="center"/>
              <w:rPr>
                <w:b/>
                <w:bCs/>
                <w:sz w:val="18"/>
                <w:szCs w:val="18"/>
              </w:rPr>
            </w:pPr>
            <w:r>
              <w:rPr>
                <w:b/>
                <w:bCs/>
                <w:sz w:val="18"/>
                <w:szCs w:val="18"/>
              </w:rPr>
              <w:t>权重</w:t>
            </w:r>
          </w:p>
        </w:tc>
        <w:tc>
          <w:tcPr>
            <w:tcW w:w="3544" w:type="dxa"/>
            <w:vAlign w:val="center"/>
          </w:tcPr>
          <w:p>
            <w:pPr>
              <w:jc w:val="center"/>
              <w:rPr>
                <w:b/>
                <w:bCs/>
                <w:sz w:val="18"/>
                <w:szCs w:val="18"/>
              </w:rPr>
            </w:pPr>
            <w:r>
              <w:rPr>
                <w:b/>
                <w:bCs/>
                <w:sz w:val="18"/>
                <w:szCs w:val="18"/>
              </w:rPr>
              <w:t>考核/评价细则</w:t>
            </w:r>
          </w:p>
        </w:tc>
        <w:tc>
          <w:tcPr>
            <w:tcW w:w="992" w:type="dxa"/>
            <w:vAlign w:val="center"/>
          </w:tcPr>
          <w:p>
            <w:pPr>
              <w:jc w:val="center"/>
              <w:rPr>
                <w:b/>
                <w:bCs/>
                <w:sz w:val="18"/>
                <w:szCs w:val="18"/>
              </w:rPr>
            </w:pPr>
            <w:r>
              <w:rPr>
                <w:b/>
                <w:bCs/>
                <w:sz w:val="18"/>
                <w:szCs w:val="18"/>
              </w:rPr>
              <w:t>课程目标</w:t>
            </w:r>
          </w:p>
        </w:tc>
        <w:tc>
          <w:tcPr>
            <w:tcW w:w="1122" w:type="dxa"/>
            <w:vAlign w:val="center"/>
          </w:tcPr>
          <w:p>
            <w:pPr>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restart"/>
            <w:vAlign w:val="center"/>
          </w:tcPr>
          <w:p>
            <w:pPr>
              <w:jc w:val="center"/>
              <w:rPr>
                <w:sz w:val="18"/>
                <w:szCs w:val="18"/>
              </w:rPr>
            </w:pPr>
            <w:r>
              <w:rPr>
                <w:sz w:val="18"/>
                <w:szCs w:val="18"/>
              </w:rPr>
              <w:t>平时</w:t>
            </w:r>
          </w:p>
          <w:p>
            <w:pPr>
              <w:jc w:val="center"/>
              <w:rPr>
                <w:sz w:val="18"/>
                <w:szCs w:val="18"/>
              </w:rPr>
            </w:pPr>
            <w:r>
              <w:rPr>
                <w:sz w:val="18"/>
                <w:szCs w:val="18"/>
              </w:rPr>
              <w:t>成绩</w:t>
            </w:r>
          </w:p>
        </w:tc>
        <w:tc>
          <w:tcPr>
            <w:tcW w:w="555"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0.3</w:t>
            </w:r>
          </w:p>
        </w:tc>
        <w:tc>
          <w:tcPr>
            <w:tcW w:w="708" w:type="dxa"/>
            <w:vAlign w:val="center"/>
          </w:tcPr>
          <w:p>
            <w:pPr>
              <w:jc w:val="center"/>
              <w:rPr>
                <w:sz w:val="18"/>
                <w:szCs w:val="18"/>
              </w:rPr>
            </w:pPr>
            <w:r>
              <w:rPr>
                <w:sz w:val="18"/>
                <w:szCs w:val="18"/>
              </w:rPr>
              <w:t>课堂表现</w:t>
            </w:r>
          </w:p>
        </w:tc>
        <w:tc>
          <w:tcPr>
            <w:tcW w:w="567" w:type="dxa"/>
            <w:vAlign w:val="center"/>
          </w:tcPr>
          <w:p>
            <w:pPr>
              <w:jc w:val="center"/>
              <w:rPr>
                <w:sz w:val="18"/>
                <w:szCs w:val="18"/>
              </w:rPr>
            </w:pPr>
            <w:r>
              <w:rPr>
                <w:sz w:val="18"/>
                <w:szCs w:val="18"/>
              </w:rPr>
              <w:t>0.2</w:t>
            </w:r>
          </w:p>
        </w:tc>
        <w:tc>
          <w:tcPr>
            <w:tcW w:w="3544" w:type="dxa"/>
            <w:vAlign w:val="center"/>
          </w:tcPr>
          <w:p>
            <w:pPr>
              <w:jc w:val="left"/>
              <w:rPr>
                <w:sz w:val="18"/>
                <w:szCs w:val="18"/>
              </w:rPr>
            </w:pPr>
            <w:r>
              <w:rPr>
                <w:sz w:val="18"/>
                <w:szCs w:val="18"/>
              </w:rPr>
              <w:t>课堂考勤与提问</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p>
        </w:tc>
        <w:tc>
          <w:tcPr>
            <w:tcW w:w="992" w:type="dxa"/>
            <w:vAlign w:val="center"/>
          </w:tcPr>
          <w:p>
            <w:pPr>
              <w:jc w:val="left"/>
              <w:rPr>
                <w:sz w:val="18"/>
                <w:szCs w:val="18"/>
              </w:rPr>
            </w:pPr>
            <w:r>
              <w:rPr>
                <w:sz w:val="18"/>
                <w:szCs w:val="18"/>
              </w:rPr>
              <w:t>1，2</w:t>
            </w:r>
          </w:p>
        </w:tc>
        <w:tc>
          <w:tcPr>
            <w:tcW w:w="1122" w:type="dxa"/>
            <w:vAlign w:val="center"/>
          </w:tcPr>
          <w:p>
            <w:pPr>
              <w:jc w:val="left"/>
              <w:rPr>
                <w:sz w:val="18"/>
                <w:szCs w:val="18"/>
              </w:rPr>
            </w:pPr>
            <w:r>
              <w:rPr>
                <w:rFonts w:hint="eastAsia"/>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vAlign w:val="center"/>
          </w:tcPr>
          <w:p>
            <w:pPr>
              <w:jc w:val="center"/>
              <w:rPr>
                <w:sz w:val="18"/>
                <w:szCs w:val="18"/>
              </w:rPr>
            </w:pPr>
          </w:p>
        </w:tc>
        <w:tc>
          <w:tcPr>
            <w:tcW w:w="555"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708" w:type="dxa"/>
            <w:vAlign w:val="center"/>
          </w:tcPr>
          <w:p>
            <w:pPr>
              <w:jc w:val="center"/>
              <w:rPr>
                <w:sz w:val="18"/>
                <w:szCs w:val="18"/>
              </w:rPr>
            </w:pPr>
            <w:r>
              <w:rPr>
                <w:sz w:val="18"/>
                <w:szCs w:val="18"/>
              </w:rPr>
              <w:t>作业</w:t>
            </w:r>
          </w:p>
        </w:tc>
        <w:tc>
          <w:tcPr>
            <w:tcW w:w="567" w:type="dxa"/>
            <w:vAlign w:val="center"/>
          </w:tcPr>
          <w:p>
            <w:pPr>
              <w:jc w:val="center"/>
              <w:rPr>
                <w:sz w:val="18"/>
                <w:szCs w:val="18"/>
              </w:rPr>
            </w:pPr>
            <w:r>
              <w:rPr>
                <w:sz w:val="18"/>
                <w:szCs w:val="18"/>
              </w:rPr>
              <w:t>0.4</w:t>
            </w:r>
          </w:p>
        </w:tc>
        <w:tc>
          <w:tcPr>
            <w:tcW w:w="3544" w:type="dxa"/>
            <w:vAlign w:val="center"/>
          </w:tcPr>
          <w:p>
            <w:pPr>
              <w:jc w:val="left"/>
              <w:rPr>
                <w:sz w:val="18"/>
                <w:szCs w:val="18"/>
              </w:rPr>
            </w:pPr>
            <w:r>
              <w:rPr>
                <w:sz w:val="18"/>
                <w:szCs w:val="18"/>
              </w:rPr>
              <w:t>作业</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分，按比例计入课程总评成绩；主要考核学生对每章节知识点的理解和掌握程度</w:t>
            </w:r>
            <w:r>
              <w:rPr>
                <w:rFonts w:hint="eastAsia"/>
                <w:sz w:val="18"/>
                <w:szCs w:val="18"/>
              </w:rPr>
              <w:t>。</w:t>
            </w:r>
          </w:p>
        </w:tc>
        <w:tc>
          <w:tcPr>
            <w:tcW w:w="992" w:type="dxa"/>
            <w:vAlign w:val="center"/>
          </w:tcPr>
          <w:p>
            <w:pPr>
              <w:jc w:val="left"/>
              <w:rPr>
                <w:sz w:val="18"/>
                <w:szCs w:val="18"/>
              </w:rPr>
            </w:pPr>
            <w:r>
              <w:rPr>
                <w:sz w:val="18"/>
                <w:szCs w:val="18"/>
              </w:rPr>
              <w:t>1，2，3</w:t>
            </w:r>
          </w:p>
        </w:tc>
        <w:tc>
          <w:tcPr>
            <w:tcW w:w="1122" w:type="dxa"/>
            <w:vAlign w:val="center"/>
          </w:tcPr>
          <w:p>
            <w:pPr>
              <w:jc w:val="left"/>
              <w:rPr>
                <w:sz w:val="18"/>
                <w:szCs w:val="18"/>
              </w:rPr>
            </w:pPr>
            <w:r>
              <w:rPr>
                <w:rFonts w:hint="eastAsia"/>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vAlign w:val="center"/>
          </w:tcPr>
          <w:p>
            <w:pPr>
              <w:jc w:val="center"/>
              <w:rPr>
                <w:sz w:val="18"/>
                <w:szCs w:val="18"/>
              </w:rPr>
            </w:pPr>
          </w:p>
        </w:tc>
        <w:tc>
          <w:tcPr>
            <w:tcW w:w="555"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708" w:type="dxa"/>
            <w:vAlign w:val="center"/>
          </w:tcPr>
          <w:p>
            <w:pPr>
              <w:jc w:val="center"/>
              <w:rPr>
                <w:sz w:val="18"/>
                <w:szCs w:val="18"/>
              </w:rPr>
            </w:pPr>
            <w:r>
              <w:rPr>
                <w:sz w:val="18"/>
                <w:szCs w:val="18"/>
              </w:rPr>
              <w:t>实验</w:t>
            </w:r>
          </w:p>
        </w:tc>
        <w:tc>
          <w:tcPr>
            <w:tcW w:w="567" w:type="dxa"/>
            <w:vAlign w:val="center"/>
          </w:tcPr>
          <w:p>
            <w:pPr>
              <w:jc w:val="center"/>
              <w:rPr>
                <w:sz w:val="18"/>
                <w:szCs w:val="18"/>
              </w:rPr>
            </w:pPr>
            <w:r>
              <w:rPr>
                <w:sz w:val="18"/>
                <w:szCs w:val="18"/>
              </w:rPr>
              <w:t>0.4</w:t>
            </w:r>
          </w:p>
        </w:tc>
        <w:tc>
          <w:tcPr>
            <w:tcW w:w="3544" w:type="dxa"/>
            <w:vAlign w:val="center"/>
          </w:tcPr>
          <w:p>
            <w:pPr>
              <w:jc w:val="left"/>
              <w:rPr>
                <w:sz w:val="18"/>
                <w:szCs w:val="18"/>
              </w:rPr>
            </w:pPr>
            <w:r>
              <w:rPr>
                <w:sz w:val="18"/>
                <w:szCs w:val="18"/>
              </w:rPr>
              <w:t>实验</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分，按比例计入课程总评成绩；主要考核学生的实验完成</w:t>
            </w:r>
            <w:r>
              <w:rPr>
                <w:rFonts w:hint="eastAsia"/>
                <w:sz w:val="18"/>
                <w:szCs w:val="18"/>
              </w:rPr>
              <w:t>结果</w:t>
            </w:r>
            <w:r>
              <w:rPr>
                <w:sz w:val="18"/>
                <w:szCs w:val="18"/>
              </w:rPr>
              <w:t>及实验报告质量。</w:t>
            </w:r>
          </w:p>
        </w:tc>
        <w:tc>
          <w:tcPr>
            <w:tcW w:w="992" w:type="dxa"/>
            <w:vAlign w:val="center"/>
          </w:tcPr>
          <w:p>
            <w:pPr>
              <w:jc w:val="left"/>
              <w:rPr>
                <w:sz w:val="18"/>
                <w:szCs w:val="18"/>
              </w:rPr>
            </w:pPr>
            <w:r>
              <w:rPr>
                <w:sz w:val="18"/>
                <w:szCs w:val="18"/>
              </w:rPr>
              <w:t>2，3</w:t>
            </w:r>
          </w:p>
        </w:tc>
        <w:tc>
          <w:tcPr>
            <w:tcW w:w="1122" w:type="dxa"/>
            <w:vAlign w:val="center"/>
          </w:tcPr>
          <w:p>
            <w:pPr>
              <w:jc w:val="left"/>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jc w:val="center"/>
              <w:rPr>
                <w:sz w:val="18"/>
                <w:szCs w:val="18"/>
              </w:rPr>
            </w:pPr>
            <w:r>
              <w:rPr>
                <w:sz w:val="18"/>
                <w:szCs w:val="18"/>
              </w:rPr>
              <w:t>期末</w:t>
            </w:r>
          </w:p>
          <w:p>
            <w:pPr>
              <w:jc w:val="center"/>
              <w:rPr>
                <w:sz w:val="18"/>
                <w:szCs w:val="18"/>
              </w:rPr>
            </w:pPr>
            <w:r>
              <w:rPr>
                <w:sz w:val="18"/>
                <w:szCs w:val="18"/>
              </w:rPr>
              <w:t>考试</w:t>
            </w:r>
          </w:p>
          <w:p>
            <w:pPr>
              <w:jc w:val="center"/>
              <w:rPr>
                <w:sz w:val="18"/>
                <w:szCs w:val="18"/>
              </w:rPr>
            </w:pPr>
            <w:r>
              <w:rPr>
                <w:sz w:val="18"/>
                <w:szCs w:val="18"/>
              </w:rPr>
              <w:t>成绩</w:t>
            </w:r>
          </w:p>
        </w:tc>
        <w:tc>
          <w:tcPr>
            <w:tcW w:w="555"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0.7</w:t>
            </w:r>
          </w:p>
        </w:tc>
        <w:tc>
          <w:tcPr>
            <w:tcW w:w="708" w:type="dxa"/>
            <w:vAlign w:val="center"/>
          </w:tcPr>
          <w:p>
            <w:pPr>
              <w:jc w:val="center"/>
              <w:rPr>
                <w:sz w:val="18"/>
                <w:szCs w:val="18"/>
              </w:rPr>
            </w:pPr>
            <w:r>
              <w:rPr>
                <w:sz w:val="18"/>
                <w:szCs w:val="18"/>
              </w:rPr>
              <w:t>闭卷考试</w:t>
            </w:r>
          </w:p>
        </w:tc>
        <w:tc>
          <w:tcPr>
            <w:tcW w:w="567" w:type="dxa"/>
            <w:vAlign w:val="center"/>
          </w:tcPr>
          <w:p>
            <w:pPr>
              <w:jc w:val="center"/>
              <w:rPr>
                <w:sz w:val="18"/>
                <w:szCs w:val="18"/>
              </w:rPr>
            </w:pPr>
            <w:r>
              <w:rPr>
                <w:sz w:val="18"/>
                <w:szCs w:val="18"/>
              </w:rPr>
              <w:t>1</w:t>
            </w:r>
          </w:p>
        </w:tc>
        <w:tc>
          <w:tcPr>
            <w:tcW w:w="3544" w:type="dxa"/>
            <w:vAlign w:val="center"/>
          </w:tcPr>
          <w:p>
            <w:pPr>
              <w:jc w:val="left"/>
              <w:rPr>
                <w:sz w:val="18"/>
                <w:szCs w:val="18"/>
              </w:rPr>
            </w:pPr>
            <w:r>
              <w:rPr>
                <w:sz w:val="18"/>
                <w:szCs w:val="18"/>
              </w:rPr>
              <w:t>卷面成绩100分，按比例计入课程总评成绩；主要考核学生的基</w:t>
            </w:r>
            <w:r>
              <w:rPr>
                <w:rFonts w:hint="eastAsia"/>
                <w:sz w:val="18"/>
                <w:szCs w:val="18"/>
              </w:rPr>
              <w:t>础</w:t>
            </w:r>
            <w:r>
              <w:rPr>
                <w:sz w:val="18"/>
                <w:szCs w:val="18"/>
              </w:rPr>
              <w:t>知识、应用能力和逻辑分析能力。</w:t>
            </w:r>
          </w:p>
        </w:tc>
        <w:tc>
          <w:tcPr>
            <w:tcW w:w="992" w:type="dxa"/>
            <w:vAlign w:val="center"/>
          </w:tcPr>
          <w:p>
            <w:pPr>
              <w:jc w:val="left"/>
              <w:rPr>
                <w:sz w:val="18"/>
                <w:szCs w:val="18"/>
              </w:rPr>
            </w:pPr>
            <w:r>
              <w:rPr>
                <w:sz w:val="18"/>
                <w:szCs w:val="18"/>
              </w:rPr>
              <w:t>1，2，3</w:t>
            </w:r>
          </w:p>
        </w:tc>
        <w:tc>
          <w:tcPr>
            <w:tcW w:w="1122" w:type="dxa"/>
            <w:vAlign w:val="center"/>
          </w:tcPr>
          <w:p>
            <w:pPr>
              <w:jc w:val="left"/>
              <w:rPr>
                <w:sz w:val="18"/>
                <w:szCs w:val="18"/>
              </w:rPr>
            </w:pPr>
            <w:r>
              <w:rPr>
                <w:rFonts w:hint="eastAsia"/>
                <w:sz w:val="18"/>
                <w:szCs w:val="18"/>
              </w:rPr>
              <w:t>1，4</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1．达成度评价依据和方法：</w:t>
      </w:r>
    </w:p>
    <w:p>
      <w:pPr>
        <w:snapToGrid w:val="0"/>
        <w:spacing w:before="6" w:line="300" w:lineRule="auto"/>
        <w:ind w:right="270" w:firstLine="420" w:firstLineChars="200"/>
        <w:rPr>
          <w:szCs w:val="21"/>
        </w:rPr>
      </w:pPr>
      <w:r>
        <w:rPr>
          <w:szCs w:val="21"/>
        </w:rPr>
        <w:t>课程目标评价方式：课程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公式如</w:t>
      </w:r>
      <w:r>
        <w:rPr>
          <w:szCs w:val="21"/>
        </w:rPr>
        <w:t>下：</w:t>
      </w:r>
    </w:p>
    <w:p>
      <w:pPr>
        <w:snapToGrid w:val="0"/>
        <w:spacing w:line="300" w:lineRule="auto"/>
        <w:jc w:val="center"/>
      </w:pPr>
      <w:r>
        <w:rPr>
          <w:position w:val="-26"/>
        </w:rPr>
        <w:object>
          <v:shape id="_x0000_i1101" o:spt="75" type="#_x0000_t75" style="height:30.75pt;width:386.25pt;" o:ole="t" filled="f" o:preferrelative="t" stroked="f" coordsize="21600,21600">
            <v:path/>
            <v:fill on="f" focussize="0,0"/>
            <v:stroke on="f" joinstyle="miter"/>
            <v:imagedata r:id="rId36" o:title=""/>
            <o:lock v:ext="edit" aspectratio="t"/>
            <w10:wrap type="none"/>
            <w10:anchorlock/>
          </v:shape>
          <o:OLEObject Type="Embed" ProgID="Equation.3" ShapeID="_x0000_i1101" DrawAspect="Content" ObjectID="_1468075800" r:id="rId113">
            <o:LockedField>false</o:LockedField>
          </o:OLEObject>
        </w:object>
      </w:r>
    </w:p>
    <w:p>
      <w:pPr>
        <w:snapToGrid w:val="0"/>
        <w:spacing w:before="70" w:line="300"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为3</w:t>
      </w:r>
      <w:r>
        <w:rPr>
          <w:spacing w:val="-2"/>
          <w:position w:val="-1"/>
          <w:szCs w:val="21"/>
        </w:rPr>
        <w:t>个</w:t>
      </w:r>
      <w:r>
        <w:rPr>
          <w:position w:val="-1"/>
          <w:szCs w:val="21"/>
        </w:rPr>
        <w:t>课程分</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napToGrid w:val="0"/>
        <w:spacing w:before="72" w:line="300" w:lineRule="auto"/>
        <w:ind w:right="-20"/>
        <w:jc w:val="center"/>
        <w:rPr>
          <w:szCs w:val="21"/>
        </w:rPr>
      </w:pPr>
      <w:r>
        <w:object>
          <v:shape id="_x0000_i1102" o:spt="75" type="#_x0000_t75" style="height:18pt;width:276pt;" o:ole="t" filled="f" o:preferrelative="t" stroked="f" coordsize="21600,21600">
            <v:path/>
            <v:fill on="f" focussize="0,0"/>
            <v:stroke on="f" joinstyle="miter"/>
            <v:imagedata r:id="rId38" o:title=""/>
            <o:lock v:ext="edit" aspectratio="t"/>
            <w10:wrap type="none"/>
            <w10:anchorlock/>
          </v:shape>
          <o:OLEObject Type="Embed" ProgID="Equation.DSMT4" ShapeID="_x0000_i1102" DrawAspect="Content" ObjectID="_1468075801" r:id="rId114">
            <o:LockedField>false</o:LockedField>
          </o:OLEObject>
        </w:object>
      </w:r>
    </w:p>
    <w:p>
      <w:pPr>
        <w:snapToGrid w:val="0"/>
        <w:spacing w:line="300" w:lineRule="auto"/>
      </w:pPr>
      <w:r>
        <w:t>其中权重系数按照表6设定。</w:t>
      </w:r>
    </w:p>
    <w:p>
      <w:pPr>
        <w:widowControl/>
        <w:tabs>
          <w:tab w:val="left" w:pos="426"/>
          <w:tab w:val="left" w:pos="5245"/>
          <w:tab w:val="left" w:pos="5387"/>
        </w:tabs>
        <w:spacing w:before="156" w:beforeLines="50" w:line="300" w:lineRule="auto"/>
        <w:jc w:val="center"/>
        <w:rPr>
          <w:b/>
          <w:kern w:val="0"/>
          <w:sz w:val="18"/>
          <w:szCs w:val="18"/>
        </w:rPr>
      </w:pPr>
      <w:r>
        <w:rPr>
          <w:b/>
          <w:kern w:val="0"/>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5"/>
        <w:gridCol w:w="2082"/>
        <w:gridCol w:w="2082"/>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tcPr>
          <w:p>
            <w:pPr>
              <w:spacing w:line="288" w:lineRule="exact"/>
              <w:ind w:right="-20"/>
              <w:jc w:val="center"/>
              <w:rPr>
                <w:b/>
                <w:sz w:val="18"/>
                <w:szCs w:val="18"/>
              </w:rPr>
            </w:pPr>
            <w:r>
              <w:rPr>
                <w:b/>
                <w:sz w:val="18"/>
                <w:szCs w:val="18"/>
              </w:rPr>
              <w:t>课程目标</w:t>
            </w:r>
          </w:p>
        </w:tc>
        <w:tc>
          <w:tcPr>
            <w:tcW w:w="2082" w:type="dxa"/>
          </w:tcPr>
          <w:p>
            <w:pPr>
              <w:spacing w:line="288" w:lineRule="exact"/>
              <w:ind w:right="-20"/>
              <w:jc w:val="center"/>
              <w:rPr>
                <w:sz w:val="18"/>
                <w:szCs w:val="18"/>
              </w:rPr>
            </w:pPr>
            <w:r>
              <w:rPr>
                <w:sz w:val="18"/>
                <w:szCs w:val="18"/>
              </w:rPr>
              <w:t>1</w:t>
            </w:r>
          </w:p>
        </w:tc>
        <w:tc>
          <w:tcPr>
            <w:tcW w:w="2082" w:type="dxa"/>
          </w:tcPr>
          <w:p>
            <w:pPr>
              <w:spacing w:line="288" w:lineRule="exact"/>
              <w:ind w:right="-20"/>
              <w:jc w:val="center"/>
              <w:rPr>
                <w:sz w:val="18"/>
                <w:szCs w:val="18"/>
              </w:rPr>
            </w:pPr>
            <w:r>
              <w:rPr>
                <w:sz w:val="18"/>
                <w:szCs w:val="18"/>
              </w:rPr>
              <w:t>2</w:t>
            </w:r>
          </w:p>
        </w:tc>
        <w:tc>
          <w:tcPr>
            <w:tcW w:w="2082" w:type="dxa"/>
          </w:tcPr>
          <w:p>
            <w:pPr>
              <w:spacing w:line="288" w:lineRule="exact"/>
              <w:ind w:right="-2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5" w:type="dxa"/>
          </w:tcPr>
          <w:p>
            <w:pPr>
              <w:spacing w:line="288" w:lineRule="exact"/>
              <w:ind w:right="-20"/>
              <w:jc w:val="center"/>
              <w:rPr>
                <w:b/>
                <w:sz w:val="18"/>
                <w:szCs w:val="18"/>
              </w:rPr>
            </w:pPr>
            <w:r>
              <w:rPr>
                <w:b/>
                <w:sz w:val="18"/>
                <w:szCs w:val="18"/>
              </w:rPr>
              <w:t>权重系数</w:t>
            </w:r>
          </w:p>
        </w:tc>
        <w:tc>
          <w:tcPr>
            <w:tcW w:w="2082" w:type="dxa"/>
          </w:tcPr>
          <w:p>
            <w:pPr>
              <w:spacing w:line="288" w:lineRule="exact"/>
              <w:ind w:right="-20"/>
              <w:jc w:val="center"/>
              <w:rPr>
                <w:sz w:val="18"/>
                <w:szCs w:val="18"/>
              </w:rPr>
            </w:pPr>
            <w:r>
              <w:rPr>
                <w:sz w:val="18"/>
                <w:szCs w:val="18"/>
              </w:rPr>
              <w:t>0.2</w:t>
            </w:r>
          </w:p>
        </w:tc>
        <w:tc>
          <w:tcPr>
            <w:tcW w:w="2082" w:type="dxa"/>
          </w:tcPr>
          <w:p>
            <w:pPr>
              <w:spacing w:line="288" w:lineRule="exact"/>
              <w:ind w:right="-20"/>
              <w:jc w:val="center"/>
              <w:rPr>
                <w:sz w:val="18"/>
                <w:szCs w:val="18"/>
              </w:rPr>
            </w:pPr>
            <w:r>
              <w:rPr>
                <w:sz w:val="18"/>
                <w:szCs w:val="18"/>
              </w:rPr>
              <w:t>0.6</w:t>
            </w:r>
          </w:p>
        </w:tc>
        <w:tc>
          <w:tcPr>
            <w:tcW w:w="2082" w:type="dxa"/>
          </w:tcPr>
          <w:p>
            <w:pPr>
              <w:spacing w:line="288" w:lineRule="exact"/>
              <w:ind w:right="-20"/>
              <w:jc w:val="center"/>
              <w:rPr>
                <w:sz w:val="18"/>
                <w:szCs w:val="18"/>
              </w:rPr>
            </w:pPr>
            <w:r>
              <w:rPr>
                <w:sz w:val="18"/>
                <w:szCs w:val="18"/>
              </w:rPr>
              <w:t>0.2</w:t>
            </w:r>
          </w:p>
        </w:tc>
      </w:tr>
    </w:tbl>
    <w:p>
      <w:pPr>
        <w:spacing w:before="9" w:line="40" w:lineRule="exact"/>
        <w:rPr>
          <w:sz w:val="4"/>
          <w:szCs w:val="4"/>
          <w:highlight w:val="yellow"/>
        </w:rPr>
      </w:pPr>
    </w:p>
    <w:p>
      <w:pPr>
        <w:snapToGrid w:val="0"/>
        <w:spacing w:line="300" w:lineRule="auto"/>
        <w:ind w:firstLine="420" w:firstLineChars="200"/>
        <w:rPr>
          <w:szCs w:val="21"/>
        </w:rPr>
      </w:pPr>
      <w:r>
        <w:rPr>
          <w:szCs w:val="21"/>
        </w:rPr>
        <w:t>课程毕业要求指标点达成情况评价：</w:t>
      </w:r>
    </w:p>
    <w:p>
      <w:pPr>
        <w:snapToGrid w:val="0"/>
        <w:spacing w:line="300" w:lineRule="auto"/>
        <w:ind w:firstLine="420" w:firstLineChars="200"/>
        <w:rPr>
          <w:szCs w:val="21"/>
        </w:rPr>
      </w:pPr>
      <w:r>
        <w:rPr>
          <w:szCs w:val="21"/>
        </w:rPr>
        <w:t>课程支撑毕业要求指标点的达成情况为对应的课程目标达成情况的加权值，计算公式为：</w:t>
      </w:r>
    </w:p>
    <w:p>
      <w:pPr>
        <w:snapToGrid w:val="0"/>
        <w:spacing w:line="300" w:lineRule="auto"/>
        <w:jc w:val="center"/>
        <w:rPr>
          <w:szCs w:val="21"/>
        </w:rPr>
      </w:pPr>
      <w:r>
        <w:rPr>
          <w:szCs w:val="21"/>
        </w:rPr>
        <w:object>
          <v:shape id="_x0000_i1103" o:spt="75" type="#_x0000_t75" style="height:18pt;width:282pt;" o:ole="t" filled="f" o:preferrelative="t" stroked="f" coordsize="21600,21600">
            <v:path/>
            <v:fill on="f" focussize="0,0"/>
            <v:stroke on="f" joinstyle="miter"/>
            <v:imagedata r:id="rId40" o:title=""/>
            <o:lock v:ext="edit" aspectratio="t"/>
            <w10:wrap type="none"/>
            <w10:anchorlock/>
          </v:shape>
          <o:OLEObject Type="Embed" ProgID="Equation.3" ShapeID="_x0000_i1103" DrawAspect="Content" ObjectID="_1468075802" r:id="rId115">
            <o:LockedField>false</o:LockedField>
          </o:OLEObject>
        </w:object>
      </w:r>
    </w:p>
    <w:p>
      <w:pPr>
        <w:snapToGrid w:val="0"/>
        <w:spacing w:line="300" w:lineRule="auto"/>
        <w:ind w:firstLine="420" w:firstLineChars="200"/>
        <w:rPr>
          <w:szCs w:val="21"/>
        </w:rPr>
      </w:pPr>
      <w:r>
        <w:rPr>
          <w:szCs w:val="21"/>
        </w:rPr>
        <w:t>2．课程总结要求：</w:t>
      </w:r>
    </w:p>
    <w:p>
      <w:pPr>
        <w:snapToGrid w:val="0"/>
        <w:spacing w:line="300" w:lineRule="auto"/>
        <w:ind w:firstLine="420" w:firstLineChars="200"/>
        <w:rPr>
          <w:szCs w:val="21"/>
        </w:rPr>
      </w:pPr>
      <w:r>
        <w:rPr>
          <w:szCs w:val="21"/>
          <w:shd w:val="clear" w:color="auto" w:fill="FFFFFF"/>
        </w:rPr>
        <w:t> </w:t>
      </w: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bCs/>
          <w:sz w:val="24"/>
        </w:rPr>
      </w:pPr>
      <w:r>
        <w:rPr>
          <w:rFonts w:ascii="Times New Roman" w:hAnsi="Times New Roman" w:eastAsia="宋体" w:cs="Times New Roman"/>
          <w:b/>
          <w:bCs/>
          <w:sz w:val="24"/>
        </w:rPr>
        <w:t>七、</w:t>
      </w:r>
      <w:r>
        <w:rPr>
          <w:rFonts w:ascii="Times New Roman" w:hAnsi="Times New Roman" w:eastAsia="宋体" w:cs="Times New Roman"/>
          <w:b/>
          <w:sz w:val="24"/>
        </w:rPr>
        <w:t>教材及参考资料</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1. 教材</w:t>
      </w:r>
    </w:p>
    <w:p>
      <w:pPr>
        <w:spacing w:line="360" w:lineRule="exact"/>
        <w:ind w:firstLine="420"/>
        <w:rPr>
          <w:rFonts w:ascii="Times New Roman" w:hAnsi="Times New Roman" w:eastAsia="宋体" w:cs="Times New Roman"/>
          <w:szCs w:val="21"/>
        </w:rPr>
      </w:pPr>
      <w:r>
        <w:rPr>
          <w:rFonts w:ascii="Times New Roman" w:hAnsi="Times New Roman" w:eastAsia="宋体" w:cs="Times New Roman"/>
          <w:szCs w:val="21"/>
        </w:rPr>
        <w:t>[1] 吕青、张华、刘旭春，《数据结构（含上机实训）》，</w:t>
      </w:r>
      <w:r>
        <w:rPr>
          <w:rFonts w:ascii="Times New Roman" w:hAnsi="Times New Roman" w:eastAsia="宋体" w:cs="Times New Roman"/>
        </w:rPr>
        <w:t>北京：</w:t>
      </w:r>
      <w:r>
        <w:rPr>
          <w:rFonts w:ascii="Times New Roman" w:hAnsi="Times New Roman" w:eastAsia="宋体" w:cs="Times New Roman"/>
          <w:szCs w:val="21"/>
        </w:rPr>
        <w:t>航空工业出版社，2015</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2. 参考资料</w:t>
      </w:r>
    </w:p>
    <w:p>
      <w:pPr>
        <w:spacing w:line="360" w:lineRule="exact"/>
        <w:ind w:firstLine="420"/>
        <w:rPr>
          <w:rFonts w:ascii="Times New Roman" w:hAnsi="Times New Roman" w:eastAsia="宋体" w:cs="Times New Roman"/>
          <w:szCs w:val="21"/>
        </w:rPr>
      </w:pPr>
      <w:r>
        <w:rPr>
          <w:rFonts w:ascii="Times New Roman" w:hAnsi="Times New Roman" w:eastAsia="宋体" w:cs="Times New Roman"/>
          <w:szCs w:val="21"/>
        </w:rPr>
        <w:t>[1] 严蔚敏、吴伟民，《数据结构》（C语言版），</w:t>
      </w:r>
      <w:r>
        <w:rPr>
          <w:rFonts w:ascii="Times New Roman" w:hAnsi="Times New Roman" w:eastAsia="宋体" w:cs="Times New Roman"/>
        </w:rPr>
        <w:t>北京：</w:t>
      </w:r>
      <w:r>
        <w:rPr>
          <w:rFonts w:ascii="Times New Roman" w:hAnsi="Times New Roman" w:eastAsia="宋体" w:cs="Times New Roman"/>
          <w:szCs w:val="21"/>
        </w:rPr>
        <w:t>清华大学出版社，</w:t>
      </w:r>
    </w:p>
    <w:p>
      <w:pPr>
        <w:spacing w:line="360" w:lineRule="exact"/>
        <w:ind w:firstLine="420"/>
        <w:rPr>
          <w:rFonts w:ascii="Times New Roman" w:hAnsi="Times New Roman" w:eastAsia="宋体" w:cs="Times New Roman"/>
          <w:szCs w:val="21"/>
        </w:rPr>
      </w:pPr>
      <w:r>
        <w:rPr>
          <w:rFonts w:ascii="Times New Roman" w:hAnsi="Times New Roman" w:eastAsia="宋体" w:cs="Times New Roman"/>
          <w:szCs w:val="21"/>
        </w:rPr>
        <w:t>[2] 王秋芬等，《算法设计与分析》，</w:t>
      </w:r>
      <w:r>
        <w:rPr>
          <w:rFonts w:ascii="Times New Roman" w:hAnsi="Times New Roman" w:eastAsia="宋体" w:cs="Times New Roman"/>
        </w:rPr>
        <w:t>北京：</w:t>
      </w:r>
      <w:r>
        <w:rPr>
          <w:rFonts w:ascii="Times New Roman" w:hAnsi="Times New Roman" w:eastAsia="宋体" w:cs="Times New Roman"/>
          <w:szCs w:val="21"/>
        </w:rPr>
        <w:t>清华大学出版社</w:t>
      </w:r>
    </w:p>
    <w:tbl>
      <w:tblPr>
        <w:tblStyle w:val="22"/>
        <w:tblpPr w:leftFromText="180" w:rightFromText="180" w:vertAnchor="text" w:horzAnchor="margin" w:tblpX="-39" w:tblpY="266"/>
        <w:tblW w:w="8810" w:type="dxa"/>
        <w:tblInd w:w="0" w:type="dxa"/>
        <w:tblLayout w:type="fixed"/>
        <w:tblCellMar>
          <w:top w:w="0" w:type="dxa"/>
          <w:left w:w="108" w:type="dxa"/>
          <w:bottom w:w="0" w:type="dxa"/>
          <w:right w:w="108" w:type="dxa"/>
        </w:tblCellMar>
      </w:tblPr>
      <w:tblGrid>
        <w:gridCol w:w="8810"/>
      </w:tblGrid>
      <w:tr>
        <w:tblPrEx>
          <w:tblCellMar>
            <w:top w:w="0" w:type="dxa"/>
            <w:left w:w="108" w:type="dxa"/>
            <w:bottom w:w="0" w:type="dxa"/>
            <w:right w:w="108" w:type="dxa"/>
          </w:tblCellMar>
        </w:tblPrEx>
        <w:trPr>
          <w:trHeight w:val="283" w:hRule="atLeast"/>
        </w:trPr>
        <w:tc>
          <w:tcPr>
            <w:tcW w:w="8810" w:type="dxa"/>
          </w:tcPr>
          <w:p>
            <w:pPr>
              <w:snapToGrid w:val="0"/>
              <w:spacing w:line="300" w:lineRule="auto"/>
              <w:ind w:right="630" w:firstLine="424" w:firstLineChars="202"/>
              <w:jc w:val="right"/>
              <w:rPr>
                <w:rFonts w:ascii="Times New Roman" w:hAnsi="Times New Roman" w:eastAsia="宋体" w:cs="Times New Roman"/>
                <w:szCs w:val="21"/>
              </w:rPr>
            </w:pPr>
            <w:r>
              <w:rPr>
                <w:rFonts w:ascii="Times New Roman" w:hAnsi="Times New Roman" w:eastAsia="宋体" w:cs="Times New Roman"/>
                <w:szCs w:val="21"/>
              </w:rPr>
              <w:t>审定人：王骥</w:t>
            </w:r>
          </w:p>
        </w:tc>
      </w:tr>
      <w:tr>
        <w:tblPrEx>
          <w:tblCellMar>
            <w:top w:w="0" w:type="dxa"/>
            <w:left w:w="108" w:type="dxa"/>
            <w:bottom w:w="0" w:type="dxa"/>
            <w:right w:w="108" w:type="dxa"/>
          </w:tblCellMar>
        </w:tblPrEx>
        <w:trPr>
          <w:trHeight w:val="401" w:hRule="atLeast"/>
        </w:trPr>
        <w:tc>
          <w:tcPr>
            <w:tcW w:w="8810" w:type="dxa"/>
          </w:tcPr>
          <w:p>
            <w:pPr>
              <w:snapToGrid w:val="0"/>
              <w:spacing w:line="300" w:lineRule="auto"/>
              <w:ind w:right="420"/>
              <w:jc w:val="right"/>
              <w:rPr>
                <w:rFonts w:ascii="Times New Roman" w:hAnsi="Times New Roman" w:eastAsia="宋体" w:cs="Times New Roman"/>
                <w:szCs w:val="21"/>
              </w:rPr>
            </w:pPr>
            <w:r>
              <w:rPr>
                <w:rFonts w:ascii="Times New Roman" w:hAnsi="Times New Roman" w:eastAsia="宋体" w:cs="Times New Roman"/>
                <w:szCs w:val="21"/>
              </w:rPr>
              <w:t>批准人：张炎生</w:t>
            </w:r>
          </w:p>
        </w:tc>
      </w:tr>
      <w:tr>
        <w:tblPrEx>
          <w:tblCellMar>
            <w:top w:w="0" w:type="dxa"/>
            <w:left w:w="108" w:type="dxa"/>
            <w:bottom w:w="0" w:type="dxa"/>
            <w:right w:w="108" w:type="dxa"/>
          </w:tblCellMar>
        </w:tblPrEx>
        <w:trPr>
          <w:trHeight w:val="658" w:hRule="atLeast"/>
        </w:trPr>
        <w:tc>
          <w:tcPr>
            <w:tcW w:w="8810" w:type="dxa"/>
          </w:tcPr>
          <w:p>
            <w:pPr>
              <w:wordWrap w:val="0"/>
              <w:snapToGrid w:val="0"/>
              <w:spacing w:line="300" w:lineRule="auto"/>
              <w:ind w:right="210"/>
              <w:jc w:val="right"/>
              <w:rPr>
                <w:rFonts w:ascii="Times New Roman" w:hAnsi="Times New Roman" w:eastAsia="宋体" w:cs="Times New Roman"/>
                <w:szCs w:val="21"/>
              </w:rPr>
            </w:pPr>
            <w:r>
              <w:rPr>
                <w:rFonts w:ascii="Times New Roman" w:hAnsi="Times New Roman" w:eastAsia="宋体" w:cs="Times New Roman"/>
                <w:szCs w:val="21"/>
              </w:rPr>
              <w:t>日 期：</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p>
            <w:pPr>
              <w:snapToGrid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 xml:space="preserve">       </w:t>
            </w:r>
          </w:p>
        </w:tc>
      </w:tr>
    </w:tbl>
    <w:p>
      <w:pPr>
        <w:keepNext/>
        <w:keepLines/>
        <w:spacing w:before="260" w:after="260" w:line="413" w:lineRule="auto"/>
        <w:jc w:val="center"/>
        <w:outlineLvl w:val="3"/>
        <w:rPr>
          <w:rFonts w:ascii="Times New Roman" w:hAnsi="Times New Roman" w:eastAsia="宋体" w:cs="Times New Roman"/>
          <w:b/>
          <w:sz w:val="32"/>
        </w:rPr>
        <w:sectPr>
          <w:pgSz w:w="11906" w:h="16838"/>
          <w:pgMar w:top="1440" w:right="1800" w:bottom="1440" w:left="1800" w:header="851" w:footer="992" w:gutter="0"/>
          <w:cols w:space="425" w:num="1"/>
          <w:docGrid w:type="lines" w:linePitch="312" w:charSpace="0"/>
        </w:sectPr>
      </w:pPr>
    </w:p>
    <w:p>
      <w:pPr>
        <w:keepNext/>
        <w:keepLines/>
        <w:spacing w:before="260" w:after="260" w:line="413" w:lineRule="auto"/>
        <w:jc w:val="center"/>
        <w:outlineLvl w:val="3"/>
        <w:rPr>
          <w:rFonts w:ascii="Times New Roman" w:hAnsi="Times New Roman" w:eastAsia="宋体" w:cs="Times New Roman"/>
          <w:b/>
          <w:sz w:val="32"/>
        </w:rPr>
      </w:pPr>
      <w:bookmarkStart w:id="145" w:name="_Toc16721"/>
      <w:r>
        <w:rPr>
          <w:rFonts w:ascii="Times New Roman" w:hAnsi="Times New Roman" w:eastAsia="宋体" w:cs="Times New Roman"/>
          <w:b/>
          <w:sz w:val="32"/>
        </w:rPr>
        <w:t>33422100《面向对象的高级语言程序设计》课程教学大纲</w:t>
      </w:r>
      <w:bookmarkEnd w:id="14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800"/>
        <w:gridCol w:w="1337"/>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vAlign w:val="center"/>
          </w:tcPr>
          <w:p>
            <w:pPr>
              <w:jc w:val="center"/>
              <w:rPr>
                <w:kern w:val="0"/>
                <w:szCs w:val="21"/>
              </w:rPr>
            </w:pPr>
            <w:r>
              <w:rPr>
                <w:kern w:val="0"/>
                <w:szCs w:val="21"/>
              </w:rPr>
              <w:t>课程编号</w:t>
            </w:r>
          </w:p>
        </w:tc>
        <w:tc>
          <w:tcPr>
            <w:tcW w:w="2800" w:type="dxa"/>
            <w:vAlign w:val="center"/>
          </w:tcPr>
          <w:p>
            <w:pPr>
              <w:widowControl/>
              <w:jc w:val="center"/>
              <w:rPr>
                <w:kern w:val="0"/>
                <w:szCs w:val="21"/>
              </w:rPr>
            </w:pPr>
            <w:r>
              <w:rPr>
                <w:kern w:val="0"/>
                <w:szCs w:val="21"/>
              </w:rPr>
              <w:t>33422100</w:t>
            </w:r>
          </w:p>
        </w:tc>
        <w:tc>
          <w:tcPr>
            <w:tcW w:w="1337" w:type="dxa"/>
            <w:vAlign w:val="center"/>
          </w:tcPr>
          <w:p>
            <w:pPr>
              <w:jc w:val="center"/>
              <w:rPr>
                <w:kern w:val="0"/>
                <w:szCs w:val="21"/>
              </w:rPr>
            </w:pPr>
            <w:r>
              <w:rPr>
                <w:kern w:val="0"/>
                <w:szCs w:val="21"/>
              </w:rPr>
              <w:t>课程名称</w:t>
            </w:r>
          </w:p>
        </w:tc>
        <w:tc>
          <w:tcPr>
            <w:tcW w:w="3196" w:type="dxa"/>
            <w:vAlign w:val="center"/>
          </w:tcPr>
          <w:p>
            <w:pPr>
              <w:widowControl/>
              <w:jc w:val="center"/>
              <w:rPr>
                <w:kern w:val="0"/>
                <w:szCs w:val="21"/>
              </w:rPr>
            </w:pPr>
            <w:r>
              <w:rPr>
                <w:kern w:val="0"/>
                <w:szCs w:val="21"/>
              </w:rPr>
              <w:t>面向对象的高级语言程序设计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vAlign w:val="center"/>
          </w:tcPr>
          <w:p>
            <w:pPr>
              <w:jc w:val="center"/>
              <w:rPr>
                <w:kern w:val="0"/>
                <w:szCs w:val="21"/>
              </w:rPr>
            </w:pPr>
            <w:r>
              <w:rPr>
                <w:kern w:val="0"/>
                <w:szCs w:val="21"/>
              </w:rPr>
              <w:t>课程性质</w:t>
            </w:r>
            <w:r>
              <w:rPr>
                <w:kern w:val="0"/>
                <w:sz w:val="20"/>
                <w:szCs w:val="20"/>
              </w:rPr>
              <w:t>*</w:t>
            </w:r>
          </w:p>
        </w:tc>
        <w:tc>
          <w:tcPr>
            <w:tcW w:w="2800" w:type="dxa"/>
            <w:vAlign w:val="center"/>
          </w:tcPr>
          <w:p>
            <w:pPr>
              <w:widowControl/>
              <w:jc w:val="center"/>
              <w:rPr>
                <w:kern w:val="0"/>
                <w:szCs w:val="21"/>
              </w:rPr>
            </w:pPr>
            <w:r>
              <w:rPr>
                <w:rFonts w:hint="eastAsia"/>
                <w:kern w:val="0"/>
                <w:szCs w:val="21"/>
              </w:rPr>
              <w:t>工程基础类</w:t>
            </w:r>
          </w:p>
        </w:tc>
        <w:tc>
          <w:tcPr>
            <w:tcW w:w="1337" w:type="dxa"/>
            <w:vAlign w:val="center"/>
          </w:tcPr>
          <w:p>
            <w:pPr>
              <w:jc w:val="center"/>
              <w:rPr>
                <w:kern w:val="0"/>
                <w:szCs w:val="21"/>
              </w:rPr>
            </w:pPr>
            <w:r>
              <w:rPr>
                <w:kern w:val="0"/>
                <w:szCs w:val="21"/>
              </w:rPr>
              <w:t>英文名称</w:t>
            </w:r>
          </w:p>
        </w:tc>
        <w:tc>
          <w:tcPr>
            <w:tcW w:w="3196" w:type="dxa"/>
            <w:vAlign w:val="center"/>
          </w:tcPr>
          <w:p>
            <w:pPr>
              <w:widowControl/>
              <w:jc w:val="center"/>
              <w:rPr>
                <w:kern w:val="0"/>
                <w:szCs w:val="21"/>
              </w:rPr>
            </w:pPr>
            <w:r>
              <w:rPr>
                <w:kern w:val="0"/>
                <w:szCs w:val="21"/>
              </w:rPr>
              <w:t>Object-oriented High-level Language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vAlign w:val="center"/>
          </w:tcPr>
          <w:p>
            <w:pPr>
              <w:jc w:val="center"/>
              <w:rPr>
                <w:kern w:val="0"/>
                <w:szCs w:val="21"/>
              </w:rPr>
            </w:pPr>
            <w:r>
              <w:rPr>
                <w:kern w:val="0"/>
                <w:szCs w:val="21"/>
              </w:rPr>
              <w:t>学分学时</w:t>
            </w:r>
          </w:p>
        </w:tc>
        <w:tc>
          <w:tcPr>
            <w:tcW w:w="2800" w:type="dxa"/>
            <w:vAlign w:val="center"/>
          </w:tcPr>
          <w:p>
            <w:pPr>
              <w:widowControl/>
              <w:jc w:val="center"/>
              <w:rPr>
                <w:kern w:val="0"/>
                <w:szCs w:val="21"/>
              </w:rPr>
            </w:pPr>
            <w:r>
              <w:rPr>
                <w:kern w:val="0"/>
                <w:szCs w:val="21"/>
              </w:rPr>
              <w:t>2: 32（</w:t>
            </w:r>
            <w:r>
              <w:rPr>
                <w:rFonts w:hint="eastAsia"/>
                <w:kern w:val="0"/>
                <w:szCs w:val="21"/>
              </w:rPr>
              <w:t>16</w:t>
            </w:r>
            <w:r>
              <w:rPr>
                <w:kern w:val="0"/>
                <w:szCs w:val="21"/>
              </w:rPr>
              <w:t>）</w:t>
            </w:r>
          </w:p>
        </w:tc>
        <w:tc>
          <w:tcPr>
            <w:tcW w:w="1337" w:type="dxa"/>
            <w:vAlign w:val="center"/>
          </w:tcPr>
          <w:p>
            <w:pPr>
              <w:jc w:val="center"/>
              <w:rPr>
                <w:kern w:val="0"/>
                <w:szCs w:val="21"/>
                <w:highlight w:val="yellow"/>
              </w:rPr>
            </w:pPr>
            <w:r>
              <w:rPr>
                <w:kern w:val="0"/>
                <w:szCs w:val="21"/>
              </w:rPr>
              <w:t>任课教师</w:t>
            </w:r>
          </w:p>
        </w:tc>
        <w:tc>
          <w:tcPr>
            <w:tcW w:w="3196" w:type="dxa"/>
            <w:vAlign w:val="center"/>
          </w:tcPr>
          <w:p>
            <w:pPr>
              <w:widowControl/>
              <w:jc w:val="center"/>
              <w:rPr>
                <w:kern w:val="0"/>
                <w:szCs w:val="21"/>
              </w:rPr>
            </w:pPr>
            <w:r>
              <w:rPr>
                <w:kern w:val="0"/>
                <w:szCs w:val="21"/>
              </w:rPr>
              <w:t>王峰</w:t>
            </w:r>
            <w:r>
              <w:rPr>
                <w:rFonts w:hint="eastAsia"/>
                <w:kern w:val="0"/>
                <w:szCs w:val="21"/>
              </w:rPr>
              <w:t>、</w:t>
            </w:r>
            <w:r>
              <w:rPr>
                <w:kern w:val="0"/>
                <w:szCs w:val="21"/>
              </w:rPr>
              <w:t>彭银桥、郭晓云、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vAlign w:val="center"/>
          </w:tcPr>
          <w:p>
            <w:pPr>
              <w:jc w:val="center"/>
              <w:rPr>
                <w:bCs/>
                <w:kern w:val="0"/>
                <w:szCs w:val="21"/>
              </w:rPr>
            </w:pPr>
            <w:r>
              <w:rPr>
                <w:bCs/>
                <w:kern w:val="0"/>
                <w:szCs w:val="21"/>
              </w:rPr>
              <w:t>企业专家</w:t>
            </w:r>
          </w:p>
        </w:tc>
        <w:tc>
          <w:tcPr>
            <w:tcW w:w="2800" w:type="dxa"/>
            <w:vAlign w:val="center"/>
          </w:tcPr>
          <w:p>
            <w:pPr>
              <w:widowControl/>
              <w:jc w:val="center"/>
              <w:rPr>
                <w:kern w:val="0"/>
                <w:szCs w:val="21"/>
              </w:rPr>
            </w:pPr>
            <w:r>
              <w:rPr>
                <w:kern w:val="0"/>
                <w:szCs w:val="21"/>
              </w:rPr>
              <w:t>曾耿滨</w:t>
            </w:r>
          </w:p>
        </w:tc>
        <w:tc>
          <w:tcPr>
            <w:tcW w:w="1337" w:type="dxa"/>
            <w:vAlign w:val="center"/>
          </w:tcPr>
          <w:p>
            <w:pPr>
              <w:jc w:val="center"/>
              <w:rPr>
                <w:bCs/>
                <w:kern w:val="0"/>
                <w:szCs w:val="21"/>
              </w:rPr>
            </w:pPr>
            <w:r>
              <w:rPr>
                <w:bCs/>
                <w:kern w:val="0"/>
                <w:szCs w:val="21"/>
              </w:rPr>
              <w:t>行业专家</w:t>
            </w:r>
          </w:p>
        </w:tc>
        <w:tc>
          <w:tcPr>
            <w:tcW w:w="3196"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vAlign w:val="center"/>
          </w:tcPr>
          <w:p>
            <w:pPr>
              <w:widowControl/>
              <w:jc w:val="center"/>
              <w:rPr>
                <w:bCs/>
                <w:kern w:val="0"/>
                <w:szCs w:val="21"/>
              </w:rPr>
            </w:pPr>
            <w:r>
              <w:rPr>
                <w:bCs/>
                <w:kern w:val="0"/>
                <w:szCs w:val="21"/>
              </w:rPr>
              <w:t>执笔教师</w:t>
            </w:r>
          </w:p>
        </w:tc>
        <w:tc>
          <w:tcPr>
            <w:tcW w:w="2800" w:type="dxa"/>
            <w:vAlign w:val="center"/>
          </w:tcPr>
          <w:p>
            <w:pPr>
              <w:widowControl/>
              <w:jc w:val="center"/>
              <w:rPr>
                <w:kern w:val="0"/>
                <w:szCs w:val="21"/>
              </w:rPr>
            </w:pPr>
            <w:r>
              <w:rPr>
                <w:rFonts w:hint="eastAsia"/>
                <w:kern w:val="0"/>
                <w:szCs w:val="21"/>
              </w:rPr>
              <w:t>王峰</w:t>
            </w:r>
          </w:p>
        </w:tc>
        <w:tc>
          <w:tcPr>
            <w:tcW w:w="1337" w:type="dxa"/>
            <w:vAlign w:val="center"/>
          </w:tcPr>
          <w:p>
            <w:pPr>
              <w:widowControl/>
              <w:jc w:val="center"/>
              <w:rPr>
                <w:bCs/>
                <w:kern w:val="0"/>
                <w:szCs w:val="21"/>
              </w:rPr>
            </w:pPr>
            <w:r>
              <w:rPr>
                <w:bCs/>
                <w:kern w:val="0"/>
                <w:szCs w:val="21"/>
              </w:rPr>
              <w:t>责任教授</w:t>
            </w:r>
          </w:p>
        </w:tc>
        <w:tc>
          <w:tcPr>
            <w:tcW w:w="3196"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vAlign w:val="center"/>
          </w:tcPr>
          <w:p>
            <w:pPr>
              <w:widowControl/>
              <w:jc w:val="center"/>
              <w:rPr>
                <w:bCs/>
                <w:kern w:val="0"/>
                <w:szCs w:val="21"/>
              </w:rPr>
            </w:pPr>
            <w:r>
              <w:rPr>
                <w:bCs/>
                <w:kern w:val="0"/>
                <w:szCs w:val="21"/>
              </w:rPr>
              <w:t>适用专业</w:t>
            </w:r>
          </w:p>
        </w:tc>
        <w:tc>
          <w:tcPr>
            <w:tcW w:w="2800" w:type="dxa"/>
            <w:vAlign w:val="center"/>
          </w:tcPr>
          <w:p>
            <w:pPr>
              <w:widowControl/>
              <w:jc w:val="center"/>
              <w:rPr>
                <w:kern w:val="0"/>
                <w:szCs w:val="21"/>
              </w:rPr>
            </w:pPr>
            <w:r>
              <w:rPr>
                <w:kern w:val="0"/>
                <w:szCs w:val="21"/>
              </w:rPr>
              <w:t>电子信息工程</w:t>
            </w:r>
          </w:p>
        </w:tc>
        <w:tc>
          <w:tcPr>
            <w:tcW w:w="1337" w:type="dxa"/>
            <w:vAlign w:val="center"/>
          </w:tcPr>
          <w:p>
            <w:pPr>
              <w:widowControl/>
              <w:jc w:val="center"/>
              <w:rPr>
                <w:bCs/>
                <w:kern w:val="0"/>
                <w:szCs w:val="21"/>
              </w:rPr>
            </w:pPr>
            <w:r>
              <w:rPr>
                <w:bCs/>
                <w:kern w:val="0"/>
                <w:szCs w:val="21"/>
              </w:rPr>
              <w:t>适用对象</w:t>
            </w:r>
          </w:p>
        </w:tc>
        <w:tc>
          <w:tcPr>
            <w:tcW w:w="3196"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vAlign w:val="center"/>
          </w:tcPr>
          <w:p>
            <w:pPr>
              <w:jc w:val="center"/>
              <w:rPr>
                <w:b/>
                <w:kern w:val="0"/>
                <w:szCs w:val="21"/>
              </w:rPr>
            </w:pPr>
            <w:r>
              <w:rPr>
                <w:kern w:val="0"/>
                <w:szCs w:val="21"/>
              </w:rPr>
              <w:t>先修课程</w:t>
            </w:r>
          </w:p>
        </w:tc>
        <w:tc>
          <w:tcPr>
            <w:tcW w:w="2800" w:type="dxa"/>
            <w:vAlign w:val="center"/>
          </w:tcPr>
          <w:p>
            <w:pPr>
              <w:widowControl/>
              <w:jc w:val="center"/>
              <w:rPr>
                <w:kern w:val="0"/>
                <w:szCs w:val="21"/>
              </w:rPr>
            </w:pPr>
            <w:r>
              <w:rPr>
                <w:kern w:val="0"/>
                <w:szCs w:val="21"/>
              </w:rPr>
              <w:t>C语言程序设计</w:t>
            </w:r>
          </w:p>
        </w:tc>
        <w:tc>
          <w:tcPr>
            <w:tcW w:w="1337" w:type="dxa"/>
            <w:vAlign w:val="center"/>
          </w:tcPr>
          <w:p>
            <w:pPr>
              <w:snapToGrid w:val="0"/>
              <w:spacing w:line="300" w:lineRule="auto"/>
              <w:jc w:val="center"/>
              <w:rPr>
                <w:b/>
                <w:kern w:val="0"/>
                <w:szCs w:val="21"/>
              </w:rPr>
            </w:pPr>
            <w:r>
              <w:rPr>
                <w:kern w:val="0"/>
                <w:szCs w:val="21"/>
              </w:rPr>
              <w:t>同修课程</w:t>
            </w:r>
          </w:p>
        </w:tc>
        <w:tc>
          <w:tcPr>
            <w:tcW w:w="3196"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vAlign w:val="center"/>
          </w:tcPr>
          <w:p>
            <w:pPr>
              <w:jc w:val="center"/>
              <w:rPr>
                <w:kern w:val="0"/>
                <w:szCs w:val="21"/>
              </w:rPr>
            </w:pPr>
            <w:r>
              <w:rPr>
                <w:kern w:val="0"/>
                <w:szCs w:val="21"/>
              </w:rPr>
              <w:t>排斥课程</w:t>
            </w:r>
          </w:p>
        </w:tc>
        <w:tc>
          <w:tcPr>
            <w:tcW w:w="2800" w:type="dxa"/>
            <w:vAlign w:val="center"/>
          </w:tcPr>
          <w:p>
            <w:pPr>
              <w:widowControl/>
              <w:jc w:val="center"/>
              <w:rPr>
                <w:kern w:val="0"/>
                <w:szCs w:val="21"/>
              </w:rPr>
            </w:pPr>
            <w:r>
              <w:rPr>
                <w:kern w:val="0"/>
                <w:szCs w:val="21"/>
              </w:rPr>
              <w:t>无</w:t>
            </w:r>
          </w:p>
        </w:tc>
        <w:tc>
          <w:tcPr>
            <w:tcW w:w="1337" w:type="dxa"/>
            <w:vAlign w:val="center"/>
          </w:tcPr>
          <w:p>
            <w:pPr>
              <w:snapToGrid w:val="0"/>
              <w:spacing w:line="300" w:lineRule="auto"/>
              <w:jc w:val="center"/>
              <w:rPr>
                <w:kern w:val="0"/>
                <w:szCs w:val="21"/>
              </w:rPr>
            </w:pPr>
            <w:r>
              <w:rPr>
                <w:kern w:val="0"/>
                <w:szCs w:val="21"/>
              </w:rPr>
              <w:t>定稿日期</w:t>
            </w:r>
          </w:p>
        </w:tc>
        <w:tc>
          <w:tcPr>
            <w:tcW w:w="3196" w:type="dxa"/>
            <w:vAlign w:val="center"/>
          </w:tcPr>
          <w:p>
            <w:pPr>
              <w:widowControl/>
              <w:jc w:val="center"/>
              <w:rPr>
                <w:kern w:val="0"/>
                <w:szCs w:val="21"/>
              </w:rPr>
            </w:pPr>
            <w:r>
              <w:rPr>
                <w:kern w:val="0"/>
                <w:szCs w:val="21"/>
              </w:rPr>
              <w:t>2022.05.</w:t>
            </w:r>
            <w:r>
              <w:rPr>
                <w:rFonts w:hint="eastAsia"/>
                <w:kern w:val="0"/>
                <w:szCs w:val="21"/>
              </w:rPr>
              <w:t>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before="156" w:beforeLines="50" w:after="156" w:afterLines="50" w:line="300" w:lineRule="auto"/>
        <w:ind w:firstLine="420" w:firstLineChars="200"/>
        <w:rPr>
          <w:szCs w:val="21"/>
        </w:rPr>
      </w:pPr>
      <w:r>
        <w:rPr>
          <w:rFonts w:hint="eastAsia"/>
          <w:szCs w:val="21"/>
        </w:rPr>
        <w:t>《面向对象的高级语言程序设计》是电子信息工程专业本科生的一门专业限选课。本课程开设于大三上学期，是后续《大数据与云计算》课程的基础。</w:t>
      </w:r>
      <w:r>
        <w:rPr>
          <w:szCs w:val="21"/>
        </w:rPr>
        <w:t>Python具有面向对象特性，是当今世界最受欢迎的计算机编程语言，也是一门对大多数人“学了能用、学了有用、学会能久用”的计算生态语言。它具有容易入门、开发效率高、与平台无关等特性。本课程主要讲授Python的基本语法元素、数据类型、程序控制结构、函数和代码复用、程序设计方法、面向对象的设计模式等。本课程定位为程序设计的应用课程，通过本课程的学习，学生将具备面一定向对象的编程技能</w:t>
      </w:r>
      <w:r>
        <w:rPr>
          <w:rFonts w:hint="eastAsia"/>
          <w:szCs w:val="21"/>
        </w:rPr>
        <w:t>和初步</w:t>
      </w:r>
      <w:r>
        <w:rPr>
          <w:szCs w:val="21"/>
        </w:rPr>
        <w:t>Python的应用能力，为学生将来基于利用Python语言从事数据获取、处理、展示等方面的工作打下基础。</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rFonts w:hint="eastAsia"/>
          <w:kern w:val="0"/>
          <w:szCs w:val="21"/>
        </w:rPr>
        <w:t>通过本课程的学习，使学生掌握</w:t>
      </w:r>
      <w:r>
        <w:rPr>
          <w:kern w:val="0"/>
          <w:szCs w:val="21"/>
        </w:rPr>
        <w:t>Python语言的开发环境的使用，熟悉Python的基本语法和语义以及程序控制流程。在实验教学中，练习基于Python的绘图、Excel文档操作、科学计算和可视化等常用库的使用，使学生具备初步的计算机应用编程能力，为促进海洋特色的电子信息研究打下一定的编程基础。同时利用国家级大学慕课——“Python语言程序设计”资源，强化学生的自主学习和终身学习的意识，掌握拓展知识和能力的基本方法和途径。讲授绪论时，介绍Python语言发展历史及国内著名软件公司的成长历程，学习科学家的工匠精神</w:t>
      </w:r>
      <w:r>
        <w:rPr>
          <w:rFonts w:hint="eastAsia"/>
          <w:kern w:val="0"/>
          <w:szCs w:val="21"/>
        </w:rPr>
        <w:t>，培养学生的爱国与担当精神。</w:t>
      </w:r>
    </w:p>
    <w:p>
      <w:pPr>
        <w:widowControl/>
        <w:adjustRightInd w:val="0"/>
        <w:snapToGrid w:val="0"/>
        <w:spacing w:line="300" w:lineRule="auto"/>
        <w:ind w:firstLine="420" w:firstLineChars="200"/>
        <w:rPr>
          <w:kern w:val="0"/>
          <w:szCs w:val="21"/>
        </w:rPr>
      </w:pPr>
      <w:r>
        <w:rPr>
          <w:kern w:val="0"/>
          <w:szCs w:val="21"/>
        </w:rPr>
        <w:t xml:space="preserve">本课程的具体教学目标如下： </w:t>
      </w:r>
    </w:p>
    <w:p>
      <w:pPr>
        <w:widowControl/>
        <w:adjustRightInd w:val="0"/>
        <w:snapToGrid w:val="0"/>
        <w:spacing w:line="300" w:lineRule="auto"/>
        <w:ind w:firstLine="420" w:firstLineChars="200"/>
        <w:jc w:val="left"/>
        <w:rPr>
          <w:kern w:val="0"/>
          <w:szCs w:val="21"/>
        </w:rPr>
      </w:pPr>
      <w:r>
        <w:rPr>
          <w:kern w:val="0"/>
          <w:szCs w:val="21"/>
        </w:rPr>
        <w:t>1．</w:t>
      </w:r>
      <w:r>
        <w:rPr>
          <w:rFonts w:hint="eastAsia"/>
          <w:kern w:val="0"/>
          <w:szCs w:val="21"/>
        </w:rPr>
        <w:t>了解面向对象编程的概念，掌握</w:t>
      </w:r>
      <w:r>
        <w:rPr>
          <w:kern w:val="0"/>
          <w:szCs w:val="21"/>
        </w:rPr>
        <w:t>Python语言的基本语法结构、数据类型和编程方法，</w:t>
      </w:r>
      <w:r>
        <w:rPr>
          <w:rFonts w:hint="eastAsia"/>
          <w:kern w:val="0"/>
          <w:szCs w:val="21"/>
        </w:rPr>
        <w:t>具备初步</w:t>
      </w:r>
      <w:r>
        <w:rPr>
          <w:kern w:val="0"/>
          <w:szCs w:val="21"/>
        </w:rPr>
        <w:t>应用编程能力，能够在海洋</w:t>
      </w:r>
      <w:r>
        <w:rPr>
          <w:rFonts w:hint="eastAsia"/>
          <w:kern w:val="0"/>
          <w:szCs w:val="21"/>
        </w:rPr>
        <w:t>电子</w:t>
      </w:r>
      <w:r>
        <w:rPr>
          <w:kern w:val="0"/>
          <w:szCs w:val="21"/>
        </w:rPr>
        <w:t>信息等方面进行一定的软件设计。[1</w:t>
      </w:r>
      <w:r>
        <w:rPr>
          <w:rFonts w:hint="eastAsia"/>
          <w:kern w:val="0"/>
          <w:szCs w:val="21"/>
        </w:rPr>
        <w:t>.</w:t>
      </w:r>
      <w:r>
        <w:rPr>
          <w:kern w:val="0"/>
          <w:szCs w:val="21"/>
        </w:rPr>
        <w:t>2]</w:t>
      </w:r>
    </w:p>
    <w:p>
      <w:pPr>
        <w:widowControl/>
        <w:adjustRightInd w:val="0"/>
        <w:snapToGrid w:val="0"/>
        <w:spacing w:line="300" w:lineRule="auto"/>
        <w:ind w:firstLine="420" w:firstLineChars="200"/>
        <w:rPr>
          <w:kern w:val="0"/>
          <w:szCs w:val="21"/>
        </w:rPr>
      </w:pPr>
      <w:r>
        <w:rPr>
          <w:kern w:val="0"/>
          <w:szCs w:val="21"/>
        </w:rPr>
        <w:t>2．</w:t>
      </w:r>
      <w:r>
        <w:rPr>
          <w:rFonts w:hint="eastAsia"/>
          <w:kern w:val="0"/>
          <w:szCs w:val="21"/>
        </w:rPr>
        <w:t>结合当前主流的数据库与网上资源，具备检索并获取相应的资源进行问题表达的能力。</w:t>
      </w:r>
      <w:r>
        <w:rPr>
          <w:kern w:val="0"/>
          <w:szCs w:val="21"/>
        </w:rPr>
        <w:t xml:space="preserve"> [2</w:t>
      </w:r>
      <w:r>
        <w:rPr>
          <w:rFonts w:hint="eastAsia"/>
          <w:kern w:val="0"/>
          <w:szCs w:val="21"/>
        </w:rPr>
        <w:t>.</w:t>
      </w:r>
      <w:r>
        <w:rPr>
          <w:kern w:val="0"/>
          <w:szCs w:val="21"/>
        </w:rPr>
        <w:t>3]</w:t>
      </w:r>
    </w:p>
    <w:p>
      <w:pPr>
        <w:widowControl/>
        <w:adjustRightInd w:val="0"/>
        <w:snapToGrid w:val="0"/>
        <w:spacing w:line="300" w:lineRule="auto"/>
        <w:ind w:firstLine="420" w:firstLineChars="200"/>
        <w:rPr>
          <w:kern w:val="0"/>
          <w:szCs w:val="21"/>
        </w:rPr>
      </w:pPr>
      <w:r>
        <w:rPr>
          <w:kern w:val="0"/>
          <w:szCs w:val="21"/>
        </w:rPr>
        <w:t>3．</w:t>
      </w:r>
      <w:r>
        <w:rPr>
          <w:rFonts w:hint="eastAsia"/>
          <w:kern w:val="0"/>
          <w:szCs w:val="21"/>
        </w:rPr>
        <w:t>掌握针对工程问题需求，选择开发工具和实现方式，具备选择合理的</w:t>
      </w:r>
      <w:r>
        <w:rPr>
          <w:kern w:val="0"/>
          <w:szCs w:val="21"/>
        </w:rPr>
        <w:t>Python库进行软件设计并获取准确数据的能力。[4</w:t>
      </w:r>
      <w:r>
        <w:rPr>
          <w:rFonts w:hint="eastAsia"/>
          <w:kern w:val="0"/>
          <w:szCs w:val="21"/>
        </w:rPr>
        <w:t>.</w:t>
      </w:r>
      <w:r>
        <w:rPr>
          <w:kern w:val="0"/>
          <w:szCs w:val="21"/>
        </w:rPr>
        <w:t>2]</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624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090" w:type="dxa"/>
            <w:vAlign w:val="center"/>
          </w:tcPr>
          <w:p>
            <w:pPr>
              <w:adjustRightInd w:val="0"/>
              <w:snapToGrid w:val="0"/>
              <w:spacing w:line="300" w:lineRule="auto"/>
              <w:rPr>
                <w:b/>
                <w:bCs/>
                <w:sz w:val="18"/>
                <w:szCs w:val="18"/>
              </w:rPr>
            </w:pPr>
            <w:r>
              <w:rPr>
                <w:b/>
                <w:bCs/>
                <w:sz w:val="18"/>
                <w:szCs w:val="18"/>
              </w:rPr>
              <w:t>毕业要求</w:t>
            </w:r>
          </w:p>
        </w:tc>
        <w:tc>
          <w:tcPr>
            <w:tcW w:w="6247"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Align w:val="center"/>
          </w:tcPr>
          <w:p>
            <w:pPr>
              <w:adjustRightInd w:val="0"/>
              <w:snapToGrid w:val="0"/>
              <w:spacing w:line="300" w:lineRule="auto"/>
              <w:rPr>
                <w:sz w:val="18"/>
                <w:szCs w:val="18"/>
              </w:rPr>
            </w:pPr>
            <w:r>
              <w:rPr>
                <w:rFonts w:hint="eastAsia"/>
                <w:sz w:val="18"/>
                <w:szCs w:val="18"/>
              </w:rPr>
              <w:t>1.</w:t>
            </w:r>
            <w:r>
              <w:rPr>
                <w:sz w:val="18"/>
                <w:szCs w:val="18"/>
              </w:rPr>
              <w:t>工程知识</w:t>
            </w:r>
          </w:p>
        </w:tc>
        <w:tc>
          <w:tcPr>
            <w:tcW w:w="6247" w:type="dxa"/>
          </w:tcPr>
          <w:p>
            <w:pPr>
              <w:adjustRightInd w:val="0"/>
              <w:snapToGrid w:val="0"/>
              <w:spacing w:line="300" w:lineRule="auto"/>
              <w:rPr>
                <w:sz w:val="18"/>
                <w:szCs w:val="18"/>
              </w:rPr>
            </w:pPr>
            <w:r>
              <w:rPr>
                <w:rFonts w:hint="eastAsia"/>
                <w:sz w:val="18"/>
                <w:szCs w:val="18"/>
              </w:rPr>
              <w:t>1.2掌握计算机、电子、信息、通信、测控及其它工程基础知识，并有效将其应用于电子信息领域工程问题（含海洋电子信息领域）的软硬件分析与设计</w:t>
            </w:r>
            <w:r>
              <w:rPr>
                <w:sz w:val="18"/>
                <w:szCs w:val="18"/>
              </w:rPr>
              <w:t>。</w:t>
            </w:r>
          </w:p>
        </w:tc>
        <w:tc>
          <w:tcPr>
            <w:tcW w:w="689"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090" w:type="dxa"/>
            <w:vAlign w:val="center"/>
          </w:tcPr>
          <w:p>
            <w:pPr>
              <w:adjustRightInd w:val="0"/>
              <w:snapToGrid w:val="0"/>
              <w:spacing w:line="300" w:lineRule="auto"/>
              <w:rPr>
                <w:sz w:val="18"/>
                <w:szCs w:val="18"/>
              </w:rPr>
            </w:pPr>
            <w:r>
              <w:rPr>
                <w:rFonts w:hint="eastAsia"/>
                <w:sz w:val="18"/>
                <w:szCs w:val="18"/>
              </w:rPr>
              <w:t>2</w:t>
            </w:r>
            <w:r>
              <w:rPr>
                <w:sz w:val="18"/>
                <w:szCs w:val="18"/>
              </w:rPr>
              <w:t>.</w:t>
            </w:r>
            <w:r>
              <w:rPr>
                <w:rFonts w:hint="eastAsia"/>
                <w:sz w:val="18"/>
                <w:szCs w:val="18"/>
              </w:rPr>
              <w:t>问题分析</w:t>
            </w:r>
          </w:p>
        </w:tc>
        <w:tc>
          <w:tcPr>
            <w:tcW w:w="6247" w:type="dxa"/>
            <w:vAlign w:val="center"/>
          </w:tcPr>
          <w:p>
            <w:pPr>
              <w:adjustRightInd w:val="0"/>
              <w:snapToGrid w:val="0"/>
              <w:spacing w:line="300" w:lineRule="auto"/>
              <w:rPr>
                <w:sz w:val="18"/>
                <w:szCs w:val="18"/>
              </w:rPr>
            </w:pPr>
            <w:r>
              <w:rPr>
                <w:rFonts w:hint="eastAsia"/>
                <w:sz w:val="18"/>
                <w:szCs w:val="18"/>
              </w:rPr>
              <w:t>2</w:t>
            </w:r>
            <w:r>
              <w:rPr>
                <w:sz w:val="18"/>
                <w:szCs w:val="18"/>
              </w:rPr>
              <w:t>.3</w:t>
            </w:r>
            <w:r>
              <w:rPr>
                <w:rFonts w:hint="eastAsia"/>
                <w:sz w:val="18"/>
                <w:szCs w:val="18"/>
              </w:rPr>
              <w:t>通晓文献、信息、资料的分类和一般检索方法，具备借助文献研究等方式客观分析和准确表达复杂工程问题，以获得有效结论的能力。</w:t>
            </w:r>
          </w:p>
        </w:tc>
        <w:tc>
          <w:tcPr>
            <w:tcW w:w="689" w:type="dxa"/>
            <w:vAlign w:val="center"/>
          </w:tcPr>
          <w:p>
            <w:pPr>
              <w:adjustRightInd w:val="0"/>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090" w:type="dxa"/>
            <w:vAlign w:val="center"/>
          </w:tcPr>
          <w:p>
            <w:pPr>
              <w:adjustRightInd w:val="0"/>
              <w:snapToGrid w:val="0"/>
              <w:spacing w:line="300" w:lineRule="auto"/>
              <w:rPr>
                <w:sz w:val="18"/>
                <w:szCs w:val="18"/>
              </w:rPr>
            </w:pPr>
            <w:r>
              <w:rPr>
                <w:rFonts w:hint="eastAsia"/>
                <w:sz w:val="18"/>
                <w:szCs w:val="18"/>
              </w:rPr>
              <w:t>4.研究</w:t>
            </w:r>
          </w:p>
        </w:tc>
        <w:tc>
          <w:tcPr>
            <w:tcW w:w="6247" w:type="dxa"/>
            <w:vAlign w:val="center"/>
          </w:tcPr>
          <w:p>
            <w:pPr>
              <w:adjustRightInd w:val="0"/>
              <w:snapToGrid w:val="0"/>
              <w:spacing w:line="300" w:lineRule="auto"/>
              <w:rPr>
                <w:sz w:val="18"/>
                <w:szCs w:val="18"/>
              </w:rPr>
            </w:pPr>
            <w:r>
              <w:rPr>
                <w:rFonts w:hint="eastAsia"/>
                <w:sz w:val="18"/>
                <w:szCs w:val="18"/>
              </w:rPr>
              <w:t>4.2针对电子信息工程的复杂工程问题，具备选择技术路线、设计实验方案的能力，并获取准确的实验数据。</w:t>
            </w:r>
          </w:p>
        </w:tc>
        <w:tc>
          <w:tcPr>
            <w:tcW w:w="689" w:type="dxa"/>
            <w:vAlign w:val="center"/>
          </w:tcPr>
          <w:p>
            <w:pPr>
              <w:adjustRightInd w:val="0"/>
              <w:snapToGrid w:val="0"/>
              <w:spacing w:line="300" w:lineRule="auto"/>
              <w:jc w:val="center"/>
              <w:rPr>
                <w:sz w:val="18"/>
                <w:szCs w:val="18"/>
              </w:rPr>
            </w:pPr>
            <w:r>
              <w:rPr>
                <w:sz w:val="18"/>
                <w:szCs w:val="18"/>
              </w:rPr>
              <w:t>3</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rFonts w:hint="eastAsia"/>
                <w:sz w:val="18"/>
                <w:szCs w:val="18"/>
                <w:shd w:val="clear" w:color="auto" w:fill="FEFEFF"/>
              </w:rPr>
              <w:t>了解面向对象编程的概念，掌握</w:t>
            </w:r>
            <w:r>
              <w:rPr>
                <w:sz w:val="18"/>
                <w:szCs w:val="18"/>
                <w:shd w:val="clear" w:color="auto" w:fill="FEFEFF"/>
              </w:rPr>
              <w:t>Python语言的基本语法结构、数据类型和编程方法，具备初步应用编程能力，能够在海洋电子信息等方面进行一定的软件设计。</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实验</w:t>
            </w:r>
            <w:r>
              <w:rPr>
                <w:sz w:val="18"/>
                <w:szCs w:val="18"/>
                <w:shd w:val="clear" w:color="auto" w:fill="FEFEFF"/>
              </w:rPr>
              <w:t>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w:t>
            </w:r>
            <w:r>
              <w:rPr>
                <w:rFonts w:hint="eastAsia"/>
                <w:sz w:val="18"/>
                <w:szCs w:val="18"/>
                <w:shd w:val="clear" w:color="auto" w:fill="FEFEFF"/>
              </w:rPr>
              <w:t>结合当前主流的数据库与网上资源，具备检索并获取相应的资源进行问题表达的能力。</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实验</w:t>
            </w:r>
            <w:r>
              <w:rPr>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w:t>
            </w:r>
            <w:r>
              <w:rPr>
                <w:rFonts w:hint="eastAsia"/>
                <w:sz w:val="18"/>
                <w:szCs w:val="18"/>
                <w:shd w:val="clear" w:color="auto" w:fill="FEFEFF"/>
              </w:rPr>
              <w:t>掌握针对工程问题需求，选择开发工具和实现方式，具备选择合理的</w:t>
            </w:r>
            <w:r>
              <w:rPr>
                <w:sz w:val="18"/>
                <w:szCs w:val="18"/>
                <w:shd w:val="clear" w:color="auto" w:fill="FEFEFF"/>
              </w:rPr>
              <w:t>Python库进行软件设计并获取准确数据的能力。</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作业、</w:t>
            </w:r>
            <w:r>
              <w:rPr>
                <w:rFonts w:hint="eastAsia"/>
                <w:sz w:val="18"/>
                <w:szCs w:val="18"/>
                <w:shd w:val="clear" w:color="auto" w:fill="FEFEFF"/>
              </w:rPr>
              <w:t>综合性</w:t>
            </w:r>
            <w:r>
              <w:rPr>
                <w:sz w:val="18"/>
                <w:szCs w:val="18"/>
                <w:shd w:val="clear" w:color="auto" w:fill="FEFEFF"/>
              </w:rPr>
              <w:t>实验。</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w:t>
      </w:r>
      <w:r>
        <w:rPr>
          <w:rFonts w:hint="eastAsia"/>
          <w:szCs w:val="21"/>
        </w:rPr>
        <w:t>教学内容上，</w:t>
      </w:r>
      <w:r>
        <w:rPr>
          <w:szCs w:val="21"/>
        </w:rPr>
        <w:t>注重</w:t>
      </w:r>
      <w:r>
        <w:rPr>
          <w:rFonts w:hint="eastAsia"/>
          <w:szCs w:val="21"/>
        </w:rPr>
        <w:t>P</w:t>
      </w:r>
      <w:r>
        <w:rPr>
          <w:szCs w:val="21"/>
        </w:rPr>
        <w:t>ython</w:t>
      </w:r>
      <w:r>
        <w:rPr>
          <w:rFonts w:hint="eastAsia"/>
          <w:szCs w:val="21"/>
        </w:rPr>
        <w:t>的基础知识和海洋信息应用。</w:t>
      </w:r>
    </w:p>
    <w:p>
      <w:pPr>
        <w:adjustRightInd w:val="0"/>
        <w:snapToGrid w:val="0"/>
        <w:spacing w:line="300" w:lineRule="auto"/>
        <w:ind w:firstLine="420" w:firstLineChars="200"/>
        <w:rPr>
          <w:szCs w:val="21"/>
        </w:rPr>
      </w:pPr>
      <w:r>
        <w:rPr>
          <w:szCs w:val="21"/>
        </w:rPr>
        <w:t>2．</w:t>
      </w:r>
      <w:r>
        <w:rPr>
          <w:rFonts w:hint="eastAsia"/>
          <w:szCs w:val="21"/>
        </w:rPr>
        <w:t>教学方法上</w:t>
      </w:r>
      <w:r>
        <w:rPr>
          <w:szCs w:val="21"/>
        </w:rPr>
        <w:t>课堂讲授</w:t>
      </w:r>
      <w:r>
        <w:rPr>
          <w:rFonts w:hint="eastAsia"/>
          <w:szCs w:val="21"/>
        </w:rPr>
        <w:t>和线上慕课学习并行</w:t>
      </w:r>
      <w:r>
        <w:rPr>
          <w:szCs w:val="21"/>
        </w:rPr>
        <w:t>，</w:t>
      </w:r>
      <w:r>
        <w:rPr>
          <w:rFonts w:hint="eastAsia"/>
          <w:szCs w:val="21"/>
        </w:rPr>
        <w:t>要求学生在课下利用线上资源进一步加深对知识的理解和编程技能的锻炼。</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379"/>
        <w:gridCol w:w="4028"/>
        <w:gridCol w:w="743"/>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93"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2379"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4028"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743" w:type="dxa"/>
            <w:vAlign w:val="center"/>
          </w:tcPr>
          <w:p>
            <w:pPr>
              <w:adjustRightInd w:val="0"/>
              <w:snapToGrid w:val="0"/>
              <w:spacing w:line="300" w:lineRule="auto"/>
              <w:jc w:val="center"/>
              <w:rPr>
                <w:b/>
                <w:bCs/>
                <w:sz w:val="18"/>
                <w:szCs w:val="18"/>
              </w:rPr>
            </w:pPr>
            <w:r>
              <w:rPr>
                <w:b/>
                <w:bCs/>
                <w:sz w:val="18"/>
                <w:szCs w:val="18"/>
              </w:rPr>
              <w:t>学时</w:t>
            </w:r>
          </w:p>
        </w:tc>
        <w:tc>
          <w:tcPr>
            <w:tcW w:w="1042"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1</w:t>
            </w:r>
          </w:p>
        </w:tc>
        <w:tc>
          <w:tcPr>
            <w:tcW w:w="2379" w:type="dxa"/>
            <w:vAlign w:val="center"/>
          </w:tcPr>
          <w:p>
            <w:pPr>
              <w:adjustRightInd w:val="0"/>
              <w:snapToGrid w:val="0"/>
              <w:spacing w:line="300" w:lineRule="auto"/>
              <w:rPr>
                <w:kern w:val="0"/>
                <w:sz w:val="18"/>
                <w:szCs w:val="18"/>
              </w:rPr>
            </w:pPr>
            <w:r>
              <w:rPr>
                <w:kern w:val="0"/>
                <w:sz w:val="18"/>
                <w:szCs w:val="18"/>
              </w:rPr>
              <w:t xml:space="preserve">1 </w:t>
            </w:r>
            <w:r>
              <w:rPr>
                <w:rFonts w:hint="eastAsia"/>
                <w:kern w:val="0"/>
                <w:sz w:val="18"/>
                <w:szCs w:val="18"/>
              </w:rPr>
              <w:t>面向对象程序设计基本方法</w:t>
            </w:r>
          </w:p>
          <w:p>
            <w:pPr>
              <w:adjustRightInd w:val="0"/>
              <w:snapToGrid w:val="0"/>
              <w:spacing w:line="300" w:lineRule="auto"/>
              <w:rPr>
                <w:kern w:val="0"/>
                <w:sz w:val="18"/>
                <w:szCs w:val="18"/>
              </w:rPr>
            </w:pPr>
            <w:r>
              <w:rPr>
                <w:kern w:val="0"/>
                <w:sz w:val="18"/>
                <w:szCs w:val="18"/>
              </w:rPr>
              <w:t>1.1 Python</w:t>
            </w:r>
            <w:r>
              <w:rPr>
                <w:rFonts w:hint="eastAsia"/>
                <w:kern w:val="0"/>
                <w:sz w:val="18"/>
                <w:szCs w:val="18"/>
              </w:rPr>
              <w:t>语言简介</w:t>
            </w:r>
          </w:p>
          <w:p>
            <w:pPr>
              <w:adjustRightInd w:val="0"/>
              <w:snapToGrid w:val="0"/>
              <w:spacing w:line="300" w:lineRule="auto"/>
              <w:rPr>
                <w:kern w:val="0"/>
                <w:sz w:val="18"/>
                <w:szCs w:val="18"/>
              </w:rPr>
            </w:pPr>
            <w:r>
              <w:rPr>
                <w:kern w:val="0"/>
                <w:sz w:val="18"/>
                <w:szCs w:val="18"/>
              </w:rPr>
              <w:t xml:space="preserve">1.2 </w:t>
            </w:r>
            <w:r>
              <w:rPr>
                <w:rFonts w:hint="eastAsia"/>
                <w:kern w:val="0"/>
                <w:sz w:val="18"/>
                <w:szCs w:val="18"/>
              </w:rPr>
              <w:t>面向对象编程基础知识介绍</w:t>
            </w:r>
          </w:p>
          <w:p>
            <w:pPr>
              <w:adjustRightInd w:val="0"/>
              <w:snapToGrid w:val="0"/>
              <w:spacing w:line="300" w:lineRule="auto"/>
              <w:rPr>
                <w:kern w:val="0"/>
                <w:sz w:val="18"/>
                <w:szCs w:val="18"/>
              </w:rPr>
            </w:pPr>
            <w:r>
              <w:rPr>
                <w:kern w:val="0"/>
                <w:sz w:val="18"/>
                <w:szCs w:val="18"/>
              </w:rPr>
              <w:t>1.3 Python</w:t>
            </w:r>
            <w:r>
              <w:rPr>
                <w:rFonts w:hint="eastAsia"/>
                <w:kern w:val="0"/>
                <w:sz w:val="18"/>
                <w:szCs w:val="18"/>
              </w:rPr>
              <w:t>环境配置</w:t>
            </w:r>
          </w:p>
        </w:tc>
        <w:tc>
          <w:tcPr>
            <w:tcW w:w="402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w:t>
            </w:r>
            <w:r>
              <w:rPr>
                <w:rFonts w:hint="eastAsia"/>
                <w:kern w:val="0"/>
                <w:sz w:val="18"/>
                <w:szCs w:val="18"/>
              </w:rPr>
              <w:t>了解</w:t>
            </w:r>
            <w:r>
              <w:rPr>
                <w:kern w:val="0"/>
                <w:sz w:val="18"/>
                <w:szCs w:val="18"/>
              </w:rPr>
              <w:t>计算机和程序设计语言的概念。</w:t>
            </w:r>
          </w:p>
          <w:p>
            <w:pPr>
              <w:adjustRightInd w:val="0"/>
              <w:snapToGrid w:val="0"/>
              <w:spacing w:line="300" w:lineRule="auto"/>
              <w:rPr>
                <w:kern w:val="0"/>
                <w:sz w:val="18"/>
                <w:szCs w:val="18"/>
              </w:rPr>
            </w:pPr>
            <w:r>
              <w:rPr>
                <w:kern w:val="0"/>
                <w:sz w:val="18"/>
                <w:szCs w:val="18"/>
              </w:rPr>
              <w:t>（2）</w:t>
            </w:r>
            <w:r>
              <w:rPr>
                <w:rFonts w:hint="eastAsia"/>
                <w:kern w:val="0"/>
                <w:sz w:val="18"/>
                <w:szCs w:val="18"/>
              </w:rPr>
              <w:t>了解</w:t>
            </w:r>
            <w:r>
              <w:rPr>
                <w:kern w:val="0"/>
                <w:sz w:val="18"/>
                <w:szCs w:val="18"/>
              </w:rPr>
              <w:t>Python语言的发展及特点。</w:t>
            </w:r>
          </w:p>
          <w:p>
            <w:pPr>
              <w:adjustRightInd w:val="0"/>
              <w:snapToGrid w:val="0"/>
              <w:spacing w:line="300" w:lineRule="auto"/>
              <w:rPr>
                <w:kern w:val="0"/>
                <w:sz w:val="18"/>
                <w:szCs w:val="18"/>
              </w:rPr>
            </w:pPr>
            <w:r>
              <w:rPr>
                <w:kern w:val="0"/>
                <w:sz w:val="18"/>
                <w:szCs w:val="18"/>
              </w:rPr>
              <w:t>（3）</w:t>
            </w:r>
            <w:r>
              <w:rPr>
                <w:rFonts w:hint="eastAsia"/>
                <w:kern w:val="0"/>
                <w:sz w:val="18"/>
                <w:szCs w:val="18"/>
              </w:rPr>
              <w:t>理解面向对象编程的核心思想</w:t>
            </w:r>
          </w:p>
          <w:p>
            <w:pPr>
              <w:adjustRightInd w:val="0"/>
              <w:snapToGrid w:val="0"/>
              <w:spacing w:line="300" w:lineRule="auto"/>
              <w:rPr>
                <w:kern w:val="0"/>
                <w:sz w:val="18"/>
                <w:szCs w:val="18"/>
              </w:rPr>
            </w:pPr>
            <w:r>
              <w:rPr>
                <w:rFonts w:hint="eastAsia"/>
                <w:kern w:val="0"/>
                <w:sz w:val="18"/>
                <w:szCs w:val="18"/>
              </w:rPr>
              <w:t>（4）掌握</w:t>
            </w:r>
            <w:r>
              <w:rPr>
                <w:kern w:val="0"/>
                <w:sz w:val="18"/>
                <w:szCs w:val="18"/>
              </w:rPr>
              <w:t>Python语言开发环境的配置方法。</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kern w:val="0"/>
                <w:sz w:val="18"/>
                <w:szCs w:val="18"/>
              </w:rPr>
              <w:t>2</w:t>
            </w:r>
          </w:p>
        </w:tc>
        <w:tc>
          <w:tcPr>
            <w:tcW w:w="1042" w:type="dxa"/>
            <w:vAlign w:val="center"/>
          </w:tcPr>
          <w:p>
            <w:pPr>
              <w:adjustRightInd w:val="0"/>
              <w:snapToGrid w:val="0"/>
              <w:spacing w:line="300" w:lineRule="auto"/>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2</w:t>
            </w:r>
          </w:p>
        </w:tc>
        <w:tc>
          <w:tcPr>
            <w:tcW w:w="2379" w:type="dxa"/>
            <w:vAlign w:val="center"/>
          </w:tcPr>
          <w:p>
            <w:pPr>
              <w:adjustRightInd w:val="0"/>
              <w:snapToGrid w:val="0"/>
              <w:spacing w:line="300" w:lineRule="auto"/>
              <w:rPr>
                <w:kern w:val="0"/>
                <w:sz w:val="18"/>
                <w:szCs w:val="18"/>
              </w:rPr>
            </w:pPr>
            <w:r>
              <w:rPr>
                <w:kern w:val="0"/>
                <w:sz w:val="18"/>
                <w:szCs w:val="18"/>
              </w:rPr>
              <w:t>2 Python程序实例解析</w:t>
            </w:r>
          </w:p>
          <w:p>
            <w:pPr>
              <w:adjustRightInd w:val="0"/>
              <w:snapToGrid w:val="0"/>
              <w:spacing w:line="300" w:lineRule="auto"/>
              <w:rPr>
                <w:kern w:val="0"/>
                <w:sz w:val="18"/>
                <w:szCs w:val="18"/>
              </w:rPr>
            </w:pPr>
            <w:r>
              <w:rPr>
                <w:kern w:val="0"/>
                <w:sz w:val="18"/>
                <w:szCs w:val="18"/>
              </w:rPr>
              <w:t xml:space="preserve">2.1 </w:t>
            </w:r>
            <w:r>
              <w:rPr>
                <w:rFonts w:hint="eastAsia"/>
                <w:kern w:val="0"/>
                <w:sz w:val="18"/>
                <w:szCs w:val="18"/>
              </w:rPr>
              <w:t>P</w:t>
            </w:r>
            <w:r>
              <w:rPr>
                <w:kern w:val="0"/>
                <w:sz w:val="18"/>
                <w:szCs w:val="18"/>
              </w:rPr>
              <w:t>ython</w:t>
            </w:r>
            <w:r>
              <w:rPr>
                <w:rFonts w:hint="eastAsia"/>
                <w:kern w:val="0"/>
                <w:sz w:val="18"/>
                <w:szCs w:val="18"/>
              </w:rPr>
              <w:t>程序构成</w:t>
            </w:r>
          </w:p>
          <w:p>
            <w:pPr>
              <w:adjustRightInd w:val="0"/>
              <w:snapToGrid w:val="0"/>
              <w:spacing w:line="300" w:lineRule="auto"/>
              <w:rPr>
                <w:kern w:val="0"/>
                <w:sz w:val="18"/>
                <w:szCs w:val="18"/>
              </w:rPr>
            </w:pPr>
            <w:r>
              <w:rPr>
                <w:kern w:val="0"/>
                <w:sz w:val="18"/>
                <w:szCs w:val="18"/>
              </w:rPr>
              <w:t xml:space="preserve">2.2 </w:t>
            </w:r>
            <w:r>
              <w:rPr>
                <w:rFonts w:hint="eastAsia"/>
                <w:kern w:val="0"/>
                <w:sz w:val="18"/>
                <w:szCs w:val="18"/>
              </w:rPr>
              <w:t>Python语法元素</w:t>
            </w:r>
          </w:p>
          <w:p>
            <w:pPr>
              <w:adjustRightInd w:val="0"/>
              <w:snapToGrid w:val="0"/>
              <w:spacing w:line="300" w:lineRule="auto"/>
              <w:rPr>
                <w:kern w:val="0"/>
                <w:sz w:val="18"/>
                <w:szCs w:val="18"/>
              </w:rPr>
            </w:pPr>
            <w:r>
              <w:rPr>
                <w:kern w:val="0"/>
                <w:sz w:val="18"/>
                <w:szCs w:val="18"/>
              </w:rPr>
              <w:t>2.3 turtle</w:t>
            </w:r>
            <w:r>
              <w:rPr>
                <w:rFonts w:hint="eastAsia"/>
                <w:kern w:val="0"/>
                <w:sz w:val="18"/>
                <w:szCs w:val="18"/>
              </w:rPr>
              <w:t>库的使用</w:t>
            </w:r>
          </w:p>
          <w:p>
            <w:pPr>
              <w:adjustRightInd w:val="0"/>
              <w:snapToGrid w:val="0"/>
              <w:spacing w:line="300" w:lineRule="auto"/>
              <w:rPr>
                <w:kern w:val="0"/>
                <w:sz w:val="18"/>
                <w:szCs w:val="18"/>
              </w:rPr>
            </w:pPr>
          </w:p>
        </w:tc>
        <w:tc>
          <w:tcPr>
            <w:tcW w:w="402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w:t>
            </w:r>
            <w:r>
              <w:rPr>
                <w:rFonts w:hint="eastAsia"/>
                <w:kern w:val="0"/>
                <w:sz w:val="18"/>
                <w:szCs w:val="18"/>
              </w:rPr>
              <w:t>P</w:t>
            </w:r>
            <w:r>
              <w:rPr>
                <w:kern w:val="0"/>
                <w:sz w:val="18"/>
                <w:szCs w:val="18"/>
              </w:rPr>
              <w:t>ython</w:t>
            </w:r>
            <w:r>
              <w:rPr>
                <w:rFonts w:hint="eastAsia"/>
                <w:kern w:val="0"/>
                <w:sz w:val="18"/>
                <w:szCs w:val="18"/>
              </w:rPr>
              <w:t>程序的结构</w:t>
            </w:r>
            <w:r>
              <w:rPr>
                <w:kern w:val="0"/>
                <w:sz w:val="18"/>
                <w:szCs w:val="18"/>
              </w:rPr>
              <w:t>。</w:t>
            </w:r>
          </w:p>
          <w:p>
            <w:pPr>
              <w:adjustRightInd w:val="0"/>
              <w:snapToGrid w:val="0"/>
              <w:spacing w:line="300" w:lineRule="auto"/>
              <w:rPr>
                <w:kern w:val="0"/>
                <w:sz w:val="18"/>
                <w:szCs w:val="18"/>
              </w:rPr>
            </w:pPr>
            <w:r>
              <w:rPr>
                <w:kern w:val="0"/>
                <w:sz w:val="18"/>
                <w:szCs w:val="18"/>
              </w:rPr>
              <w:t>（2）</w:t>
            </w:r>
            <w:r>
              <w:rPr>
                <w:rFonts w:hint="eastAsia"/>
                <w:kern w:val="0"/>
                <w:sz w:val="18"/>
                <w:szCs w:val="18"/>
              </w:rPr>
              <w:t>掌握P</w:t>
            </w:r>
            <w:r>
              <w:rPr>
                <w:kern w:val="0"/>
                <w:sz w:val="18"/>
                <w:szCs w:val="18"/>
              </w:rPr>
              <w:t>ython</w:t>
            </w:r>
            <w:r>
              <w:rPr>
                <w:rFonts w:hint="eastAsia"/>
                <w:kern w:val="0"/>
                <w:sz w:val="18"/>
                <w:szCs w:val="18"/>
              </w:rPr>
              <w:t>的语法元素、注释、命名规则。</w:t>
            </w:r>
          </w:p>
          <w:p>
            <w:pPr>
              <w:adjustRightInd w:val="0"/>
              <w:snapToGrid w:val="0"/>
              <w:spacing w:line="300" w:lineRule="auto"/>
              <w:rPr>
                <w:kern w:val="0"/>
                <w:sz w:val="18"/>
                <w:szCs w:val="18"/>
              </w:rPr>
            </w:pPr>
            <w:r>
              <w:rPr>
                <w:rFonts w:hint="eastAsia"/>
                <w:kern w:val="0"/>
                <w:sz w:val="18"/>
                <w:szCs w:val="18"/>
              </w:rPr>
              <w:t>（3）了解赋值语句、输入输出、赋值语句、函数。</w:t>
            </w:r>
          </w:p>
          <w:p>
            <w:pPr>
              <w:adjustRightInd w:val="0"/>
              <w:snapToGrid w:val="0"/>
              <w:spacing w:line="300" w:lineRule="auto"/>
              <w:rPr>
                <w:kern w:val="0"/>
                <w:sz w:val="18"/>
                <w:szCs w:val="18"/>
              </w:rPr>
            </w:pPr>
            <w:r>
              <w:rPr>
                <w:rFonts w:hint="eastAsia"/>
                <w:kern w:val="0"/>
                <w:sz w:val="18"/>
                <w:szCs w:val="18"/>
              </w:rPr>
              <w:t>（</w:t>
            </w:r>
            <w:r>
              <w:rPr>
                <w:kern w:val="0"/>
                <w:sz w:val="18"/>
                <w:szCs w:val="18"/>
              </w:rPr>
              <w:t>4</w:t>
            </w:r>
            <w:r>
              <w:rPr>
                <w:rFonts w:hint="eastAsia"/>
                <w:kern w:val="0"/>
                <w:sz w:val="18"/>
                <w:szCs w:val="18"/>
              </w:rPr>
              <w:t>）掌握</w:t>
            </w:r>
            <w:r>
              <w:rPr>
                <w:kern w:val="0"/>
                <w:sz w:val="18"/>
                <w:szCs w:val="18"/>
              </w:rPr>
              <w:t>turtle</w:t>
            </w:r>
            <w:r>
              <w:rPr>
                <w:rFonts w:hint="eastAsia"/>
                <w:kern w:val="0"/>
                <w:sz w:val="18"/>
                <w:szCs w:val="18"/>
              </w:rPr>
              <w:t>库的使用方法。</w:t>
            </w:r>
          </w:p>
          <w:p>
            <w:pPr>
              <w:adjustRightInd w:val="0"/>
              <w:snapToGrid w:val="0"/>
              <w:spacing w:line="300" w:lineRule="auto"/>
              <w:rPr>
                <w:kern w:val="0"/>
                <w:sz w:val="18"/>
                <w:szCs w:val="18"/>
              </w:rPr>
            </w:pPr>
            <w:r>
              <w:rPr>
                <w:rFonts w:hint="eastAsia"/>
                <w:kern w:val="0"/>
                <w:sz w:val="18"/>
                <w:szCs w:val="18"/>
              </w:rPr>
              <w:t>2</w:t>
            </w:r>
            <w:r>
              <w:rPr>
                <w:kern w:val="0"/>
                <w:sz w:val="18"/>
                <w:szCs w:val="18"/>
              </w:rPr>
              <w:t>.</w:t>
            </w:r>
            <w:r>
              <w:rPr>
                <w:rFonts w:hint="eastAsia"/>
                <w:kern w:val="0"/>
                <w:sz w:val="18"/>
                <w:szCs w:val="18"/>
              </w:rPr>
              <w:t>教学方法</w:t>
            </w:r>
          </w:p>
          <w:p>
            <w:pPr>
              <w:adjustRightInd w:val="0"/>
              <w:snapToGrid w:val="0"/>
              <w:spacing w:line="300" w:lineRule="auto"/>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3</w:t>
            </w:r>
          </w:p>
        </w:tc>
        <w:tc>
          <w:tcPr>
            <w:tcW w:w="2379" w:type="dxa"/>
            <w:vAlign w:val="center"/>
          </w:tcPr>
          <w:p>
            <w:pPr>
              <w:adjustRightInd w:val="0"/>
              <w:snapToGrid w:val="0"/>
              <w:spacing w:line="300" w:lineRule="auto"/>
              <w:rPr>
                <w:kern w:val="0"/>
                <w:sz w:val="18"/>
                <w:szCs w:val="18"/>
              </w:rPr>
            </w:pPr>
            <w:r>
              <w:rPr>
                <w:rFonts w:hint="eastAsia"/>
                <w:kern w:val="0"/>
                <w:sz w:val="18"/>
                <w:szCs w:val="18"/>
              </w:rPr>
              <w:t>3</w:t>
            </w:r>
            <w:r>
              <w:rPr>
                <w:kern w:val="0"/>
                <w:sz w:val="18"/>
                <w:szCs w:val="18"/>
              </w:rPr>
              <w:t xml:space="preserve"> </w:t>
            </w:r>
            <w:r>
              <w:rPr>
                <w:rFonts w:hint="eastAsia"/>
                <w:kern w:val="0"/>
                <w:sz w:val="18"/>
                <w:szCs w:val="18"/>
              </w:rPr>
              <w:t>基本数据类型</w:t>
            </w:r>
          </w:p>
          <w:p>
            <w:pPr>
              <w:adjustRightInd w:val="0"/>
              <w:snapToGrid w:val="0"/>
              <w:spacing w:line="300" w:lineRule="auto"/>
              <w:rPr>
                <w:kern w:val="0"/>
                <w:sz w:val="18"/>
                <w:szCs w:val="18"/>
              </w:rPr>
            </w:pPr>
            <w:r>
              <w:rPr>
                <w:rFonts w:hint="eastAsia"/>
                <w:kern w:val="0"/>
                <w:sz w:val="18"/>
                <w:szCs w:val="18"/>
              </w:rPr>
              <w:t>3</w:t>
            </w:r>
            <w:r>
              <w:rPr>
                <w:kern w:val="0"/>
                <w:sz w:val="18"/>
                <w:szCs w:val="18"/>
              </w:rPr>
              <w:t>.1 Python</w:t>
            </w:r>
            <w:r>
              <w:rPr>
                <w:rFonts w:hint="eastAsia"/>
                <w:kern w:val="0"/>
                <w:sz w:val="18"/>
                <w:szCs w:val="18"/>
              </w:rPr>
              <w:t>的数字类型</w:t>
            </w:r>
          </w:p>
          <w:p>
            <w:pPr>
              <w:adjustRightInd w:val="0"/>
              <w:snapToGrid w:val="0"/>
              <w:spacing w:line="300" w:lineRule="auto"/>
              <w:rPr>
                <w:kern w:val="0"/>
                <w:sz w:val="18"/>
                <w:szCs w:val="18"/>
              </w:rPr>
            </w:pPr>
            <w:r>
              <w:rPr>
                <w:rFonts w:hint="eastAsia"/>
                <w:kern w:val="0"/>
                <w:sz w:val="18"/>
                <w:szCs w:val="18"/>
              </w:rPr>
              <w:t>3</w:t>
            </w:r>
            <w:r>
              <w:rPr>
                <w:kern w:val="0"/>
                <w:sz w:val="18"/>
                <w:szCs w:val="18"/>
              </w:rPr>
              <w:t>.2 Python</w:t>
            </w:r>
            <w:r>
              <w:rPr>
                <w:rFonts w:hint="eastAsia"/>
                <w:kern w:val="0"/>
                <w:sz w:val="18"/>
                <w:szCs w:val="18"/>
              </w:rPr>
              <w:t>字符串类型</w:t>
            </w:r>
          </w:p>
          <w:p>
            <w:pPr>
              <w:adjustRightInd w:val="0"/>
              <w:snapToGrid w:val="0"/>
              <w:spacing w:line="300" w:lineRule="auto"/>
              <w:rPr>
                <w:kern w:val="0"/>
                <w:sz w:val="18"/>
                <w:szCs w:val="18"/>
              </w:rPr>
            </w:pPr>
            <w:r>
              <w:rPr>
                <w:rFonts w:hint="eastAsia"/>
                <w:kern w:val="0"/>
                <w:sz w:val="18"/>
                <w:szCs w:val="18"/>
              </w:rPr>
              <w:t>3</w:t>
            </w:r>
            <w:r>
              <w:rPr>
                <w:kern w:val="0"/>
                <w:sz w:val="18"/>
                <w:szCs w:val="18"/>
              </w:rPr>
              <w:t>.3 Python</w:t>
            </w:r>
            <w:r>
              <w:rPr>
                <w:rFonts w:hint="eastAsia"/>
                <w:kern w:val="0"/>
                <w:sz w:val="18"/>
                <w:szCs w:val="18"/>
              </w:rPr>
              <w:t>的类和对象</w:t>
            </w:r>
          </w:p>
        </w:tc>
        <w:tc>
          <w:tcPr>
            <w:tcW w:w="402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rFonts w:hint="eastAsia"/>
                <w:kern w:val="0"/>
                <w:sz w:val="18"/>
                <w:szCs w:val="18"/>
              </w:rPr>
              <w:t>（</w:t>
            </w:r>
            <w:r>
              <w:rPr>
                <w:kern w:val="0"/>
                <w:sz w:val="18"/>
                <w:szCs w:val="18"/>
              </w:rPr>
              <w:t>1</w:t>
            </w:r>
            <w:r>
              <w:rPr>
                <w:rFonts w:hint="eastAsia"/>
                <w:kern w:val="0"/>
                <w:sz w:val="18"/>
                <w:szCs w:val="18"/>
              </w:rPr>
              <w:t>）掌握P</w:t>
            </w:r>
            <w:r>
              <w:rPr>
                <w:kern w:val="0"/>
                <w:sz w:val="18"/>
                <w:szCs w:val="18"/>
              </w:rPr>
              <w:t>ython</w:t>
            </w:r>
            <w:r>
              <w:rPr>
                <w:rFonts w:hint="eastAsia"/>
                <w:kern w:val="0"/>
                <w:sz w:val="18"/>
                <w:szCs w:val="18"/>
              </w:rPr>
              <w:t>中</w:t>
            </w:r>
            <w:r>
              <w:rPr>
                <w:kern w:val="0"/>
                <w:sz w:val="18"/>
                <w:szCs w:val="18"/>
              </w:rPr>
              <w:t>.数字类型</w:t>
            </w:r>
            <w:r>
              <w:rPr>
                <w:rFonts w:hint="eastAsia"/>
                <w:kern w:val="0"/>
                <w:sz w:val="18"/>
                <w:szCs w:val="18"/>
              </w:rPr>
              <w:t>的特点</w:t>
            </w:r>
            <w:r>
              <w:rPr>
                <w:kern w:val="0"/>
                <w:sz w:val="18"/>
                <w:szCs w:val="18"/>
              </w:rPr>
              <w:t>及其操作。</w:t>
            </w:r>
          </w:p>
          <w:p>
            <w:pPr>
              <w:adjustRightInd w:val="0"/>
              <w:snapToGrid w:val="0"/>
              <w:spacing w:line="300" w:lineRule="auto"/>
              <w:rPr>
                <w:kern w:val="0"/>
                <w:sz w:val="18"/>
                <w:szCs w:val="18"/>
              </w:rPr>
            </w:pPr>
            <w:r>
              <w:rPr>
                <w:rFonts w:hint="eastAsia"/>
                <w:kern w:val="0"/>
                <w:sz w:val="18"/>
                <w:szCs w:val="18"/>
              </w:rPr>
              <w:t>（2）掌握</w:t>
            </w:r>
            <w:r>
              <w:rPr>
                <w:kern w:val="0"/>
                <w:sz w:val="18"/>
                <w:szCs w:val="18"/>
              </w:rPr>
              <w:t>.字符串类型</w:t>
            </w:r>
            <w:r>
              <w:rPr>
                <w:rFonts w:hint="eastAsia"/>
                <w:kern w:val="0"/>
                <w:sz w:val="18"/>
                <w:szCs w:val="18"/>
              </w:rPr>
              <w:t>的特点</w:t>
            </w:r>
            <w:r>
              <w:rPr>
                <w:kern w:val="0"/>
                <w:sz w:val="18"/>
                <w:szCs w:val="18"/>
              </w:rPr>
              <w:t>及其操作。</w:t>
            </w:r>
          </w:p>
          <w:p>
            <w:pPr>
              <w:adjustRightInd w:val="0"/>
              <w:snapToGrid w:val="0"/>
              <w:spacing w:line="300" w:lineRule="auto"/>
              <w:rPr>
                <w:kern w:val="0"/>
                <w:sz w:val="18"/>
                <w:szCs w:val="18"/>
              </w:rPr>
            </w:pPr>
            <w:r>
              <w:rPr>
                <w:rFonts w:hint="eastAsia"/>
                <w:kern w:val="0"/>
                <w:sz w:val="18"/>
                <w:szCs w:val="18"/>
              </w:rPr>
              <w:t>（3）</w:t>
            </w:r>
            <w:r>
              <w:rPr>
                <w:kern w:val="0"/>
                <w:sz w:val="18"/>
                <w:szCs w:val="18"/>
              </w:rPr>
              <w:t>.</w:t>
            </w:r>
            <w:r>
              <w:rPr>
                <w:rFonts w:hint="eastAsia"/>
                <w:kern w:val="0"/>
                <w:sz w:val="18"/>
                <w:szCs w:val="18"/>
              </w:rPr>
              <w:t>熟悉</w:t>
            </w:r>
            <w:r>
              <w:rPr>
                <w:kern w:val="0"/>
                <w:sz w:val="18"/>
                <w:szCs w:val="18"/>
              </w:rPr>
              <w:t>类和对象的定义</w:t>
            </w:r>
            <w:r>
              <w:rPr>
                <w:rFonts w:hint="eastAsia"/>
                <w:kern w:val="0"/>
                <w:sz w:val="18"/>
                <w:szCs w:val="18"/>
              </w:rPr>
              <w:t>与类的继承</w:t>
            </w:r>
            <w:r>
              <w:rPr>
                <w:kern w:val="0"/>
                <w:sz w:val="18"/>
                <w:szCs w:val="18"/>
              </w:rPr>
              <w:t>。</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4</w:t>
            </w:r>
          </w:p>
        </w:tc>
        <w:tc>
          <w:tcPr>
            <w:tcW w:w="2379" w:type="dxa"/>
          </w:tcPr>
          <w:p>
            <w:pPr>
              <w:adjustRightInd w:val="0"/>
              <w:snapToGrid w:val="0"/>
              <w:spacing w:line="300" w:lineRule="auto"/>
              <w:rPr>
                <w:kern w:val="0"/>
                <w:sz w:val="18"/>
                <w:szCs w:val="18"/>
              </w:rPr>
            </w:pPr>
            <w:r>
              <w:rPr>
                <w:rFonts w:hint="eastAsia"/>
                <w:kern w:val="0"/>
                <w:sz w:val="18"/>
                <w:szCs w:val="18"/>
              </w:rPr>
              <w:t>4</w:t>
            </w:r>
            <w:r>
              <w:rPr>
                <w:kern w:val="0"/>
                <w:sz w:val="18"/>
                <w:szCs w:val="18"/>
              </w:rPr>
              <w:t xml:space="preserve"> </w:t>
            </w:r>
            <w:r>
              <w:rPr>
                <w:rFonts w:hint="eastAsia"/>
                <w:kern w:val="0"/>
                <w:sz w:val="18"/>
                <w:szCs w:val="18"/>
              </w:rPr>
              <w:t>程序的控制结构</w:t>
            </w:r>
          </w:p>
          <w:p>
            <w:pPr>
              <w:adjustRightInd w:val="0"/>
              <w:snapToGrid w:val="0"/>
              <w:spacing w:line="300" w:lineRule="auto"/>
              <w:rPr>
                <w:kern w:val="0"/>
                <w:sz w:val="18"/>
                <w:szCs w:val="18"/>
              </w:rPr>
            </w:pPr>
            <w:r>
              <w:rPr>
                <w:kern w:val="0"/>
                <w:sz w:val="18"/>
                <w:szCs w:val="18"/>
              </w:rPr>
              <w:t>4.1</w:t>
            </w:r>
            <w:r>
              <w:rPr>
                <w:rFonts w:hint="eastAsia"/>
                <w:kern w:val="0"/>
                <w:sz w:val="18"/>
                <w:szCs w:val="18"/>
              </w:rPr>
              <w:t>程序的基本结构。</w:t>
            </w:r>
          </w:p>
          <w:p>
            <w:pPr>
              <w:adjustRightInd w:val="0"/>
              <w:snapToGrid w:val="0"/>
              <w:spacing w:line="300" w:lineRule="auto"/>
              <w:rPr>
                <w:kern w:val="0"/>
                <w:sz w:val="18"/>
                <w:szCs w:val="18"/>
              </w:rPr>
            </w:pPr>
            <w:r>
              <w:rPr>
                <w:kern w:val="0"/>
                <w:sz w:val="18"/>
                <w:szCs w:val="18"/>
              </w:rPr>
              <w:t>4.</w:t>
            </w:r>
            <w:r>
              <w:rPr>
                <w:rFonts w:hint="eastAsia"/>
                <w:kern w:val="0"/>
                <w:sz w:val="18"/>
                <w:szCs w:val="18"/>
              </w:rPr>
              <w:t>2程序的循环、分支结构。</w:t>
            </w:r>
          </w:p>
          <w:p>
            <w:pPr>
              <w:adjustRightInd w:val="0"/>
              <w:snapToGrid w:val="0"/>
              <w:spacing w:line="300" w:lineRule="auto"/>
              <w:rPr>
                <w:kern w:val="0"/>
                <w:sz w:val="18"/>
                <w:szCs w:val="18"/>
              </w:rPr>
            </w:pPr>
            <w:r>
              <w:rPr>
                <w:kern w:val="0"/>
                <w:sz w:val="18"/>
                <w:szCs w:val="18"/>
              </w:rPr>
              <w:t>4.</w:t>
            </w:r>
            <w:r>
              <w:rPr>
                <w:rFonts w:hint="eastAsia"/>
                <w:kern w:val="0"/>
                <w:sz w:val="18"/>
                <w:szCs w:val="18"/>
              </w:rPr>
              <w:t>3Random库的使用。</w:t>
            </w:r>
          </w:p>
          <w:p>
            <w:pPr>
              <w:adjustRightInd w:val="0"/>
              <w:snapToGrid w:val="0"/>
              <w:spacing w:line="300" w:lineRule="auto"/>
              <w:rPr>
                <w:kern w:val="0"/>
                <w:sz w:val="18"/>
                <w:szCs w:val="18"/>
              </w:rPr>
            </w:pPr>
            <w:r>
              <w:rPr>
                <w:kern w:val="0"/>
                <w:sz w:val="18"/>
                <w:szCs w:val="18"/>
              </w:rPr>
              <w:t>4.</w:t>
            </w:r>
            <w:r>
              <w:rPr>
                <w:rFonts w:hint="eastAsia"/>
                <w:kern w:val="0"/>
                <w:sz w:val="18"/>
                <w:szCs w:val="18"/>
              </w:rPr>
              <w:t>4程序的异常处理。</w:t>
            </w:r>
          </w:p>
        </w:tc>
        <w:tc>
          <w:tcPr>
            <w:tcW w:w="4028" w:type="dxa"/>
          </w:tcPr>
          <w:p>
            <w:pPr>
              <w:adjustRightInd w:val="0"/>
              <w:snapToGrid w:val="0"/>
              <w:spacing w:line="300" w:lineRule="auto"/>
              <w:rPr>
                <w:kern w:val="0"/>
                <w:sz w:val="18"/>
                <w:szCs w:val="18"/>
              </w:rPr>
            </w:pPr>
            <w:r>
              <w:rPr>
                <w:kern w:val="0"/>
                <w:sz w:val="18"/>
                <w:szCs w:val="18"/>
              </w:rPr>
              <w:t>1.要求</w:t>
            </w:r>
          </w:p>
          <w:p>
            <w:pPr>
              <w:widowControl/>
              <w:spacing w:line="300" w:lineRule="auto"/>
              <w:jc w:val="left"/>
              <w:rPr>
                <w:kern w:val="0"/>
                <w:sz w:val="18"/>
                <w:szCs w:val="18"/>
              </w:rPr>
            </w:pPr>
            <w:r>
              <w:rPr>
                <w:rFonts w:hint="eastAsia"/>
                <w:kern w:val="0"/>
                <w:sz w:val="18"/>
                <w:szCs w:val="18"/>
              </w:rPr>
              <w:t>（1）了解程序的基本结构。</w:t>
            </w:r>
          </w:p>
          <w:p>
            <w:pPr>
              <w:widowControl/>
              <w:spacing w:line="300" w:lineRule="auto"/>
              <w:jc w:val="left"/>
              <w:rPr>
                <w:kern w:val="0"/>
                <w:sz w:val="18"/>
                <w:szCs w:val="18"/>
              </w:rPr>
            </w:pPr>
            <w:r>
              <w:rPr>
                <w:rFonts w:hint="eastAsia"/>
                <w:kern w:val="0"/>
                <w:sz w:val="18"/>
                <w:szCs w:val="18"/>
              </w:rPr>
              <w:t>（</w:t>
            </w:r>
            <w:r>
              <w:rPr>
                <w:kern w:val="0"/>
                <w:sz w:val="18"/>
                <w:szCs w:val="18"/>
              </w:rPr>
              <w:t>2</w:t>
            </w:r>
            <w:r>
              <w:rPr>
                <w:rFonts w:hint="eastAsia"/>
                <w:kern w:val="0"/>
                <w:sz w:val="18"/>
                <w:szCs w:val="18"/>
              </w:rPr>
              <w:t>）掌握程序的循环、分支结构。</w:t>
            </w:r>
          </w:p>
          <w:p>
            <w:pPr>
              <w:widowControl/>
              <w:spacing w:line="300" w:lineRule="auto"/>
              <w:jc w:val="left"/>
              <w:rPr>
                <w:kern w:val="0"/>
                <w:sz w:val="18"/>
                <w:szCs w:val="18"/>
              </w:rPr>
            </w:pPr>
            <w:r>
              <w:rPr>
                <w:rFonts w:hint="eastAsia"/>
                <w:kern w:val="0"/>
                <w:sz w:val="18"/>
                <w:szCs w:val="18"/>
              </w:rPr>
              <w:t>（</w:t>
            </w:r>
            <w:r>
              <w:rPr>
                <w:kern w:val="0"/>
                <w:sz w:val="18"/>
                <w:szCs w:val="18"/>
              </w:rPr>
              <w:t>3</w:t>
            </w:r>
            <w:r>
              <w:rPr>
                <w:rFonts w:hint="eastAsia"/>
                <w:kern w:val="0"/>
                <w:sz w:val="18"/>
                <w:szCs w:val="18"/>
              </w:rPr>
              <w:t>）掌握Random库的使用。</w:t>
            </w:r>
          </w:p>
          <w:p>
            <w:pPr>
              <w:adjustRightInd w:val="0"/>
              <w:snapToGrid w:val="0"/>
              <w:spacing w:line="300" w:lineRule="auto"/>
              <w:rPr>
                <w:kern w:val="0"/>
                <w:sz w:val="18"/>
                <w:szCs w:val="18"/>
              </w:rPr>
            </w:pPr>
            <w:r>
              <w:rPr>
                <w:rFonts w:hint="eastAsia"/>
                <w:kern w:val="0"/>
                <w:sz w:val="18"/>
                <w:szCs w:val="18"/>
              </w:rPr>
              <w:t>（</w:t>
            </w:r>
            <w:r>
              <w:rPr>
                <w:kern w:val="0"/>
                <w:sz w:val="18"/>
                <w:szCs w:val="18"/>
              </w:rPr>
              <w:t>4</w:t>
            </w:r>
            <w:r>
              <w:rPr>
                <w:rFonts w:hint="eastAsia"/>
                <w:kern w:val="0"/>
                <w:sz w:val="18"/>
                <w:szCs w:val="18"/>
              </w:rPr>
              <w:t>）理解P</w:t>
            </w:r>
            <w:r>
              <w:rPr>
                <w:kern w:val="0"/>
                <w:sz w:val="18"/>
                <w:szCs w:val="18"/>
              </w:rPr>
              <w:t>ython</w:t>
            </w:r>
            <w:r>
              <w:rPr>
                <w:rFonts w:hint="eastAsia"/>
                <w:kern w:val="0"/>
                <w:sz w:val="18"/>
                <w:szCs w:val="18"/>
              </w:rPr>
              <w:t>程序的异常处理过程。</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5</w:t>
            </w:r>
          </w:p>
        </w:tc>
        <w:tc>
          <w:tcPr>
            <w:tcW w:w="2379" w:type="dxa"/>
          </w:tcPr>
          <w:p>
            <w:pPr>
              <w:adjustRightInd w:val="0"/>
              <w:snapToGrid w:val="0"/>
              <w:spacing w:line="300" w:lineRule="auto"/>
              <w:rPr>
                <w:kern w:val="0"/>
                <w:sz w:val="18"/>
                <w:szCs w:val="18"/>
              </w:rPr>
            </w:pPr>
            <w:r>
              <w:rPr>
                <w:rFonts w:hint="eastAsia"/>
                <w:kern w:val="0"/>
                <w:sz w:val="18"/>
                <w:szCs w:val="18"/>
              </w:rPr>
              <w:t>5函数和代码复用</w:t>
            </w:r>
          </w:p>
          <w:p>
            <w:pPr>
              <w:adjustRightInd w:val="0"/>
              <w:snapToGrid w:val="0"/>
              <w:spacing w:line="300" w:lineRule="auto"/>
              <w:rPr>
                <w:kern w:val="0"/>
                <w:sz w:val="18"/>
                <w:szCs w:val="18"/>
              </w:rPr>
            </w:pPr>
            <w:r>
              <w:rPr>
                <w:kern w:val="0"/>
                <w:sz w:val="18"/>
                <w:szCs w:val="18"/>
              </w:rPr>
              <w:t>5.</w:t>
            </w:r>
            <w:r>
              <w:rPr>
                <w:rFonts w:hint="eastAsia"/>
                <w:kern w:val="0"/>
                <w:sz w:val="18"/>
                <w:szCs w:val="18"/>
              </w:rPr>
              <w:t>1函数的基本使用。</w:t>
            </w:r>
          </w:p>
          <w:p>
            <w:pPr>
              <w:adjustRightInd w:val="0"/>
              <w:snapToGrid w:val="0"/>
              <w:spacing w:line="300" w:lineRule="auto"/>
              <w:rPr>
                <w:kern w:val="0"/>
                <w:sz w:val="18"/>
                <w:szCs w:val="18"/>
              </w:rPr>
            </w:pPr>
            <w:r>
              <w:rPr>
                <w:kern w:val="0"/>
                <w:sz w:val="18"/>
                <w:szCs w:val="18"/>
              </w:rPr>
              <w:t>5</w:t>
            </w:r>
            <w:r>
              <w:rPr>
                <w:rFonts w:hint="eastAsia"/>
                <w:kern w:val="0"/>
                <w:sz w:val="18"/>
                <w:szCs w:val="18"/>
              </w:rPr>
              <w:t>.2函数的参数传递。</w:t>
            </w:r>
          </w:p>
          <w:p>
            <w:pPr>
              <w:adjustRightInd w:val="0"/>
              <w:snapToGrid w:val="0"/>
              <w:spacing w:line="300" w:lineRule="auto"/>
              <w:rPr>
                <w:kern w:val="0"/>
                <w:sz w:val="18"/>
                <w:szCs w:val="18"/>
              </w:rPr>
            </w:pPr>
            <w:r>
              <w:rPr>
                <w:kern w:val="0"/>
                <w:sz w:val="18"/>
                <w:szCs w:val="18"/>
              </w:rPr>
              <w:t>5.</w:t>
            </w:r>
            <w:r>
              <w:rPr>
                <w:rFonts w:hint="eastAsia"/>
                <w:kern w:val="0"/>
                <w:sz w:val="18"/>
                <w:szCs w:val="18"/>
              </w:rPr>
              <w:t>3datetime库的使用。</w:t>
            </w:r>
          </w:p>
          <w:p>
            <w:pPr>
              <w:adjustRightInd w:val="0"/>
              <w:snapToGrid w:val="0"/>
              <w:spacing w:line="300" w:lineRule="auto"/>
              <w:rPr>
                <w:kern w:val="0"/>
                <w:sz w:val="18"/>
                <w:szCs w:val="18"/>
              </w:rPr>
            </w:pPr>
            <w:r>
              <w:rPr>
                <w:kern w:val="0"/>
                <w:sz w:val="18"/>
                <w:szCs w:val="18"/>
              </w:rPr>
              <w:t>5.4</w:t>
            </w:r>
            <w:r>
              <w:rPr>
                <w:rFonts w:hint="eastAsia"/>
                <w:kern w:val="0"/>
                <w:sz w:val="18"/>
                <w:szCs w:val="18"/>
              </w:rPr>
              <w:t>代码复用和模块化设计概念</w:t>
            </w:r>
          </w:p>
        </w:tc>
        <w:tc>
          <w:tcPr>
            <w:tcW w:w="4028" w:type="dxa"/>
          </w:tcPr>
          <w:p>
            <w:pPr>
              <w:adjustRightInd w:val="0"/>
              <w:snapToGrid w:val="0"/>
              <w:spacing w:line="300" w:lineRule="auto"/>
              <w:rPr>
                <w:kern w:val="0"/>
                <w:sz w:val="18"/>
                <w:szCs w:val="18"/>
              </w:rPr>
            </w:pPr>
            <w:r>
              <w:rPr>
                <w:kern w:val="0"/>
                <w:sz w:val="18"/>
                <w:szCs w:val="18"/>
              </w:rPr>
              <w:t>1.要求</w:t>
            </w:r>
          </w:p>
          <w:p>
            <w:pPr>
              <w:widowControl/>
              <w:spacing w:line="300" w:lineRule="auto"/>
              <w:jc w:val="left"/>
              <w:rPr>
                <w:kern w:val="0"/>
                <w:sz w:val="18"/>
                <w:szCs w:val="18"/>
              </w:rPr>
            </w:pPr>
            <w:r>
              <w:rPr>
                <w:rFonts w:hint="eastAsia"/>
                <w:kern w:val="0"/>
                <w:sz w:val="18"/>
                <w:szCs w:val="18"/>
              </w:rPr>
              <w:t>（1）掌握函数的基本使用。</w:t>
            </w:r>
          </w:p>
          <w:p>
            <w:pPr>
              <w:widowControl/>
              <w:spacing w:line="300" w:lineRule="auto"/>
              <w:jc w:val="left"/>
              <w:rPr>
                <w:kern w:val="0"/>
                <w:sz w:val="18"/>
                <w:szCs w:val="18"/>
              </w:rPr>
            </w:pPr>
            <w:r>
              <w:rPr>
                <w:rFonts w:hint="eastAsia"/>
                <w:kern w:val="0"/>
                <w:sz w:val="18"/>
                <w:szCs w:val="18"/>
              </w:rPr>
              <w:t>（</w:t>
            </w:r>
            <w:r>
              <w:rPr>
                <w:kern w:val="0"/>
                <w:sz w:val="18"/>
                <w:szCs w:val="18"/>
              </w:rPr>
              <w:t>2</w:t>
            </w:r>
            <w:r>
              <w:rPr>
                <w:rFonts w:hint="eastAsia"/>
                <w:kern w:val="0"/>
                <w:sz w:val="18"/>
                <w:szCs w:val="18"/>
              </w:rPr>
              <w:t>）理解函数的参数传递。</w:t>
            </w:r>
          </w:p>
          <w:p>
            <w:pPr>
              <w:widowControl/>
              <w:spacing w:line="300" w:lineRule="auto"/>
              <w:jc w:val="left"/>
              <w:rPr>
                <w:kern w:val="0"/>
                <w:sz w:val="18"/>
                <w:szCs w:val="18"/>
              </w:rPr>
            </w:pPr>
            <w:r>
              <w:rPr>
                <w:rFonts w:hint="eastAsia"/>
                <w:kern w:val="0"/>
                <w:sz w:val="18"/>
                <w:szCs w:val="18"/>
              </w:rPr>
              <w:t>（</w:t>
            </w:r>
            <w:r>
              <w:rPr>
                <w:kern w:val="0"/>
                <w:sz w:val="18"/>
                <w:szCs w:val="18"/>
              </w:rPr>
              <w:t>3</w:t>
            </w:r>
            <w:r>
              <w:rPr>
                <w:rFonts w:hint="eastAsia"/>
                <w:kern w:val="0"/>
                <w:sz w:val="18"/>
                <w:szCs w:val="18"/>
              </w:rPr>
              <w:t>）掌握datetime库的使用。</w:t>
            </w:r>
          </w:p>
          <w:p>
            <w:pPr>
              <w:adjustRightInd w:val="0"/>
              <w:snapToGrid w:val="0"/>
              <w:spacing w:line="300" w:lineRule="auto"/>
              <w:rPr>
                <w:kern w:val="0"/>
                <w:sz w:val="18"/>
                <w:szCs w:val="18"/>
              </w:rPr>
            </w:pPr>
            <w:r>
              <w:rPr>
                <w:rFonts w:hint="eastAsia"/>
                <w:kern w:val="0"/>
                <w:sz w:val="18"/>
                <w:szCs w:val="18"/>
              </w:rPr>
              <w:t>（</w:t>
            </w:r>
            <w:r>
              <w:rPr>
                <w:kern w:val="0"/>
                <w:sz w:val="18"/>
                <w:szCs w:val="18"/>
              </w:rPr>
              <w:t>4</w:t>
            </w:r>
            <w:r>
              <w:rPr>
                <w:rFonts w:hint="eastAsia"/>
                <w:kern w:val="0"/>
                <w:sz w:val="18"/>
                <w:szCs w:val="18"/>
              </w:rPr>
              <w:t>）了解代码复用和模块化设计概念。</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6</w:t>
            </w:r>
          </w:p>
        </w:tc>
        <w:tc>
          <w:tcPr>
            <w:tcW w:w="2379" w:type="dxa"/>
          </w:tcPr>
          <w:p>
            <w:pPr>
              <w:adjustRightInd w:val="0"/>
              <w:snapToGrid w:val="0"/>
              <w:spacing w:line="300" w:lineRule="auto"/>
              <w:rPr>
                <w:kern w:val="0"/>
                <w:sz w:val="18"/>
                <w:szCs w:val="18"/>
              </w:rPr>
            </w:pPr>
            <w:r>
              <w:rPr>
                <w:rFonts w:hint="eastAsia"/>
                <w:kern w:val="0"/>
                <w:sz w:val="18"/>
                <w:szCs w:val="18"/>
              </w:rPr>
              <w:t>6组合数据类型</w:t>
            </w:r>
          </w:p>
          <w:p>
            <w:pPr>
              <w:adjustRightInd w:val="0"/>
              <w:snapToGrid w:val="0"/>
              <w:spacing w:line="300" w:lineRule="auto"/>
              <w:rPr>
                <w:kern w:val="0"/>
                <w:sz w:val="18"/>
                <w:szCs w:val="18"/>
              </w:rPr>
            </w:pPr>
            <w:r>
              <w:rPr>
                <w:kern w:val="0"/>
                <w:sz w:val="18"/>
                <w:szCs w:val="18"/>
              </w:rPr>
              <w:t>6.</w:t>
            </w:r>
            <w:r>
              <w:rPr>
                <w:rFonts w:hint="eastAsia"/>
                <w:kern w:val="0"/>
                <w:sz w:val="18"/>
                <w:szCs w:val="18"/>
              </w:rPr>
              <w:t>1组合数据类型概述。</w:t>
            </w:r>
          </w:p>
          <w:p>
            <w:pPr>
              <w:adjustRightInd w:val="0"/>
              <w:snapToGrid w:val="0"/>
              <w:spacing w:line="300" w:lineRule="auto"/>
              <w:rPr>
                <w:kern w:val="0"/>
                <w:sz w:val="18"/>
                <w:szCs w:val="18"/>
              </w:rPr>
            </w:pPr>
            <w:r>
              <w:rPr>
                <w:kern w:val="0"/>
                <w:sz w:val="18"/>
                <w:szCs w:val="18"/>
              </w:rPr>
              <w:t>6.</w:t>
            </w:r>
            <w:r>
              <w:rPr>
                <w:rFonts w:hint="eastAsia"/>
                <w:kern w:val="0"/>
                <w:sz w:val="18"/>
                <w:szCs w:val="18"/>
              </w:rPr>
              <w:t>2列表类型操作。</w:t>
            </w:r>
          </w:p>
          <w:p>
            <w:pPr>
              <w:adjustRightInd w:val="0"/>
              <w:snapToGrid w:val="0"/>
              <w:spacing w:line="300" w:lineRule="auto"/>
              <w:rPr>
                <w:kern w:val="0"/>
                <w:sz w:val="18"/>
                <w:szCs w:val="18"/>
              </w:rPr>
            </w:pPr>
            <w:r>
              <w:rPr>
                <w:kern w:val="0"/>
                <w:sz w:val="18"/>
                <w:szCs w:val="18"/>
              </w:rPr>
              <w:t>6.</w:t>
            </w:r>
            <w:r>
              <w:rPr>
                <w:rFonts w:hint="eastAsia"/>
                <w:kern w:val="0"/>
                <w:sz w:val="18"/>
                <w:szCs w:val="18"/>
              </w:rPr>
              <w:t>3字典类型的操作。</w:t>
            </w:r>
          </w:p>
          <w:p>
            <w:pPr>
              <w:adjustRightInd w:val="0"/>
              <w:snapToGrid w:val="0"/>
              <w:spacing w:line="300" w:lineRule="auto"/>
              <w:rPr>
                <w:kern w:val="0"/>
                <w:sz w:val="18"/>
                <w:szCs w:val="18"/>
              </w:rPr>
            </w:pPr>
            <w:r>
              <w:rPr>
                <w:kern w:val="0"/>
                <w:sz w:val="18"/>
                <w:szCs w:val="18"/>
              </w:rPr>
              <w:t>6.</w:t>
            </w:r>
            <w:r>
              <w:rPr>
                <w:rFonts w:hint="eastAsia"/>
                <w:kern w:val="0"/>
                <w:sz w:val="18"/>
                <w:szCs w:val="18"/>
              </w:rPr>
              <w:t>4Jieba库的使用。</w:t>
            </w:r>
          </w:p>
        </w:tc>
        <w:tc>
          <w:tcPr>
            <w:tcW w:w="4028" w:type="dxa"/>
          </w:tcPr>
          <w:p>
            <w:pPr>
              <w:adjustRightInd w:val="0"/>
              <w:snapToGrid w:val="0"/>
              <w:spacing w:line="300" w:lineRule="auto"/>
              <w:rPr>
                <w:kern w:val="0"/>
                <w:sz w:val="18"/>
                <w:szCs w:val="18"/>
              </w:rPr>
            </w:pPr>
            <w:r>
              <w:rPr>
                <w:kern w:val="0"/>
                <w:sz w:val="18"/>
                <w:szCs w:val="18"/>
              </w:rPr>
              <w:t>1.要求</w:t>
            </w:r>
          </w:p>
          <w:p>
            <w:pPr>
              <w:widowControl/>
              <w:spacing w:line="300" w:lineRule="auto"/>
              <w:jc w:val="left"/>
              <w:rPr>
                <w:kern w:val="0"/>
                <w:sz w:val="18"/>
                <w:szCs w:val="18"/>
              </w:rPr>
            </w:pPr>
            <w:r>
              <w:rPr>
                <w:rFonts w:hint="eastAsia"/>
                <w:kern w:val="0"/>
                <w:sz w:val="18"/>
                <w:szCs w:val="18"/>
              </w:rPr>
              <w:t>（1）了解组合数据类型的用处。</w:t>
            </w:r>
          </w:p>
          <w:p>
            <w:pPr>
              <w:widowControl/>
              <w:spacing w:line="300" w:lineRule="auto"/>
              <w:jc w:val="left"/>
              <w:rPr>
                <w:kern w:val="0"/>
                <w:sz w:val="18"/>
                <w:szCs w:val="18"/>
              </w:rPr>
            </w:pPr>
            <w:r>
              <w:rPr>
                <w:rFonts w:hint="eastAsia"/>
                <w:kern w:val="0"/>
                <w:sz w:val="18"/>
                <w:szCs w:val="18"/>
              </w:rPr>
              <w:t>（</w:t>
            </w:r>
            <w:r>
              <w:rPr>
                <w:kern w:val="0"/>
                <w:sz w:val="18"/>
                <w:szCs w:val="18"/>
              </w:rPr>
              <w:t>2</w:t>
            </w:r>
            <w:r>
              <w:rPr>
                <w:rFonts w:hint="eastAsia"/>
                <w:kern w:val="0"/>
                <w:sz w:val="18"/>
                <w:szCs w:val="18"/>
              </w:rPr>
              <w:t>）掌握列表类型操作。</w:t>
            </w:r>
          </w:p>
          <w:p>
            <w:pPr>
              <w:widowControl/>
              <w:spacing w:line="300" w:lineRule="auto"/>
              <w:jc w:val="left"/>
              <w:rPr>
                <w:kern w:val="0"/>
                <w:sz w:val="18"/>
                <w:szCs w:val="18"/>
              </w:rPr>
            </w:pPr>
            <w:r>
              <w:rPr>
                <w:rFonts w:hint="eastAsia"/>
                <w:kern w:val="0"/>
                <w:sz w:val="18"/>
                <w:szCs w:val="18"/>
              </w:rPr>
              <w:t>（</w:t>
            </w:r>
            <w:r>
              <w:rPr>
                <w:kern w:val="0"/>
                <w:sz w:val="18"/>
                <w:szCs w:val="18"/>
              </w:rPr>
              <w:t>3</w:t>
            </w:r>
            <w:r>
              <w:rPr>
                <w:rFonts w:hint="eastAsia"/>
                <w:kern w:val="0"/>
                <w:sz w:val="18"/>
                <w:szCs w:val="18"/>
              </w:rPr>
              <w:t>）掌握字典类型的操作。</w:t>
            </w:r>
          </w:p>
          <w:p>
            <w:pPr>
              <w:adjustRightInd w:val="0"/>
              <w:snapToGrid w:val="0"/>
              <w:spacing w:line="300" w:lineRule="auto"/>
              <w:rPr>
                <w:kern w:val="0"/>
                <w:sz w:val="18"/>
                <w:szCs w:val="18"/>
              </w:rPr>
            </w:pPr>
            <w:r>
              <w:rPr>
                <w:rFonts w:hint="eastAsia"/>
                <w:kern w:val="0"/>
                <w:sz w:val="18"/>
                <w:szCs w:val="18"/>
              </w:rPr>
              <w:t>（</w:t>
            </w:r>
            <w:r>
              <w:rPr>
                <w:kern w:val="0"/>
                <w:sz w:val="18"/>
                <w:szCs w:val="18"/>
              </w:rPr>
              <w:t>4</w:t>
            </w:r>
            <w:r>
              <w:rPr>
                <w:rFonts w:hint="eastAsia"/>
                <w:kern w:val="0"/>
                <w:sz w:val="18"/>
                <w:szCs w:val="18"/>
              </w:rPr>
              <w:t>）掌握Jieba库的使用。</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7</w:t>
            </w:r>
          </w:p>
        </w:tc>
        <w:tc>
          <w:tcPr>
            <w:tcW w:w="2379" w:type="dxa"/>
          </w:tcPr>
          <w:p>
            <w:pPr>
              <w:adjustRightInd w:val="0"/>
              <w:snapToGrid w:val="0"/>
              <w:spacing w:line="300" w:lineRule="auto"/>
              <w:rPr>
                <w:kern w:val="0"/>
                <w:sz w:val="18"/>
                <w:szCs w:val="18"/>
              </w:rPr>
            </w:pPr>
            <w:r>
              <w:rPr>
                <w:rFonts w:hint="eastAsia"/>
                <w:kern w:val="0"/>
                <w:sz w:val="18"/>
                <w:szCs w:val="18"/>
              </w:rPr>
              <w:t>7</w:t>
            </w:r>
            <w:r>
              <w:rPr>
                <w:kern w:val="0"/>
                <w:sz w:val="18"/>
                <w:szCs w:val="18"/>
              </w:rPr>
              <w:t xml:space="preserve"> </w:t>
            </w:r>
            <w:r>
              <w:rPr>
                <w:rFonts w:hint="eastAsia"/>
                <w:kern w:val="0"/>
                <w:sz w:val="18"/>
                <w:szCs w:val="18"/>
              </w:rPr>
              <w:t>文件和数据格式</w:t>
            </w:r>
          </w:p>
          <w:p>
            <w:pPr>
              <w:adjustRightInd w:val="0"/>
              <w:snapToGrid w:val="0"/>
              <w:spacing w:line="300" w:lineRule="auto"/>
              <w:rPr>
                <w:kern w:val="0"/>
                <w:sz w:val="18"/>
                <w:szCs w:val="18"/>
              </w:rPr>
            </w:pPr>
            <w:r>
              <w:rPr>
                <w:kern w:val="0"/>
                <w:sz w:val="18"/>
                <w:szCs w:val="18"/>
              </w:rPr>
              <w:t>7.</w:t>
            </w:r>
            <w:r>
              <w:rPr>
                <w:rFonts w:hint="eastAsia"/>
                <w:kern w:val="0"/>
                <w:sz w:val="18"/>
                <w:szCs w:val="18"/>
              </w:rPr>
              <w:t>1文件使用概述。</w:t>
            </w:r>
          </w:p>
          <w:p>
            <w:pPr>
              <w:adjustRightInd w:val="0"/>
              <w:snapToGrid w:val="0"/>
              <w:spacing w:line="300" w:lineRule="auto"/>
              <w:rPr>
                <w:kern w:val="0"/>
                <w:sz w:val="18"/>
                <w:szCs w:val="18"/>
              </w:rPr>
            </w:pPr>
            <w:r>
              <w:rPr>
                <w:kern w:val="0"/>
                <w:sz w:val="18"/>
                <w:szCs w:val="18"/>
              </w:rPr>
              <w:t>7.</w:t>
            </w:r>
            <w:r>
              <w:rPr>
                <w:rFonts w:hint="eastAsia"/>
                <w:kern w:val="0"/>
                <w:sz w:val="18"/>
                <w:szCs w:val="18"/>
              </w:rPr>
              <w:t>2</w:t>
            </w:r>
            <w:r>
              <w:rPr>
                <w:kern w:val="0"/>
                <w:sz w:val="18"/>
                <w:szCs w:val="18"/>
              </w:rPr>
              <w:t xml:space="preserve"> </w:t>
            </w:r>
            <w:r>
              <w:rPr>
                <w:rFonts w:hint="eastAsia"/>
                <w:kern w:val="0"/>
                <w:sz w:val="18"/>
                <w:szCs w:val="18"/>
              </w:rPr>
              <w:t>Excel文件的读写。</w:t>
            </w:r>
          </w:p>
          <w:p>
            <w:pPr>
              <w:adjustRightInd w:val="0"/>
              <w:snapToGrid w:val="0"/>
              <w:spacing w:line="300" w:lineRule="auto"/>
              <w:rPr>
                <w:kern w:val="0"/>
                <w:sz w:val="18"/>
                <w:szCs w:val="18"/>
              </w:rPr>
            </w:pPr>
            <w:r>
              <w:rPr>
                <w:kern w:val="0"/>
                <w:sz w:val="18"/>
                <w:szCs w:val="18"/>
              </w:rPr>
              <w:t>7.</w:t>
            </w:r>
            <w:r>
              <w:rPr>
                <w:rFonts w:hint="eastAsia"/>
                <w:kern w:val="0"/>
                <w:sz w:val="18"/>
                <w:szCs w:val="18"/>
              </w:rPr>
              <w:t>3</w:t>
            </w:r>
            <w:r>
              <w:rPr>
                <w:kern w:val="0"/>
                <w:sz w:val="18"/>
                <w:szCs w:val="18"/>
              </w:rPr>
              <w:t xml:space="preserve"> </w:t>
            </w:r>
            <w:r>
              <w:rPr>
                <w:rFonts w:hint="eastAsia"/>
                <w:kern w:val="0"/>
                <w:sz w:val="18"/>
                <w:szCs w:val="18"/>
              </w:rPr>
              <w:t>json库的使用。</w:t>
            </w:r>
          </w:p>
        </w:tc>
        <w:tc>
          <w:tcPr>
            <w:tcW w:w="4028" w:type="dxa"/>
          </w:tcPr>
          <w:p>
            <w:pPr>
              <w:adjustRightInd w:val="0"/>
              <w:snapToGrid w:val="0"/>
              <w:spacing w:line="300" w:lineRule="auto"/>
              <w:rPr>
                <w:kern w:val="0"/>
                <w:sz w:val="18"/>
                <w:szCs w:val="18"/>
              </w:rPr>
            </w:pPr>
            <w:r>
              <w:rPr>
                <w:kern w:val="0"/>
                <w:sz w:val="18"/>
                <w:szCs w:val="18"/>
              </w:rPr>
              <w:t>1.要求</w:t>
            </w:r>
          </w:p>
          <w:p>
            <w:pPr>
              <w:widowControl/>
              <w:spacing w:line="300" w:lineRule="auto"/>
              <w:jc w:val="left"/>
              <w:rPr>
                <w:kern w:val="0"/>
                <w:sz w:val="18"/>
                <w:szCs w:val="18"/>
              </w:rPr>
            </w:pPr>
            <w:r>
              <w:rPr>
                <w:rFonts w:hint="eastAsia"/>
                <w:kern w:val="0"/>
                <w:sz w:val="18"/>
                <w:szCs w:val="18"/>
              </w:rPr>
              <w:t>（1）了解P</w:t>
            </w:r>
            <w:r>
              <w:rPr>
                <w:kern w:val="0"/>
                <w:sz w:val="18"/>
                <w:szCs w:val="18"/>
              </w:rPr>
              <w:t>ython</w:t>
            </w:r>
            <w:r>
              <w:rPr>
                <w:rFonts w:hint="eastAsia"/>
                <w:kern w:val="0"/>
                <w:sz w:val="18"/>
                <w:szCs w:val="18"/>
              </w:rPr>
              <w:t>文件的类型和用途。</w:t>
            </w:r>
          </w:p>
          <w:p>
            <w:pPr>
              <w:widowControl/>
              <w:spacing w:line="300" w:lineRule="auto"/>
              <w:jc w:val="left"/>
              <w:rPr>
                <w:kern w:val="0"/>
                <w:sz w:val="18"/>
                <w:szCs w:val="18"/>
              </w:rPr>
            </w:pPr>
            <w:r>
              <w:rPr>
                <w:rFonts w:hint="eastAsia"/>
                <w:kern w:val="0"/>
                <w:sz w:val="18"/>
                <w:szCs w:val="18"/>
              </w:rPr>
              <w:t>（</w:t>
            </w:r>
            <w:r>
              <w:rPr>
                <w:kern w:val="0"/>
                <w:sz w:val="18"/>
                <w:szCs w:val="18"/>
              </w:rPr>
              <w:t>2</w:t>
            </w:r>
            <w:r>
              <w:rPr>
                <w:rFonts w:hint="eastAsia"/>
                <w:kern w:val="0"/>
                <w:sz w:val="18"/>
                <w:szCs w:val="18"/>
              </w:rPr>
              <w:t>）掌握Excel文件的读写。</w:t>
            </w:r>
          </w:p>
          <w:p>
            <w:pPr>
              <w:adjustRightInd w:val="0"/>
              <w:snapToGrid w:val="0"/>
              <w:spacing w:line="300" w:lineRule="auto"/>
              <w:rPr>
                <w:kern w:val="0"/>
                <w:sz w:val="18"/>
                <w:szCs w:val="18"/>
              </w:rPr>
            </w:pPr>
            <w:r>
              <w:rPr>
                <w:rFonts w:hint="eastAsia"/>
                <w:kern w:val="0"/>
                <w:sz w:val="18"/>
                <w:szCs w:val="18"/>
              </w:rPr>
              <w:t>（</w:t>
            </w:r>
            <w:r>
              <w:rPr>
                <w:kern w:val="0"/>
                <w:sz w:val="18"/>
                <w:szCs w:val="18"/>
              </w:rPr>
              <w:t>3</w:t>
            </w:r>
            <w:r>
              <w:rPr>
                <w:rFonts w:hint="eastAsia"/>
                <w:kern w:val="0"/>
                <w:sz w:val="18"/>
                <w:szCs w:val="18"/>
              </w:rPr>
              <w:t>）掌握json库的使用。</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ind w:firstLine="180" w:firstLineChars="100"/>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3" w:type="dxa"/>
            <w:tcMar>
              <w:left w:w="57" w:type="dxa"/>
              <w:right w:w="57" w:type="dxa"/>
            </w:tcMar>
            <w:vAlign w:val="center"/>
          </w:tcPr>
          <w:p>
            <w:pPr>
              <w:adjustRightInd w:val="0"/>
              <w:snapToGrid w:val="0"/>
              <w:spacing w:line="300" w:lineRule="auto"/>
              <w:jc w:val="center"/>
              <w:rPr>
                <w:kern w:val="0"/>
                <w:sz w:val="18"/>
                <w:szCs w:val="18"/>
              </w:rPr>
            </w:pPr>
            <w:r>
              <w:rPr>
                <w:rFonts w:hint="eastAsia"/>
                <w:kern w:val="0"/>
                <w:sz w:val="18"/>
                <w:szCs w:val="18"/>
              </w:rPr>
              <w:t>8</w:t>
            </w:r>
          </w:p>
        </w:tc>
        <w:tc>
          <w:tcPr>
            <w:tcW w:w="2379" w:type="dxa"/>
          </w:tcPr>
          <w:p>
            <w:pPr>
              <w:adjustRightInd w:val="0"/>
              <w:snapToGrid w:val="0"/>
              <w:spacing w:line="300" w:lineRule="auto"/>
              <w:rPr>
                <w:kern w:val="0"/>
                <w:sz w:val="18"/>
                <w:szCs w:val="18"/>
              </w:rPr>
            </w:pPr>
            <w:r>
              <w:rPr>
                <w:rFonts w:hint="eastAsia"/>
                <w:kern w:val="0"/>
                <w:sz w:val="18"/>
                <w:szCs w:val="18"/>
              </w:rPr>
              <w:t>8</w:t>
            </w:r>
            <w:r>
              <w:rPr>
                <w:kern w:val="0"/>
                <w:sz w:val="18"/>
                <w:szCs w:val="18"/>
              </w:rPr>
              <w:t xml:space="preserve"> </w:t>
            </w:r>
            <w:r>
              <w:rPr>
                <w:rFonts w:hint="eastAsia"/>
                <w:kern w:val="0"/>
                <w:sz w:val="18"/>
                <w:szCs w:val="18"/>
              </w:rPr>
              <w:t>科学计算和可视化</w:t>
            </w:r>
          </w:p>
          <w:p>
            <w:pPr>
              <w:adjustRightInd w:val="0"/>
              <w:snapToGrid w:val="0"/>
              <w:spacing w:line="300" w:lineRule="auto"/>
              <w:rPr>
                <w:kern w:val="0"/>
                <w:sz w:val="18"/>
                <w:szCs w:val="18"/>
              </w:rPr>
            </w:pPr>
            <w:r>
              <w:rPr>
                <w:kern w:val="0"/>
                <w:sz w:val="18"/>
                <w:szCs w:val="18"/>
              </w:rPr>
              <w:t>8.</w:t>
            </w:r>
            <w:r>
              <w:rPr>
                <w:rFonts w:hint="eastAsia"/>
                <w:kern w:val="0"/>
                <w:sz w:val="18"/>
                <w:szCs w:val="18"/>
              </w:rPr>
              <w:t>1</w:t>
            </w:r>
            <w:r>
              <w:rPr>
                <w:kern w:val="0"/>
                <w:sz w:val="18"/>
                <w:szCs w:val="18"/>
              </w:rPr>
              <w:t xml:space="preserve"> </w:t>
            </w:r>
            <w:r>
              <w:rPr>
                <w:rFonts w:hint="eastAsia"/>
                <w:kern w:val="0"/>
                <w:sz w:val="18"/>
                <w:szCs w:val="18"/>
              </w:rPr>
              <w:t>numpy库的使用。</w:t>
            </w:r>
          </w:p>
          <w:p>
            <w:pPr>
              <w:adjustRightInd w:val="0"/>
              <w:snapToGrid w:val="0"/>
              <w:spacing w:line="300" w:lineRule="auto"/>
              <w:rPr>
                <w:kern w:val="0"/>
                <w:sz w:val="18"/>
                <w:szCs w:val="18"/>
              </w:rPr>
            </w:pPr>
            <w:r>
              <w:rPr>
                <w:kern w:val="0"/>
                <w:sz w:val="18"/>
                <w:szCs w:val="18"/>
              </w:rPr>
              <w:t>8.</w:t>
            </w:r>
            <w:r>
              <w:rPr>
                <w:rFonts w:hint="eastAsia"/>
                <w:kern w:val="0"/>
                <w:sz w:val="18"/>
                <w:szCs w:val="18"/>
              </w:rPr>
              <w:t>2</w:t>
            </w:r>
            <w:r>
              <w:rPr>
                <w:kern w:val="0"/>
                <w:sz w:val="18"/>
                <w:szCs w:val="18"/>
              </w:rPr>
              <w:t xml:space="preserve"> </w:t>
            </w:r>
            <w:r>
              <w:rPr>
                <w:rFonts w:hint="eastAsia"/>
                <w:kern w:val="0"/>
                <w:sz w:val="18"/>
                <w:szCs w:val="18"/>
              </w:rPr>
              <w:t>matplotlib库的使用。</w:t>
            </w:r>
          </w:p>
        </w:tc>
        <w:tc>
          <w:tcPr>
            <w:tcW w:w="4028" w:type="dxa"/>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rFonts w:hint="eastAsia"/>
                <w:kern w:val="0"/>
                <w:sz w:val="18"/>
                <w:szCs w:val="18"/>
              </w:rPr>
              <w:t>（1）了解科学计算及可视化的用途</w:t>
            </w:r>
          </w:p>
          <w:p>
            <w:pPr>
              <w:adjustRightInd w:val="0"/>
              <w:snapToGrid w:val="0"/>
              <w:spacing w:line="300" w:lineRule="auto"/>
              <w:rPr>
                <w:kern w:val="0"/>
                <w:sz w:val="18"/>
                <w:szCs w:val="18"/>
              </w:rPr>
            </w:pPr>
            <w:r>
              <w:rPr>
                <w:rFonts w:hint="eastAsia"/>
                <w:kern w:val="0"/>
                <w:sz w:val="18"/>
                <w:szCs w:val="18"/>
              </w:rPr>
              <w:t>（2）掌握numpy库的使用。</w:t>
            </w:r>
          </w:p>
          <w:p>
            <w:pPr>
              <w:adjustRightInd w:val="0"/>
              <w:snapToGrid w:val="0"/>
              <w:spacing w:line="300" w:lineRule="auto"/>
              <w:rPr>
                <w:kern w:val="0"/>
                <w:sz w:val="18"/>
                <w:szCs w:val="18"/>
              </w:rPr>
            </w:pPr>
            <w:r>
              <w:rPr>
                <w:rFonts w:hint="eastAsia"/>
                <w:kern w:val="0"/>
                <w:sz w:val="18"/>
                <w:szCs w:val="18"/>
              </w:rPr>
              <w:t>（2）掌握matplotlib库的使用。</w:t>
            </w:r>
          </w:p>
          <w:p>
            <w:pPr>
              <w:adjustRightInd w:val="0"/>
              <w:snapToGrid w:val="0"/>
              <w:spacing w:line="300" w:lineRule="auto"/>
              <w:rPr>
                <w:kern w:val="0"/>
                <w:sz w:val="18"/>
                <w:szCs w:val="18"/>
              </w:rPr>
            </w:pPr>
            <w:r>
              <w:rPr>
                <w:kern w:val="0"/>
                <w:sz w:val="18"/>
                <w:szCs w:val="18"/>
              </w:rPr>
              <w:t xml:space="preserve">2..教学方法 </w:t>
            </w:r>
          </w:p>
          <w:p>
            <w:pPr>
              <w:adjustRightInd w:val="0"/>
              <w:snapToGrid w:val="0"/>
              <w:spacing w:line="300" w:lineRule="auto"/>
              <w:rPr>
                <w:kern w:val="0"/>
                <w:sz w:val="18"/>
                <w:szCs w:val="18"/>
              </w:rPr>
            </w:pPr>
            <w:r>
              <w:rPr>
                <w:kern w:val="0"/>
                <w:sz w:val="18"/>
                <w:szCs w:val="18"/>
              </w:rPr>
              <w:t>讲授式</w:t>
            </w:r>
            <w:r>
              <w:rPr>
                <w:rFonts w:hint="eastAsia"/>
                <w:kern w:val="0"/>
                <w:sz w:val="18"/>
                <w:szCs w:val="18"/>
              </w:rPr>
              <w:t>、课下慕课学习及实操</w:t>
            </w:r>
            <w:r>
              <w:rPr>
                <w:kern w:val="0"/>
                <w:sz w:val="18"/>
                <w:szCs w:val="18"/>
              </w:rPr>
              <w:t>。</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2</w:t>
            </w:r>
          </w:p>
        </w:tc>
        <w:tc>
          <w:tcPr>
            <w:tcW w:w="1042" w:type="dxa"/>
            <w:vAlign w:val="center"/>
          </w:tcPr>
          <w:p>
            <w:pPr>
              <w:adjustRightInd w:val="0"/>
              <w:snapToGrid w:val="0"/>
              <w:spacing w:line="300" w:lineRule="auto"/>
              <w:jc w:val="left"/>
              <w:rPr>
                <w:kern w:val="0"/>
                <w:sz w:val="18"/>
                <w:szCs w:val="18"/>
              </w:rPr>
            </w:pPr>
            <w:r>
              <w:rPr>
                <w:rFonts w:hint="eastAsia"/>
                <w:kern w:val="0"/>
                <w:sz w:val="18"/>
                <w:szCs w:val="18"/>
              </w:rPr>
              <w:t>1</w:t>
            </w:r>
          </w:p>
        </w:tc>
      </w:tr>
    </w:tbl>
    <w:p>
      <w:pPr>
        <w:adjustRightInd w:val="0"/>
        <w:snapToGrid w:val="0"/>
        <w:spacing w:before="156" w:beforeLines="50" w:line="300" w:lineRule="auto"/>
        <w:ind w:firstLine="420" w:firstLineChars="200"/>
      </w:pPr>
      <w:r>
        <w:t>实验内容见表4所示。</w:t>
      </w:r>
    </w:p>
    <w:p>
      <w:pPr>
        <w:adjustRightInd w:val="0"/>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415"/>
        <w:gridCol w:w="2976"/>
        <w:gridCol w:w="709"/>
        <w:gridCol w:w="709"/>
        <w:gridCol w:w="709"/>
        <w:gridCol w:w="702"/>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7" w:type="dxa"/>
            <w:vAlign w:val="center"/>
          </w:tcPr>
          <w:p>
            <w:pPr>
              <w:adjustRightInd w:val="0"/>
              <w:snapToGrid w:val="0"/>
              <w:spacing w:line="300" w:lineRule="auto"/>
              <w:rPr>
                <w:b/>
                <w:bCs/>
                <w:sz w:val="18"/>
                <w:szCs w:val="18"/>
              </w:rPr>
            </w:pPr>
            <w:r>
              <w:rPr>
                <w:b/>
                <w:bCs/>
                <w:kern w:val="0"/>
                <w:sz w:val="18"/>
                <w:szCs w:val="18"/>
              </w:rPr>
              <w:t>序号</w:t>
            </w:r>
          </w:p>
        </w:tc>
        <w:tc>
          <w:tcPr>
            <w:tcW w:w="1415" w:type="dxa"/>
            <w:vAlign w:val="center"/>
          </w:tcPr>
          <w:p>
            <w:pPr>
              <w:adjustRightInd w:val="0"/>
              <w:snapToGrid w:val="0"/>
              <w:spacing w:line="300" w:lineRule="auto"/>
              <w:jc w:val="center"/>
              <w:rPr>
                <w:b/>
                <w:bCs/>
                <w:sz w:val="18"/>
                <w:szCs w:val="18"/>
              </w:rPr>
            </w:pPr>
            <w:r>
              <w:rPr>
                <w:b/>
                <w:bCs/>
                <w:kern w:val="0"/>
                <w:sz w:val="18"/>
                <w:szCs w:val="18"/>
              </w:rPr>
              <w:t>实验项目名称</w:t>
            </w:r>
          </w:p>
        </w:tc>
        <w:tc>
          <w:tcPr>
            <w:tcW w:w="2976" w:type="dxa"/>
            <w:vAlign w:val="center"/>
          </w:tcPr>
          <w:p>
            <w:pPr>
              <w:adjustRightInd w:val="0"/>
              <w:snapToGrid w:val="0"/>
              <w:spacing w:line="300" w:lineRule="auto"/>
              <w:jc w:val="center"/>
              <w:rPr>
                <w:b/>
                <w:bCs/>
                <w:sz w:val="18"/>
                <w:szCs w:val="18"/>
              </w:rPr>
            </w:pPr>
            <w:r>
              <w:rPr>
                <w:b/>
                <w:bCs/>
                <w:kern w:val="0"/>
                <w:sz w:val="18"/>
                <w:szCs w:val="18"/>
              </w:rPr>
              <w:t>目的要求</w:t>
            </w:r>
          </w:p>
        </w:tc>
        <w:tc>
          <w:tcPr>
            <w:tcW w:w="709" w:type="dxa"/>
            <w:vAlign w:val="center"/>
          </w:tcPr>
          <w:p>
            <w:pPr>
              <w:adjustRightInd w:val="0"/>
              <w:snapToGrid w:val="0"/>
              <w:spacing w:line="300" w:lineRule="auto"/>
              <w:jc w:val="center"/>
              <w:rPr>
                <w:b/>
                <w:bCs/>
                <w:sz w:val="18"/>
                <w:szCs w:val="18"/>
              </w:rPr>
            </w:pPr>
            <w:r>
              <w:rPr>
                <w:b/>
                <w:bCs/>
                <w:kern w:val="0"/>
                <w:sz w:val="18"/>
                <w:szCs w:val="18"/>
              </w:rPr>
              <w:t>学时分配</w:t>
            </w:r>
          </w:p>
        </w:tc>
        <w:tc>
          <w:tcPr>
            <w:tcW w:w="709" w:type="dxa"/>
            <w:vAlign w:val="center"/>
          </w:tcPr>
          <w:p>
            <w:pPr>
              <w:adjustRightInd w:val="0"/>
              <w:snapToGrid w:val="0"/>
              <w:spacing w:line="300" w:lineRule="auto"/>
              <w:jc w:val="center"/>
              <w:rPr>
                <w:b/>
                <w:bCs/>
                <w:kern w:val="0"/>
                <w:sz w:val="18"/>
                <w:szCs w:val="18"/>
              </w:rPr>
            </w:pPr>
            <w:r>
              <w:rPr>
                <w:b/>
                <w:bCs/>
                <w:kern w:val="0"/>
                <w:sz w:val="18"/>
                <w:szCs w:val="18"/>
              </w:rPr>
              <w:t>实验类型</w:t>
            </w:r>
          </w:p>
        </w:tc>
        <w:tc>
          <w:tcPr>
            <w:tcW w:w="709" w:type="dxa"/>
            <w:vAlign w:val="center"/>
          </w:tcPr>
          <w:p>
            <w:pPr>
              <w:adjustRightInd w:val="0"/>
              <w:snapToGrid w:val="0"/>
              <w:spacing w:line="300" w:lineRule="auto"/>
              <w:jc w:val="center"/>
              <w:rPr>
                <w:b/>
                <w:bCs/>
                <w:kern w:val="0"/>
                <w:sz w:val="18"/>
                <w:szCs w:val="18"/>
              </w:rPr>
            </w:pPr>
            <w:r>
              <w:rPr>
                <w:b/>
                <w:bCs/>
                <w:kern w:val="0"/>
                <w:sz w:val="18"/>
                <w:szCs w:val="18"/>
              </w:rPr>
              <w:t>每组人数</w:t>
            </w:r>
          </w:p>
        </w:tc>
        <w:tc>
          <w:tcPr>
            <w:tcW w:w="702"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b/>
                <w:bCs/>
                <w:kern w:val="0"/>
                <w:sz w:val="18"/>
                <w:szCs w:val="18"/>
              </w:rPr>
            </w:pPr>
            <w:r>
              <w:rPr>
                <w:b/>
                <w:bCs/>
                <w:kern w:val="0"/>
                <w:sz w:val="18"/>
                <w:szCs w:val="18"/>
              </w:rPr>
              <w:t>选开</w:t>
            </w:r>
          </w:p>
        </w:tc>
        <w:tc>
          <w:tcPr>
            <w:tcW w:w="754" w:type="dxa"/>
            <w:vAlign w:val="center"/>
          </w:tcPr>
          <w:p>
            <w:pPr>
              <w:adjustRightInd w:val="0"/>
              <w:snapToGrid w:val="0"/>
              <w:spacing w:line="300" w:lineRule="auto"/>
              <w:rPr>
                <w:b/>
                <w:bCs/>
                <w:kern w:val="0"/>
                <w:sz w:val="18"/>
                <w:szCs w:val="18"/>
              </w:rPr>
            </w:pPr>
            <w:r>
              <w:rPr>
                <w:b/>
                <w:bCs/>
                <w:kern w:val="0"/>
                <w:sz w:val="18"/>
                <w:szCs w:val="18"/>
              </w:rPr>
              <w:t>课程</w:t>
            </w:r>
          </w:p>
          <w:p>
            <w:pPr>
              <w:adjustRightInd w:val="0"/>
              <w:snapToGrid w:val="0"/>
              <w:spacing w:line="300" w:lineRule="auto"/>
              <w:rPr>
                <w:b/>
                <w:bCs/>
                <w:kern w:val="0"/>
                <w:sz w:val="18"/>
                <w:szCs w:val="18"/>
              </w:rPr>
            </w:pPr>
            <w:r>
              <w:rPr>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kern w:val="0"/>
                <w:sz w:val="18"/>
                <w:szCs w:val="18"/>
              </w:rPr>
            </w:pPr>
            <w:r>
              <w:rPr>
                <w:kern w:val="0"/>
                <w:sz w:val="18"/>
                <w:szCs w:val="18"/>
              </w:rPr>
              <w:t>1</w:t>
            </w:r>
          </w:p>
        </w:tc>
        <w:tc>
          <w:tcPr>
            <w:tcW w:w="1415" w:type="dxa"/>
            <w:vAlign w:val="center"/>
          </w:tcPr>
          <w:p>
            <w:pPr>
              <w:adjustRightInd w:val="0"/>
              <w:snapToGrid w:val="0"/>
              <w:spacing w:line="300" w:lineRule="auto"/>
              <w:rPr>
                <w:kern w:val="0"/>
                <w:sz w:val="18"/>
                <w:szCs w:val="18"/>
              </w:rPr>
            </w:pPr>
            <w:r>
              <w:rPr>
                <w:rFonts w:hint="eastAsia"/>
                <w:szCs w:val="21"/>
              </w:rPr>
              <w:t>P</w:t>
            </w:r>
            <w:r>
              <w:rPr>
                <w:szCs w:val="21"/>
              </w:rPr>
              <w:t>ython</w:t>
            </w:r>
            <w:r>
              <w:rPr>
                <w:rFonts w:hint="eastAsia"/>
                <w:szCs w:val="21"/>
              </w:rPr>
              <w:t>简单图形的绘制</w:t>
            </w:r>
            <w:r>
              <w:rPr>
                <w:rFonts w:hint="eastAsia"/>
                <w:bCs/>
                <w:spacing w:val="5"/>
                <w:kern w:val="0"/>
                <w:szCs w:val="21"/>
              </w:rPr>
              <w:t>实验</w:t>
            </w:r>
          </w:p>
        </w:tc>
        <w:tc>
          <w:tcPr>
            <w:tcW w:w="2976" w:type="dxa"/>
          </w:tcPr>
          <w:p>
            <w:pPr>
              <w:adjustRightInd w:val="0"/>
              <w:snapToGrid w:val="0"/>
              <w:spacing w:line="300" w:lineRule="auto"/>
              <w:rPr>
                <w:kern w:val="0"/>
                <w:sz w:val="18"/>
                <w:szCs w:val="18"/>
              </w:rPr>
            </w:pPr>
            <w:r>
              <w:rPr>
                <w:rFonts w:hint="eastAsia"/>
                <w:szCs w:val="21"/>
              </w:rPr>
              <w:t>掌握用</w:t>
            </w:r>
            <w:r>
              <w:rPr>
                <w:rFonts w:ascii="宋体" w:hAnsi="宋体"/>
                <w:bCs/>
                <w:spacing w:val="5"/>
                <w:kern w:val="0"/>
                <w:szCs w:val="21"/>
              </w:rPr>
              <w:t>turtle</w:t>
            </w:r>
            <w:r>
              <w:rPr>
                <w:rFonts w:hint="eastAsia" w:ascii="宋体" w:hAnsi="宋体"/>
                <w:bCs/>
                <w:spacing w:val="5"/>
                <w:kern w:val="0"/>
                <w:szCs w:val="21"/>
              </w:rPr>
              <w:t>库完成基本的点、线、面等图形的绘制技能。</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kern w:val="0"/>
                <w:sz w:val="18"/>
                <w:szCs w:val="18"/>
              </w:rPr>
              <w:t>验证</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1</w:t>
            </w:r>
          </w:p>
        </w:tc>
        <w:tc>
          <w:tcPr>
            <w:tcW w:w="702" w:type="dxa"/>
            <w:vAlign w:val="center"/>
          </w:tcPr>
          <w:p>
            <w:pPr>
              <w:adjustRightInd w:val="0"/>
              <w:snapToGrid w:val="0"/>
              <w:spacing w:line="300" w:lineRule="auto"/>
              <w:jc w:val="center"/>
              <w:rPr>
                <w:kern w:val="0"/>
                <w:sz w:val="18"/>
                <w:szCs w:val="18"/>
              </w:rPr>
            </w:pPr>
            <w:r>
              <w:rPr>
                <w:rFonts w:hint="eastAsia"/>
                <w:kern w:val="0"/>
                <w:sz w:val="18"/>
                <w:szCs w:val="18"/>
              </w:rPr>
              <w:t>必开</w:t>
            </w:r>
          </w:p>
        </w:tc>
        <w:tc>
          <w:tcPr>
            <w:tcW w:w="754" w:type="dxa"/>
            <w:vAlign w:val="center"/>
          </w:tcPr>
          <w:p>
            <w:pPr>
              <w:adjustRightInd w:val="0"/>
              <w:snapToGrid w:val="0"/>
              <w:spacing w:line="300" w:lineRule="auto"/>
              <w:jc w:val="center"/>
              <w:rPr>
                <w:sz w:val="18"/>
                <w:szCs w:val="18"/>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7" w:type="dxa"/>
            <w:vAlign w:val="center"/>
          </w:tcPr>
          <w:p>
            <w:pPr>
              <w:adjustRightInd w:val="0"/>
              <w:snapToGrid w:val="0"/>
              <w:spacing w:line="300" w:lineRule="auto"/>
              <w:jc w:val="center"/>
              <w:rPr>
                <w:kern w:val="0"/>
                <w:sz w:val="18"/>
                <w:szCs w:val="18"/>
              </w:rPr>
            </w:pPr>
            <w:r>
              <w:rPr>
                <w:kern w:val="0"/>
                <w:sz w:val="18"/>
                <w:szCs w:val="18"/>
              </w:rPr>
              <w:t>2</w:t>
            </w:r>
          </w:p>
        </w:tc>
        <w:tc>
          <w:tcPr>
            <w:tcW w:w="1415" w:type="dxa"/>
            <w:vAlign w:val="center"/>
          </w:tcPr>
          <w:p>
            <w:pPr>
              <w:adjustRightInd w:val="0"/>
              <w:snapToGrid w:val="0"/>
              <w:spacing w:line="300" w:lineRule="auto"/>
              <w:rPr>
                <w:kern w:val="0"/>
                <w:sz w:val="18"/>
                <w:szCs w:val="18"/>
              </w:rPr>
            </w:pPr>
            <w:r>
              <w:rPr>
                <w:rFonts w:hint="eastAsia"/>
                <w:szCs w:val="21"/>
              </w:rPr>
              <w:t>内置math数学库的使用</w:t>
            </w:r>
            <w:r>
              <w:rPr>
                <w:rFonts w:hint="eastAsia"/>
                <w:bCs/>
                <w:spacing w:val="5"/>
                <w:kern w:val="0"/>
                <w:szCs w:val="21"/>
              </w:rPr>
              <w:t>实验</w:t>
            </w:r>
          </w:p>
        </w:tc>
        <w:tc>
          <w:tcPr>
            <w:tcW w:w="2976" w:type="dxa"/>
          </w:tcPr>
          <w:p>
            <w:pPr>
              <w:adjustRightInd w:val="0"/>
              <w:snapToGrid w:val="0"/>
              <w:spacing w:line="300" w:lineRule="auto"/>
              <w:rPr>
                <w:kern w:val="0"/>
                <w:sz w:val="18"/>
                <w:szCs w:val="18"/>
              </w:rPr>
            </w:pPr>
            <w:r>
              <w:rPr>
                <w:rFonts w:hint="eastAsia"/>
                <w:szCs w:val="21"/>
              </w:rPr>
              <w:t>掌握利用math库的常用用计算函数的用法。能依据计算目的，封装实现自己的计算函数并调用。</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kern w:val="0"/>
                <w:sz w:val="18"/>
                <w:szCs w:val="18"/>
              </w:rPr>
              <w:t>验证</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07" w:type="dxa"/>
            <w:vAlign w:val="center"/>
          </w:tcPr>
          <w:p>
            <w:pPr>
              <w:adjustRightInd w:val="0"/>
              <w:snapToGrid w:val="0"/>
              <w:spacing w:line="300" w:lineRule="auto"/>
              <w:jc w:val="center"/>
              <w:rPr>
                <w:kern w:val="0"/>
                <w:sz w:val="18"/>
                <w:szCs w:val="18"/>
              </w:rPr>
            </w:pPr>
            <w:r>
              <w:rPr>
                <w:kern w:val="0"/>
                <w:sz w:val="18"/>
                <w:szCs w:val="18"/>
              </w:rPr>
              <w:t>3</w:t>
            </w:r>
          </w:p>
        </w:tc>
        <w:tc>
          <w:tcPr>
            <w:tcW w:w="1415" w:type="dxa"/>
            <w:vAlign w:val="center"/>
          </w:tcPr>
          <w:p>
            <w:pPr>
              <w:widowControl/>
              <w:spacing w:line="300" w:lineRule="auto"/>
              <w:jc w:val="center"/>
              <w:rPr>
                <w:kern w:val="0"/>
                <w:sz w:val="18"/>
                <w:szCs w:val="18"/>
              </w:rPr>
            </w:pPr>
            <w:r>
              <w:rPr>
                <w:rFonts w:hint="eastAsia"/>
                <w:bCs/>
                <w:spacing w:val="5"/>
                <w:kern w:val="0"/>
                <w:szCs w:val="21"/>
              </w:rPr>
              <w:t>程序的控制结构实验</w:t>
            </w:r>
          </w:p>
        </w:tc>
        <w:tc>
          <w:tcPr>
            <w:tcW w:w="2976" w:type="dxa"/>
          </w:tcPr>
          <w:p>
            <w:pPr>
              <w:adjustRightInd w:val="0"/>
              <w:snapToGrid w:val="0"/>
              <w:spacing w:line="300" w:lineRule="auto"/>
              <w:rPr>
                <w:kern w:val="0"/>
                <w:sz w:val="18"/>
                <w:szCs w:val="18"/>
              </w:rPr>
            </w:pPr>
            <w:r>
              <w:rPr>
                <w:rFonts w:hint="eastAsia"/>
                <w:szCs w:val="21"/>
              </w:rPr>
              <w:t>掌握常用程序控制语句的用法，并利用条件分支语句，实现依据体长和体重估算鱼龄的程序。</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设计</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07" w:type="dxa"/>
            <w:vAlign w:val="center"/>
          </w:tcPr>
          <w:p>
            <w:pPr>
              <w:adjustRightInd w:val="0"/>
              <w:snapToGrid w:val="0"/>
              <w:spacing w:line="300" w:lineRule="auto"/>
              <w:jc w:val="center"/>
              <w:rPr>
                <w:kern w:val="0"/>
                <w:sz w:val="18"/>
                <w:szCs w:val="18"/>
              </w:rPr>
            </w:pPr>
            <w:r>
              <w:rPr>
                <w:kern w:val="0"/>
                <w:sz w:val="18"/>
                <w:szCs w:val="18"/>
              </w:rPr>
              <w:t>4</w:t>
            </w:r>
          </w:p>
        </w:tc>
        <w:tc>
          <w:tcPr>
            <w:tcW w:w="1415" w:type="dxa"/>
            <w:vAlign w:val="center"/>
          </w:tcPr>
          <w:p>
            <w:pPr>
              <w:adjustRightInd w:val="0"/>
              <w:snapToGrid w:val="0"/>
              <w:spacing w:line="300" w:lineRule="auto"/>
              <w:rPr>
                <w:kern w:val="0"/>
                <w:sz w:val="18"/>
                <w:szCs w:val="18"/>
              </w:rPr>
            </w:pPr>
            <w:r>
              <w:rPr>
                <w:rFonts w:hint="eastAsia"/>
                <w:bCs/>
                <w:spacing w:val="5"/>
                <w:kern w:val="0"/>
                <w:szCs w:val="21"/>
              </w:rPr>
              <w:t>监听（观察者）模式实验</w:t>
            </w:r>
          </w:p>
        </w:tc>
        <w:tc>
          <w:tcPr>
            <w:tcW w:w="2976" w:type="dxa"/>
          </w:tcPr>
          <w:p>
            <w:pPr>
              <w:adjustRightInd w:val="0"/>
              <w:snapToGrid w:val="0"/>
              <w:spacing w:line="300" w:lineRule="auto"/>
              <w:rPr>
                <w:kern w:val="0"/>
                <w:sz w:val="18"/>
                <w:szCs w:val="18"/>
              </w:rPr>
            </w:pPr>
            <w:r>
              <w:rPr>
                <w:rFonts w:hint="eastAsia"/>
                <w:szCs w:val="21"/>
              </w:rPr>
              <w:t>掌握监听模式的结构和设计框架。设计一个疫情期间信息系统，为加入系统人提供信息提醒服务。</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设计</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kern w:val="0"/>
                <w:sz w:val="18"/>
                <w:szCs w:val="18"/>
              </w:rPr>
            </w:pPr>
            <w:r>
              <w:rPr>
                <w:kern w:val="0"/>
                <w:sz w:val="18"/>
                <w:szCs w:val="18"/>
              </w:rPr>
              <w:t>5</w:t>
            </w:r>
          </w:p>
        </w:tc>
        <w:tc>
          <w:tcPr>
            <w:tcW w:w="1415" w:type="dxa"/>
            <w:vAlign w:val="center"/>
          </w:tcPr>
          <w:p>
            <w:pPr>
              <w:widowControl/>
              <w:spacing w:line="300" w:lineRule="auto"/>
              <w:jc w:val="center"/>
              <w:rPr>
                <w:kern w:val="0"/>
                <w:sz w:val="18"/>
                <w:szCs w:val="18"/>
              </w:rPr>
            </w:pPr>
            <w:r>
              <w:rPr>
                <w:rFonts w:hint="eastAsia"/>
                <w:bCs/>
                <w:spacing w:val="5"/>
                <w:kern w:val="0"/>
                <w:szCs w:val="21"/>
              </w:rPr>
              <w:t>文本词频的统计实验</w:t>
            </w:r>
          </w:p>
        </w:tc>
        <w:tc>
          <w:tcPr>
            <w:tcW w:w="2976" w:type="dxa"/>
          </w:tcPr>
          <w:p>
            <w:pPr>
              <w:adjustRightInd w:val="0"/>
              <w:snapToGrid w:val="0"/>
              <w:spacing w:line="300" w:lineRule="auto"/>
              <w:rPr>
                <w:kern w:val="0"/>
                <w:sz w:val="18"/>
                <w:szCs w:val="18"/>
              </w:rPr>
            </w:pPr>
            <w:r>
              <w:rPr>
                <w:rFonts w:hint="eastAsia"/>
                <w:szCs w:val="21"/>
              </w:rPr>
              <w:t>掌握对文献进行词频分析的技能。给定一篇英文txt文档，利用分隔符实现英文的分词并统计指定单词出现的频率；利用Jieba库，实现中文txt文档的分词，指定单词出现频率统计。</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设计</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kern w:val="0"/>
                <w:sz w:val="18"/>
                <w:szCs w:val="18"/>
              </w:rPr>
            </w:pPr>
            <w:r>
              <w:rPr>
                <w:kern w:val="0"/>
                <w:sz w:val="18"/>
                <w:szCs w:val="18"/>
              </w:rPr>
              <w:t>6</w:t>
            </w:r>
          </w:p>
        </w:tc>
        <w:tc>
          <w:tcPr>
            <w:tcW w:w="1415" w:type="dxa"/>
            <w:vAlign w:val="center"/>
          </w:tcPr>
          <w:p>
            <w:pPr>
              <w:widowControl/>
              <w:spacing w:line="300" w:lineRule="auto"/>
              <w:jc w:val="center"/>
              <w:rPr>
                <w:kern w:val="0"/>
                <w:sz w:val="18"/>
                <w:szCs w:val="18"/>
              </w:rPr>
            </w:pPr>
            <w:r>
              <w:rPr>
                <w:rFonts w:hint="eastAsia"/>
                <w:bCs/>
                <w:spacing w:val="5"/>
                <w:kern w:val="0"/>
                <w:szCs w:val="21"/>
              </w:rPr>
              <w:t>Excel文件的读写实验</w:t>
            </w:r>
          </w:p>
        </w:tc>
        <w:tc>
          <w:tcPr>
            <w:tcW w:w="2976" w:type="dxa"/>
          </w:tcPr>
          <w:p>
            <w:pPr>
              <w:adjustRightInd w:val="0"/>
              <w:snapToGrid w:val="0"/>
              <w:spacing w:line="300" w:lineRule="auto"/>
              <w:rPr>
                <w:kern w:val="0"/>
                <w:sz w:val="18"/>
                <w:szCs w:val="18"/>
              </w:rPr>
            </w:pPr>
            <w:r>
              <w:rPr>
                <w:rFonts w:hint="eastAsia"/>
                <w:szCs w:val="21"/>
              </w:rPr>
              <w:t>掌握用Python操作E</w:t>
            </w:r>
            <w:r>
              <w:rPr>
                <w:szCs w:val="21"/>
              </w:rPr>
              <w:t>xcel</w:t>
            </w:r>
            <w:r>
              <w:rPr>
                <w:rFonts w:hint="eastAsia"/>
                <w:szCs w:val="21"/>
              </w:rPr>
              <w:t>文档的技能。利用第三方Excel操作库，实现Excel表格中某单元格或某行、某列数据的读取、简单处理和写入保存。</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设计</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kern w:val="0"/>
                <w:sz w:val="18"/>
                <w:szCs w:val="18"/>
              </w:rPr>
            </w:pPr>
            <w:r>
              <w:rPr>
                <w:kern w:val="0"/>
                <w:sz w:val="18"/>
                <w:szCs w:val="18"/>
              </w:rPr>
              <w:t>7</w:t>
            </w:r>
          </w:p>
        </w:tc>
        <w:tc>
          <w:tcPr>
            <w:tcW w:w="1415" w:type="dxa"/>
            <w:vAlign w:val="center"/>
          </w:tcPr>
          <w:p>
            <w:pPr>
              <w:widowControl/>
              <w:spacing w:line="300" w:lineRule="auto"/>
              <w:jc w:val="center"/>
              <w:rPr>
                <w:kern w:val="0"/>
                <w:sz w:val="18"/>
                <w:szCs w:val="18"/>
              </w:rPr>
            </w:pPr>
            <w:r>
              <w:rPr>
                <w:rFonts w:hint="eastAsia"/>
                <w:bCs/>
                <w:spacing w:val="5"/>
                <w:kern w:val="0"/>
                <w:szCs w:val="21"/>
              </w:rPr>
              <w:t>科学计算和可视化实验</w:t>
            </w:r>
          </w:p>
        </w:tc>
        <w:tc>
          <w:tcPr>
            <w:tcW w:w="2976" w:type="dxa"/>
          </w:tcPr>
          <w:p>
            <w:pPr>
              <w:adjustRightInd w:val="0"/>
              <w:snapToGrid w:val="0"/>
              <w:spacing w:line="300" w:lineRule="auto"/>
              <w:rPr>
                <w:kern w:val="0"/>
                <w:sz w:val="18"/>
                <w:szCs w:val="18"/>
              </w:rPr>
            </w:pPr>
            <w:r>
              <w:rPr>
                <w:rFonts w:hint="eastAsia"/>
                <w:szCs w:val="21"/>
              </w:rPr>
              <w:t>掌握一定的科学计算和可视化仅能。利用numpy库实现图像的手绘效果；利用matplotlib库实现科学坐标图的绘制。</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设计</w:t>
            </w:r>
          </w:p>
        </w:tc>
        <w:tc>
          <w:tcPr>
            <w:tcW w:w="709" w:type="dxa"/>
            <w:vAlign w:val="center"/>
          </w:tcPr>
          <w:p>
            <w:pPr>
              <w:adjustRightInd w:val="0"/>
              <w:snapToGrid w:val="0"/>
              <w:spacing w:line="300" w:lineRule="auto"/>
              <w:jc w:val="center"/>
              <w:rPr>
                <w:kern w:val="0"/>
                <w:sz w:val="18"/>
                <w:szCs w:val="18"/>
              </w:rPr>
            </w:pPr>
            <w:r>
              <w:rPr>
                <w:kern w:val="0"/>
                <w:sz w:val="18"/>
                <w:szCs w:val="18"/>
              </w:rPr>
              <w:t>1</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kern w:val="0"/>
                <w:sz w:val="18"/>
                <w:szCs w:val="18"/>
              </w:rPr>
            </w:pPr>
            <w:r>
              <w:rPr>
                <w:rFonts w:hint="eastAsia"/>
                <w:kern w:val="0"/>
                <w:sz w:val="18"/>
                <w:szCs w:val="18"/>
              </w:rPr>
              <w:t>8</w:t>
            </w:r>
          </w:p>
        </w:tc>
        <w:tc>
          <w:tcPr>
            <w:tcW w:w="1415" w:type="dxa"/>
            <w:vAlign w:val="center"/>
          </w:tcPr>
          <w:p>
            <w:pPr>
              <w:adjustRightInd w:val="0"/>
              <w:snapToGrid w:val="0"/>
              <w:spacing w:line="300" w:lineRule="auto"/>
              <w:rPr>
                <w:kern w:val="0"/>
                <w:sz w:val="18"/>
                <w:szCs w:val="18"/>
              </w:rPr>
            </w:pPr>
            <w:r>
              <w:rPr>
                <w:rFonts w:hint="eastAsia"/>
                <w:bCs/>
                <w:spacing w:val="5"/>
                <w:kern w:val="0"/>
                <w:szCs w:val="21"/>
              </w:rPr>
              <w:t>网络爬虫实验</w:t>
            </w:r>
          </w:p>
        </w:tc>
        <w:tc>
          <w:tcPr>
            <w:tcW w:w="2976" w:type="dxa"/>
          </w:tcPr>
          <w:p>
            <w:pPr>
              <w:adjustRightInd w:val="0"/>
              <w:snapToGrid w:val="0"/>
              <w:spacing w:line="300" w:lineRule="auto"/>
              <w:rPr>
                <w:kern w:val="0"/>
                <w:sz w:val="18"/>
                <w:szCs w:val="18"/>
              </w:rPr>
            </w:pPr>
            <w:r>
              <w:rPr>
                <w:rFonts w:hint="eastAsia"/>
                <w:szCs w:val="21"/>
              </w:rPr>
              <w:t>掌握网络爬虫的设计技巧。学生自主选定爬取目标，利用爬虫技术进行数据的爬取。如分析百度图片搜索返回结果的HTML代码，编写爬虫抓取图片并下载，形成专题图片库等。</w:t>
            </w:r>
          </w:p>
        </w:tc>
        <w:tc>
          <w:tcPr>
            <w:tcW w:w="709" w:type="dxa"/>
            <w:vAlign w:val="center"/>
          </w:tcPr>
          <w:p>
            <w:pPr>
              <w:adjustRightInd w:val="0"/>
              <w:snapToGrid w:val="0"/>
              <w:spacing w:line="300" w:lineRule="auto"/>
              <w:jc w:val="center"/>
              <w:rPr>
                <w:kern w:val="0"/>
                <w:sz w:val="18"/>
                <w:szCs w:val="18"/>
              </w:rPr>
            </w:pPr>
            <w:r>
              <w:rPr>
                <w:kern w:val="0"/>
                <w:sz w:val="18"/>
                <w:szCs w:val="18"/>
              </w:rPr>
              <w:t>2</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综合</w:t>
            </w:r>
          </w:p>
        </w:tc>
        <w:tc>
          <w:tcPr>
            <w:tcW w:w="709" w:type="dxa"/>
            <w:vAlign w:val="center"/>
          </w:tcPr>
          <w:p>
            <w:pPr>
              <w:adjustRightInd w:val="0"/>
              <w:snapToGrid w:val="0"/>
              <w:spacing w:line="300" w:lineRule="auto"/>
              <w:jc w:val="center"/>
              <w:rPr>
                <w:kern w:val="0"/>
                <w:sz w:val="18"/>
                <w:szCs w:val="18"/>
              </w:rPr>
            </w:pPr>
            <w:r>
              <w:rPr>
                <w:rFonts w:hint="eastAsia"/>
                <w:kern w:val="0"/>
                <w:sz w:val="18"/>
                <w:szCs w:val="18"/>
              </w:rPr>
              <w:t>3</w:t>
            </w:r>
          </w:p>
        </w:tc>
        <w:tc>
          <w:tcPr>
            <w:tcW w:w="702" w:type="dxa"/>
            <w:vAlign w:val="center"/>
          </w:tcPr>
          <w:p>
            <w:pPr>
              <w:adjustRightInd w:val="0"/>
              <w:snapToGrid w:val="0"/>
              <w:spacing w:line="300" w:lineRule="auto"/>
              <w:jc w:val="center"/>
              <w:rPr>
                <w:kern w:val="0"/>
                <w:sz w:val="18"/>
                <w:szCs w:val="18"/>
              </w:rPr>
            </w:pPr>
            <w:r>
              <w:rPr>
                <w:kern w:val="0"/>
                <w:sz w:val="18"/>
                <w:szCs w:val="18"/>
              </w:rPr>
              <w:t>必开</w:t>
            </w:r>
          </w:p>
        </w:tc>
        <w:tc>
          <w:tcPr>
            <w:tcW w:w="754" w:type="dxa"/>
            <w:vAlign w:val="center"/>
          </w:tcPr>
          <w:p>
            <w:pPr>
              <w:adjustRightInd w:val="0"/>
              <w:snapToGrid w:val="0"/>
              <w:spacing w:line="300" w:lineRule="auto"/>
              <w:jc w:val="center"/>
              <w:rPr>
                <w:sz w:val="18"/>
                <w:szCs w:val="18"/>
              </w:rPr>
            </w:pPr>
            <w:r>
              <w:rPr>
                <w:szCs w:val="21"/>
              </w:rPr>
              <w:t>2</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1．考核方式：闭卷笔试，平时作业，实验</w:t>
      </w:r>
      <w:r>
        <w:rPr>
          <w:rFonts w:hint="eastAsia"/>
        </w:rPr>
        <w:t>考核</w:t>
      </w:r>
      <w:r>
        <w:t>。</w:t>
      </w:r>
    </w:p>
    <w:p>
      <w:pPr>
        <w:adjustRightInd w:val="0"/>
        <w:snapToGrid w:val="0"/>
        <w:spacing w:line="300" w:lineRule="auto"/>
        <w:ind w:firstLine="420" w:firstLineChars="200"/>
      </w:pPr>
      <w:r>
        <w:t>2．成绩构成：笔试成绩50%，平时成绩50%（</w:t>
      </w:r>
      <w:r>
        <w:rPr>
          <w:rFonts w:hint="eastAsia"/>
        </w:rPr>
        <w:t>课堂考勤、平时</w:t>
      </w:r>
      <w:r>
        <w:t>作业</w:t>
      </w:r>
      <w:r>
        <w:rPr>
          <w:rFonts w:hint="eastAsia"/>
        </w:rPr>
        <w:t>、</w:t>
      </w:r>
      <w:r>
        <w:t>实验）。</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657"/>
        <w:gridCol w:w="656"/>
        <w:gridCol w:w="639"/>
        <w:gridCol w:w="619"/>
        <w:gridCol w:w="2978"/>
        <w:gridCol w:w="1133"/>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5"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657" w:type="dxa"/>
            <w:vAlign w:val="center"/>
          </w:tcPr>
          <w:p>
            <w:pPr>
              <w:adjustRightInd w:val="0"/>
              <w:snapToGrid w:val="0"/>
              <w:spacing w:line="300" w:lineRule="auto"/>
              <w:jc w:val="center"/>
              <w:rPr>
                <w:b/>
                <w:bCs/>
                <w:sz w:val="18"/>
                <w:szCs w:val="18"/>
              </w:rPr>
            </w:pPr>
            <w:r>
              <w:rPr>
                <w:b/>
                <w:bCs/>
                <w:sz w:val="18"/>
                <w:szCs w:val="18"/>
              </w:rPr>
              <w:t>分值</w:t>
            </w:r>
          </w:p>
        </w:tc>
        <w:tc>
          <w:tcPr>
            <w:tcW w:w="656" w:type="dxa"/>
            <w:vAlign w:val="center"/>
          </w:tcPr>
          <w:p>
            <w:pPr>
              <w:adjustRightInd w:val="0"/>
              <w:snapToGrid w:val="0"/>
              <w:spacing w:line="300" w:lineRule="auto"/>
              <w:jc w:val="center"/>
              <w:rPr>
                <w:b/>
                <w:bCs/>
                <w:sz w:val="18"/>
                <w:szCs w:val="18"/>
              </w:rPr>
            </w:pPr>
            <w:r>
              <w:rPr>
                <w:b/>
                <w:bCs/>
                <w:sz w:val="18"/>
                <w:szCs w:val="18"/>
              </w:rPr>
              <w:t>权重</w:t>
            </w:r>
          </w:p>
        </w:tc>
        <w:tc>
          <w:tcPr>
            <w:tcW w:w="639" w:type="dxa"/>
            <w:vAlign w:val="center"/>
          </w:tcPr>
          <w:p>
            <w:pPr>
              <w:adjustRightInd w:val="0"/>
              <w:snapToGrid w:val="0"/>
              <w:spacing w:line="300" w:lineRule="auto"/>
              <w:jc w:val="center"/>
              <w:rPr>
                <w:b/>
                <w:bCs/>
                <w:sz w:val="18"/>
                <w:szCs w:val="18"/>
              </w:rPr>
            </w:pPr>
            <w:r>
              <w:rPr>
                <w:b/>
                <w:bCs/>
                <w:sz w:val="18"/>
                <w:szCs w:val="18"/>
              </w:rPr>
              <w:t>类别</w:t>
            </w:r>
          </w:p>
        </w:tc>
        <w:tc>
          <w:tcPr>
            <w:tcW w:w="619" w:type="dxa"/>
            <w:vAlign w:val="center"/>
          </w:tcPr>
          <w:p>
            <w:pPr>
              <w:adjustRightInd w:val="0"/>
              <w:snapToGrid w:val="0"/>
              <w:spacing w:line="300" w:lineRule="auto"/>
              <w:jc w:val="center"/>
              <w:rPr>
                <w:b/>
                <w:bCs/>
                <w:sz w:val="18"/>
                <w:szCs w:val="18"/>
              </w:rPr>
            </w:pPr>
            <w:r>
              <w:rPr>
                <w:b/>
                <w:bCs/>
                <w:sz w:val="18"/>
                <w:szCs w:val="18"/>
              </w:rPr>
              <w:t>权重</w:t>
            </w:r>
          </w:p>
        </w:tc>
        <w:tc>
          <w:tcPr>
            <w:tcW w:w="2978" w:type="dxa"/>
            <w:vAlign w:val="center"/>
          </w:tcPr>
          <w:p>
            <w:pPr>
              <w:adjustRightInd w:val="0"/>
              <w:snapToGrid w:val="0"/>
              <w:spacing w:line="300" w:lineRule="auto"/>
              <w:jc w:val="center"/>
              <w:rPr>
                <w:b/>
                <w:bCs/>
                <w:sz w:val="18"/>
                <w:szCs w:val="18"/>
              </w:rPr>
            </w:pPr>
            <w:r>
              <w:rPr>
                <w:b/>
                <w:bCs/>
                <w:sz w:val="18"/>
                <w:szCs w:val="18"/>
              </w:rPr>
              <w:t>考核/评价细则</w:t>
            </w:r>
          </w:p>
        </w:tc>
        <w:tc>
          <w:tcPr>
            <w:tcW w:w="1133" w:type="dxa"/>
            <w:vAlign w:val="center"/>
          </w:tcPr>
          <w:p>
            <w:pPr>
              <w:adjustRightInd w:val="0"/>
              <w:snapToGrid w:val="0"/>
              <w:spacing w:line="300" w:lineRule="auto"/>
              <w:jc w:val="center"/>
              <w:rPr>
                <w:b/>
                <w:bCs/>
                <w:sz w:val="18"/>
                <w:szCs w:val="18"/>
              </w:rPr>
            </w:pPr>
            <w:r>
              <w:rPr>
                <w:b/>
                <w:bCs/>
                <w:sz w:val="18"/>
                <w:szCs w:val="18"/>
              </w:rPr>
              <w:t>课程目标</w:t>
            </w:r>
          </w:p>
        </w:tc>
        <w:tc>
          <w:tcPr>
            <w:tcW w:w="1185" w:type="dxa"/>
            <w:vAlign w:val="center"/>
          </w:tcPr>
          <w:p>
            <w:pPr>
              <w:adjustRightInd w:val="0"/>
              <w:snapToGrid w:val="0"/>
              <w:spacing w:line="300" w:lineRule="auto"/>
              <w:jc w:val="center"/>
              <w:rPr>
                <w:b/>
                <w:bCs/>
                <w:sz w:val="18"/>
                <w:szCs w:val="18"/>
              </w:rPr>
            </w:pPr>
            <w:r>
              <w:rPr>
                <w:b/>
                <w:bCs/>
                <w:sz w:val="18"/>
                <w:szCs w:val="18"/>
              </w:rPr>
              <w:t>毕业要求</w:t>
            </w:r>
            <w:r>
              <w:rPr>
                <w:rFonts w:hint="eastAsia"/>
                <w:b/>
                <w:bCs/>
                <w:sz w:val="18"/>
                <w:szCs w:val="18"/>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restart"/>
            <w:vAlign w:val="center"/>
          </w:tcPr>
          <w:p>
            <w:pPr>
              <w:adjustRightInd w:val="0"/>
              <w:snapToGrid w:val="0"/>
              <w:spacing w:line="300" w:lineRule="auto"/>
              <w:rPr>
                <w:sz w:val="18"/>
                <w:szCs w:val="18"/>
              </w:rPr>
            </w:pPr>
            <w:r>
              <w:rPr>
                <w:sz w:val="18"/>
                <w:szCs w:val="18"/>
              </w:rPr>
              <w:t>平时</w:t>
            </w:r>
          </w:p>
          <w:p>
            <w:pPr>
              <w:adjustRightInd w:val="0"/>
              <w:snapToGrid w:val="0"/>
              <w:spacing w:line="300" w:lineRule="auto"/>
              <w:rPr>
                <w:sz w:val="18"/>
                <w:szCs w:val="18"/>
              </w:rPr>
            </w:pPr>
            <w:r>
              <w:rPr>
                <w:sz w:val="18"/>
                <w:szCs w:val="18"/>
              </w:rPr>
              <w:t>成绩</w:t>
            </w:r>
          </w:p>
        </w:tc>
        <w:tc>
          <w:tcPr>
            <w:tcW w:w="657" w:type="dxa"/>
            <w:vMerge w:val="restart"/>
            <w:vAlign w:val="center"/>
          </w:tcPr>
          <w:p>
            <w:pPr>
              <w:adjustRightInd w:val="0"/>
              <w:snapToGrid w:val="0"/>
              <w:spacing w:line="300" w:lineRule="auto"/>
              <w:jc w:val="center"/>
              <w:rPr>
                <w:sz w:val="18"/>
                <w:szCs w:val="18"/>
              </w:rPr>
            </w:pPr>
            <w:r>
              <w:rPr>
                <w:sz w:val="18"/>
                <w:szCs w:val="18"/>
              </w:rPr>
              <w:t>100</w:t>
            </w:r>
          </w:p>
        </w:tc>
        <w:tc>
          <w:tcPr>
            <w:tcW w:w="656" w:type="dxa"/>
            <w:vMerge w:val="restart"/>
            <w:vAlign w:val="center"/>
          </w:tcPr>
          <w:p>
            <w:pPr>
              <w:adjustRightInd w:val="0"/>
              <w:snapToGrid w:val="0"/>
              <w:spacing w:line="300" w:lineRule="auto"/>
              <w:jc w:val="center"/>
              <w:rPr>
                <w:sz w:val="18"/>
                <w:szCs w:val="18"/>
              </w:rPr>
            </w:pPr>
            <w:r>
              <w:rPr>
                <w:sz w:val="18"/>
                <w:szCs w:val="18"/>
              </w:rPr>
              <w:t>0.5</w:t>
            </w:r>
          </w:p>
        </w:tc>
        <w:tc>
          <w:tcPr>
            <w:tcW w:w="639" w:type="dxa"/>
            <w:vAlign w:val="center"/>
          </w:tcPr>
          <w:p>
            <w:pPr>
              <w:adjustRightInd w:val="0"/>
              <w:snapToGrid w:val="0"/>
              <w:spacing w:line="300" w:lineRule="auto"/>
              <w:jc w:val="center"/>
              <w:rPr>
                <w:sz w:val="18"/>
                <w:szCs w:val="18"/>
              </w:rPr>
            </w:pPr>
            <w:r>
              <w:rPr>
                <w:rFonts w:hint="eastAsia"/>
                <w:sz w:val="18"/>
                <w:szCs w:val="18"/>
              </w:rPr>
              <w:t>课堂考勤</w:t>
            </w:r>
          </w:p>
        </w:tc>
        <w:tc>
          <w:tcPr>
            <w:tcW w:w="619" w:type="dxa"/>
            <w:vAlign w:val="center"/>
          </w:tcPr>
          <w:p>
            <w:pPr>
              <w:adjustRightInd w:val="0"/>
              <w:snapToGrid w:val="0"/>
              <w:spacing w:line="300" w:lineRule="auto"/>
              <w:jc w:val="center"/>
              <w:rPr>
                <w:sz w:val="18"/>
                <w:szCs w:val="18"/>
              </w:rPr>
            </w:pPr>
            <w:r>
              <w:rPr>
                <w:sz w:val="18"/>
                <w:szCs w:val="18"/>
              </w:rPr>
              <w:t>0.05</w:t>
            </w:r>
          </w:p>
        </w:tc>
        <w:tc>
          <w:tcPr>
            <w:tcW w:w="2978" w:type="dxa"/>
          </w:tcPr>
          <w:p>
            <w:pPr>
              <w:adjustRightInd w:val="0"/>
              <w:snapToGrid w:val="0"/>
              <w:spacing w:line="300" w:lineRule="auto"/>
              <w:rPr>
                <w:sz w:val="18"/>
                <w:szCs w:val="18"/>
              </w:rPr>
            </w:pPr>
            <w:r>
              <w:t>根据学生平时上课的出勤率</w:t>
            </w:r>
            <w:r>
              <w:rPr>
                <w:rFonts w:hint="eastAsia"/>
              </w:rPr>
              <w:t>（满分1</w:t>
            </w:r>
            <w:r>
              <w:t>00</w:t>
            </w:r>
            <w:r>
              <w:rPr>
                <w:rFonts w:hint="eastAsia"/>
              </w:rPr>
              <w:t>分）</w:t>
            </w:r>
            <w:r>
              <w:t>，按5%计入课程总成绩</w:t>
            </w:r>
            <w:r>
              <w:rPr>
                <w:rFonts w:hint="eastAsia"/>
              </w:rPr>
              <w:t>/对学生到课随机进行</w:t>
            </w:r>
            <w:r>
              <w:t>5</w:t>
            </w:r>
            <w:r>
              <w:rPr>
                <w:rFonts w:hint="eastAsia"/>
              </w:rPr>
              <w:t>次考勤，每次按时到课得2</w:t>
            </w:r>
            <w:r>
              <w:t>0</w:t>
            </w:r>
            <w:r>
              <w:rPr>
                <w:rFonts w:hint="eastAsia"/>
              </w:rPr>
              <w:t>分，迟到早退得1</w:t>
            </w:r>
            <w:r>
              <w:t>0</w:t>
            </w:r>
            <w:r>
              <w:rPr>
                <w:rFonts w:hint="eastAsia"/>
              </w:rPr>
              <w:t>分，旷课得0分。此项总分按比例计入课程总成绩。</w:t>
            </w:r>
          </w:p>
        </w:tc>
        <w:tc>
          <w:tcPr>
            <w:tcW w:w="1133" w:type="dxa"/>
            <w:vAlign w:val="center"/>
          </w:tcPr>
          <w:p>
            <w:pPr>
              <w:adjustRightInd w:val="0"/>
              <w:snapToGrid w:val="0"/>
              <w:spacing w:line="300" w:lineRule="auto"/>
              <w:jc w:val="center"/>
              <w:rPr>
                <w:sz w:val="18"/>
                <w:szCs w:val="18"/>
              </w:rPr>
            </w:pPr>
            <w:r>
              <w:rPr>
                <w:sz w:val="18"/>
                <w:szCs w:val="18"/>
              </w:rPr>
              <w:t>1</w:t>
            </w:r>
            <w:r>
              <w:rPr>
                <w:rFonts w:hint="eastAsia"/>
                <w:sz w:val="18"/>
                <w:szCs w:val="18"/>
              </w:rPr>
              <w:t>、2、3</w:t>
            </w:r>
          </w:p>
        </w:tc>
        <w:tc>
          <w:tcPr>
            <w:tcW w:w="1185" w:type="dxa"/>
            <w:vAlign w:val="center"/>
          </w:tcPr>
          <w:p>
            <w:pPr>
              <w:adjustRightInd w:val="0"/>
              <w:snapToGrid w:val="0"/>
              <w:spacing w:line="300" w:lineRule="auto"/>
              <w:jc w:val="center"/>
              <w:rPr>
                <w:sz w:val="18"/>
                <w:szCs w:val="18"/>
              </w:rPr>
            </w:pPr>
            <w:r>
              <w:rPr>
                <w:rFonts w:hint="eastAsia"/>
                <w:sz w:val="18"/>
                <w:szCs w:val="18"/>
              </w:rPr>
              <w:t>1.2，2</w:t>
            </w:r>
            <w:r>
              <w:rPr>
                <w:sz w:val="18"/>
                <w:szCs w:val="18"/>
              </w:rPr>
              <w:t>.3</w:t>
            </w:r>
            <w:r>
              <w:rPr>
                <w:rFonts w:hint="eastAsia"/>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55" w:type="dxa"/>
            <w:vMerge w:val="continue"/>
            <w:vAlign w:val="center"/>
          </w:tcPr>
          <w:p>
            <w:pPr>
              <w:adjustRightInd w:val="0"/>
              <w:snapToGrid w:val="0"/>
              <w:spacing w:line="300" w:lineRule="auto"/>
              <w:rPr>
                <w:sz w:val="18"/>
                <w:szCs w:val="18"/>
              </w:rPr>
            </w:pPr>
          </w:p>
        </w:tc>
        <w:tc>
          <w:tcPr>
            <w:tcW w:w="657" w:type="dxa"/>
            <w:vMerge w:val="continue"/>
            <w:vAlign w:val="center"/>
          </w:tcPr>
          <w:p>
            <w:pPr>
              <w:adjustRightInd w:val="0"/>
              <w:snapToGrid w:val="0"/>
              <w:spacing w:line="300" w:lineRule="auto"/>
              <w:jc w:val="center"/>
              <w:rPr>
                <w:sz w:val="18"/>
                <w:szCs w:val="18"/>
              </w:rPr>
            </w:pPr>
          </w:p>
        </w:tc>
        <w:tc>
          <w:tcPr>
            <w:tcW w:w="656" w:type="dxa"/>
            <w:vMerge w:val="continue"/>
            <w:vAlign w:val="center"/>
          </w:tcPr>
          <w:p>
            <w:pPr>
              <w:adjustRightInd w:val="0"/>
              <w:snapToGrid w:val="0"/>
              <w:spacing w:line="300" w:lineRule="auto"/>
              <w:jc w:val="center"/>
              <w:rPr>
                <w:sz w:val="18"/>
                <w:szCs w:val="18"/>
              </w:rPr>
            </w:pPr>
          </w:p>
        </w:tc>
        <w:tc>
          <w:tcPr>
            <w:tcW w:w="639" w:type="dxa"/>
            <w:vAlign w:val="center"/>
          </w:tcPr>
          <w:p>
            <w:pPr>
              <w:adjustRightInd w:val="0"/>
              <w:snapToGrid w:val="0"/>
              <w:spacing w:line="300" w:lineRule="auto"/>
              <w:jc w:val="center"/>
              <w:rPr>
                <w:sz w:val="18"/>
                <w:szCs w:val="18"/>
              </w:rPr>
            </w:pPr>
            <w:r>
              <w:rPr>
                <w:rFonts w:hint="eastAsia"/>
                <w:sz w:val="18"/>
                <w:szCs w:val="18"/>
              </w:rPr>
              <w:t>平时作业</w:t>
            </w:r>
          </w:p>
        </w:tc>
        <w:tc>
          <w:tcPr>
            <w:tcW w:w="619" w:type="dxa"/>
            <w:vAlign w:val="center"/>
          </w:tcPr>
          <w:p>
            <w:pPr>
              <w:adjustRightInd w:val="0"/>
              <w:snapToGrid w:val="0"/>
              <w:spacing w:line="300" w:lineRule="auto"/>
              <w:jc w:val="center"/>
              <w:rPr>
                <w:sz w:val="18"/>
                <w:szCs w:val="18"/>
              </w:rPr>
            </w:pPr>
            <w:r>
              <w:rPr>
                <w:sz w:val="18"/>
                <w:szCs w:val="18"/>
              </w:rPr>
              <w:t>0.05</w:t>
            </w:r>
          </w:p>
        </w:tc>
        <w:tc>
          <w:tcPr>
            <w:tcW w:w="2978" w:type="dxa"/>
          </w:tcPr>
          <w:p>
            <w:pPr>
              <w:adjustRightInd w:val="0"/>
              <w:snapToGrid w:val="0"/>
              <w:spacing w:line="300" w:lineRule="auto"/>
              <w:jc w:val="left"/>
              <w:rPr>
                <w:sz w:val="18"/>
                <w:szCs w:val="18"/>
              </w:rPr>
            </w:pPr>
            <w:r>
              <w:rPr>
                <w:rFonts w:hint="eastAsia"/>
              </w:rPr>
              <w:t>根据学生的作业完成情况（满分1</w:t>
            </w:r>
            <w:r>
              <w:t>00</w:t>
            </w:r>
            <w:r>
              <w:rPr>
                <w:rFonts w:hint="eastAsia"/>
              </w:rPr>
              <w:t>分），按</w:t>
            </w:r>
            <w:r>
              <w:t>5%计入课程总成绩</w:t>
            </w:r>
            <w:r>
              <w:rPr>
                <w:rFonts w:hint="eastAsia"/>
              </w:rPr>
              <w:t>/布置1次课后作业，按五级制评分。评分结果换算成百分制后，按5</w:t>
            </w:r>
            <w:r>
              <w:t>%</w:t>
            </w:r>
            <w:r>
              <w:rPr>
                <w:rFonts w:hint="eastAsia"/>
              </w:rPr>
              <w:t>比例计入课程总成绩。</w:t>
            </w:r>
          </w:p>
        </w:tc>
        <w:tc>
          <w:tcPr>
            <w:tcW w:w="1133" w:type="dxa"/>
            <w:vAlign w:val="center"/>
          </w:tcPr>
          <w:p>
            <w:pPr>
              <w:adjustRightInd w:val="0"/>
              <w:snapToGrid w:val="0"/>
              <w:spacing w:line="300" w:lineRule="auto"/>
              <w:jc w:val="center"/>
              <w:rPr>
                <w:sz w:val="18"/>
                <w:szCs w:val="18"/>
              </w:rPr>
            </w:pPr>
            <w:r>
              <w:rPr>
                <w:sz w:val="18"/>
                <w:szCs w:val="18"/>
              </w:rPr>
              <w:t>2</w:t>
            </w:r>
          </w:p>
        </w:tc>
        <w:tc>
          <w:tcPr>
            <w:tcW w:w="1185" w:type="dxa"/>
            <w:vAlign w:val="center"/>
          </w:tcPr>
          <w:p>
            <w:pPr>
              <w:adjustRightInd w:val="0"/>
              <w:snapToGrid w:val="0"/>
              <w:spacing w:line="300" w:lineRule="auto"/>
              <w:jc w:val="center"/>
              <w:rPr>
                <w:sz w:val="18"/>
                <w:szCs w:val="18"/>
              </w:rPr>
            </w:pPr>
            <w:r>
              <w:rPr>
                <w:rFonts w:hint="eastAsia"/>
                <w:sz w:val="18"/>
                <w:szCs w:val="18"/>
              </w:rPr>
              <w:t>2.</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vAlign w:val="center"/>
          </w:tcPr>
          <w:p>
            <w:pPr>
              <w:adjustRightInd w:val="0"/>
              <w:snapToGrid w:val="0"/>
              <w:spacing w:line="300" w:lineRule="auto"/>
              <w:rPr>
                <w:sz w:val="18"/>
                <w:szCs w:val="18"/>
              </w:rPr>
            </w:pPr>
          </w:p>
        </w:tc>
        <w:tc>
          <w:tcPr>
            <w:tcW w:w="657" w:type="dxa"/>
            <w:vMerge w:val="continue"/>
            <w:vAlign w:val="center"/>
          </w:tcPr>
          <w:p>
            <w:pPr>
              <w:adjustRightInd w:val="0"/>
              <w:snapToGrid w:val="0"/>
              <w:spacing w:line="300" w:lineRule="auto"/>
              <w:jc w:val="center"/>
              <w:rPr>
                <w:sz w:val="18"/>
                <w:szCs w:val="18"/>
              </w:rPr>
            </w:pPr>
          </w:p>
        </w:tc>
        <w:tc>
          <w:tcPr>
            <w:tcW w:w="656" w:type="dxa"/>
            <w:vMerge w:val="continue"/>
            <w:vAlign w:val="center"/>
          </w:tcPr>
          <w:p>
            <w:pPr>
              <w:adjustRightInd w:val="0"/>
              <w:snapToGrid w:val="0"/>
              <w:spacing w:line="300" w:lineRule="auto"/>
              <w:jc w:val="center"/>
              <w:rPr>
                <w:sz w:val="18"/>
                <w:szCs w:val="18"/>
              </w:rPr>
            </w:pPr>
          </w:p>
        </w:tc>
        <w:tc>
          <w:tcPr>
            <w:tcW w:w="639" w:type="dxa"/>
            <w:vAlign w:val="center"/>
          </w:tcPr>
          <w:p>
            <w:pPr>
              <w:adjustRightInd w:val="0"/>
              <w:snapToGrid w:val="0"/>
              <w:spacing w:line="300" w:lineRule="auto"/>
              <w:jc w:val="center"/>
              <w:rPr>
                <w:sz w:val="18"/>
                <w:szCs w:val="18"/>
              </w:rPr>
            </w:pPr>
            <w:r>
              <w:rPr>
                <w:sz w:val="18"/>
                <w:szCs w:val="18"/>
              </w:rPr>
              <w:t>实验</w:t>
            </w:r>
          </w:p>
        </w:tc>
        <w:tc>
          <w:tcPr>
            <w:tcW w:w="619" w:type="dxa"/>
            <w:vAlign w:val="center"/>
          </w:tcPr>
          <w:p>
            <w:pPr>
              <w:adjustRightInd w:val="0"/>
              <w:snapToGrid w:val="0"/>
              <w:spacing w:line="300" w:lineRule="auto"/>
              <w:jc w:val="center"/>
              <w:rPr>
                <w:sz w:val="18"/>
                <w:szCs w:val="18"/>
              </w:rPr>
            </w:pPr>
            <w:r>
              <w:rPr>
                <w:sz w:val="18"/>
                <w:szCs w:val="18"/>
              </w:rPr>
              <w:t>0.4</w:t>
            </w:r>
          </w:p>
        </w:tc>
        <w:tc>
          <w:tcPr>
            <w:tcW w:w="2978" w:type="dxa"/>
          </w:tcPr>
          <w:p>
            <w:pPr>
              <w:adjustRightInd w:val="0"/>
              <w:snapToGrid w:val="0"/>
              <w:spacing w:line="300" w:lineRule="auto"/>
              <w:jc w:val="left"/>
              <w:rPr>
                <w:sz w:val="18"/>
                <w:szCs w:val="18"/>
              </w:rPr>
            </w:pPr>
            <w:r>
              <w:rPr>
                <w:rFonts w:hint="eastAsia"/>
              </w:rPr>
              <w:t>在实验5</w:t>
            </w:r>
            <w:r>
              <w:t>~8</w:t>
            </w:r>
            <w:r>
              <w:rPr>
                <w:rFonts w:hint="eastAsia"/>
              </w:rPr>
              <w:t>中随机抽取2个实验对每位同学进行现场考核并给出成绩（每个5</w:t>
            </w:r>
            <w:r>
              <w:t>0</w:t>
            </w:r>
            <w:r>
              <w:rPr>
                <w:rFonts w:hint="eastAsia"/>
              </w:rPr>
              <w:t>分，满分1</w:t>
            </w:r>
            <w:r>
              <w:t>00</w:t>
            </w:r>
            <w:r>
              <w:rPr>
                <w:rFonts w:hint="eastAsia"/>
              </w:rPr>
              <w:t>分），然后按4</w:t>
            </w:r>
            <w:r>
              <w:t>0%</w:t>
            </w:r>
            <w:r>
              <w:rPr>
                <w:rFonts w:hint="eastAsia"/>
              </w:rPr>
              <w:t>计入课程总成绩</w:t>
            </w:r>
            <w:r>
              <w:t>/</w:t>
            </w:r>
            <w:r>
              <w:rPr>
                <w:rFonts w:hint="eastAsia"/>
              </w:rPr>
              <w:t>考核分为方案设计，代码设计、结果验证三个阶段考核，给出成绩。</w:t>
            </w:r>
          </w:p>
        </w:tc>
        <w:tc>
          <w:tcPr>
            <w:tcW w:w="1133" w:type="dxa"/>
            <w:vAlign w:val="center"/>
          </w:tcPr>
          <w:p>
            <w:pPr>
              <w:adjustRightInd w:val="0"/>
              <w:snapToGrid w:val="0"/>
              <w:spacing w:line="300" w:lineRule="auto"/>
              <w:jc w:val="center"/>
              <w:rPr>
                <w:sz w:val="18"/>
                <w:szCs w:val="18"/>
              </w:rPr>
            </w:pPr>
            <w:r>
              <w:rPr>
                <w:sz w:val="18"/>
                <w:szCs w:val="18"/>
              </w:rPr>
              <w:t>2，3</w:t>
            </w:r>
          </w:p>
        </w:tc>
        <w:tc>
          <w:tcPr>
            <w:tcW w:w="1185" w:type="dxa"/>
            <w:vAlign w:val="center"/>
          </w:tcPr>
          <w:p>
            <w:pPr>
              <w:adjustRightInd w:val="0"/>
              <w:snapToGrid w:val="0"/>
              <w:spacing w:line="300" w:lineRule="auto"/>
              <w:jc w:val="center"/>
              <w:rPr>
                <w:sz w:val="18"/>
                <w:szCs w:val="18"/>
              </w:rPr>
            </w:pPr>
            <w:r>
              <w:rPr>
                <w:sz w:val="18"/>
                <w:szCs w:val="18"/>
              </w:rPr>
              <w:t>2</w:t>
            </w:r>
            <w:r>
              <w:rPr>
                <w:rFonts w:hint="eastAsia"/>
                <w:sz w:val="18"/>
                <w:szCs w:val="18"/>
              </w:rPr>
              <w:t>.</w:t>
            </w:r>
            <w:r>
              <w:rPr>
                <w:sz w:val="18"/>
                <w:szCs w:val="18"/>
              </w:rPr>
              <w:t>3</w:t>
            </w:r>
            <w:r>
              <w:rPr>
                <w:rFonts w:hint="eastAsia"/>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55" w:type="dxa"/>
            <w:vAlign w:val="center"/>
          </w:tcPr>
          <w:p>
            <w:pPr>
              <w:adjustRightInd w:val="0"/>
              <w:snapToGrid w:val="0"/>
              <w:spacing w:line="300" w:lineRule="auto"/>
              <w:rPr>
                <w:sz w:val="18"/>
                <w:szCs w:val="18"/>
              </w:rPr>
            </w:pPr>
            <w:r>
              <w:rPr>
                <w:sz w:val="18"/>
                <w:szCs w:val="18"/>
              </w:rPr>
              <w:t>期末</w:t>
            </w:r>
          </w:p>
          <w:p>
            <w:pPr>
              <w:adjustRightInd w:val="0"/>
              <w:snapToGrid w:val="0"/>
              <w:spacing w:line="300" w:lineRule="auto"/>
              <w:rPr>
                <w:sz w:val="18"/>
                <w:szCs w:val="18"/>
              </w:rPr>
            </w:pPr>
            <w:r>
              <w:rPr>
                <w:sz w:val="18"/>
                <w:szCs w:val="18"/>
              </w:rPr>
              <w:t>考试</w:t>
            </w:r>
          </w:p>
          <w:p>
            <w:pPr>
              <w:adjustRightInd w:val="0"/>
              <w:snapToGrid w:val="0"/>
              <w:spacing w:line="300" w:lineRule="auto"/>
              <w:rPr>
                <w:sz w:val="18"/>
                <w:szCs w:val="18"/>
              </w:rPr>
            </w:pPr>
            <w:r>
              <w:rPr>
                <w:sz w:val="18"/>
                <w:szCs w:val="18"/>
              </w:rPr>
              <w:t>成绩</w:t>
            </w:r>
          </w:p>
        </w:tc>
        <w:tc>
          <w:tcPr>
            <w:tcW w:w="657" w:type="dxa"/>
            <w:vAlign w:val="center"/>
          </w:tcPr>
          <w:p>
            <w:pPr>
              <w:adjustRightInd w:val="0"/>
              <w:snapToGrid w:val="0"/>
              <w:spacing w:line="300" w:lineRule="auto"/>
              <w:jc w:val="center"/>
              <w:rPr>
                <w:sz w:val="18"/>
                <w:szCs w:val="18"/>
              </w:rPr>
            </w:pPr>
            <w:r>
              <w:rPr>
                <w:sz w:val="18"/>
                <w:szCs w:val="18"/>
              </w:rPr>
              <w:t>100</w:t>
            </w:r>
          </w:p>
        </w:tc>
        <w:tc>
          <w:tcPr>
            <w:tcW w:w="656" w:type="dxa"/>
            <w:vAlign w:val="center"/>
          </w:tcPr>
          <w:p>
            <w:pPr>
              <w:adjustRightInd w:val="0"/>
              <w:snapToGrid w:val="0"/>
              <w:spacing w:line="300" w:lineRule="auto"/>
              <w:jc w:val="center"/>
              <w:rPr>
                <w:sz w:val="18"/>
                <w:szCs w:val="18"/>
              </w:rPr>
            </w:pPr>
            <w:r>
              <w:rPr>
                <w:sz w:val="18"/>
                <w:szCs w:val="18"/>
              </w:rPr>
              <w:t>0.5</w:t>
            </w:r>
          </w:p>
        </w:tc>
        <w:tc>
          <w:tcPr>
            <w:tcW w:w="639" w:type="dxa"/>
            <w:vAlign w:val="center"/>
          </w:tcPr>
          <w:p>
            <w:pPr>
              <w:adjustRightInd w:val="0"/>
              <w:snapToGrid w:val="0"/>
              <w:spacing w:line="300" w:lineRule="auto"/>
              <w:jc w:val="left"/>
              <w:rPr>
                <w:sz w:val="18"/>
                <w:szCs w:val="18"/>
              </w:rPr>
            </w:pPr>
            <w:r>
              <w:rPr>
                <w:sz w:val="18"/>
                <w:szCs w:val="18"/>
              </w:rPr>
              <w:t>闭卷考试</w:t>
            </w:r>
          </w:p>
        </w:tc>
        <w:tc>
          <w:tcPr>
            <w:tcW w:w="619" w:type="dxa"/>
            <w:vAlign w:val="center"/>
          </w:tcPr>
          <w:p>
            <w:pPr>
              <w:adjustRightInd w:val="0"/>
              <w:snapToGrid w:val="0"/>
              <w:spacing w:line="300" w:lineRule="auto"/>
              <w:ind w:firstLine="180" w:firstLineChars="100"/>
              <w:rPr>
                <w:sz w:val="18"/>
                <w:szCs w:val="18"/>
              </w:rPr>
            </w:pPr>
            <w:r>
              <w:rPr>
                <w:sz w:val="18"/>
                <w:szCs w:val="18"/>
              </w:rPr>
              <w:t>1</w:t>
            </w:r>
          </w:p>
        </w:tc>
        <w:tc>
          <w:tcPr>
            <w:tcW w:w="2978" w:type="dxa"/>
          </w:tcPr>
          <w:p>
            <w:pPr>
              <w:adjustRightInd w:val="0"/>
              <w:snapToGrid w:val="0"/>
              <w:spacing w:line="300" w:lineRule="auto"/>
              <w:rPr>
                <w:sz w:val="18"/>
                <w:szCs w:val="18"/>
              </w:rPr>
            </w:pPr>
            <w:r>
              <w:rPr>
                <w:rFonts w:hint="eastAsia"/>
              </w:rPr>
              <w:t>根据考试成绩（满分1</w:t>
            </w:r>
            <w:r>
              <w:t>00</w:t>
            </w:r>
            <w:r>
              <w:rPr>
                <w:rFonts w:hint="eastAsia"/>
              </w:rPr>
              <w:t>分），按5</w:t>
            </w:r>
            <w:r>
              <w:t>0%</w:t>
            </w:r>
            <w:r>
              <w:rPr>
                <w:rFonts w:hint="eastAsia"/>
              </w:rPr>
              <w:t>计入课程总成绩/依据平均标准，对每题进行评分，得出百分制总分。</w:t>
            </w:r>
          </w:p>
        </w:tc>
        <w:tc>
          <w:tcPr>
            <w:tcW w:w="1133" w:type="dxa"/>
            <w:vAlign w:val="center"/>
          </w:tcPr>
          <w:p>
            <w:pPr>
              <w:adjustRightInd w:val="0"/>
              <w:snapToGrid w:val="0"/>
              <w:spacing w:line="300" w:lineRule="auto"/>
              <w:jc w:val="center"/>
              <w:rPr>
                <w:sz w:val="18"/>
                <w:szCs w:val="18"/>
              </w:rPr>
            </w:pPr>
            <w:r>
              <w:rPr>
                <w:sz w:val="18"/>
                <w:szCs w:val="18"/>
              </w:rPr>
              <w:t>1</w:t>
            </w:r>
          </w:p>
        </w:tc>
        <w:tc>
          <w:tcPr>
            <w:tcW w:w="1185" w:type="dxa"/>
            <w:vAlign w:val="center"/>
          </w:tcPr>
          <w:p>
            <w:pPr>
              <w:adjustRightInd w:val="0"/>
              <w:snapToGrid w:val="0"/>
              <w:spacing w:line="300" w:lineRule="auto"/>
              <w:jc w:val="center"/>
              <w:rPr>
                <w:sz w:val="18"/>
                <w:szCs w:val="18"/>
              </w:rPr>
            </w:pPr>
            <w:r>
              <w:rPr>
                <w:rFonts w:hint="eastAsia"/>
                <w:sz w:val="18"/>
                <w:szCs w:val="18"/>
              </w:rPr>
              <w:t>1.2</w:t>
            </w:r>
          </w:p>
        </w:tc>
      </w:tr>
    </w:tbl>
    <w:p>
      <w:pPr>
        <w:adjustRightInd w:val="0"/>
        <w:snapToGrid w:val="0"/>
        <w:spacing w:before="156" w:beforeLines="50" w:after="156" w:afterLines="50" w:line="300" w:lineRule="auto"/>
        <w:rPr>
          <w:b/>
          <w:sz w:val="24"/>
        </w:rPr>
      </w:pPr>
      <w:r>
        <w:rPr>
          <w:b/>
          <w:sz w:val="24"/>
        </w:rPr>
        <w:t>六、</w:t>
      </w:r>
      <w:r>
        <w:rPr>
          <w:rFonts w:hint="eastAsia"/>
          <w:b/>
          <w:sz w:val="24"/>
        </w:rPr>
        <w:t>课程教学目标达成情况评价</w:t>
      </w:r>
    </w:p>
    <w:p>
      <w:pPr>
        <w:adjustRightInd w:val="0"/>
        <w:snapToGrid w:val="0"/>
        <w:spacing w:line="300" w:lineRule="auto"/>
        <w:ind w:firstLine="420" w:firstLineChars="200"/>
        <w:rPr>
          <w:szCs w:val="21"/>
        </w:rPr>
      </w:pPr>
      <w:r>
        <w:rPr>
          <w:szCs w:val="21"/>
        </w:rPr>
        <w:t>1</w:t>
      </w:r>
      <w:r>
        <w:t>．</w:t>
      </w:r>
      <w:r>
        <w:rPr>
          <w:rFonts w:hint="eastAsia"/>
          <w:szCs w:val="21"/>
        </w:rPr>
        <w:t>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rFonts w:hint="eastAsia"/>
          <w:position w:val="-16"/>
        </w:rPr>
        <w:object>
          <v:shape id="_x0000_i1104" o:spt="75" type="#_x0000_t75" style="height:33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04" DrawAspect="Content" ObjectID="_1468075803" r:id="rId116">
            <o:LockedField>false</o:LockedField>
          </o:OLEObject>
        </w:object>
      </w:r>
    </w:p>
    <w:p>
      <w:pPr>
        <w:adjustRightInd w:val="0"/>
        <w:snapToGrid w:val="0"/>
        <w:spacing w:line="300" w:lineRule="auto"/>
        <w:ind w:firstLine="420" w:firstLineChars="200"/>
      </w:pPr>
      <w:r>
        <w:t>课程总目标达成情况为3个课程目标的加权得分率，其计算公式为：</w:t>
      </w:r>
    </w:p>
    <w:p>
      <w:pPr>
        <w:adjustRightInd w:val="0"/>
        <w:snapToGrid w:val="0"/>
        <w:spacing w:line="300" w:lineRule="auto"/>
        <w:jc w:val="center"/>
      </w:pPr>
      <w:r>
        <w:t xml:space="preserve"> </w:t>
      </w:r>
      <w:r>
        <w:pict>
          <v:shape id="_x0000_i1105" o:spt="75" type="#_x0000_t75" style="height:15pt;width:242.2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80&quot;/&gt;&lt;w:characterSpacingControl w:val=&quot;CompressPunctuation&quot;/&gt;&lt;w:documentProtection w:enforcement=&quot;off&quot;/&gt;&lt;w:doNotEmbedSystemFonts/&gt;&lt;w:defaultTabStop w:val=&quot;420&quot;/&gt;&lt;w:drawingGridVerticalSpacing w:val=&quot;159&quot;/&gt;&lt;w:displayHorizontalDrawingGridEvery w:val=&quot;1&quot;/&gt;&lt;w:displayVerticalDrawingGridEvery w:val=&quot;2&quot;/&gt;&lt;w:compat&gt;&lt;w:adjustLineHeightInTable/&gt;&lt;w:ulTrailSpace/&gt;&lt;w:doNotExpandShiftReturn/&gt;&lt;w:balanceSingleByteDoubleByteWidth/&gt;&lt;w:spaceForUL/&gt;&lt;w:breakWrappedTables/&gt;&lt;w:dontGrowAutofit/&gt;&lt;w:useFELayout/&gt;&lt;/w:compat&gt;&lt;/w:docPr&gt;&lt;w:body&gt;&lt;wx:sect&gt;&lt;w:p&gt;&lt;m:oMathPara&gt;&lt;m:oMath&gt;&lt;m:r&gt;&lt;m:rPr&gt;&lt;m:scr m:val=&quot;roman&quot;/&gt;&lt;/m:rPr&gt;&lt;w:rPr&gt;&lt;w:rFonts w:ascii=&quot;Cambria Math&quot; w:h-ansi=&quot;Times New Roman&quot; w:fareast=&quot;瀹嬩綋&quot; w:cs=&quot;Times New Roman&quot; w:hint=&quot;default&quot;/&gt;&lt;/w:rPr&gt;&lt;m:t&gt;璇剧▼鎬荤洰鏍囪揪鎴愬€?&lt;/m:t&gt;&lt;/m:r&gt;&lt;m:nary&gt;&lt;m:naryPr&gt;&lt;m:chr m:val=&quot;鈭?/&gt;&lt;m:subHide m:val=&quot;1&quot;/&gt;&lt;m:supHide m:val=&quot;1&quot;/&gt;&lt;m:ctrlPr&gt;&lt;w:rPr&gt;&lt;w:rFonFonts w:ascii=&quot;Cants w:ascii=&quot;Cants w:ascii=&quot;Cants w:ascii=&quot;Cants w:ascii=&quot;Cants w:ascii=&quot;Cats w:ascii=&quot;Cambria Math&quot; w:h-ansi=&quot;Cambria Math&quot; w:fareast=&quot;瀹嬩綋&quot; w:cs=&quot;Times New Roman&quot; w:hint=&quot;default&quot;/&gt;&lt;w:i/&gt;&lt;/w:rPr&gt;&lt;/m:ctrlPr&gt;&lt;/m:naryPr&gt;&lt;m:sub&gt;&lt;m:ctrlPr&gt;&lt;w:rPr&gt;&lt;w:rFonts &quot;Caw:ascii=&quot;Cambri&quot;Caa Math&quot; w:h-ans&quot;Cai=&quot;Cambria Math&quot;Ca&quot; w:fareast=&quot;瀹=&quot;Ca嬩綋&quot; w:cs=&quot;Timii=&quot;Caes New Roman&quot; w:hint=&quot;default&quot;/&gt;&lt;w:i/&gt;&lt;/w:rPr&gt;&lt;/m:ctrlPr&gt;&lt;/m:sub&gt;&lt;m:sup&gt;&lt;m:ctrlPr&gt;&lt;w:rPr&gt;&lt;w:rFonts w:ascii=&quot;Cambria Math&quot; w:h-ansi=&quot;Cambria Math&quot; w:fareast=&quot;瀹嬩s &quot;Ca綋&quot; w:cs=&quot;Times Nebri&quot;Caw Roman&quot; w:hint=&quot;dans&quot;Caefault&quot;/&gt;&lt;w:i/&gt;&lt;/wath&quot;Ca:rPr&gt;&lt;/m:ctrlPr&gt;&lt;/m瀹=&quot;Ca:sup&gt;&lt;m:e&gt;&lt;m:r&gt;&lt;m:rPr&quot;Ca&gt;&lt;m:scr m:val=&quot;roman&quot;/&gt;&lt;/m:rPr&gt;&lt;w:rPr&gt;&lt;w:rFonts w:ascii=&quot;Cambria Math&quot; w:h-ansi=&quot;Times New Roman&quot; w:fareast=&quot;瀹嬩綋&quot; w:cs=&quot;Times New Rs &quot;Caoman&quot; w:hint=&quot;default&quot;/&gt;i&quot;Ca&lt;/w:rPr&gt;&lt;m:t&gt;璇剧▼鍒嗙?=&quot;dans&quot;Ca爣杈炬垚鍊尖垪鏉冮噸绯ult&quot;/&gt;&lt;w:i/&gt;&lt;/wath&quot;Ca绘暟&lt;/m:t&gt;&lt;/m:r&gt;&lt;m:ctrlPrPr&gt;&lt;/m:ctrlPr&gt;&lt;/m瀹=&quot;Ca&gt;&lt;w:rPr&gt;&lt;w:rFonts w:asciup&gt;&lt;m:e&gt;&lt;m:r&gt;&lt;m:rPr&quot;Cai=&quot;Cambria Math&quot; w:h-ansi=&quot;Cambria Math&quot; w:fareast=&quot;瀹?:cs=&quot;Times New Rs &quot;Ca浣? w:cs=&quot;Times New Roman&quot;  w:hint=&quot;default&quot;/&gt;i&quot;Caw:hint=&quot;default&quot;/&gt;&lt;w:i/&gt;&lt;/w:rPr&gt;&lt;:t&gt;璇剧▼鍒嗙?=&quot;dans&quot;Ca/m:ctrlPr&gt;&lt;/m:e&gt;&lt;/m:nary&gt;&lt;/m:oMath&gt;&lt;/m:oMathPath&quot;Caara&gt;&lt;/w:p&gt;&lt;/wx:sect&gt;&lt;/w:body&gt;&lt;/w:wordDocumentctr&quot;Ca=&quot;CamCambria">
            <v:path/>
            <v:fill on="f" focussize="0,0"/>
            <v:stroke on="f" joinstyle="miter"/>
            <v:imagedata r:id="rId117" o:title=""/>
            <o:lock v:ext="edit" aspectratio="f"/>
            <w10:wrap type="none"/>
            <w10:anchorlock/>
          </v:shape>
        </w:pict>
      </w:r>
    </w:p>
    <w:p>
      <w:pPr>
        <w:adjustRightInd w:val="0"/>
        <w:snapToGrid w:val="0"/>
        <w:spacing w:line="300" w:lineRule="auto"/>
      </w:pPr>
      <w:r>
        <w:t>其中权重系数按照表6设定。</w:t>
      </w:r>
    </w:p>
    <w:p>
      <w:pPr>
        <w:adjustRightInd w:val="0"/>
        <w:snapToGrid w:val="0"/>
        <w:spacing w:before="156" w:beforeLines="50" w:line="300" w:lineRule="auto"/>
        <w:jc w:val="center"/>
        <w:rPr>
          <w:b/>
          <w:bCs/>
          <w:sz w:val="18"/>
          <w:szCs w:val="18"/>
        </w:rPr>
      </w:pPr>
      <w:r>
        <w:rPr>
          <w:b/>
          <w:bCs/>
          <w:sz w:val="18"/>
          <w:szCs w:val="18"/>
        </w:rPr>
        <w:t>表6课程目标权重系数</w:t>
      </w:r>
    </w:p>
    <w:tbl>
      <w:tblPr>
        <w:tblStyle w:val="22"/>
        <w:tblW w:w="6820" w:type="dxa"/>
        <w:tblInd w:w="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9"/>
        <w:gridCol w:w="1584"/>
        <w:gridCol w:w="187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499" w:type="dxa"/>
            <w:vAlign w:val="center"/>
          </w:tcPr>
          <w:p>
            <w:pPr>
              <w:adjustRightInd w:val="0"/>
              <w:snapToGrid w:val="0"/>
              <w:spacing w:line="300" w:lineRule="auto"/>
              <w:jc w:val="center"/>
              <w:rPr>
                <w:b/>
                <w:bCs/>
                <w:sz w:val="18"/>
                <w:szCs w:val="18"/>
              </w:rPr>
            </w:pPr>
            <w:r>
              <w:rPr>
                <w:b/>
                <w:bCs/>
                <w:sz w:val="18"/>
                <w:szCs w:val="18"/>
              </w:rPr>
              <w:t>课程目标</w:t>
            </w:r>
          </w:p>
        </w:tc>
        <w:tc>
          <w:tcPr>
            <w:tcW w:w="1584" w:type="dxa"/>
            <w:vAlign w:val="center"/>
          </w:tcPr>
          <w:p>
            <w:pPr>
              <w:adjustRightInd w:val="0"/>
              <w:snapToGrid w:val="0"/>
              <w:spacing w:line="300" w:lineRule="auto"/>
              <w:jc w:val="center"/>
              <w:rPr>
                <w:sz w:val="18"/>
                <w:szCs w:val="18"/>
              </w:rPr>
            </w:pPr>
            <w:r>
              <w:rPr>
                <w:sz w:val="18"/>
                <w:szCs w:val="18"/>
              </w:rPr>
              <w:t>1</w:t>
            </w:r>
          </w:p>
        </w:tc>
        <w:tc>
          <w:tcPr>
            <w:tcW w:w="1878" w:type="dxa"/>
            <w:vAlign w:val="center"/>
          </w:tcPr>
          <w:p>
            <w:pPr>
              <w:adjustRightInd w:val="0"/>
              <w:snapToGrid w:val="0"/>
              <w:spacing w:line="300" w:lineRule="auto"/>
              <w:jc w:val="center"/>
              <w:rPr>
                <w:sz w:val="18"/>
                <w:szCs w:val="18"/>
              </w:rPr>
            </w:pPr>
            <w:r>
              <w:rPr>
                <w:sz w:val="18"/>
                <w:szCs w:val="18"/>
              </w:rPr>
              <w:t>2</w:t>
            </w:r>
          </w:p>
        </w:tc>
        <w:tc>
          <w:tcPr>
            <w:tcW w:w="1859"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499" w:type="dxa"/>
            <w:vAlign w:val="center"/>
          </w:tcPr>
          <w:p>
            <w:pPr>
              <w:adjustRightInd w:val="0"/>
              <w:snapToGrid w:val="0"/>
              <w:spacing w:line="300" w:lineRule="auto"/>
              <w:jc w:val="center"/>
              <w:rPr>
                <w:b/>
                <w:bCs/>
                <w:sz w:val="18"/>
                <w:szCs w:val="18"/>
              </w:rPr>
            </w:pPr>
            <w:r>
              <w:rPr>
                <w:b/>
                <w:bCs/>
                <w:sz w:val="18"/>
                <w:szCs w:val="18"/>
              </w:rPr>
              <w:t>权重系数</w:t>
            </w:r>
          </w:p>
        </w:tc>
        <w:tc>
          <w:tcPr>
            <w:tcW w:w="1584" w:type="dxa"/>
            <w:vAlign w:val="center"/>
          </w:tcPr>
          <w:p>
            <w:pPr>
              <w:adjustRightInd w:val="0"/>
              <w:snapToGrid w:val="0"/>
              <w:spacing w:line="300" w:lineRule="auto"/>
              <w:jc w:val="center"/>
              <w:rPr>
                <w:sz w:val="18"/>
                <w:szCs w:val="18"/>
              </w:rPr>
            </w:pPr>
            <w:r>
              <w:rPr>
                <w:sz w:val="18"/>
                <w:szCs w:val="18"/>
              </w:rPr>
              <w:t>0.7</w:t>
            </w:r>
          </w:p>
        </w:tc>
        <w:tc>
          <w:tcPr>
            <w:tcW w:w="1878" w:type="dxa"/>
            <w:vAlign w:val="center"/>
          </w:tcPr>
          <w:p>
            <w:pPr>
              <w:adjustRightInd w:val="0"/>
              <w:snapToGrid w:val="0"/>
              <w:spacing w:line="300" w:lineRule="auto"/>
              <w:jc w:val="center"/>
              <w:rPr>
                <w:sz w:val="18"/>
                <w:szCs w:val="18"/>
              </w:rPr>
            </w:pPr>
            <w:r>
              <w:rPr>
                <w:sz w:val="18"/>
                <w:szCs w:val="18"/>
              </w:rPr>
              <w:t>0.15</w:t>
            </w:r>
          </w:p>
        </w:tc>
        <w:tc>
          <w:tcPr>
            <w:tcW w:w="1859" w:type="dxa"/>
            <w:vAlign w:val="center"/>
          </w:tcPr>
          <w:p>
            <w:pPr>
              <w:adjustRightInd w:val="0"/>
              <w:snapToGrid w:val="0"/>
              <w:spacing w:line="300" w:lineRule="auto"/>
              <w:jc w:val="center"/>
              <w:rPr>
                <w:sz w:val="18"/>
                <w:szCs w:val="18"/>
              </w:rPr>
            </w:pPr>
            <w:r>
              <w:rPr>
                <w:sz w:val="18"/>
                <w:szCs w:val="18"/>
              </w:rPr>
              <w:t>0.15</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pict>
          <v:shape id="_x0000_i1106" o:spt="75" type="#_x0000_t75" style="height:21.75pt;width:259.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80&quot;/&gt;&lt;w:characterSpacingControl w:val=&quot;CompressPunctuation&quot;/&gt;&lt;w:documentProtection w:enforcement=&quot;off&quot;/&gt;&lt;w:doNotEmbedSystemFonts/&gt;&lt;w:defaultTabStop w:val=&quot;420&quot;/&gt;&lt;w:drawingGridVerticalSpacing w:val=&quot;159&quot;/&gt;&lt;w:displayHorizontalDrawingGridEvery w:val=&quot;1&quot;/&gt;&lt;w:displayVerticalDrawingGridEvery w:val=&quot;2&quot;/&gt;&lt;w:compat&gt;&lt;w:adjustLineHeightInTable/&gt;&lt;w:ulTrailSpace/&gt;&lt;w:doNotExpandShiftReturn/&gt;&lt;w:balanceSingleByteDoubleByteWidth/&gt;&lt;w:spaceForUL/&gt;&lt;w:breakWrappedTables/&gt;&lt;w:dontGrowAutofit/&gt;&lt;w:useFELayout/&gt;&lt;/w:compat&gt;&lt;/w:docPr&gt;&lt;w:body&gt;&lt;wx:sect&gt;&lt;w:p&gt;&lt;m:oMathPara&gt;&lt;m:oMath&gt;&lt;m:r&gt;&lt;m:rPr&gt;&lt;m:scr m:val=&quot;roman&quot;/&gt;&lt;/m:rPr&gt;&lt;w:rPr&gt;&lt;w:rFonts w:ascii=&quot;Cambria Math&quot; w:h-ansi=&quot;Times New Roman&quot; w:fareast=&quot;瀹嬩綋&quot; w:cs=&quot;Times New Roman&quot; w:hint=&quot;default&quot;/&gt;&lt;/w:rPr&gt;&lt;m:t&gt;姣曚笟瑕佹眰鎸囨爣鐐硅揪鎴愬€?&lt;/m:t&gt;&lt;/m:r&gt;&lt;m:nary&gt;&lt;m:naryPr&gt;&lt;m:chr m:val=&quot;鈭?/&gt;&lt;m:subHide m:val=&quot;1&quot;/&gt;&lt;m:supHide m:val=&quot;1&quot;/&gt;&lt;m:ctrlPr&gt;&lt;w:rPr&gt;&lt;w:rFonts w:ascii=&quot;CarFonts w:ascii=&quot;CarFonts w:ascii=&quot;CarFonts w:ascii=&quot;CarFonts w:ascii=&quot;CarFonts w:ascii=&quot;Caw:rFonts w:ascii=&quot;Cambria Math&quot; w:h-ansi=&quot;Cambria Math&quot; w:fareast=&quot;瀹嬩綋&quot; w:cs=&quot;Times New Roman&quot; w:hint=&quot;default&quot;/&gt;&lt;w:i/&gt;&lt;/w:rPr&gt;&lt;/m:ctrlPr&gt;&lt;/m:naryPr&gt;&lt;m:sub&gt;&lt;m:ctr&quot;CalPr&gt;&lt;w:rPr&gt;&lt;w:rFon&quot;Cats w:ascii=&quot;Cambri&quot;Caa Math&quot; w:h-ansi=&quot;&quot;CaCambria Math&quot; w:fa&quot;Careast=&quot;瀹嬩綋&quot; w:cii=&quot;Cas=&quot;Times New Roman&quot; w:hint=&quot;default&quot;/&gt;&lt;w:i/&gt;&lt;/w:rPr&gt;&lt;/m:ctrlPr&gt;&lt;/m:sub&gt;&lt;m:sup&gt;&lt;m:ctrlPr&gt;&lt;w:rPr&gt;&lt;w:rFonts w:ascii=&quot;Cambria Math&quot; w:h-ansi=&quot;Cambria M&quot;Caath&quot; w:fareast=&quot;瀹嬩?on&quot;Ca? w:cs=&quot;Times New Robri&quot;Caman&quot; w:hint=&quot;default&quot;i=&quot;&quot;Ca/&gt;&lt;w:i/&gt;&lt;/w:rPr&gt;&lt;/m:c:fa&quot;CatrlPr&gt;&lt;/m:sup&gt;&lt;m:e&gt;&lt;m:r&gt;&quot;Ca&lt;m:rPr&gt;&lt;m:scr m:val=&quot;roman&quot;/&gt;&lt;/m:rPr&gt;&lt;w:rPr&gt;&lt;w:rFonts w:ascii=&quot;Cambria Math&quot; w:h-ansi=&quot;Times New Roman&quot; w:fareast=&quot;瀹嬩綋&quot; M&quot;Ca w:cs=&quot;Times New Roman&quot; wn&quot;Ca:hint=&quot;default&quot;/&gt;&lt;/w:rPr&gt;&lt;m&quot;Ca:t&gt;璇剧▼鐩爣杈炬垚鍊?/m:efault&quot;i=&quot;&quot;Cat&gt;&lt;/m:r&gt;&lt;m:r&gt;&lt;m:rPr&gt;&lt;m:scr r&gt;&lt;/m:c:fa&quot;Cam:val=&quot;roman&quot;/&gt;&lt;/m:rPr&gt;&lt;w:&gt;&lt;m:e&gt;&lt;m:r&gt;&quot;CarPr&gt;&lt;w:rFonts w:ascii=&quot;MS Gothic&quot; w:h-ansi=&quot;MS Gothic&quot; w:fareast=&quot;MS Gothic&quot;&quot;瀹嬩綋&quot; M&quot;Ca w:cs=&quot;MS Gothic&quot; w:hint=&quot;farman&quot; wn&quot;Caeast&quot;/&gt;&lt;/w:rPr&gt;&lt;m:t&gt;鈭?/m:t&gt;&lt;/w:rPr&gt;&lt;m&quot;Cam:r&gt;&lt;m:r&gt;&lt;m:rPr&gt;&lt;m:scr m:val=&quot;roman&quot;/&gt;&lt;/am:rPr&gt;&lt;w:rPr&gt;&lt;w:rFonts w:ascii=&quot;Cambria aMath&quot; w:h-ansi=&quot;Times New Roman&quot; w:fareCaast=&quot;瀹嬩綋&quot; w:cs=&quot;Times New Roman&quot; w:hint=&quot;default&quot;M&quot;Ca/&gt;&lt;/w:rPr&gt;&lt;m:t&gt;鏉冮噸绯绘暟&lt;/m:t&gt;&lt;/m:r&gt;man&quot; wn&quot;Ca&lt;m:ctrlPr&gt;&lt;w:rPr&gt;&lt;w:rFonts w:ascii=&quot;CambrrPr&gt;&lt;m&quot;Caia Math&quot; w:h-ansi=&quot;Cambria Math&quot; w:fareasman&quot;/&gt;&lt;/at=&quot;瀹嬩綋&quot; w:cs=&quot;Times New Roman&quot; w:hint=i=&quot;Cambria a&quot;default&quot;/&gt;&lt;w:i/&gt;&lt;/w:rPr&gt;&lt;/m:ctrlPr&gt;&lt;/m:ean&quot; w:fareCaault&quot;M&quot;Ca&gt;&lt;/m:nary&gt;&lt;/m:oMath&gt;&lt;/m:oMathPara&gt;&lt;/w:p&gt;&lt;/wx:sect&quot;Ca&gt;&lt;/w:body&gt;&lt;/w:wordDocumentPr&gt; w:">
            <v:path/>
            <v:fill on="f" focussize="0,0"/>
            <v:stroke on="f" joinstyle="miter"/>
            <v:imagedata r:id="rId118" o:title=""/>
            <o:lock v:ext="edit" aspectratio="f"/>
            <w10:wrap type="none"/>
            <w10:anchorlock/>
          </v:shape>
        </w:pi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left="840" w:leftChars="200" w:hanging="420" w:hangingChars="200"/>
        <w:rPr>
          <w:rFonts w:ascii="Times New Roman" w:hAnsi="Times New Roman" w:cs="Times New Roman"/>
          <w:szCs w:val="21"/>
        </w:rPr>
      </w:pPr>
      <w:r>
        <w:rPr>
          <w:rFonts w:ascii="Times New Roman" w:hAnsi="Times New Roman" w:eastAsia="宋体" w:cs="Times New Roman"/>
          <w:szCs w:val="21"/>
        </w:rPr>
        <w:t xml:space="preserve">[1] </w:t>
      </w:r>
      <w:r>
        <w:rPr>
          <w:rFonts w:hint="eastAsia" w:ascii="Times New Roman" w:hAnsi="Times New Roman" w:cs="Times New Roman"/>
          <w:szCs w:val="21"/>
        </w:rPr>
        <w:t>罗伟富.人人都懂设计模式：从生活中领悟设计模式：Python实现[M].北京:电子工</w:t>
      </w:r>
    </w:p>
    <w:p>
      <w:pPr>
        <w:adjustRightInd w:val="0"/>
        <w:snapToGrid w:val="0"/>
        <w:spacing w:line="300" w:lineRule="auto"/>
        <w:ind w:left="420" w:firstLine="420"/>
        <w:rPr>
          <w:rFonts w:ascii="Times New Roman" w:hAnsi="Times New Roman" w:eastAsia="宋体" w:cs="Times New Roman"/>
          <w:szCs w:val="21"/>
        </w:rPr>
      </w:pPr>
      <w:r>
        <w:rPr>
          <w:rFonts w:hint="eastAsia" w:ascii="Times New Roman" w:hAnsi="Times New Roman" w:cs="Times New Roman"/>
          <w:szCs w:val="21"/>
        </w:rPr>
        <w:t>业出版社.2019.第一版</w:t>
      </w:r>
    </w:p>
    <w:p>
      <w:pPr>
        <w:numPr>
          <w:ilvl w:val="0"/>
          <w:numId w:val="43"/>
        </w:num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雍俊海</w:t>
      </w:r>
      <w:r>
        <w:rPr>
          <w:rFonts w:ascii="Times New Roman" w:hAnsi="Times New Roman" w:eastAsia="宋体" w:cs="Times New Roman"/>
          <w:b/>
          <w:szCs w:val="21"/>
        </w:rPr>
        <w:t>.</w:t>
      </w:r>
      <w:r>
        <w:rPr>
          <w:rFonts w:ascii="Times New Roman" w:hAnsi="Times New Roman" w:eastAsia="宋体" w:cs="Times New Roman"/>
          <w:bCs/>
          <w:szCs w:val="21"/>
        </w:rPr>
        <w:t>Java程序设计教程</w:t>
      </w:r>
      <w:r>
        <w:rPr>
          <w:rFonts w:ascii="Times New Roman" w:hAnsi="Times New Roman" w:eastAsia="宋体" w:cs="Times New Roman"/>
          <w:b/>
          <w:szCs w:val="21"/>
        </w:rPr>
        <w:t xml:space="preserve"> </w:t>
      </w:r>
      <w:r>
        <w:rPr>
          <w:rFonts w:ascii="Times New Roman" w:hAnsi="Times New Roman" w:eastAsia="宋体" w:cs="Times New Roman"/>
          <w:szCs w:val="21"/>
        </w:rPr>
        <w:t>[M]</w:t>
      </w:r>
      <w:r>
        <w:rPr>
          <w:rFonts w:ascii="Times New Roman" w:hAnsi="Times New Roman" w:eastAsia="宋体" w:cs="Times New Roman"/>
          <w:bCs/>
          <w:szCs w:val="21"/>
        </w:rPr>
        <w:t>.北京：</w:t>
      </w:r>
      <w:r>
        <w:rPr>
          <w:rFonts w:ascii="Times New Roman" w:hAnsi="Times New Roman" w:eastAsia="宋体" w:cs="Times New Roman"/>
          <w:szCs w:val="21"/>
        </w:rPr>
        <w:t>清华大学出版社,2009.第二版。</w:t>
      </w:r>
    </w:p>
    <w:p>
      <w:pPr>
        <w:adjustRightInd w:val="0"/>
        <w:snapToGrid w:val="0"/>
        <w:spacing w:line="300" w:lineRule="auto"/>
        <w:ind w:firstLine="420"/>
        <w:rPr>
          <w:rFonts w:ascii="Times New Roman" w:hAnsi="Times New Roman" w:eastAsia="宋体" w:cs="Times New Roman"/>
        </w:rPr>
      </w:pPr>
      <w:r>
        <w:rPr>
          <w:rFonts w:ascii="Times New Roman" w:hAnsi="Times New Roman" w:eastAsia="宋体" w:cs="Times New Roman"/>
        </w:rPr>
        <w:t>2．参考资料</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王欣</w:t>
      </w:r>
      <w:r>
        <w:rPr>
          <w:rFonts w:hint="eastAsia" w:ascii="Times New Roman" w:hAnsi="Times New Roman" w:eastAsia="宋体" w:cs="Times New Roman"/>
          <w:szCs w:val="21"/>
        </w:rPr>
        <w:t>，王文兵.</w:t>
      </w:r>
      <w:r>
        <w:rPr>
          <w:rFonts w:ascii="Times New Roman" w:hAnsi="Times New Roman" w:eastAsia="宋体" w:cs="Times New Roman"/>
          <w:szCs w:val="21"/>
        </w:rPr>
        <w:t xml:space="preserve"> Python基础教程</w:t>
      </w:r>
      <w:r>
        <w:rPr>
          <w:rFonts w:hint="eastAsia" w:ascii="Times New Roman" w:hAnsi="Times New Roman" w:eastAsia="宋体" w:cs="Times New Roman"/>
          <w:szCs w:val="21"/>
        </w:rPr>
        <w:t>[</w:t>
      </w:r>
      <w:r>
        <w:rPr>
          <w:rFonts w:ascii="Times New Roman" w:hAnsi="Times New Roman" w:eastAsia="宋体" w:cs="Times New Roman"/>
          <w:szCs w:val="21"/>
        </w:rPr>
        <w:t>M].北京</w:t>
      </w:r>
      <w:r>
        <w:rPr>
          <w:rFonts w:hint="eastAsia" w:ascii="Times New Roman" w:hAnsi="Times New Roman" w:eastAsia="宋体" w:cs="Times New Roman"/>
          <w:szCs w:val="21"/>
        </w:rPr>
        <w:t>：</w:t>
      </w:r>
      <w:r>
        <w:rPr>
          <w:rFonts w:ascii="Times New Roman" w:hAnsi="Times New Roman" w:eastAsia="宋体" w:cs="Times New Roman"/>
          <w:szCs w:val="21"/>
        </w:rPr>
        <w:t>人民邮电出版社</w:t>
      </w:r>
      <w:r>
        <w:rPr>
          <w:rFonts w:hint="eastAsia" w:ascii="Times New Roman" w:hAnsi="Times New Roman" w:eastAsia="宋体" w:cs="Times New Roman"/>
          <w:szCs w:val="21"/>
        </w:rPr>
        <w:t>，2</w:t>
      </w:r>
      <w:r>
        <w:rPr>
          <w:rFonts w:ascii="Times New Roman" w:hAnsi="Times New Roman" w:eastAsia="宋体" w:cs="Times New Roman"/>
          <w:szCs w:val="21"/>
        </w:rPr>
        <w:t>018.</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cs="Times New Roman"/>
          <w:szCs w:val="21"/>
        </w:rPr>
        <w:t>[3] 李宁.Python从菜鸟到高手[M].北京：清华大学出版社，2018.第一版</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cs="Times New Roman"/>
          <w:szCs w:val="21"/>
        </w:rPr>
        <w:t>3</w:t>
      </w:r>
      <w:r>
        <w:rPr>
          <w:rFonts w:ascii="Times New Roman" w:hAnsi="Times New Roman" w:eastAsia="宋体" w:cs="Times New Roman"/>
          <w:szCs w:val="21"/>
        </w:rPr>
        <w:t>] 陈明.</w:t>
      </w:r>
      <w:r>
        <w:rPr>
          <w:rFonts w:ascii="Times New Roman" w:hAnsi="Times New Roman" w:eastAsia="宋体" w:cs="Times New Roman"/>
          <w:bCs/>
          <w:szCs w:val="21"/>
        </w:rPr>
        <w:t>Java语言程序设计</w:t>
      </w:r>
      <w:r>
        <w:rPr>
          <w:rFonts w:ascii="Times New Roman" w:hAnsi="Times New Roman" w:eastAsia="宋体" w:cs="Times New Roman"/>
          <w:szCs w:val="21"/>
        </w:rPr>
        <w:t>[M]</w:t>
      </w:r>
      <w:r>
        <w:rPr>
          <w:rFonts w:ascii="Times New Roman" w:hAnsi="Times New Roman" w:eastAsia="宋体" w:cs="Times New Roman"/>
          <w:bCs/>
          <w:szCs w:val="21"/>
        </w:rPr>
        <w:t>. 北京：</w:t>
      </w:r>
      <w:r>
        <w:rPr>
          <w:rFonts w:ascii="Times New Roman" w:hAnsi="Times New Roman" w:eastAsia="宋体" w:cs="Times New Roman"/>
          <w:szCs w:val="21"/>
        </w:rPr>
        <w:t>清华大学出版社,2009.第二版。</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cs="Times New Roman"/>
          <w:szCs w:val="21"/>
        </w:rPr>
        <w:t>4</w:t>
      </w:r>
      <w:r>
        <w:rPr>
          <w:rFonts w:ascii="Times New Roman" w:hAnsi="Times New Roman" w:eastAsia="宋体" w:cs="Times New Roman"/>
          <w:szCs w:val="21"/>
        </w:rPr>
        <w:t>] 王镁译.Java语言程序设计进阶篇[M].</w:t>
      </w:r>
      <w:r>
        <w:rPr>
          <w:rFonts w:ascii="Times New Roman" w:hAnsi="Times New Roman" w:eastAsia="宋体" w:cs="Times New Roman"/>
          <w:bCs/>
          <w:szCs w:val="21"/>
        </w:rPr>
        <w:t xml:space="preserve"> 北京：</w:t>
      </w:r>
      <w:r>
        <w:rPr>
          <w:rFonts w:ascii="Times New Roman" w:hAnsi="Times New Roman" w:eastAsia="宋体" w:cs="Times New Roman"/>
          <w:szCs w:val="21"/>
        </w:rPr>
        <w:t>机械工业出版社,2006.第五版。</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cs="Times New Roman"/>
          <w:szCs w:val="21"/>
        </w:rPr>
        <w:t>5</w:t>
      </w:r>
      <w:r>
        <w:rPr>
          <w:rFonts w:ascii="Times New Roman" w:hAnsi="Times New Roman" w:eastAsia="宋体" w:cs="Times New Roman"/>
          <w:szCs w:val="21"/>
        </w:rPr>
        <w:t xml:space="preserve">] </w:t>
      </w:r>
      <w:r>
        <w:fldChar w:fldCharType="begin"/>
      </w:r>
      <w:r>
        <w:instrText xml:space="preserve"> HYPERLINK "http://www.china-pub.com/search/power_search/power_search.asp?key1=%B3%C2%EA%BB%C5%F4&amp;zyandor=and" \t "_blank" </w:instrText>
      </w:r>
      <w:r>
        <w:fldChar w:fldCharType="separate"/>
      </w:r>
      <w:r>
        <w:rPr>
          <w:rFonts w:ascii="Times New Roman" w:hAnsi="Times New Roman" w:eastAsia="宋体" w:cs="Times New Roman"/>
          <w:szCs w:val="21"/>
          <w:u w:val="single"/>
        </w:rPr>
        <w:t>陈昊鹏</w:t>
      </w:r>
      <w:r>
        <w:rPr>
          <w:rFonts w:ascii="Times New Roman" w:hAnsi="Times New Roman" w:eastAsia="宋体" w:cs="Times New Roman"/>
          <w:szCs w:val="21"/>
          <w:u w:val="single"/>
        </w:rPr>
        <w:fldChar w:fldCharType="end"/>
      </w:r>
      <w:r>
        <w:rPr>
          <w:rFonts w:ascii="Times New Roman" w:hAnsi="Times New Roman" w:eastAsia="宋体" w:cs="Times New Roman"/>
          <w:szCs w:val="21"/>
        </w:rPr>
        <w:t xml:space="preserve">译．Java编程思想[M]. </w:t>
      </w:r>
      <w:r>
        <w:rPr>
          <w:rFonts w:ascii="Times New Roman" w:hAnsi="Times New Roman" w:eastAsia="宋体" w:cs="Times New Roman"/>
          <w:bCs/>
          <w:szCs w:val="21"/>
        </w:rPr>
        <w:t>北京：</w:t>
      </w:r>
      <w:r>
        <w:rPr>
          <w:rFonts w:ascii="Times New Roman" w:hAnsi="Times New Roman" w:eastAsia="宋体" w:cs="Times New Roman"/>
          <w:szCs w:val="21"/>
        </w:rPr>
        <w:t>机械工业出版社,2005。</w:t>
      </w:r>
    </w:p>
    <w:p>
      <w:pPr>
        <w:adjustRightInd w:val="0"/>
        <w:snapToGrid w:val="0"/>
        <w:spacing w:line="300" w:lineRule="auto"/>
        <w:ind w:firstLine="420"/>
        <w:rPr>
          <w:rFonts w:ascii="Times New Roman" w:hAnsi="Times New Roman" w:eastAsia="宋体" w:cs="Times New Roman"/>
        </w:rPr>
      </w:pPr>
      <w:r>
        <w:rPr>
          <w:rFonts w:ascii="Times New Roman" w:hAnsi="Times New Roman" w:eastAsia="宋体" w:cs="Times New Roman"/>
          <w:bCs/>
          <w:szCs w:val="21"/>
        </w:rPr>
        <w:t>[</w:t>
      </w:r>
      <w:r>
        <w:rPr>
          <w:rFonts w:hint="eastAsia" w:ascii="Times New Roman" w:hAnsi="Times New Roman" w:cs="Times New Roman"/>
          <w:bCs/>
          <w:szCs w:val="21"/>
        </w:rPr>
        <w:t>6</w:t>
      </w:r>
      <w:r>
        <w:rPr>
          <w:rFonts w:ascii="Times New Roman" w:hAnsi="Times New Roman" w:eastAsia="宋体" w:cs="Times New Roman"/>
          <w:bCs/>
          <w:szCs w:val="21"/>
        </w:rPr>
        <w:t xml:space="preserve">] </w:t>
      </w:r>
      <w:r>
        <w:rPr>
          <w:rFonts w:ascii="Times New Roman" w:hAnsi="Times New Roman" w:eastAsia="宋体" w:cs="Times New Roman"/>
          <w:szCs w:val="21"/>
        </w:rPr>
        <w:t xml:space="preserve"> </w:t>
      </w:r>
      <w:r>
        <w:rPr>
          <w:rFonts w:ascii="Times New Roman" w:hAnsi="Times New Roman" w:eastAsia="宋体" w:cs="Times New Roman"/>
          <w:bCs/>
          <w:szCs w:val="21"/>
        </w:rPr>
        <w:t>http://java.sun.com - 官方的Java开发者网站</w:t>
      </w:r>
      <w:r>
        <w:rPr>
          <w:rFonts w:ascii="Times New Roman" w:hAnsi="Times New Roman" w:eastAsia="宋体" w:cs="Times New Roman"/>
        </w:rPr>
        <w:t>。</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cs="Times New Roman"/>
          <w:szCs w:val="21"/>
        </w:rPr>
        <w:t>7</w:t>
      </w:r>
      <w:r>
        <w:rPr>
          <w:rFonts w:ascii="Times New Roman" w:hAnsi="Times New Roman" w:eastAsia="宋体" w:cs="Times New Roman"/>
          <w:szCs w:val="21"/>
        </w:rPr>
        <w:t>] 李刚. 疯狂Java讲义[M].</w:t>
      </w:r>
      <w:r>
        <w:rPr>
          <w:rFonts w:ascii="Times New Roman" w:hAnsi="Times New Roman" w:eastAsia="宋体" w:cs="Times New Roman"/>
          <w:bCs/>
          <w:szCs w:val="21"/>
        </w:rPr>
        <w:t xml:space="preserve"> 北京：</w:t>
      </w:r>
      <w:r>
        <w:rPr>
          <w:rFonts w:ascii="Times New Roman" w:hAnsi="Times New Roman" w:eastAsia="宋体" w:cs="Times New Roman"/>
          <w:szCs w:val="21"/>
        </w:rPr>
        <w:t>电子工业出版社.2012.第二版。</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tc>
      </w:tr>
    </w:tbl>
    <w:p/>
    <w:p>
      <w:pPr>
        <w:widowControl/>
        <w:jc w:val="left"/>
        <w:rPr>
          <w:rFonts w:ascii="Times New Roman" w:hAnsi="Times New Roman" w:eastAsia="宋体" w:cs="Times New Roman"/>
        </w:rPr>
      </w:pPr>
      <w:r>
        <w:rPr>
          <w:rFonts w:ascii="Times New Roman" w:hAnsi="Times New Roman" w:eastAsia="宋体" w:cs="Times New Roman"/>
        </w:rPr>
        <w:br w:type="page"/>
      </w:r>
    </w:p>
    <w:p>
      <w:pPr>
        <w:keepNext/>
        <w:keepLines/>
        <w:spacing w:before="260" w:after="260" w:line="413" w:lineRule="auto"/>
        <w:jc w:val="center"/>
        <w:outlineLvl w:val="3"/>
        <w:rPr>
          <w:rFonts w:ascii="Times New Roman" w:hAnsi="Times New Roman" w:cs="Times New Roman" w:eastAsiaTheme="majorEastAsia"/>
          <w:b/>
          <w:bCs/>
          <w:sz w:val="32"/>
          <w:szCs w:val="32"/>
        </w:rPr>
      </w:pPr>
      <w:bookmarkStart w:id="146" w:name="_Toc16476"/>
      <w:r>
        <w:rPr>
          <w:rFonts w:ascii="Times New Roman" w:hAnsi="Times New Roman" w:cs="Times New Roman" w:eastAsiaTheme="majorEastAsia"/>
          <w:b/>
          <w:bCs/>
          <w:sz w:val="32"/>
          <w:szCs w:val="32"/>
        </w:rPr>
        <w:t>33424005《计算机网络与数据通信》课程教学大纲</w:t>
      </w:r>
      <w:bookmarkEnd w:id="146"/>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33424005</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计算机网络与数据通信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Computer Networks and Data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xml:space="preserve">: </w:t>
            </w:r>
            <w:r>
              <w:rPr>
                <w:rFonts w:hint="eastAsia"/>
                <w:kern w:val="0"/>
                <w:szCs w:val="21"/>
              </w:rPr>
              <w:t>32</w:t>
            </w:r>
            <w:r>
              <w:rPr>
                <w:kern w:val="0"/>
                <w:szCs w:val="21"/>
              </w:rPr>
              <w:t>（</w:t>
            </w:r>
            <w:r>
              <w:rPr>
                <w:rFonts w:hint="eastAsia"/>
                <w:kern w:val="0"/>
                <w:szCs w:val="21"/>
              </w:rPr>
              <w:t>6</w:t>
            </w:r>
            <w:r>
              <w:rPr>
                <w:kern w:val="0"/>
                <w:szCs w:val="21"/>
              </w:rPr>
              <w:t>）</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冯青、李小立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冯青</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高级语言程序设计、微机原理、数字电子技术等</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通信原理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60" w:lineRule="exact"/>
        <w:ind w:firstLine="420" w:firstLineChars="200"/>
        <w:rPr>
          <w:bCs/>
        </w:rPr>
      </w:pPr>
      <w:r>
        <w:rPr>
          <w:szCs w:val="21"/>
        </w:rPr>
        <w:t>《计算机网络与数据通信》是</w:t>
      </w:r>
      <w:r>
        <w:rPr>
          <w:bCs/>
        </w:rPr>
        <w:t>计算机发展和通信技术紧密结合并不断发展的一门学科；是电子信息工程专业的专业教育核心课。本课程以OSI参考模型为指引，以TCP/IP模型为主线，全面系统地阐述物理层、数据链路层、网络层、运输层和应用层各层协议以及相关的局域网、互联网、无线局域网等技术。通过本课程学习，培养学生在工程分析与设计中信息传输处理所需的相应工程知识。</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bCs/>
          <w:szCs w:val="21"/>
        </w:rPr>
        <w:t>通过本课程的学习，使学生掌握计算机网络的体系结构和参考模型。在现代电子产品设计中，能够依据局域网与TCP/IP的基本原理分析和评价工程实践中电子信息行业新产品、新技术的开发和应用对社会、健康、安全、法律以及文化的影响，并理解应承担的责任。本课程要注意理论联系实际，安排学生做实验，验证局域网及TCP/IP原理，网络互联的方法，提高实际动手能力。在信息时代，以华为，中兴公司为代表的公司，网络技术飞速发展，当前在国际市场上，我国产品的低中高端产品占据了很大的市场份额。最近美国对我国公司的打压，充分地说明了我们的强大越来越引起西方国家的恐慌。本课程的具体教学目标如下：</w:t>
      </w:r>
      <w:r>
        <w:rPr>
          <w:kern w:val="0"/>
          <w:szCs w:val="21"/>
        </w:rPr>
        <w:t xml:space="preserve"> </w:t>
      </w:r>
    </w:p>
    <w:p>
      <w:pPr>
        <w:snapToGrid w:val="0"/>
        <w:spacing w:line="300" w:lineRule="auto"/>
        <w:ind w:firstLine="420" w:firstLineChars="200"/>
        <w:rPr>
          <w:szCs w:val="21"/>
        </w:rPr>
      </w:pPr>
      <w:r>
        <w:rPr>
          <w:szCs w:val="21"/>
        </w:rPr>
        <w:t>1.掌握计算机网络与数字通信的基本概念、分析方法和处理技术；掌握OSI七层参考模型的各层功能、协议内容及数据在各层中的传递过程。并能将其应用于电子信息领域工程问题的软硬件分析与设计。[1</w:t>
      </w:r>
      <w:r>
        <w:rPr>
          <w:rFonts w:hint="eastAsia"/>
          <w:szCs w:val="21"/>
        </w:rPr>
        <w:t>.</w:t>
      </w:r>
      <w:r>
        <w:rPr>
          <w:szCs w:val="21"/>
        </w:rPr>
        <w:t>2]</w:t>
      </w:r>
    </w:p>
    <w:p>
      <w:pPr>
        <w:snapToGrid w:val="0"/>
        <w:spacing w:line="300" w:lineRule="auto"/>
        <w:ind w:firstLine="420" w:firstLineChars="200"/>
        <w:rPr>
          <w:szCs w:val="21"/>
        </w:rPr>
      </w:pPr>
      <w:r>
        <w:rPr>
          <w:szCs w:val="21"/>
        </w:rPr>
        <w:t>2.掌握局域网802.3的工作原理、发展变化及网络通信设备的工作原理和配置方法，具备设计、组建局域网的能力。为研究设计各种数字通信系统提供必要的基础。[1</w:t>
      </w:r>
      <w:r>
        <w:rPr>
          <w:rFonts w:hint="eastAsia"/>
          <w:szCs w:val="21"/>
        </w:rPr>
        <w:t>.</w:t>
      </w:r>
      <w:r>
        <w:rPr>
          <w:szCs w:val="21"/>
        </w:rPr>
        <w:t>2]</w:t>
      </w:r>
    </w:p>
    <w:p>
      <w:pPr>
        <w:snapToGrid w:val="0"/>
        <w:spacing w:line="300" w:lineRule="auto"/>
        <w:ind w:firstLine="420" w:firstLineChars="200"/>
        <w:rPr>
          <w:szCs w:val="21"/>
        </w:rPr>
      </w:pPr>
      <w:r>
        <w:rPr>
          <w:szCs w:val="21"/>
        </w:rPr>
        <w:t>3．具备INTERNET的知识体系，IP 地址的分配方法，掌握网络互联技术，针对给定需求，设计出满足要求的系统总体方案与系统拓扑图、单元子系统（或单元电路）、软硬件模块或工艺。[6</w:t>
      </w:r>
      <w:r>
        <w:rPr>
          <w:rFonts w:hint="eastAsia"/>
          <w:szCs w:val="21"/>
        </w:rPr>
        <w:t>.</w:t>
      </w:r>
      <w:r>
        <w:rPr>
          <w:szCs w:val="21"/>
        </w:rPr>
        <w:t>2]</w:t>
      </w:r>
    </w:p>
    <w:p>
      <w:pPr>
        <w:snapToGrid w:val="0"/>
        <w:spacing w:line="300" w:lineRule="auto"/>
        <w:ind w:firstLine="420" w:firstLineChars="200"/>
        <w:rPr>
          <w:szCs w:val="21"/>
        </w:rPr>
      </w:pPr>
      <w:r>
        <w:rPr>
          <w:szCs w:val="21"/>
        </w:rPr>
        <w:t>4．具备TCP/UDP的传输控制原理，基于应用层各种协议分析评价工程实践和电子信息行业新产品、新技术的开发和应用对社会、健康、安全、法律以及文化的影响，并理解应承担的责任。[6</w:t>
      </w:r>
      <w:r>
        <w:rPr>
          <w:rFonts w:hint="eastAsia"/>
          <w:szCs w:val="21"/>
        </w:rPr>
        <w:t>.</w:t>
      </w:r>
      <w:r>
        <w:rPr>
          <w:szCs w:val="21"/>
        </w:rPr>
        <w:t>2]</w:t>
      </w:r>
    </w:p>
    <w:p>
      <w:pPr>
        <w:snapToGrid w:val="0"/>
        <w:spacing w:line="300" w:lineRule="auto"/>
        <w:ind w:firstLine="420" w:firstLineChars="200"/>
        <w:rPr>
          <w:szCs w:val="21"/>
        </w:rPr>
      </w:pPr>
      <w:r>
        <w:rPr>
          <w:szCs w:val="21"/>
        </w:rPr>
        <w:t>5．具备无线局域网原理，网络安全原理，了解环境和社会可持续发展的相关政策及法律、法规，能够理解电子信息行业新产品和新技术的开发和应用对环境、社会可持续发展的影响。[7</w:t>
      </w:r>
      <w:r>
        <w:rPr>
          <w:rFonts w:hint="eastAsia"/>
          <w:szCs w:val="21"/>
        </w:rPr>
        <w:t>.</w:t>
      </w:r>
      <w:r>
        <w:rPr>
          <w:szCs w:val="21"/>
        </w:rPr>
        <w:t>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jc w:val="center"/>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93" w:type="dxa"/>
            <w:vAlign w:val="center"/>
          </w:tcPr>
          <w:p>
            <w:pPr>
              <w:snapToGrid w:val="0"/>
              <w:spacing w:line="300" w:lineRule="auto"/>
              <w:rPr>
                <w:sz w:val="18"/>
                <w:szCs w:val="18"/>
              </w:rPr>
            </w:pPr>
            <w:r>
              <w:rPr>
                <w:sz w:val="18"/>
                <w:szCs w:val="18"/>
              </w:rPr>
              <w:t>1．工程知识</w:t>
            </w:r>
          </w:p>
        </w:tc>
        <w:tc>
          <w:tcPr>
            <w:tcW w:w="6143" w:type="dxa"/>
          </w:tcPr>
          <w:p>
            <w:pPr>
              <w:snapToGrid w:val="0"/>
              <w:spacing w:line="300" w:lineRule="auto"/>
              <w:rPr>
                <w:sz w:val="18"/>
                <w:szCs w:val="18"/>
              </w:rPr>
            </w:pPr>
            <w:r>
              <w:rPr>
                <w:sz w:val="18"/>
                <w:szCs w:val="18"/>
              </w:rPr>
              <w:t>1</w:t>
            </w:r>
            <w:r>
              <w:rPr>
                <w:rFonts w:hint="eastAsia"/>
                <w:sz w:val="18"/>
                <w:szCs w:val="18"/>
              </w:rPr>
              <w:t>.</w:t>
            </w:r>
            <w:r>
              <w:rPr>
                <w:sz w:val="18"/>
                <w:szCs w:val="18"/>
              </w:rPr>
              <w:t>2掌握计算机、电子、信息、通信、测控及其它工程基础知识，并有效将其应用于电子信息领域工程问题的软硬件分析与设计</w:t>
            </w:r>
            <w:r>
              <w:rPr>
                <w:szCs w:val="21"/>
              </w:rPr>
              <w:t>。</w:t>
            </w:r>
          </w:p>
        </w:tc>
        <w:tc>
          <w:tcPr>
            <w:tcW w:w="689"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6．工程与社会</w:t>
            </w:r>
          </w:p>
        </w:tc>
        <w:tc>
          <w:tcPr>
            <w:tcW w:w="6143" w:type="dxa"/>
            <w:vAlign w:val="center"/>
          </w:tcPr>
          <w:p>
            <w:pPr>
              <w:snapToGrid w:val="0"/>
              <w:spacing w:line="300" w:lineRule="auto"/>
              <w:rPr>
                <w:sz w:val="18"/>
                <w:szCs w:val="18"/>
              </w:rPr>
            </w:pPr>
            <w:r>
              <w:rPr>
                <w:sz w:val="18"/>
                <w:szCs w:val="18"/>
              </w:rPr>
              <w:t>6</w:t>
            </w:r>
            <w:r>
              <w:rPr>
                <w:rFonts w:hint="eastAsia"/>
                <w:sz w:val="18"/>
                <w:szCs w:val="18"/>
              </w:rPr>
              <w:t>.</w:t>
            </w:r>
            <w:r>
              <w:rPr>
                <w:sz w:val="18"/>
                <w:szCs w:val="18"/>
              </w:rPr>
              <w:t>2能够基于工程相关背景知识，合理分析和评价专业工程实践和电子信息行业新产品、新技术的开发和应用对社会、健康、安全、法律以及文化的影响，并理解应承担的责任。</w:t>
            </w:r>
          </w:p>
        </w:tc>
        <w:tc>
          <w:tcPr>
            <w:tcW w:w="689" w:type="dxa"/>
            <w:vAlign w:val="center"/>
          </w:tcPr>
          <w:p>
            <w:pPr>
              <w:snapToGrid w:val="0"/>
              <w:spacing w:line="300" w:lineRule="auto"/>
              <w:jc w:val="center"/>
              <w:rPr>
                <w:sz w:val="18"/>
                <w:szCs w:val="18"/>
              </w:rPr>
            </w:pP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7．环境和可持续发展</w:t>
            </w:r>
          </w:p>
        </w:tc>
        <w:tc>
          <w:tcPr>
            <w:tcW w:w="6143" w:type="dxa"/>
            <w:vAlign w:val="center"/>
          </w:tcPr>
          <w:p>
            <w:pPr>
              <w:snapToGrid w:val="0"/>
              <w:spacing w:line="300" w:lineRule="auto"/>
              <w:rPr>
                <w:color w:val="FF0000"/>
                <w:sz w:val="18"/>
                <w:szCs w:val="18"/>
              </w:rPr>
            </w:pPr>
            <w:r>
              <w:rPr>
                <w:color w:val="000000" w:themeColor="text1"/>
                <w:sz w:val="18"/>
                <w:szCs w:val="18"/>
                <w14:textFill>
                  <w14:solidFill>
                    <w14:schemeClr w14:val="tx1"/>
                  </w14:solidFill>
                </w14:textFill>
              </w:rPr>
              <w:t>7</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2能够理解</w:t>
            </w:r>
            <w:r>
              <w:rPr>
                <w:rFonts w:hint="eastAsia"/>
                <w:color w:val="000000" w:themeColor="text1"/>
                <w:sz w:val="18"/>
                <w:szCs w:val="18"/>
                <w14:textFill>
                  <w14:solidFill>
                    <w14:schemeClr w14:val="tx1"/>
                  </w14:solidFill>
                </w14:textFill>
              </w:rPr>
              <w:t>和评价</w:t>
            </w:r>
            <w:r>
              <w:rPr>
                <w:color w:val="000000" w:themeColor="text1"/>
                <w:sz w:val="18"/>
                <w:szCs w:val="18"/>
                <w14:textFill>
                  <w14:solidFill>
                    <w14:schemeClr w14:val="tx1"/>
                  </w14:solidFill>
                </w14:textFill>
              </w:rPr>
              <w:t>电子信息领域复杂工程问题对环境、社会可持续发展的影响。</w:t>
            </w:r>
          </w:p>
        </w:tc>
        <w:tc>
          <w:tcPr>
            <w:tcW w:w="689" w:type="dxa"/>
            <w:vAlign w:val="center"/>
          </w:tcPr>
          <w:p>
            <w:pPr>
              <w:snapToGrid w:val="0"/>
              <w:spacing w:line="300" w:lineRule="auto"/>
              <w:jc w:val="center"/>
              <w:rPr>
                <w:sz w:val="18"/>
                <w:szCs w:val="18"/>
              </w:rPr>
            </w:pPr>
            <w:r>
              <w:rPr>
                <w:sz w:val="18"/>
                <w:szCs w:val="18"/>
              </w:rPr>
              <w:t>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0"/>
        <w:gridCol w:w="1781"/>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7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63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1.掌握计算机网络与数字通信的基本概念、分析方法和处理技术；掌握OSI七层参考模型的各层功能、协议内容及数据在各层中的传递过程。并能将其应用于电子信息领域工程问题的软硬件分析与设计。</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6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2.掌握局域网802.3的工作原理、发展变化及网络通信设备的工作原理和配置方法，具备设计、组建局域网的能力。为研究设计各种数字通信系统提供必要的基础。</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6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3．具备INTERNET的知识体系，IP 地址的分配方法，掌握网络互联技术，针对给定需求，设计出满足要求的系统总体方案与系统拓扑图、单元子系统（或单元电路）、软硬件模块或工艺。</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讲授、实验、作业等达成。</w:t>
            </w:r>
          </w:p>
        </w:tc>
        <w:tc>
          <w:tcPr>
            <w:tcW w:w="16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4．具备TCP/UDP的传输控制原理，基于应用层各种协议分析评价工程实践和电子信息行业新产品、新技术的开发和应用对社会、健康、安全、法律以及文化的影响，并理解应承担的责任。</w:t>
            </w:r>
          </w:p>
        </w:tc>
        <w:tc>
          <w:tcPr>
            <w:tcW w:w="1781"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6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5．具备无线局域网原理，网络安全原理，了解环境和社会可持续发展的相关政策及法律、法规，能够理解电子信息行业新产品和新技术的开发和应用对环境、社会可持续发展的影响。</w:t>
            </w:r>
          </w:p>
        </w:tc>
        <w:tc>
          <w:tcPr>
            <w:tcW w:w="1781"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6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课堂讲授为主，网络多媒体教学、课程独立网站（含教学视频）以及“雨课堂”同步学习为辅，注重与专业相关工程实践教学环节和场景配合的案例教学，搜集《电路分析》相关内容在实际工程中的案例，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
        <w:gridCol w:w="3410"/>
        <w:gridCol w:w="3708"/>
        <w:gridCol w:w="447"/>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91"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3410" w:type="dxa"/>
            <w:vAlign w:val="center"/>
          </w:tcPr>
          <w:p>
            <w:pPr>
              <w:adjustRightInd w:val="0"/>
              <w:snapToGrid w:val="0"/>
              <w:spacing w:line="300" w:lineRule="auto"/>
              <w:jc w:val="center"/>
              <w:rPr>
                <w:b/>
                <w:bCs/>
                <w:sz w:val="18"/>
                <w:szCs w:val="18"/>
              </w:rPr>
            </w:pPr>
            <w:r>
              <w:rPr>
                <w:b/>
                <w:bCs/>
                <w:sz w:val="18"/>
                <w:szCs w:val="18"/>
              </w:rPr>
              <w:t>教学内容</w:t>
            </w:r>
          </w:p>
        </w:tc>
        <w:tc>
          <w:tcPr>
            <w:tcW w:w="3708" w:type="dxa"/>
            <w:vAlign w:val="center"/>
          </w:tcPr>
          <w:p>
            <w:pPr>
              <w:adjustRightInd w:val="0"/>
              <w:snapToGrid w:val="0"/>
              <w:spacing w:line="300" w:lineRule="auto"/>
              <w:jc w:val="center"/>
              <w:rPr>
                <w:b/>
                <w:bCs/>
                <w:sz w:val="18"/>
                <w:szCs w:val="18"/>
              </w:rPr>
            </w:pPr>
            <w:r>
              <w:rPr>
                <w:b/>
                <w:bCs/>
                <w:sz w:val="18"/>
                <w:szCs w:val="18"/>
              </w:rPr>
              <w:t>教与学的要求</w:t>
            </w:r>
          </w:p>
        </w:tc>
        <w:tc>
          <w:tcPr>
            <w:tcW w:w="447" w:type="dxa"/>
            <w:vAlign w:val="center"/>
          </w:tcPr>
          <w:p>
            <w:pPr>
              <w:adjustRightInd w:val="0"/>
              <w:snapToGrid w:val="0"/>
              <w:spacing w:line="300" w:lineRule="auto"/>
              <w:jc w:val="center"/>
              <w:rPr>
                <w:b/>
                <w:bCs/>
                <w:sz w:val="18"/>
                <w:szCs w:val="18"/>
              </w:rPr>
            </w:pPr>
            <w:r>
              <w:rPr>
                <w:b/>
                <w:bCs/>
                <w:sz w:val="18"/>
                <w:szCs w:val="18"/>
              </w:rPr>
              <w:t>学时</w:t>
            </w:r>
          </w:p>
        </w:tc>
        <w:tc>
          <w:tcPr>
            <w:tcW w:w="888"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3410" w:type="dxa"/>
            <w:vAlign w:val="center"/>
          </w:tcPr>
          <w:p>
            <w:pPr>
              <w:adjustRightInd w:val="0"/>
              <w:snapToGrid w:val="0"/>
              <w:spacing w:line="300" w:lineRule="auto"/>
              <w:rPr>
                <w:sz w:val="18"/>
                <w:szCs w:val="18"/>
              </w:rPr>
            </w:pPr>
            <w:r>
              <w:rPr>
                <w:sz w:val="18"/>
                <w:szCs w:val="18"/>
              </w:rPr>
              <w:t>1绪论</w:t>
            </w:r>
          </w:p>
          <w:p>
            <w:pPr>
              <w:adjustRightInd w:val="0"/>
              <w:snapToGrid w:val="0"/>
              <w:spacing w:line="300" w:lineRule="auto"/>
              <w:rPr>
                <w:sz w:val="18"/>
                <w:szCs w:val="18"/>
              </w:rPr>
            </w:pPr>
            <w:r>
              <w:rPr>
                <w:sz w:val="18"/>
                <w:szCs w:val="18"/>
              </w:rPr>
              <w:t>1.1 计算机网络在信息时代中的作用，互连网应用现状，对信息社会的重要性；</w:t>
            </w:r>
          </w:p>
          <w:p>
            <w:pPr>
              <w:adjustRightInd w:val="0"/>
              <w:snapToGrid w:val="0"/>
              <w:spacing w:line="300" w:lineRule="auto"/>
              <w:rPr>
                <w:sz w:val="18"/>
                <w:szCs w:val="18"/>
              </w:rPr>
            </w:pPr>
            <w:r>
              <w:rPr>
                <w:sz w:val="18"/>
                <w:szCs w:val="18"/>
              </w:rPr>
              <w:t>1.2 因特网概述：Internet的起源与发展概况</w:t>
            </w:r>
          </w:p>
          <w:p>
            <w:pPr>
              <w:adjustRightInd w:val="0"/>
              <w:snapToGrid w:val="0"/>
              <w:spacing w:line="300" w:lineRule="auto"/>
              <w:rPr>
                <w:sz w:val="18"/>
                <w:szCs w:val="18"/>
              </w:rPr>
            </w:pPr>
            <w:r>
              <w:rPr>
                <w:sz w:val="18"/>
                <w:szCs w:val="18"/>
              </w:rPr>
              <w:t>1.3 因特网的组成：资源子网与通信子网</w:t>
            </w:r>
          </w:p>
          <w:p>
            <w:pPr>
              <w:adjustRightInd w:val="0"/>
              <w:snapToGrid w:val="0"/>
              <w:spacing w:line="300" w:lineRule="auto"/>
              <w:rPr>
                <w:sz w:val="18"/>
                <w:szCs w:val="18"/>
              </w:rPr>
            </w:pPr>
            <w:r>
              <w:rPr>
                <w:sz w:val="18"/>
                <w:szCs w:val="18"/>
              </w:rPr>
              <w:t>1.4计算机网络在我国的发展</w:t>
            </w:r>
          </w:p>
          <w:p>
            <w:pPr>
              <w:adjustRightInd w:val="0"/>
              <w:snapToGrid w:val="0"/>
              <w:spacing w:line="300" w:lineRule="auto"/>
              <w:rPr>
                <w:sz w:val="18"/>
                <w:szCs w:val="18"/>
              </w:rPr>
            </w:pPr>
            <w:r>
              <w:rPr>
                <w:sz w:val="18"/>
                <w:szCs w:val="18"/>
              </w:rPr>
              <w:t>1.5计算机网络的类别：LAN、WAN及其MAN</w:t>
            </w:r>
          </w:p>
          <w:p>
            <w:pPr>
              <w:adjustRightInd w:val="0"/>
              <w:snapToGrid w:val="0"/>
              <w:spacing w:line="300" w:lineRule="auto"/>
              <w:rPr>
                <w:sz w:val="18"/>
                <w:szCs w:val="18"/>
              </w:rPr>
            </w:pPr>
            <w:r>
              <w:rPr>
                <w:sz w:val="18"/>
                <w:szCs w:val="18"/>
              </w:rPr>
              <w:t>1.6计算机网络的性能：几个性能指标介绍</w:t>
            </w:r>
          </w:p>
          <w:p>
            <w:pPr>
              <w:adjustRightInd w:val="0"/>
              <w:snapToGrid w:val="0"/>
              <w:spacing w:line="300" w:lineRule="auto"/>
              <w:rPr>
                <w:sz w:val="18"/>
                <w:szCs w:val="18"/>
              </w:rPr>
            </w:pPr>
            <w:r>
              <w:rPr>
                <w:sz w:val="18"/>
                <w:szCs w:val="18"/>
              </w:rPr>
              <w:t>1.7计算机网络体系结构：协议与分层、对等层通信，下层为上层服务，PDU，OSI模型与TCP/IP模型，两者简单比较。</w:t>
            </w:r>
          </w:p>
          <w:p>
            <w:pPr>
              <w:adjustRightInd w:val="0"/>
              <w:snapToGrid w:val="0"/>
              <w:spacing w:line="300" w:lineRule="auto"/>
              <w:rPr>
                <w:sz w:val="18"/>
                <w:szCs w:val="18"/>
              </w:rPr>
            </w:pPr>
            <w:r>
              <w:rPr>
                <w:sz w:val="18"/>
                <w:szCs w:val="18"/>
              </w:rPr>
              <w:t>1.8我国计算网络的发展简史，现今我国网络技术在世界的水平。</w:t>
            </w:r>
          </w:p>
        </w:tc>
        <w:tc>
          <w:tcPr>
            <w:tcW w:w="370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 xml:space="preserve">（1）了解计算机网络发展过程;  </w:t>
            </w:r>
          </w:p>
          <w:p>
            <w:pPr>
              <w:adjustRightInd w:val="0"/>
              <w:snapToGrid w:val="0"/>
              <w:spacing w:line="300" w:lineRule="auto"/>
              <w:rPr>
                <w:sz w:val="18"/>
                <w:szCs w:val="18"/>
              </w:rPr>
            </w:pPr>
            <w:r>
              <w:rPr>
                <w:sz w:val="18"/>
                <w:szCs w:val="18"/>
              </w:rPr>
              <w:t>（2）理解计算机网络的定义、分类方法及应用层的客户-服务器方式;</w:t>
            </w:r>
          </w:p>
          <w:p>
            <w:pPr>
              <w:adjustRightInd w:val="0"/>
              <w:snapToGrid w:val="0"/>
              <w:spacing w:line="300" w:lineRule="auto"/>
              <w:rPr>
                <w:sz w:val="18"/>
                <w:szCs w:val="18"/>
              </w:rPr>
            </w:pPr>
            <w:r>
              <w:rPr>
                <w:sz w:val="18"/>
                <w:szCs w:val="18"/>
              </w:rPr>
              <w:t>（3）理解计算机网络体系结构的分层思想、OSI模型和TCP/IP模型、协议的构成要素、相邻层之间的接口、服务提供者和服务用户的概念;</w:t>
            </w:r>
          </w:p>
          <w:p>
            <w:pPr>
              <w:adjustRightInd w:val="0"/>
              <w:snapToGrid w:val="0"/>
              <w:spacing w:line="300" w:lineRule="auto"/>
              <w:rPr>
                <w:sz w:val="18"/>
                <w:szCs w:val="18"/>
              </w:rPr>
            </w:pPr>
            <w:r>
              <w:rPr>
                <w:sz w:val="18"/>
                <w:szCs w:val="18"/>
              </w:rPr>
              <w:t>（4）掌握计算机网络的带宽、时延等主要性能指</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（1）学习和了解计算机网络体系结构的内容；</w:t>
            </w:r>
          </w:p>
          <w:p>
            <w:pPr>
              <w:adjustRightInd w:val="0"/>
              <w:snapToGrid w:val="0"/>
              <w:spacing w:line="300" w:lineRule="auto"/>
              <w:rPr>
                <w:sz w:val="18"/>
                <w:szCs w:val="18"/>
              </w:rPr>
            </w:pPr>
            <w:r>
              <w:rPr>
                <w:sz w:val="18"/>
                <w:szCs w:val="18"/>
              </w:rPr>
              <w:t>（2）复习第一章内容；</w:t>
            </w:r>
          </w:p>
          <w:p>
            <w:pPr>
              <w:adjustRightInd w:val="0"/>
              <w:snapToGrid w:val="0"/>
              <w:spacing w:line="300" w:lineRule="auto"/>
              <w:rPr>
                <w:sz w:val="18"/>
                <w:szCs w:val="18"/>
              </w:rPr>
            </w:pPr>
            <w:r>
              <w:rPr>
                <w:sz w:val="18"/>
                <w:szCs w:val="18"/>
              </w:rPr>
              <w:t>（3）完成教材第一章作业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案例1：日常使用的网络形式。</w:t>
            </w:r>
          </w:p>
        </w:tc>
        <w:tc>
          <w:tcPr>
            <w:tcW w:w="447" w:type="dxa"/>
            <w:vAlign w:val="center"/>
          </w:tcPr>
          <w:p>
            <w:pPr>
              <w:adjustRightInd w:val="0"/>
              <w:snapToGrid w:val="0"/>
              <w:spacing w:line="300" w:lineRule="auto"/>
              <w:jc w:val="center"/>
              <w:rPr>
                <w:sz w:val="18"/>
                <w:szCs w:val="18"/>
              </w:rPr>
            </w:pPr>
            <w:r>
              <w:rPr>
                <w:sz w:val="18"/>
                <w:szCs w:val="18"/>
              </w:rPr>
              <w:t>2</w:t>
            </w:r>
          </w:p>
        </w:tc>
        <w:tc>
          <w:tcPr>
            <w:tcW w:w="888" w:type="dxa"/>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3410" w:type="dxa"/>
            <w:vAlign w:val="center"/>
          </w:tcPr>
          <w:p>
            <w:pPr>
              <w:adjustRightInd w:val="0"/>
              <w:snapToGrid w:val="0"/>
              <w:spacing w:line="300" w:lineRule="auto"/>
              <w:rPr>
                <w:sz w:val="18"/>
                <w:szCs w:val="18"/>
              </w:rPr>
            </w:pPr>
            <w:r>
              <w:rPr>
                <w:sz w:val="18"/>
                <w:szCs w:val="18"/>
              </w:rPr>
              <w:t>2物理层</w:t>
            </w:r>
          </w:p>
          <w:p>
            <w:pPr>
              <w:adjustRightInd w:val="0"/>
              <w:snapToGrid w:val="0"/>
              <w:spacing w:line="300" w:lineRule="auto"/>
              <w:rPr>
                <w:sz w:val="18"/>
                <w:szCs w:val="18"/>
              </w:rPr>
            </w:pPr>
            <w:r>
              <w:rPr>
                <w:sz w:val="18"/>
                <w:szCs w:val="18"/>
              </w:rPr>
              <w:t>1.1 物理层的基本概念：物理层的功能，规程之内容</w:t>
            </w:r>
          </w:p>
          <w:p>
            <w:pPr>
              <w:adjustRightInd w:val="0"/>
              <w:snapToGrid w:val="0"/>
              <w:spacing w:line="300" w:lineRule="auto"/>
              <w:rPr>
                <w:sz w:val="18"/>
                <w:szCs w:val="18"/>
              </w:rPr>
            </w:pPr>
            <w:r>
              <w:rPr>
                <w:sz w:val="18"/>
                <w:szCs w:val="18"/>
              </w:rPr>
              <w:t>1.2 数据通信的基础知识：通信模型，信道中的概念，信道容量</w:t>
            </w:r>
          </w:p>
          <w:p>
            <w:pPr>
              <w:adjustRightInd w:val="0"/>
              <w:snapToGrid w:val="0"/>
              <w:spacing w:line="300" w:lineRule="auto"/>
              <w:rPr>
                <w:sz w:val="18"/>
                <w:szCs w:val="18"/>
              </w:rPr>
            </w:pPr>
            <w:r>
              <w:rPr>
                <w:sz w:val="18"/>
                <w:szCs w:val="18"/>
              </w:rPr>
              <w:t>1.3  物理层下面的传输媒体：双绞线、光纤、无线信道、卫星通信等简介</w:t>
            </w:r>
          </w:p>
          <w:p>
            <w:pPr>
              <w:adjustRightInd w:val="0"/>
              <w:snapToGrid w:val="0"/>
              <w:spacing w:line="300" w:lineRule="auto"/>
              <w:rPr>
                <w:sz w:val="18"/>
                <w:szCs w:val="18"/>
              </w:rPr>
            </w:pPr>
            <w:r>
              <w:rPr>
                <w:sz w:val="18"/>
                <w:szCs w:val="18"/>
              </w:rPr>
              <w:t>1.4 信道复用技术：频分、时分复用，统计时分复用，波分复用，码分复用</w:t>
            </w:r>
          </w:p>
          <w:p>
            <w:pPr>
              <w:adjustRightInd w:val="0"/>
              <w:snapToGrid w:val="0"/>
              <w:spacing w:line="300" w:lineRule="auto"/>
              <w:rPr>
                <w:sz w:val="18"/>
                <w:szCs w:val="18"/>
              </w:rPr>
            </w:pPr>
            <w:r>
              <w:rPr>
                <w:sz w:val="18"/>
                <w:szCs w:val="18"/>
              </w:rPr>
              <w:t>1.5 数字传输系统：PCM、T1、E1及其速率计算，SDH/SONET介绍</w:t>
            </w:r>
          </w:p>
          <w:p>
            <w:pPr>
              <w:adjustRightInd w:val="0"/>
              <w:snapToGrid w:val="0"/>
              <w:spacing w:line="300" w:lineRule="auto"/>
              <w:rPr>
                <w:sz w:val="18"/>
                <w:szCs w:val="18"/>
              </w:rPr>
            </w:pPr>
            <w:r>
              <w:rPr>
                <w:sz w:val="18"/>
                <w:szCs w:val="18"/>
              </w:rPr>
              <w:t>1.6 宽带接入技术：xDSL、HFC、FTTx技术介绍</w:t>
            </w:r>
          </w:p>
          <w:p>
            <w:pPr>
              <w:adjustRightInd w:val="0"/>
              <w:snapToGrid w:val="0"/>
              <w:spacing w:line="300" w:lineRule="auto"/>
              <w:rPr>
                <w:sz w:val="18"/>
                <w:szCs w:val="18"/>
              </w:rPr>
            </w:pPr>
          </w:p>
        </w:tc>
        <w:tc>
          <w:tcPr>
            <w:tcW w:w="370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（1）了解传输介质的类型及主要特点、同步光纤网SONET、同步数字系列SDH和宽带接入技术；</w:t>
            </w:r>
          </w:p>
          <w:p>
            <w:pPr>
              <w:adjustRightInd w:val="0"/>
              <w:snapToGrid w:val="0"/>
              <w:spacing w:line="300" w:lineRule="auto"/>
              <w:rPr>
                <w:sz w:val="18"/>
                <w:szCs w:val="18"/>
              </w:rPr>
            </w:pPr>
            <w:r>
              <w:rPr>
                <w:sz w:val="18"/>
                <w:szCs w:val="18"/>
              </w:rPr>
              <w:t>（2）理解物理层基本概念、基带传输及接口标准</w:t>
            </w:r>
          </w:p>
          <w:p>
            <w:pPr>
              <w:adjustRightInd w:val="0"/>
              <w:snapToGrid w:val="0"/>
              <w:spacing w:line="300" w:lineRule="auto"/>
              <w:rPr>
                <w:sz w:val="18"/>
                <w:szCs w:val="18"/>
              </w:rPr>
            </w:pPr>
            <w:r>
              <w:rPr>
                <w:sz w:val="18"/>
                <w:szCs w:val="18"/>
              </w:rPr>
              <w:t>（3）掌握物理层与物理层协议、数据通信、频带传输、数据编码的类型和基本方法、多路复用的分类与特点、数据交换技术分类与特点</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（1）复习第一章内容；</w:t>
            </w:r>
          </w:p>
          <w:p>
            <w:pPr>
              <w:adjustRightInd w:val="0"/>
              <w:snapToGrid w:val="0"/>
              <w:spacing w:line="300" w:lineRule="auto"/>
              <w:rPr>
                <w:sz w:val="18"/>
                <w:szCs w:val="18"/>
              </w:rPr>
            </w:pPr>
            <w:r>
              <w:rPr>
                <w:sz w:val="18"/>
                <w:szCs w:val="18"/>
              </w:rPr>
              <w:t>（2）完成教材第二章作业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案例2：常见接入网的类型</w:t>
            </w:r>
          </w:p>
        </w:tc>
        <w:tc>
          <w:tcPr>
            <w:tcW w:w="447" w:type="dxa"/>
            <w:vAlign w:val="center"/>
          </w:tcPr>
          <w:p>
            <w:pPr>
              <w:adjustRightInd w:val="0"/>
              <w:snapToGrid w:val="0"/>
              <w:spacing w:line="300" w:lineRule="auto"/>
              <w:jc w:val="center"/>
              <w:rPr>
                <w:sz w:val="18"/>
                <w:szCs w:val="18"/>
              </w:rPr>
            </w:pPr>
            <w:r>
              <w:rPr>
                <w:sz w:val="18"/>
                <w:szCs w:val="18"/>
              </w:rPr>
              <w:t>2</w:t>
            </w:r>
          </w:p>
        </w:tc>
        <w:tc>
          <w:tcPr>
            <w:tcW w:w="888" w:type="dxa"/>
            <w:vAlign w:val="center"/>
          </w:tcPr>
          <w:p>
            <w:pPr>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3410" w:type="dxa"/>
            <w:vAlign w:val="center"/>
          </w:tcPr>
          <w:p>
            <w:pPr>
              <w:adjustRightInd w:val="0"/>
              <w:snapToGrid w:val="0"/>
              <w:spacing w:line="300" w:lineRule="auto"/>
              <w:rPr>
                <w:sz w:val="18"/>
                <w:szCs w:val="18"/>
              </w:rPr>
            </w:pPr>
            <w:r>
              <w:rPr>
                <w:sz w:val="18"/>
                <w:szCs w:val="18"/>
              </w:rPr>
              <w:t>3  数据链路层</w:t>
            </w:r>
          </w:p>
          <w:p>
            <w:pPr>
              <w:adjustRightInd w:val="0"/>
              <w:snapToGrid w:val="0"/>
              <w:spacing w:line="300" w:lineRule="auto"/>
              <w:rPr>
                <w:sz w:val="18"/>
                <w:szCs w:val="18"/>
              </w:rPr>
            </w:pPr>
            <w:r>
              <w:rPr>
                <w:sz w:val="18"/>
                <w:szCs w:val="18"/>
              </w:rPr>
              <w:t>3.1 使用点对点信道的数据链路层：链路层基本功能与信道，链路层虚通信</w:t>
            </w:r>
          </w:p>
          <w:p>
            <w:pPr>
              <w:adjustRightInd w:val="0"/>
              <w:snapToGrid w:val="0"/>
              <w:spacing w:line="300" w:lineRule="auto"/>
              <w:rPr>
                <w:sz w:val="18"/>
                <w:szCs w:val="18"/>
              </w:rPr>
            </w:pPr>
            <w:r>
              <w:rPr>
                <w:sz w:val="18"/>
                <w:szCs w:val="18"/>
              </w:rPr>
              <w:t xml:space="preserve">3.2  点对点协议PPP：链路帧的组成、透明传输、CRC检验、PPP协议数据包构成  </w:t>
            </w:r>
          </w:p>
          <w:p>
            <w:pPr>
              <w:adjustRightInd w:val="0"/>
              <w:snapToGrid w:val="0"/>
              <w:spacing w:line="300" w:lineRule="auto"/>
              <w:rPr>
                <w:sz w:val="18"/>
                <w:szCs w:val="18"/>
              </w:rPr>
            </w:pPr>
            <w:r>
              <w:rPr>
                <w:sz w:val="18"/>
                <w:szCs w:val="18"/>
              </w:rPr>
              <w:t>3.3 使用广播信道的数据链路层：LAN网络拓朴，多点接入——随机接入与受控接入，以太网标准，通信适配器的组成与作用，CSMA/CD协议分析、等待策略、碰撞检测、冲突退避</w:t>
            </w:r>
          </w:p>
          <w:p>
            <w:pPr>
              <w:adjustRightInd w:val="0"/>
              <w:snapToGrid w:val="0"/>
              <w:spacing w:line="300" w:lineRule="auto"/>
              <w:rPr>
                <w:sz w:val="18"/>
                <w:szCs w:val="18"/>
              </w:rPr>
            </w:pPr>
            <w:r>
              <w:rPr>
                <w:sz w:val="18"/>
                <w:szCs w:val="18"/>
              </w:rPr>
              <w:t>3.4  使用广播信道的以太网：HUB工作原理，以太网信道利用率计算，MAC层的作用，MAC地址、帧格式，帧定界、最短帧、无效帧的概念与定义</w:t>
            </w:r>
          </w:p>
          <w:p>
            <w:pPr>
              <w:adjustRightInd w:val="0"/>
              <w:snapToGrid w:val="0"/>
              <w:spacing w:line="300" w:lineRule="auto"/>
              <w:rPr>
                <w:sz w:val="18"/>
                <w:szCs w:val="18"/>
              </w:rPr>
            </w:pPr>
            <w:r>
              <w:rPr>
                <w:sz w:val="18"/>
                <w:szCs w:val="18"/>
              </w:rPr>
              <w:t>3.5  扩展的以太网：物理层扩展——中继器与HUB、链路层扩展——透明网桥、源路由网桥，以太网交换机，VLAN</w:t>
            </w:r>
          </w:p>
          <w:p>
            <w:pPr>
              <w:adjustRightInd w:val="0"/>
              <w:snapToGrid w:val="0"/>
              <w:spacing w:line="300" w:lineRule="auto"/>
              <w:rPr>
                <w:sz w:val="18"/>
                <w:szCs w:val="18"/>
              </w:rPr>
            </w:pPr>
            <w:r>
              <w:rPr>
                <w:sz w:val="18"/>
                <w:szCs w:val="18"/>
              </w:rPr>
              <w:t>3.6 高速以太网：100BASE-T，千/万兆以太网</w:t>
            </w:r>
          </w:p>
          <w:p>
            <w:pPr>
              <w:adjustRightInd w:val="0"/>
              <w:snapToGrid w:val="0"/>
              <w:spacing w:line="300" w:lineRule="auto"/>
              <w:rPr>
                <w:sz w:val="18"/>
                <w:szCs w:val="18"/>
              </w:rPr>
            </w:pPr>
            <w:r>
              <w:rPr>
                <w:sz w:val="18"/>
                <w:szCs w:val="18"/>
              </w:rPr>
              <w:t>3.7 华为网络设备的发展历程</w:t>
            </w:r>
          </w:p>
        </w:tc>
        <w:tc>
          <w:tcPr>
            <w:tcW w:w="3708" w:type="dxa"/>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（1）了解数据传输过程中差错产生的原因和出错的几种情况</w:t>
            </w:r>
          </w:p>
          <w:p>
            <w:pPr>
              <w:adjustRightInd w:val="0"/>
              <w:snapToGrid w:val="0"/>
              <w:spacing w:line="300" w:lineRule="auto"/>
              <w:rPr>
                <w:sz w:val="18"/>
                <w:szCs w:val="18"/>
              </w:rPr>
            </w:pPr>
            <w:r>
              <w:rPr>
                <w:sz w:val="18"/>
                <w:szCs w:val="18"/>
              </w:rPr>
              <w:t>（2）理解链路、数据链路概念</w:t>
            </w:r>
          </w:p>
          <w:p>
            <w:pPr>
              <w:adjustRightInd w:val="0"/>
              <w:snapToGrid w:val="0"/>
              <w:spacing w:line="300" w:lineRule="auto"/>
              <w:rPr>
                <w:sz w:val="18"/>
                <w:szCs w:val="18"/>
              </w:rPr>
            </w:pPr>
            <w:r>
              <w:rPr>
                <w:sz w:val="18"/>
                <w:szCs w:val="18"/>
              </w:rPr>
              <w:t>（3）理解帧定界、透明传输、差错检测的方法</w:t>
            </w:r>
          </w:p>
          <w:p>
            <w:pPr>
              <w:adjustRightInd w:val="0"/>
              <w:snapToGrid w:val="0"/>
              <w:spacing w:line="300" w:lineRule="auto"/>
              <w:rPr>
                <w:sz w:val="18"/>
                <w:szCs w:val="18"/>
              </w:rPr>
            </w:pPr>
            <w:r>
              <w:rPr>
                <w:sz w:val="18"/>
                <w:szCs w:val="18"/>
              </w:rPr>
              <w:t>（4）掌握停止等待协议、连续重传协议ARQ、面向比特的链路控制规程HDLC、点对点协议PPP</w:t>
            </w:r>
          </w:p>
          <w:p>
            <w:pPr>
              <w:adjustRightInd w:val="0"/>
              <w:snapToGrid w:val="0"/>
              <w:spacing w:line="300" w:lineRule="auto"/>
              <w:rPr>
                <w:sz w:val="18"/>
                <w:szCs w:val="18"/>
              </w:rPr>
            </w:pPr>
            <w:r>
              <w:rPr>
                <w:sz w:val="18"/>
                <w:szCs w:val="18"/>
              </w:rPr>
              <w:t>（5）掌握CSAM/CD的工作原理与特性、帧结构；（6）理解VLAN的工作原理；并理解HUB、SWICTH的不同。(A)</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（1）复习第三章内容；</w:t>
            </w:r>
          </w:p>
          <w:p>
            <w:pPr>
              <w:adjustRightInd w:val="0"/>
              <w:snapToGrid w:val="0"/>
              <w:spacing w:line="300" w:lineRule="auto"/>
              <w:rPr>
                <w:sz w:val="18"/>
                <w:szCs w:val="18"/>
              </w:rPr>
            </w:pPr>
            <w:r>
              <w:rPr>
                <w:sz w:val="18"/>
                <w:szCs w:val="18"/>
              </w:rPr>
              <w:t>（2）完成教材第三章作业。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案例3：宿舍网络类型</w:t>
            </w:r>
          </w:p>
        </w:tc>
        <w:tc>
          <w:tcPr>
            <w:tcW w:w="447" w:type="dxa"/>
            <w:vAlign w:val="center"/>
          </w:tcPr>
          <w:p>
            <w:pPr>
              <w:adjustRightInd w:val="0"/>
              <w:snapToGrid w:val="0"/>
              <w:spacing w:line="300" w:lineRule="auto"/>
              <w:jc w:val="center"/>
              <w:rPr>
                <w:sz w:val="18"/>
                <w:szCs w:val="18"/>
              </w:rPr>
            </w:pPr>
            <w:r>
              <w:rPr>
                <w:rFonts w:hint="eastAsia"/>
                <w:sz w:val="18"/>
                <w:szCs w:val="18"/>
              </w:rPr>
              <w:t>3</w:t>
            </w:r>
          </w:p>
        </w:tc>
        <w:tc>
          <w:tcPr>
            <w:tcW w:w="888"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3410" w:type="dxa"/>
            <w:vAlign w:val="center"/>
          </w:tcPr>
          <w:p>
            <w:pPr>
              <w:adjustRightInd w:val="0"/>
              <w:snapToGrid w:val="0"/>
              <w:spacing w:line="300" w:lineRule="auto"/>
              <w:rPr>
                <w:sz w:val="18"/>
                <w:szCs w:val="18"/>
              </w:rPr>
            </w:pPr>
            <w:r>
              <w:rPr>
                <w:sz w:val="18"/>
                <w:szCs w:val="18"/>
              </w:rPr>
              <w:t>4  网络层</w:t>
            </w:r>
          </w:p>
          <w:p>
            <w:pPr>
              <w:adjustRightInd w:val="0"/>
              <w:snapToGrid w:val="0"/>
              <w:spacing w:line="300" w:lineRule="auto"/>
              <w:rPr>
                <w:sz w:val="18"/>
                <w:szCs w:val="18"/>
              </w:rPr>
            </w:pPr>
            <w:r>
              <w:rPr>
                <w:sz w:val="18"/>
                <w:szCs w:val="18"/>
              </w:rPr>
              <w:t>4.1 网络层提供的两种服务：网络层功能、面向连接与面向无连接服务性能特点、区别</w:t>
            </w:r>
          </w:p>
          <w:p>
            <w:pPr>
              <w:adjustRightInd w:val="0"/>
              <w:snapToGrid w:val="0"/>
              <w:spacing w:line="300" w:lineRule="auto"/>
              <w:rPr>
                <w:sz w:val="18"/>
                <w:szCs w:val="18"/>
              </w:rPr>
            </w:pPr>
            <w:r>
              <w:rPr>
                <w:sz w:val="18"/>
                <w:szCs w:val="18"/>
              </w:rPr>
              <w:t>4.2  网际协议IP ：虚拟IP网构成、IP地址组成与分类、常用三类IP地址，IP地址与硬件地址的联系与区别，ARP与RARP协议的作用，IP数据报格式，IP分组转发流程</w:t>
            </w:r>
          </w:p>
          <w:p>
            <w:pPr>
              <w:adjustRightInd w:val="0"/>
              <w:snapToGrid w:val="0"/>
              <w:spacing w:line="300" w:lineRule="auto"/>
              <w:rPr>
                <w:sz w:val="18"/>
                <w:szCs w:val="18"/>
              </w:rPr>
            </w:pPr>
            <w:r>
              <w:rPr>
                <w:sz w:val="18"/>
                <w:szCs w:val="18"/>
              </w:rPr>
              <w:t>4.3  划分子网和构造超网：划分子网、子网掩码，由CIDR构造超网</w:t>
            </w:r>
          </w:p>
          <w:p>
            <w:pPr>
              <w:adjustRightInd w:val="0"/>
              <w:snapToGrid w:val="0"/>
              <w:spacing w:line="300" w:lineRule="auto"/>
              <w:rPr>
                <w:sz w:val="18"/>
                <w:szCs w:val="18"/>
              </w:rPr>
            </w:pPr>
            <w:r>
              <w:rPr>
                <w:sz w:val="18"/>
                <w:szCs w:val="18"/>
              </w:rPr>
              <w:t>4.4 网际控制报文协议ICMP ：ICMP报文的作用，数据构成，分组传送</w:t>
            </w:r>
          </w:p>
          <w:p>
            <w:pPr>
              <w:adjustRightInd w:val="0"/>
              <w:snapToGrid w:val="0"/>
              <w:spacing w:line="300" w:lineRule="auto"/>
              <w:rPr>
                <w:sz w:val="18"/>
                <w:szCs w:val="18"/>
              </w:rPr>
            </w:pPr>
            <w:r>
              <w:rPr>
                <w:sz w:val="18"/>
                <w:szCs w:val="18"/>
              </w:rPr>
              <w:t>4.5  因特网的路由选择协议：RIP、OSPF协议工作原理、性能特点，外部部网关协议BGP-4，路由器的构成</w:t>
            </w:r>
          </w:p>
          <w:p>
            <w:pPr>
              <w:adjustRightInd w:val="0"/>
              <w:snapToGrid w:val="0"/>
              <w:spacing w:line="300" w:lineRule="auto"/>
              <w:rPr>
                <w:sz w:val="18"/>
                <w:szCs w:val="18"/>
              </w:rPr>
            </w:pPr>
            <w:r>
              <w:rPr>
                <w:sz w:val="18"/>
                <w:szCs w:val="18"/>
              </w:rPr>
              <w:t>4.6  IP多播：概念与实现，IGMP协议、多播路由选择协议</w:t>
            </w:r>
          </w:p>
          <w:p>
            <w:pPr>
              <w:adjustRightInd w:val="0"/>
              <w:snapToGrid w:val="0"/>
              <w:spacing w:line="300" w:lineRule="auto"/>
              <w:rPr>
                <w:sz w:val="18"/>
                <w:szCs w:val="18"/>
              </w:rPr>
            </w:pPr>
            <w:r>
              <w:rPr>
                <w:sz w:val="18"/>
                <w:szCs w:val="18"/>
              </w:rPr>
              <w:t>4.7  虚拟专用网VPN和网络地址转换NAT ：VPN构成与IP隧道，NAT的作用</w:t>
            </w:r>
          </w:p>
        </w:tc>
        <w:tc>
          <w:tcPr>
            <w:tcW w:w="370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（1）了解Internet控制报文协议ICMP与组管理协议IGMP、虚拟专用网VPN和网络地址转换NAT、外部网关协议BGP、下一代网际协议IPV6</w:t>
            </w:r>
          </w:p>
          <w:p>
            <w:pPr>
              <w:adjustRightInd w:val="0"/>
              <w:snapToGrid w:val="0"/>
              <w:spacing w:line="300" w:lineRule="auto"/>
              <w:rPr>
                <w:sz w:val="18"/>
                <w:szCs w:val="18"/>
              </w:rPr>
            </w:pPr>
            <w:r>
              <w:rPr>
                <w:sz w:val="18"/>
                <w:szCs w:val="18"/>
              </w:rPr>
              <w:t>（2）理解网络互联的基本概念、路由器的组成结构(A)</w:t>
            </w:r>
          </w:p>
          <w:p>
            <w:pPr>
              <w:adjustRightInd w:val="0"/>
              <w:snapToGrid w:val="0"/>
              <w:spacing w:line="300" w:lineRule="auto"/>
              <w:rPr>
                <w:sz w:val="18"/>
                <w:szCs w:val="18"/>
              </w:rPr>
            </w:pPr>
            <w:r>
              <w:rPr>
                <w:sz w:val="18"/>
                <w:szCs w:val="18"/>
              </w:rPr>
              <w:t>（3）掌握IP地址编制机制、地址解析的基本概念与方法(A/B)</w:t>
            </w:r>
          </w:p>
          <w:p>
            <w:pPr>
              <w:adjustRightInd w:val="0"/>
              <w:snapToGrid w:val="0"/>
              <w:spacing w:line="300" w:lineRule="auto"/>
              <w:rPr>
                <w:sz w:val="18"/>
                <w:szCs w:val="18"/>
              </w:rPr>
            </w:pPr>
            <w:r>
              <w:rPr>
                <w:sz w:val="18"/>
                <w:szCs w:val="18"/>
              </w:rPr>
              <w:t>（4）掌握IP数据报的格式、IP层转发分组的流程(A/B)</w:t>
            </w:r>
          </w:p>
          <w:p>
            <w:pPr>
              <w:adjustRightInd w:val="0"/>
              <w:snapToGrid w:val="0"/>
              <w:spacing w:line="300" w:lineRule="auto"/>
              <w:rPr>
                <w:sz w:val="18"/>
                <w:szCs w:val="18"/>
              </w:rPr>
            </w:pPr>
            <w:r>
              <w:rPr>
                <w:sz w:val="18"/>
                <w:szCs w:val="18"/>
              </w:rPr>
              <w:t>（5）掌握子网编址、构建超网的基本方法(A)</w:t>
            </w:r>
          </w:p>
          <w:p>
            <w:pPr>
              <w:adjustRightInd w:val="0"/>
              <w:snapToGrid w:val="0"/>
              <w:spacing w:line="300" w:lineRule="auto"/>
              <w:rPr>
                <w:sz w:val="18"/>
                <w:szCs w:val="18"/>
              </w:rPr>
            </w:pPr>
            <w:r>
              <w:rPr>
                <w:sz w:val="18"/>
                <w:szCs w:val="18"/>
              </w:rPr>
              <w:t>（6）熟练掌握路由选择协议RIP和OSPF(A/B)</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（1）复习第四章内容；</w:t>
            </w:r>
          </w:p>
          <w:p>
            <w:pPr>
              <w:adjustRightInd w:val="0"/>
              <w:snapToGrid w:val="0"/>
              <w:spacing w:line="300" w:lineRule="auto"/>
              <w:rPr>
                <w:sz w:val="18"/>
                <w:szCs w:val="18"/>
              </w:rPr>
            </w:pPr>
            <w:r>
              <w:rPr>
                <w:sz w:val="18"/>
                <w:szCs w:val="18"/>
              </w:rPr>
              <w:t>（2）完成教材第四章作业。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讲授式、讨论式与启发式相结合。</w:t>
            </w:r>
          </w:p>
          <w:p>
            <w:pPr>
              <w:adjustRightInd w:val="0"/>
              <w:snapToGrid w:val="0"/>
              <w:spacing w:line="300" w:lineRule="auto"/>
              <w:rPr>
                <w:sz w:val="18"/>
                <w:szCs w:val="18"/>
              </w:rPr>
            </w:pPr>
            <w:r>
              <w:rPr>
                <w:sz w:val="18"/>
                <w:szCs w:val="18"/>
              </w:rPr>
              <w:t>案例4：PC机地址及移动设备地址</w:t>
            </w:r>
          </w:p>
        </w:tc>
        <w:tc>
          <w:tcPr>
            <w:tcW w:w="447" w:type="dxa"/>
            <w:vAlign w:val="center"/>
          </w:tcPr>
          <w:p>
            <w:pPr>
              <w:adjustRightInd w:val="0"/>
              <w:snapToGrid w:val="0"/>
              <w:spacing w:line="300" w:lineRule="auto"/>
              <w:jc w:val="center"/>
              <w:rPr>
                <w:sz w:val="18"/>
                <w:szCs w:val="18"/>
              </w:rPr>
            </w:pPr>
            <w:r>
              <w:rPr>
                <w:rFonts w:hint="eastAsia"/>
                <w:sz w:val="18"/>
                <w:szCs w:val="18"/>
              </w:rPr>
              <w:t>6</w:t>
            </w:r>
          </w:p>
        </w:tc>
        <w:tc>
          <w:tcPr>
            <w:tcW w:w="888" w:type="dxa"/>
            <w:vAlign w:val="center"/>
          </w:tcPr>
          <w:p>
            <w:pPr>
              <w:adjustRightInd w:val="0"/>
              <w:snapToGrid w:val="0"/>
              <w:spacing w:line="300" w:lineRule="auto"/>
              <w:jc w:val="center"/>
              <w:rPr>
                <w:sz w:val="18"/>
                <w:szCs w:val="18"/>
              </w:rPr>
            </w:pPr>
            <w:r>
              <w:rPr>
                <w:sz w:val="18"/>
                <w:szCs w:val="18"/>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5</w:t>
            </w:r>
          </w:p>
        </w:tc>
        <w:tc>
          <w:tcPr>
            <w:tcW w:w="3410" w:type="dxa"/>
            <w:vAlign w:val="center"/>
          </w:tcPr>
          <w:p>
            <w:pPr>
              <w:adjustRightInd w:val="0"/>
              <w:snapToGrid w:val="0"/>
              <w:spacing w:line="300" w:lineRule="auto"/>
              <w:rPr>
                <w:sz w:val="18"/>
                <w:szCs w:val="18"/>
              </w:rPr>
            </w:pPr>
            <w:r>
              <w:rPr>
                <w:sz w:val="18"/>
                <w:szCs w:val="18"/>
              </w:rPr>
              <w:t>5传输层</w:t>
            </w:r>
          </w:p>
          <w:p>
            <w:pPr>
              <w:adjustRightInd w:val="0"/>
              <w:snapToGrid w:val="0"/>
              <w:spacing w:line="300" w:lineRule="auto"/>
              <w:rPr>
                <w:sz w:val="18"/>
                <w:szCs w:val="18"/>
              </w:rPr>
            </w:pPr>
            <w:r>
              <w:rPr>
                <w:sz w:val="18"/>
                <w:szCs w:val="18"/>
              </w:rPr>
              <w:t>5.1 传输层协议概述：应用进程与端口，主机通信与通信子网的联系与区别</w:t>
            </w:r>
          </w:p>
          <w:p>
            <w:pPr>
              <w:adjustRightInd w:val="0"/>
              <w:snapToGrid w:val="0"/>
              <w:spacing w:line="300" w:lineRule="auto"/>
              <w:rPr>
                <w:sz w:val="18"/>
                <w:szCs w:val="18"/>
              </w:rPr>
            </w:pPr>
            <w:r>
              <w:rPr>
                <w:sz w:val="18"/>
                <w:szCs w:val="18"/>
              </w:rPr>
              <w:t xml:space="preserve">5.2 用户数据报协议UDP ：UDP数据报传送方式，首部构成 </w:t>
            </w:r>
          </w:p>
          <w:p>
            <w:pPr>
              <w:adjustRightInd w:val="0"/>
              <w:snapToGrid w:val="0"/>
              <w:spacing w:line="300" w:lineRule="auto"/>
              <w:rPr>
                <w:sz w:val="18"/>
                <w:szCs w:val="18"/>
              </w:rPr>
            </w:pPr>
            <w:r>
              <w:rPr>
                <w:sz w:val="18"/>
                <w:szCs w:val="18"/>
              </w:rPr>
              <w:t>5.3 传输控制协议TCP概述：TCP报文段传送方式，TCP连接之描述</w:t>
            </w:r>
          </w:p>
          <w:p>
            <w:pPr>
              <w:adjustRightInd w:val="0"/>
              <w:snapToGrid w:val="0"/>
              <w:spacing w:line="300" w:lineRule="auto"/>
              <w:rPr>
                <w:sz w:val="18"/>
                <w:szCs w:val="18"/>
              </w:rPr>
            </w:pPr>
            <w:r>
              <w:rPr>
                <w:sz w:val="18"/>
                <w:szCs w:val="18"/>
              </w:rPr>
              <w:t>5.4 可靠传输的工作原理：停止等待协议，确认与重传，连续ARQ协议</w:t>
            </w:r>
          </w:p>
          <w:p>
            <w:pPr>
              <w:adjustRightInd w:val="0"/>
              <w:snapToGrid w:val="0"/>
              <w:spacing w:line="300" w:lineRule="auto"/>
              <w:rPr>
                <w:sz w:val="18"/>
                <w:szCs w:val="18"/>
              </w:rPr>
            </w:pPr>
            <w:r>
              <w:rPr>
                <w:sz w:val="18"/>
                <w:szCs w:val="18"/>
              </w:rPr>
              <w:t>5.5 TCP报文段的首部格式：首部字段内容介绍</w:t>
            </w:r>
          </w:p>
          <w:p>
            <w:pPr>
              <w:adjustRightInd w:val="0"/>
              <w:snapToGrid w:val="0"/>
              <w:spacing w:line="300" w:lineRule="auto"/>
              <w:rPr>
                <w:sz w:val="18"/>
                <w:szCs w:val="18"/>
              </w:rPr>
            </w:pPr>
            <w:r>
              <w:rPr>
                <w:sz w:val="18"/>
                <w:szCs w:val="18"/>
              </w:rPr>
              <w:t>5.6 TCP可靠传输的实现：滑动窗口工作原理，超时重传时间确定</w:t>
            </w:r>
          </w:p>
          <w:p>
            <w:pPr>
              <w:adjustRightInd w:val="0"/>
              <w:snapToGrid w:val="0"/>
              <w:spacing w:line="300" w:lineRule="auto"/>
              <w:rPr>
                <w:sz w:val="18"/>
                <w:szCs w:val="18"/>
              </w:rPr>
            </w:pPr>
            <w:r>
              <w:rPr>
                <w:sz w:val="18"/>
                <w:szCs w:val="18"/>
              </w:rPr>
              <w:t>5.7 TCP的流量控制：利用滑动窗口机制进行流量控制，双方窗口协商与交换，MSS</w:t>
            </w:r>
          </w:p>
          <w:p>
            <w:pPr>
              <w:adjustRightInd w:val="0"/>
              <w:snapToGrid w:val="0"/>
              <w:spacing w:line="300" w:lineRule="auto"/>
              <w:rPr>
                <w:sz w:val="18"/>
                <w:szCs w:val="18"/>
              </w:rPr>
            </w:pPr>
            <w:r>
              <w:rPr>
                <w:sz w:val="18"/>
                <w:szCs w:val="18"/>
              </w:rPr>
              <w:t>5.8 TCP的拥塞控制：拥塞原理，与吞吐量的关系，开环、闭环控制思想，慢开始与拥塞避免，加法增大。三个窗口协调，避免拥塞</w:t>
            </w:r>
          </w:p>
          <w:p>
            <w:pPr>
              <w:adjustRightInd w:val="0"/>
              <w:snapToGrid w:val="0"/>
              <w:spacing w:line="300" w:lineRule="auto"/>
              <w:rPr>
                <w:sz w:val="18"/>
                <w:szCs w:val="18"/>
              </w:rPr>
            </w:pPr>
            <w:r>
              <w:rPr>
                <w:sz w:val="18"/>
                <w:szCs w:val="18"/>
              </w:rPr>
              <w:t>5.9  TCP的运输连接管理：三次握手协议工作原理与过程分析</w:t>
            </w:r>
          </w:p>
          <w:p>
            <w:pPr>
              <w:adjustRightInd w:val="0"/>
              <w:snapToGrid w:val="0"/>
              <w:spacing w:line="300" w:lineRule="auto"/>
              <w:rPr>
                <w:sz w:val="18"/>
                <w:szCs w:val="18"/>
              </w:rPr>
            </w:pPr>
          </w:p>
        </w:tc>
        <w:tc>
          <w:tcPr>
            <w:tcW w:w="3708" w:type="dxa"/>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（1）了解TCP有限状态机</w:t>
            </w:r>
          </w:p>
          <w:p>
            <w:pPr>
              <w:adjustRightInd w:val="0"/>
              <w:snapToGrid w:val="0"/>
              <w:spacing w:line="300" w:lineRule="auto"/>
              <w:rPr>
                <w:sz w:val="18"/>
                <w:szCs w:val="18"/>
              </w:rPr>
            </w:pPr>
            <w:r>
              <w:rPr>
                <w:sz w:val="18"/>
                <w:szCs w:val="18"/>
              </w:rPr>
              <w:t>（2）理解端口的概念、流量控制和重传机制（A/B）</w:t>
            </w:r>
          </w:p>
          <w:p>
            <w:pPr>
              <w:adjustRightInd w:val="0"/>
              <w:snapToGrid w:val="0"/>
              <w:spacing w:line="300" w:lineRule="auto"/>
              <w:rPr>
                <w:sz w:val="18"/>
                <w:szCs w:val="18"/>
              </w:rPr>
            </w:pPr>
            <w:r>
              <w:rPr>
                <w:sz w:val="18"/>
                <w:szCs w:val="18"/>
              </w:rPr>
              <w:t>（3）掌握TCP和UDP协议(A)</w:t>
            </w:r>
          </w:p>
          <w:p>
            <w:pPr>
              <w:adjustRightInd w:val="0"/>
              <w:snapToGrid w:val="0"/>
              <w:spacing w:line="300" w:lineRule="auto"/>
              <w:rPr>
                <w:sz w:val="18"/>
                <w:szCs w:val="18"/>
              </w:rPr>
            </w:pPr>
            <w:r>
              <w:rPr>
                <w:sz w:val="18"/>
                <w:szCs w:val="18"/>
              </w:rPr>
              <w:t>(4)掌握TCP可靠传输的实现，理解TCP的三次握手机制。（A）</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（1）复习第五章内容；</w:t>
            </w:r>
          </w:p>
          <w:p>
            <w:pPr>
              <w:adjustRightInd w:val="0"/>
              <w:snapToGrid w:val="0"/>
              <w:spacing w:line="300" w:lineRule="auto"/>
              <w:rPr>
                <w:sz w:val="18"/>
                <w:szCs w:val="18"/>
              </w:rPr>
            </w:pPr>
            <w:r>
              <w:rPr>
                <w:sz w:val="18"/>
                <w:szCs w:val="18"/>
              </w:rPr>
              <w:t>（2）完成教材第五章作业。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p>
        </w:tc>
        <w:tc>
          <w:tcPr>
            <w:tcW w:w="447" w:type="dxa"/>
            <w:vAlign w:val="center"/>
          </w:tcPr>
          <w:p>
            <w:pPr>
              <w:adjustRightInd w:val="0"/>
              <w:snapToGrid w:val="0"/>
              <w:spacing w:line="300" w:lineRule="auto"/>
              <w:jc w:val="center"/>
              <w:rPr>
                <w:sz w:val="18"/>
                <w:szCs w:val="18"/>
              </w:rPr>
            </w:pPr>
            <w:r>
              <w:rPr>
                <w:sz w:val="18"/>
                <w:szCs w:val="18"/>
              </w:rPr>
              <w:t>4</w:t>
            </w:r>
          </w:p>
        </w:tc>
        <w:tc>
          <w:tcPr>
            <w:tcW w:w="888" w:type="dxa"/>
            <w:vAlign w:val="center"/>
          </w:tcPr>
          <w:p>
            <w:pPr>
              <w:adjustRightInd w:val="0"/>
              <w:snapToGrid w:val="0"/>
              <w:spacing w:line="300" w:lineRule="auto"/>
              <w:jc w:val="center"/>
              <w:rPr>
                <w:sz w:val="18"/>
                <w:szCs w:val="18"/>
              </w:rPr>
            </w:pPr>
            <w:r>
              <w:rPr>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6</w:t>
            </w:r>
          </w:p>
        </w:tc>
        <w:tc>
          <w:tcPr>
            <w:tcW w:w="3410" w:type="dxa"/>
            <w:vAlign w:val="center"/>
          </w:tcPr>
          <w:p>
            <w:pPr>
              <w:adjustRightInd w:val="0"/>
              <w:snapToGrid w:val="0"/>
              <w:spacing w:line="300" w:lineRule="auto"/>
              <w:rPr>
                <w:sz w:val="18"/>
                <w:szCs w:val="18"/>
              </w:rPr>
            </w:pPr>
            <w:r>
              <w:rPr>
                <w:sz w:val="18"/>
                <w:szCs w:val="18"/>
              </w:rPr>
              <w:t>6应用层</w:t>
            </w:r>
          </w:p>
          <w:p>
            <w:pPr>
              <w:adjustRightInd w:val="0"/>
              <w:snapToGrid w:val="0"/>
              <w:spacing w:line="300" w:lineRule="auto"/>
              <w:rPr>
                <w:sz w:val="18"/>
                <w:szCs w:val="18"/>
              </w:rPr>
            </w:pPr>
            <w:r>
              <w:rPr>
                <w:sz w:val="18"/>
                <w:szCs w:val="18"/>
              </w:rPr>
              <w:t xml:space="preserve">6.1 域名系统DNS：DNS概念解释，DNS结构，顶级域名、通用域名、域名树，域名服务，域名查询过程分析 </w:t>
            </w:r>
          </w:p>
          <w:p>
            <w:pPr>
              <w:adjustRightInd w:val="0"/>
              <w:snapToGrid w:val="0"/>
              <w:spacing w:line="300" w:lineRule="auto"/>
              <w:rPr>
                <w:sz w:val="18"/>
                <w:szCs w:val="18"/>
              </w:rPr>
            </w:pPr>
            <w:r>
              <w:rPr>
                <w:sz w:val="18"/>
                <w:szCs w:val="18"/>
              </w:rPr>
              <w:t>6.2 文件传送协议：FTP应用，工作步骤，20、21端口的作用及工作区别，所用运输层协议——TCP。TFTP标准，运输层由UDP传送</w:t>
            </w:r>
          </w:p>
          <w:p>
            <w:pPr>
              <w:adjustRightInd w:val="0"/>
              <w:snapToGrid w:val="0"/>
              <w:spacing w:line="300" w:lineRule="auto"/>
              <w:rPr>
                <w:sz w:val="18"/>
                <w:szCs w:val="18"/>
              </w:rPr>
            </w:pPr>
            <w:r>
              <w:rPr>
                <w:sz w:val="18"/>
                <w:szCs w:val="18"/>
              </w:rPr>
              <w:t>6.3 远程终端协议TELNET ：TELNET的作用，工作过程；目前已较少使用</w:t>
            </w:r>
          </w:p>
          <w:p>
            <w:pPr>
              <w:adjustRightInd w:val="0"/>
              <w:snapToGrid w:val="0"/>
              <w:spacing w:line="300" w:lineRule="auto"/>
              <w:rPr>
                <w:sz w:val="18"/>
                <w:szCs w:val="18"/>
              </w:rPr>
            </w:pPr>
            <w:r>
              <w:rPr>
                <w:sz w:val="18"/>
                <w:szCs w:val="18"/>
              </w:rPr>
              <w:t>6.4 万维网WWW ：WWW的涵义，链接的概念，URL、HTPP的概念与使用，HTTP的报文结构分析；HTML的概念，标记语言的使用。脚本语言，动态文档、万维网信息检索等概念介绍</w:t>
            </w:r>
          </w:p>
          <w:p>
            <w:pPr>
              <w:adjustRightInd w:val="0"/>
              <w:snapToGrid w:val="0"/>
              <w:spacing w:line="300" w:lineRule="auto"/>
              <w:rPr>
                <w:sz w:val="18"/>
                <w:szCs w:val="18"/>
              </w:rPr>
            </w:pPr>
            <w:r>
              <w:rPr>
                <w:sz w:val="18"/>
                <w:szCs w:val="18"/>
              </w:rPr>
              <w:t>6.5 电子邮件：SMTP协议、用户代理、POP3的概念，工作过程、主要特点，基于万维网的电子邮件。因特网邮件扩充MIME介绍</w:t>
            </w:r>
          </w:p>
          <w:p>
            <w:pPr>
              <w:adjustRightInd w:val="0"/>
              <w:snapToGrid w:val="0"/>
              <w:spacing w:line="300" w:lineRule="auto"/>
              <w:rPr>
                <w:sz w:val="18"/>
                <w:szCs w:val="18"/>
              </w:rPr>
            </w:pPr>
            <w:r>
              <w:rPr>
                <w:sz w:val="18"/>
                <w:szCs w:val="18"/>
              </w:rPr>
              <w:t>6.6  动态主机配置协议DHCP ：DHCP的作用，配置过程演示</w:t>
            </w:r>
          </w:p>
          <w:p>
            <w:pPr>
              <w:adjustRightInd w:val="0"/>
              <w:snapToGrid w:val="0"/>
              <w:spacing w:line="300" w:lineRule="auto"/>
              <w:rPr>
                <w:sz w:val="18"/>
                <w:szCs w:val="18"/>
              </w:rPr>
            </w:pPr>
            <w:r>
              <w:rPr>
                <w:sz w:val="18"/>
                <w:szCs w:val="18"/>
              </w:rPr>
              <w:t>6.7 简单网络管理协议SNMP ：网络管理的基本概念，SNMP的客户与服务进程，三个组成部分简介</w:t>
            </w:r>
          </w:p>
          <w:p>
            <w:pPr>
              <w:adjustRightInd w:val="0"/>
              <w:snapToGrid w:val="0"/>
              <w:spacing w:line="300" w:lineRule="auto"/>
              <w:rPr>
                <w:sz w:val="18"/>
                <w:szCs w:val="18"/>
              </w:rPr>
            </w:pPr>
          </w:p>
        </w:tc>
        <w:tc>
          <w:tcPr>
            <w:tcW w:w="370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（1）了解TCP/IP协议簇与应用层协议之间的关系</w:t>
            </w:r>
          </w:p>
          <w:p>
            <w:pPr>
              <w:adjustRightInd w:val="0"/>
              <w:snapToGrid w:val="0"/>
              <w:spacing w:line="300" w:lineRule="auto"/>
              <w:rPr>
                <w:sz w:val="18"/>
                <w:szCs w:val="18"/>
              </w:rPr>
            </w:pPr>
            <w:r>
              <w:rPr>
                <w:sz w:val="18"/>
                <w:szCs w:val="18"/>
              </w:rPr>
              <w:t>（2）理解引导程序协议BOOTP与动态主机配置协议DHCP（B）</w:t>
            </w:r>
          </w:p>
          <w:p>
            <w:pPr>
              <w:adjustRightInd w:val="0"/>
              <w:snapToGrid w:val="0"/>
              <w:spacing w:line="300" w:lineRule="auto"/>
              <w:rPr>
                <w:sz w:val="18"/>
                <w:szCs w:val="18"/>
              </w:rPr>
            </w:pPr>
            <w:r>
              <w:rPr>
                <w:sz w:val="18"/>
                <w:szCs w:val="18"/>
              </w:rPr>
              <w:t>（3）掌握域名系统、文件传送协议、电子邮件协议、简单网络管理协议SNMP，远程终端协议（A）</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（1）复习第六章内容；</w:t>
            </w:r>
          </w:p>
          <w:p>
            <w:pPr>
              <w:adjustRightInd w:val="0"/>
              <w:snapToGrid w:val="0"/>
              <w:spacing w:line="300" w:lineRule="auto"/>
              <w:rPr>
                <w:sz w:val="18"/>
                <w:szCs w:val="18"/>
              </w:rPr>
            </w:pPr>
            <w:r>
              <w:rPr>
                <w:sz w:val="18"/>
                <w:szCs w:val="18"/>
              </w:rPr>
              <w:t>（2）完成教材第六章作业。</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sz w:val="18"/>
                <w:szCs w:val="18"/>
              </w:rPr>
              <w:t>讲授式、讨论式启发式相结合。</w:t>
            </w:r>
          </w:p>
          <w:p>
            <w:pPr>
              <w:adjustRightInd w:val="0"/>
              <w:snapToGrid w:val="0"/>
              <w:spacing w:line="300" w:lineRule="auto"/>
              <w:rPr>
                <w:sz w:val="18"/>
                <w:szCs w:val="18"/>
              </w:rPr>
            </w:pPr>
            <w:r>
              <w:rPr>
                <w:sz w:val="18"/>
                <w:szCs w:val="18"/>
              </w:rPr>
              <w:t>案例5：同学们日常常用的应用。</w:t>
            </w:r>
          </w:p>
        </w:tc>
        <w:tc>
          <w:tcPr>
            <w:tcW w:w="447" w:type="dxa"/>
            <w:vAlign w:val="center"/>
          </w:tcPr>
          <w:p>
            <w:pPr>
              <w:adjustRightInd w:val="0"/>
              <w:snapToGrid w:val="0"/>
              <w:spacing w:line="300" w:lineRule="auto"/>
              <w:jc w:val="center"/>
              <w:rPr>
                <w:sz w:val="18"/>
                <w:szCs w:val="18"/>
              </w:rPr>
            </w:pPr>
            <w:r>
              <w:rPr>
                <w:sz w:val="18"/>
                <w:szCs w:val="18"/>
              </w:rPr>
              <w:t>4</w:t>
            </w:r>
          </w:p>
        </w:tc>
        <w:tc>
          <w:tcPr>
            <w:tcW w:w="888" w:type="dxa"/>
            <w:vAlign w:val="center"/>
          </w:tcPr>
          <w:p>
            <w:pPr>
              <w:adjustRightInd w:val="0"/>
              <w:snapToGrid w:val="0"/>
              <w:spacing w:line="300" w:lineRule="auto"/>
              <w:jc w:val="center"/>
              <w:rPr>
                <w:sz w:val="18"/>
                <w:szCs w:val="18"/>
              </w:rPr>
            </w:pPr>
            <w:r>
              <w:rPr>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7</w:t>
            </w:r>
          </w:p>
        </w:tc>
        <w:tc>
          <w:tcPr>
            <w:tcW w:w="3410" w:type="dxa"/>
            <w:vAlign w:val="center"/>
          </w:tcPr>
          <w:p>
            <w:pPr>
              <w:adjustRightInd w:val="0"/>
              <w:snapToGrid w:val="0"/>
              <w:spacing w:line="300" w:lineRule="auto"/>
              <w:rPr>
                <w:sz w:val="18"/>
                <w:szCs w:val="18"/>
              </w:rPr>
            </w:pPr>
            <w:r>
              <w:rPr>
                <w:sz w:val="18"/>
                <w:szCs w:val="18"/>
              </w:rPr>
              <w:t>7网络安全</w:t>
            </w:r>
          </w:p>
          <w:p>
            <w:pPr>
              <w:adjustRightInd w:val="0"/>
              <w:snapToGrid w:val="0"/>
              <w:spacing w:line="300" w:lineRule="auto"/>
              <w:rPr>
                <w:sz w:val="18"/>
                <w:szCs w:val="18"/>
              </w:rPr>
            </w:pPr>
            <w:r>
              <w:rPr>
                <w:sz w:val="18"/>
                <w:szCs w:val="18"/>
              </w:rPr>
              <w:t>7.1 网络安全问题概述：网络安全威胁，主动攻击与被动攻击；恶意程序种类介绍；网络安全的内容，数据加密模型</w:t>
            </w:r>
          </w:p>
          <w:p>
            <w:pPr>
              <w:adjustRightInd w:val="0"/>
              <w:snapToGrid w:val="0"/>
              <w:spacing w:line="300" w:lineRule="auto"/>
              <w:rPr>
                <w:sz w:val="18"/>
                <w:szCs w:val="18"/>
              </w:rPr>
            </w:pPr>
            <w:r>
              <w:rPr>
                <w:sz w:val="18"/>
                <w:szCs w:val="18"/>
              </w:rPr>
              <w:t>7.2  两类密码体制：对称密钥密码体制、数据加密标准DES之应用特点，密钥传送难题公钥密码体制，RSA工作原理，公钥、私钥的成对产生、不可导出、使用特点等原理解析</w:t>
            </w:r>
          </w:p>
          <w:p>
            <w:pPr>
              <w:adjustRightInd w:val="0"/>
              <w:snapToGrid w:val="0"/>
              <w:spacing w:line="300" w:lineRule="auto"/>
              <w:rPr>
                <w:sz w:val="18"/>
                <w:szCs w:val="18"/>
              </w:rPr>
            </w:pPr>
            <w:r>
              <w:rPr>
                <w:sz w:val="18"/>
                <w:szCs w:val="18"/>
              </w:rPr>
              <w:t>7.3  数字签名：数据签名的功能，工作模型</w:t>
            </w:r>
          </w:p>
          <w:p>
            <w:pPr>
              <w:adjustRightInd w:val="0"/>
              <w:snapToGrid w:val="0"/>
              <w:spacing w:line="300" w:lineRule="auto"/>
              <w:rPr>
                <w:sz w:val="18"/>
                <w:szCs w:val="18"/>
              </w:rPr>
            </w:pPr>
            <w:r>
              <w:rPr>
                <w:sz w:val="18"/>
                <w:szCs w:val="18"/>
              </w:rPr>
              <w:t>第四节  鉴别：报文鉴别算法步骤，模型；实体鉴别过程分析</w:t>
            </w:r>
          </w:p>
          <w:p>
            <w:pPr>
              <w:adjustRightInd w:val="0"/>
              <w:snapToGrid w:val="0"/>
              <w:spacing w:line="300" w:lineRule="auto"/>
              <w:rPr>
                <w:sz w:val="18"/>
                <w:szCs w:val="18"/>
              </w:rPr>
            </w:pPr>
            <w:r>
              <w:rPr>
                <w:sz w:val="18"/>
                <w:szCs w:val="18"/>
              </w:rPr>
              <w:t>7.4  密钥分配：KDC工作原理介绍</w:t>
            </w:r>
          </w:p>
          <w:p>
            <w:pPr>
              <w:adjustRightInd w:val="0"/>
              <w:snapToGrid w:val="0"/>
              <w:spacing w:line="300" w:lineRule="auto"/>
              <w:rPr>
                <w:sz w:val="18"/>
                <w:szCs w:val="18"/>
              </w:rPr>
            </w:pPr>
            <w:r>
              <w:rPr>
                <w:sz w:val="18"/>
                <w:szCs w:val="18"/>
              </w:rPr>
              <w:t>7.5  因特网使用的安全协议</w:t>
            </w:r>
          </w:p>
          <w:p>
            <w:pPr>
              <w:adjustRightInd w:val="0"/>
              <w:snapToGrid w:val="0"/>
              <w:spacing w:line="300" w:lineRule="auto"/>
              <w:rPr>
                <w:sz w:val="18"/>
                <w:szCs w:val="18"/>
              </w:rPr>
            </w:pPr>
            <w:r>
              <w:rPr>
                <w:sz w:val="18"/>
                <w:szCs w:val="18"/>
              </w:rPr>
              <w:t>7.6  链路加密与端到端加密</w:t>
            </w:r>
          </w:p>
          <w:p>
            <w:pPr>
              <w:adjustRightInd w:val="0"/>
              <w:snapToGrid w:val="0"/>
              <w:spacing w:line="300" w:lineRule="auto"/>
              <w:rPr>
                <w:sz w:val="18"/>
                <w:szCs w:val="18"/>
              </w:rPr>
            </w:pPr>
            <w:r>
              <w:rPr>
                <w:sz w:val="18"/>
                <w:szCs w:val="18"/>
              </w:rPr>
              <w:t>7.7  防火墙：防火墙工作原理与模型</w:t>
            </w:r>
          </w:p>
        </w:tc>
        <w:tc>
          <w:tcPr>
            <w:tcW w:w="3708" w:type="dxa"/>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（1）了解网络安全的重要性、网络病毒防治的基本概念和方法</w:t>
            </w:r>
          </w:p>
          <w:p>
            <w:pPr>
              <w:adjustRightInd w:val="0"/>
              <w:snapToGrid w:val="0"/>
              <w:spacing w:line="300" w:lineRule="auto"/>
              <w:rPr>
                <w:sz w:val="18"/>
                <w:szCs w:val="18"/>
              </w:rPr>
            </w:pPr>
            <w:r>
              <w:rPr>
                <w:sz w:val="18"/>
                <w:szCs w:val="18"/>
              </w:rPr>
              <w:t>（2）理解常规密钥密码体制、公开密钥密码体制</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（1）复习第七章内容；</w:t>
            </w:r>
          </w:p>
          <w:p>
            <w:pPr>
              <w:adjustRightInd w:val="0"/>
              <w:snapToGrid w:val="0"/>
              <w:spacing w:line="300" w:lineRule="auto"/>
              <w:rPr>
                <w:sz w:val="18"/>
                <w:szCs w:val="18"/>
              </w:rPr>
            </w:pPr>
            <w:r>
              <w:rPr>
                <w:sz w:val="18"/>
                <w:szCs w:val="18"/>
              </w:rPr>
              <w:t>（2）完成教材第七章作业。</w:t>
            </w:r>
          </w:p>
          <w:p>
            <w:pPr>
              <w:adjustRightInd w:val="0"/>
              <w:snapToGrid w:val="0"/>
              <w:spacing w:line="300" w:lineRule="auto"/>
              <w:rPr>
                <w:sz w:val="18"/>
                <w:szCs w:val="18"/>
              </w:rPr>
            </w:pPr>
            <w:r>
              <w:rPr>
                <w:sz w:val="18"/>
                <w:szCs w:val="18"/>
              </w:rPr>
              <w:t>3.教学方法：</w:t>
            </w:r>
          </w:p>
          <w:p>
            <w:pPr>
              <w:adjustRightInd w:val="0"/>
              <w:snapToGrid w:val="0"/>
              <w:spacing w:line="300" w:lineRule="auto"/>
              <w:rPr>
                <w:sz w:val="18"/>
                <w:szCs w:val="18"/>
              </w:rPr>
            </w:pPr>
            <w:r>
              <w:rPr>
                <w:sz w:val="18"/>
                <w:szCs w:val="18"/>
              </w:rPr>
              <w:t>讲授式、讨论式、案例式与启发式相结合。</w:t>
            </w:r>
          </w:p>
          <w:p>
            <w:pPr>
              <w:adjustRightInd w:val="0"/>
              <w:snapToGrid w:val="0"/>
              <w:spacing w:line="300" w:lineRule="auto"/>
              <w:rPr>
                <w:sz w:val="18"/>
                <w:szCs w:val="18"/>
              </w:rPr>
            </w:pPr>
            <w:r>
              <w:rPr>
                <w:sz w:val="18"/>
                <w:szCs w:val="18"/>
              </w:rPr>
              <w:t>案例6：勒索病毒</w:t>
            </w:r>
          </w:p>
        </w:tc>
        <w:tc>
          <w:tcPr>
            <w:tcW w:w="447" w:type="dxa"/>
            <w:vAlign w:val="center"/>
          </w:tcPr>
          <w:p>
            <w:pPr>
              <w:adjustRightInd w:val="0"/>
              <w:snapToGrid w:val="0"/>
              <w:spacing w:line="300" w:lineRule="auto"/>
              <w:jc w:val="center"/>
              <w:rPr>
                <w:sz w:val="18"/>
                <w:szCs w:val="18"/>
              </w:rPr>
            </w:pPr>
            <w:r>
              <w:rPr>
                <w:rFonts w:hint="eastAsia"/>
                <w:sz w:val="18"/>
                <w:szCs w:val="18"/>
              </w:rPr>
              <w:t>3</w:t>
            </w:r>
          </w:p>
        </w:tc>
        <w:tc>
          <w:tcPr>
            <w:tcW w:w="888" w:type="dxa"/>
            <w:vAlign w:val="center"/>
          </w:tcPr>
          <w:p>
            <w:pPr>
              <w:adjustRightInd w:val="0"/>
              <w:snapToGrid w:val="0"/>
              <w:spacing w:line="300" w:lineRule="auto"/>
              <w:jc w:val="center"/>
              <w:rPr>
                <w:sz w:val="18"/>
                <w:szCs w:val="18"/>
              </w:rPr>
            </w:pPr>
            <w:r>
              <w:rPr>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591" w:type="dxa"/>
            <w:tcMar>
              <w:left w:w="57" w:type="dxa"/>
              <w:right w:w="57" w:type="dxa"/>
            </w:tcMar>
            <w:vAlign w:val="center"/>
          </w:tcPr>
          <w:p>
            <w:pPr>
              <w:adjustRightInd w:val="0"/>
              <w:snapToGrid w:val="0"/>
              <w:spacing w:line="300" w:lineRule="auto"/>
              <w:jc w:val="center"/>
              <w:rPr>
                <w:sz w:val="18"/>
                <w:szCs w:val="18"/>
              </w:rPr>
            </w:pPr>
            <w:r>
              <w:rPr>
                <w:sz w:val="18"/>
                <w:szCs w:val="18"/>
              </w:rPr>
              <w:t>8</w:t>
            </w:r>
          </w:p>
        </w:tc>
        <w:tc>
          <w:tcPr>
            <w:tcW w:w="3410" w:type="dxa"/>
            <w:vAlign w:val="center"/>
          </w:tcPr>
          <w:p>
            <w:pPr>
              <w:adjustRightInd w:val="0"/>
              <w:snapToGrid w:val="0"/>
              <w:spacing w:line="300" w:lineRule="auto"/>
              <w:rPr>
                <w:sz w:val="18"/>
                <w:szCs w:val="18"/>
              </w:rPr>
            </w:pPr>
            <w:r>
              <w:rPr>
                <w:sz w:val="18"/>
                <w:szCs w:val="18"/>
              </w:rPr>
              <w:t>8无线网络</w:t>
            </w:r>
          </w:p>
          <w:p>
            <w:pPr>
              <w:adjustRightInd w:val="0"/>
              <w:snapToGrid w:val="0"/>
              <w:spacing w:line="300" w:lineRule="auto"/>
              <w:rPr>
                <w:sz w:val="18"/>
                <w:szCs w:val="18"/>
              </w:rPr>
            </w:pPr>
            <w:r>
              <w:rPr>
                <w:sz w:val="18"/>
                <w:szCs w:val="18"/>
              </w:rPr>
              <w:t>8.1 无线局域网WLAN</w:t>
            </w:r>
          </w:p>
          <w:p>
            <w:pPr>
              <w:adjustRightInd w:val="0"/>
              <w:snapToGrid w:val="0"/>
              <w:spacing w:line="300" w:lineRule="auto"/>
              <w:rPr>
                <w:sz w:val="18"/>
                <w:szCs w:val="18"/>
              </w:rPr>
            </w:pPr>
            <w:r>
              <w:rPr>
                <w:sz w:val="18"/>
                <w:szCs w:val="18"/>
              </w:rPr>
              <w:t>8.2 无线个人区域网WPAN</w:t>
            </w:r>
          </w:p>
          <w:p>
            <w:pPr>
              <w:adjustRightInd w:val="0"/>
              <w:snapToGrid w:val="0"/>
              <w:spacing w:line="300" w:lineRule="auto"/>
              <w:rPr>
                <w:sz w:val="18"/>
                <w:szCs w:val="18"/>
              </w:rPr>
            </w:pPr>
            <w:r>
              <w:rPr>
                <w:sz w:val="18"/>
                <w:szCs w:val="18"/>
              </w:rPr>
              <w:t>8.3  无线城域网WMAN</w:t>
            </w:r>
          </w:p>
        </w:tc>
        <w:tc>
          <w:tcPr>
            <w:tcW w:w="3708" w:type="dxa"/>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（1）了解无线网的分类</w:t>
            </w:r>
          </w:p>
          <w:p>
            <w:pPr>
              <w:adjustRightInd w:val="0"/>
              <w:snapToGrid w:val="0"/>
              <w:spacing w:line="300" w:lineRule="auto"/>
              <w:rPr>
                <w:sz w:val="18"/>
                <w:szCs w:val="18"/>
              </w:rPr>
            </w:pPr>
            <w:r>
              <w:rPr>
                <w:sz w:val="18"/>
                <w:szCs w:val="18"/>
              </w:rPr>
              <w:t>（2）理解无线局域网的工作模式及工作原理</w:t>
            </w:r>
          </w:p>
          <w:p>
            <w:pPr>
              <w:adjustRightInd w:val="0"/>
              <w:snapToGrid w:val="0"/>
              <w:spacing w:line="300" w:lineRule="auto"/>
              <w:rPr>
                <w:sz w:val="18"/>
                <w:szCs w:val="18"/>
              </w:rPr>
            </w:pPr>
            <w:r>
              <w:rPr>
                <w:sz w:val="18"/>
                <w:szCs w:val="18"/>
              </w:rPr>
              <w:t>（3）掌握CSMA/CA</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（1）复习第八章内容；</w:t>
            </w:r>
          </w:p>
          <w:p>
            <w:pPr>
              <w:adjustRightInd w:val="0"/>
              <w:snapToGrid w:val="0"/>
              <w:spacing w:line="300" w:lineRule="auto"/>
              <w:rPr>
                <w:sz w:val="18"/>
                <w:szCs w:val="18"/>
              </w:rPr>
            </w:pPr>
            <w:r>
              <w:rPr>
                <w:sz w:val="18"/>
                <w:szCs w:val="18"/>
              </w:rPr>
              <w:t>（2）完成教材第八章作业。</w:t>
            </w:r>
          </w:p>
          <w:p>
            <w:pPr>
              <w:adjustRightInd w:val="0"/>
              <w:snapToGrid w:val="0"/>
              <w:spacing w:line="300" w:lineRule="auto"/>
              <w:rPr>
                <w:sz w:val="18"/>
                <w:szCs w:val="18"/>
              </w:rPr>
            </w:pPr>
            <w:r>
              <w:rPr>
                <w:sz w:val="18"/>
                <w:szCs w:val="18"/>
              </w:rPr>
              <w:t>3.教学方法：讲授式、讨论式、案例式与启发式相结合。</w:t>
            </w:r>
          </w:p>
          <w:p>
            <w:pPr>
              <w:adjustRightInd w:val="0"/>
              <w:snapToGrid w:val="0"/>
              <w:spacing w:line="300" w:lineRule="auto"/>
              <w:rPr>
                <w:sz w:val="18"/>
                <w:szCs w:val="18"/>
              </w:rPr>
            </w:pPr>
            <w:r>
              <w:rPr>
                <w:sz w:val="18"/>
                <w:szCs w:val="18"/>
              </w:rPr>
              <w:t>案例7：日常使用的WIFI</w:t>
            </w:r>
          </w:p>
        </w:tc>
        <w:tc>
          <w:tcPr>
            <w:tcW w:w="447" w:type="dxa"/>
            <w:vAlign w:val="center"/>
          </w:tcPr>
          <w:p>
            <w:pPr>
              <w:adjustRightInd w:val="0"/>
              <w:snapToGrid w:val="0"/>
              <w:spacing w:line="300" w:lineRule="auto"/>
              <w:jc w:val="center"/>
              <w:rPr>
                <w:sz w:val="18"/>
                <w:szCs w:val="18"/>
              </w:rPr>
            </w:pPr>
            <w:r>
              <w:rPr>
                <w:sz w:val="18"/>
                <w:szCs w:val="18"/>
              </w:rPr>
              <w:t>2</w:t>
            </w:r>
          </w:p>
        </w:tc>
        <w:tc>
          <w:tcPr>
            <w:tcW w:w="888" w:type="dxa"/>
            <w:vAlign w:val="center"/>
          </w:tcPr>
          <w:p>
            <w:pPr>
              <w:adjustRightInd w:val="0"/>
              <w:snapToGrid w:val="0"/>
              <w:spacing w:line="300" w:lineRule="auto"/>
              <w:jc w:val="center"/>
              <w:rPr>
                <w:sz w:val="18"/>
                <w:szCs w:val="18"/>
              </w:rPr>
            </w:pPr>
            <w:r>
              <w:rPr>
                <w:sz w:val="18"/>
                <w:szCs w:val="18"/>
              </w:rPr>
              <w:t>1，2，3，4，5</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2219"/>
        <w:gridCol w:w="3856"/>
        <w:gridCol w:w="447"/>
        <w:gridCol w:w="445"/>
        <w:gridCol w:w="445"/>
        <w:gridCol w:w="591"/>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blHeader/>
          <w:jc w:val="center"/>
        </w:trPr>
        <w:tc>
          <w:tcPr>
            <w:tcW w:w="446" w:type="dxa"/>
            <w:vAlign w:val="center"/>
          </w:tcPr>
          <w:p>
            <w:pPr>
              <w:snapToGrid w:val="0"/>
              <w:spacing w:line="300" w:lineRule="auto"/>
              <w:rPr>
                <w:b/>
                <w:bCs/>
                <w:sz w:val="18"/>
                <w:szCs w:val="18"/>
              </w:rPr>
            </w:pPr>
            <w:r>
              <w:rPr>
                <w:b/>
                <w:bCs/>
                <w:kern w:val="0"/>
                <w:sz w:val="18"/>
                <w:szCs w:val="18"/>
              </w:rPr>
              <w:t>序号</w:t>
            </w:r>
          </w:p>
        </w:tc>
        <w:tc>
          <w:tcPr>
            <w:tcW w:w="2219" w:type="dxa"/>
            <w:vAlign w:val="center"/>
          </w:tcPr>
          <w:p>
            <w:pPr>
              <w:snapToGrid w:val="0"/>
              <w:spacing w:line="300" w:lineRule="auto"/>
              <w:jc w:val="center"/>
              <w:rPr>
                <w:b/>
                <w:bCs/>
                <w:sz w:val="18"/>
                <w:szCs w:val="18"/>
              </w:rPr>
            </w:pPr>
            <w:r>
              <w:rPr>
                <w:b/>
                <w:bCs/>
                <w:kern w:val="0"/>
                <w:sz w:val="18"/>
                <w:szCs w:val="18"/>
              </w:rPr>
              <w:t>实验项目名称</w:t>
            </w:r>
          </w:p>
        </w:tc>
        <w:tc>
          <w:tcPr>
            <w:tcW w:w="3856" w:type="dxa"/>
            <w:vAlign w:val="center"/>
          </w:tcPr>
          <w:p>
            <w:pPr>
              <w:snapToGrid w:val="0"/>
              <w:spacing w:line="300" w:lineRule="auto"/>
              <w:jc w:val="center"/>
              <w:rPr>
                <w:b/>
                <w:bCs/>
                <w:sz w:val="18"/>
                <w:szCs w:val="18"/>
              </w:rPr>
            </w:pPr>
            <w:r>
              <w:rPr>
                <w:b/>
                <w:bCs/>
                <w:kern w:val="0"/>
                <w:sz w:val="18"/>
                <w:szCs w:val="18"/>
              </w:rPr>
              <w:t>目的要求</w:t>
            </w:r>
          </w:p>
        </w:tc>
        <w:tc>
          <w:tcPr>
            <w:tcW w:w="447" w:type="dxa"/>
            <w:vAlign w:val="center"/>
          </w:tcPr>
          <w:p>
            <w:pPr>
              <w:snapToGrid w:val="0"/>
              <w:spacing w:line="300" w:lineRule="auto"/>
              <w:jc w:val="center"/>
              <w:rPr>
                <w:b/>
                <w:bCs/>
                <w:sz w:val="18"/>
                <w:szCs w:val="18"/>
              </w:rPr>
            </w:pPr>
            <w:r>
              <w:rPr>
                <w:b/>
                <w:bCs/>
                <w:kern w:val="0"/>
                <w:sz w:val="18"/>
                <w:szCs w:val="18"/>
              </w:rPr>
              <w:t>学时分配</w:t>
            </w:r>
          </w:p>
        </w:tc>
        <w:tc>
          <w:tcPr>
            <w:tcW w:w="445" w:type="dxa"/>
            <w:vAlign w:val="center"/>
          </w:tcPr>
          <w:p>
            <w:pPr>
              <w:snapToGrid w:val="0"/>
              <w:spacing w:line="300" w:lineRule="auto"/>
              <w:jc w:val="center"/>
              <w:rPr>
                <w:b/>
                <w:bCs/>
                <w:kern w:val="0"/>
                <w:sz w:val="18"/>
                <w:szCs w:val="18"/>
              </w:rPr>
            </w:pPr>
            <w:r>
              <w:rPr>
                <w:b/>
                <w:bCs/>
                <w:kern w:val="0"/>
                <w:sz w:val="18"/>
                <w:szCs w:val="18"/>
              </w:rPr>
              <w:t>实验类型</w:t>
            </w:r>
          </w:p>
        </w:tc>
        <w:tc>
          <w:tcPr>
            <w:tcW w:w="445" w:type="dxa"/>
            <w:vAlign w:val="center"/>
          </w:tcPr>
          <w:p>
            <w:pPr>
              <w:snapToGrid w:val="0"/>
              <w:spacing w:line="300" w:lineRule="auto"/>
              <w:jc w:val="center"/>
              <w:rPr>
                <w:b/>
                <w:bCs/>
                <w:kern w:val="0"/>
                <w:sz w:val="18"/>
                <w:szCs w:val="18"/>
              </w:rPr>
            </w:pPr>
            <w:r>
              <w:rPr>
                <w:b/>
                <w:bCs/>
                <w:kern w:val="0"/>
                <w:sz w:val="18"/>
                <w:szCs w:val="18"/>
              </w:rPr>
              <w:t>每组人数</w:t>
            </w:r>
          </w:p>
        </w:tc>
        <w:tc>
          <w:tcPr>
            <w:tcW w:w="591"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595"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446" w:type="dxa"/>
            <w:vAlign w:val="center"/>
          </w:tcPr>
          <w:p>
            <w:pPr>
              <w:snapToGrid w:val="0"/>
              <w:spacing w:line="300" w:lineRule="auto"/>
              <w:jc w:val="center"/>
              <w:rPr>
                <w:sz w:val="18"/>
                <w:szCs w:val="18"/>
              </w:rPr>
            </w:pPr>
            <w:r>
              <w:rPr>
                <w:rFonts w:hint="eastAsia"/>
                <w:sz w:val="18"/>
                <w:szCs w:val="18"/>
              </w:rPr>
              <w:t>1</w:t>
            </w:r>
          </w:p>
        </w:tc>
        <w:tc>
          <w:tcPr>
            <w:tcW w:w="2219" w:type="dxa"/>
            <w:vAlign w:val="center"/>
          </w:tcPr>
          <w:p>
            <w:pPr>
              <w:snapToGrid w:val="0"/>
              <w:spacing w:line="300" w:lineRule="auto"/>
              <w:rPr>
                <w:sz w:val="18"/>
                <w:szCs w:val="18"/>
              </w:rPr>
            </w:pPr>
            <w:r>
              <w:rPr>
                <w:sz w:val="18"/>
                <w:szCs w:val="18"/>
              </w:rPr>
              <w:t>网络协议分析软件Ethereal的使用</w:t>
            </w:r>
          </w:p>
        </w:tc>
        <w:tc>
          <w:tcPr>
            <w:tcW w:w="3856" w:type="dxa"/>
            <w:vAlign w:val="center"/>
          </w:tcPr>
          <w:p>
            <w:pPr>
              <w:snapToGrid w:val="0"/>
              <w:spacing w:line="300" w:lineRule="auto"/>
              <w:rPr>
                <w:sz w:val="18"/>
                <w:szCs w:val="18"/>
              </w:rPr>
            </w:pPr>
            <w:r>
              <w:rPr>
                <w:sz w:val="18"/>
                <w:szCs w:val="18"/>
              </w:rPr>
              <w:t>安装网络协议分析软件；捕捉所有数据包及“Ping”命令数据包。</w:t>
            </w:r>
          </w:p>
        </w:tc>
        <w:tc>
          <w:tcPr>
            <w:tcW w:w="447"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验证</w:t>
            </w:r>
          </w:p>
        </w:tc>
        <w:tc>
          <w:tcPr>
            <w:tcW w:w="445" w:type="dxa"/>
            <w:vAlign w:val="center"/>
          </w:tcPr>
          <w:p>
            <w:pPr>
              <w:snapToGrid w:val="0"/>
              <w:spacing w:line="300" w:lineRule="auto"/>
              <w:jc w:val="center"/>
              <w:rPr>
                <w:sz w:val="18"/>
                <w:szCs w:val="18"/>
              </w:rPr>
            </w:pPr>
            <w:r>
              <w:rPr>
                <w:kern w:val="0"/>
                <w:sz w:val="18"/>
                <w:szCs w:val="18"/>
              </w:rPr>
              <w:t>2</w:t>
            </w:r>
          </w:p>
        </w:tc>
        <w:tc>
          <w:tcPr>
            <w:tcW w:w="591" w:type="dxa"/>
            <w:vAlign w:val="center"/>
          </w:tcPr>
          <w:p>
            <w:pPr>
              <w:snapToGrid w:val="0"/>
              <w:spacing w:line="300" w:lineRule="auto"/>
              <w:jc w:val="center"/>
              <w:rPr>
                <w:sz w:val="18"/>
                <w:szCs w:val="18"/>
              </w:rPr>
            </w:pPr>
            <w:r>
              <w:rPr>
                <w:kern w:val="0"/>
                <w:sz w:val="18"/>
                <w:szCs w:val="18"/>
              </w:rPr>
              <w:t>必开</w:t>
            </w:r>
          </w:p>
        </w:tc>
        <w:tc>
          <w:tcPr>
            <w:tcW w:w="595" w:type="dxa"/>
            <w:vAlign w:val="center"/>
          </w:tcPr>
          <w:p>
            <w:pPr>
              <w:widowControl/>
              <w:snapToGrid w:val="0"/>
              <w:spacing w:line="300" w:lineRule="auto"/>
              <w:jc w:val="center"/>
              <w:rPr>
                <w:sz w:val="18"/>
                <w:szCs w:val="18"/>
              </w:rPr>
            </w:pPr>
            <w:r>
              <w:rPr>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446" w:type="dxa"/>
            <w:vAlign w:val="center"/>
          </w:tcPr>
          <w:p>
            <w:pPr>
              <w:snapToGrid w:val="0"/>
              <w:spacing w:line="300" w:lineRule="auto"/>
              <w:jc w:val="center"/>
              <w:rPr>
                <w:sz w:val="18"/>
                <w:szCs w:val="18"/>
              </w:rPr>
            </w:pPr>
            <w:r>
              <w:rPr>
                <w:rFonts w:hint="eastAsia"/>
                <w:sz w:val="18"/>
                <w:szCs w:val="18"/>
              </w:rPr>
              <w:t>2</w:t>
            </w:r>
          </w:p>
        </w:tc>
        <w:tc>
          <w:tcPr>
            <w:tcW w:w="2219" w:type="dxa"/>
            <w:vAlign w:val="center"/>
          </w:tcPr>
          <w:p>
            <w:pPr>
              <w:snapToGrid w:val="0"/>
              <w:spacing w:line="300" w:lineRule="auto"/>
              <w:rPr>
                <w:sz w:val="18"/>
                <w:szCs w:val="18"/>
              </w:rPr>
            </w:pPr>
            <w:r>
              <w:rPr>
                <w:sz w:val="18"/>
                <w:szCs w:val="18"/>
              </w:rPr>
              <w:t>VLAN组建</w:t>
            </w:r>
          </w:p>
        </w:tc>
        <w:tc>
          <w:tcPr>
            <w:tcW w:w="3856" w:type="dxa"/>
            <w:vAlign w:val="center"/>
          </w:tcPr>
          <w:p>
            <w:pPr>
              <w:snapToGrid w:val="0"/>
              <w:spacing w:line="300" w:lineRule="auto"/>
              <w:rPr>
                <w:sz w:val="18"/>
                <w:szCs w:val="18"/>
              </w:rPr>
            </w:pPr>
            <w:r>
              <w:rPr>
                <w:sz w:val="18"/>
                <w:szCs w:val="18"/>
              </w:rPr>
              <w:t>虚拟局域网的组建</w:t>
            </w:r>
          </w:p>
        </w:tc>
        <w:tc>
          <w:tcPr>
            <w:tcW w:w="447" w:type="dxa"/>
            <w:vAlign w:val="center"/>
          </w:tcPr>
          <w:p>
            <w:pPr>
              <w:snapToGrid w:val="0"/>
              <w:spacing w:line="300" w:lineRule="auto"/>
              <w:jc w:val="center"/>
              <w:rPr>
                <w:kern w:val="0"/>
                <w:sz w:val="18"/>
                <w:szCs w:val="18"/>
              </w:rPr>
            </w:pPr>
            <w:r>
              <w:rPr>
                <w:kern w:val="0"/>
                <w:sz w:val="18"/>
                <w:szCs w:val="18"/>
              </w:rPr>
              <w:t>2</w:t>
            </w:r>
          </w:p>
        </w:tc>
        <w:tc>
          <w:tcPr>
            <w:tcW w:w="445" w:type="dxa"/>
            <w:vAlign w:val="center"/>
          </w:tcPr>
          <w:p>
            <w:pPr>
              <w:snapToGrid w:val="0"/>
              <w:spacing w:line="300" w:lineRule="auto"/>
              <w:jc w:val="center"/>
              <w:rPr>
                <w:kern w:val="0"/>
                <w:sz w:val="18"/>
                <w:szCs w:val="18"/>
              </w:rPr>
            </w:pPr>
            <w:r>
              <w:rPr>
                <w:kern w:val="0"/>
                <w:sz w:val="18"/>
                <w:szCs w:val="18"/>
              </w:rPr>
              <w:t>设计</w:t>
            </w:r>
          </w:p>
        </w:tc>
        <w:tc>
          <w:tcPr>
            <w:tcW w:w="445" w:type="dxa"/>
            <w:vAlign w:val="center"/>
          </w:tcPr>
          <w:p>
            <w:pPr>
              <w:snapToGrid w:val="0"/>
              <w:spacing w:line="300" w:lineRule="auto"/>
              <w:jc w:val="center"/>
              <w:rPr>
                <w:kern w:val="0"/>
                <w:sz w:val="18"/>
                <w:szCs w:val="18"/>
              </w:rPr>
            </w:pPr>
            <w:r>
              <w:rPr>
                <w:kern w:val="0"/>
                <w:sz w:val="18"/>
                <w:szCs w:val="18"/>
              </w:rPr>
              <w:t>2</w:t>
            </w:r>
          </w:p>
        </w:tc>
        <w:tc>
          <w:tcPr>
            <w:tcW w:w="591" w:type="dxa"/>
            <w:vAlign w:val="center"/>
          </w:tcPr>
          <w:p>
            <w:pPr>
              <w:snapToGrid w:val="0"/>
              <w:spacing w:line="300" w:lineRule="auto"/>
              <w:jc w:val="center"/>
              <w:rPr>
                <w:sz w:val="18"/>
                <w:szCs w:val="18"/>
              </w:rPr>
            </w:pPr>
            <w:r>
              <w:rPr>
                <w:kern w:val="0"/>
                <w:sz w:val="18"/>
                <w:szCs w:val="18"/>
              </w:rPr>
              <w:t>必开</w:t>
            </w:r>
          </w:p>
        </w:tc>
        <w:tc>
          <w:tcPr>
            <w:tcW w:w="595" w:type="dxa"/>
            <w:vAlign w:val="center"/>
          </w:tcPr>
          <w:p>
            <w:pPr>
              <w:snapToGrid w:val="0"/>
              <w:spacing w:line="300" w:lineRule="auto"/>
              <w:jc w:val="center"/>
              <w:rPr>
                <w:sz w:val="18"/>
                <w:szCs w:val="18"/>
              </w:rPr>
            </w:pPr>
            <w:r>
              <w:rPr>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46" w:type="dxa"/>
            <w:vAlign w:val="center"/>
          </w:tcPr>
          <w:p>
            <w:pPr>
              <w:snapToGrid w:val="0"/>
              <w:spacing w:line="300" w:lineRule="auto"/>
              <w:jc w:val="center"/>
              <w:rPr>
                <w:sz w:val="18"/>
                <w:szCs w:val="18"/>
              </w:rPr>
            </w:pPr>
            <w:r>
              <w:rPr>
                <w:rFonts w:hint="eastAsia"/>
                <w:sz w:val="18"/>
                <w:szCs w:val="18"/>
              </w:rPr>
              <w:t>3</w:t>
            </w:r>
          </w:p>
        </w:tc>
        <w:tc>
          <w:tcPr>
            <w:tcW w:w="2219" w:type="dxa"/>
            <w:vAlign w:val="center"/>
          </w:tcPr>
          <w:p>
            <w:pPr>
              <w:snapToGrid w:val="0"/>
              <w:spacing w:line="300" w:lineRule="auto"/>
              <w:rPr>
                <w:sz w:val="18"/>
                <w:szCs w:val="18"/>
              </w:rPr>
            </w:pPr>
            <w:r>
              <w:rPr>
                <w:sz w:val="18"/>
                <w:szCs w:val="18"/>
              </w:rPr>
              <w:t>RIP/OSPF组网</w:t>
            </w:r>
          </w:p>
        </w:tc>
        <w:tc>
          <w:tcPr>
            <w:tcW w:w="3856" w:type="dxa"/>
            <w:vAlign w:val="center"/>
          </w:tcPr>
          <w:p>
            <w:pPr>
              <w:snapToGrid w:val="0"/>
              <w:spacing w:line="300" w:lineRule="auto"/>
              <w:rPr>
                <w:sz w:val="18"/>
                <w:szCs w:val="18"/>
              </w:rPr>
            </w:pPr>
            <w:r>
              <w:rPr>
                <w:sz w:val="18"/>
                <w:szCs w:val="18"/>
              </w:rPr>
              <w:t>三层设备配置实验</w:t>
            </w:r>
          </w:p>
        </w:tc>
        <w:tc>
          <w:tcPr>
            <w:tcW w:w="447" w:type="dxa"/>
            <w:vAlign w:val="center"/>
          </w:tcPr>
          <w:p>
            <w:pPr>
              <w:snapToGrid w:val="0"/>
              <w:spacing w:line="300" w:lineRule="auto"/>
              <w:jc w:val="center"/>
              <w:rPr>
                <w:sz w:val="18"/>
                <w:szCs w:val="18"/>
              </w:rPr>
            </w:pPr>
            <w:r>
              <w:rPr>
                <w:kern w:val="0"/>
                <w:sz w:val="18"/>
                <w:szCs w:val="18"/>
              </w:rPr>
              <w:t>2</w:t>
            </w:r>
          </w:p>
        </w:tc>
        <w:tc>
          <w:tcPr>
            <w:tcW w:w="445" w:type="dxa"/>
            <w:vAlign w:val="center"/>
          </w:tcPr>
          <w:p>
            <w:pPr>
              <w:snapToGrid w:val="0"/>
              <w:spacing w:line="300" w:lineRule="auto"/>
              <w:jc w:val="center"/>
              <w:rPr>
                <w:sz w:val="18"/>
                <w:szCs w:val="18"/>
              </w:rPr>
            </w:pPr>
            <w:r>
              <w:rPr>
                <w:kern w:val="0"/>
                <w:sz w:val="18"/>
                <w:szCs w:val="18"/>
              </w:rPr>
              <w:t>综合</w:t>
            </w:r>
          </w:p>
        </w:tc>
        <w:tc>
          <w:tcPr>
            <w:tcW w:w="445" w:type="dxa"/>
            <w:vAlign w:val="center"/>
          </w:tcPr>
          <w:p>
            <w:pPr>
              <w:snapToGrid w:val="0"/>
              <w:spacing w:line="300" w:lineRule="auto"/>
              <w:jc w:val="center"/>
              <w:rPr>
                <w:sz w:val="18"/>
                <w:szCs w:val="18"/>
              </w:rPr>
            </w:pPr>
            <w:r>
              <w:rPr>
                <w:kern w:val="0"/>
                <w:sz w:val="18"/>
                <w:szCs w:val="18"/>
              </w:rPr>
              <w:t>2</w:t>
            </w:r>
          </w:p>
        </w:tc>
        <w:tc>
          <w:tcPr>
            <w:tcW w:w="591" w:type="dxa"/>
            <w:vAlign w:val="center"/>
          </w:tcPr>
          <w:p>
            <w:pPr>
              <w:snapToGrid w:val="0"/>
              <w:spacing w:line="300" w:lineRule="auto"/>
              <w:jc w:val="center"/>
              <w:rPr>
                <w:sz w:val="18"/>
                <w:szCs w:val="18"/>
              </w:rPr>
            </w:pPr>
            <w:r>
              <w:rPr>
                <w:kern w:val="0"/>
                <w:sz w:val="18"/>
                <w:szCs w:val="18"/>
              </w:rPr>
              <w:t>必开</w:t>
            </w:r>
          </w:p>
        </w:tc>
        <w:tc>
          <w:tcPr>
            <w:tcW w:w="595" w:type="dxa"/>
            <w:vAlign w:val="center"/>
          </w:tcPr>
          <w:p>
            <w:pPr>
              <w:snapToGrid w:val="0"/>
              <w:spacing w:line="300" w:lineRule="auto"/>
              <w:jc w:val="center"/>
              <w:rPr>
                <w:sz w:val="18"/>
                <w:szCs w:val="18"/>
              </w:rPr>
            </w:pPr>
            <w:r>
              <w:rPr>
                <w:kern w:val="0"/>
                <w:sz w:val="18"/>
                <w:szCs w:val="18"/>
              </w:rPr>
              <w:t>3、4</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1．考核方式：闭卷笔试，平时测验及作业，实验报告。</w:t>
      </w:r>
    </w:p>
    <w:p>
      <w:pPr>
        <w:snapToGrid w:val="0"/>
        <w:spacing w:line="300" w:lineRule="auto"/>
        <w:ind w:firstLine="420" w:firstLineChars="200"/>
      </w:pPr>
      <w:r>
        <w:t>2．成绩构成：笔试成绩70%，平时成绩20%（课后作业、课堂表现、随堂测验、口头报告等），实验成绩10%。</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445"/>
        <w:gridCol w:w="445"/>
        <w:gridCol w:w="889"/>
        <w:gridCol w:w="447"/>
        <w:gridCol w:w="4178"/>
        <w:gridCol w:w="1072"/>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blHeader/>
          <w:jc w:val="center"/>
        </w:trPr>
        <w:tc>
          <w:tcPr>
            <w:tcW w:w="588"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445" w:type="dxa"/>
            <w:vAlign w:val="center"/>
          </w:tcPr>
          <w:p>
            <w:pPr>
              <w:snapToGrid w:val="0"/>
              <w:spacing w:line="300" w:lineRule="auto"/>
              <w:jc w:val="center"/>
              <w:rPr>
                <w:b/>
                <w:bCs/>
                <w:sz w:val="18"/>
                <w:szCs w:val="18"/>
              </w:rPr>
            </w:pPr>
            <w:r>
              <w:rPr>
                <w:b/>
                <w:bCs/>
                <w:sz w:val="18"/>
                <w:szCs w:val="18"/>
              </w:rPr>
              <w:t>分值</w:t>
            </w:r>
          </w:p>
        </w:tc>
        <w:tc>
          <w:tcPr>
            <w:tcW w:w="445" w:type="dxa"/>
            <w:vAlign w:val="center"/>
          </w:tcPr>
          <w:p>
            <w:pPr>
              <w:snapToGrid w:val="0"/>
              <w:spacing w:line="300" w:lineRule="auto"/>
              <w:jc w:val="center"/>
              <w:rPr>
                <w:b/>
                <w:bCs/>
                <w:sz w:val="18"/>
                <w:szCs w:val="18"/>
              </w:rPr>
            </w:pPr>
            <w:r>
              <w:rPr>
                <w:b/>
                <w:bCs/>
                <w:sz w:val="18"/>
                <w:szCs w:val="18"/>
              </w:rPr>
              <w:t>权重</w:t>
            </w:r>
          </w:p>
        </w:tc>
        <w:tc>
          <w:tcPr>
            <w:tcW w:w="889" w:type="dxa"/>
            <w:vAlign w:val="center"/>
          </w:tcPr>
          <w:p>
            <w:pPr>
              <w:snapToGrid w:val="0"/>
              <w:spacing w:line="300" w:lineRule="auto"/>
              <w:jc w:val="center"/>
              <w:rPr>
                <w:b/>
                <w:bCs/>
                <w:sz w:val="18"/>
                <w:szCs w:val="18"/>
              </w:rPr>
            </w:pPr>
            <w:r>
              <w:rPr>
                <w:b/>
                <w:bCs/>
                <w:sz w:val="18"/>
                <w:szCs w:val="18"/>
              </w:rPr>
              <w:t>类别</w:t>
            </w:r>
          </w:p>
        </w:tc>
        <w:tc>
          <w:tcPr>
            <w:tcW w:w="447" w:type="dxa"/>
            <w:vAlign w:val="center"/>
          </w:tcPr>
          <w:p>
            <w:pPr>
              <w:snapToGrid w:val="0"/>
              <w:spacing w:line="300" w:lineRule="auto"/>
              <w:jc w:val="center"/>
              <w:rPr>
                <w:b/>
                <w:bCs/>
                <w:sz w:val="18"/>
                <w:szCs w:val="18"/>
              </w:rPr>
            </w:pPr>
            <w:r>
              <w:rPr>
                <w:b/>
                <w:bCs/>
                <w:sz w:val="18"/>
                <w:szCs w:val="18"/>
              </w:rPr>
              <w:t>权重</w:t>
            </w:r>
          </w:p>
        </w:tc>
        <w:tc>
          <w:tcPr>
            <w:tcW w:w="4178" w:type="dxa"/>
            <w:vAlign w:val="center"/>
          </w:tcPr>
          <w:p>
            <w:pPr>
              <w:snapToGrid w:val="0"/>
              <w:spacing w:line="300" w:lineRule="auto"/>
              <w:jc w:val="center"/>
              <w:rPr>
                <w:b/>
                <w:bCs/>
                <w:sz w:val="18"/>
                <w:szCs w:val="18"/>
              </w:rPr>
            </w:pPr>
            <w:r>
              <w:rPr>
                <w:b/>
                <w:bCs/>
                <w:sz w:val="18"/>
                <w:szCs w:val="18"/>
              </w:rPr>
              <w:t>考核/评价细则</w:t>
            </w:r>
          </w:p>
        </w:tc>
        <w:tc>
          <w:tcPr>
            <w:tcW w:w="1072" w:type="dxa"/>
            <w:vAlign w:val="center"/>
          </w:tcPr>
          <w:p>
            <w:pPr>
              <w:snapToGrid w:val="0"/>
              <w:spacing w:line="300" w:lineRule="auto"/>
              <w:jc w:val="center"/>
              <w:rPr>
                <w:b/>
                <w:bCs/>
                <w:sz w:val="18"/>
                <w:szCs w:val="18"/>
              </w:rPr>
            </w:pPr>
            <w:r>
              <w:rPr>
                <w:b/>
                <w:bCs/>
                <w:sz w:val="18"/>
                <w:szCs w:val="18"/>
              </w:rPr>
              <w:t>课程目标</w:t>
            </w:r>
          </w:p>
        </w:tc>
        <w:tc>
          <w:tcPr>
            <w:tcW w:w="869" w:type="dxa"/>
            <w:vAlign w:val="center"/>
          </w:tcPr>
          <w:p>
            <w:pPr>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vMerge w:val="restart"/>
            <w:vAlign w:val="center"/>
          </w:tcPr>
          <w:p>
            <w:pPr>
              <w:snapToGrid w:val="0"/>
              <w:spacing w:line="300" w:lineRule="auto"/>
              <w:jc w:val="left"/>
              <w:rPr>
                <w:sz w:val="18"/>
                <w:szCs w:val="18"/>
              </w:rPr>
            </w:pPr>
            <w:r>
              <w:rPr>
                <w:sz w:val="18"/>
                <w:szCs w:val="18"/>
              </w:rPr>
              <w:t>平时成绩</w:t>
            </w:r>
          </w:p>
        </w:tc>
        <w:tc>
          <w:tcPr>
            <w:tcW w:w="445" w:type="dxa"/>
            <w:vMerge w:val="restart"/>
            <w:vAlign w:val="center"/>
          </w:tcPr>
          <w:p>
            <w:pPr>
              <w:snapToGrid w:val="0"/>
              <w:spacing w:line="300" w:lineRule="auto"/>
              <w:jc w:val="center"/>
              <w:rPr>
                <w:sz w:val="18"/>
                <w:szCs w:val="18"/>
              </w:rPr>
            </w:pPr>
            <w:r>
              <w:rPr>
                <w:sz w:val="18"/>
                <w:szCs w:val="18"/>
              </w:rPr>
              <w:t>100</w:t>
            </w:r>
          </w:p>
        </w:tc>
        <w:tc>
          <w:tcPr>
            <w:tcW w:w="445" w:type="dxa"/>
            <w:vMerge w:val="restart"/>
            <w:vAlign w:val="center"/>
          </w:tcPr>
          <w:p>
            <w:pPr>
              <w:snapToGrid w:val="0"/>
              <w:spacing w:line="300" w:lineRule="auto"/>
              <w:jc w:val="center"/>
              <w:rPr>
                <w:sz w:val="18"/>
                <w:szCs w:val="18"/>
              </w:rPr>
            </w:pPr>
            <w:r>
              <w:rPr>
                <w:sz w:val="18"/>
                <w:szCs w:val="18"/>
              </w:rPr>
              <w:t>0.3</w:t>
            </w:r>
          </w:p>
        </w:tc>
        <w:tc>
          <w:tcPr>
            <w:tcW w:w="889" w:type="dxa"/>
            <w:vAlign w:val="center"/>
          </w:tcPr>
          <w:p>
            <w:pPr>
              <w:snapToGrid w:val="0"/>
              <w:spacing w:line="300" w:lineRule="auto"/>
              <w:jc w:val="center"/>
              <w:rPr>
                <w:sz w:val="18"/>
                <w:szCs w:val="18"/>
              </w:rPr>
            </w:pPr>
            <w:r>
              <w:rPr>
                <w:sz w:val="18"/>
                <w:szCs w:val="18"/>
              </w:rPr>
              <w:t>课堂表现</w:t>
            </w:r>
          </w:p>
        </w:tc>
        <w:tc>
          <w:tcPr>
            <w:tcW w:w="447" w:type="dxa"/>
            <w:vAlign w:val="center"/>
          </w:tcPr>
          <w:p>
            <w:pPr>
              <w:snapToGrid w:val="0"/>
              <w:spacing w:line="300" w:lineRule="auto"/>
              <w:jc w:val="center"/>
              <w:rPr>
                <w:sz w:val="18"/>
                <w:szCs w:val="18"/>
              </w:rPr>
            </w:pPr>
            <w:r>
              <w:rPr>
                <w:sz w:val="18"/>
                <w:szCs w:val="18"/>
              </w:rPr>
              <w:t>0.1</w:t>
            </w:r>
          </w:p>
        </w:tc>
        <w:tc>
          <w:tcPr>
            <w:tcW w:w="4178" w:type="dxa"/>
            <w:vAlign w:val="center"/>
          </w:tcPr>
          <w:p>
            <w:pPr>
              <w:snapToGrid w:val="0"/>
              <w:spacing w:line="300" w:lineRule="auto"/>
              <w:rPr>
                <w:sz w:val="18"/>
                <w:szCs w:val="18"/>
              </w:rPr>
            </w:pPr>
            <w:r>
              <w:rPr>
                <w:sz w:val="18"/>
                <w:szCs w:val="18"/>
              </w:rPr>
              <w:t>根据学生课堂表现打分，满分100。</w:t>
            </w:r>
          </w:p>
        </w:tc>
        <w:tc>
          <w:tcPr>
            <w:tcW w:w="1072" w:type="dxa"/>
            <w:vAlign w:val="center"/>
          </w:tcPr>
          <w:p>
            <w:pPr>
              <w:snapToGrid w:val="0"/>
              <w:spacing w:line="300" w:lineRule="auto"/>
              <w:jc w:val="center"/>
              <w:rPr>
                <w:sz w:val="18"/>
                <w:szCs w:val="18"/>
              </w:rPr>
            </w:pPr>
            <w:r>
              <w:rPr>
                <w:sz w:val="18"/>
                <w:szCs w:val="18"/>
              </w:rPr>
              <w:t>1，2，4</w:t>
            </w:r>
          </w:p>
        </w:tc>
        <w:tc>
          <w:tcPr>
            <w:tcW w:w="869" w:type="dxa"/>
            <w:vAlign w:val="center"/>
          </w:tcPr>
          <w:p>
            <w:pPr>
              <w:snapToGrid w:val="0"/>
              <w:spacing w:line="300" w:lineRule="auto"/>
              <w:jc w:val="center"/>
              <w:rPr>
                <w:sz w:val="18"/>
                <w:szCs w:val="18"/>
              </w:rPr>
            </w:pPr>
            <w:r>
              <w:rPr>
                <w:rFonts w:hint="eastAsia"/>
                <w:sz w:val="18"/>
                <w:szCs w:val="18"/>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588" w:type="dxa"/>
            <w:vMerge w:val="continue"/>
            <w:vAlign w:val="center"/>
          </w:tcPr>
          <w:p>
            <w:pPr>
              <w:snapToGrid w:val="0"/>
              <w:spacing w:line="300" w:lineRule="auto"/>
              <w:rPr>
                <w:sz w:val="18"/>
                <w:szCs w:val="18"/>
              </w:rPr>
            </w:pPr>
          </w:p>
        </w:tc>
        <w:tc>
          <w:tcPr>
            <w:tcW w:w="445" w:type="dxa"/>
            <w:vMerge w:val="continue"/>
            <w:vAlign w:val="center"/>
          </w:tcPr>
          <w:p>
            <w:pPr>
              <w:snapToGrid w:val="0"/>
              <w:spacing w:line="300" w:lineRule="auto"/>
              <w:jc w:val="center"/>
              <w:rPr>
                <w:sz w:val="18"/>
                <w:szCs w:val="18"/>
              </w:rPr>
            </w:pPr>
          </w:p>
        </w:tc>
        <w:tc>
          <w:tcPr>
            <w:tcW w:w="445" w:type="dxa"/>
            <w:vMerge w:val="continue"/>
            <w:vAlign w:val="center"/>
          </w:tcPr>
          <w:p>
            <w:pPr>
              <w:snapToGrid w:val="0"/>
              <w:spacing w:line="300" w:lineRule="auto"/>
              <w:jc w:val="center"/>
              <w:rPr>
                <w:sz w:val="18"/>
                <w:szCs w:val="18"/>
              </w:rPr>
            </w:pPr>
          </w:p>
        </w:tc>
        <w:tc>
          <w:tcPr>
            <w:tcW w:w="889" w:type="dxa"/>
            <w:vAlign w:val="center"/>
          </w:tcPr>
          <w:p>
            <w:pPr>
              <w:snapToGrid w:val="0"/>
              <w:spacing w:line="300" w:lineRule="auto"/>
              <w:jc w:val="center"/>
              <w:rPr>
                <w:sz w:val="18"/>
                <w:szCs w:val="18"/>
              </w:rPr>
            </w:pPr>
            <w:r>
              <w:rPr>
                <w:sz w:val="18"/>
                <w:szCs w:val="18"/>
              </w:rPr>
              <w:t>作业</w:t>
            </w:r>
          </w:p>
        </w:tc>
        <w:tc>
          <w:tcPr>
            <w:tcW w:w="447" w:type="dxa"/>
            <w:vAlign w:val="center"/>
          </w:tcPr>
          <w:p>
            <w:pPr>
              <w:snapToGrid w:val="0"/>
              <w:spacing w:line="300" w:lineRule="auto"/>
              <w:jc w:val="center"/>
              <w:rPr>
                <w:sz w:val="18"/>
                <w:szCs w:val="18"/>
              </w:rPr>
            </w:pPr>
            <w:r>
              <w:rPr>
                <w:sz w:val="18"/>
                <w:szCs w:val="18"/>
              </w:rPr>
              <w:t>0.3</w:t>
            </w:r>
          </w:p>
        </w:tc>
        <w:tc>
          <w:tcPr>
            <w:tcW w:w="4178"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1072" w:type="dxa"/>
            <w:vAlign w:val="center"/>
          </w:tcPr>
          <w:p>
            <w:pPr>
              <w:snapToGrid w:val="0"/>
              <w:spacing w:line="300" w:lineRule="auto"/>
              <w:jc w:val="center"/>
              <w:rPr>
                <w:sz w:val="18"/>
                <w:szCs w:val="18"/>
              </w:rPr>
            </w:pPr>
            <w:r>
              <w:rPr>
                <w:sz w:val="18"/>
                <w:szCs w:val="18"/>
              </w:rPr>
              <w:t>1，2，3，4</w:t>
            </w:r>
          </w:p>
        </w:tc>
        <w:tc>
          <w:tcPr>
            <w:tcW w:w="869" w:type="dxa"/>
            <w:vAlign w:val="center"/>
          </w:tcPr>
          <w:p>
            <w:pPr>
              <w:snapToGrid w:val="0"/>
              <w:spacing w:line="300" w:lineRule="auto"/>
              <w:jc w:val="center"/>
              <w:rPr>
                <w:sz w:val="18"/>
                <w:szCs w:val="18"/>
              </w:rPr>
            </w:pPr>
            <w:r>
              <w:rPr>
                <w:rFonts w:hint="eastAsia"/>
                <w:sz w:val="18"/>
                <w:szCs w:val="18"/>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588" w:type="dxa"/>
            <w:vMerge w:val="continue"/>
            <w:vAlign w:val="center"/>
          </w:tcPr>
          <w:p>
            <w:pPr>
              <w:snapToGrid w:val="0"/>
              <w:spacing w:line="300" w:lineRule="auto"/>
              <w:rPr>
                <w:sz w:val="18"/>
                <w:szCs w:val="18"/>
              </w:rPr>
            </w:pPr>
          </w:p>
        </w:tc>
        <w:tc>
          <w:tcPr>
            <w:tcW w:w="445" w:type="dxa"/>
            <w:vMerge w:val="continue"/>
            <w:vAlign w:val="center"/>
          </w:tcPr>
          <w:p>
            <w:pPr>
              <w:snapToGrid w:val="0"/>
              <w:spacing w:line="300" w:lineRule="auto"/>
              <w:jc w:val="center"/>
              <w:rPr>
                <w:sz w:val="18"/>
                <w:szCs w:val="18"/>
              </w:rPr>
            </w:pPr>
          </w:p>
        </w:tc>
        <w:tc>
          <w:tcPr>
            <w:tcW w:w="445" w:type="dxa"/>
            <w:vMerge w:val="continue"/>
            <w:vAlign w:val="center"/>
          </w:tcPr>
          <w:p>
            <w:pPr>
              <w:snapToGrid w:val="0"/>
              <w:spacing w:line="300" w:lineRule="auto"/>
              <w:jc w:val="center"/>
              <w:rPr>
                <w:sz w:val="18"/>
                <w:szCs w:val="18"/>
              </w:rPr>
            </w:pPr>
          </w:p>
        </w:tc>
        <w:tc>
          <w:tcPr>
            <w:tcW w:w="889" w:type="dxa"/>
            <w:vAlign w:val="center"/>
          </w:tcPr>
          <w:p>
            <w:pPr>
              <w:snapToGrid w:val="0"/>
              <w:spacing w:line="300" w:lineRule="auto"/>
              <w:jc w:val="center"/>
              <w:rPr>
                <w:sz w:val="18"/>
                <w:szCs w:val="18"/>
              </w:rPr>
            </w:pPr>
            <w:r>
              <w:rPr>
                <w:sz w:val="18"/>
                <w:szCs w:val="18"/>
              </w:rPr>
              <w:t>实验</w:t>
            </w:r>
          </w:p>
        </w:tc>
        <w:tc>
          <w:tcPr>
            <w:tcW w:w="447" w:type="dxa"/>
            <w:vAlign w:val="center"/>
          </w:tcPr>
          <w:p>
            <w:pPr>
              <w:snapToGrid w:val="0"/>
              <w:spacing w:line="300" w:lineRule="auto"/>
              <w:jc w:val="center"/>
              <w:rPr>
                <w:sz w:val="18"/>
                <w:szCs w:val="18"/>
              </w:rPr>
            </w:pPr>
            <w:r>
              <w:rPr>
                <w:sz w:val="18"/>
                <w:szCs w:val="18"/>
              </w:rPr>
              <w:t>0.3</w:t>
            </w:r>
          </w:p>
        </w:tc>
        <w:tc>
          <w:tcPr>
            <w:tcW w:w="4178"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1072" w:type="dxa"/>
            <w:vAlign w:val="center"/>
          </w:tcPr>
          <w:p>
            <w:pPr>
              <w:snapToGrid w:val="0"/>
              <w:spacing w:line="300" w:lineRule="auto"/>
              <w:jc w:val="center"/>
              <w:rPr>
                <w:sz w:val="18"/>
                <w:szCs w:val="18"/>
              </w:rPr>
            </w:pPr>
            <w:r>
              <w:rPr>
                <w:sz w:val="18"/>
                <w:szCs w:val="18"/>
              </w:rPr>
              <w:t>3，4，5</w:t>
            </w:r>
          </w:p>
        </w:tc>
        <w:tc>
          <w:tcPr>
            <w:tcW w:w="869" w:type="dxa"/>
            <w:vAlign w:val="center"/>
          </w:tcPr>
          <w:p>
            <w:pPr>
              <w:snapToGrid w:val="0"/>
              <w:spacing w:line="300" w:lineRule="auto"/>
              <w:jc w:val="center"/>
              <w:rPr>
                <w:sz w:val="18"/>
                <w:szCs w:val="18"/>
              </w:rPr>
            </w:pPr>
            <w:r>
              <w:rPr>
                <w:rFonts w:hint="eastAsia"/>
                <w:sz w:val="18"/>
                <w:szCs w:val="18"/>
              </w:rPr>
              <w:t>6.2，7.2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88" w:type="dxa"/>
            <w:vMerge w:val="continue"/>
            <w:vAlign w:val="center"/>
          </w:tcPr>
          <w:p>
            <w:pPr>
              <w:snapToGrid w:val="0"/>
              <w:spacing w:line="300" w:lineRule="auto"/>
              <w:rPr>
                <w:sz w:val="18"/>
                <w:szCs w:val="18"/>
              </w:rPr>
            </w:pPr>
          </w:p>
        </w:tc>
        <w:tc>
          <w:tcPr>
            <w:tcW w:w="445" w:type="dxa"/>
            <w:vMerge w:val="continue"/>
            <w:vAlign w:val="center"/>
          </w:tcPr>
          <w:p>
            <w:pPr>
              <w:snapToGrid w:val="0"/>
              <w:spacing w:line="300" w:lineRule="auto"/>
              <w:jc w:val="center"/>
              <w:rPr>
                <w:sz w:val="18"/>
                <w:szCs w:val="18"/>
              </w:rPr>
            </w:pPr>
          </w:p>
        </w:tc>
        <w:tc>
          <w:tcPr>
            <w:tcW w:w="445" w:type="dxa"/>
            <w:vMerge w:val="continue"/>
            <w:vAlign w:val="center"/>
          </w:tcPr>
          <w:p>
            <w:pPr>
              <w:snapToGrid w:val="0"/>
              <w:spacing w:line="300" w:lineRule="auto"/>
              <w:jc w:val="center"/>
              <w:rPr>
                <w:sz w:val="18"/>
                <w:szCs w:val="18"/>
              </w:rPr>
            </w:pPr>
          </w:p>
        </w:tc>
        <w:tc>
          <w:tcPr>
            <w:tcW w:w="889" w:type="dxa"/>
            <w:vAlign w:val="center"/>
          </w:tcPr>
          <w:p>
            <w:pPr>
              <w:snapToGrid w:val="0"/>
              <w:spacing w:line="300" w:lineRule="auto"/>
              <w:jc w:val="center"/>
              <w:rPr>
                <w:sz w:val="18"/>
                <w:szCs w:val="18"/>
              </w:rPr>
            </w:pPr>
            <w:r>
              <w:rPr>
                <w:sz w:val="18"/>
                <w:szCs w:val="18"/>
              </w:rPr>
              <w:t>平时测验</w:t>
            </w:r>
          </w:p>
        </w:tc>
        <w:tc>
          <w:tcPr>
            <w:tcW w:w="447" w:type="dxa"/>
            <w:vAlign w:val="center"/>
          </w:tcPr>
          <w:p>
            <w:pPr>
              <w:snapToGrid w:val="0"/>
              <w:spacing w:line="300" w:lineRule="auto"/>
              <w:jc w:val="center"/>
              <w:rPr>
                <w:sz w:val="18"/>
                <w:szCs w:val="18"/>
              </w:rPr>
            </w:pPr>
            <w:r>
              <w:rPr>
                <w:sz w:val="18"/>
                <w:szCs w:val="18"/>
              </w:rPr>
              <w:t>0.2</w:t>
            </w:r>
          </w:p>
        </w:tc>
        <w:tc>
          <w:tcPr>
            <w:tcW w:w="4178" w:type="dxa"/>
            <w:vAlign w:val="center"/>
          </w:tcPr>
          <w:p>
            <w:pPr>
              <w:snapToGrid w:val="0"/>
              <w:spacing w:line="300" w:lineRule="auto"/>
              <w:jc w:val="left"/>
              <w:rPr>
                <w:sz w:val="18"/>
                <w:szCs w:val="18"/>
              </w:rPr>
            </w:pPr>
            <w:r>
              <w:rPr>
                <w:sz w:val="18"/>
                <w:szCs w:val="18"/>
              </w:rPr>
              <w:t>做两三次平时测验，每次满分100分。</w:t>
            </w:r>
          </w:p>
        </w:tc>
        <w:tc>
          <w:tcPr>
            <w:tcW w:w="1072" w:type="dxa"/>
            <w:vAlign w:val="center"/>
          </w:tcPr>
          <w:p>
            <w:pPr>
              <w:snapToGrid w:val="0"/>
              <w:spacing w:line="300" w:lineRule="auto"/>
              <w:jc w:val="center"/>
              <w:rPr>
                <w:sz w:val="18"/>
                <w:szCs w:val="18"/>
              </w:rPr>
            </w:pPr>
            <w:r>
              <w:rPr>
                <w:sz w:val="18"/>
                <w:szCs w:val="18"/>
              </w:rPr>
              <w:t>1，2</w:t>
            </w:r>
          </w:p>
        </w:tc>
        <w:tc>
          <w:tcPr>
            <w:tcW w:w="869" w:type="dxa"/>
            <w:vAlign w:val="center"/>
          </w:tcPr>
          <w:p>
            <w:pPr>
              <w:snapToGrid w:val="0"/>
              <w:spacing w:line="300" w:lineRule="auto"/>
              <w:jc w:val="center"/>
              <w:rPr>
                <w:sz w:val="18"/>
                <w:szCs w:val="18"/>
              </w:rPr>
            </w:pPr>
            <w:r>
              <w:rPr>
                <w:rFonts w:hint="eastAsia"/>
                <w:sz w:val="18"/>
                <w:szCs w:val="18"/>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88" w:type="dxa"/>
            <w:vMerge w:val="continue"/>
            <w:vAlign w:val="center"/>
          </w:tcPr>
          <w:p>
            <w:pPr>
              <w:snapToGrid w:val="0"/>
              <w:spacing w:line="300" w:lineRule="auto"/>
              <w:rPr>
                <w:sz w:val="18"/>
                <w:szCs w:val="18"/>
              </w:rPr>
            </w:pPr>
          </w:p>
        </w:tc>
        <w:tc>
          <w:tcPr>
            <w:tcW w:w="445" w:type="dxa"/>
            <w:vMerge w:val="continue"/>
            <w:vAlign w:val="center"/>
          </w:tcPr>
          <w:p>
            <w:pPr>
              <w:snapToGrid w:val="0"/>
              <w:spacing w:line="300" w:lineRule="auto"/>
              <w:jc w:val="center"/>
              <w:rPr>
                <w:sz w:val="18"/>
                <w:szCs w:val="18"/>
              </w:rPr>
            </w:pPr>
          </w:p>
        </w:tc>
        <w:tc>
          <w:tcPr>
            <w:tcW w:w="445" w:type="dxa"/>
            <w:vMerge w:val="continue"/>
            <w:vAlign w:val="center"/>
          </w:tcPr>
          <w:p>
            <w:pPr>
              <w:snapToGrid w:val="0"/>
              <w:spacing w:line="300" w:lineRule="auto"/>
              <w:jc w:val="center"/>
              <w:rPr>
                <w:sz w:val="18"/>
                <w:szCs w:val="18"/>
              </w:rPr>
            </w:pPr>
          </w:p>
        </w:tc>
        <w:tc>
          <w:tcPr>
            <w:tcW w:w="889" w:type="dxa"/>
            <w:vAlign w:val="center"/>
          </w:tcPr>
          <w:p>
            <w:pPr>
              <w:snapToGrid w:val="0"/>
              <w:spacing w:line="300" w:lineRule="auto"/>
              <w:jc w:val="center"/>
              <w:rPr>
                <w:sz w:val="18"/>
                <w:szCs w:val="18"/>
              </w:rPr>
            </w:pPr>
            <w:r>
              <w:rPr>
                <w:sz w:val="18"/>
                <w:szCs w:val="18"/>
              </w:rPr>
              <w:t>项目研究</w:t>
            </w:r>
          </w:p>
        </w:tc>
        <w:tc>
          <w:tcPr>
            <w:tcW w:w="447" w:type="dxa"/>
            <w:vAlign w:val="center"/>
          </w:tcPr>
          <w:p>
            <w:pPr>
              <w:snapToGrid w:val="0"/>
              <w:spacing w:line="300" w:lineRule="auto"/>
              <w:jc w:val="center"/>
              <w:rPr>
                <w:sz w:val="18"/>
                <w:szCs w:val="18"/>
              </w:rPr>
            </w:pPr>
            <w:r>
              <w:rPr>
                <w:sz w:val="18"/>
                <w:szCs w:val="18"/>
              </w:rPr>
              <w:t>0.1</w:t>
            </w:r>
          </w:p>
        </w:tc>
        <w:tc>
          <w:tcPr>
            <w:tcW w:w="4178" w:type="dxa"/>
            <w:vAlign w:val="center"/>
          </w:tcPr>
          <w:p>
            <w:pPr>
              <w:snapToGrid w:val="0"/>
              <w:spacing w:line="300" w:lineRule="auto"/>
              <w:jc w:val="left"/>
              <w:rPr>
                <w:sz w:val="18"/>
                <w:szCs w:val="18"/>
              </w:rPr>
            </w:pPr>
            <w:r>
              <w:rPr>
                <w:sz w:val="18"/>
                <w:szCs w:val="18"/>
              </w:rPr>
              <w:t>以小组为单位选题，并撰写报告，设计PPT，最高分100分。</w:t>
            </w:r>
          </w:p>
        </w:tc>
        <w:tc>
          <w:tcPr>
            <w:tcW w:w="1072" w:type="dxa"/>
            <w:vAlign w:val="center"/>
          </w:tcPr>
          <w:p>
            <w:pPr>
              <w:snapToGrid w:val="0"/>
              <w:spacing w:line="300" w:lineRule="auto"/>
              <w:jc w:val="center"/>
              <w:rPr>
                <w:sz w:val="18"/>
                <w:szCs w:val="18"/>
              </w:rPr>
            </w:pPr>
            <w:r>
              <w:rPr>
                <w:sz w:val="18"/>
                <w:szCs w:val="18"/>
              </w:rPr>
              <w:t>1，5</w:t>
            </w:r>
          </w:p>
        </w:tc>
        <w:tc>
          <w:tcPr>
            <w:tcW w:w="869" w:type="dxa"/>
            <w:vAlign w:val="center"/>
          </w:tcPr>
          <w:p>
            <w:pPr>
              <w:snapToGrid w:val="0"/>
              <w:spacing w:line="300" w:lineRule="auto"/>
              <w:jc w:val="center"/>
              <w:rPr>
                <w:sz w:val="18"/>
                <w:szCs w:val="18"/>
              </w:rPr>
            </w:pPr>
            <w:r>
              <w:rPr>
                <w:rFonts w:hint="eastAsia"/>
                <w:sz w:val="18"/>
                <w:szCs w:val="18"/>
              </w:rPr>
              <w:t>1.2，6.2，7.2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4" w:hRule="atLeast"/>
          <w:jc w:val="center"/>
        </w:trPr>
        <w:tc>
          <w:tcPr>
            <w:tcW w:w="588" w:type="dxa"/>
            <w:vAlign w:val="center"/>
          </w:tcPr>
          <w:p>
            <w:pPr>
              <w:snapToGrid w:val="0"/>
              <w:spacing w:line="300" w:lineRule="auto"/>
              <w:jc w:val="left"/>
              <w:rPr>
                <w:sz w:val="18"/>
                <w:szCs w:val="18"/>
              </w:rPr>
            </w:pPr>
            <w:r>
              <w:rPr>
                <w:sz w:val="18"/>
                <w:szCs w:val="18"/>
              </w:rPr>
              <w:t>期末考试成绩</w:t>
            </w:r>
          </w:p>
        </w:tc>
        <w:tc>
          <w:tcPr>
            <w:tcW w:w="445" w:type="dxa"/>
            <w:vAlign w:val="center"/>
          </w:tcPr>
          <w:p>
            <w:pPr>
              <w:snapToGrid w:val="0"/>
              <w:spacing w:line="300" w:lineRule="auto"/>
              <w:jc w:val="center"/>
              <w:rPr>
                <w:sz w:val="18"/>
                <w:szCs w:val="18"/>
              </w:rPr>
            </w:pPr>
            <w:r>
              <w:rPr>
                <w:sz w:val="18"/>
                <w:szCs w:val="18"/>
              </w:rPr>
              <w:t>100</w:t>
            </w:r>
          </w:p>
        </w:tc>
        <w:tc>
          <w:tcPr>
            <w:tcW w:w="445" w:type="dxa"/>
            <w:vAlign w:val="center"/>
          </w:tcPr>
          <w:p>
            <w:pPr>
              <w:snapToGrid w:val="0"/>
              <w:spacing w:line="300" w:lineRule="auto"/>
              <w:jc w:val="center"/>
              <w:rPr>
                <w:sz w:val="18"/>
                <w:szCs w:val="18"/>
              </w:rPr>
            </w:pPr>
            <w:r>
              <w:rPr>
                <w:sz w:val="18"/>
                <w:szCs w:val="18"/>
              </w:rPr>
              <w:t>0.7</w:t>
            </w:r>
          </w:p>
        </w:tc>
        <w:tc>
          <w:tcPr>
            <w:tcW w:w="889" w:type="dxa"/>
            <w:vAlign w:val="center"/>
          </w:tcPr>
          <w:p>
            <w:pPr>
              <w:snapToGrid w:val="0"/>
              <w:spacing w:line="300" w:lineRule="auto"/>
              <w:jc w:val="left"/>
              <w:rPr>
                <w:sz w:val="18"/>
                <w:szCs w:val="18"/>
              </w:rPr>
            </w:pPr>
            <w:r>
              <w:rPr>
                <w:sz w:val="18"/>
                <w:szCs w:val="18"/>
              </w:rPr>
              <w:t>闭卷考试</w:t>
            </w:r>
          </w:p>
        </w:tc>
        <w:tc>
          <w:tcPr>
            <w:tcW w:w="447" w:type="dxa"/>
            <w:vAlign w:val="center"/>
          </w:tcPr>
          <w:p>
            <w:pPr>
              <w:snapToGrid w:val="0"/>
              <w:spacing w:line="300" w:lineRule="auto"/>
              <w:jc w:val="center"/>
              <w:rPr>
                <w:sz w:val="18"/>
                <w:szCs w:val="18"/>
              </w:rPr>
            </w:pPr>
            <w:r>
              <w:rPr>
                <w:sz w:val="18"/>
                <w:szCs w:val="18"/>
              </w:rPr>
              <w:t>1</w:t>
            </w:r>
          </w:p>
        </w:tc>
        <w:tc>
          <w:tcPr>
            <w:tcW w:w="4178"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第1-8章。</w:t>
            </w:r>
          </w:p>
          <w:p>
            <w:pPr>
              <w:snapToGrid w:val="0"/>
              <w:spacing w:line="300" w:lineRule="auto"/>
              <w:rPr>
                <w:sz w:val="18"/>
                <w:szCs w:val="18"/>
              </w:rPr>
            </w:pPr>
            <w:r>
              <w:rPr>
                <w:sz w:val="18"/>
                <w:szCs w:val="18"/>
              </w:rPr>
              <w:t>(3)建议考试题型包括：选择题、填空题、分析判断、综合计算题、证明题等其中某几种题型。</w:t>
            </w:r>
          </w:p>
        </w:tc>
        <w:tc>
          <w:tcPr>
            <w:tcW w:w="1072" w:type="dxa"/>
            <w:vAlign w:val="center"/>
          </w:tcPr>
          <w:p>
            <w:pPr>
              <w:snapToGrid w:val="0"/>
              <w:spacing w:line="300" w:lineRule="auto"/>
              <w:jc w:val="center"/>
              <w:rPr>
                <w:sz w:val="18"/>
                <w:szCs w:val="18"/>
              </w:rPr>
            </w:pPr>
            <w:r>
              <w:rPr>
                <w:sz w:val="18"/>
                <w:szCs w:val="18"/>
              </w:rPr>
              <w:t>1，2，3，4</w:t>
            </w:r>
          </w:p>
        </w:tc>
        <w:tc>
          <w:tcPr>
            <w:tcW w:w="869" w:type="dxa"/>
            <w:vAlign w:val="center"/>
          </w:tcPr>
          <w:p>
            <w:pPr>
              <w:snapToGrid w:val="0"/>
              <w:spacing w:line="300" w:lineRule="auto"/>
              <w:jc w:val="center"/>
              <w:rPr>
                <w:sz w:val="18"/>
                <w:szCs w:val="18"/>
              </w:rPr>
            </w:pPr>
            <w:r>
              <w:rPr>
                <w:rFonts w:hint="eastAsia"/>
                <w:sz w:val="18"/>
                <w:szCs w:val="18"/>
              </w:rPr>
              <w:t>1.2，6.2，7.2</w:t>
            </w:r>
          </w:p>
        </w:tc>
      </w:tr>
    </w:tbl>
    <w:p>
      <w:pPr>
        <w:snapToGrid w:val="0"/>
        <w:spacing w:before="156" w:beforeLines="50" w:after="156" w:afterLines="50" w:line="300" w:lineRule="auto"/>
        <w:rPr>
          <w:b/>
          <w:sz w:val="24"/>
        </w:rPr>
      </w:pPr>
    </w:p>
    <w:p>
      <w:pPr>
        <w:snapToGrid w:val="0"/>
        <w:spacing w:before="156" w:beforeLines="50" w:after="156" w:after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t>．</w:t>
      </w:r>
      <w:r>
        <w:rPr>
          <w:rFonts w:hint="eastAsia"/>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rFonts w:hint="eastAsia"/>
          <w:position w:val="-16"/>
        </w:rPr>
        <w:object>
          <v:shape id="_x0000_i1107"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107" DrawAspect="Content" ObjectID="_1468075804" r:id="rId119">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t xml:space="preserve"> </w:t>
      </w:r>
      <w:r>
        <w:rPr>
          <w:rFonts w:hint="eastAsia"/>
          <w:position w:val="-10"/>
        </w:rPr>
        <w:object>
          <v:shape id="_x0000_i1108" o:spt="75" type="#_x0000_t75" style="height:24pt;width:245.25pt;" o:ole="t" filled="f" o:preferrelative="t" stroked="f" coordsize="21600,21600">
            <v:path/>
            <v:fill on="f" focussize="0,0"/>
            <v:stroke on="f" joinstyle="miter"/>
            <v:imagedata r:id="rId59" o:title=""/>
            <o:lock v:ext="edit" aspectratio="t"/>
            <w10:wrap type="none"/>
            <w10:anchorlock/>
          </v:shape>
          <o:OLEObject Type="Embed" ProgID="Equation.DSMT4" ShapeID="_x0000_i1108" DrawAspect="Content" ObjectID="_1468075805" r:id="rId120">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5"/>
        <w:gridCol w:w="1304"/>
        <w:gridCol w:w="1545"/>
        <w:gridCol w:w="1531"/>
        <w:gridCol w:w="1533"/>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235" w:type="dxa"/>
            <w:vAlign w:val="center"/>
          </w:tcPr>
          <w:p>
            <w:pPr>
              <w:snapToGrid w:val="0"/>
              <w:spacing w:line="300" w:lineRule="auto"/>
              <w:jc w:val="center"/>
              <w:rPr>
                <w:b/>
                <w:bCs/>
                <w:sz w:val="18"/>
                <w:szCs w:val="18"/>
              </w:rPr>
            </w:pPr>
            <w:r>
              <w:rPr>
                <w:b/>
                <w:bCs/>
                <w:sz w:val="18"/>
                <w:szCs w:val="18"/>
              </w:rPr>
              <w:t>课程目标</w:t>
            </w:r>
          </w:p>
        </w:tc>
        <w:tc>
          <w:tcPr>
            <w:tcW w:w="1304" w:type="dxa"/>
            <w:vAlign w:val="center"/>
          </w:tcPr>
          <w:p>
            <w:pPr>
              <w:snapToGrid w:val="0"/>
              <w:spacing w:line="300" w:lineRule="auto"/>
              <w:jc w:val="center"/>
              <w:rPr>
                <w:sz w:val="18"/>
                <w:szCs w:val="18"/>
              </w:rPr>
            </w:pPr>
            <w:r>
              <w:rPr>
                <w:sz w:val="18"/>
                <w:szCs w:val="18"/>
              </w:rPr>
              <w:t>1</w:t>
            </w:r>
          </w:p>
        </w:tc>
        <w:tc>
          <w:tcPr>
            <w:tcW w:w="1545" w:type="dxa"/>
            <w:vAlign w:val="center"/>
          </w:tcPr>
          <w:p>
            <w:pPr>
              <w:snapToGrid w:val="0"/>
              <w:spacing w:line="300" w:lineRule="auto"/>
              <w:jc w:val="center"/>
              <w:rPr>
                <w:sz w:val="18"/>
                <w:szCs w:val="18"/>
              </w:rPr>
            </w:pPr>
            <w:r>
              <w:rPr>
                <w:sz w:val="18"/>
                <w:szCs w:val="18"/>
              </w:rPr>
              <w:t>2</w:t>
            </w:r>
          </w:p>
        </w:tc>
        <w:tc>
          <w:tcPr>
            <w:tcW w:w="1531" w:type="dxa"/>
            <w:vAlign w:val="center"/>
          </w:tcPr>
          <w:p>
            <w:pPr>
              <w:snapToGrid w:val="0"/>
              <w:spacing w:line="300" w:lineRule="auto"/>
              <w:jc w:val="center"/>
              <w:rPr>
                <w:sz w:val="18"/>
                <w:szCs w:val="18"/>
              </w:rPr>
            </w:pPr>
            <w:r>
              <w:rPr>
                <w:sz w:val="18"/>
                <w:szCs w:val="18"/>
              </w:rPr>
              <w:t>3</w:t>
            </w:r>
          </w:p>
        </w:tc>
        <w:tc>
          <w:tcPr>
            <w:tcW w:w="1533" w:type="dxa"/>
            <w:vAlign w:val="center"/>
          </w:tcPr>
          <w:p>
            <w:pPr>
              <w:snapToGrid w:val="0"/>
              <w:spacing w:line="300" w:lineRule="auto"/>
              <w:jc w:val="center"/>
              <w:rPr>
                <w:sz w:val="18"/>
                <w:szCs w:val="18"/>
              </w:rPr>
            </w:pPr>
            <w:r>
              <w:rPr>
                <w:sz w:val="18"/>
                <w:szCs w:val="18"/>
              </w:rPr>
              <w:t>4</w:t>
            </w:r>
          </w:p>
        </w:tc>
        <w:tc>
          <w:tcPr>
            <w:tcW w:w="1533" w:type="dxa"/>
            <w:vAlign w:val="center"/>
          </w:tcPr>
          <w:p>
            <w:pPr>
              <w:snapToGrid w:val="0"/>
              <w:spacing w:line="30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235" w:type="dxa"/>
            <w:vAlign w:val="center"/>
          </w:tcPr>
          <w:p>
            <w:pPr>
              <w:snapToGrid w:val="0"/>
              <w:spacing w:line="300" w:lineRule="auto"/>
              <w:jc w:val="center"/>
              <w:rPr>
                <w:b/>
                <w:bCs/>
                <w:sz w:val="18"/>
                <w:szCs w:val="18"/>
              </w:rPr>
            </w:pPr>
            <w:r>
              <w:rPr>
                <w:b/>
                <w:bCs/>
                <w:sz w:val="18"/>
                <w:szCs w:val="18"/>
              </w:rPr>
              <w:t>权重系数</w:t>
            </w:r>
          </w:p>
        </w:tc>
        <w:tc>
          <w:tcPr>
            <w:tcW w:w="1304" w:type="dxa"/>
            <w:vAlign w:val="center"/>
          </w:tcPr>
          <w:p>
            <w:pPr>
              <w:snapToGrid w:val="0"/>
              <w:spacing w:line="300" w:lineRule="auto"/>
              <w:jc w:val="center"/>
              <w:rPr>
                <w:sz w:val="18"/>
                <w:szCs w:val="18"/>
              </w:rPr>
            </w:pPr>
            <w:r>
              <w:rPr>
                <w:sz w:val="18"/>
                <w:szCs w:val="18"/>
              </w:rPr>
              <w:t>0.1</w:t>
            </w:r>
          </w:p>
        </w:tc>
        <w:tc>
          <w:tcPr>
            <w:tcW w:w="1545" w:type="dxa"/>
            <w:vAlign w:val="center"/>
          </w:tcPr>
          <w:p>
            <w:pPr>
              <w:snapToGrid w:val="0"/>
              <w:spacing w:line="300" w:lineRule="auto"/>
              <w:jc w:val="center"/>
              <w:rPr>
                <w:sz w:val="18"/>
                <w:szCs w:val="18"/>
              </w:rPr>
            </w:pPr>
            <w:r>
              <w:rPr>
                <w:sz w:val="18"/>
                <w:szCs w:val="18"/>
              </w:rPr>
              <w:t>0.1</w:t>
            </w:r>
          </w:p>
        </w:tc>
        <w:tc>
          <w:tcPr>
            <w:tcW w:w="1531" w:type="dxa"/>
            <w:vAlign w:val="center"/>
          </w:tcPr>
          <w:p>
            <w:pPr>
              <w:snapToGrid w:val="0"/>
              <w:spacing w:line="300" w:lineRule="auto"/>
              <w:jc w:val="center"/>
              <w:rPr>
                <w:sz w:val="18"/>
                <w:szCs w:val="18"/>
              </w:rPr>
            </w:pPr>
            <w:r>
              <w:rPr>
                <w:sz w:val="18"/>
                <w:szCs w:val="18"/>
              </w:rPr>
              <w:t>0.25</w:t>
            </w:r>
          </w:p>
        </w:tc>
        <w:tc>
          <w:tcPr>
            <w:tcW w:w="1533" w:type="dxa"/>
            <w:vAlign w:val="center"/>
          </w:tcPr>
          <w:p>
            <w:pPr>
              <w:snapToGrid w:val="0"/>
              <w:spacing w:line="300" w:lineRule="auto"/>
              <w:jc w:val="center"/>
              <w:rPr>
                <w:sz w:val="18"/>
                <w:szCs w:val="18"/>
              </w:rPr>
            </w:pPr>
            <w:r>
              <w:rPr>
                <w:sz w:val="18"/>
                <w:szCs w:val="18"/>
              </w:rPr>
              <w:t>0.25</w:t>
            </w:r>
          </w:p>
        </w:tc>
        <w:tc>
          <w:tcPr>
            <w:tcW w:w="1533" w:type="dxa"/>
            <w:vAlign w:val="center"/>
          </w:tcPr>
          <w:p>
            <w:pPr>
              <w:snapToGrid w:val="0"/>
              <w:spacing w:line="300" w:lineRule="auto"/>
              <w:jc w:val="center"/>
              <w:rPr>
                <w:sz w:val="18"/>
                <w:szCs w:val="18"/>
              </w:rPr>
            </w:pPr>
            <w:r>
              <w:rPr>
                <w:sz w:val="18"/>
                <w:szCs w:val="18"/>
              </w:rPr>
              <w:t>0.3</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rFonts w:hint="eastAsia"/>
          <w:position w:val="-10"/>
        </w:rPr>
        <w:object>
          <v:shape id="_x0000_i1109" o:spt="75" type="#_x0000_t75" style="height:24.75pt;width:285pt;" o:ole="t" filled="f" o:preferrelative="t" stroked="f" coordsize="21600,21600">
            <v:path/>
            <v:fill on="f" focussize="0,0"/>
            <v:stroke on="f" joinstyle="miter"/>
            <v:imagedata r:id="rId61" o:title=""/>
            <o:lock v:ext="edit" aspectratio="t"/>
            <w10:wrap type="none"/>
            <w10:anchorlock/>
          </v:shape>
          <o:OLEObject Type="Embed" ProgID="Equation.DSMT4" ShapeID="_x0000_i1109" DrawAspect="Content" ObjectID="_1468075806" r:id="rId121">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44"/>
        </w:numPr>
        <w:snapToGrid w:val="0"/>
        <w:spacing w:line="300" w:lineRule="auto"/>
        <w:rPr>
          <w:rFonts w:ascii="Times New Roman" w:hAnsi="Times New Roman" w:eastAsia="宋体" w:cs="Times New Roman"/>
        </w:rPr>
      </w:pPr>
      <w:r>
        <w:rPr>
          <w:rFonts w:ascii="Times New Roman" w:hAnsi="Times New Roman" w:eastAsia="宋体" w:cs="Times New Roman"/>
          <w:szCs w:val="21"/>
        </w:rPr>
        <w:t xml:space="preserve">谢希仁. 计算机网络(第6版) [M]. </w:t>
      </w:r>
      <w:r>
        <w:rPr>
          <w:rFonts w:ascii="Times New Roman" w:hAnsi="Times New Roman" w:eastAsia="宋体" w:cs="Times New Roman"/>
        </w:rPr>
        <w:t>北京：</w:t>
      </w:r>
      <w:r>
        <w:rPr>
          <w:rFonts w:ascii="Times New Roman" w:hAnsi="Times New Roman" w:eastAsia="宋体" w:cs="Times New Roman"/>
          <w:szCs w:val="21"/>
        </w:rPr>
        <w:t>电子工业出版社，2013.6。</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45"/>
        </w:numPr>
        <w:snapToGrid w:val="0"/>
        <w:spacing w:line="300" w:lineRule="auto"/>
        <w:rPr>
          <w:rFonts w:ascii="Times New Roman" w:hAnsi="Times New Roman" w:eastAsia="宋体" w:cs="Times New Roman"/>
        </w:rPr>
      </w:pPr>
      <w:r>
        <w:rPr>
          <w:rFonts w:ascii="Times New Roman" w:hAnsi="Times New Roman" w:eastAsia="宋体" w:cs="Times New Roman"/>
          <w:szCs w:val="21"/>
        </w:rPr>
        <w:t>ANDREW S.TANENBAUM</w:t>
      </w:r>
      <w:r>
        <w:rPr>
          <w:rFonts w:ascii="Times New Roman" w:hAnsi="Times New Roman" w:eastAsia="宋体" w:cs="Times New Roman"/>
        </w:rPr>
        <w:t xml:space="preserve">. </w:t>
      </w:r>
      <w:r>
        <w:rPr>
          <w:rFonts w:ascii="Times New Roman" w:hAnsi="Times New Roman" w:eastAsia="宋体" w:cs="Times New Roman"/>
          <w:szCs w:val="21"/>
        </w:rPr>
        <w:t>计算机网络（第4版）（中文版）</w:t>
      </w:r>
      <w:r>
        <w:rPr>
          <w:rFonts w:ascii="Times New Roman" w:hAnsi="Times New Roman" w:eastAsia="宋体" w:cs="Times New Roman"/>
        </w:rPr>
        <w:t>[M]. 北京：</w:t>
      </w:r>
      <w:r>
        <w:rPr>
          <w:rFonts w:ascii="Times New Roman" w:hAnsi="Times New Roman" w:eastAsia="宋体" w:cs="Times New Roman"/>
          <w:szCs w:val="21"/>
        </w:rPr>
        <w:t>清华大学出版社，2011.6</w:t>
      </w:r>
      <w:r>
        <w:rPr>
          <w:rFonts w:ascii="Times New Roman" w:hAnsi="Times New Roman" w:eastAsia="宋体" w:cs="Times New Roman"/>
        </w:rPr>
        <w:t>。</w:t>
      </w:r>
    </w:p>
    <w:p>
      <w:pPr>
        <w:numPr>
          <w:ilvl w:val="0"/>
          <w:numId w:val="45"/>
        </w:numPr>
        <w:snapToGrid w:val="0"/>
        <w:spacing w:line="300" w:lineRule="auto"/>
        <w:rPr>
          <w:rFonts w:ascii="Times New Roman" w:hAnsi="Times New Roman" w:eastAsia="宋体" w:cs="Times New Roman"/>
        </w:rPr>
      </w:pPr>
      <w:r>
        <w:rPr>
          <w:rFonts w:ascii="Times New Roman" w:hAnsi="Times New Roman" w:eastAsia="宋体" w:cs="Times New Roman"/>
          <w:szCs w:val="21"/>
        </w:rPr>
        <w:t>J. G. Proakis., 刘秀成, 陆文娟, 徐福媛编. 数字通信（第5版）</w:t>
      </w:r>
      <w:r>
        <w:rPr>
          <w:rFonts w:ascii="Times New Roman" w:hAnsi="Times New Roman" w:eastAsia="宋体" w:cs="Times New Roman"/>
        </w:rPr>
        <w:t xml:space="preserve">[M]. </w:t>
      </w:r>
      <w:r>
        <w:rPr>
          <w:rFonts w:ascii="Times New Roman" w:hAnsi="Times New Roman" w:eastAsia="宋体" w:cs="Times New Roman"/>
          <w:szCs w:val="21"/>
        </w:rPr>
        <w:t xml:space="preserve">电子工业出版社，2011.6。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p>
            <w:pPr>
              <w:snapToGrid w:val="0"/>
              <w:spacing w:line="300" w:lineRule="auto"/>
              <w:ind w:right="200"/>
              <w:rPr>
                <w:rFonts w:ascii="Times New Roman" w:hAnsi="Times New Roman" w:eastAsia="宋体" w:cs="Times New Roman"/>
                <w:kern w:val="0"/>
                <w:sz w:val="20"/>
                <w:szCs w:val="21"/>
              </w:rPr>
            </w:pPr>
          </w:p>
        </w:tc>
      </w:tr>
    </w:tbl>
    <w:p>
      <w:pPr>
        <w:widowControl/>
        <w:jc w:val="left"/>
        <w:rPr>
          <w:rFonts w:ascii="Times New Roman" w:hAnsi="Times New Roman" w:cs="Times New Roman" w:eastAsiaTheme="majorEastAsia"/>
          <w:b/>
          <w:bCs/>
          <w:sz w:val="32"/>
          <w:szCs w:val="32"/>
        </w:rPr>
      </w:pPr>
      <w:r>
        <w:rPr>
          <w:rFonts w:ascii="Times New Roman" w:hAnsi="Times New Roman" w:cs="Times New Roman"/>
          <w:sz w:val="32"/>
          <w:szCs w:val="32"/>
        </w:rPr>
        <w:br w:type="page"/>
      </w:r>
    </w:p>
    <w:p>
      <w:pPr>
        <w:pStyle w:val="5"/>
        <w:spacing w:before="260" w:after="260" w:line="413" w:lineRule="auto"/>
        <w:jc w:val="center"/>
        <w:rPr>
          <w:rFonts w:ascii="Times New Roman" w:hAnsi="Times New Roman" w:cs="Times New Roman"/>
          <w:szCs w:val="32"/>
        </w:rPr>
      </w:pPr>
      <w:bookmarkStart w:id="147" w:name="_Toc14949"/>
      <w:r>
        <w:rPr>
          <w:rFonts w:ascii="Times New Roman" w:hAnsi="Times New Roman" w:cs="Times New Roman"/>
          <w:sz w:val="32"/>
          <w:szCs w:val="32"/>
        </w:rPr>
        <w:t>33462002</w:t>
      </w:r>
      <w:r>
        <w:rPr>
          <w:rFonts w:hint="eastAsia" w:ascii="Times New Roman" w:hAnsi="Times New Roman" w:cs="Times New Roman"/>
          <w:sz w:val="32"/>
          <w:szCs w:val="32"/>
        </w:rPr>
        <w:t>《电子线路</w:t>
      </w:r>
      <w:r>
        <w:rPr>
          <w:rFonts w:ascii="Times New Roman" w:hAnsi="Times New Roman" w:cs="Times New Roman"/>
          <w:sz w:val="32"/>
          <w:szCs w:val="32"/>
        </w:rPr>
        <w:t>CAD</w:t>
      </w:r>
      <w:r>
        <w:rPr>
          <w:rFonts w:hint="eastAsia" w:ascii="Times New Roman" w:hAnsi="Times New Roman" w:cs="Times New Roman"/>
          <w:sz w:val="32"/>
          <w:szCs w:val="32"/>
        </w:rPr>
        <w:t>》课程教学大纲</w:t>
      </w:r>
      <w:bookmarkEnd w:id="147"/>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4" w:hRule="atLeast"/>
          <w:jc w:val="center"/>
        </w:trPr>
        <w:tc>
          <w:tcPr>
            <w:tcW w:w="1347" w:type="dxa"/>
            <w:shd w:val="clear" w:color="auto" w:fill="FFFFFF"/>
            <w:vAlign w:val="center"/>
          </w:tcPr>
          <w:p>
            <w:pPr>
              <w:jc w:val="center"/>
              <w:rPr>
                <w:kern w:val="0"/>
                <w:szCs w:val="21"/>
              </w:rPr>
            </w:pPr>
            <w:r>
              <w:rPr>
                <w:kern w:val="0"/>
                <w:szCs w:val="21"/>
              </w:rPr>
              <w:t>课程编号</w:t>
            </w:r>
          </w:p>
        </w:tc>
        <w:tc>
          <w:tcPr>
            <w:tcW w:w="3441" w:type="dxa"/>
            <w:shd w:val="clear" w:color="auto" w:fill="FFFFFF"/>
            <w:vAlign w:val="center"/>
          </w:tcPr>
          <w:p>
            <w:pPr>
              <w:jc w:val="center"/>
              <w:rPr>
                <w:kern w:val="0"/>
                <w:szCs w:val="21"/>
              </w:rPr>
            </w:pPr>
            <w:r>
              <w:rPr>
                <w:szCs w:val="21"/>
              </w:rPr>
              <w:t>33462002</w:t>
            </w:r>
          </w:p>
        </w:tc>
        <w:tc>
          <w:tcPr>
            <w:tcW w:w="1198" w:type="dxa"/>
            <w:shd w:val="clear" w:color="auto" w:fill="FFFFFF"/>
            <w:vAlign w:val="center"/>
          </w:tcPr>
          <w:p>
            <w:pPr>
              <w:jc w:val="center"/>
              <w:rPr>
                <w:kern w:val="0"/>
                <w:szCs w:val="21"/>
              </w:rPr>
            </w:pPr>
            <w:r>
              <w:rPr>
                <w:kern w:val="0"/>
                <w:szCs w:val="21"/>
              </w:rPr>
              <w:t>课程名称</w:t>
            </w:r>
          </w:p>
        </w:tc>
        <w:tc>
          <w:tcPr>
            <w:tcW w:w="2695" w:type="dxa"/>
            <w:shd w:val="clear" w:color="auto" w:fill="FFFFFF"/>
            <w:vAlign w:val="center"/>
          </w:tcPr>
          <w:p>
            <w:pPr>
              <w:jc w:val="center"/>
              <w:rPr>
                <w:kern w:val="0"/>
                <w:szCs w:val="21"/>
              </w:rPr>
            </w:pPr>
            <w:r>
              <w:rPr>
                <w:kern w:val="0"/>
                <w:szCs w:val="21"/>
              </w:rPr>
              <w:t>电子线路CAD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0" w:hRule="atLeast"/>
          <w:jc w:val="center"/>
        </w:trPr>
        <w:tc>
          <w:tcPr>
            <w:tcW w:w="1347" w:type="dxa"/>
            <w:shd w:val="clear" w:color="auto" w:fill="FFFFFF"/>
            <w:vAlign w:val="center"/>
          </w:tcPr>
          <w:p>
            <w:pPr>
              <w:jc w:val="center"/>
              <w:rPr>
                <w:kern w:val="0"/>
                <w:szCs w:val="21"/>
              </w:rPr>
            </w:pPr>
            <w:r>
              <w:rPr>
                <w:kern w:val="0"/>
                <w:szCs w:val="21"/>
              </w:rPr>
              <w:t>课程性质*</w:t>
            </w:r>
          </w:p>
        </w:tc>
        <w:tc>
          <w:tcPr>
            <w:tcW w:w="3441" w:type="dxa"/>
            <w:shd w:val="clear" w:color="auto" w:fill="FFFFFF"/>
            <w:vAlign w:val="center"/>
          </w:tcPr>
          <w:p>
            <w:pPr>
              <w:jc w:val="center"/>
              <w:rPr>
                <w:kern w:val="0"/>
                <w:szCs w:val="21"/>
              </w:rPr>
            </w:pPr>
            <w:r>
              <w:rPr>
                <w:rFonts w:hint="eastAsia"/>
                <w:szCs w:val="21"/>
              </w:rPr>
              <w:t>专业类</w:t>
            </w:r>
          </w:p>
        </w:tc>
        <w:tc>
          <w:tcPr>
            <w:tcW w:w="1198" w:type="dxa"/>
            <w:shd w:val="clear" w:color="auto" w:fill="FFFFFF"/>
            <w:vAlign w:val="center"/>
          </w:tcPr>
          <w:p>
            <w:pPr>
              <w:jc w:val="center"/>
              <w:rPr>
                <w:kern w:val="0"/>
                <w:szCs w:val="21"/>
              </w:rPr>
            </w:pPr>
            <w:r>
              <w:rPr>
                <w:kern w:val="0"/>
                <w:szCs w:val="21"/>
              </w:rPr>
              <w:t>英文名称</w:t>
            </w:r>
          </w:p>
        </w:tc>
        <w:tc>
          <w:tcPr>
            <w:tcW w:w="2695" w:type="dxa"/>
            <w:shd w:val="clear" w:color="auto" w:fill="FFFFFF"/>
            <w:vAlign w:val="center"/>
          </w:tcPr>
          <w:p>
            <w:pPr>
              <w:jc w:val="center"/>
              <w:rPr>
                <w:bCs/>
                <w:kern w:val="0"/>
                <w:szCs w:val="21"/>
              </w:rPr>
            </w:pPr>
            <w:r>
              <w:rPr>
                <w:szCs w:val="21"/>
              </w:rPr>
              <w:t>Electronic Circuit Computer Aided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7" w:hRule="atLeast"/>
          <w:jc w:val="center"/>
        </w:trPr>
        <w:tc>
          <w:tcPr>
            <w:tcW w:w="1347" w:type="dxa"/>
            <w:shd w:val="clear" w:color="auto" w:fill="FFFFFF"/>
            <w:vAlign w:val="center"/>
          </w:tcPr>
          <w:p>
            <w:pPr>
              <w:jc w:val="center"/>
              <w:rPr>
                <w:kern w:val="0"/>
                <w:szCs w:val="21"/>
              </w:rPr>
            </w:pPr>
            <w:r>
              <w:rPr>
                <w:kern w:val="0"/>
                <w:szCs w:val="21"/>
              </w:rPr>
              <w:t>学分学时</w:t>
            </w:r>
          </w:p>
        </w:tc>
        <w:tc>
          <w:tcPr>
            <w:tcW w:w="3441" w:type="dxa"/>
            <w:shd w:val="clear" w:color="auto" w:fill="FFFFFF"/>
            <w:vAlign w:val="center"/>
          </w:tcPr>
          <w:p>
            <w:pPr>
              <w:jc w:val="center"/>
              <w:rPr>
                <w:kern w:val="0"/>
                <w:szCs w:val="21"/>
              </w:rPr>
            </w:pPr>
            <w:r>
              <w:rPr>
                <w:bCs/>
                <w:kern w:val="0"/>
                <w:szCs w:val="21"/>
              </w:rPr>
              <w:t xml:space="preserve">2 </w:t>
            </w:r>
            <w:r>
              <w:rPr>
                <w:kern w:val="0"/>
                <w:szCs w:val="21"/>
              </w:rPr>
              <w:t>: 32（</w:t>
            </w:r>
            <w:r>
              <w:rPr>
                <w:rFonts w:hint="eastAsia"/>
                <w:kern w:val="0"/>
                <w:szCs w:val="21"/>
              </w:rPr>
              <w:t>4</w:t>
            </w:r>
            <w:r>
              <w:rPr>
                <w:kern w:val="0"/>
                <w:szCs w:val="21"/>
              </w:rPr>
              <w:t>）</w:t>
            </w:r>
          </w:p>
        </w:tc>
        <w:tc>
          <w:tcPr>
            <w:tcW w:w="1198" w:type="dxa"/>
            <w:shd w:val="clear" w:color="auto" w:fill="FFFFFF"/>
            <w:vAlign w:val="center"/>
          </w:tcPr>
          <w:p>
            <w:pPr>
              <w:jc w:val="center"/>
              <w:rPr>
                <w:kern w:val="0"/>
                <w:szCs w:val="21"/>
              </w:rPr>
            </w:pPr>
            <w:r>
              <w:rPr>
                <w:kern w:val="0"/>
                <w:szCs w:val="21"/>
              </w:rPr>
              <w:t>任课教师</w:t>
            </w:r>
          </w:p>
        </w:tc>
        <w:tc>
          <w:tcPr>
            <w:tcW w:w="2695" w:type="dxa"/>
            <w:shd w:val="clear" w:color="auto" w:fill="FFFFFF"/>
            <w:vAlign w:val="center"/>
          </w:tcPr>
          <w:p>
            <w:pPr>
              <w:jc w:val="center"/>
              <w:rPr>
                <w:kern w:val="0"/>
                <w:szCs w:val="21"/>
              </w:rPr>
            </w:pPr>
            <w:r>
              <w:rPr>
                <w:kern w:val="0"/>
                <w:szCs w:val="21"/>
              </w:rPr>
              <w:t>王峰、冯青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1347" w:type="dxa"/>
            <w:shd w:val="clear" w:color="auto" w:fill="FFFFFF"/>
            <w:vAlign w:val="center"/>
          </w:tcPr>
          <w:p>
            <w:pPr>
              <w:jc w:val="center"/>
              <w:rPr>
                <w:bCs/>
                <w:kern w:val="0"/>
                <w:szCs w:val="21"/>
              </w:rPr>
            </w:pPr>
            <w:r>
              <w:rPr>
                <w:bCs/>
                <w:kern w:val="0"/>
                <w:szCs w:val="21"/>
              </w:rPr>
              <w:t>企业专家</w:t>
            </w:r>
          </w:p>
        </w:tc>
        <w:tc>
          <w:tcPr>
            <w:tcW w:w="3441" w:type="dxa"/>
            <w:shd w:val="clear" w:color="auto" w:fill="FFFFFF"/>
            <w:vAlign w:val="center"/>
          </w:tcPr>
          <w:p>
            <w:pPr>
              <w:widowControl/>
              <w:jc w:val="center"/>
              <w:rPr>
                <w:kern w:val="0"/>
                <w:szCs w:val="21"/>
              </w:rPr>
            </w:pPr>
            <w:r>
              <w:rPr>
                <w:kern w:val="0"/>
                <w:szCs w:val="21"/>
              </w:rPr>
              <w:t>曾耿滨</w:t>
            </w:r>
          </w:p>
        </w:tc>
        <w:tc>
          <w:tcPr>
            <w:tcW w:w="1198" w:type="dxa"/>
            <w:shd w:val="clear" w:color="auto" w:fill="FFFFFF"/>
            <w:vAlign w:val="center"/>
          </w:tcPr>
          <w:p>
            <w:pPr>
              <w:jc w:val="center"/>
              <w:rPr>
                <w:bCs/>
                <w:kern w:val="0"/>
                <w:szCs w:val="21"/>
              </w:rPr>
            </w:pPr>
            <w:r>
              <w:rPr>
                <w:bCs/>
                <w:kern w:val="0"/>
                <w:szCs w:val="21"/>
              </w:rPr>
              <w:t>行业专家</w:t>
            </w:r>
          </w:p>
        </w:tc>
        <w:tc>
          <w:tcPr>
            <w:tcW w:w="2695" w:type="dxa"/>
            <w:shd w:val="clear" w:color="auto" w:fill="FFFFFF"/>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1" w:hRule="atLeast"/>
          <w:jc w:val="center"/>
        </w:trPr>
        <w:tc>
          <w:tcPr>
            <w:tcW w:w="1347" w:type="dxa"/>
            <w:shd w:val="clear" w:color="auto" w:fill="FFFFFF"/>
            <w:vAlign w:val="center"/>
          </w:tcPr>
          <w:p>
            <w:pPr>
              <w:widowControl/>
              <w:jc w:val="center"/>
              <w:rPr>
                <w:bCs/>
                <w:kern w:val="0"/>
                <w:szCs w:val="21"/>
              </w:rPr>
            </w:pPr>
            <w:r>
              <w:rPr>
                <w:bCs/>
                <w:kern w:val="0"/>
                <w:szCs w:val="21"/>
              </w:rPr>
              <w:t>执笔教师</w:t>
            </w:r>
          </w:p>
        </w:tc>
        <w:tc>
          <w:tcPr>
            <w:tcW w:w="3441" w:type="dxa"/>
            <w:shd w:val="clear" w:color="auto" w:fill="FFFFFF"/>
            <w:vAlign w:val="center"/>
          </w:tcPr>
          <w:p>
            <w:pPr>
              <w:widowControl/>
              <w:jc w:val="center"/>
              <w:rPr>
                <w:kern w:val="0"/>
                <w:szCs w:val="21"/>
              </w:rPr>
            </w:pPr>
            <w:r>
              <w:rPr>
                <w:kern w:val="0"/>
                <w:szCs w:val="21"/>
              </w:rPr>
              <w:t>王峰</w:t>
            </w:r>
          </w:p>
        </w:tc>
        <w:tc>
          <w:tcPr>
            <w:tcW w:w="1198" w:type="dxa"/>
            <w:shd w:val="clear" w:color="auto" w:fill="FFFFFF"/>
            <w:vAlign w:val="center"/>
          </w:tcPr>
          <w:p>
            <w:pPr>
              <w:widowControl/>
              <w:jc w:val="center"/>
              <w:rPr>
                <w:bCs/>
                <w:kern w:val="0"/>
                <w:szCs w:val="21"/>
              </w:rPr>
            </w:pPr>
            <w:r>
              <w:rPr>
                <w:bCs/>
                <w:kern w:val="0"/>
                <w:szCs w:val="21"/>
              </w:rPr>
              <w:t>责任教授</w:t>
            </w:r>
          </w:p>
        </w:tc>
        <w:tc>
          <w:tcPr>
            <w:tcW w:w="2695" w:type="dxa"/>
            <w:shd w:val="clear" w:color="auto" w:fill="FFFFFF"/>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atLeast"/>
          <w:jc w:val="center"/>
        </w:trPr>
        <w:tc>
          <w:tcPr>
            <w:tcW w:w="1347" w:type="dxa"/>
            <w:shd w:val="clear" w:color="auto" w:fill="FFFFFF"/>
            <w:vAlign w:val="center"/>
          </w:tcPr>
          <w:p>
            <w:pPr>
              <w:widowControl/>
              <w:jc w:val="center"/>
              <w:rPr>
                <w:bCs/>
                <w:kern w:val="0"/>
                <w:szCs w:val="21"/>
              </w:rPr>
            </w:pPr>
            <w:r>
              <w:rPr>
                <w:bCs/>
                <w:kern w:val="0"/>
                <w:szCs w:val="21"/>
              </w:rPr>
              <w:t>适用专业</w:t>
            </w:r>
          </w:p>
        </w:tc>
        <w:tc>
          <w:tcPr>
            <w:tcW w:w="3441" w:type="dxa"/>
            <w:shd w:val="clear" w:color="auto" w:fill="FFFFFF"/>
            <w:vAlign w:val="center"/>
          </w:tcPr>
          <w:p>
            <w:pPr>
              <w:widowControl/>
              <w:jc w:val="center"/>
              <w:rPr>
                <w:kern w:val="0"/>
                <w:szCs w:val="21"/>
              </w:rPr>
            </w:pPr>
            <w:r>
              <w:rPr>
                <w:kern w:val="0"/>
                <w:szCs w:val="21"/>
              </w:rPr>
              <w:t>电子信息工程</w:t>
            </w:r>
          </w:p>
        </w:tc>
        <w:tc>
          <w:tcPr>
            <w:tcW w:w="1198" w:type="dxa"/>
            <w:shd w:val="clear" w:color="auto" w:fill="FFFFFF"/>
            <w:vAlign w:val="center"/>
          </w:tcPr>
          <w:p>
            <w:pPr>
              <w:widowControl/>
              <w:jc w:val="center"/>
              <w:rPr>
                <w:bCs/>
                <w:kern w:val="0"/>
                <w:szCs w:val="21"/>
              </w:rPr>
            </w:pPr>
            <w:r>
              <w:rPr>
                <w:bCs/>
                <w:kern w:val="0"/>
                <w:szCs w:val="21"/>
              </w:rPr>
              <w:t>适用对象</w:t>
            </w:r>
          </w:p>
        </w:tc>
        <w:tc>
          <w:tcPr>
            <w:tcW w:w="2695" w:type="dxa"/>
            <w:shd w:val="clear" w:color="auto" w:fill="FFFFFF"/>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5" w:hRule="atLeast"/>
          <w:jc w:val="center"/>
        </w:trPr>
        <w:tc>
          <w:tcPr>
            <w:tcW w:w="1347" w:type="dxa"/>
            <w:shd w:val="clear" w:color="auto" w:fill="FFFFFF"/>
            <w:vAlign w:val="center"/>
          </w:tcPr>
          <w:p>
            <w:pPr>
              <w:jc w:val="center"/>
              <w:rPr>
                <w:b/>
                <w:kern w:val="0"/>
                <w:szCs w:val="21"/>
              </w:rPr>
            </w:pPr>
            <w:r>
              <w:rPr>
                <w:kern w:val="0"/>
                <w:szCs w:val="21"/>
              </w:rPr>
              <w:t>先修课程</w:t>
            </w:r>
          </w:p>
        </w:tc>
        <w:tc>
          <w:tcPr>
            <w:tcW w:w="3441" w:type="dxa"/>
            <w:shd w:val="clear" w:color="auto" w:fill="FFFFFF"/>
            <w:vAlign w:val="center"/>
          </w:tcPr>
          <w:p>
            <w:pPr>
              <w:widowControl/>
              <w:jc w:val="center"/>
              <w:rPr>
                <w:bCs/>
                <w:kern w:val="0"/>
                <w:szCs w:val="21"/>
              </w:rPr>
            </w:pPr>
            <w:r>
              <w:rPr>
                <w:bCs/>
                <w:kern w:val="0"/>
                <w:szCs w:val="21"/>
              </w:rPr>
              <w:t>电路分析、模拟电子技术、</w:t>
            </w:r>
          </w:p>
          <w:p>
            <w:pPr>
              <w:widowControl/>
              <w:jc w:val="center"/>
              <w:rPr>
                <w:bCs/>
                <w:kern w:val="0"/>
                <w:szCs w:val="21"/>
              </w:rPr>
            </w:pPr>
            <w:r>
              <w:rPr>
                <w:bCs/>
                <w:kern w:val="0"/>
                <w:szCs w:val="21"/>
              </w:rPr>
              <w:t>数字电子技术基础</w:t>
            </w:r>
          </w:p>
        </w:tc>
        <w:tc>
          <w:tcPr>
            <w:tcW w:w="1198" w:type="dxa"/>
            <w:shd w:val="clear" w:color="auto" w:fill="FFFFFF"/>
            <w:vAlign w:val="center"/>
          </w:tcPr>
          <w:p>
            <w:pPr>
              <w:snapToGrid w:val="0"/>
              <w:spacing w:line="300" w:lineRule="auto"/>
              <w:jc w:val="center"/>
              <w:rPr>
                <w:b/>
                <w:kern w:val="0"/>
                <w:szCs w:val="21"/>
              </w:rPr>
            </w:pPr>
            <w:r>
              <w:rPr>
                <w:kern w:val="0"/>
                <w:szCs w:val="21"/>
              </w:rPr>
              <w:t>同修课程</w:t>
            </w:r>
          </w:p>
        </w:tc>
        <w:tc>
          <w:tcPr>
            <w:tcW w:w="2695" w:type="dxa"/>
            <w:shd w:val="clear" w:color="auto" w:fill="FFFFFF"/>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2" w:hRule="atLeast"/>
          <w:jc w:val="center"/>
        </w:trPr>
        <w:tc>
          <w:tcPr>
            <w:tcW w:w="1347" w:type="dxa"/>
            <w:shd w:val="clear" w:color="auto" w:fill="FFFFFF"/>
            <w:vAlign w:val="center"/>
          </w:tcPr>
          <w:p>
            <w:pPr>
              <w:jc w:val="center"/>
              <w:rPr>
                <w:kern w:val="0"/>
                <w:szCs w:val="21"/>
              </w:rPr>
            </w:pPr>
            <w:r>
              <w:rPr>
                <w:kern w:val="0"/>
                <w:szCs w:val="21"/>
              </w:rPr>
              <w:t>排斥课程</w:t>
            </w:r>
          </w:p>
        </w:tc>
        <w:tc>
          <w:tcPr>
            <w:tcW w:w="3441" w:type="dxa"/>
            <w:shd w:val="clear" w:color="auto" w:fill="FFFFFF"/>
            <w:vAlign w:val="center"/>
          </w:tcPr>
          <w:p>
            <w:pPr>
              <w:widowControl/>
              <w:jc w:val="center"/>
              <w:rPr>
                <w:kern w:val="0"/>
                <w:szCs w:val="21"/>
              </w:rPr>
            </w:pPr>
            <w:r>
              <w:rPr>
                <w:kern w:val="0"/>
                <w:szCs w:val="21"/>
              </w:rPr>
              <w:t>无</w:t>
            </w:r>
          </w:p>
        </w:tc>
        <w:tc>
          <w:tcPr>
            <w:tcW w:w="1198" w:type="dxa"/>
            <w:shd w:val="clear" w:color="auto" w:fill="FFFFFF"/>
            <w:vAlign w:val="center"/>
          </w:tcPr>
          <w:p>
            <w:pPr>
              <w:snapToGrid w:val="0"/>
              <w:spacing w:line="300" w:lineRule="auto"/>
              <w:jc w:val="center"/>
              <w:rPr>
                <w:kern w:val="0"/>
                <w:szCs w:val="21"/>
              </w:rPr>
            </w:pPr>
            <w:r>
              <w:rPr>
                <w:kern w:val="0"/>
                <w:szCs w:val="21"/>
              </w:rPr>
              <w:t>定稿日期</w:t>
            </w:r>
          </w:p>
        </w:tc>
        <w:tc>
          <w:tcPr>
            <w:tcW w:w="2695" w:type="dxa"/>
            <w:shd w:val="clear" w:color="auto" w:fill="FFFFFF"/>
            <w:vAlign w:val="center"/>
          </w:tcPr>
          <w:p>
            <w:pPr>
              <w:widowControl/>
              <w:jc w:val="center"/>
              <w:rPr>
                <w:kern w:val="0"/>
                <w:szCs w:val="21"/>
              </w:rPr>
            </w:pPr>
            <w:r>
              <w:rPr>
                <w:kern w:val="0"/>
                <w:szCs w:val="21"/>
              </w:rPr>
              <w:t>2022.05.</w:t>
            </w:r>
            <w:r>
              <w:rPr>
                <w:rFonts w:hint="eastAsia"/>
                <w:kern w:val="0"/>
                <w:szCs w:val="21"/>
              </w:rPr>
              <w:t>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before="156" w:beforeLines="50" w:after="156" w:afterLines="50" w:line="300" w:lineRule="auto"/>
        <w:ind w:firstLine="420" w:firstLineChars="200"/>
        <w:rPr>
          <w:kern w:val="0"/>
          <w:szCs w:val="21"/>
        </w:rPr>
      </w:pPr>
      <w:r>
        <w:rPr>
          <w:rFonts w:hint="eastAsia"/>
          <w:kern w:val="0"/>
          <w:szCs w:val="21"/>
        </w:rPr>
        <w:t>《电子线路</w:t>
      </w:r>
      <w:r>
        <w:rPr>
          <w:kern w:val="0"/>
          <w:szCs w:val="21"/>
        </w:rPr>
        <w:t>CAD》是电子信息工程专业本科生的一门学科专业限选课，主要以当前常用的CAD电路设计软件Altium Designer或立创EDA为工具，教授学生利用CAD软件进行电路原理图和PCB印制电路板的设计。通过本课程的学习，培养学生分析需求、阅读芯片模块中英文数据手册、利用软件设计原理图和PCB的能力。本课程是模拟电路、数字电路等电类课程理论和实践之间的桥梁。本课程结合实际案例，培养学生电子电路设计与布板的能力，为学生今后从事硬件电路设计与开发打下基础。</w:t>
      </w:r>
    </w:p>
    <w:p>
      <w:pPr>
        <w:snapToGrid w:val="0"/>
        <w:spacing w:before="156" w:beforeLines="50" w:after="156" w:afterLines="50" w:line="300" w:lineRule="auto"/>
        <w:rPr>
          <w:b/>
          <w:sz w:val="24"/>
        </w:rPr>
      </w:pPr>
      <w:r>
        <w:rPr>
          <w:b/>
          <w:sz w:val="24"/>
        </w:rPr>
        <w:t>二、课程教学目标</w:t>
      </w:r>
    </w:p>
    <w:p>
      <w:pPr>
        <w:widowControl/>
        <w:spacing w:line="360" w:lineRule="exact"/>
        <w:ind w:firstLine="420" w:firstLineChars="200"/>
        <w:rPr>
          <w:kern w:val="0"/>
          <w:szCs w:val="21"/>
        </w:rPr>
      </w:pPr>
      <w:r>
        <w:rPr>
          <w:rFonts w:hint="eastAsia"/>
          <w:kern w:val="0"/>
          <w:szCs w:val="21"/>
        </w:rPr>
        <w:t>通过本课程的学习，使学生全面掌握电子线路</w:t>
      </w:r>
      <w:r>
        <w:rPr>
          <w:kern w:val="0"/>
          <w:szCs w:val="21"/>
        </w:rPr>
        <w:t>CAD软件进行印制电路板设计的方法，能够熟练运用CAD软件，针对需求，结合模电、数电知识进行进行从原理图到PCB的全流程设计。在此过程中，结合实例，引入芯片说明手册释读、网上元件选型购买、PCB工厂沟通下单、自主焊接等步骤，培养学生运用现代计算机CAD软件，针对具体问题，进行电路设计并制作实现的综合能力。讲授过程中，植入PCB精细化设计的工匠精神，培养学生控制成本、绿色环保的意识。</w:t>
      </w:r>
    </w:p>
    <w:p>
      <w:pPr>
        <w:widowControl/>
        <w:spacing w:line="360" w:lineRule="exact"/>
        <w:ind w:firstLine="420" w:firstLineChars="200"/>
        <w:rPr>
          <w:kern w:val="0"/>
          <w:szCs w:val="21"/>
        </w:rPr>
      </w:pPr>
      <w:r>
        <w:rPr>
          <w:rFonts w:hint="eastAsia"/>
          <w:kern w:val="0"/>
          <w:szCs w:val="21"/>
        </w:rPr>
        <w:t>具体教学目标如下：</w:t>
      </w:r>
    </w:p>
    <w:p>
      <w:pPr>
        <w:snapToGrid w:val="0"/>
        <w:spacing w:line="300" w:lineRule="auto"/>
        <w:ind w:firstLine="420" w:firstLineChars="200"/>
        <w:rPr>
          <w:szCs w:val="21"/>
        </w:rPr>
      </w:pPr>
      <w:r>
        <w:rPr>
          <w:szCs w:val="21"/>
        </w:rPr>
        <w:t>1</w:t>
      </w:r>
      <w:r>
        <w:rPr>
          <w:rFonts w:hint="eastAsia"/>
          <w:szCs w:val="21"/>
        </w:rPr>
        <w:t>．</w:t>
      </w:r>
      <w:r>
        <w:rPr>
          <w:szCs w:val="21"/>
        </w:rPr>
        <w:t>掌握电子线路CAD软件各个功能模块的使用方法，依据需求进行总体方案设计。设计过程中，充分考虑各元器件的使用特点进行合理的工艺布局和设计。</w:t>
      </w:r>
      <w:r>
        <w:rPr>
          <w:rFonts w:hint="eastAsia"/>
          <w:szCs w:val="21"/>
        </w:rPr>
        <w:t>[</w:t>
      </w:r>
      <w:r>
        <w:rPr>
          <w:szCs w:val="21"/>
        </w:rPr>
        <w:t>3.1]</w:t>
      </w:r>
    </w:p>
    <w:p>
      <w:pPr>
        <w:snapToGrid w:val="0"/>
        <w:spacing w:line="300" w:lineRule="auto"/>
        <w:ind w:firstLine="420" w:firstLineChars="200"/>
        <w:rPr>
          <w:szCs w:val="21"/>
        </w:rPr>
      </w:pPr>
      <w:r>
        <w:rPr>
          <w:szCs w:val="21"/>
        </w:rPr>
        <w:t>2</w:t>
      </w:r>
      <w:r>
        <w:rPr>
          <w:rFonts w:hint="eastAsia"/>
          <w:szCs w:val="21"/>
        </w:rPr>
        <w:t>．</w:t>
      </w:r>
      <w:r>
        <w:rPr>
          <w:szCs w:val="21"/>
        </w:rPr>
        <w:t>具备通过网络查找芯片或模块资料，研究使用方法，通过软件进行电路原理图和PCB电路板设计。能够针对使用场景中的具体问题，采取有针对性的思考设计，比如适当冗余、预留接口等。以电子线路CAD软件为基础，培养锻炼实践动手能力，能够设计并制作实用的电路。</w:t>
      </w:r>
      <w:r>
        <w:rPr>
          <w:rFonts w:hint="eastAsia"/>
          <w:szCs w:val="21"/>
        </w:rPr>
        <w:t>[</w:t>
      </w:r>
      <w:r>
        <w:rPr>
          <w:szCs w:val="21"/>
        </w:rPr>
        <w:t>4.1]</w:t>
      </w:r>
    </w:p>
    <w:p>
      <w:pPr>
        <w:snapToGrid w:val="0"/>
        <w:spacing w:line="300" w:lineRule="auto"/>
        <w:ind w:firstLine="420" w:firstLineChars="200"/>
        <w:rPr>
          <w:szCs w:val="21"/>
        </w:rPr>
      </w:pPr>
      <w:r>
        <w:rPr>
          <w:szCs w:val="21"/>
        </w:rPr>
        <w:t>3</w:t>
      </w:r>
      <w:r>
        <w:rPr>
          <w:rFonts w:hint="eastAsia"/>
          <w:szCs w:val="21"/>
        </w:rPr>
        <w:t>．</w:t>
      </w:r>
      <w:r>
        <w:rPr>
          <w:szCs w:val="21"/>
        </w:rPr>
        <w:t>理解多层电路板的特点，在PCB设计的各个阶段，能够利用电子线路CAD软件进行设计和仿真。</w:t>
      </w:r>
      <w:r>
        <w:rPr>
          <w:rFonts w:hint="eastAsia"/>
          <w:szCs w:val="21"/>
        </w:rPr>
        <w:t>[</w:t>
      </w:r>
      <w:r>
        <w:rPr>
          <w:szCs w:val="21"/>
        </w:rPr>
        <w:t>5.2]</w:t>
      </w:r>
    </w:p>
    <w:p>
      <w:pPr>
        <w:snapToGrid w:val="0"/>
        <w:spacing w:line="300" w:lineRule="auto"/>
        <w:ind w:firstLine="420" w:firstLineChars="200"/>
        <w:rPr>
          <w:szCs w:val="21"/>
        </w:rPr>
      </w:pPr>
      <w:r>
        <w:rPr>
          <w:szCs w:val="21"/>
        </w:rPr>
        <w:t>4</w:t>
      </w:r>
      <w:r>
        <w:rPr>
          <w:rFonts w:hint="eastAsia"/>
          <w:szCs w:val="21"/>
        </w:rPr>
        <w:t>．</w:t>
      </w:r>
      <w:r>
        <w:rPr>
          <w:szCs w:val="21"/>
        </w:rPr>
        <w:t>了解国家环保相关法律，理解电路板的制造过程及其对环境的影响。</w:t>
      </w:r>
      <w:r>
        <w:rPr>
          <w:rFonts w:hint="eastAsia"/>
          <w:szCs w:val="21"/>
        </w:rPr>
        <w:t>[</w:t>
      </w:r>
      <w:r>
        <w:rPr>
          <w:szCs w:val="21"/>
        </w:rPr>
        <w:t>7.2]</w:t>
      </w:r>
    </w:p>
    <w:p>
      <w:pPr>
        <w:snapToGrid w:val="0"/>
        <w:spacing w:line="300" w:lineRule="auto"/>
        <w:ind w:firstLine="420" w:firstLineChars="200"/>
        <w:rPr>
          <w:szCs w:val="21"/>
        </w:rPr>
      </w:pP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4"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snapToGrid w:val="0"/>
              <w:spacing w:line="300" w:lineRule="auto"/>
              <w:rPr>
                <w:sz w:val="18"/>
                <w:szCs w:val="18"/>
              </w:rPr>
            </w:pPr>
            <w:r>
              <w:rPr>
                <w:sz w:val="18"/>
                <w:szCs w:val="18"/>
              </w:rPr>
              <w:t>3</w:t>
            </w:r>
            <w:r>
              <w:rPr>
                <w:kern w:val="0"/>
                <w:szCs w:val="21"/>
              </w:rPr>
              <w:t>．</w:t>
            </w:r>
            <w:r>
              <w:rPr>
                <w:sz w:val="18"/>
                <w:szCs w:val="18"/>
              </w:rPr>
              <w:t>设计/开发解决方案</w:t>
            </w:r>
          </w:p>
        </w:tc>
        <w:tc>
          <w:tcPr>
            <w:tcW w:w="6144" w:type="dxa"/>
            <w:vAlign w:val="center"/>
          </w:tcPr>
          <w:p>
            <w:pPr>
              <w:snapToGrid w:val="0"/>
              <w:spacing w:line="300" w:lineRule="auto"/>
              <w:ind w:right="-334"/>
              <w:rPr>
                <w:sz w:val="18"/>
                <w:szCs w:val="18"/>
              </w:rPr>
            </w:pPr>
            <w:r>
              <w:rPr>
                <w:rFonts w:hint="eastAsia"/>
                <w:sz w:val="18"/>
                <w:szCs w:val="18"/>
              </w:rPr>
              <w:t>3.1能够利用专业知识，针对给定需求，设计出满足要求的系统总体方案与系统拓扑图、单元子系统（或单元电路）、软硬件模块或工艺流程。</w:t>
            </w:r>
          </w:p>
        </w:tc>
        <w:tc>
          <w:tcPr>
            <w:tcW w:w="689"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snapToGrid w:val="0"/>
              <w:spacing w:line="300" w:lineRule="auto"/>
              <w:rPr>
                <w:sz w:val="18"/>
                <w:szCs w:val="18"/>
              </w:rPr>
            </w:pPr>
            <w:r>
              <w:rPr>
                <w:sz w:val="18"/>
                <w:szCs w:val="18"/>
              </w:rPr>
              <w:t>4</w:t>
            </w:r>
            <w:r>
              <w:rPr>
                <w:kern w:val="0"/>
                <w:szCs w:val="21"/>
              </w:rPr>
              <w:t>．</w:t>
            </w:r>
            <w:r>
              <w:rPr>
                <w:sz w:val="18"/>
                <w:szCs w:val="18"/>
              </w:rPr>
              <w:t>研究</w:t>
            </w:r>
          </w:p>
        </w:tc>
        <w:tc>
          <w:tcPr>
            <w:tcW w:w="6144" w:type="dxa"/>
            <w:vAlign w:val="center"/>
          </w:tcPr>
          <w:p>
            <w:pPr>
              <w:snapToGrid w:val="0"/>
              <w:spacing w:line="300" w:lineRule="auto"/>
              <w:rPr>
                <w:sz w:val="18"/>
                <w:szCs w:val="18"/>
              </w:rPr>
            </w:pPr>
            <w:r>
              <w:rPr>
                <w:rFonts w:hint="eastAsia"/>
                <w:sz w:val="18"/>
                <w:szCs w:val="18"/>
              </w:rPr>
              <w:t>4.1具备基于电子信息科学原理并采用科学方法对复杂工程问题的技术路线、实验方案、软/硬件模块和存在的问题进行研究的能力。</w:t>
            </w:r>
          </w:p>
        </w:tc>
        <w:tc>
          <w:tcPr>
            <w:tcW w:w="689"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5</w:t>
            </w:r>
            <w:r>
              <w:rPr>
                <w:kern w:val="0"/>
                <w:szCs w:val="21"/>
              </w:rPr>
              <w:t>．</w:t>
            </w:r>
            <w:r>
              <w:rPr>
                <w:sz w:val="18"/>
                <w:szCs w:val="18"/>
              </w:rPr>
              <w:t>现代工具使用</w:t>
            </w:r>
          </w:p>
        </w:tc>
        <w:tc>
          <w:tcPr>
            <w:tcW w:w="6144" w:type="dxa"/>
            <w:vAlign w:val="center"/>
          </w:tcPr>
          <w:p>
            <w:pPr>
              <w:snapToGrid w:val="0"/>
              <w:spacing w:line="300" w:lineRule="auto"/>
              <w:rPr>
                <w:sz w:val="18"/>
                <w:szCs w:val="18"/>
              </w:rPr>
            </w:pPr>
            <w:r>
              <w:rPr>
                <w:rFonts w:hint="eastAsia"/>
                <w:sz w:val="18"/>
                <w:szCs w:val="18"/>
              </w:rPr>
              <w:t>5.2具备使用实验设备、现代工程工具和信息技术工具对复杂工程问题进行模拟或仿真的能力，并能够理解其局限性。</w:t>
            </w:r>
          </w:p>
        </w:tc>
        <w:tc>
          <w:tcPr>
            <w:tcW w:w="689"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7</w:t>
            </w:r>
            <w:r>
              <w:rPr>
                <w:kern w:val="0"/>
                <w:szCs w:val="21"/>
              </w:rPr>
              <w:t>．</w:t>
            </w:r>
            <w:r>
              <w:rPr>
                <w:sz w:val="18"/>
                <w:szCs w:val="18"/>
              </w:rPr>
              <w:t>环境和可持续发展</w:t>
            </w:r>
          </w:p>
        </w:tc>
        <w:tc>
          <w:tcPr>
            <w:tcW w:w="6144" w:type="dxa"/>
            <w:vAlign w:val="center"/>
          </w:tcPr>
          <w:p>
            <w:pPr>
              <w:snapToGrid w:val="0"/>
              <w:spacing w:line="300" w:lineRule="auto"/>
              <w:rPr>
                <w:sz w:val="18"/>
                <w:szCs w:val="18"/>
              </w:rPr>
            </w:pPr>
            <w:r>
              <w:rPr>
                <w:rFonts w:hint="eastAsia"/>
                <w:sz w:val="18"/>
                <w:szCs w:val="18"/>
              </w:rPr>
              <w:t>7.2能够理解和评价电子信息领域复杂工程问题对环境、社会可持续发展的影响。</w:t>
            </w:r>
          </w:p>
        </w:tc>
        <w:tc>
          <w:tcPr>
            <w:tcW w:w="689" w:type="dxa"/>
            <w:vAlign w:val="center"/>
          </w:tcPr>
          <w:p>
            <w:pPr>
              <w:snapToGrid w:val="0"/>
              <w:spacing w:line="300" w:lineRule="auto"/>
              <w:jc w:val="center"/>
              <w:rPr>
                <w:sz w:val="18"/>
                <w:szCs w:val="18"/>
              </w:rPr>
            </w:pPr>
            <w:r>
              <w:rPr>
                <w:sz w:val="18"/>
                <w:szCs w:val="18"/>
              </w:rPr>
              <w:t>4</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2681"/>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6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5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1</w:t>
            </w:r>
            <w:r>
              <w:rPr>
                <w:kern w:val="0"/>
                <w:szCs w:val="21"/>
              </w:rPr>
              <w:t>．</w:t>
            </w:r>
            <w:r>
              <w:rPr>
                <w:rFonts w:hint="eastAsia"/>
                <w:sz w:val="18"/>
                <w:szCs w:val="18"/>
                <w:shd w:val="clear" w:color="auto" w:fill="FEFEFF"/>
              </w:rPr>
              <w:t>掌握电子线路</w:t>
            </w:r>
            <w:r>
              <w:rPr>
                <w:sz w:val="18"/>
                <w:szCs w:val="18"/>
                <w:shd w:val="clear" w:color="auto" w:fill="FEFEFF"/>
              </w:rPr>
              <w:t>CAD软件各个功能模块的使用方法，依据需求进行总体方案设计。设计过程中，充分考虑各元器件的使用特点进行合理的工艺布局和设计。</w:t>
            </w:r>
          </w:p>
        </w:tc>
        <w:tc>
          <w:tcPr>
            <w:tcW w:w="26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w:t>
            </w:r>
            <w:r>
              <w:rPr>
                <w:rFonts w:hint="eastAsia"/>
                <w:sz w:val="18"/>
                <w:szCs w:val="18"/>
                <w:shd w:val="clear" w:color="auto" w:fill="FEFEFF"/>
              </w:rPr>
              <w:t>、学</w:t>
            </w:r>
            <w:r>
              <w:rPr>
                <w:sz w:val="18"/>
                <w:szCs w:val="18"/>
                <w:shd w:val="clear" w:color="auto" w:fill="FEFEFF"/>
              </w:rPr>
              <w:t>生实验</w:t>
            </w:r>
            <w:r>
              <w:rPr>
                <w:rFonts w:hint="eastAsia"/>
                <w:sz w:val="18"/>
                <w:szCs w:val="18"/>
                <w:shd w:val="clear" w:color="auto" w:fill="FEFEFF"/>
              </w:rPr>
              <w:t>与期末考核</w:t>
            </w:r>
            <w:r>
              <w:rPr>
                <w:sz w:val="18"/>
                <w:szCs w:val="18"/>
                <w:shd w:val="clear" w:color="auto" w:fill="FEFEFF"/>
              </w:rPr>
              <w:t>等达成。</w:t>
            </w:r>
          </w:p>
        </w:tc>
        <w:tc>
          <w:tcPr>
            <w:tcW w:w="15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rFonts w:hint="eastAsia"/>
                <w:sz w:val="18"/>
                <w:szCs w:val="18"/>
                <w:shd w:val="clear" w:color="auto" w:fill="FEFEFF"/>
              </w:rPr>
              <w:t>考勤</w:t>
            </w:r>
            <w:r>
              <w:rPr>
                <w:sz w:val="18"/>
                <w:szCs w:val="18"/>
                <w:shd w:val="clear" w:color="auto" w:fill="FEFEFF"/>
              </w:rPr>
              <w:t>、</w:t>
            </w:r>
            <w:r>
              <w:rPr>
                <w:rFonts w:hint="eastAsia"/>
                <w:sz w:val="18"/>
                <w:szCs w:val="18"/>
                <w:shd w:val="clear" w:color="auto" w:fill="FEFEFF"/>
              </w:rPr>
              <w:t>实验、期末考试</w:t>
            </w:r>
            <w:r>
              <w:rPr>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2</w:t>
            </w:r>
            <w:r>
              <w:rPr>
                <w:kern w:val="0"/>
                <w:szCs w:val="21"/>
              </w:rPr>
              <w:t>．</w:t>
            </w:r>
            <w:r>
              <w:rPr>
                <w:rFonts w:hint="eastAsia"/>
                <w:sz w:val="18"/>
                <w:szCs w:val="18"/>
                <w:shd w:val="clear" w:color="auto" w:fill="FEFEFF"/>
              </w:rPr>
              <w:t>具备通过网络查找芯片或模块资料，研究使用方法，通过软件进行电路原理图和</w:t>
            </w:r>
            <w:r>
              <w:rPr>
                <w:sz w:val="18"/>
                <w:szCs w:val="18"/>
                <w:shd w:val="clear" w:color="auto" w:fill="FEFEFF"/>
              </w:rPr>
              <w:t>PCB电路板设计。能够针对使用场景中的具体问题，采取有针对性的思考设计，比如适当冗余、预留接口等。以电子线路CAD软件为基础，培养锻炼实践动手能力，能够设计并制作实用的电路。</w:t>
            </w:r>
          </w:p>
        </w:tc>
        <w:tc>
          <w:tcPr>
            <w:tcW w:w="26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w:t>
            </w:r>
            <w:r>
              <w:rPr>
                <w:rFonts w:hint="eastAsia"/>
                <w:sz w:val="18"/>
                <w:szCs w:val="18"/>
                <w:shd w:val="clear" w:color="auto" w:fill="FEFEFF"/>
              </w:rPr>
              <w:t>、学</w:t>
            </w:r>
            <w:r>
              <w:rPr>
                <w:sz w:val="18"/>
                <w:szCs w:val="18"/>
                <w:shd w:val="clear" w:color="auto" w:fill="FEFEFF"/>
              </w:rPr>
              <w:t>生实验</w:t>
            </w:r>
            <w:r>
              <w:rPr>
                <w:rFonts w:hint="eastAsia"/>
                <w:sz w:val="18"/>
                <w:szCs w:val="18"/>
                <w:shd w:val="clear" w:color="auto" w:fill="FEFEFF"/>
              </w:rPr>
              <w:t>与期末考核</w:t>
            </w:r>
            <w:r>
              <w:rPr>
                <w:sz w:val="18"/>
                <w:szCs w:val="18"/>
                <w:shd w:val="clear" w:color="auto" w:fill="FEFEFF"/>
              </w:rPr>
              <w:t>等达成。</w:t>
            </w:r>
          </w:p>
        </w:tc>
        <w:tc>
          <w:tcPr>
            <w:tcW w:w="15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rFonts w:hint="eastAsia"/>
                <w:sz w:val="18"/>
                <w:szCs w:val="18"/>
                <w:shd w:val="clear" w:color="auto" w:fill="FEFEFF"/>
              </w:rPr>
              <w:t>考勤</w:t>
            </w:r>
            <w:r>
              <w:rPr>
                <w:sz w:val="18"/>
                <w:szCs w:val="18"/>
                <w:shd w:val="clear" w:color="auto" w:fill="FEFEFF"/>
              </w:rPr>
              <w:t>、</w:t>
            </w:r>
            <w:r>
              <w:rPr>
                <w:rFonts w:hint="eastAsia"/>
                <w:sz w:val="18"/>
                <w:szCs w:val="18"/>
                <w:shd w:val="clear" w:color="auto" w:fill="FEFEFF"/>
              </w:rPr>
              <w:t>实验、期末考试</w:t>
            </w:r>
            <w:r>
              <w:rPr>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3</w:t>
            </w:r>
            <w:r>
              <w:rPr>
                <w:kern w:val="0"/>
                <w:szCs w:val="21"/>
              </w:rPr>
              <w:t>．</w:t>
            </w:r>
            <w:r>
              <w:rPr>
                <w:rFonts w:hint="eastAsia"/>
                <w:sz w:val="18"/>
                <w:szCs w:val="18"/>
                <w:shd w:val="clear" w:color="auto" w:fill="FEFEFF"/>
              </w:rPr>
              <w:t>理解多层电路板的特点，在</w:t>
            </w:r>
            <w:r>
              <w:rPr>
                <w:sz w:val="18"/>
                <w:szCs w:val="18"/>
                <w:shd w:val="clear" w:color="auto" w:fill="FEFEFF"/>
              </w:rPr>
              <w:t>PCB设计的各个阶段，能够利用电子线路CAD软件进行设计和仿真。</w:t>
            </w:r>
          </w:p>
        </w:tc>
        <w:tc>
          <w:tcPr>
            <w:tcW w:w="26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通过课堂讲授与学生</w:t>
            </w:r>
            <w:r>
              <w:rPr>
                <w:rFonts w:hint="eastAsia"/>
                <w:sz w:val="18"/>
                <w:szCs w:val="18"/>
                <w:shd w:val="clear" w:color="auto" w:fill="FEFEFF"/>
              </w:rPr>
              <w:t>作业达成</w:t>
            </w:r>
          </w:p>
        </w:tc>
        <w:tc>
          <w:tcPr>
            <w:tcW w:w="15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rFonts w:hint="eastAsia"/>
                <w:sz w:val="18"/>
                <w:szCs w:val="18"/>
                <w:shd w:val="clear" w:color="auto" w:fill="FEFEFF"/>
              </w:rPr>
              <w:t>考勤、</w:t>
            </w:r>
            <w:r>
              <w:rPr>
                <w:sz w:val="18"/>
                <w:szCs w:val="18"/>
                <w:shd w:val="clear" w:color="auto" w:fill="FEFEFF"/>
              </w:rPr>
              <w:t>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4</w:t>
            </w:r>
            <w:r>
              <w:rPr>
                <w:kern w:val="0"/>
                <w:szCs w:val="21"/>
              </w:rPr>
              <w:t>．</w:t>
            </w:r>
            <w:r>
              <w:rPr>
                <w:rFonts w:hint="eastAsia"/>
                <w:sz w:val="18"/>
                <w:szCs w:val="18"/>
              </w:rPr>
              <w:t>了解国家环保相关法律，理解电路板的制造过程及其对环境的影响。</w:t>
            </w:r>
          </w:p>
        </w:tc>
        <w:tc>
          <w:tcPr>
            <w:tcW w:w="26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课堂讲授</w:t>
            </w:r>
          </w:p>
        </w:tc>
        <w:tc>
          <w:tcPr>
            <w:tcW w:w="15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rFonts w:hint="eastAsia"/>
                <w:sz w:val="18"/>
                <w:szCs w:val="18"/>
                <w:shd w:val="clear" w:color="auto" w:fill="FEFEFF"/>
              </w:rPr>
              <w:t>考勤</w:t>
            </w:r>
            <w:r>
              <w:rPr>
                <w:sz w:val="18"/>
                <w:szCs w:val="18"/>
                <w:shd w:val="clear" w:color="auto" w:fill="FEFEFF"/>
              </w:rPr>
              <w:t>。</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在实验室边讲授边实操为主，网络直播教学、课程微信群为辅，注重与专业相关工程实践教学环节和场景配合的案例教学，搜集《电子线路CAD》相关内容在实际工程中的案例，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531"/>
        <w:gridCol w:w="4111"/>
        <w:gridCol w:w="70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531" w:type="dxa"/>
            <w:vAlign w:val="center"/>
          </w:tcPr>
          <w:p>
            <w:pPr>
              <w:snapToGrid w:val="0"/>
              <w:spacing w:line="300" w:lineRule="auto"/>
              <w:ind w:firstLine="361" w:firstLineChars="200"/>
              <w:rPr>
                <w:b/>
                <w:bCs/>
                <w:sz w:val="18"/>
                <w:szCs w:val="18"/>
              </w:rPr>
            </w:pPr>
            <w:r>
              <w:rPr>
                <w:b/>
                <w:bCs/>
                <w:sz w:val="18"/>
                <w:szCs w:val="18"/>
              </w:rPr>
              <w:t>教学内容</w:t>
            </w:r>
          </w:p>
        </w:tc>
        <w:tc>
          <w:tcPr>
            <w:tcW w:w="4111"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08" w:type="dxa"/>
            <w:vAlign w:val="center"/>
          </w:tcPr>
          <w:p>
            <w:pPr>
              <w:snapToGrid w:val="0"/>
              <w:spacing w:line="300" w:lineRule="auto"/>
              <w:jc w:val="center"/>
              <w:rPr>
                <w:b/>
                <w:bCs/>
                <w:sz w:val="18"/>
                <w:szCs w:val="18"/>
              </w:rPr>
            </w:pPr>
            <w:r>
              <w:rPr>
                <w:b/>
                <w:bCs/>
                <w:sz w:val="18"/>
                <w:szCs w:val="18"/>
              </w:rPr>
              <w:t>学时</w:t>
            </w:r>
          </w:p>
        </w:tc>
        <w:tc>
          <w:tcPr>
            <w:tcW w:w="748"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1" w:hRule="atLeast"/>
          <w:jc w:val="center"/>
        </w:trPr>
        <w:tc>
          <w:tcPr>
            <w:tcW w:w="583" w:type="dxa"/>
            <w:tcMar>
              <w:left w:w="57" w:type="dxa"/>
              <w:right w:w="57" w:type="dxa"/>
            </w:tcMar>
            <w:vAlign w:val="center"/>
          </w:tcPr>
          <w:p>
            <w:pPr>
              <w:snapToGrid w:val="0"/>
              <w:spacing w:line="300" w:lineRule="auto"/>
              <w:jc w:val="center"/>
              <w:rPr>
                <w:sz w:val="18"/>
                <w:szCs w:val="18"/>
              </w:rPr>
            </w:pPr>
            <w:r>
              <w:rPr>
                <w:sz w:val="18"/>
                <w:szCs w:val="18"/>
              </w:rPr>
              <w:t>1</w:t>
            </w:r>
          </w:p>
        </w:tc>
        <w:tc>
          <w:tcPr>
            <w:tcW w:w="2531" w:type="dxa"/>
            <w:vAlign w:val="center"/>
          </w:tcPr>
          <w:p>
            <w:pPr>
              <w:snapToGrid w:val="0"/>
              <w:spacing w:line="300" w:lineRule="auto"/>
              <w:jc w:val="left"/>
              <w:rPr>
                <w:sz w:val="18"/>
                <w:szCs w:val="18"/>
              </w:rPr>
            </w:pPr>
            <w:r>
              <w:rPr>
                <w:sz w:val="18"/>
                <w:szCs w:val="18"/>
              </w:rPr>
              <w:t>1概述</w:t>
            </w:r>
          </w:p>
          <w:p>
            <w:pPr>
              <w:snapToGrid w:val="0"/>
              <w:spacing w:line="300" w:lineRule="auto"/>
              <w:jc w:val="left"/>
              <w:rPr>
                <w:sz w:val="18"/>
                <w:szCs w:val="18"/>
              </w:rPr>
            </w:pPr>
            <w:r>
              <w:rPr>
                <w:sz w:val="18"/>
                <w:szCs w:val="18"/>
              </w:rPr>
              <w:t>1.1 PCB线路板的结构介绍</w:t>
            </w:r>
          </w:p>
          <w:p>
            <w:pPr>
              <w:snapToGrid w:val="0"/>
              <w:spacing w:line="300" w:lineRule="auto"/>
              <w:jc w:val="left"/>
              <w:rPr>
                <w:sz w:val="18"/>
                <w:szCs w:val="18"/>
              </w:rPr>
            </w:pPr>
            <w:r>
              <w:rPr>
                <w:sz w:val="18"/>
                <w:szCs w:val="18"/>
              </w:rPr>
              <w:t>1.2 常用电路元件；</w:t>
            </w:r>
          </w:p>
          <w:p>
            <w:pPr>
              <w:snapToGrid w:val="0"/>
              <w:spacing w:line="300" w:lineRule="auto"/>
              <w:jc w:val="left"/>
              <w:rPr>
                <w:sz w:val="18"/>
                <w:szCs w:val="18"/>
              </w:rPr>
            </w:pPr>
            <w:r>
              <w:rPr>
                <w:sz w:val="18"/>
                <w:szCs w:val="18"/>
              </w:rPr>
              <w:t>1.3 PCB设计基本流程；</w:t>
            </w:r>
          </w:p>
          <w:p>
            <w:pPr>
              <w:snapToGrid w:val="0"/>
              <w:spacing w:line="300" w:lineRule="auto"/>
              <w:jc w:val="left"/>
              <w:rPr>
                <w:sz w:val="18"/>
                <w:szCs w:val="18"/>
              </w:rPr>
            </w:pPr>
            <w:r>
              <w:rPr>
                <w:sz w:val="18"/>
                <w:szCs w:val="18"/>
              </w:rPr>
              <w:t>1.4 PCB生产流程介绍</w:t>
            </w:r>
          </w:p>
          <w:p>
            <w:pPr>
              <w:snapToGrid w:val="0"/>
              <w:spacing w:line="300" w:lineRule="auto"/>
              <w:jc w:val="left"/>
              <w:rPr>
                <w:sz w:val="18"/>
                <w:szCs w:val="18"/>
              </w:rPr>
            </w:pPr>
            <w:r>
              <w:rPr>
                <w:sz w:val="18"/>
                <w:szCs w:val="18"/>
              </w:rPr>
              <w:t>1.5 讨论：电子电路行业在国民经济中的作用及其对环境的影响，培养学生在设计中的环保意识。</w:t>
            </w:r>
          </w:p>
        </w:tc>
        <w:tc>
          <w:tcPr>
            <w:tcW w:w="4111"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rFonts w:hint="eastAsia"/>
                <w:sz w:val="18"/>
                <w:szCs w:val="18"/>
              </w:rPr>
              <w:t>（</w:t>
            </w:r>
            <w:r>
              <w:rPr>
                <w:sz w:val="18"/>
                <w:szCs w:val="18"/>
              </w:rPr>
              <w:t>1</w:t>
            </w:r>
            <w:r>
              <w:rPr>
                <w:rFonts w:hint="eastAsia"/>
                <w:sz w:val="18"/>
                <w:szCs w:val="18"/>
              </w:rPr>
              <w:t>）</w:t>
            </w:r>
            <w:r>
              <w:rPr>
                <w:sz w:val="18"/>
                <w:szCs w:val="18"/>
              </w:rPr>
              <w:t>了解印制线路板的作用、结构和发展过程。</w:t>
            </w:r>
          </w:p>
          <w:p>
            <w:pPr>
              <w:snapToGrid w:val="0"/>
              <w:spacing w:line="300" w:lineRule="auto"/>
              <w:rPr>
                <w:sz w:val="18"/>
                <w:szCs w:val="18"/>
              </w:rPr>
            </w:pPr>
            <w:r>
              <w:rPr>
                <w:rFonts w:hint="eastAsia"/>
                <w:sz w:val="18"/>
                <w:szCs w:val="18"/>
              </w:rPr>
              <w:t>（</w:t>
            </w:r>
            <w:r>
              <w:rPr>
                <w:sz w:val="18"/>
                <w:szCs w:val="18"/>
              </w:rPr>
              <w:t>2</w:t>
            </w:r>
            <w:r>
              <w:rPr>
                <w:rFonts w:hint="eastAsia"/>
                <w:sz w:val="18"/>
                <w:szCs w:val="18"/>
              </w:rPr>
              <w:t>）</w:t>
            </w:r>
            <w:r>
              <w:rPr>
                <w:sz w:val="18"/>
                <w:szCs w:val="18"/>
              </w:rPr>
              <w:t xml:space="preserve">掌握常用电子元器件的分类和用途。 </w:t>
            </w:r>
          </w:p>
          <w:p>
            <w:pPr>
              <w:snapToGrid w:val="0"/>
              <w:spacing w:line="300" w:lineRule="auto"/>
              <w:rPr>
                <w:sz w:val="18"/>
                <w:szCs w:val="18"/>
              </w:rPr>
            </w:pPr>
            <w:r>
              <w:rPr>
                <w:rFonts w:hint="eastAsia"/>
                <w:sz w:val="18"/>
                <w:szCs w:val="18"/>
              </w:rPr>
              <w:t>（</w:t>
            </w:r>
            <w:r>
              <w:rPr>
                <w:sz w:val="18"/>
                <w:szCs w:val="18"/>
              </w:rPr>
              <w:t>3</w:t>
            </w:r>
            <w:r>
              <w:rPr>
                <w:rFonts w:hint="eastAsia"/>
                <w:sz w:val="18"/>
                <w:szCs w:val="18"/>
              </w:rPr>
              <w:t>）</w:t>
            </w:r>
            <w:r>
              <w:rPr>
                <w:sz w:val="18"/>
                <w:szCs w:val="18"/>
              </w:rPr>
              <w:t>掌握印制线路板的设计流程</w:t>
            </w:r>
            <w:r>
              <w:rPr>
                <w:rFonts w:hint="eastAsia"/>
                <w:sz w:val="18"/>
                <w:szCs w:val="18"/>
              </w:rPr>
              <w:t>。</w:t>
            </w:r>
          </w:p>
          <w:p>
            <w:pPr>
              <w:snapToGrid w:val="0"/>
              <w:spacing w:line="300" w:lineRule="auto"/>
              <w:rPr>
                <w:sz w:val="18"/>
                <w:szCs w:val="18"/>
              </w:rPr>
            </w:pPr>
          </w:p>
          <w:p>
            <w:pPr>
              <w:snapToGrid w:val="0"/>
              <w:spacing w:line="300" w:lineRule="auto"/>
              <w:rPr>
                <w:sz w:val="18"/>
                <w:szCs w:val="18"/>
              </w:rPr>
            </w:pPr>
            <w:r>
              <w:rPr>
                <w:sz w:val="18"/>
                <w:szCs w:val="18"/>
              </w:rPr>
              <w:t xml:space="preserve">2.教学方法 </w:t>
            </w:r>
          </w:p>
          <w:p>
            <w:pPr>
              <w:snapToGrid w:val="0"/>
              <w:spacing w:line="300" w:lineRule="auto"/>
              <w:rPr>
                <w:sz w:val="18"/>
                <w:szCs w:val="18"/>
              </w:rPr>
            </w:pPr>
            <w:r>
              <w:rPr>
                <w:rFonts w:hint="eastAsia"/>
                <w:sz w:val="18"/>
                <w:szCs w:val="18"/>
              </w:rPr>
              <w:t>采用课堂讲授演示，辅以学生课下查找资料实操的教学方式。</w:t>
            </w:r>
          </w:p>
        </w:tc>
        <w:tc>
          <w:tcPr>
            <w:tcW w:w="708" w:type="dxa"/>
            <w:vAlign w:val="center"/>
          </w:tcPr>
          <w:p>
            <w:pPr>
              <w:snapToGrid w:val="0"/>
              <w:spacing w:line="300" w:lineRule="auto"/>
              <w:jc w:val="center"/>
              <w:rPr>
                <w:sz w:val="18"/>
                <w:szCs w:val="18"/>
              </w:rPr>
            </w:pPr>
            <w:r>
              <w:rPr>
                <w:sz w:val="18"/>
                <w:szCs w:val="18"/>
              </w:rPr>
              <w:t>2</w:t>
            </w:r>
          </w:p>
        </w:tc>
        <w:tc>
          <w:tcPr>
            <w:tcW w:w="748" w:type="dxa"/>
            <w:vAlign w:val="center"/>
          </w:tcPr>
          <w:p>
            <w:pPr>
              <w:snapToGrid w:val="0"/>
              <w:spacing w:line="300" w:lineRule="auto"/>
              <w:jc w:val="center"/>
              <w:rPr>
                <w:sz w:val="18"/>
                <w:szCs w:val="18"/>
              </w:rPr>
            </w:pPr>
            <w:r>
              <w:rPr>
                <w:rFonts w:hint="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3" w:type="dxa"/>
            <w:tcMar>
              <w:left w:w="57" w:type="dxa"/>
              <w:right w:w="57" w:type="dxa"/>
            </w:tcMar>
            <w:vAlign w:val="center"/>
          </w:tcPr>
          <w:p>
            <w:pPr>
              <w:snapToGrid w:val="0"/>
              <w:spacing w:line="300" w:lineRule="auto"/>
              <w:jc w:val="center"/>
              <w:rPr>
                <w:sz w:val="18"/>
                <w:szCs w:val="18"/>
              </w:rPr>
            </w:pPr>
            <w:r>
              <w:rPr>
                <w:sz w:val="18"/>
                <w:szCs w:val="18"/>
              </w:rPr>
              <w:t>2</w:t>
            </w:r>
          </w:p>
        </w:tc>
        <w:tc>
          <w:tcPr>
            <w:tcW w:w="2531" w:type="dxa"/>
            <w:vAlign w:val="center"/>
          </w:tcPr>
          <w:p>
            <w:pPr>
              <w:snapToGrid w:val="0"/>
              <w:spacing w:line="300" w:lineRule="auto"/>
              <w:rPr>
                <w:sz w:val="18"/>
                <w:szCs w:val="18"/>
              </w:rPr>
            </w:pPr>
            <w:r>
              <w:rPr>
                <w:rFonts w:hint="eastAsia"/>
                <w:sz w:val="18"/>
                <w:szCs w:val="18"/>
              </w:rPr>
              <w:t>2</w:t>
            </w:r>
            <w:r>
              <w:rPr>
                <w:sz w:val="18"/>
                <w:szCs w:val="18"/>
              </w:rPr>
              <w:t xml:space="preserve"> 原理图的设计</w:t>
            </w:r>
          </w:p>
          <w:p>
            <w:pPr>
              <w:snapToGrid w:val="0"/>
              <w:spacing w:line="300" w:lineRule="auto"/>
              <w:rPr>
                <w:sz w:val="18"/>
                <w:szCs w:val="18"/>
              </w:rPr>
            </w:pPr>
            <w:r>
              <w:rPr>
                <w:sz w:val="18"/>
                <w:szCs w:val="18"/>
              </w:rPr>
              <w:t xml:space="preserve">2.1 </w:t>
            </w:r>
            <w:r>
              <w:rPr>
                <w:rFonts w:hint="eastAsia"/>
                <w:sz w:val="18"/>
                <w:szCs w:val="18"/>
              </w:rPr>
              <w:t>原理图工具介绍</w:t>
            </w:r>
          </w:p>
          <w:p>
            <w:pPr>
              <w:snapToGrid w:val="0"/>
              <w:spacing w:line="300" w:lineRule="auto"/>
              <w:rPr>
                <w:sz w:val="18"/>
                <w:szCs w:val="18"/>
              </w:rPr>
            </w:pPr>
            <w:r>
              <w:rPr>
                <w:rFonts w:hint="eastAsia"/>
                <w:sz w:val="18"/>
                <w:szCs w:val="18"/>
              </w:rPr>
              <w:t>2</w:t>
            </w:r>
            <w:r>
              <w:rPr>
                <w:sz w:val="18"/>
                <w:szCs w:val="18"/>
              </w:rPr>
              <w:t xml:space="preserve">.2 </w:t>
            </w:r>
            <w:r>
              <w:rPr>
                <w:rFonts w:hint="eastAsia"/>
                <w:sz w:val="18"/>
                <w:szCs w:val="18"/>
              </w:rPr>
              <w:t>库的加载和元件查找</w:t>
            </w:r>
          </w:p>
          <w:p>
            <w:pPr>
              <w:snapToGrid w:val="0"/>
              <w:spacing w:line="300" w:lineRule="auto"/>
              <w:rPr>
                <w:sz w:val="18"/>
                <w:szCs w:val="18"/>
              </w:rPr>
            </w:pPr>
            <w:r>
              <w:rPr>
                <w:rFonts w:hint="eastAsia"/>
                <w:sz w:val="18"/>
                <w:szCs w:val="18"/>
              </w:rPr>
              <w:t>2</w:t>
            </w:r>
            <w:r>
              <w:rPr>
                <w:sz w:val="18"/>
                <w:szCs w:val="18"/>
              </w:rPr>
              <w:t xml:space="preserve">.3 </w:t>
            </w:r>
            <w:r>
              <w:rPr>
                <w:rFonts w:hint="eastAsia"/>
                <w:sz w:val="18"/>
                <w:szCs w:val="18"/>
              </w:rPr>
              <w:t>网络标号、总线的使用</w:t>
            </w:r>
          </w:p>
          <w:p>
            <w:pPr>
              <w:snapToGrid w:val="0"/>
              <w:spacing w:line="300" w:lineRule="auto"/>
              <w:rPr>
                <w:sz w:val="18"/>
                <w:szCs w:val="18"/>
              </w:rPr>
            </w:pPr>
            <w:r>
              <w:rPr>
                <w:rFonts w:hint="eastAsia"/>
                <w:sz w:val="18"/>
                <w:szCs w:val="18"/>
              </w:rPr>
              <w:t>2</w:t>
            </w:r>
            <w:r>
              <w:rPr>
                <w:sz w:val="18"/>
                <w:szCs w:val="18"/>
              </w:rPr>
              <w:t xml:space="preserve">.4 </w:t>
            </w:r>
            <w:r>
              <w:rPr>
                <w:rFonts w:hint="eastAsia"/>
                <w:sz w:val="18"/>
                <w:szCs w:val="18"/>
              </w:rPr>
              <w:t>原理图快捷工具的使用</w:t>
            </w:r>
          </w:p>
        </w:tc>
        <w:tc>
          <w:tcPr>
            <w:tcW w:w="4111" w:type="dxa"/>
            <w:vAlign w:val="center"/>
          </w:tcPr>
          <w:p>
            <w:pPr>
              <w:snapToGrid w:val="0"/>
              <w:spacing w:line="300" w:lineRule="auto"/>
              <w:rPr>
                <w:sz w:val="18"/>
                <w:szCs w:val="18"/>
              </w:rPr>
            </w:pPr>
            <w:r>
              <w:rPr>
                <w:rFonts w:hint="eastAsia"/>
                <w:sz w:val="18"/>
                <w:szCs w:val="18"/>
              </w:rPr>
              <w:t>1</w:t>
            </w:r>
            <w:r>
              <w:rPr>
                <w:sz w:val="18"/>
                <w:szCs w:val="18"/>
              </w:rPr>
              <w:t>.</w:t>
            </w:r>
            <w:r>
              <w:rPr>
                <w:rFonts w:hint="eastAsia"/>
                <w:sz w:val="18"/>
                <w:szCs w:val="18"/>
              </w:rPr>
              <w:t>要求</w:t>
            </w:r>
          </w:p>
          <w:p>
            <w:pPr>
              <w:snapToGrid w:val="0"/>
              <w:spacing w:line="300" w:lineRule="auto"/>
              <w:rPr>
                <w:sz w:val="18"/>
                <w:szCs w:val="18"/>
              </w:rPr>
            </w:pPr>
            <w:r>
              <w:rPr>
                <w:rFonts w:hint="eastAsia"/>
                <w:sz w:val="18"/>
                <w:szCs w:val="18"/>
              </w:rPr>
              <w:t>（</w:t>
            </w:r>
            <w:r>
              <w:rPr>
                <w:sz w:val="18"/>
                <w:szCs w:val="18"/>
              </w:rPr>
              <w:t>1</w:t>
            </w:r>
            <w:r>
              <w:rPr>
                <w:rFonts w:hint="eastAsia"/>
                <w:sz w:val="18"/>
                <w:szCs w:val="18"/>
              </w:rPr>
              <w:t>）</w:t>
            </w:r>
            <w:r>
              <w:rPr>
                <w:sz w:val="18"/>
                <w:szCs w:val="18"/>
              </w:rPr>
              <w:t>了解原理图设计流程；</w:t>
            </w:r>
          </w:p>
          <w:p>
            <w:pPr>
              <w:snapToGrid w:val="0"/>
              <w:spacing w:line="300" w:lineRule="auto"/>
              <w:rPr>
                <w:sz w:val="18"/>
                <w:szCs w:val="18"/>
              </w:rPr>
            </w:pPr>
            <w:r>
              <w:rPr>
                <w:rFonts w:hint="eastAsia"/>
                <w:sz w:val="18"/>
                <w:szCs w:val="18"/>
              </w:rPr>
              <w:t>（</w:t>
            </w:r>
            <w:r>
              <w:rPr>
                <w:sz w:val="18"/>
                <w:szCs w:val="18"/>
              </w:rPr>
              <w:t>2</w:t>
            </w:r>
            <w:r>
              <w:rPr>
                <w:rFonts w:hint="eastAsia"/>
                <w:sz w:val="18"/>
                <w:szCs w:val="18"/>
              </w:rPr>
              <w:t>）</w:t>
            </w:r>
            <w:r>
              <w:rPr>
                <w:sz w:val="18"/>
                <w:szCs w:val="18"/>
              </w:rPr>
              <w:t>掌握原理图工具的使用,包括原理图库加载及元件查找、导线连接、网络标号、总线的使用；</w:t>
            </w:r>
          </w:p>
          <w:p>
            <w:pPr>
              <w:snapToGrid w:val="0"/>
              <w:spacing w:line="300" w:lineRule="auto"/>
              <w:rPr>
                <w:sz w:val="18"/>
                <w:szCs w:val="18"/>
              </w:rPr>
            </w:pPr>
            <w:r>
              <w:rPr>
                <w:rFonts w:hint="eastAsia"/>
                <w:sz w:val="18"/>
                <w:szCs w:val="18"/>
              </w:rPr>
              <w:t>（</w:t>
            </w:r>
            <w:r>
              <w:rPr>
                <w:sz w:val="18"/>
                <w:szCs w:val="18"/>
              </w:rPr>
              <w:t>3</w:t>
            </w:r>
            <w:r>
              <w:rPr>
                <w:rFonts w:hint="eastAsia"/>
                <w:sz w:val="18"/>
                <w:szCs w:val="18"/>
              </w:rPr>
              <w:t>）</w:t>
            </w:r>
            <w:r>
              <w:rPr>
                <w:sz w:val="18"/>
                <w:szCs w:val="18"/>
              </w:rPr>
              <w:t>掌握加速设计工具的使用，包括元件对齐、元件自动编号、相似元件查找、全局修改器等。</w:t>
            </w:r>
          </w:p>
          <w:p>
            <w:pPr>
              <w:snapToGrid w:val="0"/>
              <w:spacing w:line="300" w:lineRule="auto"/>
              <w:rPr>
                <w:sz w:val="18"/>
                <w:szCs w:val="18"/>
              </w:rPr>
            </w:pPr>
            <w:r>
              <w:rPr>
                <w:rFonts w:hint="eastAsia"/>
                <w:sz w:val="18"/>
                <w:szCs w:val="18"/>
              </w:rPr>
              <w:t>（</w:t>
            </w:r>
            <w:r>
              <w:rPr>
                <w:sz w:val="18"/>
                <w:szCs w:val="18"/>
              </w:rPr>
              <w:t>4</w:t>
            </w:r>
            <w:r>
              <w:rPr>
                <w:rFonts w:hint="eastAsia"/>
                <w:sz w:val="18"/>
                <w:szCs w:val="18"/>
              </w:rPr>
              <w:t>）</w:t>
            </w:r>
            <w:r>
              <w:rPr>
                <w:sz w:val="18"/>
                <w:szCs w:val="18"/>
              </w:rPr>
              <w:t>掌握层次原理图的设计。</w:t>
            </w:r>
          </w:p>
          <w:p>
            <w:pPr>
              <w:snapToGrid w:val="0"/>
              <w:spacing w:line="300" w:lineRule="auto"/>
              <w:rPr>
                <w:sz w:val="18"/>
                <w:szCs w:val="18"/>
              </w:rPr>
            </w:pPr>
            <w:r>
              <w:rPr>
                <w:rFonts w:hint="eastAsia"/>
                <w:sz w:val="18"/>
                <w:szCs w:val="18"/>
              </w:rPr>
              <w:t>2</w:t>
            </w:r>
            <w:r>
              <w:rPr>
                <w:sz w:val="18"/>
                <w:szCs w:val="18"/>
              </w:rPr>
              <w:t>.</w:t>
            </w:r>
            <w:r>
              <w:rPr>
                <w:rFonts w:hint="eastAsia"/>
                <w:sz w:val="18"/>
                <w:szCs w:val="18"/>
              </w:rPr>
              <w:t>教学方法</w:t>
            </w:r>
          </w:p>
          <w:p>
            <w:pPr>
              <w:snapToGrid w:val="0"/>
              <w:spacing w:line="300" w:lineRule="auto"/>
              <w:ind w:firstLine="360" w:firstLineChars="200"/>
              <w:rPr>
                <w:sz w:val="18"/>
                <w:szCs w:val="18"/>
              </w:rPr>
            </w:pPr>
            <w:r>
              <w:rPr>
                <w:rFonts w:hint="eastAsia"/>
                <w:sz w:val="18"/>
                <w:szCs w:val="18"/>
              </w:rPr>
              <w:t>采用课堂讲授演示，辅以学生大学慕课学习的教学方式。</w:t>
            </w:r>
          </w:p>
        </w:tc>
        <w:tc>
          <w:tcPr>
            <w:tcW w:w="708" w:type="dxa"/>
            <w:vAlign w:val="center"/>
          </w:tcPr>
          <w:p>
            <w:pPr>
              <w:snapToGrid w:val="0"/>
              <w:spacing w:line="300" w:lineRule="auto"/>
              <w:jc w:val="center"/>
              <w:rPr>
                <w:sz w:val="18"/>
                <w:szCs w:val="18"/>
              </w:rPr>
            </w:pPr>
            <w:r>
              <w:rPr>
                <w:rFonts w:hint="eastAsia"/>
                <w:sz w:val="18"/>
                <w:szCs w:val="18"/>
              </w:rPr>
              <w:t>4</w:t>
            </w:r>
          </w:p>
        </w:tc>
        <w:tc>
          <w:tcPr>
            <w:tcW w:w="748" w:type="dxa"/>
            <w:vAlign w:val="center"/>
          </w:tcPr>
          <w:p>
            <w:pPr>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3" w:type="dxa"/>
            <w:tcMar>
              <w:left w:w="57" w:type="dxa"/>
              <w:right w:w="57" w:type="dxa"/>
            </w:tcMar>
            <w:vAlign w:val="center"/>
          </w:tcPr>
          <w:p>
            <w:pPr>
              <w:snapToGrid w:val="0"/>
              <w:spacing w:line="300" w:lineRule="auto"/>
              <w:jc w:val="center"/>
              <w:rPr>
                <w:sz w:val="18"/>
                <w:szCs w:val="18"/>
              </w:rPr>
            </w:pPr>
            <w:r>
              <w:rPr>
                <w:rFonts w:hint="eastAsia"/>
                <w:sz w:val="18"/>
                <w:szCs w:val="18"/>
              </w:rPr>
              <w:t>3</w:t>
            </w:r>
          </w:p>
        </w:tc>
        <w:tc>
          <w:tcPr>
            <w:tcW w:w="2531" w:type="dxa"/>
            <w:vAlign w:val="center"/>
          </w:tcPr>
          <w:p>
            <w:pPr>
              <w:snapToGrid w:val="0"/>
              <w:spacing w:line="300" w:lineRule="auto"/>
              <w:rPr>
                <w:sz w:val="18"/>
                <w:szCs w:val="18"/>
              </w:rPr>
            </w:pPr>
            <w:r>
              <w:rPr>
                <w:sz w:val="18"/>
                <w:szCs w:val="18"/>
              </w:rPr>
              <w:t>3 原理图库元件</w:t>
            </w:r>
            <w:r>
              <w:rPr>
                <w:rFonts w:hint="eastAsia"/>
                <w:sz w:val="18"/>
                <w:szCs w:val="18"/>
              </w:rPr>
              <w:t>的</w:t>
            </w:r>
            <w:r>
              <w:rPr>
                <w:sz w:val="18"/>
                <w:szCs w:val="18"/>
              </w:rPr>
              <w:t>制作</w:t>
            </w:r>
          </w:p>
          <w:p>
            <w:pPr>
              <w:snapToGrid w:val="0"/>
              <w:spacing w:line="300" w:lineRule="auto"/>
              <w:rPr>
                <w:sz w:val="18"/>
                <w:szCs w:val="18"/>
              </w:rPr>
            </w:pPr>
            <w:r>
              <w:rPr>
                <w:sz w:val="18"/>
                <w:szCs w:val="18"/>
              </w:rPr>
              <w:t xml:space="preserve">3.1 </w:t>
            </w:r>
            <w:r>
              <w:rPr>
                <w:rFonts w:hint="eastAsia"/>
                <w:sz w:val="18"/>
                <w:szCs w:val="18"/>
              </w:rPr>
              <w:t>原理图库元件工具介绍</w:t>
            </w:r>
          </w:p>
          <w:p>
            <w:pPr>
              <w:snapToGrid w:val="0"/>
              <w:spacing w:line="300" w:lineRule="auto"/>
              <w:rPr>
                <w:sz w:val="18"/>
                <w:szCs w:val="18"/>
              </w:rPr>
            </w:pPr>
            <w:r>
              <w:rPr>
                <w:sz w:val="18"/>
                <w:szCs w:val="18"/>
              </w:rPr>
              <w:t xml:space="preserve">3.2 </w:t>
            </w:r>
            <w:r>
              <w:rPr>
                <w:rFonts w:hint="eastAsia"/>
                <w:sz w:val="18"/>
                <w:szCs w:val="18"/>
              </w:rPr>
              <w:t>单一元件的制作</w:t>
            </w:r>
          </w:p>
          <w:p>
            <w:pPr>
              <w:snapToGrid w:val="0"/>
              <w:spacing w:line="300" w:lineRule="auto"/>
              <w:rPr>
                <w:sz w:val="18"/>
                <w:szCs w:val="18"/>
              </w:rPr>
            </w:pPr>
            <w:r>
              <w:rPr>
                <w:rFonts w:hint="eastAsia"/>
                <w:sz w:val="18"/>
                <w:szCs w:val="18"/>
              </w:rPr>
              <w:t>3</w:t>
            </w:r>
            <w:r>
              <w:rPr>
                <w:sz w:val="18"/>
                <w:szCs w:val="18"/>
              </w:rPr>
              <w:t xml:space="preserve">.2 </w:t>
            </w:r>
            <w:r>
              <w:rPr>
                <w:rFonts w:hint="eastAsia"/>
                <w:sz w:val="18"/>
                <w:szCs w:val="18"/>
              </w:rPr>
              <w:t>分布元件的制作</w:t>
            </w:r>
          </w:p>
          <w:p>
            <w:pPr>
              <w:snapToGrid w:val="0"/>
              <w:spacing w:line="300" w:lineRule="auto"/>
              <w:rPr>
                <w:sz w:val="18"/>
                <w:szCs w:val="18"/>
              </w:rPr>
            </w:pPr>
            <w:r>
              <w:rPr>
                <w:rFonts w:hint="eastAsia"/>
                <w:sz w:val="18"/>
                <w:szCs w:val="18"/>
              </w:rPr>
              <w:t>3</w:t>
            </w:r>
            <w:r>
              <w:rPr>
                <w:sz w:val="18"/>
                <w:szCs w:val="18"/>
              </w:rPr>
              <w:t xml:space="preserve">.3 </w:t>
            </w:r>
            <w:r>
              <w:rPr>
                <w:rFonts w:hint="eastAsia"/>
                <w:sz w:val="18"/>
                <w:szCs w:val="18"/>
              </w:rPr>
              <w:t>元件快捷工具的使用</w:t>
            </w:r>
          </w:p>
        </w:tc>
        <w:tc>
          <w:tcPr>
            <w:tcW w:w="4111" w:type="dxa"/>
            <w:vAlign w:val="center"/>
          </w:tcPr>
          <w:p>
            <w:pPr>
              <w:snapToGrid w:val="0"/>
              <w:spacing w:line="300" w:lineRule="auto"/>
              <w:rPr>
                <w:sz w:val="18"/>
                <w:szCs w:val="18"/>
              </w:rPr>
            </w:pPr>
            <w:r>
              <w:rPr>
                <w:rFonts w:hint="eastAsia"/>
                <w:sz w:val="18"/>
                <w:szCs w:val="18"/>
              </w:rPr>
              <w:t>1</w:t>
            </w:r>
            <w:r>
              <w:rPr>
                <w:sz w:val="18"/>
                <w:szCs w:val="18"/>
              </w:rPr>
              <w:t>.</w:t>
            </w:r>
            <w:r>
              <w:rPr>
                <w:rFonts w:hint="eastAsia"/>
                <w:sz w:val="18"/>
                <w:szCs w:val="18"/>
              </w:rPr>
              <w:t>要求</w:t>
            </w:r>
          </w:p>
          <w:p>
            <w:pPr>
              <w:snapToGrid w:val="0"/>
              <w:spacing w:line="300" w:lineRule="auto"/>
              <w:rPr>
                <w:sz w:val="18"/>
                <w:szCs w:val="18"/>
              </w:rPr>
            </w:pPr>
            <w:r>
              <w:rPr>
                <w:rFonts w:hint="eastAsia"/>
                <w:sz w:val="18"/>
                <w:szCs w:val="18"/>
              </w:rPr>
              <w:t>（1）了解原理图库元件作用；</w:t>
            </w:r>
          </w:p>
          <w:p>
            <w:pPr>
              <w:snapToGrid w:val="0"/>
              <w:spacing w:line="300" w:lineRule="auto"/>
              <w:rPr>
                <w:sz w:val="18"/>
                <w:szCs w:val="18"/>
              </w:rPr>
            </w:pPr>
            <w:r>
              <w:rPr>
                <w:rFonts w:hint="eastAsia"/>
                <w:sz w:val="18"/>
                <w:szCs w:val="18"/>
              </w:rPr>
              <w:t>（</w:t>
            </w:r>
            <w:r>
              <w:rPr>
                <w:sz w:val="18"/>
                <w:szCs w:val="18"/>
              </w:rPr>
              <w:t>2</w:t>
            </w:r>
            <w:r>
              <w:rPr>
                <w:rFonts w:hint="eastAsia"/>
                <w:sz w:val="18"/>
                <w:szCs w:val="18"/>
              </w:rPr>
              <w:t>）掌握单一原理图库元件的制作方法；</w:t>
            </w:r>
          </w:p>
          <w:p>
            <w:pPr>
              <w:snapToGrid w:val="0"/>
              <w:spacing w:line="300" w:lineRule="auto"/>
              <w:rPr>
                <w:sz w:val="18"/>
                <w:szCs w:val="18"/>
              </w:rPr>
            </w:pPr>
            <w:r>
              <w:rPr>
                <w:rFonts w:hint="eastAsia"/>
                <w:sz w:val="18"/>
                <w:szCs w:val="18"/>
              </w:rPr>
              <w:t>（3）掌握分部原理图库元件的制作；</w:t>
            </w:r>
          </w:p>
          <w:p>
            <w:pPr>
              <w:snapToGrid w:val="0"/>
              <w:spacing w:line="300" w:lineRule="auto"/>
              <w:rPr>
                <w:sz w:val="18"/>
                <w:szCs w:val="18"/>
              </w:rPr>
            </w:pPr>
            <w:r>
              <w:rPr>
                <w:rFonts w:hint="eastAsia"/>
                <w:sz w:val="18"/>
                <w:szCs w:val="18"/>
              </w:rPr>
              <w:t>（4）掌握利用已有元件进行修改得到新元件的方法。</w:t>
            </w:r>
          </w:p>
          <w:p>
            <w:pPr>
              <w:snapToGrid w:val="0"/>
              <w:spacing w:line="300" w:lineRule="auto"/>
              <w:rPr>
                <w:sz w:val="18"/>
                <w:szCs w:val="18"/>
              </w:rPr>
            </w:pPr>
            <w:r>
              <w:rPr>
                <w:rFonts w:hint="eastAsia"/>
                <w:sz w:val="18"/>
                <w:szCs w:val="18"/>
              </w:rPr>
              <w:t>2</w:t>
            </w:r>
            <w:r>
              <w:rPr>
                <w:sz w:val="18"/>
                <w:szCs w:val="18"/>
              </w:rPr>
              <w:t>.</w:t>
            </w:r>
            <w:r>
              <w:rPr>
                <w:rFonts w:hint="eastAsia"/>
                <w:sz w:val="18"/>
                <w:szCs w:val="18"/>
              </w:rPr>
              <w:t>教学方法</w:t>
            </w:r>
          </w:p>
          <w:p>
            <w:pPr>
              <w:snapToGrid w:val="0"/>
              <w:spacing w:line="300" w:lineRule="auto"/>
              <w:rPr>
                <w:bCs/>
                <w:spacing w:val="5"/>
                <w:kern w:val="0"/>
                <w:szCs w:val="21"/>
              </w:rPr>
            </w:pPr>
            <w:r>
              <w:rPr>
                <w:rFonts w:hint="eastAsia"/>
                <w:sz w:val="18"/>
                <w:szCs w:val="18"/>
              </w:rPr>
              <w:t>采用课堂讲授演示，辅以学生大学慕课学习的教学方式。</w:t>
            </w:r>
          </w:p>
        </w:tc>
        <w:tc>
          <w:tcPr>
            <w:tcW w:w="708" w:type="dxa"/>
            <w:vAlign w:val="center"/>
          </w:tcPr>
          <w:p>
            <w:pPr>
              <w:snapToGrid w:val="0"/>
              <w:spacing w:line="300" w:lineRule="auto"/>
              <w:jc w:val="center"/>
              <w:rPr>
                <w:sz w:val="18"/>
                <w:szCs w:val="18"/>
              </w:rPr>
            </w:pPr>
            <w:r>
              <w:rPr>
                <w:sz w:val="18"/>
                <w:szCs w:val="18"/>
              </w:rPr>
              <w:t>2</w:t>
            </w:r>
          </w:p>
        </w:tc>
        <w:tc>
          <w:tcPr>
            <w:tcW w:w="748" w:type="dxa"/>
            <w:vAlign w:val="center"/>
          </w:tcPr>
          <w:p>
            <w:pPr>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3" w:type="dxa"/>
            <w:tcMar>
              <w:left w:w="57" w:type="dxa"/>
              <w:right w:w="57" w:type="dxa"/>
            </w:tcMar>
            <w:vAlign w:val="center"/>
          </w:tcPr>
          <w:p>
            <w:pPr>
              <w:snapToGrid w:val="0"/>
              <w:spacing w:line="300" w:lineRule="auto"/>
              <w:jc w:val="center"/>
              <w:rPr>
                <w:sz w:val="18"/>
                <w:szCs w:val="18"/>
              </w:rPr>
            </w:pPr>
            <w:r>
              <w:rPr>
                <w:rFonts w:hint="eastAsia"/>
                <w:sz w:val="18"/>
                <w:szCs w:val="18"/>
              </w:rPr>
              <w:t>4</w:t>
            </w:r>
          </w:p>
        </w:tc>
        <w:tc>
          <w:tcPr>
            <w:tcW w:w="2531" w:type="dxa"/>
            <w:vAlign w:val="center"/>
          </w:tcPr>
          <w:p>
            <w:pPr>
              <w:snapToGrid w:val="0"/>
              <w:spacing w:line="300" w:lineRule="auto"/>
              <w:rPr>
                <w:sz w:val="18"/>
                <w:szCs w:val="18"/>
              </w:rPr>
            </w:pPr>
            <w:r>
              <w:rPr>
                <w:sz w:val="18"/>
                <w:szCs w:val="18"/>
              </w:rPr>
              <w:t>4 PCB封装的制作</w:t>
            </w:r>
          </w:p>
          <w:p>
            <w:pPr>
              <w:snapToGrid w:val="0"/>
              <w:spacing w:line="300" w:lineRule="auto"/>
              <w:rPr>
                <w:sz w:val="18"/>
                <w:szCs w:val="18"/>
              </w:rPr>
            </w:pPr>
            <w:r>
              <w:rPr>
                <w:rFonts w:hint="eastAsia"/>
                <w:sz w:val="18"/>
                <w:szCs w:val="18"/>
              </w:rPr>
              <w:t>4</w:t>
            </w:r>
            <w:r>
              <w:rPr>
                <w:sz w:val="18"/>
                <w:szCs w:val="18"/>
              </w:rPr>
              <w:t xml:space="preserve">.1 </w:t>
            </w:r>
            <w:r>
              <w:rPr>
                <w:rFonts w:hint="eastAsia"/>
                <w:sz w:val="18"/>
                <w:szCs w:val="18"/>
              </w:rPr>
              <w:t>PCB封装简介</w:t>
            </w:r>
          </w:p>
          <w:p>
            <w:pPr>
              <w:snapToGrid w:val="0"/>
              <w:spacing w:line="300" w:lineRule="auto"/>
              <w:rPr>
                <w:sz w:val="18"/>
                <w:szCs w:val="18"/>
              </w:rPr>
            </w:pPr>
            <w:r>
              <w:rPr>
                <w:rFonts w:hint="eastAsia"/>
                <w:sz w:val="18"/>
                <w:szCs w:val="18"/>
              </w:rPr>
              <w:t>4</w:t>
            </w:r>
            <w:r>
              <w:rPr>
                <w:sz w:val="18"/>
                <w:szCs w:val="18"/>
              </w:rPr>
              <w:t xml:space="preserve">.2 </w:t>
            </w:r>
            <w:r>
              <w:rPr>
                <w:rFonts w:hint="eastAsia"/>
                <w:sz w:val="18"/>
                <w:szCs w:val="18"/>
              </w:rPr>
              <w:t>PCB封装手工制作</w:t>
            </w:r>
          </w:p>
          <w:p>
            <w:pPr>
              <w:snapToGrid w:val="0"/>
              <w:spacing w:line="300" w:lineRule="auto"/>
              <w:rPr>
                <w:sz w:val="18"/>
                <w:szCs w:val="18"/>
              </w:rPr>
            </w:pPr>
            <w:r>
              <w:rPr>
                <w:rFonts w:hint="eastAsia"/>
                <w:sz w:val="18"/>
                <w:szCs w:val="18"/>
              </w:rPr>
              <w:t>4</w:t>
            </w:r>
            <w:r>
              <w:rPr>
                <w:sz w:val="18"/>
                <w:szCs w:val="18"/>
              </w:rPr>
              <w:t xml:space="preserve">.3 </w:t>
            </w:r>
            <w:r>
              <w:rPr>
                <w:rFonts w:hint="eastAsia"/>
                <w:sz w:val="18"/>
                <w:szCs w:val="18"/>
              </w:rPr>
              <w:t>PCB封装自动创建</w:t>
            </w:r>
          </w:p>
        </w:tc>
        <w:tc>
          <w:tcPr>
            <w:tcW w:w="4111" w:type="dxa"/>
            <w:vAlign w:val="center"/>
          </w:tcPr>
          <w:p>
            <w:pPr>
              <w:snapToGrid w:val="0"/>
              <w:spacing w:line="300" w:lineRule="auto"/>
              <w:rPr>
                <w:sz w:val="18"/>
                <w:szCs w:val="18"/>
              </w:rPr>
            </w:pPr>
            <w:r>
              <w:rPr>
                <w:rFonts w:hint="eastAsia"/>
                <w:sz w:val="18"/>
                <w:szCs w:val="18"/>
              </w:rPr>
              <w:t>1</w:t>
            </w:r>
            <w:r>
              <w:rPr>
                <w:sz w:val="18"/>
                <w:szCs w:val="18"/>
              </w:rPr>
              <w:t>.</w:t>
            </w:r>
            <w:r>
              <w:rPr>
                <w:rFonts w:hint="eastAsia"/>
                <w:sz w:val="18"/>
                <w:szCs w:val="18"/>
              </w:rPr>
              <w:t>要求</w:t>
            </w:r>
          </w:p>
          <w:p>
            <w:pPr>
              <w:snapToGrid w:val="0"/>
              <w:spacing w:line="300" w:lineRule="auto"/>
              <w:rPr>
                <w:sz w:val="18"/>
                <w:szCs w:val="18"/>
              </w:rPr>
            </w:pPr>
            <w:r>
              <w:rPr>
                <w:rFonts w:hint="eastAsia"/>
                <w:sz w:val="18"/>
                <w:szCs w:val="18"/>
              </w:rPr>
              <w:t>（1）了解PCB封装的作用；</w:t>
            </w:r>
          </w:p>
          <w:p>
            <w:pPr>
              <w:snapToGrid w:val="0"/>
              <w:spacing w:line="300" w:lineRule="auto"/>
              <w:rPr>
                <w:sz w:val="18"/>
                <w:szCs w:val="18"/>
              </w:rPr>
            </w:pPr>
            <w:r>
              <w:rPr>
                <w:rFonts w:hint="eastAsia"/>
                <w:sz w:val="18"/>
                <w:szCs w:val="18"/>
              </w:rPr>
              <w:t>（</w:t>
            </w:r>
            <w:r>
              <w:rPr>
                <w:sz w:val="18"/>
                <w:szCs w:val="18"/>
              </w:rPr>
              <w:t>2</w:t>
            </w:r>
            <w:r>
              <w:rPr>
                <w:rFonts w:hint="eastAsia"/>
                <w:sz w:val="18"/>
                <w:szCs w:val="18"/>
              </w:rPr>
              <w:t>）理解PCB封装的分类和应用特点；</w:t>
            </w:r>
          </w:p>
          <w:p>
            <w:pPr>
              <w:snapToGrid w:val="0"/>
              <w:spacing w:line="300" w:lineRule="auto"/>
              <w:rPr>
                <w:sz w:val="18"/>
                <w:szCs w:val="18"/>
              </w:rPr>
            </w:pPr>
            <w:r>
              <w:rPr>
                <w:rFonts w:hint="eastAsia"/>
                <w:sz w:val="18"/>
                <w:szCs w:val="18"/>
              </w:rPr>
              <w:t>（</w:t>
            </w:r>
            <w:r>
              <w:rPr>
                <w:sz w:val="18"/>
                <w:szCs w:val="18"/>
              </w:rPr>
              <w:t>3</w:t>
            </w:r>
            <w:r>
              <w:rPr>
                <w:rFonts w:hint="eastAsia"/>
                <w:sz w:val="18"/>
                <w:szCs w:val="18"/>
              </w:rPr>
              <w:t>）掌握PCB封装尺寸说明的释读方法；</w:t>
            </w:r>
          </w:p>
          <w:p>
            <w:pPr>
              <w:snapToGrid w:val="0"/>
              <w:spacing w:line="300" w:lineRule="auto"/>
              <w:rPr>
                <w:sz w:val="18"/>
                <w:szCs w:val="18"/>
              </w:rPr>
            </w:pPr>
            <w:r>
              <w:rPr>
                <w:rFonts w:hint="eastAsia"/>
                <w:sz w:val="18"/>
                <w:szCs w:val="18"/>
              </w:rPr>
              <w:t>（</w:t>
            </w:r>
            <w:r>
              <w:rPr>
                <w:sz w:val="18"/>
                <w:szCs w:val="18"/>
              </w:rPr>
              <w:t>4</w:t>
            </w:r>
            <w:r>
              <w:rPr>
                <w:rFonts w:hint="eastAsia"/>
                <w:sz w:val="18"/>
                <w:szCs w:val="18"/>
              </w:rPr>
              <w:t>）掌握手工制作PCB的方法；</w:t>
            </w:r>
            <w:r>
              <w:rPr>
                <w:sz w:val="18"/>
                <w:szCs w:val="18"/>
              </w:rPr>
              <w:t xml:space="preserve"> </w:t>
            </w:r>
          </w:p>
          <w:p>
            <w:pPr>
              <w:snapToGrid w:val="0"/>
              <w:spacing w:line="300" w:lineRule="auto"/>
              <w:rPr>
                <w:sz w:val="18"/>
                <w:szCs w:val="18"/>
              </w:rPr>
            </w:pPr>
            <w:r>
              <w:rPr>
                <w:rFonts w:hint="eastAsia"/>
                <w:sz w:val="18"/>
                <w:szCs w:val="18"/>
              </w:rPr>
              <w:t>（</w:t>
            </w:r>
            <w:r>
              <w:rPr>
                <w:sz w:val="18"/>
                <w:szCs w:val="18"/>
              </w:rPr>
              <w:t>5</w:t>
            </w:r>
            <w:r>
              <w:rPr>
                <w:rFonts w:hint="eastAsia"/>
                <w:sz w:val="18"/>
                <w:szCs w:val="18"/>
              </w:rPr>
              <w:t>）掌握利用封装向导制作PCB封装的方法。</w:t>
            </w:r>
          </w:p>
          <w:p>
            <w:pPr>
              <w:snapToGrid w:val="0"/>
              <w:spacing w:line="300" w:lineRule="auto"/>
              <w:rPr>
                <w:sz w:val="18"/>
                <w:szCs w:val="18"/>
              </w:rPr>
            </w:pPr>
            <w:r>
              <w:rPr>
                <w:rFonts w:hint="eastAsia"/>
                <w:sz w:val="18"/>
                <w:szCs w:val="18"/>
              </w:rPr>
              <w:t>2</w:t>
            </w:r>
            <w:r>
              <w:rPr>
                <w:sz w:val="18"/>
                <w:szCs w:val="18"/>
              </w:rPr>
              <w:t>.</w:t>
            </w:r>
            <w:r>
              <w:rPr>
                <w:rFonts w:hint="eastAsia"/>
                <w:sz w:val="18"/>
                <w:szCs w:val="18"/>
              </w:rPr>
              <w:t>教学方法</w:t>
            </w:r>
          </w:p>
          <w:p>
            <w:pPr>
              <w:snapToGrid w:val="0"/>
              <w:spacing w:line="300" w:lineRule="auto"/>
              <w:rPr>
                <w:sz w:val="18"/>
                <w:szCs w:val="18"/>
              </w:rPr>
            </w:pPr>
            <w:r>
              <w:rPr>
                <w:rFonts w:hint="eastAsia"/>
                <w:sz w:val="18"/>
                <w:szCs w:val="18"/>
              </w:rPr>
              <w:t>采用课堂讲授演示，辅以学生大学慕课学习的教学方式。</w:t>
            </w:r>
          </w:p>
        </w:tc>
        <w:tc>
          <w:tcPr>
            <w:tcW w:w="708" w:type="dxa"/>
            <w:vAlign w:val="center"/>
          </w:tcPr>
          <w:p>
            <w:pPr>
              <w:snapToGrid w:val="0"/>
              <w:spacing w:line="300" w:lineRule="auto"/>
              <w:jc w:val="center"/>
              <w:rPr>
                <w:sz w:val="18"/>
                <w:szCs w:val="18"/>
              </w:rPr>
            </w:pPr>
            <w:r>
              <w:rPr>
                <w:rFonts w:hint="eastAsia"/>
                <w:sz w:val="18"/>
                <w:szCs w:val="18"/>
              </w:rPr>
              <w:t>4</w:t>
            </w:r>
          </w:p>
        </w:tc>
        <w:tc>
          <w:tcPr>
            <w:tcW w:w="748" w:type="dxa"/>
            <w:vAlign w:val="center"/>
          </w:tcPr>
          <w:p>
            <w:pPr>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3" w:type="dxa"/>
            <w:tcMar>
              <w:left w:w="57" w:type="dxa"/>
              <w:right w:w="57" w:type="dxa"/>
            </w:tcMar>
            <w:vAlign w:val="center"/>
          </w:tcPr>
          <w:p>
            <w:pPr>
              <w:snapToGrid w:val="0"/>
              <w:spacing w:line="300" w:lineRule="auto"/>
              <w:jc w:val="center"/>
              <w:rPr>
                <w:sz w:val="18"/>
                <w:szCs w:val="18"/>
              </w:rPr>
            </w:pPr>
            <w:r>
              <w:rPr>
                <w:rFonts w:hint="eastAsia"/>
                <w:sz w:val="18"/>
                <w:szCs w:val="18"/>
              </w:rPr>
              <w:t>5</w:t>
            </w:r>
          </w:p>
        </w:tc>
        <w:tc>
          <w:tcPr>
            <w:tcW w:w="2531" w:type="dxa"/>
            <w:vAlign w:val="center"/>
          </w:tcPr>
          <w:p>
            <w:pPr>
              <w:snapToGrid w:val="0"/>
              <w:spacing w:line="300" w:lineRule="auto"/>
              <w:rPr>
                <w:sz w:val="18"/>
                <w:szCs w:val="18"/>
              </w:rPr>
            </w:pPr>
            <w:r>
              <w:rPr>
                <w:sz w:val="18"/>
                <w:szCs w:val="18"/>
              </w:rPr>
              <w:t xml:space="preserve">5 </w:t>
            </w:r>
            <w:r>
              <w:rPr>
                <w:rFonts w:hint="eastAsia"/>
                <w:sz w:val="18"/>
                <w:szCs w:val="18"/>
              </w:rPr>
              <w:t>PCB电路板设计</w:t>
            </w:r>
          </w:p>
          <w:p>
            <w:pPr>
              <w:snapToGrid w:val="0"/>
              <w:spacing w:line="300" w:lineRule="auto"/>
              <w:rPr>
                <w:sz w:val="18"/>
                <w:szCs w:val="18"/>
              </w:rPr>
            </w:pPr>
            <w:r>
              <w:rPr>
                <w:rFonts w:hint="eastAsia"/>
                <w:sz w:val="18"/>
                <w:szCs w:val="18"/>
              </w:rPr>
              <w:t>5</w:t>
            </w:r>
            <w:r>
              <w:rPr>
                <w:sz w:val="18"/>
                <w:szCs w:val="18"/>
              </w:rPr>
              <w:t>.1 PCB</w:t>
            </w:r>
            <w:r>
              <w:rPr>
                <w:rFonts w:hint="eastAsia"/>
                <w:sz w:val="18"/>
                <w:szCs w:val="18"/>
              </w:rPr>
              <w:t>相关知识简介</w:t>
            </w:r>
          </w:p>
          <w:p>
            <w:pPr>
              <w:snapToGrid w:val="0"/>
              <w:spacing w:line="300" w:lineRule="auto"/>
              <w:rPr>
                <w:sz w:val="18"/>
                <w:szCs w:val="18"/>
              </w:rPr>
            </w:pPr>
            <w:r>
              <w:rPr>
                <w:rFonts w:hint="eastAsia"/>
                <w:sz w:val="18"/>
                <w:szCs w:val="18"/>
              </w:rPr>
              <w:t>5</w:t>
            </w:r>
            <w:r>
              <w:rPr>
                <w:sz w:val="18"/>
                <w:szCs w:val="18"/>
              </w:rPr>
              <w:t xml:space="preserve">.2 </w:t>
            </w:r>
            <w:r>
              <w:rPr>
                <w:rFonts w:hint="eastAsia"/>
                <w:sz w:val="18"/>
                <w:szCs w:val="18"/>
              </w:rPr>
              <w:t>PCB设计布局方法</w:t>
            </w:r>
          </w:p>
          <w:p>
            <w:pPr>
              <w:snapToGrid w:val="0"/>
              <w:spacing w:line="300" w:lineRule="auto"/>
              <w:rPr>
                <w:sz w:val="18"/>
                <w:szCs w:val="18"/>
              </w:rPr>
            </w:pPr>
            <w:r>
              <w:rPr>
                <w:sz w:val="18"/>
                <w:szCs w:val="18"/>
              </w:rPr>
              <w:t xml:space="preserve">5.3 </w:t>
            </w:r>
            <w:r>
              <w:rPr>
                <w:rFonts w:hint="eastAsia"/>
                <w:sz w:val="18"/>
                <w:szCs w:val="18"/>
              </w:rPr>
              <w:t>PCB常用规则设置</w:t>
            </w:r>
          </w:p>
          <w:p>
            <w:pPr>
              <w:snapToGrid w:val="0"/>
              <w:spacing w:line="300" w:lineRule="auto"/>
              <w:rPr>
                <w:sz w:val="18"/>
                <w:szCs w:val="18"/>
              </w:rPr>
            </w:pPr>
            <w:r>
              <w:rPr>
                <w:rFonts w:hint="eastAsia"/>
                <w:sz w:val="18"/>
                <w:szCs w:val="18"/>
              </w:rPr>
              <w:t>5</w:t>
            </w:r>
            <w:r>
              <w:rPr>
                <w:sz w:val="18"/>
                <w:szCs w:val="18"/>
              </w:rPr>
              <w:t xml:space="preserve">.4 </w:t>
            </w:r>
            <w:r>
              <w:rPr>
                <w:rFonts w:hint="eastAsia"/>
                <w:sz w:val="18"/>
                <w:szCs w:val="18"/>
              </w:rPr>
              <w:t>PCB布线工具的使用</w:t>
            </w:r>
          </w:p>
          <w:p>
            <w:pPr>
              <w:snapToGrid w:val="0"/>
              <w:spacing w:line="300" w:lineRule="auto"/>
              <w:rPr>
                <w:sz w:val="18"/>
                <w:szCs w:val="18"/>
              </w:rPr>
            </w:pPr>
            <w:r>
              <w:rPr>
                <w:rFonts w:hint="eastAsia"/>
                <w:sz w:val="18"/>
                <w:szCs w:val="18"/>
              </w:rPr>
              <w:t>5</w:t>
            </w:r>
            <w:r>
              <w:rPr>
                <w:sz w:val="18"/>
                <w:szCs w:val="18"/>
              </w:rPr>
              <w:t xml:space="preserve">.5 </w:t>
            </w:r>
            <w:r>
              <w:rPr>
                <w:rFonts w:hint="eastAsia"/>
                <w:sz w:val="18"/>
                <w:szCs w:val="18"/>
              </w:rPr>
              <w:t>PCB设计规则检查</w:t>
            </w:r>
          </w:p>
        </w:tc>
        <w:tc>
          <w:tcPr>
            <w:tcW w:w="4111" w:type="dxa"/>
            <w:vAlign w:val="center"/>
          </w:tcPr>
          <w:p>
            <w:pPr>
              <w:snapToGrid w:val="0"/>
              <w:spacing w:line="300" w:lineRule="auto"/>
              <w:rPr>
                <w:sz w:val="18"/>
                <w:szCs w:val="18"/>
              </w:rPr>
            </w:pPr>
            <w:r>
              <w:rPr>
                <w:rFonts w:hint="eastAsia"/>
                <w:sz w:val="18"/>
                <w:szCs w:val="18"/>
              </w:rPr>
              <w:t>1</w:t>
            </w:r>
            <w:r>
              <w:rPr>
                <w:sz w:val="18"/>
                <w:szCs w:val="18"/>
              </w:rPr>
              <w:t xml:space="preserve">. </w:t>
            </w:r>
            <w:r>
              <w:rPr>
                <w:rFonts w:hint="eastAsia"/>
                <w:sz w:val="18"/>
                <w:szCs w:val="18"/>
              </w:rPr>
              <w:t>要求</w:t>
            </w:r>
          </w:p>
          <w:p>
            <w:pPr>
              <w:snapToGrid w:val="0"/>
              <w:spacing w:line="300" w:lineRule="auto"/>
              <w:rPr>
                <w:sz w:val="18"/>
                <w:szCs w:val="18"/>
              </w:rPr>
            </w:pPr>
            <w:r>
              <w:rPr>
                <w:rFonts w:hint="eastAsia"/>
                <w:sz w:val="18"/>
                <w:szCs w:val="18"/>
              </w:rPr>
              <w:t>（1）了解PCB的结构和组成；</w:t>
            </w:r>
          </w:p>
          <w:p>
            <w:pPr>
              <w:snapToGrid w:val="0"/>
              <w:spacing w:line="300" w:lineRule="auto"/>
              <w:rPr>
                <w:sz w:val="18"/>
                <w:szCs w:val="18"/>
              </w:rPr>
            </w:pPr>
            <w:r>
              <w:rPr>
                <w:rFonts w:hint="eastAsia"/>
                <w:sz w:val="18"/>
                <w:szCs w:val="18"/>
              </w:rPr>
              <w:t>（</w:t>
            </w:r>
            <w:r>
              <w:rPr>
                <w:sz w:val="18"/>
                <w:szCs w:val="18"/>
              </w:rPr>
              <w:t>2</w:t>
            </w:r>
            <w:r>
              <w:rPr>
                <w:rFonts w:hint="eastAsia"/>
                <w:sz w:val="18"/>
                <w:szCs w:val="18"/>
              </w:rPr>
              <w:t>）掌握从原理图导入PCB的方法及常见错误的处理；</w:t>
            </w:r>
          </w:p>
          <w:p>
            <w:pPr>
              <w:snapToGrid w:val="0"/>
              <w:spacing w:line="300" w:lineRule="auto"/>
              <w:rPr>
                <w:sz w:val="18"/>
                <w:szCs w:val="18"/>
              </w:rPr>
            </w:pPr>
            <w:r>
              <w:rPr>
                <w:rFonts w:hint="eastAsia"/>
                <w:sz w:val="18"/>
                <w:szCs w:val="18"/>
              </w:rPr>
              <w:t>（</w:t>
            </w:r>
            <w:r>
              <w:rPr>
                <w:sz w:val="18"/>
                <w:szCs w:val="18"/>
              </w:rPr>
              <w:t>3</w:t>
            </w:r>
            <w:r>
              <w:rPr>
                <w:rFonts w:hint="eastAsia"/>
                <w:sz w:val="18"/>
                <w:szCs w:val="18"/>
              </w:rPr>
              <w:t>）掌握元件布局和布线；</w:t>
            </w:r>
          </w:p>
          <w:p>
            <w:pPr>
              <w:snapToGrid w:val="0"/>
              <w:spacing w:line="300" w:lineRule="auto"/>
              <w:rPr>
                <w:sz w:val="18"/>
                <w:szCs w:val="18"/>
              </w:rPr>
            </w:pPr>
            <w:r>
              <w:rPr>
                <w:rFonts w:hint="eastAsia"/>
                <w:sz w:val="18"/>
                <w:szCs w:val="18"/>
              </w:rPr>
              <w:t>（</w:t>
            </w:r>
            <w:r>
              <w:rPr>
                <w:sz w:val="18"/>
                <w:szCs w:val="18"/>
              </w:rPr>
              <w:t>4</w:t>
            </w:r>
            <w:r>
              <w:rPr>
                <w:rFonts w:hint="eastAsia"/>
                <w:sz w:val="18"/>
                <w:szCs w:val="18"/>
              </w:rPr>
              <w:t>）掌握常用PCB规则（布线宽度、网络间距等）的作用及其设置；</w:t>
            </w:r>
          </w:p>
          <w:p>
            <w:pPr>
              <w:snapToGrid w:val="0"/>
              <w:spacing w:line="300" w:lineRule="auto"/>
              <w:rPr>
                <w:sz w:val="18"/>
                <w:szCs w:val="18"/>
              </w:rPr>
            </w:pPr>
            <w:r>
              <w:rPr>
                <w:rFonts w:hint="eastAsia"/>
                <w:sz w:val="18"/>
                <w:szCs w:val="18"/>
              </w:rPr>
              <w:t>（</w:t>
            </w:r>
            <w:r>
              <w:rPr>
                <w:sz w:val="18"/>
                <w:szCs w:val="18"/>
              </w:rPr>
              <w:t>5</w:t>
            </w:r>
            <w:r>
              <w:rPr>
                <w:rFonts w:hint="eastAsia"/>
                <w:sz w:val="18"/>
                <w:szCs w:val="18"/>
              </w:rPr>
              <w:t>）设计仿真。</w:t>
            </w:r>
          </w:p>
          <w:p>
            <w:pPr>
              <w:snapToGrid w:val="0"/>
              <w:spacing w:line="300" w:lineRule="auto"/>
              <w:rPr>
                <w:sz w:val="18"/>
                <w:szCs w:val="18"/>
              </w:rPr>
            </w:pPr>
            <w:r>
              <w:rPr>
                <w:rFonts w:hint="eastAsia"/>
                <w:sz w:val="18"/>
                <w:szCs w:val="18"/>
              </w:rPr>
              <w:t>2</w:t>
            </w:r>
            <w:r>
              <w:rPr>
                <w:sz w:val="18"/>
                <w:szCs w:val="18"/>
              </w:rPr>
              <w:t>.</w:t>
            </w:r>
            <w:r>
              <w:rPr>
                <w:rFonts w:hint="eastAsia"/>
                <w:sz w:val="18"/>
                <w:szCs w:val="18"/>
              </w:rPr>
              <w:t>教学方法</w:t>
            </w:r>
          </w:p>
          <w:p>
            <w:pPr>
              <w:snapToGrid w:val="0"/>
              <w:spacing w:line="300" w:lineRule="auto"/>
              <w:rPr>
                <w:sz w:val="18"/>
                <w:szCs w:val="18"/>
              </w:rPr>
            </w:pPr>
            <w:r>
              <w:rPr>
                <w:rFonts w:hint="eastAsia"/>
                <w:sz w:val="18"/>
                <w:szCs w:val="18"/>
              </w:rPr>
              <w:t>采用课堂讲授演示，辅以学生大学慕课学习的教学方式。</w:t>
            </w:r>
          </w:p>
        </w:tc>
        <w:tc>
          <w:tcPr>
            <w:tcW w:w="708" w:type="dxa"/>
            <w:vAlign w:val="center"/>
          </w:tcPr>
          <w:p>
            <w:pPr>
              <w:snapToGrid w:val="0"/>
              <w:spacing w:line="300" w:lineRule="auto"/>
              <w:jc w:val="center"/>
              <w:rPr>
                <w:sz w:val="18"/>
                <w:szCs w:val="18"/>
              </w:rPr>
            </w:pPr>
            <w:r>
              <w:rPr>
                <w:rFonts w:hint="eastAsia"/>
                <w:sz w:val="18"/>
                <w:szCs w:val="18"/>
              </w:rPr>
              <w:t>4</w:t>
            </w:r>
          </w:p>
        </w:tc>
        <w:tc>
          <w:tcPr>
            <w:tcW w:w="748" w:type="dxa"/>
            <w:vAlign w:val="center"/>
          </w:tcPr>
          <w:p>
            <w:pPr>
              <w:snapToGrid w:val="0"/>
              <w:spacing w:line="300" w:lineRule="auto"/>
              <w:jc w:val="center"/>
              <w:rPr>
                <w:sz w:val="18"/>
                <w:szCs w:val="18"/>
              </w:rPr>
            </w:pPr>
            <w:r>
              <w:rPr>
                <w:rFonts w:hint="eastAsia"/>
                <w:sz w:val="18"/>
                <w:szCs w:val="18"/>
              </w:rPr>
              <w:t>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318"/>
        <w:gridCol w:w="3237"/>
        <w:gridCol w:w="611"/>
        <w:gridCol w:w="852"/>
        <w:gridCol w:w="630"/>
        <w:gridCol w:w="743"/>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18" w:type="dxa"/>
            <w:vAlign w:val="center"/>
          </w:tcPr>
          <w:p>
            <w:pPr>
              <w:snapToGrid w:val="0"/>
              <w:spacing w:line="300" w:lineRule="auto"/>
              <w:rPr>
                <w:b/>
                <w:bCs/>
                <w:sz w:val="18"/>
                <w:szCs w:val="18"/>
              </w:rPr>
            </w:pPr>
            <w:r>
              <w:rPr>
                <w:b/>
                <w:bCs/>
                <w:kern w:val="0"/>
                <w:sz w:val="18"/>
                <w:szCs w:val="18"/>
              </w:rPr>
              <w:t>序号</w:t>
            </w:r>
          </w:p>
        </w:tc>
        <w:tc>
          <w:tcPr>
            <w:tcW w:w="1318" w:type="dxa"/>
            <w:vAlign w:val="center"/>
          </w:tcPr>
          <w:p>
            <w:pPr>
              <w:snapToGrid w:val="0"/>
              <w:spacing w:line="300" w:lineRule="auto"/>
              <w:jc w:val="center"/>
              <w:rPr>
                <w:b/>
                <w:bCs/>
                <w:sz w:val="18"/>
                <w:szCs w:val="18"/>
              </w:rPr>
            </w:pPr>
            <w:r>
              <w:rPr>
                <w:b/>
                <w:bCs/>
                <w:kern w:val="0"/>
                <w:sz w:val="18"/>
                <w:szCs w:val="18"/>
              </w:rPr>
              <w:t>实验项目名称</w:t>
            </w:r>
          </w:p>
        </w:tc>
        <w:tc>
          <w:tcPr>
            <w:tcW w:w="3237" w:type="dxa"/>
            <w:vAlign w:val="center"/>
          </w:tcPr>
          <w:p>
            <w:pPr>
              <w:snapToGrid w:val="0"/>
              <w:spacing w:line="300" w:lineRule="auto"/>
              <w:jc w:val="center"/>
              <w:rPr>
                <w:b/>
                <w:bCs/>
                <w:sz w:val="18"/>
                <w:szCs w:val="18"/>
              </w:rPr>
            </w:pPr>
            <w:r>
              <w:rPr>
                <w:b/>
                <w:bCs/>
                <w:kern w:val="0"/>
                <w:sz w:val="18"/>
                <w:szCs w:val="18"/>
              </w:rPr>
              <w:t>目的要求</w:t>
            </w:r>
          </w:p>
        </w:tc>
        <w:tc>
          <w:tcPr>
            <w:tcW w:w="611" w:type="dxa"/>
            <w:vAlign w:val="center"/>
          </w:tcPr>
          <w:p>
            <w:pPr>
              <w:snapToGrid w:val="0"/>
              <w:spacing w:line="300" w:lineRule="auto"/>
              <w:jc w:val="center"/>
              <w:rPr>
                <w:b/>
                <w:bCs/>
                <w:sz w:val="18"/>
                <w:szCs w:val="18"/>
              </w:rPr>
            </w:pPr>
            <w:r>
              <w:rPr>
                <w:b/>
                <w:bCs/>
                <w:kern w:val="0"/>
                <w:sz w:val="18"/>
                <w:szCs w:val="18"/>
              </w:rPr>
              <w:t>学时分配</w:t>
            </w:r>
          </w:p>
        </w:tc>
        <w:tc>
          <w:tcPr>
            <w:tcW w:w="852" w:type="dxa"/>
            <w:vAlign w:val="center"/>
          </w:tcPr>
          <w:p>
            <w:pPr>
              <w:snapToGrid w:val="0"/>
              <w:spacing w:line="300" w:lineRule="auto"/>
              <w:jc w:val="center"/>
              <w:rPr>
                <w:b/>
                <w:bCs/>
                <w:kern w:val="0"/>
                <w:sz w:val="18"/>
                <w:szCs w:val="18"/>
              </w:rPr>
            </w:pPr>
            <w:r>
              <w:rPr>
                <w:b/>
                <w:bCs/>
                <w:kern w:val="0"/>
                <w:sz w:val="18"/>
                <w:szCs w:val="18"/>
              </w:rPr>
              <w:t>实验类型</w:t>
            </w:r>
          </w:p>
        </w:tc>
        <w:tc>
          <w:tcPr>
            <w:tcW w:w="630" w:type="dxa"/>
            <w:vAlign w:val="center"/>
          </w:tcPr>
          <w:p>
            <w:pPr>
              <w:snapToGrid w:val="0"/>
              <w:spacing w:line="300" w:lineRule="auto"/>
              <w:jc w:val="center"/>
              <w:rPr>
                <w:b/>
                <w:bCs/>
                <w:kern w:val="0"/>
                <w:sz w:val="18"/>
                <w:szCs w:val="18"/>
              </w:rPr>
            </w:pPr>
            <w:r>
              <w:rPr>
                <w:b/>
                <w:bCs/>
                <w:kern w:val="0"/>
                <w:sz w:val="18"/>
                <w:szCs w:val="18"/>
              </w:rPr>
              <w:t>每组人数</w:t>
            </w:r>
          </w:p>
        </w:tc>
        <w:tc>
          <w:tcPr>
            <w:tcW w:w="74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2"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18" w:type="dxa"/>
            <w:vAlign w:val="center"/>
          </w:tcPr>
          <w:p>
            <w:pPr>
              <w:adjustRightInd w:val="0"/>
              <w:snapToGrid w:val="0"/>
              <w:spacing w:line="300" w:lineRule="auto"/>
              <w:jc w:val="center"/>
              <w:rPr>
                <w:sz w:val="18"/>
                <w:szCs w:val="18"/>
              </w:rPr>
            </w:pPr>
            <w:r>
              <w:rPr>
                <w:rFonts w:hint="eastAsia"/>
                <w:sz w:val="18"/>
                <w:szCs w:val="18"/>
              </w:rPr>
              <w:t>1</w:t>
            </w:r>
          </w:p>
        </w:tc>
        <w:tc>
          <w:tcPr>
            <w:tcW w:w="1318" w:type="dxa"/>
            <w:vAlign w:val="center"/>
          </w:tcPr>
          <w:p>
            <w:pPr>
              <w:widowControl/>
              <w:adjustRightInd w:val="0"/>
              <w:snapToGrid w:val="0"/>
              <w:spacing w:line="300" w:lineRule="auto"/>
              <w:jc w:val="left"/>
              <w:rPr>
                <w:sz w:val="18"/>
                <w:szCs w:val="18"/>
              </w:rPr>
            </w:pPr>
            <w:r>
              <w:rPr>
                <w:rFonts w:hint="eastAsia"/>
                <w:szCs w:val="21"/>
              </w:rPr>
              <w:t>原理图设计的基本操作</w:t>
            </w:r>
          </w:p>
        </w:tc>
        <w:tc>
          <w:tcPr>
            <w:tcW w:w="3237" w:type="dxa"/>
          </w:tcPr>
          <w:p>
            <w:pPr>
              <w:widowControl/>
              <w:adjustRightInd w:val="0"/>
              <w:snapToGrid w:val="0"/>
              <w:spacing w:line="300" w:lineRule="auto"/>
              <w:jc w:val="left"/>
              <w:rPr>
                <w:sz w:val="18"/>
                <w:szCs w:val="18"/>
              </w:rPr>
            </w:pPr>
            <w:r>
              <w:rPr>
                <w:rFonts w:hint="eastAsia"/>
                <w:szCs w:val="21"/>
              </w:rPr>
              <w:t>通过练习原理图文件的建立、原理图库的加载和使用、元件操作工具、导线操作工具的使用，完成一个电路原理图设计。</w:t>
            </w:r>
          </w:p>
        </w:tc>
        <w:tc>
          <w:tcPr>
            <w:tcW w:w="611" w:type="dxa"/>
            <w:vAlign w:val="center"/>
          </w:tcPr>
          <w:p>
            <w:pPr>
              <w:widowControl/>
              <w:adjustRightInd w:val="0"/>
              <w:snapToGrid w:val="0"/>
              <w:spacing w:line="300" w:lineRule="auto"/>
              <w:jc w:val="center"/>
              <w:rPr>
                <w:sz w:val="18"/>
                <w:szCs w:val="18"/>
              </w:rPr>
            </w:pPr>
            <w:r>
              <w:rPr>
                <w:sz w:val="18"/>
                <w:szCs w:val="18"/>
              </w:rPr>
              <w:t>2</w:t>
            </w:r>
          </w:p>
        </w:tc>
        <w:tc>
          <w:tcPr>
            <w:tcW w:w="852" w:type="dxa"/>
            <w:vAlign w:val="center"/>
          </w:tcPr>
          <w:p>
            <w:pPr>
              <w:adjustRightInd w:val="0"/>
              <w:snapToGrid w:val="0"/>
              <w:spacing w:line="300" w:lineRule="auto"/>
              <w:jc w:val="center"/>
              <w:rPr>
                <w:sz w:val="18"/>
                <w:szCs w:val="18"/>
              </w:rPr>
            </w:pPr>
            <w:r>
              <w:rPr>
                <w:kern w:val="0"/>
                <w:sz w:val="18"/>
                <w:szCs w:val="18"/>
              </w:rPr>
              <w:t>设计</w:t>
            </w:r>
          </w:p>
        </w:tc>
        <w:tc>
          <w:tcPr>
            <w:tcW w:w="630" w:type="dxa"/>
            <w:vAlign w:val="center"/>
          </w:tcPr>
          <w:p>
            <w:pPr>
              <w:adjustRightInd w:val="0"/>
              <w:snapToGrid w:val="0"/>
              <w:spacing w:line="300" w:lineRule="auto"/>
              <w:jc w:val="center"/>
              <w:rPr>
                <w:sz w:val="18"/>
                <w:szCs w:val="18"/>
              </w:rPr>
            </w:pPr>
            <w:r>
              <w:rPr>
                <w:sz w:val="18"/>
                <w:szCs w:val="18"/>
              </w:rPr>
              <w:t>1</w:t>
            </w:r>
          </w:p>
        </w:tc>
        <w:tc>
          <w:tcPr>
            <w:tcW w:w="743" w:type="dxa"/>
            <w:vAlign w:val="center"/>
          </w:tcPr>
          <w:p>
            <w:pPr>
              <w:adjustRightInd w:val="0"/>
              <w:snapToGrid w:val="0"/>
              <w:spacing w:line="300" w:lineRule="auto"/>
              <w:jc w:val="center"/>
              <w:rPr>
                <w:sz w:val="18"/>
                <w:szCs w:val="18"/>
              </w:rPr>
            </w:pPr>
            <w:r>
              <w:rPr>
                <w:kern w:val="0"/>
                <w:sz w:val="18"/>
                <w:szCs w:val="18"/>
              </w:rPr>
              <w:t>必开</w:t>
            </w:r>
          </w:p>
        </w:tc>
        <w:tc>
          <w:tcPr>
            <w:tcW w:w="672" w:type="dxa"/>
            <w:vAlign w:val="center"/>
          </w:tcPr>
          <w:p>
            <w:pPr>
              <w:widowControl/>
              <w:adjustRightInd w:val="0"/>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18" w:type="dxa"/>
            <w:vAlign w:val="center"/>
          </w:tcPr>
          <w:p>
            <w:pPr>
              <w:adjustRightInd w:val="0"/>
              <w:snapToGrid w:val="0"/>
              <w:spacing w:line="300" w:lineRule="auto"/>
              <w:jc w:val="center"/>
              <w:rPr>
                <w:sz w:val="18"/>
                <w:szCs w:val="18"/>
              </w:rPr>
            </w:pPr>
            <w:r>
              <w:rPr>
                <w:sz w:val="18"/>
                <w:szCs w:val="18"/>
              </w:rPr>
              <w:t>2</w:t>
            </w:r>
          </w:p>
        </w:tc>
        <w:tc>
          <w:tcPr>
            <w:tcW w:w="1318" w:type="dxa"/>
            <w:vAlign w:val="center"/>
          </w:tcPr>
          <w:p>
            <w:pPr>
              <w:widowControl/>
              <w:adjustRightInd w:val="0"/>
              <w:snapToGrid w:val="0"/>
              <w:spacing w:line="300" w:lineRule="auto"/>
              <w:jc w:val="left"/>
              <w:rPr>
                <w:sz w:val="18"/>
                <w:szCs w:val="18"/>
              </w:rPr>
            </w:pPr>
            <w:r>
              <w:rPr>
                <w:rFonts w:hint="eastAsia"/>
                <w:szCs w:val="21"/>
              </w:rPr>
              <w:t>原理图库元件的制作</w:t>
            </w:r>
          </w:p>
        </w:tc>
        <w:tc>
          <w:tcPr>
            <w:tcW w:w="3237" w:type="dxa"/>
          </w:tcPr>
          <w:p>
            <w:pPr>
              <w:widowControl/>
              <w:adjustRightInd w:val="0"/>
              <w:snapToGrid w:val="0"/>
              <w:spacing w:line="300" w:lineRule="auto"/>
              <w:jc w:val="left"/>
              <w:rPr>
                <w:sz w:val="18"/>
                <w:szCs w:val="18"/>
              </w:rPr>
            </w:pPr>
            <w:r>
              <w:rPr>
                <w:rFonts w:hint="eastAsia"/>
                <w:szCs w:val="21"/>
              </w:rPr>
              <w:t>通过练习原理图库文件的建立、新建原理图元件、复制原理图元件并修改，完成单独和分布原理图元件的设计。</w:t>
            </w:r>
          </w:p>
        </w:tc>
        <w:tc>
          <w:tcPr>
            <w:tcW w:w="611" w:type="dxa"/>
            <w:vAlign w:val="center"/>
          </w:tcPr>
          <w:p>
            <w:pPr>
              <w:widowControl/>
              <w:adjustRightInd w:val="0"/>
              <w:snapToGrid w:val="0"/>
              <w:spacing w:line="300" w:lineRule="auto"/>
              <w:jc w:val="center"/>
              <w:rPr>
                <w:sz w:val="18"/>
                <w:szCs w:val="18"/>
              </w:rPr>
            </w:pPr>
            <w:r>
              <w:rPr>
                <w:sz w:val="18"/>
                <w:szCs w:val="18"/>
              </w:rPr>
              <w:t>2</w:t>
            </w:r>
          </w:p>
        </w:tc>
        <w:tc>
          <w:tcPr>
            <w:tcW w:w="852" w:type="dxa"/>
            <w:vAlign w:val="center"/>
          </w:tcPr>
          <w:p>
            <w:pPr>
              <w:adjustRightInd w:val="0"/>
              <w:snapToGrid w:val="0"/>
              <w:spacing w:line="300" w:lineRule="auto"/>
              <w:jc w:val="center"/>
              <w:rPr>
                <w:sz w:val="18"/>
                <w:szCs w:val="18"/>
              </w:rPr>
            </w:pPr>
            <w:r>
              <w:rPr>
                <w:sz w:val="18"/>
                <w:szCs w:val="18"/>
              </w:rPr>
              <w:t>设计</w:t>
            </w:r>
          </w:p>
        </w:tc>
        <w:tc>
          <w:tcPr>
            <w:tcW w:w="630" w:type="dxa"/>
            <w:vAlign w:val="center"/>
          </w:tcPr>
          <w:p>
            <w:pPr>
              <w:adjustRightInd w:val="0"/>
              <w:snapToGrid w:val="0"/>
              <w:spacing w:line="300" w:lineRule="auto"/>
              <w:jc w:val="center"/>
              <w:rPr>
                <w:sz w:val="18"/>
                <w:szCs w:val="18"/>
              </w:rPr>
            </w:pPr>
            <w:r>
              <w:rPr>
                <w:sz w:val="18"/>
                <w:szCs w:val="18"/>
              </w:rPr>
              <w:t>1</w:t>
            </w:r>
          </w:p>
        </w:tc>
        <w:tc>
          <w:tcPr>
            <w:tcW w:w="743" w:type="dxa"/>
            <w:vAlign w:val="center"/>
          </w:tcPr>
          <w:p>
            <w:pPr>
              <w:adjustRightInd w:val="0"/>
              <w:snapToGrid w:val="0"/>
              <w:spacing w:line="300" w:lineRule="auto"/>
              <w:jc w:val="center"/>
              <w:rPr>
                <w:sz w:val="18"/>
                <w:szCs w:val="18"/>
              </w:rPr>
            </w:pPr>
            <w:r>
              <w:rPr>
                <w:kern w:val="0"/>
                <w:sz w:val="18"/>
                <w:szCs w:val="18"/>
              </w:rPr>
              <w:t>必开</w:t>
            </w:r>
          </w:p>
        </w:tc>
        <w:tc>
          <w:tcPr>
            <w:tcW w:w="672"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618" w:type="dxa"/>
            <w:vAlign w:val="center"/>
          </w:tcPr>
          <w:p>
            <w:pPr>
              <w:adjustRightInd w:val="0"/>
              <w:snapToGrid w:val="0"/>
              <w:spacing w:line="300" w:lineRule="auto"/>
              <w:jc w:val="center"/>
              <w:rPr>
                <w:sz w:val="18"/>
                <w:szCs w:val="18"/>
              </w:rPr>
            </w:pPr>
            <w:r>
              <w:rPr>
                <w:sz w:val="18"/>
                <w:szCs w:val="18"/>
              </w:rPr>
              <w:t>3</w:t>
            </w:r>
          </w:p>
        </w:tc>
        <w:tc>
          <w:tcPr>
            <w:tcW w:w="1318" w:type="dxa"/>
            <w:vAlign w:val="center"/>
          </w:tcPr>
          <w:p>
            <w:pPr>
              <w:widowControl/>
              <w:adjustRightInd w:val="0"/>
              <w:snapToGrid w:val="0"/>
              <w:spacing w:line="300" w:lineRule="auto"/>
              <w:jc w:val="left"/>
              <w:rPr>
                <w:sz w:val="18"/>
                <w:szCs w:val="18"/>
              </w:rPr>
            </w:pPr>
            <w:r>
              <w:rPr>
                <w:rFonts w:hint="eastAsia"/>
                <w:bCs/>
                <w:spacing w:val="5"/>
                <w:kern w:val="0"/>
                <w:szCs w:val="21"/>
              </w:rPr>
              <w:t>封装的制作</w:t>
            </w:r>
          </w:p>
        </w:tc>
        <w:tc>
          <w:tcPr>
            <w:tcW w:w="3237" w:type="dxa"/>
          </w:tcPr>
          <w:p>
            <w:pPr>
              <w:widowControl/>
              <w:adjustRightInd w:val="0"/>
              <w:snapToGrid w:val="0"/>
              <w:spacing w:line="300" w:lineRule="auto"/>
              <w:jc w:val="left"/>
              <w:rPr>
                <w:sz w:val="18"/>
                <w:szCs w:val="18"/>
              </w:rPr>
            </w:pPr>
            <w:r>
              <w:rPr>
                <w:rFonts w:hint="eastAsia"/>
                <w:szCs w:val="21"/>
              </w:rPr>
              <w:t>练习封装说明的释读方法；掌握封装库文件的建立；手工制作直插、四面贴片、异型封装；利用封装向导制作标准类型封装。</w:t>
            </w:r>
          </w:p>
        </w:tc>
        <w:tc>
          <w:tcPr>
            <w:tcW w:w="611" w:type="dxa"/>
            <w:vAlign w:val="center"/>
          </w:tcPr>
          <w:p>
            <w:pPr>
              <w:widowControl/>
              <w:adjustRightInd w:val="0"/>
              <w:snapToGrid w:val="0"/>
              <w:spacing w:line="300" w:lineRule="auto"/>
              <w:jc w:val="center"/>
              <w:rPr>
                <w:sz w:val="18"/>
                <w:szCs w:val="18"/>
              </w:rPr>
            </w:pPr>
            <w:r>
              <w:rPr>
                <w:sz w:val="18"/>
                <w:szCs w:val="18"/>
              </w:rPr>
              <w:t>2</w:t>
            </w:r>
          </w:p>
        </w:tc>
        <w:tc>
          <w:tcPr>
            <w:tcW w:w="852" w:type="dxa"/>
            <w:vAlign w:val="center"/>
          </w:tcPr>
          <w:p>
            <w:pPr>
              <w:adjustRightInd w:val="0"/>
              <w:snapToGrid w:val="0"/>
              <w:spacing w:line="300" w:lineRule="auto"/>
              <w:jc w:val="center"/>
              <w:rPr>
                <w:sz w:val="18"/>
                <w:szCs w:val="18"/>
              </w:rPr>
            </w:pPr>
            <w:r>
              <w:rPr>
                <w:kern w:val="0"/>
                <w:sz w:val="18"/>
                <w:szCs w:val="18"/>
              </w:rPr>
              <w:t>设计</w:t>
            </w:r>
          </w:p>
        </w:tc>
        <w:tc>
          <w:tcPr>
            <w:tcW w:w="630" w:type="dxa"/>
            <w:vAlign w:val="center"/>
          </w:tcPr>
          <w:p>
            <w:pPr>
              <w:adjustRightInd w:val="0"/>
              <w:snapToGrid w:val="0"/>
              <w:spacing w:line="300" w:lineRule="auto"/>
              <w:jc w:val="center"/>
              <w:rPr>
                <w:sz w:val="18"/>
                <w:szCs w:val="18"/>
              </w:rPr>
            </w:pPr>
            <w:r>
              <w:rPr>
                <w:sz w:val="18"/>
                <w:szCs w:val="18"/>
              </w:rPr>
              <w:t>1</w:t>
            </w:r>
          </w:p>
        </w:tc>
        <w:tc>
          <w:tcPr>
            <w:tcW w:w="743" w:type="dxa"/>
            <w:vAlign w:val="center"/>
          </w:tcPr>
          <w:p>
            <w:pPr>
              <w:adjustRightInd w:val="0"/>
              <w:snapToGrid w:val="0"/>
              <w:spacing w:line="300" w:lineRule="auto"/>
              <w:jc w:val="center"/>
              <w:rPr>
                <w:sz w:val="18"/>
                <w:szCs w:val="18"/>
              </w:rPr>
            </w:pPr>
            <w:r>
              <w:rPr>
                <w:kern w:val="0"/>
                <w:sz w:val="18"/>
                <w:szCs w:val="18"/>
              </w:rPr>
              <w:t>必开</w:t>
            </w:r>
          </w:p>
        </w:tc>
        <w:tc>
          <w:tcPr>
            <w:tcW w:w="672" w:type="dxa"/>
            <w:vAlign w:val="center"/>
          </w:tcPr>
          <w:p>
            <w:pPr>
              <w:adjustRightInd w:val="0"/>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 w:type="dxa"/>
            <w:vAlign w:val="center"/>
          </w:tcPr>
          <w:p>
            <w:pPr>
              <w:adjustRightInd w:val="0"/>
              <w:snapToGrid w:val="0"/>
              <w:spacing w:line="300" w:lineRule="auto"/>
              <w:jc w:val="center"/>
              <w:rPr>
                <w:sz w:val="18"/>
                <w:szCs w:val="18"/>
              </w:rPr>
            </w:pPr>
            <w:r>
              <w:rPr>
                <w:sz w:val="18"/>
                <w:szCs w:val="18"/>
              </w:rPr>
              <w:t>4</w:t>
            </w:r>
          </w:p>
        </w:tc>
        <w:tc>
          <w:tcPr>
            <w:tcW w:w="1318" w:type="dxa"/>
            <w:vAlign w:val="center"/>
          </w:tcPr>
          <w:p>
            <w:pPr>
              <w:widowControl/>
              <w:adjustRightInd w:val="0"/>
              <w:snapToGrid w:val="0"/>
              <w:spacing w:line="300" w:lineRule="auto"/>
              <w:jc w:val="left"/>
              <w:rPr>
                <w:sz w:val="18"/>
                <w:szCs w:val="18"/>
              </w:rPr>
            </w:pPr>
            <w:r>
              <w:rPr>
                <w:rFonts w:hint="eastAsia"/>
                <w:bCs/>
                <w:spacing w:val="5"/>
                <w:kern w:val="0"/>
                <w:szCs w:val="21"/>
              </w:rPr>
              <w:t>PCB设计</w:t>
            </w:r>
          </w:p>
        </w:tc>
        <w:tc>
          <w:tcPr>
            <w:tcW w:w="3237" w:type="dxa"/>
          </w:tcPr>
          <w:p>
            <w:pPr>
              <w:widowControl/>
              <w:adjustRightInd w:val="0"/>
              <w:snapToGrid w:val="0"/>
              <w:spacing w:line="300" w:lineRule="auto"/>
              <w:jc w:val="left"/>
              <w:rPr>
                <w:sz w:val="18"/>
                <w:szCs w:val="18"/>
              </w:rPr>
            </w:pPr>
            <w:r>
              <w:rPr>
                <w:rFonts w:hint="eastAsia"/>
                <w:szCs w:val="21"/>
              </w:rPr>
              <w:t>练习新建PCB文件和PCB项目；掌握PCB板外型定义方法、各层的作用、自动布线工具的使用。</w:t>
            </w:r>
          </w:p>
        </w:tc>
        <w:tc>
          <w:tcPr>
            <w:tcW w:w="611" w:type="dxa"/>
            <w:vAlign w:val="center"/>
          </w:tcPr>
          <w:p>
            <w:pPr>
              <w:widowControl/>
              <w:adjustRightInd w:val="0"/>
              <w:snapToGrid w:val="0"/>
              <w:spacing w:line="300" w:lineRule="auto"/>
              <w:jc w:val="center"/>
              <w:rPr>
                <w:sz w:val="18"/>
                <w:szCs w:val="18"/>
              </w:rPr>
            </w:pPr>
            <w:r>
              <w:rPr>
                <w:sz w:val="18"/>
                <w:szCs w:val="18"/>
              </w:rPr>
              <w:t>2</w:t>
            </w:r>
          </w:p>
        </w:tc>
        <w:tc>
          <w:tcPr>
            <w:tcW w:w="852" w:type="dxa"/>
            <w:vAlign w:val="center"/>
          </w:tcPr>
          <w:p>
            <w:pPr>
              <w:adjustRightInd w:val="0"/>
              <w:snapToGrid w:val="0"/>
              <w:spacing w:line="300" w:lineRule="auto"/>
              <w:jc w:val="center"/>
              <w:rPr>
                <w:sz w:val="18"/>
                <w:szCs w:val="18"/>
              </w:rPr>
            </w:pPr>
            <w:r>
              <w:rPr>
                <w:kern w:val="0"/>
                <w:sz w:val="18"/>
                <w:szCs w:val="18"/>
              </w:rPr>
              <w:t>设计</w:t>
            </w:r>
          </w:p>
        </w:tc>
        <w:tc>
          <w:tcPr>
            <w:tcW w:w="630" w:type="dxa"/>
            <w:vAlign w:val="center"/>
          </w:tcPr>
          <w:p>
            <w:pPr>
              <w:adjustRightInd w:val="0"/>
              <w:snapToGrid w:val="0"/>
              <w:spacing w:line="300" w:lineRule="auto"/>
              <w:jc w:val="center"/>
              <w:rPr>
                <w:sz w:val="18"/>
                <w:szCs w:val="18"/>
              </w:rPr>
            </w:pPr>
            <w:r>
              <w:rPr>
                <w:sz w:val="18"/>
                <w:szCs w:val="18"/>
              </w:rPr>
              <w:t>1</w:t>
            </w:r>
          </w:p>
        </w:tc>
        <w:tc>
          <w:tcPr>
            <w:tcW w:w="743" w:type="dxa"/>
            <w:vAlign w:val="center"/>
          </w:tcPr>
          <w:p>
            <w:pPr>
              <w:adjustRightInd w:val="0"/>
              <w:snapToGrid w:val="0"/>
              <w:spacing w:line="300" w:lineRule="auto"/>
              <w:jc w:val="center"/>
              <w:rPr>
                <w:sz w:val="18"/>
                <w:szCs w:val="18"/>
              </w:rPr>
            </w:pPr>
            <w:r>
              <w:rPr>
                <w:kern w:val="0"/>
                <w:sz w:val="18"/>
                <w:szCs w:val="18"/>
              </w:rPr>
              <w:t>必开</w:t>
            </w:r>
          </w:p>
        </w:tc>
        <w:tc>
          <w:tcPr>
            <w:tcW w:w="672" w:type="dxa"/>
            <w:vAlign w:val="center"/>
          </w:tcPr>
          <w:p>
            <w:pPr>
              <w:adjustRightInd w:val="0"/>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 w:type="dxa"/>
            <w:vAlign w:val="center"/>
          </w:tcPr>
          <w:p>
            <w:pPr>
              <w:adjustRightInd w:val="0"/>
              <w:snapToGrid w:val="0"/>
              <w:spacing w:line="300" w:lineRule="auto"/>
              <w:jc w:val="center"/>
              <w:rPr>
                <w:sz w:val="18"/>
                <w:szCs w:val="18"/>
              </w:rPr>
            </w:pPr>
            <w:r>
              <w:rPr>
                <w:sz w:val="18"/>
                <w:szCs w:val="18"/>
              </w:rPr>
              <w:t>5</w:t>
            </w:r>
          </w:p>
        </w:tc>
        <w:tc>
          <w:tcPr>
            <w:tcW w:w="1318" w:type="dxa"/>
            <w:vAlign w:val="center"/>
          </w:tcPr>
          <w:p>
            <w:pPr>
              <w:widowControl/>
              <w:adjustRightInd w:val="0"/>
              <w:snapToGrid w:val="0"/>
              <w:spacing w:line="300" w:lineRule="auto"/>
              <w:jc w:val="left"/>
              <w:rPr>
                <w:sz w:val="18"/>
                <w:szCs w:val="18"/>
              </w:rPr>
            </w:pPr>
            <w:r>
              <w:rPr>
                <w:rFonts w:hint="eastAsia"/>
                <w:bCs/>
                <w:spacing w:val="5"/>
                <w:kern w:val="0"/>
                <w:szCs w:val="21"/>
              </w:rPr>
              <w:t>项目设计实例1</w:t>
            </w:r>
          </w:p>
        </w:tc>
        <w:tc>
          <w:tcPr>
            <w:tcW w:w="3237" w:type="dxa"/>
          </w:tcPr>
          <w:p>
            <w:pPr>
              <w:widowControl/>
              <w:adjustRightInd w:val="0"/>
              <w:snapToGrid w:val="0"/>
              <w:spacing w:line="300" w:lineRule="auto"/>
              <w:jc w:val="left"/>
              <w:rPr>
                <w:sz w:val="18"/>
                <w:szCs w:val="18"/>
              </w:rPr>
            </w:pPr>
            <w:r>
              <w:rPr>
                <w:rFonts w:hint="eastAsia"/>
                <w:szCs w:val="21"/>
              </w:rPr>
              <w:t>针对一个项目的具体需求，从总体方案设计、芯片选型、原理图设计、原理图库元件设计、封装设计、PCB设计，完成满足项目需求的PCB板设计。</w:t>
            </w:r>
          </w:p>
        </w:tc>
        <w:tc>
          <w:tcPr>
            <w:tcW w:w="611" w:type="dxa"/>
            <w:vAlign w:val="center"/>
          </w:tcPr>
          <w:p>
            <w:pPr>
              <w:widowControl/>
              <w:adjustRightInd w:val="0"/>
              <w:snapToGrid w:val="0"/>
              <w:spacing w:line="300" w:lineRule="auto"/>
              <w:jc w:val="center"/>
              <w:rPr>
                <w:sz w:val="18"/>
                <w:szCs w:val="18"/>
              </w:rPr>
            </w:pPr>
            <w:r>
              <w:rPr>
                <w:sz w:val="18"/>
                <w:szCs w:val="18"/>
              </w:rPr>
              <w:t>4</w:t>
            </w:r>
          </w:p>
        </w:tc>
        <w:tc>
          <w:tcPr>
            <w:tcW w:w="852" w:type="dxa"/>
            <w:vAlign w:val="center"/>
          </w:tcPr>
          <w:p>
            <w:pPr>
              <w:adjustRightInd w:val="0"/>
              <w:snapToGrid w:val="0"/>
              <w:spacing w:line="300" w:lineRule="auto"/>
              <w:jc w:val="center"/>
              <w:rPr>
                <w:kern w:val="0"/>
                <w:sz w:val="18"/>
                <w:szCs w:val="18"/>
              </w:rPr>
            </w:pPr>
            <w:r>
              <w:rPr>
                <w:kern w:val="0"/>
                <w:sz w:val="18"/>
                <w:szCs w:val="18"/>
              </w:rPr>
              <w:t>综合</w:t>
            </w:r>
          </w:p>
        </w:tc>
        <w:tc>
          <w:tcPr>
            <w:tcW w:w="630" w:type="dxa"/>
            <w:vAlign w:val="center"/>
          </w:tcPr>
          <w:p>
            <w:pPr>
              <w:adjustRightInd w:val="0"/>
              <w:snapToGrid w:val="0"/>
              <w:spacing w:line="300" w:lineRule="auto"/>
              <w:jc w:val="center"/>
              <w:rPr>
                <w:sz w:val="18"/>
                <w:szCs w:val="18"/>
              </w:rPr>
            </w:pPr>
            <w:r>
              <w:rPr>
                <w:kern w:val="0"/>
                <w:sz w:val="18"/>
                <w:szCs w:val="18"/>
              </w:rPr>
              <w:t>3</w:t>
            </w:r>
          </w:p>
        </w:tc>
        <w:tc>
          <w:tcPr>
            <w:tcW w:w="743" w:type="dxa"/>
            <w:vAlign w:val="center"/>
          </w:tcPr>
          <w:p>
            <w:pPr>
              <w:adjustRightInd w:val="0"/>
              <w:snapToGrid w:val="0"/>
              <w:spacing w:line="300" w:lineRule="auto"/>
              <w:jc w:val="center"/>
              <w:rPr>
                <w:kern w:val="0"/>
                <w:sz w:val="18"/>
                <w:szCs w:val="18"/>
              </w:rPr>
            </w:pPr>
            <w:r>
              <w:rPr>
                <w:kern w:val="0"/>
                <w:sz w:val="18"/>
                <w:szCs w:val="18"/>
              </w:rPr>
              <w:t>必开</w:t>
            </w:r>
          </w:p>
        </w:tc>
        <w:tc>
          <w:tcPr>
            <w:tcW w:w="672" w:type="dxa"/>
            <w:vAlign w:val="center"/>
          </w:tcPr>
          <w:p>
            <w:pPr>
              <w:adjustRightInd w:val="0"/>
              <w:snapToGrid w:val="0"/>
              <w:spacing w:line="300" w:lineRule="auto"/>
              <w:jc w:val="center"/>
              <w:rPr>
                <w:kern w:val="0"/>
                <w:sz w:val="18"/>
                <w:szCs w:val="18"/>
              </w:rPr>
            </w:pPr>
            <w:r>
              <w:rPr>
                <w:rFonts w:hint="eastAsia"/>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 w:type="dxa"/>
            <w:vAlign w:val="center"/>
          </w:tcPr>
          <w:p>
            <w:pPr>
              <w:adjustRightInd w:val="0"/>
              <w:snapToGrid w:val="0"/>
              <w:spacing w:line="300" w:lineRule="auto"/>
              <w:jc w:val="center"/>
              <w:rPr>
                <w:sz w:val="18"/>
                <w:szCs w:val="18"/>
              </w:rPr>
            </w:pPr>
            <w:r>
              <w:rPr>
                <w:rFonts w:hint="eastAsia"/>
                <w:sz w:val="18"/>
                <w:szCs w:val="18"/>
              </w:rPr>
              <w:t>6</w:t>
            </w:r>
          </w:p>
        </w:tc>
        <w:tc>
          <w:tcPr>
            <w:tcW w:w="1318" w:type="dxa"/>
            <w:vAlign w:val="center"/>
          </w:tcPr>
          <w:p>
            <w:pPr>
              <w:widowControl/>
              <w:adjustRightInd w:val="0"/>
              <w:snapToGrid w:val="0"/>
              <w:spacing w:line="300" w:lineRule="auto"/>
              <w:jc w:val="left"/>
              <w:rPr>
                <w:sz w:val="18"/>
                <w:szCs w:val="18"/>
              </w:rPr>
            </w:pPr>
            <w:r>
              <w:rPr>
                <w:rFonts w:hint="eastAsia"/>
                <w:bCs/>
                <w:spacing w:val="5"/>
                <w:kern w:val="0"/>
                <w:szCs w:val="21"/>
              </w:rPr>
              <w:t>项目设计实例</w:t>
            </w:r>
            <w:r>
              <w:rPr>
                <w:bCs/>
                <w:spacing w:val="5"/>
                <w:kern w:val="0"/>
                <w:szCs w:val="21"/>
              </w:rPr>
              <w:t>2</w:t>
            </w:r>
          </w:p>
        </w:tc>
        <w:tc>
          <w:tcPr>
            <w:tcW w:w="3237" w:type="dxa"/>
          </w:tcPr>
          <w:p>
            <w:pPr>
              <w:widowControl/>
              <w:adjustRightInd w:val="0"/>
              <w:snapToGrid w:val="0"/>
              <w:spacing w:line="300" w:lineRule="auto"/>
              <w:jc w:val="left"/>
              <w:rPr>
                <w:sz w:val="18"/>
                <w:szCs w:val="18"/>
              </w:rPr>
            </w:pPr>
            <w:r>
              <w:rPr>
                <w:rFonts w:hint="eastAsia"/>
                <w:szCs w:val="21"/>
              </w:rPr>
              <w:t>针对一个项目的总体需求，经过调研，明确其具体需求，然后从总体方案设计、芯片选型、原理图设计、原理图库元件设计、封装设计、PCB设计，购买元件完成焊接和调试，在节能环保、性价比高的前提下完成满足项目需求的电路实物制作。</w:t>
            </w:r>
          </w:p>
        </w:tc>
        <w:tc>
          <w:tcPr>
            <w:tcW w:w="611" w:type="dxa"/>
            <w:vAlign w:val="center"/>
          </w:tcPr>
          <w:p>
            <w:pPr>
              <w:widowControl/>
              <w:adjustRightInd w:val="0"/>
              <w:snapToGrid w:val="0"/>
              <w:spacing w:line="300" w:lineRule="auto"/>
              <w:jc w:val="center"/>
              <w:rPr>
                <w:sz w:val="18"/>
                <w:szCs w:val="18"/>
              </w:rPr>
            </w:pPr>
            <w:r>
              <w:rPr>
                <w:rFonts w:hint="eastAsia"/>
                <w:sz w:val="18"/>
                <w:szCs w:val="18"/>
              </w:rPr>
              <w:t>4</w:t>
            </w:r>
          </w:p>
        </w:tc>
        <w:tc>
          <w:tcPr>
            <w:tcW w:w="852" w:type="dxa"/>
            <w:vAlign w:val="center"/>
          </w:tcPr>
          <w:p>
            <w:pPr>
              <w:adjustRightInd w:val="0"/>
              <w:snapToGrid w:val="0"/>
              <w:spacing w:line="300" w:lineRule="auto"/>
              <w:jc w:val="center"/>
              <w:rPr>
                <w:kern w:val="0"/>
                <w:sz w:val="18"/>
                <w:szCs w:val="18"/>
              </w:rPr>
            </w:pPr>
            <w:r>
              <w:rPr>
                <w:rFonts w:hint="eastAsia"/>
                <w:kern w:val="0"/>
                <w:sz w:val="18"/>
                <w:szCs w:val="18"/>
              </w:rPr>
              <w:t>创新</w:t>
            </w:r>
          </w:p>
        </w:tc>
        <w:tc>
          <w:tcPr>
            <w:tcW w:w="630" w:type="dxa"/>
            <w:vAlign w:val="center"/>
          </w:tcPr>
          <w:p>
            <w:pPr>
              <w:adjustRightInd w:val="0"/>
              <w:snapToGrid w:val="0"/>
              <w:spacing w:line="300" w:lineRule="auto"/>
              <w:jc w:val="center"/>
              <w:rPr>
                <w:kern w:val="0"/>
                <w:sz w:val="18"/>
                <w:szCs w:val="18"/>
              </w:rPr>
            </w:pPr>
            <w:r>
              <w:rPr>
                <w:rFonts w:hint="eastAsia"/>
                <w:kern w:val="0"/>
                <w:sz w:val="18"/>
                <w:szCs w:val="18"/>
              </w:rPr>
              <w:t>3</w:t>
            </w:r>
          </w:p>
        </w:tc>
        <w:tc>
          <w:tcPr>
            <w:tcW w:w="743" w:type="dxa"/>
            <w:vAlign w:val="center"/>
          </w:tcPr>
          <w:p>
            <w:pPr>
              <w:adjustRightInd w:val="0"/>
              <w:snapToGrid w:val="0"/>
              <w:spacing w:line="300" w:lineRule="auto"/>
              <w:jc w:val="center"/>
              <w:rPr>
                <w:kern w:val="0"/>
                <w:sz w:val="18"/>
                <w:szCs w:val="18"/>
              </w:rPr>
            </w:pPr>
            <w:r>
              <w:rPr>
                <w:rFonts w:hint="eastAsia"/>
                <w:kern w:val="0"/>
                <w:sz w:val="18"/>
                <w:szCs w:val="18"/>
              </w:rPr>
              <w:t>必开</w:t>
            </w:r>
          </w:p>
        </w:tc>
        <w:tc>
          <w:tcPr>
            <w:tcW w:w="672" w:type="dxa"/>
            <w:vAlign w:val="center"/>
          </w:tcPr>
          <w:p>
            <w:pPr>
              <w:adjustRightInd w:val="0"/>
              <w:snapToGrid w:val="0"/>
              <w:spacing w:line="300" w:lineRule="auto"/>
              <w:jc w:val="center"/>
              <w:rPr>
                <w:kern w:val="0"/>
                <w:sz w:val="18"/>
                <w:szCs w:val="18"/>
              </w:rPr>
            </w:pPr>
            <w:r>
              <w:rPr>
                <w:rFonts w:hint="eastAsia"/>
                <w:kern w:val="0"/>
                <w:sz w:val="18"/>
                <w:szCs w:val="18"/>
              </w:rPr>
              <w:t>1、2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w:t>
      </w:r>
      <w:r>
        <w:rPr>
          <w:rFonts w:hint="eastAsia"/>
        </w:rPr>
        <w:t>上机实操、</w:t>
      </w:r>
      <w:r>
        <w:t>实验考核</w:t>
      </w:r>
      <w:r>
        <w:rPr>
          <w:rFonts w:hint="eastAsia"/>
        </w:rPr>
        <w:t>、考勤</w:t>
      </w:r>
      <w:r>
        <w:t>。</w:t>
      </w:r>
    </w:p>
    <w:p>
      <w:pPr>
        <w:snapToGrid w:val="0"/>
        <w:spacing w:line="300" w:lineRule="auto"/>
        <w:ind w:firstLine="420" w:firstLineChars="200"/>
      </w:pPr>
      <w:r>
        <w:t>2．成绩构成：期末上机实操成绩60%，平时成绩40%，其中实验作业、课堂表现、方案报告等占20%，实物制作成绩20%。</w:t>
      </w:r>
    </w:p>
    <w:p>
      <w:pPr>
        <w:snapToGrid w:val="0"/>
        <w:spacing w:line="300" w:lineRule="auto"/>
        <w:ind w:firstLine="420" w:firstLineChars="200"/>
        <w:rPr>
          <w:b/>
          <w:bCs/>
          <w:sz w:val="18"/>
          <w:szCs w:val="18"/>
        </w:rPr>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603"/>
        <w:gridCol w:w="567"/>
        <w:gridCol w:w="709"/>
        <w:gridCol w:w="567"/>
        <w:gridCol w:w="3322"/>
        <w:gridCol w:w="82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48"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603" w:type="dxa"/>
            <w:vAlign w:val="center"/>
          </w:tcPr>
          <w:p>
            <w:pPr>
              <w:snapToGrid w:val="0"/>
              <w:spacing w:line="300" w:lineRule="auto"/>
              <w:jc w:val="center"/>
              <w:rPr>
                <w:b/>
                <w:bCs/>
                <w:sz w:val="18"/>
                <w:szCs w:val="18"/>
              </w:rPr>
            </w:pPr>
            <w:r>
              <w:rPr>
                <w:b/>
                <w:bCs/>
                <w:sz w:val="18"/>
                <w:szCs w:val="18"/>
              </w:rPr>
              <w:t>分值</w:t>
            </w:r>
          </w:p>
        </w:tc>
        <w:tc>
          <w:tcPr>
            <w:tcW w:w="567" w:type="dxa"/>
            <w:vAlign w:val="center"/>
          </w:tcPr>
          <w:p>
            <w:pPr>
              <w:snapToGrid w:val="0"/>
              <w:spacing w:line="300" w:lineRule="auto"/>
              <w:jc w:val="center"/>
              <w:rPr>
                <w:b/>
                <w:bCs/>
                <w:sz w:val="18"/>
                <w:szCs w:val="18"/>
              </w:rPr>
            </w:pPr>
            <w:r>
              <w:rPr>
                <w:b/>
                <w:bCs/>
                <w:sz w:val="18"/>
                <w:szCs w:val="18"/>
              </w:rPr>
              <w:t>权重</w:t>
            </w:r>
          </w:p>
        </w:tc>
        <w:tc>
          <w:tcPr>
            <w:tcW w:w="709" w:type="dxa"/>
            <w:vAlign w:val="center"/>
          </w:tcPr>
          <w:p>
            <w:pPr>
              <w:snapToGrid w:val="0"/>
              <w:spacing w:line="300" w:lineRule="auto"/>
              <w:jc w:val="center"/>
              <w:rPr>
                <w:b/>
                <w:bCs/>
                <w:sz w:val="18"/>
                <w:szCs w:val="18"/>
              </w:rPr>
            </w:pPr>
            <w:r>
              <w:rPr>
                <w:b/>
                <w:bCs/>
                <w:sz w:val="18"/>
                <w:szCs w:val="18"/>
              </w:rPr>
              <w:t>类别</w:t>
            </w:r>
          </w:p>
        </w:tc>
        <w:tc>
          <w:tcPr>
            <w:tcW w:w="567" w:type="dxa"/>
            <w:vAlign w:val="center"/>
          </w:tcPr>
          <w:p>
            <w:pPr>
              <w:snapToGrid w:val="0"/>
              <w:spacing w:line="300" w:lineRule="auto"/>
              <w:jc w:val="center"/>
              <w:rPr>
                <w:b/>
                <w:bCs/>
                <w:sz w:val="18"/>
                <w:szCs w:val="18"/>
              </w:rPr>
            </w:pPr>
            <w:r>
              <w:rPr>
                <w:b/>
                <w:bCs/>
                <w:sz w:val="18"/>
                <w:szCs w:val="18"/>
              </w:rPr>
              <w:t>权重</w:t>
            </w:r>
          </w:p>
        </w:tc>
        <w:tc>
          <w:tcPr>
            <w:tcW w:w="3322" w:type="dxa"/>
            <w:vAlign w:val="center"/>
          </w:tcPr>
          <w:p>
            <w:pPr>
              <w:snapToGrid w:val="0"/>
              <w:spacing w:line="300" w:lineRule="auto"/>
              <w:jc w:val="center"/>
              <w:rPr>
                <w:b/>
                <w:bCs/>
                <w:sz w:val="18"/>
                <w:szCs w:val="18"/>
              </w:rPr>
            </w:pPr>
            <w:r>
              <w:rPr>
                <w:b/>
                <w:bCs/>
                <w:sz w:val="18"/>
                <w:szCs w:val="18"/>
              </w:rPr>
              <w:t>考核/评价细则</w:t>
            </w:r>
          </w:p>
        </w:tc>
        <w:tc>
          <w:tcPr>
            <w:tcW w:w="822" w:type="dxa"/>
            <w:vAlign w:val="center"/>
          </w:tcPr>
          <w:p>
            <w:pPr>
              <w:snapToGrid w:val="0"/>
              <w:spacing w:line="300" w:lineRule="auto"/>
              <w:jc w:val="center"/>
              <w:rPr>
                <w:b/>
                <w:bCs/>
                <w:sz w:val="18"/>
                <w:szCs w:val="18"/>
              </w:rPr>
            </w:pPr>
            <w:r>
              <w:rPr>
                <w:b/>
                <w:bCs/>
                <w:sz w:val="18"/>
                <w:szCs w:val="18"/>
              </w:rPr>
              <w:t>课程目标</w:t>
            </w:r>
          </w:p>
        </w:tc>
        <w:tc>
          <w:tcPr>
            <w:tcW w:w="709" w:type="dxa"/>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pPr>
              <w:snapToGrid w:val="0"/>
              <w:spacing w:line="300" w:lineRule="auto"/>
              <w:jc w:val="left"/>
              <w:rPr>
                <w:sz w:val="18"/>
                <w:szCs w:val="18"/>
              </w:rPr>
            </w:pPr>
            <w:r>
              <w:rPr>
                <w:sz w:val="18"/>
                <w:szCs w:val="18"/>
              </w:rPr>
              <w:t>平时成绩</w:t>
            </w:r>
          </w:p>
        </w:tc>
        <w:tc>
          <w:tcPr>
            <w:tcW w:w="603" w:type="dxa"/>
            <w:vMerge w:val="restart"/>
            <w:vAlign w:val="center"/>
          </w:tcPr>
          <w:p>
            <w:pPr>
              <w:snapToGrid w:val="0"/>
              <w:spacing w:line="300" w:lineRule="auto"/>
              <w:jc w:val="center"/>
              <w:rPr>
                <w:sz w:val="18"/>
                <w:szCs w:val="18"/>
              </w:rPr>
            </w:pPr>
            <w:r>
              <w:rPr>
                <w:sz w:val="18"/>
                <w:szCs w:val="18"/>
              </w:rPr>
              <w:t>100</w:t>
            </w:r>
          </w:p>
        </w:tc>
        <w:tc>
          <w:tcPr>
            <w:tcW w:w="567" w:type="dxa"/>
            <w:vMerge w:val="restart"/>
            <w:vAlign w:val="center"/>
          </w:tcPr>
          <w:p>
            <w:pPr>
              <w:snapToGrid w:val="0"/>
              <w:spacing w:line="300" w:lineRule="auto"/>
              <w:jc w:val="center"/>
              <w:rPr>
                <w:sz w:val="18"/>
                <w:szCs w:val="18"/>
              </w:rPr>
            </w:pPr>
            <w:r>
              <w:rPr>
                <w:sz w:val="18"/>
                <w:szCs w:val="18"/>
              </w:rPr>
              <w:t>0.5</w:t>
            </w:r>
          </w:p>
        </w:tc>
        <w:tc>
          <w:tcPr>
            <w:tcW w:w="709" w:type="dxa"/>
            <w:vAlign w:val="center"/>
          </w:tcPr>
          <w:p>
            <w:pPr>
              <w:snapToGrid w:val="0"/>
              <w:spacing w:line="300" w:lineRule="auto"/>
              <w:jc w:val="center"/>
              <w:rPr>
                <w:sz w:val="18"/>
                <w:szCs w:val="18"/>
              </w:rPr>
            </w:pPr>
            <w:r>
              <w:rPr>
                <w:rFonts w:hint="eastAsia"/>
                <w:sz w:val="18"/>
                <w:szCs w:val="18"/>
              </w:rPr>
              <w:t>考勤</w:t>
            </w:r>
          </w:p>
        </w:tc>
        <w:tc>
          <w:tcPr>
            <w:tcW w:w="567" w:type="dxa"/>
            <w:vAlign w:val="center"/>
          </w:tcPr>
          <w:p>
            <w:pPr>
              <w:snapToGrid w:val="0"/>
              <w:spacing w:line="300" w:lineRule="auto"/>
              <w:jc w:val="center"/>
              <w:rPr>
                <w:sz w:val="18"/>
                <w:szCs w:val="18"/>
              </w:rPr>
            </w:pPr>
            <w:r>
              <w:rPr>
                <w:sz w:val="18"/>
                <w:szCs w:val="18"/>
              </w:rPr>
              <w:t>0.1</w:t>
            </w:r>
          </w:p>
        </w:tc>
        <w:tc>
          <w:tcPr>
            <w:tcW w:w="3322" w:type="dxa"/>
          </w:tcPr>
          <w:p>
            <w:pPr>
              <w:snapToGrid w:val="0"/>
              <w:spacing w:line="300" w:lineRule="auto"/>
              <w:rPr>
                <w:sz w:val="18"/>
                <w:szCs w:val="18"/>
              </w:rPr>
            </w:pPr>
            <w:r>
              <w:t>根据学生平时上课的出勤率</w:t>
            </w:r>
            <w:r>
              <w:rPr>
                <w:rFonts w:hint="eastAsia"/>
              </w:rPr>
              <w:t>（满分1</w:t>
            </w:r>
            <w:r>
              <w:t>00</w:t>
            </w:r>
            <w:r>
              <w:rPr>
                <w:rFonts w:hint="eastAsia"/>
              </w:rPr>
              <w:t>分）</w:t>
            </w:r>
            <w:r>
              <w:t>，按5%计入课程总成绩</w:t>
            </w:r>
            <w:r>
              <w:rPr>
                <w:rFonts w:hint="eastAsia"/>
              </w:rPr>
              <w:t>/对学生到课随机进行</w:t>
            </w:r>
            <w:r>
              <w:t>5</w:t>
            </w:r>
            <w:r>
              <w:rPr>
                <w:rFonts w:hint="eastAsia"/>
              </w:rPr>
              <w:t>次考勤，每次按时到课得2</w:t>
            </w:r>
            <w:r>
              <w:t>0</w:t>
            </w:r>
            <w:r>
              <w:rPr>
                <w:rFonts w:hint="eastAsia"/>
              </w:rPr>
              <w:t>分，迟到早退得1</w:t>
            </w:r>
            <w:r>
              <w:t>0</w:t>
            </w:r>
            <w:r>
              <w:rPr>
                <w:rFonts w:hint="eastAsia"/>
              </w:rPr>
              <w:t>分，旷课得0分。此项总分按比例计入课程总成绩。</w:t>
            </w:r>
          </w:p>
        </w:tc>
        <w:tc>
          <w:tcPr>
            <w:tcW w:w="822" w:type="dxa"/>
            <w:vAlign w:val="center"/>
          </w:tcPr>
          <w:p>
            <w:pPr>
              <w:snapToGrid w:val="0"/>
              <w:spacing w:line="300" w:lineRule="auto"/>
              <w:jc w:val="center"/>
              <w:rPr>
                <w:sz w:val="18"/>
                <w:szCs w:val="18"/>
              </w:rPr>
            </w:pPr>
            <w:r>
              <w:rPr>
                <w:sz w:val="18"/>
                <w:szCs w:val="18"/>
              </w:rPr>
              <w:t>1</w:t>
            </w:r>
            <w:r>
              <w:rPr>
                <w:rFonts w:hint="eastAsia"/>
                <w:sz w:val="18"/>
                <w:szCs w:val="18"/>
              </w:rPr>
              <w:t>、2、</w:t>
            </w:r>
          </w:p>
          <w:p>
            <w:pPr>
              <w:snapToGrid w:val="0"/>
              <w:spacing w:line="300" w:lineRule="auto"/>
              <w:rPr>
                <w:sz w:val="18"/>
                <w:szCs w:val="18"/>
              </w:rPr>
            </w:pPr>
            <w:r>
              <w:rPr>
                <w:rFonts w:hint="eastAsia"/>
                <w:sz w:val="18"/>
                <w:szCs w:val="18"/>
              </w:rPr>
              <w:t>3、4</w:t>
            </w:r>
          </w:p>
        </w:tc>
        <w:tc>
          <w:tcPr>
            <w:tcW w:w="709" w:type="dxa"/>
            <w:vAlign w:val="center"/>
          </w:tcPr>
          <w:p>
            <w:pPr>
              <w:snapToGrid w:val="0"/>
              <w:spacing w:line="300" w:lineRule="auto"/>
              <w:jc w:val="center"/>
              <w:rPr>
                <w:sz w:val="18"/>
                <w:szCs w:val="18"/>
              </w:rPr>
            </w:pPr>
            <w:r>
              <w:rPr>
                <w:sz w:val="18"/>
                <w:szCs w:val="18"/>
              </w:rPr>
              <w:t>3.1</w:t>
            </w:r>
          </w:p>
          <w:p>
            <w:pPr>
              <w:snapToGrid w:val="0"/>
              <w:spacing w:line="300" w:lineRule="auto"/>
              <w:jc w:val="center"/>
              <w:rPr>
                <w:sz w:val="18"/>
                <w:szCs w:val="18"/>
              </w:rPr>
            </w:pPr>
            <w:r>
              <w:rPr>
                <w:rFonts w:hint="eastAsia"/>
                <w:sz w:val="18"/>
                <w:szCs w:val="18"/>
              </w:rPr>
              <w:t>4</w:t>
            </w:r>
            <w:r>
              <w:rPr>
                <w:sz w:val="18"/>
                <w:szCs w:val="18"/>
              </w:rPr>
              <w:t>.1</w:t>
            </w:r>
          </w:p>
          <w:p>
            <w:pPr>
              <w:snapToGrid w:val="0"/>
              <w:spacing w:line="300" w:lineRule="auto"/>
              <w:jc w:val="center"/>
              <w:rPr>
                <w:sz w:val="18"/>
                <w:szCs w:val="18"/>
              </w:rPr>
            </w:pPr>
            <w:r>
              <w:rPr>
                <w:rFonts w:hint="eastAsia"/>
                <w:sz w:val="18"/>
                <w:szCs w:val="18"/>
              </w:rPr>
              <w:t>5</w:t>
            </w:r>
            <w:r>
              <w:rPr>
                <w:sz w:val="18"/>
                <w:szCs w:val="18"/>
              </w:rPr>
              <w:t>.2</w:t>
            </w:r>
          </w:p>
          <w:p>
            <w:pPr>
              <w:snapToGrid w:val="0"/>
              <w:spacing w:line="300" w:lineRule="auto"/>
              <w:jc w:val="center"/>
              <w:rPr>
                <w:sz w:val="18"/>
                <w:szCs w:val="18"/>
              </w:rPr>
            </w:pPr>
            <w:r>
              <w:rPr>
                <w:rFonts w:hint="eastAsia"/>
                <w:sz w:val="18"/>
                <w:szCs w:val="18"/>
              </w:rPr>
              <w:t>7</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48" w:type="dxa"/>
            <w:vMerge w:val="continue"/>
            <w:vAlign w:val="center"/>
          </w:tcPr>
          <w:p>
            <w:pPr>
              <w:snapToGrid w:val="0"/>
              <w:spacing w:line="300" w:lineRule="auto"/>
              <w:rPr>
                <w:sz w:val="18"/>
                <w:szCs w:val="18"/>
              </w:rPr>
            </w:pPr>
          </w:p>
        </w:tc>
        <w:tc>
          <w:tcPr>
            <w:tcW w:w="603" w:type="dxa"/>
            <w:vMerge w:val="continue"/>
            <w:vAlign w:val="center"/>
          </w:tcPr>
          <w:p>
            <w:pPr>
              <w:snapToGrid w:val="0"/>
              <w:spacing w:line="300" w:lineRule="auto"/>
              <w:jc w:val="center"/>
              <w:rPr>
                <w:sz w:val="18"/>
                <w:szCs w:val="18"/>
              </w:rPr>
            </w:pPr>
          </w:p>
        </w:tc>
        <w:tc>
          <w:tcPr>
            <w:tcW w:w="567" w:type="dxa"/>
            <w:vMerge w:val="continue"/>
            <w:vAlign w:val="center"/>
          </w:tcPr>
          <w:p>
            <w:pPr>
              <w:snapToGrid w:val="0"/>
              <w:spacing w:line="300" w:lineRule="auto"/>
              <w:jc w:val="center"/>
              <w:rPr>
                <w:sz w:val="18"/>
                <w:szCs w:val="18"/>
              </w:rPr>
            </w:pPr>
          </w:p>
        </w:tc>
        <w:tc>
          <w:tcPr>
            <w:tcW w:w="709" w:type="dxa"/>
            <w:vAlign w:val="center"/>
          </w:tcPr>
          <w:p>
            <w:pPr>
              <w:snapToGrid w:val="0"/>
              <w:spacing w:line="300" w:lineRule="auto"/>
              <w:jc w:val="center"/>
              <w:rPr>
                <w:sz w:val="18"/>
                <w:szCs w:val="18"/>
              </w:rPr>
            </w:pPr>
            <w:r>
              <w:rPr>
                <w:sz w:val="18"/>
                <w:szCs w:val="18"/>
              </w:rPr>
              <w:t>作业</w:t>
            </w:r>
          </w:p>
        </w:tc>
        <w:tc>
          <w:tcPr>
            <w:tcW w:w="567" w:type="dxa"/>
            <w:vAlign w:val="center"/>
          </w:tcPr>
          <w:p>
            <w:pPr>
              <w:snapToGrid w:val="0"/>
              <w:spacing w:line="300" w:lineRule="auto"/>
              <w:jc w:val="center"/>
              <w:rPr>
                <w:sz w:val="18"/>
                <w:szCs w:val="18"/>
              </w:rPr>
            </w:pPr>
            <w:r>
              <w:rPr>
                <w:sz w:val="18"/>
                <w:szCs w:val="18"/>
              </w:rPr>
              <w:t>0.1</w:t>
            </w:r>
          </w:p>
        </w:tc>
        <w:tc>
          <w:tcPr>
            <w:tcW w:w="3322" w:type="dxa"/>
          </w:tcPr>
          <w:p>
            <w:pPr>
              <w:snapToGrid w:val="0"/>
              <w:spacing w:line="300" w:lineRule="auto"/>
              <w:jc w:val="left"/>
              <w:rPr>
                <w:sz w:val="18"/>
                <w:szCs w:val="18"/>
              </w:rPr>
            </w:pPr>
            <w:r>
              <w:rPr>
                <w:rFonts w:hint="eastAsia"/>
              </w:rPr>
              <w:t>根据学生的作业完成情况（满分1</w:t>
            </w:r>
            <w:r>
              <w:t>00</w:t>
            </w:r>
            <w:r>
              <w:rPr>
                <w:rFonts w:hint="eastAsia"/>
              </w:rPr>
              <w:t>分），按</w:t>
            </w:r>
            <w:r>
              <w:t>5%计入课程总成绩</w:t>
            </w:r>
            <w:r>
              <w:rPr>
                <w:rFonts w:hint="eastAsia"/>
              </w:rPr>
              <w:t>/布置1次课后作业，按五级制评分。评分结果换算成百分制后，按5</w:t>
            </w:r>
            <w:r>
              <w:t>%</w:t>
            </w:r>
            <w:r>
              <w:rPr>
                <w:rFonts w:hint="eastAsia"/>
              </w:rPr>
              <w:t>比例计入课程总成绩。</w:t>
            </w:r>
          </w:p>
        </w:tc>
        <w:tc>
          <w:tcPr>
            <w:tcW w:w="822" w:type="dxa"/>
            <w:vAlign w:val="center"/>
          </w:tcPr>
          <w:p>
            <w:pPr>
              <w:snapToGrid w:val="0"/>
              <w:spacing w:line="300" w:lineRule="auto"/>
              <w:jc w:val="center"/>
              <w:rPr>
                <w:sz w:val="18"/>
                <w:szCs w:val="18"/>
              </w:rPr>
            </w:pPr>
            <w:r>
              <w:rPr>
                <w:sz w:val="18"/>
                <w:szCs w:val="18"/>
              </w:rPr>
              <w:t>3</w:t>
            </w:r>
          </w:p>
        </w:tc>
        <w:tc>
          <w:tcPr>
            <w:tcW w:w="709" w:type="dxa"/>
            <w:vAlign w:val="center"/>
          </w:tcPr>
          <w:p>
            <w:pPr>
              <w:snapToGrid w:val="0"/>
              <w:spacing w:line="300" w:lineRule="auto"/>
              <w:jc w:val="center"/>
              <w:rPr>
                <w:sz w:val="18"/>
                <w:szCs w:val="18"/>
              </w:rPr>
            </w:pPr>
            <w:r>
              <w:rPr>
                <w:rFonts w:hint="eastAsia"/>
                <w:sz w:val="18"/>
                <w:szCs w:val="18"/>
              </w:rPr>
              <w:t>5</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48" w:type="dxa"/>
            <w:vMerge w:val="continue"/>
            <w:vAlign w:val="center"/>
          </w:tcPr>
          <w:p>
            <w:pPr>
              <w:snapToGrid w:val="0"/>
              <w:spacing w:line="300" w:lineRule="auto"/>
              <w:rPr>
                <w:sz w:val="18"/>
                <w:szCs w:val="18"/>
              </w:rPr>
            </w:pPr>
          </w:p>
        </w:tc>
        <w:tc>
          <w:tcPr>
            <w:tcW w:w="603" w:type="dxa"/>
            <w:vMerge w:val="continue"/>
            <w:vAlign w:val="center"/>
          </w:tcPr>
          <w:p>
            <w:pPr>
              <w:snapToGrid w:val="0"/>
              <w:spacing w:line="300" w:lineRule="auto"/>
              <w:jc w:val="center"/>
              <w:rPr>
                <w:sz w:val="18"/>
                <w:szCs w:val="18"/>
              </w:rPr>
            </w:pPr>
          </w:p>
        </w:tc>
        <w:tc>
          <w:tcPr>
            <w:tcW w:w="567" w:type="dxa"/>
            <w:vMerge w:val="continue"/>
            <w:vAlign w:val="center"/>
          </w:tcPr>
          <w:p>
            <w:pPr>
              <w:snapToGrid w:val="0"/>
              <w:spacing w:line="300" w:lineRule="auto"/>
              <w:jc w:val="center"/>
              <w:rPr>
                <w:sz w:val="18"/>
                <w:szCs w:val="18"/>
              </w:rPr>
            </w:pPr>
          </w:p>
        </w:tc>
        <w:tc>
          <w:tcPr>
            <w:tcW w:w="709" w:type="dxa"/>
            <w:vAlign w:val="center"/>
          </w:tcPr>
          <w:p>
            <w:pPr>
              <w:snapToGrid w:val="0"/>
              <w:spacing w:line="300" w:lineRule="auto"/>
              <w:jc w:val="center"/>
              <w:rPr>
                <w:sz w:val="18"/>
                <w:szCs w:val="18"/>
              </w:rPr>
            </w:pPr>
            <w:r>
              <w:rPr>
                <w:rFonts w:hint="eastAsia"/>
                <w:sz w:val="18"/>
                <w:szCs w:val="18"/>
              </w:rPr>
              <w:t>实验</w:t>
            </w:r>
          </w:p>
        </w:tc>
        <w:tc>
          <w:tcPr>
            <w:tcW w:w="567" w:type="dxa"/>
            <w:vAlign w:val="center"/>
          </w:tcPr>
          <w:p>
            <w:pPr>
              <w:snapToGrid w:val="0"/>
              <w:spacing w:line="300" w:lineRule="auto"/>
              <w:jc w:val="center"/>
              <w:rPr>
                <w:sz w:val="18"/>
                <w:szCs w:val="18"/>
              </w:rPr>
            </w:pPr>
            <w:r>
              <w:rPr>
                <w:sz w:val="18"/>
                <w:szCs w:val="18"/>
              </w:rPr>
              <w:t>0.8</w:t>
            </w:r>
          </w:p>
        </w:tc>
        <w:tc>
          <w:tcPr>
            <w:tcW w:w="3322" w:type="dxa"/>
          </w:tcPr>
          <w:p>
            <w:pPr>
              <w:snapToGrid w:val="0"/>
              <w:spacing w:line="300" w:lineRule="auto"/>
              <w:jc w:val="left"/>
              <w:rPr>
                <w:sz w:val="18"/>
                <w:szCs w:val="18"/>
              </w:rPr>
            </w:pPr>
            <w:r>
              <w:rPr>
                <w:rFonts w:hint="eastAsia"/>
              </w:rPr>
              <w:t>依据学生项目设计实例</w:t>
            </w:r>
            <w:r>
              <w:t>2</w:t>
            </w:r>
            <w:r>
              <w:rPr>
                <w:rFonts w:hint="eastAsia"/>
              </w:rPr>
              <w:t>进行考核给出成绩（满分1</w:t>
            </w:r>
            <w:r>
              <w:t>00</w:t>
            </w:r>
            <w:r>
              <w:rPr>
                <w:rFonts w:hint="eastAsia"/>
              </w:rPr>
              <w:t>分），然后按4</w:t>
            </w:r>
            <w:r>
              <w:t>0%</w:t>
            </w:r>
            <w:r>
              <w:rPr>
                <w:rFonts w:hint="eastAsia"/>
              </w:rPr>
              <w:t>计入课程总成绩</w:t>
            </w:r>
            <w:r>
              <w:t>/</w:t>
            </w:r>
            <w:r>
              <w:rPr>
                <w:rFonts w:hint="eastAsia"/>
              </w:rPr>
              <w:t>将项目设计实例分为需求分析与总体方案设计、原理图设计、PCB设计、实物制作质量评价4个阶段，分阶段考核，给出成绩。</w:t>
            </w:r>
          </w:p>
        </w:tc>
        <w:tc>
          <w:tcPr>
            <w:tcW w:w="822" w:type="dxa"/>
            <w:vAlign w:val="center"/>
          </w:tcPr>
          <w:p>
            <w:pPr>
              <w:snapToGrid w:val="0"/>
              <w:spacing w:line="300" w:lineRule="auto"/>
              <w:jc w:val="center"/>
              <w:rPr>
                <w:sz w:val="18"/>
                <w:szCs w:val="18"/>
              </w:rPr>
            </w:pPr>
            <w:r>
              <w:rPr>
                <w:sz w:val="18"/>
                <w:szCs w:val="18"/>
              </w:rPr>
              <w:t>1，2</w:t>
            </w:r>
          </w:p>
        </w:tc>
        <w:tc>
          <w:tcPr>
            <w:tcW w:w="709" w:type="dxa"/>
            <w:vAlign w:val="center"/>
          </w:tcPr>
          <w:p>
            <w:pPr>
              <w:snapToGrid w:val="0"/>
              <w:spacing w:line="300" w:lineRule="auto"/>
              <w:jc w:val="center"/>
              <w:rPr>
                <w:sz w:val="18"/>
                <w:szCs w:val="18"/>
              </w:rPr>
            </w:pPr>
            <w:r>
              <w:rPr>
                <w:sz w:val="18"/>
                <w:szCs w:val="18"/>
              </w:rPr>
              <w:t>3.1</w:t>
            </w:r>
          </w:p>
          <w:p>
            <w:pPr>
              <w:snapToGrid w:val="0"/>
              <w:spacing w:line="300" w:lineRule="auto"/>
              <w:jc w:val="center"/>
              <w:rPr>
                <w:sz w:val="18"/>
                <w:szCs w:val="18"/>
              </w:rPr>
            </w:pPr>
            <w:r>
              <w:rPr>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48" w:type="dxa"/>
            <w:vAlign w:val="center"/>
          </w:tcPr>
          <w:p>
            <w:pPr>
              <w:snapToGrid w:val="0"/>
              <w:spacing w:line="300" w:lineRule="auto"/>
              <w:jc w:val="left"/>
              <w:rPr>
                <w:sz w:val="18"/>
                <w:szCs w:val="18"/>
              </w:rPr>
            </w:pPr>
            <w:r>
              <w:rPr>
                <w:sz w:val="18"/>
                <w:szCs w:val="18"/>
              </w:rPr>
              <w:t>期末考试成绩</w:t>
            </w:r>
          </w:p>
        </w:tc>
        <w:tc>
          <w:tcPr>
            <w:tcW w:w="603" w:type="dxa"/>
            <w:vAlign w:val="center"/>
          </w:tcPr>
          <w:p>
            <w:pPr>
              <w:snapToGrid w:val="0"/>
              <w:spacing w:line="300" w:lineRule="auto"/>
              <w:jc w:val="center"/>
              <w:rPr>
                <w:sz w:val="18"/>
                <w:szCs w:val="18"/>
              </w:rPr>
            </w:pPr>
            <w:r>
              <w:rPr>
                <w:sz w:val="18"/>
                <w:szCs w:val="18"/>
              </w:rPr>
              <w:t>100</w:t>
            </w:r>
          </w:p>
        </w:tc>
        <w:tc>
          <w:tcPr>
            <w:tcW w:w="567" w:type="dxa"/>
            <w:vAlign w:val="center"/>
          </w:tcPr>
          <w:p>
            <w:pPr>
              <w:snapToGrid w:val="0"/>
              <w:spacing w:line="300" w:lineRule="auto"/>
              <w:jc w:val="center"/>
              <w:rPr>
                <w:sz w:val="18"/>
                <w:szCs w:val="18"/>
              </w:rPr>
            </w:pPr>
            <w:r>
              <w:rPr>
                <w:sz w:val="18"/>
                <w:szCs w:val="18"/>
              </w:rPr>
              <w:t>0.5</w:t>
            </w:r>
          </w:p>
        </w:tc>
        <w:tc>
          <w:tcPr>
            <w:tcW w:w="709" w:type="dxa"/>
            <w:vAlign w:val="center"/>
          </w:tcPr>
          <w:p>
            <w:pPr>
              <w:snapToGrid w:val="0"/>
              <w:spacing w:line="300" w:lineRule="auto"/>
              <w:jc w:val="left"/>
              <w:rPr>
                <w:sz w:val="18"/>
                <w:szCs w:val="18"/>
              </w:rPr>
            </w:pPr>
            <w:r>
              <w:rPr>
                <w:sz w:val="18"/>
                <w:szCs w:val="18"/>
              </w:rPr>
              <w:t>上机考试</w:t>
            </w:r>
          </w:p>
        </w:tc>
        <w:tc>
          <w:tcPr>
            <w:tcW w:w="567" w:type="dxa"/>
            <w:vAlign w:val="center"/>
          </w:tcPr>
          <w:p>
            <w:pPr>
              <w:snapToGrid w:val="0"/>
              <w:spacing w:line="300" w:lineRule="auto"/>
              <w:jc w:val="center"/>
              <w:rPr>
                <w:sz w:val="18"/>
                <w:szCs w:val="18"/>
              </w:rPr>
            </w:pPr>
            <w:r>
              <w:rPr>
                <w:sz w:val="18"/>
                <w:szCs w:val="18"/>
              </w:rPr>
              <w:t>1</w:t>
            </w:r>
          </w:p>
        </w:tc>
        <w:tc>
          <w:tcPr>
            <w:tcW w:w="3322" w:type="dxa"/>
          </w:tcPr>
          <w:p>
            <w:pPr>
              <w:snapToGrid w:val="0"/>
              <w:spacing w:line="300" w:lineRule="auto"/>
              <w:rPr>
                <w:sz w:val="18"/>
                <w:szCs w:val="18"/>
              </w:rPr>
            </w:pPr>
            <w:r>
              <w:rPr>
                <w:rFonts w:hint="eastAsia"/>
              </w:rPr>
              <w:t>根据考试成绩（满分1</w:t>
            </w:r>
            <w:r>
              <w:t>00</w:t>
            </w:r>
            <w:r>
              <w:rPr>
                <w:rFonts w:hint="eastAsia"/>
              </w:rPr>
              <w:t>分），按5</w:t>
            </w:r>
            <w:r>
              <w:t>0%</w:t>
            </w:r>
            <w:r>
              <w:rPr>
                <w:rFonts w:hint="eastAsia"/>
              </w:rPr>
              <w:t>计入课程总成绩/依据平均标准，对每题进行评分，得出百分制总分。</w:t>
            </w:r>
          </w:p>
        </w:tc>
        <w:tc>
          <w:tcPr>
            <w:tcW w:w="822" w:type="dxa"/>
            <w:vAlign w:val="center"/>
          </w:tcPr>
          <w:p>
            <w:pPr>
              <w:snapToGrid w:val="0"/>
              <w:spacing w:line="300" w:lineRule="auto"/>
              <w:jc w:val="center"/>
              <w:rPr>
                <w:sz w:val="18"/>
                <w:szCs w:val="18"/>
              </w:rPr>
            </w:pPr>
            <w:r>
              <w:rPr>
                <w:sz w:val="18"/>
                <w:szCs w:val="18"/>
              </w:rPr>
              <w:t>1</w:t>
            </w:r>
            <w:r>
              <w:rPr>
                <w:rFonts w:hint="eastAsia"/>
                <w:sz w:val="18"/>
                <w:szCs w:val="18"/>
              </w:rPr>
              <w:t>、</w:t>
            </w:r>
            <w:r>
              <w:rPr>
                <w:sz w:val="18"/>
                <w:szCs w:val="18"/>
              </w:rPr>
              <w:t>2</w:t>
            </w:r>
          </w:p>
        </w:tc>
        <w:tc>
          <w:tcPr>
            <w:tcW w:w="709" w:type="dxa"/>
            <w:vAlign w:val="center"/>
          </w:tcPr>
          <w:p>
            <w:pPr>
              <w:snapToGrid w:val="0"/>
              <w:spacing w:line="300" w:lineRule="auto"/>
              <w:jc w:val="center"/>
              <w:rPr>
                <w:sz w:val="18"/>
                <w:szCs w:val="18"/>
              </w:rPr>
            </w:pPr>
            <w:r>
              <w:rPr>
                <w:sz w:val="18"/>
                <w:szCs w:val="18"/>
              </w:rPr>
              <w:t>3.1</w:t>
            </w:r>
          </w:p>
          <w:p>
            <w:pPr>
              <w:snapToGrid w:val="0"/>
              <w:spacing w:line="300" w:lineRule="auto"/>
              <w:jc w:val="center"/>
              <w:rPr>
                <w:sz w:val="18"/>
                <w:szCs w:val="18"/>
              </w:rPr>
            </w:pPr>
            <w:r>
              <w:rPr>
                <w:rFonts w:hint="eastAsia"/>
                <w:sz w:val="18"/>
                <w:szCs w:val="18"/>
              </w:rPr>
              <w:t>4</w:t>
            </w:r>
            <w:r>
              <w:rPr>
                <w:sz w:val="18"/>
                <w:szCs w:val="18"/>
              </w:rPr>
              <w:t>.1</w:t>
            </w:r>
          </w:p>
        </w:tc>
      </w:tr>
    </w:tbl>
    <w:p>
      <w:pPr>
        <w:snapToGrid w:val="0"/>
        <w:spacing w:before="156" w:before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t>．</w:t>
      </w:r>
      <w:r>
        <w:rPr>
          <w:rFonts w:hint="eastAsia"/>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rFonts w:hint="eastAsia"/>
          <w:position w:val="-16"/>
        </w:rPr>
        <w:object>
          <v:shape id="_x0000_i1110"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10" DrawAspect="Content" ObjectID="_1468075807" r:id="rId122">
            <o:LockedField>false</o:LockedField>
          </o:OLEObject>
        </w:object>
      </w:r>
    </w:p>
    <w:p>
      <w:pPr>
        <w:snapToGrid w:val="0"/>
        <w:spacing w:line="300" w:lineRule="auto"/>
        <w:ind w:firstLine="420" w:firstLineChars="200"/>
      </w:pPr>
      <w:r>
        <w:t>课程总目标达成情况为4个课程目标的加权得分率，其计算公式为：</w:t>
      </w:r>
    </w:p>
    <w:p>
      <w:pPr>
        <w:snapToGrid w:val="0"/>
        <w:spacing w:line="300" w:lineRule="auto"/>
        <w:jc w:val="center"/>
      </w:pPr>
      <w:r>
        <w:t xml:space="preserve"> </w:t>
      </w:r>
      <w:r>
        <w:rPr>
          <w:rFonts w:hint="eastAsia"/>
          <w:position w:val="-10"/>
        </w:rPr>
        <w:object>
          <v:shape id="_x0000_i1111" o:spt="75" type="#_x0000_t75" style="height:24pt;width:246.75pt;" o:ole="t" filled="f" o:preferrelative="t" stroked="f" coordsize="21600,21600">
            <v:path/>
            <v:fill on="f" focussize="0,0"/>
            <v:stroke on="f" joinstyle="miter"/>
            <v:imagedata r:id="rId59" o:title=""/>
            <o:lock v:ext="edit" aspectratio="t"/>
            <w10:wrap type="none"/>
            <w10:anchorlock/>
          </v:shape>
          <o:OLEObject Type="Embed" ProgID="Equation.DSMT4" ShapeID="_x0000_i1111" DrawAspect="Content" ObjectID="_1468075808" r:id="rId123">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7"/>
        <w:gridCol w:w="1584"/>
        <w:gridCol w:w="1877"/>
        <w:gridCol w:w="1859"/>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497" w:type="dxa"/>
            <w:vAlign w:val="center"/>
          </w:tcPr>
          <w:p>
            <w:pPr>
              <w:snapToGrid w:val="0"/>
              <w:spacing w:line="300" w:lineRule="auto"/>
              <w:jc w:val="center"/>
              <w:rPr>
                <w:b/>
                <w:bCs/>
                <w:sz w:val="18"/>
                <w:szCs w:val="18"/>
              </w:rPr>
            </w:pPr>
            <w:r>
              <w:rPr>
                <w:b/>
                <w:bCs/>
                <w:sz w:val="18"/>
                <w:szCs w:val="18"/>
              </w:rPr>
              <w:t>课程目标</w:t>
            </w:r>
          </w:p>
        </w:tc>
        <w:tc>
          <w:tcPr>
            <w:tcW w:w="1584" w:type="dxa"/>
            <w:vAlign w:val="center"/>
          </w:tcPr>
          <w:p>
            <w:pPr>
              <w:snapToGrid w:val="0"/>
              <w:spacing w:line="300" w:lineRule="auto"/>
              <w:jc w:val="center"/>
              <w:rPr>
                <w:sz w:val="18"/>
                <w:szCs w:val="18"/>
              </w:rPr>
            </w:pPr>
            <w:r>
              <w:rPr>
                <w:sz w:val="18"/>
                <w:szCs w:val="18"/>
              </w:rPr>
              <w:t>1</w:t>
            </w:r>
          </w:p>
        </w:tc>
        <w:tc>
          <w:tcPr>
            <w:tcW w:w="1877" w:type="dxa"/>
            <w:vAlign w:val="center"/>
          </w:tcPr>
          <w:p>
            <w:pPr>
              <w:snapToGrid w:val="0"/>
              <w:spacing w:line="300" w:lineRule="auto"/>
              <w:jc w:val="center"/>
              <w:rPr>
                <w:sz w:val="18"/>
                <w:szCs w:val="18"/>
              </w:rPr>
            </w:pPr>
            <w:r>
              <w:rPr>
                <w:sz w:val="18"/>
                <w:szCs w:val="18"/>
              </w:rPr>
              <w:t>2</w:t>
            </w:r>
          </w:p>
        </w:tc>
        <w:tc>
          <w:tcPr>
            <w:tcW w:w="1859" w:type="dxa"/>
            <w:vAlign w:val="center"/>
          </w:tcPr>
          <w:p>
            <w:pPr>
              <w:snapToGrid w:val="0"/>
              <w:spacing w:line="300" w:lineRule="auto"/>
              <w:jc w:val="center"/>
              <w:rPr>
                <w:sz w:val="18"/>
                <w:szCs w:val="18"/>
              </w:rPr>
            </w:pPr>
            <w:r>
              <w:rPr>
                <w:sz w:val="18"/>
                <w:szCs w:val="18"/>
              </w:rPr>
              <w:t>3</w:t>
            </w:r>
          </w:p>
        </w:tc>
        <w:tc>
          <w:tcPr>
            <w:tcW w:w="1861" w:type="dxa"/>
            <w:vAlign w:val="center"/>
          </w:tcPr>
          <w:p>
            <w:pPr>
              <w:snapToGrid w:val="0"/>
              <w:spacing w:line="300" w:lineRule="auto"/>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497" w:type="dxa"/>
            <w:vAlign w:val="center"/>
          </w:tcPr>
          <w:p>
            <w:pPr>
              <w:snapToGrid w:val="0"/>
              <w:spacing w:line="300" w:lineRule="auto"/>
              <w:jc w:val="center"/>
              <w:rPr>
                <w:b/>
                <w:bCs/>
                <w:sz w:val="18"/>
                <w:szCs w:val="18"/>
              </w:rPr>
            </w:pPr>
            <w:r>
              <w:rPr>
                <w:b/>
                <w:bCs/>
                <w:sz w:val="18"/>
                <w:szCs w:val="18"/>
              </w:rPr>
              <w:t>权重系数</w:t>
            </w:r>
          </w:p>
        </w:tc>
        <w:tc>
          <w:tcPr>
            <w:tcW w:w="1584" w:type="dxa"/>
            <w:vAlign w:val="center"/>
          </w:tcPr>
          <w:p>
            <w:pPr>
              <w:snapToGrid w:val="0"/>
              <w:spacing w:line="300" w:lineRule="auto"/>
              <w:jc w:val="center"/>
              <w:rPr>
                <w:sz w:val="18"/>
                <w:szCs w:val="18"/>
              </w:rPr>
            </w:pPr>
            <w:r>
              <w:rPr>
                <w:sz w:val="18"/>
                <w:szCs w:val="18"/>
              </w:rPr>
              <w:t>0.4</w:t>
            </w:r>
          </w:p>
        </w:tc>
        <w:tc>
          <w:tcPr>
            <w:tcW w:w="1877" w:type="dxa"/>
            <w:vAlign w:val="center"/>
          </w:tcPr>
          <w:p>
            <w:pPr>
              <w:snapToGrid w:val="0"/>
              <w:spacing w:line="300" w:lineRule="auto"/>
              <w:jc w:val="center"/>
              <w:rPr>
                <w:sz w:val="18"/>
                <w:szCs w:val="18"/>
              </w:rPr>
            </w:pPr>
            <w:r>
              <w:rPr>
                <w:sz w:val="18"/>
                <w:szCs w:val="18"/>
              </w:rPr>
              <w:t>0.4</w:t>
            </w:r>
          </w:p>
        </w:tc>
        <w:tc>
          <w:tcPr>
            <w:tcW w:w="1859" w:type="dxa"/>
            <w:vAlign w:val="center"/>
          </w:tcPr>
          <w:p>
            <w:pPr>
              <w:snapToGrid w:val="0"/>
              <w:spacing w:line="300" w:lineRule="auto"/>
              <w:jc w:val="center"/>
              <w:rPr>
                <w:sz w:val="18"/>
                <w:szCs w:val="18"/>
              </w:rPr>
            </w:pPr>
            <w:r>
              <w:rPr>
                <w:sz w:val="18"/>
                <w:szCs w:val="18"/>
              </w:rPr>
              <w:t>0.1</w:t>
            </w:r>
          </w:p>
        </w:tc>
        <w:tc>
          <w:tcPr>
            <w:tcW w:w="1861" w:type="dxa"/>
            <w:vAlign w:val="center"/>
          </w:tcPr>
          <w:p>
            <w:pPr>
              <w:snapToGrid w:val="0"/>
              <w:spacing w:line="300" w:lineRule="auto"/>
              <w:jc w:val="center"/>
              <w:rPr>
                <w:sz w:val="18"/>
                <w:szCs w:val="18"/>
              </w:rPr>
            </w:pPr>
            <w:r>
              <w:rPr>
                <w:sz w:val="18"/>
                <w:szCs w:val="18"/>
              </w:rPr>
              <w:t>0.1</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rFonts w:hint="eastAsia"/>
          <w:position w:val="-10"/>
        </w:rPr>
        <w:object>
          <v:shape id="_x0000_i1112" o:spt="75" type="#_x0000_t75" style="height:24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112" DrawAspect="Content" ObjectID="_1468075809" r:id="rId124">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46"/>
        </w:numPr>
        <w:snapToGrid w:val="0"/>
        <w:spacing w:line="300" w:lineRule="auto"/>
        <w:rPr>
          <w:rFonts w:ascii="Times New Roman" w:hAnsi="Times New Roman" w:eastAsia="宋体" w:cs="Times New Roman"/>
        </w:rPr>
      </w:pPr>
      <w:r>
        <w:rPr>
          <w:rFonts w:ascii="Times New Roman" w:hAnsi="Times New Roman" w:eastAsia="宋体" w:cs="Times New Roman"/>
          <w:szCs w:val="21"/>
        </w:rPr>
        <w:t>黄杰勇等.Altium Designer实战攻略与高速PCB设计[M].北京：电子工业出版社，2015。</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47"/>
        </w:numPr>
        <w:snapToGrid w:val="0"/>
        <w:spacing w:line="300" w:lineRule="auto"/>
        <w:rPr>
          <w:rFonts w:ascii="Times New Roman" w:hAnsi="Times New Roman" w:eastAsia="宋体" w:cs="Times New Roman"/>
        </w:rPr>
      </w:pPr>
      <w:r>
        <w:rPr>
          <w:rFonts w:ascii="Times New Roman" w:hAnsi="Times New Roman" w:eastAsia="宋体" w:cs="Times New Roman"/>
          <w:szCs w:val="21"/>
        </w:rPr>
        <w:t>王建农,王伟. Altium Designer 10入门与PCB设计实例[M].北京：国防工业出版社，2013。</w:t>
      </w:r>
    </w:p>
    <w:tbl>
      <w:tblPr>
        <w:tblStyle w:val="22"/>
        <w:tblpPr w:leftFromText="180" w:rightFromText="180" w:vertAnchor="text" w:horzAnchor="page" w:tblpX="1790" w:tblpY="39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55" w:hRule="atLeast"/>
        </w:trPr>
        <w:tc>
          <w:tcPr>
            <w:tcW w:w="8217" w:type="dxa"/>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tc>
      </w:tr>
    </w:tbl>
    <w:p>
      <w:pPr>
        <w:numPr>
          <w:ilvl w:val="0"/>
          <w:numId w:val="47"/>
        </w:numPr>
        <w:snapToGrid w:val="0"/>
        <w:spacing w:line="300" w:lineRule="auto"/>
      </w:pPr>
      <w:r>
        <w:rPr>
          <w:rFonts w:ascii="Times New Roman" w:hAnsi="Times New Roman" w:eastAsia="宋体" w:cs="Times New Roman"/>
          <w:szCs w:val="21"/>
        </w:rPr>
        <w:t>教学内容涉及的各芯片厂家网站上相关芯片说明书[OL]。</w:t>
      </w:r>
    </w:p>
    <w:bookmarkEnd w:id="131"/>
    <w:bookmarkEnd w:id="132"/>
    <w:bookmarkEnd w:id="133"/>
    <w:bookmarkEnd w:id="134"/>
    <w:bookmarkEnd w:id="135"/>
    <w:p>
      <w:pPr>
        <w:widowControl/>
        <w:jc w:val="left"/>
        <w:rPr>
          <w:rFonts w:ascii="Times New Roman" w:hAnsi="Times New Roman" w:cs="Times New Roman" w:eastAsiaTheme="majorEastAsia"/>
          <w:b/>
          <w:bCs/>
          <w:sz w:val="32"/>
          <w:szCs w:val="32"/>
        </w:rPr>
      </w:pPr>
      <w:bookmarkStart w:id="148" w:name="_Toc47718793"/>
      <w:bookmarkStart w:id="149" w:name="_Toc38126118"/>
      <w:bookmarkStart w:id="150" w:name="_Toc47774720"/>
      <w:bookmarkStart w:id="151" w:name="_Toc47719764"/>
      <w:bookmarkStart w:id="152" w:name="_Toc46489664"/>
      <w:r>
        <w:rPr>
          <w:rFonts w:ascii="Times New Roman" w:hAnsi="Times New Roman" w:cs="Times New Roman"/>
          <w:sz w:val="32"/>
          <w:szCs w:val="32"/>
        </w:rPr>
        <w:br w:type="page"/>
      </w:r>
    </w:p>
    <w:p>
      <w:pPr>
        <w:pStyle w:val="5"/>
        <w:spacing w:before="260" w:after="260" w:line="413" w:lineRule="auto"/>
        <w:jc w:val="center"/>
        <w:rPr>
          <w:rFonts w:ascii="Times New Roman" w:hAnsi="Times New Roman" w:cs="Times New Roman"/>
          <w:b w:val="0"/>
          <w:sz w:val="32"/>
          <w:szCs w:val="32"/>
        </w:rPr>
      </w:pPr>
      <w:bookmarkStart w:id="153" w:name="_Toc11135"/>
      <w:r>
        <w:rPr>
          <w:rFonts w:ascii="Times New Roman" w:hAnsi="Times New Roman" w:cs="Times New Roman"/>
          <w:sz w:val="32"/>
          <w:szCs w:val="32"/>
        </w:rPr>
        <w:t>33462001</w:t>
      </w:r>
      <w:r>
        <w:rPr>
          <w:rFonts w:hint="eastAsia" w:ascii="Times New Roman" w:hAnsi="Times New Roman" w:cs="Times New Roman"/>
          <w:sz w:val="32"/>
          <w:szCs w:val="32"/>
        </w:rPr>
        <w:t>《数字图像处理》课程教学大纲</w:t>
      </w:r>
      <w:bookmarkEnd w:id="153"/>
    </w:p>
    <w:tbl>
      <w:tblPr>
        <w:tblStyle w:val="22"/>
        <w:tblW w:w="8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6"/>
        <w:gridCol w:w="3285"/>
        <w:gridCol w:w="1143"/>
        <w:gridCol w:w="2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1286" w:type="dxa"/>
          </w:tcPr>
          <w:p>
            <w:pPr>
              <w:jc w:val="center"/>
              <w:rPr>
                <w:kern w:val="0"/>
                <w:szCs w:val="21"/>
              </w:rPr>
            </w:pPr>
            <w:r>
              <w:rPr>
                <w:kern w:val="0"/>
                <w:szCs w:val="21"/>
              </w:rPr>
              <w:t>课程编号</w:t>
            </w:r>
          </w:p>
        </w:tc>
        <w:tc>
          <w:tcPr>
            <w:tcW w:w="3285" w:type="dxa"/>
          </w:tcPr>
          <w:p>
            <w:pPr>
              <w:jc w:val="center"/>
              <w:rPr>
                <w:kern w:val="0"/>
                <w:szCs w:val="21"/>
              </w:rPr>
            </w:pPr>
            <w:r>
              <w:rPr>
                <w:bCs/>
                <w:kern w:val="0"/>
                <w:szCs w:val="21"/>
              </w:rPr>
              <w:t>33462001</w:t>
            </w:r>
          </w:p>
        </w:tc>
        <w:tc>
          <w:tcPr>
            <w:tcW w:w="1143" w:type="dxa"/>
          </w:tcPr>
          <w:p>
            <w:pPr>
              <w:jc w:val="center"/>
              <w:rPr>
                <w:kern w:val="0"/>
                <w:szCs w:val="21"/>
              </w:rPr>
            </w:pPr>
            <w:r>
              <w:rPr>
                <w:kern w:val="0"/>
                <w:szCs w:val="21"/>
              </w:rPr>
              <w:t>课程名称</w:t>
            </w:r>
          </w:p>
        </w:tc>
        <w:tc>
          <w:tcPr>
            <w:tcW w:w="2572" w:type="dxa"/>
          </w:tcPr>
          <w:p>
            <w:pPr>
              <w:jc w:val="center"/>
              <w:rPr>
                <w:kern w:val="0"/>
                <w:szCs w:val="21"/>
              </w:rPr>
            </w:pPr>
            <w:r>
              <w:rPr>
                <w:rFonts w:hint="eastAsia"/>
                <w:color w:val="333333"/>
                <w:szCs w:val="21"/>
                <w:shd w:val="clear" w:color="auto" w:fill="FEFEFF"/>
              </w:rPr>
              <w:t>数字图像处理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86" w:type="dxa"/>
          </w:tcPr>
          <w:p>
            <w:pPr>
              <w:jc w:val="center"/>
              <w:rPr>
                <w:kern w:val="0"/>
                <w:szCs w:val="21"/>
              </w:rPr>
            </w:pPr>
            <w:r>
              <w:rPr>
                <w:kern w:val="0"/>
                <w:szCs w:val="21"/>
              </w:rPr>
              <w:t>课程性质</w:t>
            </w:r>
            <w:r>
              <w:rPr>
                <w:kern w:val="0"/>
                <w:sz w:val="20"/>
                <w:szCs w:val="20"/>
              </w:rPr>
              <w:t>*</w:t>
            </w:r>
          </w:p>
        </w:tc>
        <w:tc>
          <w:tcPr>
            <w:tcW w:w="3285" w:type="dxa"/>
          </w:tcPr>
          <w:p>
            <w:pPr>
              <w:jc w:val="center"/>
              <w:rPr>
                <w:kern w:val="0"/>
                <w:szCs w:val="21"/>
              </w:rPr>
            </w:pPr>
            <w:r>
              <w:rPr>
                <w:rFonts w:hint="eastAsia"/>
                <w:szCs w:val="21"/>
              </w:rPr>
              <w:t>专业类</w:t>
            </w:r>
          </w:p>
        </w:tc>
        <w:tc>
          <w:tcPr>
            <w:tcW w:w="1143" w:type="dxa"/>
          </w:tcPr>
          <w:p>
            <w:pPr>
              <w:jc w:val="center"/>
              <w:rPr>
                <w:kern w:val="0"/>
                <w:szCs w:val="21"/>
              </w:rPr>
            </w:pPr>
            <w:r>
              <w:rPr>
                <w:kern w:val="0"/>
                <w:szCs w:val="21"/>
              </w:rPr>
              <w:t>英文名称</w:t>
            </w:r>
          </w:p>
        </w:tc>
        <w:tc>
          <w:tcPr>
            <w:tcW w:w="2572" w:type="dxa"/>
            <w:vAlign w:val="center"/>
          </w:tcPr>
          <w:p>
            <w:pPr>
              <w:jc w:val="center"/>
              <w:rPr>
                <w:bCs/>
                <w:kern w:val="0"/>
                <w:szCs w:val="21"/>
              </w:rPr>
            </w:pPr>
            <w:r>
              <w:rPr>
                <w:szCs w:val="21"/>
              </w:rPr>
              <w:t>Digital Image Processing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7" w:hRule="atLeast"/>
          <w:jc w:val="center"/>
        </w:trPr>
        <w:tc>
          <w:tcPr>
            <w:tcW w:w="1286" w:type="dxa"/>
          </w:tcPr>
          <w:p>
            <w:pPr>
              <w:jc w:val="center"/>
              <w:rPr>
                <w:kern w:val="0"/>
                <w:szCs w:val="21"/>
              </w:rPr>
            </w:pPr>
            <w:r>
              <w:rPr>
                <w:kern w:val="0"/>
                <w:szCs w:val="21"/>
              </w:rPr>
              <w:t>学分学时</w:t>
            </w:r>
          </w:p>
        </w:tc>
        <w:tc>
          <w:tcPr>
            <w:tcW w:w="3285" w:type="dxa"/>
          </w:tcPr>
          <w:p>
            <w:pPr>
              <w:jc w:val="center"/>
              <w:rPr>
                <w:kern w:val="0"/>
                <w:szCs w:val="21"/>
              </w:rPr>
            </w:pPr>
            <w:r>
              <w:rPr>
                <w:rFonts w:hint="eastAsia"/>
                <w:szCs w:val="21"/>
              </w:rPr>
              <w:t>2；32(</w:t>
            </w:r>
            <w:r>
              <w:rPr>
                <w:szCs w:val="21"/>
              </w:rPr>
              <w:t>12)</w:t>
            </w:r>
          </w:p>
        </w:tc>
        <w:tc>
          <w:tcPr>
            <w:tcW w:w="1143" w:type="dxa"/>
          </w:tcPr>
          <w:p>
            <w:pPr>
              <w:jc w:val="center"/>
              <w:rPr>
                <w:kern w:val="0"/>
                <w:szCs w:val="21"/>
                <w:highlight w:val="yellow"/>
              </w:rPr>
            </w:pPr>
            <w:r>
              <w:rPr>
                <w:kern w:val="0"/>
                <w:szCs w:val="21"/>
              </w:rPr>
              <w:t>任课教师</w:t>
            </w:r>
          </w:p>
        </w:tc>
        <w:tc>
          <w:tcPr>
            <w:tcW w:w="2572" w:type="dxa"/>
          </w:tcPr>
          <w:p>
            <w:pPr>
              <w:jc w:val="center"/>
              <w:rPr>
                <w:kern w:val="0"/>
                <w:szCs w:val="21"/>
              </w:rPr>
            </w:pPr>
            <w:r>
              <w:rPr>
                <w:rFonts w:hint="eastAsia"/>
                <w:kern w:val="0"/>
                <w:szCs w:val="21"/>
              </w:rPr>
              <w:t>李颖、郭晓云、邓锐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286" w:type="dxa"/>
          </w:tcPr>
          <w:p>
            <w:pPr>
              <w:jc w:val="center"/>
              <w:rPr>
                <w:bCs/>
                <w:kern w:val="0"/>
                <w:szCs w:val="21"/>
              </w:rPr>
            </w:pPr>
            <w:r>
              <w:rPr>
                <w:bCs/>
                <w:kern w:val="0"/>
                <w:szCs w:val="21"/>
              </w:rPr>
              <w:t>企业专家</w:t>
            </w:r>
          </w:p>
        </w:tc>
        <w:tc>
          <w:tcPr>
            <w:tcW w:w="3285" w:type="dxa"/>
          </w:tcPr>
          <w:p>
            <w:pPr>
              <w:widowControl/>
              <w:jc w:val="center"/>
              <w:rPr>
                <w:kern w:val="0"/>
                <w:szCs w:val="21"/>
              </w:rPr>
            </w:pPr>
            <w:r>
              <w:rPr>
                <w:kern w:val="0"/>
                <w:szCs w:val="21"/>
              </w:rPr>
              <w:t>曾耿</w:t>
            </w:r>
          </w:p>
        </w:tc>
        <w:tc>
          <w:tcPr>
            <w:tcW w:w="1143" w:type="dxa"/>
          </w:tcPr>
          <w:p>
            <w:pPr>
              <w:jc w:val="center"/>
              <w:rPr>
                <w:bCs/>
                <w:kern w:val="0"/>
                <w:szCs w:val="21"/>
              </w:rPr>
            </w:pPr>
            <w:r>
              <w:rPr>
                <w:bCs/>
                <w:kern w:val="0"/>
                <w:szCs w:val="21"/>
              </w:rPr>
              <w:t>行业专家</w:t>
            </w:r>
          </w:p>
        </w:tc>
        <w:tc>
          <w:tcPr>
            <w:tcW w:w="2572" w:type="dxa"/>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286" w:type="dxa"/>
          </w:tcPr>
          <w:p>
            <w:pPr>
              <w:widowControl/>
              <w:jc w:val="center"/>
              <w:rPr>
                <w:bCs/>
                <w:kern w:val="0"/>
                <w:szCs w:val="21"/>
              </w:rPr>
            </w:pPr>
            <w:r>
              <w:rPr>
                <w:bCs/>
                <w:kern w:val="0"/>
                <w:szCs w:val="21"/>
              </w:rPr>
              <w:t>执笔教师</w:t>
            </w:r>
          </w:p>
        </w:tc>
        <w:tc>
          <w:tcPr>
            <w:tcW w:w="3285" w:type="dxa"/>
          </w:tcPr>
          <w:p>
            <w:pPr>
              <w:widowControl/>
              <w:jc w:val="center"/>
              <w:rPr>
                <w:kern w:val="0"/>
                <w:szCs w:val="21"/>
              </w:rPr>
            </w:pPr>
            <w:r>
              <w:rPr>
                <w:rFonts w:hint="eastAsia"/>
                <w:kern w:val="0"/>
                <w:szCs w:val="21"/>
              </w:rPr>
              <w:t>李颖</w:t>
            </w:r>
          </w:p>
        </w:tc>
        <w:tc>
          <w:tcPr>
            <w:tcW w:w="1143" w:type="dxa"/>
          </w:tcPr>
          <w:p>
            <w:pPr>
              <w:widowControl/>
              <w:jc w:val="center"/>
              <w:rPr>
                <w:bCs/>
                <w:kern w:val="0"/>
                <w:szCs w:val="21"/>
              </w:rPr>
            </w:pPr>
            <w:r>
              <w:rPr>
                <w:bCs/>
                <w:kern w:val="0"/>
                <w:szCs w:val="21"/>
              </w:rPr>
              <w:t>责任教授</w:t>
            </w:r>
          </w:p>
        </w:tc>
        <w:tc>
          <w:tcPr>
            <w:tcW w:w="2572" w:type="dxa"/>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86" w:type="dxa"/>
            <w:tcBorders>
              <w:bottom w:val="single" w:color="auto" w:sz="4" w:space="0"/>
            </w:tcBorders>
          </w:tcPr>
          <w:p>
            <w:pPr>
              <w:widowControl/>
              <w:jc w:val="center"/>
              <w:rPr>
                <w:bCs/>
                <w:kern w:val="0"/>
                <w:szCs w:val="21"/>
              </w:rPr>
            </w:pPr>
            <w:r>
              <w:rPr>
                <w:bCs/>
                <w:kern w:val="0"/>
                <w:szCs w:val="21"/>
              </w:rPr>
              <w:t>适用专业</w:t>
            </w:r>
          </w:p>
        </w:tc>
        <w:tc>
          <w:tcPr>
            <w:tcW w:w="3285" w:type="dxa"/>
            <w:tcBorders>
              <w:bottom w:val="single" w:color="auto" w:sz="4" w:space="0"/>
            </w:tcBorders>
          </w:tcPr>
          <w:p>
            <w:pPr>
              <w:widowControl/>
              <w:jc w:val="center"/>
              <w:rPr>
                <w:kern w:val="0"/>
                <w:szCs w:val="21"/>
              </w:rPr>
            </w:pPr>
            <w:r>
              <w:rPr>
                <w:kern w:val="0"/>
                <w:szCs w:val="21"/>
              </w:rPr>
              <w:t>电子信息工程</w:t>
            </w:r>
          </w:p>
        </w:tc>
        <w:tc>
          <w:tcPr>
            <w:tcW w:w="1143" w:type="dxa"/>
            <w:tcBorders>
              <w:bottom w:val="single" w:color="auto" w:sz="4" w:space="0"/>
            </w:tcBorders>
          </w:tcPr>
          <w:p>
            <w:pPr>
              <w:widowControl/>
              <w:jc w:val="center"/>
              <w:rPr>
                <w:bCs/>
                <w:kern w:val="0"/>
                <w:szCs w:val="21"/>
              </w:rPr>
            </w:pPr>
            <w:r>
              <w:rPr>
                <w:bCs/>
                <w:kern w:val="0"/>
                <w:szCs w:val="21"/>
              </w:rPr>
              <w:t>适用对象</w:t>
            </w:r>
          </w:p>
        </w:tc>
        <w:tc>
          <w:tcPr>
            <w:tcW w:w="2572" w:type="dxa"/>
            <w:tcBorders>
              <w:bottom w:val="single" w:color="auto" w:sz="4" w:space="0"/>
            </w:tcBorders>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286" w:type="dxa"/>
            <w:tcBorders>
              <w:top w:val="single" w:color="auto" w:sz="4" w:space="0"/>
              <w:bottom w:val="single" w:color="auto" w:sz="4" w:space="0"/>
            </w:tcBorders>
          </w:tcPr>
          <w:p>
            <w:pPr>
              <w:jc w:val="center"/>
              <w:rPr>
                <w:b/>
                <w:kern w:val="0"/>
                <w:szCs w:val="21"/>
              </w:rPr>
            </w:pPr>
            <w:r>
              <w:rPr>
                <w:kern w:val="0"/>
                <w:szCs w:val="21"/>
              </w:rPr>
              <w:t>先修课程</w:t>
            </w:r>
          </w:p>
        </w:tc>
        <w:tc>
          <w:tcPr>
            <w:tcW w:w="3285" w:type="dxa"/>
            <w:tcBorders>
              <w:top w:val="single" w:color="auto" w:sz="4" w:space="0"/>
              <w:bottom w:val="single" w:color="auto" w:sz="4" w:space="0"/>
            </w:tcBorders>
            <w:vAlign w:val="center"/>
          </w:tcPr>
          <w:p>
            <w:pPr>
              <w:widowControl/>
              <w:jc w:val="center"/>
              <w:rPr>
                <w:bCs/>
                <w:kern w:val="0"/>
                <w:szCs w:val="21"/>
              </w:rPr>
            </w:pPr>
            <w:r>
              <w:rPr>
                <w:rFonts w:hint="eastAsia" w:ascii="宋体" w:hAnsi="宋体"/>
                <w:szCs w:val="21"/>
              </w:rPr>
              <w:t>工程数学、信息论与编码、信号与系统、数字信号处理</w:t>
            </w:r>
          </w:p>
        </w:tc>
        <w:tc>
          <w:tcPr>
            <w:tcW w:w="1143" w:type="dxa"/>
            <w:tcBorders>
              <w:top w:val="single" w:color="auto" w:sz="4" w:space="0"/>
              <w:bottom w:val="single" w:color="auto" w:sz="4" w:space="0"/>
            </w:tcBorders>
          </w:tcPr>
          <w:p>
            <w:pPr>
              <w:snapToGrid w:val="0"/>
              <w:spacing w:line="300" w:lineRule="auto"/>
              <w:jc w:val="center"/>
              <w:rPr>
                <w:b/>
                <w:kern w:val="0"/>
                <w:szCs w:val="21"/>
              </w:rPr>
            </w:pPr>
            <w:r>
              <w:rPr>
                <w:kern w:val="0"/>
                <w:szCs w:val="21"/>
              </w:rPr>
              <w:t>同修课程</w:t>
            </w:r>
          </w:p>
        </w:tc>
        <w:tc>
          <w:tcPr>
            <w:tcW w:w="2572" w:type="dxa"/>
            <w:tcBorders>
              <w:top w:val="single" w:color="auto" w:sz="4" w:space="0"/>
              <w:bottom w:val="single" w:color="auto" w:sz="4" w:space="0"/>
            </w:tcBorders>
          </w:tcPr>
          <w:p>
            <w:pPr>
              <w:widowControl/>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1286" w:type="dxa"/>
            <w:tcBorders>
              <w:top w:val="single" w:color="auto" w:sz="4" w:space="0"/>
            </w:tcBorders>
          </w:tcPr>
          <w:p>
            <w:pPr>
              <w:jc w:val="center"/>
              <w:rPr>
                <w:kern w:val="0"/>
                <w:szCs w:val="21"/>
              </w:rPr>
            </w:pPr>
            <w:r>
              <w:rPr>
                <w:kern w:val="0"/>
                <w:szCs w:val="21"/>
              </w:rPr>
              <w:t>排斥课程</w:t>
            </w:r>
          </w:p>
        </w:tc>
        <w:tc>
          <w:tcPr>
            <w:tcW w:w="3285" w:type="dxa"/>
            <w:tcBorders>
              <w:top w:val="single" w:color="auto" w:sz="4" w:space="0"/>
            </w:tcBorders>
          </w:tcPr>
          <w:p>
            <w:pPr>
              <w:widowControl/>
              <w:jc w:val="center"/>
              <w:rPr>
                <w:kern w:val="0"/>
                <w:szCs w:val="21"/>
              </w:rPr>
            </w:pPr>
            <w:r>
              <w:rPr>
                <w:kern w:val="0"/>
                <w:szCs w:val="21"/>
              </w:rPr>
              <w:t>无</w:t>
            </w:r>
          </w:p>
        </w:tc>
        <w:tc>
          <w:tcPr>
            <w:tcW w:w="1143" w:type="dxa"/>
            <w:tcBorders>
              <w:top w:val="single" w:color="auto" w:sz="4" w:space="0"/>
            </w:tcBorders>
          </w:tcPr>
          <w:p>
            <w:pPr>
              <w:snapToGrid w:val="0"/>
              <w:spacing w:line="300" w:lineRule="auto"/>
              <w:jc w:val="center"/>
              <w:rPr>
                <w:kern w:val="0"/>
                <w:szCs w:val="21"/>
              </w:rPr>
            </w:pPr>
            <w:r>
              <w:rPr>
                <w:kern w:val="0"/>
                <w:szCs w:val="21"/>
              </w:rPr>
              <w:t>定稿日期</w:t>
            </w:r>
          </w:p>
        </w:tc>
        <w:tc>
          <w:tcPr>
            <w:tcW w:w="2572" w:type="dxa"/>
            <w:tcBorders>
              <w:top w:val="single" w:color="auto" w:sz="4" w:space="0"/>
            </w:tcBorders>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rFonts w:hint="eastAsia"/>
          <w:szCs w:val="21"/>
        </w:rPr>
        <w:t>数字图像处理是电子信息工程专业的一门重要的技术专业课。本课程侧重于机器视觉中的预处理技术——数字图像的基本处理，主要包括图像变换、编码、增强、复原、重建，并介绍图像处理的一些前沿方向。</w:t>
      </w:r>
      <w:r>
        <w:rPr>
          <w:rFonts w:ascii="Tahoma" w:hAnsi="Tahoma" w:cs="Tahoma"/>
          <w:color w:val="000000"/>
          <w:szCs w:val="21"/>
        </w:rPr>
        <w:t>数字图像处理是一门理论方法和编程实践紧密结合的课程，</w:t>
      </w:r>
      <w:r>
        <w:rPr>
          <w:rFonts w:hint="eastAsia"/>
          <w:szCs w:val="21"/>
        </w:rPr>
        <w:t>具有很强的实用性，越来越多的领域（如人工智能、自动驾驶、互联网、智能交通、视频监控、安全检测、手机应用、军事和医疗等）都离不开图像处理的技术。</w:t>
      </w:r>
      <w:r>
        <w:rPr>
          <w:rFonts w:hint="eastAsia" w:ascii="Tahoma" w:hAnsi="Tahoma" w:cs="Tahoma"/>
          <w:color w:val="000000"/>
          <w:szCs w:val="21"/>
        </w:rPr>
        <w:t>开设该课程的目的是让学生通过本课程的学习，掌握有关数字图像处理的基本概念、方法、原理及应用，培养和增强学生创新意识和创新思维，提高实际动手能力和创新能力，</w:t>
      </w:r>
      <w:r>
        <w:rPr>
          <w:rFonts w:hint="eastAsia"/>
          <w:szCs w:val="21"/>
        </w:rPr>
        <w:t>为在计算机视觉、人工智能等领域从事研究与开发工作打下扎实的基础。</w:t>
      </w:r>
    </w:p>
    <w:p>
      <w:pPr>
        <w:snapToGrid w:val="0"/>
        <w:spacing w:before="156" w:beforeLines="50" w:after="156" w:afterLines="50" w:line="300" w:lineRule="auto"/>
        <w:rPr>
          <w:b/>
          <w:sz w:val="24"/>
        </w:rPr>
      </w:pPr>
      <w:r>
        <w:rPr>
          <w:b/>
          <w:sz w:val="24"/>
        </w:rPr>
        <w:t>二、课程教学目标</w:t>
      </w:r>
    </w:p>
    <w:p>
      <w:pPr>
        <w:widowControl/>
        <w:spacing w:line="360" w:lineRule="exact"/>
        <w:ind w:firstLine="420" w:firstLineChars="200"/>
        <w:jc w:val="left"/>
        <w:rPr>
          <w:rFonts w:hAnsi="宋体"/>
          <w:color w:val="000000"/>
          <w:kern w:val="0"/>
          <w:szCs w:val="21"/>
        </w:rPr>
      </w:pPr>
      <w:r>
        <w:rPr>
          <w:rFonts w:hint="eastAsia" w:hAnsi="宋体"/>
          <w:color w:val="000000"/>
          <w:kern w:val="0"/>
          <w:szCs w:val="21"/>
        </w:rPr>
        <w:t>本课程目标是使学生系统掌握数字图像处理的基本概念、基本原理，掌握数字图像处理系统的实现方法和实用技术</w:t>
      </w:r>
      <w:r>
        <w:rPr>
          <w:rFonts w:hint="eastAsia" w:hAnsi="宋体" w:eastAsia="MS Song"/>
          <w:color w:val="000000"/>
          <w:kern w:val="0"/>
          <w:szCs w:val="21"/>
        </w:rPr>
        <w:t>。要求学生通过该课程学习，</w:t>
      </w:r>
      <w:r>
        <w:rPr>
          <w:rFonts w:hint="eastAsia" w:hAnsi="宋体"/>
          <w:color w:val="000000"/>
          <w:kern w:val="0"/>
          <w:szCs w:val="21"/>
        </w:rPr>
        <w:t>具备数字图像处理和分析的基本能力，并培育学生创新精神，为在计算机视觉、人工智能等领域从事研究与开发打下基础。</w:t>
      </w:r>
    </w:p>
    <w:p>
      <w:pPr>
        <w:widowControl/>
        <w:spacing w:line="360" w:lineRule="exact"/>
        <w:ind w:firstLine="420" w:firstLineChars="200"/>
        <w:jc w:val="left"/>
        <w:rPr>
          <w:rFonts w:hAnsi="宋体"/>
          <w:color w:val="000000"/>
          <w:kern w:val="0"/>
          <w:szCs w:val="21"/>
        </w:rPr>
      </w:pPr>
      <w:r>
        <w:rPr>
          <w:rFonts w:hint="eastAsia" w:hAnsi="宋体"/>
          <w:color w:val="000000"/>
          <w:kern w:val="0"/>
          <w:szCs w:val="21"/>
        </w:rPr>
        <w:t>本课程的具体教学目标如下：</w:t>
      </w:r>
    </w:p>
    <w:p>
      <w:pPr>
        <w:widowControl/>
        <w:spacing w:line="360" w:lineRule="exact"/>
        <w:ind w:firstLine="420" w:firstLineChars="200"/>
        <w:jc w:val="left"/>
        <w:rPr>
          <w:rFonts w:hAnsi="宋体"/>
          <w:color w:val="FF0000"/>
          <w:kern w:val="0"/>
          <w:szCs w:val="21"/>
        </w:rPr>
      </w:pPr>
      <w:r>
        <w:rPr>
          <w:color w:val="000000"/>
          <w:kern w:val="0"/>
          <w:szCs w:val="21"/>
        </w:rPr>
        <w:t>1.</w:t>
      </w:r>
      <w:r>
        <w:rPr>
          <w:rFonts w:hint="eastAsia" w:ascii="等线 Light" w:hAnsi="等线 Light" w:eastAsia="等线 Light"/>
          <w:color w:val="333333"/>
          <w:szCs w:val="21"/>
          <w:shd w:val="clear" w:color="auto" w:fill="FEFEFF"/>
        </w:rPr>
        <w:t xml:space="preserve"> </w:t>
      </w:r>
      <w:r>
        <w:rPr>
          <w:rFonts w:hint="eastAsia"/>
          <w:color w:val="000000"/>
          <w:kern w:val="0"/>
          <w:szCs w:val="21"/>
        </w:rPr>
        <w:t>了解数字图像的特点、机器视觉图像获取方法、数字图像处理系统结构及各方法的作用，掌握数字图像的时频域的特征，建立数字图像处理的基本理念。掌握机器视觉预处理的各种原理和方法，包括图像增强、图像变换、图像编码和图像分割的基本原理和方法。理解图像处理技术的算法，并能熟练使用M</w:t>
      </w:r>
      <w:r>
        <w:rPr>
          <w:color w:val="000000"/>
          <w:kern w:val="0"/>
          <w:szCs w:val="21"/>
        </w:rPr>
        <w:t>ATLAB</w:t>
      </w:r>
      <w:r>
        <w:rPr>
          <w:rFonts w:hint="eastAsia"/>
          <w:color w:val="000000"/>
          <w:kern w:val="0"/>
          <w:szCs w:val="21"/>
        </w:rPr>
        <w:t>等软件对数字图像进行增强、变换、编码和分割等处理。[</w:t>
      </w:r>
      <w:r>
        <w:rPr>
          <w:color w:val="000000"/>
          <w:kern w:val="0"/>
          <w:szCs w:val="21"/>
        </w:rPr>
        <w:t>1</w:t>
      </w:r>
      <w:r>
        <w:rPr>
          <w:rFonts w:hint="eastAsia"/>
          <w:color w:val="000000"/>
          <w:kern w:val="0"/>
          <w:szCs w:val="21"/>
        </w:rPr>
        <w:t>.3</w:t>
      </w:r>
      <w:r>
        <w:rPr>
          <w:color w:val="000000"/>
          <w:kern w:val="0"/>
          <w:szCs w:val="21"/>
        </w:rPr>
        <w:t>]</w:t>
      </w:r>
    </w:p>
    <w:p>
      <w:pPr>
        <w:widowControl/>
        <w:spacing w:line="360" w:lineRule="exact"/>
        <w:ind w:firstLine="420" w:firstLineChars="200"/>
        <w:jc w:val="left"/>
        <w:rPr>
          <w:rFonts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掌握数字图像处理系统的设计方法和处理流程，具备数字图像综合处理及</w:t>
      </w:r>
      <w:r>
        <w:rPr>
          <w:rFonts w:ascii="宋体" w:hAnsi="宋体"/>
          <w:color w:val="000000" w:themeColor="text1"/>
          <w:kern w:val="0"/>
          <w:szCs w:val="21"/>
          <w14:textFill>
            <w14:solidFill>
              <w14:schemeClr w14:val="tx1"/>
            </w14:solidFill>
          </w14:textFill>
        </w:rPr>
        <w:t>方案设计</w:t>
      </w:r>
      <w:r>
        <w:rPr>
          <w:rFonts w:hint="eastAsia" w:ascii="宋体" w:hAnsi="宋体"/>
          <w:color w:val="000000" w:themeColor="text1"/>
          <w:kern w:val="0"/>
          <w:szCs w:val="21"/>
          <w14:textFill>
            <w14:solidFill>
              <w14:schemeClr w14:val="tx1"/>
            </w14:solidFill>
          </w14:textFill>
        </w:rPr>
        <w:t>技能，能在设计时体现创新意识，且方案或设计中能适当考虑社会、健康、安全、法律、文化及环境因素；能追踪最新技术，未来有能力进行计算机视觉、人工智能等领域的研究与开发。</w:t>
      </w:r>
      <w:r>
        <w:rPr>
          <w:rFonts w:hint="eastAsia" w:hAnsi="宋体"/>
          <w:color w:val="000000" w:themeColor="text1"/>
          <w:kern w:val="0"/>
          <w:szCs w:val="21"/>
          <w14:textFill>
            <w14:solidFill>
              <w14:schemeClr w14:val="tx1"/>
            </w14:solidFill>
          </w14:textFill>
        </w:rPr>
        <w:t>[3.2</w:t>
      </w:r>
      <w:r>
        <w:rPr>
          <w:rFonts w:hAnsi="宋体"/>
          <w:color w:val="000000" w:themeColor="text1"/>
          <w:kern w:val="0"/>
          <w:szCs w:val="21"/>
          <w14:textFill>
            <w14:solidFill>
              <w14:schemeClr w14:val="tx1"/>
            </w14:solidFill>
          </w14:textFill>
        </w:rPr>
        <w:t>]</w:t>
      </w:r>
      <w:r>
        <w:rPr>
          <w:rFonts w:hint="eastAsia" w:hAnsi="宋体"/>
          <w:color w:val="000000" w:themeColor="text1"/>
          <w:kern w:val="0"/>
          <w:szCs w:val="21"/>
          <w14:textFill>
            <w14:solidFill>
              <w14:schemeClr w14:val="tx1"/>
            </w14:solidFill>
          </w14:textFill>
        </w:rPr>
        <w:t xml:space="preserve"> [3.</w:t>
      </w:r>
      <w:r>
        <w:rPr>
          <w:rFonts w:hAnsi="宋体"/>
          <w:color w:val="000000" w:themeColor="text1"/>
          <w:kern w:val="0"/>
          <w:szCs w:val="21"/>
          <w14:textFill>
            <w14:solidFill>
              <w14:schemeClr w14:val="tx1"/>
            </w14:solidFill>
          </w14:textFill>
        </w:rPr>
        <w:t>3]</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7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587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40" w:type="dxa"/>
            <w:vAlign w:val="center"/>
          </w:tcPr>
          <w:p>
            <w:pPr>
              <w:snapToGrid w:val="0"/>
              <w:spacing w:line="300" w:lineRule="auto"/>
              <w:rPr>
                <w:b/>
                <w:bCs/>
                <w:color w:val="000000"/>
                <w:sz w:val="18"/>
                <w:szCs w:val="18"/>
              </w:rPr>
            </w:pPr>
            <w:r>
              <w:rPr>
                <w:b/>
                <w:bCs/>
                <w:color w:val="000000"/>
                <w:sz w:val="18"/>
                <w:szCs w:val="18"/>
              </w:rPr>
              <w:t>毕业要求</w:t>
            </w:r>
          </w:p>
        </w:tc>
        <w:tc>
          <w:tcPr>
            <w:tcW w:w="5870" w:type="dxa"/>
            <w:vAlign w:val="center"/>
          </w:tcPr>
          <w:p>
            <w:pPr>
              <w:snapToGrid w:val="0"/>
              <w:spacing w:line="300" w:lineRule="auto"/>
              <w:jc w:val="center"/>
              <w:rPr>
                <w:b/>
                <w:bCs/>
                <w:color w:val="000000"/>
                <w:sz w:val="18"/>
                <w:szCs w:val="18"/>
              </w:rPr>
            </w:pPr>
            <w:r>
              <w:rPr>
                <w:b/>
                <w:bCs/>
                <w:color w:val="000000"/>
                <w:sz w:val="18"/>
                <w:szCs w:val="18"/>
              </w:rPr>
              <w:t>毕业要求指标点</w:t>
            </w:r>
          </w:p>
        </w:tc>
        <w:tc>
          <w:tcPr>
            <w:tcW w:w="65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Align w:val="center"/>
          </w:tcPr>
          <w:p>
            <w:pPr>
              <w:snapToGrid w:val="0"/>
              <w:spacing w:line="300" w:lineRule="auto"/>
              <w:rPr>
                <w:rFonts w:ascii="宋体" w:hAnsi="宋体"/>
                <w:szCs w:val="21"/>
              </w:rPr>
            </w:pPr>
            <w:r>
              <w:rPr>
                <w:szCs w:val="21"/>
              </w:rPr>
              <w:t>1.</w:t>
            </w:r>
            <w:r>
              <w:rPr>
                <w:rFonts w:hint="eastAsia"/>
                <w:szCs w:val="21"/>
              </w:rPr>
              <w:t>工程知识</w:t>
            </w:r>
          </w:p>
        </w:tc>
        <w:tc>
          <w:tcPr>
            <w:tcW w:w="5870" w:type="dxa"/>
            <w:vAlign w:val="center"/>
          </w:tcPr>
          <w:p>
            <w:pPr>
              <w:keepLines/>
              <w:spacing w:line="360" w:lineRule="exact"/>
              <w:ind w:left="23"/>
              <w:jc w:val="left"/>
              <w:rPr>
                <w:szCs w:val="21"/>
              </w:rPr>
            </w:pPr>
            <w:r>
              <w:rPr>
                <w:szCs w:val="21"/>
              </w:rPr>
              <w:t>1</w:t>
            </w:r>
            <w:r>
              <w:rPr>
                <w:rFonts w:hint="eastAsia"/>
                <w:szCs w:val="21"/>
              </w:rPr>
              <w:t>.3</w:t>
            </w:r>
            <w:r>
              <w:rPr>
                <w:szCs w:val="21"/>
              </w:rPr>
              <w:t>综合运用数学、自然科学、工程基础和专业知识，用于电子信息工程领域复杂工程问题</w:t>
            </w:r>
            <w:r>
              <w:rPr>
                <w:rFonts w:hint="eastAsia"/>
                <w:szCs w:val="21"/>
              </w:rPr>
              <w:t>（含海洋电子信息领域）</w:t>
            </w:r>
            <w:r>
              <w:rPr>
                <w:szCs w:val="21"/>
              </w:rPr>
              <w:t>的建模和求解及解决方案的评价。</w:t>
            </w:r>
          </w:p>
        </w:tc>
        <w:tc>
          <w:tcPr>
            <w:tcW w:w="659" w:type="dxa"/>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40" w:type="dxa"/>
            <w:vMerge w:val="restart"/>
            <w:vAlign w:val="center"/>
          </w:tcPr>
          <w:p>
            <w:pPr>
              <w:snapToGrid w:val="0"/>
              <w:spacing w:line="300" w:lineRule="auto"/>
              <w:rPr>
                <w:szCs w:val="21"/>
              </w:rPr>
            </w:pPr>
            <w:r>
              <w:rPr>
                <w:szCs w:val="21"/>
              </w:rPr>
              <w:t>3</w:t>
            </w:r>
            <w:r>
              <w:rPr>
                <w:rFonts w:hint="eastAsia"/>
                <w:szCs w:val="21"/>
              </w:rPr>
              <w:t>．设计</w:t>
            </w:r>
            <w:r>
              <w:rPr>
                <w:szCs w:val="21"/>
              </w:rPr>
              <w:t>/</w:t>
            </w:r>
            <w:r>
              <w:rPr>
                <w:rFonts w:hint="eastAsia"/>
                <w:szCs w:val="21"/>
              </w:rPr>
              <w:t>开发解决方案</w:t>
            </w:r>
          </w:p>
        </w:tc>
        <w:tc>
          <w:tcPr>
            <w:tcW w:w="5870" w:type="dxa"/>
            <w:vAlign w:val="center"/>
          </w:tcPr>
          <w:p>
            <w:pPr>
              <w:snapToGrid w:val="0"/>
              <w:spacing w:line="300" w:lineRule="auto"/>
              <w:ind w:right="-39"/>
              <w:rPr>
                <w:sz w:val="18"/>
                <w:szCs w:val="18"/>
              </w:rPr>
            </w:pPr>
            <w:r>
              <w:rPr>
                <w:rFonts w:hint="eastAsia"/>
                <w:szCs w:val="21"/>
              </w:rPr>
              <w:t>3.2能够</w:t>
            </w:r>
            <w:r>
              <w:rPr>
                <w:szCs w:val="21"/>
              </w:rPr>
              <w:t>在设计中综合利用电子信息工程的专业知识和新技术，体现创新意识。</w:t>
            </w:r>
          </w:p>
        </w:tc>
        <w:tc>
          <w:tcPr>
            <w:tcW w:w="659" w:type="dxa"/>
            <w:vMerge w:val="restart"/>
            <w:vAlign w:val="center"/>
          </w:tcPr>
          <w:p>
            <w:pPr>
              <w:snapToGrid w:val="0"/>
              <w:spacing w:line="300" w:lineRule="auto"/>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40" w:type="dxa"/>
            <w:vMerge w:val="continue"/>
            <w:vAlign w:val="center"/>
          </w:tcPr>
          <w:p>
            <w:pPr>
              <w:snapToGrid w:val="0"/>
              <w:spacing w:line="300" w:lineRule="auto"/>
              <w:rPr>
                <w:szCs w:val="21"/>
              </w:rPr>
            </w:pPr>
          </w:p>
        </w:tc>
        <w:tc>
          <w:tcPr>
            <w:tcW w:w="5870" w:type="dxa"/>
            <w:vAlign w:val="center"/>
          </w:tcPr>
          <w:p>
            <w:pPr>
              <w:snapToGrid w:val="0"/>
              <w:spacing w:line="300" w:lineRule="auto"/>
              <w:ind w:right="-39"/>
              <w:rPr>
                <w:szCs w:val="21"/>
              </w:rPr>
            </w:pPr>
            <w:r>
              <w:rPr>
                <w:rFonts w:hint="eastAsia"/>
                <w:szCs w:val="21"/>
              </w:rPr>
              <w:t>3.3能够在</w:t>
            </w:r>
            <w:r>
              <w:rPr>
                <w:szCs w:val="21"/>
              </w:rPr>
              <w:t>设计中充分考虑社会、健康、安全、法律、文化以及环境等因素。</w:t>
            </w:r>
          </w:p>
        </w:tc>
        <w:tc>
          <w:tcPr>
            <w:tcW w:w="659" w:type="dxa"/>
            <w:vMerge w:val="continue"/>
            <w:vAlign w:val="center"/>
          </w:tcPr>
          <w:p>
            <w:pPr>
              <w:snapToGrid w:val="0"/>
              <w:spacing w:line="300" w:lineRule="auto"/>
              <w:rPr>
                <w:sz w:val="18"/>
                <w:szCs w:val="18"/>
              </w:rPr>
            </w:pP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2288"/>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 w:val="18"/>
                <w:szCs w:val="18"/>
                <w:shd w:val="clear" w:color="auto" w:fill="FEFEFF"/>
              </w:rPr>
            </w:pPr>
            <w:r>
              <w:rPr>
                <w:rFonts w:hint="eastAsia"/>
                <w:color w:val="000000"/>
                <w:kern w:val="0"/>
                <w:szCs w:val="21"/>
              </w:rPr>
              <w:t>1</w:t>
            </w:r>
            <w:r>
              <w:rPr>
                <w:color w:val="000000"/>
                <w:kern w:val="0"/>
                <w:szCs w:val="21"/>
              </w:rPr>
              <w:t>.</w:t>
            </w:r>
            <w:r>
              <w:rPr>
                <w:rFonts w:hint="eastAsia"/>
                <w:color w:val="000000"/>
                <w:kern w:val="0"/>
                <w:szCs w:val="21"/>
              </w:rPr>
              <w:t>了解数字图像的特点、机器视觉图像获取方法、数字图像处理系统结构及各方法的作用，掌握数字图像的时频域的特征，建立数字图像处理的基本理念。掌握机器视觉预处理的各种原理和方法，包括图像增强、图像变换、图像编码和图像分割的基本原理和方法。理解图像处理技术的算法，并能熟练使用M</w:t>
            </w:r>
            <w:r>
              <w:rPr>
                <w:color w:val="000000"/>
                <w:kern w:val="0"/>
                <w:szCs w:val="21"/>
              </w:rPr>
              <w:t>ATLAB</w:t>
            </w:r>
            <w:r>
              <w:rPr>
                <w:rFonts w:hint="eastAsia"/>
                <w:color w:val="000000"/>
                <w:kern w:val="0"/>
                <w:szCs w:val="21"/>
              </w:rPr>
              <w:t>等软件对数字图像进行增强、变换、编码和分割等处理</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Cs w:val="21"/>
                <w:shd w:val="clear" w:color="auto" w:fill="FEFEFF"/>
              </w:rPr>
            </w:pPr>
            <w:r>
              <w:rPr>
                <w:rFonts w:hint="eastAsia" w:ascii="宋体" w:hAnsi="宋体"/>
                <w:color w:val="333333"/>
                <w:szCs w:val="21"/>
                <w:shd w:val="clear" w:color="auto" w:fill="FEFEFF"/>
              </w:rPr>
              <w:t>通过课堂讲授与指定阅读等达成。</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Cs w:val="21"/>
                <w:shd w:val="clear" w:color="auto" w:fill="FEFEFF"/>
              </w:rPr>
            </w:pPr>
            <w:r>
              <w:rPr>
                <w:rFonts w:hint="eastAsia" w:ascii="宋体" w:hAnsi="宋体"/>
                <w:color w:val="333333"/>
                <w:szCs w:val="21"/>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color w:val="333333"/>
                <w:sz w:val="18"/>
                <w:szCs w:val="18"/>
                <w:shd w:val="clear" w:color="auto" w:fill="FEFEFF"/>
              </w:rPr>
            </w:pPr>
            <w:r>
              <w:rPr>
                <w:rFonts w:hint="eastAsia"/>
                <w:color w:val="000000"/>
                <w:kern w:val="0"/>
                <w:szCs w:val="21"/>
              </w:rPr>
              <w:t>2</w:t>
            </w:r>
            <w:r>
              <w:rPr>
                <w:color w:val="000000"/>
                <w:kern w:val="0"/>
                <w:szCs w:val="21"/>
              </w:rPr>
              <w:t xml:space="preserve">. </w:t>
            </w:r>
            <w:r>
              <w:rPr>
                <w:rFonts w:hint="eastAsia"/>
                <w:color w:val="000000"/>
                <w:kern w:val="0"/>
                <w:szCs w:val="21"/>
              </w:rPr>
              <w:t>掌握数字图像处理系统的设计方法和处理流程，具备数字图像综合处理技能，并能在设计时体现创新意识。能追踪最新技术，未来有能力进行</w:t>
            </w:r>
            <w:r>
              <w:rPr>
                <w:rFonts w:hint="eastAsia" w:hAnsi="宋体"/>
                <w:color w:val="000000"/>
                <w:kern w:val="0"/>
                <w:szCs w:val="21"/>
              </w:rPr>
              <w:t>计算机视觉、人工智能等领域的研究与开发。</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Cs w:val="21"/>
                <w:shd w:val="clear" w:color="auto" w:fill="FEFEFF"/>
              </w:rPr>
            </w:pPr>
            <w:r>
              <w:rPr>
                <w:rFonts w:hint="eastAsia" w:ascii="宋体" w:hAnsi="宋体"/>
                <w:color w:val="333333"/>
                <w:szCs w:val="21"/>
                <w:shd w:val="clear" w:color="auto" w:fill="FEFEFF"/>
              </w:rPr>
              <w:t>通过研究型学习，学生进行小组讨论、案例研讨、设计完成一个数字图像处理系统。</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color w:val="333333"/>
                <w:szCs w:val="21"/>
                <w:shd w:val="clear" w:color="auto" w:fill="FEFEFF"/>
              </w:rPr>
            </w:pPr>
            <w:r>
              <w:rPr>
                <w:rFonts w:hint="eastAsia" w:ascii="宋体" w:hAnsi="宋体"/>
                <w:color w:val="333333"/>
                <w:szCs w:val="21"/>
                <w:shd w:val="clear" w:color="auto" w:fill="FEFEFF"/>
              </w:rPr>
              <w:t>实验报告和答辩。</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pPr>
      <w:r>
        <w:rPr>
          <w:rFonts w:hint="eastAsia"/>
        </w:rPr>
        <w:t>课堂以多媒体教学为主，辅以实例研究和课堂讨论。根据课程特点采用启发式教学、任务驱动教学、案例教学法。重视实验教学，采用“原理描述</w:t>
      </w:r>
      <w:r>
        <w:t>-</w:t>
      </w:r>
      <w:r>
        <w:rPr>
          <w:rFonts w:hint="eastAsia"/>
        </w:rPr>
        <w:t>设计要点分析</w:t>
      </w:r>
      <w:r>
        <w:t>-</w:t>
      </w:r>
      <w:r>
        <w:rPr>
          <w:rFonts w:hint="eastAsia"/>
        </w:rPr>
        <w:t>应用案例展示”相互呼应的教学模式。</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119"/>
        <w:gridCol w:w="2928"/>
        <w:gridCol w:w="702"/>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3" w:type="dxa"/>
            <w:tcMar>
              <w:left w:w="57" w:type="dxa"/>
              <w:right w:w="57" w:type="dxa"/>
            </w:tcMar>
            <w:vAlign w:val="center"/>
          </w:tcPr>
          <w:p>
            <w:pPr>
              <w:snapToGrid w:val="0"/>
              <w:spacing w:line="300" w:lineRule="auto"/>
              <w:jc w:val="center"/>
              <w:rPr>
                <w:rFonts w:ascii="宋体" w:hAnsi="宋体"/>
                <w:b/>
                <w:bCs/>
                <w:sz w:val="18"/>
                <w:szCs w:val="18"/>
              </w:rPr>
            </w:pPr>
            <w:r>
              <w:rPr>
                <w:rFonts w:ascii="宋体" w:hAnsi="宋体"/>
                <w:b/>
                <w:bCs/>
                <w:sz w:val="18"/>
                <w:szCs w:val="18"/>
              </w:rPr>
              <w:t>序号</w:t>
            </w:r>
          </w:p>
        </w:tc>
        <w:tc>
          <w:tcPr>
            <w:tcW w:w="3119" w:type="dxa"/>
            <w:vAlign w:val="center"/>
          </w:tcPr>
          <w:p>
            <w:pPr>
              <w:snapToGrid w:val="0"/>
              <w:spacing w:line="300" w:lineRule="auto"/>
              <w:ind w:firstLine="361" w:firstLineChars="200"/>
              <w:rPr>
                <w:rFonts w:ascii="宋体" w:hAnsi="宋体"/>
                <w:b/>
                <w:bCs/>
                <w:sz w:val="18"/>
                <w:szCs w:val="18"/>
              </w:rPr>
            </w:pPr>
            <w:r>
              <w:rPr>
                <w:rFonts w:ascii="宋体" w:hAnsi="宋体"/>
                <w:b/>
                <w:bCs/>
                <w:sz w:val="18"/>
                <w:szCs w:val="18"/>
              </w:rPr>
              <w:t>教学内容</w:t>
            </w:r>
          </w:p>
        </w:tc>
        <w:tc>
          <w:tcPr>
            <w:tcW w:w="2928" w:type="dxa"/>
            <w:vAlign w:val="center"/>
          </w:tcPr>
          <w:p>
            <w:pPr>
              <w:snapToGrid w:val="0"/>
              <w:spacing w:line="300" w:lineRule="auto"/>
              <w:ind w:firstLine="361" w:firstLineChars="200"/>
              <w:jc w:val="center"/>
              <w:rPr>
                <w:rFonts w:ascii="宋体" w:hAnsi="宋体"/>
                <w:b/>
                <w:bCs/>
                <w:sz w:val="18"/>
                <w:szCs w:val="18"/>
              </w:rPr>
            </w:pPr>
            <w:r>
              <w:rPr>
                <w:rFonts w:ascii="宋体" w:hAnsi="宋体"/>
                <w:b/>
                <w:bCs/>
                <w:sz w:val="18"/>
                <w:szCs w:val="18"/>
              </w:rPr>
              <w:t>教与学的要求</w:t>
            </w:r>
          </w:p>
        </w:tc>
        <w:tc>
          <w:tcPr>
            <w:tcW w:w="702" w:type="dxa"/>
            <w:vAlign w:val="center"/>
          </w:tcPr>
          <w:p>
            <w:pPr>
              <w:snapToGrid w:val="0"/>
              <w:spacing w:line="300" w:lineRule="auto"/>
              <w:jc w:val="center"/>
              <w:rPr>
                <w:rFonts w:ascii="宋体" w:hAnsi="宋体"/>
                <w:b/>
                <w:bCs/>
                <w:sz w:val="18"/>
                <w:szCs w:val="18"/>
              </w:rPr>
            </w:pPr>
            <w:r>
              <w:rPr>
                <w:rFonts w:ascii="宋体" w:hAnsi="宋体"/>
                <w:b/>
                <w:bCs/>
                <w:sz w:val="18"/>
                <w:szCs w:val="18"/>
              </w:rPr>
              <w:t>学时</w:t>
            </w:r>
          </w:p>
        </w:tc>
        <w:tc>
          <w:tcPr>
            <w:tcW w:w="984" w:type="dxa"/>
            <w:vAlign w:val="center"/>
          </w:tcPr>
          <w:p>
            <w:pPr>
              <w:snapToGrid w:val="0"/>
              <w:spacing w:line="300" w:lineRule="auto"/>
              <w:jc w:val="center"/>
              <w:rPr>
                <w:rFonts w:ascii="宋体" w:hAnsi="宋体"/>
                <w:b/>
                <w:bCs/>
                <w:sz w:val="18"/>
                <w:szCs w:val="18"/>
              </w:rPr>
            </w:pPr>
            <w:r>
              <w:rPr>
                <w:rFonts w:ascii="宋体" w:hAnsi="宋体"/>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1</w:t>
            </w:r>
          </w:p>
        </w:tc>
        <w:tc>
          <w:tcPr>
            <w:tcW w:w="3119" w:type="dxa"/>
            <w:vAlign w:val="center"/>
          </w:tcPr>
          <w:p>
            <w:pPr>
              <w:snapToGrid w:val="0"/>
              <w:spacing w:line="300" w:lineRule="auto"/>
              <w:rPr>
                <w:rFonts w:ascii="宋体" w:hAnsi="宋体"/>
                <w:sz w:val="18"/>
                <w:szCs w:val="18"/>
              </w:rPr>
            </w:pPr>
            <w:r>
              <w:rPr>
                <w:rFonts w:hint="eastAsia" w:ascii="宋体" w:hAnsi="宋体"/>
                <w:sz w:val="18"/>
                <w:szCs w:val="18"/>
              </w:rPr>
              <w:t>1．绪论</w:t>
            </w:r>
          </w:p>
          <w:p>
            <w:pPr>
              <w:spacing w:line="300" w:lineRule="auto"/>
              <w:rPr>
                <w:rFonts w:ascii="宋体" w:hAnsi="宋体"/>
                <w:sz w:val="18"/>
                <w:szCs w:val="18"/>
              </w:rPr>
            </w:pPr>
            <w:r>
              <w:rPr>
                <w:rFonts w:ascii="宋体" w:hAnsi="宋体"/>
                <w:sz w:val="18"/>
                <w:szCs w:val="18"/>
              </w:rPr>
              <w:t>1</w:t>
            </w:r>
            <w:r>
              <w:rPr>
                <w:rFonts w:hint="eastAsia" w:ascii="宋体" w:hAnsi="宋体"/>
                <w:sz w:val="18"/>
                <w:szCs w:val="18"/>
              </w:rPr>
              <w:t>.1图像处理的基本内容：数字图像处理系统的组成，数字图像处理术语；</w:t>
            </w:r>
          </w:p>
          <w:p>
            <w:pPr>
              <w:spacing w:line="300" w:lineRule="auto"/>
              <w:rPr>
                <w:rFonts w:ascii="宋体" w:hAnsi="宋体"/>
                <w:sz w:val="18"/>
                <w:szCs w:val="18"/>
              </w:rPr>
            </w:pPr>
            <w:r>
              <w:rPr>
                <w:rFonts w:hint="eastAsia" w:ascii="宋体" w:hAnsi="宋体"/>
                <w:sz w:val="18"/>
                <w:szCs w:val="18"/>
              </w:rPr>
              <w:t>1.</w:t>
            </w:r>
            <w:r>
              <w:rPr>
                <w:rFonts w:ascii="宋体" w:hAnsi="宋体"/>
                <w:sz w:val="18"/>
                <w:szCs w:val="18"/>
              </w:rPr>
              <w:t>2</w:t>
            </w:r>
            <w:r>
              <w:rPr>
                <w:rFonts w:hint="eastAsia" w:ascii="宋体" w:hAnsi="宋体"/>
                <w:sz w:val="18"/>
                <w:szCs w:val="18"/>
              </w:rPr>
              <w:t>数字图像处理的方法和内容：空间域方法和变换域方法，图像信息获取、存储、处理，图像描述，图像识别，图像理解；</w:t>
            </w:r>
          </w:p>
          <w:p>
            <w:pPr>
              <w:spacing w:line="300" w:lineRule="auto"/>
              <w:rPr>
                <w:rFonts w:ascii="宋体" w:hAnsi="宋体"/>
                <w:sz w:val="18"/>
                <w:szCs w:val="18"/>
              </w:rPr>
            </w:pPr>
            <w:r>
              <w:rPr>
                <w:rFonts w:hint="eastAsia" w:ascii="宋体" w:hAnsi="宋体"/>
                <w:sz w:val="18"/>
                <w:szCs w:val="18"/>
              </w:rPr>
              <w:t>1.</w:t>
            </w:r>
            <w:r>
              <w:rPr>
                <w:rFonts w:ascii="宋体" w:hAnsi="宋体"/>
                <w:sz w:val="18"/>
                <w:szCs w:val="18"/>
              </w:rPr>
              <w:t>3</w:t>
            </w:r>
            <w:r>
              <w:rPr>
                <w:rFonts w:hint="eastAsia" w:ascii="宋体" w:hAnsi="宋体"/>
                <w:sz w:val="18"/>
                <w:szCs w:val="18"/>
              </w:rPr>
              <w:t>数字图像处理的应用；</w:t>
            </w:r>
            <w:r>
              <w:rPr>
                <w:rFonts w:ascii="宋体" w:hAnsi="宋体"/>
                <w:sz w:val="18"/>
                <w:szCs w:val="18"/>
              </w:rPr>
              <w:t xml:space="preserve"> </w:t>
            </w:r>
          </w:p>
          <w:p>
            <w:pPr>
              <w:snapToGrid w:val="0"/>
              <w:spacing w:line="300" w:lineRule="auto"/>
              <w:rPr>
                <w:rFonts w:ascii="宋体" w:hAnsi="宋体"/>
                <w:sz w:val="18"/>
                <w:szCs w:val="18"/>
              </w:rPr>
            </w:pPr>
            <w:r>
              <w:rPr>
                <w:rFonts w:hint="eastAsia" w:ascii="宋体" w:hAnsi="宋体"/>
                <w:sz w:val="18"/>
                <w:szCs w:val="18"/>
              </w:rPr>
              <w:t>1.</w:t>
            </w:r>
            <w:r>
              <w:rPr>
                <w:rFonts w:ascii="宋体" w:hAnsi="宋体"/>
                <w:sz w:val="18"/>
                <w:szCs w:val="18"/>
              </w:rPr>
              <w:t xml:space="preserve">4. </w:t>
            </w:r>
            <w:r>
              <w:rPr>
                <w:rFonts w:hint="eastAsia" w:ascii="宋体" w:hAnsi="宋体"/>
                <w:sz w:val="18"/>
                <w:szCs w:val="18"/>
              </w:rPr>
              <w:t>数字图像处理的特点。</w:t>
            </w:r>
          </w:p>
        </w:tc>
        <w:tc>
          <w:tcPr>
            <w:tcW w:w="2928" w:type="dxa"/>
            <w:vAlign w:val="center"/>
          </w:tcPr>
          <w:p>
            <w:pPr>
              <w:snapToGrid w:val="0"/>
              <w:spacing w:line="300" w:lineRule="auto"/>
              <w:rPr>
                <w:rFonts w:ascii="宋体" w:hAnsi="宋体"/>
                <w:color w:val="000000"/>
                <w:sz w:val="18"/>
                <w:szCs w:val="18"/>
              </w:rPr>
            </w:pPr>
            <w:r>
              <w:rPr>
                <w:rFonts w:hint="eastAsia" w:ascii="宋体" w:hAnsi="宋体"/>
                <w:color w:val="000000"/>
                <w:sz w:val="18"/>
                <w:szCs w:val="18"/>
              </w:rPr>
              <w:t>1.要求</w:t>
            </w:r>
          </w:p>
          <w:p>
            <w:pPr>
              <w:snapToGrid w:val="0"/>
              <w:spacing w:line="300" w:lineRule="auto"/>
              <w:rPr>
                <w:rFonts w:ascii="宋体" w:hAnsi="宋体"/>
                <w:color w:val="000000"/>
                <w:sz w:val="18"/>
                <w:szCs w:val="18"/>
              </w:rPr>
            </w:pPr>
            <w:r>
              <w:rPr>
                <w:rFonts w:hint="eastAsia" w:ascii="宋体" w:hAnsi="宋体"/>
                <w:color w:val="000000"/>
                <w:sz w:val="18"/>
                <w:szCs w:val="18"/>
              </w:rPr>
              <w:t>（1）通过绪论的介绍，使得学生掌握数字图像处理的基本概念、学习内容、学习目的、基础和主要特点；</w:t>
            </w:r>
          </w:p>
          <w:p>
            <w:pPr>
              <w:snapToGrid w:val="0"/>
              <w:spacing w:line="300" w:lineRule="auto"/>
              <w:rPr>
                <w:rFonts w:ascii="宋体" w:hAnsi="宋体"/>
                <w:color w:val="000000"/>
                <w:sz w:val="18"/>
                <w:szCs w:val="18"/>
              </w:rPr>
            </w:pPr>
            <w:r>
              <w:rPr>
                <w:rFonts w:hint="eastAsia" w:ascii="宋体" w:hAnsi="宋体"/>
                <w:color w:val="000000"/>
                <w:sz w:val="18"/>
                <w:szCs w:val="18"/>
              </w:rPr>
              <w:t>（2）掌握数字图像处理系统组成基本术语（A）；</w:t>
            </w:r>
          </w:p>
          <w:p>
            <w:pPr>
              <w:snapToGrid w:val="0"/>
              <w:spacing w:line="300" w:lineRule="auto"/>
              <w:rPr>
                <w:rFonts w:ascii="宋体" w:hAnsi="宋体"/>
                <w:color w:val="000000"/>
                <w:sz w:val="18"/>
                <w:szCs w:val="18"/>
              </w:rPr>
            </w:pPr>
            <w:r>
              <w:rPr>
                <w:rFonts w:hint="eastAsia" w:ascii="宋体" w:hAnsi="宋体"/>
                <w:color w:val="000000"/>
                <w:sz w:val="18"/>
                <w:szCs w:val="18"/>
              </w:rPr>
              <w:t>（3）了解数字图像处理的应用和发展前景。</w:t>
            </w:r>
          </w:p>
          <w:p>
            <w:pPr>
              <w:snapToGrid w:val="0"/>
              <w:spacing w:line="300" w:lineRule="auto"/>
              <w:rPr>
                <w:rFonts w:ascii="宋体" w:hAnsi="宋体"/>
                <w:color w:val="000000"/>
                <w:sz w:val="18"/>
                <w:szCs w:val="18"/>
              </w:rPr>
            </w:pPr>
            <w:r>
              <w:rPr>
                <w:rFonts w:hint="eastAsia" w:ascii="宋体" w:hAnsi="宋体"/>
                <w:color w:val="000000"/>
                <w:sz w:val="18"/>
                <w:szCs w:val="18"/>
              </w:rPr>
              <w:t>2.作业内容</w:t>
            </w:r>
          </w:p>
          <w:p>
            <w:pPr>
              <w:snapToGrid w:val="0"/>
              <w:spacing w:line="300" w:lineRule="auto"/>
              <w:rPr>
                <w:rFonts w:ascii="宋体" w:hAnsi="宋体"/>
                <w:color w:val="000000"/>
                <w:sz w:val="18"/>
                <w:szCs w:val="18"/>
              </w:rPr>
            </w:pPr>
            <w:r>
              <w:rPr>
                <w:rFonts w:hint="eastAsia" w:ascii="宋体" w:hAnsi="宋体"/>
                <w:color w:val="000000"/>
                <w:sz w:val="18"/>
                <w:szCs w:val="18"/>
              </w:rPr>
              <w:t>上网查阅数字信号处理的应用。</w:t>
            </w:r>
          </w:p>
          <w:p>
            <w:pPr>
              <w:snapToGrid w:val="0"/>
              <w:spacing w:line="300" w:lineRule="auto"/>
              <w:rPr>
                <w:rFonts w:ascii="宋体" w:hAnsi="宋体"/>
                <w:sz w:val="18"/>
                <w:szCs w:val="18"/>
              </w:rPr>
            </w:pPr>
            <w:r>
              <w:rPr>
                <w:rFonts w:ascii="宋体" w:hAnsi="宋体"/>
                <w:sz w:val="18"/>
                <w:szCs w:val="18"/>
              </w:rPr>
              <w:t xml:space="preserve">3.教学方法 </w:t>
            </w:r>
          </w:p>
          <w:p>
            <w:pPr>
              <w:snapToGrid w:val="0"/>
              <w:spacing w:line="300" w:lineRule="auto"/>
              <w:rPr>
                <w:rFonts w:ascii="宋体" w:hAnsi="宋体"/>
                <w:sz w:val="18"/>
                <w:szCs w:val="18"/>
              </w:rPr>
            </w:pPr>
            <w:r>
              <w:rPr>
                <w:rFonts w:ascii="宋体" w:hAnsi="宋体"/>
                <w:sz w:val="18"/>
                <w:szCs w:val="18"/>
              </w:rPr>
              <w:t>讲授式、讨论式、案例式与启发式相结合。</w:t>
            </w:r>
          </w:p>
        </w:tc>
        <w:tc>
          <w:tcPr>
            <w:tcW w:w="702" w:type="dxa"/>
            <w:vAlign w:val="center"/>
          </w:tcPr>
          <w:p>
            <w:pPr>
              <w:snapToGrid w:val="0"/>
              <w:spacing w:line="300" w:lineRule="auto"/>
              <w:jc w:val="center"/>
              <w:rPr>
                <w:rFonts w:ascii="宋体" w:hAnsi="宋体"/>
                <w:sz w:val="18"/>
                <w:szCs w:val="18"/>
              </w:rPr>
            </w:pPr>
            <w:r>
              <w:rPr>
                <w:rFonts w:ascii="宋体" w:hAnsi="宋体"/>
                <w:kern w:val="0"/>
                <w:sz w:val="18"/>
                <w:szCs w:val="18"/>
              </w:rPr>
              <w:t>2</w:t>
            </w:r>
          </w:p>
        </w:tc>
        <w:tc>
          <w:tcPr>
            <w:tcW w:w="984" w:type="dxa"/>
            <w:vAlign w:val="center"/>
          </w:tcPr>
          <w:p>
            <w:pPr>
              <w:snapToGrid w:val="0"/>
              <w:spacing w:line="300" w:lineRule="auto"/>
              <w:rPr>
                <w:rFonts w:ascii="宋体" w:hAnsi="宋体"/>
                <w:sz w:val="18"/>
                <w:szCs w:val="18"/>
              </w:rPr>
            </w:pPr>
            <w:r>
              <w:rPr>
                <w:rFonts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2</w:t>
            </w:r>
          </w:p>
        </w:tc>
        <w:tc>
          <w:tcPr>
            <w:tcW w:w="3119" w:type="dxa"/>
            <w:vAlign w:val="center"/>
          </w:tcPr>
          <w:p>
            <w:pPr>
              <w:snapToGrid w:val="0"/>
              <w:spacing w:line="300" w:lineRule="auto"/>
              <w:rPr>
                <w:rFonts w:ascii="宋体" w:hAnsi="宋体"/>
                <w:b/>
                <w:sz w:val="18"/>
                <w:szCs w:val="18"/>
              </w:rPr>
            </w:pPr>
            <w:r>
              <w:rPr>
                <w:rFonts w:hint="eastAsia" w:ascii="宋体" w:hAnsi="宋体"/>
                <w:sz w:val="18"/>
                <w:szCs w:val="18"/>
              </w:rPr>
              <w:t>2．数字图像处理基础</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1</w:t>
            </w:r>
            <w:r>
              <w:rPr>
                <w:rFonts w:hint="eastAsia" w:ascii="宋体" w:hAnsi="宋体"/>
                <w:sz w:val="18"/>
                <w:szCs w:val="18"/>
              </w:rPr>
              <w:t>图像数字化：数字阵列表示，数字化过程，采样与量化，图像数字化设备。</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2</w:t>
            </w:r>
            <w:r>
              <w:rPr>
                <w:rFonts w:hint="eastAsia" w:ascii="宋体" w:hAnsi="宋体"/>
                <w:sz w:val="18"/>
                <w:szCs w:val="18"/>
              </w:rPr>
              <w:t>数字图像的显示：图像的显示方法、显示特性，显示系统的噪声，显示设备。</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3</w:t>
            </w:r>
            <w:r>
              <w:rPr>
                <w:rFonts w:hint="eastAsia" w:ascii="宋体" w:hAnsi="宋体"/>
                <w:sz w:val="18"/>
                <w:szCs w:val="18"/>
              </w:rPr>
              <w:t>色度学基础与颜色模型：分辨率，颜色模型，</w:t>
            </w:r>
            <w:r>
              <w:rPr>
                <w:rFonts w:ascii="宋体" w:hAnsi="宋体"/>
                <w:sz w:val="18"/>
                <w:szCs w:val="18"/>
              </w:rPr>
              <w:t>RGB</w:t>
            </w:r>
            <w:r>
              <w:rPr>
                <w:rFonts w:hint="eastAsia" w:ascii="宋体" w:hAnsi="宋体"/>
                <w:sz w:val="18"/>
                <w:szCs w:val="18"/>
              </w:rPr>
              <w:t>模型、</w:t>
            </w:r>
            <w:r>
              <w:rPr>
                <w:rFonts w:ascii="宋体" w:hAnsi="宋体"/>
                <w:sz w:val="18"/>
                <w:szCs w:val="18"/>
              </w:rPr>
              <w:t>HSI</w:t>
            </w:r>
            <w:r>
              <w:rPr>
                <w:rFonts w:hint="eastAsia" w:ascii="宋体" w:hAnsi="宋体"/>
                <w:sz w:val="18"/>
                <w:szCs w:val="18"/>
              </w:rPr>
              <w:t>模型、</w:t>
            </w:r>
            <w:r>
              <w:rPr>
                <w:rFonts w:ascii="宋体" w:hAnsi="宋体"/>
                <w:sz w:val="18"/>
                <w:szCs w:val="18"/>
              </w:rPr>
              <w:t>CMYK</w:t>
            </w:r>
            <w:r>
              <w:rPr>
                <w:rFonts w:hint="eastAsia" w:ascii="宋体" w:hAnsi="宋体"/>
                <w:sz w:val="18"/>
                <w:szCs w:val="18"/>
              </w:rPr>
              <w:t>模型、其他表色系统，颜色模型的相互转换。</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 xml:space="preserve">4 </w:t>
            </w:r>
            <w:r>
              <w:rPr>
                <w:rFonts w:hint="eastAsia" w:ascii="宋体" w:hAnsi="宋体"/>
                <w:sz w:val="18"/>
                <w:szCs w:val="18"/>
              </w:rPr>
              <w:t>灰度直方图：直方图的定义，直方图的性质，直方图的简单应用。</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 xml:space="preserve">5 </w:t>
            </w:r>
            <w:r>
              <w:rPr>
                <w:rFonts w:hint="eastAsia" w:ascii="宋体" w:hAnsi="宋体"/>
                <w:sz w:val="18"/>
                <w:szCs w:val="18"/>
              </w:rPr>
              <w:t>图像文件格式：图像文件简介，</w:t>
            </w:r>
            <w:r>
              <w:rPr>
                <w:rFonts w:ascii="宋体" w:hAnsi="宋体"/>
                <w:sz w:val="18"/>
                <w:szCs w:val="18"/>
              </w:rPr>
              <w:t>BMP</w:t>
            </w:r>
            <w:r>
              <w:rPr>
                <w:rFonts w:hint="eastAsia" w:ascii="宋体" w:hAnsi="宋体"/>
                <w:sz w:val="18"/>
                <w:szCs w:val="18"/>
              </w:rPr>
              <w:t>、</w:t>
            </w:r>
            <w:r>
              <w:rPr>
                <w:rFonts w:ascii="宋体" w:hAnsi="宋体"/>
                <w:sz w:val="18"/>
                <w:szCs w:val="18"/>
              </w:rPr>
              <w:t xml:space="preserve"> GIF</w:t>
            </w:r>
            <w:r>
              <w:rPr>
                <w:rFonts w:hint="eastAsia" w:ascii="宋体" w:hAnsi="宋体"/>
                <w:sz w:val="18"/>
                <w:szCs w:val="18"/>
              </w:rPr>
              <w:t>、</w:t>
            </w:r>
            <w:r>
              <w:rPr>
                <w:rFonts w:ascii="宋体" w:hAnsi="宋体"/>
                <w:sz w:val="18"/>
                <w:szCs w:val="18"/>
              </w:rPr>
              <w:t>PCX</w:t>
            </w:r>
            <w:r>
              <w:rPr>
                <w:rFonts w:hint="eastAsia" w:ascii="宋体" w:hAnsi="宋体"/>
                <w:sz w:val="18"/>
                <w:szCs w:val="18"/>
              </w:rPr>
              <w:t>、</w:t>
            </w:r>
            <w:r>
              <w:rPr>
                <w:rFonts w:ascii="宋体" w:hAnsi="宋体"/>
                <w:sz w:val="18"/>
                <w:szCs w:val="18"/>
              </w:rPr>
              <w:t>JPEG</w:t>
            </w:r>
            <w:r>
              <w:rPr>
                <w:rFonts w:hint="eastAsia" w:ascii="宋体" w:hAnsi="宋体"/>
                <w:sz w:val="18"/>
                <w:szCs w:val="18"/>
              </w:rPr>
              <w:t>、</w:t>
            </w:r>
            <w:r>
              <w:rPr>
                <w:rFonts w:ascii="宋体" w:hAnsi="宋体"/>
                <w:sz w:val="18"/>
                <w:szCs w:val="18"/>
              </w:rPr>
              <w:t>TIFF</w:t>
            </w:r>
            <w:r>
              <w:rPr>
                <w:rFonts w:hint="eastAsia" w:ascii="宋体" w:hAnsi="宋体"/>
                <w:sz w:val="18"/>
                <w:szCs w:val="18"/>
              </w:rPr>
              <w:t>图像文件格式。</w:t>
            </w:r>
          </w:p>
          <w:p>
            <w:pPr>
              <w:spacing w:line="300" w:lineRule="auto"/>
              <w:rPr>
                <w:rFonts w:ascii="宋体" w:hAnsi="宋体"/>
                <w:sz w:val="18"/>
                <w:szCs w:val="18"/>
              </w:rPr>
            </w:pPr>
            <w:r>
              <w:rPr>
                <w:rFonts w:hint="eastAsia" w:ascii="宋体" w:hAnsi="宋体"/>
                <w:sz w:val="18"/>
                <w:szCs w:val="18"/>
              </w:rPr>
              <w:t>2.</w:t>
            </w:r>
            <w:r>
              <w:rPr>
                <w:rFonts w:ascii="宋体" w:hAnsi="宋体"/>
                <w:sz w:val="18"/>
                <w:szCs w:val="18"/>
              </w:rPr>
              <w:t xml:space="preserve">6 </w:t>
            </w:r>
            <w:r>
              <w:rPr>
                <w:rFonts w:hint="eastAsia" w:ascii="宋体" w:hAnsi="宋体"/>
                <w:sz w:val="18"/>
                <w:szCs w:val="18"/>
              </w:rPr>
              <w:t>图像的基本运算：图像的四种算术运算，图像的平均处理，图像的卷积。</w:t>
            </w:r>
          </w:p>
          <w:p>
            <w:pPr>
              <w:snapToGrid w:val="0"/>
              <w:spacing w:line="300" w:lineRule="auto"/>
              <w:rPr>
                <w:rFonts w:ascii="宋体" w:hAnsi="宋体"/>
                <w:sz w:val="18"/>
                <w:szCs w:val="18"/>
              </w:rPr>
            </w:pPr>
            <w:r>
              <w:rPr>
                <w:rFonts w:hint="eastAsia" w:ascii="宋体" w:hAnsi="宋体"/>
                <w:sz w:val="18"/>
                <w:szCs w:val="18"/>
              </w:rPr>
              <w:t>2.</w:t>
            </w:r>
            <w:r>
              <w:rPr>
                <w:rFonts w:ascii="宋体" w:hAnsi="宋体"/>
                <w:sz w:val="18"/>
                <w:szCs w:val="18"/>
              </w:rPr>
              <w:t>7 MATLAB</w:t>
            </w:r>
            <w:r>
              <w:rPr>
                <w:rFonts w:hint="eastAsia" w:ascii="宋体" w:hAnsi="宋体"/>
                <w:sz w:val="18"/>
                <w:szCs w:val="18"/>
              </w:rPr>
              <w:t>图像运算算法实现：图像的代数运算命令。</w:t>
            </w:r>
          </w:p>
        </w:tc>
        <w:tc>
          <w:tcPr>
            <w:tcW w:w="2928" w:type="dxa"/>
            <w:vAlign w:val="center"/>
          </w:tcPr>
          <w:p>
            <w:pPr>
              <w:snapToGrid w:val="0"/>
              <w:spacing w:line="300" w:lineRule="auto"/>
              <w:rPr>
                <w:rFonts w:ascii="宋体" w:hAnsi="宋体"/>
                <w:sz w:val="18"/>
                <w:szCs w:val="18"/>
              </w:rPr>
            </w:pPr>
            <w:r>
              <w:rPr>
                <w:rFonts w:hint="eastAsia" w:ascii="宋体" w:hAnsi="宋体"/>
                <w:sz w:val="18"/>
                <w:szCs w:val="18"/>
              </w:rPr>
              <w:t>1.要求</w:t>
            </w:r>
          </w:p>
          <w:p>
            <w:pPr>
              <w:spacing w:line="360" w:lineRule="exact"/>
              <w:ind w:right="-31" w:rightChars="-15"/>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）了解图像文件格式；</w:t>
            </w:r>
          </w:p>
          <w:p>
            <w:pPr>
              <w:spacing w:line="360" w:lineRule="exact"/>
              <w:ind w:right="-31" w:rightChars="-15"/>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）理解数字图像的显示，色度学基础与颜色模型；</w:t>
            </w:r>
          </w:p>
          <w:p>
            <w:pPr>
              <w:spacing w:line="360" w:lineRule="exact"/>
              <w:ind w:right="-31" w:rightChars="-15"/>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）掌握图像数字化，灰度直方图，图像的基本运算，</w:t>
            </w:r>
            <w:r>
              <w:rPr>
                <w:rFonts w:ascii="宋体" w:hAnsi="宋体"/>
                <w:sz w:val="18"/>
                <w:szCs w:val="18"/>
              </w:rPr>
              <w:t>MATLAB</w:t>
            </w:r>
            <w:r>
              <w:rPr>
                <w:rFonts w:hint="eastAsia" w:ascii="宋体" w:hAnsi="宋体"/>
                <w:sz w:val="18"/>
                <w:szCs w:val="18"/>
              </w:rPr>
              <w:t>图像运算算法实现（A）。</w:t>
            </w:r>
          </w:p>
          <w:p>
            <w:pPr>
              <w:snapToGrid w:val="0"/>
              <w:spacing w:line="300" w:lineRule="auto"/>
              <w:rPr>
                <w:rFonts w:ascii="宋体" w:hAnsi="宋体"/>
                <w:color w:val="000000"/>
                <w:sz w:val="18"/>
                <w:szCs w:val="18"/>
              </w:rPr>
            </w:pPr>
            <w:r>
              <w:rPr>
                <w:rFonts w:hint="eastAsia" w:ascii="宋体" w:hAnsi="宋体"/>
                <w:color w:val="000000"/>
                <w:sz w:val="18"/>
                <w:szCs w:val="18"/>
              </w:rPr>
              <w:t>2.作业内容</w:t>
            </w:r>
          </w:p>
          <w:p>
            <w:pPr>
              <w:spacing w:line="360" w:lineRule="exact"/>
              <w:ind w:right="-31" w:rightChars="-15"/>
              <w:rPr>
                <w:rFonts w:ascii="宋体" w:hAnsi="宋体"/>
                <w:sz w:val="18"/>
                <w:szCs w:val="18"/>
              </w:rPr>
            </w:pPr>
            <w:r>
              <w:rPr>
                <w:rFonts w:hint="eastAsia" w:ascii="宋体" w:hAnsi="宋体"/>
                <w:sz w:val="18"/>
                <w:szCs w:val="18"/>
              </w:rPr>
              <w:t>（1）利用</w:t>
            </w:r>
            <w:r>
              <w:rPr>
                <w:rFonts w:ascii="宋体" w:hAnsi="宋体"/>
                <w:sz w:val="18"/>
                <w:szCs w:val="18"/>
              </w:rPr>
              <w:t>MATLAB</w:t>
            </w:r>
            <w:r>
              <w:rPr>
                <w:rFonts w:hint="eastAsia" w:ascii="宋体" w:hAnsi="宋体"/>
                <w:sz w:val="18"/>
                <w:szCs w:val="18"/>
              </w:rPr>
              <w:t>输入和显示图像；</w:t>
            </w:r>
          </w:p>
          <w:p>
            <w:pPr>
              <w:spacing w:line="360" w:lineRule="exact"/>
              <w:ind w:right="-31" w:rightChars="-15"/>
              <w:rPr>
                <w:rFonts w:ascii="宋体" w:hAnsi="宋体"/>
                <w:sz w:val="18"/>
                <w:szCs w:val="18"/>
              </w:rPr>
            </w:pPr>
            <w:r>
              <w:rPr>
                <w:rFonts w:hint="eastAsia" w:ascii="宋体" w:hAnsi="宋体"/>
                <w:sz w:val="18"/>
                <w:szCs w:val="18"/>
              </w:rPr>
              <w:t>（2）利用M</w:t>
            </w:r>
            <w:r>
              <w:rPr>
                <w:rFonts w:ascii="宋体" w:hAnsi="宋体"/>
                <w:sz w:val="18"/>
                <w:szCs w:val="18"/>
              </w:rPr>
              <w:t>ATLAB</w:t>
            </w:r>
            <w:r>
              <w:rPr>
                <w:rFonts w:hint="eastAsia" w:ascii="宋体" w:hAnsi="宋体"/>
                <w:sz w:val="18"/>
                <w:szCs w:val="18"/>
              </w:rPr>
              <w:t>进行图像的运算。</w:t>
            </w:r>
          </w:p>
          <w:p>
            <w:pPr>
              <w:snapToGrid w:val="0"/>
              <w:spacing w:line="300" w:lineRule="auto"/>
              <w:rPr>
                <w:rFonts w:ascii="宋体" w:hAnsi="宋体"/>
                <w:sz w:val="18"/>
                <w:szCs w:val="18"/>
              </w:rPr>
            </w:pPr>
            <w:r>
              <w:rPr>
                <w:rFonts w:ascii="宋体" w:hAnsi="宋体"/>
                <w:sz w:val="18"/>
                <w:szCs w:val="18"/>
              </w:rPr>
              <w:t xml:space="preserve">3.教学方法 </w:t>
            </w:r>
          </w:p>
          <w:p>
            <w:pPr>
              <w:snapToGrid w:val="0"/>
              <w:spacing w:line="300" w:lineRule="auto"/>
              <w:rPr>
                <w:rFonts w:ascii="宋体" w:hAnsi="宋体"/>
                <w:sz w:val="18"/>
                <w:szCs w:val="18"/>
              </w:rPr>
            </w:pPr>
            <w:r>
              <w:rPr>
                <w:rFonts w:ascii="宋体" w:hAnsi="宋体"/>
                <w:sz w:val="18"/>
                <w:szCs w:val="18"/>
              </w:rPr>
              <w:t>讲授式、讨论式、案例式与启发式相结合。</w:t>
            </w:r>
          </w:p>
          <w:p>
            <w:pPr>
              <w:snapToGrid w:val="0"/>
              <w:spacing w:line="300" w:lineRule="auto"/>
              <w:rPr>
                <w:rFonts w:ascii="宋体" w:hAnsi="宋体"/>
                <w:sz w:val="18"/>
                <w:szCs w:val="18"/>
              </w:rPr>
            </w:pPr>
          </w:p>
        </w:tc>
        <w:tc>
          <w:tcPr>
            <w:tcW w:w="702" w:type="dxa"/>
            <w:vAlign w:val="center"/>
          </w:tcPr>
          <w:p>
            <w:pPr>
              <w:snapToGrid w:val="0"/>
              <w:spacing w:line="300" w:lineRule="auto"/>
              <w:jc w:val="center"/>
              <w:rPr>
                <w:rFonts w:ascii="宋体" w:hAnsi="宋体"/>
                <w:sz w:val="18"/>
                <w:szCs w:val="18"/>
              </w:rPr>
            </w:pPr>
            <w:r>
              <w:rPr>
                <w:rFonts w:hint="eastAsia" w:ascii="宋体" w:hAnsi="宋体"/>
                <w:sz w:val="18"/>
                <w:szCs w:val="18"/>
              </w:rPr>
              <w:t>2</w:t>
            </w:r>
          </w:p>
        </w:tc>
        <w:tc>
          <w:tcPr>
            <w:tcW w:w="984" w:type="dxa"/>
            <w:vAlign w:val="center"/>
          </w:tcPr>
          <w:p>
            <w:pPr>
              <w:snapToGrid w:val="0"/>
              <w:spacing w:line="300" w:lineRule="auto"/>
              <w:rPr>
                <w:rFonts w:ascii="宋体" w:hAnsi="宋体"/>
                <w:sz w:val="18"/>
                <w:szCs w:val="18"/>
              </w:rPr>
            </w:pPr>
            <w:r>
              <w:rPr>
                <w:rFonts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3</w:t>
            </w:r>
          </w:p>
        </w:tc>
        <w:tc>
          <w:tcPr>
            <w:tcW w:w="3119" w:type="dxa"/>
            <w:vAlign w:val="center"/>
          </w:tcPr>
          <w:p>
            <w:pPr>
              <w:spacing w:line="300" w:lineRule="auto"/>
              <w:rPr>
                <w:rFonts w:ascii="宋体" w:hAnsi="宋体"/>
                <w:bCs/>
                <w:sz w:val="18"/>
                <w:szCs w:val="18"/>
              </w:rPr>
            </w:pPr>
            <w:r>
              <w:rPr>
                <w:rFonts w:hint="eastAsia" w:ascii="宋体" w:hAnsi="宋体"/>
                <w:bCs/>
                <w:sz w:val="18"/>
                <w:szCs w:val="18"/>
              </w:rPr>
              <w:t>3．图像变换</w:t>
            </w:r>
          </w:p>
          <w:p>
            <w:pPr>
              <w:spacing w:line="360" w:lineRule="exact"/>
              <w:ind w:right="-31" w:rightChars="-15"/>
              <w:rPr>
                <w:rFonts w:ascii="宋体" w:hAnsi="宋体"/>
                <w:sz w:val="18"/>
                <w:szCs w:val="18"/>
              </w:rPr>
            </w:pPr>
            <w:r>
              <w:rPr>
                <w:rFonts w:hint="eastAsia" w:ascii="宋体" w:hAnsi="宋体"/>
                <w:sz w:val="18"/>
                <w:szCs w:val="18"/>
              </w:rPr>
              <w:t>3.</w:t>
            </w:r>
            <w:r>
              <w:rPr>
                <w:rFonts w:ascii="宋体" w:hAnsi="宋体"/>
                <w:sz w:val="18"/>
                <w:szCs w:val="18"/>
              </w:rPr>
              <w:t xml:space="preserve">1 </w:t>
            </w:r>
            <w:r>
              <w:rPr>
                <w:rFonts w:hint="eastAsia" w:ascii="宋体" w:hAnsi="宋体"/>
                <w:sz w:val="18"/>
                <w:szCs w:val="18"/>
              </w:rPr>
              <w:t>傅里叶变换：连续傅里叶变换，一维离散傅里叶变换，二维离散傅里叶变换。</w:t>
            </w:r>
          </w:p>
          <w:p>
            <w:pPr>
              <w:spacing w:line="360" w:lineRule="exact"/>
              <w:ind w:right="-31" w:rightChars="-15"/>
              <w:rPr>
                <w:rFonts w:ascii="宋体" w:hAnsi="宋体"/>
                <w:sz w:val="18"/>
                <w:szCs w:val="18"/>
              </w:rPr>
            </w:pPr>
            <w:r>
              <w:rPr>
                <w:rFonts w:hint="eastAsia" w:ascii="宋体" w:hAnsi="宋体"/>
                <w:sz w:val="18"/>
                <w:szCs w:val="18"/>
              </w:rPr>
              <w:t>3.</w:t>
            </w:r>
            <w:r>
              <w:rPr>
                <w:rFonts w:ascii="宋体" w:hAnsi="宋体"/>
                <w:sz w:val="18"/>
                <w:szCs w:val="18"/>
              </w:rPr>
              <w:t xml:space="preserve">2 </w:t>
            </w:r>
            <w:r>
              <w:rPr>
                <w:rFonts w:hint="eastAsia" w:ascii="宋体" w:hAnsi="宋体"/>
                <w:sz w:val="18"/>
                <w:szCs w:val="18"/>
              </w:rPr>
              <w:t>离散余弦变换：一维离散余弦变换，二维离散余弦变换，离散余弦变换的矩阵表示。</w:t>
            </w:r>
          </w:p>
          <w:p>
            <w:pPr>
              <w:spacing w:line="360" w:lineRule="exact"/>
              <w:ind w:right="-31" w:rightChars="-15"/>
              <w:rPr>
                <w:rFonts w:ascii="宋体" w:hAnsi="宋体"/>
                <w:sz w:val="18"/>
                <w:szCs w:val="18"/>
              </w:rPr>
            </w:pPr>
            <w:r>
              <w:rPr>
                <w:rFonts w:hint="eastAsia" w:ascii="宋体" w:hAnsi="宋体"/>
                <w:sz w:val="18"/>
                <w:szCs w:val="18"/>
              </w:rPr>
              <w:t>3.3小波变换：连续小波变换，一维离散小波变换，二维离散小波变换。</w:t>
            </w:r>
          </w:p>
          <w:p>
            <w:pPr>
              <w:spacing w:line="360" w:lineRule="exact"/>
              <w:ind w:right="-31" w:rightChars="-15"/>
              <w:rPr>
                <w:rFonts w:ascii="宋体" w:hAnsi="宋体"/>
                <w:sz w:val="18"/>
                <w:szCs w:val="18"/>
              </w:rPr>
            </w:pPr>
            <w:r>
              <w:rPr>
                <w:rFonts w:hint="eastAsia" w:ascii="宋体" w:hAnsi="宋体"/>
                <w:sz w:val="18"/>
                <w:szCs w:val="18"/>
              </w:rPr>
              <w:t>3.4</w:t>
            </w:r>
            <w:r>
              <w:rPr>
                <w:rFonts w:ascii="宋体" w:hAnsi="宋体"/>
                <w:sz w:val="18"/>
                <w:szCs w:val="18"/>
              </w:rPr>
              <w:t xml:space="preserve"> </w:t>
            </w:r>
            <w:r>
              <w:rPr>
                <w:rFonts w:hint="eastAsia" w:ascii="宋体" w:hAnsi="宋体"/>
                <w:sz w:val="18"/>
                <w:szCs w:val="18"/>
              </w:rPr>
              <w:t>基于</w:t>
            </w:r>
            <w:r>
              <w:rPr>
                <w:rFonts w:ascii="宋体" w:hAnsi="宋体"/>
                <w:sz w:val="18"/>
                <w:szCs w:val="18"/>
              </w:rPr>
              <w:t>MATLAB</w:t>
            </w:r>
            <w:r>
              <w:rPr>
                <w:rFonts w:hint="eastAsia" w:ascii="宋体" w:hAnsi="宋体"/>
                <w:sz w:val="18"/>
                <w:szCs w:val="18"/>
              </w:rPr>
              <w:t>的图像变换的实现。</w:t>
            </w:r>
          </w:p>
        </w:tc>
        <w:tc>
          <w:tcPr>
            <w:tcW w:w="2928" w:type="dxa"/>
            <w:vAlign w:val="center"/>
          </w:tcPr>
          <w:p>
            <w:pPr>
              <w:spacing w:line="360" w:lineRule="exact"/>
              <w:ind w:right="-31" w:rightChars="-15"/>
              <w:rPr>
                <w:rFonts w:ascii="宋体" w:hAnsi="宋体"/>
                <w:bCs/>
                <w:sz w:val="18"/>
                <w:szCs w:val="18"/>
              </w:rPr>
            </w:pPr>
            <w:r>
              <w:rPr>
                <w:rFonts w:hint="eastAsia" w:ascii="宋体" w:hAnsi="宋体"/>
                <w:bCs/>
                <w:sz w:val="18"/>
                <w:szCs w:val="18"/>
              </w:rPr>
              <w:t>1.要求</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）掌握离散傅里叶变换、离散余弦变换和小波变换的基本原理(</w:t>
            </w:r>
            <w:r>
              <w:rPr>
                <w:rFonts w:ascii="宋体" w:hAnsi="宋体"/>
                <w:bCs/>
                <w:sz w:val="18"/>
                <w:szCs w:val="18"/>
              </w:rPr>
              <w:t>A</w:t>
            </w:r>
            <w:r>
              <w:rPr>
                <w:rFonts w:hint="eastAsia" w:ascii="宋体" w:hAnsi="宋体"/>
                <w:bCs/>
                <w:sz w:val="18"/>
                <w:szCs w:val="18"/>
              </w:rPr>
              <w:t>/</w:t>
            </w:r>
            <w:r>
              <w:rPr>
                <w:rFonts w:ascii="宋体" w:hAnsi="宋体"/>
                <w:bCs/>
                <w:sz w:val="18"/>
                <w:szCs w:val="18"/>
              </w:rPr>
              <w:t>B)</w:t>
            </w:r>
            <w:r>
              <w:rPr>
                <w:rFonts w:hint="eastAsia" w:ascii="宋体" w:hAnsi="宋体"/>
                <w:bCs/>
                <w:sz w:val="18"/>
                <w:szCs w:val="18"/>
              </w:rPr>
              <w:t>；(</w:t>
            </w:r>
            <w:r>
              <w:rPr>
                <w:rFonts w:ascii="宋体" w:hAnsi="宋体"/>
                <w:bCs/>
                <w:sz w:val="18"/>
                <w:szCs w:val="18"/>
              </w:rPr>
              <w:t>A/B)</w:t>
            </w:r>
          </w:p>
          <w:p>
            <w:pPr>
              <w:spacing w:line="360" w:lineRule="exact"/>
              <w:ind w:right="-31" w:rightChars="-15"/>
              <w:rPr>
                <w:rFonts w:ascii="宋体" w:hAnsi="宋体"/>
                <w:bCs/>
                <w:sz w:val="18"/>
                <w:szCs w:val="18"/>
              </w:rPr>
            </w:pPr>
            <w:r>
              <w:rPr>
                <w:rFonts w:hint="eastAsia" w:ascii="宋体" w:hAnsi="宋体"/>
                <w:bCs/>
                <w:sz w:val="18"/>
                <w:szCs w:val="18"/>
              </w:rPr>
              <w:t>（2）掌握基于</w:t>
            </w:r>
            <w:r>
              <w:rPr>
                <w:rFonts w:ascii="宋体" w:hAnsi="宋体"/>
                <w:bCs/>
                <w:sz w:val="18"/>
                <w:szCs w:val="18"/>
              </w:rPr>
              <w:t>MATLAB</w:t>
            </w:r>
            <w:r>
              <w:rPr>
                <w:rFonts w:hint="eastAsia" w:ascii="宋体" w:hAnsi="宋体"/>
                <w:bCs/>
                <w:sz w:val="18"/>
                <w:szCs w:val="18"/>
              </w:rPr>
              <w:t>的图像变换的实现方法。</w:t>
            </w:r>
          </w:p>
          <w:p>
            <w:pPr>
              <w:spacing w:line="360" w:lineRule="exact"/>
              <w:rPr>
                <w:rFonts w:ascii="宋体" w:hAnsi="宋体"/>
                <w:bCs/>
                <w:sz w:val="18"/>
                <w:szCs w:val="18"/>
              </w:rPr>
            </w:pPr>
            <w:r>
              <w:rPr>
                <w:rFonts w:ascii="宋体" w:hAnsi="宋体"/>
                <w:bCs/>
                <w:sz w:val="18"/>
                <w:szCs w:val="18"/>
              </w:rPr>
              <w:t>2.</w:t>
            </w:r>
            <w:r>
              <w:rPr>
                <w:rFonts w:hint="eastAsia" w:ascii="宋体" w:hAnsi="宋体"/>
                <w:bCs/>
                <w:sz w:val="18"/>
                <w:szCs w:val="18"/>
              </w:rPr>
              <w:t>作业内容</w:t>
            </w:r>
          </w:p>
          <w:p>
            <w:pPr>
              <w:spacing w:line="360" w:lineRule="exact"/>
              <w:rPr>
                <w:rFonts w:ascii="宋体" w:hAnsi="宋体"/>
                <w:bCs/>
                <w:sz w:val="18"/>
                <w:szCs w:val="18"/>
              </w:rPr>
            </w:pPr>
            <w:r>
              <w:rPr>
                <w:rFonts w:hint="eastAsia" w:ascii="宋体" w:hAnsi="宋体"/>
                <w:bCs/>
                <w:sz w:val="18"/>
                <w:szCs w:val="18"/>
              </w:rPr>
              <w:t>利用M</w:t>
            </w:r>
            <w:r>
              <w:rPr>
                <w:rFonts w:ascii="宋体" w:hAnsi="宋体"/>
                <w:bCs/>
                <w:sz w:val="18"/>
                <w:szCs w:val="18"/>
              </w:rPr>
              <w:t>ATLAB</w:t>
            </w:r>
            <w:r>
              <w:rPr>
                <w:rFonts w:hint="eastAsia" w:ascii="宋体" w:hAnsi="宋体"/>
                <w:bCs/>
                <w:sz w:val="18"/>
                <w:szCs w:val="18"/>
              </w:rPr>
              <w:t>实现图像的离散傅里叶变换、离散余弦变换和小波变换。</w:t>
            </w:r>
          </w:p>
          <w:p>
            <w:pPr>
              <w:snapToGrid w:val="0"/>
              <w:spacing w:line="300" w:lineRule="auto"/>
              <w:rPr>
                <w:rFonts w:ascii="宋体" w:hAnsi="宋体"/>
                <w:bCs/>
                <w:sz w:val="18"/>
                <w:szCs w:val="18"/>
              </w:rPr>
            </w:pPr>
            <w:r>
              <w:rPr>
                <w:rFonts w:ascii="宋体" w:hAnsi="宋体"/>
                <w:bCs/>
                <w:sz w:val="18"/>
                <w:szCs w:val="18"/>
              </w:rPr>
              <w:t xml:space="preserve">3.教学方法 </w:t>
            </w:r>
          </w:p>
          <w:p>
            <w:pPr>
              <w:snapToGrid w:val="0"/>
              <w:spacing w:line="300" w:lineRule="auto"/>
              <w:rPr>
                <w:rFonts w:ascii="宋体" w:hAnsi="宋体"/>
                <w:bCs/>
                <w:sz w:val="18"/>
                <w:szCs w:val="18"/>
              </w:rPr>
            </w:pPr>
            <w:r>
              <w:rPr>
                <w:rFonts w:ascii="宋体" w:hAnsi="宋体"/>
                <w:bCs/>
                <w:sz w:val="18"/>
                <w:szCs w:val="18"/>
              </w:rPr>
              <w:t>讲授式、讨论式、案例式与启发式相结合。</w:t>
            </w:r>
          </w:p>
        </w:tc>
        <w:tc>
          <w:tcPr>
            <w:tcW w:w="702" w:type="dxa"/>
            <w:vAlign w:val="center"/>
          </w:tcPr>
          <w:p>
            <w:pPr>
              <w:snapToGrid w:val="0"/>
              <w:spacing w:line="300" w:lineRule="auto"/>
              <w:jc w:val="center"/>
              <w:rPr>
                <w:rFonts w:ascii="宋体" w:hAnsi="宋体"/>
                <w:sz w:val="18"/>
                <w:szCs w:val="18"/>
              </w:rPr>
            </w:pPr>
            <w:r>
              <w:rPr>
                <w:rFonts w:ascii="宋体" w:hAnsi="宋体"/>
              </w:rPr>
              <w:t>4</w:t>
            </w:r>
            <w:r>
              <w:rPr>
                <w:rFonts w:ascii="宋体" w:hAnsi="宋体"/>
                <w:kern w:val="0"/>
                <w:sz w:val="18"/>
                <w:szCs w:val="18"/>
              </w:rPr>
              <w:t xml:space="preserve"> </w:t>
            </w:r>
          </w:p>
        </w:tc>
        <w:tc>
          <w:tcPr>
            <w:tcW w:w="984" w:type="dxa"/>
            <w:vAlign w:val="center"/>
          </w:tcPr>
          <w:p>
            <w:pPr>
              <w:snapToGrid w:val="0"/>
              <w:spacing w:line="300" w:lineRule="auto"/>
              <w:rPr>
                <w:rFonts w:ascii="宋体" w:hAnsi="宋体"/>
                <w:sz w:val="18"/>
                <w:szCs w:val="18"/>
              </w:rPr>
            </w:pPr>
            <w:r>
              <w:rPr>
                <w:rFonts w:hint="eastAsia"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4</w:t>
            </w:r>
          </w:p>
        </w:tc>
        <w:tc>
          <w:tcPr>
            <w:tcW w:w="3119" w:type="dxa"/>
            <w:vAlign w:val="center"/>
          </w:tcPr>
          <w:p>
            <w:pPr>
              <w:spacing w:line="300" w:lineRule="auto"/>
              <w:rPr>
                <w:rFonts w:ascii="宋体" w:hAnsi="宋体"/>
                <w:bCs/>
                <w:sz w:val="18"/>
                <w:szCs w:val="18"/>
              </w:rPr>
            </w:pPr>
            <w:r>
              <w:rPr>
                <w:rFonts w:hint="eastAsia" w:ascii="宋体" w:hAnsi="宋体"/>
                <w:bCs/>
                <w:sz w:val="18"/>
                <w:szCs w:val="18"/>
              </w:rPr>
              <w:t>4．图像编码与压缩</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 xml:space="preserve">1 </w:t>
            </w:r>
            <w:r>
              <w:rPr>
                <w:rFonts w:hint="eastAsia" w:ascii="宋体" w:hAnsi="宋体"/>
                <w:sz w:val="18"/>
                <w:szCs w:val="18"/>
              </w:rPr>
              <w:t>冗余的概念：空间冗余、时间冗余、视觉冗余、信息熵冗余、结构冗余、知识冗余。</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 xml:space="preserve">2 </w:t>
            </w:r>
            <w:r>
              <w:rPr>
                <w:rFonts w:hint="eastAsia" w:ascii="宋体" w:hAnsi="宋体"/>
                <w:sz w:val="18"/>
                <w:szCs w:val="18"/>
              </w:rPr>
              <w:t>图像保真度准则：客观保真度准则、主观保真度准则。</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3</w:t>
            </w:r>
            <w:r>
              <w:rPr>
                <w:rFonts w:hint="eastAsia" w:ascii="宋体" w:hAnsi="宋体"/>
                <w:sz w:val="18"/>
                <w:szCs w:val="18"/>
              </w:rPr>
              <w:t>无损压缩技术：行程编码，</w:t>
            </w:r>
            <w:r>
              <w:rPr>
                <w:rFonts w:ascii="宋体" w:hAnsi="宋体"/>
                <w:sz w:val="18"/>
                <w:szCs w:val="18"/>
              </w:rPr>
              <w:t>LZW</w:t>
            </w:r>
            <w:r>
              <w:rPr>
                <w:rFonts w:hint="eastAsia" w:ascii="宋体" w:hAnsi="宋体"/>
                <w:sz w:val="18"/>
                <w:szCs w:val="18"/>
              </w:rPr>
              <w:t>编码，哈夫曼编码，香农编码。</w:t>
            </w:r>
          </w:p>
          <w:p>
            <w:pPr>
              <w:spacing w:line="360" w:lineRule="exact"/>
              <w:ind w:right="-31" w:rightChars="-15"/>
              <w:rPr>
                <w:rFonts w:ascii="宋体" w:hAnsi="宋体"/>
                <w:sz w:val="18"/>
                <w:szCs w:val="18"/>
              </w:rPr>
            </w:pPr>
            <w:r>
              <w:rPr>
                <w:rFonts w:ascii="宋体" w:hAnsi="宋体"/>
                <w:sz w:val="18"/>
                <w:szCs w:val="18"/>
              </w:rPr>
              <w:t>4.</w:t>
            </w:r>
            <w:r>
              <w:rPr>
                <w:rFonts w:hint="eastAsia" w:ascii="宋体" w:hAnsi="宋体"/>
                <w:sz w:val="18"/>
                <w:szCs w:val="18"/>
              </w:rPr>
              <w:t>4</w:t>
            </w:r>
            <w:r>
              <w:rPr>
                <w:rFonts w:ascii="宋体" w:hAnsi="宋体"/>
                <w:sz w:val="18"/>
                <w:szCs w:val="18"/>
              </w:rPr>
              <w:t xml:space="preserve"> </w:t>
            </w:r>
            <w:r>
              <w:rPr>
                <w:rFonts w:hint="eastAsia" w:ascii="宋体" w:hAnsi="宋体"/>
                <w:sz w:val="18"/>
                <w:szCs w:val="18"/>
              </w:rPr>
              <w:t>无损预测编码：无损预测编码系统，一维线性预测编码。</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 xml:space="preserve">5 </w:t>
            </w:r>
            <w:r>
              <w:rPr>
                <w:rFonts w:hint="eastAsia" w:ascii="宋体" w:hAnsi="宋体"/>
                <w:sz w:val="18"/>
                <w:szCs w:val="18"/>
              </w:rPr>
              <w:t>有损预测编码：有损预测编码的系统组成。</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6</w:t>
            </w:r>
            <w:r>
              <w:rPr>
                <w:rFonts w:hint="eastAsia" w:ascii="宋体" w:hAnsi="宋体"/>
                <w:sz w:val="18"/>
                <w:szCs w:val="18"/>
              </w:rPr>
              <w:t>图像变换编码基本原理：图像变换编解码系统。</w:t>
            </w:r>
          </w:p>
          <w:p>
            <w:pPr>
              <w:spacing w:line="360" w:lineRule="exact"/>
              <w:ind w:right="-31" w:rightChars="-15"/>
              <w:rPr>
                <w:rFonts w:ascii="宋体" w:hAnsi="宋体"/>
                <w:sz w:val="18"/>
                <w:szCs w:val="18"/>
              </w:rPr>
            </w:pPr>
            <w:r>
              <w:rPr>
                <w:rFonts w:hint="eastAsia" w:ascii="宋体" w:hAnsi="宋体"/>
                <w:sz w:val="18"/>
                <w:szCs w:val="18"/>
              </w:rPr>
              <w:t>4.</w:t>
            </w:r>
            <w:r>
              <w:rPr>
                <w:rFonts w:ascii="宋体" w:hAnsi="宋体"/>
                <w:sz w:val="18"/>
                <w:szCs w:val="18"/>
              </w:rPr>
              <w:t xml:space="preserve">7 </w:t>
            </w:r>
            <w:r>
              <w:rPr>
                <w:rFonts w:hint="eastAsia" w:ascii="宋体" w:hAnsi="宋体"/>
                <w:sz w:val="18"/>
                <w:szCs w:val="18"/>
              </w:rPr>
              <w:t>视频图像编码简介：</w:t>
            </w:r>
            <w:r>
              <w:rPr>
                <w:rFonts w:ascii="宋体" w:hAnsi="宋体"/>
                <w:sz w:val="18"/>
                <w:szCs w:val="18"/>
              </w:rPr>
              <w:t>JPEG</w:t>
            </w:r>
            <w:r>
              <w:rPr>
                <w:rFonts w:hint="eastAsia" w:ascii="宋体" w:hAnsi="宋体"/>
                <w:sz w:val="18"/>
                <w:szCs w:val="18"/>
              </w:rPr>
              <w:t>标准，</w:t>
            </w:r>
            <w:r>
              <w:rPr>
                <w:rFonts w:ascii="宋体" w:hAnsi="宋体"/>
                <w:sz w:val="18"/>
                <w:szCs w:val="18"/>
              </w:rPr>
              <w:t>MPEG</w:t>
            </w:r>
            <w:r>
              <w:rPr>
                <w:rFonts w:hint="eastAsia" w:ascii="宋体" w:hAnsi="宋体"/>
                <w:sz w:val="18"/>
                <w:szCs w:val="18"/>
              </w:rPr>
              <w:t>标准，</w:t>
            </w:r>
            <w:r>
              <w:rPr>
                <w:rFonts w:ascii="宋体" w:hAnsi="宋体"/>
                <w:sz w:val="18"/>
                <w:szCs w:val="18"/>
              </w:rPr>
              <w:t>H.261</w:t>
            </w:r>
            <w:r>
              <w:rPr>
                <w:rFonts w:hint="eastAsia" w:ascii="宋体" w:hAnsi="宋体"/>
                <w:sz w:val="18"/>
                <w:szCs w:val="18"/>
              </w:rPr>
              <w:t>标准。</w:t>
            </w:r>
          </w:p>
        </w:tc>
        <w:tc>
          <w:tcPr>
            <w:tcW w:w="2928" w:type="dxa"/>
            <w:vAlign w:val="center"/>
          </w:tcPr>
          <w:p>
            <w:pPr>
              <w:spacing w:line="360" w:lineRule="exact"/>
              <w:ind w:right="-31" w:rightChars="-15"/>
              <w:rPr>
                <w:rFonts w:ascii="宋体" w:hAnsi="宋体"/>
                <w:bCs/>
                <w:sz w:val="18"/>
                <w:szCs w:val="18"/>
              </w:rPr>
            </w:pPr>
            <w:r>
              <w:rPr>
                <w:rFonts w:hint="eastAsia" w:ascii="宋体" w:hAnsi="宋体"/>
                <w:bCs/>
                <w:sz w:val="18"/>
                <w:szCs w:val="18"/>
              </w:rPr>
              <w:t>1.要求</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）了解图像保真度准则，视频图像编码；</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）理解冗余的概念，无损预测编码，有损预测编码，图像变换编码基本原理（</w:t>
            </w:r>
            <w:r>
              <w:rPr>
                <w:rFonts w:ascii="宋体" w:hAnsi="宋体"/>
                <w:bCs/>
                <w:sz w:val="18"/>
                <w:szCs w:val="18"/>
              </w:rPr>
              <w:t>A</w:t>
            </w:r>
            <w:r>
              <w:rPr>
                <w:rFonts w:hint="eastAsia" w:ascii="宋体" w:hAnsi="宋体"/>
                <w:bCs/>
                <w:sz w:val="18"/>
                <w:szCs w:val="18"/>
              </w:rPr>
              <w:t>）；</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）掌握行程编码，</w:t>
            </w:r>
            <w:r>
              <w:rPr>
                <w:rFonts w:ascii="宋体" w:hAnsi="宋体"/>
                <w:bCs/>
                <w:sz w:val="18"/>
                <w:szCs w:val="18"/>
              </w:rPr>
              <w:t>LZW</w:t>
            </w:r>
            <w:r>
              <w:rPr>
                <w:rFonts w:hint="eastAsia" w:ascii="宋体" w:hAnsi="宋体"/>
                <w:bCs/>
                <w:sz w:val="18"/>
                <w:szCs w:val="18"/>
              </w:rPr>
              <w:t>编码，哈夫曼编码，香农编码；(</w:t>
            </w:r>
            <w:r>
              <w:rPr>
                <w:rFonts w:ascii="宋体" w:hAnsi="宋体"/>
                <w:bCs/>
                <w:sz w:val="18"/>
                <w:szCs w:val="18"/>
              </w:rPr>
              <w:t>A/B)</w:t>
            </w:r>
          </w:p>
          <w:p>
            <w:pPr>
              <w:spacing w:line="360" w:lineRule="exact"/>
              <w:ind w:right="-31" w:rightChars="-15"/>
              <w:rPr>
                <w:rFonts w:ascii="宋体" w:hAnsi="宋体"/>
                <w:bCs/>
                <w:sz w:val="18"/>
                <w:szCs w:val="18"/>
              </w:rPr>
            </w:pPr>
            <w:r>
              <w:rPr>
                <w:rFonts w:hint="eastAsia" w:ascii="宋体" w:hAnsi="宋体"/>
                <w:bCs/>
                <w:sz w:val="18"/>
                <w:szCs w:val="18"/>
              </w:rPr>
              <w:t>（4）掌握基于M</w:t>
            </w:r>
            <w:r>
              <w:rPr>
                <w:rFonts w:ascii="宋体" w:hAnsi="宋体"/>
                <w:bCs/>
                <w:sz w:val="18"/>
                <w:szCs w:val="18"/>
              </w:rPr>
              <w:t>ATLAB</w:t>
            </w:r>
            <w:r>
              <w:rPr>
                <w:rFonts w:hint="eastAsia" w:ascii="宋体" w:hAnsi="宋体"/>
                <w:bCs/>
                <w:sz w:val="18"/>
                <w:szCs w:val="18"/>
              </w:rPr>
              <w:t>对图像编码的实现方法。</w:t>
            </w:r>
          </w:p>
          <w:p>
            <w:pPr>
              <w:spacing w:line="360" w:lineRule="exact"/>
              <w:rPr>
                <w:rFonts w:ascii="宋体" w:hAnsi="宋体"/>
                <w:bCs/>
                <w:sz w:val="18"/>
                <w:szCs w:val="18"/>
              </w:rPr>
            </w:pPr>
            <w:r>
              <w:rPr>
                <w:rFonts w:ascii="宋体" w:hAnsi="宋体"/>
                <w:bCs/>
                <w:sz w:val="18"/>
                <w:szCs w:val="18"/>
              </w:rPr>
              <w:t>2.</w:t>
            </w:r>
            <w:r>
              <w:rPr>
                <w:rFonts w:hint="eastAsia" w:ascii="宋体" w:hAnsi="宋体"/>
                <w:bCs/>
                <w:sz w:val="18"/>
                <w:szCs w:val="18"/>
              </w:rPr>
              <w:t>作业要求</w:t>
            </w:r>
          </w:p>
          <w:p>
            <w:pPr>
              <w:spacing w:line="360" w:lineRule="exact"/>
              <w:rPr>
                <w:rFonts w:ascii="宋体" w:hAnsi="宋体"/>
                <w:sz w:val="18"/>
                <w:szCs w:val="18"/>
              </w:rPr>
            </w:pPr>
            <w:r>
              <w:rPr>
                <w:rFonts w:hint="eastAsia" w:ascii="宋体" w:hAnsi="宋体"/>
                <w:sz w:val="18"/>
                <w:szCs w:val="18"/>
              </w:rPr>
              <w:t>利用M</w:t>
            </w:r>
            <w:r>
              <w:rPr>
                <w:rFonts w:ascii="宋体" w:hAnsi="宋体"/>
                <w:sz w:val="18"/>
                <w:szCs w:val="18"/>
              </w:rPr>
              <w:t>ATLAB</w:t>
            </w:r>
            <w:r>
              <w:rPr>
                <w:rFonts w:hint="eastAsia" w:ascii="宋体" w:hAnsi="宋体"/>
                <w:sz w:val="18"/>
                <w:szCs w:val="18"/>
              </w:rPr>
              <w:t>对图像进行行程编码、L</w:t>
            </w:r>
            <w:r>
              <w:rPr>
                <w:rFonts w:ascii="宋体" w:hAnsi="宋体"/>
                <w:sz w:val="18"/>
                <w:szCs w:val="18"/>
              </w:rPr>
              <w:t>ZW</w:t>
            </w:r>
            <w:r>
              <w:rPr>
                <w:rFonts w:hint="eastAsia" w:ascii="宋体" w:hAnsi="宋体"/>
                <w:sz w:val="18"/>
                <w:szCs w:val="18"/>
              </w:rPr>
              <w:t>编码、哈夫曼编码和香农编码。</w:t>
            </w:r>
          </w:p>
          <w:p>
            <w:pPr>
              <w:snapToGrid w:val="0"/>
              <w:spacing w:line="300" w:lineRule="auto"/>
              <w:rPr>
                <w:rFonts w:ascii="宋体" w:hAnsi="宋体"/>
                <w:sz w:val="18"/>
                <w:szCs w:val="18"/>
              </w:rPr>
            </w:pPr>
            <w:r>
              <w:rPr>
                <w:rFonts w:ascii="宋体" w:hAnsi="宋体"/>
                <w:sz w:val="18"/>
                <w:szCs w:val="18"/>
              </w:rPr>
              <w:t xml:space="preserve">3.教学方法 </w:t>
            </w:r>
          </w:p>
          <w:p>
            <w:pPr>
              <w:snapToGrid w:val="0"/>
              <w:spacing w:line="300" w:lineRule="auto"/>
              <w:rPr>
                <w:rFonts w:ascii="宋体" w:hAnsi="宋体"/>
                <w:sz w:val="18"/>
                <w:szCs w:val="18"/>
              </w:rPr>
            </w:pPr>
            <w:r>
              <w:rPr>
                <w:rFonts w:ascii="宋体" w:hAnsi="宋体"/>
                <w:sz w:val="18"/>
                <w:szCs w:val="18"/>
              </w:rPr>
              <w:t>讲授式、讨论式与启发式相结合。</w:t>
            </w:r>
          </w:p>
        </w:tc>
        <w:tc>
          <w:tcPr>
            <w:tcW w:w="702" w:type="dxa"/>
            <w:vAlign w:val="center"/>
          </w:tcPr>
          <w:p>
            <w:pPr>
              <w:snapToGrid w:val="0"/>
              <w:spacing w:line="300" w:lineRule="auto"/>
              <w:jc w:val="center"/>
              <w:rPr>
                <w:rFonts w:ascii="宋体" w:hAnsi="宋体"/>
                <w:sz w:val="18"/>
                <w:szCs w:val="18"/>
              </w:rPr>
            </w:pPr>
            <w:r>
              <w:rPr>
                <w:rFonts w:hint="eastAsia" w:ascii="宋体" w:hAnsi="宋体"/>
              </w:rPr>
              <w:t>4</w:t>
            </w:r>
            <w:r>
              <w:rPr>
                <w:rFonts w:ascii="宋体" w:hAnsi="宋体"/>
                <w:kern w:val="0"/>
                <w:sz w:val="18"/>
                <w:szCs w:val="18"/>
              </w:rPr>
              <w:t xml:space="preserve"> </w:t>
            </w:r>
          </w:p>
        </w:tc>
        <w:tc>
          <w:tcPr>
            <w:tcW w:w="984" w:type="dxa"/>
            <w:vAlign w:val="center"/>
          </w:tcPr>
          <w:p>
            <w:pPr>
              <w:snapToGrid w:val="0"/>
              <w:spacing w:line="300" w:lineRule="auto"/>
              <w:rPr>
                <w:rFonts w:ascii="宋体" w:hAnsi="宋体"/>
                <w:sz w:val="18"/>
                <w:szCs w:val="18"/>
              </w:rPr>
            </w:pPr>
            <w:r>
              <w:rPr>
                <w:rFonts w:hint="eastAsia"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5</w:t>
            </w:r>
          </w:p>
        </w:tc>
        <w:tc>
          <w:tcPr>
            <w:tcW w:w="3119" w:type="dxa"/>
            <w:vAlign w:val="center"/>
          </w:tcPr>
          <w:p>
            <w:pPr>
              <w:rPr>
                <w:rFonts w:ascii="宋体" w:hAnsi="宋体"/>
                <w:bCs/>
                <w:sz w:val="18"/>
                <w:szCs w:val="18"/>
              </w:rPr>
            </w:pPr>
            <w:r>
              <w:rPr>
                <w:rFonts w:hint="eastAsia" w:ascii="宋体" w:hAnsi="宋体"/>
                <w:bCs/>
                <w:sz w:val="18"/>
                <w:szCs w:val="18"/>
              </w:rPr>
              <w:t>5．图像增强</w:t>
            </w:r>
          </w:p>
          <w:p>
            <w:pPr>
              <w:spacing w:line="360" w:lineRule="exact"/>
              <w:ind w:right="-31" w:rightChars="-15"/>
              <w:rPr>
                <w:rFonts w:ascii="宋体" w:hAnsi="宋体"/>
                <w:sz w:val="18"/>
                <w:szCs w:val="18"/>
              </w:rPr>
            </w:pPr>
            <w:r>
              <w:rPr>
                <w:rFonts w:hint="eastAsia" w:ascii="宋体" w:hAnsi="宋体"/>
                <w:sz w:val="18"/>
                <w:szCs w:val="18"/>
              </w:rPr>
              <w:t>5.1</w:t>
            </w:r>
            <w:r>
              <w:rPr>
                <w:rFonts w:ascii="宋体" w:hAnsi="宋体"/>
                <w:sz w:val="18"/>
                <w:szCs w:val="18"/>
              </w:rPr>
              <w:t xml:space="preserve"> </w:t>
            </w:r>
            <w:r>
              <w:rPr>
                <w:rFonts w:hint="eastAsia" w:ascii="宋体" w:hAnsi="宋体"/>
                <w:sz w:val="18"/>
                <w:szCs w:val="18"/>
              </w:rPr>
              <w:t>图像增强：空间域图像增强，灰度变换，直方图修正，空间域平滑；频率域增强，低通滤波，高通滤波。</w:t>
            </w:r>
          </w:p>
          <w:p>
            <w:pPr>
              <w:spacing w:line="360" w:lineRule="exact"/>
              <w:ind w:right="-31" w:rightChars="-15"/>
              <w:rPr>
                <w:rFonts w:ascii="宋体" w:hAnsi="宋体"/>
                <w:sz w:val="18"/>
                <w:szCs w:val="18"/>
              </w:rPr>
            </w:pPr>
            <w:r>
              <w:rPr>
                <w:rFonts w:hint="eastAsia" w:ascii="宋体" w:hAnsi="宋体"/>
                <w:sz w:val="18"/>
                <w:szCs w:val="18"/>
              </w:rPr>
              <w:t>5.2</w:t>
            </w:r>
            <w:r>
              <w:rPr>
                <w:rFonts w:ascii="宋体" w:hAnsi="宋体"/>
                <w:sz w:val="18"/>
                <w:szCs w:val="18"/>
              </w:rPr>
              <w:t xml:space="preserve"> </w:t>
            </w:r>
            <w:r>
              <w:rPr>
                <w:rFonts w:hint="eastAsia" w:ascii="宋体" w:hAnsi="宋体"/>
                <w:sz w:val="18"/>
                <w:szCs w:val="18"/>
              </w:rPr>
              <w:t>彩色增强技术：伪彩色增强，假彩色增强。</w:t>
            </w:r>
          </w:p>
          <w:p>
            <w:pPr>
              <w:snapToGrid w:val="0"/>
              <w:spacing w:line="300" w:lineRule="auto"/>
              <w:rPr>
                <w:rFonts w:ascii="宋体" w:hAnsi="宋体"/>
                <w:sz w:val="18"/>
                <w:szCs w:val="18"/>
              </w:rPr>
            </w:pPr>
          </w:p>
        </w:tc>
        <w:tc>
          <w:tcPr>
            <w:tcW w:w="2928" w:type="dxa"/>
            <w:vAlign w:val="center"/>
          </w:tcPr>
          <w:p>
            <w:pPr>
              <w:spacing w:line="360" w:lineRule="exact"/>
              <w:ind w:right="-31" w:rightChars="-15"/>
              <w:rPr>
                <w:rFonts w:ascii="宋体" w:hAnsi="宋体"/>
                <w:bCs/>
                <w:sz w:val="18"/>
                <w:szCs w:val="18"/>
              </w:rPr>
            </w:pPr>
            <w:r>
              <w:rPr>
                <w:rFonts w:hint="eastAsia" w:ascii="宋体" w:hAnsi="宋体"/>
                <w:bCs/>
                <w:sz w:val="18"/>
                <w:szCs w:val="18"/>
              </w:rPr>
              <w:t>1.要求</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）掌握图像增强技术，包括空间域增强和频率域增强；(</w:t>
            </w:r>
            <w:r>
              <w:rPr>
                <w:rFonts w:ascii="宋体" w:hAnsi="宋体"/>
                <w:bCs/>
                <w:sz w:val="18"/>
                <w:szCs w:val="18"/>
              </w:rPr>
              <w:t>A)</w:t>
            </w:r>
          </w:p>
          <w:p>
            <w:pPr>
              <w:spacing w:line="360" w:lineRule="exact"/>
              <w:ind w:right="-31" w:rightChars="-15"/>
              <w:rPr>
                <w:rFonts w:ascii="宋体" w:hAnsi="宋体"/>
                <w:bCs/>
                <w:sz w:val="18"/>
                <w:szCs w:val="18"/>
              </w:rPr>
            </w:pPr>
            <w:r>
              <w:rPr>
                <w:rFonts w:hint="eastAsia" w:ascii="宋体" w:hAnsi="宋体"/>
                <w:bCs/>
                <w:sz w:val="18"/>
                <w:szCs w:val="18"/>
              </w:rPr>
              <w:t>（2）掌握彩色图像增强技术；(</w:t>
            </w:r>
            <w:r>
              <w:rPr>
                <w:rFonts w:ascii="宋体" w:hAnsi="宋体"/>
                <w:bCs/>
                <w:sz w:val="18"/>
                <w:szCs w:val="18"/>
              </w:rPr>
              <w:t>B)</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）掌握基于M</w:t>
            </w:r>
            <w:r>
              <w:rPr>
                <w:rFonts w:ascii="宋体" w:hAnsi="宋体"/>
                <w:bCs/>
                <w:sz w:val="18"/>
                <w:szCs w:val="18"/>
              </w:rPr>
              <w:t>ATLAB</w:t>
            </w:r>
            <w:r>
              <w:rPr>
                <w:rFonts w:hint="eastAsia" w:ascii="宋体" w:hAnsi="宋体"/>
                <w:bCs/>
                <w:sz w:val="18"/>
                <w:szCs w:val="18"/>
              </w:rPr>
              <w:t>的图像增强和图像复原实现方法。</w:t>
            </w:r>
          </w:p>
          <w:p>
            <w:pPr>
              <w:spacing w:line="360" w:lineRule="exact"/>
              <w:rPr>
                <w:rFonts w:ascii="宋体" w:hAnsi="宋体"/>
                <w:bCs/>
                <w:sz w:val="18"/>
                <w:szCs w:val="18"/>
              </w:rPr>
            </w:pPr>
            <w:r>
              <w:rPr>
                <w:rFonts w:ascii="宋体" w:hAnsi="宋体"/>
                <w:bCs/>
                <w:sz w:val="18"/>
                <w:szCs w:val="18"/>
              </w:rPr>
              <w:t>2.</w:t>
            </w:r>
            <w:r>
              <w:rPr>
                <w:rFonts w:hint="eastAsia" w:ascii="宋体" w:hAnsi="宋体"/>
                <w:bCs/>
                <w:sz w:val="18"/>
                <w:szCs w:val="18"/>
              </w:rPr>
              <w:t>作业内容</w:t>
            </w:r>
          </w:p>
          <w:p>
            <w:pPr>
              <w:spacing w:line="360" w:lineRule="exact"/>
              <w:rPr>
                <w:rFonts w:ascii="宋体" w:hAnsi="宋体"/>
                <w:bCs/>
                <w:sz w:val="18"/>
                <w:szCs w:val="18"/>
              </w:rPr>
            </w:pPr>
            <w:r>
              <w:rPr>
                <w:rFonts w:hint="eastAsia" w:ascii="宋体" w:hAnsi="宋体"/>
                <w:bCs/>
                <w:sz w:val="18"/>
                <w:szCs w:val="18"/>
              </w:rPr>
              <w:t>（1）利用M</w:t>
            </w:r>
            <w:r>
              <w:rPr>
                <w:rFonts w:ascii="宋体" w:hAnsi="宋体"/>
                <w:bCs/>
                <w:sz w:val="18"/>
                <w:szCs w:val="18"/>
              </w:rPr>
              <w:t>ATLAB</w:t>
            </w:r>
            <w:r>
              <w:rPr>
                <w:rFonts w:hint="eastAsia" w:ascii="宋体" w:hAnsi="宋体"/>
                <w:bCs/>
                <w:sz w:val="18"/>
                <w:szCs w:val="18"/>
              </w:rPr>
              <w:t>实现图像增强；</w:t>
            </w:r>
          </w:p>
          <w:p>
            <w:pPr>
              <w:snapToGrid w:val="0"/>
              <w:spacing w:line="300" w:lineRule="auto"/>
              <w:rPr>
                <w:rFonts w:ascii="宋体" w:hAnsi="宋体"/>
                <w:bCs/>
                <w:sz w:val="18"/>
                <w:szCs w:val="18"/>
              </w:rPr>
            </w:pPr>
            <w:r>
              <w:rPr>
                <w:rFonts w:hint="eastAsia" w:ascii="宋体" w:hAnsi="宋体"/>
                <w:bCs/>
                <w:sz w:val="18"/>
                <w:szCs w:val="18"/>
              </w:rPr>
              <w:t>（2）利用M</w:t>
            </w:r>
            <w:r>
              <w:rPr>
                <w:rFonts w:ascii="宋体" w:hAnsi="宋体"/>
                <w:bCs/>
                <w:sz w:val="18"/>
                <w:szCs w:val="18"/>
              </w:rPr>
              <w:t>ATLAB</w:t>
            </w:r>
            <w:r>
              <w:rPr>
                <w:rFonts w:hint="eastAsia" w:ascii="宋体" w:hAnsi="宋体"/>
                <w:bCs/>
                <w:sz w:val="18"/>
                <w:szCs w:val="18"/>
              </w:rPr>
              <w:t>对彩色图像进行增强。</w:t>
            </w:r>
          </w:p>
          <w:p>
            <w:pPr>
              <w:snapToGrid w:val="0"/>
              <w:spacing w:line="300" w:lineRule="auto"/>
              <w:rPr>
                <w:rFonts w:ascii="宋体" w:hAnsi="宋体"/>
                <w:bCs/>
                <w:sz w:val="18"/>
                <w:szCs w:val="18"/>
              </w:rPr>
            </w:pPr>
            <w:r>
              <w:rPr>
                <w:rFonts w:ascii="宋体" w:hAnsi="宋体"/>
                <w:bCs/>
                <w:sz w:val="18"/>
                <w:szCs w:val="18"/>
              </w:rPr>
              <w:t xml:space="preserve">3.教学方法 </w:t>
            </w:r>
          </w:p>
          <w:p>
            <w:pPr>
              <w:snapToGrid w:val="0"/>
              <w:spacing w:line="300" w:lineRule="auto"/>
              <w:rPr>
                <w:rFonts w:ascii="宋体" w:hAnsi="宋体"/>
                <w:bCs/>
                <w:sz w:val="18"/>
                <w:szCs w:val="18"/>
              </w:rPr>
            </w:pPr>
            <w:r>
              <w:rPr>
                <w:rFonts w:ascii="宋体" w:hAnsi="宋体"/>
                <w:bCs/>
                <w:sz w:val="18"/>
                <w:szCs w:val="18"/>
              </w:rPr>
              <w:t>讲授式、讨论式、案例式与启发式相结合。</w:t>
            </w:r>
          </w:p>
        </w:tc>
        <w:tc>
          <w:tcPr>
            <w:tcW w:w="702" w:type="dxa"/>
            <w:vAlign w:val="center"/>
          </w:tcPr>
          <w:p>
            <w:pPr>
              <w:snapToGrid w:val="0"/>
              <w:spacing w:line="300" w:lineRule="auto"/>
              <w:jc w:val="center"/>
              <w:rPr>
                <w:rFonts w:ascii="宋体" w:hAnsi="宋体"/>
                <w:sz w:val="18"/>
                <w:szCs w:val="18"/>
              </w:rPr>
            </w:pPr>
            <w:r>
              <w:rPr>
                <w:rFonts w:hint="eastAsia" w:ascii="宋体" w:hAnsi="宋体"/>
              </w:rPr>
              <w:t>6</w:t>
            </w:r>
          </w:p>
        </w:tc>
        <w:tc>
          <w:tcPr>
            <w:tcW w:w="984" w:type="dxa"/>
            <w:vAlign w:val="center"/>
          </w:tcPr>
          <w:p>
            <w:pPr>
              <w:snapToGrid w:val="0"/>
              <w:spacing w:line="300" w:lineRule="auto"/>
              <w:rPr>
                <w:rFonts w:ascii="宋体" w:hAnsi="宋体"/>
                <w:sz w:val="18"/>
                <w:szCs w:val="18"/>
              </w:rPr>
            </w:pPr>
            <w:r>
              <w:rPr>
                <w:rFonts w:hint="eastAsia"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3" w:type="dxa"/>
            <w:tcMar>
              <w:left w:w="57" w:type="dxa"/>
              <w:right w:w="57" w:type="dxa"/>
            </w:tcMar>
            <w:vAlign w:val="center"/>
          </w:tcPr>
          <w:p>
            <w:pPr>
              <w:snapToGrid w:val="0"/>
              <w:spacing w:line="300" w:lineRule="auto"/>
              <w:rPr>
                <w:rFonts w:ascii="宋体" w:hAnsi="宋体"/>
                <w:sz w:val="18"/>
                <w:szCs w:val="18"/>
              </w:rPr>
            </w:pPr>
            <w:r>
              <w:rPr>
                <w:rFonts w:ascii="宋体" w:hAnsi="宋体"/>
                <w:sz w:val="18"/>
                <w:szCs w:val="18"/>
              </w:rPr>
              <w:t>6</w:t>
            </w:r>
          </w:p>
        </w:tc>
        <w:tc>
          <w:tcPr>
            <w:tcW w:w="3119" w:type="dxa"/>
            <w:vAlign w:val="center"/>
          </w:tcPr>
          <w:p>
            <w:pPr>
              <w:rPr>
                <w:rFonts w:ascii="宋体" w:hAnsi="宋体"/>
                <w:bCs/>
                <w:sz w:val="18"/>
                <w:szCs w:val="18"/>
              </w:rPr>
            </w:pPr>
            <w:r>
              <w:rPr>
                <w:rFonts w:hint="eastAsia" w:ascii="宋体" w:hAnsi="宋体"/>
                <w:bCs/>
                <w:sz w:val="18"/>
                <w:szCs w:val="18"/>
              </w:rPr>
              <w:t>6.图像边缘提取与分割</w:t>
            </w:r>
          </w:p>
          <w:p>
            <w:pPr>
              <w:spacing w:line="360" w:lineRule="exact"/>
              <w:ind w:right="-31" w:rightChars="-15"/>
              <w:rPr>
                <w:rFonts w:ascii="宋体" w:hAnsi="宋体"/>
                <w:sz w:val="18"/>
                <w:szCs w:val="18"/>
              </w:rPr>
            </w:pPr>
            <w:r>
              <w:rPr>
                <w:rFonts w:hint="eastAsia" w:ascii="宋体" w:hAnsi="宋体"/>
                <w:sz w:val="18"/>
                <w:szCs w:val="18"/>
              </w:rPr>
              <w:t>6.</w:t>
            </w:r>
            <w:r>
              <w:rPr>
                <w:rFonts w:ascii="宋体" w:hAnsi="宋体"/>
                <w:sz w:val="18"/>
                <w:szCs w:val="18"/>
              </w:rPr>
              <w:t xml:space="preserve">1 </w:t>
            </w:r>
            <w:r>
              <w:rPr>
                <w:rFonts w:hint="eastAsia" w:ascii="宋体" w:hAnsi="宋体"/>
                <w:sz w:val="18"/>
                <w:szCs w:val="18"/>
              </w:rPr>
              <w:t>图像分割的基本方法：直方图分割与图像二值化；使用阈值进行图像分割。</w:t>
            </w:r>
          </w:p>
          <w:p>
            <w:pPr>
              <w:snapToGrid w:val="0"/>
              <w:spacing w:line="300" w:lineRule="auto"/>
              <w:rPr>
                <w:rFonts w:ascii="宋体" w:hAnsi="宋体"/>
                <w:sz w:val="18"/>
                <w:szCs w:val="18"/>
              </w:rPr>
            </w:pPr>
            <w:r>
              <w:rPr>
                <w:rFonts w:hint="eastAsia" w:ascii="宋体" w:hAnsi="宋体"/>
                <w:sz w:val="18"/>
                <w:szCs w:val="18"/>
              </w:rPr>
              <w:t>6.</w:t>
            </w:r>
            <w:r>
              <w:rPr>
                <w:rFonts w:ascii="宋体" w:hAnsi="宋体"/>
                <w:sz w:val="18"/>
                <w:szCs w:val="18"/>
              </w:rPr>
              <w:t xml:space="preserve">2 </w:t>
            </w:r>
            <w:r>
              <w:rPr>
                <w:rFonts w:hint="eastAsia" w:ascii="宋体" w:hAnsi="宋体"/>
                <w:sz w:val="18"/>
                <w:szCs w:val="18"/>
              </w:rPr>
              <w:t>边缘图像及分类：边缘检测算子，边缘检测算子的对比。</w:t>
            </w:r>
          </w:p>
        </w:tc>
        <w:tc>
          <w:tcPr>
            <w:tcW w:w="2928" w:type="dxa"/>
            <w:vAlign w:val="center"/>
          </w:tcPr>
          <w:p>
            <w:pPr>
              <w:spacing w:line="360" w:lineRule="exact"/>
              <w:ind w:right="-31" w:rightChars="-15"/>
              <w:rPr>
                <w:rFonts w:ascii="宋体" w:hAnsi="宋体"/>
                <w:bCs/>
                <w:sz w:val="18"/>
                <w:szCs w:val="18"/>
              </w:rPr>
            </w:pPr>
            <w:r>
              <w:rPr>
                <w:rFonts w:hint="eastAsia" w:ascii="宋体" w:hAnsi="宋体"/>
                <w:bCs/>
                <w:sz w:val="18"/>
                <w:szCs w:val="18"/>
              </w:rPr>
              <w:t>1.要求</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）掌握图像直方图分割的基本方法；（A）</w:t>
            </w:r>
          </w:p>
          <w:p>
            <w:pPr>
              <w:spacing w:line="360" w:lineRule="exact"/>
              <w:ind w:right="-31" w:rightChars="-15"/>
              <w:rPr>
                <w:rFonts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）掌握边缘检测算子，边缘检测方法；(</w:t>
            </w:r>
            <w:r>
              <w:rPr>
                <w:rFonts w:ascii="宋体" w:hAnsi="宋体"/>
                <w:bCs/>
                <w:sz w:val="18"/>
                <w:szCs w:val="18"/>
              </w:rPr>
              <w:t>A</w:t>
            </w:r>
            <w:r>
              <w:rPr>
                <w:rFonts w:hint="eastAsia" w:ascii="宋体" w:hAnsi="宋体"/>
                <w:bCs/>
                <w:sz w:val="18"/>
                <w:szCs w:val="18"/>
              </w:rPr>
              <w:t>/</w:t>
            </w:r>
            <w:r>
              <w:rPr>
                <w:rFonts w:ascii="宋体" w:hAnsi="宋体"/>
                <w:bCs/>
                <w:sz w:val="18"/>
                <w:szCs w:val="18"/>
              </w:rPr>
              <w:t>B)</w:t>
            </w:r>
          </w:p>
          <w:p>
            <w:pPr>
              <w:spacing w:line="360" w:lineRule="exact"/>
              <w:ind w:right="-31" w:rightChars="-15"/>
              <w:rPr>
                <w:rFonts w:ascii="宋体" w:hAnsi="宋体"/>
                <w:bCs/>
                <w:sz w:val="18"/>
                <w:szCs w:val="18"/>
              </w:rPr>
            </w:pPr>
            <w:r>
              <w:rPr>
                <w:rFonts w:hint="eastAsia" w:ascii="宋体" w:hAnsi="宋体"/>
                <w:bCs/>
                <w:sz w:val="18"/>
                <w:szCs w:val="18"/>
              </w:rPr>
              <w:t>（3）掌握基于M</w:t>
            </w:r>
            <w:r>
              <w:rPr>
                <w:rFonts w:ascii="宋体" w:hAnsi="宋体"/>
                <w:bCs/>
                <w:sz w:val="18"/>
                <w:szCs w:val="18"/>
              </w:rPr>
              <w:t>ATLAB</w:t>
            </w:r>
            <w:r>
              <w:rPr>
                <w:rFonts w:hint="eastAsia" w:ascii="宋体" w:hAnsi="宋体"/>
                <w:bCs/>
                <w:sz w:val="18"/>
                <w:szCs w:val="18"/>
              </w:rPr>
              <w:t>的图像边缘检测与分割技术。</w:t>
            </w:r>
          </w:p>
          <w:p>
            <w:pPr>
              <w:spacing w:line="360" w:lineRule="exact"/>
              <w:ind w:right="-31" w:rightChars="-15"/>
              <w:rPr>
                <w:rFonts w:ascii="宋体" w:hAnsi="宋体"/>
                <w:bCs/>
                <w:sz w:val="18"/>
                <w:szCs w:val="18"/>
              </w:rPr>
            </w:pPr>
            <w:r>
              <w:rPr>
                <w:rFonts w:hint="eastAsia" w:ascii="宋体" w:hAnsi="宋体"/>
                <w:bCs/>
                <w:sz w:val="18"/>
                <w:szCs w:val="18"/>
              </w:rPr>
              <w:t>2.</w:t>
            </w:r>
            <w:r>
              <w:rPr>
                <w:rFonts w:ascii="宋体" w:hAnsi="宋体"/>
                <w:bCs/>
                <w:sz w:val="18"/>
                <w:szCs w:val="18"/>
              </w:rPr>
              <w:t xml:space="preserve"> </w:t>
            </w:r>
            <w:r>
              <w:rPr>
                <w:rFonts w:hint="eastAsia" w:ascii="宋体" w:hAnsi="宋体"/>
                <w:bCs/>
                <w:sz w:val="18"/>
                <w:szCs w:val="18"/>
              </w:rPr>
              <w:t>作业内容</w:t>
            </w:r>
          </w:p>
          <w:p>
            <w:pPr>
              <w:snapToGrid w:val="0"/>
              <w:spacing w:line="300" w:lineRule="auto"/>
              <w:rPr>
                <w:rFonts w:ascii="宋体" w:hAnsi="宋体"/>
                <w:bCs/>
                <w:sz w:val="18"/>
                <w:szCs w:val="18"/>
              </w:rPr>
            </w:pPr>
            <w:r>
              <w:rPr>
                <w:rFonts w:hint="eastAsia" w:ascii="宋体" w:hAnsi="宋体"/>
                <w:bCs/>
                <w:sz w:val="18"/>
                <w:szCs w:val="18"/>
              </w:rPr>
              <w:t>利用M</w:t>
            </w:r>
            <w:r>
              <w:rPr>
                <w:rFonts w:ascii="宋体" w:hAnsi="宋体"/>
                <w:bCs/>
                <w:sz w:val="18"/>
                <w:szCs w:val="18"/>
              </w:rPr>
              <w:t>ATLAB</w:t>
            </w:r>
            <w:r>
              <w:rPr>
                <w:rFonts w:hint="eastAsia" w:ascii="宋体" w:hAnsi="宋体"/>
                <w:bCs/>
                <w:sz w:val="18"/>
                <w:szCs w:val="18"/>
              </w:rPr>
              <w:t>实现图像边缘提取与分割。</w:t>
            </w:r>
          </w:p>
          <w:p>
            <w:pPr>
              <w:snapToGrid w:val="0"/>
              <w:spacing w:line="300" w:lineRule="auto"/>
              <w:rPr>
                <w:rFonts w:ascii="宋体" w:hAnsi="宋体"/>
                <w:bCs/>
                <w:sz w:val="18"/>
                <w:szCs w:val="18"/>
              </w:rPr>
            </w:pPr>
            <w:r>
              <w:rPr>
                <w:rFonts w:ascii="宋体" w:hAnsi="宋体"/>
                <w:bCs/>
                <w:sz w:val="18"/>
                <w:szCs w:val="18"/>
              </w:rPr>
              <w:t xml:space="preserve">3.教学方法 </w:t>
            </w:r>
          </w:p>
          <w:p>
            <w:pPr>
              <w:snapToGrid w:val="0"/>
              <w:spacing w:line="300" w:lineRule="auto"/>
              <w:rPr>
                <w:rFonts w:ascii="宋体" w:hAnsi="宋体"/>
                <w:bCs/>
                <w:sz w:val="18"/>
                <w:szCs w:val="18"/>
              </w:rPr>
            </w:pPr>
            <w:r>
              <w:rPr>
                <w:rFonts w:ascii="宋体" w:hAnsi="宋体"/>
                <w:bCs/>
                <w:sz w:val="18"/>
                <w:szCs w:val="18"/>
              </w:rPr>
              <w:t>讲授式、讨论式启发式相结合。</w:t>
            </w:r>
          </w:p>
        </w:tc>
        <w:tc>
          <w:tcPr>
            <w:tcW w:w="702" w:type="dxa"/>
            <w:vAlign w:val="center"/>
          </w:tcPr>
          <w:p>
            <w:pPr>
              <w:snapToGrid w:val="0"/>
              <w:spacing w:line="300" w:lineRule="auto"/>
              <w:jc w:val="center"/>
              <w:rPr>
                <w:rFonts w:ascii="宋体" w:hAnsi="宋体"/>
                <w:sz w:val="18"/>
                <w:szCs w:val="18"/>
              </w:rPr>
            </w:pPr>
            <w:r>
              <w:rPr>
                <w:rFonts w:hint="eastAsia" w:ascii="宋体" w:hAnsi="宋体"/>
              </w:rPr>
              <w:t>2</w:t>
            </w:r>
          </w:p>
        </w:tc>
        <w:tc>
          <w:tcPr>
            <w:tcW w:w="984" w:type="dxa"/>
            <w:vAlign w:val="center"/>
          </w:tcPr>
          <w:p>
            <w:pPr>
              <w:snapToGrid w:val="0"/>
              <w:spacing w:line="300" w:lineRule="auto"/>
              <w:rPr>
                <w:rFonts w:ascii="宋体" w:hAnsi="宋体"/>
                <w:sz w:val="18"/>
                <w:szCs w:val="18"/>
              </w:rPr>
            </w:pPr>
            <w:r>
              <w:rPr>
                <w:rFonts w:hint="eastAsia" w:ascii="宋体" w:hAnsi="宋体"/>
                <w:sz w:val="18"/>
                <w:szCs w:val="18"/>
              </w:rPr>
              <w:t>1</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01"/>
        <w:gridCol w:w="2440"/>
        <w:gridCol w:w="722"/>
        <w:gridCol w:w="723"/>
        <w:gridCol w:w="722"/>
        <w:gridCol w:w="638"/>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583" w:type="dxa"/>
            <w:vAlign w:val="center"/>
          </w:tcPr>
          <w:p>
            <w:pPr>
              <w:snapToGrid w:val="0"/>
              <w:spacing w:line="300" w:lineRule="auto"/>
              <w:rPr>
                <w:b/>
                <w:bCs/>
                <w:color w:val="000000"/>
                <w:sz w:val="18"/>
                <w:szCs w:val="18"/>
              </w:rPr>
            </w:pPr>
            <w:r>
              <w:rPr>
                <w:b/>
                <w:bCs/>
                <w:kern w:val="0"/>
                <w:sz w:val="18"/>
                <w:szCs w:val="18"/>
              </w:rPr>
              <w:t>序号</w:t>
            </w:r>
          </w:p>
        </w:tc>
        <w:tc>
          <w:tcPr>
            <w:tcW w:w="1701" w:type="dxa"/>
            <w:vAlign w:val="center"/>
          </w:tcPr>
          <w:p>
            <w:pPr>
              <w:snapToGrid w:val="0"/>
              <w:spacing w:line="300" w:lineRule="auto"/>
              <w:jc w:val="center"/>
              <w:rPr>
                <w:b/>
                <w:bCs/>
                <w:color w:val="000000"/>
                <w:sz w:val="18"/>
                <w:szCs w:val="18"/>
              </w:rPr>
            </w:pPr>
            <w:r>
              <w:rPr>
                <w:b/>
                <w:bCs/>
                <w:kern w:val="0"/>
                <w:sz w:val="18"/>
                <w:szCs w:val="18"/>
              </w:rPr>
              <w:t>实验项目名称</w:t>
            </w:r>
          </w:p>
        </w:tc>
        <w:tc>
          <w:tcPr>
            <w:tcW w:w="2440" w:type="dxa"/>
            <w:vAlign w:val="center"/>
          </w:tcPr>
          <w:p>
            <w:pPr>
              <w:snapToGrid w:val="0"/>
              <w:spacing w:line="300" w:lineRule="auto"/>
              <w:jc w:val="center"/>
              <w:rPr>
                <w:b/>
                <w:bCs/>
                <w:color w:val="000000"/>
                <w:sz w:val="18"/>
                <w:szCs w:val="18"/>
              </w:rPr>
            </w:pPr>
            <w:r>
              <w:rPr>
                <w:b/>
                <w:bCs/>
                <w:kern w:val="0"/>
                <w:sz w:val="18"/>
                <w:szCs w:val="18"/>
              </w:rPr>
              <w:t>目的要求</w:t>
            </w:r>
          </w:p>
        </w:tc>
        <w:tc>
          <w:tcPr>
            <w:tcW w:w="722" w:type="dxa"/>
            <w:vAlign w:val="center"/>
          </w:tcPr>
          <w:p>
            <w:pPr>
              <w:snapToGrid w:val="0"/>
              <w:spacing w:line="300" w:lineRule="auto"/>
              <w:jc w:val="center"/>
              <w:rPr>
                <w:b/>
                <w:bCs/>
                <w:color w:val="000000"/>
                <w:sz w:val="18"/>
                <w:szCs w:val="18"/>
              </w:rPr>
            </w:pPr>
            <w:r>
              <w:rPr>
                <w:b/>
                <w:bCs/>
                <w:kern w:val="0"/>
                <w:sz w:val="18"/>
                <w:szCs w:val="18"/>
              </w:rPr>
              <w:t>学时分配</w:t>
            </w:r>
          </w:p>
        </w:tc>
        <w:tc>
          <w:tcPr>
            <w:tcW w:w="723" w:type="dxa"/>
            <w:vAlign w:val="center"/>
          </w:tcPr>
          <w:p>
            <w:pPr>
              <w:snapToGrid w:val="0"/>
              <w:spacing w:line="300" w:lineRule="auto"/>
              <w:jc w:val="center"/>
              <w:rPr>
                <w:b/>
                <w:bCs/>
                <w:kern w:val="0"/>
                <w:sz w:val="18"/>
                <w:szCs w:val="18"/>
              </w:rPr>
            </w:pPr>
            <w:r>
              <w:rPr>
                <w:b/>
                <w:bCs/>
                <w:kern w:val="0"/>
                <w:sz w:val="18"/>
                <w:szCs w:val="18"/>
              </w:rPr>
              <w:t>实验类型</w:t>
            </w:r>
          </w:p>
        </w:tc>
        <w:tc>
          <w:tcPr>
            <w:tcW w:w="722" w:type="dxa"/>
            <w:vAlign w:val="center"/>
          </w:tcPr>
          <w:p>
            <w:pPr>
              <w:snapToGrid w:val="0"/>
              <w:spacing w:line="300" w:lineRule="auto"/>
              <w:jc w:val="center"/>
              <w:rPr>
                <w:b/>
                <w:bCs/>
                <w:kern w:val="0"/>
                <w:sz w:val="18"/>
                <w:szCs w:val="18"/>
              </w:rPr>
            </w:pPr>
            <w:r>
              <w:rPr>
                <w:b/>
                <w:bCs/>
                <w:kern w:val="0"/>
                <w:sz w:val="18"/>
                <w:szCs w:val="18"/>
              </w:rPr>
              <w:t>每组人数</w:t>
            </w:r>
          </w:p>
        </w:tc>
        <w:tc>
          <w:tcPr>
            <w:tcW w:w="638"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808" w:type="dxa"/>
            <w:vAlign w:val="center"/>
          </w:tcPr>
          <w:p>
            <w:pPr>
              <w:snapToGrid w:val="0"/>
              <w:spacing w:line="300" w:lineRule="auto"/>
              <w:rPr>
                <w:b/>
                <w:bCs/>
                <w:kern w:val="0"/>
                <w:sz w:val="18"/>
                <w:szCs w:val="18"/>
              </w:rPr>
            </w:pPr>
            <w:r>
              <w:rPr>
                <w:rFonts w:hint="eastAsia"/>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Align w:val="center"/>
          </w:tcPr>
          <w:p>
            <w:pPr>
              <w:snapToGrid w:val="0"/>
              <w:spacing w:line="300" w:lineRule="auto"/>
              <w:rPr>
                <w:rFonts w:ascii="宋体" w:hAnsi="宋体"/>
                <w:sz w:val="18"/>
                <w:szCs w:val="18"/>
              </w:rPr>
            </w:pPr>
            <w:r>
              <w:rPr>
                <w:sz w:val="18"/>
                <w:szCs w:val="18"/>
              </w:rPr>
              <w:t>1</w:t>
            </w:r>
            <w:r>
              <w:rPr>
                <w:rFonts w:ascii="宋体" w:hAnsi="宋体"/>
                <w:sz w:val="18"/>
                <w:szCs w:val="18"/>
              </w:rPr>
              <w:t xml:space="preserve"> </w:t>
            </w:r>
          </w:p>
        </w:tc>
        <w:tc>
          <w:tcPr>
            <w:tcW w:w="1701" w:type="dxa"/>
            <w:vAlign w:val="center"/>
          </w:tcPr>
          <w:p>
            <w:pPr>
              <w:snapToGrid w:val="0"/>
              <w:spacing w:line="300" w:lineRule="auto"/>
              <w:rPr>
                <w:kern w:val="0"/>
                <w:sz w:val="18"/>
                <w:szCs w:val="18"/>
              </w:rPr>
            </w:pPr>
            <w:r>
              <w:rPr>
                <w:rFonts w:hint="eastAsia"/>
                <w:kern w:val="0"/>
                <w:sz w:val="18"/>
                <w:szCs w:val="18"/>
              </w:rPr>
              <w:t>图像的空间增强</w:t>
            </w:r>
          </w:p>
        </w:tc>
        <w:tc>
          <w:tcPr>
            <w:tcW w:w="2440" w:type="dxa"/>
            <w:vAlign w:val="center"/>
          </w:tcPr>
          <w:p>
            <w:pPr>
              <w:snapToGrid w:val="0"/>
              <w:spacing w:line="300" w:lineRule="auto"/>
              <w:rPr>
                <w:kern w:val="0"/>
                <w:sz w:val="18"/>
                <w:szCs w:val="18"/>
              </w:rPr>
            </w:pPr>
            <w:r>
              <w:rPr>
                <w:rFonts w:hint="eastAsia"/>
                <w:kern w:val="0"/>
                <w:sz w:val="18"/>
                <w:szCs w:val="18"/>
              </w:rPr>
              <w:t>对图像进行灰度变换和空间滤波处理</w:t>
            </w:r>
          </w:p>
        </w:tc>
        <w:tc>
          <w:tcPr>
            <w:tcW w:w="722" w:type="dxa"/>
            <w:vAlign w:val="center"/>
          </w:tcPr>
          <w:p>
            <w:pPr>
              <w:snapToGrid w:val="0"/>
              <w:spacing w:line="300" w:lineRule="auto"/>
              <w:rPr>
                <w:sz w:val="18"/>
                <w:szCs w:val="18"/>
              </w:rPr>
            </w:pPr>
            <w:r>
              <w:rPr>
                <w:kern w:val="0"/>
                <w:sz w:val="18"/>
                <w:szCs w:val="18"/>
              </w:rPr>
              <w:t>2</w:t>
            </w:r>
          </w:p>
        </w:tc>
        <w:tc>
          <w:tcPr>
            <w:tcW w:w="723" w:type="dxa"/>
            <w:vAlign w:val="center"/>
          </w:tcPr>
          <w:p>
            <w:pPr>
              <w:snapToGrid w:val="0"/>
              <w:spacing w:line="300" w:lineRule="auto"/>
              <w:rPr>
                <w:sz w:val="18"/>
                <w:szCs w:val="18"/>
              </w:rPr>
            </w:pPr>
            <w:r>
              <w:rPr>
                <w:kern w:val="0"/>
                <w:sz w:val="18"/>
                <w:szCs w:val="18"/>
              </w:rPr>
              <w:t>验证</w:t>
            </w:r>
          </w:p>
        </w:tc>
        <w:tc>
          <w:tcPr>
            <w:tcW w:w="722" w:type="dxa"/>
            <w:vAlign w:val="center"/>
          </w:tcPr>
          <w:p>
            <w:pPr>
              <w:snapToGrid w:val="0"/>
              <w:spacing w:line="300" w:lineRule="auto"/>
              <w:rPr>
                <w:sz w:val="18"/>
                <w:szCs w:val="18"/>
              </w:rPr>
            </w:pPr>
            <w:r>
              <w:rPr>
                <w:kern w:val="0"/>
                <w:sz w:val="18"/>
                <w:szCs w:val="18"/>
              </w:rPr>
              <w:t>2</w:t>
            </w:r>
          </w:p>
        </w:tc>
        <w:tc>
          <w:tcPr>
            <w:tcW w:w="638" w:type="dxa"/>
            <w:vAlign w:val="center"/>
          </w:tcPr>
          <w:p>
            <w:pPr>
              <w:snapToGrid w:val="0"/>
              <w:spacing w:line="300" w:lineRule="auto"/>
              <w:rPr>
                <w:sz w:val="18"/>
                <w:szCs w:val="18"/>
              </w:rPr>
            </w:pPr>
            <w:r>
              <w:rPr>
                <w:kern w:val="0"/>
                <w:sz w:val="18"/>
                <w:szCs w:val="18"/>
              </w:rPr>
              <w:t>必开</w:t>
            </w:r>
          </w:p>
        </w:tc>
        <w:tc>
          <w:tcPr>
            <w:tcW w:w="808" w:type="dxa"/>
            <w:vAlign w:val="center"/>
          </w:tcPr>
          <w:p>
            <w:pPr>
              <w:snapToGrid w:val="0"/>
              <w:spacing w:line="300" w:lineRule="auto"/>
              <w:rPr>
                <w:color w:val="FF000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83" w:type="dxa"/>
            <w:vAlign w:val="center"/>
          </w:tcPr>
          <w:p>
            <w:pPr>
              <w:snapToGrid w:val="0"/>
              <w:spacing w:line="300" w:lineRule="auto"/>
              <w:rPr>
                <w:sz w:val="18"/>
                <w:szCs w:val="18"/>
              </w:rPr>
            </w:pPr>
            <w:r>
              <w:rPr>
                <w:sz w:val="18"/>
                <w:szCs w:val="18"/>
              </w:rPr>
              <w:t xml:space="preserve">2 </w:t>
            </w:r>
          </w:p>
        </w:tc>
        <w:tc>
          <w:tcPr>
            <w:tcW w:w="1701" w:type="dxa"/>
            <w:vAlign w:val="center"/>
          </w:tcPr>
          <w:p>
            <w:pPr>
              <w:snapToGrid w:val="0"/>
              <w:spacing w:line="300" w:lineRule="auto"/>
              <w:rPr>
                <w:kern w:val="0"/>
                <w:sz w:val="18"/>
                <w:szCs w:val="18"/>
              </w:rPr>
            </w:pPr>
            <w:r>
              <w:rPr>
                <w:rFonts w:hint="eastAsia"/>
                <w:kern w:val="0"/>
                <w:sz w:val="18"/>
                <w:szCs w:val="18"/>
              </w:rPr>
              <w:t>图像的频域滤波</w:t>
            </w:r>
          </w:p>
        </w:tc>
        <w:tc>
          <w:tcPr>
            <w:tcW w:w="2440" w:type="dxa"/>
            <w:vAlign w:val="center"/>
          </w:tcPr>
          <w:p>
            <w:pPr>
              <w:snapToGrid w:val="0"/>
              <w:spacing w:line="300" w:lineRule="auto"/>
              <w:rPr>
                <w:kern w:val="0"/>
                <w:sz w:val="18"/>
                <w:szCs w:val="18"/>
              </w:rPr>
            </w:pPr>
            <w:r>
              <w:rPr>
                <w:rFonts w:hint="eastAsia"/>
                <w:kern w:val="0"/>
                <w:sz w:val="18"/>
                <w:szCs w:val="18"/>
              </w:rPr>
              <w:t>设计一种频域滤波器对图像进行频域滤波。</w:t>
            </w:r>
          </w:p>
        </w:tc>
        <w:tc>
          <w:tcPr>
            <w:tcW w:w="722" w:type="dxa"/>
            <w:vAlign w:val="center"/>
          </w:tcPr>
          <w:p>
            <w:pPr>
              <w:snapToGrid w:val="0"/>
              <w:spacing w:line="300" w:lineRule="auto"/>
              <w:rPr>
                <w:sz w:val="18"/>
                <w:szCs w:val="18"/>
              </w:rPr>
            </w:pPr>
            <w:r>
              <w:rPr>
                <w:kern w:val="0"/>
                <w:sz w:val="18"/>
                <w:szCs w:val="18"/>
              </w:rPr>
              <w:t>2</w:t>
            </w:r>
          </w:p>
        </w:tc>
        <w:tc>
          <w:tcPr>
            <w:tcW w:w="723" w:type="dxa"/>
            <w:vAlign w:val="center"/>
          </w:tcPr>
          <w:p>
            <w:pPr>
              <w:snapToGrid w:val="0"/>
              <w:spacing w:line="300" w:lineRule="auto"/>
              <w:rPr>
                <w:sz w:val="18"/>
                <w:szCs w:val="18"/>
              </w:rPr>
            </w:pPr>
            <w:r>
              <w:rPr>
                <w:rFonts w:hint="eastAsia"/>
                <w:kern w:val="0"/>
                <w:sz w:val="18"/>
                <w:szCs w:val="18"/>
              </w:rPr>
              <w:t>设计</w:t>
            </w:r>
          </w:p>
        </w:tc>
        <w:tc>
          <w:tcPr>
            <w:tcW w:w="722" w:type="dxa"/>
            <w:vAlign w:val="center"/>
          </w:tcPr>
          <w:p>
            <w:pPr>
              <w:snapToGrid w:val="0"/>
              <w:spacing w:line="300" w:lineRule="auto"/>
              <w:rPr>
                <w:sz w:val="18"/>
                <w:szCs w:val="18"/>
              </w:rPr>
            </w:pPr>
            <w:r>
              <w:rPr>
                <w:kern w:val="0"/>
                <w:sz w:val="18"/>
                <w:szCs w:val="18"/>
              </w:rPr>
              <w:t>2</w:t>
            </w:r>
          </w:p>
        </w:tc>
        <w:tc>
          <w:tcPr>
            <w:tcW w:w="638" w:type="dxa"/>
            <w:vAlign w:val="center"/>
          </w:tcPr>
          <w:p>
            <w:pPr>
              <w:snapToGrid w:val="0"/>
              <w:spacing w:line="300" w:lineRule="auto"/>
              <w:rPr>
                <w:sz w:val="18"/>
                <w:szCs w:val="18"/>
              </w:rPr>
            </w:pPr>
            <w:r>
              <w:rPr>
                <w:kern w:val="0"/>
                <w:sz w:val="18"/>
                <w:szCs w:val="18"/>
              </w:rPr>
              <w:t>必开</w:t>
            </w:r>
          </w:p>
        </w:tc>
        <w:tc>
          <w:tcPr>
            <w:tcW w:w="808" w:type="dxa"/>
            <w:vAlign w:val="center"/>
          </w:tcPr>
          <w:p>
            <w:pPr>
              <w:widowControl/>
              <w:snapToGrid w:val="0"/>
              <w:spacing w:line="300" w:lineRule="auto"/>
              <w:jc w:val="left"/>
              <w:rPr>
                <w:color w:val="FF000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83" w:type="dxa"/>
            <w:vAlign w:val="center"/>
          </w:tcPr>
          <w:p>
            <w:pPr>
              <w:snapToGrid w:val="0"/>
              <w:spacing w:line="300" w:lineRule="auto"/>
              <w:rPr>
                <w:sz w:val="18"/>
                <w:szCs w:val="18"/>
              </w:rPr>
            </w:pPr>
            <w:r>
              <w:rPr>
                <w:sz w:val="18"/>
                <w:szCs w:val="18"/>
              </w:rPr>
              <w:t xml:space="preserve">3 </w:t>
            </w:r>
          </w:p>
        </w:tc>
        <w:tc>
          <w:tcPr>
            <w:tcW w:w="1701" w:type="dxa"/>
            <w:vAlign w:val="center"/>
          </w:tcPr>
          <w:p>
            <w:pPr>
              <w:snapToGrid w:val="0"/>
              <w:spacing w:line="300" w:lineRule="auto"/>
              <w:ind w:right="-334"/>
              <w:rPr>
                <w:kern w:val="0"/>
                <w:sz w:val="18"/>
                <w:szCs w:val="18"/>
              </w:rPr>
            </w:pPr>
            <w:r>
              <w:rPr>
                <w:rFonts w:hint="eastAsia"/>
                <w:kern w:val="0"/>
                <w:sz w:val="18"/>
                <w:szCs w:val="18"/>
              </w:rPr>
              <w:t>图像的直方图处理</w:t>
            </w:r>
          </w:p>
        </w:tc>
        <w:tc>
          <w:tcPr>
            <w:tcW w:w="2440" w:type="dxa"/>
            <w:vAlign w:val="center"/>
          </w:tcPr>
          <w:p>
            <w:pPr>
              <w:snapToGrid w:val="0"/>
              <w:spacing w:line="300" w:lineRule="auto"/>
              <w:ind w:right="-58"/>
              <w:rPr>
                <w:kern w:val="0"/>
                <w:sz w:val="18"/>
                <w:szCs w:val="18"/>
              </w:rPr>
            </w:pPr>
            <w:r>
              <w:rPr>
                <w:rFonts w:hint="eastAsia"/>
                <w:kern w:val="0"/>
                <w:sz w:val="18"/>
                <w:szCs w:val="18"/>
              </w:rPr>
              <w:t>获取和绘制图像的直方图，并进行直方图均衡化和规定化的处理。</w:t>
            </w:r>
          </w:p>
        </w:tc>
        <w:tc>
          <w:tcPr>
            <w:tcW w:w="722" w:type="dxa"/>
            <w:vAlign w:val="center"/>
          </w:tcPr>
          <w:p>
            <w:pPr>
              <w:snapToGrid w:val="0"/>
              <w:spacing w:line="300" w:lineRule="auto"/>
              <w:ind w:right="-334"/>
              <w:rPr>
                <w:sz w:val="18"/>
                <w:szCs w:val="18"/>
              </w:rPr>
            </w:pPr>
            <w:r>
              <w:rPr>
                <w:kern w:val="0"/>
                <w:sz w:val="18"/>
                <w:szCs w:val="18"/>
              </w:rPr>
              <w:t>2</w:t>
            </w:r>
          </w:p>
        </w:tc>
        <w:tc>
          <w:tcPr>
            <w:tcW w:w="723" w:type="dxa"/>
            <w:vAlign w:val="center"/>
          </w:tcPr>
          <w:p>
            <w:pPr>
              <w:snapToGrid w:val="0"/>
              <w:spacing w:line="300" w:lineRule="auto"/>
              <w:ind w:right="-334"/>
              <w:rPr>
                <w:sz w:val="18"/>
                <w:szCs w:val="18"/>
              </w:rPr>
            </w:pPr>
            <w:r>
              <w:rPr>
                <w:kern w:val="0"/>
                <w:sz w:val="18"/>
                <w:szCs w:val="18"/>
              </w:rPr>
              <w:t>验证</w:t>
            </w:r>
          </w:p>
        </w:tc>
        <w:tc>
          <w:tcPr>
            <w:tcW w:w="722" w:type="dxa"/>
            <w:vAlign w:val="center"/>
          </w:tcPr>
          <w:p>
            <w:pPr>
              <w:snapToGrid w:val="0"/>
              <w:spacing w:line="300" w:lineRule="auto"/>
              <w:ind w:right="-334"/>
              <w:rPr>
                <w:sz w:val="18"/>
                <w:szCs w:val="18"/>
              </w:rPr>
            </w:pPr>
            <w:r>
              <w:rPr>
                <w:kern w:val="0"/>
                <w:sz w:val="18"/>
                <w:szCs w:val="18"/>
              </w:rPr>
              <w:t>2</w:t>
            </w:r>
          </w:p>
        </w:tc>
        <w:tc>
          <w:tcPr>
            <w:tcW w:w="638" w:type="dxa"/>
            <w:vAlign w:val="center"/>
          </w:tcPr>
          <w:p>
            <w:pPr>
              <w:snapToGrid w:val="0"/>
              <w:spacing w:line="300" w:lineRule="auto"/>
              <w:rPr>
                <w:sz w:val="18"/>
                <w:szCs w:val="18"/>
              </w:rPr>
            </w:pPr>
            <w:r>
              <w:rPr>
                <w:kern w:val="0"/>
                <w:sz w:val="18"/>
                <w:szCs w:val="18"/>
              </w:rPr>
              <w:t>必开</w:t>
            </w:r>
          </w:p>
        </w:tc>
        <w:tc>
          <w:tcPr>
            <w:tcW w:w="808" w:type="dxa"/>
            <w:vAlign w:val="center"/>
          </w:tcPr>
          <w:p>
            <w:pPr>
              <w:snapToGrid w:val="0"/>
              <w:spacing w:line="300" w:lineRule="auto"/>
              <w:rPr>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dxa"/>
            <w:vAlign w:val="center"/>
          </w:tcPr>
          <w:p>
            <w:pPr>
              <w:snapToGrid w:val="0"/>
              <w:spacing w:line="300" w:lineRule="auto"/>
              <w:rPr>
                <w:sz w:val="18"/>
                <w:szCs w:val="18"/>
              </w:rPr>
            </w:pPr>
            <w:r>
              <w:rPr>
                <w:sz w:val="18"/>
                <w:szCs w:val="18"/>
              </w:rPr>
              <w:t xml:space="preserve">4 </w:t>
            </w:r>
          </w:p>
        </w:tc>
        <w:tc>
          <w:tcPr>
            <w:tcW w:w="1701" w:type="dxa"/>
            <w:vAlign w:val="center"/>
          </w:tcPr>
          <w:p>
            <w:pPr>
              <w:snapToGrid w:val="0"/>
              <w:spacing w:line="300" w:lineRule="auto"/>
              <w:rPr>
                <w:kern w:val="0"/>
                <w:sz w:val="18"/>
                <w:szCs w:val="18"/>
              </w:rPr>
            </w:pPr>
            <w:r>
              <w:rPr>
                <w:rFonts w:hint="eastAsia"/>
                <w:kern w:val="0"/>
                <w:sz w:val="18"/>
                <w:szCs w:val="18"/>
              </w:rPr>
              <w:t>图像压缩</w:t>
            </w:r>
          </w:p>
        </w:tc>
        <w:tc>
          <w:tcPr>
            <w:tcW w:w="2440" w:type="dxa"/>
            <w:vAlign w:val="center"/>
          </w:tcPr>
          <w:p>
            <w:pPr>
              <w:snapToGrid w:val="0"/>
              <w:spacing w:line="300" w:lineRule="auto"/>
              <w:rPr>
                <w:kern w:val="0"/>
                <w:sz w:val="18"/>
                <w:szCs w:val="18"/>
              </w:rPr>
            </w:pPr>
            <w:r>
              <w:rPr>
                <w:rFonts w:hint="eastAsia"/>
                <w:kern w:val="0"/>
                <w:sz w:val="18"/>
                <w:szCs w:val="18"/>
              </w:rPr>
              <w:t>对图像进行编码压缩</w:t>
            </w:r>
          </w:p>
        </w:tc>
        <w:tc>
          <w:tcPr>
            <w:tcW w:w="722" w:type="dxa"/>
            <w:vAlign w:val="center"/>
          </w:tcPr>
          <w:p>
            <w:pPr>
              <w:snapToGrid w:val="0"/>
              <w:spacing w:line="300" w:lineRule="auto"/>
              <w:rPr>
                <w:sz w:val="18"/>
                <w:szCs w:val="18"/>
              </w:rPr>
            </w:pPr>
            <w:r>
              <w:rPr>
                <w:kern w:val="0"/>
                <w:sz w:val="18"/>
                <w:szCs w:val="18"/>
              </w:rPr>
              <w:t>2</w:t>
            </w:r>
          </w:p>
        </w:tc>
        <w:tc>
          <w:tcPr>
            <w:tcW w:w="723" w:type="dxa"/>
            <w:vAlign w:val="center"/>
          </w:tcPr>
          <w:p>
            <w:pPr>
              <w:snapToGrid w:val="0"/>
              <w:spacing w:line="300" w:lineRule="auto"/>
              <w:rPr>
                <w:sz w:val="18"/>
                <w:szCs w:val="18"/>
              </w:rPr>
            </w:pPr>
            <w:r>
              <w:rPr>
                <w:kern w:val="0"/>
                <w:sz w:val="18"/>
                <w:szCs w:val="18"/>
              </w:rPr>
              <w:t>验证</w:t>
            </w:r>
          </w:p>
        </w:tc>
        <w:tc>
          <w:tcPr>
            <w:tcW w:w="722" w:type="dxa"/>
            <w:vAlign w:val="center"/>
          </w:tcPr>
          <w:p>
            <w:pPr>
              <w:snapToGrid w:val="0"/>
              <w:spacing w:line="300" w:lineRule="auto"/>
              <w:rPr>
                <w:sz w:val="18"/>
                <w:szCs w:val="18"/>
              </w:rPr>
            </w:pPr>
            <w:r>
              <w:rPr>
                <w:kern w:val="0"/>
                <w:sz w:val="18"/>
                <w:szCs w:val="18"/>
              </w:rPr>
              <w:t>2</w:t>
            </w:r>
          </w:p>
        </w:tc>
        <w:tc>
          <w:tcPr>
            <w:tcW w:w="638" w:type="dxa"/>
            <w:vAlign w:val="center"/>
          </w:tcPr>
          <w:p>
            <w:pPr>
              <w:snapToGrid w:val="0"/>
              <w:spacing w:line="300" w:lineRule="auto"/>
              <w:rPr>
                <w:sz w:val="18"/>
                <w:szCs w:val="18"/>
              </w:rPr>
            </w:pPr>
            <w:r>
              <w:rPr>
                <w:kern w:val="0"/>
                <w:sz w:val="18"/>
                <w:szCs w:val="18"/>
              </w:rPr>
              <w:t>必开</w:t>
            </w:r>
          </w:p>
        </w:tc>
        <w:tc>
          <w:tcPr>
            <w:tcW w:w="808" w:type="dxa"/>
            <w:vAlign w:val="center"/>
          </w:tcPr>
          <w:p>
            <w:pPr>
              <w:snapToGrid w:val="0"/>
              <w:spacing w:line="300" w:lineRule="auto"/>
              <w:rPr>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Align w:val="center"/>
          </w:tcPr>
          <w:p>
            <w:pPr>
              <w:snapToGrid w:val="0"/>
              <w:spacing w:line="300" w:lineRule="auto"/>
              <w:rPr>
                <w:sz w:val="18"/>
                <w:szCs w:val="18"/>
              </w:rPr>
            </w:pPr>
            <w:r>
              <w:rPr>
                <w:sz w:val="18"/>
                <w:szCs w:val="18"/>
              </w:rPr>
              <w:t xml:space="preserve">5 </w:t>
            </w:r>
          </w:p>
        </w:tc>
        <w:tc>
          <w:tcPr>
            <w:tcW w:w="1701" w:type="dxa"/>
            <w:vAlign w:val="center"/>
          </w:tcPr>
          <w:p>
            <w:pPr>
              <w:snapToGrid w:val="0"/>
              <w:spacing w:line="300" w:lineRule="auto"/>
              <w:rPr>
                <w:kern w:val="0"/>
                <w:sz w:val="18"/>
                <w:szCs w:val="18"/>
              </w:rPr>
            </w:pPr>
            <w:r>
              <w:rPr>
                <w:rFonts w:hint="eastAsia"/>
                <w:kern w:val="0"/>
                <w:sz w:val="18"/>
                <w:szCs w:val="18"/>
              </w:rPr>
              <w:t>彩色图像处理</w:t>
            </w:r>
          </w:p>
        </w:tc>
        <w:tc>
          <w:tcPr>
            <w:tcW w:w="2440" w:type="dxa"/>
            <w:vAlign w:val="center"/>
          </w:tcPr>
          <w:p>
            <w:pPr>
              <w:snapToGrid w:val="0"/>
              <w:spacing w:line="300" w:lineRule="auto"/>
              <w:rPr>
                <w:kern w:val="0"/>
                <w:sz w:val="18"/>
                <w:szCs w:val="18"/>
              </w:rPr>
            </w:pPr>
            <w:r>
              <w:rPr>
                <w:rFonts w:hint="eastAsia"/>
                <w:kern w:val="0"/>
                <w:sz w:val="18"/>
                <w:szCs w:val="18"/>
              </w:rPr>
              <w:t>设计一个图像处理系统，实现彩色图像的增强、边缘检测与分割</w:t>
            </w:r>
          </w:p>
        </w:tc>
        <w:tc>
          <w:tcPr>
            <w:tcW w:w="722" w:type="dxa"/>
            <w:vAlign w:val="center"/>
          </w:tcPr>
          <w:p>
            <w:pPr>
              <w:snapToGrid w:val="0"/>
              <w:spacing w:line="300" w:lineRule="auto"/>
              <w:rPr>
                <w:sz w:val="18"/>
                <w:szCs w:val="18"/>
              </w:rPr>
            </w:pPr>
            <w:r>
              <w:rPr>
                <w:rFonts w:hint="eastAsia"/>
                <w:kern w:val="0"/>
                <w:sz w:val="18"/>
                <w:szCs w:val="18"/>
              </w:rPr>
              <w:t>4</w:t>
            </w:r>
          </w:p>
        </w:tc>
        <w:tc>
          <w:tcPr>
            <w:tcW w:w="723" w:type="dxa"/>
            <w:vAlign w:val="center"/>
          </w:tcPr>
          <w:p>
            <w:pPr>
              <w:snapToGrid w:val="0"/>
              <w:spacing w:line="300" w:lineRule="auto"/>
              <w:rPr>
                <w:sz w:val="18"/>
                <w:szCs w:val="18"/>
              </w:rPr>
            </w:pPr>
            <w:r>
              <w:rPr>
                <w:kern w:val="0"/>
                <w:sz w:val="18"/>
                <w:szCs w:val="18"/>
              </w:rPr>
              <w:t>综合</w:t>
            </w:r>
          </w:p>
        </w:tc>
        <w:tc>
          <w:tcPr>
            <w:tcW w:w="722" w:type="dxa"/>
            <w:vAlign w:val="center"/>
          </w:tcPr>
          <w:p>
            <w:pPr>
              <w:snapToGrid w:val="0"/>
              <w:spacing w:line="300" w:lineRule="auto"/>
              <w:rPr>
                <w:sz w:val="18"/>
                <w:szCs w:val="18"/>
              </w:rPr>
            </w:pPr>
            <w:r>
              <w:rPr>
                <w:kern w:val="0"/>
                <w:sz w:val="18"/>
                <w:szCs w:val="18"/>
              </w:rPr>
              <w:t>2</w:t>
            </w:r>
          </w:p>
        </w:tc>
        <w:tc>
          <w:tcPr>
            <w:tcW w:w="638" w:type="dxa"/>
            <w:vAlign w:val="center"/>
          </w:tcPr>
          <w:p>
            <w:pPr>
              <w:snapToGrid w:val="0"/>
              <w:spacing w:line="300" w:lineRule="auto"/>
              <w:rPr>
                <w:sz w:val="18"/>
                <w:szCs w:val="18"/>
              </w:rPr>
            </w:pPr>
            <w:r>
              <w:rPr>
                <w:kern w:val="0"/>
                <w:sz w:val="18"/>
                <w:szCs w:val="18"/>
              </w:rPr>
              <w:t>必开</w:t>
            </w:r>
          </w:p>
        </w:tc>
        <w:tc>
          <w:tcPr>
            <w:tcW w:w="808" w:type="dxa"/>
            <w:vAlign w:val="center"/>
          </w:tcPr>
          <w:p>
            <w:pPr>
              <w:snapToGrid w:val="0"/>
              <w:spacing w:line="300" w:lineRule="auto"/>
              <w:rPr>
                <w:sz w:val="18"/>
                <w:szCs w:val="18"/>
              </w:rPr>
            </w:pPr>
            <w:r>
              <w:rPr>
                <w:rFonts w:hint="eastAsia"/>
                <w:kern w:val="0"/>
                <w:sz w:val="18"/>
                <w:szCs w:val="18"/>
              </w:rPr>
              <w:t>2，3</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w:t>
      </w:r>
      <w:r>
        <w:rPr>
          <w:rFonts w:hint="eastAsia"/>
        </w:rPr>
        <w:t>开卷考试、平时作业、实验报告</w:t>
      </w:r>
      <w:r>
        <w:t>。</w:t>
      </w:r>
    </w:p>
    <w:p>
      <w:pPr>
        <w:snapToGrid w:val="0"/>
        <w:spacing w:line="300" w:lineRule="auto"/>
        <w:ind w:firstLine="420" w:firstLineChars="200"/>
      </w:pPr>
      <w:r>
        <w:t>2．成绩构成：笔试成绩</w:t>
      </w:r>
      <w:r>
        <w:rPr>
          <w:rFonts w:hint="eastAsia"/>
        </w:rPr>
        <w:t>7</w:t>
      </w:r>
      <w:r>
        <w:t>0%，平时成绩</w:t>
      </w:r>
      <w:r>
        <w:rPr>
          <w:rFonts w:hint="eastAsia"/>
        </w:rPr>
        <w:t>15</w:t>
      </w:r>
      <w:r>
        <w:t>%（课后作业、课堂表现等），实验成绩</w:t>
      </w:r>
      <w:r>
        <w:rPr>
          <w:rFonts w:hint="eastAsia"/>
        </w:rPr>
        <w:t>15</w:t>
      </w:r>
      <w:r>
        <w:t>%。</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color w:val="000000"/>
          <w:sz w:val="18"/>
          <w:szCs w:val="18"/>
        </w:rPr>
      </w:pPr>
      <w:r>
        <w:rPr>
          <w:b/>
          <w:bCs/>
          <w:color w:val="000000"/>
          <w:sz w:val="18"/>
          <w:szCs w:val="18"/>
        </w:rPr>
        <w:t>表5教学目标评价标准</w:t>
      </w:r>
    </w:p>
    <w:tbl>
      <w:tblPr>
        <w:tblStyle w:val="22"/>
        <w:tblW w:w="930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17"/>
        <w:gridCol w:w="715"/>
        <w:gridCol w:w="697"/>
        <w:gridCol w:w="589"/>
        <w:gridCol w:w="3858"/>
        <w:gridCol w:w="1004"/>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716" w:type="dxa"/>
            <w:vAlign w:val="center"/>
          </w:tcPr>
          <w:p>
            <w:pPr>
              <w:snapToGrid w:val="0"/>
              <w:spacing w:line="300" w:lineRule="auto"/>
              <w:jc w:val="center"/>
              <w:rPr>
                <w:b/>
                <w:bCs/>
                <w:sz w:val="18"/>
                <w:szCs w:val="18"/>
              </w:rPr>
            </w:pPr>
            <w:r>
              <w:rPr>
                <w:b/>
                <w:bCs/>
                <w:sz w:val="18"/>
                <w:szCs w:val="18"/>
              </w:rPr>
              <w:t>成绩</w:t>
            </w:r>
          </w:p>
        </w:tc>
        <w:tc>
          <w:tcPr>
            <w:tcW w:w="717" w:type="dxa"/>
            <w:vAlign w:val="center"/>
          </w:tcPr>
          <w:p>
            <w:pPr>
              <w:snapToGrid w:val="0"/>
              <w:spacing w:line="300" w:lineRule="auto"/>
              <w:jc w:val="center"/>
              <w:rPr>
                <w:b/>
                <w:bCs/>
                <w:sz w:val="18"/>
                <w:szCs w:val="18"/>
              </w:rPr>
            </w:pPr>
            <w:r>
              <w:rPr>
                <w:b/>
                <w:bCs/>
                <w:sz w:val="18"/>
                <w:szCs w:val="18"/>
              </w:rPr>
              <w:t>分值</w:t>
            </w:r>
          </w:p>
        </w:tc>
        <w:tc>
          <w:tcPr>
            <w:tcW w:w="715" w:type="dxa"/>
            <w:vAlign w:val="center"/>
          </w:tcPr>
          <w:p>
            <w:pPr>
              <w:snapToGrid w:val="0"/>
              <w:spacing w:line="300" w:lineRule="auto"/>
              <w:jc w:val="center"/>
              <w:rPr>
                <w:b/>
                <w:bCs/>
                <w:sz w:val="18"/>
                <w:szCs w:val="18"/>
              </w:rPr>
            </w:pPr>
            <w:r>
              <w:rPr>
                <w:b/>
                <w:bCs/>
                <w:sz w:val="18"/>
                <w:szCs w:val="18"/>
              </w:rPr>
              <w:t>权重</w:t>
            </w:r>
          </w:p>
        </w:tc>
        <w:tc>
          <w:tcPr>
            <w:tcW w:w="697" w:type="dxa"/>
            <w:vAlign w:val="center"/>
          </w:tcPr>
          <w:p>
            <w:pPr>
              <w:snapToGrid w:val="0"/>
              <w:spacing w:line="300" w:lineRule="auto"/>
              <w:jc w:val="center"/>
              <w:rPr>
                <w:b/>
                <w:bCs/>
                <w:sz w:val="18"/>
                <w:szCs w:val="18"/>
              </w:rPr>
            </w:pPr>
            <w:r>
              <w:rPr>
                <w:b/>
                <w:bCs/>
                <w:sz w:val="18"/>
                <w:szCs w:val="18"/>
              </w:rPr>
              <w:t>类别</w:t>
            </w:r>
          </w:p>
        </w:tc>
        <w:tc>
          <w:tcPr>
            <w:tcW w:w="589" w:type="dxa"/>
            <w:vAlign w:val="center"/>
          </w:tcPr>
          <w:p>
            <w:pPr>
              <w:snapToGrid w:val="0"/>
              <w:spacing w:line="300" w:lineRule="auto"/>
              <w:jc w:val="center"/>
              <w:rPr>
                <w:b/>
                <w:bCs/>
                <w:sz w:val="18"/>
                <w:szCs w:val="18"/>
              </w:rPr>
            </w:pPr>
            <w:r>
              <w:rPr>
                <w:b/>
                <w:bCs/>
                <w:sz w:val="18"/>
                <w:szCs w:val="18"/>
              </w:rPr>
              <w:t>权重</w:t>
            </w:r>
          </w:p>
        </w:tc>
        <w:tc>
          <w:tcPr>
            <w:tcW w:w="3858" w:type="dxa"/>
            <w:vAlign w:val="center"/>
          </w:tcPr>
          <w:p>
            <w:pPr>
              <w:snapToGrid w:val="0"/>
              <w:spacing w:line="300" w:lineRule="auto"/>
              <w:jc w:val="center"/>
              <w:rPr>
                <w:b/>
                <w:bCs/>
                <w:sz w:val="18"/>
                <w:szCs w:val="18"/>
              </w:rPr>
            </w:pPr>
            <w:r>
              <w:rPr>
                <w:b/>
                <w:bCs/>
                <w:sz w:val="18"/>
                <w:szCs w:val="18"/>
              </w:rPr>
              <w:t>考核/评价细则</w:t>
            </w:r>
          </w:p>
        </w:tc>
        <w:tc>
          <w:tcPr>
            <w:tcW w:w="1004" w:type="dxa"/>
            <w:vAlign w:val="center"/>
          </w:tcPr>
          <w:p>
            <w:pPr>
              <w:snapToGrid w:val="0"/>
              <w:spacing w:line="300" w:lineRule="auto"/>
              <w:jc w:val="center"/>
              <w:rPr>
                <w:b/>
                <w:bCs/>
                <w:sz w:val="18"/>
                <w:szCs w:val="18"/>
              </w:rPr>
            </w:pPr>
            <w:r>
              <w:rPr>
                <w:b/>
                <w:bCs/>
                <w:sz w:val="18"/>
                <w:szCs w:val="18"/>
              </w:rPr>
              <w:t>课程目标</w:t>
            </w:r>
          </w:p>
        </w:tc>
        <w:tc>
          <w:tcPr>
            <w:tcW w:w="1004" w:type="dxa"/>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16" w:type="dxa"/>
            <w:vMerge w:val="restart"/>
            <w:vAlign w:val="center"/>
          </w:tcPr>
          <w:p>
            <w:pPr>
              <w:snapToGrid w:val="0"/>
              <w:spacing w:line="300" w:lineRule="auto"/>
              <w:rPr>
                <w:sz w:val="18"/>
                <w:szCs w:val="18"/>
              </w:rPr>
            </w:pPr>
            <w:r>
              <w:rPr>
                <w:sz w:val="18"/>
                <w:szCs w:val="18"/>
              </w:rPr>
              <w:t>平时成绩</w:t>
            </w:r>
          </w:p>
        </w:tc>
        <w:tc>
          <w:tcPr>
            <w:tcW w:w="717" w:type="dxa"/>
            <w:vMerge w:val="restart"/>
            <w:vAlign w:val="center"/>
          </w:tcPr>
          <w:p>
            <w:pPr>
              <w:snapToGrid w:val="0"/>
              <w:spacing w:line="300" w:lineRule="auto"/>
              <w:rPr>
                <w:sz w:val="18"/>
                <w:szCs w:val="18"/>
              </w:rPr>
            </w:pPr>
            <w:r>
              <w:rPr>
                <w:sz w:val="18"/>
                <w:szCs w:val="18"/>
              </w:rPr>
              <w:t>100</w:t>
            </w:r>
          </w:p>
        </w:tc>
        <w:tc>
          <w:tcPr>
            <w:tcW w:w="715" w:type="dxa"/>
            <w:vMerge w:val="restart"/>
            <w:vAlign w:val="center"/>
          </w:tcPr>
          <w:p>
            <w:pPr>
              <w:snapToGrid w:val="0"/>
              <w:spacing w:line="300" w:lineRule="auto"/>
              <w:rPr>
                <w:sz w:val="18"/>
                <w:szCs w:val="18"/>
              </w:rPr>
            </w:pPr>
            <w:r>
              <w:rPr>
                <w:sz w:val="18"/>
                <w:szCs w:val="18"/>
              </w:rPr>
              <w:t>0.</w:t>
            </w:r>
            <w:r>
              <w:rPr>
                <w:rFonts w:hint="eastAsia"/>
                <w:sz w:val="18"/>
                <w:szCs w:val="18"/>
              </w:rPr>
              <w:t>15</w:t>
            </w:r>
          </w:p>
        </w:tc>
        <w:tc>
          <w:tcPr>
            <w:tcW w:w="697" w:type="dxa"/>
            <w:vAlign w:val="center"/>
          </w:tcPr>
          <w:p>
            <w:pPr>
              <w:snapToGrid w:val="0"/>
              <w:spacing w:line="300" w:lineRule="auto"/>
              <w:jc w:val="center"/>
              <w:rPr>
                <w:sz w:val="18"/>
                <w:szCs w:val="18"/>
              </w:rPr>
            </w:pPr>
            <w:r>
              <w:rPr>
                <w:sz w:val="18"/>
                <w:szCs w:val="18"/>
              </w:rPr>
              <w:t>课堂表现</w:t>
            </w:r>
          </w:p>
        </w:tc>
        <w:tc>
          <w:tcPr>
            <w:tcW w:w="589" w:type="dxa"/>
            <w:vAlign w:val="center"/>
          </w:tcPr>
          <w:p>
            <w:pPr>
              <w:snapToGrid w:val="0"/>
              <w:spacing w:line="300" w:lineRule="auto"/>
              <w:jc w:val="center"/>
              <w:rPr>
                <w:sz w:val="18"/>
                <w:szCs w:val="18"/>
              </w:rPr>
            </w:pPr>
            <w:r>
              <w:rPr>
                <w:sz w:val="18"/>
                <w:szCs w:val="18"/>
              </w:rPr>
              <w:t>0.</w:t>
            </w:r>
            <w:r>
              <w:rPr>
                <w:rFonts w:hint="eastAsia"/>
                <w:sz w:val="18"/>
                <w:szCs w:val="18"/>
              </w:rPr>
              <w:t>075</w:t>
            </w:r>
          </w:p>
        </w:tc>
        <w:tc>
          <w:tcPr>
            <w:tcW w:w="3858" w:type="dxa"/>
            <w:vAlign w:val="center"/>
          </w:tcPr>
          <w:p>
            <w:pPr>
              <w:snapToGrid w:val="0"/>
              <w:spacing w:line="300" w:lineRule="auto"/>
              <w:rPr>
                <w:sz w:val="18"/>
                <w:szCs w:val="18"/>
              </w:rPr>
            </w:pPr>
            <w:r>
              <w:rPr>
                <w:sz w:val="18"/>
                <w:szCs w:val="18"/>
              </w:rPr>
              <w:t>根据学生课堂表现打分，满分100。</w:t>
            </w:r>
          </w:p>
        </w:tc>
        <w:tc>
          <w:tcPr>
            <w:tcW w:w="1004" w:type="dxa"/>
            <w:vAlign w:val="center"/>
          </w:tcPr>
          <w:p>
            <w:pPr>
              <w:snapToGrid w:val="0"/>
              <w:spacing w:line="300" w:lineRule="auto"/>
              <w:jc w:val="center"/>
              <w:rPr>
                <w:sz w:val="18"/>
                <w:szCs w:val="18"/>
              </w:rPr>
            </w:pPr>
            <w:r>
              <w:rPr>
                <w:sz w:val="18"/>
                <w:szCs w:val="18"/>
              </w:rPr>
              <w:t>1</w:t>
            </w:r>
          </w:p>
        </w:tc>
        <w:tc>
          <w:tcPr>
            <w:tcW w:w="1004" w:type="dxa"/>
            <w:vAlign w:val="center"/>
          </w:tcPr>
          <w:p>
            <w:pPr>
              <w:snapToGrid w:val="0"/>
              <w:spacing w:line="300" w:lineRule="auto"/>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716" w:type="dxa"/>
            <w:vMerge w:val="continue"/>
            <w:vAlign w:val="center"/>
          </w:tcPr>
          <w:p>
            <w:pPr>
              <w:snapToGrid w:val="0"/>
              <w:spacing w:line="300" w:lineRule="auto"/>
              <w:rPr>
                <w:sz w:val="18"/>
                <w:szCs w:val="18"/>
              </w:rPr>
            </w:pPr>
          </w:p>
        </w:tc>
        <w:tc>
          <w:tcPr>
            <w:tcW w:w="717" w:type="dxa"/>
            <w:vMerge w:val="continue"/>
            <w:vAlign w:val="center"/>
          </w:tcPr>
          <w:p>
            <w:pPr>
              <w:snapToGrid w:val="0"/>
              <w:spacing w:line="300" w:lineRule="auto"/>
              <w:rPr>
                <w:sz w:val="18"/>
                <w:szCs w:val="18"/>
              </w:rPr>
            </w:pPr>
          </w:p>
        </w:tc>
        <w:tc>
          <w:tcPr>
            <w:tcW w:w="715" w:type="dxa"/>
            <w:vMerge w:val="continue"/>
            <w:vAlign w:val="center"/>
          </w:tcPr>
          <w:p>
            <w:pPr>
              <w:snapToGrid w:val="0"/>
              <w:spacing w:line="300" w:lineRule="auto"/>
              <w:rPr>
                <w:sz w:val="18"/>
                <w:szCs w:val="18"/>
              </w:rPr>
            </w:pPr>
          </w:p>
        </w:tc>
        <w:tc>
          <w:tcPr>
            <w:tcW w:w="697" w:type="dxa"/>
            <w:vAlign w:val="center"/>
          </w:tcPr>
          <w:p>
            <w:pPr>
              <w:snapToGrid w:val="0"/>
              <w:spacing w:line="300" w:lineRule="auto"/>
              <w:jc w:val="center"/>
              <w:rPr>
                <w:sz w:val="18"/>
                <w:szCs w:val="18"/>
              </w:rPr>
            </w:pPr>
            <w:r>
              <w:rPr>
                <w:sz w:val="18"/>
                <w:szCs w:val="18"/>
              </w:rPr>
              <w:t>作业</w:t>
            </w:r>
          </w:p>
        </w:tc>
        <w:tc>
          <w:tcPr>
            <w:tcW w:w="589" w:type="dxa"/>
            <w:vAlign w:val="center"/>
          </w:tcPr>
          <w:p>
            <w:pPr>
              <w:snapToGrid w:val="0"/>
              <w:spacing w:line="300" w:lineRule="auto"/>
              <w:jc w:val="center"/>
              <w:rPr>
                <w:sz w:val="18"/>
                <w:szCs w:val="18"/>
              </w:rPr>
            </w:pPr>
            <w:r>
              <w:rPr>
                <w:sz w:val="18"/>
                <w:szCs w:val="18"/>
              </w:rPr>
              <w:t>0.</w:t>
            </w:r>
            <w:r>
              <w:rPr>
                <w:rFonts w:hint="eastAsia"/>
                <w:sz w:val="18"/>
                <w:szCs w:val="18"/>
              </w:rPr>
              <w:t>075</w:t>
            </w:r>
          </w:p>
        </w:tc>
        <w:tc>
          <w:tcPr>
            <w:tcW w:w="3858"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r>
              <w:rPr>
                <w:rFonts w:hint="eastAsia"/>
                <w:sz w:val="18"/>
                <w:szCs w:val="18"/>
              </w:rPr>
              <w:t>。</w:t>
            </w:r>
          </w:p>
        </w:tc>
        <w:tc>
          <w:tcPr>
            <w:tcW w:w="1004" w:type="dxa"/>
            <w:vAlign w:val="center"/>
          </w:tcPr>
          <w:p>
            <w:pPr>
              <w:snapToGrid w:val="0"/>
              <w:spacing w:line="300" w:lineRule="auto"/>
              <w:jc w:val="center"/>
              <w:rPr>
                <w:sz w:val="18"/>
                <w:szCs w:val="18"/>
              </w:rPr>
            </w:pPr>
            <w:r>
              <w:rPr>
                <w:sz w:val="18"/>
                <w:szCs w:val="18"/>
              </w:rPr>
              <w:t>1</w:t>
            </w:r>
          </w:p>
        </w:tc>
        <w:tc>
          <w:tcPr>
            <w:tcW w:w="1004" w:type="dxa"/>
            <w:vAlign w:val="center"/>
          </w:tcPr>
          <w:p>
            <w:pPr>
              <w:snapToGrid w:val="0"/>
              <w:spacing w:line="300" w:lineRule="auto"/>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right"/>
        </w:trPr>
        <w:tc>
          <w:tcPr>
            <w:tcW w:w="716" w:type="dxa"/>
            <w:vMerge w:val="restart"/>
            <w:vAlign w:val="center"/>
          </w:tcPr>
          <w:p>
            <w:pPr>
              <w:snapToGrid w:val="0"/>
              <w:spacing w:line="300" w:lineRule="auto"/>
              <w:rPr>
                <w:sz w:val="18"/>
                <w:szCs w:val="18"/>
              </w:rPr>
            </w:pPr>
            <w:r>
              <w:rPr>
                <w:rFonts w:hint="eastAsia"/>
                <w:sz w:val="18"/>
                <w:szCs w:val="18"/>
              </w:rPr>
              <w:t>实验成绩</w:t>
            </w:r>
          </w:p>
        </w:tc>
        <w:tc>
          <w:tcPr>
            <w:tcW w:w="717" w:type="dxa"/>
            <w:vMerge w:val="restart"/>
            <w:vAlign w:val="center"/>
          </w:tcPr>
          <w:p>
            <w:pPr>
              <w:snapToGrid w:val="0"/>
              <w:spacing w:line="300" w:lineRule="auto"/>
              <w:rPr>
                <w:sz w:val="18"/>
                <w:szCs w:val="18"/>
              </w:rPr>
            </w:pPr>
            <w:r>
              <w:rPr>
                <w:rFonts w:hint="eastAsia"/>
                <w:sz w:val="18"/>
                <w:szCs w:val="18"/>
              </w:rPr>
              <w:t>100</w:t>
            </w:r>
          </w:p>
        </w:tc>
        <w:tc>
          <w:tcPr>
            <w:tcW w:w="715" w:type="dxa"/>
            <w:vMerge w:val="restart"/>
            <w:vAlign w:val="center"/>
          </w:tcPr>
          <w:p>
            <w:pPr>
              <w:snapToGrid w:val="0"/>
              <w:spacing w:line="300" w:lineRule="auto"/>
              <w:rPr>
                <w:sz w:val="18"/>
                <w:szCs w:val="18"/>
              </w:rPr>
            </w:pPr>
            <w:r>
              <w:rPr>
                <w:rFonts w:hint="eastAsia"/>
                <w:sz w:val="18"/>
                <w:szCs w:val="18"/>
              </w:rPr>
              <w:t>0.15</w:t>
            </w:r>
          </w:p>
        </w:tc>
        <w:tc>
          <w:tcPr>
            <w:tcW w:w="697" w:type="dxa"/>
            <w:vAlign w:val="center"/>
          </w:tcPr>
          <w:p>
            <w:pPr>
              <w:snapToGrid w:val="0"/>
              <w:spacing w:line="300" w:lineRule="auto"/>
              <w:jc w:val="center"/>
              <w:rPr>
                <w:sz w:val="18"/>
                <w:szCs w:val="18"/>
              </w:rPr>
            </w:pPr>
            <w:r>
              <w:rPr>
                <w:rFonts w:hint="eastAsia"/>
                <w:sz w:val="18"/>
                <w:szCs w:val="18"/>
              </w:rPr>
              <w:t>实验报告</w:t>
            </w:r>
          </w:p>
        </w:tc>
        <w:tc>
          <w:tcPr>
            <w:tcW w:w="589" w:type="dxa"/>
            <w:vAlign w:val="center"/>
          </w:tcPr>
          <w:p>
            <w:pPr>
              <w:snapToGrid w:val="0"/>
              <w:spacing w:line="300" w:lineRule="auto"/>
              <w:jc w:val="center"/>
              <w:rPr>
                <w:sz w:val="18"/>
                <w:szCs w:val="18"/>
              </w:rPr>
            </w:pPr>
            <w:r>
              <w:rPr>
                <w:rFonts w:hint="eastAsia"/>
                <w:sz w:val="18"/>
                <w:szCs w:val="18"/>
              </w:rPr>
              <w:t>0.075</w:t>
            </w:r>
          </w:p>
        </w:tc>
        <w:tc>
          <w:tcPr>
            <w:tcW w:w="3858" w:type="dxa"/>
            <w:vAlign w:val="center"/>
          </w:tcPr>
          <w:p>
            <w:pPr>
              <w:snapToGrid w:val="0"/>
              <w:spacing w:line="300" w:lineRule="auto"/>
              <w:jc w:val="left"/>
              <w:rPr>
                <w:sz w:val="18"/>
                <w:szCs w:val="18"/>
              </w:rPr>
            </w:pPr>
            <w:r>
              <w:rPr>
                <w:rFonts w:hint="eastAsia"/>
                <w:sz w:val="18"/>
                <w:szCs w:val="18"/>
              </w:rPr>
              <w:t>根据实验完成质量以及实验报告质量评分，每次实验按100分制单独评分，取各次实验成绩的平均值作为实验报告成绩，满分100分。</w:t>
            </w:r>
          </w:p>
        </w:tc>
        <w:tc>
          <w:tcPr>
            <w:tcW w:w="1004" w:type="dxa"/>
            <w:vAlign w:val="center"/>
          </w:tcPr>
          <w:p>
            <w:pPr>
              <w:snapToGrid w:val="0"/>
              <w:spacing w:line="300" w:lineRule="auto"/>
              <w:jc w:val="center"/>
              <w:rPr>
                <w:sz w:val="18"/>
                <w:szCs w:val="18"/>
              </w:rPr>
            </w:pPr>
            <w:r>
              <w:rPr>
                <w:rFonts w:hint="eastAsia"/>
                <w:sz w:val="18"/>
                <w:szCs w:val="18"/>
              </w:rPr>
              <w:t>2，3</w:t>
            </w:r>
          </w:p>
        </w:tc>
        <w:tc>
          <w:tcPr>
            <w:tcW w:w="1004" w:type="dxa"/>
            <w:vAlign w:val="center"/>
          </w:tcPr>
          <w:p>
            <w:pPr>
              <w:snapToGrid w:val="0"/>
              <w:spacing w:line="300" w:lineRule="auto"/>
              <w:jc w:val="center"/>
              <w:rPr>
                <w:sz w:val="18"/>
                <w:szCs w:val="18"/>
              </w:rPr>
            </w:pPr>
            <w:r>
              <w:rPr>
                <w:rFonts w:hint="eastAsia"/>
                <w:sz w:val="18"/>
                <w:szCs w:val="18"/>
              </w:rPr>
              <w:t>3.2，3.3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right"/>
        </w:trPr>
        <w:tc>
          <w:tcPr>
            <w:tcW w:w="716" w:type="dxa"/>
            <w:vMerge w:val="continue"/>
            <w:vAlign w:val="center"/>
          </w:tcPr>
          <w:p>
            <w:pPr>
              <w:snapToGrid w:val="0"/>
              <w:spacing w:line="300" w:lineRule="auto"/>
              <w:rPr>
                <w:sz w:val="18"/>
                <w:szCs w:val="18"/>
              </w:rPr>
            </w:pPr>
          </w:p>
        </w:tc>
        <w:tc>
          <w:tcPr>
            <w:tcW w:w="717" w:type="dxa"/>
            <w:vMerge w:val="continue"/>
            <w:vAlign w:val="center"/>
          </w:tcPr>
          <w:p>
            <w:pPr>
              <w:snapToGrid w:val="0"/>
              <w:spacing w:line="300" w:lineRule="auto"/>
              <w:rPr>
                <w:sz w:val="18"/>
                <w:szCs w:val="18"/>
              </w:rPr>
            </w:pPr>
          </w:p>
        </w:tc>
        <w:tc>
          <w:tcPr>
            <w:tcW w:w="715" w:type="dxa"/>
            <w:vMerge w:val="continue"/>
            <w:vAlign w:val="center"/>
          </w:tcPr>
          <w:p>
            <w:pPr>
              <w:snapToGrid w:val="0"/>
              <w:spacing w:line="300" w:lineRule="auto"/>
              <w:rPr>
                <w:sz w:val="18"/>
                <w:szCs w:val="18"/>
              </w:rPr>
            </w:pPr>
          </w:p>
        </w:tc>
        <w:tc>
          <w:tcPr>
            <w:tcW w:w="697" w:type="dxa"/>
            <w:vAlign w:val="center"/>
          </w:tcPr>
          <w:p>
            <w:pPr>
              <w:snapToGrid w:val="0"/>
              <w:spacing w:line="300" w:lineRule="auto"/>
              <w:jc w:val="center"/>
              <w:rPr>
                <w:sz w:val="18"/>
                <w:szCs w:val="18"/>
              </w:rPr>
            </w:pPr>
            <w:r>
              <w:rPr>
                <w:rFonts w:hint="eastAsia"/>
                <w:sz w:val="18"/>
                <w:szCs w:val="18"/>
              </w:rPr>
              <w:t>项目答辩</w:t>
            </w:r>
          </w:p>
        </w:tc>
        <w:tc>
          <w:tcPr>
            <w:tcW w:w="589" w:type="dxa"/>
            <w:vAlign w:val="center"/>
          </w:tcPr>
          <w:p>
            <w:pPr>
              <w:snapToGrid w:val="0"/>
              <w:spacing w:line="300" w:lineRule="auto"/>
              <w:jc w:val="center"/>
              <w:rPr>
                <w:sz w:val="18"/>
                <w:szCs w:val="18"/>
              </w:rPr>
            </w:pPr>
            <w:r>
              <w:rPr>
                <w:rFonts w:hint="eastAsia"/>
                <w:sz w:val="18"/>
                <w:szCs w:val="18"/>
              </w:rPr>
              <w:t>0.075</w:t>
            </w:r>
          </w:p>
        </w:tc>
        <w:tc>
          <w:tcPr>
            <w:tcW w:w="3858" w:type="dxa"/>
            <w:vAlign w:val="center"/>
          </w:tcPr>
          <w:p>
            <w:pPr>
              <w:snapToGrid w:val="0"/>
              <w:spacing w:line="300" w:lineRule="auto"/>
              <w:jc w:val="left"/>
              <w:rPr>
                <w:sz w:val="18"/>
                <w:szCs w:val="18"/>
              </w:rPr>
            </w:pPr>
            <w:r>
              <w:rPr>
                <w:rFonts w:hint="eastAsia"/>
                <w:sz w:val="18"/>
                <w:szCs w:val="18"/>
              </w:rPr>
              <w:t>综合型实验按小组进行答辩，满分100分。</w:t>
            </w:r>
          </w:p>
        </w:tc>
        <w:tc>
          <w:tcPr>
            <w:tcW w:w="1004" w:type="dxa"/>
            <w:vAlign w:val="center"/>
          </w:tcPr>
          <w:p>
            <w:pPr>
              <w:snapToGrid w:val="0"/>
              <w:spacing w:line="300" w:lineRule="auto"/>
              <w:jc w:val="center"/>
              <w:rPr>
                <w:sz w:val="18"/>
                <w:szCs w:val="18"/>
              </w:rPr>
            </w:pPr>
            <w:r>
              <w:rPr>
                <w:rFonts w:hint="eastAsia"/>
                <w:sz w:val="18"/>
                <w:szCs w:val="18"/>
              </w:rPr>
              <w:t>2，3</w:t>
            </w:r>
          </w:p>
        </w:tc>
        <w:tc>
          <w:tcPr>
            <w:tcW w:w="1004" w:type="dxa"/>
            <w:vAlign w:val="center"/>
          </w:tcPr>
          <w:p>
            <w:pPr>
              <w:snapToGrid w:val="0"/>
              <w:spacing w:line="300" w:lineRule="auto"/>
              <w:jc w:val="center"/>
              <w:rPr>
                <w:sz w:val="18"/>
                <w:szCs w:val="18"/>
              </w:rPr>
            </w:pPr>
            <w:r>
              <w:rPr>
                <w:rFonts w:hint="eastAsia"/>
                <w:sz w:val="18"/>
                <w:szCs w:val="18"/>
              </w:rPr>
              <w:t>3.2，3.3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right"/>
        </w:trPr>
        <w:tc>
          <w:tcPr>
            <w:tcW w:w="716" w:type="dxa"/>
            <w:vAlign w:val="center"/>
          </w:tcPr>
          <w:p>
            <w:pPr>
              <w:snapToGrid w:val="0"/>
              <w:spacing w:line="300" w:lineRule="auto"/>
              <w:rPr>
                <w:sz w:val="18"/>
                <w:szCs w:val="18"/>
              </w:rPr>
            </w:pPr>
            <w:r>
              <w:rPr>
                <w:sz w:val="18"/>
                <w:szCs w:val="18"/>
              </w:rPr>
              <w:t>期末考试成绩</w:t>
            </w:r>
          </w:p>
        </w:tc>
        <w:tc>
          <w:tcPr>
            <w:tcW w:w="717" w:type="dxa"/>
            <w:vAlign w:val="center"/>
          </w:tcPr>
          <w:p>
            <w:pPr>
              <w:snapToGrid w:val="0"/>
              <w:spacing w:line="300" w:lineRule="auto"/>
              <w:rPr>
                <w:sz w:val="18"/>
                <w:szCs w:val="18"/>
              </w:rPr>
            </w:pPr>
            <w:r>
              <w:rPr>
                <w:sz w:val="18"/>
                <w:szCs w:val="18"/>
              </w:rPr>
              <w:t>100</w:t>
            </w:r>
          </w:p>
        </w:tc>
        <w:tc>
          <w:tcPr>
            <w:tcW w:w="715" w:type="dxa"/>
            <w:vAlign w:val="center"/>
          </w:tcPr>
          <w:p>
            <w:pPr>
              <w:snapToGrid w:val="0"/>
              <w:spacing w:line="300" w:lineRule="auto"/>
              <w:rPr>
                <w:sz w:val="18"/>
                <w:szCs w:val="18"/>
              </w:rPr>
            </w:pPr>
            <w:r>
              <w:rPr>
                <w:sz w:val="18"/>
                <w:szCs w:val="18"/>
              </w:rPr>
              <w:t>0.</w:t>
            </w:r>
            <w:r>
              <w:rPr>
                <w:rFonts w:hint="eastAsia"/>
                <w:sz w:val="18"/>
                <w:szCs w:val="18"/>
              </w:rPr>
              <w:t>7</w:t>
            </w:r>
          </w:p>
        </w:tc>
        <w:tc>
          <w:tcPr>
            <w:tcW w:w="697" w:type="dxa"/>
            <w:vAlign w:val="center"/>
          </w:tcPr>
          <w:p>
            <w:pPr>
              <w:snapToGrid w:val="0"/>
              <w:spacing w:line="300" w:lineRule="auto"/>
              <w:jc w:val="left"/>
              <w:rPr>
                <w:sz w:val="18"/>
                <w:szCs w:val="18"/>
              </w:rPr>
            </w:pPr>
            <w:r>
              <w:rPr>
                <w:sz w:val="18"/>
                <w:szCs w:val="18"/>
              </w:rPr>
              <w:t>闭卷考试</w:t>
            </w:r>
          </w:p>
        </w:tc>
        <w:tc>
          <w:tcPr>
            <w:tcW w:w="589" w:type="dxa"/>
            <w:vAlign w:val="center"/>
          </w:tcPr>
          <w:p>
            <w:pPr>
              <w:snapToGrid w:val="0"/>
              <w:spacing w:line="300" w:lineRule="auto"/>
              <w:rPr>
                <w:sz w:val="18"/>
                <w:szCs w:val="18"/>
              </w:rPr>
            </w:pPr>
            <w:r>
              <w:rPr>
                <w:rFonts w:hint="eastAsia"/>
                <w:sz w:val="18"/>
                <w:szCs w:val="18"/>
              </w:rPr>
              <w:t>0.7</w:t>
            </w:r>
          </w:p>
        </w:tc>
        <w:tc>
          <w:tcPr>
            <w:tcW w:w="3858" w:type="dxa"/>
            <w:vAlign w:val="center"/>
          </w:tcPr>
          <w:p>
            <w:pPr>
              <w:rPr>
                <w:sz w:val="18"/>
                <w:szCs w:val="18"/>
              </w:rPr>
            </w:pPr>
            <w:r>
              <w:rPr>
                <w:sz w:val="18"/>
                <w:szCs w:val="18"/>
              </w:rPr>
              <w:t>(1)</w:t>
            </w:r>
            <w:r>
              <w:rPr>
                <w:rFonts w:hint="eastAsia"/>
                <w:sz w:val="18"/>
                <w:szCs w:val="18"/>
              </w:rPr>
              <w:t>卷面成绩</w:t>
            </w:r>
            <w:r>
              <w:rPr>
                <w:sz w:val="18"/>
                <w:szCs w:val="18"/>
              </w:rPr>
              <w:t>100</w:t>
            </w:r>
            <w:r>
              <w:rPr>
                <w:rFonts w:hint="eastAsia"/>
                <w:sz w:val="18"/>
                <w:szCs w:val="18"/>
              </w:rPr>
              <w:t>分。卷面成绩按比例计入课程总评成绩。</w:t>
            </w:r>
          </w:p>
          <w:p>
            <w:pPr>
              <w:rPr>
                <w:sz w:val="18"/>
                <w:szCs w:val="18"/>
              </w:rPr>
            </w:pPr>
            <w:r>
              <w:rPr>
                <w:sz w:val="18"/>
                <w:szCs w:val="18"/>
              </w:rPr>
              <w:t>(2)</w:t>
            </w:r>
            <w:r>
              <w:rPr>
                <w:rFonts w:hint="eastAsia"/>
                <w:sz w:val="18"/>
                <w:szCs w:val="18"/>
              </w:rPr>
              <w:t>考核内容包括：</w:t>
            </w:r>
            <w:r>
              <w:rPr>
                <w:sz w:val="18"/>
                <w:szCs w:val="18"/>
              </w:rPr>
              <w:t xml:space="preserve"> </w:t>
            </w:r>
            <w:r>
              <w:rPr>
                <w:rFonts w:hint="eastAsia"/>
                <w:sz w:val="18"/>
                <w:szCs w:val="18"/>
              </w:rPr>
              <w:t>数字图像基本概率的理解、数字图像处理基本方法的掌握、基于M</w:t>
            </w:r>
            <w:r>
              <w:rPr>
                <w:sz w:val="18"/>
                <w:szCs w:val="18"/>
              </w:rPr>
              <w:t>ATLAB</w:t>
            </w:r>
            <w:r>
              <w:rPr>
                <w:rFonts w:hint="eastAsia"/>
                <w:sz w:val="18"/>
                <w:szCs w:val="18"/>
              </w:rPr>
              <w:t>的数字图像处理技术的实现。</w:t>
            </w:r>
          </w:p>
          <w:p>
            <w:pPr>
              <w:snapToGrid w:val="0"/>
              <w:spacing w:line="300" w:lineRule="auto"/>
              <w:rPr>
                <w:sz w:val="18"/>
                <w:szCs w:val="18"/>
              </w:rPr>
            </w:pPr>
            <w:r>
              <w:rPr>
                <w:sz w:val="18"/>
                <w:szCs w:val="18"/>
              </w:rPr>
              <w:t>(3)</w:t>
            </w:r>
            <w:r>
              <w:rPr>
                <w:rFonts w:hint="eastAsia"/>
                <w:sz w:val="18"/>
                <w:szCs w:val="18"/>
              </w:rPr>
              <w:t>建议考试题型包括：选择填空题、分析判断、综合计算题、设计题等其中某几种题型</w:t>
            </w:r>
          </w:p>
        </w:tc>
        <w:tc>
          <w:tcPr>
            <w:tcW w:w="1004" w:type="dxa"/>
            <w:vAlign w:val="center"/>
          </w:tcPr>
          <w:p>
            <w:pPr>
              <w:snapToGrid w:val="0"/>
              <w:spacing w:line="300" w:lineRule="auto"/>
              <w:jc w:val="center"/>
              <w:rPr>
                <w:sz w:val="18"/>
                <w:szCs w:val="18"/>
              </w:rPr>
            </w:pPr>
            <w:r>
              <w:rPr>
                <w:sz w:val="18"/>
                <w:szCs w:val="18"/>
              </w:rPr>
              <w:t>1</w:t>
            </w:r>
          </w:p>
        </w:tc>
        <w:tc>
          <w:tcPr>
            <w:tcW w:w="1004" w:type="dxa"/>
            <w:vAlign w:val="center"/>
          </w:tcPr>
          <w:p>
            <w:pPr>
              <w:snapToGrid w:val="0"/>
              <w:spacing w:line="300" w:lineRule="auto"/>
              <w:jc w:val="center"/>
              <w:rPr>
                <w:sz w:val="18"/>
                <w:szCs w:val="18"/>
              </w:rPr>
            </w:pPr>
            <w:r>
              <w:rPr>
                <w:rFonts w:hint="eastAsia"/>
                <w:sz w:val="18"/>
                <w:szCs w:val="18"/>
              </w:rPr>
              <w:t>1.3</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color w:val="FF0000"/>
          <w:szCs w:val="21"/>
        </w:rPr>
      </w:pPr>
      <w:r>
        <w:rPr>
          <w:color w:val="000000"/>
          <w:szCs w:val="21"/>
        </w:rPr>
        <w:t>1</w:t>
      </w:r>
      <w:r>
        <w:t>．</w:t>
      </w:r>
      <w:r>
        <w:rPr>
          <w:color w:val="000000"/>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13" o:spt="75" type="#_x0000_t75" style="height:30pt;width:362.25pt;" o:ole="t" filled="f" o:preferrelative="t" stroked="f" coordsize="21600,21600">
            <v:path/>
            <v:fill on="f" focussize="0,0"/>
            <v:stroke on="f" joinstyle="miter"/>
            <v:imagedata r:id="rId36" o:title=""/>
            <o:lock v:ext="edit" aspectratio="t"/>
            <w10:wrap type="none"/>
            <w10:anchorlock/>
          </v:shape>
          <o:OLEObject Type="Embed" ProgID="Equation.3" ShapeID="_x0000_i1113" DrawAspect="Content" ObjectID="_1468075810" r:id="rId125">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t xml:space="preserve"> </w:t>
      </w:r>
      <w:r>
        <w:object>
          <v:shape id="_x0000_i1114"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14" DrawAspect="Content" ObjectID="_1468075811" r:id="rId126">
            <o:LockedField>false</o:LockedField>
          </o:OLEObject>
        </w:object>
      </w:r>
    </w:p>
    <w:p>
      <w:pPr>
        <w:snapToGrid w:val="0"/>
        <w:spacing w:line="300" w:lineRule="auto"/>
      </w:pPr>
      <w:r>
        <w:t>其中权重系数按照表6设定。</w:t>
      </w:r>
    </w:p>
    <w:p>
      <w:pPr>
        <w:snapToGrid w:val="0"/>
        <w:spacing w:line="300" w:lineRule="auto"/>
      </w:pPr>
    </w:p>
    <w:p>
      <w:pPr>
        <w:snapToGrid w:val="0"/>
        <w:spacing w:line="300" w:lineRule="auto"/>
        <w:jc w:val="center"/>
        <w:rPr>
          <w:b/>
          <w:bCs/>
          <w:color w:val="000000"/>
          <w:sz w:val="18"/>
          <w:szCs w:val="18"/>
        </w:rPr>
      </w:pPr>
      <w:r>
        <w:rPr>
          <w:b/>
          <w:bCs/>
          <w:color w:val="000000"/>
          <w:sz w:val="18"/>
          <w:szCs w:val="18"/>
        </w:rPr>
        <w:t>表6课程目标权重系数</w:t>
      </w:r>
    </w:p>
    <w:tbl>
      <w:tblPr>
        <w:tblStyle w:val="22"/>
        <w:tblW w:w="3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80"/>
        <w:gridCol w:w="1246"/>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180" w:type="dxa"/>
            <w:vAlign w:val="center"/>
          </w:tcPr>
          <w:p>
            <w:pPr>
              <w:snapToGrid w:val="0"/>
              <w:spacing w:line="300" w:lineRule="auto"/>
              <w:jc w:val="center"/>
              <w:rPr>
                <w:b/>
                <w:bCs/>
                <w:sz w:val="18"/>
                <w:szCs w:val="18"/>
              </w:rPr>
            </w:pPr>
            <w:r>
              <w:rPr>
                <w:b/>
                <w:bCs/>
                <w:sz w:val="18"/>
                <w:szCs w:val="18"/>
              </w:rPr>
              <w:t>课程目标</w:t>
            </w:r>
          </w:p>
        </w:tc>
        <w:tc>
          <w:tcPr>
            <w:tcW w:w="1246" w:type="dxa"/>
            <w:vAlign w:val="center"/>
          </w:tcPr>
          <w:p>
            <w:pPr>
              <w:snapToGrid w:val="0"/>
              <w:spacing w:line="300" w:lineRule="auto"/>
              <w:jc w:val="center"/>
              <w:rPr>
                <w:sz w:val="18"/>
                <w:szCs w:val="18"/>
              </w:rPr>
            </w:pPr>
            <w:r>
              <w:rPr>
                <w:sz w:val="18"/>
                <w:szCs w:val="18"/>
              </w:rPr>
              <w:t>1</w:t>
            </w:r>
          </w:p>
        </w:tc>
        <w:tc>
          <w:tcPr>
            <w:tcW w:w="1477"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180" w:type="dxa"/>
            <w:vAlign w:val="center"/>
          </w:tcPr>
          <w:p>
            <w:pPr>
              <w:snapToGrid w:val="0"/>
              <w:spacing w:line="300" w:lineRule="auto"/>
              <w:jc w:val="center"/>
              <w:rPr>
                <w:b/>
                <w:bCs/>
                <w:sz w:val="18"/>
                <w:szCs w:val="18"/>
              </w:rPr>
            </w:pPr>
            <w:r>
              <w:rPr>
                <w:b/>
                <w:bCs/>
                <w:sz w:val="18"/>
                <w:szCs w:val="18"/>
              </w:rPr>
              <w:t>权重系数</w:t>
            </w:r>
          </w:p>
        </w:tc>
        <w:tc>
          <w:tcPr>
            <w:tcW w:w="1246" w:type="dxa"/>
          </w:tcPr>
          <w:p>
            <w:pPr>
              <w:snapToGrid w:val="0"/>
              <w:spacing w:line="300" w:lineRule="auto"/>
              <w:jc w:val="center"/>
              <w:rPr>
                <w:sz w:val="18"/>
                <w:szCs w:val="18"/>
              </w:rPr>
            </w:pPr>
            <w:r>
              <w:rPr>
                <w:sz w:val="18"/>
                <w:szCs w:val="18"/>
              </w:rPr>
              <w:t>0.</w:t>
            </w:r>
            <w:r>
              <w:rPr>
                <w:rFonts w:hint="eastAsia"/>
                <w:sz w:val="18"/>
                <w:szCs w:val="18"/>
              </w:rPr>
              <w:t>85</w:t>
            </w:r>
          </w:p>
        </w:tc>
        <w:tc>
          <w:tcPr>
            <w:tcW w:w="1477" w:type="dxa"/>
          </w:tcPr>
          <w:p>
            <w:pPr>
              <w:snapToGrid w:val="0"/>
              <w:spacing w:line="300" w:lineRule="auto"/>
              <w:jc w:val="center"/>
              <w:rPr>
                <w:sz w:val="18"/>
                <w:szCs w:val="18"/>
              </w:rPr>
            </w:pPr>
            <w:r>
              <w:rPr>
                <w:sz w:val="18"/>
                <w:szCs w:val="18"/>
              </w:rPr>
              <w:t>0.</w:t>
            </w:r>
            <w:r>
              <w:rPr>
                <w:rFonts w:hint="eastAsia"/>
                <w:sz w:val="18"/>
                <w:szCs w:val="18"/>
              </w:rPr>
              <w:t>15</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15"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15" DrawAspect="Content" ObjectID="_1468075812" r:id="rId127">
            <o:LockedField>false</o:LockedField>
          </o:OLEObject>
        </w:object>
      </w:r>
    </w:p>
    <w:p>
      <w:pPr>
        <w:snapToGrid w:val="0"/>
        <w:spacing w:line="300" w:lineRule="auto"/>
        <w:ind w:firstLine="420" w:firstLineChars="200"/>
        <w:rPr>
          <w:color w:val="000000"/>
          <w:szCs w:val="21"/>
        </w:rPr>
      </w:pPr>
      <w:r>
        <w:rPr>
          <w:color w:val="000000"/>
          <w:szCs w:val="21"/>
        </w:rPr>
        <w:t>2</w:t>
      </w:r>
      <w:r>
        <w:t>．</w:t>
      </w:r>
      <w:r>
        <w:rPr>
          <w:color w:val="000000"/>
          <w:szCs w:val="21"/>
        </w:rPr>
        <w:t>课程总结要求</w:t>
      </w:r>
    </w:p>
    <w:p>
      <w:pPr>
        <w:snapToGrid w:val="0"/>
        <w:spacing w:line="300" w:lineRule="auto"/>
        <w:ind w:firstLine="420" w:firstLineChars="200"/>
        <w:rPr>
          <w:rFonts w:ascii="Times New Roman" w:hAnsi="Times New Roman" w:eastAsia="宋体" w:cs="Times New Roman"/>
          <w:color w:val="000000"/>
          <w:szCs w:val="21"/>
        </w:rPr>
      </w:pPr>
      <w:r>
        <w:rPr>
          <w:color w:val="00000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．教材</w:t>
      </w:r>
    </w:p>
    <w:p>
      <w:pPr>
        <w:snapToGrid w:val="0"/>
        <w:spacing w:line="300" w:lineRule="auto"/>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 xml:space="preserve">1] </w:t>
      </w:r>
      <w:r>
        <w:rPr>
          <w:rFonts w:hint="eastAsia" w:ascii="Times New Roman" w:hAnsi="Times New Roman" w:eastAsia="宋体" w:cs="Times New Roman"/>
        </w:rPr>
        <w:t>张培珍.</w:t>
      </w:r>
      <w:r>
        <w:rPr>
          <w:rFonts w:ascii="Times New Roman" w:hAnsi="Times New Roman" w:eastAsia="宋体" w:cs="Times New Roman"/>
        </w:rPr>
        <w:t xml:space="preserve"> </w:t>
      </w:r>
      <w:r>
        <w:rPr>
          <w:rFonts w:hint="eastAsia" w:ascii="Times New Roman" w:hAnsi="Times New Roman" w:eastAsia="宋体" w:cs="Times New Roman"/>
        </w:rPr>
        <w:t>《数字图像处理及应用》[</w:t>
      </w:r>
      <w:r>
        <w:rPr>
          <w:rFonts w:ascii="Times New Roman" w:hAnsi="Times New Roman" w:eastAsia="宋体" w:cs="Times New Roman"/>
        </w:rPr>
        <w:t xml:space="preserve">M], </w:t>
      </w:r>
      <w:r>
        <w:rPr>
          <w:rFonts w:hint="eastAsia" w:ascii="Times New Roman" w:hAnsi="Times New Roman" w:eastAsia="宋体" w:cs="Times New Roman"/>
        </w:rPr>
        <w:t>北京：北京大学出版社，2015</w:t>
      </w:r>
    </w:p>
    <w:p>
      <w:pPr>
        <w:snapToGrid w:val="0"/>
        <w:spacing w:line="300" w:lineRule="auto"/>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．参考资料</w:t>
      </w:r>
    </w:p>
    <w:p>
      <w:pPr>
        <w:snapToGrid w:val="0"/>
        <w:spacing w:line="300" w:lineRule="auto"/>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冈萨雷斯.</w:t>
      </w:r>
      <w:r>
        <w:rPr>
          <w:rFonts w:ascii="Times New Roman" w:hAnsi="Times New Roman" w:eastAsia="宋体" w:cs="Times New Roman"/>
        </w:rPr>
        <w:t xml:space="preserve"> </w:t>
      </w:r>
      <w:r>
        <w:rPr>
          <w:rFonts w:hint="eastAsia" w:ascii="Times New Roman" w:hAnsi="Times New Roman" w:eastAsia="宋体" w:cs="Times New Roman"/>
        </w:rPr>
        <w:t>《数字图像处理》（第三版）[</w:t>
      </w:r>
      <w:r>
        <w:rPr>
          <w:rFonts w:ascii="Times New Roman" w:hAnsi="Times New Roman" w:eastAsia="宋体" w:cs="Times New Roman"/>
        </w:rPr>
        <w:t>M]</w:t>
      </w:r>
      <w:r>
        <w:rPr>
          <w:rFonts w:hint="eastAsia" w:ascii="Times New Roman" w:hAnsi="Times New Roman" w:eastAsia="宋体" w:cs="Times New Roman"/>
        </w:rPr>
        <w:t xml:space="preserve">，北京：电子工业出版社，2017 </w:t>
      </w:r>
    </w:p>
    <w:p>
      <w:pPr>
        <w:snapToGrid w:val="0"/>
        <w:spacing w:line="300" w:lineRule="auto"/>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2</w:t>
      </w:r>
      <w:r>
        <w:rPr>
          <w:rFonts w:ascii="Times New Roman" w:hAnsi="Times New Roman" w:eastAsia="宋体" w:cs="Times New Roman"/>
        </w:rPr>
        <w:t>]</w:t>
      </w:r>
      <w:r>
        <w:rPr>
          <w:rFonts w:hint="eastAsia" w:ascii="Times New Roman" w:hAnsi="Times New Roman" w:eastAsia="宋体" w:cs="Times New Roman"/>
        </w:rPr>
        <w:t>章毓晋</w:t>
      </w:r>
      <w:r>
        <w:rPr>
          <w:rFonts w:ascii="Times New Roman" w:hAnsi="Times New Roman" w:eastAsia="宋体" w:cs="Times New Roman"/>
        </w:rPr>
        <w:t>.</w:t>
      </w:r>
      <w:r>
        <w:rPr>
          <w:rFonts w:hint="eastAsia" w:ascii="Times New Roman" w:hAnsi="Times New Roman" w:eastAsia="宋体" w:cs="Times New Roman"/>
        </w:rPr>
        <w:t>《图像工程》（第三版）</w:t>
      </w:r>
      <w:r>
        <w:rPr>
          <w:rFonts w:ascii="Times New Roman" w:hAnsi="Times New Roman" w:eastAsia="宋体" w:cs="Times New Roman"/>
        </w:rPr>
        <w:t>[M]</w:t>
      </w:r>
      <w:r>
        <w:rPr>
          <w:rFonts w:hint="eastAsia" w:ascii="Times New Roman" w:hAnsi="Times New Roman" w:eastAsia="宋体" w:cs="Times New Roman"/>
        </w:rPr>
        <w:t>，北京：清华大学出版社，</w:t>
      </w:r>
      <w:r>
        <w:rPr>
          <w:rFonts w:ascii="Times New Roman" w:hAnsi="Times New Roman" w:eastAsia="宋体" w:cs="Times New Roman"/>
        </w:rPr>
        <w:t>20</w:t>
      </w:r>
      <w:r>
        <w:rPr>
          <w:rFonts w:hint="eastAsia" w:ascii="Times New Roman" w:hAnsi="Times New Roman" w:eastAsia="宋体" w:cs="Times New Roman"/>
        </w:rPr>
        <w:t>13</w:t>
      </w:r>
    </w:p>
    <w:p>
      <w:pPr>
        <w:snapToGrid w:val="0"/>
        <w:spacing w:line="300" w:lineRule="auto"/>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3</w:t>
      </w:r>
      <w:r>
        <w:rPr>
          <w:rFonts w:ascii="Times New Roman" w:hAnsi="Times New Roman" w:eastAsia="宋体" w:cs="Times New Roman"/>
        </w:rPr>
        <w:t xml:space="preserve">] </w:t>
      </w:r>
      <w:r>
        <w:rPr>
          <w:rFonts w:hint="eastAsia" w:ascii="Times New Roman" w:hAnsi="Times New Roman" w:eastAsia="宋体" w:cs="Times New Roman"/>
        </w:rPr>
        <w:t>徐飞，施晓红</w:t>
      </w:r>
      <w:r>
        <w:rPr>
          <w:rFonts w:ascii="Times New Roman" w:hAnsi="Times New Roman" w:eastAsia="宋体" w:cs="Times New Roman"/>
        </w:rPr>
        <w:t xml:space="preserve">. </w:t>
      </w:r>
      <w:r>
        <w:rPr>
          <w:rFonts w:hint="eastAsia" w:ascii="Times New Roman" w:hAnsi="Times New Roman" w:eastAsia="宋体" w:cs="Times New Roman"/>
        </w:rPr>
        <w:t>《</w:t>
      </w:r>
      <w:r>
        <w:rPr>
          <w:rFonts w:ascii="Times New Roman" w:hAnsi="Times New Roman" w:eastAsia="宋体" w:cs="Times New Roman"/>
        </w:rPr>
        <w:t>MATLAB</w:t>
      </w:r>
      <w:r>
        <w:rPr>
          <w:rFonts w:hint="eastAsia" w:ascii="Times New Roman" w:hAnsi="Times New Roman" w:eastAsia="宋体" w:cs="Times New Roman"/>
        </w:rPr>
        <w:t>应用图像处理》</w:t>
      </w:r>
      <w:r>
        <w:rPr>
          <w:rFonts w:ascii="Times New Roman" w:hAnsi="Times New Roman" w:eastAsia="宋体" w:cs="Times New Roman"/>
        </w:rPr>
        <w:t>[M]</w:t>
      </w:r>
      <w:r>
        <w:rPr>
          <w:rFonts w:hint="eastAsia" w:ascii="Times New Roman" w:hAnsi="Times New Roman" w:eastAsia="宋体" w:cs="Times New Roman"/>
        </w:rPr>
        <w:t>，西安：西安电子科技大学出版社，</w:t>
      </w:r>
      <w:r>
        <w:rPr>
          <w:rFonts w:ascii="Times New Roman" w:hAnsi="Times New Roman" w:eastAsia="宋体" w:cs="Times New Roman"/>
        </w:rPr>
        <w:t>20</w:t>
      </w:r>
      <w:r>
        <w:rPr>
          <w:rFonts w:hint="eastAsia" w:ascii="Times New Roman" w:hAnsi="Times New Roman" w:eastAsia="宋体" w:cs="Times New Roman"/>
        </w:rPr>
        <w:t>11</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审定人 王骥</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批准人 张炎生</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 xml:space="preserve">日期 </w:t>
      </w:r>
      <w:r>
        <w:rPr>
          <w:kern w:val="0"/>
          <w:sz w:val="20"/>
          <w:szCs w:val="21"/>
        </w:rPr>
        <w:t>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p>
      <w:pPr>
        <w:pStyle w:val="5"/>
        <w:spacing w:before="260" w:after="260" w:line="413" w:lineRule="auto"/>
        <w:jc w:val="center"/>
        <w:rPr>
          <w:rFonts w:ascii="Times New Roman" w:hAnsi="Times New Roman" w:cs="Times New Roman"/>
          <w:b w:val="0"/>
          <w:sz w:val="32"/>
          <w:szCs w:val="32"/>
        </w:rPr>
      </w:pPr>
      <w:bookmarkStart w:id="154" w:name="_Toc11396"/>
      <w:r>
        <w:rPr>
          <w:rFonts w:hint="eastAsia" w:ascii="Times New Roman" w:hAnsi="Times New Roman" w:cs="Times New Roman"/>
          <w:sz w:val="32"/>
          <w:szCs w:val="32"/>
        </w:rPr>
        <w:t>33431504《电子系统创新设计方法》课程教学大纲</w:t>
      </w:r>
      <w:bookmarkEnd w:id="154"/>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297"/>
        <w:gridCol w:w="1276"/>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szCs w:val="21"/>
              </w:rPr>
            </w:pPr>
            <w:r>
              <w:rPr>
                <w:szCs w:val="21"/>
              </w:rPr>
              <w:t>课程编号</w:t>
            </w:r>
          </w:p>
        </w:tc>
        <w:tc>
          <w:tcPr>
            <w:tcW w:w="3297" w:type="dxa"/>
            <w:vAlign w:val="center"/>
          </w:tcPr>
          <w:p>
            <w:pPr>
              <w:jc w:val="center"/>
              <w:rPr>
                <w:szCs w:val="21"/>
              </w:rPr>
            </w:pPr>
            <w:r>
              <w:rPr>
                <w:szCs w:val="21"/>
              </w:rPr>
              <w:t>33432006</w:t>
            </w:r>
          </w:p>
        </w:tc>
        <w:tc>
          <w:tcPr>
            <w:tcW w:w="1276" w:type="dxa"/>
            <w:vAlign w:val="center"/>
          </w:tcPr>
          <w:p>
            <w:pPr>
              <w:jc w:val="center"/>
              <w:rPr>
                <w:szCs w:val="21"/>
              </w:rPr>
            </w:pPr>
            <w:r>
              <w:rPr>
                <w:szCs w:val="21"/>
              </w:rPr>
              <w:t>课程名称</w:t>
            </w:r>
          </w:p>
        </w:tc>
        <w:tc>
          <w:tcPr>
            <w:tcW w:w="2761" w:type="dxa"/>
            <w:vAlign w:val="center"/>
          </w:tcPr>
          <w:p>
            <w:pPr>
              <w:jc w:val="center"/>
              <w:rPr>
                <w:szCs w:val="21"/>
              </w:rPr>
            </w:pPr>
            <w:r>
              <w:rPr>
                <w:szCs w:val="21"/>
              </w:rPr>
              <w:t>电子系统创新设计方法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szCs w:val="21"/>
              </w:rPr>
            </w:pPr>
            <w:r>
              <w:rPr>
                <w:szCs w:val="21"/>
              </w:rPr>
              <w:t>课程性质*</w:t>
            </w:r>
          </w:p>
        </w:tc>
        <w:tc>
          <w:tcPr>
            <w:tcW w:w="3297" w:type="dxa"/>
            <w:vAlign w:val="center"/>
          </w:tcPr>
          <w:p>
            <w:pPr>
              <w:jc w:val="center"/>
              <w:rPr>
                <w:szCs w:val="21"/>
              </w:rPr>
            </w:pPr>
            <w:r>
              <w:rPr>
                <w:rFonts w:hint="eastAsia"/>
                <w:szCs w:val="21"/>
              </w:rPr>
              <w:t>专业类</w:t>
            </w:r>
          </w:p>
        </w:tc>
        <w:tc>
          <w:tcPr>
            <w:tcW w:w="1276" w:type="dxa"/>
            <w:vAlign w:val="center"/>
          </w:tcPr>
          <w:p>
            <w:pPr>
              <w:jc w:val="center"/>
              <w:rPr>
                <w:szCs w:val="21"/>
              </w:rPr>
            </w:pPr>
            <w:r>
              <w:rPr>
                <w:szCs w:val="21"/>
              </w:rPr>
              <w:t>英文名称</w:t>
            </w:r>
          </w:p>
        </w:tc>
        <w:tc>
          <w:tcPr>
            <w:tcW w:w="2761" w:type="dxa"/>
            <w:vAlign w:val="center"/>
          </w:tcPr>
          <w:p>
            <w:pPr>
              <w:jc w:val="center"/>
              <w:rPr>
                <w:szCs w:val="21"/>
              </w:rPr>
            </w:pPr>
            <w:r>
              <w:rPr>
                <w:szCs w:val="21"/>
              </w:rPr>
              <w:t xml:space="preserve">Electronic system innovation design method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szCs w:val="21"/>
              </w:rPr>
            </w:pPr>
            <w:r>
              <w:rPr>
                <w:szCs w:val="21"/>
              </w:rPr>
              <w:t>学分学时</w:t>
            </w:r>
          </w:p>
        </w:tc>
        <w:tc>
          <w:tcPr>
            <w:tcW w:w="3297" w:type="dxa"/>
            <w:vAlign w:val="center"/>
          </w:tcPr>
          <w:p>
            <w:pPr>
              <w:jc w:val="center"/>
              <w:rPr>
                <w:szCs w:val="21"/>
              </w:rPr>
            </w:pPr>
            <w:r>
              <w:rPr>
                <w:szCs w:val="21"/>
              </w:rPr>
              <w:t>2 :32（28）</w:t>
            </w:r>
          </w:p>
        </w:tc>
        <w:tc>
          <w:tcPr>
            <w:tcW w:w="1276" w:type="dxa"/>
            <w:vAlign w:val="center"/>
          </w:tcPr>
          <w:p>
            <w:pPr>
              <w:jc w:val="center"/>
              <w:rPr>
                <w:szCs w:val="21"/>
              </w:rPr>
            </w:pPr>
            <w:r>
              <w:rPr>
                <w:szCs w:val="21"/>
              </w:rPr>
              <w:t>任课教师</w:t>
            </w:r>
          </w:p>
        </w:tc>
        <w:tc>
          <w:tcPr>
            <w:tcW w:w="2761" w:type="dxa"/>
            <w:vAlign w:val="center"/>
          </w:tcPr>
          <w:p>
            <w:pPr>
              <w:jc w:val="center"/>
              <w:rPr>
                <w:szCs w:val="21"/>
              </w:rPr>
            </w:pPr>
            <w:r>
              <w:rPr>
                <w:szCs w:val="21"/>
              </w:rPr>
              <w:t>刘畅</w:t>
            </w:r>
            <w:r>
              <w:rPr>
                <w:rFonts w:hint="eastAsia"/>
                <w:szCs w:val="21"/>
              </w:rPr>
              <w:t>、</w:t>
            </w:r>
            <w:r>
              <w:rPr>
                <w:szCs w:val="21"/>
              </w:rPr>
              <w:t>王峰、邓锐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szCs w:val="21"/>
              </w:rPr>
            </w:pPr>
            <w:r>
              <w:rPr>
                <w:szCs w:val="21"/>
              </w:rPr>
              <w:t>企业专家</w:t>
            </w:r>
          </w:p>
        </w:tc>
        <w:tc>
          <w:tcPr>
            <w:tcW w:w="3297" w:type="dxa"/>
            <w:vAlign w:val="center"/>
          </w:tcPr>
          <w:p>
            <w:pPr>
              <w:widowControl/>
              <w:jc w:val="center"/>
              <w:rPr>
                <w:szCs w:val="21"/>
              </w:rPr>
            </w:pPr>
            <w:r>
              <w:rPr>
                <w:szCs w:val="21"/>
              </w:rPr>
              <w:t>曾耿滨</w:t>
            </w:r>
          </w:p>
        </w:tc>
        <w:tc>
          <w:tcPr>
            <w:tcW w:w="1276" w:type="dxa"/>
            <w:vAlign w:val="center"/>
          </w:tcPr>
          <w:p>
            <w:pPr>
              <w:jc w:val="center"/>
              <w:rPr>
                <w:szCs w:val="21"/>
              </w:rPr>
            </w:pPr>
            <w:r>
              <w:rPr>
                <w:szCs w:val="21"/>
              </w:rPr>
              <w:t>行业专家</w:t>
            </w:r>
          </w:p>
        </w:tc>
        <w:tc>
          <w:tcPr>
            <w:tcW w:w="2761" w:type="dxa"/>
            <w:vAlign w:val="center"/>
          </w:tcPr>
          <w:p>
            <w:pPr>
              <w:widowControl/>
              <w:jc w:val="center"/>
              <w:rPr>
                <w:szCs w:val="21"/>
              </w:rPr>
            </w:pPr>
            <w:r>
              <w:rPr>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szCs w:val="21"/>
              </w:rPr>
            </w:pPr>
            <w:r>
              <w:rPr>
                <w:szCs w:val="21"/>
              </w:rPr>
              <w:t>执笔教师</w:t>
            </w:r>
          </w:p>
        </w:tc>
        <w:tc>
          <w:tcPr>
            <w:tcW w:w="3297" w:type="dxa"/>
            <w:vAlign w:val="center"/>
          </w:tcPr>
          <w:p>
            <w:pPr>
              <w:widowControl/>
              <w:jc w:val="center"/>
              <w:rPr>
                <w:szCs w:val="21"/>
              </w:rPr>
            </w:pPr>
            <w:r>
              <w:rPr>
                <w:szCs w:val="21"/>
              </w:rPr>
              <w:t>王峰</w:t>
            </w:r>
          </w:p>
        </w:tc>
        <w:tc>
          <w:tcPr>
            <w:tcW w:w="1276" w:type="dxa"/>
            <w:vAlign w:val="center"/>
          </w:tcPr>
          <w:p>
            <w:pPr>
              <w:widowControl/>
              <w:jc w:val="center"/>
              <w:rPr>
                <w:szCs w:val="21"/>
              </w:rPr>
            </w:pPr>
            <w:r>
              <w:rPr>
                <w:szCs w:val="21"/>
              </w:rPr>
              <w:t>责任教授</w:t>
            </w:r>
          </w:p>
        </w:tc>
        <w:tc>
          <w:tcPr>
            <w:tcW w:w="2761" w:type="dxa"/>
            <w:vAlign w:val="center"/>
          </w:tcPr>
          <w:p>
            <w:pPr>
              <w:widowControl/>
              <w:jc w:val="center"/>
              <w:rPr>
                <w:szCs w:val="21"/>
              </w:rPr>
            </w:pPr>
            <w:r>
              <w:rPr>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szCs w:val="21"/>
              </w:rPr>
            </w:pPr>
            <w:r>
              <w:rPr>
                <w:szCs w:val="21"/>
              </w:rPr>
              <w:t>适用专业</w:t>
            </w:r>
          </w:p>
        </w:tc>
        <w:tc>
          <w:tcPr>
            <w:tcW w:w="3297" w:type="dxa"/>
            <w:vAlign w:val="center"/>
          </w:tcPr>
          <w:p>
            <w:pPr>
              <w:widowControl/>
              <w:jc w:val="center"/>
              <w:rPr>
                <w:szCs w:val="21"/>
              </w:rPr>
            </w:pPr>
            <w:r>
              <w:rPr>
                <w:szCs w:val="21"/>
              </w:rPr>
              <w:t>电子信息工程</w:t>
            </w:r>
          </w:p>
        </w:tc>
        <w:tc>
          <w:tcPr>
            <w:tcW w:w="1276" w:type="dxa"/>
            <w:vAlign w:val="center"/>
          </w:tcPr>
          <w:p>
            <w:pPr>
              <w:widowControl/>
              <w:jc w:val="center"/>
              <w:rPr>
                <w:szCs w:val="21"/>
              </w:rPr>
            </w:pPr>
            <w:r>
              <w:rPr>
                <w:szCs w:val="21"/>
              </w:rPr>
              <w:t>适用对象</w:t>
            </w:r>
          </w:p>
        </w:tc>
        <w:tc>
          <w:tcPr>
            <w:tcW w:w="2761" w:type="dxa"/>
            <w:vAlign w:val="center"/>
          </w:tcPr>
          <w:p>
            <w:pPr>
              <w:widowControl/>
              <w:jc w:val="center"/>
              <w:rPr>
                <w:szCs w:val="21"/>
              </w:rPr>
            </w:pPr>
            <w:r>
              <w:rPr>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szCs w:val="21"/>
              </w:rPr>
            </w:pPr>
            <w:r>
              <w:rPr>
                <w:szCs w:val="21"/>
              </w:rPr>
              <w:t>先修课程</w:t>
            </w:r>
          </w:p>
        </w:tc>
        <w:tc>
          <w:tcPr>
            <w:tcW w:w="3297" w:type="dxa"/>
            <w:vAlign w:val="center"/>
          </w:tcPr>
          <w:p>
            <w:pPr>
              <w:widowControl/>
              <w:jc w:val="center"/>
              <w:rPr>
                <w:szCs w:val="21"/>
              </w:rPr>
            </w:pPr>
            <w:r>
              <w:rPr>
                <w:szCs w:val="21"/>
              </w:rPr>
              <w:t>电路分析、模拟电路、</w:t>
            </w:r>
          </w:p>
          <w:p>
            <w:pPr>
              <w:widowControl/>
              <w:jc w:val="center"/>
              <w:rPr>
                <w:szCs w:val="21"/>
              </w:rPr>
            </w:pPr>
            <w:r>
              <w:rPr>
                <w:szCs w:val="21"/>
              </w:rPr>
              <w:t>数字电路、电子工艺实习</w:t>
            </w:r>
          </w:p>
        </w:tc>
        <w:tc>
          <w:tcPr>
            <w:tcW w:w="1276" w:type="dxa"/>
            <w:vAlign w:val="center"/>
          </w:tcPr>
          <w:p>
            <w:pPr>
              <w:snapToGrid w:val="0"/>
              <w:spacing w:line="300" w:lineRule="auto"/>
              <w:jc w:val="center"/>
              <w:rPr>
                <w:szCs w:val="21"/>
              </w:rPr>
            </w:pPr>
            <w:r>
              <w:rPr>
                <w:szCs w:val="21"/>
              </w:rPr>
              <w:t>同修课程</w:t>
            </w:r>
          </w:p>
        </w:tc>
        <w:tc>
          <w:tcPr>
            <w:tcW w:w="2761" w:type="dxa"/>
            <w:vAlign w:val="center"/>
          </w:tcPr>
          <w:p>
            <w:pPr>
              <w:widowControl/>
              <w:jc w:val="center"/>
              <w:rPr>
                <w:szCs w:val="21"/>
              </w:rPr>
            </w:pPr>
            <w:r>
              <w:rPr>
                <w:szCs w:val="21"/>
              </w:rPr>
              <w:t>传感器原理与技术、</w:t>
            </w:r>
          </w:p>
          <w:p>
            <w:pPr>
              <w:widowControl/>
              <w:jc w:val="center"/>
              <w:rPr>
                <w:szCs w:val="21"/>
              </w:rPr>
            </w:pPr>
            <w:r>
              <w:rPr>
                <w:szCs w:val="21"/>
              </w:rPr>
              <w:t>电子线路CAD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szCs w:val="21"/>
              </w:rPr>
            </w:pPr>
            <w:r>
              <w:rPr>
                <w:szCs w:val="21"/>
              </w:rPr>
              <w:t>排斥课程</w:t>
            </w:r>
          </w:p>
        </w:tc>
        <w:tc>
          <w:tcPr>
            <w:tcW w:w="3297" w:type="dxa"/>
            <w:vAlign w:val="center"/>
          </w:tcPr>
          <w:p>
            <w:pPr>
              <w:widowControl/>
              <w:jc w:val="center"/>
              <w:rPr>
                <w:szCs w:val="21"/>
              </w:rPr>
            </w:pPr>
            <w:r>
              <w:rPr>
                <w:szCs w:val="21"/>
              </w:rPr>
              <w:t>无</w:t>
            </w:r>
          </w:p>
        </w:tc>
        <w:tc>
          <w:tcPr>
            <w:tcW w:w="1276" w:type="dxa"/>
            <w:vAlign w:val="center"/>
          </w:tcPr>
          <w:p>
            <w:pPr>
              <w:snapToGrid w:val="0"/>
              <w:spacing w:line="300" w:lineRule="auto"/>
              <w:jc w:val="center"/>
              <w:rPr>
                <w:szCs w:val="21"/>
              </w:rPr>
            </w:pPr>
            <w:r>
              <w:rPr>
                <w:szCs w:val="21"/>
              </w:rPr>
              <w:t>定稿日期</w:t>
            </w:r>
          </w:p>
        </w:tc>
        <w:tc>
          <w:tcPr>
            <w:tcW w:w="2761" w:type="dxa"/>
            <w:vAlign w:val="center"/>
          </w:tcPr>
          <w:p>
            <w:pPr>
              <w:widowControl/>
              <w:jc w:val="center"/>
              <w:rPr>
                <w:szCs w:val="21"/>
              </w:rPr>
            </w:pPr>
            <w:r>
              <w:rPr>
                <w:rFonts w:hint="eastAsia"/>
                <w:kern w:val="0"/>
                <w:szCs w:val="21"/>
              </w:rPr>
              <w:t>2022.5.10</w:t>
            </w:r>
          </w:p>
        </w:tc>
      </w:tr>
    </w:tbl>
    <w:p>
      <w:pPr>
        <w:snapToGrid w:val="0"/>
        <w:spacing w:line="300" w:lineRule="auto"/>
        <w:ind w:firstLine="420" w:firstLineChars="200"/>
        <w:rPr>
          <w:sz w:val="18"/>
          <w:szCs w:val="18"/>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《电子系统创新设计方法》是电子信息工程专业的通识教育拓展课，</w:t>
      </w:r>
      <w:r>
        <w:rPr>
          <w:kern w:val="0"/>
          <w:szCs w:val="21"/>
        </w:rPr>
        <w:t>开设于大</w:t>
      </w:r>
      <w:r>
        <w:rPr>
          <w:rFonts w:hint="eastAsia"/>
          <w:kern w:val="0"/>
          <w:szCs w:val="21"/>
        </w:rPr>
        <w:t>三上</w:t>
      </w:r>
      <w:r>
        <w:rPr>
          <w:kern w:val="0"/>
          <w:szCs w:val="21"/>
        </w:rPr>
        <w:t>学期,起到学生电子设计入门引导的作用。本课程作为一个从理论到实践再到创新的学习训练课，以实践操作为主线，主要讲授电路设计与制作基础、模拟与集成电路设计，传感器及电路设计、数字电路设计、PCB设计焊接与调试、单片机电路设计基础等内容。作为一个从理论到实践再到创新的学习、训练体系，本书与电路、模电、数电、信号与系统等基础课程形成紧密互补的依托关系，培养学生循序渐进地学习相关知识与技能，达到拓展知识面、提升工程实践创新能力的目的。</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szCs w:val="21"/>
        </w:rPr>
        <w:t>通过本课程的学习，使学生掌握</w:t>
      </w:r>
      <w:r>
        <w:rPr>
          <w:rFonts w:hint="eastAsia"/>
          <w:szCs w:val="21"/>
        </w:rPr>
        <w:t>搜索查找相关文献的方法和能力，能够</w:t>
      </w:r>
      <w:r>
        <w:rPr>
          <w:szCs w:val="21"/>
        </w:rPr>
        <w:t>电路设计的基本步骤，分别以模拟电路、传感器电路、数字电路、单片机控制系统电路设计为例，培养学生针对实际问题，</w:t>
      </w:r>
      <w:r>
        <w:rPr>
          <w:rFonts w:hint="eastAsia"/>
          <w:szCs w:val="21"/>
        </w:rPr>
        <w:t>查找检索相关文献</w:t>
      </w:r>
      <w:r>
        <w:rPr>
          <w:szCs w:val="21"/>
        </w:rPr>
        <w:t>进行问题表达与需求分析、电路总体方案的制定、具体电路设计、实物制作与调试</w:t>
      </w:r>
      <w:r>
        <w:rPr>
          <w:rFonts w:hint="eastAsia"/>
          <w:szCs w:val="21"/>
        </w:rPr>
        <w:t>分</w:t>
      </w:r>
      <w:r>
        <w:rPr>
          <w:rFonts w:hint="eastAsia"/>
          <w:kern w:val="0"/>
          <w:szCs w:val="21"/>
        </w:rPr>
        <w:t>析</w:t>
      </w:r>
      <w:r>
        <w:rPr>
          <w:kern w:val="0"/>
          <w:szCs w:val="21"/>
        </w:rPr>
        <w:t>等能力。</w:t>
      </w:r>
      <w:r>
        <w:rPr>
          <w:rFonts w:hint="eastAsia"/>
          <w:kern w:val="0"/>
          <w:szCs w:val="21"/>
        </w:rPr>
        <w:t>使</w:t>
      </w:r>
      <w:r>
        <w:rPr>
          <w:kern w:val="0"/>
          <w:szCs w:val="21"/>
        </w:rPr>
        <w:t>学生具备从</w:t>
      </w:r>
      <w:r>
        <w:rPr>
          <w:rFonts w:hint="eastAsia"/>
          <w:kern w:val="0"/>
          <w:szCs w:val="21"/>
        </w:rPr>
        <w:t>文献检索——</w:t>
      </w:r>
      <w:r>
        <w:rPr>
          <w:kern w:val="0"/>
          <w:szCs w:val="21"/>
        </w:rPr>
        <w:t>问题</w:t>
      </w:r>
      <w:r>
        <w:rPr>
          <w:rFonts w:hint="eastAsia"/>
          <w:kern w:val="0"/>
          <w:szCs w:val="21"/>
        </w:rPr>
        <w:t>表达</w:t>
      </w:r>
      <w:r>
        <w:rPr>
          <w:kern w:val="0"/>
          <w:szCs w:val="21"/>
        </w:rPr>
        <w:t>——创新设计——实物实现</w:t>
      </w:r>
      <w:r>
        <w:rPr>
          <w:rFonts w:hint="eastAsia"/>
          <w:kern w:val="0"/>
          <w:szCs w:val="21"/>
        </w:rPr>
        <w:t>——有效结论的</w:t>
      </w:r>
      <w:r>
        <w:rPr>
          <w:kern w:val="0"/>
          <w:szCs w:val="21"/>
        </w:rPr>
        <w:t>能力。</w:t>
      </w:r>
    </w:p>
    <w:p>
      <w:pPr>
        <w:adjustRightInd w:val="0"/>
        <w:snapToGrid w:val="0"/>
        <w:spacing w:line="300" w:lineRule="auto"/>
        <w:ind w:firstLine="420" w:firstLineChars="200"/>
        <w:rPr>
          <w:kern w:val="0"/>
          <w:szCs w:val="21"/>
        </w:rPr>
      </w:pPr>
      <w:r>
        <w:rPr>
          <w:rFonts w:hint="eastAsia"/>
          <w:kern w:val="0"/>
          <w:szCs w:val="21"/>
        </w:rPr>
        <w:t>1．能够掌握数学、自然科学和工程科学的基本理论，模电、数电、传感器、单片机、FPGA的基本设计方法及应用；提出合理的技术路径和实现方案并在实现后对出现的现象进行分析，得到有效合理的结论。[2.</w:t>
      </w:r>
      <w:r>
        <w:rPr>
          <w:kern w:val="0"/>
          <w:szCs w:val="21"/>
        </w:rPr>
        <w:t>3</w:t>
      </w:r>
      <w:r>
        <w:rPr>
          <w:rFonts w:hint="eastAsia"/>
          <w:kern w:val="0"/>
          <w:szCs w:val="21"/>
        </w:rPr>
        <w:t>]</w:t>
      </w:r>
    </w:p>
    <w:p>
      <w:pPr>
        <w:adjustRightInd w:val="0"/>
        <w:snapToGrid w:val="0"/>
        <w:spacing w:line="300" w:lineRule="auto"/>
        <w:ind w:firstLine="420" w:firstLineChars="200"/>
        <w:rPr>
          <w:kern w:val="0"/>
          <w:szCs w:val="21"/>
        </w:rPr>
      </w:pPr>
      <w:r>
        <w:rPr>
          <w:rFonts w:hint="eastAsia"/>
          <w:kern w:val="0"/>
          <w:szCs w:val="21"/>
        </w:rPr>
        <w:t>2．能够综合运用专业基础知识及现代电子设计技术解决实际工程问题，熟练掌握项目系统的方案架构、设计实施、测试分析、论文报告撰写等全过程，使学生获得综合能力和创新能力的培养。 [3.2]</w:t>
      </w:r>
    </w:p>
    <w:p>
      <w:pPr>
        <w:adjustRightInd w:val="0"/>
        <w:snapToGrid w:val="0"/>
        <w:spacing w:line="300" w:lineRule="auto"/>
        <w:ind w:firstLine="420" w:firstLineChars="200"/>
        <w:rPr>
          <w:kern w:val="0"/>
          <w:szCs w:val="21"/>
        </w:rPr>
      </w:pPr>
      <w:r>
        <w:rPr>
          <w:rFonts w:hint="eastAsia"/>
          <w:kern w:val="0"/>
          <w:szCs w:val="21"/>
        </w:rPr>
        <w:t>3．能够将理论与实践进行高度的综合应用，使学生能够综合运用专业基础知识及现代电子设计技术解决实际工程问题，熟练掌握项目系统的方案架构、技术路线、设计实施、测试分析、论文报告撰写等能力。[4.1]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5858"/>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79" w:type="dxa"/>
            <w:vAlign w:val="center"/>
          </w:tcPr>
          <w:p>
            <w:pPr>
              <w:adjustRightInd w:val="0"/>
              <w:snapToGrid w:val="0"/>
              <w:spacing w:line="300" w:lineRule="auto"/>
              <w:jc w:val="center"/>
              <w:rPr>
                <w:b/>
                <w:bCs/>
                <w:sz w:val="18"/>
                <w:szCs w:val="18"/>
              </w:rPr>
            </w:pPr>
            <w:r>
              <w:rPr>
                <w:b/>
                <w:bCs/>
                <w:sz w:val="18"/>
                <w:szCs w:val="18"/>
              </w:rPr>
              <w:t>毕业要求</w:t>
            </w:r>
          </w:p>
        </w:tc>
        <w:tc>
          <w:tcPr>
            <w:tcW w:w="5858" w:type="dxa"/>
            <w:vAlign w:val="center"/>
          </w:tcPr>
          <w:p>
            <w:pPr>
              <w:adjustRightInd w:val="0"/>
              <w:snapToGrid w:val="0"/>
              <w:spacing w:line="300" w:lineRule="auto"/>
              <w:jc w:val="center"/>
              <w:rPr>
                <w:b/>
                <w:bCs/>
                <w:sz w:val="18"/>
                <w:szCs w:val="18"/>
              </w:rPr>
            </w:pPr>
            <w:r>
              <w:rPr>
                <w:b/>
                <w:bCs/>
                <w:sz w:val="18"/>
                <w:szCs w:val="18"/>
              </w:rPr>
              <w:t>毕业要求指标点</w:t>
            </w:r>
          </w:p>
        </w:tc>
        <w:tc>
          <w:tcPr>
            <w:tcW w:w="689" w:type="dxa"/>
            <w:vAlign w:val="center"/>
          </w:tcPr>
          <w:p>
            <w:pPr>
              <w:adjustRightInd w:val="0"/>
              <w:snapToGrid w:val="0"/>
              <w:spacing w:line="300" w:lineRule="auto"/>
              <w:jc w:val="center"/>
              <w:rPr>
                <w:b/>
                <w:bCs/>
                <w:sz w:val="18"/>
                <w:szCs w:val="18"/>
              </w:rPr>
            </w:pPr>
            <w:r>
              <w:rPr>
                <w:b/>
                <w:bCs/>
                <w:sz w:val="18"/>
                <w:szCs w:val="18"/>
              </w:rPr>
              <w:t>课程目标</w:t>
            </w:r>
          </w:p>
        </w:tc>
        <w:tc>
          <w:tcPr>
            <w:tcW w:w="655" w:type="dxa"/>
            <w:vAlign w:val="center"/>
          </w:tcPr>
          <w:p>
            <w:pPr>
              <w:adjustRightInd w:val="0"/>
              <w:snapToGrid w:val="0"/>
              <w:spacing w:line="300" w:lineRule="auto"/>
              <w:jc w:val="center"/>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pPr>
              <w:adjustRightInd w:val="0"/>
              <w:snapToGrid w:val="0"/>
              <w:spacing w:line="300" w:lineRule="auto"/>
              <w:rPr>
                <w:sz w:val="18"/>
                <w:szCs w:val="18"/>
              </w:rPr>
            </w:pPr>
            <w:r>
              <w:rPr>
                <w:sz w:val="18"/>
                <w:szCs w:val="18"/>
              </w:rPr>
              <w:t>2</w:t>
            </w:r>
            <w:r>
              <w:rPr>
                <w:rFonts w:hint="eastAsia"/>
                <w:sz w:val="18"/>
                <w:szCs w:val="18"/>
              </w:rPr>
              <w:t>.</w:t>
            </w:r>
            <w:r>
              <w:rPr>
                <w:sz w:val="18"/>
                <w:szCs w:val="18"/>
              </w:rPr>
              <w:t>问题分析</w:t>
            </w:r>
          </w:p>
        </w:tc>
        <w:tc>
          <w:tcPr>
            <w:tcW w:w="5858" w:type="dxa"/>
          </w:tcPr>
          <w:p>
            <w:pPr>
              <w:adjustRightInd w:val="0"/>
              <w:snapToGrid w:val="0"/>
              <w:spacing w:line="300" w:lineRule="auto"/>
              <w:rPr>
                <w:sz w:val="18"/>
                <w:szCs w:val="18"/>
              </w:rPr>
            </w:pPr>
            <w:r>
              <w:rPr>
                <w:rFonts w:hint="eastAsia"/>
                <w:sz w:val="18"/>
                <w:szCs w:val="18"/>
              </w:rPr>
              <w:t>2.</w:t>
            </w:r>
            <w:r>
              <w:rPr>
                <w:sz w:val="18"/>
                <w:szCs w:val="18"/>
              </w:rPr>
              <w:t>3通晓文献、信息、资料的分类和一般检索方法，具备借助文献研究等方式客观分析和准确表达复杂工程问题，以获得有效结论的能力。</w:t>
            </w:r>
          </w:p>
        </w:tc>
        <w:tc>
          <w:tcPr>
            <w:tcW w:w="689" w:type="dxa"/>
            <w:vAlign w:val="center"/>
          </w:tcPr>
          <w:p>
            <w:pPr>
              <w:adjustRightInd w:val="0"/>
              <w:snapToGrid w:val="0"/>
              <w:spacing w:line="300" w:lineRule="auto"/>
              <w:jc w:val="center"/>
              <w:rPr>
                <w:sz w:val="18"/>
                <w:szCs w:val="18"/>
              </w:rPr>
            </w:pPr>
            <w:r>
              <w:rPr>
                <w:sz w:val="18"/>
                <w:szCs w:val="18"/>
              </w:rPr>
              <w:t>1</w:t>
            </w:r>
          </w:p>
        </w:tc>
        <w:tc>
          <w:tcPr>
            <w:tcW w:w="655" w:type="dxa"/>
            <w:vAlign w:val="center"/>
          </w:tcPr>
          <w:p>
            <w:pPr>
              <w:adjustRightInd w:val="0"/>
              <w:snapToGrid w:val="0"/>
              <w:spacing w:line="300" w:lineRule="auto"/>
              <w:jc w:val="center"/>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479" w:type="dxa"/>
            <w:vAlign w:val="center"/>
          </w:tcPr>
          <w:p>
            <w:pPr>
              <w:adjustRightInd w:val="0"/>
              <w:snapToGrid w:val="0"/>
              <w:spacing w:line="300" w:lineRule="auto"/>
              <w:rPr>
                <w:sz w:val="18"/>
                <w:szCs w:val="18"/>
              </w:rPr>
            </w:pPr>
            <w:r>
              <w:rPr>
                <w:sz w:val="18"/>
                <w:szCs w:val="18"/>
              </w:rPr>
              <w:t>3</w:t>
            </w:r>
            <w:r>
              <w:rPr>
                <w:rFonts w:hint="eastAsia"/>
                <w:sz w:val="18"/>
                <w:szCs w:val="18"/>
              </w:rPr>
              <w:t>.</w:t>
            </w:r>
            <w:r>
              <w:rPr>
                <w:sz w:val="18"/>
                <w:szCs w:val="18"/>
              </w:rPr>
              <w:t>设计</w:t>
            </w:r>
            <w:r>
              <w:rPr>
                <w:rFonts w:hint="eastAsia"/>
                <w:sz w:val="18"/>
                <w:szCs w:val="18"/>
              </w:rPr>
              <w:t>/</w:t>
            </w:r>
            <w:r>
              <w:rPr>
                <w:sz w:val="18"/>
                <w:szCs w:val="18"/>
              </w:rPr>
              <w:t>开发</w:t>
            </w:r>
            <w:r>
              <w:rPr>
                <w:rFonts w:hint="eastAsia"/>
                <w:sz w:val="18"/>
                <w:szCs w:val="18"/>
              </w:rPr>
              <w:t>解决方案</w:t>
            </w:r>
          </w:p>
        </w:tc>
        <w:tc>
          <w:tcPr>
            <w:tcW w:w="5858" w:type="dxa"/>
          </w:tcPr>
          <w:p>
            <w:pPr>
              <w:adjustRightInd w:val="0"/>
              <w:snapToGrid w:val="0"/>
              <w:spacing w:line="300" w:lineRule="auto"/>
              <w:rPr>
                <w:sz w:val="18"/>
                <w:szCs w:val="18"/>
              </w:rPr>
            </w:pPr>
            <w:r>
              <w:rPr>
                <w:rFonts w:hint="eastAsia"/>
                <w:sz w:val="18"/>
                <w:szCs w:val="18"/>
              </w:rPr>
              <w:t>3.2能够在设计中综合利用电子信息工程的专业知识和新技术，体现创新意识。</w:t>
            </w:r>
          </w:p>
        </w:tc>
        <w:tc>
          <w:tcPr>
            <w:tcW w:w="689" w:type="dxa"/>
            <w:vAlign w:val="center"/>
          </w:tcPr>
          <w:p>
            <w:pPr>
              <w:adjustRightInd w:val="0"/>
              <w:snapToGrid w:val="0"/>
              <w:spacing w:line="300" w:lineRule="auto"/>
              <w:jc w:val="center"/>
              <w:rPr>
                <w:sz w:val="18"/>
                <w:szCs w:val="18"/>
              </w:rPr>
            </w:pPr>
            <w:r>
              <w:rPr>
                <w:sz w:val="18"/>
                <w:szCs w:val="18"/>
              </w:rPr>
              <w:t>2</w:t>
            </w:r>
          </w:p>
        </w:tc>
        <w:tc>
          <w:tcPr>
            <w:tcW w:w="655" w:type="dxa"/>
            <w:vAlign w:val="center"/>
          </w:tcPr>
          <w:p>
            <w:pPr>
              <w:widowControl/>
              <w:adjustRightInd w:val="0"/>
              <w:snapToGrid w:val="0"/>
              <w:spacing w:line="300" w:lineRule="auto"/>
              <w:jc w:val="center"/>
              <w:rPr>
                <w:sz w:val="18"/>
                <w:szCs w:val="18"/>
              </w:rPr>
            </w:pPr>
            <w:r>
              <w:rPr>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79" w:type="dxa"/>
            <w:vAlign w:val="center"/>
          </w:tcPr>
          <w:p>
            <w:pPr>
              <w:adjustRightInd w:val="0"/>
              <w:snapToGrid w:val="0"/>
              <w:spacing w:line="300" w:lineRule="auto"/>
              <w:rPr>
                <w:sz w:val="18"/>
                <w:szCs w:val="18"/>
              </w:rPr>
            </w:pPr>
            <w:r>
              <w:rPr>
                <w:sz w:val="18"/>
                <w:szCs w:val="18"/>
              </w:rPr>
              <w:t>4</w:t>
            </w:r>
            <w:r>
              <w:rPr>
                <w:rFonts w:hint="eastAsia"/>
                <w:sz w:val="18"/>
                <w:szCs w:val="18"/>
              </w:rPr>
              <w:t>.</w:t>
            </w:r>
            <w:r>
              <w:rPr>
                <w:sz w:val="18"/>
                <w:szCs w:val="18"/>
              </w:rPr>
              <w:t>研究</w:t>
            </w:r>
          </w:p>
        </w:tc>
        <w:tc>
          <w:tcPr>
            <w:tcW w:w="5858" w:type="dxa"/>
            <w:vAlign w:val="center"/>
          </w:tcPr>
          <w:p>
            <w:pPr>
              <w:adjustRightInd w:val="0"/>
              <w:snapToGrid w:val="0"/>
              <w:spacing w:line="300" w:lineRule="auto"/>
              <w:rPr>
                <w:sz w:val="18"/>
                <w:szCs w:val="18"/>
              </w:rPr>
            </w:pPr>
            <w:r>
              <w:rPr>
                <w:rFonts w:hint="eastAsia"/>
                <w:sz w:val="18"/>
                <w:szCs w:val="18"/>
              </w:rPr>
              <w:t>4.1具备基于电子信息科学原理采用科学方法对复杂工程问题的技术路线、实验方案、软/硬件模块和存在的问题进行研究的能力。</w:t>
            </w:r>
          </w:p>
        </w:tc>
        <w:tc>
          <w:tcPr>
            <w:tcW w:w="689" w:type="dxa"/>
            <w:vAlign w:val="center"/>
          </w:tcPr>
          <w:p>
            <w:pPr>
              <w:adjustRightInd w:val="0"/>
              <w:snapToGrid w:val="0"/>
              <w:spacing w:line="300" w:lineRule="auto"/>
              <w:jc w:val="center"/>
              <w:rPr>
                <w:sz w:val="18"/>
                <w:szCs w:val="18"/>
              </w:rPr>
            </w:pPr>
            <w:r>
              <w:rPr>
                <w:sz w:val="18"/>
                <w:szCs w:val="18"/>
              </w:rPr>
              <w:t>3</w:t>
            </w:r>
          </w:p>
        </w:tc>
        <w:tc>
          <w:tcPr>
            <w:tcW w:w="655" w:type="dxa"/>
            <w:vAlign w:val="center"/>
          </w:tcPr>
          <w:p>
            <w:pPr>
              <w:adjustRightInd w:val="0"/>
              <w:snapToGrid w:val="0"/>
              <w:spacing w:line="300" w:lineRule="auto"/>
              <w:jc w:val="center"/>
              <w:rPr>
                <w:sz w:val="18"/>
                <w:szCs w:val="18"/>
              </w:rPr>
            </w:pPr>
            <w:r>
              <w:rPr>
                <w:sz w:val="18"/>
                <w:szCs w:val="18"/>
              </w:rPr>
              <w:t>0.4</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2523"/>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课程教学目标</w:t>
            </w:r>
          </w:p>
        </w:tc>
        <w:tc>
          <w:tcPr>
            <w:tcW w:w="25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达成途径</w:t>
            </w:r>
          </w:p>
        </w:tc>
        <w:tc>
          <w:tcPr>
            <w:tcW w:w="18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sz w:val="18"/>
                <w:szCs w:val="18"/>
              </w:rPr>
              <w:t>．</w:t>
            </w:r>
            <w:r>
              <w:rPr>
                <w:rFonts w:hint="eastAsia"/>
                <w:sz w:val="18"/>
                <w:szCs w:val="18"/>
                <w:shd w:val="clear" w:color="auto" w:fill="FEFEFF"/>
              </w:rPr>
              <w:t>能够掌握数学、自然科学和工程科学的基本理论，模电、数电、传感器、单片机、FPGA的基本设计方法及应用；提出合理的技术路径和实现方案并在实现后对出现的现象进行分析，得到有效合理的结论</w:t>
            </w:r>
            <w:r>
              <w:rPr>
                <w:sz w:val="18"/>
                <w:szCs w:val="18"/>
                <w:shd w:val="clear" w:color="auto" w:fill="FEFEFF"/>
              </w:rPr>
              <w:t>。</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通过课堂讲授、学生讨论，课后作业等达成。</w:t>
            </w:r>
          </w:p>
        </w:tc>
        <w:tc>
          <w:tcPr>
            <w:tcW w:w="18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实训作品</w:t>
            </w:r>
            <w:r>
              <w:rPr>
                <w:sz w:val="18"/>
                <w:szCs w:val="18"/>
                <w:shd w:val="clear" w:color="auto" w:fill="FEFEFF"/>
              </w:rPr>
              <w:t>考核、课程论文。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shd w:val="clear" w:color="auto" w:fill="FEFEFF"/>
              </w:rPr>
            </w:pPr>
            <w:r>
              <w:rPr>
                <w:sz w:val="18"/>
                <w:szCs w:val="18"/>
                <w:shd w:val="clear" w:color="auto" w:fill="FEFEFF"/>
              </w:rPr>
              <w:t>2</w:t>
            </w:r>
            <w:r>
              <w:rPr>
                <w:sz w:val="18"/>
                <w:szCs w:val="18"/>
              </w:rPr>
              <w:t>．</w:t>
            </w:r>
            <w:r>
              <w:rPr>
                <w:rFonts w:hint="eastAsia"/>
                <w:sz w:val="18"/>
                <w:szCs w:val="18"/>
                <w:shd w:val="clear" w:color="auto" w:fill="FEFEFF"/>
              </w:rPr>
              <w:t>能够综合运用专业基础知识及现代电子设计技术解决实际工程问题，熟练掌握项目系统的方案架构、设计实施、测试分析、论文报告撰写等全过程，使学生获得综合能力和创新能力的培养</w:t>
            </w:r>
            <w:r>
              <w:rPr>
                <w:sz w:val="18"/>
                <w:szCs w:val="18"/>
                <w:shd w:val="clear" w:color="auto" w:fill="FEFEFF"/>
              </w:rPr>
              <w:t>。</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通过课堂讲授、学生讨论，课后作业等达成。</w:t>
            </w:r>
          </w:p>
        </w:tc>
        <w:tc>
          <w:tcPr>
            <w:tcW w:w="18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实训作品</w:t>
            </w:r>
            <w:r>
              <w:rPr>
                <w:sz w:val="18"/>
                <w:szCs w:val="18"/>
                <w:shd w:val="clear" w:color="auto" w:fill="FEFEFF"/>
              </w:rPr>
              <w:t>考核、课程论文。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w:t>
            </w:r>
            <w:r>
              <w:rPr>
                <w:rFonts w:hint="eastAsia"/>
                <w:sz w:val="18"/>
                <w:szCs w:val="18"/>
                <w:shd w:val="clear" w:color="auto" w:fill="FEFEFF"/>
              </w:rPr>
              <w:t>能够将理论与实践进行高度的综合应用，使学生能够综合运用专业基础知识及现代电子设计技术解决实际工程问题，熟练掌握项目系统的方案架构、技术路线、设计实施、测试分析、论文报告撰写等能力</w:t>
            </w:r>
            <w:r>
              <w:rPr>
                <w:sz w:val="18"/>
                <w:szCs w:val="18"/>
                <w:shd w:val="clear" w:color="auto" w:fill="FEFEFF"/>
              </w:rPr>
              <w:t>。</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通过课堂讲授、学生讨论，课后作业等达成。</w:t>
            </w:r>
          </w:p>
        </w:tc>
        <w:tc>
          <w:tcPr>
            <w:tcW w:w="18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课堂表现、随堂讨论、</w:t>
            </w:r>
            <w:r>
              <w:rPr>
                <w:rFonts w:hint="eastAsia"/>
                <w:sz w:val="18"/>
                <w:szCs w:val="18"/>
                <w:shd w:val="clear" w:color="auto" w:fill="FEFEFF"/>
              </w:rPr>
              <w:t>实训作品</w:t>
            </w:r>
            <w:r>
              <w:rPr>
                <w:sz w:val="18"/>
                <w:szCs w:val="18"/>
                <w:shd w:val="clear" w:color="auto" w:fill="FEFEFF"/>
              </w:rPr>
              <w:t>考核</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实践教学为主，课堂讲授为辅，网络多媒体教学、经典教学视频为辅，注重与专业相关工程实践教学环节和场景配合的案例教学，搜集《电子系统创新设计方法》相关内容在实际工程中的案例，案例由浅入深，彼此串联，结合课程中的相应知识点进行分析，培养学生对复杂工程问题的应用能力。案例见</w:t>
      </w:r>
      <w:r>
        <w:rPr>
          <w:rFonts w:hint="eastAsia"/>
          <w:szCs w:val="21"/>
        </w:rPr>
        <w:t>实训</w:t>
      </w:r>
      <w:r>
        <w:rPr>
          <w:szCs w:val="21"/>
        </w:rPr>
        <w:t>内容部分。</w:t>
      </w:r>
    </w:p>
    <w:p>
      <w:pPr>
        <w:adjustRightInd w:val="0"/>
        <w:snapToGrid w:val="0"/>
        <w:spacing w:line="300" w:lineRule="auto"/>
        <w:ind w:firstLine="420" w:firstLineChars="200"/>
        <w:rPr>
          <w:szCs w:val="21"/>
        </w:rPr>
      </w:pPr>
      <w:r>
        <w:rPr>
          <w:szCs w:val="21"/>
        </w:rPr>
        <w:t>2．根据课程特点采用启发式教学、任务驱动教学、案例教学法进行教学方法创新；核心能力知识点采用“问题背景-需求分析-原理描述-方案分析-应用案例展示”相互呼应的教学模式。</w:t>
      </w:r>
    </w:p>
    <w:p>
      <w:pPr>
        <w:adjustRightInd w:val="0"/>
        <w:snapToGrid w:val="0"/>
        <w:spacing w:line="300" w:lineRule="auto"/>
        <w:ind w:firstLine="420" w:firstLineChars="200"/>
        <w:rPr>
          <w:szCs w:val="21"/>
        </w:rPr>
      </w:pPr>
      <w:r>
        <w:rPr>
          <w:szCs w:val="21"/>
        </w:rPr>
        <w:t>3．采用项目为载体、任务驱动的教学模式，以</w:t>
      </w:r>
      <w:r>
        <w:rPr>
          <w:rFonts w:hint="eastAsia"/>
          <w:szCs w:val="21"/>
        </w:rPr>
        <w:t>提高</w:t>
      </w:r>
      <w:r>
        <w:rPr>
          <w:szCs w:val="21"/>
        </w:rPr>
        <w:t>专业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18"/>
        <w:gridCol w:w="4253"/>
        <w:gridCol w:w="708"/>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7"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1818"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4253"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708" w:type="dxa"/>
            <w:vAlign w:val="center"/>
          </w:tcPr>
          <w:p>
            <w:pPr>
              <w:adjustRightInd w:val="0"/>
              <w:snapToGrid w:val="0"/>
              <w:spacing w:line="300" w:lineRule="auto"/>
              <w:jc w:val="center"/>
              <w:rPr>
                <w:b/>
                <w:bCs/>
                <w:sz w:val="18"/>
                <w:szCs w:val="18"/>
              </w:rPr>
            </w:pPr>
            <w:r>
              <w:rPr>
                <w:b/>
                <w:bCs/>
                <w:sz w:val="18"/>
                <w:szCs w:val="18"/>
              </w:rPr>
              <w:t>学时</w:t>
            </w:r>
          </w:p>
        </w:tc>
        <w:tc>
          <w:tcPr>
            <w:tcW w:w="993" w:type="dxa"/>
            <w:vAlign w:val="center"/>
          </w:tcPr>
          <w:p>
            <w:pPr>
              <w:adjustRightInd w:val="0"/>
              <w:snapToGrid w:val="0"/>
              <w:spacing w:line="300" w:lineRule="auto"/>
              <w:jc w:val="center"/>
              <w:rPr>
                <w:b/>
                <w:bCs/>
                <w:sz w:val="18"/>
                <w:szCs w:val="18"/>
              </w:rPr>
            </w:pPr>
            <w:r>
              <w:rPr>
                <w:b/>
                <w:bCs/>
                <w:sz w:val="18"/>
                <w:szCs w:val="18"/>
              </w:rPr>
              <w:t>教学目标</w:t>
            </w:r>
          </w:p>
        </w:tc>
        <w:tc>
          <w:tcPr>
            <w:tcW w:w="992" w:type="dxa"/>
          </w:tcPr>
          <w:p>
            <w:pPr>
              <w:adjustRightInd w:val="0"/>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1818" w:type="dxa"/>
            <w:vAlign w:val="center"/>
          </w:tcPr>
          <w:p>
            <w:pPr>
              <w:adjustRightInd w:val="0"/>
              <w:snapToGrid w:val="0"/>
              <w:spacing w:line="300" w:lineRule="auto"/>
              <w:rPr>
                <w:sz w:val="18"/>
                <w:szCs w:val="18"/>
              </w:rPr>
            </w:pPr>
            <w:r>
              <w:rPr>
                <w:sz w:val="18"/>
                <w:szCs w:val="18"/>
              </w:rPr>
              <w:t>电子系统设计</w:t>
            </w:r>
            <w:r>
              <w:rPr>
                <w:rFonts w:hint="eastAsia"/>
                <w:sz w:val="18"/>
                <w:szCs w:val="18"/>
              </w:rPr>
              <w:t>的方法和基本流程</w:t>
            </w:r>
          </w:p>
        </w:tc>
        <w:tc>
          <w:tcPr>
            <w:tcW w:w="4253" w:type="dxa"/>
            <w:vAlign w:val="center"/>
          </w:tcPr>
          <w:p>
            <w:pPr>
              <w:adjustRightInd w:val="0"/>
              <w:snapToGrid w:val="0"/>
              <w:spacing w:line="300" w:lineRule="auto"/>
              <w:rPr>
                <w:sz w:val="18"/>
                <w:szCs w:val="18"/>
              </w:rPr>
            </w:pPr>
            <w:r>
              <w:rPr>
                <w:rFonts w:hint="eastAsia"/>
                <w:sz w:val="18"/>
                <w:szCs w:val="18"/>
              </w:rPr>
              <w:t>1.</w:t>
            </w:r>
            <w:r>
              <w:rPr>
                <w:sz w:val="18"/>
                <w:szCs w:val="18"/>
              </w:rPr>
              <w:t>了解：电路常规设计法、电路设计的基本流程</w:t>
            </w:r>
          </w:p>
          <w:p>
            <w:pPr>
              <w:adjustRightInd w:val="0"/>
              <w:snapToGrid w:val="0"/>
              <w:spacing w:line="300" w:lineRule="auto"/>
              <w:rPr>
                <w:sz w:val="18"/>
                <w:szCs w:val="18"/>
              </w:rPr>
            </w:pPr>
            <w:r>
              <w:rPr>
                <w:rFonts w:hint="eastAsia"/>
                <w:sz w:val="18"/>
                <w:szCs w:val="18"/>
              </w:rPr>
              <w:t>2.</w:t>
            </w:r>
            <w:r>
              <w:rPr>
                <w:sz w:val="18"/>
                <w:szCs w:val="18"/>
              </w:rPr>
              <w:t>理解：电路设计流程种各个步骤的作用及前后联系</w:t>
            </w:r>
          </w:p>
          <w:p>
            <w:pPr>
              <w:adjustRightInd w:val="0"/>
              <w:snapToGrid w:val="0"/>
              <w:spacing w:line="300" w:lineRule="auto"/>
              <w:rPr>
                <w:sz w:val="18"/>
                <w:szCs w:val="18"/>
              </w:rPr>
            </w:pPr>
            <w:r>
              <w:rPr>
                <w:rFonts w:hint="eastAsia"/>
                <w:sz w:val="18"/>
                <w:szCs w:val="18"/>
              </w:rPr>
              <w:t>3.</w:t>
            </w:r>
            <w:r>
              <w:rPr>
                <w:sz w:val="18"/>
                <w:szCs w:val="18"/>
              </w:rPr>
              <w:t>掌握</w:t>
            </w:r>
            <w:r>
              <w:rPr>
                <w:rFonts w:hint="eastAsia"/>
                <w:sz w:val="18"/>
                <w:szCs w:val="18"/>
              </w:rPr>
              <w:t>：资料文献的查找方法，</w:t>
            </w:r>
            <w:r>
              <w:rPr>
                <w:sz w:val="18"/>
                <w:szCs w:val="18"/>
              </w:rPr>
              <w:t>电子电路系统设计的基本原则</w:t>
            </w:r>
          </w:p>
          <w:p>
            <w:pPr>
              <w:adjustRightInd w:val="0"/>
              <w:snapToGrid w:val="0"/>
              <w:spacing w:line="300" w:lineRule="auto"/>
              <w:rPr>
                <w:sz w:val="18"/>
                <w:szCs w:val="18"/>
              </w:rPr>
            </w:pPr>
            <w:r>
              <w:rPr>
                <w:sz w:val="18"/>
                <w:szCs w:val="18"/>
              </w:rPr>
              <w:t>4</w:t>
            </w:r>
            <w:r>
              <w:rPr>
                <w:rFonts w:hint="eastAsia"/>
                <w:sz w:val="18"/>
                <w:szCs w:val="18"/>
              </w:rPr>
              <w:t>.理解：归纳总结</w:t>
            </w:r>
          </w:p>
        </w:tc>
        <w:tc>
          <w:tcPr>
            <w:tcW w:w="708" w:type="dxa"/>
            <w:vAlign w:val="center"/>
          </w:tcPr>
          <w:p>
            <w:pPr>
              <w:adjustRightInd w:val="0"/>
              <w:snapToGrid w:val="0"/>
              <w:spacing w:line="300" w:lineRule="auto"/>
              <w:jc w:val="center"/>
              <w:rPr>
                <w:sz w:val="18"/>
                <w:szCs w:val="18"/>
              </w:rPr>
            </w:pPr>
            <w:r>
              <w:rPr>
                <w:sz w:val="18"/>
                <w:szCs w:val="18"/>
              </w:rPr>
              <w:t>2</w:t>
            </w:r>
          </w:p>
        </w:tc>
        <w:tc>
          <w:tcPr>
            <w:tcW w:w="993" w:type="dxa"/>
            <w:vAlign w:val="center"/>
          </w:tcPr>
          <w:p>
            <w:pPr>
              <w:adjustRightInd w:val="0"/>
              <w:snapToGrid w:val="0"/>
              <w:spacing w:line="300" w:lineRule="auto"/>
              <w:jc w:val="left"/>
              <w:rPr>
                <w:sz w:val="18"/>
                <w:szCs w:val="18"/>
              </w:rPr>
            </w:pPr>
            <w:r>
              <w:rPr>
                <w:sz w:val="18"/>
                <w:szCs w:val="18"/>
              </w:rPr>
              <w:t>1，2</w:t>
            </w:r>
            <w:r>
              <w:rPr>
                <w:rFonts w:hint="eastAsia"/>
                <w:sz w:val="18"/>
                <w:szCs w:val="18"/>
              </w:rPr>
              <w:t>，</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1818" w:type="dxa"/>
            <w:vAlign w:val="center"/>
          </w:tcPr>
          <w:p>
            <w:pPr>
              <w:adjustRightInd w:val="0"/>
              <w:snapToGrid w:val="0"/>
              <w:spacing w:line="300" w:lineRule="auto"/>
              <w:rPr>
                <w:sz w:val="18"/>
                <w:szCs w:val="18"/>
              </w:rPr>
            </w:pPr>
            <w:r>
              <w:rPr>
                <w:rFonts w:hint="eastAsia"/>
                <w:sz w:val="18"/>
                <w:szCs w:val="18"/>
              </w:rPr>
              <w:t>基于Ni</w:t>
            </w:r>
            <w:r>
              <w:rPr>
                <w:sz w:val="18"/>
                <w:szCs w:val="18"/>
              </w:rPr>
              <w:t>os</w:t>
            </w:r>
            <w:r>
              <w:rPr>
                <w:rFonts w:hint="eastAsia"/>
                <w:sz w:val="18"/>
                <w:szCs w:val="18"/>
              </w:rPr>
              <w:t>的航空相机姿态矫正系统</w:t>
            </w:r>
          </w:p>
        </w:tc>
        <w:tc>
          <w:tcPr>
            <w:tcW w:w="4253" w:type="dxa"/>
            <w:vAlign w:val="center"/>
          </w:tcPr>
          <w:p>
            <w:pPr>
              <w:spacing w:line="276" w:lineRule="auto"/>
              <w:rPr>
                <w:sz w:val="18"/>
                <w:szCs w:val="18"/>
              </w:rPr>
            </w:pPr>
            <w:r>
              <w:rPr>
                <w:rFonts w:hint="eastAsia"/>
                <w:sz w:val="18"/>
                <w:szCs w:val="18"/>
              </w:rPr>
              <w:t>1.掌握：系统总体设计方案</w:t>
            </w:r>
          </w:p>
          <w:p>
            <w:pPr>
              <w:spacing w:line="276" w:lineRule="auto"/>
              <w:rPr>
                <w:sz w:val="18"/>
                <w:szCs w:val="18"/>
              </w:rPr>
            </w:pPr>
            <w:r>
              <w:rPr>
                <w:rFonts w:hint="eastAsia"/>
                <w:sz w:val="18"/>
                <w:szCs w:val="18"/>
              </w:rPr>
              <w:t>2.理解：姿态角的处理-卡尔曼滤波</w:t>
            </w:r>
          </w:p>
          <w:p>
            <w:pPr>
              <w:spacing w:line="276" w:lineRule="auto"/>
              <w:rPr>
                <w:sz w:val="18"/>
                <w:szCs w:val="18"/>
              </w:rPr>
            </w:pPr>
            <w:r>
              <w:rPr>
                <w:rFonts w:hint="eastAsia"/>
                <w:sz w:val="18"/>
                <w:szCs w:val="18"/>
              </w:rPr>
              <w:t>3.理解：相机姿态调整</w:t>
            </w:r>
          </w:p>
          <w:p>
            <w:pPr>
              <w:adjustRightInd w:val="0"/>
              <w:snapToGrid w:val="0"/>
              <w:spacing w:line="300" w:lineRule="auto"/>
              <w:rPr>
                <w:sz w:val="18"/>
                <w:szCs w:val="18"/>
              </w:rPr>
            </w:pPr>
            <w:r>
              <w:rPr>
                <w:sz w:val="18"/>
                <w:szCs w:val="18"/>
              </w:rPr>
              <w:t>4</w:t>
            </w:r>
            <w:r>
              <w:rPr>
                <w:rFonts w:hint="eastAsia"/>
                <w:sz w:val="18"/>
                <w:szCs w:val="18"/>
              </w:rPr>
              <w:t>.理解：归纳总结</w:t>
            </w:r>
          </w:p>
        </w:tc>
        <w:tc>
          <w:tcPr>
            <w:tcW w:w="708" w:type="dxa"/>
            <w:vAlign w:val="center"/>
          </w:tcPr>
          <w:p>
            <w:pPr>
              <w:adjustRightInd w:val="0"/>
              <w:snapToGrid w:val="0"/>
              <w:spacing w:line="300" w:lineRule="auto"/>
              <w:jc w:val="center"/>
              <w:rPr>
                <w:sz w:val="18"/>
                <w:szCs w:val="18"/>
              </w:rPr>
            </w:pPr>
            <w:r>
              <w:rPr>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3</w:t>
            </w:r>
          </w:p>
        </w:tc>
        <w:tc>
          <w:tcPr>
            <w:tcW w:w="1818" w:type="dxa"/>
            <w:vAlign w:val="center"/>
          </w:tcPr>
          <w:p>
            <w:pPr>
              <w:adjustRightInd w:val="0"/>
              <w:snapToGrid w:val="0"/>
              <w:spacing w:line="300" w:lineRule="auto"/>
              <w:rPr>
                <w:sz w:val="18"/>
                <w:szCs w:val="18"/>
              </w:rPr>
            </w:pPr>
            <w:r>
              <w:rPr>
                <w:rFonts w:hint="eastAsia"/>
                <w:sz w:val="18"/>
                <w:szCs w:val="18"/>
              </w:rPr>
              <w:t>火力发电厂锅炉内化学量分布式监测系统</w:t>
            </w:r>
          </w:p>
        </w:tc>
        <w:tc>
          <w:tcPr>
            <w:tcW w:w="4253" w:type="dxa"/>
            <w:vAlign w:val="center"/>
          </w:tcPr>
          <w:p>
            <w:pPr>
              <w:spacing w:line="276" w:lineRule="auto"/>
              <w:rPr>
                <w:sz w:val="18"/>
                <w:szCs w:val="18"/>
              </w:rPr>
            </w:pPr>
            <w:r>
              <w:rPr>
                <w:rFonts w:hint="eastAsia"/>
                <w:sz w:val="18"/>
                <w:szCs w:val="18"/>
              </w:rPr>
              <w:t>1.掌握：系统总体设计方案</w:t>
            </w:r>
          </w:p>
          <w:p>
            <w:pPr>
              <w:spacing w:line="276" w:lineRule="auto"/>
              <w:rPr>
                <w:sz w:val="18"/>
                <w:szCs w:val="18"/>
              </w:rPr>
            </w:pPr>
            <w:r>
              <w:rPr>
                <w:rFonts w:hint="eastAsia"/>
                <w:sz w:val="18"/>
                <w:szCs w:val="18"/>
              </w:rPr>
              <w:t>2.理解：分布式前置工作站</w:t>
            </w:r>
          </w:p>
          <w:p>
            <w:pPr>
              <w:spacing w:line="276" w:lineRule="auto"/>
              <w:rPr>
                <w:sz w:val="18"/>
                <w:szCs w:val="18"/>
              </w:rPr>
            </w:pPr>
            <w:r>
              <w:rPr>
                <w:rFonts w:hint="eastAsia"/>
                <w:sz w:val="18"/>
                <w:szCs w:val="18"/>
              </w:rPr>
              <w:t>3.理解：系统通信与布局</w:t>
            </w:r>
          </w:p>
          <w:p>
            <w:pPr>
              <w:spacing w:line="276" w:lineRule="auto"/>
              <w:rPr>
                <w:sz w:val="18"/>
                <w:szCs w:val="18"/>
              </w:rPr>
            </w:pPr>
            <w:r>
              <w:rPr>
                <w:rFonts w:hint="eastAsia"/>
                <w:sz w:val="18"/>
                <w:szCs w:val="18"/>
              </w:rPr>
              <w:t>4.理解：系统软件设计</w:t>
            </w:r>
          </w:p>
          <w:p>
            <w:pPr>
              <w:adjustRightInd w:val="0"/>
              <w:snapToGrid w:val="0"/>
              <w:spacing w:line="300" w:lineRule="auto"/>
              <w:rPr>
                <w:sz w:val="18"/>
                <w:szCs w:val="18"/>
              </w:rPr>
            </w:pPr>
            <w:r>
              <w:rPr>
                <w:rFonts w:hint="eastAsia"/>
                <w:sz w:val="18"/>
                <w:szCs w:val="18"/>
              </w:rPr>
              <w:t>5.理解：系统测试</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4</w:t>
            </w:r>
          </w:p>
        </w:tc>
        <w:tc>
          <w:tcPr>
            <w:tcW w:w="1818" w:type="dxa"/>
            <w:vAlign w:val="center"/>
          </w:tcPr>
          <w:p>
            <w:pPr>
              <w:adjustRightInd w:val="0"/>
              <w:snapToGrid w:val="0"/>
              <w:spacing w:line="300" w:lineRule="auto"/>
              <w:rPr>
                <w:sz w:val="18"/>
                <w:szCs w:val="18"/>
              </w:rPr>
            </w:pPr>
            <w:r>
              <w:rPr>
                <w:rFonts w:hint="eastAsia"/>
                <w:sz w:val="18"/>
                <w:szCs w:val="18"/>
              </w:rPr>
              <w:t>天地波组网雷达信号处理系统</w:t>
            </w:r>
          </w:p>
        </w:tc>
        <w:tc>
          <w:tcPr>
            <w:tcW w:w="4253" w:type="dxa"/>
            <w:vAlign w:val="center"/>
          </w:tcPr>
          <w:p>
            <w:pPr>
              <w:spacing w:line="276" w:lineRule="auto"/>
              <w:rPr>
                <w:sz w:val="18"/>
                <w:szCs w:val="18"/>
              </w:rPr>
            </w:pPr>
            <w:r>
              <w:rPr>
                <w:rFonts w:hint="eastAsia"/>
                <w:sz w:val="18"/>
                <w:szCs w:val="18"/>
              </w:rPr>
              <w:t>1.了解：天地波雷达的工作模式</w:t>
            </w:r>
          </w:p>
          <w:p>
            <w:pPr>
              <w:spacing w:line="276" w:lineRule="auto"/>
              <w:rPr>
                <w:sz w:val="18"/>
                <w:szCs w:val="18"/>
              </w:rPr>
            </w:pPr>
            <w:r>
              <w:rPr>
                <w:rFonts w:hint="eastAsia"/>
                <w:sz w:val="18"/>
                <w:szCs w:val="18"/>
              </w:rPr>
              <w:t>2.掌握：海洋表面流场提取</w:t>
            </w:r>
          </w:p>
          <w:p>
            <w:pPr>
              <w:spacing w:line="276" w:lineRule="auto"/>
              <w:rPr>
                <w:sz w:val="18"/>
                <w:szCs w:val="18"/>
              </w:rPr>
            </w:pPr>
            <w:r>
              <w:rPr>
                <w:rFonts w:hint="eastAsia"/>
                <w:sz w:val="18"/>
                <w:szCs w:val="18"/>
              </w:rPr>
              <w:t>2.理解：系统测试</w:t>
            </w:r>
          </w:p>
          <w:p>
            <w:pPr>
              <w:adjustRightInd w:val="0"/>
              <w:snapToGrid w:val="0"/>
              <w:spacing w:line="300" w:lineRule="auto"/>
              <w:rPr>
                <w:sz w:val="18"/>
                <w:szCs w:val="18"/>
              </w:rPr>
            </w:pPr>
            <w:r>
              <w:rPr>
                <w:rFonts w:hint="eastAsia"/>
                <w:sz w:val="18"/>
                <w:szCs w:val="18"/>
              </w:rPr>
              <w:t>3.理解：归纳总结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5</w:t>
            </w:r>
          </w:p>
        </w:tc>
        <w:tc>
          <w:tcPr>
            <w:tcW w:w="1818" w:type="dxa"/>
            <w:vAlign w:val="center"/>
          </w:tcPr>
          <w:p>
            <w:pPr>
              <w:adjustRightInd w:val="0"/>
              <w:snapToGrid w:val="0"/>
              <w:spacing w:line="300" w:lineRule="auto"/>
              <w:rPr>
                <w:sz w:val="18"/>
                <w:szCs w:val="18"/>
              </w:rPr>
            </w:pPr>
            <w:r>
              <w:rPr>
                <w:rFonts w:hint="eastAsia"/>
                <w:sz w:val="18"/>
                <w:szCs w:val="18"/>
              </w:rPr>
              <w:t>海洋光学遥感西沙公共试验场智能化观测系统设计与研究</w:t>
            </w:r>
          </w:p>
        </w:tc>
        <w:tc>
          <w:tcPr>
            <w:tcW w:w="4253" w:type="dxa"/>
            <w:vAlign w:val="center"/>
          </w:tcPr>
          <w:p>
            <w:pPr>
              <w:spacing w:line="276" w:lineRule="auto"/>
              <w:rPr>
                <w:sz w:val="18"/>
                <w:szCs w:val="18"/>
              </w:rPr>
            </w:pPr>
            <w:r>
              <w:rPr>
                <w:rFonts w:hint="eastAsia"/>
                <w:sz w:val="18"/>
                <w:szCs w:val="18"/>
              </w:rPr>
              <w:t>1掌握：.项目总体目标与任务需求分析</w:t>
            </w:r>
          </w:p>
          <w:p>
            <w:pPr>
              <w:spacing w:line="276" w:lineRule="auto"/>
              <w:rPr>
                <w:sz w:val="18"/>
                <w:szCs w:val="18"/>
              </w:rPr>
            </w:pPr>
            <w:r>
              <w:rPr>
                <w:rFonts w:hint="eastAsia"/>
                <w:sz w:val="18"/>
                <w:szCs w:val="18"/>
              </w:rPr>
              <w:t>2. 了解：光学遥感观测系统（浮标）稳定控制</w:t>
            </w:r>
          </w:p>
          <w:p>
            <w:pPr>
              <w:spacing w:line="276" w:lineRule="auto"/>
              <w:rPr>
                <w:sz w:val="18"/>
                <w:szCs w:val="18"/>
              </w:rPr>
            </w:pPr>
            <w:r>
              <w:rPr>
                <w:rFonts w:hint="eastAsia"/>
                <w:sz w:val="18"/>
                <w:szCs w:val="18"/>
              </w:rPr>
              <w:t>3. 理解：系统整体的姿态方位测量精度及导航</w:t>
            </w:r>
          </w:p>
          <w:p>
            <w:pPr>
              <w:spacing w:line="276" w:lineRule="auto"/>
              <w:rPr>
                <w:sz w:val="18"/>
                <w:szCs w:val="18"/>
              </w:rPr>
            </w:pPr>
            <w:r>
              <w:rPr>
                <w:rFonts w:hint="eastAsia"/>
                <w:sz w:val="18"/>
                <w:szCs w:val="18"/>
              </w:rPr>
              <w:t>4. 理解：太阳能的智能化采集与转化、平台防雷系统的设计与安装，基于4G及微波通信的网络系统设计</w:t>
            </w:r>
          </w:p>
          <w:p>
            <w:pPr>
              <w:adjustRightInd w:val="0"/>
              <w:snapToGrid w:val="0"/>
              <w:spacing w:line="300" w:lineRule="auto"/>
              <w:rPr>
                <w:sz w:val="18"/>
                <w:szCs w:val="18"/>
              </w:rPr>
            </w:pPr>
            <w:r>
              <w:rPr>
                <w:rFonts w:hint="eastAsia"/>
                <w:sz w:val="18"/>
                <w:szCs w:val="18"/>
              </w:rPr>
              <w:t>5.理解：归纳总结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6</w:t>
            </w:r>
          </w:p>
        </w:tc>
        <w:tc>
          <w:tcPr>
            <w:tcW w:w="1818" w:type="dxa"/>
            <w:vAlign w:val="center"/>
          </w:tcPr>
          <w:p>
            <w:pPr>
              <w:adjustRightInd w:val="0"/>
              <w:snapToGrid w:val="0"/>
              <w:spacing w:line="300" w:lineRule="auto"/>
              <w:rPr>
                <w:sz w:val="18"/>
                <w:szCs w:val="18"/>
              </w:rPr>
            </w:pPr>
            <w:r>
              <w:rPr>
                <w:rFonts w:hint="eastAsia"/>
                <w:sz w:val="18"/>
                <w:szCs w:val="18"/>
              </w:rPr>
              <w:t>基于嵌入式双目视觉测距系统</w:t>
            </w:r>
          </w:p>
        </w:tc>
        <w:tc>
          <w:tcPr>
            <w:tcW w:w="4253" w:type="dxa"/>
            <w:vAlign w:val="center"/>
          </w:tcPr>
          <w:p>
            <w:pPr>
              <w:spacing w:line="276" w:lineRule="auto"/>
              <w:rPr>
                <w:sz w:val="18"/>
                <w:szCs w:val="18"/>
              </w:rPr>
            </w:pPr>
            <w:r>
              <w:rPr>
                <w:rFonts w:hint="eastAsia"/>
                <w:sz w:val="18"/>
                <w:szCs w:val="18"/>
              </w:rPr>
              <w:t>1.掌握：系统总体方案</w:t>
            </w:r>
          </w:p>
          <w:p>
            <w:pPr>
              <w:spacing w:line="276" w:lineRule="auto"/>
              <w:rPr>
                <w:sz w:val="18"/>
                <w:szCs w:val="18"/>
              </w:rPr>
            </w:pPr>
            <w:r>
              <w:rPr>
                <w:rFonts w:hint="eastAsia"/>
                <w:sz w:val="18"/>
                <w:szCs w:val="18"/>
              </w:rPr>
              <w:t>2.理解：双目视觉测距系统硬件设计</w:t>
            </w:r>
          </w:p>
          <w:p>
            <w:pPr>
              <w:spacing w:line="276" w:lineRule="auto"/>
              <w:rPr>
                <w:sz w:val="18"/>
                <w:szCs w:val="18"/>
              </w:rPr>
            </w:pPr>
            <w:r>
              <w:rPr>
                <w:rFonts w:hint="eastAsia"/>
                <w:sz w:val="18"/>
                <w:szCs w:val="18"/>
              </w:rPr>
              <w:t>3.掌握：基于嵌入式的图像预处理</w:t>
            </w:r>
          </w:p>
          <w:p>
            <w:pPr>
              <w:spacing w:line="276" w:lineRule="auto"/>
              <w:rPr>
                <w:sz w:val="18"/>
                <w:szCs w:val="18"/>
              </w:rPr>
            </w:pPr>
            <w:r>
              <w:rPr>
                <w:rFonts w:hint="eastAsia"/>
                <w:sz w:val="18"/>
                <w:szCs w:val="18"/>
              </w:rPr>
              <w:t>4.理解:基于嵌入式的SAD算法</w:t>
            </w:r>
          </w:p>
          <w:p>
            <w:pPr>
              <w:spacing w:line="276" w:lineRule="auto"/>
              <w:rPr>
                <w:sz w:val="18"/>
                <w:szCs w:val="18"/>
              </w:rPr>
            </w:pPr>
            <w:r>
              <w:rPr>
                <w:rFonts w:hint="eastAsia"/>
                <w:sz w:val="18"/>
                <w:szCs w:val="18"/>
              </w:rPr>
              <w:t>5.了解：系统测试</w:t>
            </w:r>
          </w:p>
          <w:p>
            <w:pPr>
              <w:adjustRightInd w:val="0"/>
              <w:snapToGrid w:val="0"/>
              <w:spacing w:line="300" w:lineRule="auto"/>
              <w:rPr>
                <w:sz w:val="18"/>
                <w:szCs w:val="18"/>
              </w:rPr>
            </w:pPr>
            <w:r>
              <w:rPr>
                <w:rFonts w:hint="eastAsia"/>
                <w:sz w:val="18"/>
                <w:szCs w:val="18"/>
              </w:rPr>
              <w:t>6.理解：归纳总结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7</w:t>
            </w:r>
          </w:p>
        </w:tc>
        <w:tc>
          <w:tcPr>
            <w:tcW w:w="1818" w:type="dxa"/>
            <w:vAlign w:val="center"/>
          </w:tcPr>
          <w:p>
            <w:pPr>
              <w:adjustRightInd w:val="0"/>
              <w:snapToGrid w:val="0"/>
              <w:spacing w:line="300" w:lineRule="auto"/>
              <w:rPr>
                <w:sz w:val="18"/>
                <w:szCs w:val="18"/>
              </w:rPr>
            </w:pPr>
            <w:r>
              <w:rPr>
                <w:rFonts w:hint="eastAsia"/>
                <w:sz w:val="18"/>
                <w:szCs w:val="18"/>
              </w:rPr>
              <w:t>嵌入式智能小车无线控制与视频传输系统设计</w:t>
            </w:r>
          </w:p>
        </w:tc>
        <w:tc>
          <w:tcPr>
            <w:tcW w:w="4253" w:type="dxa"/>
            <w:vAlign w:val="center"/>
          </w:tcPr>
          <w:p>
            <w:pPr>
              <w:spacing w:line="276" w:lineRule="auto"/>
              <w:rPr>
                <w:sz w:val="18"/>
                <w:szCs w:val="18"/>
              </w:rPr>
            </w:pPr>
            <w:r>
              <w:rPr>
                <w:rFonts w:hint="eastAsia"/>
                <w:sz w:val="18"/>
                <w:szCs w:val="18"/>
              </w:rPr>
              <w:t>1.掌握：系统内总体方案</w:t>
            </w:r>
          </w:p>
          <w:p>
            <w:pPr>
              <w:spacing w:line="276" w:lineRule="auto"/>
              <w:rPr>
                <w:sz w:val="18"/>
                <w:szCs w:val="18"/>
              </w:rPr>
            </w:pPr>
            <w:r>
              <w:rPr>
                <w:rFonts w:hint="eastAsia"/>
                <w:sz w:val="18"/>
                <w:szCs w:val="18"/>
              </w:rPr>
              <w:t>2.理解：智能小车硬件设计</w:t>
            </w:r>
          </w:p>
          <w:p>
            <w:pPr>
              <w:spacing w:line="276" w:lineRule="auto"/>
              <w:rPr>
                <w:sz w:val="18"/>
                <w:szCs w:val="18"/>
              </w:rPr>
            </w:pPr>
            <w:r>
              <w:rPr>
                <w:rFonts w:hint="eastAsia"/>
                <w:sz w:val="18"/>
                <w:szCs w:val="18"/>
              </w:rPr>
              <w:t>3.理解：智能小车软件设计</w:t>
            </w:r>
          </w:p>
          <w:p>
            <w:pPr>
              <w:spacing w:line="276" w:lineRule="auto"/>
              <w:rPr>
                <w:sz w:val="18"/>
                <w:szCs w:val="18"/>
              </w:rPr>
            </w:pPr>
            <w:r>
              <w:rPr>
                <w:rFonts w:hint="eastAsia"/>
                <w:sz w:val="18"/>
                <w:szCs w:val="18"/>
              </w:rPr>
              <w:t>4.理解：系统测试</w:t>
            </w:r>
          </w:p>
          <w:p>
            <w:pPr>
              <w:adjustRightInd w:val="0"/>
              <w:snapToGrid w:val="0"/>
              <w:spacing w:line="300" w:lineRule="auto"/>
              <w:rPr>
                <w:sz w:val="18"/>
                <w:szCs w:val="18"/>
              </w:rPr>
            </w:pPr>
            <w:r>
              <w:rPr>
                <w:rFonts w:hint="eastAsia"/>
                <w:sz w:val="18"/>
                <w:szCs w:val="18"/>
              </w:rPr>
              <w:t>5.理解：总结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8</w:t>
            </w:r>
          </w:p>
        </w:tc>
        <w:tc>
          <w:tcPr>
            <w:tcW w:w="1818" w:type="dxa"/>
            <w:vAlign w:val="center"/>
          </w:tcPr>
          <w:p>
            <w:pPr>
              <w:adjustRightInd w:val="0"/>
              <w:snapToGrid w:val="0"/>
              <w:spacing w:line="300" w:lineRule="auto"/>
              <w:rPr>
                <w:sz w:val="18"/>
                <w:szCs w:val="18"/>
              </w:rPr>
            </w:pPr>
            <w:r>
              <w:rPr>
                <w:rFonts w:hint="eastAsia"/>
                <w:sz w:val="18"/>
                <w:szCs w:val="18"/>
              </w:rPr>
              <w:t>基于SOPC的智能辅助饮食系统</w:t>
            </w:r>
          </w:p>
        </w:tc>
        <w:tc>
          <w:tcPr>
            <w:tcW w:w="4253" w:type="dxa"/>
            <w:vAlign w:val="center"/>
          </w:tcPr>
          <w:p>
            <w:pPr>
              <w:spacing w:line="276" w:lineRule="auto"/>
              <w:rPr>
                <w:sz w:val="18"/>
                <w:szCs w:val="18"/>
              </w:rPr>
            </w:pPr>
            <w:r>
              <w:rPr>
                <w:rFonts w:hint="eastAsia"/>
                <w:sz w:val="18"/>
                <w:szCs w:val="18"/>
              </w:rPr>
              <w:t>1.掌握：系统总体方案</w:t>
            </w:r>
          </w:p>
          <w:p>
            <w:pPr>
              <w:spacing w:line="276" w:lineRule="auto"/>
              <w:rPr>
                <w:sz w:val="18"/>
                <w:szCs w:val="18"/>
              </w:rPr>
            </w:pPr>
            <w:r>
              <w:rPr>
                <w:rFonts w:hint="eastAsia"/>
                <w:sz w:val="18"/>
                <w:szCs w:val="18"/>
              </w:rPr>
              <w:t>2.掌握：图像获取处理模块</w:t>
            </w:r>
          </w:p>
          <w:p>
            <w:pPr>
              <w:spacing w:line="276" w:lineRule="auto"/>
              <w:rPr>
                <w:sz w:val="18"/>
                <w:szCs w:val="18"/>
              </w:rPr>
            </w:pPr>
            <w:r>
              <w:rPr>
                <w:rFonts w:hint="eastAsia"/>
                <w:sz w:val="18"/>
                <w:szCs w:val="18"/>
              </w:rPr>
              <w:t>3.理解：语音交互模块</w:t>
            </w:r>
          </w:p>
          <w:p>
            <w:pPr>
              <w:spacing w:line="276" w:lineRule="auto"/>
              <w:rPr>
                <w:sz w:val="18"/>
                <w:szCs w:val="18"/>
              </w:rPr>
            </w:pPr>
            <w:r>
              <w:rPr>
                <w:rFonts w:hint="eastAsia"/>
                <w:sz w:val="18"/>
                <w:szCs w:val="18"/>
              </w:rPr>
              <w:t>4.理解：机械臂控制模块</w:t>
            </w:r>
          </w:p>
          <w:p>
            <w:pPr>
              <w:spacing w:line="276" w:lineRule="auto"/>
              <w:rPr>
                <w:sz w:val="18"/>
                <w:szCs w:val="18"/>
              </w:rPr>
            </w:pPr>
            <w:r>
              <w:rPr>
                <w:rFonts w:hint="eastAsia"/>
                <w:sz w:val="18"/>
                <w:szCs w:val="18"/>
              </w:rPr>
              <w:t>5.理解：系统测试</w:t>
            </w:r>
          </w:p>
          <w:p>
            <w:pPr>
              <w:adjustRightInd w:val="0"/>
              <w:snapToGrid w:val="0"/>
              <w:spacing w:line="300" w:lineRule="auto"/>
              <w:rPr>
                <w:sz w:val="18"/>
                <w:szCs w:val="18"/>
              </w:rPr>
            </w:pPr>
            <w:r>
              <w:rPr>
                <w:rFonts w:hint="eastAsia"/>
                <w:sz w:val="18"/>
                <w:szCs w:val="18"/>
              </w:rPr>
              <w:t>6.理解：总结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9</w:t>
            </w:r>
          </w:p>
        </w:tc>
        <w:tc>
          <w:tcPr>
            <w:tcW w:w="1818" w:type="dxa"/>
            <w:vAlign w:val="center"/>
          </w:tcPr>
          <w:p>
            <w:pPr>
              <w:adjustRightInd w:val="0"/>
              <w:snapToGrid w:val="0"/>
              <w:spacing w:line="300" w:lineRule="auto"/>
              <w:rPr>
                <w:sz w:val="18"/>
                <w:szCs w:val="18"/>
              </w:rPr>
            </w:pPr>
            <w:r>
              <w:rPr>
                <w:rFonts w:hint="eastAsia"/>
                <w:sz w:val="18"/>
                <w:szCs w:val="18"/>
              </w:rPr>
              <w:t>基于有限状态机的自动售货机控制模块设计</w:t>
            </w:r>
          </w:p>
        </w:tc>
        <w:tc>
          <w:tcPr>
            <w:tcW w:w="4253" w:type="dxa"/>
            <w:vAlign w:val="center"/>
          </w:tcPr>
          <w:p>
            <w:pPr>
              <w:spacing w:line="276" w:lineRule="auto"/>
              <w:rPr>
                <w:sz w:val="18"/>
                <w:szCs w:val="18"/>
              </w:rPr>
            </w:pPr>
            <w:r>
              <w:rPr>
                <w:rFonts w:hint="eastAsia"/>
                <w:sz w:val="18"/>
                <w:szCs w:val="18"/>
              </w:rPr>
              <w:t>1.理解：有限状态机概念</w:t>
            </w:r>
          </w:p>
          <w:p>
            <w:pPr>
              <w:spacing w:line="276" w:lineRule="auto"/>
              <w:rPr>
                <w:sz w:val="18"/>
                <w:szCs w:val="18"/>
              </w:rPr>
            </w:pPr>
            <w:r>
              <w:rPr>
                <w:rFonts w:hint="eastAsia"/>
                <w:sz w:val="18"/>
                <w:szCs w:val="18"/>
              </w:rPr>
              <w:t>2.了解：需求分析</w:t>
            </w:r>
          </w:p>
          <w:p>
            <w:pPr>
              <w:spacing w:line="276" w:lineRule="auto"/>
              <w:rPr>
                <w:sz w:val="18"/>
                <w:szCs w:val="18"/>
              </w:rPr>
            </w:pPr>
            <w:r>
              <w:rPr>
                <w:rFonts w:hint="eastAsia"/>
                <w:sz w:val="18"/>
                <w:szCs w:val="18"/>
              </w:rPr>
              <w:t>3.掌握：系统总体方案</w:t>
            </w:r>
          </w:p>
          <w:p>
            <w:pPr>
              <w:spacing w:line="276" w:lineRule="auto"/>
              <w:rPr>
                <w:sz w:val="18"/>
                <w:szCs w:val="18"/>
              </w:rPr>
            </w:pPr>
            <w:r>
              <w:rPr>
                <w:rFonts w:hint="eastAsia"/>
                <w:sz w:val="18"/>
                <w:szCs w:val="18"/>
              </w:rPr>
              <w:t>4.掌握：状态转移图</w:t>
            </w:r>
          </w:p>
          <w:p>
            <w:pPr>
              <w:spacing w:line="276" w:lineRule="auto"/>
              <w:rPr>
                <w:sz w:val="18"/>
                <w:szCs w:val="18"/>
              </w:rPr>
            </w:pPr>
            <w:r>
              <w:rPr>
                <w:rFonts w:hint="eastAsia"/>
                <w:sz w:val="18"/>
                <w:szCs w:val="18"/>
              </w:rPr>
              <w:t>5.理解：VHDL程序设计</w:t>
            </w:r>
          </w:p>
          <w:p>
            <w:pPr>
              <w:spacing w:line="276" w:lineRule="auto"/>
              <w:rPr>
                <w:sz w:val="18"/>
                <w:szCs w:val="18"/>
              </w:rPr>
            </w:pPr>
            <w:r>
              <w:rPr>
                <w:rFonts w:hint="eastAsia"/>
                <w:sz w:val="18"/>
                <w:szCs w:val="18"/>
              </w:rPr>
              <w:t>6.理解：仿真</w:t>
            </w:r>
          </w:p>
          <w:p>
            <w:pPr>
              <w:adjustRightInd w:val="0"/>
              <w:snapToGrid w:val="0"/>
              <w:spacing w:line="300" w:lineRule="auto"/>
              <w:rPr>
                <w:sz w:val="18"/>
                <w:szCs w:val="18"/>
              </w:rPr>
            </w:pPr>
            <w:r>
              <w:rPr>
                <w:rFonts w:hint="eastAsia"/>
                <w:sz w:val="18"/>
                <w:szCs w:val="18"/>
              </w:rPr>
              <w:t>7.理解：总结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rFonts w:hint="eastAsia"/>
                <w:sz w:val="18"/>
                <w:szCs w:val="18"/>
              </w:rPr>
              <w:t>1</w:t>
            </w:r>
            <w:r>
              <w:rPr>
                <w:sz w:val="18"/>
                <w:szCs w:val="18"/>
              </w:rPr>
              <w:t>0</w:t>
            </w:r>
          </w:p>
        </w:tc>
        <w:tc>
          <w:tcPr>
            <w:tcW w:w="1818" w:type="dxa"/>
            <w:vAlign w:val="center"/>
          </w:tcPr>
          <w:p>
            <w:pPr>
              <w:adjustRightInd w:val="0"/>
              <w:snapToGrid w:val="0"/>
              <w:spacing w:line="300" w:lineRule="auto"/>
              <w:rPr>
                <w:sz w:val="18"/>
                <w:szCs w:val="18"/>
              </w:rPr>
            </w:pPr>
            <w:r>
              <w:rPr>
                <w:rFonts w:hint="eastAsia"/>
                <w:sz w:val="18"/>
                <w:szCs w:val="18"/>
              </w:rPr>
              <w:t>基于FPGA的序列检测器设计</w:t>
            </w:r>
          </w:p>
        </w:tc>
        <w:tc>
          <w:tcPr>
            <w:tcW w:w="4253" w:type="dxa"/>
            <w:vAlign w:val="center"/>
          </w:tcPr>
          <w:p>
            <w:pPr>
              <w:spacing w:line="276" w:lineRule="auto"/>
              <w:rPr>
                <w:sz w:val="18"/>
                <w:szCs w:val="18"/>
              </w:rPr>
            </w:pPr>
            <w:r>
              <w:rPr>
                <w:rFonts w:hint="eastAsia"/>
                <w:sz w:val="18"/>
                <w:szCs w:val="18"/>
              </w:rPr>
              <w:t>1.了解：需求分析</w:t>
            </w:r>
          </w:p>
          <w:p>
            <w:pPr>
              <w:spacing w:line="276" w:lineRule="auto"/>
              <w:rPr>
                <w:sz w:val="18"/>
                <w:szCs w:val="18"/>
              </w:rPr>
            </w:pPr>
            <w:r>
              <w:rPr>
                <w:rFonts w:hint="eastAsia"/>
                <w:sz w:val="18"/>
                <w:szCs w:val="18"/>
              </w:rPr>
              <w:t>2.掌握：系统总体方案</w:t>
            </w:r>
          </w:p>
          <w:p>
            <w:pPr>
              <w:spacing w:line="276" w:lineRule="auto"/>
              <w:rPr>
                <w:sz w:val="18"/>
                <w:szCs w:val="18"/>
              </w:rPr>
            </w:pPr>
            <w:r>
              <w:rPr>
                <w:rFonts w:hint="eastAsia"/>
                <w:sz w:val="18"/>
                <w:szCs w:val="18"/>
              </w:rPr>
              <w:t>3.掌握：状态转移图</w:t>
            </w:r>
          </w:p>
          <w:p>
            <w:pPr>
              <w:spacing w:line="276" w:lineRule="auto"/>
              <w:rPr>
                <w:sz w:val="18"/>
                <w:szCs w:val="18"/>
              </w:rPr>
            </w:pPr>
            <w:r>
              <w:rPr>
                <w:rFonts w:hint="eastAsia"/>
                <w:sz w:val="18"/>
                <w:szCs w:val="18"/>
              </w:rPr>
              <w:t>4.理解：软件设计</w:t>
            </w:r>
          </w:p>
          <w:p>
            <w:pPr>
              <w:spacing w:line="276" w:lineRule="auto"/>
              <w:rPr>
                <w:sz w:val="18"/>
                <w:szCs w:val="18"/>
              </w:rPr>
            </w:pPr>
            <w:r>
              <w:rPr>
                <w:rFonts w:hint="eastAsia"/>
                <w:sz w:val="18"/>
                <w:szCs w:val="18"/>
              </w:rPr>
              <w:t>5.理解：仿真</w:t>
            </w:r>
          </w:p>
          <w:p>
            <w:pPr>
              <w:adjustRightInd w:val="0"/>
              <w:snapToGrid w:val="0"/>
              <w:spacing w:line="300" w:lineRule="auto"/>
              <w:rPr>
                <w:sz w:val="18"/>
                <w:szCs w:val="18"/>
              </w:rPr>
            </w:pPr>
            <w:r>
              <w:rPr>
                <w:rFonts w:hint="eastAsia"/>
                <w:sz w:val="18"/>
                <w:szCs w:val="18"/>
              </w:rPr>
              <w:t>6.理解：总结</w:t>
            </w:r>
          </w:p>
        </w:tc>
        <w:tc>
          <w:tcPr>
            <w:tcW w:w="708" w:type="dxa"/>
            <w:vAlign w:val="center"/>
          </w:tcPr>
          <w:p>
            <w:pPr>
              <w:adjustRightInd w:val="0"/>
              <w:snapToGrid w:val="0"/>
              <w:spacing w:line="300" w:lineRule="auto"/>
              <w:jc w:val="center"/>
              <w:rPr>
                <w:sz w:val="18"/>
                <w:szCs w:val="18"/>
              </w:rPr>
            </w:pPr>
            <w:r>
              <w:rPr>
                <w:rFonts w:hint="eastAsia"/>
                <w:sz w:val="18"/>
                <w:szCs w:val="18"/>
              </w:rPr>
              <w:t>2</w:t>
            </w:r>
          </w:p>
        </w:tc>
        <w:tc>
          <w:tcPr>
            <w:tcW w:w="993" w:type="dxa"/>
            <w:vAlign w:val="center"/>
          </w:tcPr>
          <w:p>
            <w:pPr>
              <w:adjustRightInd w:val="0"/>
              <w:snapToGrid w:val="0"/>
              <w:spacing w:line="300" w:lineRule="auto"/>
              <w:jc w:val="left"/>
              <w:rPr>
                <w:sz w:val="18"/>
                <w:szCs w:val="18"/>
              </w:rPr>
            </w:pPr>
            <w:r>
              <w:rPr>
                <w:sz w:val="18"/>
                <w:szCs w:val="18"/>
              </w:rPr>
              <w:t>1</w:t>
            </w:r>
            <w:r>
              <w:rPr>
                <w:rFonts w:hint="eastAsia"/>
                <w:sz w:val="18"/>
                <w:szCs w:val="18"/>
              </w:rPr>
              <w:t>，2，</w:t>
            </w:r>
            <w:r>
              <w:rPr>
                <w:sz w:val="18"/>
                <w:szCs w:val="18"/>
              </w:rPr>
              <w:t>3</w:t>
            </w:r>
          </w:p>
        </w:tc>
        <w:tc>
          <w:tcPr>
            <w:tcW w:w="992" w:type="dxa"/>
            <w:vAlign w:val="center"/>
          </w:tcPr>
          <w:p>
            <w:pPr>
              <w:adjustRightInd w:val="0"/>
              <w:snapToGrid w:val="0"/>
              <w:spacing w:line="300" w:lineRule="auto"/>
              <w:jc w:val="left"/>
              <w:rPr>
                <w:sz w:val="18"/>
                <w:szCs w:val="18"/>
              </w:rPr>
            </w:pPr>
            <w:r>
              <w:rPr>
                <w:sz w:val="18"/>
                <w:szCs w:val="18"/>
              </w:rPr>
              <w:t>2</w:t>
            </w:r>
            <w:r>
              <w:rPr>
                <w:rFonts w:hint="eastAsia"/>
                <w:sz w:val="18"/>
                <w:szCs w:val="18"/>
              </w:rPr>
              <w:t>，3，</w:t>
            </w:r>
            <w:r>
              <w:rPr>
                <w:sz w:val="18"/>
                <w:szCs w:val="18"/>
              </w:rPr>
              <w:t>4</w:t>
            </w:r>
          </w:p>
        </w:tc>
      </w:tr>
    </w:tbl>
    <w:p>
      <w:pPr>
        <w:adjustRightInd w:val="0"/>
        <w:snapToGrid w:val="0"/>
        <w:spacing w:before="156" w:beforeLines="50" w:line="300" w:lineRule="auto"/>
        <w:ind w:firstLine="420" w:firstLineChars="200"/>
      </w:pPr>
      <w:r>
        <w:rPr>
          <w:rFonts w:hint="eastAsia"/>
        </w:rPr>
        <w:t>实训</w:t>
      </w:r>
      <w:r>
        <w:t>内容见表4所示。</w:t>
      </w:r>
    </w:p>
    <w:p>
      <w:pPr>
        <w:adjustRightInd w:val="0"/>
        <w:snapToGrid w:val="0"/>
        <w:spacing w:before="156" w:beforeLines="50" w:line="300" w:lineRule="auto"/>
        <w:jc w:val="center"/>
        <w:rPr>
          <w:b/>
          <w:bCs/>
          <w:sz w:val="18"/>
          <w:szCs w:val="18"/>
        </w:rPr>
      </w:pPr>
      <w:r>
        <w:rPr>
          <w:b/>
          <w:bCs/>
          <w:sz w:val="18"/>
          <w:szCs w:val="18"/>
        </w:rPr>
        <w:t xml:space="preserve">表4 </w:t>
      </w:r>
      <w:r>
        <w:rPr>
          <w:rFonts w:hint="eastAsia"/>
          <w:b/>
          <w:bCs/>
          <w:sz w:val="18"/>
          <w:szCs w:val="18"/>
        </w:rPr>
        <w:t>实训内容</w:t>
      </w:r>
      <w:r>
        <w:rPr>
          <w:b/>
          <w:bCs/>
          <w:sz w:val="18"/>
          <w:szCs w:val="18"/>
        </w:rPr>
        <w:t>安排表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539"/>
        <w:gridCol w:w="2372"/>
        <w:gridCol w:w="806"/>
        <w:gridCol w:w="802"/>
        <w:gridCol w:w="1207"/>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Pr>
          <w:p>
            <w:pPr>
              <w:adjustRightInd w:val="0"/>
              <w:snapToGrid w:val="0"/>
              <w:spacing w:before="156" w:beforeLines="50" w:line="300" w:lineRule="auto"/>
              <w:jc w:val="center"/>
              <w:rPr>
                <w:b/>
                <w:bCs/>
                <w:sz w:val="18"/>
                <w:szCs w:val="18"/>
              </w:rPr>
            </w:pPr>
            <w:r>
              <w:rPr>
                <w:rFonts w:hint="eastAsia"/>
                <w:b/>
                <w:bCs/>
                <w:sz w:val="18"/>
                <w:szCs w:val="18"/>
              </w:rPr>
              <w:t>序号</w:t>
            </w:r>
          </w:p>
        </w:tc>
        <w:tc>
          <w:tcPr>
            <w:tcW w:w="1716" w:type="dxa"/>
          </w:tcPr>
          <w:p>
            <w:pPr>
              <w:adjustRightInd w:val="0"/>
              <w:snapToGrid w:val="0"/>
              <w:spacing w:before="156" w:beforeLines="50" w:line="300" w:lineRule="auto"/>
              <w:jc w:val="center"/>
              <w:rPr>
                <w:b/>
                <w:bCs/>
                <w:sz w:val="18"/>
                <w:szCs w:val="18"/>
              </w:rPr>
            </w:pPr>
            <w:r>
              <w:rPr>
                <w:rFonts w:hint="eastAsia"/>
                <w:b/>
                <w:bCs/>
                <w:sz w:val="18"/>
                <w:szCs w:val="18"/>
              </w:rPr>
              <w:t>实训案例</w:t>
            </w:r>
          </w:p>
        </w:tc>
        <w:tc>
          <w:tcPr>
            <w:tcW w:w="2651" w:type="dxa"/>
          </w:tcPr>
          <w:p>
            <w:pPr>
              <w:adjustRightInd w:val="0"/>
              <w:snapToGrid w:val="0"/>
              <w:spacing w:before="156" w:beforeLines="50" w:line="300" w:lineRule="auto"/>
              <w:jc w:val="center"/>
              <w:rPr>
                <w:b/>
                <w:bCs/>
                <w:sz w:val="18"/>
                <w:szCs w:val="18"/>
              </w:rPr>
            </w:pPr>
            <w:r>
              <w:rPr>
                <w:rFonts w:hint="eastAsia"/>
                <w:b/>
                <w:bCs/>
                <w:sz w:val="18"/>
                <w:szCs w:val="18"/>
              </w:rPr>
              <w:t>内容</w:t>
            </w:r>
          </w:p>
        </w:tc>
        <w:tc>
          <w:tcPr>
            <w:tcW w:w="869" w:type="dxa"/>
          </w:tcPr>
          <w:p>
            <w:pPr>
              <w:adjustRightInd w:val="0"/>
              <w:snapToGrid w:val="0"/>
              <w:spacing w:before="156" w:beforeLines="50" w:line="300" w:lineRule="auto"/>
              <w:jc w:val="center"/>
              <w:rPr>
                <w:b/>
                <w:bCs/>
                <w:sz w:val="18"/>
                <w:szCs w:val="18"/>
              </w:rPr>
            </w:pPr>
            <w:r>
              <w:rPr>
                <w:rFonts w:hint="eastAsia"/>
                <w:b/>
                <w:bCs/>
                <w:sz w:val="18"/>
                <w:szCs w:val="18"/>
              </w:rPr>
              <w:t>分配学时</w:t>
            </w:r>
          </w:p>
        </w:tc>
        <w:tc>
          <w:tcPr>
            <w:tcW w:w="865" w:type="dxa"/>
          </w:tcPr>
          <w:p>
            <w:pPr>
              <w:adjustRightInd w:val="0"/>
              <w:snapToGrid w:val="0"/>
              <w:spacing w:before="156" w:beforeLines="50" w:line="300" w:lineRule="auto"/>
              <w:jc w:val="center"/>
              <w:rPr>
                <w:b/>
                <w:bCs/>
                <w:sz w:val="18"/>
                <w:szCs w:val="18"/>
              </w:rPr>
            </w:pPr>
            <w:r>
              <w:rPr>
                <w:rFonts w:hint="eastAsia"/>
                <w:b/>
                <w:bCs/>
                <w:sz w:val="18"/>
                <w:szCs w:val="18"/>
              </w:rPr>
              <w:t>小组人数</w:t>
            </w:r>
          </w:p>
        </w:tc>
        <w:tc>
          <w:tcPr>
            <w:tcW w:w="1319" w:type="dxa"/>
          </w:tcPr>
          <w:p>
            <w:pPr>
              <w:adjustRightInd w:val="0"/>
              <w:snapToGrid w:val="0"/>
              <w:spacing w:before="156" w:beforeLines="50" w:line="300" w:lineRule="auto"/>
              <w:jc w:val="center"/>
              <w:rPr>
                <w:b/>
                <w:bCs/>
                <w:sz w:val="18"/>
                <w:szCs w:val="18"/>
              </w:rPr>
            </w:pPr>
            <w:r>
              <w:rPr>
                <w:rFonts w:hint="eastAsia"/>
                <w:b/>
                <w:bCs/>
                <w:sz w:val="18"/>
                <w:szCs w:val="18"/>
              </w:rPr>
              <w:t>课程目标</w:t>
            </w:r>
          </w:p>
        </w:tc>
        <w:tc>
          <w:tcPr>
            <w:tcW w:w="1283" w:type="dxa"/>
          </w:tcPr>
          <w:p>
            <w:pPr>
              <w:adjustRightInd w:val="0"/>
              <w:snapToGrid w:val="0"/>
              <w:spacing w:before="156" w:beforeLines="50" w:line="300" w:lineRule="auto"/>
              <w:jc w:val="center"/>
              <w:rPr>
                <w:b/>
                <w:bCs/>
                <w:sz w:val="18"/>
                <w:szCs w:val="18"/>
              </w:rPr>
            </w:pPr>
            <w:r>
              <w:rPr>
                <w:rFonts w:hint="eastAsia"/>
                <w:b/>
                <w:bCs/>
                <w:sz w:val="18"/>
                <w:szCs w:val="18"/>
              </w:rPr>
              <w:t>毕业要求</w:t>
            </w:r>
          </w:p>
          <w:p>
            <w:pPr>
              <w:adjustRightInd w:val="0"/>
              <w:snapToGrid w:val="0"/>
              <w:spacing w:before="156" w:beforeLines="50" w:line="300" w:lineRule="auto"/>
              <w:jc w:val="center"/>
              <w:rPr>
                <w:b/>
                <w:bCs/>
                <w:sz w:val="18"/>
                <w:szCs w:val="18"/>
              </w:rPr>
            </w:pPr>
            <w:r>
              <w:rPr>
                <w:rFonts w:hint="eastAsia"/>
                <w:b/>
                <w:bCs/>
                <w:sz w:val="18"/>
                <w:szCs w:val="18"/>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adjustRightInd w:val="0"/>
              <w:snapToGrid w:val="0"/>
              <w:spacing w:line="300" w:lineRule="auto"/>
              <w:jc w:val="center"/>
              <w:rPr>
                <w:sz w:val="18"/>
                <w:szCs w:val="18"/>
              </w:rPr>
            </w:pPr>
            <w:r>
              <w:rPr>
                <w:rFonts w:hint="eastAsia"/>
                <w:sz w:val="18"/>
                <w:szCs w:val="18"/>
              </w:rPr>
              <w:t>1</w:t>
            </w:r>
          </w:p>
        </w:tc>
        <w:tc>
          <w:tcPr>
            <w:tcW w:w="1716" w:type="dxa"/>
            <w:vAlign w:val="center"/>
          </w:tcPr>
          <w:p>
            <w:pPr>
              <w:adjustRightInd w:val="0"/>
              <w:snapToGrid w:val="0"/>
              <w:spacing w:line="300" w:lineRule="auto"/>
              <w:jc w:val="center"/>
              <w:rPr>
                <w:sz w:val="18"/>
                <w:szCs w:val="18"/>
              </w:rPr>
            </w:pPr>
            <w:r>
              <w:rPr>
                <w:rFonts w:hint="eastAsia"/>
                <w:sz w:val="18"/>
                <w:szCs w:val="18"/>
              </w:rPr>
              <w:t>自选设计作品选题辅导</w:t>
            </w:r>
          </w:p>
        </w:tc>
        <w:tc>
          <w:tcPr>
            <w:tcW w:w="2651" w:type="dxa"/>
            <w:vAlign w:val="center"/>
          </w:tcPr>
          <w:p>
            <w:pPr>
              <w:spacing w:line="276" w:lineRule="auto"/>
              <w:jc w:val="center"/>
              <w:rPr>
                <w:sz w:val="18"/>
                <w:szCs w:val="18"/>
              </w:rPr>
            </w:pPr>
            <w:r>
              <w:rPr>
                <w:rFonts w:hint="eastAsia"/>
                <w:sz w:val="18"/>
                <w:szCs w:val="18"/>
              </w:rPr>
              <w:t>帮助每一组学生确定选题，讲解作品要求，论文撰写要求和技巧</w:t>
            </w:r>
          </w:p>
        </w:tc>
        <w:tc>
          <w:tcPr>
            <w:tcW w:w="869" w:type="dxa"/>
            <w:vAlign w:val="center"/>
          </w:tcPr>
          <w:p>
            <w:pPr>
              <w:adjustRightInd w:val="0"/>
              <w:snapToGrid w:val="0"/>
              <w:spacing w:line="300" w:lineRule="auto"/>
              <w:jc w:val="center"/>
              <w:rPr>
                <w:sz w:val="18"/>
                <w:szCs w:val="18"/>
              </w:rPr>
            </w:pPr>
            <w:r>
              <w:rPr>
                <w:rFonts w:hint="eastAsia"/>
                <w:sz w:val="18"/>
                <w:szCs w:val="18"/>
              </w:rPr>
              <w:t>2</w:t>
            </w:r>
          </w:p>
        </w:tc>
        <w:tc>
          <w:tcPr>
            <w:tcW w:w="865" w:type="dxa"/>
            <w:vAlign w:val="center"/>
          </w:tcPr>
          <w:p>
            <w:pPr>
              <w:adjustRightInd w:val="0"/>
              <w:snapToGrid w:val="0"/>
              <w:spacing w:line="300" w:lineRule="auto"/>
              <w:jc w:val="center"/>
              <w:rPr>
                <w:sz w:val="18"/>
                <w:szCs w:val="18"/>
              </w:rPr>
            </w:pPr>
            <w:r>
              <w:rPr>
                <w:rFonts w:hint="eastAsia"/>
                <w:sz w:val="18"/>
                <w:szCs w:val="18"/>
              </w:rPr>
              <w:t>4</w:t>
            </w:r>
          </w:p>
        </w:tc>
        <w:tc>
          <w:tcPr>
            <w:tcW w:w="1319" w:type="dxa"/>
            <w:vAlign w:val="center"/>
          </w:tcPr>
          <w:p>
            <w:pPr>
              <w:adjustRightInd w:val="0"/>
              <w:snapToGrid w:val="0"/>
              <w:spacing w:line="300" w:lineRule="auto"/>
              <w:jc w:val="center"/>
              <w:rPr>
                <w:sz w:val="18"/>
                <w:szCs w:val="18"/>
              </w:rPr>
            </w:pPr>
            <w:r>
              <w:rPr>
                <w:rFonts w:hint="eastAsia"/>
                <w:sz w:val="18"/>
                <w:szCs w:val="18"/>
              </w:rPr>
              <w:t>1，2，3</w:t>
            </w:r>
          </w:p>
        </w:tc>
        <w:tc>
          <w:tcPr>
            <w:tcW w:w="1283"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adjustRightInd w:val="0"/>
              <w:snapToGrid w:val="0"/>
              <w:spacing w:line="300" w:lineRule="auto"/>
              <w:jc w:val="center"/>
              <w:rPr>
                <w:sz w:val="18"/>
                <w:szCs w:val="18"/>
              </w:rPr>
            </w:pPr>
            <w:r>
              <w:rPr>
                <w:rFonts w:hint="eastAsia"/>
                <w:sz w:val="18"/>
                <w:szCs w:val="18"/>
              </w:rPr>
              <w:t>2</w:t>
            </w:r>
          </w:p>
        </w:tc>
        <w:tc>
          <w:tcPr>
            <w:tcW w:w="1716" w:type="dxa"/>
            <w:vAlign w:val="center"/>
          </w:tcPr>
          <w:p>
            <w:pPr>
              <w:adjustRightInd w:val="0"/>
              <w:snapToGrid w:val="0"/>
              <w:spacing w:line="300" w:lineRule="auto"/>
              <w:jc w:val="center"/>
              <w:rPr>
                <w:sz w:val="18"/>
                <w:szCs w:val="18"/>
              </w:rPr>
            </w:pPr>
            <w:r>
              <w:rPr>
                <w:rFonts w:hint="eastAsia"/>
                <w:sz w:val="18"/>
                <w:szCs w:val="18"/>
              </w:rPr>
              <w:t>设计作品制作及指导</w:t>
            </w:r>
          </w:p>
        </w:tc>
        <w:tc>
          <w:tcPr>
            <w:tcW w:w="2651" w:type="dxa"/>
            <w:vAlign w:val="center"/>
          </w:tcPr>
          <w:p>
            <w:pPr>
              <w:spacing w:line="276" w:lineRule="auto"/>
              <w:jc w:val="center"/>
              <w:rPr>
                <w:sz w:val="18"/>
                <w:szCs w:val="18"/>
              </w:rPr>
            </w:pPr>
            <w:r>
              <w:rPr>
                <w:rFonts w:hint="eastAsia"/>
                <w:sz w:val="18"/>
                <w:szCs w:val="18"/>
              </w:rPr>
              <w:t>辅导学生确定作品的总体设计方案，主要研究内容，解答软硬件设计中遇到的问题</w:t>
            </w:r>
          </w:p>
        </w:tc>
        <w:tc>
          <w:tcPr>
            <w:tcW w:w="869" w:type="dxa"/>
            <w:vAlign w:val="center"/>
          </w:tcPr>
          <w:p>
            <w:pPr>
              <w:adjustRightInd w:val="0"/>
              <w:snapToGrid w:val="0"/>
              <w:spacing w:line="300" w:lineRule="auto"/>
              <w:jc w:val="center"/>
              <w:rPr>
                <w:sz w:val="18"/>
                <w:szCs w:val="18"/>
              </w:rPr>
            </w:pPr>
            <w:r>
              <w:rPr>
                <w:rFonts w:hint="eastAsia"/>
                <w:sz w:val="18"/>
                <w:szCs w:val="18"/>
              </w:rPr>
              <w:t>6</w:t>
            </w:r>
          </w:p>
        </w:tc>
        <w:tc>
          <w:tcPr>
            <w:tcW w:w="865" w:type="dxa"/>
            <w:vAlign w:val="center"/>
          </w:tcPr>
          <w:p>
            <w:pPr>
              <w:adjustRightInd w:val="0"/>
              <w:snapToGrid w:val="0"/>
              <w:spacing w:line="300" w:lineRule="auto"/>
              <w:jc w:val="center"/>
              <w:rPr>
                <w:sz w:val="18"/>
                <w:szCs w:val="18"/>
              </w:rPr>
            </w:pPr>
            <w:r>
              <w:rPr>
                <w:rFonts w:hint="eastAsia"/>
                <w:sz w:val="18"/>
                <w:szCs w:val="18"/>
              </w:rPr>
              <w:t>4</w:t>
            </w:r>
          </w:p>
        </w:tc>
        <w:tc>
          <w:tcPr>
            <w:tcW w:w="1319" w:type="dxa"/>
            <w:vAlign w:val="center"/>
          </w:tcPr>
          <w:p>
            <w:pPr>
              <w:adjustRightInd w:val="0"/>
              <w:snapToGrid w:val="0"/>
              <w:spacing w:line="300" w:lineRule="auto"/>
              <w:jc w:val="center"/>
              <w:rPr>
                <w:sz w:val="18"/>
                <w:szCs w:val="18"/>
              </w:rPr>
            </w:pPr>
            <w:r>
              <w:rPr>
                <w:rFonts w:hint="eastAsia"/>
                <w:sz w:val="18"/>
                <w:szCs w:val="18"/>
              </w:rPr>
              <w:t>1，2，3</w:t>
            </w:r>
          </w:p>
        </w:tc>
        <w:tc>
          <w:tcPr>
            <w:tcW w:w="1283"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adjustRightInd w:val="0"/>
              <w:snapToGrid w:val="0"/>
              <w:spacing w:line="300" w:lineRule="auto"/>
              <w:jc w:val="center"/>
              <w:rPr>
                <w:sz w:val="18"/>
                <w:szCs w:val="18"/>
              </w:rPr>
            </w:pPr>
            <w:r>
              <w:rPr>
                <w:rFonts w:hint="eastAsia"/>
                <w:sz w:val="18"/>
                <w:szCs w:val="18"/>
              </w:rPr>
              <w:t>3</w:t>
            </w:r>
          </w:p>
        </w:tc>
        <w:tc>
          <w:tcPr>
            <w:tcW w:w="1716" w:type="dxa"/>
            <w:vAlign w:val="center"/>
          </w:tcPr>
          <w:p>
            <w:pPr>
              <w:adjustRightInd w:val="0"/>
              <w:snapToGrid w:val="0"/>
              <w:spacing w:line="300" w:lineRule="auto"/>
              <w:jc w:val="center"/>
              <w:rPr>
                <w:sz w:val="18"/>
                <w:szCs w:val="18"/>
              </w:rPr>
            </w:pPr>
            <w:r>
              <w:rPr>
                <w:rFonts w:hint="eastAsia"/>
                <w:sz w:val="18"/>
                <w:szCs w:val="18"/>
              </w:rPr>
              <w:t>设计作品验收及展示</w:t>
            </w:r>
          </w:p>
        </w:tc>
        <w:tc>
          <w:tcPr>
            <w:tcW w:w="2651" w:type="dxa"/>
            <w:vAlign w:val="center"/>
          </w:tcPr>
          <w:p>
            <w:pPr>
              <w:spacing w:line="276" w:lineRule="auto"/>
              <w:jc w:val="center"/>
              <w:rPr>
                <w:sz w:val="18"/>
                <w:szCs w:val="18"/>
              </w:rPr>
            </w:pPr>
            <w:r>
              <w:rPr>
                <w:rFonts w:hint="eastAsia"/>
                <w:sz w:val="18"/>
                <w:szCs w:val="18"/>
              </w:rPr>
              <w:t>作品验收，根据每组答辩和作品完成情况进行打分。</w:t>
            </w:r>
          </w:p>
        </w:tc>
        <w:tc>
          <w:tcPr>
            <w:tcW w:w="869" w:type="dxa"/>
            <w:vAlign w:val="center"/>
          </w:tcPr>
          <w:p>
            <w:pPr>
              <w:adjustRightInd w:val="0"/>
              <w:snapToGrid w:val="0"/>
              <w:spacing w:line="300" w:lineRule="auto"/>
              <w:jc w:val="center"/>
              <w:rPr>
                <w:sz w:val="18"/>
                <w:szCs w:val="18"/>
              </w:rPr>
            </w:pPr>
            <w:r>
              <w:rPr>
                <w:rFonts w:hint="eastAsia"/>
                <w:sz w:val="18"/>
                <w:szCs w:val="18"/>
              </w:rPr>
              <w:t>4</w:t>
            </w:r>
          </w:p>
        </w:tc>
        <w:tc>
          <w:tcPr>
            <w:tcW w:w="865" w:type="dxa"/>
            <w:vAlign w:val="center"/>
          </w:tcPr>
          <w:p>
            <w:pPr>
              <w:adjustRightInd w:val="0"/>
              <w:snapToGrid w:val="0"/>
              <w:spacing w:line="300" w:lineRule="auto"/>
              <w:jc w:val="center"/>
              <w:rPr>
                <w:sz w:val="18"/>
                <w:szCs w:val="18"/>
              </w:rPr>
            </w:pPr>
            <w:r>
              <w:rPr>
                <w:rFonts w:hint="eastAsia"/>
                <w:sz w:val="18"/>
                <w:szCs w:val="18"/>
              </w:rPr>
              <w:t>4</w:t>
            </w:r>
          </w:p>
        </w:tc>
        <w:tc>
          <w:tcPr>
            <w:tcW w:w="1319" w:type="dxa"/>
            <w:vAlign w:val="center"/>
          </w:tcPr>
          <w:p>
            <w:pPr>
              <w:adjustRightInd w:val="0"/>
              <w:snapToGrid w:val="0"/>
              <w:spacing w:line="300" w:lineRule="auto"/>
              <w:jc w:val="center"/>
              <w:rPr>
                <w:sz w:val="18"/>
                <w:szCs w:val="18"/>
              </w:rPr>
            </w:pPr>
            <w:r>
              <w:rPr>
                <w:rFonts w:hint="eastAsia"/>
                <w:sz w:val="18"/>
                <w:szCs w:val="18"/>
              </w:rPr>
              <w:t>1，2，3</w:t>
            </w:r>
          </w:p>
        </w:tc>
        <w:tc>
          <w:tcPr>
            <w:tcW w:w="1283"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w:t>
      </w:r>
      <w:r>
        <w:rPr>
          <w:rFonts w:hint="eastAsia"/>
        </w:rPr>
        <w:t>：考核，包括</w:t>
      </w:r>
      <w:r>
        <w:t>课程</w:t>
      </w:r>
      <w:r>
        <w:rPr>
          <w:rFonts w:hint="eastAsia"/>
        </w:rPr>
        <w:t>论文</w:t>
      </w:r>
      <w:r>
        <w:t>，平时作业，</w:t>
      </w:r>
      <w:r>
        <w:rPr>
          <w:rFonts w:hint="eastAsia"/>
        </w:rPr>
        <w:t>实训作品</w:t>
      </w:r>
      <w:r>
        <w:t>。</w:t>
      </w:r>
    </w:p>
    <w:p>
      <w:pPr>
        <w:adjustRightInd w:val="0"/>
        <w:snapToGrid w:val="0"/>
        <w:spacing w:line="300" w:lineRule="auto"/>
        <w:ind w:firstLine="420" w:firstLineChars="200"/>
      </w:pPr>
      <w:r>
        <w:t>2．成绩构成：课程</w:t>
      </w:r>
      <w:r>
        <w:rPr>
          <w:rFonts w:hint="eastAsia"/>
        </w:rPr>
        <w:t>论文</w:t>
      </w:r>
      <w:r>
        <w:t>成绩50%，平时成绩50%（考勤、平时作业、课堂表现、</w:t>
      </w:r>
      <w:r>
        <w:rPr>
          <w:rFonts w:hint="eastAsia"/>
        </w:rPr>
        <w:t>作品</w:t>
      </w:r>
      <w:r>
        <w:t>等）。</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91"/>
        <w:gridCol w:w="709"/>
        <w:gridCol w:w="672"/>
        <w:gridCol w:w="567"/>
        <w:gridCol w:w="3544"/>
        <w:gridCol w:w="10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47"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691" w:type="dxa"/>
            <w:vAlign w:val="center"/>
          </w:tcPr>
          <w:p>
            <w:pPr>
              <w:adjustRightInd w:val="0"/>
              <w:snapToGrid w:val="0"/>
              <w:spacing w:line="300" w:lineRule="auto"/>
              <w:jc w:val="center"/>
              <w:rPr>
                <w:b/>
                <w:bCs/>
                <w:sz w:val="18"/>
                <w:szCs w:val="18"/>
              </w:rPr>
            </w:pPr>
            <w:r>
              <w:rPr>
                <w:b/>
                <w:bCs/>
                <w:sz w:val="18"/>
                <w:szCs w:val="18"/>
              </w:rPr>
              <w:t>分值</w:t>
            </w:r>
          </w:p>
        </w:tc>
        <w:tc>
          <w:tcPr>
            <w:tcW w:w="709" w:type="dxa"/>
            <w:vAlign w:val="center"/>
          </w:tcPr>
          <w:p>
            <w:pPr>
              <w:adjustRightInd w:val="0"/>
              <w:snapToGrid w:val="0"/>
              <w:spacing w:line="300" w:lineRule="auto"/>
              <w:jc w:val="center"/>
              <w:rPr>
                <w:b/>
                <w:bCs/>
                <w:sz w:val="18"/>
                <w:szCs w:val="18"/>
              </w:rPr>
            </w:pPr>
            <w:r>
              <w:rPr>
                <w:b/>
                <w:bCs/>
                <w:sz w:val="18"/>
                <w:szCs w:val="18"/>
              </w:rPr>
              <w:t>权重</w:t>
            </w:r>
          </w:p>
        </w:tc>
        <w:tc>
          <w:tcPr>
            <w:tcW w:w="672" w:type="dxa"/>
            <w:vAlign w:val="center"/>
          </w:tcPr>
          <w:p>
            <w:pPr>
              <w:adjustRightInd w:val="0"/>
              <w:snapToGrid w:val="0"/>
              <w:spacing w:line="300" w:lineRule="auto"/>
              <w:jc w:val="center"/>
              <w:rPr>
                <w:b/>
                <w:bCs/>
                <w:sz w:val="18"/>
                <w:szCs w:val="18"/>
              </w:rPr>
            </w:pPr>
            <w:r>
              <w:rPr>
                <w:b/>
                <w:bCs/>
                <w:sz w:val="18"/>
                <w:szCs w:val="18"/>
              </w:rPr>
              <w:t>类别</w:t>
            </w:r>
          </w:p>
        </w:tc>
        <w:tc>
          <w:tcPr>
            <w:tcW w:w="567" w:type="dxa"/>
            <w:vAlign w:val="center"/>
          </w:tcPr>
          <w:p>
            <w:pPr>
              <w:adjustRightInd w:val="0"/>
              <w:snapToGrid w:val="0"/>
              <w:spacing w:line="300" w:lineRule="auto"/>
              <w:jc w:val="center"/>
              <w:rPr>
                <w:b/>
                <w:bCs/>
                <w:sz w:val="18"/>
                <w:szCs w:val="18"/>
              </w:rPr>
            </w:pPr>
            <w:r>
              <w:rPr>
                <w:b/>
                <w:bCs/>
                <w:sz w:val="18"/>
                <w:szCs w:val="18"/>
              </w:rPr>
              <w:t>权重</w:t>
            </w:r>
          </w:p>
        </w:tc>
        <w:tc>
          <w:tcPr>
            <w:tcW w:w="3544" w:type="dxa"/>
            <w:vAlign w:val="center"/>
          </w:tcPr>
          <w:p>
            <w:pPr>
              <w:adjustRightInd w:val="0"/>
              <w:snapToGrid w:val="0"/>
              <w:spacing w:line="300" w:lineRule="auto"/>
              <w:jc w:val="center"/>
              <w:rPr>
                <w:b/>
                <w:bCs/>
                <w:sz w:val="18"/>
                <w:szCs w:val="18"/>
              </w:rPr>
            </w:pPr>
            <w:r>
              <w:rPr>
                <w:b/>
                <w:bCs/>
                <w:sz w:val="18"/>
                <w:szCs w:val="18"/>
              </w:rPr>
              <w:t>考核/评价细则</w:t>
            </w:r>
          </w:p>
        </w:tc>
        <w:tc>
          <w:tcPr>
            <w:tcW w:w="1003" w:type="dxa"/>
            <w:vAlign w:val="center"/>
          </w:tcPr>
          <w:p>
            <w:pPr>
              <w:adjustRightInd w:val="0"/>
              <w:snapToGrid w:val="0"/>
              <w:spacing w:line="300" w:lineRule="auto"/>
              <w:jc w:val="center"/>
              <w:rPr>
                <w:b/>
                <w:bCs/>
                <w:sz w:val="18"/>
                <w:szCs w:val="18"/>
              </w:rPr>
            </w:pPr>
            <w:r>
              <w:rPr>
                <w:b/>
                <w:bCs/>
                <w:sz w:val="18"/>
                <w:szCs w:val="18"/>
              </w:rPr>
              <w:t>课程目标</w:t>
            </w:r>
          </w:p>
        </w:tc>
        <w:tc>
          <w:tcPr>
            <w:tcW w:w="1134" w:type="dxa"/>
            <w:vAlign w:val="center"/>
          </w:tcPr>
          <w:p>
            <w:pPr>
              <w:adjustRightInd w:val="0"/>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Merge w:val="restart"/>
            <w:vAlign w:val="center"/>
          </w:tcPr>
          <w:p>
            <w:pPr>
              <w:adjustRightInd w:val="0"/>
              <w:snapToGrid w:val="0"/>
              <w:spacing w:line="300" w:lineRule="auto"/>
              <w:jc w:val="left"/>
              <w:rPr>
                <w:sz w:val="18"/>
                <w:szCs w:val="18"/>
              </w:rPr>
            </w:pPr>
            <w:r>
              <w:rPr>
                <w:sz w:val="18"/>
                <w:szCs w:val="18"/>
              </w:rPr>
              <w:t>平时成绩</w:t>
            </w:r>
          </w:p>
        </w:tc>
        <w:tc>
          <w:tcPr>
            <w:tcW w:w="691" w:type="dxa"/>
            <w:vMerge w:val="restart"/>
            <w:vAlign w:val="center"/>
          </w:tcPr>
          <w:p>
            <w:pPr>
              <w:adjustRightInd w:val="0"/>
              <w:snapToGrid w:val="0"/>
              <w:spacing w:line="300" w:lineRule="auto"/>
              <w:jc w:val="center"/>
              <w:rPr>
                <w:sz w:val="18"/>
                <w:szCs w:val="18"/>
              </w:rPr>
            </w:pPr>
            <w:r>
              <w:rPr>
                <w:sz w:val="18"/>
                <w:szCs w:val="18"/>
              </w:rPr>
              <w:t>100</w:t>
            </w:r>
          </w:p>
        </w:tc>
        <w:tc>
          <w:tcPr>
            <w:tcW w:w="709" w:type="dxa"/>
            <w:vMerge w:val="restart"/>
            <w:vAlign w:val="center"/>
          </w:tcPr>
          <w:p>
            <w:pPr>
              <w:adjustRightInd w:val="0"/>
              <w:snapToGrid w:val="0"/>
              <w:spacing w:line="300" w:lineRule="auto"/>
              <w:jc w:val="center"/>
              <w:rPr>
                <w:sz w:val="18"/>
                <w:szCs w:val="18"/>
              </w:rPr>
            </w:pPr>
            <w:r>
              <w:rPr>
                <w:sz w:val="18"/>
                <w:szCs w:val="18"/>
              </w:rPr>
              <w:t>0.5</w:t>
            </w:r>
          </w:p>
        </w:tc>
        <w:tc>
          <w:tcPr>
            <w:tcW w:w="672" w:type="dxa"/>
            <w:vAlign w:val="center"/>
          </w:tcPr>
          <w:p>
            <w:pPr>
              <w:adjustRightInd w:val="0"/>
              <w:snapToGrid w:val="0"/>
              <w:spacing w:line="300" w:lineRule="auto"/>
              <w:jc w:val="center"/>
              <w:rPr>
                <w:sz w:val="18"/>
                <w:szCs w:val="18"/>
              </w:rPr>
            </w:pPr>
            <w:r>
              <w:rPr>
                <w:sz w:val="18"/>
                <w:szCs w:val="18"/>
              </w:rPr>
              <w:t>课堂表现</w:t>
            </w:r>
          </w:p>
        </w:tc>
        <w:tc>
          <w:tcPr>
            <w:tcW w:w="567" w:type="dxa"/>
            <w:vAlign w:val="center"/>
          </w:tcPr>
          <w:p>
            <w:pPr>
              <w:adjustRightInd w:val="0"/>
              <w:snapToGrid w:val="0"/>
              <w:spacing w:line="300" w:lineRule="auto"/>
              <w:jc w:val="center"/>
              <w:rPr>
                <w:sz w:val="18"/>
                <w:szCs w:val="18"/>
              </w:rPr>
            </w:pPr>
            <w:r>
              <w:rPr>
                <w:sz w:val="18"/>
                <w:szCs w:val="18"/>
              </w:rPr>
              <w:t>0.4</w:t>
            </w:r>
          </w:p>
        </w:tc>
        <w:tc>
          <w:tcPr>
            <w:tcW w:w="3544" w:type="dxa"/>
            <w:vAlign w:val="center"/>
          </w:tcPr>
          <w:p>
            <w:pPr>
              <w:adjustRightInd w:val="0"/>
              <w:snapToGrid w:val="0"/>
              <w:spacing w:line="300" w:lineRule="auto"/>
              <w:rPr>
                <w:sz w:val="18"/>
                <w:szCs w:val="18"/>
              </w:rPr>
            </w:pPr>
            <w:r>
              <w:rPr>
                <w:sz w:val="18"/>
                <w:szCs w:val="18"/>
              </w:rPr>
              <w:t>主要考核学生对</w:t>
            </w:r>
            <w:r>
              <w:rPr>
                <w:rFonts w:hint="eastAsia"/>
                <w:sz w:val="18"/>
                <w:szCs w:val="18"/>
              </w:rPr>
              <w:t>讲授</w:t>
            </w:r>
            <w:r>
              <w:rPr>
                <w:sz w:val="18"/>
                <w:szCs w:val="18"/>
              </w:rPr>
              <w:t>知识点的理解和掌握程度</w:t>
            </w:r>
            <w:r>
              <w:rPr>
                <w:rFonts w:hint="eastAsia"/>
                <w:sz w:val="18"/>
                <w:szCs w:val="18"/>
              </w:rPr>
              <w:t>，平时表现与作品验收时的表现</w:t>
            </w:r>
          </w:p>
        </w:tc>
        <w:tc>
          <w:tcPr>
            <w:tcW w:w="1003" w:type="dxa"/>
            <w:vAlign w:val="center"/>
          </w:tcPr>
          <w:p>
            <w:pPr>
              <w:adjustRightInd w:val="0"/>
              <w:snapToGrid w:val="0"/>
              <w:spacing w:line="300" w:lineRule="auto"/>
              <w:jc w:val="center"/>
              <w:rPr>
                <w:sz w:val="18"/>
                <w:szCs w:val="18"/>
              </w:rPr>
            </w:pPr>
            <w:r>
              <w:rPr>
                <w:rFonts w:hint="eastAsia"/>
                <w:sz w:val="18"/>
                <w:szCs w:val="18"/>
              </w:rPr>
              <w:t>1，2，3</w:t>
            </w:r>
          </w:p>
        </w:tc>
        <w:tc>
          <w:tcPr>
            <w:tcW w:w="1134"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47" w:type="dxa"/>
            <w:vMerge w:val="continue"/>
            <w:vAlign w:val="center"/>
          </w:tcPr>
          <w:p>
            <w:pPr>
              <w:adjustRightInd w:val="0"/>
              <w:snapToGrid w:val="0"/>
              <w:spacing w:line="300" w:lineRule="auto"/>
              <w:rPr>
                <w:sz w:val="18"/>
                <w:szCs w:val="18"/>
              </w:rPr>
            </w:pPr>
          </w:p>
        </w:tc>
        <w:tc>
          <w:tcPr>
            <w:tcW w:w="691"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rPr>
                <w:sz w:val="18"/>
                <w:szCs w:val="18"/>
              </w:rPr>
            </w:pPr>
          </w:p>
        </w:tc>
        <w:tc>
          <w:tcPr>
            <w:tcW w:w="672" w:type="dxa"/>
            <w:vAlign w:val="center"/>
          </w:tcPr>
          <w:p>
            <w:pPr>
              <w:adjustRightInd w:val="0"/>
              <w:snapToGrid w:val="0"/>
              <w:spacing w:line="300" w:lineRule="auto"/>
              <w:jc w:val="center"/>
              <w:rPr>
                <w:sz w:val="18"/>
                <w:szCs w:val="18"/>
              </w:rPr>
            </w:pPr>
            <w:r>
              <w:rPr>
                <w:rFonts w:hint="eastAsia"/>
                <w:sz w:val="18"/>
                <w:szCs w:val="18"/>
              </w:rPr>
              <w:t>出勤</w:t>
            </w:r>
          </w:p>
        </w:tc>
        <w:tc>
          <w:tcPr>
            <w:tcW w:w="567" w:type="dxa"/>
            <w:vAlign w:val="center"/>
          </w:tcPr>
          <w:p>
            <w:pPr>
              <w:adjustRightInd w:val="0"/>
              <w:snapToGrid w:val="0"/>
              <w:spacing w:line="300" w:lineRule="auto"/>
              <w:jc w:val="center"/>
              <w:rPr>
                <w:sz w:val="18"/>
                <w:szCs w:val="18"/>
              </w:rPr>
            </w:pPr>
            <w:r>
              <w:rPr>
                <w:sz w:val="18"/>
                <w:szCs w:val="18"/>
              </w:rPr>
              <w:t>0.2</w:t>
            </w:r>
          </w:p>
        </w:tc>
        <w:tc>
          <w:tcPr>
            <w:tcW w:w="3544" w:type="dxa"/>
            <w:vAlign w:val="center"/>
          </w:tcPr>
          <w:p>
            <w:pPr>
              <w:adjustRightInd w:val="0"/>
              <w:snapToGrid w:val="0"/>
              <w:spacing w:line="300" w:lineRule="auto"/>
              <w:jc w:val="left"/>
              <w:rPr>
                <w:sz w:val="18"/>
                <w:szCs w:val="18"/>
              </w:rPr>
            </w:pPr>
            <w:r>
              <w:rPr>
                <w:sz w:val="18"/>
                <w:szCs w:val="18"/>
              </w:rPr>
              <w:t>根据学生考勤</w:t>
            </w:r>
            <w:r>
              <w:rPr>
                <w:rFonts w:hint="eastAsia"/>
                <w:sz w:val="18"/>
                <w:szCs w:val="18"/>
              </w:rPr>
              <w:t>等</w:t>
            </w:r>
            <w:r>
              <w:rPr>
                <w:sz w:val="18"/>
                <w:szCs w:val="18"/>
              </w:rPr>
              <w:t>情况打分</w:t>
            </w:r>
          </w:p>
        </w:tc>
        <w:tc>
          <w:tcPr>
            <w:tcW w:w="1003" w:type="dxa"/>
            <w:vAlign w:val="center"/>
          </w:tcPr>
          <w:p>
            <w:pPr>
              <w:adjustRightInd w:val="0"/>
              <w:snapToGrid w:val="0"/>
              <w:spacing w:line="300" w:lineRule="auto"/>
              <w:jc w:val="center"/>
              <w:rPr>
                <w:sz w:val="18"/>
                <w:szCs w:val="18"/>
              </w:rPr>
            </w:pPr>
            <w:r>
              <w:rPr>
                <w:rFonts w:hint="eastAsia"/>
                <w:sz w:val="18"/>
                <w:szCs w:val="18"/>
              </w:rPr>
              <w:t>1，2，3</w:t>
            </w:r>
          </w:p>
        </w:tc>
        <w:tc>
          <w:tcPr>
            <w:tcW w:w="1134"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Merge w:val="continue"/>
            <w:vAlign w:val="center"/>
          </w:tcPr>
          <w:p>
            <w:pPr>
              <w:adjustRightInd w:val="0"/>
              <w:snapToGrid w:val="0"/>
              <w:spacing w:line="300" w:lineRule="auto"/>
              <w:rPr>
                <w:sz w:val="18"/>
                <w:szCs w:val="18"/>
              </w:rPr>
            </w:pPr>
          </w:p>
        </w:tc>
        <w:tc>
          <w:tcPr>
            <w:tcW w:w="691" w:type="dxa"/>
            <w:vMerge w:val="continue"/>
            <w:vAlign w:val="center"/>
          </w:tcPr>
          <w:p>
            <w:pPr>
              <w:adjustRightInd w:val="0"/>
              <w:snapToGrid w:val="0"/>
              <w:spacing w:line="300" w:lineRule="auto"/>
              <w:rPr>
                <w:sz w:val="18"/>
                <w:szCs w:val="18"/>
              </w:rPr>
            </w:pPr>
          </w:p>
        </w:tc>
        <w:tc>
          <w:tcPr>
            <w:tcW w:w="709" w:type="dxa"/>
            <w:vMerge w:val="continue"/>
            <w:vAlign w:val="center"/>
          </w:tcPr>
          <w:p>
            <w:pPr>
              <w:adjustRightInd w:val="0"/>
              <w:snapToGrid w:val="0"/>
              <w:spacing w:line="300" w:lineRule="auto"/>
              <w:rPr>
                <w:sz w:val="18"/>
                <w:szCs w:val="18"/>
              </w:rPr>
            </w:pPr>
          </w:p>
        </w:tc>
        <w:tc>
          <w:tcPr>
            <w:tcW w:w="672" w:type="dxa"/>
            <w:vAlign w:val="center"/>
          </w:tcPr>
          <w:p>
            <w:pPr>
              <w:adjustRightInd w:val="0"/>
              <w:snapToGrid w:val="0"/>
              <w:spacing w:line="300" w:lineRule="auto"/>
              <w:jc w:val="center"/>
              <w:rPr>
                <w:sz w:val="18"/>
                <w:szCs w:val="18"/>
              </w:rPr>
            </w:pPr>
            <w:r>
              <w:rPr>
                <w:rFonts w:hint="eastAsia"/>
                <w:sz w:val="18"/>
                <w:szCs w:val="18"/>
              </w:rPr>
              <w:t>课程设计作品</w:t>
            </w:r>
          </w:p>
        </w:tc>
        <w:tc>
          <w:tcPr>
            <w:tcW w:w="567" w:type="dxa"/>
            <w:vAlign w:val="center"/>
          </w:tcPr>
          <w:p>
            <w:pPr>
              <w:adjustRightInd w:val="0"/>
              <w:snapToGrid w:val="0"/>
              <w:spacing w:line="300" w:lineRule="auto"/>
              <w:jc w:val="center"/>
              <w:rPr>
                <w:sz w:val="18"/>
                <w:szCs w:val="18"/>
              </w:rPr>
            </w:pPr>
            <w:r>
              <w:rPr>
                <w:sz w:val="18"/>
                <w:szCs w:val="18"/>
              </w:rPr>
              <w:t>0.4</w:t>
            </w:r>
          </w:p>
        </w:tc>
        <w:tc>
          <w:tcPr>
            <w:tcW w:w="3544" w:type="dxa"/>
            <w:vAlign w:val="center"/>
          </w:tcPr>
          <w:p>
            <w:pPr>
              <w:adjustRightInd w:val="0"/>
              <w:snapToGrid w:val="0"/>
              <w:spacing w:line="300" w:lineRule="auto"/>
              <w:jc w:val="left"/>
              <w:rPr>
                <w:sz w:val="18"/>
                <w:szCs w:val="18"/>
              </w:rPr>
            </w:pPr>
            <w:r>
              <w:rPr>
                <w:sz w:val="18"/>
                <w:szCs w:val="18"/>
              </w:rPr>
              <w:t>根据</w:t>
            </w:r>
            <w:r>
              <w:rPr>
                <w:rFonts w:hint="eastAsia"/>
                <w:sz w:val="18"/>
                <w:szCs w:val="18"/>
              </w:rPr>
              <w:t>作品</w:t>
            </w:r>
            <w:r>
              <w:rPr>
                <w:sz w:val="18"/>
                <w:szCs w:val="18"/>
              </w:rPr>
              <w:t>完成质量，现场考核评分。</w:t>
            </w:r>
          </w:p>
        </w:tc>
        <w:tc>
          <w:tcPr>
            <w:tcW w:w="1003" w:type="dxa"/>
            <w:vAlign w:val="center"/>
          </w:tcPr>
          <w:p>
            <w:pPr>
              <w:adjustRightInd w:val="0"/>
              <w:snapToGrid w:val="0"/>
              <w:spacing w:line="300" w:lineRule="auto"/>
              <w:jc w:val="center"/>
              <w:rPr>
                <w:sz w:val="18"/>
                <w:szCs w:val="18"/>
              </w:rPr>
            </w:pPr>
            <w:r>
              <w:rPr>
                <w:rFonts w:hint="eastAsia"/>
                <w:sz w:val="18"/>
                <w:szCs w:val="18"/>
              </w:rPr>
              <w:t>1，2，3</w:t>
            </w:r>
          </w:p>
        </w:tc>
        <w:tc>
          <w:tcPr>
            <w:tcW w:w="1134"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47" w:type="dxa"/>
            <w:vAlign w:val="center"/>
          </w:tcPr>
          <w:p>
            <w:pPr>
              <w:adjustRightInd w:val="0"/>
              <w:snapToGrid w:val="0"/>
              <w:spacing w:line="300" w:lineRule="auto"/>
              <w:rPr>
                <w:sz w:val="18"/>
                <w:szCs w:val="18"/>
              </w:rPr>
            </w:pPr>
            <w:r>
              <w:rPr>
                <w:sz w:val="18"/>
                <w:szCs w:val="18"/>
              </w:rPr>
              <w:t>期末课程报告成绩</w:t>
            </w:r>
          </w:p>
        </w:tc>
        <w:tc>
          <w:tcPr>
            <w:tcW w:w="691" w:type="dxa"/>
            <w:vAlign w:val="center"/>
          </w:tcPr>
          <w:p>
            <w:pPr>
              <w:adjustRightInd w:val="0"/>
              <w:snapToGrid w:val="0"/>
              <w:spacing w:line="300" w:lineRule="auto"/>
              <w:rPr>
                <w:sz w:val="18"/>
                <w:szCs w:val="18"/>
              </w:rPr>
            </w:pPr>
            <w:r>
              <w:rPr>
                <w:sz w:val="18"/>
                <w:szCs w:val="18"/>
              </w:rPr>
              <w:t>五级制；算总分时转成百分制</w:t>
            </w:r>
          </w:p>
        </w:tc>
        <w:tc>
          <w:tcPr>
            <w:tcW w:w="709" w:type="dxa"/>
            <w:vAlign w:val="center"/>
          </w:tcPr>
          <w:p>
            <w:pPr>
              <w:adjustRightInd w:val="0"/>
              <w:snapToGrid w:val="0"/>
              <w:spacing w:line="300" w:lineRule="auto"/>
              <w:jc w:val="center"/>
              <w:rPr>
                <w:sz w:val="18"/>
                <w:szCs w:val="18"/>
              </w:rPr>
            </w:pPr>
            <w:r>
              <w:rPr>
                <w:sz w:val="18"/>
                <w:szCs w:val="18"/>
              </w:rPr>
              <w:t>0.5</w:t>
            </w:r>
          </w:p>
        </w:tc>
        <w:tc>
          <w:tcPr>
            <w:tcW w:w="672" w:type="dxa"/>
            <w:vAlign w:val="center"/>
          </w:tcPr>
          <w:p>
            <w:pPr>
              <w:adjustRightInd w:val="0"/>
              <w:snapToGrid w:val="0"/>
              <w:spacing w:line="300" w:lineRule="auto"/>
              <w:jc w:val="left"/>
              <w:rPr>
                <w:sz w:val="18"/>
                <w:szCs w:val="18"/>
              </w:rPr>
            </w:pPr>
            <w:r>
              <w:rPr>
                <w:sz w:val="18"/>
                <w:szCs w:val="18"/>
              </w:rPr>
              <w:t>课程</w:t>
            </w:r>
            <w:r>
              <w:rPr>
                <w:rFonts w:hint="eastAsia"/>
                <w:sz w:val="18"/>
                <w:szCs w:val="18"/>
              </w:rPr>
              <w:t>论文</w:t>
            </w:r>
          </w:p>
        </w:tc>
        <w:tc>
          <w:tcPr>
            <w:tcW w:w="567" w:type="dxa"/>
            <w:vAlign w:val="center"/>
          </w:tcPr>
          <w:p>
            <w:pPr>
              <w:adjustRightInd w:val="0"/>
              <w:snapToGrid w:val="0"/>
              <w:spacing w:line="300" w:lineRule="auto"/>
              <w:jc w:val="center"/>
              <w:rPr>
                <w:sz w:val="18"/>
                <w:szCs w:val="18"/>
              </w:rPr>
            </w:pPr>
            <w:r>
              <w:rPr>
                <w:sz w:val="18"/>
                <w:szCs w:val="18"/>
              </w:rPr>
              <w:t>1</w:t>
            </w:r>
          </w:p>
        </w:tc>
        <w:tc>
          <w:tcPr>
            <w:tcW w:w="3544" w:type="dxa"/>
            <w:vAlign w:val="center"/>
          </w:tcPr>
          <w:p>
            <w:pPr>
              <w:adjustRightInd w:val="0"/>
              <w:snapToGrid w:val="0"/>
              <w:spacing w:line="300" w:lineRule="auto"/>
              <w:rPr>
                <w:sz w:val="18"/>
                <w:szCs w:val="18"/>
              </w:rPr>
            </w:pPr>
            <w:r>
              <w:rPr>
                <w:sz w:val="18"/>
                <w:szCs w:val="18"/>
              </w:rPr>
              <w:t>(1)卷面成绩为五级制。卷面成绩转成百分制后按比例计入课程总评成绩。</w:t>
            </w:r>
          </w:p>
          <w:p>
            <w:pPr>
              <w:adjustRightInd w:val="0"/>
              <w:snapToGrid w:val="0"/>
              <w:spacing w:line="300" w:lineRule="auto"/>
              <w:rPr>
                <w:sz w:val="18"/>
                <w:szCs w:val="18"/>
              </w:rPr>
            </w:pPr>
            <w:r>
              <w:rPr>
                <w:sz w:val="18"/>
                <w:szCs w:val="18"/>
              </w:rPr>
              <w:t>(2)以小组为单位选题，设计</w:t>
            </w:r>
            <w:r>
              <w:rPr>
                <w:rFonts w:hint="eastAsia"/>
                <w:sz w:val="18"/>
                <w:szCs w:val="18"/>
              </w:rPr>
              <w:t>系统</w:t>
            </w:r>
            <w:r>
              <w:rPr>
                <w:sz w:val="18"/>
                <w:szCs w:val="18"/>
              </w:rPr>
              <w:t>并撰写报告，设计PPT，进行现场答辩，</w:t>
            </w:r>
            <w:r>
              <w:rPr>
                <w:rFonts w:hint="eastAsia"/>
                <w:sz w:val="18"/>
                <w:szCs w:val="18"/>
              </w:rPr>
              <w:t>依据答辩现场表现、报告撰写水平给出成绩</w:t>
            </w:r>
            <w:r>
              <w:rPr>
                <w:sz w:val="18"/>
                <w:szCs w:val="18"/>
              </w:rPr>
              <w:t>。</w:t>
            </w:r>
          </w:p>
        </w:tc>
        <w:tc>
          <w:tcPr>
            <w:tcW w:w="1003" w:type="dxa"/>
            <w:vAlign w:val="center"/>
          </w:tcPr>
          <w:p>
            <w:pPr>
              <w:adjustRightInd w:val="0"/>
              <w:snapToGrid w:val="0"/>
              <w:spacing w:line="300" w:lineRule="auto"/>
              <w:jc w:val="center"/>
              <w:rPr>
                <w:sz w:val="18"/>
                <w:szCs w:val="18"/>
              </w:rPr>
            </w:pPr>
            <w:r>
              <w:rPr>
                <w:rFonts w:hint="eastAsia"/>
                <w:sz w:val="18"/>
                <w:szCs w:val="18"/>
              </w:rPr>
              <w:t>1，2，3</w:t>
            </w:r>
          </w:p>
        </w:tc>
        <w:tc>
          <w:tcPr>
            <w:tcW w:w="1134" w:type="dxa"/>
            <w:vAlign w:val="center"/>
          </w:tcPr>
          <w:p>
            <w:pPr>
              <w:adjustRightInd w:val="0"/>
              <w:snapToGrid w:val="0"/>
              <w:spacing w:line="300" w:lineRule="auto"/>
              <w:jc w:val="center"/>
              <w:rPr>
                <w:sz w:val="18"/>
                <w:szCs w:val="18"/>
              </w:rPr>
            </w:pPr>
            <w:r>
              <w:rPr>
                <w:rFonts w:hint="eastAsia"/>
                <w:sz w:val="18"/>
                <w:szCs w:val="18"/>
              </w:rPr>
              <w:t>2</w:t>
            </w:r>
            <w:r>
              <w:rPr>
                <w:sz w:val="18"/>
                <w:szCs w:val="18"/>
              </w:rPr>
              <w:t>,3,4</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116" o:spt="75" type="#_x0000_t75" style="height:30.75pt;width:360pt;" o:ole="t" filled="f" o:preferrelative="t" stroked="f" coordsize="21600,21600">
            <v:path/>
            <v:fill on="f" focussize="0,0"/>
            <v:stroke on="f" joinstyle="miter"/>
            <v:imagedata r:id="rId36" o:title=""/>
            <o:lock v:ext="edit" aspectratio="t"/>
            <w10:wrap type="none"/>
            <w10:anchorlock/>
          </v:shape>
          <o:OLEObject Type="Embed" ProgID="Equation.3" ShapeID="_x0000_i1116" DrawAspect="Content" ObjectID="_1468075813" r:id="rId128">
            <o:LockedField>false</o:LockedField>
          </o:OLEObject>
        </w:object>
      </w:r>
    </w:p>
    <w:p>
      <w:pPr>
        <w:adjustRightInd w:val="0"/>
        <w:snapToGrid w:val="0"/>
        <w:spacing w:line="300" w:lineRule="auto"/>
        <w:ind w:firstLine="420" w:firstLineChars="200"/>
      </w:pPr>
      <w:r>
        <w:t>课程总目标达成情况为5个课程目标的加权得分率，其计算公式为：</w:t>
      </w:r>
    </w:p>
    <w:p>
      <w:pPr>
        <w:adjustRightInd w:val="0"/>
        <w:snapToGrid w:val="0"/>
        <w:spacing w:line="300" w:lineRule="auto"/>
        <w:jc w:val="center"/>
      </w:pPr>
      <w:r>
        <w:t xml:space="preserve"> </w:t>
      </w:r>
      <w:r>
        <w:rPr>
          <w:position w:val="-14"/>
        </w:rPr>
        <w:object>
          <v:shape id="_x0000_i1117" o:spt="75" type="#_x0000_t75" style="height:21.75pt;width:306.75pt;" o:ole="t" filled="f" o:preferrelative="t" stroked="f" coordsize="21600,21600">
            <v:path/>
            <v:fill on="f" focussize="0,0"/>
            <v:stroke on="f" joinstyle="miter"/>
            <v:imagedata r:id="rId130" o:title=""/>
            <o:lock v:ext="edit" aspectratio="t"/>
            <w10:wrap type="none"/>
            <w10:anchorlock/>
          </v:shape>
          <o:OLEObject Type="Embed" ProgID="Equation.DSMT4" ShapeID="_x0000_i1117" DrawAspect="Content" ObjectID="_1468075814" r:id="rId129">
            <o:LockedField>false</o:LockedField>
          </o:OLEObject>
        </w:object>
      </w:r>
    </w:p>
    <w:p>
      <w:pPr>
        <w:adjustRightInd w:val="0"/>
        <w:snapToGrid w:val="0"/>
        <w:spacing w:line="300" w:lineRule="auto"/>
      </w:pPr>
      <w:r>
        <w:t>其中权重系数按照表6设定。</w:t>
      </w:r>
    </w:p>
    <w:p>
      <w:pPr>
        <w:adjustRightInd w:val="0"/>
        <w:snapToGrid w:val="0"/>
        <w:spacing w:line="300" w:lineRule="auto"/>
        <w:jc w:val="center"/>
        <w:rPr>
          <w:b/>
          <w:bCs/>
          <w:sz w:val="18"/>
          <w:szCs w:val="18"/>
        </w:rPr>
      </w:pPr>
      <w:r>
        <w:rPr>
          <w:b/>
          <w:bCs/>
          <w:sz w:val="18"/>
          <w:szCs w:val="18"/>
        </w:rPr>
        <w:t>表6课程目标权重系数</w:t>
      </w:r>
    </w:p>
    <w:tbl>
      <w:tblPr>
        <w:tblStyle w:val="22"/>
        <w:tblW w:w="6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501"/>
        <w:gridCol w:w="1583"/>
        <w:gridCol w:w="1877"/>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01" w:type="dxa"/>
            <w:vAlign w:val="center"/>
          </w:tcPr>
          <w:p>
            <w:pPr>
              <w:adjustRightInd w:val="0"/>
              <w:snapToGrid w:val="0"/>
              <w:spacing w:line="300" w:lineRule="auto"/>
              <w:jc w:val="center"/>
              <w:rPr>
                <w:b/>
                <w:bCs/>
                <w:sz w:val="18"/>
                <w:szCs w:val="18"/>
              </w:rPr>
            </w:pPr>
            <w:r>
              <w:rPr>
                <w:b/>
                <w:bCs/>
                <w:sz w:val="18"/>
                <w:szCs w:val="18"/>
              </w:rPr>
              <w:t>课程目标</w:t>
            </w:r>
          </w:p>
        </w:tc>
        <w:tc>
          <w:tcPr>
            <w:tcW w:w="1583" w:type="dxa"/>
            <w:vAlign w:val="center"/>
          </w:tcPr>
          <w:p>
            <w:pPr>
              <w:adjustRightInd w:val="0"/>
              <w:snapToGrid w:val="0"/>
              <w:spacing w:line="300" w:lineRule="auto"/>
              <w:jc w:val="center"/>
              <w:rPr>
                <w:sz w:val="18"/>
                <w:szCs w:val="18"/>
              </w:rPr>
            </w:pPr>
            <w:r>
              <w:rPr>
                <w:sz w:val="18"/>
                <w:szCs w:val="18"/>
              </w:rPr>
              <w:t>1</w:t>
            </w:r>
          </w:p>
        </w:tc>
        <w:tc>
          <w:tcPr>
            <w:tcW w:w="1877" w:type="dxa"/>
            <w:vAlign w:val="center"/>
          </w:tcPr>
          <w:p>
            <w:pPr>
              <w:adjustRightInd w:val="0"/>
              <w:snapToGrid w:val="0"/>
              <w:spacing w:line="300" w:lineRule="auto"/>
              <w:jc w:val="center"/>
              <w:rPr>
                <w:sz w:val="18"/>
                <w:szCs w:val="18"/>
              </w:rPr>
            </w:pPr>
            <w:r>
              <w:rPr>
                <w:sz w:val="18"/>
                <w:szCs w:val="18"/>
              </w:rPr>
              <w:t>2</w:t>
            </w:r>
          </w:p>
        </w:tc>
        <w:tc>
          <w:tcPr>
            <w:tcW w:w="1859" w:type="dxa"/>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01" w:type="dxa"/>
            <w:vAlign w:val="center"/>
          </w:tcPr>
          <w:p>
            <w:pPr>
              <w:adjustRightInd w:val="0"/>
              <w:snapToGrid w:val="0"/>
              <w:spacing w:line="300" w:lineRule="auto"/>
              <w:jc w:val="center"/>
              <w:rPr>
                <w:b/>
                <w:bCs/>
                <w:sz w:val="18"/>
                <w:szCs w:val="18"/>
              </w:rPr>
            </w:pPr>
            <w:r>
              <w:rPr>
                <w:b/>
                <w:bCs/>
                <w:sz w:val="18"/>
                <w:szCs w:val="18"/>
              </w:rPr>
              <w:t>权重系数</w:t>
            </w:r>
          </w:p>
        </w:tc>
        <w:tc>
          <w:tcPr>
            <w:tcW w:w="1583" w:type="dxa"/>
            <w:vAlign w:val="center"/>
          </w:tcPr>
          <w:p>
            <w:pPr>
              <w:adjustRightInd w:val="0"/>
              <w:snapToGrid w:val="0"/>
              <w:spacing w:line="300" w:lineRule="auto"/>
              <w:jc w:val="center"/>
              <w:rPr>
                <w:sz w:val="18"/>
                <w:szCs w:val="18"/>
              </w:rPr>
            </w:pPr>
            <w:r>
              <w:rPr>
                <w:sz w:val="18"/>
                <w:szCs w:val="18"/>
              </w:rPr>
              <w:t>0.3</w:t>
            </w:r>
          </w:p>
        </w:tc>
        <w:tc>
          <w:tcPr>
            <w:tcW w:w="1877" w:type="dxa"/>
            <w:vAlign w:val="center"/>
          </w:tcPr>
          <w:p>
            <w:pPr>
              <w:adjustRightInd w:val="0"/>
              <w:snapToGrid w:val="0"/>
              <w:spacing w:line="300" w:lineRule="auto"/>
              <w:jc w:val="center"/>
              <w:rPr>
                <w:sz w:val="18"/>
                <w:szCs w:val="18"/>
              </w:rPr>
            </w:pPr>
            <w:r>
              <w:rPr>
                <w:sz w:val="18"/>
                <w:szCs w:val="18"/>
              </w:rPr>
              <w:t>0.4</w:t>
            </w:r>
          </w:p>
        </w:tc>
        <w:tc>
          <w:tcPr>
            <w:tcW w:w="1859" w:type="dxa"/>
            <w:vAlign w:val="center"/>
          </w:tcPr>
          <w:p>
            <w:pPr>
              <w:adjustRightInd w:val="0"/>
              <w:snapToGrid w:val="0"/>
              <w:spacing w:line="300" w:lineRule="auto"/>
              <w:jc w:val="center"/>
              <w:rPr>
                <w:sz w:val="18"/>
                <w:szCs w:val="18"/>
              </w:rPr>
            </w:pPr>
            <w:r>
              <w:rPr>
                <w:sz w:val="18"/>
                <w:szCs w:val="18"/>
              </w:rPr>
              <w:t>0.4</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118"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118" DrawAspect="Content" ObjectID="_1468075815" r:id="rId131">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b/>
          <w:sz w:val="24"/>
        </w:rPr>
      </w:pPr>
      <w:r>
        <w:rPr>
          <w:b/>
          <w:sz w:val="24"/>
        </w:rPr>
        <w:t>七、教材及参考资料</w:t>
      </w:r>
    </w:p>
    <w:p>
      <w:pPr>
        <w:adjustRightInd w:val="0"/>
        <w:snapToGrid w:val="0"/>
        <w:spacing w:line="300" w:lineRule="auto"/>
        <w:ind w:firstLine="420" w:firstLineChars="200"/>
      </w:pPr>
      <w:r>
        <w:t>1．教材</w:t>
      </w:r>
    </w:p>
    <w:p>
      <w:pPr>
        <w:adjustRightInd w:val="0"/>
        <w:snapToGrid w:val="0"/>
        <w:spacing w:line="300" w:lineRule="auto"/>
        <w:ind w:firstLine="420" w:firstLineChars="200"/>
        <w:rPr>
          <w:szCs w:val="21"/>
        </w:rPr>
      </w:pPr>
      <w:r>
        <w:rPr>
          <w:szCs w:val="21"/>
        </w:rPr>
        <w:t xml:space="preserve">[1] </w:t>
      </w:r>
      <w:r>
        <w:t>刘炳海，赵显通，董忠，从零开始学电子电路设计[M].北京：化学工业出版社，2019年5月。</w:t>
      </w:r>
    </w:p>
    <w:p>
      <w:pPr>
        <w:adjustRightInd w:val="0"/>
        <w:snapToGrid w:val="0"/>
        <w:spacing w:line="300" w:lineRule="auto"/>
        <w:ind w:firstLine="420" w:firstLineChars="200"/>
      </w:pPr>
      <w:r>
        <w:t>2．参考资料</w:t>
      </w:r>
    </w:p>
    <w:p>
      <w:pPr>
        <w:adjustRightInd w:val="0"/>
        <w:snapToGrid w:val="0"/>
        <w:spacing w:line="300" w:lineRule="auto"/>
        <w:ind w:firstLine="420" w:firstLineChars="200"/>
      </w:pPr>
      <w:r>
        <w:t>[1] 曹文. 硬件电路设计与电子工艺基础（第2版）——零基础电子技术课程设计[M]. 北京：电子工业出版社。</w:t>
      </w:r>
    </w:p>
    <w:p>
      <w:pPr>
        <w:adjustRightInd w:val="0"/>
        <w:snapToGrid w:val="0"/>
        <w:spacing w:line="300" w:lineRule="auto"/>
        <w:ind w:firstLine="420" w:firstLineChars="200"/>
        <w:rPr>
          <w:szCs w:val="21"/>
        </w:rPr>
      </w:pPr>
      <w:r>
        <w:rPr>
          <w:rFonts w:eastAsia="微软雅黑"/>
          <w:szCs w:val="21"/>
        </w:rPr>
        <w:t xml:space="preserve">[2] </w:t>
      </w:r>
      <w:r>
        <w:t>彭伟</w:t>
      </w:r>
      <w:r>
        <w:rPr>
          <w:szCs w:val="21"/>
        </w:rPr>
        <w:t>编. 单片机C语言程序设计实训100例：基于8051+Proteus仿真（第2版）</w:t>
      </w:r>
      <w:r>
        <w:t xml:space="preserve">[M]. </w:t>
      </w:r>
      <w:r>
        <w:rPr>
          <w:szCs w:val="21"/>
        </w:rPr>
        <w:t>电子工业出版社。</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tc>
      </w:tr>
    </w:tbl>
    <w:p>
      <w:pPr>
        <w:rPr>
          <w:rFonts w:ascii="Times New Roman" w:hAnsi="Times New Roman" w:cs="Times New Roman"/>
          <w:sz w:val="32"/>
          <w:szCs w:val="32"/>
        </w:rPr>
      </w:pPr>
      <w:r>
        <w:rPr>
          <w:rFonts w:hint="eastAsia" w:ascii="Times New Roman" w:hAnsi="Times New Roman" w:cs="Times New Roman"/>
          <w:sz w:val="32"/>
          <w:szCs w:val="32"/>
        </w:rPr>
        <w:br w:type="page"/>
      </w:r>
    </w:p>
    <w:p>
      <w:pPr>
        <w:pStyle w:val="5"/>
        <w:spacing w:before="260" w:after="260" w:line="413" w:lineRule="auto"/>
        <w:jc w:val="center"/>
        <w:rPr>
          <w:rFonts w:ascii="Times New Roman" w:hAnsi="Times New Roman" w:cs="Times New Roman"/>
          <w:b w:val="0"/>
          <w:sz w:val="32"/>
          <w:szCs w:val="32"/>
        </w:rPr>
      </w:pPr>
      <w:bookmarkStart w:id="155" w:name="_Toc5799"/>
      <w:r>
        <w:rPr>
          <w:rFonts w:hint="eastAsia" w:ascii="Times New Roman" w:hAnsi="Times New Roman" w:cs="Times New Roman"/>
          <w:sz w:val="32"/>
          <w:szCs w:val="32"/>
        </w:rPr>
        <w:t>33431505《工程与科研方法》课程教学大纲</w:t>
      </w:r>
      <w:bookmarkEnd w:id="15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widowControl/>
              <w:jc w:val="center"/>
              <w:rPr>
                <w:kern w:val="0"/>
                <w:szCs w:val="21"/>
              </w:rPr>
            </w:pPr>
            <w:r>
              <w:rPr>
                <w:rFonts w:hint="eastAsia"/>
                <w:szCs w:val="21"/>
              </w:rPr>
              <w:t>33431505</w:t>
            </w:r>
          </w:p>
        </w:tc>
        <w:tc>
          <w:tcPr>
            <w:tcW w:w="1198" w:type="dxa"/>
            <w:vAlign w:val="center"/>
          </w:tcPr>
          <w:p>
            <w:pPr>
              <w:jc w:val="center"/>
              <w:rPr>
                <w:kern w:val="0"/>
                <w:szCs w:val="21"/>
              </w:rPr>
            </w:pPr>
            <w:r>
              <w:rPr>
                <w:kern w:val="0"/>
                <w:szCs w:val="21"/>
              </w:rPr>
              <w:t>课程名称</w:t>
            </w:r>
          </w:p>
        </w:tc>
        <w:tc>
          <w:tcPr>
            <w:tcW w:w="2695" w:type="dxa"/>
            <w:vAlign w:val="center"/>
          </w:tcPr>
          <w:p>
            <w:pPr>
              <w:widowControl/>
              <w:jc w:val="center"/>
              <w:rPr>
                <w:kern w:val="0"/>
                <w:szCs w:val="21"/>
              </w:rPr>
            </w:pPr>
            <w:r>
              <w:rPr>
                <w:kern w:val="0"/>
                <w:szCs w:val="21"/>
              </w:rPr>
              <w:t>工程与科研</w:t>
            </w:r>
            <w:r>
              <w:rPr>
                <w:rFonts w:hint="eastAsia"/>
                <w:kern w:val="0"/>
                <w:szCs w:val="21"/>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p>
        </w:tc>
        <w:tc>
          <w:tcPr>
            <w:tcW w:w="3441" w:type="dxa"/>
            <w:vAlign w:val="center"/>
          </w:tcPr>
          <w:p>
            <w:pPr>
              <w:widowControl/>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widowControl/>
              <w:jc w:val="center"/>
              <w:rPr>
                <w:kern w:val="0"/>
                <w:szCs w:val="21"/>
              </w:rPr>
            </w:pPr>
            <w:r>
              <w:rPr>
                <w:kern w:val="0"/>
                <w:szCs w:val="21"/>
              </w:rPr>
              <w:t xml:space="preserve">Engineering and Scientific Research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widowControl/>
              <w:jc w:val="center"/>
              <w:rPr>
                <w:kern w:val="0"/>
                <w:szCs w:val="21"/>
              </w:rPr>
            </w:pPr>
            <w:r>
              <w:rPr>
                <w:kern w:val="0"/>
                <w:szCs w:val="21"/>
              </w:rPr>
              <w:t>2 : 32（12）</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widowControl/>
              <w:jc w:val="center"/>
              <w:rPr>
                <w:kern w:val="0"/>
                <w:szCs w:val="21"/>
              </w:rPr>
            </w:pPr>
            <w:r>
              <w:rPr>
                <w:kern w:val="0"/>
                <w:szCs w:val="21"/>
              </w:rPr>
              <w:t>彭银桥、邹阿金、刘雯景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彭银桥</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kern w:val="0"/>
                <w:szCs w:val="21"/>
              </w:rPr>
            </w:pPr>
            <w:r>
              <w:rPr>
                <w:kern w:val="0"/>
                <w:szCs w:val="21"/>
              </w:rPr>
              <w:t>C语言程序设计、模拟电子技术、单片机原理与应用</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 w:val="18"/>
          <w:szCs w:val="18"/>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rPr>
          <w:b/>
          <w:szCs w:val="21"/>
        </w:rPr>
      </w:pPr>
      <w:r>
        <w:rPr>
          <w:szCs w:val="21"/>
        </w:rPr>
        <w:t>《工程与科研训练》课程是一门理论和实践相结合的通识教育拓展课程，主要讲授科研项目设计的创新思路、创新方法，以及科研项目申报、实施与结题与项目管理等全过程，综合运用电子信息工程专业基础理论和专业知识，查阅资料、分析资料。利用电子信息工程开发平台和工具，按照工程项目管理过程设计开发一个较为复杂的电子信息工程项目，使学生掌握科学研究或参与工程项目的常用方法，提高学生的科学研究与工程实践能力。</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rPr>
          <w:kern w:val="0"/>
          <w:szCs w:val="21"/>
        </w:rPr>
      </w:pPr>
      <w:r>
        <w:rPr>
          <w:kern w:val="0"/>
          <w:szCs w:val="21"/>
        </w:rPr>
        <w:t>掌握科研项目设计的创新思路、创新方法，以及科研项目申报、实施与结题的全过程。掌握文献、信息、资料的检索方法，能够利用文献研究等方式客观分析和准确表达复杂工程；综合运用电子信息工程专业基础理论和专业知识，能够按照工程项目管理方法设计开发较为复杂的电子信息工程项目以及能对实验数据进行分析和处理，在设计开发中充分考虑社会、健康、安全、法律、文化以及环境等因素，了解电子信息行业相关的技术标准、知识产权、产业政策和法律法规以及电子信息工程行业新产品和新技术以及基本的工程管理知识</w:t>
      </w:r>
      <w:r>
        <w:rPr>
          <w:kern w:val="0"/>
          <w:sz w:val="24"/>
          <w:szCs w:val="21"/>
        </w:rPr>
        <w:t>。</w:t>
      </w:r>
      <w:r>
        <w:rPr>
          <w:kern w:val="0"/>
          <w:szCs w:val="21"/>
        </w:rPr>
        <w:t>讲授科学研究时，讲述我国杂交水稻之父袁隆平院士的科研历程与科学精神，培养学生的爱国与担当精神。</w:t>
      </w:r>
    </w:p>
    <w:p>
      <w:pPr>
        <w:adjustRightInd w:val="0"/>
        <w:snapToGrid w:val="0"/>
        <w:spacing w:line="300" w:lineRule="auto"/>
        <w:ind w:firstLine="420" w:firstLineChars="200"/>
        <w:rPr>
          <w:szCs w:val="21"/>
        </w:rPr>
      </w:pPr>
      <w:r>
        <w:rPr>
          <w:szCs w:val="21"/>
        </w:rPr>
        <w:t>本课程的具体教学目标如下：</w:t>
      </w:r>
    </w:p>
    <w:p>
      <w:pPr>
        <w:adjustRightInd w:val="0"/>
        <w:snapToGrid w:val="0"/>
        <w:spacing w:line="300" w:lineRule="auto"/>
        <w:ind w:firstLine="420" w:firstLineChars="200"/>
        <w:rPr>
          <w:szCs w:val="21"/>
        </w:rPr>
      </w:pPr>
      <w:r>
        <w:rPr>
          <w:szCs w:val="21"/>
        </w:rPr>
        <w:t>1．掌握文献、信息、资料的检索方法，能够利用文献研究等方式客观分析和准确表达复杂工程。[2</w:t>
      </w:r>
      <w:r>
        <w:rPr>
          <w:rFonts w:hint="eastAsia"/>
          <w:szCs w:val="21"/>
        </w:rPr>
        <w:t>.</w:t>
      </w:r>
      <w:r>
        <w:rPr>
          <w:szCs w:val="21"/>
        </w:rPr>
        <w:t>3]</w:t>
      </w:r>
    </w:p>
    <w:p>
      <w:pPr>
        <w:adjustRightInd w:val="0"/>
        <w:snapToGrid w:val="0"/>
        <w:spacing w:line="300" w:lineRule="auto"/>
        <w:ind w:firstLine="420" w:firstLineChars="200"/>
        <w:rPr>
          <w:szCs w:val="21"/>
        </w:rPr>
      </w:pPr>
      <w:r>
        <w:rPr>
          <w:szCs w:val="21"/>
        </w:rPr>
        <w:t>2．综合运用电子信息工程专业基础理论和专业知识，能够按照工程项目管理方法设计开发较为复杂的电子信息工程项目，在设计开发中充分考虑社会、健康、安全、法律、文化以及环境等因素。[3</w:t>
      </w:r>
      <w:r>
        <w:rPr>
          <w:rFonts w:hint="eastAsia"/>
          <w:szCs w:val="21"/>
        </w:rPr>
        <w:t>.</w:t>
      </w:r>
      <w:r>
        <w:rPr>
          <w:szCs w:val="21"/>
        </w:rPr>
        <w:t>3]</w:t>
      </w:r>
    </w:p>
    <w:p>
      <w:pPr>
        <w:adjustRightInd w:val="0"/>
        <w:snapToGrid w:val="0"/>
        <w:spacing w:line="300" w:lineRule="auto"/>
        <w:ind w:firstLine="420" w:firstLineChars="200"/>
        <w:rPr>
          <w:szCs w:val="21"/>
        </w:rPr>
      </w:pPr>
      <w:r>
        <w:rPr>
          <w:szCs w:val="21"/>
        </w:rPr>
        <w:t>3．综合运用电子信息工程专业基础理论和专业知识，具备对实验数据进行分析和处理的能力。[4</w:t>
      </w:r>
      <w:r>
        <w:rPr>
          <w:rFonts w:hint="eastAsia"/>
          <w:szCs w:val="21"/>
        </w:rPr>
        <w:t>.</w:t>
      </w:r>
      <w:r>
        <w:rPr>
          <w:szCs w:val="21"/>
        </w:rPr>
        <w:t>3]</w:t>
      </w:r>
    </w:p>
    <w:p>
      <w:pPr>
        <w:adjustRightInd w:val="0"/>
        <w:snapToGrid w:val="0"/>
        <w:spacing w:line="300" w:lineRule="auto"/>
        <w:ind w:firstLine="420" w:firstLineChars="200"/>
        <w:rPr>
          <w:szCs w:val="21"/>
        </w:rPr>
      </w:pPr>
      <w:r>
        <w:rPr>
          <w:szCs w:val="21"/>
        </w:rPr>
        <w:t>4．了解电子信息行业相关的技术标准、知识产权、产业政策和法律法规以及电子信息工程行业新产品和新技术。[6</w:t>
      </w:r>
      <w:r>
        <w:rPr>
          <w:rFonts w:hint="eastAsia"/>
          <w:szCs w:val="21"/>
        </w:rPr>
        <w:t>.</w:t>
      </w:r>
      <w:r>
        <w:rPr>
          <w:szCs w:val="21"/>
        </w:rPr>
        <w:t>1]</w:t>
      </w:r>
    </w:p>
    <w:p>
      <w:pPr>
        <w:adjustRightInd w:val="0"/>
        <w:snapToGrid w:val="0"/>
        <w:spacing w:line="300" w:lineRule="auto"/>
        <w:ind w:firstLine="420" w:firstLineChars="200"/>
        <w:rPr>
          <w:szCs w:val="21"/>
        </w:rPr>
      </w:pPr>
      <w:r>
        <w:rPr>
          <w:szCs w:val="21"/>
        </w:rPr>
        <w:t>5．在工程实践过程中，掌握工程管理的基本原理与方法和工程成本核算方法。[11</w:t>
      </w:r>
      <w:r>
        <w:rPr>
          <w:rFonts w:hint="eastAsia"/>
          <w:szCs w:val="21"/>
        </w:rPr>
        <w:t>.</w:t>
      </w:r>
      <w:r>
        <w:rPr>
          <w:szCs w:val="21"/>
        </w:rPr>
        <w:t>1]]</w:t>
      </w:r>
    </w:p>
    <w:p>
      <w:pPr>
        <w:adjustRightInd w:val="0"/>
        <w:snapToGrid w:val="0"/>
        <w:spacing w:line="300" w:lineRule="auto"/>
        <w:ind w:firstLine="420" w:firstLineChars="200"/>
        <w:rPr>
          <w:szCs w:val="21"/>
        </w:rPr>
      </w:pPr>
      <w:r>
        <w:rPr>
          <w:szCs w:val="21"/>
        </w:rPr>
        <w:t>6．在工程实践过程中，提高学生在电子信息领域工程管理和成本核算的应用能力。[11</w:t>
      </w:r>
      <w:r>
        <w:rPr>
          <w:rFonts w:hint="eastAsia"/>
          <w:szCs w:val="21"/>
        </w:rPr>
        <w:t>.</w:t>
      </w:r>
      <w:r>
        <w:rPr>
          <w:szCs w:val="21"/>
        </w:rPr>
        <w:t>2]</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6078"/>
        <w:gridCol w:w="679"/>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1170" w:type="dxa"/>
            <w:vAlign w:val="center"/>
          </w:tcPr>
          <w:p>
            <w:pPr>
              <w:adjustRightInd w:val="0"/>
              <w:snapToGrid w:val="0"/>
              <w:spacing w:line="300" w:lineRule="auto"/>
              <w:rPr>
                <w:b/>
                <w:bCs/>
                <w:sz w:val="18"/>
                <w:szCs w:val="18"/>
              </w:rPr>
            </w:pPr>
            <w:r>
              <w:rPr>
                <w:b/>
                <w:bCs/>
                <w:sz w:val="18"/>
                <w:szCs w:val="18"/>
              </w:rPr>
              <w:t>毕业要求</w:t>
            </w:r>
          </w:p>
        </w:tc>
        <w:tc>
          <w:tcPr>
            <w:tcW w:w="6078" w:type="dxa"/>
            <w:vAlign w:val="center"/>
          </w:tcPr>
          <w:p>
            <w:pPr>
              <w:adjustRightInd w:val="0"/>
              <w:snapToGrid w:val="0"/>
              <w:spacing w:line="300" w:lineRule="auto"/>
              <w:jc w:val="center"/>
              <w:rPr>
                <w:b/>
                <w:bCs/>
                <w:sz w:val="18"/>
                <w:szCs w:val="18"/>
              </w:rPr>
            </w:pPr>
            <w:r>
              <w:rPr>
                <w:b/>
                <w:bCs/>
                <w:sz w:val="18"/>
                <w:szCs w:val="18"/>
              </w:rPr>
              <w:t>毕业要求指标点</w:t>
            </w:r>
          </w:p>
        </w:tc>
        <w:tc>
          <w:tcPr>
            <w:tcW w:w="679" w:type="dxa"/>
            <w:vAlign w:val="center"/>
          </w:tcPr>
          <w:p>
            <w:pPr>
              <w:adjustRightInd w:val="0"/>
              <w:snapToGrid w:val="0"/>
              <w:spacing w:line="300" w:lineRule="auto"/>
              <w:jc w:val="left"/>
              <w:rPr>
                <w:b/>
                <w:bCs/>
                <w:sz w:val="18"/>
                <w:szCs w:val="18"/>
              </w:rPr>
            </w:pPr>
            <w:r>
              <w:rPr>
                <w:b/>
                <w:bCs/>
                <w:sz w:val="18"/>
                <w:szCs w:val="18"/>
              </w:rPr>
              <w:t>课程目标</w:t>
            </w:r>
          </w:p>
        </w:tc>
        <w:tc>
          <w:tcPr>
            <w:tcW w:w="646" w:type="dxa"/>
            <w:vAlign w:val="center"/>
          </w:tcPr>
          <w:p>
            <w:pPr>
              <w:adjustRightInd w:val="0"/>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70" w:type="dxa"/>
            <w:vAlign w:val="center"/>
          </w:tcPr>
          <w:p>
            <w:pPr>
              <w:adjustRightInd w:val="0"/>
              <w:snapToGrid w:val="0"/>
              <w:spacing w:line="300" w:lineRule="auto"/>
              <w:rPr>
                <w:sz w:val="18"/>
                <w:szCs w:val="18"/>
              </w:rPr>
            </w:pPr>
            <w:r>
              <w:rPr>
                <w:sz w:val="18"/>
                <w:szCs w:val="18"/>
              </w:rPr>
              <w:t>2．问题分析</w:t>
            </w:r>
          </w:p>
        </w:tc>
        <w:tc>
          <w:tcPr>
            <w:tcW w:w="6078" w:type="dxa"/>
            <w:vAlign w:val="center"/>
          </w:tcPr>
          <w:p>
            <w:pPr>
              <w:adjustRightInd w:val="0"/>
              <w:snapToGrid w:val="0"/>
              <w:spacing w:line="300" w:lineRule="auto"/>
              <w:rPr>
                <w:sz w:val="18"/>
                <w:szCs w:val="18"/>
              </w:rPr>
            </w:pPr>
            <w:r>
              <w:rPr>
                <w:sz w:val="18"/>
                <w:szCs w:val="18"/>
              </w:rPr>
              <w:t>2</w:t>
            </w:r>
            <w:r>
              <w:rPr>
                <w:rFonts w:hint="eastAsia"/>
                <w:sz w:val="18"/>
                <w:szCs w:val="18"/>
              </w:rPr>
              <w:t>.</w:t>
            </w:r>
            <w:r>
              <w:rPr>
                <w:sz w:val="18"/>
                <w:szCs w:val="18"/>
              </w:rPr>
              <w:t>3通晓文献、信息、资料的分类和一般检索方法，具备借助文献研究等方式客观分析和准确表达复杂工程问题，以获得有效结论的能力。</w:t>
            </w:r>
          </w:p>
        </w:tc>
        <w:tc>
          <w:tcPr>
            <w:tcW w:w="679" w:type="dxa"/>
            <w:vAlign w:val="center"/>
          </w:tcPr>
          <w:p>
            <w:pPr>
              <w:adjustRightInd w:val="0"/>
              <w:snapToGrid w:val="0"/>
              <w:spacing w:line="300" w:lineRule="auto"/>
              <w:jc w:val="center"/>
              <w:rPr>
                <w:sz w:val="18"/>
                <w:szCs w:val="18"/>
              </w:rPr>
            </w:pPr>
            <w:r>
              <w:rPr>
                <w:sz w:val="18"/>
                <w:szCs w:val="18"/>
              </w:rPr>
              <w:t>1</w:t>
            </w:r>
          </w:p>
        </w:tc>
        <w:tc>
          <w:tcPr>
            <w:tcW w:w="646" w:type="dxa"/>
            <w:vAlign w:val="center"/>
          </w:tcPr>
          <w:p>
            <w:pPr>
              <w:adjustRightInd w:val="0"/>
              <w:snapToGrid w:val="0"/>
              <w:spacing w:line="300" w:lineRule="auto"/>
              <w:jc w:val="center"/>
              <w:rPr>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70" w:type="dxa"/>
            <w:vAlign w:val="center"/>
          </w:tcPr>
          <w:p>
            <w:pPr>
              <w:adjustRightInd w:val="0"/>
              <w:snapToGrid w:val="0"/>
              <w:spacing w:line="300" w:lineRule="auto"/>
              <w:rPr>
                <w:sz w:val="18"/>
                <w:szCs w:val="18"/>
              </w:rPr>
            </w:pPr>
            <w:r>
              <w:rPr>
                <w:sz w:val="18"/>
                <w:szCs w:val="18"/>
              </w:rPr>
              <w:t>3. 设计/开发解决方案</w:t>
            </w:r>
          </w:p>
        </w:tc>
        <w:tc>
          <w:tcPr>
            <w:tcW w:w="6078" w:type="dxa"/>
            <w:vAlign w:val="center"/>
          </w:tcPr>
          <w:p>
            <w:pPr>
              <w:adjustRightInd w:val="0"/>
              <w:snapToGrid w:val="0"/>
              <w:spacing w:line="300" w:lineRule="auto"/>
              <w:rPr>
                <w:sz w:val="18"/>
                <w:szCs w:val="18"/>
              </w:rPr>
            </w:pPr>
            <w:r>
              <w:rPr>
                <w:sz w:val="18"/>
                <w:szCs w:val="18"/>
              </w:rPr>
              <w:t>3</w:t>
            </w:r>
            <w:r>
              <w:rPr>
                <w:rFonts w:hint="eastAsia"/>
                <w:sz w:val="18"/>
                <w:szCs w:val="18"/>
              </w:rPr>
              <w:t>.</w:t>
            </w:r>
            <w:r>
              <w:rPr>
                <w:sz w:val="18"/>
                <w:szCs w:val="18"/>
              </w:rPr>
              <w:t>3设计中充分考虑社会、健康、安全、法律、文化以及环境等因素。</w:t>
            </w:r>
          </w:p>
        </w:tc>
        <w:tc>
          <w:tcPr>
            <w:tcW w:w="679" w:type="dxa"/>
            <w:vAlign w:val="center"/>
          </w:tcPr>
          <w:p>
            <w:pPr>
              <w:adjustRightInd w:val="0"/>
              <w:snapToGrid w:val="0"/>
              <w:spacing w:line="300" w:lineRule="auto"/>
              <w:jc w:val="center"/>
              <w:rPr>
                <w:sz w:val="18"/>
                <w:szCs w:val="18"/>
              </w:rPr>
            </w:pPr>
            <w:r>
              <w:rPr>
                <w:sz w:val="18"/>
                <w:szCs w:val="18"/>
              </w:rPr>
              <w:t>2</w:t>
            </w:r>
          </w:p>
        </w:tc>
        <w:tc>
          <w:tcPr>
            <w:tcW w:w="646" w:type="dxa"/>
            <w:vAlign w:val="center"/>
          </w:tcPr>
          <w:p>
            <w:pPr>
              <w:adjustRightInd w:val="0"/>
              <w:snapToGrid w:val="0"/>
              <w:spacing w:line="300" w:lineRule="auto"/>
              <w:jc w:val="center"/>
              <w:rPr>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70" w:type="dxa"/>
            <w:vAlign w:val="center"/>
          </w:tcPr>
          <w:p>
            <w:pPr>
              <w:adjustRightInd w:val="0"/>
              <w:snapToGrid w:val="0"/>
              <w:spacing w:line="300" w:lineRule="auto"/>
              <w:rPr>
                <w:sz w:val="18"/>
                <w:szCs w:val="18"/>
              </w:rPr>
            </w:pPr>
            <w:r>
              <w:rPr>
                <w:sz w:val="18"/>
                <w:szCs w:val="18"/>
              </w:rPr>
              <w:t>4．研究</w:t>
            </w:r>
          </w:p>
        </w:tc>
        <w:tc>
          <w:tcPr>
            <w:tcW w:w="6078" w:type="dxa"/>
            <w:vAlign w:val="center"/>
          </w:tcPr>
          <w:p>
            <w:pPr>
              <w:adjustRightInd w:val="0"/>
              <w:snapToGrid w:val="0"/>
              <w:spacing w:line="300" w:lineRule="auto"/>
              <w:rPr>
                <w:sz w:val="18"/>
                <w:szCs w:val="18"/>
              </w:rPr>
            </w:pPr>
            <w:r>
              <w:rPr>
                <w:sz w:val="18"/>
                <w:szCs w:val="18"/>
              </w:rPr>
              <w:t>4</w:t>
            </w:r>
            <w:r>
              <w:rPr>
                <w:rFonts w:hint="eastAsia"/>
                <w:sz w:val="18"/>
                <w:szCs w:val="18"/>
              </w:rPr>
              <w:t>.</w:t>
            </w:r>
            <w:r>
              <w:rPr>
                <w:sz w:val="18"/>
                <w:szCs w:val="18"/>
              </w:rPr>
              <w:t>3具有对实验数据进行分析、解释，并通过信息综合得到合理有效的结论的研究能力。</w:t>
            </w:r>
          </w:p>
        </w:tc>
        <w:tc>
          <w:tcPr>
            <w:tcW w:w="679" w:type="dxa"/>
            <w:vAlign w:val="center"/>
          </w:tcPr>
          <w:p>
            <w:pPr>
              <w:adjustRightInd w:val="0"/>
              <w:snapToGrid w:val="0"/>
              <w:spacing w:line="300" w:lineRule="auto"/>
              <w:jc w:val="center"/>
              <w:rPr>
                <w:sz w:val="18"/>
                <w:szCs w:val="18"/>
              </w:rPr>
            </w:pPr>
            <w:r>
              <w:rPr>
                <w:sz w:val="18"/>
                <w:szCs w:val="18"/>
              </w:rPr>
              <w:t>3</w:t>
            </w:r>
          </w:p>
        </w:tc>
        <w:tc>
          <w:tcPr>
            <w:tcW w:w="646" w:type="dxa"/>
            <w:vAlign w:val="center"/>
          </w:tcPr>
          <w:p>
            <w:pPr>
              <w:adjustRightInd w:val="0"/>
              <w:snapToGrid w:val="0"/>
              <w:spacing w:line="300" w:lineRule="auto"/>
              <w:jc w:val="center"/>
              <w:rPr>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170" w:type="dxa"/>
            <w:vAlign w:val="center"/>
          </w:tcPr>
          <w:p>
            <w:pPr>
              <w:adjustRightInd w:val="0"/>
              <w:snapToGrid w:val="0"/>
              <w:spacing w:line="300" w:lineRule="auto"/>
              <w:rPr>
                <w:sz w:val="18"/>
                <w:szCs w:val="18"/>
              </w:rPr>
            </w:pPr>
            <w:r>
              <w:rPr>
                <w:sz w:val="18"/>
                <w:szCs w:val="18"/>
              </w:rPr>
              <w:t>6．工程与社会</w:t>
            </w:r>
          </w:p>
        </w:tc>
        <w:tc>
          <w:tcPr>
            <w:tcW w:w="6078" w:type="dxa"/>
            <w:vAlign w:val="center"/>
          </w:tcPr>
          <w:p>
            <w:pPr>
              <w:adjustRightInd w:val="0"/>
              <w:snapToGrid w:val="0"/>
              <w:spacing w:line="300" w:lineRule="auto"/>
              <w:rPr>
                <w:sz w:val="18"/>
                <w:szCs w:val="18"/>
              </w:rPr>
            </w:pPr>
            <w:r>
              <w:rPr>
                <w:sz w:val="18"/>
                <w:szCs w:val="18"/>
              </w:rPr>
              <w:t>6</w:t>
            </w:r>
            <w:r>
              <w:rPr>
                <w:rFonts w:hint="eastAsia"/>
                <w:sz w:val="18"/>
                <w:szCs w:val="18"/>
              </w:rPr>
              <w:t>.</w:t>
            </w:r>
            <w:r>
              <w:rPr>
                <w:sz w:val="18"/>
                <w:szCs w:val="18"/>
              </w:rPr>
              <w:t>1具有工程实践经历，了解电子信息行业相关的技术标准、知识产权、产业政策和法律法规，了解工程实践和电子信息行业新产品、新技术的开发和应用与社会、健康、安全、法律以及文化的关系。</w:t>
            </w:r>
          </w:p>
        </w:tc>
        <w:tc>
          <w:tcPr>
            <w:tcW w:w="679" w:type="dxa"/>
            <w:vAlign w:val="center"/>
          </w:tcPr>
          <w:p>
            <w:pPr>
              <w:adjustRightInd w:val="0"/>
              <w:snapToGrid w:val="0"/>
              <w:spacing w:line="300" w:lineRule="auto"/>
              <w:jc w:val="center"/>
              <w:rPr>
                <w:sz w:val="18"/>
                <w:szCs w:val="18"/>
              </w:rPr>
            </w:pPr>
            <w:r>
              <w:rPr>
                <w:sz w:val="18"/>
                <w:szCs w:val="18"/>
              </w:rPr>
              <w:t>4</w:t>
            </w:r>
          </w:p>
        </w:tc>
        <w:tc>
          <w:tcPr>
            <w:tcW w:w="646" w:type="dxa"/>
            <w:vAlign w:val="center"/>
          </w:tcPr>
          <w:p>
            <w:pPr>
              <w:adjustRightInd w:val="0"/>
              <w:snapToGrid w:val="0"/>
              <w:spacing w:line="300" w:lineRule="auto"/>
              <w:jc w:val="center"/>
              <w:rPr>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70" w:type="dxa"/>
            <w:vMerge w:val="restart"/>
            <w:vAlign w:val="center"/>
          </w:tcPr>
          <w:p>
            <w:pPr>
              <w:adjustRightInd w:val="0"/>
              <w:snapToGrid w:val="0"/>
              <w:spacing w:line="300" w:lineRule="auto"/>
              <w:rPr>
                <w:sz w:val="18"/>
                <w:szCs w:val="18"/>
              </w:rPr>
            </w:pPr>
            <w:r>
              <w:rPr>
                <w:sz w:val="18"/>
                <w:szCs w:val="18"/>
              </w:rPr>
              <w:t>11．项目管理</w:t>
            </w:r>
          </w:p>
        </w:tc>
        <w:tc>
          <w:tcPr>
            <w:tcW w:w="6078" w:type="dxa"/>
            <w:vAlign w:val="center"/>
          </w:tcPr>
          <w:p>
            <w:pPr>
              <w:adjustRightInd w:val="0"/>
              <w:snapToGrid w:val="0"/>
              <w:spacing w:line="300" w:lineRule="auto"/>
              <w:rPr>
                <w:sz w:val="18"/>
                <w:szCs w:val="18"/>
              </w:rPr>
            </w:pPr>
            <w:r>
              <w:rPr>
                <w:sz w:val="18"/>
                <w:szCs w:val="18"/>
              </w:rPr>
              <w:t>11</w:t>
            </w:r>
            <w:r>
              <w:rPr>
                <w:rFonts w:hint="eastAsia"/>
                <w:sz w:val="18"/>
                <w:szCs w:val="18"/>
              </w:rPr>
              <w:t>.</w:t>
            </w:r>
            <w:r>
              <w:rPr>
                <w:sz w:val="18"/>
                <w:szCs w:val="18"/>
              </w:rPr>
              <w:t>1理解工程实践中工程管理的基本原理与经济决策方法。</w:t>
            </w:r>
          </w:p>
        </w:tc>
        <w:tc>
          <w:tcPr>
            <w:tcW w:w="679" w:type="dxa"/>
            <w:vAlign w:val="center"/>
          </w:tcPr>
          <w:p>
            <w:pPr>
              <w:adjustRightInd w:val="0"/>
              <w:snapToGrid w:val="0"/>
              <w:spacing w:line="300" w:lineRule="auto"/>
              <w:jc w:val="center"/>
              <w:rPr>
                <w:sz w:val="18"/>
                <w:szCs w:val="18"/>
              </w:rPr>
            </w:pPr>
            <w:r>
              <w:rPr>
                <w:sz w:val="18"/>
                <w:szCs w:val="18"/>
              </w:rPr>
              <w:t>5</w:t>
            </w:r>
          </w:p>
        </w:tc>
        <w:tc>
          <w:tcPr>
            <w:tcW w:w="646" w:type="dxa"/>
            <w:vAlign w:val="center"/>
          </w:tcPr>
          <w:p>
            <w:pPr>
              <w:adjustRightInd w:val="0"/>
              <w:snapToGrid w:val="0"/>
              <w:spacing w:line="30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170" w:type="dxa"/>
            <w:vMerge w:val="continue"/>
            <w:vAlign w:val="center"/>
          </w:tcPr>
          <w:p>
            <w:pPr>
              <w:adjustRightInd w:val="0"/>
              <w:snapToGrid w:val="0"/>
              <w:spacing w:line="300" w:lineRule="auto"/>
              <w:rPr>
                <w:sz w:val="18"/>
                <w:szCs w:val="18"/>
              </w:rPr>
            </w:pPr>
          </w:p>
        </w:tc>
        <w:tc>
          <w:tcPr>
            <w:tcW w:w="6078" w:type="dxa"/>
            <w:vAlign w:val="center"/>
          </w:tcPr>
          <w:p>
            <w:pPr>
              <w:adjustRightInd w:val="0"/>
              <w:snapToGrid w:val="0"/>
              <w:spacing w:line="300" w:lineRule="auto"/>
              <w:rPr>
                <w:sz w:val="18"/>
                <w:szCs w:val="18"/>
              </w:rPr>
            </w:pPr>
            <w:r>
              <w:rPr>
                <w:sz w:val="18"/>
                <w:szCs w:val="18"/>
              </w:rPr>
              <w:t>11</w:t>
            </w:r>
            <w:r>
              <w:rPr>
                <w:rFonts w:hint="eastAsia"/>
                <w:sz w:val="18"/>
                <w:szCs w:val="18"/>
              </w:rPr>
              <w:t>.</w:t>
            </w:r>
            <w:r>
              <w:rPr>
                <w:sz w:val="18"/>
                <w:szCs w:val="18"/>
              </w:rPr>
              <w:t>2能够在多学科环境中应用工程管理原理与经济决策方法。</w:t>
            </w:r>
          </w:p>
        </w:tc>
        <w:tc>
          <w:tcPr>
            <w:tcW w:w="679" w:type="dxa"/>
            <w:vAlign w:val="center"/>
          </w:tcPr>
          <w:p>
            <w:pPr>
              <w:adjustRightInd w:val="0"/>
              <w:snapToGrid w:val="0"/>
              <w:spacing w:line="300" w:lineRule="auto"/>
              <w:jc w:val="center"/>
              <w:rPr>
                <w:sz w:val="18"/>
                <w:szCs w:val="18"/>
              </w:rPr>
            </w:pPr>
            <w:r>
              <w:rPr>
                <w:sz w:val="18"/>
                <w:szCs w:val="18"/>
              </w:rPr>
              <w:t>6</w:t>
            </w:r>
          </w:p>
        </w:tc>
        <w:tc>
          <w:tcPr>
            <w:tcW w:w="646" w:type="dxa"/>
            <w:vAlign w:val="center"/>
          </w:tcPr>
          <w:p>
            <w:pPr>
              <w:adjustRightInd w:val="0"/>
              <w:snapToGrid w:val="0"/>
              <w:spacing w:line="300" w:lineRule="auto"/>
              <w:jc w:val="center"/>
              <w:rPr>
                <w:sz w:val="18"/>
                <w:szCs w:val="18"/>
              </w:rPr>
            </w:pPr>
            <w:r>
              <w:rPr>
                <w:sz w:val="18"/>
                <w:szCs w:val="18"/>
              </w:rPr>
              <w:t>0.18</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424"/>
        <w:gridCol w:w="2359"/>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1" w:hRule="atLeast"/>
          <w:tblHeader/>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达成途径</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4"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sz w:val="18"/>
                <w:szCs w:val="18"/>
              </w:rPr>
              <w:t>掌握文献、信息、资料的检索方法，能够利用文献研究等方式客观分析和准确表达复杂工程。</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通过课堂讲授与实验、作业等达成。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课堂表现、实验、作业与报告。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79"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w:t>
            </w:r>
            <w:r>
              <w:rPr>
                <w:sz w:val="18"/>
                <w:szCs w:val="18"/>
              </w:rPr>
              <w:t>综合运用电子信息工程专业基础理论和专业知识，能够按照工程项目管理方法设计开发较为复杂的电子信息工程项目，在设计开发中充分考虑社会、健康、安全、法律、文化以及环境等因素。</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通过课堂讲授与实验、作业等达成。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课堂表现、实验、作业与报告。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7"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w:t>
            </w:r>
            <w:r>
              <w:rPr>
                <w:sz w:val="18"/>
                <w:szCs w:val="18"/>
              </w:rPr>
              <w:t>综合运用电子信息工程专业基础理论和专业知识，具备对实验数据进行分析和处理的能力。</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通过课堂讲授与实验、作业等达成。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课堂表现、实验、作业与报告。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86"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4．</w:t>
            </w:r>
            <w:r>
              <w:rPr>
                <w:sz w:val="18"/>
                <w:szCs w:val="18"/>
              </w:rPr>
              <w:t>了解电子信息行业相关的技术标准、知识产权、产业政策和法律法规以及电子信息工程行业新产品和新技术。</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86"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5．</w:t>
            </w:r>
            <w:r>
              <w:rPr>
                <w:sz w:val="18"/>
                <w:szCs w:val="18"/>
              </w:rPr>
              <w:t>在工程实践过程中，掌握工程管理的基本原理与方法和工程成本核算方法。</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96" w:hRule="atLeast"/>
          <w:jc w:val="center"/>
        </w:trPr>
        <w:tc>
          <w:tcPr>
            <w:tcW w:w="4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6．</w:t>
            </w:r>
            <w:r>
              <w:rPr>
                <w:sz w:val="18"/>
                <w:szCs w:val="18"/>
              </w:rPr>
              <w:t>在工程实践过程中，提高学生在电子信息领域工程管理和成本核算的应用能力。</w:t>
            </w:r>
          </w:p>
        </w:tc>
        <w:tc>
          <w:tcPr>
            <w:tcW w:w="23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课堂表现、实验与报告。</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w:t>
      </w:r>
      <w:r>
        <w:t>课堂讲授为主，网络多媒体教学为辅，注重工程案例教学</w:t>
      </w:r>
      <w:r>
        <w:rPr>
          <w:szCs w:val="21"/>
        </w:rPr>
        <w:t>。</w:t>
      </w:r>
    </w:p>
    <w:p>
      <w:pPr>
        <w:adjustRightInd w:val="0"/>
        <w:snapToGrid w:val="0"/>
        <w:spacing w:line="300" w:lineRule="auto"/>
        <w:ind w:firstLine="420" w:firstLineChars="200"/>
        <w:rPr>
          <w:szCs w:val="21"/>
        </w:rPr>
      </w:pPr>
      <w:r>
        <w:rPr>
          <w:szCs w:val="21"/>
        </w:rPr>
        <w:t>2．根据课程特点采用启发式教学、任务驱动教学、案例教学法进行教学方法创新。</w:t>
      </w:r>
    </w:p>
    <w:p>
      <w:pPr>
        <w:adjustRightInd w:val="0"/>
        <w:snapToGrid w:val="0"/>
        <w:spacing w:line="300" w:lineRule="auto"/>
        <w:ind w:firstLine="420" w:firstLineChars="200"/>
        <w:rPr>
          <w:szCs w:val="21"/>
        </w:rPr>
      </w:pPr>
      <w:r>
        <w:rPr>
          <w:szCs w:val="21"/>
        </w:rPr>
        <w:t>3．</w:t>
      </w:r>
      <w:r>
        <w:t>采用项目为载体、任务驱动的教学模式，以专业岗位能力为培养目标，选择项目构建合适的学习载体，项目源于复杂电子信息工程问题，教学目标定位为阶段性单项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2328"/>
        <w:gridCol w:w="4038"/>
        <w:gridCol w:w="739"/>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92"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2328" w:type="dxa"/>
            <w:vAlign w:val="center"/>
          </w:tcPr>
          <w:p>
            <w:pPr>
              <w:adjustRightInd w:val="0"/>
              <w:snapToGrid w:val="0"/>
              <w:spacing w:line="300" w:lineRule="auto"/>
              <w:ind w:firstLine="361" w:firstLineChars="200"/>
              <w:rPr>
                <w:b/>
                <w:bCs/>
                <w:sz w:val="18"/>
                <w:szCs w:val="18"/>
              </w:rPr>
            </w:pPr>
            <w:r>
              <w:rPr>
                <w:b/>
                <w:bCs/>
                <w:sz w:val="18"/>
                <w:szCs w:val="18"/>
              </w:rPr>
              <w:t>教学内容</w:t>
            </w:r>
          </w:p>
        </w:tc>
        <w:tc>
          <w:tcPr>
            <w:tcW w:w="4038" w:type="dxa"/>
            <w:vAlign w:val="center"/>
          </w:tcPr>
          <w:p>
            <w:pPr>
              <w:adjustRightInd w:val="0"/>
              <w:snapToGrid w:val="0"/>
              <w:spacing w:line="300" w:lineRule="auto"/>
              <w:ind w:firstLine="361" w:firstLineChars="200"/>
              <w:jc w:val="center"/>
              <w:rPr>
                <w:b/>
                <w:bCs/>
                <w:sz w:val="18"/>
                <w:szCs w:val="18"/>
              </w:rPr>
            </w:pPr>
            <w:r>
              <w:rPr>
                <w:b/>
                <w:bCs/>
                <w:sz w:val="18"/>
                <w:szCs w:val="18"/>
              </w:rPr>
              <w:t>教与学的要求</w:t>
            </w:r>
          </w:p>
        </w:tc>
        <w:tc>
          <w:tcPr>
            <w:tcW w:w="739" w:type="dxa"/>
            <w:vAlign w:val="center"/>
          </w:tcPr>
          <w:p>
            <w:pPr>
              <w:adjustRightInd w:val="0"/>
              <w:snapToGrid w:val="0"/>
              <w:spacing w:line="300" w:lineRule="auto"/>
              <w:jc w:val="center"/>
              <w:rPr>
                <w:b/>
                <w:bCs/>
                <w:sz w:val="18"/>
                <w:szCs w:val="18"/>
              </w:rPr>
            </w:pPr>
            <w:r>
              <w:rPr>
                <w:b/>
                <w:bCs/>
                <w:sz w:val="18"/>
                <w:szCs w:val="18"/>
              </w:rPr>
              <w:t>学时</w:t>
            </w:r>
          </w:p>
        </w:tc>
        <w:tc>
          <w:tcPr>
            <w:tcW w:w="1036" w:type="dxa"/>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dxa"/>
            <w:tcMar>
              <w:left w:w="57" w:type="dxa"/>
              <w:right w:w="57" w:type="dxa"/>
            </w:tcMar>
            <w:vAlign w:val="center"/>
          </w:tcPr>
          <w:p>
            <w:pPr>
              <w:adjustRightInd w:val="0"/>
              <w:snapToGrid w:val="0"/>
              <w:spacing w:line="300" w:lineRule="auto"/>
              <w:jc w:val="center"/>
              <w:rPr>
                <w:sz w:val="18"/>
                <w:szCs w:val="18"/>
              </w:rPr>
            </w:pPr>
            <w:r>
              <w:rPr>
                <w:kern w:val="0"/>
                <w:sz w:val="18"/>
                <w:szCs w:val="18"/>
              </w:rPr>
              <w:t>1</w:t>
            </w:r>
          </w:p>
        </w:tc>
        <w:tc>
          <w:tcPr>
            <w:tcW w:w="2328" w:type="dxa"/>
            <w:vAlign w:val="center"/>
          </w:tcPr>
          <w:p>
            <w:pPr>
              <w:adjustRightInd w:val="0"/>
              <w:snapToGrid w:val="0"/>
              <w:spacing w:line="300" w:lineRule="auto"/>
              <w:rPr>
                <w:kern w:val="0"/>
                <w:sz w:val="18"/>
                <w:szCs w:val="18"/>
              </w:rPr>
            </w:pPr>
            <w:r>
              <w:rPr>
                <w:kern w:val="0"/>
                <w:sz w:val="18"/>
                <w:szCs w:val="18"/>
              </w:rPr>
              <w:t>1 科研或工程方法训练</w:t>
            </w:r>
          </w:p>
          <w:p>
            <w:pPr>
              <w:adjustRightInd w:val="0"/>
              <w:snapToGrid w:val="0"/>
              <w:spacing w:line="300" w:lineRule="auto"/>
              <w:rPr>
                <w:kern w:val="0"/>
                <w:sz w:val="18"/>
                <w:szCs w:val="18"/>
              </w:rPr>
            </w:pPr>
            <w:r>
              <w:rPr>
                <w:kern w:val="0"/>
                <w:sz w:val="18"/>
                <w:szCs w:val="18"/>
              </w:rPr>
              <w:t>1.1科学研究。</w:t>
            </w:r>
          </w:p>
          <w:p>
            <w:pPr>
              <w:adjustRightInd w:val="0"/>
              <w:snapToGrid w:val="0"/>
              <w:spacing w:line="300" w:lineRule="auto"/>
              <w:rPr>
                <w:kern w:val="0"/>
                <w:sz w:val="18"/>
                <w:szCs w:val="18"/>
              </w:rPr>
            </w:pPr>
            <w:r>
              <w:rPr>
                <w:kern w:val="0"/>
                <w:sz w:val="18"/>
                <w:szCs w:val="18"/>
              </w:rPr>
              <w:t>1.2科技与工程设计创新思路。</w:t>
            </w:r>
          </w:p>
          <w:p>
            <w:pPr>
              <w:adjustRightInd w:val="0"/>
              <w:snapToGrid w:val="0"/>
              <w:spacing w:line="300" w:lineRule="auto"/>
              <w:rPr>
                <w:kern w:val="0"/>
                <w:sz w:val="18"/>
                <w:szCs w:val="18"/>
              </w:rPr>
            </w:pPr>
            <w:r>
              <w:rPr>
                <w:kern w:val="0"/>
                <w:sz w:val="18"/>
                <w:szCs w:val="18"/>
              </w:rPr>
              <w:t>1.3电子信息工程创新设计方法。</w:t>
            </w:r>
          </w:p>
          <w:p>
            <w:pPr>
              <w:adjustRightInd w:val="0"/>
              <w:snapToGrid w:val="0"/>
              <w:spacing w:line="300" w:lineRule="auto"/>
              <w:rPr>
                <w:kern w:val="0"/>
                <w:sz w:val="18"/>
                <w:szCs w:val="18"/>
              </w:rPr>
            </w:pPr>
            <w:r>
              <w:rPr>
                <w:kern w:val="0"/>
                <w:sz w:val="18"/>
                <w:szCs w:val="18"/>
              </w:rPr>
              <w:t>1.4 科研项目中涉及的社会、健康、安全、法律、文化以及环境等因素。</w:t>
            </w:r>
          </w:p>
          <w:p>
            <w:pPr>
              <w:adjustRightInd w:val="0"/>
              <w:snapToGrid w:val="0"/>
              <w:spacing w:line="300" w:lineRule="auto"/>
              <w:rPr>
                <w:kern w:val="0"/>
                <w:sz w:val="18"/>
                <w:szCs w:val="18"/>
              </w:rPr>
            </w:pPr>
            <w:r>
              <w:rPr>
                <w:kern w:val="0"/>
                <w:sz w:val="18"/>
                <w:szCs w:val="18"/>
              </w:rPr>
              <w:t>1.5科研项目管理的基本原理、经济决策方法及应用。</w:t>
            </w:r>
          </w:p>
          <w:p>
            <w:pPr>
              <w:adjustRightInd w:val="0"/>
              <w:snapToGrid w:val="0"/>
              <w:spacing w:line="300" w:lineRule="auto"/>
              <w:rPr>
                <w:sz w:val="18"/>
                <w:szCs w:val="18"/>
              </w:rPr>
            </w:pPr>
            <w:r>
              <w:rPr>
                <w:kern w:val="0"/>
                <w:sz w:val="18"/>
                <w:szCs w:val="18"/>
              </w:rPr>
              <w:t>1.6电子科技论文的撰写。</w:t>
            </w:r>
          </w:p>
        </w:tc>
        <w:tc>
          <w:tcPr>
            <w:tcW w:w="403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（1）了解科技与工程设计创新思路</w:t>
            </w:r>
          </w:p>
          <w:p>
            <w:pPr>
              <w:adjustRightInd w:val="0"/>
              <w:snapToGrid w:val="0"/>
              <w:spacing w:line="300" w:lineRule="auto"/>
              <w:rPr>
                <w:kern w:val="0"/>
                <w:sz w:val="18"/>
                <w:szCs w:val="18"/>
              </w:rPr>
            </w:pPr>
            <w:r>
              <w:rPr>
                <w:kern w:val="0"/>
                <w:sz w:val="18"/>
                <w:szCs w:val="18"/>
              </w:rPr>
              <w:t>（2）理解创新设计方法</w:t>
            </w:r>
          </w:p>
          <w:p>
            <w:pPr>
              <w:adjustRightInd w:val="0"/>
              <w:snapToGrid w:val="0"/>
              <w:spacing w:line="300" w:lineRule="auto"/>
              <w:rPr>
                <w:kern w:val="0"/>
                <w:sz w:val="18"/>
                <w:szCs w:val="18"/>
              </w:rPr>
            </w:pPr>
            <w:r>
              <w:rPr>
                <w:kern w:val="0"/>
                <w:sz w:val="18"/>
                <w:szCs w:val="18"/>
              </w:rPr>
              <w:t>（3）重点掌握科研基本方法和项目管理的基本原理</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sz w:val="18"/>
                <w:szCs w:val="18"/>
              </w:rPr>
            </w:pPr>
            <w:r>
              <w:rPr>
                <w:kern w:val="0"/>
                <w:sz w:val="18"/>
                <w:szCs w:val="18"/>
              </w:rPr>
              <w:t>讲授式、讨论式、案例式与启发式相结合。</w:t>
            </w:r>
          </w:p>
        </w:tc>
        <w:tc>
          <w:tcPr>
            <w:tcW w:w="739" w:type="dxa"/>
            <w:vAlign w:val="center"/>
          </w:tcPr>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jc w:val="center"/>
              <w:rPr>
                <w:kern w:val="0"/>
                <w:sz w:val="18"/>
                <w:szCs w:val="18"/>
              </w:rPr>
            </w:pPr>
            <w:r>
              <w:rPr>
                <w:kern w:val="0"/>
                <w:sz w:val="18"/>
                <w:szCs w:val="18"/>
              </w:rPr>
              <w:t>6</w:t>
            </w:r>
          </w:p>
          <w:p>
            <w:pPr>
              <w:adjustRightInd w:val="0"/>
              <w:snapToGrid w:val="0"/>
              <w:spacing w:line="300" w:lineRule="auto"/>
              <w:rPr>
                <w:kern w:val="0"/>
                <w:sz w:val="18"/>
                <w:szCs w:val="18"/>
              </w:rPr>
            </w:pPr>
          </w:p>
          <w:p>
            <w:pPr>
              <w:adjustRightInd w:val="0"/>
              <w:snapToGrid w:val="0"/>
              <w:spacing w:line="300" w:lineRule="auto"/>
              <w:jc w:val="center"/>
              <w:rPr>
                <w:sz w:val="18"/>
                <w:szCs w:val="18"/>
              </w:rPr>
            </w:pPr>
          </w:p>
        </w:tc>
        <w:tc>
          <w:tcPr>
            <w:tcW w:w="1036" w:type="dxa"/>
            <w:vAlign w:val="center"/>
          </w:tcPr>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r>
              <w:rPr>
                <w:kern w:val="0"/>
                <w:sz w:val="18"/>
                <w:szCs w:val="18"/>
              </w:rPr>
              <w:t>1，2，5，6</w:t>
            </w:r>
          </w:p>
          <w:p>
            <w:pPr>
              <w:adjustRightInd w:val="0"/>
              <w:snapToGrid w:val="0"/>
              <w:spacing w:line="300" w:lineRule="auto"/>
              <w:jc w:val="left"/>
              <w:rPr>
                <w:kern w:val="0"/>
                <w:sz w:val="18"/>
                <w:szCs w:val="18"/>
              </w:rPr>
            </w:pPr>
          </w:p>
          <w:p>
            <w:pPr>
              <w:adjustRightInd w:val="0"/>
              <w:snapToGrid w:val="0"/>
              <w:spacing w:line="300" w:lineRule="auto"/>
              <w:jc w:val="left"/>
              <w:rPr>
                <w:kern w:val="0"/>
                <w:sz w:val="18"/>
                <w:szCs w:val="18"/>
              </w:rPr>
            </w:pPr>
          </w:p>
          <w:p>
            <w:pPr>
              <w:adjustRightInd w:val="0"/>
              <w:snapToGrid w:val="0"/>
              <w:spacing w:line="300" w:lineRule="auto"/>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2" w:type="dxa"/>
            <w:tcMar>
              <w:left w:w="57" w:type="dxa"/>
              <w:right w:w="57" w:type="dxa"/>
            </w:tcMar>
            <w:vAlign w:val="center"/>
          </w:tcPr>
          <w:p>
            <w:pPr>
              <w:adjustRightInd w:val="0"/>
              <w:snapToGrid w:val="0"/>
              <w:spacing w:line="300" w:lineRule="auto"/>
              <w:jc w:val="center"/>
              <w:rPr>
                <w:sz w:val="18"/>
                <w:szCs w:val="18"/>
              </w:rPr>
            </w:pPr>
            <w:r>
              <w:rPr>
                <w:kern w:val="0"/>
                <w:sz w:val="18"/>
                <w:szCs w:val="18"/>
              </w:rPr>
              <w:t>2</w:t>
            </w:r>
          </w:p>
        </w:tc>
        <w:tc>
          <w:tcPr>
            <w:tcW w:w="2328" w:type="dxa"/>
            <w:vAlign w:val="center"/>
          </w:tcPr>
          <w:p>
            <w:pPr>
              <w:adjustRightInd w:val="0"/>
              <w:snapToGrid w:val="0"/>
              <w:spacing w:line="300" w:lineRule="auto"/>
              <w:rPr>
                <w:kern w:val="0"/>
                <w:sz w:val="18"/>
                <w:szCs w:val="18"/>
              </w:rPr>
            </w:pPr>
            <w:r>
              <w:rPr>
                <w:kern w:val="0"/>
                <w:sz w:val="18"/>
                <w:szCs w:val="18"/>
              </w:rPr>
              <w:t>2 科研与工程项目实际训练</w:t>
            </w:r>
          </w:p>
          <w:p>
            <w:pPr>
              <w:adjustRightInd w:val="0"/>
              <w:snapToGrid w:val="0"/>
              <w:spacing w:line="300" w:lineRule="auto"/>
              <w:rPr>
                <w:kern w:val="0"/>
                <w:sz w:val="18"/>
                <w:szCs w:val="18"/>
              </w:rPr>
            </w:pPr>
            <w:r>
              <w:rPr>
                <w:kern w:val="0"/>
                <w:sz w:val="18"/>
                <w:szCs w:val="18"/>
              </w:rPr>
              <w:t>2.1电子信息工程重大赛事与参赛项目开发讲座。</w:t>
            </w:r>
          </w:p>
          <w:p>
            <w:pPr>
              <w:adjustRightInd w:val="0"/>
              <w:snapToGrid w:val="0"/>
              <w:spacing w:line="300" w:lineRule="auto"/>
              <w:rPr>
                <w:kern w:val="0"/>
                <w:sz w:val="18"/>
                <w:szCs w:val="18"/>
              </w:rPr>
            </w:pPr>
            <w:r>
              <w:rPr>
                <w:kern w:val="0"/>
                <w:sz w:val="18"/>
                <w:szCs w:val="18"/>
              </w:rPr>
              <w:t>2.2拟定项目进行实践开发，教师进行直接指导。</w:t>
            </w:r>
          </w:p>
          <w:p>
            <w:pPr>
              <w:adjustRightInd w:val="0"/>
              <w:snapToGrid w:val="0"/>
              <w:spacing w:line="300" w:lineRule="auto"/>
              <w:rPr>
                <w:sz w:val="18"/>
                <w:szCs w:val="18"/>
              </w:rPr>
            </w:pPr>
            <w:r>
              <w:rPr>
                <w:kern w:val="0"/>
                <w:sz w:val="18"/>
                <w:szCs w:val="18"/>
              </w:rPr>
              <w:t>2.3项目初中期材料整理、实验数据分析、解释与定稿提交。</w:t>
            </w:r>
          </w:p>
        </w:tc>
        <w:tc>
          <w:tcPr>
            <w:tcW w:w="403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（1）了解电子信息工程专业相关的国家、省级与相关企业举办的赛事，并熟悉赛事流程与参赛准备工作等相关事宜。</w:t>
            </w:r>
          </w:p>
          <w:p>
            <w:pPr>
              <w:adjustRightInd w:val="0"/>
              <w:snapToGrid w:val="0"/>
              <w:spacing w:line="300" w:lineRule="auto"/>
              <w:rPr>
                <w:kern w:val="0"/>
                <w:sz w:val="18"/>
                <w:szCs w:val="18"/>
              </w:rPr>
            </w:pPr>
            <w:r>
              <w:rPr>
                <w:kern w:val="0"/>
                <w:sz w:val="18"/>
                <w:szCs w:val="18"/>
              </w:rPr>
              <w:t>（2）理解电子信息工程专业项目研发与科研进行过程的所有事项、步骤与方法 。</w:t>
            </w:r>
          </w:p>
          <w:p>
            <w:pPr>
              <w:adjustRightInd w:val="0"/>
              <w:snapToGrid w:val="0"/>
              <w:spacing w:line="300" w:lineRule="auto"/>
              <w:rPr>
                <w:kern w:val="0"/>
                <w:sz w:val="18"/>
                <w:szCs w:val="18"/>
              </w:rPr>
            </w:pPr>
            <w:r>
              <w:rPr>
                <w:kern w:val="0"/>
                <w:sz w:val="18"/>
                <w:szCs w:val="18"/>
              </w:rPr>
              <w:t>（3）掌握电子信息工程专业科研或工程项目开展方法。</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sz w:val="18"/>
                <w:szCs w:val="18"/>
              </w:rPr>
            </w:pPr>
            <w:r>
              <w:rPr>
                <w:kern w:val="0"/>
                <w:sz w:val="18"/>
                <w:szCs w:val="18"/>
              </w:rPr>
              <w:t>讲授式、讨论式、案例式与启发式相结合。</w:t>
            </w:r>
          </w:p>
        </w:tc>
        <w:tc>
          <w:tcPr>
            <w:tcW w:w="739" w:type="dxa"/>
            <w:vAlign w:val="center"/>
          </w:tcPr>
          <w:p>
            <w:pPr>
              <w:adjustRightInd w:val="0"/>
              <w:snapToGrid w:val="0"/>
              <w:spacing w:line="300" w:lineRule="auto"/>
              <w:jc w:val="center"/>
              <w:rPr>
                <w:sz w:val="18"/>
                <w:szCs w:val="18"/>
              </w:rPr>
            </w:pPr>
            <w:r>
              <w:rPr>
                <w:kern w:val="0"/>
                <w:sz w:val="18"/>
                <w:szCs w:val="18"/>
              </w:rPr>
              <w:t>10</w:t>
            </w:r>
          </w:p>
        </w:tc>
        <w:tc>
          <w:tcPr>
            <w:tcW w:w="1036" w:type="dxa"/>
            <w:vAlign w:val="center"/>
          </w:tcPr>
          <w:p>
            <w:pPr>
              <w:adjustRightInd w:val="0"/>
              <w:snapToGrid w:val="0"/>
              <w:spacing w:line="300" w:lineRule="auto"/>
              <w:jc w:val="left"/>
              <w:rPr>
                <w:sz w:val="18"/>
                <w:szCs w:val="18"/>
              </w:rPr>
            </w:pPr>
            <w:r>
              <w:rPr>
                <w:kern w:val="0"/>
                <w:sz w:val="18"/>
                <w:szCs w:val="18"/>
              </w:rPr>
              <w:t>1，2，3，4，5，6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2" w:type="dxa"/>
            <w:tcMar>
              <w:left w:w="57" w:type="dxa"/>
              <w:right w:w="57" w:type="dxa"/>
            </w:tcMar>
            <w:vAlign w:val="center"/>
          </w:tcPr>
          <w:p>
            <w:pPr>
              <w:adjustRightInd w:val="0"/>
              <w:snapToGrid w:val="0"/>
              <w:spacing w:line="300" w:lineRule="auto"/>
              <w:jc w:val="center"/>
              <w:rPr>
                <w:sz w:val="18"/>
                <w:szCs w:val="18"/>
              </w:rPr>
            </w:pPr>
            <w:r>
              <w:rPr>
                <w:kern w:val="0"/>
                <w:sz w:val="18"/>
                <w:szCs w:val="18"/>
              </w:rPr>
              <w:t>3</w:t>
            </w:r>
          </w:p>
        </w:tc>
        <w:tc>
          <w:tcPr>
            <w:tcW w:w="2328" w:type="dxa"/>
            <w:vAlign w:val="center"/>
          </w:tcPr>
          <w:p>
            <w:pPr>
              <w:adjustRightInd w:val="0"/>
              <w:snapToGrid w:val="0"/>
              <w:spacing w:line="300" w:lineRule="auto"/>
              <w:rPr>
                <w:kern w:val="0"/>
                <w:sz w:val="18"/>
                <w:szCs w:val="18"/>
              </w:rPr>
            </w:pPr>
            <w:r>
              <w:rPr>
                <w:kern w:val="0"/>
                <w:sz w:val="18"/>
                <w:szCs w:val="18"/>
              </w:rPr>
              <w:t>3 项目结题</w:t>
            </w:r>
          </w:p>
          <w:p>
            <w:pPr>
              <w:adjustRightInd w:val="0"/>
              <w:snapToGrid w:val="0"/>
              <w:spacing w:line="300" w:lineRule="auto"/>
              <w:rPr>
                <w:kern w:val="0"/>
                <w:sz w:val="18"/>
                <w:szCs w:val="18"/>
              </w:rPr>
            </w:pPr>
            <w:r>
              <w:rPr>
                <w:kern w:val="0"/>
                <w:sz w:val="18"/>
                <w:szCs w:val="18"/>
              </w:rPr>
              <w:t>3.1科研项目结题程序与结题工作（讲座）。</w:t>
            </w:r>
          </w:p>
          <w:p>
            <w:pPr>
              <w:adjustRightInd w:val="0"/>
              <w:snapToGrid w:val="0"/>
              <w:spacing w:line="300" w:lineRule="auto"/>
              <w:rPr>
                <w:sz w:val="18"/>
                <w:szCs w:val="18"/>
              </w:rPr>
            </w:pPr>
            <w:r>
              <w:rPr>
                <w:kern w:val="0"/>
                <w:sz w:val="18"/>
                <w:szCs w:val="18"/>
              </w:rPr>
              <w:t>3.2项目完善（指导学生对研究项目进行修改完善）与结题文件汇总与提交，包括设计图、实物、说明书或论文（一样即可），撰写的总结等，并将结题资料存档。</w:t>
            </w:r>
          </w:p>
        </w:tc>
        <w:tc>
          <w:tcPr>
            <w:tcW w:w="4038" w:type="dxa"/>
            <w:vAlign w:val="center"/>
          </w:tcPr>
          <w:p>
            <w:pPr>
              <w:adjustRightInd w:val="0"/>
              <w:snapToGrid w:val="0"/>
              <w:spacing w:line="300" w:lineRule="auto"/>
              <w:rPr>
                <w:kern w:val="0"/>
                <w:sz w:val="18"/>
                <w:szCs w:val="18"/>
              </w:rPr>
            </w:pPr>
            <w:r>
              <w:rPr>
                <w:kern w:val="0"/>
                <w:sz w:val="18"/>
                <w:szCs w:val="18"/>
              </w:rPr>
              <w:t>1.要求</w:t>
            </w:r>
          </w:p>
          <w:p>
            <w:pPr>
              <w:adjustRightInd w:val="0"/>
              <w:snapToGrid w:val="0"/>
              <w:spacing w:line="300" w:lineRule="auto"/>
              <w:rPr>
                <w:kern w:val="0"/>
                <w:sz w:val="18"/>
                <w:szCs w:val="18"/>
              </w:rPr>
            </w:pPr>
            <w:r>
              <w:rPr>
                <w:kern w:val="0"/>
                <w:sz w:val="18"/>
                <w:szCs w:val="18"/>
              </w:rPr>
              <w:t>（1）了解项目结题过程与相关事宜</w:t>
            </w:r>
          </w:p>
          <w:p>
            <w:pPr>
              <w:adjustRightInd w:val="0"/>
              <w:snapToGrid w:val="0"/>
              <w:spacing w:line="300" w:lineRule="auto"/>
              <w:rPr>
                <w:kern w:val="0"/>
                <w:sz w:val="18"/>
                <w:szCs w:val="18"/>
              </w:rPr>
            </w:pPr>
            <w:r>
              <w:rPr>
                <w:kern w:val="0"/>
                <w:sz w:val="18"/>
                <w:szCs w:val="18"/>
              </w:rPr>
              <w:t>（2）理解结题资料与材料整理（B）。</w:t>
            </w:r>
          </w:p>
          <w:p>
            <w:pPr>
              <w:adjustRightInd w:val="0"/>
              <w:snapToGrid w:val="0"/>
              <w:spacing w:line="300" w:lineRule="auto"/>
              <w:rPr>
                <w:kern w:val="0"/>
                <w:sz w:val="18"/>
                <w:szCs w:val="18"/>
              </w:rPr>
            </w:pPr>
            <w:r>
              <w:rPr>
                <w:kern w:val="0"/>
                <w:sz w:val="18"/>
                <w:szCs w:val="18"/>
              </w:rPr>
              <w:t>（3）重点掌握项目结题过程科学化管理（A）。</w:t>
            </w:r>
          </w:p>
          <w:p>
            <w:pPr>
              <w:adjustRightInd w:val="0"/>
              <w:snapToGrid w:val="0"/>
              <w:spacing w:line="300" w:lineRule="auto"/>
              <w:rPr>
                <w:kern w:val="0"/>
                <w:sz w:val="18"/>
                <w:szCs w:val="18"/>
              </w:rPr>
            </w:pPr>
            <w:r>
              <w:rPr>
                <w:kern w:val="0"/>
                <w:sz w:val="18"/>
                <w:szCs w:val="18"/>
              </w:rPr>
              <w:t>2.作业内容</w:t>
            </w:r>
          </w:p>
          <w:p>
            <w:pPr>
              <w:adjustRightInd w:val="0"/>
              <w:snapToGrid w:val="0"/>
              <w:spacing w:line="300" w:lineRule="auto"/>
              <w:rPr>
                <w:kern w:val="0"/>
                <w:sz w:val="18"/>
                <w:szCs w:val="18"/>
              </w:rPr>
            </w:pPr>
            <w:r>
              <w:rPr>
                <w:kern w:val="0"/>
                <w:sz w:val="18"/>
                <w:szCs w:val="18"/>
              </w:rPr>
              <w:t>阅读参考书目的相应章节。</w:t>
            </w:r>
          </w:p>
          <w:p>
            <w:pPr>
              <w:adjustRightInd w:val="0"/>
              <w:snapToGrid w:val="0"/>
              <w:spacing w:line="300" w:lineRule="auto"/>
              <w:rPr>
                <w:kern w:val="0"/>
                <w:sz w:val="18"/>
                <w:szCs w:val="18"/>
              </w:rPr>
            </w:pPr>
            <w:r>
              <w:rPr>
                <w:kern w:val="0"/>
                <w:sz w:val="18"/>
                <w:szCs w:val="18"/>
              </w:rPr>
              <w:t xml:space="preserve">3.教学方法 </w:t>
            </w:r>
          </w:p>
          <w:p>
            <w:pPr>
              <w:adjustRightInd w:val="0"/>
              <w:snapToGrid w:val="0"/>
              <w:spacing w:line="300" w:lineRule="auto"/>
              <w:rPr>
                <w:sz w:val="18"/>
                <w:szCs w:val="18"/>
              </w:rPr>
            </w:pPr>
            <w:r>
              <w:rPr>
                <w:kern w:val="0"/>
                <w:sz w:val="18"/>
                <w:szCs w:val="18"/>
              </w:rPr>
              <w:t>讲授式、讨论式、案例式与启发式相结合。</w:t>
            </w:r>
          </w:p>
        </w:tc>
        <w:tc>
          <w:tcPr>
            <w:tcW w:w="739" w:type="dxa"/>
            <w:vAlign w:val="center"/>
          </w:tcPr>
          <w:p>
            <w:pPr>
              <w:adjustRightInd w:val="0"/>
              <w:snapToGrid w:val="0"/>
              <w:spacing w:line="300" w:lineRule="auto"/>
              <w:jc w:val="center"/>
              <w:rPr>
                <w:sz w:val="18"/>
                <w:szCs w:val="18"/>
              </w:rPr>
            </w:pPr>
            <w:r>
              <w:rPr>
                <w:kern w:val="0"/>
                <w:sz w:val="18"/>
                <w:szCs w:val="18"/>
              </w:rPr>
              <w:t>4</w:t>
            </w:r>
          </w:p>
        </w:tc>
        <w:tc>
          <w:tcPr>
            <w:tcW w:w="1036" w:type="dxa"/>
            <w:vAlign w:val="center"/>
          </w:tcPr>
          <w:p>
            <w:pPr>
              <w:adjustRightInd w:val="0"/>
              <w:snapToGrid w:val="0"/>
              <w:spacing w:line="300" w:lineRule="auto"/>
              <w:jc w:val="left"/>
              <w:rPr>
                <w:sz w:val="18"/>
                <w:szCs w:val="18"/>
              </w:rPr>
            </w:pPr>
            <w:r>
              <w:rPr>
                <w:kern w:val="0"/>
                <w:sz w:val="18"/>
                <w:szCs w:val="18"/>
              </w:rPr>
              <w:t>1，2，5，6</w:t>
            </w:r>
          </w:p>
        </w:tc>
      </w:tr>
    </w:tbl>
    <w:p>
      <w:pPr>
        <w:adjustRightInd w:val="0"/>
        <w:snapToGrid w:val="0"/>
        <w:spacing w:before="156" w:beforeLines="50" w:line="300" w:lineRule="auto"/>
        <w:ind w:firstLine="420" w:firstLineChars="200"/>
        <w:rPr>
          <w:b/>
          <w:bCs/>
          <w:sz w:val="18"/>
          <w:szCs w:val="18"/>
        </w:rPr>
      </w:pPr>
      <w:r>
        <w:t>实验内容见表4所示。</w:t>
      </w:r>
    </w:p>
    <w:p>
      <w:pPr>
        <w:adjustRightInd w:val="0"/>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655"/>
        <w:gridCol w:w="2648"/>
        <w:gridCol w:w="766"/>
        <w:gridCol w:w="741"/>
        <w:gridCol w:w="741"/>
        <w:gridCol w:w="74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2" w:type="dxa"/>
            <w:vAlign w:val="center"/>
          </w:tcPr>
          <w:p>
            <w:pPr>
              <w:adjustRightInd w:val="0"/>
              <w:snapToGrid w:val="0"/>
              <w:spacing w:line="300" w:lineRule="auto"/>
              <w:rPr>
                <w:b/>
                <w:bCs/>
                <w:sz w:val="18"/>
                <w:szCs w:val="18"/>
              </w:rPr>
            </w:pPr>
            <w:r>
              <w:rPr>
                <w:b/>
                <w:bCs/>
                <w:kern w:val="0"/>
                <w:sz w:val="18"/>
                <w:szCs w:val="18"/>
              </w:rPr>
              <w:t>序号</w:t>
            </w:r>
          </w:p>
        </w:tc>
        <w:tc>
          <w:tcPr>
            <w:tcW w:w="1655" w:type="dxa"/>
            <w:vAlign w:val="center"/>
          </w:tcPr>
          <w:p>
            <w:pPr>
              <w:adjustRightInd w:val="0"/>
              <w:snapToGrid w:val="0"/>
              <w:spacing w:line="300" w:lineRule="auto"/>
              <w:jc w:val="center"/>
              <w:rPr>
                <w:b/>
                <w:bCs/>
                <w:sz w:val="18"/>
                <w:szCs w:val="18"/>
              </w:rPr>
            </w:pPr>
            <w:r>
              <w:rPr>
                <w:b/>
                <w:bCs/>
                <w:kern w:val="0"/>
                <w:sz w:val="18"/>
                <w:szCs w:val="18"/>
              </w:rPr>
              <w:t>实验项目名称</w:t>
            </w:r>
          </w:p>
        </w:tc>
        <w:tc>
          <w:tcPr>
            <w:tcW w:w="2648" w:type="dxa"/>
            <w:vAlign w:val="center"/>
          </w:tcPr>
          <w:p>
            <w:pPr>
              <w:adjustRightInd w:val="0"/>
              <w:snapToGrid w:val="0"/>
              <w:spacing w:line="300" w:lineRule="auto"/>
              <w:jc w:val="center"/>
              <w:rPr>
                <w:b/>
                <w:bCs/>
                <w:sz w:val="18"/>
                <w:szCs w:val="18"/>
              </w:rPr>
            </w:pPr>
            <w:r>
              <w:rPr>
                <w:b/>
                <w:bCs/>
                <w:kern w:val="0"/>
                <w:sz w:val="18"/>
                <w:szCs w:val="18"/>
              </w:rPr>
              <w:t>目的要求</w:t>
            </w:r>
          </w:p>
        </w:tc>
        <w:tc>
          <w:tcPr>
            <w:tcW w:w="766" w:type="dxa"/>
            <w:vAlign w:val="center"/>
          </w:tcPr>
          <w:p>
            <w:pPr>
              <w:adjustRightInd w:val="0"/>
              <w:snapToGrid w:val="0"/>
              <w:spacing w:line="300" w:lineRule="auto"/>
              <w:jc w:val="center"/>
              <w:rPr>
                <w:b/>
                <w:bCs/>
                <w:sz w:val="18"/>
                <w:szCs w:val="18"/>
              </w:rPr>
            </w:pPr>
            <w:r>
              <w:rPr>
                <w:b/>
                <w:bCs/>
                <w:kern w:val="0"/>
                <w:sz w:val="18"/>
                <w:szCs w:val="18"/>
              </w:rPr>
              <w:t>学时分配</w:t>
            </w:r>
          </w:p>
        </w:tc>
        <w:tc>
          <w:tcPr>
            <w:tcW w:w="741" w:type="dxa"/>
            <w:vAlign w:val="center"/>
          </w:tcPr>
          <w:p>
            <w:pPr>
              <w:adjustRightInd w:val="0"/>
              <w:snapToGrid w:val="0"/>
              <w:spacing w:line="300" w:lineRule="auto"/>
              <w:jc w:val="center"/>
              <w:rPr>
                <w:b/>
                <w:bCs/>
                <w:kern w:val="0"/>
                <w:sz w:val="18"/>
                <w:szCs w:val="18"/>
              </w:rPr>
            </w:pPr>
            <w:r>
              <w:rPr>
                <w:b/>
                <w:bCs/>
                <w:kern w:val="0"/>
                <w:sz w:val="18"/>
                <w:szCs w:val="18"/>
              </w:rPr>
              <w:t>实验类型</w:t>
            </w:r>
          </w:p>
        </w:tc>
        <w:tc>
          <w:tcPr>
            <w:tcW w:w="741" w:type="dxa"/>
            <w:vAlign w:val="center"/>
          </w:tcPr>
          <w:p>
            <w:pPr>
              <w:adjustRightInd w:val="0"/>
              <w:snapToGrid w:val="0"/>
              <w:spacing w:line="300" w:lineRule="auto"/>
              <w:jc w:val="center"/>
              <w:rPr>
                <w:b/>
                <w:bCs/>
                <w:kern w:val="0"/>
                <w:sz w:val="18"/>
                <w:szCs w:val="18"/>
              </w:rPr>
            </w:pPr>
            <w:r>
              <w:rPr>
                <w:b/>
                <w:bCs/>
                <w:kern w:val="0"/>
                <w:sz w:val="18"/>
                <w:szCs w:val="18"/>
              </w:rPr>
              <w:t>每组人数</w:t>
            </w:r>
          </w:p>
        </w:tc>
        <w:tc>
          <w:tcPr>
            <w:tcW w:w="743"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b/>
                <w:bCs/>
                <w:kern w:val="0"/>
                <w:sz w:val="18"/>
                <w:szCs w:val="18"/>
              </w:rPr>
            </w:pPr>
            <w:r>
              <w:rPr>
                <w:b/>
                <w:bCs/>
                <w:kern w:val="0"/>
                <w:sz w:val="18"/>
                <w:szCs w:val="18"/>
              </w:rPr>
              <w:t>选开</w:t>
            </w:r>
          </w:p>
        </w:tc>
        <w:tc>
          <w:tcPr>
            <w:tcW w:w="675" w:type="dxa"/>
            <w:vAlign w:val="center"/>
          </w:tcPr>
          <w:p>
            <w:pPr>
              <w:adjustRightInd w:val="0"/>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widowControl/>
              <w:adjustRightInd w:val="0"/>
              <w:snapToGrid w:val="0"/>
              <w:spacing w:line="300" w:lineRule="auto"/>
              <w:jc w:val="center"/>
              <w:rPr>
                <w:kern w:val="0"/>
                <w:sz w:val="18"/>
                <w:szCs w:val="18"/>
              </w:rPr>
            </w:pPr>
            <w:r>
              <w:rPr>
                <w:kern w:val="0"/>
                <w:sz w:val="18"/>
                <w:szCs w:val="18"/>
              </w:rPr>
              <w:t>1</w:t>
            </w:r>
          </w:p>
        </w:tc>
        <w:tc>
          <w:tcPr>
            <w:tcW w:w="1655" w:type="dxa"/>
            <w:vAlign w:val="center"/>
          </w:tcPr>
          <w:p>
            <w:pPr>
              <w:widowControl/>
              <w:adjustRightInd w:val="0"/>
              <w:snapToGrid w:val="0"/>
              <w:spacing w:line="300" w:lineRule="auto"/>
              <w:jc w:val="left"/>
              <w:rPr>
                <w:kern w:val="0"/>
                <w:sz w:val="18"/>
                <w:szCs w:val="18"/>
              </w:rPr>
            </w:pPr>
            <w:r>
              <w:rPr>
                <w:kern w:val="0"/>
                <w:sz w:val="18"/>
                <w:szCs w:val="18"/>
              </w:rPr>
              <w:t>资料查询与科研项目选题</w:t>
            </w:r>
          </w:p>
        </w:tc>
        <w:tc>
          <w:tcPr>
            <w:tcW w:w="2648" w:type="dxa"/>
            <w:vAlign w:val="center"/>
          </w:tcPr>
          <w:p>
            <w:pPr>
              <w:widowControl/>
              <w:adjustRightInd w:val="0"/>
              <w:snapToGrid w:val="0"/>
              <w:spacing w:line="300" w:lineRule="auto"/>
              <w:ind w:left="-105" w:leftChars="-50"/>
              <w:jc w:val="left"/>
              <w:rPr>
                <w:kern w:val="0"/>
                <w:sz w:val="18"/>
                <w:szCs w:val="18"/>
              </w:rPr>
            </w:pPr>
            <w:r>
              <w:rPr>
                <w:kern w:val="0"/>
                <w:sz w:val="18"/>
                <w:szCs w:val="18"/>
              </w:rPr>
              <w:t>查找科技文献，整理资料并选择电子信息工程相关的题目。</w:t>
            </w:r>
          </w:p>
        </w:tc>
        <w:tc>
          <w:tcPr>
            <w:tcW w:w="766"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left"/>
              <w:rPr>
                <w:kern w:val="0"/>
                <w:sz w:val="18"/>
                <w:szCs w:val="18"/>
              </w:rPr>
            </w:pPr>
            <w:r>
              <w:rPr>
                <w:kern w:val="0"/>
                <w:sz w:val="18"/>
                <w:szCs w:val="18"/>
              </w:rPr>
              <w:t>设计</w:t>
            </w:r>
          </w:p>
        </w:tc>
        <w:tc>
          <w:tcPr>
            <w:tcW w:w="741" w:type="dxa"/>
            <w:vAlign w:val="center"/>
          </w:tcPr>
          <w:p>
            <w:pPr>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4</w:t>
            </w:r>
          </w:p>
        </w:tc>
        <w:tc>
          <w:tcPr>
            <w:tcW w:w="743" w:type="dxa"/>
            <w:vAlign w:val="center"/>
          </w:tcPr>
          <w:p>
            <w:pPr>
              <w:adjustRightInd w:val="0"/>
              <w:snapToGrid w:val="0"/>
              <w:spacing w:line="300" w:lineRule="auto"/>
              <w:jc w:val="left"/>
              <w:rPr>
                <w:kern w:val="0"/>
                <w:sz w:val="18"/>
                <w:szCs w:val="18"/>
              </w:rPr>
            </w:pPr>
            <w:r>
              <w:rPr>
                <w:kern w:val="0"/>
                <w:sz w:val="18"/>
                <w:szCs w:val="18"/>
              </w:rPr>
              <w:t>必开</w:t>
            </w:r>
          </w:p>
        </w:tc>
        <w:tc>
          <w:tcPr>
            <w:tcW w:w="675" w:type="dxa"/>
            <w:vAlign w:val="center"/>
          </w:tcPr>
          <w:p>
            <w:pPr>
              <w:adjustRightInd w:val="0"/>
              <w:snapToGrid w:val="0"/>
              <w:spacing w:line="300" w:lineRule="auto"/>
              <w:jc w:val="left"/>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2" w:type="dxa"/>
            <w:vAlign w:val="center"/>
          </w:tcPr>
          <w:p>
            <w:pPr>
              <w:widowControl/>
              <w:adjustRightInd w:val="0"/>
              <w:snapToGrid w:val="0"/>
              <w:spacing w:line="300" w:lineRule="auto"/>
              <w:jc w:val="center"/>
              <w:rPr>
                <w:kern w:val="0"/>
                <w:sz w:val="18"/>
                <w:szCs w:val="18"/>
              </w:rPr>
            </w:pPr>
            <w:r>
              <w:rPr>
                <w:kern w:val="0"/>
                <w:sz w:val="18"/>
                <w:szCs w:val="18"/>
              </w:rPr>
              <w:t>2</w:t>
            </w:r>
          </w:p>
        </w:tc>
        <w:tc>
          <w:tcPr>
            <w:tcW w:w="1655" w:type="dxa"/>
            <w:vAlign w:val="center"/>
          </w:tcPr>
          <w:p>
            <w:pPr>
              <w:widowControl/>
              <w:adjustRightInd w:val="0"/>
              <w:snapToGrid w:val="0"/>
              <w:spacing w:line="300" w:lineRule="auto"/>
              <w:jc w:val="left"/>
              <w:rPr>
                <w:kern w:val="0"/>
                <w:sz w:val="18"/>
                <w:szCs w:val="18"/>
              </w:rPr>
            </w:pPr>
            <w:r>
              <w:rPr>
                <w:kern w:val="0"/>
                <w:sz w:val="18"/>
                <w:szCs w:val="18"/>
              </w:rPr>
              <w:t>总体方案设计</w:t>
            </w:r>
          </w:p>
        </w:tc>
        <w:tc>
          <w:tcPr>
            <w:tcW w:w="2648" w:type="dxa"/>
            <w:vAlign w:val="center"/>
          </w:tcPr>
          <w:p>
            <w:pPr>
              <w:widowControl/>
              <w:adjustRightInd w:val="0"/>
              <w:snapToGrid w:val="0"/>
              <w:spacing w:line="300" w:lineRule="auto"/>
              <w:jc w:val="left"/>
              <w:rPr>
                <w:kern w:val="0"/>
                <w:sz w:val="18"/>
                <w:szCs w:val="18"/>
              </w:rPr>
            </w:pPr>
            <w:r>
              <w:rPr>
                <w:kern w:val="0"/>
                <w:sz w:val="18"/>
                <w:szCs w:val="18"/>
              </w:rPr>
              <w:t>按要求进行项目总体方案设计。</w:t>
            </w:r>
          </w:p>
        </w:tc>
        <w:tc>
          <w:tcPr>
            <w:tcW w:w="766"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left"/>
              <w:rPr>
                <w:kern w:val="0"/>
                <w:sz w:val="18"/>
                <w:szCs w:val="18"/>
              </w:rPr>
            </w:pPr>
            <w:r>
              <w:rPr>
                <w:kern w:val="0"/>
                <w:sz w:val="18"/>
                <w:szCs w:val="18"/>
              </w:rPr>
              <w:t>设计</w:t>
            </w:r>
          </w:p>
        </w:tc>
        <w:tc>
          <w:tcPr>
            <w:tcW w:w="741" w:type="dxa"/>
            <w:vAlign w:val="center"/>
          </w:tcPr>
          <w:p>
            <w:pPr>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4</w:t>
            </w:r>
          </w:p>
        </w:tc>
        <w:tc>
          <w:tcPr>
            <w:tcW w:w="743" w:type="dxa"/>
            <w:vAlign w:val="center"/>
          </w:tcPr>
          <w:p>
            <w:pPr>
              <w:adjustRightInd w:val="0"/>
              <w:snapToGrid w:val="0"/>
              <w:spacing w:line="300" w:lineRule="auto"/>
              <w:jc w:val="left"/>
              <w:rPr>
                <w:kern w:val="0"/>
                <w:sz w:val="18"/>
                <w:szCs w:val="18"/>
              </w:rPr>
            </w:pPr>
            <w:r>
              <w:rPr>
                <w:kern w:val="0"/>
                <w:sz w:val="18"/>
                <w:szCs w:val="18"/>
              </w:rPr>
              <w:t>必开</w:t>
            </w:r>
          </w:p>
        </w:tc>
        <w:tc>
          <w:tcPr>
            <w:tcW w:w="675" w:type="dxa"/>
            <w:vAlign w:val="center"/>
          </w:tcPr>
          <w:p>
            <w:pPr>
              <w:adjustRightInd w:val="0"/>
              <w:snapToGrid w:val="0"/>
              <w:spacing w:line="300" w:lineRule="auto"/>
              <w:jc w:val="left"/>
              <w:rPr>
                <w:kern w:val="0"/>
                <w:sz w:val="18"/>
                <w:szCs w:val="18"/>
              </w:rPr>
            </w:pPr>
            <w:r>
              <w:rPr>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2" w:type="dxa"/>
            <w:vAlign w:val="center"/>
          </w:tcPr>
          <w:p>
            <w:pPr>
              <w:widowControl/>
              <w:adjustRightInd w:val="0"/>
              <w:snapToGrid w:val="0"/>
              <w:spacing w:line="300" w:lineRule="auto"/>
              <w:jc w:val="center"/>
              <w:rPr>
                <w:kern w:val="0"/>
                <w:sz w:val="18"/>
                <w:szCs w:val="18"/>
              </w:rPr>
            </w:pPr>
            <w:r>
              <w:rPr>
                <w:kern w:val="0"/>
                <w:sz w:val="18"/>
                <w:szCs w:val="18"/>
              </w:rPr>
              <w:t>3</w:t>
            </w:r>
          </w:p>
        </w:tc>
        <w:tc>
          <w:tcPr>
            <w:tcW w:w="1655" w:type="dxa"/>
            <w:vAlign w:val="center"/>
          </w:tcPr>
          <w:p>
            <w:pPr>
              <w:widowControl/>
              <w:adjustRightInd w:val="0"/>
              <w:snapToGrid w:val="0"/>
              <w:spacing w:line="300" w:lineRule="auto"/>
              <w:jc w:val="left"/>
              <w:rPr>
                <w:kern w:val="0"/>
                <w:sz w:val="18"/>
                <w:szCs w:val="18"/>
              </w:rPr>
            </w:pPr>
            <w:r>
              <w:rPr>
                <w:kern w:val="0"/>
                <w:sz w:val="18"/>
                <w:szCs w:val="18"/>
              </w:rPr>
              <w:t>软件与硬件设计</w:t>
            </w:r>
          </w:p>
        </w:tc>
        <w:tc>
          <w:tcPr>
            <w:tcW w:w="2648" w:type="dxa"/>
            <w:vAlign w:val="center"/>
          </w:tcPr>
          <w:p>
            <w:pPr>
              <w:widowControl/>
              <w:adjustRightInd w:val="0"/>
              <w:snapToGrid w:val="0"/>
              <w:spacing w:line="300" w:lineRule="auto"/>
              <w:jc w:val="left"/>
              <w:rPr>
                <w:kern w:val="0"/>
                <w:sz w:val="18"/>
                <w:szCs w:val="18"/>
              </w:rPr>
            </w:pPr>
            <w:r>
              <w:rPr>
                <w:kern w:val="0"/>
                <w:sz w:val="18"/>
                <w:szCs w:val="18"/>
              </w:rPr>
              <w:t>设计系统软件与硬件。</w:t>
            </w:r>
          </w:p>
        </w:tc>
        <w:tc>
          <w:tcPr>
            <w:tcW w:w="766"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left"/>
              <w:rPr>
                <w:kern w:val="0"/>
                <w:sz w:val="18"/>
                <w:szCs w:val="18"/>
              </w:rPr>
            </w:pPr>
            <w:r>
              <w:rPr>
                <w:kern w:val="0"/>
                <w:sz w:val="18"/>
                <w:szCs w:val="18"/>
              </w:rPr>
              <w:t>设计</w:t>
            </w:r>
          </w:p>
        </w:tc>
        <w:tc>
          <w:tcPr>
            <w:tcW w:w="741" w:type="dxa"/>
            <w:vAlign w:val="center"/>
          </w:tcPr>
          <w:p>
            <w:pPr>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4</w:t>
            </w:r>
          </w:p>
        </w:tc>
        <w:tc>
          <w:tcPr>
            <w:tcW w:w="743" w:type="dxa"/>
            <w:vAlign w:val="center"/>
          </w:tcPr>
          <w:p>
            <w:pPr>
              <w:adjustRightInd w:val="0"/>
              <w:snapToGrid w:val="0"/>
              <w:spacing w:line="300" w:lineRule="auto"/>
              <w:jc w:val="left"/>
              <w:rPr>
                <w:kern w:val="0"/>
                <w:sz w:val="18"/>
                <w:szCs w:val="18"/>
              </w:rPr>
            </w:pPr>
            <w:r>
              <w:rPr>
                <w:kern w:val="0"/>
                <w:sz w:val="18"/>
                <w:szCs w:val="18"/>
              </w:rPr>
              <w:t>必开</w:t>
            </w:r>
          </w:p>
        </w:tc>
        <w:tc>
          <w:tcPr>
            <w:tcW w:w="675" w:type="dxa"/>
            <w:vAlign w:val="center"/>
          </w:tcPr>
          <w:p>
            <w:pPr>
              <w:adjustRightInd w:val="0"/>
              <w:snapToGrid w:val="0"/>
              <w:spacing w:line="300" w:lineRule="auto"/>
              <w:jc w:val="left"/>
              <w:rPr>
                <w:kern w:val="0"/>
                <w:sz w:val="18"/>
                <w:szCs w:val="18"/>
              </w:rPr>
            </w:pPr>
            <w:r>
              <w:rPr>
                <w:kern w:val="0"/>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2" w:type="dxa"/>
            <w:vAlign w:val="center"/>
          </w:tcPr>
          <w:p>
            <w:pPr>
              <w:widowControl/>
              <w:adjustRightInd w:val="0"/>
              <w:snapToGrid w:val="0"/>
              <w:spacing w:line="300" w:lineRule="auto"/>
              <w:jc w:val="center"/>
              <w:rPr>
                <w:kern w:val="0"/>
                <w:sz w:val="18"/>
                <w:szCs w:val="18"/>
              </w:rPr>
            </w:pPr>
            <w:r>
              <w:rPr>
                <w:kern w:val="0"/>
                <w:sz w:val="18"/>
                <w:szCs w:val="18"/>
              </w:rPr>
              <w:t>4</w:t>
            </w:r>
          </w:p>
        </w:tc>
        <w:tc>
          <w:tcPr>
            <w:tcW w:w="1655" w:type="dxa"/>
            <w:vAlign w:val="center"/>
          </w:tcPr>
          <w:p>
            <w:pPr>
              <w:widowControl/>
              <w:adjustRightInd w:val="0"/>
              <w:snapToGrid w:val="0"/>
              <w:spacing w:line="300" w:lineRule="auto"/>
              <w:jc w:val="left"/>
              <w:rPr>
                <w:kern w:val="0"/>
                <w:sz w:val="18"/>
                <w:szCs w:val="18"/>
              </w:rPr>
            </w:pPr>
            <w:r>
              <w:rPr>
                <w:kern w:val="0"/>
                <w:sz w:val="18"/>
                <w:szCs w:val="18"/>
              </w:rPr>
              <w:t>实现与调试</w:t>
            </w:r>
          </w:p>
        </w:tc>
        <w:tc>
          <w:tcPr>
            <w:tcW w:w="2648" w:type="dxa"/>
            <w:vAlign w:val="center"/>
          </w:tcPr>
          <w:p>
            <w:pPr>
              <w:widowControl/>
              <w:adjustRightInd w:val="0"/>
              <w:snapToGrid w:val="0"/>
              <w:spacing w:line="300" w:lineRule="auto"/>
              <w:jc w:val="left"/>
              <w:rPr>
                <w:kern w:val="0"/>
                <w:sz w:val="18"/>
                <w:szCs w:val="18"/>
              </w:rPr>
            </w:pPr>
            <w:r>
              <w:rPr>
                <w:kern w:val="0"/>
                <w:sz w:val="18"/>
                <w:szCs w:val="18"/>
              </w:rPr>
              <w:t>实现系统与调试。</w:t>
            </w:r>
          </w:p>
        </w:tc>
        <w:tc>
          <w:tcPr>
            <w:tcW w:w="766" w:type="dxa"/>
            <w:vAlign w:val="center"/>
          </w:tcPr>
          <w:p>
            <w:pPr>
              <w:adjustRightInd w:val="0"/>
              <w:snapToGrid w:val="0"/>
              <w:spacing w:line="300" w:lineRule="auto"/>
              <w:jc w:val="center"/>
              <w:rPr>
                <w:kern w:val="0"/>
                <w:sz w:val="18"/>
                <w:szCs w:val="18"/>
              </w:rPr>
            </w:pPr>
            <w:r>
              <w:rPr>
                <w:kern w:val="0"/>
                <w:sz w:val="18"/>
                <w:szCs w:val="18"/>
              </w:rPr>
              <w:t>4</w:t>
            </w:r>
          </w:p>
        </w:tc>
        <w:tc>
          <w:tcPr>
            <w:tcW w:w="741" w:type="dxa"/>
            <w:vAlign w:val="center"/>
          </w:tcPr>
          <w:p>
            <w:pPr>
              <w:adjustRightInd w:val="0"/>
              <w:snapToGrid w:val="0"/>
              <w:spacing w:line="300" w:lineRule="auto"/>
              <w:jc w:val="left"/>
              <w:rPr>
                <w:kern w:val="0"/>
                <w:sz w:val="18"/>
                <w:szCs w:val="18"/>
              </w:rPr>
            </w:pPr>
            <w:r>
              <w:rPr>
                <w:kern w:val="0"/>
                <w:sz w:val="18"/>
                <w:szCs w:val="18"/>
              </w:rPr>
              <w:t>综合</w:t>
            </w:r>
          </w:p>
        </w:tc>
        <w:tc>
          <w:tcPr>
            <w:tcW w:w="741" w:type="dxa"/>
            <w:vAlign w:val="center"/>
          </w:tcPr>
          <w:p>
            <w:pPr>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4</w:t>
            </w:r>
          </w:p>
        </w:tc>
        <w:tc>
          <w:tcPr>
            <w:tcW w:w="743" w:type="dxa"/>
            <w:vAlign w:val="center"/>
          </w:tcPr>
          <w:p>
            <w:pPr>
              <w:adjustRightInd w:val="0"/>
              <w:snapToGrid w:val="0"/>
              <w:spacing w:line="300" w:lineRule="auto"/>
              <w:jc w:val="left"/>
              <w:rPr>
                <w:kern w:val="0"/>
                <w:sz w:val="18"/>
                <w:szCs w:val="18"/>
              </w:rPr>
            </w:pPr>
            <w:r>
              <w:rPr>
                <w:kern w:val="0"/>
                <w:sz w:val="18"/>
                <w:szCs w:val="18"/>
              </w:rPr>
              <w:t>必开</w:t>
            </w:r>
          </w:p>
        </w:tc>
        <w:tc>
          <w:tcPr>
            <w:tcW w:w="675" w:type="dxa"/>
            <w:vAlign w:val="center"/>
          </w:tcPr>
          <w:p>
            <w:pPr>
              <w:adjustRightInd w:val="0"/>
              <w:snapToGrid w:val="0"/>
              <w:spacing w:line="300" w:lineRule="auto"/>
              <w:jc w:val="left"/>
              <w:rPr>
                <w:kern w:val="0"/>
                <w:sz w:val="18"/>
                <w:szCs w:val="18"/>
              </w:rPr>
            </w:pPr>
            <w:r>
              <w:rPr>
                <w:kern w:val="0"/>
                <w:sz w:val="18"/>
                <w:szCs w:val="18"/>
              </w:rPr>
              <w:t>1，2</w:t>
            </w:r>
          </w:p>
          <w:p>
            <w:pPr>
              <w:adjustRightInd w:val="0"/>
              <w:snapToGrid w:val="0"/>
              <w:spacing w:line="300" w:lineRule="auto"/>
              <w:jc w:val="left"/>
              <w:rPr>
                <w:kern w:val="0"/>
                <w:sz w:val="18"/>
                <w:szCs w:val="18"/>
              </w:rPr>
            </w:pPr>
            <w:r>
              <w:rPr>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2" w:type="dxa"/>
            <w:vAlign w:val="center"/>
          </w:tcPr>
          <w:p>
            <w:pPr>
              <w:widowControl/>
              <w:adjustRightInd w:val="0"/>
              <w:snapToGrid w:val="0"/>
              <w:spacing w:line="300" w:lineRule="auto"/>
              <w:jc w:val="center"/>
              <w:rPr>
                <w:kern w:val="0"/>
                <w:sz w:val="18"/>
                <w:szCs w:val="18"/>
              </w:rPr>
            </w:pPr>
            <w:r>
              <w:rPr>
                <w:kern w:val="0"/>
                <w:sz w:val="18"/>
                <w:szCs w:val="18"/>
              </w:rPr>
              <w:t>5</w:t>
            </w:r>
          </w:p>
        </w:tc>
        <w:tc>
          <w:tcPr>
            <w:tcW w:w="1655" w:type="dxa"/>
            <w:vAlign w:val="center"/>
          </w:tcPr>
          <w:p>
            <w:pPr>
              <w:widowControl/>
              <w:adjustRightInd w:val="0"/>
              <w:snapToGrid w:val="0"/>
              <w:spacing w:line="300" w:lineRule="auto"/>
              <w:jc w:val="left"/>
              <w:rPr>
                <w:kern w:val="0"/>
                <w:sz w:val="18"/>
                <w:szCs w:val="18"/>
              </w:rPr>
            </w:pPr>
            <w:r>
              <w:rPr>
                <w:kern w:val="0"/>
                <w:sz w:val="18"/>
                <w:szCs w:val="18"/>
              </w:rPr>
              <w:t>工程科研报告撰写</w:t>
            </w:r>
          </w:p>
        </w:tc>
        <w:tc>
          <w:tcPr>
            <w:tcW w:w="2648" w:type="dxa"/>
            <w:vAlign w:val="center"/>
          </w:tcPr>
          <w:p>
            <w:pPr>
              <w:widowControl/>
              <w:adjustRightInd w:val="0"/>
              <w:snapToGrid w:val="0"/>
              <w:spacing w:line="300" w:lineRule="auto"/>
              <w:jc w:val="left"/>
              <w:rPr>
                <w:kern w:val="0"/>
                <w:sz w:val="18"/>
                <w:szCs w:val="18"/>
              </w:rPr>
            </w:pPr>
            <w:r>
              <w:rPr>
                <w:kern w:val="0"/>
                <w:sz w:val="18"/>
                <w:szCs w:val="18"/>
              </w:rPr>
              <w:t>工程与科研训练成果总结。</w:t>
            </w:r>
          </w:p>
        </w:tc>
        <w:tc>
          <w:tcPr>
            <w:tcW w:w="766"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left"/>
              <w:rPr>
                <w:kern w:val="0"/>
                <w:sz w:val="18"/>
                <w:szCs w:val="18"/>
              </w:rPr>
            </w:pPr>
            <w:r>
              <w:rPr>
                <w:kern w:val="0"/>
                <w:sz w:val="18"/>
                <w:szCs w:val="18"/>
              </w:rPr>
              <w:t>综合</w:t>
            </w:r>
          </w:p>
        </w:tc>
        <w:tc>
          <w:tcPr>
            <w:tcW w:w="741" w:type="dxa"/>
            <w:vAlign w:val="center"/>
          </w:tcPr>
          <w:p>
            <w:pPr>
              <w:adjustRightInd w:val="0"/>
              <w:snapToGrid w:val="0"/>
              <w:spacing w:line="300" w:lineRule="auto"/>
              <w:jc w:val="left"/>
              <w:rPr>
                <w:kern w:val="0"/>
                <w:sz w:val="18"/>
                <w:szCs w:val="18"/>
              </w:rPr>
            </w:pPr>
            <w:r>
              <w:rPr>
                <w:kern w:val="0"/>
                <w:sz w:val="18"/>
                <w:szCs w:val="18"/>
              </w:rPr>
              <w:t>2</w:t>
            </w:r>
            <w:r>
              <w:rPr>
                <w:rFonts w:hint="eastAsia"/>
                <w:kern w:val="0"/>
                <w:sz w:val="18"/>
                <w:szCs w:val="18"/>
              </w:rPr>
              <w:t>-</w:t>
            </w:r>
            <w:r>
              <w:rPr>
                <w:kern w:val="0"/>
                <w:sz w:val="18"/>
                <w:szCs w:val="18"/>
              </w:rPr>
              <w:t>4</w:t>
            </w:r>
          </w:p>
        </w:tc>
        <w:tc>
          <w:tcPr>
            <w:tcW w:w="743" w:type="dxa"/>
            <w:vAlign w:val="center"/>
          </w:tcPr>
          <w:p>
            <w:pPr>
              <w:adjustRightInd w:val="0"/>
              <w:snapToGrid w:val="0"/>
              <w:spacing w:line="300" w:lineRule="auto"/>
              <w:jc w:val="left"/>
              <w:rPr>
                <w:kern w:val="0"/>
                <w:sz w:val="18"/>
                <w:szCs w:val="18"/>
              </w:rPr>
            </w:pPr>
            <w:r>
              <w:rPr>
                <w:kern w:val="0"/>
                <w:sz w:val="18"/>
                <w:szCs w:val="18"/>
              </w:rPr>
              <w:t>必开</w:t>
            </w:r>
          </w:p>
        </w:tc>
        <w:tc>
          <w:tcPr>
            <w:tcW w:w="675" w:type="dxa"/>
            <w:vAlign w:val="center"/>
          </w:tcPr>
          <w:p>
            <w:pPr>
              <w:adjustRightInd w:val="0"/>
              <w:snapToGrid w:val="0"/>
              <w:spacing w:line="300" w:lineRule="auto"/>
              <w:jc w:val="left"/>
              <w:rPr>
                <w:kern w:val="0"/>
                <w:sz w:val="18"/>
                <w:szCs w:val="18"/>
              </w:rPr>
            </w:pPr>
            <w:r>
              <w:rPr>
                <w:kern w:val="0"/>
                <w:sz w:val="18"/>
                <w:szCs w:val="18"/>
              </w:rPr>
              <w:t>1，2</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1．考核方式：考查</w:t>
      </w:r>
      <w:r>
        <w:rPr>
          <w:rFonts w:hint="eastAsia"/>
        </w:rPr>
        <w:t>，</w:t>
      </w:r>
      <w:r>
        <w:rPr>
          <w:szCs w:val="21"/>
        </w:rPr>
        <w:t>工程与科研训练报告</w:t>
      </w:r>
      <w:r>
        <w:rPr>
          <w:rFonts w:hint="eastAsia"/>
          <w:szCs w:val="21"/>
        </w:rPr>
        <w:t>、</w:t>
      </w:r>
      <w:r>
        <w:rPr>
          <w:szCs w:val="21"/>
        </w:rPr>
        <w:t>实验</w:t>
      </w:r>
      <w:r>
        <w:rPr>
          <w:rFonts w:hint="eastAsia"/>
          <w:szCs w:val="21"/>
        </w:rPr>
        <w:t>、</w:t>
      </w:r>
      <w:r>
        <w:rPr>
          <w:szCs w:val="21"/>
        </w:rPr>
        <w:t>课堂表现与作业等</w:t>
      </w:r>
      <w:r>
        <w:t>。</w:t>
      </w:r>
    </w:p>
    <w:p>
      <w:pPr>
        <w:adjustRightInd w:val="0"/>
        <w:snapToGrid w:val="0"/>
        <w:spacing w:line="300" w:lineRule="auto"/>
        <w:ind w:firstLine="420" w:firstLineChars="200"/>
      </w:pPr>
      <w:r>
        <w:t>2．成绩构成：平时成绩40%，</w:t>
      </w:r>
      <w:r>
        <w:rPr>
          <w:szCs w:val="21"/>
        </w:rPr>
        <w:t>工程与科研训练报告6</w:t>
      </w:r>
      <w:r>
        <w:t>0%（</w:t>
      </w:r>
      <w:r>
        <w:rPr>
          <w:kern w:val="0"/>
          <w:szCs w:val="21"/>
        </w:rPr>
        <w:t>格式、内容、结构与创新性</w:t>
      </w:r>
      <w:r>
        <w:t>）。</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52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655"/>
        <w:gridCol w:w="655"/>
        <w:gridCol w:w="638"/>
        <w:gridCol w:w="545"/>
        <w:gridCol w:w="3229"/>
        <w:gridCol w:w="1134"/>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right"/>
        </w:trPr>
        <w:tc>
          <w:tcPr>
            <w:tcW w:w="652" w:type="dxa"/>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655" w:type="dxa"/>
            <w:vAlign w:val="center"/>
          </w:tcPr>
          <w:p>
            <w:pPr>
              <w:adjustRightInd w:val="0"/>
              <w:snapToGrid w:val="0"/>
              <w:spacing w:line="300" w:lineRule="auto"/>
              <w:jc w:val="center"/>
              <w:rPr>
                <w:b/>
                <w:bCs/>
                <w:sz w:val="18"/>
                <w:szCs w:val="18"/>
              </w:rPr>
            </w:pPr>
            <w:r>
              <w:rPr>
                <w:b/>
                <w:bCs/>
                <w:sz w:val="18"/>
                <w:szCs w:val="18"/>
              </w:rPr>
              <w:t>分值</w:t>
            </w:r>
          </w:p>
        </w:tc>
        <w:tc>
          <w:tcPr>
            <w:tcW w:w="655" w:type="dxa"/>
            <w:vAlign w:val="center"/>
          </w:tcPr>
          <w:p>
            <w:pPr>
              <w:adjustRightInd w:val="0"/>
              <w:snapToGrid w:val="0"/>
              <w:spacing w:line="300" w:lineRule="auto"/>
              <w:jc w:val="center"/>
              <w:rPr>
                <w:b/>
                <w:bCs/>
                <w:sz w:val="18"/>
                <w:szCs w:val="18"/>
              </w:rPr>
            </w:pPr>
            <w:r>
              <w:rPr>
                <w:b/>
                <w:bCs/>
                <w:sz w:val="18"/>
                <w:szCs w:val="18"/>
              </w:rPr>
              <w:t>权重</w:t>
            </w:r>
          </w:p>
        </w:tc>
        <w:tc>
          <w:tcPr>
            <w:tcW w:w="638" w:type="dxa"/>
            <w:vAlign w:val="center"/>
          </w:tcPr>
          <w:p>
            <w:pPr>
              <w:adjustRightInd w:val="0"/>
              <w:snapToGrid w:val="0"/>
              <w:spacing w:line="300" w:lineRule="auto"/>
              <w:jc w:val="center"/>
              <w:rPr>
                <w:b/>
                <w:bCs/>
                <w:sz w:val="18"/>
                <w:szCs w:val="18"/>
              </w:rPr>
            </w:pPr>
            <w:r>
              <w:rPr>
                <w:b/>
                <w:bCs/>
                <w:sz w:val="18"/>
                <w:szCs w:val="18"/>
              </w:rPr>
              <w:t>类别</w:t>
            </w:r>
          </w:p>
        </w:tc>
        <w:tc>
          <w:tcPr>
            <w:tcW w:w="545" w:type="dxa"/>
            <w:vAlign w:val="center"/>
          </w:tcPr>
          <w:p>
            <w:pPr>
              <w:adjustRightInd w:val="0"/>
              <w:snapToGrid w:val="0"/>
              <w:spacing w:line="300" w:lineRule="auto"/>
              <w:jc w:val="center"/>
              <w:rPr>
                <w:b/>
                <w:bCs/>
                <w:sz w:val="18"/>
                <w:szCs w:val="18"/>
              </w:rPr>
            </w:pPr>
            <w:r>
              <w:rPr>
                <w:b/>
                <w:bCs/>
                <w:sz w:val="18"/>
                <w:szCs w:val="18"/>
              </w:rPr>
              <w:t>权重</w:t>
            </w:r>
          </w:p>
        </w:tc>
        <w:tc>
          <w:tcPr>
            <w:tcW w:w="3229" w:type="dxa"/>
            <w:vAlign w:val="center"/>
          </w:tcPr>
          <w:p>
            <w:pPr>
              <w:adjustRightInd w:val="0"/>
              <w:snapToGrid w:val="0"/>
              <w:spacing w:line="300" w:lineRule="auto"/>
              <w:jc w:val="center"/>
              <w:rPr>
                <w:b/>
                <w:bCs/>
                <w:sz w:val="18"/>
                <w:szCs w:val="18"/>
              </w:rPr>
            </w:pPr>
            <w:r>
              <w:rPr>
                <w:b/>
                <w:bCs/>
                <w:sz w:val="18"/>
                <w:szCs w:val="18"/>
              </w:rPr>
              <w:t>考核/评价细则</w:t>
            </w:r>
          </w:p>
        </w:tc>
        <w:tc>
          <w:tcPr>
            <w:tcW w:w="1134" w:type="dxa"/>
            <w:vAlign w:val="center"/>
          </w:tcPr>
          <w:p>
            <w:pPr>
              <w:adjustRightInd w:val="0"/>
              <w:snapToGrid w:val="0"/>
              <w:spacing w:line="300" w:lineRule="auto"/>
              <w:jc w:val="center"/>
              <w:rPr>
                <w:b/>
                <w:bCs/>
                <w:sz w:val="18"/>
                <w:szCs w:val="18"/>
              </w:rPr>
            </w:pPr>
            <w:r>
              <w:rPr>
                <w:b/>
                <w:bCs/>
                <w:sz w:val="18"/>
                <w:szCs w:val="18"/>
              </w:rPr>
              <w:t>课程目标</w:t>
            </w:r>
          </w:p>
        </w:tc>
        <w:tc>
          <w:tcPr>
            <w:tcW w:w="1016" w:type="dxa"/>
            <w:vAlign w:val="center"/>
          </w:tcPr>
          <w:p>
            <w:pPr>
              <w:adjustRightInd w:val="0"/>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right"/>
        </w:trPr>
        <w:tc>
          <w:tcPr>
            <w:tcW w:w="652" w:type="dxa"/>
            <w:vMerge w:val="restart"/>
            <w:vAlign w:val="center"/>
          </w:tcPr>
          <w:p>
            <w:pPr>
              <w:adjustRightInd w:val="0"/>
              <w:snapToGrid w:val="0"/>
              <w:spacing w:line="300" w:lineRule="auto"/>
              <w:rPr>
                <w:sz w:val="18"/>
                <w:szCs w:val="18"/>
              </w:rPr>
            </w:pPr>
          </w:p>
          <w:p>
            <w:pPr>
              <w:adjustRightInd w:val="0"/>
              <w:snapToGrid w:val="0"/>
              <w:spacing w:line="300" w:lineRule="auto"/>
              <w:rPr>
                <w:sz w:val="18"/>
                <w:szCs w:val="18"/>
              </w:rPr>
            </w:pPr>
            <w:r>
              <w:rPr>
                <w:sz w:val="18"/>
                <w:szCs w:val="18"/>
              </w:rPr>
              <w:t>平时</w:t>
            </w:r>
          </w:p>
          <w:p>
            <w:pPr>
              <w:adjustRightInd w:val="0"/>
              <w:snapToGrid w:val="0"/>
              <w:spacing w:line="300" w:lineRule="auto"/>
              <w:rPr>
                <w:sz w:val="18"/>
                <w:szCs w:val="18"/>
              </w:rPr>
            </w:pPr>
            <w:r>
              <w:rPr>
                <w:sz w:val="18"/>
                <w:szCs w:val="18"/>
              </w:rPr>
              <w:t>成绩</w:t>
            </w:r>
          </w:p>
        </w:tc>
        <w:tc>
          <w:tcPr>
            <w:tcW w:w="655" w:type="dxa"/>
            <w:vMerge w:val="restart"/>
            <w:vAlign w:val="center"/>
          </w:tcPr>
          <w:p>
            <w:pPr>
              <w:adjustRightInd w:val="0"/>
              <w:snapToGrid w:val="0"/>
              <w:spacing w:line="300" w:lineRule="auto"/>
              <w:jc w:val="center"/>
              <w:rPr>
                <w:sz w:val="18"/>
                <w:szCs w:val="18"/>
              </w:rPr>
            </w:pPr>
            <w:r>
              <w:rPr>
                <w:sz w:val="18"/>
                <w:szCs w:val="18"/>
              </w:rPr>
              <w:t>100</w:t>
            </w:r>
          </w:p>
        </w:tc>
        <w:tc>
          <w:tcPr>
            <w:tcW w:w="655" w:type="dxa"/>
            <w:vMerge w:val="restart"/>
            <w:vAlign w:val="center"/>
          </w:tcPr>
          <w:p>
            <w:pPr>
              <w:adjustRightInd w:val="0"/>
              <w:snapToGrid w:val="0"/>
              <w:spacing w:line="300" w:lineRule="auto"/>
              <w:jc w:val="center"/>
              <w:rPr>
                <w:sz w:val="18"/>
                <w:szCs w:val="18"/>
              </w:rPr>
            </w:pPr>
            <w:r>
              <w:rPr>
                <w:sz w:val="18"/>
                <w:szCs w:val="18"/>
              </w:rPr>
              <w:t>0.4</w:t>
            </w:r>
          </w:p>
        </w:tc>
        <w:tc>
          <w:tcPr>
            <w:tcW w:w="638" w:type="dxa"/>
            <w:vAlign w:val="center"/>
          </w:tcPr>
          <w:p>
            <w:pPr>
              <w:adjustRightInd w:val="0"/>
              <w:snapToGrid w:val="0"/>
              <w:spacing w:line="300" w:lineRule="auto"/>
              <w:jc w:val="center"/>
              <w:rPr>
                <w:sz w:val="18"/>
                <w:szCs w:val="18"/>
              </w:rPr>
            </w:pPr>
            <w:r>
              <w:rPr>
                <w:sz w:val="18"/>
                <w:szCs w:val="18"/>
              </w:rPr>
              <w:t>课堂表现与作业</w:t>
            </w:r>
          </w:p>
        </w:tc>
        <w:tc>
          <w:tcPr>
            <w:tcW w:w="545" w:type="dxa"/>
            <w:vAlign w:val="center"/>
          </w:tcPr>
          <w:p>
            <w:pPr>
              <w:adjustRightInd w:val="0"/>
              <w:snapToGrid w:val="0"/>
              <w:spacing w:line="300" w:lineRule="auto"/>
              <w:jc w:val="center"/>
              <w:rPr>
                <w:sz w:val="18"/>
                <w:szCs w:val="18"/>
              </w:rPr>
            </w:pPr>
            <w:r>
              <w:rPr>
                <w:sz w:val="18"/>
                <w:szCs w:val="18"/>
              </w:rPr>
              <w:t>0.5</w:t>
            </w:r>
          </w:p>
        </w:tc>
        <w:tc>
          <w:tcPr>
            <w:tcW w:w="3229" w:type="dxa"/>
            <w:vAlign w:val="center"/>
          </w:tcPr>
          <w:p>
            <w:pPr>
              <w:adjustRightInd w:val="0"/>
              <w:snapToGrid w:val="0"/>
              <w:spacing w:line="300" w:lineRule="auto"/>
              <w:rPr>
                <w:sz w:val="18"/>
                <w:szCs w:val="18"/>
              </w:rPr>
            </w:pPr>
            <w:r>
              <w:rPr>
                <w:sz w:val="18"/>
                <w:szCs w:val="18"/>
              </w:rPr>
              <w:t>根据学生课堂</w:t>
            </w:r>
            <w:r>
              <w:rPr>
                <w:rFonts w:hint="eastAsia"/>
                <w:sz w:val="18"/>
                <w:szCs w:val="18"/>
              </w:rPr>
              <w:t>发言</w:t>
            </w:r>
            <w:r>
              <w:rPr>
                <w:sz w:val="18"/>
                <w:szCs w:val="18"/>
              </w:rPr>
              <w:t>与讨论</w:t>
            </w:r>
            <w:r>
              <w:rPr>
                <w:rFonts w:hint="eastAsia"/>
                <w:sz w:val="18"/>
                <w:szCs w:val="18"/>
              </w:rPr>
              <w:t>，</w:t>
            </w:r>
            <w:r>
              <w:rPr>
                <w:sz w:val="18"/>
                <w:szCs w:val="18"/>
              </w:rPr>
              <w:t>以及作业完成质量。</w:t>
            </w:r>
          </w:p>
        </w:tc>
        <w:tc>
          <w:tcPr>
            <w:tcW w:w="1134" w:type="dxa"/>
            <w:vAlign w:val="center"/>
          </w:tcPr>
          <w:p>
            <w:pPr>
              <w:adjustRightInd w:val="0"/>
              <w:snapToGrid w:val="0"/>
              <w:spacing w:line="300" w:lineRule="auto"/>
              <w:jc w:val="left"/>
              <w:rPr>
                <w:sz w:val="18"/>
                <w:szCs w:val="18"/>
              </w:rPr>
            </w:pPr>
            <w:r>
              <w:rPr>
                <w:sz w:val="18"/>
                <w:szCs w:val="18"/>
              </w:rPr>
              <w:t>1，2，3, 4</w:t>
            </w:r>
          </w:p>
        </w:tc>
        <w:tc>
          <w:tcPr>
            <w:tcW w:w="1016" w:type="dxa"/>
            <w:vAlign w:val="center"/>
          </w:tcPr>
          <w:p>
            <w:pPr>
              <w:adjustRightInd w:val="0"/>
              <w:snapToGrid w:val="0"/>
              <w:spacing w:line="300" w:lineRule="auto"/>
              <w:jc w:val="left"/>
              <w:rPr>
                <w:sz w:val="18"/>
                <w:szCs w:val="18"/>
              </w:rPr>
            </w:pPr>
            <w:r>
              <w:rPr>
                <w:rFonts w:hint="eastAsia"/>
                <w:sz w:val="18"/>
                <w:szCs w:val="18"/>
              </w:rPr>
              <w:t>2.</w:t>
            </w:r>
            <w:r>
              <w:rPr>
                <w:sz w:val="18"/>
                <w:szCs w:val="18"/>
              </w:rPr>
              <w:t>3,</w:t>
            </w:r>
            <w:r>
              <w:rPr>
                <w:rFonts w:hint="eastAsia"/>
                <w:sz w:val="18"/>
                <w:szCs w:val="18"/>
              </w:rPr>
              <w:t>.3</w:t>
            </w:r>
            <w:r>
              <w:rPr>
                <w:sz w:val="18"/>
                <w:szCs w:val="18"/>
              </w:rPr>
              <w:t xml:space="preserve">.3, </w:t>
            </w:r>
            <w:r>
              <w:rPr>
                <w:rFonts w:hint="eastAsia"/>
                <w:sz w:val="18"/>
                <w:szCs w:val="18"/>
              </w:rPr>
              <w:t>4.3</w:t>
            </w:r>
            <w:r>
              <w:rPr>
                <w:sz w:val="18"/>
                <w:szCs w:val="18"/>
              </w:rPr>
              <w:t xml:space="preserve">, </w:t>
            </w:r>
            <w:r>
              <w:rPr>
                <w:rFonts w:hint="eastAsia"/>
                <w:sz w:val="18"/>
                <w:szCs w:val="18"/>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right"/>
        </w:trPr>
        <w:tc>
          <w:tcPr>
            <w:tcW w:w="652" w:type="dxa"/>
            <w:vMerge w:val="continue"/>
            <w:vAlign w:val="center"/>
          </w:tcPr>
          <w:p>
            <w:pPr>
              <w:adjustRightInd w:val="0"/>
              <w:snapToGrid w:val="0"/>
              <w:spacing w:line="300" w:lineRule="auto"/>
              <w:rPr>
                <w:sz w:val="18"/>
                <w:szCs w:val="18"/>
              </w:rPr>
            </w:pPr>
          </w:p>
        </w:tc>
        <w:tc>
          <w:tcPr>
            <w:tcW w:w="655" w:type="dxa"/>
            <w:vMerge w:val="continue"/>
            <w:vAlign w:val="center"/>
          </w:tcPr>
          <w:p>
            <w:pPr>
              <w:adjustRightInd w:val="0"/>
              <w:snapToGrid w:val="0"/>
              <w:spacing w:line="300" w:lineRule="auto"/>
              <w:jc w:val="center"/>
              <w:rPr>
                <w:sz w:val="18"/>
                <w:szCs w:val="18"/>
              </w:rPr>
            </w:pPr>
          </w:p>
        </w:tc>
        <w:tc>
          <w:tcPr>
            <w:tcW w:w="655" w:type="dxa"/>
            <w:vMerge w:val="continue"/>
            <w:vAlign w:val="center"/>
          </w:tcPr>
          <w:p>
            <w:pPr>
              <w:adjustRightInd w:val="0"/>
              <w:snapToGrid w:val="0"/>
              <w:spacing w:line="300" w:lineRule="auto"/>
              <w:jc w:val="center"/>
              <w:rPr>
                <w:sz w:val="18"/>
                <w:szCs w:val="18"/>
              </w:rPr>
            </w:pPr>
          </w:p>
        </w:tc>
        <w:tc>
          <w:tcPr>
            <w:tcW w:w="638" w:type="dxa"/>
            <w:vAlign w:val="center"/>
          </w:tcPr>
          <w:p>
            <w:pPr>
              <w:adjustRightInd w:val="0"/>
              <w:snapToGrid w:val="0"/>
              <w:spacing w:line="300" w:lineRule="auto"/>
              <w:jc w:val="center"/>
              <w:rPr>
                <w:sz w:val="18"/>
                <w:szCs w:val="18"/>
              </w:rPr>
            </w:pPr>
            <w:r>
              <w:rPr>
                <w:sz w:val="18"/>
                <w:szCs w:val="18"/>
              </w:rPr>
              <w:t>实验</w:t>
            </w:r>
          </w:p>
        </w:tc>
        <w:tc>
          <w:tcPr>
            <w:tcW w:w="545" w:type="dxa"/>
            <w:vAlign w:val="center"/>
          </w:tcPr>
          <w:p>
            <w:pPr>
              <w:adjustRightInd w:val="0"/>
              <w:snapToGrid w:val="0"/>
              <w:spacing w:line="300" w:lineRule="auto"/>
              <w:jc w:val="center"/>
              <w:rPr>
                <w:sz w:val="18"/>
                <w:szCs w:val="18"/>
              </w:rPr>
            </w:pPr>
            <w:r>
              <w:rPr>
                <w:sz w:val="18"/>
                <w:szCs w:val="18"/>
              </w:rPr>
              <w:t>0.5</w:t>
            </w:r>
          </w:p>
        </w:tc>
        <w:tc>
          <w:tcPr>
            <w:tcW w:w="3229" w:type="dxa"/>
            <w:vAlign w:val="center"/>
          </w:tcPr>
          <w:p>
            <w:pPr>
              <w:adjustRightInd w:val="0"/>
              <w:snapToGrid w:val="0"/>
              <w:spacing w:line="300" w:lineRule="auto"/>
              <w:jc w:val="left"/>
              <w:rPr>
                <w:sz w:val="18"/>
                <w:szCs w:val="18"/>
              </w:rPr>
            </w:pPr>
            <w:r>
              <w:rPr>
                <w:sz w:val="18"/>
                <w:szCs w:val="18"/>
              </w:rPr>
              <w:t>根据实验完成质量，以及实验报告质量评分，满分100分。</w:t>
            </w:r>
          </w:p>
        </w:tc>
        <w:tc>
          <w:tcPr>
            <w:tcW w:w="1134" w:type="dxa"/>
            <w:vAlign w:val="center"/>
          </w:tcPr>
          <w:p>
            <w:pPr>
              <w:adjustRightInd w:val="0"/>
              <w:snapToGrid w:val="0"/>
              <w:spacing w:line="300" w:lineRule="auto"/>
              <w:jc w:val="left"/>
              <w:rPr>
                <w:sz w:val="18"/>
                <w:szCs w:val="18"/>
              </w:rPr>
            </w:pPr>
            <w:r>
              <w:rPr>
                <w:sz w:val="18"/>
                <w:szCs w:val="18"/>
              </w:rPr>
              <w:t>1，2，3，4，5，6</w:t>
            </w:r>
          </w:p>
        </w:tc>
        <w:tc>
          <w:tcPr>
            <w:tcW w:w="1016" w:type="dxa"/>
            <w:vAlign w:val="center"/>
          </w:tcPr>
          <w:p>
            <w:pPr>
              <w:adjustRightInd w:val="0"/>
              <w:snapToGrid w:val="0"/>
              <w:spacing w:line="300" w:lineRule="auto"/>
              <w:jc w:val="left"/>
              <w:rPr>
                <w:sz w:val="18"/>
                <w:szCs w:val="18"/>
              </w:rPr>
            </w:pPr>
            <w:r>
              <w:rPr>
                <w:rFonts w:hint="eastAsia"/>
                <w:sz w:val="18"/>
                <w:szCs w:val="18"/>
              </w:rPr>
              <w:t>2.</w:t>
            </w:r>
            <w:r>
              <w:rPr>
                <w:sz w:val="18"/>
                <w:szCs w:val="18"/>
              </w:rPr>
              <w:t>3</w:t>
            </w:r>
            <w:r>
              <w:rPr>
                <w:rFonts w:hint="eastAsia"/>
                <w:sz w:val="18"/>
                <w:szCs w:val="18"/>
              </w:rPr>
              <w:t>，3.3，4.3，6.1，11.1，11.2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right"/>
        </w:trPr>
        <w:tc>
          <w:tcPr>
            <w:tcW w:w="652" w:type="dxa"/>
            <w:vAlign w:val="center"/>
          </w:tcPr>
          <w:p>
            <w:pPr>
              <w:adjustRightInd w:val="0"/>
              <w:snapToGrid w:val="0"/>
              <w:spacing w:line="300" w:lineRule="auto"/>
              <w:jc w:val="left"/>
              <w:rPr>
                <w:sz w:val="18"/>
                <w:szCs w:val="18"/>
              </w:rPr>
            </w:pPr>
            <w:r>
              <w:rPr>
                <w:sz w:val="18"/>
                <w:szCs w:val="18"/>
              </w:rPr>
              <w:t>期末考试成绩</w:t>
            </w:r>
          </w:p>
        </w:tc>
        <w:tc>
          <w:tcPr>
            <w:tcW w:w="655" w:type="dxa"/>
            <w:vAlign w:val="center"/>
          </w:tcPr>
          <w:p>
            <w:pPr>
              <w:adjustRightInd w:val="0"/>
              <w:snapToGrid w:val="0"/>
              <w:spacing w:line="300" w:lineRule="auto"/>
              <w:jc w:val="center"/>
              <w:rPr>
                <w:sz w:val="18"/>
                <w:szCs w:val="18"/>
              </w:rPr>
            </w:pPr>
            <w:r>
              <w:rPr>
                <w:sz w:val="18"/>
                <w:szCs w:val="18"/>
              </w:rPr>
              <w:t>100</w:t>
            </w:r>
          </w:p>
        </w:tc>
        <w:tc>
          <w:tcPr>
            <w:tcW w:w="655" w:type="dxa"/>
            <w:vAlign w:val="center"/>
          </w:tcPr>
          <w:p>
            <w:pPr>
              <w:adjustRightInd w:val="0"/>
              <w:snapToGrid w:val="0"/>
              <w:spacing w:line="300" w:lineRule="auto"/>
              <w:jc w:val="center"/>
              <w:rPr>
                <w:sz w:val="18"/>
                <w:szCs w:val="18"/>
              </w:rPr>
            </w:pPr>
            <w:r>
              <w:rPr>
                <w:sz w:val="18"/>
                <w:szCs w:val="18"/>
              </w:rPr>
              <w:t>0.6</w:t>
            </w:r>
          </w:p>
        </w:tc>
        <w:tc>
          <w:tcPr>
            <w:tcW w:w="638" w:type="dxa"/>
            <w:vAlign w:val="center"/>
          </w:tcPr>
          <w:p>
            <w:pPr>
              <w:adjustRightInd w:val="0"/>
              <w:snapToGrid w:val="0"/>
              <w:spacing w:line="300" w:lineRule="auto"/>
              <w:jc w:val="left"/>
              <w:rPr>
                <w:sz w:val="18"/>
                <w:szCs w:val="18"/>
              </w:rPr>
            </w:pPr>
            <w:r>
              <w:rPr>
                <w:sz w:val="18"/>
                <w:szCs w:val="18"/>
              </w:rPr>
              <w:t>训练报告</w:t>
            </w:r>
          </w:p>
        </w:tc>
        <w:tc>
          <w:tcPr>
            <w:tcW w:w="545" w:type="dxa"/>
            <w:vAlign w:val="center"/>
          </w:tcPr>
          <w:p>
            <w:pPr>
              <w:adjustRightInd w:val="0"/>
              <w:snapToGrid w:val="0"/>
              <w:spacing w:line="300" w:lineRule="auto"/>
              <w:jc w:val="center"/>
              <w:rPr>
                <w:sz w:val="18"/>
                <w:szCs w:val="18"/>
              </w:rPr>
            </w:pPr>
            <w:r>
              <w:rPr>
                <w:sz w:val="18"/>
                <w:szCs w:val="18"/>
              </w:rPr>
              <w:t>1</w:t>
            </w:r>
          </w:p>
        </w:tc>
        <w:tc>
          <w:tcPr>
            <w:tcW w:w="3229" w:type="dxa"/>
            <w:vAlign w:val="center"/>
          </w:tcPr>
          <w:p>
            <w:pPr>
              <w:adjustRightInd w:val="0"/>
              <w:snapToGrid w:val="0"/>
              <w:spacing w:line="300" w:lineRule="auto"/>
              <w:rPr>
                <w:sz w:val="18"/>
                <w:szCs w:val="18"/>
              </w:rPr>
            </w:pPr>
            <w:r>
              <w:rPr>
                <w:sz w:val="18"/>
                <w:szCs w:val="18"/>
              </w:rPr>
              <w:t>工程与科研训练报告撰写格式的规范性</w:t>
            </w:r>
          </w:p>
          <w:p>
            <w:pPr>
              <w:adjustRightInd w:val="0"/>
              <w:snapToGrid w:val="0"/>
              <w:spacing w:line="300" w:lineRule="auto"/>
              <w:rPr>
                <w:sz w:val="18"/>
                <w:szCs w:val="18"/>
              </w:rPr>
            </w:pPr>
            <w:r>
              <w:rPr>
                <w:sz w:val="18"/>
                <w:szCs w:val="18"/>
              </w:rPr>
              <w:t>工程与科研训练报告</w:t>
            </w:r>
            <w:r>
              <w:rPr>
                <w:kern w:val="0"/>
                <w:sz w:val="18"/>
                <w:szCs w:val="18"/>
              </w:rPr>
              <w:t>的内容、结构与创新性</w:t>
            </w:r>
            <w:r>
              <w:rPr>
                <w:rFonts w:hint="eastAsia"/>
                <w:kern w:val="0"/>
                <w:sz w:val="18"/>
                <w:szCs w:val="18"/>
              </w:rPr>
              <w:t>.</w:t>
            </w:r>
          </w:p>
        </w:tc>
        <w:tc>
          <w:tcPr>
            <w:tcW w:w="1134" w:type="dxa"/>
            <w:vAlign w:val="center"/>
          </w:tcPr>
          <w:p>
            <w:pPr>
              <w:adjustRightInd w:val="0"/>
              <w:snapToGrid w:val="0"/>
              <w:spacing w:line="300" w:lineRule="auto"/>
              <w:jc w:val="left"/>
              <w:rPr>
                <w:sz w:val="18"/>
                <w:szCs w:val="18"/>
              </w:rPr>
            </w:pPr>
            <w:r>
              <w:rPr>
                <w:sz w:val="18"/>
                <w:szCs w:val="18"/>
              </w:rPr>
              <w:t>2，3，4，5，6</w:t>
            </w:r>
          </w:p>
        </w:tc>
        <w:tc>
          <w:tcPr>
            <w:tcW w:w="1016" w:type="dxa"/>
            <w:vAlign w:val="center"/>
          </w:tcPr>
          <w:p>
            <w:pPr>
              <w:adjustRightInd w:val="0"/>
              <w:snapToGrid w:val="0"/>
              <w:spacing w:line="300" w:lineRule="auto"/>
              <w:jc w:val="left"/>
              <w:rPr>
                <w:sz w:val="18"/>
                <w:szCs w:val="18"/>
              </w:rPr>
            </w:pPr>
            <w:r>
              <w:rPr>
                <w:rFonts w:hint="eastAsia"/>
                <w:sz w:val="18"/>
                <w:szCs w:val="18"/>
              </w:rPr>
              <w:t>3.3，4.3，6.1，11.1，11.2</w:t>
            </w:r>
          </w:p>
        </w:tc>
      </w:tr>
    </w:tbl>
    <w:p>
      <w:pPr>
        <w:adjustRightInd w:val="0"/>
        <w:snapToGrid w:val="0"/>
        <w:spacing w:before="156" w:beforeLines="50" w:after="156" w:afterLines="50" w:line="300" w:lineRule="auto"/>
        <w:rPr>
          <w:b/>
          <w:sz w:val="24"/>
        </w:rPr>
      </w:pPr>
      <w:r>
        <w:rPr>
          <w:b/>
          <w:sz w:val="24"/>
        </w:rPr>
        <w:t>六、</w:t>
      </w:r>
      <w:r>
        <w:rPr>
          <w:rFonts w:hint="eastAsia"/>
          <w:b/>
          <w:sz w:val="24"/>
        </w:rPr>
        <w:t>课程教学目标达成情况评价</w:t>
      </w:r>
    </w:p>
    <w:p>
      <w:pPr>
        <w:adjustRightInd w:val="0"/>
        <w:snapToGrid w:val="0"/>
        <w:spacing w:line="300" w:lineRule="auto"/>
        <w:ind w:firstLine="420" w:firstLineChars="200"/>
        <w:rPr>
          <w:szCs w:val="21"/>
        </w:rPr>
      </w:pPr>
      <w:r>
        <w:rPr>
          <w:szCs w:val="21"/>
        </w:rPr>
        <w:t>1</w:t>
      </w:r>
      <w:r>
        <w:t>．</w:t>
      </w:r>
      <w:r>
        <w:rPr>
          <w:rFonts w:hint="eastAsia"/>
          <w:szCs w:val="21"/>
        </w:rPr>
        <w:t>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rFonts w:hint="eastAsia"/>
          <w:position w:val="-16"/>
        </w:rPr>
        <w:object>
          <v:shape id="_x0000_i1119" o:spt="75" type="#_x0000_t75" style="height:33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19" DrawAspect="Content" ObjectID="_1468075816" r:id="rId132">
            <o:LockedField>false</o:LockedField>
          </o:OLEObject>
        </w:object>
      </w:r>
    </w:p>
    <w:p>
      <w:pPr>
        <w:adjustRightInd w:val="0"/>
        <w:snapToGrid w:val="0"/>
        <w:spacing w:line="300" w:lineRule="auto"/>
        <w:ind w:firstLine="420" w:firstLineChars="200"/>
      </w:pPr>
      <w:r>
        <w:t>课程总目标达成情况为6个课程目标的加权得分率，其计算公式为：</w:t>
      </w:r>
    </w:p>
    <w:p>
      <w:pPr>
        <w:adjustRightInd w:val="0"/>
        <w:snapToGrid w:val="0"/>
        <w:spacing w:line="300" w:lineRule="auto"/>
        <w:jc w:val="center"/>
      </w:pPr>
      <w:r>
        <w:t xml:space="preserve"> </w:t>
      </w:r>
      <w:r>
        <w:rPr>
          <w:rFonts w:hint="eastAsia"/>
          <w:position w:val="-10"/>
        </w:rPr>
        <w:object>
          <v:shape id="_x0000_i1120" o:spt="75" type="#_x0000_t75" style="height:24pt;width:245.25pt;" o:ole="t" filled="f" o:preferrelative="t" stroked="f" coordsize="21600,21600">
            <v:path/>
            <v:fill on="f" focussize="0,0"/>
            <v:stroke on="f" joinstyle="miter"/>
            <v:imagedata r:id="rId59" o:title=""/>
            <o:lock v:ext="edit" aspectratio="t"/>
            <w10:wrap type="none"/>
            <w10:anchorlock/>
          </v:shape>
          <o:OLEObject Type="Embed" ProgID="Equation.DSMT4" ShapeID="_x0000_i1120" DrawAspect="Content" ObjectID="_1468075817" r:id="rId133">
            <o:LockedField>false</o:LockedField>
          </o:OLEObject>
        </w:object>
      </w:r>
    </w:p>
    <w:p>
      <w:pPr>
        <w:adjustRightInd w:val="0"/>
        <w:snapToGrid w:val="0"/>
        <w:spacing w:line="300" w:lineRule="auto"/>
      </w:pPr>
      <w:r>
        <w:t>其中权重系数按照表6设定。</w:t>
      </w:r>
    </w:p>
    <w:p>
      <w:pPr>
        <w:adjustRightInd w:val="0"/>
        <w:snapToGrid w:val="0"/>
        <w:spacing w:before="156" w:beforeLines="50" w:line="300" w:lineRule="auto"/>
        <w:jc w:val="center"/>
        <w:rPr>
          <w:b/>
          <w:bCs/>
          <w:sz w:val="18"/>
          <w:szCs w:val="18"/>
        </w:rPr>
      </w:pPr>
      <w:r>
        <w:rPr>
          <w:b/>
          <w:bCs/>
          <w:sz w:val="18"/>
          <w:szCs w:val="18"/>
        </w:rPr>
        <w:t>表6课程目标权重系数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51"/>
        <w:gridCol w:w="1110"/>
        <w:gridCol w:w="1314"/>
        <w:gridCol w:w="1302"/>
        <w:gridCol w:w="1302"/>
        <w:gridCol w:w="1302"/>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051" w:type="dxa"/>
            <w:vAlign w:val="center"/>
          </w:tcPr>
          <w:p>
            <w:pPr>
              <w:adjustRightInd w:val="0"/>
              <w:snapToGrid w:val="0"/>
              <w:spacing w:line="300" w:lineRule="auto"/>
              <w:jc w:val="center"/>
              <w:rPr>
                <w:b/>
                <w:bCs/>
                <w:sz w:val="18"/>
                <w:szCs w:val="18"/>
              </w:rPr>
            </w:pPr>
            <w:r>
              <w:rPr>
                <w:b/>
                <w:bCs/>
                <w:sz w:val="18"/>
                <w:szCs w:val="18"/>
              </w:rPr>
              <w:t>课程目标</w:t>
            </w:r>
          </w:p>
        </w:tc>
        <w:tc>
          <w:tcPr>
            <w:tcW w:w="1110" w:type="dxa"/>
            <w:vAlign w:val="center"/>
          </w:tcPr>
          <w:p>
            <w:pPr>
              <w:adjustRightInd w:val="0"/>
              <w:snapToGrid w:val="0"/>
              <w:spacing w:line="300" w:lineRule="auto"/>
              <w:jc w:val="center"/>
              <w:rPr>
                <w:sz w:val="18"/>
                <w:szCs w:val="18"/>
              </w:rPr>
            </w:pPr>
            <w:r>
              <w:rPr>
                <w:sz w:val="18"/>
                <w:szCs w:val="18"/>
              </w:rPr>
              <w:t>1</w:t>
            </w:r>
          </w:p>
        </w:tc>
        <w:tc>
          <w:tcPr>
            <w:tcW w:w="1314" w:type="dxa"/>
            <w:vAlign w:val="center"/>
          </w:tcPr>
          <w:p>
            <w:pPr>
              <w:adjustRightInd w:val="0"/>
              <w:snapToGrid w:val="0"/>
              <w:spacing w:line="300" w:lineRule="auto"/>
              <w:jc w:val="center"/>
              <w:rPr>
                <w:sz w:val="18"/>
                <w:szCs w:val="18"/>
              </w:rPr>
            </w:pPr>
            <w:r>
              <w:rPr>
                <w:sz w:val="18"/>
                <w:szCs w:val="18"/>
              </w:rPr>
              <w:t>2</w:t>
            </w:r>
          </w:p>
        </w:tc>
        <w:tc>
          <w:tcPr>
            <w:tcW w:w="1302" w:type="dxa"/>
            <w:vAlign w:val="center"/>
          </w:tcPr>
          <w:p>
            <w:pPr>
              <w:adjustRightInd w:val="0"/>
              <w:snapToGrid w:val="0"/>
              <w:spacing w:line="300" w:lineRule="auto"/>
              <w:jc w:val="center"/>
              <w:rPr>
                <w:sz w:val="18"/>
                <w:szCs w:val="18"/>
              </w:rPr>
            </w:pPr>
            <w:r>
              <w:rPr>
                <w:sz w:val="18"/>
                <w:szCs w:val="18"/>
              </w:rPr>
              <w:t>3</w:t>
            </w:r>
          </w:p>
        </w:tc>
        <w:tc>
          <w:tcPr>
            <w:tcW w:w="1302" w:type="dxa"/>
            <w:vAlign w:val="center"/>
          </w:tcPr>
          <w:p>
            <w:pPr>
              <w:adjustRightInd w:val="0"/>
              <w:snapToGrid w:val="0"/>
              <w:spacing w:line="300" w:lineRule="auto"/>
              <w:jc w:val="center"/>
              <w:rPr>
                <w:sz w:val="18"/>
                <w:szCs w:val="18"/>
              </w:rPr>
            </w:pPr>
            <w:r>
              <w:rPr>
                <w:sz w:val="18"/>
                <w:szCs w:val="18"/>
              </w:rPr>
              <w:t>4</w:t>
            </w:r>
          </w:p>
        </w:tc>
        <w:tc>
          <w:tcPr>
            <w:tcW w:w="1302" w:type="dxa"/>
            <w:vAlign w:val="center"/>
          </w:tcPr>
          <w:p>
            <w:pPr>
              <w:adjustRightInd w:val="0"/>
              <w:snapToGrid w:val="0"/>
              <w:spacing w:line="300" w:lineRule="auto"/>
              <w:jc w:val="center"/>
              <w:rPr>
                <w:sz w:val="18"/>
                <w:szCs w:val="18"/>
              </w:rPr>
            </w:pPr>
            <w:r>
              <w:rPr>
                <w:sz w:val="18"/>
                <w:szCs w:val="18"/>
              </w:rPr>
              <w:t>5</w:t>
            </w:r>
          </w:p>
        </w:tc>
        <w:tc>
          <w:tcPr>
            <w:tcW w:w="1300" w:type="dxa"/>
            <w:vAlign w:val="center"/>
          </w:tcPr>
          <w:p>
            <w:pPr>
              <w:adjustRightInd w:val="0"/>
              <w:snapToGrid w:val="0"/>
              <w:spacing w:line="300" w:lineRule="auto"/>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35" w:hRule="atLeast"/>
        </w:trPr>
        <w:tc>
          <w:tcPr>
            <w:tcW w:w="1051" w:type="dxa"/>
            <w:vAlign w:val="center"/>
          </w:tcPr>
          <w:p>
            <w:pPr>
              <w:adjustRightInd w:val="0"/>
              <w:snapToGrid w:val="0"/>
              <w:spacing w:line="300" w:lineRule="auto"/>
              <w:jc w:val="center"/>
              <w:rPr>
                <w:b/>
                <w:bCs/>
                <w:sz w:val="18"/>
                <w:szCs w:val="18"/>
              </w:rPr>
            </w:pPr>
            <w:r>
              <w:rPr>
                <w:b/>
                <w:bCs/>
                <w:sz w:val="18"/>
                <w:szCs w:val="18"/>
              </w:rPr>
              <w:t>权重系数</w:t>
            </w:r>
          </w:p>
        </w:tc>
        <w:tc>
          <w:tcPr>
            <w:tcW w:w="1110" w:type="dxa"/>
            <w:vAlign w:val="center"/>
          </w:tcPr>
          <w:p>
            <w:pPr>
              <w:adjustRightInd w:val="0"/>
              <w:snapToGrid w:val="0"/>
              <w:spacing w:line="300" w:lineRule="auto"/>
              <w:jc w:val="center"/>
              <w:rPr>
                <w:sz w:val="18"/>
                <w:szCs w:val="18"/>
              </w:rPr>
            </w:pPr>
            <w:r>
              <w:rPr>
                <w:sz w:val="18"/>
                <w:szCs w:val="18"/>
              </w:rPr>
              <w:t>0.18</w:t>
            </w:r>
          </w:p>
        </w:tc>
        <w:tc>
          <w:tcPr>
            <w:tcW w:w="1314" w:type="dxa"/>
            <w:vAlign w:val="center"/>
          </w:tcPr>
          <w:p>
            <w:pPr>
              <w:adjustRightInd w:val="0"/>
              <w:snapToGrid w:val="0"/>
              <w:spacing w:line="300" w:lineRule="auto"/>
              <w:jc w:val="center"/>
              <w:rPr>
                <w:sz w:val="18"/>
                <w:szCs w:val="18"/>
              </w:rPr>
            </w:pPr>
            <w:r>
              <w:rPr>
                <w:sz w:val="18"/>
                <w:szCs w:val="18"/>
              </w:rPr>
              <w:t>0.18</w:t>
            </w:r>
          </w:p>
        </w:tc>
        <w:tc>
          <w:tcPr>
            <w:tcW w:w="1302" w:type="dxa"/>
            <w:vAlign w:val="center"/>
          </w:tcPr>
          <w:p>
            <w:pPr>
              <w:adjustRightInd w:val="0"/>
              <w:snapToGrid w:val="0"/>
              <w:spacing w:line="300" w:lineRule="auto"/>
              <w:jc w:val="center"/>
              <w:rPr>
                <w:sz w:val="18"/>
                <w:szCs w:val="18"/>
              </w:rPr>
            </w:pPr>
            <w:r>
              <w:rPr>
                <w:sz w:val="18"/>
                <w:szCs w:val="18"/>
              </w:rPr>
              <w:t>0.18</w:t>
            </w:r>
          </w:p>
        </w:tc>
        <w:tc>
          <w:tcPr>
            <w:tcW w:w="1302" w:type="dxa"/>
            <w:vAlign w:val="center"/>
          </w:tcPr>
          <w:p>
            <w:pPr>
              <w:adjustRightInd w:val="0"/>
              <w:snapToGrid w:val="0"/>
              <w:spacing w:line="300" w:lineRule="auto"/>
              <w:jc w:val="center"/>
              <w:rPr>
                <w:sz w:val="18"/>
                <w:szCs w:val="18"/>
              </w:rPr>
            </w:pPr>
            <w:r>
              <w:rPr>
                <w:sz w:val="18"/>
                <w:szCs w:val="18"/>
              </w:rPr>
              <w:t>0.18</w:t>
            </w:r>
          </w:p>
        </w:tc>
        <w:tc>
          <w:tcPr>
            <w:tcW w:w="1302" w:type="dxa"/>
            <w:vAlign w:val="center"/>
          </w:tcPr>
          <w:p>
            <w:pPr>
              <w:adjustRightInd w:val="0"/>
              <w:snapToGrid w:val="0"/>
              <w:spacing w:line="300" w:lineRule="auto"/>
              <w:jc w:val="center"/>
              <w:rPr>
                <w:sz w:val="18"/>
                <w:szCs w:val="18"/>
              </w:rPr>
            </w:pPr>
            <w:r>
              <w:rPr>
                <w:sz w:val="18"/>
                <w:szCs w:val="18"/>
              </w:rPr>
              <w:t>0.1</w:t>
            </w:r>
          </w:p>
        </w:tc>
        <w:tc>
          <w:tcPr>
            <w:tcW w:w="1300" w:type="dxa"/>
            <w:vAlign w:val="center"/>
          </w:tcPr>
          <w:p>
            <w:pPr>
              <w:adjustRightInd w:val="0"/>
              <w:snapToGrid w:val="0"/>
              <w:spacing w:line="300" w:lineRule="auto"/>
              <w:jc w:val="center"/>
              <w:rPr>
                <w:sz w:val="18"/>
                <w:szCs w:val="18"/>
              </w:rPr>
            </w:pPr>
            <w:r>
              <w:rPr>
                <w:sz w:val="18"/>
                <w:szCs w:val="18"/>
              </w:rPr>
              <w:t>0.18</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rPr>
          <w:rFonts w:hint="eastAsia"/>
          <w:position w:val="-10"/>
        </w:rPr>
        <w:object>
          <v:shape id="_x0000_i1121" o:spt="75" type="#_x0000_t75" style="height:24.75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121" DrawAspect="Content" ObjectID="_1468075818" r:id="rId134">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b/>
          <w:sz w:val="24"/>
        </w:rPr>
      </w:pPr>
      <w:r>
        <w:rPr>
          <w:b/>
          <w:sz w:val="24"/>
        </w:rPr>
        <w:t>七、教材及参考资料</w:t>
      </w:r>
    </w:p>
    <w:p>
      <w:pPr>
        <w:adjustRightInd w:val="0"/>
        <w:snapToGrid w:val="0"/>
        <w:spacing w:line="300" w:lineRule="auto"/>
        <w:ind w:firstLine="420" w:firstLineChars="200"/>
        <w:rPr>
          <w:szCs w:val="21"/>
        </w:rPr>
      </w:pPr>
      <w:r>
        <w:rPr>
          <w:szCs w:val="21"/>
        </w:rPr>
        <w:t>1．参考资料</w:t>
      </w:r>
    </w:p>
    <w:p>
      <w:pPr>
        <w:numPr>
          <w:ilvl w:val="0"/>
          <w:numId w:val="48"/>
        </w:numPr>
        <w:adjustRightInd w:val="0"/>
        <w:snapToGrid w:val="0"/>
        <w:spacing w:line="300" w:lineRule="auto"/>
      </w:pPr>
      <w:r>
        <w:rPr>
          <w:szCs w:val="21"/>
        </w:rPr>
        <w:t xml:space="preserve">陈坤杰.大学生科研训练教程. </w:t>
      </w:r>
      <w:r>
        <w:fldChar w:fldCharType="begin"/>
      </w:r>
      <w:r>
        <w:instrText xml:space="preserve"> HYPERLINK "https://baike.baidu.com/item/%E5%90%88%E8%82%A5%E5%B7%A5%E4%B8%9A%E5%A4%A7%E5%AD%A6%E5%87%BA%E7%89%88%E7%A4%BE/3935669" \t "_blank" </w:instrText>
      </w:r>
      <w:r>
        <w:fldChar w:fldCharType="separate"/>
      </w:r>
      <w:r>
        <w:rPr>
          <w:szCs w:val="21"/>
        </w:rPr>
        <w:t>合肥工业大学出版社</w:t>
      </w:r>
      <w:r>
        <w:rPr>
          <w:szCs w:val="21"/>
        </w:rPr>
        <w:fldChar w:fldCharType="end"/>
      </w:r>
      <w:r>
        <w:rPr>
          <w:szCs w:val="21"/>
        </w:rPr>
        <w:t>，2009.</w:t>
      </w:r>
    </w:p>
    <w:p>
      <w:pPr>
        <w:numPr>
          <w:ilvl w:val="0"/>
          <w:numId w:val="48"/>
        </w:numPr>
        <w:adjustRightInd w:val="0"/>
        <w:snapToGrid w:val="0"/>
        <w:spacing w:line="300" w:lineRule="auto"/>
      </w:pPr>
      <w:r>
        <w:rPr>
          <w:szCs w:val="21"/>
        </w:rPr>
        <w:t>李小平. 新世纪创新人才应具有全面的创造性[J].高等教育研究，2002(6):23-26.</w:t>
      </w:r>
    </w:p>
    <w:p>
      <w:pPr>
        <w:numPr>
          <w:ilvl w:val="0"/>
          <w:numId w:val="48"/>
        </w:numPr>
        <w:adjustRightInd w:val="0"/>
        <w:snapToGrid w:val="0"/>
        <w:spacing w:line="300" w:lineRule="auto"/>
      </w:pPr>
      <w:r>
        <w:rPr>
          <w:szCs w:val="21"/>
        </w:rPr>
        <w:t>汪雄海，赵光宙. 大学生科研训练教育实践[J]. 高等工程教育研究，2001(4)：83-84.</w:t>
      </w:r>
    </w:p>
    <w:p>
      <w:pPr>
        <w:numPr>
          <w:ilvl w:val="0"/>
          <w:numId w:val="48"/>
        </w:numPr>
        <w:adjustRightInd w:val="0"/>
        <w:snapToGrid w:val="0"/>
        <w:spacing w:line="300" w:lineRule="auto"/>
      </w:pPr>
      <w:r>
        <w:rPr>
          <w:szCs w:val="21"/>
        </w:rPr>
        <w:t xml:space="preserve">赵川平，张聪，楼程富. 大学生科研训练的实践与思考[J]. 高等工程教育研究， 2001(4)：39-42. </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p>
            <w:pPr>
              <w:snapToGrid w:val="0"/>
              <w:spacing w:line="300" w:lineRule="auto"/>
              <w:ind w:right="200"/>
              <w:jc w:val="right"/>
              <w:rPr>
                <w:kern w:val="0"/>
                <w:sz w:val="20"/>
                <w:szCs w:val="21"/>
              </w:rPr>
            </w:pPr>
          </w:p>
        </w:tc>
      </w:tr>
    </w:tbl>
    <w:p>
      <w:r>
        <w:br w:type="page"/>
      </w:r>
    </w:p>
    <w:p>
      <w:pPr>
        <w:pStyle w:val="4"/>
        <w:numPr>
          <w:ilvl w:val="0"/>
          <w:numId w:val="0"/>
        </w:numPr>
        <w:ind w:left="709" w:hanging="709"/>
      </w:pPr>
      <w:bookmarkStart w:id="156" w:name="_Toc4634"/>
      <w:r>
        <w:rPr>
          <w:rFonts w:hint="eastAsia"/>
        </w:rPr>
        <w:t>2</w:t>
      </w:r>
      <w:r>
        <w:t>.3.2</w:t>
      </w:r>
      <w:r>
        <w:rPr>
          <w:rFonts w:hint="eastAsia"/>
        </w:rPr>
        <w:t>专业任选课</w:t>
      </w:r>
      <w:bookmarkEnd w:id="156"/>
    </w:p>
    <w:bookmarkEnd w:id="148"/>
    <w:bookmarkEnd w:id="149"/>
    <w:bookmarkEnd w:id="150"/>
    <w:bookmarkEnd w:id="151"/>
    <w:bookmarkEnd w:id="152"/>
    <w:p>
      <w:pPr>
        <w:pStyle w:val="5"/>
        <w:spacing w:before="260" w:after="260" w:line="412" w:lineRule="auto"/>
        <w:jc w:val="center"/>
        <w:rPr>
          <w:rFonts w:ascii="Times New Roman" w:hAnsi="Times New Roman" w:cs="Times New Roman"/>
          <w:szCs w:val="32"/>
        </w:rPr>
      </w:pPr>
      <w:bookmarkStart w:id="157" w:name="_Toc11742"/>
      <w:r>
        <w:rPr>
          <w:rFonts w:ascii="Times New Roman" w:hAnsi="Times New Roman" w:cs="Times New Roman"/>
          <w:sz w:val="32"/>
          <w:szCs w:val="32"/>
        </w:rPr>
        <w:t>33452002</w:t>
      </w:r>
      <w:r>
        <w:rPr>
          <w:rFonts w:hint="eastAsia" w:ascii="Times New Roman" w:hAnsi="Times New Roman" w:cs="Times New Roman"/>
          <w:sz w:val="32"/>
          <w:szCs w:val="32"/>
        </w:rPr>
        <w:t>《单片机原理与应用》课程教学大纲</w:t>
      </w:r>
      <w:bookmarkEnd w:id="157"/>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884"/>
        <w:gridCol w:w="1487"/>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课程编号</w:t>
            </w:r>
          </w:p>
        </w:tc>
        <w:tc>
          <w:tcPr>
            <w:tcW w:w="2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33452002</w:t>
            </w:r>
          </w:p>
        </w:tc>
        <w:tc>
          <w:tcPr>
            <w:tcW w:w="14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课程名称</w:t>
            </w:r>
          </w:p>
        </w:tc>
        <w:tc>
          <w:tcPr>
            <w:tcW w:w="3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单片机原理与应用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课程性质</w:t>
            </w:r>
            <w:r>
              <w:rPr>
                <w:rFonts w:ascii="Times New Roman" w:hAnsi="Times New Roman" w:eastAsia="宋体" w:cs="Times New Roman"/>
                <w:kern w:val="0"/>
                <w:szCs w:val="21"/>
              </w:rPr>
              <w:t>*</w:t>
            </w:r>
          </w:p>
        </w:tc>
        <w:tc>
          <w:tcPr>
            <w:tcW w:w="2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专业类</w:t>
            </w:r>
          </w:p>
        </w:tc>
        <w:tc>
          <w:tcPr>
            <w:tcW w:w="14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英文名称</w:t>
            </w:r>
          </w:p>
        </w:tc>
        <w:tc>
          <w:tcPr>
            <w:tcW w:w="3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fldChar w:fldCharType="begin"/>
            </w:r>
            <w:r>
              <w:instrText xml:space="preserve"> HYPERLINK "app:ds:principle" </w:instrText>
            </w:r>
            <w:r>
              <w:fldChar w:fldCharType="separate"/>
            </w:r>
            <w:r>
              <w:rPr>
                <w:rFonts w:ascii="Times New Roman" w:hAnsi="Times New Roman" w:eastAsia="宋体" w:cs="Times New Roman"/>
                <w:kern w:val="0"/>
                <w:szCs w:val="21"/>
              </w:rPr>
              <w:t>Principle</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"app:ds:and" </w:instrText>
            </w:r>
            <w:r>
              <w:fldChar w:fldCharType="separate"/>
            </w:r>
            <w:r>
              <w:rPr>
                <w:rFonts w:ascii="Times New Roman" w:hAnsi="Times New Roman" w:eastAsia="宋体" w:cs="Times New Roman"/>
                <w:kern w:val="0"/>
                <w:szCs w:val="21"/>
              </w:rPr>
              <w:t>and</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"app:ds:application" </w:instrText>
            </w:r>
            <w:r>
              <w:fldChar w:fldCharType="separate"/>
            </w:r>
            <w:r>
              <w:rPr>
                <w:rFonts w:ascii="Times New Roman" w:hAnsi="Times New Roman" w:eastAsia="宋体" w:cs="Times New Roman"/>
                <w:kern w:val="0"/>
                <w:szCs w:val="21"/>
              </w:rPr>
              <w:t>Application</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"app:ds:of" </w:instrText>
            </w:r>
            <w:r>
              <w:fldChar w:fldCharType="separate"/>
            </w:r>
            <w:r>
              <w:rPr>
                <w:rFonts w:ascii="Times New Roman" w:hAnsi="Times New Roman" w:eastAsia="宋体" w:cs="Times New Roman"/>
                <w:kern w:val="0"/>
                <w:szCs w:val="21"/>
              </w:rPr>
              <w:t>of</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"app:ds:single" </w:instrText>
            </w:r>
            <w:r>
              <w:fldChar w:fldCharType="separate"/>
            </w:r>
            <w:r>
              <w:rPr>
                <w:rFonts w:ascii="Times New Roman" w:hAnsi="Times New Roman" w:eastAsia="宋体" w:cs="Times New Roman"/>
                <w:kern w:val="0"/>
                <w:szCs w:val="21"/>
              </w:rPr>
              <w:t>Single</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"app:ds:chip" </w:instrText>
            </w:r>
            <w:r>
              <w:fldChar w:fldCharType="separate"/>
            </w:r>
            <w:r>
              <w:rPr>
                <w:rFonts w:ascii="Times New Roman" w:hAnsi="Times New Roman" w:eastAsia="宋体" w:cs="Times New Roman"/>
                <w:kern w:val="0"/>
                <w:szCs w:val="21"/>
              </w:rPr>
              <w:t>Chip</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 xml:space="preserve"> </w:t>
            </w:r>
            <w:r>
              <w:fldChar w:fldCharType="begin"/>
            </w:r>
            <w:r>
              <w:instrText xml:space="preserve"> HYPERLINK "app:ds:microprocessor" </w:instrText>
            </w:r>
            <w:r>
              <w:fldChar w:fldCharType="separate"/>
            </w:r>
            <w:r>
              <w:rPr>
                <w:rFonts w:ascii="Times New Roman" w:hAnsi="Times New Roman" w:eastAsia="宋体" w:cs="Times New Roman"/>
                <w:kern w:val="0"/>
                <w:szCs w:val="21"/>
              </w:rPr>
              <w:t>Microprocessor</w:t>
            </w:r>
            <w:r>
              <w:rPr>
                <w:rFonts w:ascii="Times New Roman" w:hAnsi="Times New Roman" w:eastAsia="宋体" w:cs="Times New Roman"/>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学分学时</w:t>
            </w:r>
          </w:p>
        </w:tc>
        <w:tc>
          <w:tcPr>
            <w:tcW w:w="2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 xml:space="preserve">2 : </w:t>
            </w:r>
            <w:r>
              <w:rPr>
                <w:rFonts w:ascii="Times New Roman" w:hAnsi="Times New Roman" w:eastAsia="宋体" w:cs="Times New Roman"/>
                <w:kern w:val="0"/>
                <w:szCs w:val="21"/>
              </w:rPr>
              <w:t>32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8</w:t>
            </w:r>
            <w:r>
              <w:rPr>
                <w:rFonts w:hint="eastAsia" w:ascii="Times New Roman" w:hAnsi="Times New Roman" w:eastAsia="宋体" w:cs="Times New Roman"/>
                <w:kern w:val="0"/>
                <w:szCs w:val="21"/>
              </w:rPr>
              <w:t>）</w:t>
            </w:r>
          </w:p>
        </w:tc>
        <w:tc>
          <w:tcPr>
            <w:tcW w:w="14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任课教师</w:t>
            </w:r>
          </w:p>
        </w:tc>
        <w:tc>
          <w:tcPr>
            <w:tcW w:w="3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欧触灵、李小立、王立臣，杨文虎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企业专家</w:t>
            </w:r>
          </w:p>
        </w:tc>
        <w:tc>
          <w:tcPr>
            <w:tcW w:w="28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曾耿滨</w:t>
            </w:r>
          </w:p>
        </w:tc>
        <w:tc>
          <w:tcPr>
            <w:tcW w:w="14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行业专家</w:t>
            </w:r>
          </w:p>
        </w:tc>
        <w:tc>
          <w:tcPr>
            <w:tcW w:w="30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执笔教师</w:t>
            </w:r>
          </w:p>
        </w:tc>
        <w:tc>
          <w:tcPr>
            <w:tcW w:w="28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欧触灵</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责任教授</w:t>
            </w:r>
          </w:p>
        </w:tc>
        <w:tc>
          <w:tcPr>
            <w:tcW w:w="30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适用专业</w:t>
            </w:r>
          </w:p>
        </w:tc>
        <w:tc>
          <w:tcPr>
            <w:tcW w:w="28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电子信息工程</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适用对象</w:t>
            </w:r>
          </w:p>
        </w:tc>
        <w:tc>
          <w:tcPr>
            <w:tcW w:w="30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kern w:val="0"/>
                <w:szCs w:val="21"/>
              </w:rPr>
            </w:pPr>
            <w:r>
              <w:rPr>
                <w:rFonts w:hint="eastAsia" w:ascii="Times New Roman" w:hAnsi="Times New Roman" w:eastAsia="宋体" w:cs="Times New Roman"/>
                <w:kern w:val="0"/>
                <w:szCs w:val="21"/>
              </w:rPr>
              <w:t>先修课程</w:t>
            </w:r>
          </w:p>
        </w:tc>
        <w:tc>
          <w:tcPr>
            <w:tcW w:w="28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模拟电子技术、数字电子技术基础、</w:t>
            </w:r>
            <w:r>
              <w:rPr>
                <w:rFonts w:ascii="Times New Roman" w:hAnsi="Times New Roman" w:eastAsia="宋体" w:cs="Times New Roman"/>
                <w:szCs w:val="21"/>
              </w:rPr>
              <w:t>C</w:t>
            </w:r>
            <w:r>
              <w:rPr>
                <w:rFonts w:hint="eastAsia" w:ascii="Times New Roman" w:hAnsi="Times New Roman" w:eastAsia="宋体" w:cs="Times New Roman"/>
                <w:szCs w:val="21"/>
              </w:rPr>
              <w:t>语言程序设计、</w:t>
            </w:r>
          </w:p>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szCs w:val="21"/>
              </w:rPr>
              <w:t>微机原理与接口技术</w:t>
            </w:r>
          </w:p>
        </w:tc>
        <w:tc>
          <w:tcPr>
            <w:tcW w:w="148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kern w:val="0"/>
                <w:szCs w:val="21"/>
              </w:rPr>
            </w:pPr>
            <w:r>
              <w:rPr>
                <w:rFonts w:hint="eastAsia" w:ascii="Times New Roman" w:hAnsi="Times New Roman" w:eastAsia="宋体" w:cs="Times New Roman"/>
                <w:kern w:val="0"/>
                <w:szCs w:val="21"/>
              </w:rPr>
              <w:t>同修课程</w:t>
            </w:r>
          </w:p>
        </w:tc>
        <w:tc>
          <w:tcPr>
            <w:tcW w:w="30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排斥课程</w:t>
            </w:r>
          </w:p>
        </w:tc>
        <w:tc>
          <w:tcPr>
            <w:tcW w:w="28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tc>
        <w:tc>
          <w:tcPr>
            <w:tcW w:w="148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定稿日期</w:t>
            </w:r>
          </w:p>
        </w:tc>
        <w:tc>
          <w:tcPr>
            <w:tcW w:w="30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20" w:firstLineChars="200"/>
        <w:rPr>
          <w:rFonts w:ascii="Times New Roman" w:hAnsi="Times New Roman" w:eastAsia="宋体" w:cs="Times New Roman"/>
          <w:sz w:val="18"/>
          <w:szCs w:val="18"/>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一、课程简介</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随着科学技术的发展，计算机在各个领域正发挥越来越重要的作用。作为微型计算机发展的一个重要分支，单片机以其体积小、速度快、使用方便、控制功能强、性能价格比高、容易产品化等特点在实时控制、智能仪表、数据采集、机电一体化、家用电器及数码产品等诸多领域得到了广泛的应用。因此《单片机原理与应用》是电子信息工程专业本科生的专业拓展课，通过本课程的学习，要求学生具备单片机的硬件结构、</w:t>
      </w:r>
      <w:r>
        <w:rPr>
          <w:rFonts w:ascii="Times New Roman" w:hAnsi="Times New Roman" w:eastAsia="宋体" w:cs="Times New Roman"/>
          <w:szCs w:val="21"/>
        </w:rPr>
        <w:t>C51</w:t>
      </w:r>
      <w:r>
        <w:rPr>
          <w:rFonts w:hint="eastAsia" w:ascii="Times New Roman" w:hAnsi="Times New Roman" w:eastAsia="宋体" w:cs="Times New Roman"/>
          <w:szCs w:val="21"/>
        </w:rPr>
        <w:t>语言程序设计方法、外围接口及其扩展技术等知识，为从事电子系统开发与设计奠定坚实基础。</w:t>
      </w:r>
    </w:p>
    <w:p>
      <w:pPr>
        <w:snapToGrid w:val="0"/>
        <w:spacing w:before="156" w:beforeLines="50" w:after="156" w:afterLines="50" w:line="30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二、课程教学目标</w:t>
      </w:r>
    </w:p>
    <w:p>
      <w:pPr>
        <w:widowControl/>
        <w:spacing w:line="360" w:lineRule="exact"/>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《单片机原理与应用》课程以</w:t>
      </w:r>
      <w:r>
        <w:rPr>
          <w:rFonts w:ascii="Times New Roman" w:hAnsi="Times New Roman" w:eastAsia="宋体" w:cs="Times New Roman"/>
          <w:kern w:val="0"/>
          <w:szCs w:val="21"/>
        </w:rPr>
        <w:t>MCS-51</w:t>
      </w:r>
      <w:r>
        <w:rPr>
          <w:rFonts w:hint="eastAsia" w:ascii="Times New Roman" w:hAnsi="Times New Roman" w:eastAsia="宋体" w:cs="Times New Roman"/>
          <w:kern w:val="0"/>
          <w:szCs w:val="21"/>
        </w:rPr>
        <w:t>系列单片机为讲授对象，全面系统地阐述单片机的原理及应用。通过本课程的学习，使学生掌握单片机的工作原理，学会运用常用的接口芯片与单片机构成应用电路，具备单片机应用项目的初步设计与开发能力。在讲授过程中植入单片机在我国产业信息化过程中的重要作用、对电子产品研发的重要意义，以及电子专业学生毕业后面临的行业前景，激发学生的学习热情、创新精神以及时代使命感的情怀。本课程的具体教学目标如下：</w:t>
      </w:r>
    </w:p>
    <w:p>
      <w:pPr>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．基础知识学习目标：掌握</w:t>
      </w:r>
      <w:r>
        <w:rPr>
          <w:rFonts w:ascii="Times New Roman" w:hAnsi="Times New Roman" w:eastAsia="宋体" w:cs="Times New Roman"/>
          <w:kern w:val="0"/>
          <w:szCs w:val="21"/>
        </w:rPr>
        <w:t>MCS-51</w:t>
      </w:r>
      <w:r>
        <w:rPr>
          <w:rFonts w:hint="eastAsia" w:ascii="Times New Roman" w:hAnsi="Times New Roman" w:eastAsia="宋体" w:cs="Times New Roman"/>
          <w:kern w:val="0"/>
          <w:szCs w:val="21"/>
        </w:rPr>
        <w:t>系列单片机的硬件结构，对</w:t>
      </w:r>
      <w:r>
        <w:rPr>
          <w:rFonts w:ascii="Times New Roman" w:hAnsi="Times New Roman" w:eastAsia="宋体" w:cs="Times New Roman"/>
          <w:kern w:val="0"/>
          <w:szCs w:val="21"/>
        </w:rPr>
        <w:t>MCS-51</w:t>
      </w:r>
      <w:r>
        <w:rPr>
          <w:rFonts w:hint="eastAsia" w:ascii="Times New Roman" w:hAnsi="Times New Roman" w:eastAsia="宋体" w:cs="Times New Roman"/>
          <w:kern w:val="0"/>
          <w:szCs w:val="21"/>
        </w:rPr>
        <w:t>系列单片机的一般原理、主要功能及工作方式有较深入的理解。</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p>
      <w:pPr>
        <w:snapToGrid w:val="0"/>
        <w:spacing w:line="300" w:lineRule="auto"/>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1"/>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C51</w:t>
      </w:r>
      <w:r>
        <w:rPr>
          <w:rFonts w:hint="eastAsia" w:ascii="Times New Roman" w:hAnsi="Times New Roman" w:eastAsia="宋体" w:cs="Times New Roman"/>
          <w:kern w:val="0"/>
          <w:szCs w:val="21"/>
        </w:rPr>
        <w:t>编程技能目标：通过案例分析学习，掌握</w:t>
      </w:r>
      <w:r>
        <w:rPr>
          <w:rFonts w:ascii="Times New Roman" w:hAnsi="Times New Roman" w:eastAsia="宋体" w:cs="Times New Roman"/>
          <w:kern w:val="0"/>
          <w:szCs w:val="21"/>
        </w:rPr>
        <w:t>C51</w:t>
      </w:r>
      <w:r>
        <w:rPr>
          <w:rFonts w:hint="eastAsia" w:ascii="Times New Roman" w:hAnsi="Times New Roman" w:eastAsia="宋体" w:cs="Times New Roman"/>
          <w:kern w:val="0"/>
          <w:szCs w:val="21"/>
        </w:rPr>
        <w:t>编程技能，能编写出典型应用电路的相应程序。例如：键盘电路、显示电路、定时</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计数器的应用、串行通信的</w:t>
      </w:r>
      <w:r>
        <w:rPr>
          <w:rFonts w:hint="eastAsia" w:ascii="Times New Roman" w:hAnsi="Times New Roman" w:eastAsia="宋体" w:cs="Times New Roman"/>
          <w:kern w:val="0"/>
          <w:szCs w:val="20"/>
        </w:rPr>
        <w:t>应用、外围接口应用等。</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 [4</w:t>
      </w:r>
      <w:r>
        <w:rPr>
          <w:rFonts w:hint="eastAsia" w:ascii="Times New Roman" w:hAnsi="Times New Roman" w:eastAsia="宋体" w:cs="Times New Roman"/>
          <w:szCs w:val="21"/>
        </w:rPr>
        <w:t>.</w:t>
      </w:r>
      <w:r>
        <w:rPr>
          <w:rFonts w:ascii="Times New Roman" w:hAnsi="Times New Roman" w:eastAsia="宋体" w:cs="Times New Roman"/>
          <w:szCs w:val="21"/>
        </w:rPr>
        <w:t xml:space="preserve">1] </w:t>
      </w:r>
    </w:p>
    <w:p>
      <w:pPr>
        <w:snapToGrid w:val="0"/>
        <w:spacing w:line="300" w:lineRule="auto"/>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3</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EDA</w:t>
      </w:r>
      <w:r>
        <w:rPr>
          <w:rFonts w:hint="eastAsia" w:ascii="Times New Roman" w:hAnsi="Times New Roman" w:eastAsia="宋体" w:cs="Times New Roman"/>
          <w:kern w:val="0"/>
          <w:szCs w:val="20"/>
        </w:rPr>
        <w:t>工具技能目标：</w:t>
      </w:r>
      <w:r>
        <w:rPr>
          <w:rFonts w:hint="eastAsia" w:ascii="Times New Roman" w:hAnsi="Times New Roman" w:eastAsia="宋体" w:cs="Times New Roman"/>
          <w:szCs w:val="21"/>
        </w:rPr>
        <w:t>能熟练运用仿真工具</w:t>
      </w:r>
      <w:r>
        <w:rPr>
          <w:rFonts w:ascii="Times New Roman" w:hAnsi="Times New Roman" w:eastAsia="宋体" w:cs="Times New Roman"/>
          <w:szCs w:val="21"/>
        </w:rPr>
        <w:t>Proteus</w:t>
      </w:r>
      <w:r>
        <w:rPr>
          <w:rFonts w:hint="eastAsia" w:ascii="Times New Roman" w:hAnsi="Times New Roman" w:eastAsia="宋体" w:cs="Times New Roman"/>
          <w:szCs w:val="21"/>
        </w:rPr>
        <w:t>和开发工具</w:t>
      </w:r>
      <w:r>
        <w:rPr>
          <w:rFonts w:ascii="Times New Roman" w:hAnsi="Times New Roman" w:eastAsia="宋体" w:cs="Times New Roman"/>
          <w:szCs w:val="21"/>
        </w:rPr>
        <w:t>Keil uVision4</w:t>
      </w:r>
      <w:r>
        <w:rPr>
          <w:rFonts w:hint="eastAsia" w:ascii="Times New Roman" w:hAnsi="Times New Roman" w:eastAsia="宋体" w:cs="Times New Roman"/>
          <w:szCs w:val="21"/>
        </w:rPr>
        <w:t>，对单片机应用系统进行设计、开发与调试。</w:t>
      </w: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1]</w:t>
      </w:r>
    </w:p>
    <w:p>
      <w:pPr>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szCs w:val="21"/>
        </w:rPr>
        <w:t>4</w:t>
      </w:r>
      <w:r>
        <w:rPr>
          <w:rFonts w:hint="eastAsia" w:ascii="Times New Roman" w:hAnsi="Times New Roman" w:eastAsia="宋体" w:cs="Times New Roman"/>
          <w:szCs w:val="21"/>
        </w:rPr>
        <w:t>．研发电子产品的综合</w:t>
      </w:r>
      <w:r>
        <w:rPr>
          <w:rFonts w:hint="eastAsia" w:ascii="Times New Roman" w:hAnsi="Times New Roman" w:eastAsia="宋体" w:cs="Times New Roman"/>
          <w:kern w:val="0"/>
          <w:szCs w:val="20"/>
        </w:rPr>
        <w:t>能力目标：能够针对电子产品</w:t>
      </w:r>
      <w:r>
        <w:rPr>
          <w:rFonts w:hint="eastAsia" w:ascii="Times New Roman" w:hAnsi="Times New Roman" w:eastAsia="宋体" w:cs="Times New Roman"/>
          <w:szCs w:val="21"/>
        </w:rPr>
        <w:t>现实需求问题利用单片机进行项目设计，具备项目过程管理的综合素质</w:t>
      </w:r>
      <w:r>
        <w:rPr>
          <w:rFonts w:hint="eastAsia" w:ascii="Times New Roman" w:hAnsi="Times New Roman" w:eastAsia="宋体" w:cs="Times New Roman"/>
          <w:kern w:val="0"/>
          <w:szCs w:val="20"/>
        </w:rPr>
        <w:t>。例如：</w:t>
      </w:r>
      <w:r>
        <w:rPr>
          <w:rFonts w:hint="eastAsia" w:ascii="宋体" w:hAnsi="宋体" w:eastAsia="宋体" w:cs="宋体"/>
          <w:szCs w:val="21"/>
        </w:rPr>
        <w:t>①</w:t>
      </w:r>
      <w:r>
        <w:rPr>
          <w:rFonts w:hint="eastAsia" w:ascii="Times New Roman" w:hAnsi="Times New Roman" w:eastAsia="宋体" w:cs="Times New Roman"/>
          <w:szCs w:val="21"/>
        </w:rPr>
        <w:t>需求分析；</w:t>
      </w:r>
      <w:r>
        <w:rPr>
          <w:rFonts w:hint="eastAsia" w:ascii="宋体" w:hAnsi="宋体" w:eastAsia="宋体" w:cs="宋体"/>
          <w:kern w:val="0"/>
          <w:szCs w:val="20"/>
        </w:rPr>
        <w:t>②</w:t>
      </w:r>
      <w:r>
        <w:rPr>
          <w:rFonts w:hint="eastAsia" w:ascii="Times New Roman" w:hAnsi="Times New Roman" w:eastAsia="宋体" w:cs="Times New Roman"/>
          <w:kern w:val="0"/>
          <w:szCs w:val="20"/>
        </w:rPr>
        <w:t>软硬件分工；</w:t>
      </w:r>
      <w:r>
        <w:rPr>
          <w:rFonts w:hint="eastAsia" w:ascii="宋体" w:hAnsi="宋体" w:eastAsia="宋体" w:cs="宋体"/>
          <w:szCs w:val="21"/>
        </w:rPr>
        <w:t>③</w:t>
      </w:r>
      <w:r>
        <w:rPr>
          <w:rFonts w:hint="eastAsia" w:ascii="Times New Roman" w:hAnsi="Times New Roman" w:eastAsia="宋体" w:cs="Times New Roman"/>
          <w:szCs w:val="21"/>
        </w:rPr>
        <w:t>详细设计；</w:t>
      </w:r>
      <w:r>
        <w:rPr>
          <w:rFonts w:hint="eastAsia" w:ascii="宋体" w:hAnsi="宋体" w:eastAsia="宋体" w:cs="宋体"/>
          <w:szCs w:val="21"/>
        </w:rPr>
        <w:t>④</w:t>
      </w:r>
      <w:r>
        <w:rPr>
          <w:rFonts w:hint="eastAsia" w:ascii="Times New Roman" w:hAnsi="Times New Roman" w:eastAsia="宋体" w:cs="Times New Roman"/>
          <w:szCs w:val="21"/>
        </w:rPr>
        <w:t>代码实现；</w:t>
      </w:r>
      <w:r>
        <w:rPr>
          <w:rFonts w:hint="eastAsia" w:ascii="宋体" w:hAnsi="宋体" w:eastAsia="宋体" w:cs="宋体"/>
          <w:kern w:val="0"/>
          <w:szCs w:val="20"/>
        </w:rPr>
        <w:t>⑤</w:t>
      </w:r>
      <w:r>
        <w:rPr>
          <w:rFonts w:hint="eastAsia" w:ascii="Times New Roman" w:hAnsi="Times New Roman" w:eastAsia="宋体" w:cs="Times New Roman"/>
          <w:kern w:val="0"/>
          <w:szCs w:val="20"/>
        </w:rPr>
        <w:t>基于</w:t>
      </w:r>
      <w:r>
        <w:rPr>
          <w:rFonts w:ascii="Times New Roman" w:hAnsi="Times New Roman" w:eastAsia="宋体" w:cs="Times New Roman"/>
          <w:kern w:val="0"/>
          <w:szCs w:val="20"/>
        </w:rPr>
        <w:t>EDA</w:t>
      </w:r>
      <w:r>
        <w:rPr>
          <w:rFonts w:hint="eastAsia" w:ascii="Times New Roman" w:hAnsi="Times New Roman" w:eastAsia="宋体" w:cs="Times New Roman"/>
          <w:kern w:val="0"/>
          <w:szCs w:val="20"/>
        </w:rPr>
        <w:t>软件的调试与仿真；</w:t>
      </w:r>
      <w:r>
        <w:rPr>
          <w:rFonts w:hint="eastAsia" w:ascii="宋体" w:hAnsi="宋体" w:eastAsia="宋体" w:cs="宋体"/>
          <w:kern w:val="0"/>
          <w:szCs w:val="20"/>
        </w:rPr>
        <w:t>⑥</w:t>
      </w:r>
      <w:r>
        <w:rPr>
          <w:rFonts w:hint="eastAsia" w:ascii="Times New Roman" w:hAnsi="Times New Roman" w:eastAsia="宋体" w:cs="Times New Roman"/>
          <w:kern w:val="0"/>
          <w:szCs w:val="20"/>
        </w:rPr>
        <w:t>基于单片机开发板或实验箱的功能测试；</w:t>
      </w:r>
      <w:r>
        <w:rPr>
          <w:rFonts w:hint="eastAsia" w:ascii="宋体" w:hAnsi="宋体" w:eastAsia="宋体" w:cs="宋体"/>
          <w:kern w:val="0"/>
          <w:szCs w:val="20"/>
        </w:rPr>
        <w:t>⑦</w:t>
      </w:r>
      <w:r>
        <w:rPr>
          <w:rFonts w:hint="eastAsia" w:ascii="Times New Roman" w:hAnsi="Times New Roman" w:eastAsia="宋体" w:cs="Times New Roman"/>
          <w:kern w:val="0"/>
          <w:szCs w:val="20"/>
        </w:rPr>
        <w:t>项目文档。</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 [4</w:t>
      </w:r>
      <w:r>
        <w:rPr>
          <w:rFonts w:hint="eastAsia" w:ascii="Times New Roman" w:hAnsi="Times New Roman" w:eastAsia="宋体" w:cs="Times New Roman"/>
          <w:szCs w:val="21"/>
        </w:rPr>
        <w:t>.</w:t>
      </w:r>
      <w:r>
        <w:rPr>
          <w:rFonts w:ascii="Times New Roman" w:hAnsi="Times New Roman" w:eastAsia="宋体" w:cs="Times New Roman"/>
          <w:szCs w:val="21"/>
        </w:rPr>
        <w:t xml:space="preserve">1] </w:t>
      </w:r>
    </w:p>
    <w:p>
      <w:pPr>
        <w:snapToGrid w:val="0"/>
        <w:spacing w:line="300" w:lineRule="auto"/>
        <w:ind w:firstLine="420" w:firstLineChars="200"/>
        <w:rPr>
          <w:rFonts w:ascii="Times New Roman" w:hAnsi="Times New Roman" w:eastAsia="宋体" w:cs="Times New Roman"/>
          <w:szCs w:val="21"/>
          <w:shd w:val="clear" w:color="auto" w:fill="FEFEFF"/>
        </w:rPr>
      </w:pPr>
      <w:r>
        <w:rPr>
          <w:rFonts w:hint="eastAsia" w:ascii="Times New Roman" w:hAnsi="Times New Roman" w:eastAsia="宋体" w:cs="Times New Roman"/>
          <w:szCs w:val="21"/>
        </w:rPr>
        <w:t>课程教学目标与毕业要求的对应关系见表</w:t>
      </w:r>
      <w:r>
        <w:rPr>
          <w:rFonts w:ascii="Times New Roman" w:hAnsi="Times New Roman" w:eastAsia="宋体" w:cs="Times New Roman"/>
          <w:szCs w:val="21"/>
        </w:rPr>
        <w:t>1</w:t>
      </w:r>
      <w:r>
        <w:rPr>
          <w:rFonts w:hint="eastAsia" w:ascii="Times New Roman" w:hAnsi="Times New Roman" w:eastAsia="宋体" w:cs="Times New Roman"/>
          <w:szCs w:val="21"/>
        </w:rPr>
        <w:t>：</w:t>
      </w:r>
    </w:p>
    <w:p>
      <w:pPr>
        <w:widowControl/>
        <w:tabs>
          <w:tab w:val="left" w:pos="426"/>
          <w:tab w:val="left" w:pos="5245"/>
          <w:tab w:val="left" w:pos="5387"/>
        </w:tabs>
        <w:spacing w:before="156" w:beforeLines="50" w:line="300" w:lineRule="auto"/>
        <w:ind w:firstLine="361" w:firstLineChars="200"/>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表</w:t>
      </w:r>
      <w:r>
        <w:rPr>
          <w:rFonts w:ascii="Times New Roman" w:hAnsi="Times New Roman" w:eastAsia="宋体" w:cs="Times New Roman"/>
          <w:b/>
          <w:bCs/>
          <w:kern w:val="0"/>
          <w:sz w:val="18"/>
          <w:szCs w:val="18"/>
        </w:rPr>
        <w:t>1</w:t>
      </w:r>
      <w:r>
        <w:rPr>
          <w:rFonts w:hint="eastAsia" w:ascii="Times New Roman" w:hAnsi="Times New Roman" w:eastAsia="宋体" w:cs="Times New Roman"/>
          <w:b/>
          <w:bCs/>
          <w:kern w:val="0"/>
          <w:sz w:val="18"/>
          <w:szCs w:val="18"/>
        </w:rPr>
        <w:t>毕业要求指标点实现矩阵</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6147"/>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w:t>
            </w:r>
          </w:p>
        </w:tc>
        <w:tc>
          <w:tcPr>
            <w:tcW w:w="614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c>
          <w:tcPr>
            <w:tcW w:w="68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c>
          <w:tcPr>
            <w:tcW w:w="65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工程知识</w:t>
            </w:r>
          </w:p>
        </w:tc>
        <w:tc>
          <w:tcPr>
            <w:tcW w:w="6147" w:type="dxa"/>
            <w:tcBorders>
              <w:top w:val="single" w:color="auto" w:sz="4" w:space="0"/>
              <w:left w:val="single" w:color="auto" w:sz="4" w:space="0"/>
              <w:bottom w:val="single" w:color="auto" w:sz="4" w:space="0"/>
              <w:right w:val="single" w:color="auto" w:sz="4" w:space="0"/>
            </w:tcBorders>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掌握计算机、电子、信息、通信、测控及其它工程基础知识，并有效将其应用于电子信息领域工程问题的软硬件分析与设计</w:t>
            </w:r>
            <w:r>
              <w:rPr>
                <w:rFonts w:hint="eastAsia" w:ascii="Times New Roman" w:hAnsi="Times New Roman" w:eastAsia="宋体" w:cs="Times New Roman"/>
                <w:szCs w:val="21"/>
              </w:rPr>
              <w:t>。</w:t>
            </w:r>
          </w:p>
        </w:tc>
        <w:tc>
          <w:tcPr>
            <w:tcW w:w="68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65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设计</w:t>
            </w:r>
            <w:r>
              <w:rPr>
                <w:rFonts w:ascii="Times New Roman" w:hAnsi="Times New Roman" w:eastAsia="宋体" w:cs="Times New Roman"/>
                <w:sz w:val="18"/>
                <w:szCs w:val="18"/>
              </w:rPr>
              <w:t>/</w:t>
            </w:r>
            <w:r>
              <w:rPr>
                <w:rFonts w:hint="eastAsia" w:ascii="Times New Roman" w:hAnsi="Times New Roman" w:eastAsia="宋体" w:cs="Times New Roman"/>
                <w:sz w:val="18"/>
                <w:szCs w:val="18"/>
              </w:rPr>
              <w:t>开发解决方案</w:t>
            </w:r>
          </w:p>
        </w:tc>
        <w:tc>
          <w:tcPr>
            <w:tcW w:w="614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right="-64"/>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能够利用专业知识，针对给定需求，设计出满足要求的系统总体方案与系统拓扑图、单元子系统（或单元电路）、软硬件模块或工艺。</w:t>
            </w:r>
          </w:p>
        </w:tc>
        <w:tc>
          <w:tcPr>
            <w:tcW w:w="68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65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研究</w:t>
            </w:r>
          </w:p>
        </w:tc>
        <w:tc>
          <w:tcPr>
            <w:tcW w:w="614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具备基于电子信息科学原理并采用科学方法对复杂工程问题的技术路线，实验方案、软</w:t>
            </w:r>
            <w:r>
              <w:rPr>
                <w:rFonts w:ascii="Times New Roman" w:hAnsi="Times New Roman" w:eastAsia="宋体" w:cs="Times New Roman"/>
                <w:sz w:val="18"/>
                <w:szCs w:val="18"/>
              </w:rPr>
              <w:t>/</w:t>
            </w:r>
            <w:r>
              <w:rPr>
                <w:rFonts w:hint="eastAsia" w:ascii="Times New Roman" w:hAnsi="Times New Roman" w:eastAsia="宋体" w:cs="Times New Roman"/>
                <w:sz w:val="18"/>
                <w:szCs w:val="18"/>
              </w:rPr>
              <w:t>硬件模块和存在的问题进行研究的能力。</w:t>
            </w:r>
          </w:p>
        </w:tc>
        <w:tc>
          <w:tcPr>
            <w:tcW w:w="68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65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现代工具使用</w:t>
            </w:r>
          </w:p>
        </w:tc>
        <w:tc>
          <w:tcPr>
            <w:tcW w:w="614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掌握电子信息工程专业仪器、仪表等现代工程工具的基本原理、操作方法，理解其局限性，并在复杂工程问题中合理选择并使用。</w:t>
            </w:r>
          </w:p>
        </w:tc>
        <w:tc>
          <w:tcPr>
            <w:tcW w:w="68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65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bl>
    <w:p>
      <w:pPr>
        <w:snapToGrid w:val="0"/>
        <w:spacing w:line="300" w:lineRule="auto"/>
        <w:rPr>
          <w:rFonts w:ascii="Times New Roman" w:hAnsi="Times New Roman" w:eastAsia="宋体" w:cs="Times New Roman"/>
          <w:b/>
          <w:sz w:val="24"/>
        </w:rPr>
      </w:pPr>
    </w:p>
    <w:p>
      <w:pPr>
        <w:snapToGrid w:val="0"/>
        <w:spacing w:line="300" w:lineRule="auto"/>
        <w:rPr>
          <w:rFonts w:ascii="Times New Roman" w:hAnsi="Times New Roman" w:eastAsia="宋体" w:cs="Times New Roman"/>
          <w:b/>
          <w:sz w:val="24"/>
        </w:rPr>
      </w:pPr>
      <w:r>
        <w:rPr>
          <w:rFonts w:hint="eastAsia" w:ascii="Times New Roman" w:hAnsi="Times New Roman" w:eastAsia="宋体" w:cs="Times New Roman"/>
          <w:b/>
          <w:sz w:val="24"/>
        </w:rPr>
        <w:t>三、</w:t>
      </w:r>
      <w:bookmarkStart w:id="158" w:name="_Hlk30090954"/>
      <w:r>
        <w:rPr>
          <w:rFonts w:hint="eastAsia" w:ascii="Times New Roman" w:hAnsi="Times New Roman" w:eastAsia="宋体" w:cs="Times New Roman"/>
          <w:b/>
          <w:sz w:val="24"/>
        </w:rPr>
        <w:t>课程教学目标达成途径</w:t>
      </w:r>
      <w:bookmarkEnd w:id="158"/>
      <w:r>
        <w:rPr>
          <w:rFonts w:hint="eastAsia" w:ascii="Times New Roman" w:hAnsi="Times New Roman" w:eastAsia="宋体" w:cs="Times New Roman"/>
          <w:b/>
          <w:sz w:val="24"/>
        </w:rPr>
        <w:t>（或教学设计）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hint="eastAsia" w:ascii="Times New Roman" w:hAnsi="Times New Roman" w:eastAsia="宋体" w:cs="Times New Roman"/>
          <w:b/>
          <w:bCs/>
          <w:sz w:val="18"/>
          <w:szCs w:val="18"/>
          <w:shd w:val="clear" w:color="auto" w:fill="FEFEFF"/>
        </w:rPr>
        <w:t>表</w:t>
      </w:r>
      <w:r>
        <w:rPr>
          <w:rFonts w:ascii="Times New Roman" w:hAnsi="Times New Roman" w:eastAsia="宋体" w:cs="Times New Roman"/>
          <w:b/>
          <w:bCs/>
          <w:sz w:val="18"/>
          <w:szCs w:val="18"/>
          <w:shd w:val="clear" w:color="auto" w:fill="FEFEFF"/>
        </w:rPr>
        <w:t xml:space="preserve">2 </w:t>
      </w:r>
      <w:r>
        <w:rPr>
          <w:rFonts w:hint="eastAsia" w:ascii="Times New Roman" w:hAnsi="Times New Roman" w:eastAsia="宋体" w:cs="Times New Roman"/>
          <w:b/>
          <w:bCs/>
          <w:sz w:val="18"/>
          <w:szCs w:val="18"/>
          <w:shd w:val="clear" w:color="auto" w:fill="FEFEFF"/>
        </w:rPr>
        <w:t>教学目标达成途径</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2"/>
        <w:gridCol w:w="239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课程教学目标</w:t>
            </w:r>
          </w:p>
        </w:tc>
        <w:tc>
          <w:tcPr>
            <w:tcW w:w="239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达成途径</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Cs w:val="21"/>
              </w:rPr>
              <w:t>．</w:t>
            </w:r>
            <w:r>
              <w:rPr>
                <w:rFonts w:hint="eastAsia" w:ascii="Times New Roman" w:hAnsi="Times New Roman" w:eastAsia="宋体" w:cs="Times New Roman"/>
                <w:kern w:val="0"/>
                <w:sz w:val="18"/>
                <w:szCs w:val="18"/>
              </w:rPr>
              <w:t>基础知识学习目标：掌握</w:t>
            </w:r>
            <w:r>
              <w:rPr>
                <w:rFonts w:ascii="Times New Roman" w:hAnsi="Times New Roman" w:eastAsia="宋体" w:cs="Times New Roman"/>
                <w:kern w:val="0"/>
                <w:sz w:val="18"/>
                <w:szCs w:val="18"/>
              </w:rPr>
              <w:t>MCS-51</w:t>
            </w:r>
            <w:r>
              <w:rPr>
                <w:rFonts w:hint="eastAsia" w:ascii="Times New Roman" w:hAnsi="Times New Roman" w:eastAsia="宋体" w:cs="Times New Roman"/>
                <w:kern w:val="0"/>
                <w:sz w:val="18"/>
                <w:szCs w:val="18"/>
              </w:rPr>
              <w:t>系列单片机的硬件结构，对</w:t>
            </w:r>
            <w:r>
              <w:rPr>
                <w:rFonts w:ascii="Times New Roman" w:hAnsi="Times New Roman" w:eastAsia="宋体" w:cs="Times New Roman"/>
                <w:kern w:val="0"/>
                <w:sz w:val="18"/>
                <w:szCs w:val="18"/>
              </w:rPr>
              <w:t>MCS-51</w:t>
            </w:r>
            <w:r>
              <w:rPr>
                <w:rFonts w:hint="eastAsia" w:ascii="Times New Roman" w:hAnsi="Times New Roman" w:eastAsia="宋体" w:cs="Times New Roman"/>
                <w:kern w:val="0"/>
                <w:sz w:val="18"/>
                <w:szCs w:val="18"/>
              </w:rPr>
              <w:t>系列单片机的一般原理、主要功能及工作方式有较深入的理解。</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通过课堂讲授与学生学习（网络学习）等达成。</w:t>
            </w:r>
          </w:p>
        </w:tc>
        <w:tc>
          <w:tcPr>
            <w:tcW w:w="18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2</w:t>
            </w:r>
            <w:r>
              <w:rPr>
                <w:rFonts w:hint="eastAsia" w:ascii="Times New Roman" w:hAnsi="Times New Roman" w:eastAsia="宋体" w:cs="Times New Roman"/>
                <w:kern w:val="0"/>
                <w:szCs w:val="21"/>
              </w:rPr>
              <w:t>．</w:t>
            </w:r>
            <w:r>
              <w:rPr>
                <w:rFonts w:ascii="Times New Roman" w:hAnsi="Times New Roman" w:eastAsia="宋体" w:cs="Times New Roman"/>
                <w:kern w:val="0"/>
                <w:sz w:val="18"/>
                <w:szCs w:val="18"/>
              </w:rPr>
              <w:t>C51</w:t>
            </w:r>
            <w:r>
              <w:rPr>
                <w:rFonts w:hint="eastAsia" w:ascii="Times New Roman" w:hAnsi="Times New Roman" w:eastAsia="宋体" w:cs="Times New Roman"/>
                <w:kern w:val="0"/>
                <w:sz w:val="18"/>
                <w:szCs w:val="18"/>
              </w:rPr>
              <w:t>编程技能目标：通过案例分析学习，掌握</w:t>
            </w:r>
            <w:r>
              <w:rPr>
                <w:rFonts w:ascii="Times New Roman" w:hAnsi="Times New Roman" w:eastAsia="宋体" w:cs="Times New Roman"/>
                <w:kern w:val="0"/>
                <w:sz w:val="18"/>
                <w:szCs w:val="18"/>
              </w:rPr>
              <w:t>C51</w:t>
            </w:r>
            <w:r>
              <w:rPr>
                <w:rFonts w:hint="eastAsia" w:ascii="Times New Roman" w:hAnsi="Times New Roman" w:eastAsia="宋体" w:cs="Times New Roman"/>
                <w:kern w:val="0"/>
                <w:sz w:val="18"/>
                <w:szCs w:val="18"/>
              </w:rPr>
              <w:t>编程技能，能编写出典型应用电路的相应程序。</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通过课堂讲授、学生学习、作业、实验等达成。</w:t>
            </w:r>
          </w:p>
        </w:tc>
        <w:tc>
          <w:tcPr>
            <w:tcW w:w="18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课堂表现、习题作业、实验报告与考试。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3</w:t>
            </w:r>
            <w:r>
              <w:rPr>
                <w:rFonts w:hint="eastAsia" w:ascii="Times New Roman" w:hAnsi="Times New Roman" w:eastAsia="宋体" w:cs="Times New Roman"/>
                <w:kern w:val="0"/>
                <w:szCs w:val="21"/>
              </w:rPr>
              <w:t>．</w:t>
            </w:r>
            <w:r>
              <w:rPr>
                <w:rFonts w:ascii="Times New Roman" w:hAnsi="Times New Roman" w:eastAsia="宋体" w:cs="Times New Roman"/>
                <w:kern w:val="0"/>
                <w:sz w:val="18"/>
                <w:szCs w:val="18"/>
              </w:rPr>
              <w:t>EDA</w:t>
            </w:r>
            <w:r>
              <w:rPr>
                <w:rFonts w:hint="eastAsia" w:ascii="Times New Roman" w:hAnsi="Times New Roman" w:eastAsia="宋体" w:cs="Times New Roman"/>
                <w:kern w:val="0"/>
                <w:sz w:val="18"/>
                <w:szCs w:val="18"/>
              </w:rPr>
              <w:t>工具技能目标：</w:t>
            </w:r>
            <w:r>
              <w:rPr>
                <w:rFonts w:hint="eastAsia" w:ascii="Times New Roman" w:hAnsi="Times New Roman" w:eastAsia="宋体" w:cs="Times New Roman"/>
                <w:sz w:val="18"/>
                <w:szCs w:val="18"/>
              </w:rPr>
              <w:t>能熟练运用仿真工具</w:t>
            </w:r>
            <w:r>
              <w:rPr>
                <w:rFonts w:ascii="Times New Roman" w:hAnsi="Times New Roman" w:eastAsia="宋体" w:cs="Times New Roman"/>
                <w:sz w:val="18"/>
                <w:szCs w:val="18"/>
              </w:rPr>
              <w:t>Proteus</w:t>
            </w:r>
            <w:r>
              <w:rPr>
                <w:rFonts w:hint="eastAsia" w:ascii="Times New Roman" w:hAnsi="Times New Roman" w:eastAsia="宋体" w:cs="Times New Roman"/>
                <w:sz w:val="18"/>
                <w:szCs w:val="18"/>
              </w:rPr>
              <w:t>和开发工具</w:t>
            </w:r>
            <w:r>
              <w:rPr>
                <w:rFonts w:ascii="Times New Roman" w:hAnsi="Times New Roman" w:eastAsia="宋体" w:cs="Times New Roman"/>
                <w:sz w:val="18"/>
                <w:szCs w:val="18"/>
              </w:rPr>
              <w:t>Keil uVision4</w:t>
            </w:r>
            <w:r>
              <w:rPr>
                <w:rFonts w:hint="eastAsia" w:ascii="Times New Roman" w:hAnsi="Times New Roman" w:eastAsia="宋体" w:cs="Times New Roman"/>
                <w:sz w:val="18"/>
                <w:szCs w:val="18"/>
              </w:rPr>
              <w:t>，对单片机应用系统进行设计、开发与调试。</w:t>
            </w:r>
          </w:p>
        </w:tc>
        <w:tc>
          <w:tcPr>
            <w:tcW w:w="23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通过学生学习、作业、实验等达成。</w:t>
            </w:r>
          </w:p>
        </w:tc>
        <w:tc>
          <w:tcPr>
            <w:tcW w:w="18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习题作业与实验报告。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4</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研发电子产品的综合</w:t>
            </w:r>
            <w:r>
              <w:rPr>
                <w:rFonts w:hint="eastAsia" w:ascii="Times New Roman" w:hAnsi="Times New Roman" w:eastAsia="宋体" w:cs="Times New Roman"/>
                <w:kern w:val="0"/>
                <w:sz w:val="18"/>
                <w:szCs w:val="18"/>
              </w:rPr>
              <w:t>能力目标：能够针对电子产品</w:t>
            </w:r>
            <w:r>
              <w:rPr>
                <w:rFonts w:hint="eastAsia" w:ascii="Times New Roman" w:hAnsi="Times New Roman" w:eastAsia="宋体" w:cs="Times New Roman"/>
                <w:sz w:val="18"/>
                <w:szCs w:val="18"/>
              </w:rPr>
              <w:t>现实需求问题利用单片机进行项目设计，具备项目过程管理的综合素质</w:t>
            </w:r>
            <w:r>
              <w:rPr>
                <w:rFonts w:hint="eastAsia" w:ascii="Times New Roman" w:hAnsi="Times New Roman" w:eastAsia="宋体" w:cs="Times New Roman"/>
                <w:kern w:val="0"/>
                <w:sz w:val="18"/>
                <w:szCs w:val="18"/>
              </w:rPr>
              <w:t>。</w:t>
            </w:r>
          </w:p>
        </w:tc>
        <w:tc>
          <w:tcPr>
            <w:tcW w:w="23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通过课堂讲授与学生学习（小组讨论、案例研讨）等达成。</w:t>
            </w:r>
          </w:p>
        </w:tc>
        <w:tc>
          <w:tcPr>
            <w:tcW w:w="18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课堂表现、习题作业、实验报告与考试。</w:t>
            </w:r>
          </w:p>
        </w:tc>
      </w:tr>
    </w:tbl>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四、课程教学内容、教与学的要求</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1</w:t>
      </w:r>
      <w:r>
        <w:rPr>
          <w:rFonts w:hint="eastAsia" w:ascii="Times New Roman" w:hAnsi="Times New Roman" w:eastAsia="宋体" w:cs="Times New Roman"/>
          <w:kern w:val="0"/>
          <w:szCs w:val="21"/>
        </w:rPr>
        <w:t>．</w:t>
      </w:r>
      <w:r>
        <w:rPr>
          <w:rFonts w:hint="eastAsia" w:ascii="Times New Roman" w:hAnsi="Times New Roman" w:eastAsia="宋体" w:cs="Times New Roman"/>
          <w:szCs w:val="21"/>
        </w:rPr>
        <w:t>以课堂讲授为主，网络多媒体教学、课程独立网站（含教学视频）以及其它同步学习为辅，注重与专业相关工程实践教学环节和场景配合的案例教学，搜集单片机在实际工程应用中的典型案例，案例由浅入深，结合课程中的相应知识点进行分析，培养学生具有解决复杂工程问题的应用能力。</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kern w:val="0"/>
          <w:szCs w:val="21"/>
        </w:rPr>
        <w:t>．</w:t>
      </w:r>
      <w:r>
        <w:rPr>
          <w:rFonts w:hint="eastAsia" w:ascii="Times New Roman" w:hAnsi="Times New Roman" w:eastAsia="宋体" w:cs="Times New Roman"/>
          <w:szCs w:val="21"/>
        </w:rPr>
        <w:t>根据课程特点采用启发式教学、任务驱动教学、案例教学法进行教学方法创新；核心能力知识点采用</w:t>
      </w:r>
      <w:r>
        <w:rPr>
          <w:rFonts w:ascii="Times New Roman" w:hAnsi="Times New Roman" w:eastAsia="宋体" w:cs="Times New Roman"/>
          <w:szCs w:val="21"/>
        </w:rPr>
        <w:t>“</w:t>
      </w:r>
      <w:r>
        <w:rPr>
          <w:rFonts w:hint="eastAsia" w:ascii="Times New Roman" w:hAnsi="Times New Roman" w:eastAsia="宋体" w:cs="Times New Roman"/>
          <w:szCs w:val="21"/>
        </w:rPr>
        <w:t>原理描述</w:t>
      </w:r>
      <w:r>
        <w:rPr>
          <w:rFonts w:ascii="Times New Roman" w:hAnsi="Times New Roman" w:eastAsia="宋体" w:cs="Times New Roman"/>
          <w:szCs w:val="21"/>
        </w:rPr>
        <w:t>-</w:t>
      </w:r>
      <w:r>
        <w:rPr>
          <w:rFonts w:hint="eastAsia" w:ascii="Times New Roman" w:hAnsi="Times New Roman" w:eastAsia="宋体" w:cs="Times New Roman"/>
          <w:szCs w:val="21"/>
        </w:rPr>
        <w:t>方法分析</w:t>
      </w:r>
      <w:r>
        <w:rPr>
          <w:rFonts w:ascii="Times New Roman" w:hAnsi="Times New Roman" w:eastAsia="宋体" w:cs="Times New Roman"/>
          <w:szCs w:val="21"/>
        </w:rPr>
        <w:t>-</w:t>
      </w:r>
      <w:r>
        <w:rPr>
          <w:rFonts w:hint="eastAsia" w:ascii="Times New Roman" w:hAnsi="Times New Roman" w:eastAsia="宋体" w:cs="Times New Roman"/>
          <w:szCs w:val="21"/>
        </w:rPr>
        <w:t>应用案例展示</w:t>
      </w:r>
      <w:r>
        <w:rPr>
          <w:rFonts w:ascii="Times New Roman" w:hAnsi="Times New Roman" w:eastAsia="宋体" w:cs="Times New Roman"/>
          <w:szCs w:val="21"/>
        </w:rPr>
        <w:t>”</w:t>
      </w:r>
      <w:r>
        <w:rPr>
          <w:rFonts w:hint="eastAsia" w:ascii="Times New Roman" w:hAnsi="Times New Roman" w:eastAsia="宋体" w:cs="Times New Roman"/>
          <w:szCs w:val="21"/>
        </w:rPr>
        <w:t>相互呼应的教学模式。</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以专业岗位能力为培养目标，选择项目构建合适的学习载体，项目源于复杂电子信息工程问题，教学目标定位为培养学生的综合应用能力，教学设计体现完成典型电子信息工程工作任务的、完整清晰的技术路径和教学实施途径。</w:t>
      </w:r>
    </w:p>
    <w:p>
      <w:pPr>
        <w:ind w:firstLine="420" w:firstLineChars="200"/>
        <w:rPr>
          <w:rFonts w:ascii="Times New Roman" w:hAnsi="Times New Roman" w:eastAsia="宋体" w:cs="Times New Roman"/>
          <w:szCs w:val="21"/>
        </w:rPr>
      </w:pPr>
      <w:bookmarkStart w:id="159" w:name="_Hlk36224749"/>
      <w:r>
        <w:rPr>
          <w:rFonts w:hint="eastAsia" w:ascii="Times New Roman" w:hAnsi="Times New Roman" w:eastAsia="宋体" w:cs="Times New Roman"/>
          <w:szCs w:val="21"/>
        </w:rPr>
        <w:t>本课程理论教学内容与教学要求见表</w:t>
      </w:r>
      <w:r>
        <w:rPr>
          <w:rFonts w:ascii="Times New Roman" w:hAnsi="Times New Roman" w:eastAsia="宋体" w:cs="Times New Roman"/>
          <w:szCs w:val="21"/>
        </w:rPr>
        <w:t>3</w:t>
      </w:r>
      <w:r>
        <w:rPr>
          <w:rFonts w:hint="eastAsia" w:ascii="Times New Roman" w:hAnsi="Times New Roman" w:eastAsia="宋体" w:cs="Times New Roman"/>
          <w:szCs w:val="21"/>
        </w:rPr>
        <w:t>。</w:t>
      </w:r>
      <w:bookmarkEnd w:id="159"/>
    </w:p>
    <w:p>
      <w:pPr>
        <w:spacing w:before="156" w:beforeLines="50"/>
        <w:ind w:firstLine="361" w:firstLineChars="200"/>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表</w:t>
      </w:r>
      <w:r>
        <w:rPr>
          <w:rFonts w:ascii="Times New Roman" w:hAnsi="Times New Roman" w:eastAsia="宋体" w:cs="Times New Roman"/>
          <w:b/>
          <w:sz w:val="18"/>
          <w:szCs w:val="18"/>
        </w:rPr>
        <w:t>3</w:t>
      </w:r>
      <w:r>
        <w:rPr>
          <w:rFonts w:hint="eastAsia" w:ascii="Times New Roman" w:hAnsi="Times New Roman" w:eastAsia="宋体" w:cs="Times New Roman"/>
          <w:b/>
          <w:sz w:val="18"/>
          <w:szCs w:val="18"/>
        </w:rPr>
        <w:t>教学内容与教学要求</w:t>
      </w:r>
    </w:p>
    <w:tbl>
      <w:tblPr>
        <w:tblStyle w:val="22"/>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324"/>
        <w:gridCol w:w="4049"/>
        <w:gridCol w:w="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序号</w:t>
            </w:r>
          </w:p>
        </w:tc>
        <w:tc>
          <w:tcPr>
            <w:tcW w:w="23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教学内容</w:t>
            </w:r>
          </w:p>
        </w:tc>
        <w:tc>
          <w:tcPr>
            <w:tcW w:w="404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教与学的要求</w:t>
            </w:r>
          </w:p>
        </w:tc>
        <w:tc>
          <w:tcPr>
            <w:tcW w:w="6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学时</w:t>
            </w:r>
          </w:p>
        </w:tc>
        <w:tc>
          <w:tcPr>
            <w:tcW w:w="11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 </w:t>
            </w:r>
            <w:r>
              <w:rPr>
                <w:rFonts w:hint="eastAsia" w:ascii="Times New Roman" w:hAnsi="Times New Roman" w:eastAsia="宋体" w:cs="Times New Roman"/>
                <w:sz w:val="18"/>
                <w:szCs w:val="18"/>
              </w:rPr>
              <w:t>单片机基础知识概述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1.1 </w:t>
            </w:r>
            <w:r>
              <w:rPr>
                <w:rFonts w:hint="eastAsia" w:ascii="Times New Roman" w:hAnsi="Times New Roman" w:eastAsia="宋体" w:cs="Times New Roman"/>
                <w:sz w:val="18"/>
                <w:szCs w:val="18"/>
              </w:rPr>
              <w:t>单片机概述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 Proteus</w:t>
            </w:r>
            <w:r>
              <w:rPr>
                <w:rFonts w:hint="eastAsia" w:ascii="Times New Roman" w:hAnsi="Times New Roman" w:eastAsia="宋体" w:cs="Times New Roman"/>
                <w:sz w:val="18"/>
                <w:szCs w:val="18"/>
              </w:rPr>
              <w:t>、</w:t>
            </w:r>
            <w:r>
              <w:rPr>
                <w:rFonts w:ascii="Times New Roman" w:hAnsi="Times New Roman" w:eastAsia="宋体" w:cs="Times New Roman"/>
                <w:sz w:val="18"/>
                <w:szCs w:val="18"/>
              </w:rPr>
              <w:t>Keil</w:t>
            </w:r>
            <w:r>
              <w:rPr>
                <w:rFonts w:hint="eastAsia" w:ascii="Times New Roman" w:hAnsi="Times New Roman" w:eastAsia="宋体" w:cs="Times New Roman"/>
                <w:sz w:val="18"/>
                <w:szCs w:val="18"/>
              </w:rPr>
              <w:t>软件应用简介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1.3 </w:t>
            </w:r>
            <w:r>
              <w:rPr>
                <w:rFonts w:hint="eastAsia" w:ascii="Times New Roman" w:hAnsi="Times New Roman" w:eastAsia="宋体" w:cs="Times New Roman"/>
                <w:sz w:val="18"/>
                <w:szCs w:val="18"/>
              </w:rPr>
              <w:t>讲述单片机的应用场景、技术发展及其在工业与民用电子产品设计中的重要地位</w:t>
            </w: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w:t>
            </w:r>
            <w:r>
              <w:rPr>
                <w:rFonts w:hint="eastAsia" w:ascii="Times New Roman" w:hAnsi="Times New Roman" w:eastAsia="宋体" w:cs="Times New Roman"/>
                <w:kern w:val="0"/>
                <w:szCs w:val="21"/>
              </w:rPr>
              <w:t>．</w:t>
            </w:r>
            <w:r>
              <w:rPr>
                <w:rFonts w:hint="eastAsia" w:ascii="Times New Roman" w:hAnsi="Times New Roman" w:eastAsia="宋体" w:cs="Times New Roman"/>
                <w:bCs/>
                <w:sz w:val="18"/>
                <w:szCs w:val="18"/>
              </w:rPr>
              <w:t>目标及要求</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）了解单片机的概念、特点及其应用领域。</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）熟悉</w:t>
            </w:r>
            <w:r>
              <w:rPr>
                <w:rFonts w:ascii="Times New Roman" w:hAnsi="Times New Roman" w:eastAsia="宋体" w:cs="Times New Roman"/>
                <w:sz w:val="18"/>
                <w:szCs w:val="18"/>
              </w:rPr>
              <w:t>Proteus</w:t>
            </w:r>
            <w:r>
              <w:rPr>
                <w:rFonts w:hint="eastAsia" w:ascii="Times New Roman" w:hAnsi="Times New Roman" w:eastAsia="宋体" w:cs="Times New Roman"/>
                <w:sz w:val="18"/>
                <w:szCs w:val="18"/>
              </w:rPr>
              <w:t>、</w:t>
            </w:r>
            <w:r>
              <w:rPr>
                <w:rFonts w:ascii="Times New Roman" w:hAnsi="Times New Roman" w:eastAsia="宋体" w:cs="Times New Roman"/>
                <w:sz w:val="18"/>
                <w:szCs w:val="18"/>
              </w:rPr>
              <w:t xml:space="preserve">Keil </w:t>
            </w:r>
            <w:r>
              <w:rPr>
                <w:rFonts w:hint="eastAsia" w:ascii="Times New Roman" w:hAnsi="Times New Roman" w:eastAsia="宋体" w:cs="Times New Roman"/>
                <w:sz w:val="18"/>
                <w:szCs w:val="18"/>
              </w:rPr>
              <w:t>软件的使用。</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w:t>
            </w:r>
            <w:r>
              <w:rPr>
                <w:rFonts w:hint="eastAsia" w:ascii="Times New Roman" w:hAnsi="Times New Roman" w:eastAsia="宋体" w:cs="Times New Roman"/>
                <w:kern w:val="0"/>
                <w:szCs w:val="21"/>
              </w:rPr>
              <w:t>．</w:t>
            </w:r>
            <w:r>
              <w:rPr>
                <w:rFonts w:hint="eastAsia" w:ascii="Times New Roman" w:hAnsi="Times New Roman" w:eastAsia="宋体" w:cs="Times New Roman"/>
                <w:bCs/>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用</w:t>
            </w:r>
            <w:r>
              <w:rPr>
                <w:rFonts w:ascii="Times New Roman" w:hAnsi="Times New Roman" w:eastAsia="宋体" w:cs="Times New Roman"/>
                <w:sz w:val="18"/>
                <w:szCs w:val="18"/>
              </w:rPr>
              <w:t xml:space="preserve"> Proteus</w:t>
            </w:r>
            <w:r>
              <w:rPr>
                <w:rFonts w:hint="eastAsia" w:ascii="Times New Roman" w:hAnsi="Times New Roman" w:eastAsia="宋体" w:cs="Times New Roman"/>
                <w:sz w:val="18"/>
                <w:szCs w:val="18"/>
              </w:rPr>
              <w:t>、</w:t>
            </w:r>
            <w:r>
              <w:rPr>
                <w:rFonts w:ascii="Times New Roman" w:hAnsi="Times New Roman" w:eastAsia="宋体" w:cs="Times New Roman"/>
                <w:sz w:val="18"/>
                <w:szCs w:val="18"/>
              </w:rPr>
              <w:t>Keil</w:t>
            </w:r>
            <w:r>
              <w:rPr>
                <w:rFonts w:hint="eastAsia" w:ascii="Times New Roman" w:hAnsi="Times New Roman" w:eastAsia="宋体" w:cs="Times New Roman"/>
                <w:sz w:val="18"/>
                <w:szCs w:val="18"/>
              </w:rPr>
              <w:t>软件设计一个简单电路。</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3</w:t>
            </w:r>
            <w:r>
              <w:rPr>
                <w:rFonts w:hint="eastAsia" w:ascii="Times New Roman" w:hAnsi="Times New Roman" w:eastAsia="宋体" w:cs="Times New Roman"/>
                <w:kern w:val="0"/>
                <w:szCs w:val="21"/>
              </w:rPr>
              <w:t>．</w:t>
            </w:r>
            <w:r>
              <w:rPr>
                <w:rFonts w:hint="eastAsia" w:ascii="Times New Roman" w:hAnsi="Times New Roman" w:eastAsia="宋体" w:cs="Times New Roman"/>
                <w:bCs/>
                <w:sz w:val="18"/>
                <w:szCs w:val="18"/>
              </w:rPr>
              <w:t>讨论内容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单片机有哪些系列产品？如何选用？</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 MCS-51</w:t>
            </w:r>
            <w:r>
              <w:rPr>
                <w:rFonts w:hint="eastAsia" w:ascii="Times New Roman" w:hAnsi="Times New Roman" w:eastAsia="宋体" w:cs="Times New Roman"/>
                <w:sz w:val="18"/>
                <w:szCs w:val="18"/>
              </w:rPr>
              <w:t>单片机的结构及原理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2.1 MCS-51</w:t>
            </w:r>
            <w:r>
              <w:rPr>
                <w:rFonts w:hint="eastAsia" w:ascii="Times New Roman" w:hAnsi="Times New Roman" w:eastAsia="宋体" w:cs="Times New Roman"/>
                <w:sz w:val="18"/>
                <w:szCs w:val="18"/>
              </w:rPr>
              <w:t>单片机的结构：</w:t>
            </w:r>
            <w:r>
              <w:rPr>
                <w:rFonts w:ascii="Times New Roman" w:hAnsi="Times New Roman" w:eastAsia="宋体" w:cs="Times New Roman"/>
                <w:sz w:val="18"/>
                <w:szCs w:val="18"/>
              </w:rPr>
              <w:t>MCS-51</w:t>
            </w:r>
            <w:r>
              <w:rPr>
                <w:rFonts w:hint="eastAsia" w:ascii="Times New Roman" w:hAnsi="Times New Roman" w:eastAsia="宋体" w:cs="Times New Roman"/>
                <w:sz w:val="18"/>
                <w:szCs w:val="18"/>
              </w:rPr>
              <w:t>单片机的内部结构、外部引脚及功能。</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2.2 MCS-51</w:t>
            </w:r>
            <w:r>
              <w:rPr>
                <w:rFonts w:hint="eastAsia" w:ascii="Times New Roman" w:hAnsi="Times New Roman" w:eastAsia="宋体" w:cs="Times New Roman"/>
                <w:sz w:val="18"/>
                <w:szCs w:val="18"/>
              </w:rPr>
              <w:t>的存储器结构：程序存储器、数据存储器、专用寄存器。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2.3 </w:t>
            </w:r>
            <w:r>
              <w:rPr>
                <w:rFonts w:hint="eastAsia" w:ascii="Times New Roman" w:hAnsi="Times New Roman" w:eastAsia="宋体" w:cs="Times New Roman"/>
                <w:sz w:val="18"/>
                <w:szCs w:val="18"/>
              </w:rPr>
              <w:t>单片机的复位、时钟与时序：复位电路、时钟电路、时序。</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2.4 </w:t>
            </w:r>
            <w:r>
              <w:rPr>
                <w:rFonts w:hint="eastAsia" w:ascii="Times New Roman" w:hAnsi="Times New Roman" w:eastAsia="宋体" w:cs="Times New Roman"/>
                <w:sz w:val="18"/>
                <w:szCs w:val="18"/>
              </w:rPr>
              <w:t>并行</w:t>
            </w:r>
            <w:r>
              <w:rPr>
                <w:rFonts w:ascii="Times New Roman" w:hAnsi="Times New Roman" w:eastAsia="宋体" w:cs="Times New Roman"/>
                <w:sz w:val="18"/>
                <w:szCs w:val="18"/>
              </w:rPr>
              <w:t>I/O</w:t>
            </w:r>
            <w:r>
              <w:rPr>
                <w:rFonts w:hint="eastAsia" w:ascii="Times New Roman" w:hAnsi="Times New Roman" w:eastAsia="宋体" w:cs="Times New Roman"/>
                <w:sz w:val="18"/>
                <w:szCs w:val="18"/>
              </w:rPr>
              <w:t>口：并行</w:t>
            </w:r>
            <w:r>
              <w:rPr>
                <w:rFonts w:ascii="Times New Roman" w:hAnsi="Times New Roman" w:eastAsia="宋体" w:cs="Times New Roman"/>
                <w:sz w:val="18"/>
                <w:szCs w:val="18"/>
              </w:rPr>
              <w:t>I/O</w:t>
            </w:r>
            <w:r>
              <w:rPr>
                <w:rFonts w:hint="eastAsia" w:ascii="Times New Roman" w:hAnsi="Times New Roman" w:eastAsia="宋体" w:cs="Times New Roman"/>
                <w:sz w:val="18"/>
                <w:szCs w:val="18"/>
              </w:rPr>
              <w:t>口的三种工作方式、</w:t>
            </w:r>
            <w:r>
              <w:rPr>
                <w:rFonts w:ascii="Times New Roman" w:hAnsi="Times New Roman" w:eastAsia="宋体" w:cs="Times New Roman"/>
                <w:sz w:val="18"/>
                <w:szCs w:val="18"/>
              </w:rPr>
              <w:t>4</w:t>
            </w:r>
            <w:r>
              <w:rPr>
                <w:rFonts w:hint="eastAsia" w:ascii="Times New Roman" w:hAnsi="Times New Roman" w:eastAsia="宋体" w:cs="Times New Roman"/>
                <w:sz w:val="18"/>
                <w:szCs w:val="18"/>
              </w:rPr>
              <w:t>个</w:t>
            </w:r>
            <w:r>
              <w:rPr>
                <w:rFonts w:ascii="Times New Roman" w:hAnsi="Times New Roman" w:eastAsia="宋体" w:cs="Times New Roman"/>
                <w:sz w:val="18"/>
                <w:szCs w:val="18"/>
              </w:rPr>
              <w:t>I/O</w:t>
            </w:r>
            <w:r>
              <w:rPr>
                <w:rFonts w:hint="eastAsia" w:ascii="Times New Roman" w:hAnsi="Times New Roman" w:eastAsia="宋体" w:cs="Times New Roman"/>
                <w:sz w:val="18"/>
                <w:szCs w:val="18"/>
              </w:rPr>
              <w:t>口各自的特点。</w:t>
            </w: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目标及要求：</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）掌握</w:t>
            </w:r>
            <w:r>
              <w:rPr>
                <w:rFonts w:ascii="Times New Roman" w:hAnsi="Times New Roman" w:eastAsia="宋体" w:cs="Times New Roman"/>
                <w:sz w:val="18"/>
                <w:szCs w:val="18"/>
              </w:rPr>
              <w:t>MCS-51</w:t>
            </w:r>
            <w:r>
              <w:rPr>
                <w:rFonts w:hint="eastAsia" w:ascii="Times New Roman" w:hAnsi="Times New Roman" w:eastAsia="宋体" w:cs="Times New Roman"/>
                <w:sz w:val="18"/>
                <w:szCs w:val="18"/>
              </w:rPr>
              <w:t>单片机的内部结构与外部引脚功能。</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）掌握</w:t>
            </w:r>
            <w:r>
              <w:rPr>
                <w:rFonts w:ascii="Times New Roman" w:hAnsi="Times New Roman" w:eastAsia="宋体" w:cs="Times New Roman"/>
                <w:sz w:val="18"/>
                <w:szCs w:val="18"/>
              </w:rPr>
              <w:t>MCS-51</w:t>
            </w:r>
            <w:r>
              <w:rPr>
                <w:rFonts w:hint="eastAsia" w:ascii="Times New Roman" w:hAnsi="Times New Roman" w:eastAsia="宋体" w:cs="Times New Roman"/>
                <w:sz w:val="18"/>
                <w:szCs w:val="18"/>
              </w:rPr>
              <w:t>单片机的存储器结构及工作原理。</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）掌握</w:t>
            </w:r>
            <w:r>
              <w:rPr>
                <w:rFonts w:ascii="Times New Roman" w:hAnsi="Times New Roman" w:eastAsia="宋体" w:cs="Times New Roman"/>
                <w:sz w:val="18"/>
                <w:szCs w:val="18"/>
              </w:rPr>
              <w:t>MCS-51</w:t>
            </w:r>
            <w:r>
              <w:rPr>
                <w:rFonts w:hint="eastAsia" w:ascii="Times New Roman" w:hAnsi="Times New Roman" w:eastAsia="宋体" w:cs="Times New Roman"/>
                <w:sz w:val="18"/>
                <w:szCs w:val="18"/>
              </w:rPr>
              <w:t>单片机的</w:t>
            </w:r>
            <w:r>
              <w:rPr>
                <w:rFonts w:ascii="Times New Roman" w:hAnsi="Times New Roman" w:eastAsia="宋体" w:cs="Times New Roman"/>
                <w:sz w:val="18"/>
                <w:szCs w:val="18"/>
              </w:rPr>
              <w:t>4</w:t>
            </w:r>
            <w:r>
              <w:rPr>
                <w:rFonts w:hint="eastAsia" w:ascii="Times New Roman" w:hAnsi="Times New Roman" w:eastAsia="宋体" w:cs="Times New Roman"/>
                <w:sz w:val="18"/>
                <w:szCs w:val="18"/>
              </w:rPr>
              <w:t>个并行</w:t>
            </w:r>
            <w:r>
              <w:rPr>
                <w:rFonts w:ascii="Times New Roman" w:hAnsi="Times New Roman" w:eastAsia="宋体" w:cs="Times New Roman"/>
                <w:sz w:val="18"/>
                <w:szCs w:val="18"/>
              </w:rPr>
              <w:t>I/O</w:t>
            </w:r>
            <w:r>
              <w:rPr>
                <w:rFonts w:hint="eastAsia" w:ascii="Times New Roman" w:hAnsi="Times New Roman" w:eastAsia="宋体" w:cs="Times New Roman"/>
                <w:sz w:val="18"/>
                <w:szCs w:val="18"/>
              </w:rPr>
              <w:t>口的结构与功能。</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弄清本章所涉及的基本概念；</w:t>
            </w:r>
            <w:r>
              <w:rPr>
                <w:rFonts w:ascii="Times New Roman" w:hAnsi="Times New Roman" w:eastAsia="宋体" w:cs="Times New Roman"/>
                <w:sz w:val="18"/>
                <w:szCs w:val="18"/>
              </w:rPr>
              <w:t xml:space="preserve"> MCS-51</w:t>
            </w:r>
            <w:r>
              <w:rPr>
                <w:rFonts w:hint="eastAsia" w:ascii="Times New Roman" w:hAnsi="Times New Roman" w:eastAsia="宋体" w:cs="Times New Roman"/>
                <w:sz w:val="18"/>
                <w:szCs w:val="18"/>
              </w:rPr>
              <w:t>单片机有哪些内部资源。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单片机的最小应用系统包括哪些内容？</w:t>
            </w:r>
          </w:p>
          <w:p>
            <w:pPr>
              <w:adjustRightInd w:val="0"/>
              <w:snapToGrid w:val="0"/>
              <w:spacing w:line="300" w:lineRule="auto"/>
              <w:rPr>
                <w:rFonts w:ascii="Times New Roman" w:hAnsi="Times New Roman" w:eastAsia="宋体" w:cs="Times New Roman"/>
                <w:sz w:val="18"/>
                <w:szCs w:val="18"/>
              </w:rPr>
            </w:pP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 </w:t>
            </w:r>
            <w:r>
              <w:rPr>
                <w:rFonts w:hint="eastAsia" w:ascii="Times New Roman" w:hAnsi="Times New Roman" w:eastAsia="宋体" w:cs="Times New Roman"/>
                <w:sz w:val="18"/>
                <w:szCs w:val="18"/>
              </w:rPr>
              <w:t>单片机的</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语言及基本应用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3.1 C51</w:t>
            </w:r>
            <w:r>
              <w:rPr>
                <w:rFonts w:hint="eastAsia" w:ascii="Times New Roman" w:hAnsi="Times New Roman" w:eastAsia="宋体" w:cs="Times New Roman"/>
                <w:sz w:val="18"/>
                <w:szCs w:val="18"/>
              </w:rPr>
              <w:t>的程序结构：</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语言概述、</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的程序结构。</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3.2 C51</w:t>
            </w:r>
            <w:r>
              <w:rPr>
                <w:rFonts w:hint="eastAsia" w:ascii="Times New Roman" w:hAnsi="Times New Roman" w:eastAsia="宋体" w:cs="Times New Roman"/>
                <w:sz w:val="18"/>
                <w:szCs w:val="18"/>
              </w:rPr>
              <w:t>的数据结构：</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的变量、</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的指针。</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3.3 C51</w:t>
            </w:r>
            <w:r>
              <w:rPr>
                <w:rFonts w:hint="eastAsia" w:ascii="Times New Roman" w:hAnsi="Times New Roman" w:eastAsia="宋体" w:cs="Times New Roman"/>
                <w:sz w:val="18"/>
                <w:szCs w:val="18"/>
              </w:rPr>
              <w:t>应用编程初步：独立式键盘的工作特点和应用编程、行列矩阵式键盘的工作特点和应用编程；</w:t>
            </w:r>
            <w:r>
              <w:rPr>
                <w:rFonts w:ascii="Times New Roman" w:hAnsi="Times New Roman" w:eastAsia="宋体" w:cs="Times New Roman"/>
                <w:sz w:val="18"/>
                <w:szCs w:val="18"/>
              </w:rPr>
              <w:t>LED</w:t>
            </w:r>
            <w:r>
              <w:rPr>
                <w:rFonts w:hint="eastAsia" w:ascii="Times New Roman" w:hAnsi="Times New Roman" w:eastAsia="宋体" w:cs="Times New Roman"/>
                <w:sz w:val="18"/>
                <w:szCs w:val="18"/>
              </w:rPr>
              <w:t>显示原理、静态显示接口电路及程序设计、动态显示接口电路及程序设计。</w:t>
            </w: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．目标及要求：</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）掌握</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语言的数据结构等相关内容。</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）了解</w:t>
            </w:r>
            <w:r>
              <w:rPr>
                <w:rFonts w:ascii="Times New Roman" w:hAnsi="Times New Roman" w:eastAsia="宋体" w:cs="Times New Roman"/>
                <w:sz w:val="18"/>
                <w:szCs w:val="18"/>
              </w:rPr>
              <w:t>C51</w:t>
            </w:r>
            <w:r>
              <w:rPr>
                <w:rFonts w:hint="eastAsia" w:ascii="Times New Roman" w:hAnsi="Times New Roman" w:eastAsia="宋体" w:cs="Times New Roman"/>
                <w:sz w:val="18"/>
                <w:szCs w:val="18"/>
              </w:rPr>
              <w:t>语言的编程方法。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）掌握单片机中键盘、数码管等单元的工作原理和编程方法。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作业内容：根据硬件电路编写下列程序</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）计数显示器；（</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）流水灯控制（</w:t>
            </w:r>
            <w:r>
              <w:rPr>
                <w:rFonts w:ascii="Times New Roman" w:hAnsi="Times New Roman" w:eastAsia="宋体" w:cs="Times New Roman"/>
                <w:sz w:val="18"/>
                <w:szCs w:val="18"/>
              </w:rPr>
              <w:t>4</w:t>
            </w:r>
            <w:r>
              <w:rPr>
                <w:rFonts w:hint="eastAsia" w:ascii="Times New Roman" w:hAnsi="Times New Roman" w:eastAsia="宋体" w:cs="Times New Roman"/>
                <w:sz w:val="18"/>
                <w:szCs w:val="18"/>
              </w:rPr>
              <w:t>种花样）；（</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4×4</w:t>
            </w:r>
            <w:r>
              <w:rPr>
                <w:rFonts w:hint="eastAsia" w:ascii="Times New Roman" w:hAnsi="Times New Roman" w:eastAsia="宋体" w:cs="Times New Roman"/>
                <w:sz w:val="18"/>
                <w:szCs w:val="18"/>
              </w:rPr>
              <w:t>行列矩阵键盘。</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静态显示和动态显示各自的特点，实际应用时如何选择？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自学拓展：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）按键如何消抖；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）按键用于计数时有哪些处理方法；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）如何在实际应用中选择按键电路和编程方法。</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 </w:t>
            </w:r>
            <w:r>
              <w:rPr>
                <w:rFonts w:hint="eastAsia" w:ascii="Times New Roman" w:hAnsi="Times New Roman" w:eastAsia="宋体" w:cs="Times New Roman"/>
                <w:sz w:val="18"/>
                <w:szCs w:val="18"/>
              </w:rPr>
              <w:t>单片机的中断系统</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4.1 </w:t>
            </w:r>
            <w:r>
              <w:rPr>
                <w:rFonts w:hint="eastAsia" w:ascii="Times New Roman" w:hAnsi="Times New Roman" w:eastAsia="宋体" w:cs="Times New Roman"/>
                <w:sz w:val="18"/>
                <w:szCs w:val="18"/>
              </w:rPr>
              <w:t>中断的概念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4.2 </w:t>
            </w:r>
            <w:r>
              <w:rPr>
                <w:rFonts w:hint="eastAsia" w:ascii="Times New Roman" w:hAnsi="Times New Roman" w:eastAsia="宋体" w:cs="Times New Roman"/>
                <w:sz w:val="18"/>
                <w:szCs w:val="18"/>
              </w:rPr>
              <w:t>中断控制系统</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4.3 </w:t>
            </w:r>
            <w:r>
              <w:rPr>
                <w:rFonts w:hint="eastAsia" w:ascii="Times New Roman" w:hAnsi="Times New Roman" w:eastAsia="宋体" w:cs="Times New Roman"/>
                <w:sz w:val="18"/>
                <w:szCs w:val="18"/>
              </w:rPr>
              <w:t>中断处理过程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4.4 </w:t>
            </w:r>
            <w:r>
              <w:rPr>
                <w:rFonts w:hint="eastAsia" w:ascii="Times New Roman" w:hAnsi="Times New Roman" w:eastAsia="宋体" w:cs="Times New Roman"/>
                <w:sz w:val="18"/>
                <w:szCs w:val="18"/>
              </w:rPr>
              <w:t>中断的编程和应用举例</w:t>
            </w:r>
          </w:p>
          <w:p>
            <w:pPr>
              <w:adjustRightInd w:val="0"/>
              <w:snapToGrid w:val="0"/>
              <w:spacing w:line="300" w:lineRule="auto"/>
              <w:rPr>
                <w:rFonts w:ascii="Times New Roman" w:hAnsi="Times New Roman" w:eastAsia="宋体" w:cs="Times New Roman"/>
                <w:sz w:val="18"/>
                <w:szCs w:val="18"/>
              </w:rPr>
            </w:pP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目标及要求：</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）掌握单片机中断控制系统的硬件组成。</w:t>
            </w:r>
          </w:p>
          <w:p>
            <w:pPr>
              <w:adjustRightInd w:val="0"/>
              <w:snapToGrid w:val="0"/>
              <w:spacing w:line="300" w:lineRule="auto"/>
              <w:ind w:right="-31" w:rightChars="-15"/>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）了解中断的产生与响应过程。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）掌握中断编程方法。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）利用中断法控制彩灯的花样和速度；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）中断嵌套的实现。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kern w:val="0"/>
                <w:szCs w:val="21"/>
              </w:rPr>
              <w:t>．</w:t>
            </w:r>
            <w:r>
              <w:rPr>
                <w:rFonts w:hint="eastAsia"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MCS-51</w:t>
            </w:r>
            <w:r>
              <w:rPr>
                <w:rFonts w:hint="eastAsia" w:ascii="Times New Roman" w:hAnsi="Times New Roman" w:eastAsia="宋体" w:cs="Times New Roman"/>
                <w:sz w:val="18"/>
                <w:szCs w:val="18"/>
              </w:rPr>
              <w:t>中断控制系统包括哪些部分；中断的条件是什么？</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3</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Times New Roman" w:eastAsia="宋体" w:cs="Times New Roman"/>
                <w:sz w:val="18"/>
                <w:szCs w:val="18"/>
              </w:rPr>
              <w:t>单片机的定时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5.1</w:t>
            </w:r>
            <w:r>
              <w:rPr>
                <w:rFonts w:hint="eastAsia" w:ascii="Times New Roman" w:hAnsi="Times New Roman" w:eastAsia="宋体" w:cs="Times New Roman"/>
                <w:sz w:val="18"/>
                <w:szCs w:val="18"/>
              </w:rPr>
              <w:t>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计数器结构与工作原理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5.2 </w:t>
            </w:r>
            <w:r>
              <w:rPr>
                <w:rFonts w:hint="eastAsia" w:ascii="Times New Roman" w:hAnsi="Times New Roman" w:eastAsia="宋体" w:cs="Times New Roman"/>
                <w:sz w:val="18"/>
                <w:szCs w:val="18"/>
              </w:rPr>
              <w:t>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计数器的控制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5.3 </w:t>
            </w:r>
            <w:r>
              <w:rPr>
                <w:rFonts w:hint="eastAsia" w:ascii="Times New Roman" w:hAnsi="Times New Roman" w:eastAsia="宋体" w:cs="Times New Roman"/>
                <w:sz w:val="18"/>
                <w:szCs w:val="18"/>
              </w:rPr>
              <w:t>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计数器的工作方式</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5.4 </w:t>
            </w:r>
            <w:r>
              <w:rPr>
                <w:rFonts w:hint="eastAsia" w:ascii="Times New Roman" w:hAnsi="Times New Roman" w:eastAsia="宋体" w:cs="Times New Roman"/>
                <w:sz w:val="18"/>
                <w:szCs w:val="18"/>
              </w:rPr>
              <w:t>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计数器的编程和应用</w:t>
            </w:r>
          </w:p>
          <w:p>
            <w:pPr>
              <w:adjustRightInd w:val="0"/>
              <w:snapToGrid w:val="0"/>
              <w:spacing w:line="300" w:lineRule="auto"/>
              <w:rPr>
                <w:rFonts w:ascii="Times New Roman" w:hAnsi="Times New Roman" w:eastAsia="宋体" w:cs="Times New Roman"/>
                <w:sz w:val="18"/>
                <w:szCs w:val="18"/>
              </w:rPr>
            </w:pP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．目标及要求：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）掌握单片机定时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计数器的结构与工作原理。</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）掌握单片机定时</w:t>
            </w:r>
            <w:r>
              <w:rPr>
                <w:rFonts w:ascii="Times New Roman" w:hAnsi="Times New Roman" w:eastAsia="宋体" w:cs="Times New Roman"/>
                <w:sz w:val="18"/>
                <w:szCs w:val="18"/>
              </w:rPr>
              <w:t>/</w:t>
            </w:r>
            <w:r>
              <w:rPr>
                <w:rFonts w:hint="eastAsia" w:ascii="Times New Roman" w:hAnsi="Times New Roman" w:eastAsia="宋体" w:cs="Times New Roman"/>
                <w:sz w:val="18"/>
                <w:szCs w:val="18"/>
              </w:rPr>
              <w:t>计数器的四种工作方式及应用编程。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）利用查询法或中断法产生方波或矩形波；</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）秒表设计</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如何根据实际需要选择定时方式；如何保证定时的精度。</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sz w:val="18"/>
                <w:szCs w:val="18"/>
              </w:rPr>
              <w:t>．自学拓展：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上网查阅资料，编写下列程序：电子琴、音乐盒、数字电子钟。</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w:t>
            </w:r>
            <w:r>
              <w:rPr>
                <w:rFonts w:hint="eastAsia" w:ascii="Times New Roman" w:hAnsi="Times New Roman" w:eastAsia="宋体" w:cs="Times New Roman"/>
                <w:sz w:val="18"/>
                <w:szCs w:val="18"/>
              </w:rPr>
              <w:t>单片机的串行口及应用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6.1 </w:t>
            </w:r>
            <w:r>
              <w:rPr>
                <w:rFonts w:hint="eastAsia" w:ascii="Times New Roman" w:hAnsi="Times New Roman" w:eastAsia="宋体" w:cs="Times New Roman"/>
                <w:sz w:val="18"/>
                <w:szCs w:val="18"/>
              </w:rPr>
              <w:t>串行通信概述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6.2 MCS-51</w:t>
            </w:r>
            <w:r>
              <w:rPr>
                <w:rFonts w:hint="eastAsia" w:ascii="Times New Roman" w:hAnsi="Times New Roman" w:eastAsia="宋体" w:cs="Times New Roman"/>
                <w:sz w:val="18"/>
                <w:szCs w:val="18"/>
              </w:rPr>
              <w:t>的串行口控制器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6.3 </w:t>
            </w:r>
            <w:r>
              <w:rPr>
                <w:rFonts w:hint="eastAsia" w:ascii="Times New Roman" w:hAnsi="Times New Roman" w:eastAsia="宋体" w:cs="Times New Roman"/>
                <w:sz w:val="18"/>
                <w:szCs w:val="18"/>
              </w:rPr>
              <w:t>串行口的</w:t>
            </w:r>
            <w:r>
              <w:rPr>
                <w:rFonts w:ascii="Times New Roman" w:hAnsi="Times New Roman" w:eastAsia="宋体" w:cs="Times New Roman"/>
                <w:sz w:val="18"/>
                <w:szCs w:val="18"/>
              </w:rPr>
              <w:t>4</w:t>
            </w:r>
            <w:r>
              <w:rPr>
                <w:rFonts w:hint="eastAsia" w:ascii="Times New Roman" w:hAnsi="Times New Roman" w:eastAsia="宋体" w:cs="Times New Roman"/>
                <w:sz w:val="18"/>
                <w:szCs w:val="18"/>
              </w:rPr>
              <w:t>种工作方式及应用</w:t>
            </w:r>
          </w:p>
          <w:p>
            <w:pPr>
              <w:adjustRightInd w:val="0"/>
              <w:snapToGrid w:val="0"/>
              <w:spacing w:line="300" w:lineRule="auto"/>
              <w:rPr>
                <w:rFonts w:ascii="Times New Roman" w:hAnsi="Times New Roman" w:eastAsia="宋体" w:cs="Times New Roman"/>
                <w:sz w:val="18"/>
                <w:szCs w:val="18"/>
              </w:rPr>
            </w:pP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．目标及要求：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）了解串行通信基本概念和各种工作方式的基本原理。</w:t>
            </w:r>
          </w:p>
          <w:p>
            <w:pPr>
              <w:adjustRightInd w:val="0"/>
              <w:snapToGrid w:val="0"/>
              <w:spacing w:line="300" w:lineRule="auto"/>
              <w:rPr>
                <w:rFonts w:ascii="Times New Roman" w:hAnsi="Times New Roman" w:eastAsia="宋体" w:cs="Times New Roman"/>
                <w:b/>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）掌握单片机串行口的结构和控制方法。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）掌握单片机串行口的四种工作方式及应用编程。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利用查询法或中断法实现双机通信</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．讨论内容：</w:t>
            </w:r>
          </w:p>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影响双机通信质量有哪些因素？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sz w:val="18"/>
                <w:szCs w:val="18"/>
              </w:rPr>
              <w:t>．自学拓展：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主从式多机通信的工作原理及应用</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3</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23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w:t>
            </w:r>
            <w:r>
              <w:rPr>
                <w:rFonts w:hint="eastAsia" w:ascii="Times New Roman" w:hAnsi="Times New Roman" w:eastAsia="宋体" w:cs="Times New Roman"/>
                <w:sz w:val="18"/>
                <w:szCs w:val="18"/>
              </w:rPr>
              <w:t>单片机应用系统的设计与开发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7.1</w:t>
            </w:r>
            <w:r>
              <w:rPr>
                <w:rFonts w:hint="eastAsia" w:ascii="Times New Roman" w:hAnsi="Times New Roman" w:eastAsia="宋体" w:cs="Times New Roman"/>
                <w:sz w:val="18"/>
                <w:szCs w:val="18"/>
              </w:rPr>
              <w:t>单片机系统的设计开发过程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7.2 </w:t>
            </w:r>
            <w:r>
              <w:rPr>
                <w:rFonts w:hint="eastAsia" w:ascii="Times New Roman" w:hAnsi="Times New Roman" w:eastAsia="宋体" w:cs="Times New Roman"/>
                <w:sz w:val="18"/>
                <w:szCs w:val="18"/>
              </w:rPr>
              <w:t>单片机系统的可靠性技术</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7.3 </w:t>
            </w:r>
            <w:r>
              <w:rPr>
                <w:rFonts w:hint="eastAsia" w:ascii="Times New Roman" w:hAnsi="Times New Roman" w:eastAsia="宋体" w:cs="Times New Roman"/>
                <w:sz w:val="18"/>
                <w:szCs w:val="18"/>
              </w:rPr>
              <w:t>单片机系统设计开发应用举例</w:t>
            </w:r>
          </w:p>
        </w:tc>
        <w:tc>
          <w:tcPr>
            <w:tcW w:w="40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．目标及要求：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）了解单片机系统的典型组成，以及在设计开发过程中应当注意的事项。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）理解单片机系统设计中常用的几种软硬件抗干扰技术。</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根据自己的能力设计一个应用电路</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sz w:val="18"/>
                <w:szCs w:val="18"/>
              </w:rPr>
              <w:t>如何选择单片机及外围器件设计应用系统</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2</w:t>
            </w:r>
          </w:p>
        </w:tc>
        <w:tc>
          <w:tcPr>
            <w:tcW w:w="11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bl>
    <w:p>
      <w:pPr>
        <w:spacing w:before="156" w:beforeLines="50"/>
        <w:ind w:firstLine="420" w:firstLineChars="200"/>
        <w:rPr>
          <w:rFonts w:ascii="Times New Roman" w:hAnsi="Times New Roman" w:eastAsia="宋体" w:cs="Times New Roman"/>
        </w:rPr>
      </w:pPr>
      <w:r>
        <w:rPr>
          <w:rFonts w:hint="eastAsia" w:ascii="Times New Roman" w:hAnsi="Times New Roman" w:eastAsia="宋体" w:cs="Times New Roman"/>
        </w:rPr>
        <w:t>实验内容见表</w:t>
      </w:r>
      <w:r>
        <w:rPr>
          <w:rFonts w:ascii="Times New Roman" w:hAnsi="Times New Roman" w:eastAsia="宋体" w:cs="Times New Roman"/>
        </w:rPr>
        <w:t>4</w:t>
      </w:r>
      <w:r>
        <w:rPr>
          <w:rFonts w:hint="eastAsia" w:ascii="Times New Roman" w:hAnsi="Times New Roman" w:eastAsia="宋体" w:cs="Times New Roman"/>
        </w:rPr>
        <w:t>所示。</w:t>
      </w:r>
    </w:p>
    <w:p>
      <w:pPr>
        <w:spacing w:before="156" w:beforeLines="50"/>
        <w:ind w:firstLine="420" w:firstLineChars="200"/>
        <w:rPr>
          <w:rFonts w:ascii="Times New Roman" w:hAnsi="Times New Roman" w:eastAsia="宋体" w:cs="Times New Roman"/>
        </w:rPr>
      </w:pPr>
    </w:p>
    <w:p>
      <w:pPr>
        <w:snapToGrid w:val="0"/>
        <w:spacing w:before="156" w:beforeLines="50" w:line="300" w:lineRule="auto"/>
        <w:jc w:val="center"/>
        <w:rPr>
          <w:rFonts w:ascii="Times New Roman" w:hAnsi="Times New Roman" w:eastAsia="宋体" w:cs="Times New Roman"/>
          <w:b/>
          <w:bCs/>
          <w:sz w:val="18"/>
          <w:szCs w:val="18"/>
        </w:rPr>
      </w:pPr>
    </w:p>
    <w:p>
      <w:pPr>
        <w:snapToGrid w:val="0"/>
        <w:spacing w:before="156" w:beforeLines="50"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表</w:t>
      </w:r>
      <w:r>
        <w:rPr>
          <w:rFonts w:ascii="Times New Roman" w:hAnsi="Times New Roman" w:eastAsia="宋体" w:cs="Times New Roman"/>
          <w:b/>
          <w:bCs/>
          <w:sz w:val="18"/>
          <w:szCs w:val="18"/>
        </w:rPr>
        <w:t xml:space="preserve">4 </w:t>
      </w:r>
      <w:r>
        <w:rPr>
          <w:rFonts w:hint="eastAsia" w:ascii="Times New Roman" w:hAnsi="Times New Roman" w:eastAsia="宋体" w:cs="Times New Roman"/>
          <w:b/>
          <w:bCs/>
          <w:sz w:val="18"/>
          <w:szCs w:val="18"/>
        </w:rPr>
        <w:t>实验安排表</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675"/>
        <w:gridCol w:w="2693"/>
        <w:gridCol w:w="744"/>
        <w:gridCol w:w="742"/>
        <w:gridCol w:w="741"/>
        <w:gridCol w:w="741"/>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7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kern w:val="0"/>
                <w:sz w:val="18"/>
                <w:szCs w:val="18"/>
              </w:rPr>
              <w:t>序号</w:t>
            </w:r>
          </w:p>
        </w:tc>
        <w:tc>
          <w:tcPr>
            <w:tcW w:w="167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kern w:val="0"/>
                <w:sz w:val="18"/>
                <w:szCs w:val="18"/>
              </w:rPr>
              <w:t>实验项目名称</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kern w:val="0"/>
                <w:sz w:val="18"/>
                <w:szCs w:val="18"/>
              </w:rPr>
              <w:t>目的要求</w:t>
            </w:r>
          </w:p>
        </w:tc>
        <w:tc>
          <w:tcPr>
            <w:tcW w:w="74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kern w:val="0"/>
                <w:sz w:val="18"/>
                <w:szCs w:val="18"/>
              </w:rPr>
              <w:t>学时分配</w:t>
            </w:r>
          </w:p>
        </w:tc>
        <w:tc>
          <w:tcPr>
            <w:tcW w:w="74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实验类型</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每组人数</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必开</w:t>
            </w:r>
          </w:p>
          <w:p>
            <w:pPr>
              <w:snapToGrid w:val="0"/>
              <w:spacing w:line="300" w:lineRule="auto"/>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选开</w:t>
            </w:r>
          </w:p>
        </w:tc>
        <w:tc>
          <w:tcPr>
            <w:tcW w:w="67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67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Proteus</w:t>
            </w:r>
            <w:r>
              <w:rPr>
                <w:rFonts w:hint="eastAsia" w:ascii="Times New Roman" w:hAnsi="Times New Roman" w:eastAsia="宋体" w:cs="Times New Roman"/>
                <w:sz w:val="18"/>
                <w:szCs w:val="18"/>
              </w:rPr>
              <w:t>、</w:t>
            </w:r>
            <w:r>
              <w:rPr>
                <w:rFonts w:ascii="Times New Roman" w:hAnsi="Times New Roman" w:eastAsia="宋体" w:cs="Times New Roman"/>
                <w:sz w:val="18"/>
                <w:szCs w:val="18"/>
              </w:rPr>
              <w:t>Keil C</w:t>
            </w:r>
            <w:r>
              <w:rPr>
                <w:rFonts w:hint="eastAsia" w:ascii="Times New Roman" w:hAnsi="Times New Roman" w:eastAsia="宋体" w:cs="Times New Roman"/>
                <w:sz w:val="18"/>
                <w:szCs w:val="18"/>
              </w:rPr>
              <w:t>软件使用；行列矩阵键盘</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1、熟悉相关软件环境、掌握基本程序设计方法。</w:t>
            </w:r>
          </w:p>
          <w:p>
            <w:pPr>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w:t>
            </w:r>
            <w:r>
              <w:rPr>
                <w:rFonts w:hint="eastAsia" w:ascii="Times New Roman" w:hAnsi="Times New Roman" w:eastAsia="宋体" w:cs="Times New Roman"/>
                <w:bCs/>
                <w:sz w:val="18"/>
                <w:szCs w:val="18"/>
              </w:rPr>
              <w:t>掌握</w:t>
            </w:r>
            <w:r>
              <w:rPr>
                <w:rFonts w:hint="eastAsia" w:ascii="Times New Roman" w:hAnsi="Times New Roman" w:eastAsia="宋体" w:cs="Times New Roman"/>
                <w:sz w:val="18"/>
                <w:szCs w:val="18"/>
              </w:rPr>
              <w:t>行列矩阵键盘的编程</w:t>
            </w:r>
            <w:r>
              <w:rPr>
                <w:rFonts w:hint="eastAsia" w:ascii="Times New Roman" w:hAnsi="Times New Roman" w:eastAsia="宋体" w:cs="Times New Roman"/>
                <w:bCs/>
                <w:sz w:val="18"/>
                <w:szCs w:val="18"/>
              </w:rPr>
              <w:t>方法。</w:t>
            </w:r>
          </w:p>
        </w:tc>
        <w:tc>
          <w:tcPr>
            <w:tcW w:w="74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验证</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必开</w:t>
            </w:r>
          </w:p>
        </w:tc>
        <w:tc>
          <w:tcPr>
            <w:tcW w:w="6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2</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6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利用中断法控制彩灯花样和速度；</w:t>
            </w:r>
          </w:p>
          <w:p>
            <w:pPr>
              <w:spacing w:line="36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中断嵌套</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掌握中断的相关知识及其编程方法。</w:t>
            </w:r>
          </w:p>
        </w:tc>
        <w:tc>
          <w:tcPr>
            <w:tcW w:w="74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设计</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必开</w:t>
            </w:r>
          </w:p>
        </w:tc>
        <w:tc>
          <w:tcPr>
            <w:tcW w:w="6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6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电子秒表显示器且能用开关控制初值和暂停；</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Cs/>
                <w:sz w:val="18"/>
                <w:szCs w:val="18"/>
              </w:rPr>
            </w:pPr>
            <w:r>
              <w:rPr>
                <w:rFonts w:ascii="Times New Roman" w:hAnsi="Times New Roman" w:eastAsia="宋体" w:cs="Times New Roman"/>
                <w:bCs/>
                <w:sz w:val="18"/>
                <w:szCs w:val="18"/>
              </w:rPr>
              <w:t>1</w:t>
            </w:r>
            <w:r>
              <w:rPr>
                <w:rFonts w:hint="eastAsia" w:ascii="Times New Roman" w:hAnsi="Times New Roman" w:eastAsia="宋体" w:cs="Times New Roman"/>
                <w:bCs/>
                <w:sz w:val="18"/>
                <w:szCs w:val="18"/>
              </w:rPr>
              <w:t>、掌握定时器应用和编程方法；</w:t>
            </w:r>
            <w:r>
              <w:rPr>
                <w:rFonts w:ascii="Times New Roman" w:hAnsi="Times New Roman" w:eastAsia="宋体" w:cs="Times New Roman"/>
                <w:bCs/>
                <w:sz w:val="18"/>
                <w:szCs w:val="18"/>
              </w:rPr>
              <w:t xml:space="preserve"> </w:t>
            </w:r>
          </w:p>
          <w:p>
            <w:pPr>
              <w:jc w:val="left"/>
              <w:rPr>
                <w:rFonts w:ascii="Times New Roman" w:hAnsi="Times New Roman" w:eastAsia="宋体" w:cs="Times New Roman"/>
                <w:sz w:val="18"/>
                <w:szCs w:val="18"/>
              </w:rPr>
            </w:pPr>
            <w:r>
              <w:rPr>
                <w:rFonts w:ascii="Times New Roman" w:hAnsi="Times New Roman" w:eastAsia="宋体" w:cs="Times New Roman"/>
                <w:bCs/>
                <w:sz w:val="18"/>
                <w:szCs w:val="18"/>
              </w:rPr>
              <w:t>2</w:t>
            </w:r>
            <w:r>
              <w:rPr>
                <w:rFonts w:hint="eastAsia" w:ascii="Times New Roman" w:hAnsi="Times New Roman" w:eastAsia="宋体" w:cs="Times New Roman"/>
                <w:bCs/>
                <w:sz w:val="18"/>
                <w:szCs w:val="18"/>
              </w:rPr>
              <w:t>、掌握</w:t>
            </w:r>
            <w:r>
              <w:rPr>
                <w:rFonts w:ascii="Times New Roman" w:hAnsi="Times New Roman" w:eastAsia="宋体" w:cs="Times New Roman"/>
                <w:bCs/>
                <w:sz w:val="18"/>
                <w:szCs w:val="18"/>
              </w:rPr>
              <w:t>LED</w:t>
            </w:r>
            <w:r>
              <w:rPr>
                <w:rFonts w:hint="eastAsia" w:ascii="Times New Roman" w:hAnsi="Times New Roman" w:eastAsia="宋体" w:cs="Times New Roman"/>
                <w:bCs/>
                <w:sz w:val="18"/>
                <w:szCs w:val="18"/>
              </w:rPr>
              <w:t>动态显示的编程方法。</w:t>
            </w:r>
          </w:p>
        </w:tc>
        <w:tc>
          <w:tcPr>
            <w:tcW w:w="74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4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综合</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必开</w:t>
            </w:r>
          </w:p>
        </w:tc>
        <w:tc>
          <w:tcPr>
            <w:tcW w:w="6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675" w:type="dxa"/>
            <w:tcBorders>
              <w:top w:val="single" w:color="auto" w:sz="4" w:space="0"/>
              <w:left w:val="single" w:color="auto" w:sz="4" w:space="0"/>
              <w:bottom w:val="single" w:color="auto" w:sz="4" w:space="0"/>
              <w:right w:val="single" w:color="auto" w:sz="4" w:space="0"/>
            </w:tcBorders>
            <w:vAlign w:val="center"/>
          </w:tcPr>
          <w:p>
            <w:pPr>
              <w:spacing w:line="260" w:lineRule="exact"/>
              <w:ind w:left="-15" w:leftChars="-7" w:right="6" w:rightChars="3"/>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双机通信</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Times New Roman" w:hAnsi="Times New Roman" w:eastAsia="宋体" w:cs="Times New Roman"/>
                <w:bCs/>
                <w:sz w:val="18"/>
                <w:szCs w:val="18"/>
              </w:rPr>
            </w:pPr>
            <w:r>
              <w:rPr>
                <w:rFonts w:hint="eastAsia" w:ascii="Times New Roman" w:hAnsi="Times New Roman" w:eastAsia="宋体" w:cs="Times New Roman"/>
                <w:bCs/>
                <w:sz w:val="18"/>
                <w:szCs w:val="18"/>
              </w:rPr>
              <w:t>掌握串行口方式</w:t>
            </w:r>
            <w:r>
              <w:rPr>
                <w:rFonts w:ascii="Times New Roman" w:hAnsi="Times New Roman" w:eastAsia="宋体" w:cs="Times New Roman"/>
                <w:bCs/>
                <w:sz w:val="18"/>
                <w:szCs w:val="18"/>
              </w:rPr>
              <w:t>1</w:t>
            </w:r>
            <w:r>
              <w:rPr>
                <w:rFonts w:hint="eastAsia" w:ascii="Times New Roman" w:hAnsi="Times New Roman" w:eastAsia="宋体" w:cs="Times New Roman"/>
                <w:bCs/>
                <w:sz w:val="18"/>
                <w:szCs w:val="18"/>
              </w:rPr>
              <w:t>收、发查询</w:t>
            </w:r>
            <w:r>
              <w:rPr>
                <w:rFonts w:ascii="Times New Roman" w:hAnsi="Times New Roman" w:eastAsia="宋体" w:cs="Times New Roman"/>
                <w:bCs/>
                <w:sz w:val="18"/>
                <w:szCs w:val="18"/>
              </w:rPr>
              <w:t>/</w:t>
            </w:r>
            <w:r>
              <w:rPr>
                <w:rFonts w:hint="eastAsia" w:ascii="Times New Roman" w:hAnsi="Times New Roman" w:eastAsia="宋体" w:cs="Times New Roman"/>
                <w:bCs/>
                <w:sz w:val="18"/>
                <w:szCs w:val="18"/>
              </w:rPr>
              <w:t>中断编程方法</w:t>
            </w:r>
          </w:p>
        </w:tc>
        <w:tc>
          <w:tcPr>
            <w:tcW w:w="74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设计</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必开</w:t>
            </w:r>
          </w:p>
        </w:tc>
        <w:tc>
          <w:tcPr>
            <w:tcW w:w="6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kern w:val="0"/>
                <w:sz w:val="18"/>
                <w:szCs w:val="18"/>
              </w:rPr>
              <w:t>3</w:t>
            </w:r>
          </w:p>
        </w:tc>
      </w:tr>
    </w:tbl>
    <w:p>
      <w:pPr>
        <w:jc w:val="center"/>
        <w:rPr>
          <w:rFonts w:ascii="Times New Roman" w:hAnsi="Times New Roman" w:eastAsia="宋体" w:cs="Times New Roman"/>
          <w:b/>
        </w:rPr>
      </w:pPr>
    </w:p>
    <w:p>
      <w:pPr>
        <w:snapToGrid w:val="0"/>
        <w:spacing w:line="300" w:lineRule="auto"/>
        <w:rPr>
          <w:rFonts w:ascii="Times New Roman" w:hAnsi="Times New Roman" w:eastAsia="宋体" w:cs="Times New Roman"/>
          <w:b/>
          <w:sz w:val="24"/>
        </w:rPr>
      </w:pPr>
      <w:r>
        <w:rPr>
          <w:rFonts w:hint="eastAsia" w:ascii="Times New Roman" w:hAnsi="Times New Roman" w:eastAsia="宋体" w:cs="Times New Roman"/>
          <w:b/>
          <w:sz w:val="24"/>
        </w:rPr>
        <w:t>五、课程考核及成绩评定</w:t>
      </w:r>
    </w:p>
    <w:p>
      <w:pPr>
        <w:ind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kern w:val="0"/>
          <w:szCs w:val="21"/>
        </w:rPr>
        <w:t>．</w:t>
      </w:r>
      <w:r>
        <w:rPr>
          <w:rFonts w:hint="eastAsia" w:ascii="Times New Roman" w:hAnsi="Times New Roman" w:eastAsia="宋体" w:cs="Times New Roman"/>
        </w:rPr>
        <w:t>考核方式：闭卷笔试，作业、平时考核及实验考核。</w:t>
      </w:r>
    </w:p>
    <w:p>
      <w:pPr>
        <w:ind w:firstLine="420" w:firstLineChars="200"/>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．成绩构成：</w:t>
      </w:r>
    </w:p>
    <w:p>
      <w:pPr>
        <w:widowControl/>
        <w:spacing w:line="360" w:lineRule="exact"/>
        <w:ind w:left="420"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平时成绩</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课堂表现</w:t>
      </w:r>
      <w:r>
        <w:rPr>
          <w:rFonts w:ascii="Times New Roman" w:hAnsi="Times New Roman" w:eastAsia="宋体" w:cs="Times New Roman"/>
          <w:kern w:val="0"/>
          <w:szCs w:val="21"/>
        </w:rPr>
        <w:t>× 10%+</w:t>
      </w:r>
      <w:r>
        <w:rPr>
          <w:rFonts w:hint="eastAsia" w:ascii="Times New Roman" w:hAnsi="Times New Roman" w:eastAsia="宋体" w:cs="Times New Roman"/>
          <w:kern w:val="0"/>
          <w:szCs w:val="21"/>
        </w:rPr>
        <w:t>作业</w:t>
      </w:r>
      <w:r>
        <w:rPr>
          <w:rFonts w:ascii="Times New Roman" w:hAnsi="Times New Roman" w:eastAsia="宋体" w:cs="Times New Roman"/>
          <w:kern w:val="0"/>
          <w:szCs w:val="21"/>
        </w:rPr>
        <w:t>×40%+</w:t>
      </w:r>
      <w:r>
        <w:rPr>
          <w:rFonts w:hint="eastAsia" w:ascii="Times New Roman" w:hAnsi="Times New Roman" w:eastAsia="宋体" w:cs="Times New Roman"/>
          <w:kern w:val="0"/>
          <w:szCs w:val="21"/>
        </w:rPr>
        <w:t>平时考核</w:t>
      </w:r>
      <w:r>
        <w:rPr>
          <w:rFonts w:ascii="Times New Roman" w:hAnsi="Times New Roman" w:eastAsia="宋体" w:cs="Times New Roman"/>
          <w:kern w:val="0"/>
          <w:szCs w:val="21"/>
        </w:rPr>
        <w:t>×20%+</w:t>
      </w:r>
      <w:r>
        <w:rPr>
          <w:rFonts w:hint="eastAsia" w:ascii="Times New Roman" w:hAnsi="Times New Roman" w:eastAsia="宋体" w:cs="Times New Roman"/>
          <w:kern w:val="0"/>
          <w:szCs w:val="21"/>
        </w:rPr>
        <w:t>实验考核</w:t>
      </w:r>
      <w:r>
        <w:rPr>
          <w:rFonts w:ascii="Times New Roman" w:hAnsi="Times New Roman" w:eastAsia="宋体" w:cs="Times New Roman"/>
          <w:kern w:val="0"/>
          <w:szCs w:val="21"/>
        </w:rPr>
        <w:t>× 30%</w:t>
      </w:r>
    </w:p>
    <w:p>
      <w:pPr>
        <w:ind w:left="420" w:firstLine="420" w:firstLineChars="200"/>
        <w:rPr>
          <w:rFonts w:ascii="Times New Roman" w:hAnsi="Times New Roman" w:eastAsia="宋体" w:cs="Times New Roman"/>
        </w:rPr>
      </w:pPr>
      <w:r>
        <w:rPr>
          <w:rFonts w:hint="eastAsia" w:ascii="Times New Roman" w:hAnsi="Times New Roman" w:eastAsia="宋体" w:cs="Times New Roman"/>
          <w:szCs w:val="21"/>
        </w:rPr>
        <w:t>总评成绩</w:t>
      </w:r>
      <w:r>
        <w:rPr>
          <w:rFonts w:ascii="Times New Roman" w:hAnsi="Times New Roman" w:eastAsia="宋体" w:cs="Times New Roman"/>
          <w:szCs w:val="21"/>
        </w:rPr>
        <w:t>=</w:t>
      </w:r>
      <w:r>
        <w:rPr>
          <w:rFonts w:hint="eastAsia" w:ascii="Times New Roman" w:hAnsi="Times New Roman" w:eastAsia="宋体" w:cs="Times New Roman"/>
          <w:szCs w:val="21"/>
        </w:rPr>
        <w:t>平时成绩</w:t>
      </w:r>
      <w:r>
        <w:rPr>
          <w:rFonts w:ascii="Times New Roman" w:hAnsi="Times New Roman" w:eastAsia="宋体" w:cs="Times New Roman"/>
          <w:szCs w:val="21"/>
        </w:rPr>
        <w:t>×</w:t>
      </w:r>
      <w:r>
        <w:rPr>
          <w:rFonts w:hint="eastAsia" w:ascii="Times New Roman" w:hAnsi="Times New Roman" w:eastAsia="宋体" w:cs="Times New Roman"/>
          <w:szCs w:val="21"/>
        </w:rPr>
        <w:t>5</w:t>
      </w:r>
      <w:r>
        <w:rPr>
          <w:rFonts w:ascii="Times New Roman" w:hAnsi="Times New Roman" w:eastAsia="宋体" w:cs="Times New Roman"/>
          <w:szCs w:val="21"/>
        </w:rPr>
        <w:t>0%+</w:t>
      </w:r>
      <w:r>
        <w:rPr>
          <w:rFonts w:hint="eastAsia" w:ascii="Times New Roman" w:hAnsi="Times New Roman" w:eastAsia="宋体" w:cs="Times New Roman"/>
          <w:szCs w:val="21"/>
        </w:rPr>
        <w:t>期末成绩</w:t>
      </w:r>
      <w:r>
        <w:rPr>
          <w:rFonts w:ascii="Times New Roman" w:hAnsi="Times New Roman" w:eastAsia="宋体" w:cs="Times New Roman"/>
          <w:szCs w:val="21"/>
        </w:rPr>
        <w:t xml:space="preserve">× </w:t>
      </w:r>
      <w:r>
        <w:rPr>
          <w:rFonts w:hint="eastAsia" w:ascii="Times New Roman" w:hAnsi="Times New Roman" w:eastAsia="宋体" w:cs="Times New Roman"/>
          <w:szCs w:val="21"/>
        </w:rPr>
        <w:t>5</w:t>
      </w:r>
      <w:r>
        <w:rPr>
          <w:rFonts w:ascii="Times New Roman" w:hAnsi="Times New Roman" w:eastAsia="宋体" w:cs="Times New Roman"/>
          <w:szCs w:val="21"/>
        </w:rPr>
        <w:t>0%</w:t>
      </w:r>
      <w:r>
        <w:rPr>
          <w:rFonts w:hint="eastAsia" w:ascii="Times New Roman" w:hAnsi="Times New Roman" w:eastAsia="宋体" w:cs="Times New Roman"/>
          <w:szCs w:val="21"/>
        </w:rPr>
        <w:t>。</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．考核评价标准见表</w:t>
      </w:r>
      <w:r>
        <w:rPr>
          <w:rFonts w:ascii="Times New Roman" w:hAnsi="Times New Roman" w:eastAsia="宋体" w:cs="Times New Roman"/>
        </w:rPr>
        <w:t>5</w:t>
      </w:r>
      <w:r>
        <w:rPr>
          <w:rFonts w:hint="eastAsia" w:ascii="Times New Roman" w:hAnsi="Times New Roman" w:eastAsia="宋体" w:cs="Times New Roman"/>
        </w:rPr>
        <w:t>所示：</w:t>
      </w:r>
    </w:p>
    <w:p>
      <w:pPr>
        <w:snapToGrid w:val="0"/>
        <w:spacing w:before="156" w:beforeLines="50" w:line="30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w:t>
      </w:r>
      <w:r>
        <w:rPr>
          <w:rFonts w:ascii="Times New Roman" w:hAnsi="Times New Roman" w:eastAsia="宋体" w:cs="Times New Roman"/>
          <w:b/>
          <w:bCs/>
          <w:szCs w:val="21"/>
        </w:rPr>
        <w:t>5</w:t>
      </w:r>
      <w:r>
        <w:rPr>
          <w:rFonts w:hint="eastAsia" w:ascii="Times New Roman" w:hAnsi="Times New Roman" w:eastAsia="宋体" w:cs="Times New Roman"/>
          <w:b/>
          <w:bCs/>
          <w:szCs w:val="21"/>
        </w:rPr>
        <w:t>教学目标评价标准</w:t>
      </w:r>
    </w:p>
    <w:tbl>
      <w:tblPr>
        <w:tblStyle w:val="2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598"/>
        <w:gridCol w:w="640"/>
        <w:gridCol w:w="700"/>
        <w:gridCol w:w="578"/>
        <w:gridCol w:w="3860"/>
        <w:gridCol w:w="107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成绩</w:t>
            </w:r>
          </w:p>
          <w:p>
            <w:pPr>
              <w:jc w:val="center"/>
              <w:rPr>
                <w:rFonts w:ascii="Times New Roman" w:hAnsi="Times New Roman" w:eastAsia="宋体" w:cs="Times New Roman"/>
                <w:b/>
                <w:bCs/>
                <w:sz w:val="18"/>
                <w:szCs w:val="18"/>
              </w:rPr>
            </w:pPr>
            <w:r>
              <w:rPr>
                <w:rFonts w:hint="eastAsia" w:ascii="Times New Roman" w:hAnsi="Times New Roman" w:eastAsia="宋体" w:cs="Times New Roman"/>
                <w:b/>
                <w:sz w:val="18"/>
                <w:szCs w:val="18"/>
              </w:rPr>
              <w:t>类型</w:t>
            </w:r>
          </w:p>
        </w:tc>
        <w:tc>
          <w:tcPr>
            <w:tcW w:w="5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sz w:val="18"/>
                <w:szCs w:val="18"/>
              </w:rPr>
              <w:t>分值</w:t>
            </w:r>
          </w:p>
        </w:tc>
        <w:tc>
          <w:tcPr>
            <w:tcW w:w="6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sz w:val="18"/>
                <w:szCs w:val="18"/>
              </w:rPr>
              <w:t>权重</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类别</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c>
          <w:tcPr>
            <w:tcW w:w="3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考核</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评价细则</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平时成绩</w:t>
            </w:r>
          </w:p>
        </w:tc>
        <w:tc>
          <w:tcPr>
            <w:tcW w:w="59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课堂表现</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3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根据学生课堂表现打分</w:t>
            </w:r>
          </w:p>
        </w:tc>
        <w:tc>
          <w:tcPr>
            <w:tcW w:w="107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5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6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作业</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386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主要考核学生对每章节知识点的理解和掌握程度；每次作业按100分单独评分，取各次作业成绩的平均值及其权重作为作业成绩</w:t>
            </w:r>
          </w:p>
        </w:tc>
        <w:tc>
          <w:tcPr>
            <w:tcW w:w="107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1.2，3.1，4.1，5.1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5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6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实验</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86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根据实验完成质量，以及实验报告质量评分，每次实验按100分单独评分，取4次实验成绩的平均值及其权重作为实验成绩</w:t>
            </w:r>
          </w:p>
        </w:tc>
        <w:tc>
          <w:tcPr>
            <w:tcW w:w="107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1.2，3.1，4.1，5.1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5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6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项目研究</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86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以小组为单位选题，选择合适的设计方案，进行相应的硬件、软件设计，然后在P</w:t>
            </w:r>
            <w:r>
              <w:rPr>
                <w:rFonts w:ascii="Times New Roman" w:hAnsi="Times New Roman" w:eastAsia="宋体" w:cs="Times New Roman"/>
                <w:sz w:val="18"/>
                <w:szCs w:val="18"/>
              </w:rPr>
              <w:t>roteus</w:t>
            </w:r>
            <w:r>
              <w:rPr>
                <w:rFonts w:hint="eastAsia" w:ascii="Times New Roman" w:hAnsi="Times New Roman" w:eastAsia="宋体" w:cs="Times New Roman"/>
                <w:sz w:val="18"/>
                <w:szCs w:val="18"/>
              </w:rPr>
              <w:t>下仿真实现相应功能</w:t>
            </w:r>
          </w:p>
        </w:tc>
        <w:tc>
          <w:tcPr>
            <w:tcW w:w="107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1.2，3.1，4.1，5.1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期末考试成绩</w:t>
            </w:r>
          </w:p>
        </w:tc>
        <w:tc>
          <w:tcPr>
            <w:tcW w:w="5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c>
          <w:tcPr>
            <w:tcW w:w="70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闭卷考试</w:t>
            </w:r>
          </w:p>
        </w:tc>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86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）卷面成绩</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t>分。卷面成绩按比例计入课程总评成绩</w:t>
            </w:r>
          </w:p>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）考核内容包括：</w:t>
            </w:r>
          </w:p>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）建议考试题型包括：选择题、填空题、判断题、编程题等几种题型</w:t>
            </w:r>
          </w:p>
        </w:tc>
        <w:tc>
          <w:tcPr>
            <w:tcW w:w="107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c>
          <w:tcPr>
            <w:tcW w:w="980"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1.2，3.1，4.1</w:t>
            </w:r>
          </w:p>
        </w:tc>
      </w:tr>
    </w:tbl>
    <w:p>
      <w:pPr>
        <w:snapToGrid w:val="0"/>
        <w:spacing w:line="300" w:lineRule="auto"/>
        <w:rPr>
          <w:rFonts w:ascii="Times New Roman" w:hAnsi="Times New Roman" w:eastAsia="宋体" w:cs="Times New Roman"/>
          <w:b/>
          <w:sz w:val="24"/>
        </w:rPr>
      </w:pPr>
    </w:p>
    <w:p>
      <w:pPr>
        <w:snapToGrid w:val="0"/>
        <w:spacing w:line="300" w:lineRule="auto"/>
        <w:rPr>
          <w:rFonts w:ascii="Times New Roman" w:hAnsi="Times New Roman" w:eastAsia="宋体" w:cs="Times New Roman"/>
          <w:b/>
          <w:sz w:val="24"/>
        </w:rPr>
      </w:pPr>
      <w:r>
        <w:rPr>
          <w:rFonts w:hint="eastAsia" w:ascii="Times New Roman" w:hAnsi="Times New Roman" w:eastAsia="宋体" w:cs="Times New Roman"/>
          <w:b/>
          <w:sz w:val="24"/>
        </w:rPr>
        <w:t>六、课程教学目标达成情况评价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rPr>
        <w:t>．</w:t>
      </w:r>
      <w:r>
        <w:rPr>
          <w:rFonts w:hint="eastAsia" w:ascii="Times New Roman" w:hAnsi="Times New Roman" w:eastAsia="宋体" w:cs="Times New Roman"/>
          <w:szCs w:val="21"/>
        </w:rPr>
        <w:t>评价依据和方法：</w:t>
      </w:r>
    </w:p>
    <w:p>
      <w:pPr>
        <w:ind w:firstLine="420" w:firstLineChars="200"/>
        <w:rPr>
          <w:rFonts w:ascii="Times New Roman" w:hAnsi="Times New Roman" w:eastAsia="宋体" w:cs="Times New Roman"/>
        </w:rPr>
      </w:pPr>
      <w:r>
        <w:rPr>
          <w:rFonts w:hint="eastAsia" w:ascii="Times New Roman" w:hAnsi="Times New Roman" w:eastAsia="宋体" w:cs="Times New Roman"/>
        </w:rPr>
        <w:t>课程各目标达成情况为该项目学生的平均得分率，其计算公式为：</w:t>
      </w:r>
    </w:p>
    <w:p>
      <w:pPr>
        <w:jc w:val="center"/>
        <w:rPr>
          <w:rFonts w:ascii="Times New Roman" w:hAnsi="Times New Roman" w:eastAsia="宋体" w:cs="Times New Roman"/>
        </w:rPr>
      </w:pPr>
      <w:r>
        <w:rPr>
          <w:rFonts w:hint="eastAsia" w:ascii="Times New Roman" w:hAnsi="Times New Roman" w:eastAsia="宋体" w:cs="Times New Roman"/>
          <w:position w:val="-16"/>
        </w:rPr>
        <w:object>
          <v:shape id="_x0000_i1122" o:spt="75" type="#_x0000_t75" style="height:32.25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122" DrawAspect="Content" ObjectID="_1468075819" r:id="rId135">
            <o:LockedField>false</o:LockedField>
          </o:OLEObject>
        </w:object>
      </w:r>
    </w:p>
    <w:p>
      <w:pPr>
        <w:ind w:firstLine="420" w:firstLineChars="200"/>
        <w:rPr>
          <w:rFonts w:ascii="Times New Roman" w:hAnsi="Times New Roman" w:eastAsia="宋体" w:cs="Times New Roman"/>
        </w:rPr>
      </w:pPr>
      <w:r>
        <w:rPr>
          <w:rFonts w:hint="eastAsia" w:ascii="Times New Roman" w:hAnsi="Times New Roman" w:eastAsia="宋体" w:cs="Times New Roman"/>
        </w:rPr>
        <w:t>课程总目标达成情况为</w:t>
      </w:r>
      <w:r>
        <w:rPr>
          <w:rFonts w:ascii="Times New Roman" w:hAnsi="Times New Roman" w:eastAsia="宋体" w:cs="Times New Roman"/>
        </w:rPr>
        <w:t>4</w:t>
      </w:r>
      <w:r>
        <w:rPr>
          <w:rFonts w:hint="eastAsia" w:ascii="Times New Roman" w:hAnsi="Times New Roman" w:eastAsia="宋体" w:cs="Times New Roman"/>
        </w:rPr>
        <w:t>个课程目标的加权得分率，其计算公式为：</w:t>
      </w:r>
    </w:p>
    <w:p>
      <w:pPr>
        <w:jc w:val="center"/>
        <w:rPr>
          <w:rFonts w:ascii="Times New Roman" w:hAnsi="Times New Roman" w:eastAsia="宋体" w:cs="Times New Roman"/>
        </w:rPr>
      </w:pPr>
      <w:r>
        <w:rPr>
          <w:rFonts w:hint="eastAsia" w:ascii="Times New Roman" w:hAnsi="Times New Roman" w:eastAsia="宋体" w:cs="Times New Roman"/>
          <w:position w:val="-10"/>
        </w:rPr>
        <w:object>
          <v:shape id="_x0000_i1123" o:spt="75" type="#_x0000_t75" style="height:24pt;width:246pt;" o:ole="t" filled="f" o:preferrelative="t" stroked="f" coordsize="21600,21600">
            <v:path/>
            <v:fill on="f" focussize="0,0"/>
            <v:stroke on="f" joinstyle="miter"/>
            <v:imagedata r:id="rId59" o:title=""/>
            <o:lock v:ext="edit" aspectratio="t"/>
            <w10:wrap type="none"/>
            <w10:anchorlock/>
          </v:shape>
          <o:OLEObject Type="Embed" ProgID="Equation.DSMT4" ShapeID="_x0000_i1123" DrawAspect="Content" ObjectID="_1468075820" r:id="rId136">
            <o:LockedField>false</o:LockedField>
          </o:OLEObject>
        </w:object>
      </w:r>
    </w:p>
    <w:p>
      <w:pPr>
        <w:rPr>
          <w:rFonts w:ascii="Times New Roman" w:hAnsi="Times New Roman" w:eastAsia="宋体" w:cs="Times New Roman"/>
        </w:rPr>
      </w:pPr>
      <w:r>
        <w:rPr>
          <w:rFonts w:hint="eastAsia" w:ascii="Times New Roman" w:hAnsi="Times New Roman" w:eastAsia="宋体" w:cs="Times New Roman"/>
        </w:rPr>
        <w:t>其中权重系数按照表</w:t>
      </w:r>
      <w:r>
        <w:rPr>
          <w:rFonts w:ascii="Times New Roman" w:hAnsi="Times New Roman" w:eastAsia="宋体" w:cs="Times New Roman"/>
        </w:rPr>
        <w:t>6</w:t>
      </w:r>
      <w:r>
        <w:rPr>
          <w:rFonts w:hint="eastAsia" w:ascii="Times New Roman" w:hAnsi="Times New Roman" w:eastAsia="宋体" w:cs="Times New Roman"/>
        </w:rPr>
        <w:t>设定</w:t>
      </w:r>
      <w:r>
        <w:rPr>
          <w:rFonts w:ascii="Times New Roman" w:hAnsi="Times New Roman" w:eastAsia="宋体" w:cs="Times New Roman"/>
        </w:rPr>
        <w:t>.</w:t>
      </w:r>
    </w:p>
    <w:p>
      <w:pPr>
        <w:spacing w:before="156" w:beforeLines="50"/>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表</w:t>
      </w:r>
      <w:r>
        <w:rPr>
          <w:rFonts w:ascii="Times New Roman" w:hAnsi="Times New Roman" w:eastAsia="宋体" w:cs="Times New Roman"/>
          <w:b/>
          <w:sz w:val="18"/>
          <w:szCs w:val="18"/>
        </w:rPr>
        <w:t>6</w:t>
      </w:r>
      <w:r>
        <w:rPr>
          <w:rFonts w:hint="eastAsia" w:ascii="Times New Roman" w:hAnsi="Times New Roman" w:eastAsia="宋体" w:cs="Times New Roman"/>
          <w:b/>
          <w:sz w:val="18"/>
          <w:szCs w:val="18"/>
        </w:rPr>
        <w:t>课程目标权重系数</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6"/>
        <w:gridCol w:w="1587"/>
        <w:gridCol w:w="1877"/>
        <w:gridCol w:w="1861"/>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权重系数</w:t>
            </w:r>
          </w:p>
        </w:tc>
        <w:tc>
          <w:tcPr>
            <w:tcW w:w="15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8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8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r>
    </w:tbl>
    <w:p>
      <w:pPr>
        <w:rPr>
          <w:rFonts w:ascii="Times New Roman" w:hAnsi="Times New Roman" w:eastAsia="宋体" w:cs="Times New Roman"/>
        </w:rPr>
      </w:pPr>
      <w:r>
        <w:rPr>
          <w:rFonts w:hint="eastAsia" w:ascii="Times New Roman" w:hAnsi="Times New Roman" w:eastAsia="宋体" w:cs="Times New Roman"/>
        </w:rPr>
        <w:t>课程毕业要求指标点达成情况评价：</w:t>
      </w:r>
    </w:p>
    <w:p>
      <w:pPr>
        <w:ind w:firstLine="420" w:firstLineChars="200"/>
        <w:rPr>
          <w:rFonts w:ascii="Times New Roman" w:hAnsi="Times New Roman" w:eastAsia="宋体" w:cs="Times New Roman"/>
        </w:rPr>
      </w:pPr>
      <w:r>
        <w:rPr>
          <w:rFonts w:hint="eastAsia" w:ascii="Times New Roman" w:hAnsi="Times New Roman" w:eastAsia="宋体" w:cs="Times New Roman"/>
        </w:rPr>
        <w:t>课程支撑毕业要求指标点的达成情况为对应的课程目标达成情况的加权值，其计算公式为：</w:t>
      </w:r>
    </w:p>
    <w:p>
      <w:pPr>
        <w:jc w:val="center"/>
        <w:rPr>
          <w:rFonts w:ascii="Times New Roman" w:hAnsi="Times New Roman" w:eastAsia="宋体" w:cs="Times New Roman"/>
        </w:rPr>
      </w:pPr>
      <w:r>
        <w:rPr>
          <w:rFonts w:hint="eastAsia" w:ascii="Times New Roman" w:hAnsi="Times New Roman" w:eastAsia="宋体" w:cs="Times New Roman"/>
          <w:position w:val="-10"/>
        </w:rPr>
        <w:object>
          <v:shape id="_x0000_i1124" o:spt="75" type="#_x0000_t75" style="height:24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124" DrawAspect="Content" ObjectID="_1468075821" r:id="rId137">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rPr>
        <w:t>．</w:t>
      </w:r>
      <w:r>
        <w:rPr>
          <w:rFonts w:hint="eastAsia" w:ascii="Times New Roman" w:hAnsi="Times New Roman" w:eastAsia="宋体" w:cs="Times New Roman"/>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rPr>
        <w:t>1</w:t>
      </w:r>
      <w:r>
        <w:rPr>
          <w:rFonts w:hint="eastAsia" w:ascii="Times New Roman" w:hAnsi="Times New Roman" w:eastAsia="宋体" w:cs="Times New Roman"/>
        </w:rPr>
        <w:t>．</w:t>
      </w:r>
      <w:r>
        <w:rPr>
          <w:rFonts w:hint="eastAsia" w:ascii="Times New Roman" w:hAnsi="Times New Roman" w:eastAsia="宋体" w:cs="Times New Roman"/>
          <w:szCs w:val="21"/>
          <w:shd w:val="clear" w:color="auto" w:fill="FEFEFF"/>
        </w:rPr>
        <w:t>教材：</w:t>
      </w:r>
    </w:p>
    <w:p>
      <w:pPr>
        <w:numPr>
          <w:ilvl w:val="0"/>
          <w:numId w:val="49"/>
        </w:numPr>
        <w:snapToGrid w:val="0"/>
        <w:spacing w:line="300" w:lineRule="auto"/>
        <w:rPr>
          <w:rFonts w:ascii="Times New Roman" w:hAnsi="Times New Roman" w:eastAsia="宋体" w:cs="Times New Roman"/>
        </w:rPr>
      </w:pPr>
      <w:r>
        <w:rPr>
          <w:rFonts w:hint="eastAsia" w:ascii="Times New Roman" w:hAnsi="Times New Roman" w:eastAsia="宋体" w:cs="Times New Roman"/>
          <w:szCs w:val="21"/>
        </w:rPr>
        <w:t>林立．单片机原理及应用</w:t>
      </w:r>
      <w:r>
        <w:rPr>
          <w:rFonts w:ascii="Times New Roman" w:hAnsi="Times New Roman" w:eastAsia="宋体" w:cs="Times New Roman"/>
          <w:szCs w:val="21"/>
        </w:rPr>
        <w:t>——</w:t>
      </w:r>
      <w:r>
        <w:rPr>
          <w:rFonts w:hint="eastAsia" w:ascii="Times New Roman" w:hAnsi="Times New Roman" w:eastAsia="宋体" w:cs="Times New Roman"/>
          <w:szCs w:val="21"/>
        </w:rPr>
        <w:t>基于</w:t>
      </w:r>
      <w:r>
        <w:rPr>
          <w:rFonts w:ascii="Times New Roman" w:hAnsi="Times New Roman" w:eastAsia="宋体" w:cs="Times New Roman"/>
          <w:szCs w:val="21"/>
        </w:rPr>
        <w:t>Proteus</w:t>
      </w:r>
      <w:r>
        <w:rPr>
          <w:rFonts w:hint="eastAsia" w:ascii="Times New Roman" w:hAnsi="Times New Roman" w:eastAsia="宋体" w:cs="Times New Roman"/>
          <w:szCs w:val="21"/>
        </w:rPr>
        <w:t>和</w:t>
      </w:r>
      <w:r>
        <w:rPr>
          <w:rFonts w:ascii="Times New Roman" w:hAnsi="Times New Roman" w:eastAsia="宋体" w:cs="Times New Roman"/>
          <w:szCs w:val="21"/>
        </w:rPr>
        <w:t>Keil C</w:t>
      </w:r>
      <w:r>
        <w:rPr>
          <w:rFonts w:hint="eastAsia" w:ascii="Times New Roman" w:hAnsi="Times New Roman" w:eastAsia="宋体" w:cs="Times New Roman"/>
          <w:szCs w:val="21"/>
        </w:rPr>
        <w:t>（第</w:t>
      </w:r>
      <w:r>
        <w:rPr>
          <w:rFonts w:ascii="Times New Roman" w:hAnsi="Times New Roman" w:eastAsia="宋体" w:cs="Times New Roman"/>
          <w:szCs w:val="21"/>
        </w:rPr>
        <w:t>4</w:t>
      </w:r>
      <w:r>
        <w:rPr>
          <w:rFonts w:hint="eastAsia" w:ascii="Times New Roman" w:hAnsi="Times New Roman" w:eastAsia="宋体" w:cs="Times New Roman"/>
          <w:szCs w:val="21"/>
        </w:rPr>
        <w:t>版）［Ｍ］．北京：电子工业出版社，</w:t>
      </w:r>
      <w:r>
        <w:rPr>
          <w:rFonts w:ascii="Times New Roman" w:hAnsi="Times New Roman" w:eastAsia="宋体" w:cs="Times New Roman"/>
          <w:szCs w:val="21"/>
        </w:rPr>
        <w:t>2018</w:t>
      </w:r>
      <w:r>
        <w:rPr>
          <w:rFonts w:hint="eastAsia" w:ascii="Times New Roman" w:hAnsi="Times New Roman" w:eastAsia="宋体" w:cs="Times New Roman"/>
          <w:szCs w:val="21"/>
        </w:rPr>
        <w:t>．</w:t>
      </w:r>
    </w:p>
    <w:p>
      <w:pPr>
        <w:numPr>
          <w:ilvl w:val="0"/>
          <w:numId w:val="49"/>
        </w:numPr>
        <w:snapToGrid w:val="0"/>
        <w:spacing w:line="300" w:lineRule="auto"/>
        <w:rPr>
          <w:rFonts w:ascii="Times New Roman" w:hAnsi="Times New Roman" w:eastAsia="宋体" w:cs="Times New Roman"/>
        </w:rPr>
      </w:pPr>
      <w:r>
        <w:rPr>
          <w:rFonts w:hint="eastAsia" w:ascii="Times New Roman" w:hAnsi="Times New Roman" w:eastAsia="宋体" w:cs="Times New Roman"/>
          <w:szCs w:val="21"/>
        </w:rPr>
        <w:t>林立张俊亮</w:t>
      </w:r>
      <w:r>
        <w:rPr>
          <w:rFonts w:ascii="Times New Roman" w:hAnsi="Times New Roman" w:eastAsia="宋体" w:cs="Times New Roman"/>
          <w:szCs w:val="21"/>
        </w:rPr>
        <w:t>-</w:t>
      </w:r>
      <w:r>
        <w:rPr>
          <w:rFonts w:hint="eastAsia" w:ascii="Times New Roman" w:hAnsi="Times New Roman" w:eastAsia="宋体" w:cs="Times New Roman"/>
          <w:szCs w:val="21"/>
        </w:rPr>
        <w:t>单片机课程网站</w:t>
      </w:r>
      <w:r>
        <w:rPr>
          <w:rFonts w:ascii="Times New Roman" w:hAnsi="Times New Roman" w:eastAsia="宋体" w:cs="Times New Roman"/>
          <w:szCs w:val="21"/>
        </w:rPr>
        <w:t>PC</w:t>
      </w:r>
      <w:r>
        <w:rPr>
          <w:rFonts w:hint="eastAsia" w:ascii="Times New Roman" w:hAnsi="Times New Roman" w:eastAsia="宋体" w:cs="Times New Roman"/>
          <w:szCs w:val="21"/>
        </w:rPr>
        <w:t>版</w:t>
      </w:r>
      <w:r>
        <w:fldChar w:fldCharType="begin"/>
      </w:r>
      <w:r>
        <w:instrText xml:space="preserve"> HYPERLINK "http://www.51mcu.cn/" </w:instrText>
      </w:r>
      <w:r>
        <w:fldChar w:fldCharType="separate"/>
      </w:r>
      <w:r>
        <w:rPr>
          <w:rFonts w:ascii="Times New Roman" w:hAnsi="Times New Roman" w:eastAsia="宋体" w:cs="Times New Roman"/>
          <w:color w:val="0000FF"/>
          <w:szCs w:val="21"/>
          <w:u w:val="single"/>
        </w:rPr>
        <w:t>http://www.51mcu.cn/</w:t>
      </w:r>
      <w:r>
        <w:rPr>
          <w:rFonts w:ascii="Times New Roman" w:hAnsi="Times New Roman" w:eastAsia="宋体" w:cs="Times New Roman"/>
          <w:color w:val="0000FF"/>
          <w:szCs w:val="21"/>
          <w:u w:val="single"/>
        </w:rPr>
        <w:fldChar w:fldCharType="end"/>
      </w:r>
    </w:p>
    <w:p>
      <w:pPr>
        <w:snapToGrid w:val="0"/>
        <w:spacing w:line="300" w:lineRule="auto"/>
        <w:ind w:firstLine="420" w:firstLineChars="200"/>
        <w:rPr>
          <w:rFonts w:ascii="Times New Roman" w:hAnsi="Times New Roman" w:eastAsia="宋体" w:cs="Times New Roman"/>
          <w:szCs w:val="21"/>
          <w:shd w:val="clear" w:color="auto" w:fill="FEFEFF"/>
        </w:rPr>
      </w:pPr>
      <w:r>
        <w:rPr>
          <w:rFonts w:ascii="Times New Roman" w:hAnsi="Times New Roman" w:eastAsia="宋体" w:cs="Times New Roman"/>
        </w:rPr>
        <w:t>2</w:t>
      </w:r>
      <w:r>
        <w:rPr>
          <w:rFonts w:hint="eastAsia" w:ascii="Times New Roman" w:hAnsi="Times New Roman" w:eastAsia="宋体" w:cs="Times New Roman"/>
        </w:rPr>
        <w:t>．</w:t>
      </w:r>
      <w:r>
        <w:rPr>
          <w:rFonts w:hint="eastAsia" w:ascii="Times New Roman" w:hAnsi="Times New Roman" w:eastAsia="宋体" w:cs="Times New Roman"/>
          <w:szCs w:val="21"/>
          <w:shd w:val="clear" w:color="auto" w:fill="FEFEFF"/>
        </w:rPr>
        <w:t>参考资料：</w:t>
      </w:r>
    </w:p>
    <w:p>
      <w:pPr>
        <w:numPr>
          <w:ilvl w:val="0"/>
          <w:numId w:val="50"/>
        </w:numPr>
        <w:snapToGrid w:val="0"/>
        <w:spacing w:line="300" w:lineRule="auto"/>
        <w:rPr>
          <w:rFonts w:ascii="Times New Roman" w:hAnsi="Times New Roman" w:eastAsia="宋体" w:cs="Times New Roman"/>
        </w:rPr>
      </w:pPr>
      <w:r>
        <w:rPr>
          <w:rFonts w:hint="eastAsia" w:ascii="Times New Roman" w:hAnsi="Times New Roman" w:eastAsia="宋体" w:cs="Times New Roman"/>
          <w:szCs w:val="21"/>
        </w:rPr>
        <w:t>李全利．单片机原理及应用（</w:t>
      </w:r>
      <w:r>
        <w:rPr>
          <w:rFonts w:ascii="Times New Roman" w:hAnsi="Times New Roman" w:eastAsia="宋体" w:cs="Times New Roman"/>
          <w:szCs w:val="21"/>
        </w:rPr>
        <w:t>C51</w:t>
      </w:r>
      <w:r>
        <w:rPr>
          <w:rFonts w:hint="eastAsia" w:ascii="Times New Roman" w:hAnsi="Times New Roman" w:eastAsia="宋体" w:cs="Times New Roman"/>
          <w:szCs w:val="21"/>
        </w:rPr>
        <w:t>编程）［Ｍ］．北京：高等教育出版社，</w:t>
      </w:r>
      <w:r>
        <w:rPr>
          <w:rFonts w:ascii="Times New Roman" w:hAnsi="Times New Roman" w:eastAsia="宋体" w:cs="Times New Roman"/>
          <w:szCs w:val="21"/>
        </w:rPr>
        <w:t>2012</w:t>
      </w:r>
      <w:r>
        <w:rPr>
          <w:rFonts w:hint="eastAsia" w:ascii="Times New Roman" w:hAnsi="Times New Roman" w:eastAsia="宋体" w:cs="Times New Roman"/>
          <w:szCs w:val="21"/>
        </w:rPr>
        <w:t>．</w:t>
      </w:r>
    </w:p>
    <w:p>
      <w:pPr>
        <w:numPr>
          <w:ilvl w:val="0"/>
          <w:numId w:val="50"/>
        </w:numPr>
        <w:snapToGrid w:val="0"/>
        <w:spacing w:line="300" w:lineRule="auto"/>
        <w:rPr>
          <w:rFonts w:ascii="Times New Roman" w:hAnsi="Times New Roman" w:eastAsia="宋体" w:cs="Times New Roman"/>
        </w:rPr>
      </w:pPr>
      <w:r>
        <w:rPr>
          <w:rFonts w:hint="eastAsia" w:ascii="Times New Roman" w:hAnsi="Times New Roman" w:eastAsia="宋体" w:cs="Times New Roman"/>
          <w:szCs w:val="21"/>
        </w:rPr>
        <w:t>张齐．单片机应用系统设计技术</w:t>
      </w:r>
      <w:r>
        <w:rPr>
          <w:rFonts w:ascii="Times New Roman" w:hAnsi="Times New Roman" w:eastAsia="宋体" w:cs="Times New Roman"/>
          <w:szCs w:val="21"/>
        </w:rPr>
        <w:t>——</w:t>
      </w:r>
      <w:r>
        <w:rPr>
          <w:rFonts w:hint="eastAsia" w:ascii="Times New Roman" w:hAnsi="Times New Roman" w:eastAsia="宋体" w:cs="Times New Roman"/>
          <w:szCs w:val="21"/>
        </w:rPr>
        <w:t>基于</w:t>
      </w:r>
      <w:r>
        <w:rPr>
          <w:rFonts w:ascii="Times New Roman" w:hAnsi="Times New Roman" w:eastAsia="宋体" w:cs="Times New Roman"/>
          <w:szCs w:val="21"/>
        </w:rPr>
        <w:t>C51</w:t>
      </w:r>
      <w:r>
        <w:rPr>
          <w:rFonts w:hint="eastAsia" w:ascii="Times New Roman" w:hAnsi="Times New Roman" w:eastAsia="宋体" w:cs="Times New Roman"/>
          <w:szCs w:val="21"/>
        </w:rPr>
        <w:t>的</w:t>
      </w:r>
      <w:r>
        <w:rPr>
          <w:rFonts w:ascii="Times New Roman" w:hAnsi="Times New Roman" w:eastAsia="宋体" w:cs="Times New Roman"/>
          <w:szCs w:val="21"/>
        </w:rPr>
        <w:t>Proteus</w:t>
      </w:r>
      <w:r>
        <w:rPr>
          <w:rFonts w:hint="eastAsia" w:ascii="Times New Roman" w:hAnsi="Times New Roman" w:eastAsia="宋体" w:cs="Times New Roman"/>
          <w:szCs w:val="21"/>
        </w:rPr>
        <w:t>仿真（第</w:t>
      </w:r>
      <w:r>
        <w:rPr>
          <w:rFonts w:ascii="Times New Roman" w:hAnsi="Times New Roman" w:eastAsia="宋体" w:cs="Times New Roman"/>
          <w:szCs w:val="21"/>
        </w:rPr>
        <w:t>3</w:t>
      </w:r>
      <w:r>
        <w:rPr>
          <w:rFonts w:hint="eastAsia" w:ascii="Times New Roman" w:hAnsi="Times New Roman" w:eastAsia="宋体" w:cs="Times New Roman"/>
          <w:szCs w:val="21"/>
        </w:rPr>
        <w:t>版）［Ｍ］．北京：电子工业出版社，</w:t>
      </w:r>
      <w:r>
        <w:rPr>
          <w:rFonts w:ascii="Times New Roman" w:hAnsi="Times New Roman" w:eastAsia="宋体" w:cs="Times New Roman"/>
          <w:szCs w:val="21"/>
        </w:rPr>
        <w:t>2013</w:t>
      </w:r>
      <w:r>
        <w:rPr>
          <w:rFonts w:hint="eastAsia" w:ascii="Times New Roman" w:hAnsi="Times New Roman" w:eastAsia="宋体" w:cs="Times New Roman"/>
          <w:szCs w:val="21"/>
        </w:rPr>
        <w:t>．</w:t>
      </w:r>
    </w:p>
    <w:p>
      <w:pPr>
        <w:numPr>
          <w:ilvl w:val="0"/>
          <w:numId w:val="50"/>
        </w:numPr>
        <w:snapToGrid w:val="0"/>
        <w:spacing w:line="300" w:lineRule="auto"/>
        <w:rPr>
          <w:rFonts w:ascii="Times New Roman" w:hAnsi="Times New Roman" w:eastAsia="宋体" w:cs="Times New Roman"/>
        </w:rPr>
      </w:pPr>
      <w:r>
        <w:rPr>
          <w:rFonts w:hint="eastAsia" w:ascii="Times New Roman" w:hAnsi="Times New Roman" w:eastAsia="宋体" w:cs="Times New Roman"/>
          <w:szCs w:val="21"/>
        </w:rPr>
        <w:t>刘建清．从零开始学习单片机技术［Ｍ］．北京：国防工业出版社，</w:t>
      </w:r>
      <w:r>
        <w:rPr>
          <w:rFonts w:ascii="Times New Roman" w:hAnsi="Times New Roman" w:eastAsia="宋体" w:cs="Times New Roman"/>
          <w:szCs w:val="21"/>
        </w:rPr>
        <w:t>2006</w:t>
      </w:r>
      <w:r>
        <w:rPr>
          <w:rFonts w:hint="eastAsia" w:ascii="Times New Roman" w:hAnsi="Times New Roman" w:eastAsia="宋体" w:cs="Times New Roman"/>
          <w:szCs w:val="21"/>
        </w:rPr>
        <w:t>．</w:t>
      </w:r>
    </w:p>
    <w:tbl>
      <w:tblPr>
        <w:tblStyle w:val="22"/>
        <w:tblpPr w:leftFromText="180" w:rightFromText="180" w:vertAnchor="text" w:horzAnchor="margin" w:tblpX="-39" w:tblpY="266"/>
        <w:tblW w:w="8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ind w:right="420"/>
              <w:jc w:val="righ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jc w:val="righ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日</w:t>
            </w:r>
            <w:r>
              <w:rPr>
                <w:rFonts w:ascii="Times New Roman" w:hAnsi="Times New Roman" w:eastAsia="宋体" w:cs="Times New Roman"/>
                <w:kern w:val="0"/>
                <w:sz w:val="20"/>
                <w:szCs w:val="21"/>
              </w:rPr>
              <w:t xml:space="preserve">  </w:t>
            </w:r>
            <w:r>
              <w:rPr>
                <w:rFonts w:hint="eastAsia" w:ascii="Times New Roman" w:hAnsi="Times New Roman" w:eastAsia="宋体" w:cs="Times New Roman"/>
                <w:kern w:val="0"/>
                <w:sz w:val="20"/>
                <w:szCs w:val="21"/>
              </w:rPr>
              <w:t>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jc w:val="right"/>
              <w:rPr>
                <w:rFonts w:ascii="Times New Roman" w:hAnsi="Times New Roman" w:eastAsia="宋体" w:cs="Times New Roman"/>
                <w:kern w:val="0"/>
                <w:sz w:val="20"/>
                <w:szCs w:val="21"/>
              </w:rPr>
            </w:pPr>
          </w:p>
        </w:tc>
      </w:tr>
    </w:tbl>
    <w:p>
      <w:pPr>
        <w:rPr>
          <w:rFonts w:ascii="Times New Roman" w:hAnsi="Times New Roman" w:eastAsia="宋体" w:cs="Times New Roman"/>
          <w:b/>
          <w:bCs/>
          <w:sz w:val="32"/>
          <w:szCs w:val="32"/>
        </w:rPr>
      </w:pPr>
      <w:r>
        <w:rPr>
          <w:rFonts w:ascii="Times New Roman" w:hAnsi="Times New Roman" w:eastAsia="宋体" w:cs="Times New Roman"/>
          <w:b/>
          <w:bCs/>
          <w:sz w:val="32"/>
          <w:szCs w:val="32"/>
        </w:rPr>
        <w:br w:type="page"/>
      </w:r>
    </w:p>
    <w:p>
      <w:pPr>
        <w:keepNext/>
        <w:keepLines/>
        <w:spacing w:before="260" w:after="260" w:line="413" w:lineRule="auto"/>
        <w:jc w:val="center"/>
        <w:outlineLvl w:val="3"/>
        <w:rPr>
          <w:rFonts w:ascii="Times New Roman" w:hAnsi="Times New Roman" w:eastAsia="宋体" w:cs="Times New Roman"/>
          <w:b/>
          <w:bCs/>
          <w:sz w:val="28"/>
          <w:szCs w:val="32"/>
        </w:rPr>
      </w:pPr>
      <w:bookmarkStart w:id="160" w:name="_Toc15656"/>
      <w:bookmarkStart w:id="161" w:name="_Toc46489665"/>
      <w:bookmarkStart w:id="162" w:name="_Toc38126119"/>
      <w:r>
        <w:rPr>
          <w:rFonts w:ascii="Times New Roman" w:hAnsi="Times New Roman" w:eastAsia="宋体" w:cs="Times New Roman"/>
          <w:b/>
          <w:bCs/>
          <w:sz w:val="32"/>
          <w:szCs w:val="32"/>
        </w:rPr>
        <w:t>16142107</w:t>
      </w:r>
      <w:r>
        <w:rPr>
          <w:rFonts w:hint="eastAsia" w:ascii="Times New Roman" w:hAnsi="Times New Roman" w:eastAsia="宋体" w:cs="Times New Roman"/>
          <w:b/>
          <w:bCs/>
          <w:sz w:val="32"/>
          <w:szCs w:val="32"/>
        </w:rPr>
        <w:t>《传感器原理与技术》课程教学大纲</w:t>
      </w:r>
      <w:bookmarkEnd w:id="160"/>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2105"/>
        <w:gridCol w:w="1542"/>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5" w:type="dxa"/>
            <w:vAlign w:val="center"/>
          </w:tcPr>
          <w:p>
            <w:pPr>
              <w:jc w:val="center"/>
              <w:rPr>
                <w:kern w:val="0"/>
                <w:szCs w:val="21"/>
              </w:rPr>
            </w:pPr>
            <w:r>
              <w:rPr>
                <w:kern w:val="0"/>
                <w:szCs w:val="21"/>
              </w:rPr>
              <w:t>课程编号</w:t>
            </w:r>
          </w:p>
        </w:tc>
        <w:tc>
          <w:tcPr>
            <w:tcW w:w="2105" w:type="dxa"/>
            <w:vAlign w:val="center"/>
          </w:tcPr>
          <w:p>
            <w:pPr>
              <w:jc w:val="center"/>
              <w:rPr>
                <w:kern w:val="0"/>
                <w:szCs w:val="21"/>
              </w:rPr>
            </w:pPr>
            <w:r>
              <w:rPr>
                <w:kern w:val="0"/>
                <w:szCs w:val="21"/>
              </w:rPr>
              <w:t>16142107</w:t>
            </w:r>
          </w:p>
        </w:tc>
        <w:tc>
          <w:tcPr>
            <w:tcW w:w="1542" w:type="dxa"/>
            <w:vAlign w:val="center"/>
          </w:tcPr>
          <w:p>
            <w:pPr>
              <w:jc w:val="center"/>
              <w:rPr>
                <w:kern w:val="0"/>
                <w:szCs w:val="21"/>
              </w:rPr>
            </w:pPr>
            <w:r>
              <w:rPr>
                <w:kern w:val="0"/>
                <w:szCs w:val="21"/>
              </w:rPr>
              <w:t>课程名称</w:t>
            </w:r>
          </w:p>
        </w:tc>
        <w:tc>
          <w:tcPr>
            <w:tcW w:w="3229" w:type="dxa"/>
            <w:vAlign w:val="center"/>
          </w:tcPr>
          <w:p>
            <w:pPr>
              <w:jc w:val="center"/>
              <w:rPr>
                <w:kern w:val="0"/>
                <w:szCs w:val="21"/>
              </w:rPr>
            </w:pPr>
            <w:r>
              <w:rPr>
                <w:kern w:val="0"/>
                <w:szCs w:val="21"/>
              </w:rPr>
              <w:t>传感器原理与技术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5" w:type="dxa"/>
            <w:vAlign w:val="center"/>
          </w:tcPr>
          <w:p>
            <w:pPr>
              <w:jc w:val="center"/>
              <w:rPr>
                <w:kern w:val="0"/>
                <w:szCs w:val="21"/>
              </w:rPr>
            </w:pPr>
            <w:r>
              <w:rPr>
                <w:kern w:val="0"/>
                <w:szCs w:val="21"/>
              </w:rPr>
              <w:t>课程性质*</w:t>
            </w:r>
          </w:p>
        </w:tc>
        <w:tc>
          <w:tcPr>
            <w:tcW w:w="2105" w:type="dxa"/>
            <w:vAlign w:val="center"/>
          </w:tcPr>
          <w:p>
            <w:pPr>
              <w:jc w:val="center"/>
              <w:rPr>
                <w:kern w:val="0"/>
                <w:szCs w:val="21"/>
              </w:rPr>
            </w:pPr>
            <w:r>
              <w:rPr>
                <w:rFonts w:hint="eastAsia"/>
                <w:szCs w:val="21"/>
              </w:rPr>
              <w:t>专业类</w:t>
            </w:r>
          </w:p>
        </w:tc>
        <w:tc>
          <w:tcPr>
            <w:tcW w:w="1542" w:type="dxa"/>
            <w:vAlign w:val="center"/>
          </w:tcPr>
          <w:p>
            <w:pPr>
              <w:jc w:val="center"/>
              <w:rPr>
                <w:kern w:val="0"/>
                <w:szCs w:val="21"/>
              </w:rPr>
            </w:pPr>
            <w:r>
              <w:rPr>
                <w:kern w:val="0"/>
                <w:szCs w:val="21"/>
              </w:rPr>
              <w:t>英文名称</w:t>
            </w:r>
          </w:p>
        </w:tc>
        <w:tc>
          <w:tcPr>
            <w:tcW w:w="3229" w:type="dxa"/>
            <w:vAlign w:val="center"/>
          </w:tcPr>
          <w:p>
            <w:pPr>
              <w:rPr>
                <w:kern w:val="0"/>
                <w:szCs w:val="21"/>
              </w:rPr>
            </w:pPr>
            <w:r>
              <w:rPr>
                <w:kern w:val="0"/>
                <w:szCs w:val="21"/>
              </w:rPr>
              <w:t xml:space="preserve">Sensor Principle and Technology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5" w:type="dxa"/>
            <w:vAlign w:val="center"/>
          </w:tcPr>
          <w:p>
            <w:pPr>
              <w:jc w:val="center"/>
              <w:rPr>
                <w:kern w:val="0"/>
                <w:szCs w:val="21"/>
              </w:rPr>
            </w:pPr>
            <w:r>
              <w:rPr>
                <w:kern w:val="0"/>
                <w:szCs w:val="21"/>
              </w:rPr>
              <w:t>学分学时</w:t>
            </w:r>
          </w:p>
        </w:tc>
        <w:tc>
          <w:tcPr>
            <w:tcW w:w="2105" w:type="dxa"/>
            <w:vAlign w:val="center"/>
          </w:tcPr>
          <w:p>
            <w:pPr>
              <w:jc w:val="center"/>
              <w:rPr>
                <w:kern w:val="0"/>
                <w:szCs w:val="21"/>
              </w:rPr>
            </w:pPr>
            <w:r>
              <w:rPr>
                <w:kern w:val="0"/>
                <w:szCs w:val="21"/>
              </w:rPr>
              <w:t>2</w:t>
            </w:r>
            <w:r>
              <w:rPr>
                <w:bCs/>
                <w:kern w:val="0"/>
                <w:szCs w:val="21"/>
              </w:rPr>
              <w:t xml:space="preserve"> </w:t>
            </w:r>
            <w:r>
              <w:rPr>
                <w:kern w:val="0"/>
                <w:szCs w:val="21"/>
              </w:rPr>
              <w:t>: 32（8）</w:t>
            </w:r>
          </w:p>
        </w:tc>
        <w:tc>
          <w:tcPr>
            <w:tcW w:w="1542" w:type="dxa"/>
            <w:vAlign w:val="center"/>
          </w:tcPr>
          <w:p>
            <w:pPr>
              <w:jc w:val="center"/>
              <w:rPr>
                <w:kern w:val="0"/>
                <w:szCs w:val="21"/>
              </w:rPr>
            </w:pPr>
            <w:r>
              <w:rPr>
                <w:kern w:val="0"/>
                <w:szCs w:val="21"/>
              </w:rPr>
              <w:t>任课教师</w:t>
            </w:r>
          </w:p>
        </w:tc>
        <w:tc>
          <w:tcPr>
            <w:tcW w:w="3229" w:type="dxa"/>
            <w:vAlign w:val="center"/>
          </w:tcPr>
          <w:p>
            <w:pPr>
              <w:jc w:val="center"/>
              <w:rPr>
                <w:kern w:val="0"/>
                <w:szCs w:val="21"/>
              </w:rPr>
            </w:pPr>
            <w:r>
              <w:rPr>
                <w:rFonts w:hint="eastAsia"/>
                <w:kern w:val="0"/>
                <w:szCs w:val="21"/>
              </w:rPr>
              <w:t>李振华</w:t>
            </w:r>
            <w:r>
              <w:rPr>
                <w:kern w:val="0"/>
                <w:szCs w:val="21"/>
              </w:rPr>
              <w:t>，王立臣，彭银桥，杨文虎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05" w:type="dxa"/>
            <w:vAlign w:val="center"/>
          </w:tcPr>
          <w:p>
            <w:pPr>
              <w:jc w:val="center"/>
              <w:rPr>
                <w:kern w:val="0"/>
                <w:szCs w:val="21"/>
              </w:rPr>
            </w:pPr>
            <w:r>
              <w:rPr>
                <w:kern w:val="0"/>
                <w:szCs w:val="21"/>
              </w:rPr>
              <w:t>企业专家</w:t>
            </w:r>
          </w:p>
        </w:tc>
        <w:tc>
          <w:tcPr>
            <w:tcW w:w="2105" w:type="dxa"/>
            <w:vAlign w:val="center"/>
          </w:tcPr>
          <w:p>
            <w:pPr>
              <w:widowControl/>
              <w:jc w:val="center"/>
              <w:rPr>
                <w:kern w:val="0"/>
                <w:szCs w:val="21"/>
              </w:rPr>
            </w:pPr>
            <w:r>
              <w:rPr>
                <w:kern w:val="0"/>
                <w:szCs w:val="21"/>
              </w:rPr>
              <w:t>曾耿滨</w:t>
            </w:r>
          </w:p>
        </w:tc>
        <w:tc>
          <w:tcPr>
            <w:tcW w:w="1542" w:type="dxa"/>
            <w:vAlign w:val="center"/>
          </w:tcPr>
          <w:p>
            <w:pPr>
              <w:jc w:val="center"/>
              <w:rPr>
                <w:kern w:val="0"/>
                <w:szCs w:val="21"/>
              </w:rPr>
            </w:pPr>
            <w:r>
              <w:rPr>
                <w:kern w:val="0"/>
                <w:szCs w:val="21"/>
              </w:rPr>
              <w:t>行业专家</w:t>
            </w:r>
          </w:p>
        </w:tc>
        <w:tc>
          <w:tcPr>
            <w:tcW w:w="3229"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805" w:type="dxa"/>
            <w:vAlign w:val="center"/>
          </w:tcPr>
          <w:p>
            <w:pPr>
              <w:widowControl/>
              <w:jc w:val="center"/>
              <w:rPr>
                <w:kern w:val="0"/>
                <w:szCs w:val="21"/>
              </w:rPr>
            </w:pPr>
            <w:r>
              <w:rPr>
                <w:kern w:val="0"/>
                <w:szCs w:val="21"/>
              </w:rPr>
              <w:t>执笔教师</w:t>
            </w:r>
          </w:p>
        </w:tc>
        <w:tc>
          <w:tcPr>
            <w:tcW w:w="2105" w:type="dxa"/>
            <w:vAlign w:val="center"/>
          </w:tcPr>
          <w:p>
            <w:pPr>
              <w:widowControl/>
              <w:jc w:val="center"/>
              <w:rPr>
                <w:kern w:val="0"/>
                <w:szCs w:val="21"/>
              </w:rPr>
            </w:pPr>
            <w:r>
              <w:rPr>
                <w:rFonts w:hint="eastAsia"/>
                <w:kern w:val="0"/>
                <w:szCs w:val="21"/>
              </w:rPr>
              <w:t>李振华</w:t>
            </w:r>
          </w:p>
        </w:tc>
        <w:tc>
          <w:tcPr>
            <w:tcW w:w="1542" w:type="dxa"/>
            <w:vAlign w:val="center"/>
          </w:tcPr>
          <w:p>
            <w:pPr>
              <w:widowControl/>
              <w:jc w:val="center"/>
              <w:rPr>
                <w:kern w:val="0"/>
                <w:szCs w:val="21"/>
              </w:rPr>
            </w:pPr>
            <w:r>
              <w:rPr>
                <w:kern w:val="0"/>
                <w:szCs w:val="21"/>
              </w:rPr>
              <w:t>责任教授</w:t>
            </w:r>
          </w:p>
        </w:tc>
        <w:tc>
          <w:tcPr>
            <w:tcW w:w="3229"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05" w:type="dxa"/>
            <w:vAlign w:val="center"/>
          </w:tcPr>
          <w:p>
            <w:pPr>
              <w:widowControl/>
              <w:jc w:val="center"/>
              <w:rPr>
                <w:kern w:val="0"/>
                <w:szCs w:val="21"/>
              </w:rPr>
            </w:pPr>
            <w:r>
              <w:rPr>
                <w:kern w:val="0"/>
                <w:szCs w:val="21"/>
              </w:rPr>
              <w:t>适用专业</w:t>
            </w:r>
          </w:p>
        </w:tc>
        <w:tc>
          <w:tcPr>
            <w:tcW w:w="2105" w:type="dxa"/>
            <w:vAlign w:val="center"/>
          </w:tcPr>
          <w:p>
            <w:pPr>
              <w:widowControl/>
              <w:jc w:val="center"/>
              <w:rPr>
                <w:kern w:val="0"/>
                <w:szCs w:val="21"/>
              </w:rPr>
            </w:pPr>
            <w:r>
              <w:rPr>
                <w:kern w:val="0"/>
                <w:szCs w:val="21"/>
              </w:rPr>
              <w:t>电子信息工程</w:t>
            </w:r>
          </w:p>
        </w:tc>
        <w:tc>
          <w:tcPr>
            <w:tcW w:w="1542" w:type="dxa"/>
            <w:vAlign w:val="center"/>
          </w:tcPr>
          <w:p>
            <w:pPr>
              <w:widowControl/>
              <w:jc w:val="center"/>
              <w:rPr>
                <w:kern w:val="0"/>
                <w:szCs w:val="21"/>
              </w:rPr>
            </w:pPr>
            <w:r>
              <w:rPr>
                <w:kern w:val="0"/>
                <w:szCs w:val="21"/>
              </w:rPr>
              <w:t>适用对象</w:t>
            </w:r>
          </w:p>
        </w:tc>
        <w:tc>
          <w:tcPr>
            <w:tcW w:w="3229"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05" w:type="dxa"/>
            <w:vAlign w:val="center"/>
          </w:tcPr>
          <w:p>
            <w:pPr>
              <w:jc w:val="center"/>
              <w:rPr>
                <w:kern w:val="0"/>
                <w:szCs w:val="21"/>
              </w:rPr>
            </w:pPr>
            <w:r>
              <w:rPr>
                <w:kern w:val="0"/>
                <w:szCs w:val="21"/>
              </w:rPr>
              <w:t>先修课程</w:t>
            </w:r>
          </w:p>
        </w:tc>
        <w:tc>
          <w:tcPr>
            <w:tcW w:w="2105" w:type="dxa"/>
            <w:vAlign w:val="center"/>
          </w:tcPr>
          <w:p>
            <w:pPr>
              <w:widowControl/>
              <w:jc w:val="center"/>
              <w:rPr>
                <w:kern w:val="0"/>
                <w:szCs w:val="21"/>
              </w:rPr>
            </w:pPr>
            <w:r>
              <w:rPr>
                <w:kern w:val="0"/>
                <w:szCs w:val="21"/>
              </w:rPr>
              <w:t>电路分析</w:t>
            </w:r>
          </w:p>
          <w:p>
            <w:pPr>
              <w:widowControl/>
              <w:jc w:val="center"/>
              <w:rPr>
                <w:kern w:val="0"/>
                <w:szCs w:val="21"/>
              </w:rPr>
            </w:pPr>
            <w:r>
              <w:rPr>
                <w:kern w:val="0"/>
                <w:szCs w:val="21"/>
              </w:rPr>
              <w:t>模拟电子技术</w:t>
            </w:r>
          </w:p>
        </w:tc>
        <w:tc>
          <w:tcPr>
            <w:tcW w:w="1542" w:type="dxa"/>
            <w:vAlign w:val="center"/>
          </w:tcPr>
          <w:p>
            <w:pPr>
              <w:snapToGrid w:val="0"/>
              <w:spacing w:line="300" w:lineRule="auto"/>
              <w:jc w:val="center"/>
              <w:rPr>
                <w:kern w:val="0"/>
                <w:szCs w:val="21"/>
              </w:rPr>
            </w:pPr>
            <w:r>
              <w:rPr>
                <w:kern w:val="0"/>
                <w:szCs w:val="21"/>
              </w:rPr>
              <w:t>同修课程</w:t>
            </w:r>
          </w:p>
        </w:tc>
        <w:tc>
          <w:tcPr>
            <w:tcW w:w="3229"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805" w:type="dxa"/>
            <w:vAlign w:val="center"/>
          </w:tcPr>
          <w:p>
            <w:pPr>
              <w:jc w:val="center"/>
              <w:rPr>
                <w:kern w:val="0"/>
                <w:szCs w:val="21"/>
              </w:rPr>
            </w:pPr>
            <w:r>
              <w:rPr>
                <w:kern w:val="0"/>
                <w:szCs w:val="21"/>
              </w:rPr>
              <w:t>排斥课程</w:t>
            </w:r>
          </w:p>
        </w:tc>
        <w:tc>
          <w:tcPr>
            <w:tcW w:w="2105" w:type="dxa"/>
            <w:vAlign w:val="center"/>
          </w:tcPr>
          <w:p>
            <w:pPr>
              <w:widowControl/>
              <w:jc w:val="center"/>
              <w:rPr>
                <w:kern w:val="0"/>
                <w:szCs w:val="21"/>
              </w:rPr>
            </w:pPr>
            <w:r>
              <w:rPr>
                <w:kern w:val="0"/>
                <w:szCs w:val="21"/>
              </w:rPr>
              <w:t>无</w:t>
            </w:r>
          </w:p>
        </w:tc>
        <w:tc>
          <w:tcPr>
            <w:tcW w:w="1542" w:type="dxa"/>
            <w:vAlign w:val="center"/>
          </w:tcPr>
          <w:p>
            <w:pPr>
              <w:snapToGrid w:val="0"/>
              <w:spacing w:line="300" w:lineRule="auto"/>
              <w:jc w:val="center"/>
              <w:rPr>
                <w:kern w:val="0"/>
                <w:szCs w:val="21"/>
              </w:rPr>
            </w:pPr>
            <w:r>
              <w:rPr>
                <w:kern w:val="0"/>
                <w:szCs w:val="21"/>
              </w:rPr>
              <w:t>定稿日期</w:t>
            </w:r>
          </w:p>
        </w:tc>
        <w:tc>
          <w:tcPr>
            <w:tcW w:w="3229"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utoSpaceDE w:val="0"/>
        <w:autoSpaceDN w:val="0"/>
        <w:adjustRightInd w:val="0"/>
        <w:snapToGrid w:val="0"/>
        <w:spacing w:line="300" w:lineRule="auto"/>
        <w:ind w:firstLine="420" w:firstLineChars="200"/>
        <w:jc w:val="left"/>
        <w:rPr>
          <w:kern w:val="0"/>
          <w:szCs w:val="21"/>
        </w:rPr>
      </w:pPr>
      <w:r>
        <w:rPr>
          <w:rFonts w:hint="eastAsia"/>
          <w:kern w:val="0"/>
          <w:szCs w:val="21"/>
        </w:rPr>
        <w:t>《传感器原理与技术》课程是电子信息工程专业</w:t>
      </w:r>
      <w:r>
        <w:rPr>
          <w:kern w:val="0"/>
          <w:szCs w:val="21"/>
        </w:rPr>
        <w:t>一门学科专业拓展课</w:t>
      </w:r>
      <w:r>
        <w:rPr>
          <w:rFonts w:hint="eastAsia"/>
          <w:kern w:val="0"/>
          <w:szCs w:val="21"/>
        </w:rPr>
        <w:t>。</w:t>
      </w:r>
      <w:r>
        <w:rPr>
          <w:kern w:val="0"/>
          <w:szCs w:val="21"/>
        </w:rPr>
        <w:t>传感器是将各种非电量</w:t>
      </w:r>
      <w:r>
        <w:rPr>
          <w:rFonts w:hint="eastAsia"/>
          <w:kern w:val="0"/>
          <w:szCs w:val="21"/>
        </w:rPr>
        <w:t>，如</w:t>
      </w:r>
      <w:r>
        <w:rPr>
          <w:kern w:val="0"/>
          <w:szCs w:val="21"/>
        </w:rPr>
        <w:t>物理量、化学量、生物量等</w:t>
      </w:r>
      <w:r>
        <w:rPr>
          <w:rFonts w:hint="eastAsia"/>
          <w:kern w:val="0"/>
          <w:szCs w:val="21"/>
        </w:rPr>
        <w:t>，</w:t>
      </w:r>
      <w:r>
        <w:rPr>
          <w:kern w:val="0"/>
          <w:szCs w:val="21"/>
        </w:rPr>
        <w:t>按一定规律转换成便于处理和传输的另一种物理量的装置</w:t>
      </w:r>
      <w:r>
        <w:rPr>
          <w:rFonts w:hint="eastAsia"/>
          <w:kern w:val="0"/>
          <w:szCs w:val="21"/>
        </w:rPr>
        <w:t>；</w:t>
      </w:r>
      <w:r>
        <w:rPr>
          <w:kern w:val="0"/>
          <w:szCs w:val="21"/>
        </w:rPr>
        <w:t>传感器技术是涉及传感原理的传感器件</w:t>
      </w:r>
      <w:r>
        <w:rPr>
          <w:rFonts w:hint="eastAsia"/>
          <w:kern w:val="0"/>
          <w:szCs w:val="21"/>
        </w:rPr>
        <w:t>、</w:t>
      </w:r>
      <w:r>
        <w:rPr>
          <w:kern w:val="0"/>
          <w:szCs w:val="21"/>
        </w:rPr>
        <w:t>传感器开发和应用的综合技术</w:t>
      </w:r>
      <w:r>
        <w:rPr>
          <w:rFonts w:hint="eastAsia"/>
          <w:kern w:val="0"/>
          <w:szCs w:val="21"/>
        </w:rPr>
        <w:t>。该课程涉及电子、光学、物理、机械、材料等众多学科领域，应用范围十分广泛，在电子信息工程专业的课程体系中起到承上启下的作用。通过本课程的教学，使学生了解传感器的基本原理、基本结构、各种传感器的基本特点及测量方法，培养学生的传感器综合设计能力、传感器应用能力及创新能力，</w:t>
      </w:r>
      <w:r>
        <w:rPr>
          <w:kern w:val="0"/>
          <w:szCs w:val="21"/>
        </w:rPr>
        <w:t>为学生后继专业课程</w:t>
      </w:r>
      <w:r>
        <w:rPr>
          <w:rFonts w:hint="eastAsia"/>
          <w:kern w:val="0"/>
          <w:szCs w:val="21"/>
        </w:rPr>
        <w:t>、</w:t>
      </w:r>
      <w:r>
        <w:rPr>
          <w:kern w:val="0"/>
          <w:szCs w:val="21"/>
        </w:rPr>
        <w:t>新理论、新知识</w:t>
      </w:r>
      <w:r>
        <w:rPr>
          <w:rFonts w:hint="eastAsia"/>
          <w:kern w:val="0"/>
          <w:szCs w:val="21"/>
        </w:rPr>
        <w:t>、</w:t>
      </w:r>
      <w:r>
        <w:rPr>
          <w:kern w:val="0"/>
          <w:szCs w:val="21"/>
        </w:rPr>
        <w:t>新技术</w:t>
      </w:r>
      <w:r>
        <w:rPr>
          <w:rFonts w:hint="eastAsia"/>
          <w:kern w:val="0"/>
          <w:szCs w:val="21"/>
        </w:rPr>
        <w:t>的学习</w:t>
      </w:r>
      <w:r>
        <w:rPr>
          <w:kern w:val="0"/>
          <w:szCs w:val="21"/>
        </w:rPr>
        <w:t>打下扎实的基础。</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utoSpaceDE w:val="0"/>
        <w:autoSpaceDN w:val="0"/>
        <w:adjustRightInd w:val="0"/>
        <w:snapToGrid w:val="0"/>
        <w:spacing w:line="300" w:lineRule="auto"/>
        <w:ind w:firstLine="420" w:firstLineChars="200"/>
        <w:jc w:val="left"/>
        <w:rPr>
          <w:kern w:val="0"/>
          <w:szCs w:val="21"/>
        </w:rPr>
      </w:pPr>
      <w:r>
        <w:rPr>
          <w:kern w:val="0"/>
          <w:szCs w:val="21"/>
        </w:rPr>
        <w:t>通过传感器原理与技术课程的教学，达到教学目标：</w:t>
      </w:r>
    </w:p>
    <w:p>
      <w:pPr>
        <w:autoSpaceDE w:val="0"/>
        <w:autoSpaceDN w:val="0"/>
        <w:adjustRightInd w:val="0"/>
        <w:snapToGrid w:val="0"/>
        <w:spacing w:line="300" w:lineRule="auto"/>
        <w:ind w:firstLine="420" w:firstLineChars="200"/>
        <w:jc w:val="left"/>
        <w:rPr>
          <w:kern w:val="0"/>
          <w:szCs w:val="21"/>
        </w:rPr>
      </w:pPr>
      <w:r>
        <w:rPr>
          <w:kern w:val="0"/>
          <w:szCs w:val="21"/>
        </w:rPr>
        <w:t>1．使学生</w:t>
      </w:r>
      <w:r>
        <w:rPr>
          <w:rFonts w:hint="eastAsia"/>
          <w:kern w:val="0"/>
          <w:szCs w:val="21"/>
        </w:rPr>
        <w:t>对传感器</w:t>
      </w:r>
      <w:r>
        <w:rPr>
          <w:kern w:val="0"/>
          <w:szCs w:val="21"/>
        </w:rPr>
        <w:t>基本原理、基本结构</w:t>
      </w:r>
      <w:r>
        <w:rPr>
          <w:rFonts w:hint="eastAsia"/>
          <w:kern w:val="0"/>
          <w:szCs w:val="21"/>
        </w:rPr>
        <w:t>以及</w:t>
      </w:r>
      <w:r>
        <w:rPr>
          <w:kern w:val="0"/>
          <w:szCs w:val="21"/>
        </w:rPr>
        <w:t>传感器测量方法有系统认识和正确理解</w:t>
      </w:r>
      <w:r>
        <w:rPr>
          <w:rFonts w:hint="eastAsia"/>
          <w:kern w:val="0"/>
          <w:szCs w:val="21"/>
        </w:rPr>
        <w:t>；</w:t>
      </w:r>
      <w:r>
        <w:rPr>
          <w:kern w:val="0"/>
          <w:szCs w:val="21"/>
        </w:rPr>
        <w:t>在此基础上</w:t>
      </w:r>
      <w:r>
        <w:rPr>
          <w:rFonts w:hint="eastAsia"/>
          <w:kern w:val="0"/>
          <w:szCs w:val="21"/>
        </w:rPr>
        <w:t>使学生</w:t>
      </w:r>
      <w:r>
        <w:rPr>
          <w:kern w:val="0"/>
          <w:szCs w:val="21"/>
        </w:rPr>
        <w:t>具有进一步学习新理论、新知识以及新技术的能力。[5.1]</w:t>
      </w:r>
    </w:p>
    <w:p>
      <w:pPr>
        <w:adjustRightInd w:val="0"/>
        <w:snapToGrid w:val="0"/>
        <w:spacing w:line="300" w:lineRule="auto"/>
        <w:ind w:firstLine="420" w:firstLineChars="200"/>
        <w:rPr>
          <w:szCs w:val="21"/>
          <w:shd w:val="clear" w:color="auto" w:fill="FEFEFF"/>
        </w:rPr>
      </w:pPr>
      <w:r>
        <w:rPr>
          <w:szCs w:val="21"/>
        </w:rPr>
        <w:t>2</w:t>
      </w:r>
      <w:r>
        <w:rPr>
          <w:kern w:val="0"/>
          <w:szCs w:val="21"/>
        </w:rPr>
        <w:t>．</w:t>
      </w:r>
      <w:r>
        <w:rPr>
          <w:szCs w:val="21"/>
        </w:rPr>
        <w:t>使学生具有使用传感器实验设备完成传感器电路的验证分析和设计的能力</w:t>
      </w:r>
      <w:r>
        <w:rPr>
          <w:rFonts w:hint="eastAsia"/>
          <w:szCs w:val="21"/>
        </w:rPr>
        <w:t>，并</w:t>
      </w:r>
      <w:r>
        <w:rPr>
          <w:szCs w:val="21"/>
        </w:rPr>
        <w:t>培养</w:t>
      </w:r>
      <w:r>
        <w:rPr>
          <w:rFonts w:hint="eastAsia"/>
          <w:szCs w:val="21"/>
        </w:rPr>
        <w:t>学生在解决</w:t>
      </w:r>
      <w:r>
        <w:rPr>
          <w:szCs w:val="21"/>
        </w:rPr>
        <w:t>复杂工程问题中合理选择传感器</w:t>
      </w:r>
      <w:r>
        <w:rPr>
          <w:rFonts w:hint="eastAsia"/>
          <w:szCs w:val="21"/>
        </w:rPr>
        <w:t>等现代检测</w:t>
      </w:r>
      <w:r>
        <w:rPr>
          <w:szCs w:val="21"/>
        </w:rPr>
        <w:t>工具的能力。</w:t>
      </w:r>
      <w:r>
        <w:rPr>
          <w:szCs w:val="21"/>
          <w:shd w:val="clear" w:color="auto" w:fill="FEFEFF"/>
        </w:rPr>
        <w:t xml:space="preserve"> [5.1]</w:t>
      </w:r>
    </w:p>
    <w:p>
      <w:pPr>
        <w:widowControl/>
        <w:tabs>
          <w:tab w:val="left" w:pos="426"/>
          <w:tab w:val="left" w:pos="5245"/>
          <w:tab w:val="left" w:pos="5387"/>
        </w:tabs>
        <w:adjustRightInd w:val="0"/>
        <w:snapToGrid w:val="0"/>
        <w:spacing w:line="300" w:lineRule="auto"/>
        <w:ind w:firstLine="420" w:firstLineChars="200"/>
        <w:jc w:val="left"/>
        <w:rPr>
          <w:szCs w:val="21"/>
        </w:rPr>
      </w:pPr>
      <w:r>
        <w:rPr>
          <w:szCs w:val="21"/>
        </w:rPr>
        <w:t>课程教学目标与毕业要求的对应关系见表1：</w:t>
      </w:r>
    </w:p>
    <w:p>
      <w:pPr>
        <w:widowControl/>
        <w:tabs>
          <w:tab w:val="left" w:pos="426"/>
          <w:tab w:val="left" w:pos="5245"/>
          <w:tab w:val="left" w:pos="5387"/>
        </w:tabs>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7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523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597" w:type="dxa"/>
            <w:vAlign w:val="center"/>
          </w:tcPr>
          <w:p>
            <w:pPr>
              <w:jc w:val="center"/>
              <w:rPr>
                <w:b/>
                <w:bCs/>
                <w:sz w:val="18"/>
                <w:szCs w:val="18"/>
              </w:rPr>
            </w:pPr>
            <w:r>
              <w:rPr>
                <w:b/>
                <w:bCs/>
                <w:sz w:val="18"/>
                <w:szCs w:val="18"/>
              </w:rPr>
              <w:t>毕业要求</w:t>
            </w:r>
          </w:p>
        </w:tc>
        <w:tc>
          <w:tcPr>
            <w:tcW w:w="5237" w:type="dxa"/>
            <w:vAlign w:val="center"/>
          </w:tcPr>
          <w:p>
            <w:pPr>
              <w:jc w:val="center"/>
              <w:rPr>
                <w:b/>
                <w:bCs/>
                <w:sz w:val="18"/>
                <w:szCs w:val="18"/>
              </w:rPr>
            </w:pPr>
            <w:r>
              <w:rPr>
                <w:b/>
                <w:bCs/>
                <w:sz w:val="18"/>
                <w:szCs w:val="18"/>
              </w:rPr>
              <w:t>毕业要求指标点</w:t>
            </w:r>
          </w:p>
        </w:tc>
        <w:tc>
          <w:tcPr>
            <w:tcW w:w="1057" w:type="dxa"/>
            <w:vAlign w:val="center"/>
          </w:tcPr>
          <w:p>
            <w:pPr>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97" w:type="dxa"/>
            <w:tcBorders>
              <w:bottom w:val="single" w:color="auto" w:sz="4" w:space="0"/>
            </w:tcBorders>
            <w:vAlign w:val="center"/>
          </w:tcPr>
          <w:p>
            <w:pPr>
              <w:spacing w:line="228" w:lineRule="auto"/>
              <w:jc w:val="left"/>
              <w:rPr>
                <w:sz w:val="18"/>
                <w:szCs w:val="18"/>
              </w:rPr>
            </w:pPr>
            <w:r>
              <w:rPr>
                <w:sz w:val="18"/>
                <w:szCs w:val="18"/>
              </w:rPr>
              <w:t>5．现代工具使用</w:t>
            </w:r>
          </w:p>
        </w:tc>
        <w:tc>
          <w:tcPr>
            <w:tcW w:w="5237" w:type="dxa"/>
            <w:tcBorders>
              <w:bottom w:val="single" w:color="auto" w:sz="4" w:space="0"/>
            </w:tcBorders>
            <w:vAlign w:val="center"/>
          </w:tcPr>
          <w:p>
            <w:pPr>
              <w:jc w:val="left"/>
              <w:rPr>
                <w:sz w:val="18"/>
                <w:szCs w:val="18"/>
              </w:rPr>
            </w:pPr>
            <w:r>
              <w:rPr>
                <w:sz w:val="18"/>
                <w:szCs w:val="18"/>
              </w:rPr>
              <w:t>5.1掌握电子信息工程专业仪器、仪表等现代工程工具的基本原理、操作方法，理解其局限性，并在复杂工程问题中合理选择并使用</w:t>
            </w:r>
            <w:r>
              <w:rPr>
                <w:rFonts w:hint="eastAsia"/>
                <w:sz w:val="18"/>
                <w:szCs w:val="18"/>
              </w:rPr>
              <w:t>。</w:t>
            </w:r>
          </w:p>
        </w:tc>
        <w:tc>
          <w:tcPr>
            <w:tcW w:w="1057" w:type="dxa"/>
            <w:tcBorders>
              <w:bottom w:val="single" w:color="auto" w:sz="4" w:space="0"/>
            </w:tcBorders>
            <w:vAlign w:val="center"/>
          </w:tcPr>
          <w:p>
            <w:pPr>
              <w:jc w:val="center"/>
              <w:rPr>
                <w:sz w:val="18"/>
                <w:szCs w:val="18"/>
              </w:rPr>
            </w:pPr>
            <w:r>
              <w:rPr>
                <w:sz w:val="18"/>
                <w:szCs w:val="18"/>
              </w:rPr>
              <w:t>1，2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line="300" w:lineRule="auto"/>
        <w:ind w:firstLine="420" w:firstLineChars="200"/>
        <w:rPr>
          <w:kern w:val="0"/>
          <w:szCs w:val="21"/>
        </w:rPr>
      </w:pPr>
      <w:r>
        <w:rPr>
          <w:kern w:val="0"/>
          <w:szCs w:val="21"/>
        </w:rPr>
        <w:t>本课程是电子信息工程专业的学科专业拓展课。通过本课程的学习，使学生掌握传感器的基本概念、基本知识点和基本技能</w:t>
      </w:r>
      <w:r>
        <w:rPr>
          <w:rFonts w:hint="eastAsia"/>
          <w:kern w:val="0"/>
          <w:szCs w:val="21"/>
        </w:rPr>
        <w:t>，</w:t>
      </w:r>
      <w:r>
        <w:rPr>
          <w:kern w:val="0"/>
          <w:szCs w:val="21"/>
        </w:rPr>
        <w:t>在此基础上培养学生对电子信息领域相关新知识、新技术的获取</w:t>
      </w:r>
      <w:r>
        <w:rPr>
          <w:rFonts w:hint="eastAsia"/>
          <w:kern w:val="0"/>
          <w:szCs w:val="21"/>
        </w:rPr>
        <w:t>能力</w:t>
      </w:r>
      <w:r>
        <w:rPr>
          <w:kern w:val="0"/>
          <w:szCs w:val="21"/>
        </w:rPr>
        <w:t>与爱好；</w:t>
      </w:r>
      <w:r>
        <w:rPr>
          <w:rFonts w:hint="eastAsia"/>
          <w:kern w:val="0"/>
          <w:szCs w:val="21"/>
        </w:rPr>
        <w:t>使学生</w:t>
      </w:r>
      <w:r>
        <w:rPr>
          <w:kern w:val="0"/>
          <w:szCs w:val="21"/>
        </w:rPr>
        <w:t>能够根据要求独立完成传感器电路的设计，</w:t>
      </w:r>
      <w:r>
        <w:rPr>
          <w:rFonts w:hint="eastAsia"/>
          <w:kern w:val="0"/>
          <w:szCs w:val="21"/>
        </w:rPr>
        <w:t>以及</w:t>
      </w:r>
      <w:r>
        <w:rPr>
          <w:kern w:val="0"/>
          <w:szCs w:val="21"/>
        </w:rPr>
        <w:t>合作完成简单小系统的设计</w:t>
      </w:r>
      <w:r>
        <w:rPr>
          <w:rFonts w:hint="eastAsia"/>
          <w:kern w:val="0"/>
          <w:szCs w:val="21"/>
        </w:rPr>
        <w:t>，在任务</w:t>
      </w:r>
      <w:r>
        <w:rPr>
          <w:kern w:val="0"/>
          <w:szCs w:val="21"/>
        </w:rPr>
        <w:t>设计过程中培养学生良好的科学研究态度及团队精神。</w:t>
      </w:r>
    </w:p>
    <w:p>
      <w:pPr>
        <w:widowControl/>
        <w:spacing w:before="156" w:beforeLines="50"/>
        <w:jc w:val="center"/>
        <w:rPr>
          <w:b/>
          <w:bCs/>
          <w:sz w:val="18"/>
          <w:szCs w:val="18"/>
          <w:shd w:val="clear" w:color="auto" w:fill="FEFEFF"/>
        </w:rPr>
      </w:pPr>
      <w:r>
        <w:rPr>
          <w:b/>
          <w:bCs/>
          <w:sz w:val="18"/>
          <w:szCs w:val="18"/>
          <w:shd w:val="clear" w:color="auto" w:fill="FEFEFF"/>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4"/>
        <w:gridCol w:w="2160"/>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c>
          <w:tcPr>
            <w:tcW w:w="21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达成途径</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5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
                <w:sz w:val="18"/>
                <w:szCs w:val="18"/>
              </w:rPr>
            </w:pPr>
            <w:r>
              <w:rPr>
                <w:sz w:val="18"/>
                <w:szCs w:val="18"/>
                <w:shd w:val="clear" w:color="auto" w:fill="FEFEFF"/>
              </w:rPr>
              <w:t>1．</w:t>
            </w:r>
            <w:r>
              <w:rPr>
                <w:sz w:val="18"/>
                <w:szCs w:val="18"/>
              </w:rPr>
              <w:t>使学生</w:t>
            </w:r>
            <w:r>
              <w:rPr>
                <w:rFonts w:hint="eastAsia"/>
                <w:sz w:val="18"/>
                <w:szCs w:val="18"/>
              </w:rPr>
              <w:t>对传感器</w:t>
            </w:r>
            <w:r>
              <w:rPr>
                <w:sz w:val="18"/>
                <w:szCs w:val="18"/>
              </w:rPr>
              <w:t>基本原理、基本结构</w:t>
            </w:r>
            <w:r>
              <w:rPr>
                <w:rFonts w:hint="eastAsia"/>
                <w:sz w:val="18"/>
                <w:szCs w:val="18"/>
              </w:rPr>
              <w:t>以及</w:t>
            </w:r>
            <w:r>
              <w:rPr>
                <w:sz w:val="18"/>
                <w:szCs w:val="18"/>
              </w:rPr>
              <w:t>传感器测量方法有系统认识和正确理解</w:t>
            </w:r>
            <w:r>
              <w:rPr>
                <w:rFonts w:hint="eastAsia"/>
                <w:sz w:val="18"/>
                <w:szCs w:val="18"/>
              </w:rPr>
              <w:t>；</w:t>
            </w:r>
            <w:r>
              <w:rPr>
                <w:sz w:val="18"/>
                <w:szCs w:val="18"/>
              </w:rPr>
              <w:t>在此基础上</w:t>
            </w:r>
            <w:r>
              <w:rPr>
                <w:rFonts w:hint="eastAsia"/>
                <w:sz w:val="18"/>
                <w:szCs w:val="18"/>
              </w:rPr>
              <w:t>使学生</w:t>
            </w:r>
            <w:r>
              <w:rPr>
                <w:sz w:val="18"/>
                <w:szCs w:val="18"/>
              </w:rPr>
              <w:t>具有进一步学习新理论、新知识以及新技术的能力。</w:t>
            </w:r>
          </w:p>
        </w:tc>
        <w:tc>
          <w:tcPr>
            <w:tcW w:w="21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rPr>
              <w:t>通过课堂讲授、学生学习（网络学习）、作业等达成。</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rPr>
              <w:t>课堂表现、习题作业与</w:t>
            </w:r>
            <w:r>
              <w:rPr>
                <w:rFonts w:hint="eastAsia"/>
                <w:sz w:val="18"/>
                <w:szCs w:val="18"/>
              </w:rPr>
              <w:t>考试</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59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rPr>
            </w:pPr>
            <w:r>
              <w:rPr>
                <w:sz w:val="18"/>
                <w:szCs w:val="18"/>
                <w:shd w:val="clear" w:color="auto" w:fill="FEFEFF"/>
              </w:rPr>
              <w:t>2．</w:t>
            </w:r>
            <w:r>
              <w:rPr>
                <w:sz w:val="18"/>
                <w:szCs w:val="18"/>
              </w:rPr>
              <w:t>使学生具有使用传感器实验设备完成传感器电路的验证分析和设计的能力</w:t>
            </w:r>
            <w:r>
              <w:rPr>
                <w:rFonts w:hint="eastAsia"/>
                <w:sz w:val="18"/>
                <w:szCs w:val="18"/>
              </w:rPr>
              <w:t>，并</w:t>
            </w:r>
            <w:r>
              <w:rPr>
                <w:sz w:val="18"/>
                <w:szCs w:val="18"/>
              </w:rPr>
              <w:t>培养</w:t>
            </w:r>
            <w:r>
              <w:rPr>
                <w:rFonts w:hint="eastAsia"/>
                <w:sz w:val="18"/>
                <w:szCs w:val="18"/>
              </w:rPr>
              <w:t>学生在解决</w:t>
            </w:r>
            <w:r>
              <w:rPr>
                <w:sz w:val="18"/>
                <w:szCs w:val="18"/>
              </w:rPr>
              <w:t>复杂工程问题中合理选择传感器</w:t>
            </w:r>
            <w:r>
              <w:rPr>
                <w:rFonts w:hint="eastAsia"/>
                <w:sz w:val="18"/>
                <w:szCs w:val="18"/>
              </w:rPr>
              <w:t>等现代检测</w:t>
            </w:r>
            <w:r>
              <w:rPr>
                <w:sz w:val="18"/>
                <w:szCs w:val="18"/>
              </w:rPr>
              <w:t>工具的能力</w:t>
            </w:r>
            <w:r>
              <w:rPr>
                <w:rFonts w:hint="eastAsia"/>
                <w:sz w:val="18"/>
                <w:szCs w:val="18"/>
              </w:rPr>
              <w:t>。</w:t>
            </w:r>
          </w:p>
        </w:tc>
        <w:tc>
          <w:tcPr>
            <w:tcW w:w="2160"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sz w:val="18"/>
                <w:szCs w:val="18"/>
                <w:shd w:val="clear" w:color="auto" w:fill="FEFEFF"/>
              </w:rPr>
            </w:pPr>
            <w:r>
              <w:rPr>
                <w:sz w:val="18"/>
                <w:szCs w:val="18"/>
              </w:rPr>
              <w:t>通过课堂讲授、学生学习（实验与仿真）等达成。</w:t>
            </w:r>
          </w:p>
        </w:tc>
        <w:tc>
          <w:tcPr>
            <w:tcW w:w="19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shd w:val="clear" w:color="auto" w:fill="FEFEFF"/>
              </w:rPr>
            </w:pPr>
            <w:r>
              <w:rPr>
                <w:sz w:val="18"/>
                <w:szCs w:val="18"/>
              </w:rPr>
              <w:t>实验报告</w:t>
            </w:r>
            <w:r>
              <w:rPr>
                <w:rFonts w:hint="eastAsia"/>
                <w:sz w:val="18"/>
                <w:szCs w:val="18"/>
              </w:rPr>
              <w:t>。</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pPr>
      <w:r>
        <w:t>1</w:t>
      </w:r>
      <w:r>
        <w:rPr>
          <w:kern w:val="0"/>
          <w:szCs w:val="21"/>
        </w:rPr>
        <w:t>．</w:t>
      </w:r>
      <w:r>
        <w:t>课堂讲授为主，网络多媒体教学、课程独立网站同步学习为辅，注重工程案例教学，每周平均讲授4学时，与专业相关实践教学环节和场景配合呼应。</w:t>
      </w:r>
    </w:p>
    <w:p>
      <w:pPr>
        <w:adjustRightInd w:val="0"/>
        <w:snapToGrid w:val="0"/>
        <w:spacing w:line="300" w:lineRule="auto"/>
        <w:ind w:firstLine="420" w:firstLineChars="200"/>
      </w:pPr>
      <w:r>
        <w:t>2</w:t>
      </w:r>
      <w:r>
        <w:rPr>
          <w:kern w:val="0"/>
          <w:szCs w:val="21"/>
        </w:rPr>
        <w:t>．</w:t>
      </w:r>
      <w:r>
        <w:t>基于电子信息系统信息处理与传输工作流程构建课程教学体系；根据课程特点采用启发式教学、任务驱动教学、案例教学法进行教学。</w:t>
      </w:r>
    </w:p>
    <w:p>
      <w:pPr>
        <w:adjustRightInd w:val="0"/>
        <w:snapToGrid w:val="0"/>
        <w:spacing w:line="300" w:lineRule="auto"/>
        <w:ind w:firstLine="420" w:firstLineChars="200"/>
      </w:pPr>
      <w:r>
        <w:t>3</w:t>
      </w:r>
      <w:r>
        <w:rPr>
          <w:kern w:val="0"/>
          <w:szCs w:val="21"/>
        </w:rPr>
        <w:t>．</w:t>
      </w:r>
      <w:r>
        <w:t>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pPr>
      <w:r>
        <w:rPr>
          <w:szCs w:val="21"/>
        </w:rPr>
        <w:t>本课程理论教学内容与教学要求见表3。</w:t>
      </w:r>
    </w:p>
    <w:p>
      <w:pPr>
        <w:spacing w:before="156" w:beforeLines="50"/>
        <w:ind w:firstLine="361" w:firstLineChars="200"/>
        <w:jc w:val="center"/>
        <w:rPr>
          <w:b/>
          <w:bCs/>
          <w:sz w:val="18"/>
          <w:szCs w:val="18"/>
        </w:rPr>
      </w:pPr>
      <w:r>
        <w:rPr>
          <w:b/>
          <w:bCs/>
          <w:sz w:val="18"/>
          <w:szCs w:val="18"/>
        </w:rPr>
        <w:t>表3教学要求</w:t>
      </w:r>
    </w:p>
    <w:tbl>
      <w:tblPr>
        <w:tblStyle w:val="22"/>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525"/>
        <w:gridCol w:w="3858"/>
        <w:gridCol w:w="740"/>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5"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525" w:type="dxa"/>
            <w:vAlign w:val="center"/>
          </w:tcPr>
          <w:p>
            <w:pPr>
              <w:snapToGrid w:val="0"/>
              <w:spacing w:line="300" w:lineRule="auto"/>
              <w:ind w:firstLine="361" w:firstLineChars="200"/>
              <w:rPr>
                <w:b/>
                <w:bCs/>
                <w:sz w:val="18"/>
                <w:szCs w:val="18"/>
              </w:rPr>
            </w:pPr>
            <w:r>
              <w:rPr>
                <w:b/>
                <w:bCs/>
                <w:sz w:val="18"/>
                <w:szCs w:val="18"/>
              </w:rPr>
              <w:t>教学内容</w:t>
            </w:r>
          </w:p>
        </w:tc>
        <w:tc>
          <w:tcPr>
            <w:tcW w:w="3858"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40" w:type="dxa"/>
            <w:vAlign w:val="center"/>
          </w:tcPr>
          <w:p>
            <w:pPr>
              <w:snapToGrid w:val="0"/>
              <w:spacing w:line="300" w:lineRule="auto"/>
              <w:jc w:val="center"/>
              <w:rPr>
                <w:b/>
                <w:bCs/>
                <w:sz w:val="18"/>
                <w:szCs w:val="18"/>
              </w:rPr>
            </w:pPr>
            <w:r>
              <w:rPr>
                <w:b/>
                <w:bCs/>
                <w:sz w:val="18"/>
                <w:szCs w:val="18"/>
              </w:rPr>
              <w:t>学时</w:t>
            </w:r>
          </w:p>
        </w:tc>
        <w:tc>
          <w:tcPr>
            <w:tcW w:w="1039"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Mar>
              <w:left w:w="57" w:type="dxa"/>
              <w:right w:w="57" w:type="dxa"/>
            </w:tcMar>
            <w:vAlign w:val="center"/>
          </w:tcPr>
          <w:p>
            <w:pPr>
              <w:snapToGrid w:val="0"/>
              <w:spacing w:line="300" w:lineRule="auto"/>
              <w:jc w:val="center"/>
              <w:rPr>
                <w:sz w:val="18"/>
                <w:szCs w:val="18"/>
              </w:rPr>
            </w:pPr>
            <w:r>
              <w:rPr>
                <w:sz w:val="18"/>
                <w:szCs w:val="18"/>
              </w:rPr>
              <w:t>1</w:t>
            </w:r>
          </w:p>
        </w:tc>
        <w:tc>
          <w:tcPr>
            <w:tcW w:w="2525" w:type="dxa"/>
            <w:vAlign w:val="center"/>
          </w:tcPr>
          <w:p>
            <w:pPr>
              <w:widowControl/>
              <w:adjustRightInd w:val="0"/>
              <w:snapToGrid w:val="0"/>
              <w:spacing w:line="300" w:lineRule="auto"/>
              <w:rPr>
                <w:b/>
                <w:kern w:val="0"/>
                <w:sz w:val="18"/>
                <w:szCs w:val="18"/>
              </w:rPr>
            </w:pPr>
            <w:r>
              <w:rPr>
                <w:sz w:val="18"/>
                <w:szCs w:val="18"/>
              </w:rPr>
              <w:t>1</w:t>
            </w:r>
            <w:r>
              <w:rPr>
                <w:kern w:val="0"/>
                <w:sz w:val="18"/>
                <w:szCs w:val="18"/>
              </w:rPr>
              <w:t>传感器原理概述</w:t>
            </w:r>
          </w:p>
          <w:p>
            <w:pPr>
              <w:autoSpaceDE w:val="0"/>
              <w:autoSpaceDN w:val="0"/>
              <w:adjustRightInd w:val="0"/>
              <w:snapToGrid w:val="0"/>
              <w:spacing w:line="300" w:lineRule="auto"/>
              <w:jc w:val="left"/>
              <w:rPr>
                <w:kern w:val="0"/>
                <w:sz w:val="18"/>
                <w:szCs w:val="18"/>
              </w:rPr>
            </w:pPr>
            <w:r>
              <w:rPr>
                <w:kern w:val="0"/>
                <w:sz w:val="18"/>
                <w:szCs w:val="18"/>
              </w:rPr>
              <w:t>1.1 传感器的组成与定义。</w:t>
            </w:r>
          </w:p>
          <w:p>
            <w:pPr>
              <w:autoSpaceDE w:val="0"/>
              <w:autoSpaceDN w:val="0"/>
              <w:adjustRightInd w:val="0"/>
              <w:snapToGrid w:val="0"/>
              <w:spacing w:line="300" w:lineRule="auto"/>
              <w:jc w:val="left"/>
              <w:rPr>
                <w:kern w:val="0"/>
                <w:sz w:val="18"/>
                <w:szCs w:val="18"/>
              </w:rPr>
            </w:pPr>
            <w:r>
              <w:rPr>
                <w:kern w:val="0"/>
                <w:sz w:val="18"/>
                <w:szCs w:val="18"/>
              </w:rPr>
              <w:t>1.2 传感器的分类。</w:t>
            </w:r>
          </w:p>
          <w:p>
            <w:pPr>
              <w:autoSpaceDE w:val="0"/>
              <w:autoSpaceDN w:val="0"/>
              <w:adjustRightInd w:val="0"/>
              <w:snapToGrid w:val="0"/>
              <w:spacing w:line="300" w:lineRule="auto"/>
              <w:jc w:val="left"/>
              <w:rPr>
                <w:kern w:val="0"/>
                <w:sz w:val="18"/>
                <w:szCs w:val="18"/>
              </w:rPr>
            </w:pPr>
            <w:r>
              <w:rPr>
                <w:kern w:val="0"/>
                <w:sz w:val="18"/>
                <w:szCs w:val="18"/>
              </w:rPr>
              <w:t>1.3 传感器的作用与地位。</w:t>
            </w:r>
          </w:p>
          <w:p>
            <w:pPr>
              <w:autoSpaceDE w:val="0"/>
              <w:autoSpaceDN w:val="0"/>
              <w:adjustRightInd w:val="0"/>
              <w:snapToGrid w:val="0"/>
              <w:spacing w:line="300" w:lineRule="auto"/>
              <w:jc w:val="left"/>
              <w:rPr>
                <w:kern w:val="0"/>
                <w:sz w:val="18"/>
                <w:szCs w:val="18"/>
              </w:rPr>
            </w:pPr>
            <w:r>
              <w:rPr>
                <w:kern w:val="0"/>
                <w:sz w:val="18"/>
                <w:szCs w:val="18"/>
              </w:rPr>
              <w:t>1.4 传感器技术的发展动向。</w:t>
            </w:r>
          </w:p>
          <w:p>
            <w:pPr>
              <w:snapToGrid w:val="0"/>
              <w:spacing w:line="300" w:lineRule="auto"/>
              <w:rPr>
                <w:sz w:val="18"/>
                <w:szCs w:val="18"/>
              </w:rPr>
            </w:pPr>
            <w:r>
              <w:rPr>
                <w:b/>
                <w:bCs/>
                <w:sz w:val="18"/>
                <w:szCs w:val="18"/>
              </w:rPr>
              <w:t>在讲授过程植入中国传感器技术发展历史上杰出成绩。旨在培育学生创新精神，使学生的学习能力提升的同时，精神层面也得到升华。</w:t>
            </w:r>
          </w:p>
        </w:tc>
        <w:tc>
          <w:tcPr>
            <w:tcW w:w="3858" w:type="dxa"/>
            <w:vAlign w:val="center"/>
          </w:tcPr>
          <w:p>
            <w:pPr>
              <w:autoSpaceDE w:val="0"/>
              <w:autoSpaceDN w:val="0"/>
              <w:adjustRightInd w:val="0"/>
              <w:snapToGrid w:val="0"/>
              <w:spacing w:line="300" w:lineRule="auto"/>
              <w:jc w:val="left"/>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（1）了解传感器的地位和作用。</w:t>
            </w:r>
          </w:p>
          <w:p>
            <w:pPr>
              <w:autoSpaceDE w:val="0"/>
              <w:autoSpaceDN w:val="0"/>
              <w:adjustRightInd w:val="0"/>
              <w:snapToGrid w:val="0"/>
              <w:spacing w:line="300" w:lineRule="auto"/>
              <w:jc w:val="left"/>
              <w:rPr>
                <w:kern w:val="0"/>
                <w:sz w:val="18"/>
                <w:szCs w:val="18"/>
              </w:rPr>
            </w:pPr>
            <w:r>
              <w:rPr>
                <w:kern w:val="0"/>
                <w:sz w:val="18"/>
                <w:szCs w:val="18"/>
              </w:rPr>
              <w:t>（2）理解传感器的发展趋势。</w:t>
            </w:r>
          </w:p>
          <w:p>
            <w:pPr>
              <w:adjustRightInd w:val="0"/>
              <w:snapToGrid w:val="0"/>
              <w:spacing w:line="300" w:lineRule="auto"/>
              <w:rPr>
                <w:kern w:val="0"/>
                <w:sz w:val="18"/>
                <w:szCs w:val="18"/>
              </w:rPr>
            </w:pPr>
            <w:r>
              <w:rPr>
                <w:kern w:val="0"/>
                <w:sz w:val="18"/>
                <w:szCs w:val="18"/>
              </w:rPr>
              <w:t>（3）掌握传感器的定义。</w:t>
            </w:r>
          </w:p>
          <w:p>
            <w:pPr>
              <w:adjustRightInd w:val="0"/>
              <w:snapToGrid w:val="0"/>
              <w:spacing w:line="300" w:lineRule="auto"/>
              <w:rPr>
                <w:sz w:val="18"/>
                <w:szCs w:val="18"/>
              </w:rPr>
            </w:pPr>
            <w:r>
              <w:rPr>
                <w:sz w:val="18"/>
                <w:szCs w:val="18"/>
              </w:rPr>
              <w:t>2．作业内容：</w:t>
            </w:r>
          </w:p>
          <w:p>
            <w:pPr>
              <w:autoSpaceDE w:val="0"/>
              <w:autoSpaceDN w:val="0"/>
              <w:adjustRightInd w:val="0"/>
              <w:snapToGrid w:val="0"/>
              <w:spacing w:line="300" w:lineRule="auto"/>
              <w:jc w:val="left"/>
              <w:rPr>
                <w:kern w:val="0"/>
                <w:sz w:val="18"/>
                <w:szCs w:val="18"/>
              </w:rPr>
            </w:pPr>
            <w:r>
              <w:rPr>
                <w:kern w:val="0"/>
                <w:sz w:val="18"/>
                <w:szCs w:val="18"/>
              </w:rPr>
              <w:t>传感器性能的改善；开展基础理论研究；传感器的集成化；</w:t>
            </w:r>
          </w:p>
          <w:p>
            <w:pPr>
              <w:adjustRightInd w:val="0"/>
              <w:snapToGrid w:val="0"/>
              <w:spacing w:line="300" w:lineRule="auto"/>
              <w:rPr>
                <w:kern w:val="0"/>
                <w:sz w:val="18"/>
                <w:szCs w:val="18"/>
              </w:rPr>
            </w:pPr>
            <w:r>
              <w:rPr>
                <w:kern w:val="0"/>
                <w:sz w:val="18"/>
                <w:szCs w:val="18"/>
              </w:rPr>
              <w:t>传感器的智能化；</w:t>
            </w:r>
          </w:p>
          <w:p>
            <w:pPr>
              <w:adjustRightInd w:val="0"/>
              <w:snapToGrid w:val="0"/>
              <w:spacing w:line="300" w:lineRule="auto"/>
              <w:rPr>
                <w:sz w:val="18"/>
                <w:szCs w:val="18"/>
              </w:rPr>
            </w:pPr>
            <w:r>
              <w:rPr>
                <w:sz w:val="18"/>
                <w:szCs w:val="18"/>
              </w:rPr>
              <w:t>3．讨论内容：</w:t>
            </w:r>
            <w:r>
              <w:rPr>
                <w:kern w:val="0"/>
                <w:sz w:val="18"/>
                <w:szCs w:val="18"/>
              </w:rPr>
              <w:t>传感器的网络化；传感器的微型化。</w:t>
            </w:r>
          </w:p>
          <w:p>
            <w:pPr>
              <w:snapToGrid w:val="0"/>
              <w:spacing w:line="300" w:lineRule="auto"/>
              <w:rPr>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2</w:t>
            </w:r>
            <w:r>
              <w:rPr>
                <w:kern w:val="0"/>
                <w:sz w:val="18"/>
                <w:szCs w:val="18"/>
              </w:rPr>
              <w:t>传感器的基本特性</w:t>
            </w:r>
          </w:p>
          <w:p>
            <w:pPr>
              <w:autoSpaceDE w:val="0"/>
              <w:autoSpaceDN w:val="0"/>
              <w:adjustRightInd w:val="0"/>
              <w:snapToGrid w:val="0"/>
              <w:spacing w:line="300" w:lineRule="auto"/>
              <w:jc w:val="left"/>
              <w:rPr>
                <w:kern w:val="0"/>
                <w:sz w:val="18"/>
                <w:szCs w:val="18"/>
              </w:rPr>
            </w:pPr>
            <w:r>
              <w:rPr>
                <w:kern w:val="0"/>
                <w:sz w:val="18"/>
                <w:szCs w:val="18"/>
              </w:rPr>
              <w:t>2.1 传感器的静态特性。线性度；灵敏度；分辨率；迟滞；重复性；漂移。</w:t>
            </w:r>
          </w:p>
          <w:p>
            <w:pPr>
              <w:widowControl/>
              <w:adjustRightInd w:val="0"/>
              <w:snapToGrid w:val="0"/>
              <w:spacing w:line="300" w:lineRule="auto"/>
              <w:rPr>
                <w:sz w:val="18"/>
                <w:szCs w:val="18"/>
              </w:rPr>
            </w:pPr>
            <w:r>
              <w:rPr>
                <w:kern w:val="0"/>
                <w:sz w:val="18"/>
                <w:szCs w:val="18"/>
              </w:rPr>
              <w:t>2.2 传感器的动态特性。时域分析；频域分析。</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了解学习传感器特性的意义。</w:t>
            </w:r>
          </w:p>
          <w:p>
            <w:pPr>
              <w:adjustRightInd w:val="0"/>
              <w:snapToGrid w:val="0"/>
              <w:spacing w:line="300" w:lineRule="auto"/>
              <w:rPr>
                <w:sz w:val="18"/>
                <w:szCs w:val="18"/>
              </w:rPr>
            </w:pPr>
            <w:r>
              <w:rPr>
                <w:kern w:val="0"/>
                <w:sz w:val="18"/>
                <w:szCs w:val="18"/>
              </w:rPr>
              <w:t>（</w:t>
            </w:r>
            <w:r>
              <w:rPr>
                <w:sz w:val="18"/>
                <w:szCs w:val="18"/>
              </w:rPr>
              <w:t>2）</w:t>
            </w:r>
            <w:r>
              <w:rPr>
                <w:kern w:val="0"/>
                <w:sz w:val="18"/>
                <w:szCs w:val="18"/>
              </w:rPr>
              <w:t>理解传感器特性的参数</w:t>
            </w:r>
            <w:r>
              <w:rPr>
                <w:sz w:val="18"/>
                <w:szCs w:val="18"/>
              </w:rPr>
              <w:t>。</w:t>
            </w:r>
          </w:p>
          <w:p>
            <w:pPr>
              <w:adjustRightInd w:val="0"/>
              <w:snapToGrid w:val="0"/>
              <w:spacing w:line="300" w:lineRule="auto"/>
              <w:rPr>
                <w:kern w:val="0"/>
                <w:sz w:val="18"/>
                <w:szCs w:val="18"/>
              </w:rPr>
            </w:pPr>
            <w:r>
              <w:rPr>
                <w:kern w:val="0"/>
                <w:sz w:val="18"/>
                <w:szCs w:val="18"/>
              </w:rPr>
              <w:t>（</w:t>
            </w:r>
            <w:r>
              <w:rPr>
                <w:sz w:val="18"/>
                <w:szCs w:val="18"/>
              </w:rPr>
              <w:t>3）</w:t>
            </w:r>
            <w:r>
              <w:rPr>
                <w:kern w:val="0"/>
                <w:sz w:val="18"/>
                <w:szCs w:val="18"/>
              </w:rPr>
              <w:t>掌握传感器的两种特性区别。</w:t>
            </w:r>
          </w:p>
          <w:p>
            <w:pPr>
              <w:adjustRightInd w:val="0"/>
              <w:snapToGrid w:val="0"/>
              <w:spacing w:line="300" w:lineRule="auto"/>
              <w:rPr>
                <w:sz w:val="18"/>
                <w:szCs w:val="18"/>
              </w:rPr>
            </w:pPr>
            <w:r>
              <w:rPr>
                <w:sz w:val="18"/>
                <w:szCs w:val="18"/>
              </w:rPr>
              <w:t>2．作业内容：</w:t>
            </w:r>
          </w:p>
          <w:p>
            <w:pPr>
              <w:autoSpaceDE w:val="0"/>
              <w:autoSpaceDN w:val="0"/>
              <w:adjustRightInd w:val="0"/>
              <w:snapToGrid w:val="0"/>
              <w:spacing w:line="300" w:lineRule="auto"/>
              <w:jc w:val="left"/>
              <w:rPr>
                <w:kern w:val="0"/>
                <w:sz w:val="18"/>
                <w:szCs w:val="18"/>
              </w:rPr>
            </w:pPr>
            <w:r>
              <w:rPr>
                <w:kern w:val="0"/>
                <w:sz w:val="18"/>
                <w:szCs w:val="18"/>
              </w:rPr>
              <w:t>线性度；灵敏度；分辨率；迟滞；重复性；漂移。</w:t>
            </w:r>
          </w:p>
          <w:p>
            <w:pPr>
              <w:adjustRightInd w:val="0"/>
              <w:snapToGrid w:val="0"/>
              <w:spacing w:line="300" w:lineRule="auto"/>
              <w:rPr>
                <w:sz w:val="18"/>
                <w:szCs w:val="18"/>
              </w:rPr>
            </w:pPr>
            <w:r>
              <w:rPr>
                <w:sz w:val="18"/>
                <w:szCs w:val="18"/>
              </w:rPr>
              <w:t>3．讨论内容：</w:t>
            </w:r>
            <w:r>
              <w:rPr>
                <w:kern w:val="0"/>
                <w:sz w:val="18"/>
                <w:szCs w:val="18"/>
              </w:rPr>
              <w:t>传感器的两种特性区别。</w:t>
            </w:r>
          </w:p>
          <w:p>
            <w:pPr>
              <w:autoSpaceDE w:val="0"/>
              <w:autoSpaceDN w:val="0"/>
              <w:adjustRightInd w:val="0"/>
              <w:snapToGrid w:val="0"/>
              <w:spacing w:line="300" w:lineRule="auto"/>
              <w:jc w:val="left"/>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3</w:t>
            </w:r>
            <w:r>
              <w:rPr>
                <w:kern w:val="0"/>
                <w:sz w:val="18"/>
                <w:szCs w:val="18"/>
              </w:rPr>
              <w:t>电阻式传感器</w:t>
            </w:r>
          </w:p>
          <w:p>
            <w:pPr>
              <w:autoSpaceDE w:val="0"/>
              <w:autoSpaceDN w:val="0"/>
              <w:adjustRightInd w:val="0"/>
              <w:snapToGrid w:val="0"/>
              <w:spacing w:line="300" w:lineRule="auto"/>
              <w:jc w:val="left"/>
              <w:rPr>
                <w:kern w:val="0"/>
                <w:sz w:val="18"/>
                <w:szCs w:val="18"/>
              </w:rPr>
            </w:pPr>
            <w:r>
              <w:rPr>
                <w:kern w:val="0"/>
                <w:sz w:val="18"/>
                <w:szCs w:val="18"/>
              </w:rPr>
              <w:t>3.1 应变电阻的工作原理。应变效应，应变片的种类，应变片的温度误差及其补偿。</w:t>
            </w:r>
          </w:p>
          <w:p>
            <w:pPr>
              <w:autoSpaceDE w:val="0"/>
              <w:autoSpaceDN w:val="0"/>
              <w:adjustRightInd w:val="0"/>
              <w:snapToGrid w:val="0"/>
              <w:spacing w:line="300" w:lineRule="auto"/>
              <w:jc w:val="left"/>
              <w:rPr>
                <w:kern w:val="0"/>
                <w:sz w:val="18"/>
                <w:szCs w:val="18"/>
              </w:rPr>
            </w:pPr>
            <w:r>
              <w:rPr>
                <w:kern w:val="0"/>
                <w:sz w:val="18"/>
                <w:szCs w:val="18"/>
              </w:rPr>
              <w:t>3.2 测量电路。直流电桥，交流电桥。</w:t>
            </w:r>
          </w:p>
          <w:p>
            <w:pPr>
              <w:widowControl/>
              <w:adjustRightInd w:val="0"/>
              <w:snapToGrid w:val="0"/>
              <w:spacing w:line="300" w:lineRule="auto"/>
              <w:rPr>
                <w:b/>
                <w:sz w:val="18"/>
                <w:szCs w:val="18"/>
              </w:rPr>
            </w:pPr>
            <w:r>
              <w:rPr>
                <w:kern w:val="0"/>
                <w:sz w:val="18"/>
                <w:szCs w:val="18"/>
              </w:rPr>
              <w:t>3.3 典型应用。电阻式力传感器，电阻式压差传感器，电阻式液体重量传感器。</w:t>
            </w:r>
          </w:p>
        </w:tc>
        <w:tc>
          <w:tcPr>
            <w:tcW w:w="3858" w:type="dxa"/>
            <w:vAlign w:val="center"/>
          </w:tcPr>
          <w:p>
            <w:pPr>
              <w:adjustRightInd w:val="0"/>
              <w:snapToGrid w:val="0"/>
              <w:spacing w:line="300" w:lineRule="auto"/>
              <w:rPr>
                <w:sz w:val="18"/>
                <w:szCs w:val="18"/>
              </w:rPr>
            </w:pPr>
            <w:r>
              <w:rPr>
                <w:sz w:val="18"/>
                <w:szCs w:val="18"/>
              </w:rPr>
              <w:t>1．目标及要求：</w:t>
            </w:r>
          </w:p>
          <w:p>
            <w:pPr>
              <w:adjustRightInd w:val="0"/>
              <w:snapToGrid w:val="0"/>
              <w:spacing w:line="300" w:lineRule="auto"/>
              <w:rPr>
                <w:sz w:val="18"/>
                <w:szCs w:val="18"/>
              </w:rPr>
            </w:pPr>
            <w:r>
              <w:rPr>
                <w:kern w:val="0"/>
                <w:sz w:val="18"/>
                <w:szCs w:val="18"/>
              </w:rPr>
              <w:t>（</w:t>
            </w:r>
            <w:r>
              <w:rPr>
                <w:sz w:val="18"/>
                <w:szCs w:val="18"/>
              </w:rPr>
              <w:t>1）</w:t>
            </w:r>
            <w:r>
              <w:rPr>
                <w:kern w:val="0"/>
                <w:sz w:val="18"/>
                <w:szCs w:val="18"/>
              </w:rPr>
              <w:t>了解应变片的分类、应变电阻器的典型应用。</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理解应变电阻的的基本概念</w:t>
            </w:r>
            <w:r>
              <w:rPr>
                <w:sz w:val="18"/>
                <w:szCs w:val="18"/>
              </w:rPr>
              <w:t>。</w:t>
            </w:r>
          </w:p>
          <w:p>
            <w:pPr>
              <w:adjustRightInd w:val="0"/>
              <w:snapToGrid w:val="0"/>
              <w:spacing w:line="300" w:lineRule="auto"/>
              <w:rPr>
                <w:kern w:val="0"/>
                <w:sz w:val="18"/>
                <w:szCs w:val="18"/>
              </w:rPr>
            </w:pPr>
            <w:r>
              <w:rPr>
                <w:kern w:val="0"/>
                <w:sz w:val="18"/>
                <w:szCs w:val="18"/>
              </w:rPr>
              <w:t>（</w:t>
            </w:r>
            <w:r>
              <w:rPr>
                <w:sz w:val="18"/>
                <w:szCs w:val="18"/>
              </w:rPr>
              <w:t>3）</w:t>
            </w:r>
            <w:r>
              <w:rPr>
                <w:kern w:val="0"/>
                <w:sz w:val="18"/>
                <w:szCs w:val="18"/>
              </w:rPr>
              <w:t>掌握应变电阻式的传感器的工作原理。</w:t>
            </w:r>
          </w:p>
          <w:p>
            <w:pPr>
              <w:adjustRightInd w:val="0"/>
              <w:snapToGrid w:val="0"/>
              <w:spacing w:line="300" w:lineRule="auto"/>
              <w:rPr>
                <w:sz w:val="18"/>
                <w:szCs w:val="18"/>
              </w:rPr>
            </w:pPr>
            <w:r>
              <w:rPr>
                <w:sz w:val="18"/>
                <w:szCs w:val="18"/>
              </w:rPr>
              <w:t>2．作业内容：</w:t>
            </w:r>
            <w:r>
              <w:rPr>
                <w:kern w:val="0"/>
                <w:sz w:val="18"/>
                <w:szCs w:val="18"/>
              </w:rPr>
              <w:t>应变片的温度误差及其补偿。</w:t>
            </w:r>
          </w:p>
          <w:p>
            <w:pPr>
              <w:adjustRightInd w:val="0"/>
              <w:snapToGrid w:val="0"/>
              <w:spacing w:line="300" w:lineRule="auto"/>
              <w:rPr>
                <w:kern w:val="0"/>
                <w:sz w:val="18"/>
                <w:szCs w:val="18"/>
              </w:rPr>
            </w:pPr>
            <w:r>
              <w:rPr>
                <w:kern w:val="0"/>
                <w:sz w:val="18"/>
                <w:szCs w:val="18"/>
              </w:rPr>
              <w:t>门电路逻辑功能的判断。</w:t>
            </w:r>
          </w:p>
          <w:p>
            <w:pPr>
              <w:autoSpaceDE w:val="0"/>
              <w:autoSpaceDN w:val="0"/>
              <w:adjustRightInd w:val="0"/>
              <w:snapToGrid w:val="0"/>
              <w:spacing w:line="300" w:lineRule="auto"/>
              <w:jc w:val="left"/>
              <w:rPr>
                <w:kern w:val="0"/>
                <w:sz w:val="18"/>
                <w:szCs w:val="18"/>
              </w:rPr>
            </w:pPr>
            <w:r>
              <w:rPr>
                <w:sz w:val="18"/>
                <w:szCs w:val="18"/>
              </w:rPr>
              <w:t>3．讨论内容：</w:t>
            </w:r>
            <w:r>
              <w:rPr>
                <w:kern w:val="0"/>
                <w:sz w:val="18"/>
                <w:szCs w:val="18"/>
              </w:rPr>
              <w:t>电阻式力传感器，电阻式压差传感器，电阻式液体重量传感器</w:t>
            </w:r>
          </w:p>
          <w:p>
            <w:pPr>
              <w:autoSpaceDE w:val="0"/>
              <w:autoSpaceDN w:val="0"/>
              <w:adjustRightInd w:val="0"/>
              <w:snapToGrid w:val="0"/>
              <w:spacing w:line="300" w:lineRule="auto"/>
              <w:jc w:val="left"/>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4</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4</w:t>
            </w:r>
            <w:r>
              <w:rPr>
                <w:kern w:val="0"/>
                <w:sz w:val="18"/>
                <w:szCs w:val="18"/>
              </w:rPr>
              <w:t>电感式传感器</w:t>
            </w:r>
          </w:p>
          <w:p>
            <w:pPr>
              <w:autoSpaceDE w:val="0"/>
              <w:autoSpaceDN w:val="0"/>
              <w:adjustRightInd w:val="0"/>
              <w:snapToGrid w:val="0"/>
              <w:spacing w:line="300" w:lineRule="auto"/>
              <w:jc w:val="left"/>
              <w:rPr>
                <w:kern w:val="0"/>
                <w:sz w:val="18"/>
                <w:szCs w:val="18"/>
              </w:rPr>
            </w:pPr>
            <w:r>
              <w:rPr>
                <w:kern w:val="0"/>
                <w:sz w:val="18"/>
                <w:szCs w:val="18"/>
              </w:rPr>
              <w:t>4.1 差动变压器电感式传感器。变间隙式差动变压器，螺线管式差动变压器</w:t>
            </w:r>
          </w:p>
          <w:p>
            <w:pPr>
              <w:widowControl/>
              <w:adjustRightInd w:val="0"/>
              <w:snapToGrid w:val="0"/>
              <w:spacing w:line="300" w:lineRule="auto"/>
              <w:rPr>
                <w:sz w:val="18"/>
                <w:szCs w:val="18"/>
              </w:rPr>
            </w:pPr>
            <w:r>
              <w:rPr>
                <w:kern w:val="0"/>
                <w:sz w:val="18"/>
                <w:szCs w:val="18"/>
              </w:rPr>
              <w:t>4.2 电涡流式传感器。工作原理，等效电路，测量电路。</w:t>
            </w:r>
          </w:p>
          <w:p>
            <w:pPr>
              <w:autoSpaceDE w:val="0"/>
              <w:autoSpaceDN w:val="0"/>
              <w:adjustRightInd w:val="0"/>
              <w:snapToGrid w:val="0"/>
              <w:spacing w:line="300" w:lineRule="auto"/>
              <w:jc w:val="left"/>
              <w:rPr>
                <w:kern w:val="0"/>
                <w:sz w:val="18"/>
                <w:szCs w:val="18"/>
              </w:rPr>
            </w:pPr>
          </w:p>
        </w:tc>
        <w:tc>
          <w:tcPr>
            <w:tcW w:w="3858" w:type="dxa"/>
            <w:vAlign w:val="center"/>
          </w:tcPr>
          <w:p>
            <w:pPr>
              <w:autoSpaceDE w:val="0"/>
              <w:autoSpaceDN w:val="0"/>
              <w:adjustRightInd w:val="0"/>
              <w:snapToGrid w:val="0"/>
              <w:spacing w:line="300" w:lineRule="auto"/>
              <w:jc w:val="left"/>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理解电感式传感器的不同测量电路。</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理解差动整流电路在电感式传感器的应用。</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掌握螺线管式传感器和电涡流式传感器的原理及应用。</w:t>
            </w:r>
          </w:p>
          <w:p>
            <w:pPr>
              <w:adjustRightInd w:val="0"/>
              <w:snapToGrid w:val="0"/>
              <w:spacing w:line="300" w:lineRule="auto"/>
              <w:rPr>
                <w:sz w:val="18"/>
                <w:szCs w:val="18"/>
              </w:rPr>
            </w:pPr>
            <w:r>
              <w:rPr>
                <w:sz w:val="18"/>
                <w:szCs w:val="18"/>
              </w:rPr>
              <w:t>2．作业内容：</w:t>
            </w:r>
          </w:p>
          <w:p>
            <w:pPr>
              <w:adjustRightInd w:val="0"/>
              <w:snapToGrid w:val="0"/>
              <w:spacing w:line="300" w:lineRule="auto"/>
              <w:rPr>
                <w:kern w:val="0"/>
                <w:sz w:val="18"/>
                <w:szCs w:val="18"/>
              </w:rPr>
            </w:pPr>
            <w:r>
              <w:rPr>
                <w:kern w:val="0"/>
                <w:sz w:val="18"/>
                <w:szCs w:val="18"/>
              </w:rPr>
              <w:t>螺线管式差动变压器。</w:t>
            </w:r>
          </w:p>
          <w:p>
            <w:pPr>
              <w:adjustRightInd w:val="0"/>
              <w:snapToGrid w:val="0"/>
              <w:spacing w:line="300" w:lineRule="auto"/>
              <w:rPr>
                <w:sz w:val="18"/>
                <w:szCs w:val="18"/>
              </w:rPr>
            </w:pPr>
            <w:r>
              <w:rPr>
                <w:sz w:val="18"/>
                <w:szCs w:val="18"/>
              </w:rPr>
              <w:t>3．讨论内容：</w:t>
            </w:r>
            <w:r>
              <w:rPr>
                <w:kern w:val="0"/>
                <w:sz w:val="18"/>
                <w:szCs w:val="18"/>
              </w:rPr>
              <w:t>电涡流式传感器。</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85"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5</w:t>
            </w:r>
            <w:r>
              <w:rPr>
                <w:kern w:val="0"/>
                <w:sz w:val="18"/>
                <w:szCs w:val="18"/>
              </w:rPr>
              <w:t>电容式传感器</w:t>
            </w:r>
          </w:p>
          <w:p>
            <w:pPr>
              <w:autoSpaceDE w:val="0"/>
              <w:autoSpaceDN w:val="0"/>
              <w:adjustRightInd w:val="0"/>
              <w:snapToGrid w:val="0"/>
              <w:spacing w:line="300" w:lineRule="auto"/>
              <w:jc w:val="left"/>
              <w:rPr>
                <w:kern w:val="0"/>
                <w:sz w:val="18"/>
                <w:szCs w:val="18"/>
              </w:rPr>
            </w:pPr>
            <w:r>
              <w:rPr>
                <w:kern w:val="0"/>
                <w:sz w:val="18"/>
                <w:szCs w:val="18"/>
              </w:rPr>
              <w:t>5.1 电容式传感器的工作原理。变面积型，变介质型，变极距型。</w:t>
            </w:r>
          </w:p>
          <w:p>
            <w:pPr>
              <w:autoSpaceDE w:val="0"/>
              <w:autoSpaceDN w:val="0"/>
              <w:adjustRightInd w:val="0"/>
              <w:snapToGrid w:val="0"/>
              <w:spacing w:line="300" w:lineRule="auto"/>
              <w:jc w:val="left"/>
              <w:rPr>
                <w:kern w:val="0"/>
                <w:sz w:val="18"/>
                <w:szCs w:val="18"/>
              </w:rPr>
            </w:pPr>
            <w:r>
              <w:rPr>
                <w:kern w:val="0"/>
                <w:sz w:val="18"/>
                <w:szCs w:val="18"/>
              </w:rPr>
              <w:t>5.2 电容式传感器测量电路。调频电路，运算放大器电路。</w:t>
            </w:r>
          </w:p>
          <w:p>
            <w:pPr>
              <w:autoSpaceDE w:val="0"/>
              <w:autoSpaceDN w:val="0"/>
              <w:adjustRightInd w:val="0"/>
              <w:snapToGrid w:val="0"/>
              <w:spacing w:line="300" w:lineRule="auto"/>
              <w:jc w:val="left"/>
              <w:rPr>
                <w:kern w:val="0"/>
                <w:sz w:val="18"/>
                <w:szCs w:val="18"/>
              </w:rPr>
            </w:pPr>
            <w:r>
              <w:rPr>
                <w:kern w:val="0"/>
                <w:sz w:val="18"/>
                <w:szCs w:val="18"/>
              </w:rPr>
              <w:t>5.3 电容式传感器的典型应用。电容式压力传感器，电容式位移传感器，电容式厚度传感器。</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掌握电容式传感器的不同应用。</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理解平板型和圆筒型电容传感器的原理。</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掌握电容式传感器原理。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kern w:val="0"/>
                <w:sz w:val="18"/>
                <w:szCs w:val="18"/>
              </w:rPr>
            </w:pPr>
            <w:r>
              <w:rPr>
                <w:kern w:val="0"/>
                <w:sz w:val="18"/>
                <w:szCs w:val="18"/>
              </w:rPr>
              <w:t>电容式位移传感器的应用。</w:t>
            </w:r>
          </w:p>
          <w:p>
            <w:pPr>
              <w:autoSpaceDE w:val="0"/>
              <w:autoSpaceDN w:val="0"/>
              <w:adjustRightInd w:val="0"/>
              <w:snapToGrid w:val="0"/>
              <w:spacing w:line="300" w:lineRule="auto"/>
              <w:jc w:val="left"/>
              <w:rPr>
                <w:kern w:val="0"/>
                <w:sz w:val="18"/>
                <w:szCs w:val="18"/>
              </w:rPr>
            </w:pPr>
            <w:r>
              <w:rPr>
                <w:sz w:val="18"/>
                <w:szCs w:val="18"/>
              </w:rPr>
              <w:t>3．讨论内容：</w:t>
            </w:r>
            <w:r>
              <w:rPr>
                <w:kern w:val="0"/>
                <w:sz w:val="18"/>
                <w:szCs w:val="18"/>
              </w:rPr>
              <w:t>电容式厚度传感器。</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6</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6</w:t>
            </w:r>
            <w:r>
              <w:rPr>
                <w:kern w:val="0"/>
                <w:sz w:val="18"/>
                <w:szCs w:val="18"/>
              </w:rPr>
              <w:t>压电式传感器</w:t>
            </w:r>
          </w:p>
          <w:p>
            <w:pPr>
              <w:autoSpaceDE w:val="0"/>
              <w:autoSpaceDN w:val="0"/>
              <w:adjustRightInd w:val="0"/>
              <w:snapToGrid w:val="0"/>
              <w:spacing w:line="300" w:lineRule="auto"/>
              <w:jc w:val="left"/>
              <w:rPr>
                <w:kern w:val="0"/>
                <w:sz w:val="18"/>
                <w:szCs w:val="18"/>
              </w:rPr>
            </w:pPr>
            <w:r>
              <w:rPr>
                <w:kern w:val="0"/>
                <w:sz w:val="18"/>
                <w:szCs w:val="18"/>
              </w:rPr>
              <w:t>6.1 压电传感器工作原理。压电效应，压电材料。</w:t>
            </w:r>
          </w:p>
          <w:p>
            <w:pPr>
              <w:autoSpaceDE w:val="0"/>
              <w:autoSpaceDN w:val="0"/>
              <w:adjustRightInd w:val="0"/>
              <w:snapToGrid w:val="0"/>
              <w:spacing w:line="300" w:lineRule="auto"/>
              <w:jc w:val="left"/>
              <w:rPr>
                <w:kern w:val="0"/>
                <w:sz w:val="18"/>
                <w:szCs w:val="18"/>
              </w:rPr>
            </w:pPr>
            <w:r>
              <w:rPr>
                <w:kern w:val="0"/>
                <w:sz w:val="18"/>
                <w:szCs w:val="18"/>
              </w:rPr>
              <w:t>6.2 压电传感器的测量电路与压电元件的连接。</w:t>
            </w:r>
          </w:p>
          <w:p>
            <w:pPr>
              <w:widowControl/>
              <w:adjustRightInd w:val="0"/>
              <w:snapToGrid w:val="0"/>
              <w:spacing w:line="300" w:lineRule="auto"/>
              <w:rPr>
                <w:sz w:val="18"/>
                <w:szCs w:val="18"/>
              </w:rPr>
            </w:pPr>
            <w:r>
              <w:rPr>
                <w:kern w:val="0"/>
                <w:sz w:val="18"/>
                <w:szCs w:val="18"/>
              </w:rPr>
              <w:t>6.3 压电传感器的典型应用。压电力传感器，压电加速度传感器。</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了解压电材料的分类及其特性。</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理解压电传感器的等效电路。</w:t>
            </w:r>
          </w:p>
          <w:p>
            <w:pPr>
              <w:widowControl/>
              <w:adjustRightInd w:val="0"/>
              <w:snapToGrid w:val="0"/>
              <w:spacing w:line="300" w:lineRule="auto"/>
              <w:rPr>
                <w:b/>
                <w:sz w:val="18"/>
                <w:szCs w:val="18"/>
              </w:rPr>
            </w:pPr>
            <w:r>
              <w:rPr>
                <w:kern w:val="0"/>
                <w:sz w:val="18"/>
                <w:szCs w:val="18"/>
              </w:rPr>
              <w:t>（</w:t>
            </w:r>
            <w:r>
              <w:rPr>
                <w:sz w:val="18"/>
                <w:szCs w:val="18"/>
              </w:rPr>
              <w:t>3）</w:t>
            </w:r>
            <w:r>
              <w:rPr>
                <w:kern w:val="0"/>
                <w:sz w:val="18"/>
                <w:szCs w:val="18"/>
              </w:rPr>
              <w:t>掌握压电效应。正压电效应，逆压电效应。</w:t>
            </w:r>
          </w:p>
          <w:p>
            <w:pPr>
              <w:adjustRightInd w:val="0"/>
              <w:snapToGrid w:val="0"/>
              <w:spacing w:line="300" w:lineRule="auto"/>
              <w:rPr>
                <w:sz w:val="18"/>
                <w:szCs w:val="18"/>
              </w:rPr>
            </w:pPr>
            <w:r>
              <w:rPr>
                <w:sz w:val="18"/>
                <w:szCs w:val="18"/>
              </w:rPr>
              <w:t>2．作业内容：</w:t>
            </w:r>
          </w:p>
          <w:p>
            <w:pPr>
              <w:adjustRightInd w:val="0"/>
              <w:snapToGrid w:val="0"/>
              <w:spacing w:line="300" w:lineRule="auto"/>
              <w:rPr>
                <w:kern w:val="0"/>
                <w:sz w:val="18"/>
                <w:szCs w:val="18"/>
              </w:rPr>
            </w:pPr>
            <w:r>
              <w:rPr>
                <w:kern w:val="0"/>
                <w:sz w:val="18"/>
                <w:szCs w:val="18"/>
              </w:rPr>
              <w:t>压电效应，压电材料。</w:t>
            </w:r>
          </w:p>
          <w:p>
            <w:pPr>
              <w:adjustRightInd w:val="0"/>
              <w:snapToGrid w:val="0"/>
              <w:spacing w:line="300" w:lineRule="auto"/>
              <w:rPr>
                <w:sz w:val="18"/>
                <w:szCs w:val="18"/>
              </w:rPr>
            </w:pPr>
            <w:r>
              <w:rPr>
                <w:sz w:val="18"/>
                <w:szCs w:val="18"/>
              </w:rPr>
              <w:t>3．讨论内容：</w:t>
            </w:r>
            <w:r>
              <w:rPr>
                <w:kern w:val="0"/>
                <w:sz w:val="18"/>
                <w:szCs w:val="18"/>
              </w:rPr>
              <w:t>压电力传感器</w:t>
            </w:r>
            <w:r>
              <w:rPr>
                <w:sz w:val="18"/>
                <w:szCs w:val="18"/>
              </w:rPr>
              <w:t>。</w:t>
            </w:r>
          </w:p>
          <w:p>
            <w:pPr>
              <w:adjustRightInd w:val="0"/>
              <w:snapToGrid w:val="0"/>
              <w:spacing w:line="300" w:lineRule="auto"/>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7</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7</w:t>
            </w:r>
            <w:r>
              <w:rPr>
                <w:kern w:val="0"/>
                <w:sz w:val="18"/>
                <w:szCs w:val="18"/>
              </w:rPr>
              <w:t xml:space="preserve"> 磁敏式传感器</w:t>
            </w:r>
          </w:p>
          <w:p>
            <w:pPr>
              <w:autoSpaceDE w:val="0"/>
              <w:autoSpaceDN w:val="0"/>
              <w:adjustRightInd w:val="0"/>
              <w:snapToGrid w:val="0"/>
              <w:spacing w:line="300" w:lineRule="auto"/>
              <w:jc w:val="left"/>
              <w:rPr>
                <w:kern w:val="0"/>
                <w:sz w:val="18"/>
                <w:szCs w:val="18"/>
              </w:rPr>
            </w:pPr>
            <w:r>
              <w:rPr>
                <w:kern w:val="0"/>
                <w:sz w:val="18"/>
                <w:szCs w:val="18"/>
              </w:rPr>
              <w:t>1、磁敏传感器基本工作原理。</w:t>
            </w:r>
          </w:p>
          <w:p>
            <w:pPr>
              <w:autoSpaceDE w:val="0"/>
              <w:autoSpaceDN w:val="0"/>
              <w:adjustRightInd w:val="0"/>
              <w:snapToGrid w:val="0"/>
              <w:spacing w:line="300" w:lineRule="auto"/>
              <w:jc w:val="left"/>
              <w:rPr>
                <w:kern w:val="0"/>
                <w:sz w:val="18"/>
                <w:szCs w:val="18"/>
              </w:rPr>
            </w:pPr>
            <w:r>
              <w:rPr>
                <w:kern w:val="0"/>
                <w:sz w:val="18"/>
                <w:szCs w:val="18"/>
              </w:rPr>
              <w:t>2、霍尔传感器的测量电路。</w:t>
            </w:r>
          </w:p>
          <w:p>
            <w:pPr>
              <w:widowControl/>
              <w:adjustRightInd w:val="0"/>
              <w:snapToGrid w:val="0"/>
              <w:spacing w:line="300" w:lineRule="auto"/>
              <w:rPr>
                <w:sz w:val="18"/>
                <w:szCs w:val="18"/>
              </w:rPr>
            </w:pPr>
            <w:r>
              <w:rPr>
                <w:kern w:val="0"/>
                <w:sz w:val="18"/>
                <w:szCs w:val="18"/>
              </w:rPr>
              <w:t>3、霍尔传感器的典型应用。霍尔转速传感器，霍尔微位移传感器。</w:t>
            </w:r>
          </w:p>
          <w:p>
            <w:pPr>
              <w:autoSpaceDE w:val="0"/>
              <w:autoSpaceDN w:val="0"/>
              <w:adjustRightInd w:val="0"/>
              <w:snapToGrid w:val="0"/>
              <w:spacing w:line="300" w:lineRule="auto"/>
              <w:jc w:val="left"/>
              <w:rPr>
                <w:kern w:val="0"/>
                <w:sz w:val="18"/>
                <w:szCs w:val="18"/>
              </w:rPr>
            </w:pPr>
          </w:p>
          <w:p>
            <w:pPr>
              <w:adjustRightInd w:val="0"/>
              <w:snapToGrid w:val="0"/>
              <w:spacing w:line="300" w:lineRule="auto"/>
              <w:rPr>
                <w:kern w:val="0"/>
                <w:sz w:val="18"/>
                <w:szCs w:val="18"/>
              </w:rPr>
            </w:pP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 xml:space="preserve"> 了解磁敏材料的分类及其特性。</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理解霍尔传感器的等效电路。</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掌握霍尔效应。</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kern w:val="0"/>
                <w:sz w:val="18"/>
                <w:szCs w:val="18"/>
              </w:rPr>
              <w:t>霍尔转速传感器</w:t>
            </w:r>
          </w:p>
          <w:p>
            <w:pPr>
              <w:adjustRightInd w:val="0"/>
              <w:snapToGrid w:val="0"/>
              <w:spacing w:line="300" w:lineRule="auto"/>
              <w:rPr>
                <w:kern w:val="0"/>
                <w:sz w:val="18"/>
                <w:szCs w:val="18"/>
              </w:rPr>
            </w:pPr>
            <w:r>
              <w:rPr>
                <w:kern w:val="0"/>
                <w:sz w:val="18"/>
                <w:szCs w:val="18"/>
              </w:rPr>
              <w:t>555 芯片的实际使用和计算。</w:t>
            </w:r>
          </w:p>
          <w:p>
            <w:pPr>
              <w:adjustRightInd w:val="0"/>
              <w:snapToGrid w:val="0"/>
              <w:spacing w:line="300" w:lineRule="auto"/>
              <w:rPr>
                <w:sz w:val="18"/>
                <w:szCs w:val="18"/>
              </w:rPr>
            </w:pPr>
            <w:r>
              <w:rPr>
                <w:sz w:val="18"/>
                <w:szCs w:val="18"/>
              </w:rPr>
              <w:t>3．讨论内容：</w:t>
            </w:r>
            <w:r>
              <w:rPr>
                <w:kern w:val="0"/>
                <w:sz w:val="18"/>
                <w:szCs w:val="18"/>
              </w:rPr>
              <w:t>霍尔微位移传感器</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8</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8</w:t>
            </w:r>
            <w:r>
              <w:rPr>
                <w:kern w:val="0"/>
                <w:sz w:val="18"/>
                <w:szCs w:val="18"/>
              </w:rPr>
              <w:t>热电式传感器</w:t>
            </w:r>
          </w:p>
          <w:p>
            <w:pPr>
              <w:autoSpaceDE w:val="0"/>
              <w:autoSpaceDN w:val="0"/>
              <w:adjustRightInd w:val="0"/>
              <w:snapToGrid w:val="0"/>
              <w:spacing w:line="300" w:lineRule="auto"/>
              <w:jc w:val="left"/>
              <w:rPr>
                <w:kern w:val="0"/>
                <w:sz w:val="18"/>
                <w:szCs w:val="18"/>
              </w:rPr>
            </w:pPr>
            <w:r>
              <w:rPr>
                <w:kern w:val="0"/>
                <w:sz w:val="18"/>
                <w:szCs w:val="18"/>
              </w:rPr>
              <w:t>8.1 热电偶。热电偶测温原理，热电偶的结构和种类，热电偶的冷端温度补偿，热电偶的应用。</w:t>
            </w:r>
          </w:p>
          <w:p>
            <w:pPr>
              <w:autoSpaceDE w:val="0"/>
              <w:autoSpaceDN w:val="0"/>
              <w:adjustRightInd w:val="0"/>
              <w:snapToGrid w:val="0"/>
              <w:spacing w:line="300" w:lineRule="auto"/>
              <w:jc w:val="left"/>
              <w:rPr>
                <w:kern w:val="0"/>
                <w:sz w:val="18"/>
                <w:szCs w:val="18"/>
              </w:rPr>
            </w:pPr>
            <w:r>
              <w:rPr>
                <w:kern w:val="0"/>
                <w:sz w:val="18"/>
                <w:szCs w:val="18"/>
              </w:rPr>
              <w:t>8.2 热电阻。铂热电阻，铜热电阻，热电阻的测量电路，热电阻的应用。</w:t>
            </w:r>
          </w:p>
          <w:p>
            <w:pPr>
              <w:widowControl/>
              <w:adjustRightInd w:val="0"/>
              <w:snapToGrid w:val="0"/>
              <w:spacing w:line="300" w:lineRule="auto"/>
              <w:rPr>
                <w:sz w:val="18"/>
                <w:szCs w:val="18"/>
              </w:rPr>
            </w:pPr>
            <w:r>
              <w:rPr>
                <w:kern w:val="0"/>
                <w:sz w:val="18"/>
                <w:szCs w:val="18"/>
              </w:rPr>
              <w:t>8.3 热敏电阻。热敏电阻的特性，热敏电阻的应用。</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sz w:val="18"/>
                <w:szCs w:val="18"/>
              </w:rPr>
              <w:t>（1）</w:t>
            </w:r>
            <w:r>
              <w:rPr>
                <w:kern w:val="0"/>
                <w:sz w:val="18"/>
                <w:szCs w:val="18"/>
              </w:rPr>
              <w:t>掌握热电偶、热电阻和热敏电阻的应用。</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理解热电传感器的温度特性。</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掌握热电传感器的测温原理。</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kern w:val="0"/>
                <w:sz w:val="18"/>
                <w:szCs w:val="18"/>
              </w:rPr>
              <w:t>热电阻的测量电路</w:t>
            </w:r>
          </w:p>
          <w:p>
            <w:pPr>
              <w:adjustRightInd w:val="0"/>
              <w:snapToGrid w:val="0"/>
              <w:spacing w:line="300" w:lineRule="auto"/>
              <w:rPr>
                <w:sz w:val="18"/>
                <w:szCs w:val="18"/>
              </w:rPr>
            </w:pPr>
            <w:r>
              <w:rPr>
                <w:sz w:val="18"/>
                <w:szCs w:val="18"/>
              </w:rPr>
              <w:t>3．讨论内容：</w:t>
            </w:r>
            <w:r>
              <w:rPr>
                <w:kern w:val="0"/>
                <w:sz w:val="18"/>
                <w:szCs w:val="18"/>
              </w:rPr>
              <w:t>热电偶的冷端温度补偿。</w:t>
            </w:r>
          </w:p>
          <w:p>
            <w:pPr>
              <w:tabs>
                <w:tab w:val="left" w:pos="426"/>
                <w:tab w:val="left" w:pos="5245"/>
                <w:tab w:val="left" w:pos="5387"/>
              </w:tabs>
              <w:adjustRightInd w:val="0"/>
              <w:snapToGrid w:val="0"/>
              <w:spacing w:line="300" w:lineRule="auto"/>
              <w:rPr>
                <w:kern w:val="0"/>
                <w:sz w:val="18"/>
                <w:szCs w:val="18"/>
              </w:rPr>
            </w:pPr>
            <w:r>
              <w:rPr>
                <w:sz w:val="18"/>
                <w:szCs w:val="18"/>
              </w:rPr>
              <w:t>4．自学拓展。</w:t>
            </w:r>
          </w:p>
        </w:tc>
        <w:tc>
          <w:tcPr>
            <w:tcW w:w="740" w:type="dxa"/>
            <w:vAlign w:val="center"/>
          </w:tcPr>
          <w:p>
            <w:pPr>
              <w:widowControl/>
              <w:adjustRightInd w:val="0"/>
              <w:snapToGrid w:val="0"/>
              <w:spacing w:line="300" w:lineRule="auto"/>
              <w:jc w:val="center"/>
              <w:rPr>
                <w:kern w:val="0"/>
                <w:sz w:val="18"/>
                <w:szCs w:val="18"/>
              </w:rPr>
            </w:pPr>
            <w:r>
              <w:rPr>
                <w:kern w:val="0"/>
                <w:sz w:val="18"/>
                <w:szCs w:val="18"/>
              </w:rPr>
              <w:t>4</w:t>
            </w:r>
          </w:p>
        </w:tc>
        <w:tc>
          <w:tcPr>
            <w:tcW w:w="1039" w:type="dxa"/>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9</w:t>
            </w:r>
          </w:p>
        </w:tc>
        <w:tc>
          <w:tcPr>
            <w:tcW w:w="2525" w:type="dxa"/>
            <w:vAlign w:val="center"/>
          </w:tcPr>
          <w:p>
            <w:pPr>
              <w:autoSpaceDE w:val="0"/>
              <w:autoSpaceDN w:val="0"/>
              <w:adjustRightInd w:val="0"/>
              <w:snapToGrid w:val="0"/>
              <w:spacing w:line="300" w:lineRule="auto"/>
              <w:jc w:val="left"/>
              <w:rPr>
                <w:kern w:val="0"/>
                <w:sz w:val="18"/>
                <w:szCs w:val="18"/>
              </w:rPr>
            </w:pPr>
            <w:r>
              <w:rPr>
                <w:bCs/>
                <w:kern w:val="0"/>
                <w:sz w:val="18"/>
                <w:szCs w:val="18"/>
              </w:rPr>
              <w:t>9</w:t>
            </w:r>
            <w:r>
              <w:rPr>
                <w:kern w:val="0"/>
                <w:sz w:val="18"/>
                <w:szCs w:val="18"/>
              </w:rPr>
              <w:t>辐射与波式传感器</w:t>
            </w:r>
          </w:p>
          <w:p>
            <w:pPr>
              <w:autoSpaceDE w:val="0"/>
              <w:autoSpaceDN w:val="0"/>
              <w:adjustRightInd w:val="0"/>
              <w:snapToGrid w:val="0"/>
              <w:spacing w:line="300" w:lineRule="auto"/>
              <w:jc w:val="left"/>
              <w:rPr>
                <w:kern w:val="0"/>
                <w:sz w:val="18"/>
                <w:szCs w:val="18"/>
              </w:rPr>
            </w:pPr>
            <w:r>
              <w:rPr>
                <w:kern w:val="0"/>
                <w:sz w:val="18"/>
                <w:szCs w:val="18"/>
              </w:rPr>
              <w:t>9.1 红外传感器的工作原理。红外传感器的应用。</w:t>
            </w:r>
          </w:p>
          <w:p>
            <w:pPr>
              <w:widowControl/>
              <w:adjustRightInd w:val="0"/>
              <w:snapToGrid w:val="0"/>
              <w:spacing w:line="300" w:lineRule="auto"/>
              <w:rPr>
                <w:sz w:val="18"/>
                <w:szCs w:val="18"/>
              </w:rPr>
            </w:pPr>
            <w:r>
              <w:rPr>
                <w:kern w:val="0"/>
                <w:sz w:val="18"/>
                <w:szCs w:val="18"/>
              </w:rPr>
              <w:t>9.2 超声波传感器的工作原理。超声波传感器的应用。</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掌握红外辐射、超声波的概念与特性。</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理解红外辐射和超声波传感器的工作原理。</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掌握辐射与波式传感器的组成。</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kern w:val="0"/>
                <w:sz w:val="18"/>
                <w:szCs w:val="18"/>
              </w:rPr>
              <w:t>超声波传感器的测量电路</w:t>
            </w:r>
          </w:p>
          <w:p>
            <w:pPr>
              <w:adjustRightInd w:val="0"/>
              <w:snapToGrid w:val="0"/>
              <w:spacing w:line="300" w:lineRule="auto"/>
              <w:rPr>
                <w:sz w:val="18"/>
                <w:szCs w:val="18"/>
              </w:rPr>
            </w:pPr>
            <w:r>
              <w:rPr>
                <w:sz w:val="18"/>
                <w:szCs w:val="18"/>
              </w:rPr>
              <w:t>3．讨论内容：</w:t>
            </w:r>
            <w:r>
              <w:rPr>
                <w:kern w:val="0"/>
                <w:sz w:val="18"/>
                <w:szCs w:val="18"/>
              </w:rPr>
              <w:t>超声波传感器的应用</w:t>
            </w:r>
          </w:p>
          <w:p>
            <w:pPr>
              <w:adjustRightInd w:val="0"/>
              <w:snapToGrid w:val="0"/>
              <w:spacing w:line="300" w:lineRule="auto"/>
              <w:rPr>
                <w:sz w:val="18"/>
                <w:szCs w:val="18"/>
              </w:rPr>
            </w:pPr>
            <w:r>
              <w:rPr>
                <w:sz w:val="18"/>
                <w:szCs w:val="18"/>
              </w:rPr>
              <w:t>4．自学拓展。</w:t>
            </w:r>
          </w:p>
        </w:tc>
        <w:tc>
          <w:tcPr>
            <w:tcW w:w="740" w:type="dxa"/>
            <w:vAlign w:val="center"/>
          </w:tcPr>
          <w:p>
            <w:pPr>
              <w:adjustRightInd w:val="0"/>
              <w:snapToGrid w:val="0"/>
              <w:spacing w:line="300" w:lineRule="auto"/>
              <w:jc w:val="center"/>
              <w:rPr>
                <w:kern w:val="0"/>
                <w:sz w:val="18"/>
                <w:szCs w:val="18"/>
              </w:rPr>
            </w:pPr>
            <w:r>
              <w:rPr>
                <w:kern w:val="0"/>
                <w:sz w:val="18"/>
                <w:szCs w:val="18"/>
              </w:rPr>
              <w:t>2</w:t>
            </w:r>
          </w:p>
        </w:tc>
        <w:tc>
          <w:tcPr>
            <w:tcW w:w="1039" w:type="dxa"/>
            <w:vAlign w:val="center"/>
          </w:tcPr>
          <w:p>
            <w:pPr>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5"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10</w:t>
            </w:r>
          </w:p>
        </w:tc>
        <w:tc>
          <w:tcPr>
            <w:tcW w:w="2525" w:type="dxa"/>
            <w:vAlign w:val="center"/>
          </w:tcPr>
          <w:p>
            <w:pPr>
              <w:autoSpaceDE w:val="0"/>
              <w:autoSpaceDN w:val="0"/>
              <w:adjustRightInd w:val="0"/>
              <w:snapToGrid w:val="0"/>
              <w:spacing w:line="300" w:lineRule="auto"/>
              <w:jc w:val="left"/>
              <w:rPr>
                <w:kern w:val="0"/>
                <w:sz w:val="18"/>
                <w:szCs w:val="18"/>
              </w:rPr>
            </w:pPr>
            <w:r>
              <w:rPr>
                <w:kern w:val="0"/>
                <w:sz w:val="18"/>
                <w:szCs w:val="18"/>
              </w:rPr>
              <w:t>10化学传感器</w:t>
            </w:r>
          </w:p>
          <w:p>
            <w:pPr>
              <w:autoSpaceDE w:val="0"/>
              <w:autoSpaceDN w:val="0"/>
              <w:adjustRightInd w:val="0"/>
              <w:snapToGrid w:val="0"/>
              <w:spacing w:line="300" w:lineRule="auto"/>
              <w:jc w:val="left"/>
              <w:rPr>
                <w:kern w:val="0"/>
                <w:sz w:val="18"/>
                <w:szCs w:val="18"/>
              </w:rPr>
            </w:pPr>
            <w:r>
              <w:rPr>
                <w:kern w:val="0"/>
                <w:sz w:val="18"/>
                <w:szCs w:val="18"/>
              </w:rPr>
              <w:t>10.1 气敏传感器。气敏传感器的工作原理，气敏传感器的应用。</w:t>
            </w:r>
          </w:p>
          <w:p>
            <w:pPr>
              <w:widowControl/>
              <w:adjustRightInd w:val="0"/>
              <w:snapToGrid w:val="0"/>
              <w:spacing w:line="300" w:lineRule="auto"/>
              <w:rPr>
                <w:sz w:val="18"/>
                <w:szCs w:val="18"/>
              </w:rPr>
            </w:pPr>
            <w:r>
              <w:rPr>
                <w:kern w:val="0"/>
                <w:sz w:val="18"/>
                <w:szCs w:val="18"/>
              </w:rPr>
              <w:t>10.2 湿敏传感器。湿敏传感器的工作原理，湿敏传感器测量电路，湿敏传感器的应用。</w:t>
            </w:r>
          </w:p>
        </w:tc>
        <w:tc>
          <w:tcPr>
            <w:tcW w:w="3858" w:type="dxa"/>
            <w:vAlign w:val="center"/>
          </w:tcPr>
          <w:p>
            <w:pPr>
              <w:adjustRightInd w:val="0"/>
              <w:snapToGrid w:val="0"/>
              <w:spacing w:line="300" w:lineRule="auto"/>
              <w:rPr>
                <w:sz w:val="18"/>
                <w:szCs w:val="18"/>
              </w:rPr>
            </w:pPr>
            <w:r>
              <w:rPr>
                <w:sz w:val="18"/>
                <w:szCs w:val="18"/>
              </w:rPr>
              <w:t>1．目标及要求：</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1）</w:t>
            </w:r>
            <w:r>
              <w:rPr>
                <w:kern w:val="0"/>
                <w:sz w:val="18"/>
                <w:szCs w:val="18"/>
              </w:rPr>
              <w:t>掌握湿度的表示方法。了解气敏传感器主要特点。</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2）</w:t>
            </w:r>
            <w:r>
              <w:rPr>
                <w:kern w:val="0"/>
                <w:sz w:val="18"/>
                <w:szCs w:val="18"/>
              </w:rPr>
              <w:t>理解气敏传感器和湿敏传感器的工作原理。</w:t>
            </w:r>
          </w:p>
          <w:p>
            <w:pPr>
              <w:autoSpaceDE w:val="0"/>
              <w:autoSpaceDN w:val="0"/>
              <w:adjustRightInd w:val="0"/>
              <w:snapToGrid w:val="0"/>
              <w:spacing w:line="300" w:lineRule="auto"/>
              <w:jc w:val="left"/>
              <w:rPr>
                <w:kern w:val="0"/>
                <w:sz w:val="18"/>
                <w:szCs w:val="18"/>
              </w:rPr>
            </w:pPr>
            <w:r>
              <w:rPr>
                <w:kern w:val="0"/>
                <w:sz w:val="18"/>
                <w:szCs w:val="18"/>
              </w:rPr>
              <w:t>（</w:t>
            </w:r>
            <w:r>
              <w:rPr>
                <w:sz w:val="18"/>
                <w:szCs w:val="18"/>
              </w:rPr>
              <w:t>3）</w:t>
            </w:r>
            <w:r>
              <w:rPr>
                <w:kern w:val="0"/>
                <w:sz w:val="18"/>
                <w:szCs w:val="18"/>
              </w:rPr>
              <w:t>掌握气敏传感器和湿敏传感器的应用。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kern w:val="0"/>
                <w:sz w:val="18"/>
                <w:szCs w:val="18"/>
              </w:rPr>
              <w:t>气敏传感器的应用</w:t>
            </w:r>
          </w:p>
          <w:p>
            <w:pPr>
              <w:adjustRightInd w:val="0"/>
              <w:snapToGrid w:val="0"/>
              <w:spacing w:line="300" w:lineRule="auto"/>
              <w:rPr>
                <w:sz w:val="18"/>
                <w:szCs w:val="18"/>
              </w:rPr>
            </w:pPr>
            <w:r>
              <w:rPr>
                <w:kern w:val="0"/>
                <w:sz w:val="18"/>
                <w:szCs w:val="18"/>
              </w:rPr>
              <w:t>超声波传感器的测量电路</w:t>
            </w:r>
          </w:p>
          <w:p>
            <w:pPr>
              <w:adjustRightInd w:val="0"/>
              <w:snapToGrid w:val="0"/>
              <w:spacing w:line="300" w:lineRule="auto"/>
              <w:rPr>
                <w:sz w:val="18"/>
                <w:szCs w:val="18"/>
              </w:rPr>
            </w:pPr>
            <w:r>
              <w:rPr>
                <w:sz w:val="18"/>
                <w:szCs w:val="18"/>
              </w:rPr>
              <w:t>3．讨论内容：</w:t>
            </w:r>
            <w:r>
              <w:rPr>
                <w:kern w:val="0"/>
                <w:sz w:val="18"/>
                <w:szCs w:val="18"/>
              </w:rPr>
              <w:t>湿敏传感器的应用</w:t>
            </w:r>
            <w:r>
              <w:rPr>
                <w:sz w:val="18"/>
                <w:szCs w:val="18"/>
              </w:rPr>
              <w:t>4.自学拓展。</w:t>
            </w:r>
          </w:p>
        </w:tc>
        <w:tc>
          <w:tcPr>
            <w:tcW w:w="740" w:type="dxa"/>
            <w:vAlign w:val="center"/>
          </w:tcPr>
          <w:p>
            <w:pPr>
              <w:adjustRightInd w:val="0"/>
              <w:snapToGrid w:val="0"/>
              <w:spacing w:line="300" w:lineRule="auto"/>
              <w:jc w:val="center"/>
              <w:rPr>
                <w:kern w:val="0"/>
                <w:sz w:val="18"/>
                <w:szCs w:val="18"/>
              </w:rPr>
            </w:pPr>
            <w:r>
              <w:rPr>
                <w:kern w:val="0"/>
                <w:sz w:val="18"/>
                <w:szCs w:val="18"/>
              </w:rPr>
              <w:t>2</w:t>
            </w:r>
          </w:p>
        </w:tc>
        <w:tc>
          <w:tcPr>
            <w:tcW w:w="1039" w:type="dxa"/>
            <w:vAlign w:val="center"/>
          </w:tcPr>
          <w:p>
            <w:pPr>
              <w:adjustRightInd w:val="0"/>
              <w:snapToGrid w:val="0"/>
              <w:spacing w:line="300" w:lineRule="auto"/>
              <w:jc w:val="center"/>
              <w:rPr>
                <w:kern w:val="0"/>
                <w:sz w:val="18"/>
                <w:szCs w:val="18"/>
              </w:rPr>
            </w:pPr>
            <w:r>
              <w:rPr>
                <w:kern w:val="0"/>
                <w:sz w:val="18"/>
                <w:szCs w:val="18"/>
              </w:rPr>
              <w:t>1</w:t>
            </w:r>
          </w:p>
        </w:tc>
      </w:tr>
    </w:tbl>
    <w:p>
      <w:pPr>
        <w:snapToGrid w:val="0"/>
        <w:spacing w:before="156" w:beforeLines="50" w:line="300" w:lineRule="auto"/>
        <w:ind w:firstLine="420" w:firstLineChars="200"/>
        <w:rPr>
          <w:szCs w:val="21"/>
        </w:rPr>
      </w:pPr>
      <w:r>
        <w:t>实验内容见表4所示。</w:t>
      </w:r>
    </w:p>
    <w:p>
      <w:pPr>
        <w:spacing w:before="156" w:beforeLines="50"/>
        <w:jc w:val="center"/>
      </w:pPr>
      <w:r>
        <w:rPr>
          <w:b/>
          <w:bCs/>
          <w:sz w:val="18"/>
          <w:szCs w:val="18"/>
        </w:rPr>
        <w:t>表4 实验安排表</w:t>
      </w:r>
    </w:p>
    <w:tbl>
      <w:tblPr>
        <w:tblStyle w:val="22"/>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2093"/>
        <w:gridCol w:w="2725"/>
        <w:gridCol w:w="634"/>
        <w:gridCol w:w="619"/>
        <w:gridCol w:w="764"/>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Align w:val="center"/>
          </w:tcPr>
          <w:p>
            <w:pPr>
              <w:adjustRightInd w:val="0"/>
              <w:snapToGrid w:val="0"/>
              <w:spacing w:line="300" w:lineRule="auto"/>
              <w:jc w:val="center"/>
              <w:rPr>
                <w:b/>
                <w:bCs/>
                <w:kern w:val="0"/>
                <w:sz w:val="18"/>
                <w:szCs w:val="18"/>
              </w:rPr>
            </w:pPr>
            <w:r>
              <w:rPr>
                <w:b/>
                <w:bCs/>
                <w:kern w:val="0"/>
                <w:sz w:val="18"/>
                <w:szCs w:val="18"/>
              </w:rPr>
              <w:t>序号</w:t>
            </w:r>
          </w:p>
        </w:tc>
        <w:tc>
          <w:tcPr>
            <w:tcW w:w="2093" w:type="dxa"/>
            <w:vAlign w:val="center"/>
          </w:tcPr>
          <w:p>
            <w:pPr>
              <w:adjustRightInd w:val="0"/>
              <w:snapToGrid w:val="0"/>
              <w:spacing w:line="300" w:lineRule="auto"/>
              <w:jc w:val="center"/>
              <w:rPr>
                <w:b/>
                <w:bCs/>
                <w:kern w:val="0"/>
                <w:sz w:val="18"/>
                <w:szCs w:val="18"/>
              </w:rPr>
            </w:pPr>
            <w:r>
              <w:rPr>
                <w:b/>
                <w:bCs/>
                <w:kern w:val="0"/>
                <w:sz w:val="18"/>
                <w:szCs w:val="18"/>
              </w:rPr>
              <w:t>实验项目名称</w:t>
            </w:r>
          </w:p>
        </w:tc>
        <w:tc>
          <w:tcPr>
            <w:tcW w:w="2725" w:type="dxa"/>
            <w:vAlign w:val="center"/>
          </w:tcPr>
          <w:p>
            <w:pPr>
              <w:adjustRightInd w:val="0"/>
              <w:snapToGrid w:val="0"/>
              <w:spacing w:line="300" w:lineRule="auto"/>
              <w:jc w:val="center"/>
              <w:rPr>
                <w:b/>
                <w:bCs/>
                <w:kern w:val="0"/>
                <w:sz w:val="18"/>
                <w:szCs w:val="18"/>
              </w:rPr>
            </w:pPr>
            <w:r>
              <w:rPr>
                <w:b/>
                <w:bCs/>
                <w:kern w:val="0"/>
                <w:sz w:val="18"/>
                <w:szCs w:val="18"/>
              </w:rPr>
              <w:t>目的要求</w:t>
            </w:r>
          </w:p>
        </w:tc>
        <w:tc>
          <w:tcPr>
            <w:tcW w:w="634" w:type="dxa"/>
            <w:vAlign w:val="center"/>
          </w:tcPr>
          <w:p>
            <w:pPr>
              <w:adjustRightInd w:val="0"/>
              <w:snapToGrid w:val="0"/>
              <w:spacing w:line="300" w:lineRule="auto"/>
              <w:jc w:val="center"/>
              <w:rPr>
                <w:b/>
                <w:bCs/>
                <w:kern w:val="0"/>
                <w:sz w:val="18"/>
                <w:szCs w:val="18"/>
              </w:rPr>
            </w:pPr>
            <w:r>
              <w:rPr>
                <w:b/>
                <w:bCs/>
                <w:kern w:val="0"/>
                <w:sz w:val="18"/>
                <w:szCs w:val="18"/>
              </w:rPr>
              <w:t>学时</w:t>
            </w:r>
          </w:p>
          <w:p>
            <w:pPr>
              <w:adjustRightInd w:val="0"/>
              <w:snapToGrid w:val="0"/>
              <w:spacing w:line="300" w:lineRule="auto"/>
              <w:jc w:val="center"/>
              <w:rPr>
                <w:b/>
                <w:bCs/>
                <w:kern w:val="0"/>
                <w:sz w:val="18"/>
                <w:szCs w:val="18"/>
              </w:rPr>
            </w:pPr>
            <w:r>
              <w:rPr>
                <w:b/>
                <w:bCs/>
                <w:kern w:val="0"/>
                <w:sz w:val="18"/>
                <w:szCs w:val="18"/>
              </w:rPr>
              <w:t>分配</w:t>
            </w:r>
          </w:p>
        </w:tc>
        <w:tc>
          <w:tcPr>
            <w:tcW w:w="619" w:type="dxa"/>
            <w:vAlign w:val="center"/>
          </w:tcPr>
          <w:p>
            <w:pPr>
              <w:adjustRightInd w:val="0"/>
              <w:snapToGrid w:val="0"/>
              <w:spacing w:line="300" w:lineRule="auto"/>
              <w:jc w:val="center"/>
              <w:rPr>
                <w:b/>
                <w:bCs/>
                <w:kern w:val="0"/>
                <w:sz w:val="18"/>
                <w:szCs w:val="18"/>
              </w:rPr>
            </w:pPr>
            <w:r>
              <w:rPr>
                <w:b/>
                <w:bCs/>
                <w:kern w:val="0"/>
                <w:sz w:val="18"/>
                <w:szCs w:val="18"/>
              </w:rPr>
              <w:t>实验</w:t>
            </w:r>
          </w:p>
          <w:p>
            <w:pPr>
              <w:adjustRightInd w:val="0"/>
              <w:snapToGrid w:val="0"/>
              <w:spacing w:line="300" w:lineRule="auto"/>
              <w:jc w:val="center"/>
              <w:rPr>
                <w:b/>
                <w:bCs/>
                <w:kern w:val="0"/>
                <w:sz w:val="18"/>
                <w:szCs w:val="18"/>
              </w:rPr>
            </w:pPr>
            <w:r>
              <w:rPr>
                <w:b/>
                <w:bCs/>
                <w:kern w:val="0"/>
                <w:sz w:val="18"/>
                <w:szCs w:val="18"/>
              </w:rPr>
              <w:t>类型</w:t>
            </w:r>
          </w:p>
        </w:tc>
        <w:tc>
          <w:tcPr>
            <w:tcW w:w="764" w:type="dxa"/>
            <w:vAlign w:val="center"/>
          </w:tcPr>
          <w:p>
            <w:pPr>
              <w:adjustRightInd w:val="0"/>
              <w:snapToGrid w:val="0"/>
              <w:spacing w:line="300" w:lineRule="auto"/>
              <w:jc w:val="center"/>
              <w:rPr>
                <w:b/>
                <w:bCs/>
                <w:kern w:val="0"/>
                <w:sz w:val="18"/>
                <w:szCs w:val="18"/>
              </w:rPr>
            </w:pPr>
            <w:r>
              <w:rPr>
                <w:b/>
                <w:bCs/>
                <w:kern w:val="0"/>
                <w:sz w:val="18"/>
                <w:szCs w:val="18"/>
              </w:rPr>
              <w:t>每组</w:t>
            </w:r>
          </w:p>
          <w:p>
            <w:pPr>
              <w:adjustRightInd w:val="0"/>
              <w:snapToGrid w:val="0"/>
              <w:spacing w:line="300" w:lineRule="auto"/>
              <w:jc w:val="center"/>
              <w:rPr>
                <w:b/>
                <w:bCs/>
                <w:kern w:val="0"/>
                <w:sz w:val="18"/>
                <w:szCs w:val="18"/>
              </w:rPr>
            </w:pPr>
            <w:r>
              <w:rPr>
                <w:b/>
                <w:bCs/>
                <w:kern w:val="0"/>
                <w:sz w:val="18"/>
                <w:szCs w:val="18"/>
              </w:rPr>
              <w:t>人数</w:t>
            </w:r>
          </w:p>
        </w:tc>
        <w:tc>
          <w:tcPr>
            <w:tcW w:w="741" w:type="dxa"/>
            <w:vAlign w:val="center"/>
          </w:tcPr>
          <w:p>
            <w:pPr>
              <w:adjustRightInd w:val="0"/>
              <w:snapToGrid w:val="0"/>
              <w:spacing w:line="300" w:lineRule="auto"/>
              <w:jc w:val="center"/>
              <w:rPr>
                <w:b/>
                <w:bCs/>
                <w:kern w:val="0"/>
                <w:sz w:val="18"/>
                <w:szCs w:val="18"/>
              </w:rPr>
            </w:pPr>
            <w:r>
              <w:rPr>
                <w:b/>
                <w:bCs/>
                <w:kern w:val="0"/>
                <w:sz w:val="18"/>
                <w:szCs w:val="18"/>
              </w:rPr>
              <w:t>必开</w:t>
            </w:r>
          </w:p>
          <w:p>
            <w:pPr>
              <w:adjustRightInd w:val="0"/>
              <w:snapToGrid w:val="0"/>
              <w:spacing w:line="300" w:lineRule="auto"/>
              <w:jc w:val="center"/>
              <w:rPr>
                <w:b/>
                <w:bCs/>
                <w:kern w:val="0"/>
                <w:sz w:val="18"/>
                <w:szCs w:val="18"/>
              </w:rPr>
            </w:pPr>
            <w:r>
              <w:rPr>
                <w:b/>
                <w:bCs/>
                <w:kern w:val="0"/>
                <w:sz w:val="18"/>
                <w:szCs w:val="18"/>
              </w:rPr>
              <w:t>选开</w:t>
            </w:r>
          </w:p>
        </w:tc>
        <w:tc>
          <w:tcPr>
            <w:tcW w:w="741" w:type="dxa"/>
            <w:vAlign w:val="center"/>
          </w:tcPr>
          <w:p>
            <w:pPr>
              <w:adjustRightInd w:val="0"/>
              <w:snapToGrid w:val="0"/>
              <w:spacing w:line="300" w:lineRule="auto"/>
              <w:jc w:val="center"/>
              <w:rPr>
                <w:b/>
                <w:bCs/>
                <w:kern w:val="0"/>
                <w:sz w:val="18"/>
                <w:szCs w:val="18"/>
              </w:rPr>
            </w:pPr>
            <w:r>
              <w:rPr>
                <w:b/>
                <w:bCs/>
                <w:kern w:val="0"/>
                <w:sz w:val="18"/>
                <w:szCs w:val="18"/>
              </w:rPr>
              <w:t>课程</w:t>
            </w:r>
          </w:p>
          <w:p>
            <w:pPr>
              <w:adjustRightInd w:val="0"/>
              <w:snapToGrid w:val="0"/>
              <w:spacing w:line="300" w:lineRule="auto"/>
              <w:jc w:val="center"/>
              <w:rPr>
                <w:b/>
                <w:bCs/>
                <w:kern w:val="0"/>
                <w:sz w:val="18"/>
                <w:szCs w:val="18"/>
              </w:rPr>
            </w:pPr>
            <w:r>
              <w:rPr>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737" w:type="dxa"/>
            <w:vAlign w:val="center"/>
          </w:tcPr>
          <w:p>
            <w:pPr>
              <w:adjustRightInd w:val="0"/>
              <w:snapToGrid w:val="0"/>
              <w:spacing w:line="300" w:lineRule="auto"/>
              <w:jc w:val="center"/>
              <w:rPr>
                <w:kern w:val="0"/>
                <w:sz w:val="18"/>
                <w:szCs w:val="18"/>
              </w:rPr>
            </w:pPr>
            <w:r>
              <w:rPr>
                <w:kern w:val="0"/>
                <w:sz w:val="18"/>
                <w:szCs w:val="18"/>
              </w:rPr>
              <w:t>1</w:t>
            </w:r>
          </w:p>
        </w:tc>
        <w:tc>
          <w:tcPr>
            <w:tcW w:w="2093" w:type="dxa"/>
            <w:vAlign w:val="center"/>
          </w:tcPr>
          <w:p>
            <w:pPr>
              <w:autoSpaceDE w:val="0"/>
              <w:autoSpaceDN w:val="0"/>
              <w:adjustRightInd w:val="0"/>
              <w:snapToGrid w:val="0"/>
              <w:spacing w:line="300" w:lineRule="auto"/>
              <w:jc w:val="left"/>
              <w:rPr>
                <w:kern w:val="0"/>
                <w:sz w:val="18"/>
                <w:szCs w:val="18"/>
              </w:rPr>
            </w:pPr>
            <w:r>
              <w:rPr>
                <w:rFonts w:hint="eastAsia"/>
                <w:kern w:val="0"/>
                <w:sz w:val="18"/>
                <w:szCs w:val="18"/>
              </w:rPr>
              <w:t>差动变压器电感式</w:t>
            </w:r>
            <w:r>
              <w:rPr>
                <w:kern w:val="0"/>
                <w:sz w:val="18"/>
                <w:szCs w:val="18"/>
              </w:rPr>
              <w:t>传感器</w:t>
            </w:r>
            <w:r>
              <w:rPr>
                <w:rFonts w:hint="eastAsia"/>
                <w:kern w:val="0"/>
                <w:sz w:val="18"/>
                <w:szCs w:val="18"/>
              </w:rPr>
              <w:t>实验</w:t>
            </w:r>
          </w:p>
        </w:tc>
        <w:tc>
          <w:tcPr>
            <w:tcW w:w="2725" w:type="dxa"/>
            <w:tcMar>
              <w:top w:w="0" w:type="dxa"/>
              <w:left w:w="108" w:type="dxa"/>
              <w:bottom w:w="0" w:type="dxa"/>
              <w:right w:w="108" w:type="dxa"/>
            </w:tcMar>
            <w:vAlign w:val="center"/>
          </w:tcPr>
          <w:p>
            <w:pPr>
              <w:autoSpaceDE w:val="0"/>
              <w:autoSpaceDN w:val="0"/>
              <w:adjustRightInd w:val="0"/>
              <w:snapToGrid w:val="0"/>
              <w:spacing w:line="300" w:lineRule="auto"/>
              <w:jc w:val="left"/>
              <w:rPr>
                <w:kern w:val="0"/>
                <w:sz w:val="18"/>
                <w:szCs w:val="18"/>
              </w:rPr>
            </w:pPr>
            <w:r>
              <w:rPr>
                <w:rFonts w:hint="eastAsia"/>
                <w:kern w:val="0"/>
                <w:sz w:val="18"/>
                <w:szCs w:val="18"/>
              </w:rPr>
              <w:t>使用</w:t>
            </w:r>
            <w:r>
              <w:rPr>
                <w:kern w:val="0"/>
                <w:sz w:val="18"/>
                <w:szCs w:val="18"/>
              </w:rPr>
              <w:t>差动变压器电感式传感器测量位移</w:t>
            </w:r>
          </w:p>
        </w:tc>
        <w:tc>
          <w:tcPr>
            <w:tcW w:w="634" w:type="dxa"/>
            <w:vAlign w:val="center"/>
          </w:tcPr>
          <w:p>
            <w:pPr>
              <w:adjustRightInd w:val="0"/>
              <w:snapToGrid w:val="0"/>
              <w:spacing w:line="300" w:lineRule="auto"/>
              <w:jc w:val="center"/>
              <w:rPr>
                <w:kern w:val="0"/>
                <w:sz w:val="18"/>
                <w:szCs w:val="18"/>
              </w:rPr>
            </w:pPr>
            <w:r>
              <w:rPr>
                <w:kern w:val="0"/>
                <w:sz w:val="18"/>
                <w:szCs w:val="18"/>
              </w:rPr>
              <w:t>2</w:t>
            </w:r>
          </w:p>
        </w:tc>
        <w:tc>
          <w:tcPr>
            <w:tcW w:w="619" w:type="dxa"/>
            <w:vAlign w:val="center"/>
          </w:tcPr>
          <w:p>
            <w:pPr>
              <w:adjustRightInd w:val="0"/>
              <w:snapToGrid w:val="0"/>
              <w:spacing w:line="300" w:lineRule="auto"/>
              <w:jc w:val="center"/>
              <w:rPr>
                <w:kern w:val="0"/>
                <w:sz w:val="18"/>
                <w:szCs w:val="18"/>
              </w:rPr>
            </w:pPr>
            <w:r>
              <w:rPr>
                <w:kern w:val="0"/>
                <w:sz w:val="18"/>
                <w:szCs w:val="18"/>
              </w:rPr>
              <w:t>验证</w:t>
            </w:r>
          </w:p>
        </w:tc>
        <w:tc>
          <w:tcPr>
            <w:tcW w:w="764"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必开</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7" w:type="dxa"/>
            <w:vAlign w:val="center"/>
          </w:tcPr>
          <w:p>
            <w:pPr>
              <w:adjustRightInd w:val="0"/>
              <w:snapToGrid w:val="0"/>
              <w:spacing w:line="300" w:lineRule="auto"/>
              <w:jc w:val="center"/>
              <w:rPr>
                <w:kern w:val="0"/>
                <w:sz w:val="18"/>
                <w:szCs w:val="18"/>
              </w:rPr>
            </w:pPr>
            <w:r>
              <w:rPr>
                <w:kern w:val="0"/>
                <w:sz w:val="18"/>
                <w:szCs w:val="18"/>
              </w:rPr>
              <w:t>2</w:t>
            </w:r>
          </w:p>
        </w:tc>
        <w:tc>
          <w:tcPr>
            <w:tcW w:w="2093" w:type="dxa"/>
            <w:vAlign w:val="center"/>
          </w:tcPr>
          <w:p>
            <w:pPr>
              <w:autoSpaceDE w:val="0"/>
              <w:autoSpaceDN w:val="0"/>
              <w:adjustRightInd w:val="0"/>
              <w:snapToGrid w:val="0"/>
              <w:spacing w:line="300" w:lineRule="auto"/>
              <w:jc w:val="left"/>
              <w:rPr>
                <w:kern w:val="0"/>
                <w:sz w:val="18"/>
                <w:szCs w:val="18"/>
              </w:rPr>
            </w:pPr>
            <w:r>
              <w:rPr>
                <w:rFonts w:hint="eastAsia"/>
                <w:kern w:val="0"/>
                <w:sz w:val="18"/>
                <w:szCs w:val="18"/>
              </w:rPr>
              <w:t>电涡流</w:t>
            </w:r>
            <w:r>
              <w:rPr>
                <w:kern w:val="0"/>
                <w:sz w:val="18"/>
                <w:szCs w:val="18"/>
              </w:rPr>
              <w:t>电感</w:t>
            </w:r>
            <w:r>
              <w:rPr>
                <w:rFonts w:hint="eastAsia"/>
                <w:kern w:val="0"/>
                <w:sz w:val="18"/>
                <w:szCs w:val="18"/>
              </w:rPr>
              <w:t>式</w:t>
            </w:r>
            <w:r>
              <w:rPr>
                <w:kern w:val="0"/>
                <w:sz w:val="18"/>
                <w:szCs w:val="18"/>
              </w:rPr>
              <w:t>传感器</w:t>
            </w:r>
            <w:r>
              <w:rPr>
                <w:rFonts w:hint="eastAsia"/>
                <w:kern w:val="0"/>
                <w:sz w:val="18"/>
                <w:szCs w:val="18"/>
              </w:rPr>
              <w:t>实验</w:t>
            </w:r>
          </w:p>
        </w:tc>
        <w:tc>
          <w:tcPr>
            <w:tcW w:w="2725" w:type="dxa"/>
            <w:tcMar>
              <w:top w:w="0" w:type="dxa"/>
              <w:left w:w="108" w:type="dxa"/>
              <w:bottom w:w="0" w:type="dxa"/>
              <w:right w:w="108" w:type="dxa"/>
            </w:tcMar>
            <w:vAlign w:val="center"/>
          </w:tcPr>
          <w:p>
            <w:pPr>
              <w:autoSpaceDE w:val="0"/>
              <w:autoSpaceDN w:val="0"/>
              <w:adjustRightInd w:val="0"/>
              <w:snapToGrid w:val="0"/>
              <w:spacing w:line="300" w:lineRule="auto"/>
              <w:jc w:val="left"/>
              <w:rPr>
                <w:kern w:val="0"/>
                <w:sz w:val="18"/>
                <w:szCs w:val="18"/>
              </w:rPr>
            </w:pPr>
            <w:r>
              <w:rPr>
                <w:kern w:val="0"/>
                <w:sz w:val="18"/>
                <w:szCs w:val="18"/>
              </w:rPr>
              <w:t>对比测量不同材料（铜、铝、铁）在电涡流测量时候的影响</w:t>
            </w:r>
          </w:p>
        </w:tc>
        <w:tc>
          <w:tcPr>
            <w:tcW w:w="634" w:type="dxa"/>
            <w:vAlign w:val="center"/>
          </w:tcPr>
          <w:p>
            <w:pPr>
              <w:adjustRightInd w:val="0"/>
              <w:snapToGrid w:val="0"/>
              <w:spacing w:line="300" w:lineRule="auto"/>
              <w:jc w:val="center"/>
              <w:rPr>
                <w:kern w:val="0"/>
                <w:sz w:val="18"/>
                <w:szCs w:val="18"/>
              </w:rPr>
            </w:pPr>
            <w:r>
              <w:rPr>
                <w:kern w:val="0"/>
                <w:sz w:val="18"/>
                <w:szCs w:val="18"/>
              </w:rPr>
              <w:t>2</w:t>
            </w:r>
          </w:p>
        </w:tc>
        <w:tc>
          <w:tcPr>
            <w:tcW w:w="619" w:type="dxa"/>
            <w:vAlign w:val="center"/>
          </w:tcPr>
          <w:p>
            <w:pPr>
              <w:adjustRightInd w:val="0"/>
              <w:snapToGrid w:val="0"/>
              <w:spacing w:line="300" w:lineRule="auto"/>
              <w:jc w:val="center"/>
              <w:rPr>
                <w:kern w:val="0"/>
                <w:sz w:val="18"/>
                <w:szCs w:val="18"/>
              </w:rPr>
            </w:pPr>
            <w:r>
              <w:rPr>
                <w:kern w:val="0"/>
                <w:sz w:val="18"/>
                <w:szCs w:val="18"/>
              </w:rPr>
              <w:t>验证</w:t>
            </w:r>
          </w:p>
        </w:tc>
        <w:tc>
          <w:tcPr>
            <w:tcW w:w="764"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必开</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7" w:type="dxa"/>
            <w:vAlign w:val="center"/>
          </w:tcPr>
          <w:p>
            <w:pPr>
              <w:adjustRightInd w:val="0"/>
              <w:snapToGrid w:val="0"/>
              <w:spacing w:line="300" w:lineRule="auto"/>
              <w:jc w:val="center"/>
              <w:rPr>
                <w:kern w:val="0"/>
                <w:sz w:val="18"/>
                <w:szCs w:val="18"/>
              </w:rPr>
            </w:pPr>
            <w:r>
              <w:rPr>
                <w:kern w:val="0"/>
                <w:sz w:val="18"/>
                <w:szCs w:val="18"/>
              </w:rPr>
              <w:t>3</w:t>
            </w:r>
          </w:p>
        </w:tc>
        <w:tc>
          <w:tcPr>
            <w:tcW w:w="2093" w:type="dxa"/>
            <w:vAlign w:val="center"/>
          </w:tcPr>
          <w:p>
            <w:pPr>
              <w:autoSpaceDE w:val="0"/>
              <w:autoSpaceDN w:val="0"/>
              <w:adjustRightInd w:val="0"/>
              <w:snapToGrid w:val="0"/>
              <w:spacing w:line="300" w:lineRule="auto"/>
              <w:jc w:val="left"/>
              <w:rPr>
                <w:kern w:val="0"/>
                <w:sz w:val="18"/>
                <w:szCs w:val="18"/>
              </w:rPr>
            </w:pPr>
            <w:r>
              <w:rPr>
                <w:kern w:val="0"/>
                <w:sz w:val="18"/>
                <w:szCs w:val="18"/>
              </w:rPr>
              <w:t>电容式传感器</w:t>
            </w:r>
            <w:r>
              <w:rPr>
                <w:rFonts w:hint="eastAsia"/>
                <w:kern w:val="0"/>
                <w:sz w:val="18"/>
                <w:szCs w:val="18"/>
              </w:rPr>
              <w:t>实验</w:t>
            </w:r>
          </w:p>
        </w:tc>
        <w:tc>
          <w:tcPr>
            <w:tcW w:w="2725" w:type="dxa"/>
            <w:tcMar>
              <w:top w:w="0" w:type="dxa"/>
              <w:left w:w="108" w:type="dxa"/>
              <w:bottom w:w="0" w:type="dxa"/>
              <w:right w:w="108" w:type="dxa"/>
            </w:tcMar>
            <w:vAlign w:val="center"/>
          </w:tcPr>
          <w:p>
            <w:pPr>
              <w:widowControl/>
              <w:adjustRightInd w:val="0"/>
              <w:snapToGrid w:val="0"/>
              <w:spacing w:line="300" w:lineRule="auto"/>
              <w:ind w:left="-6" w:right="-105" w:rightChars="-50" w:firstLine="6"/>
              <w:jc w:val="left"/>
              <w:rPr>
                <w:kern w:val="0"/>
                <w:sz w:val="18"/>
                <w:szCs w:val="18"/>
              </w:rPr>
            </w:pPr>
            <w:r>
              <w:rPr>
                <w:kern w:val="0"/>
                <w:sz w:val="18"/>
                <w:szCs w:val="18"/>
              </w:rPr>
              <w:t>使用电容式传感器测量位移</w:t>
            </w:r>
          </w:p>
        </w:tc>
        <w:tc>
          <w:tcPr>
            <w:tcW w:w="634" w:type="dxa"/>
            <w:vAlign w:val="center"/>
          </w:tcPr>
          <w:p>
            <w:pPr>
              <w:adjustRightInd w:val="0"/>
              <w:snapToGrid w:val="0"/>
              <w:spacing w:line="300" w:lineRule="auto"/>
              <w:jc w:val="center"/>
              <w:rPr>
                <w:kern w:val="0"/>
                <w:sz w:val="18"/>
                <w:szCs w:val="18"/>
              </w:rPr>
            </w:pPr>
            <w:r>
              <w:rPr>
                <w:kern w:val="0"/>
                <w:sz w:val="18"/>
                <w:szCs w:val="18"/>
              </w:rPr>
              <w:t>2</w:t>
            </w:r>
          </w:p>
        </w:tc>
        <w:tc>
          <w:tcPr>
            <w:tcW w:w="619" w:type="dxa"/>
            <w:vAlign w:val="center"/>
          </w:tcPr>
          <w:p>
            <w:pPr>
              <w:adjustRightInd w:val="0"/>
              <w:snapToGrid w:val="0"/>
              <w:spacing w:line="300" w:lineRule="auto"/>
              <w:jc w:val="center"/>
              <w:rPr>
                <w:kern w:val="0"/>
                <w:sz w:val="18"/>
                <w:szCs w:val="18"/>
              </w:rPr>
            </w:pPr>
            <w:r>
              <w:rPr>
                <w:kern w:val="0"/>
                <w:sz w:val="18"/>
                <w:szCs w:val="18"/>
              </w:rPr>
              <w:t>综合</w:t>
            </w:r>
          </w:p>
        </w:tc>
        <w:tc>
          <w:tcPr>
            <w:tcW w:w="764"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必开</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737" w:type="dxa"/>
            <w:vAlign w:val="center"/>
          </w:tcPr>
          <w:p>
            <w:pPr>
              <w:adjustRightInd w:val="0"/>
              <w:snapToGrid w:val="0"/>
              <w:spacing w:line="300" w:lineRule="auto"/>
              <w:jc w:val="center"/>
              <w:rPr>
                <w:kern w:val="0"/>
                <w:sz w:val="18"/>
                <w:szCs w:val="18"/>
              </w:rPr>
            </w:pPr>
            <w:r>
              <w:rPr>
                <w:kern w:val="0"/>
                <w:sz w:val="18"/>
                <w:szCs w:val="18"/>
              </w:rPr>
              <w:t>4</w:t>
            </w:r>
          </w:p>
        </w:tc>
        <w:tc>
          <w:tcPr>
            <w:tcW w:w="2093" w:type="dxa"/>
            <w:vAlign w:val="center"/>
          </w:tcPr>
          <w:p>
            <w:pPr>
              <w:autoSpaceDE w:val="0"/>
              <w:autoSpaceDN w:val="0"/>
              <w:adjustRightInd w:val="0"/>
              <w:snapToGrid w:val="0"/>
              <w:spacing w:line="300" w:lineRule="auto"/>
              <w:jc w:val="left"/>
              <w:rPr>
                <w:kern w:val="0"/>
                <w:sz w:val="18"/>
                <w:szCs w:val="18"/>
              </w:rPr>
            </w:pPr>
            <w:r>
              <w:rPr>
                <w:kern w:val="0"/>
                <w:sz w:val="18"/>
                <w:szCs w:val="18"/>
              </w:rPr>
              <w:t>霍尔传感器</w:t>
            </w:r>
            <w:r>
              <w:rPr>
                <w:rFonts w:hint="eastAsia"/>
                <w:kern w:val="0"/>
                <w:sz w:val="18"/>
                <w:szCs w:val="18"/>
              </w:rPr>
              <w:t>实验</w:t>
            </w:r>
          </w:p>
        </w:tc>
        <w:tc>
          <w:tcPr>
            <w:tcW w:w="2725" w:type="dxa"/>
            <w:tcMar>
              <w:top w:w="0" w:type="dxa"/>
              <w:left w:w="108" w:type="dxa"/>
              <w:bottom w:w="0" w:type="dxa"/>
              <w:right w:w="108" w:type="dxa"/>
            </w:tcMar>
            <w:vAlign w:val="center"/>
          </w:tcPr>
          <w:p>
            <w:pPr>
              <w:widowControl/>
              <w:adjustRightInd w:val="0"/>
              <w:snapToGrid w:val="0"/>
              <w:spacing w:line="300" w:lineRule="auto"/>
              <w:ind w:left="-6" w:right="-105" w:rightChars="-50" w:firstLine="6"/>
              <w:jc w:val="left"/>
              <w:rPr>
                <w:kern w:val="0"/>
                <w:sz w:val="18"/>
                <w:szCs w:val="18"/>
              </w:rPr>
            </w:pPr>
            <w:r>
              <w:rPr>
                <w:kern w:val="0"/>
                <w:sz w:val="18"/>
                <w:szCs w:val="18"/>
              </w:rPr>
              <w:t>使用霍尔传感器测量微小位移</w:t>
            </w:r>
          </w:p>
        </w:tc>
        <w:tc>
          <w:tcPr>
            <w:tcW w:w="634" w:type="dxa"/>
            <w:vAlign w:val="center"/>
          </w:tcPr>
          <w:p>
            <w:pPr>
              <w:adjustRightInd w:val="0"/>
              <w:snapToGrid w:val="0"/>
              <w:spacing w:line="300" w:lineRule="auto"/>
              <w:jc w:val="center"/>
              <w:rPr>
                <w:kern w:val="0"/>
                <w:sz w:val="18"/>
                <w:szCs w:val="18"/>
              </w:rPr>
            </w:pPr>
            <w:r>
              <w:rPr>
                <w:kern w:val="0"/>
                <w:sz w:val="18"/>
                <w:szCs w:val="18"/>
              </w:rPr>
              <w:t>2</w:t>
            </w:r>
          </w:p>
        </w:tc>
        <w:tc>
          <w:tcPr>
            <w:tcW w:w="619" w:type="dxa"/>
            <w:vAlign w:val="center"/>
          </w:tcPr>
          <w:p>
            <w:pPr>
              <w:adjustRightInd w:val="0"/>
              <w:snapToGrid w:val="0"/>
              <w:spacing w:line="300" w:lineRule="auto"/>
              <w:jc w:val="center"/>
              <w:rPr>
                <w:kern w:val="0"/>
                <w:sz w:val="18"/>
                <w:szCs w:val="18"/>
              </w:rPr>
            </w:pPr>
            <w:r>
              <w:rPr>
                <w:kern w:val="0"/>
                <w:sz w:val="18"/>
                <w:szCs w:val="18"/>
              </w:rPr>
              <w:t>验证</w:t>
            </w:r>
          </w:p>
        </w:tc>
        <w:tc>
          <w:tcPr>
            <w:tcW w:w="764" w:type="dxa"/>
            <w:vAlign w:val="center"/>
          </w:tcPr>
          <w:p>
            <w:pPr>
              <w:adjustRightInd w:val="0"/>
              <w:snapToGrid w:val="0"/>
              <w:spacing w:line="300" w:lineRule="auto"/>
              <w:jc w:val="center"/>
              <w:rPr>
                <w:kern w:val="0"/>
                <w:sz w:val="18"/>
                <w:szCs w:val="18"/>
              </w:rPr>
            </w:pPr>
            <w:r>
              <w:rPr>
                <w:kern w:val="0"/>
                <w:sz w:val="18"/>
                <w:szCs w:val="18"/>
              </w:rPr>
              <w:t>2</w:t>
            </w:r>
          </w:p>
        </w:tc>
        <w:tc>
          <w:tcPr>
            <w:tcW w:w="741" w:type="dxa"/>
            <w:vAlign w:val="center"/>
          </w:tcPr>
          <w:p>
            <w:pPr>
              <w:adjustRightInd w:val="0"/>
              <w:snapToGrid w:val="0"/>
              <w:spacing w:line="300" w:lineRule="auto"/>
              <w:jc w:val="center"/>
              <w:rPr>
                <w:kern w:val="0"/>
                <w:sz w:val="18"/>
                <w:szCs w:val="18"/>
              </w:rPr>
            </w:pPr>
            <w:r>
              <w:rPr>
                <w:kern w:val="0"/>
                <w:sz w:val="18"/>
                <w:szCs w:val="18"/>
              </w:rPr>
              <w:t>必开</w:t>
            </w:r>
          </w:p>
        </w:tc>
        <w:tc>
          <w:tcPr>
            <w:tcW w:w="741" w:type="dxa"/>
            <w:vAlign w:val="center"/>
          </w:tcPr>
          <w:p>
            <w:pPr>
              <w:adjustRightInd w:val="0"/>
              <w:snapToGrid w:val="0"/>
              <w:spacing w:line="300" w:lineRule="auto"/>
              <w:jc w:val="center"/>
              <w:rPr>
                <w:kern w:val="0"/>
                <w:sz w:val="18"/>
                <w:szCs w:val="18"/>
              </w:rPr>
            </w:pPr>
            <w:r>
              <w:rPr>
                <w:kern w:val="0"/>
                <w:sz w:val="18"/>
                <w:szCs w:val="18"/>
              </w:rPr>
              <w:t>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snapToGrid w:val="0"/>
        <w:spacing w:line="300" w:lineRule="auto"/>
        <w:ind w:firstLine="420" w:firstLineChars="200"/>
      </w:pPr>
      <w:r>
        <w:t>1．考核方式：</w:t>
      </w:r>
      <w:r>
        <w:rPr>
          <w:rFonts w:hint="eastAsia"/>
        </w:rPr>
        <w:t>开</w:t>
      </w:r>
      <w:r>
        <w:rPr>
          <w:szCs w:val="21"/>
        </w:rPr>
        <w:t>卷笔试</w:t>
      </w:r>
      <w:r>
        <w:rPr>
          <w:rFonts w:hint="eastAsia"/>
          <w:szCs w:val="21"/>
        </w:rPr>
        <w:t>、</w:t>
      </w:r>
      <w:r>
        <w:rPr>
          <w:szCs w:val="21"/>
        </w:rPr>
        <w:t>作业</w:t>
      </w:r>
      <w:r>
        <w:rPr>
          <w:rFonts w:hint="eastAsia"/>
          <w:szCs w:val="21"/>
        </w:rPr>
        <w:t>、</w:t>
      </w:r>
      <w:r>
        <w:rPr>
          <w:szCs w:val="21"/>
        </w:rPr>
        <w:t>实验报告及</w:t>
      </w:r>
      <w:r>
        <w:rPr>
          <w:rFonts w:hint="eastAsia"/>
          <w:szCs w:val="21"/>
        </w:rPr>
        <w:t>课堂表现</w:t>
      </w:r>
      <w:r>
        <w:rPr>
          <w:szCs w:val="21"/>
        </w:rPr>
        <w:t>。</w:t>
      </w:r>
    </w:p>
    <w:p>
      <w:pPr>
        <w:snapToGrid w:val="0"/>
        <w:spacing w:line="300" w:lineRule="auto"/>
        <w:ind w:firstLine="420" w:firstLineChars="200"/>
      </w:pPr>
      <w:r>
        <w:t>2．成绩构成：</w:t>
      </w:r>
      <w:r>
        <w:rPr>
          <w:szCs w:val="21"/>
        </w:rPr>
        <w:t>笔试成绩60%，平时成绩40%（课后作业、课堂表现、实验成绩等）。</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56"/>
        <w:gridCol w:w="654"/>
        <w:gridCol w:w="639"/>
        <w:gridCol w:w="540"/>
        <w:gridCol w:w="3535"/>
        <w:gridCol w:w="92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6"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385" w:type="pct"/>
            <w:vAlign w:val="center"/>
          </w:tcPr>
          <w:p>
            <w:pPr>
              <w:snapToGrid w:val="0"/>
              <w:spacing w:line="300" w:lineRule="auto"/>
              <w:jc w:val="center"/>
              <w:rPr>
                <w:b/>
                <w:bCs/>
                <w:sz w:val="18"/>
                <w:szCs w:val="18"/>
              </w:rPr>
            </w:pPr>
            <w:r>
              <w:rPr>
                <w:b/>
                <w:bCs/>
                <w:sz w:val="18"/>
                <w:szCs w:val="18"/>
              </w:rPr>
              <w:t>分值</w:t>
            </w:r>
          </w:p>
        </w:tc>
        <w:tc>
          <w:tcPr>
            <w:tcW w:w="384" w:type="pct"/>
            <w:vAlign w:val="center"/>
          </w:tcPr>
          <w:p>
            <w:pPr>
              <w:snapToGrid w:val="0"/>
              <w:spacing w:line="300" w:lineRule="auto"/>
              <w:jc w:val="center"/>
              <w:rPr>
                <w:b/>
                <w:bCs/>
                <w:sz w:val="18"/>
                <w:szCs w:val="18"/>
              </w:rPr>
            </w:pPr>
            <w:r>
              <w:rPr>
                <w:b/>
                <w:bCs/>
                <w:sz w:val="18"/>
                <w:szCs w:val="18"/>
              </w:rPr>
              <w:t>权重</w:t>
            </w:r>
          </w:p>
        </w:tc>
        <w:tc>
          <w:tcPr>
            <w:tcW w:w="375" w:type="pct"/>
            <w:vAlign w:val="center"/>
          </w:tcPr>
          <w:p>
            <w:pPr>
              <w:snapToGrid w:val="0"/>
              <w:spacing w:line="300" w:lineRule="auto"/>
              <w:jc w:val="center"/>
              <w:rPr>
                <w:b/>
                <w:bCs/>
                <w:sz w:val="18"/>
                <w:szCs w:val="18"/>
              </w:rPr>
            </w:pPr>
            <w:r>
              <w:rPr>
                <w:b/>
                <w:bCs/>
                <w:sz w:val="18"/>
                <w:szCs w:val="18"/>
              </w:rPr>
              <w:t>类别</w:t>
            </w:r>
          </w:p>
        </w:tc>
        <w:tc>
          <w:tcPr>
            <w:tcW w:w="317" w:type="pct"/>
            <w:vAlign w:val="center"/>
          </w:tcPr>
          <w:p>
            <w:pPr>
              <w:snapToGrid w:val="0"/>
              <w:spacing w:line="300" w:lineRule="auto"/>
              <w:jc w:val="center"/>
              <w:rPr>
                <w:b/>
                <w:bCs/>
                <w:sz w:val="18"/>
                <w:szCs w:val="18"/>
              </w:rPr>
            </w:pPr>
            <w:r>
              <w:rPr>
                <w:b/>
                <w:bCs/>
                <w:sz w:val="18"/>
                <w:szCs w:val="18"/>
              </w:rPr>
              <w:t>权重</w:t>
            </w:r>
          </w:p>
        </w:tc>
        <w:tc>
          <w:tcPr>
            <w:tcW w:w="2074" w:type="pct"/>
            <w:vAlign w:val="center"/>
          </w:tcPr>
          <w:p>
            <w:pPr>
              <w:snapToGrid w:val="0"/>
              <w:spacing w:line="300" w:lineRule="auto"/>
              <w:jc w:val="center"/>
              <w:rPr>
                <w:b/>
                <w:bCs/>
                <w:sz w:val="18"/>
                <w:szCs w:val="18"/>
              </w:rPr>
            </w:pPr>
            <w:r>
              <w:rPr>
                <w:b/>
                <w:bCs/>
                <w:sz w:val="18"/>
                <w:szCs w:val="18"/>
              </w:rPr>
              <w:t>考核/评价细则</w:t>
            </w:r>
          </w:p>
        </w:tc>
        <w:tc>
          <w:tcPr>
            <w:tcW w:w="540"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39" w:type="pct"/>
            <w:vAlign w:val="center"/>
          </w:tcPr>
          <w:p>
            <w:pPr>
              <w:snapToGrid w:val="0"/>
              <w:spacing w:line="300" w:lineRule="auto"/>
              <w:jc w:val="center"/>
              <w:rPr>
                <w:b/>
                <w:bCs/>
                <w:sz w:val="18"/>
                <w:szCs w:val="18"/>
              </w:rPr>
            </w:pPr>
            <w:r>
              <w:rPr>
                <w:rFonts w:hint="eastAsia"/>
                <w:b/>
                <w:bCs/>
                <w:sz w:val="18"/>
                <w:szCs w:val="18"/>
              </w:rPr>
              <w:t>毕业</w:t>
            </w:r>
          </w:p>
          <w:p>
            <w:pPr>
              <w:snapToGrid w:val="0"/>
              <w:spacing w:line="300" w:lineRule="auto"/>
              <w:jc w:val="center"/>
              <w:rPr>
                <w:b/>
                <w:bCs/>
                <w:sz w:val="18"/>
                <w:szCs w:val="18"/>
              </w:rPr>
            </w:pPr>
            <w:r>
              <w:rPr>
                <w:rFonts w:hint="eastAsia"/>
                <w:b/>
                <w:bCs/>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4" w:type="pct"/>
            <w:vMerge w:val="restart"/>
            <w:vAlign w:val="center"/>
          </w:tcPr>
          <w:p>
            <w:pPr>
              <w:snapToGrid w:val="0"/>
              <w:spacing w:line="300" w:lineRule="auto"/>
              <w:jc w:val="center"/>
              <w:rPr>
                <w:sz w:val="18"/>
                <w:szCs w:val="18"/>
              </w:rPr>
            </w:pPr>
            <w:r>
              <w:rPr>
                <w:sz w:val="18"/>
                <w:szCs w:val="18"/>
              </w:rPr>
              <w:t>0.4</w:t>
            </w:r>
          </w:p>
        </w:tc>
        <w:tc>
          <w:tcPr>
            <w:tcW w:w="375" w:type="pct"/>
            <w:vAlign w:val="center"/>
          </w:tcPr>
          <w:p>
            <w:pPr>
              <w:snapToGrid w:val="0"/>
              <w:spacing w:line="300" w:lineRule="auto"/>
              <w:jc w:val="center"/>
              <w:rPr>
                <w:sz w:val="18"/>
                <w:szCs w:val="18"/>
              </w:rPr>
            </w:pPr>
            <w:r>
              <w:rPr>
                <w:sz w:val="18"/>
                <w:szCs w:val="18"/>
              </w:rPr>
              <w:t>课堂表现</w:t>
            </w:r>
          </w:p>
        </w:tc>
        <w:tc>
          <w:tcPr>
            <w:tcW w:w="317" w:type="pct"/>
            <w:vAlign w:val="center"/>
          </w:tcPr>
          <w:p>
            <w:pPr>
              <w:snapToGrid w:val="0"/>
              <w:spacing w:line="300" w:lineRule="auto"/>
              <w:jc w:val="center"/>
              <w:rPr>
                <w:sz w:val="18"/>
                <w:szCs w:val="18"/>
              </w:rPr>
            </w:pPr>
            <w:r>
              <w:rPr>
                <w:sz w:val="18"/>
                <w:szCs w:val="18"/>
              </w:rPr>
              <w:t>0.08</w:t>
            </w:r>
          </w:p>
        </w:tc>
        <w:tc>
          <w:tcPr>
            <w:tcW w:w="2074" w:type="pct"/>
            <w:vAlign w:val="center"/>
          </w:tcPr>
          <w:p>
            <w:pPr>
              <w:snapToGrid w:val="0"/>
              <w:spacing w:line="300" w:lineRule="auto"/>
              <w:rPr>
                <w:sz w:val="18"/>
                <w:szCs w:val="18"/>
              </w:rPr>
            </w:pPr>
            <w:r>
              <w:rPr>
                <w:sz w:val="18"/>
                <w:szCs w:val="18"/>
              </w:rPr>
              <w:t>根据学生课堂表现打分，满分100。</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restart"/>
            <w:vAlign w:val="center"/>
          </w:tcPr>
          <w:p>
            <w:pPr>
              <w:snapToGrid w:val="0"/>
              <w:spacing w:line="300" w:lineRule="auto"/>
              <w:jc w:val="center"/>
              <w:rPr>
                <w:sz w:val="18"/>
                <w:szCs w:val="18"/>
              </w:rPr>
            </w:pPr>
            <w:r>
              <w:rPr>
                <w:sz w:val="18"/>
                <w:szCs w:val="18"/>
              </w:rPr>
              <w:t>作业</w:t>
            </w:r>
          </w:p>
        </w:tc>
        <w:tc>
          <w:tcPr>
            <w:tcW w:w="317" w:type="pct"/>
            <w:vAlign w:val="center"/>
          </w:tcPr>
          <w:p>
            <w:pPr>
              <w:snapToGrid w:val="0"/>
              <w:spacing w:line="300" w:lineRule="auto"/>
              <w:jc w:val="center"/>
              <w:rPr>
                <w:sz w:val="18"/>
                <w:szCs w:val="18"/>
              </w:rPr>
            </w:pPr>
            <w:r>
              <w:rPr>
                <w:sz w:val="18"/>
                <w:szCs w:val="18"/>
              </w:rPr>
              <w:t>0.08</w:t>
            </w:r>
          </w:p>
        </w:tc>
        <w:tc>
          <w:tcPr>
            <w:tcW w:w="2074" w:type="pct"/>
            <w:vMerge w:val="restart"/>
            <w:vAlign w:val="center"/>
          </w:tcPr>
          <w:p>
            <w:pPr>
              <w:snapToGrid w:val="0"/>
              <w:spacing w:line="300" w:lineRule="auto"/>
              <w:rPr>
                <w:color w:val="FF0000"/>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；每次作业按100分制单独评分，取各次成绩的平均值作为书面作业成绩</w:t>
            </w:r>
            <w:r>
              <w:rPr>
                <w:rFonts w:hint="eastAsia"/>
                <w:sz w:val="18"/>
                <w:szCs w:val="18"/>
              </w:rPr>
              <w:t>。</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continue"/>
            <w:vAlign w:val="center"/>
          </w:tcPr>
          <w:p>
            <w:pPr>
              <w:snapToGrid w:val="0"/>
              <w:spacing w:line="300" w:lineRule="auto"/>
              <w:jc w:val="center"/>
              <w:rPr>
                <w:sz w:val="18"/>
                <w:szCs w:val="18"/>
              </w:rPr>
            </w:pPr>
          </w:p>
        </w:tc>
        <w:tc>
          <w:tcPr>
            <w:tcW w:w="317" w:type="pct"/>
            <w:vAlign w:val="center"/>
          </w:tcPr>
          <w:p>
            <w:pPr>
              <w:snapToGrid w:val="0"/>
              <w:spacing w:line="300" w:lineRule="auto"/>
              <w:jc w:val="center"/>
              <w:rPr>
                <w:sz w:val="18"/>
                <w:szCs w:val="18"/>
              </w:rPr>
            </w:pPr>
            <w:r>
              <w:rPr>
                <w:sz w:val="18"/>
                <w:szCs w:val="18"/>
              </w:rPr>
              <w:t>0.08</w:t>
            </w:r>
          </w:p>
        </w:tc>
        <w:tc>
          <w:tcPr>
            <w:tcW w:w="2074"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sz w:val="18"/>
                <w:szCs w:val="18"/>
              </w:rPr>
              <w:t>2</w:t>
            </w:r>
          </w:p>
        </w:tc>
        <w:tc>
          <w:tcPr>
            <w:tcW w:w="539" w:type="pct"/>
            <w:vAlign w:val="center"/>
          </w:tcPr>
          <w:p>
            <w:pPr>
              <w:snapToGrid w:val="0"/>
              <w:spacing w:line="300" w:lineRule="auto"/>
              <w:jc w:val="center"/>
              <w:rPr>
                <w:sz w:val="18"/>
                <w:szCs w:val="18"/>
              </w:rPr>
            </w:pPr>
            <w:r>
              <w:rPr>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Align w:val="center"/>
          </w:tcPr>
          <w:p>
            <w:pPr>
              <w:snapToGrid w:val="0"/>
              <w:spacing w:line="300" w:lineRule="auto"/>
              <w:jc w:val="center"/>
              <w:rPr>
                <w:sz w:val="18"/>
                <w:szCs w:val="18"/>
              </w:rPr>
            </w:pPr>
            <w:r>
              <w:rPr>
                <w:sz w:val="18"/>
                <w:szCs w:val="18"/>
              </w:rPr>
              <w:t>实验</w:t>
            </w:r>
          </w:p>
        </w:tc>
        <w:tc>
          <w:tcPr>
            <w:tcW w:w="317" w:type="pct"/>
            <w:vAlign w:val="center"/>
          </w:tcPr>
          <w:p>
            <w:pPr>
              <w:snapToGrid w:val="0"/>
              <w:spacing w:line="300" w:lineRule="auto"/>
              <w:jc w:val="center"/>
              <w:rPr>
                <w:sz w:val="18"/>
                <w:szCs w:val="18"/>
              </w:rPr>
            </w:pPr>
            <w:r>
              <w:rPr>
                <w:sz w:val="18"/>
                <w:szCs w:val="18"/>
              </w:rPr>
              <w:t>0.16</w:t>
            </w:r>
          </w:p>
        </w:tc>
        <w:tc>
          <w:tcPr>
            <w:tcW w:w="2074" w:type="pct"/>
            <w:vAlign w:val="center"/>
          </w:tcPr>
          <w:p>
            <w:pPr>
              <w:snapToGrid w:val="0"/>
              <w:spacing w:line="300" w:lineRule="auto"/>
              <w:rPr>
                <w:sz w:val="18"/>
                <w:szCs w:val="18"/>
              </w:rPr>
            </w:pPr>
            <w:r>
              <w:rPr>
                <w:sz w:val="18"/>
                <w:szCs w:val="18"/>
              </w:rPr>
              <w:t>根据实验完成质量以及实验报告质量评分</w:t>
            </w:r>
            <w:r>
              <w:rPr>
                <w:rFonts w:hint="eastAsia"/>
                <w:sz w:val="18"/>
                <w:szCs w:val="18"/>
              </w:rPr>
              <w:t>；共四次实验，</w:t>
            </w:r>
            <w:r>
              <w:rPr>
                <w:sz w:val="18"/>
                <w:szCs w:val="18"/>
              </w:rPr>
              <w:t>每次作业按100分制单独评分，取各次成绩的平均值作为书面作业</w:t>
            </w:r>
            <w:r>
              <w:rPr>
                <w:rFonts w:hint="eastAsia"/>
                <w:sz w:val="18"/>
                <w:szCs w:val="18"/>
              </w:rPr>
              <w:t>实验</w:t>
            </w:r>
            <w:r>
              <w:rPr>
                <w:sz w:val="18"/>
                <w:szCs w:val="18"/>
              </w:rPr>
              <w:t>成绩</w:t>
            </w:r>
            <w:r>
              <w:rPr>
                <w:rFonts w:hint="eastAsia"/>
                <w:sz w:val="18"/>
                <w:szCs w:val="18"/>
              </w:rPr>
              <w:t>。</w:t>
            </w:r>
          </w:p>
        </w:tc>
        <w:tc>
          <w:tcPr>
            <w:tcW w:w="540" w:type="pct"/>
            <w:vAlign w:val="center"/>
          </w:tcPr>
          <w:p>
            <w:pPr>
              <w:snapToGrid w:val="0"/>
              <w:spacing w:line="300" w:lineRule="auto"/>
              <w:jc w:val="center"/>
              <w:rPr>
                <w:sz w:val="18"/>
                <w:szCs w:val="18"/>
              </w:rPr>
            </w:pPr>
            <w:r>
              <w:rPr>
                <w:sz w:val="18"/>
                <w:szCs w:val="18"/>
              </w:rPr>
              <w:t>2</w:t>
            </w:r>
          </w:p>
        </w:tc>
        <w:tc>
          <w:tcPr>
            <w:tcW w:w="539" w:type="pct"/>
            <w:vAlign w:val="center"/>
          </w:tcPr>
          <w:p>
            <w:pPr>
              <w:snapToGrid w:val="0"/>
              <w:spacing w:line="300" w:lineRule="auto"/>
              <w:jc w:val="center"/>
              <w:rPr>
                <w:sz w:val="18"/>
                <w:szCs w:val="18"/>
              </w:rPr>
            </w:pPr>
            <w:r>
              <w:rPr>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86" w:type="pct"/>
            <w:vMerge w:val="restart"/>
            <w:vAlign w:val="center"/>
          </w:tcPr>
          <w:p>
            <w:pPr>
              <w:snapToGrid w:val="0"/>
              <w:spacing w:line="300" w:lineRule="auto"/>
              <w:rPr>
                <w:sz w:val="18"/>
                <w:szCs w:val="18"/>
              </w:rPr>
            </w:pPr>
            <w:r>
              <w:rPr>
                <w:sz w:val="18"/>
                <w:szCs w:val="18"/>
              </w:rPr>
              <w:t>期末考试成绩</w:t>
            </w:r>
          </w:p>
        </w:tc>
        <w:tc>
          <w:tcPr>
            <w:tcW w:w="385" w:type="pct"/>
            <w:vMerge w:val="restart"/>
            <w:vAlign w:val="center"/>
          </w:tcPr>
          <w:p>
            <w:pPr>
              <w:snapToGrid w:val="0"/>
              <w:spacing w:line="300" w:lineRule="auto"/>
              <w:jc w:val="center"/>
              <w:rPr>
                <w:sz w:val="18"/>
                <w:szCs w:val="18"/>
              </w:rPr>
            </w:pPr>
            <w:r>
              <w:rPr>
                <w:sz w:val="18"/>
                <w:szCs w:val="18"/>
              </w:rPr>
              <w:t>100</w:t>
            </w:r>
          </w:p>
        </w:tc>
        <w:tc>
          <w:tcPr>
            <w:tcW w:w="384" w:type="pct"/>
            <w:vMerge w:val="restart"/>
            <w:vAlign w:val="center"/>
          </w:tcPr>
          <w:p>
            <w:pPr>
              <w:snapToGrid w:val="0"/>
              <w:spacing w:line="300" w:lineRule="auto"/>
              <w:jc w:val="center"/>
              <w:rPr>
                <w:sz w:val="18"/>
                <w:szCs w:val="18"/>
              </w:rPr>
            </w:pPr>
            <w:r>
              <w:rPr>
                <w:sz w:val="18"/>
                <w:szCs w:val="18"/>
              </w:rPr>
              <w:t>0.6</w:t>
            </w:r>
          </w:p>
        </w:tc>
        <w:tc>
          <w:tcPr>
            <w:tcW w:w="375" w:type="pct"/>
            <w:vMerge w:val="restart"/>
            <w:vAlign w:val="center"/>
          </w:tcPr>
          <w:p>
            <w:pPr>
              <w:snapToGrid w:val="0"/>
              <w:spacing w:line="300" w:lineRule="auto"/>
              <w:jc w:val="left"/>
              <w:rPr>
                <w:sz w:val="18"/>
                <w:szCs w:val="18"/>
              </w:rPr>
            </w:pPr>
            <w:r>
              <w:rPr>
                <w:sz w:val="18"/>
                <w:szCs w:val="18"/>
              </w:rPr>
              <w:t>闭卷考试</w:t>
            </w:r>
          </w:p>
        </w:tc>
        <w:tc>
          <w:tcPr>
            <w:tcW w:w="317" w:type="pct"/>
            <w:vAlign w:val="center"/>
          </w:tcPr>
          <w:p>
            <w:pPr>
              <w:snapToGrid w:val="0"/>
              <w:spacing w:line="300" w:lineRule="auto"/>
              <w:jc w:val="center"/>
              <w:rPr>
                <w:sz w:val="18"/>
                <w:szCs w:val="18"/>
              </w:rPr>
            </w:pPr>
            <w:r>
              <w:rPr>
                <w:sz w:val="18"/>
                <w:szCs w:val="18"/>
              </w:rPr>
              <w:t>0.36</w:t>
            </w:r>
          </w:p>
        </w:tc>
        <w:tc>
          <w:tcPr>
            <w:tcW w:w="2074" w:type="pct"/>
            <w:vMerge w:val="restart"/>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第1-10章。</w:t>
            </w:r>
          </w:p>
          <w:p>
            <w:pPr>
              <w:snapToGrid w:val="0"/>
              <w:spacing w:line="300" w:lineRule="auto"/>
              <w:rPr>
                <w:sz w:val="18"/>
                <w:szCs w:val="18"/>
              </w:rPr>
            </w:pPr>
            <w:r>
              <w:rPr>
                <w:sz w:val="18"/>
                <w:szCs w:val="18"/>
              </w:rPr>
              <w:t>(3)建议考试题型包括：选择题、填空题、判断、综合计算题、分析题等其中某几种题型。</w:t>
            </w:r>
          </w:p>
        </w:tc>
        <w:tc>
          <w:tcPr>
            <w:tcW w:w="540" w:type="pct"/>
            <w:vAlign w:val="center"/>
          </w:tcPr>
          <w:p>
            <w:pPr>
              <w:snapToGrid w:val="0"/>
              <w:spacing w:line="300" w:lineRule="auto"/>
              <w:jc w:val="center"/>
              <w:rPr>
                <w:sz w:val="18"/>
                <w:szCs w:val="18"/>
              </w:rPr>
            </w:pPr>
            <w:r>
              <w:rPr>
                <w:sz w:val="18"/>
                <w:szCs w:val="18"/>
              </w:rPr>
              <w:t>1</w:t>
            </w:r>
          </w:p>
        </w:tc>
        <w:tc>
          <w:tcPr>
            <w:tcW w:w="539" w:type="pct"/>
            <w:vAlign w:val="center"/>
          </w:tcPr>
          <w:p>
            <w:pPr>
              <w:snapToGrid w:val="0"/>
              <w:spacing w:line="300" w:lineRule="auto"/>
              <w:jc w:val="center"/>
              <w:rPr>
                <w:sz w:val="18"/>
                <w:szCs w:val="18"/>
              </w:rPr>
            </w:pPr>
            <w:r>
              <w:rPr>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386" w:type="pct"/>
            <w:vMerge w:val="continue"/>
            <w:vAlign w:val="center"/>
          </w:tcPr>
          <w:p>
            <w:pPr>
              <w:snapToGrid w:val="0"/>
              <w:spacing w:line="300" w:lineRule="auto"/>
              <w:rPr>
                <w:sz w:val="18"/>
                <w:szCs w:val="18"/>
              </w:rPr>
            </w:pPr>
          </w:p>
        </w:tc>
        <w:tc>
          <w:tcPr>
            <w:tcW w:w="385" w:type="pct"/>
            <w:vMerge w:val="continue"/>
            <w:vAlign w:val="center"/>
          </w:tcPr>
          <w:p>
            <w:pPr>
              <w:snapToGrid w:val="0"/>
              <w:spacing w:line="300" w:lineRule="auto"/>
              <w:jc w:val="center"/>
              <w:rPr>
                <w:sz w:val="18"/>
                <w:szCs w:val="18"/>
              </w:rPr>
            </w:pPr>
          </w:p>
        </w:tc>
        <w:tc>
          <w:tcPr>
            <w:tcW w:w="384" w:type="pct"/>
            <w:vMerge w:val="continue"/>
            <w:vAlign w:val="center"/>
          </w:tcPr>
          <w:p>
            <w:pPr>
              <w:snapToGrid w:val="0"/>
              <w:spacing w:line="300" w:lineRule="auto"/>
              <w:jc w:val="center"/>
              <w:rPr>
                <w:sz w:val="18"/>
                <w:szCs w:val="18"/>
              </w:rPr>
            </w:pPr>
          </w:p>
        </w:tc>
        <w:tc>
          <w:tcPr>
            <w:tcW w:w="375" w:type="pct"/>
            <w:vMerge w:val="continue"/>
            <w:vAlign w:val="center"/>
          </w:tcPr>
          <w:p>
            <w:pPr>
              <w:snapToGrid w:val="0"/>
              <w:spacing w:line="300" w:lineRule="auto"/>
              <w:jc w:val="left"/>
              <w:rPr>
                <w:sz w:val="18"/>
                <w:szCs w:val="18"/>
              </w:rPr>
            </w:pPr>
          </w:p>
        </w:tc>
        <w:tc>
          <w:tcPr>
            <w:tcW w:w="317" w:type="pct"/>
            <w:vAlign w:val="center"/>
          </w:tcPr>
          <w:p>
            <w:pPr>
              <w:snapToGrid w:val="0"/>
              <w:spacing w:line="300" w:lineRule="auto"/>
              <w:jc w:val="center"/>
              <w:rPr>
                <w:sz w:val="18"/>
                <w:szCs w:val="18"/>
              </w:rPr>
            </w:pPr>
            <w:r>
              <w:rPr>
                <w:rFonts w:hint="eastAsia"/>
                <w:sz w:val="18"/>
                <w:szCs w:val="18"/>
              </w:rPr>
              <w:t>0</w:t>
            </w:r>
            <w:r>
              <w:rPr>
                <w:sz w:val="18"/>
                <w:szCs w:val="18"/>
              </w:rPr>
              <w:t>.24</w:t>
            </w:r>
          </w:p>
        </w:tc>
        <w:tc>
          <w:tcPr>
            <w:tcW w:w="2074" w:type="pct"/>
            <w:vMerge w:val="continue"/>
            <w:vAlign w:val="center"/>
          </w:tcPr>
          <w:p>
            <w:pPr>
              <w:snapToGrid w:val="0"/>
              <w:spacing w:line="300" w:lineRule="auto"/>
              <w:rPr>
                <w:sz w:val="18"/>
                <w:szCs w:val="18"/>
              </w:rPr>
            </w:pPr>
          </w:p>
        </w:tc>
        <w:tc>
          <w:tcPr>
            <w:tcW w:w="540" w:type="pct"/>
            <w:vAlign w:val="center"/>
          </w:tcPr>
          <w:p>
            <w:pPr>
              <w:snapToGrid w:val="0"/>
              <w:spacing w:line="300" w:lineRule="auto"/>
              <w:jc w:val="center"/>
              <w:rPr>
                <w:sz w:val="18"/>
                <w:szCs w:val="18"/>
              </w:rPr>
            </w:pPr>
            <w:r>
              <w:rPr>
                <w:sz w:val="18"/>
                <w:szCs w:val="18"/>
              </w:rPr>
              <w:t>2</w:t>
            </w:r>
          </w:p>
        </w:tc>
        <w:tc>
          <w:tcPr>
            <w:tcW w:w="539" w:type="pct"/>
            <w:vAlign w:val="center"/>
          </w:tcPr>
          <w:p>
            <w:pPr>
              <w:snapToGrid w:val="0"/>
              <w:spacing w:line="300" w:lineRule="auto"/>
              <w:jc w:val="center"/>
              <w:rPr>
                <w:sz w:val="18"/>
                <w:szCs w:val="18"/>
              </w:rPr>
            </w:pPr>
            <w:r>
              <w:rPr>
                <w:sz w:val="18"/>
                <w:szCs w:val="18"/>
              </w:rPr>
              <w:t>5.1</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六、课程教学目标达成度评价</w:t>
      </w:r>
    </w:p>
    <w:p>
      <w:pPr>
        <w:snapToGrid w:val="0"/>
        <w:spacing w:line="300" w:lineRule="auto"/>
        <w:ind w:firstLine="420" w:firstLineChars="200"/>
        <w:rPr>
          <w:szCs w:val="21"/>
        </w:rPr>
      </w:pPr>
      <w:bookmarkStart w:id="163" w:name="_Hlk36227011"/>
      <w:r>
        <w:rPr>
          <w:szCs w:val="21"/>
        </w:rPr>
        <w:t>1</w:t>
      </w:r>
      <w:r>
        <w:t>．</w:t>
      </w:r>
      <w:bookmarkEnd w:id="163"/>
      <w:r>
        <w:rPr>
          <w:szCs w:val="21"/>
        </w:rPr>
        <w:t>达成度评价依据和方法：</w:t>
      </w:r>
    </w:p>
    <w:p>
      <w:pPr>
        <w:spacing w:line="300" w:lineRule="auto"/>
        <w:ind w:firstLine="420" w:firstLineChars="200"/>
      </w:pPr>
      <w:r>
        <w:t>课程各目标达成情况为该项目学生的平均得分率，其计算公式为：</w:t>
      </w:r>
    </w:p>
    <w:p>
      <w:pPr>
        <w:spacing w:line="300" w:lineRule="auto"/>
        <w:jc w:val="center"/>
      </w:pPr>
      <w:r>
        <w:rPr>
          <w:position w:val="-26"/>
        </w:rPr>
        <w:object>
          <v:shape id="_x0000_i1125" o:spt="75" type="#_x0000_t75" style="height:27.75pt;width:339.75pt;" o:ole="t" filled="f" o:preferrelative="t" stroked="f" coordsize="21600,21600">
            <v:path/>
            <v:fill on="f" focussize="0,0"/>
            <v:stroke on="f" joinstyle="miter"/>
            <v:imagedata r:id="rId36" o:title=""/>
            <o:lock v:ext="edit" aspectratio="t"/>
            <w10:wrap type="none"/>
            <w10:anchorlock/>
          </v:shape>
          <o:OLEObject Type="Embed" ProgID="Equation.3" ShapeID="_x0000_i1125" DrawAspect="Content" ObjectID="_1468075822" r:id="rId138">
            <o:LockedField>false</o:LockedField>
          </o:OLEObject>
        </w:object>
      </w:r>
    </w:p>
    <w:p>
      <w:pPr>
        <w:spacing w:line="300" w:lineRule="auto"/>
        <w:ind w:firstLine="420" w:firstLineChars="200"/>
      </w:pPr>
      <w:r>
        <w:t>课程总目标达成情况为5个课程目标的加权得分率，其计算公式为：</w:t>
      </w:r>
    </w:p>
    <w:p>
      <w:pPr>
        <w:spacing w:line="300" w:lineRule="auto"/>
        <w:jc w:val="center"/>
      </w:pPr>
      <w:r>
        <w:object>
          <v:shape id="_x0000_i1126" o:spt="75" type="#_x0000_t75" style="height:18pt;width:264pt;" o:ole="t" filled="f" o:preferrelative="t" stroked="f" coordsize="21600,21600">
            <v:path/>
            <v:fill on="f" focussize="0,0"/>
            <v:stroke on="f" joinstyle="miter"/>
            <v:imagedata r:id="rId38" o:title=""/>
            <o:lock v:ext="edit" aspectratio="t"/>
            <w10:wrap type="none"/>
            <w10:anchorlock/>
          </v:shape>
          <o:OLEObject Type="Embed" ProgID="Equation.DSMT4" ShapeID="_x0000_i1126" DrawAspect="Content" ObjectID="_1468075823" r:id="rId139">
            <o:LockedField>false</o:LockedField>
          </o:OLEObject>
        </w:object>
      </w:r>
    </w:p>
    <w:p>
      <w:pPr>
        <w:spacing w:line="300" w:lineRule="auto"/>
      </w:pPr>
      <w:r>
        <w:t>其中权重系数按照表6设定</w:t>
      </w:r>
      <w:r>
        <w:rPr>
          <w:rFonts w:hint="eastAsia"/>
        </w:rPr>
        <w:t>。</w:t>
      </w:r>
    </w:p>
    <w:p>
      <w:pPr>
        <w:spacing w:before="156" w:beforeLines="50"/>
        <w:jc w:val="center"/>
        <w:rPr>
          <w:b/>
          <w:bCs/>
          <w:sz w:val="18"/>
          <w:szCs w:val="18"/>
        </w:rPr>
      </w:pPr>
      <w:r>
        <w:rPr>
          <w:b/>
          <w:bCs/>
          <w:sz w:val="18"/>
          <w:szCs w:val="18"/>
        </w:rPr>
        <w:t>表6课程目标权重系数</w:t>
      </w:r>
    </w:p>
    <w:tbl>
      <w:tblPr>
        <w:tblStyle w:val="22"/>
        <w:tblW w:w="7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556"/>
        <w:gridCol w:w="2508"/>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2556" w:type="dxa"/>
            <w:vAlign w:val="center"/>
          </w:tcPr>
          <w:p>
            <w:pPr>
              <w:jc w:val="center"/>
              <w:rPr>
                <w:b/>
                <w:bCs/>
                <w:sz w:val="18"/>
                <w:szCs w:val="18"/>
              </w:rPr>
            </w:pPr>
            <w:r>
              <w:rPr>
                <w:b/>
                <w:bCs/>
                <w:sz w:val="18"/>
                <w:szCs w:val="18"/>
              </w:rPr>
              <w:t>课程目标</w:t>
            </w:r>
          </w:p>
        </w:tc>
        <w:tc>
          <w:tcPr>
            <w:tcW w:w="2508" w:type="dxa"/>
            <w:vAlign w:val="center"/>
          </w:tcPr>
          <w:p>
            <w:pPr>
              <w:jc w:val="center"/>
              <w:rPr>
                <w:sz w:val="18"/>
                <w:szCs w:val="18"/>
              </w:rPr>
            </w:pPr>
            <w:r>
              <w:rPr>
                <w:sz w:val="18"/>
                <w:szCs w:val="18"/>
              </w:rPr>
              <w:t>1</w:t>
            </w:r>
          </w:p>
        </w:tc>
        <w:tc>
          <w:tcPr>
            <w:tcW w:w="2311" w:type="dxa"/>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2556" w:type="dxa"/>
            <w:vAlign w:val="center"/>
          </w:tcPr>
          <w:p>
            <w:pPr>
              <w:jc w:val="center"/>
              <w:rPr>
                <w:b/>
                <w:bCs/>
                <w:sz w:val="18"/>
                <w:szCs w:val="18"/>
              </w:rPr>
            </w:pPr>
            <w:r>
              <w:rPr>
                <w:b/>
                <w:bCs/>
                <w:sz w:val="18"/>
                <w:szCs w:val="18"/>
              </w:rPr>
              <w:t>权重系数</w:t>
            </w:r>
          </w:p>
        </w:tc>
        <w:tc>
          <w:tcPr>
            <w:tcW w:w="2508" w:type="dxa"/>
            <w:vAlign w:val="center"/>
          </w:tcPr>
          <w:p>
            <w:pPr>
              <w:jc w:val="center"/>
              <w:rPr>
                <w:sz w:val="18"/>
                <w:szCs w:val="18"/>
              </w:rPr>
            </w:pPr>
            <w:r>
              <w:rPr>
                <w:rFonts w:hint="eastAsia"/>
                <w:sz w:val="18"/>
                <w:szCs w:val="18"/>
              </w:rPr>
              <w:t>0.52</w:t>
            </w:r>
          </w:p>
        </w:tc>
        <w:tc>
          <w:tcPr>
            <w:tcW w:w="2311" w:type="dxa"/>
            <w:vAlign w:val="center"/>
          </w:tcPr>
          <w:p>
            <w:pPr>
              <w:jc w:val="center"/>
              <w:rPr>
                <w:sz w:val="18"/>
                <w:szCs w:val="18"/>
              </w:rPr>
            </w:pPr>
            <w:r>
              <w:rPr>
                <w:rFonts w:hint="eastAsia"/>
                <w:sz w:val="18"/>
                <w:szCs w:val="18"/>
              </w:rPr>
              <w:t>0.48</w:t>
            </w:r>
          </w:p>
        </w:tc>
      </w:tr>
    </w:tbl>
    <w:p>
      <w:pPr>
        <w:spacing w:line="300" w:lineRule="auto"/>
      </w:pPr>
      <w:r>
        <w:t>课程毕业要求指标点达成情况评价：</w:t>
      </w:r>
    </w:p>
    <w:p>
      <w:pPr>
        <w:spacing w:line="300" w:lineRule="auto"/>
        <w:ind w:firstLine="420" w:firstLineChars="200"/>
      </w:pPr>
      <w:r>
        <w:t>课程支撑毕业要求指标点的达成情况为对应的课程目标达成情况的加权值，其计算公式为：</w:t>
      </w:r>
    </w:p>
    <w:p>
      <w:pPr>
        <w:spacing w:line="300" w:lineRule="auto"/>
        <w:jc w:val="center"/>
      </w:pPr>
      <w:r>
        <w:object>
          <v:shape id="_x0000_i1127" o:spt="75" type="#_x0000_t75" style="height:18pt;width:282.75pt;" o:ole="t" filled="f" o:preferrelative="t" stroked="f" coordsize="21600,21600">
            <v:path/>
            <v:fill on="f" focussize="0,0"/>
            <v:stroke on="f" joinstyle="miter"/>
            <v:imagedata r:id="rId40" o:title=""/>
            <o:lock v:ext="edit" aspectratio="t"/>
            <w10:wrap type="none"/>
            <w10:anchorlock/>
          </v:shape>
          <o:OLEObject Type="Embed" ProgID="Equation.3" ShapeID="_x0000_i1127" DrawAspect="Content" ObjectID="_1468075824" r:id="rId140">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utoSpaceDE w:val="0"/>
        <w:autoSpaceDN w:val="0"/>
        <w:adjustRightIn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rPr>
        <w:t>1．</w:t>
      </w:r>
      <w:r>
        <w:rPr>
          <w:rFonts w:ascii="Times New Roman" w:hAnsi="Times New Roman" w:eastAsia="宋体" w:cs="Times New Roman"/>
          <w:kern w:val="0"/>
          <w:szCs w:val="21"/>
        </w:rPr>
        <w:t>教材：</w:t>
      </w:r>
    </w:p>
    <w:p>
      <w:pPr>
        <w:numPr>
          <w:ilvl w:val="0"/>
          <w:numId w:val="51"/>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胡向东.传感器与检测技术（第三版）[M].北京.机械工业出版社，2019.8</w:t>
      </w:r>
    </w:p>
    <w:p>
      <w:pPr>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rPr>
        <w:t>2．</w:t>
      </w:r>
      <w:r>
        <w:rPr>
          <w:rFonts w:ascii="Times New Roman" w:hAnsi="Times New Roman" w:eastAsia="宋体" w:cs="Times New Roman"/>
          <w:kern w:val="0"/>
          <w:szCs w:val="21"/>
        </w:rPr>
        <w:t>参考资料：</w:t>
      </w:r>
    </w:p>
    <w:p>
      <w:pPr>
        <w:numPr>
          <w:ilvl w:val="0"/>
          <w:numId w:val="52"/>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刘笃仁.传感器原理及应用技术[M].西安.西安电子科技大学出版社，2016.9</w:t>
      </w:r>
    </w:p>
    <w:p>
      <w:pPr>
        <w:numPr>
          <w:ilvl w:val="0"/>
          <w:numId w:val="52"/>
        </w:numPr>
        <w:snapToGrid w:val="0"/>
        <w:spacing w:line="300" w:lineRule="auto"/>
        <w:rPr>
          <w:rFonts w:ascii="Times New Roman" w:hAnsi="Times New Roman" w:eastAsia="宋体" w:cs="Times New Roman"/>
        </w:rPr>
      </w:pPr>
      <w:r>
        <w:rPr>
          <w:rFonts w:ascii="Times New Roman" w:hAnsi="Times New Roman" w:eastAsia="宋体" w:cs="Times New Roman"/>
        </w:rPr>
        <w:t>周真</w:t>
      </w:r>
      <w:r>
        <w:rPr>
          <w:rFonts w:ascii="Times New Roman" w:hAnsi="Times New Roman" w:eastAsia="宋体" w:cs="Times New Roman"/>
          <w:kern w:val="0"/>
          <w:szCs w:val="21"/>
        </w:rPr>
        <w:t>．</w:t>
      </w:r>
      <w:r>
        <w:rPr>
          <w:rFonts w:ascii="Times New Roman" w:hAnsi="Times New Roman" w:eastAsia="宋体" w:cs="Times New Roman"/>
        </w:rPr>
        <w:t>传感器原理与应用</w:t>
      </w:r>
      <w:r>
        <w:rPr>
          <w:rFonts w:ascii="Times New Roman" w:hAnsi="Times New Roman" w:eastAsia="宋体" w:cs="Times New Roman"/>
          <w:kern w:val="0"/>
          <w:szCs w:val="21"/>
        </w:rPr>
        <w:t>[M]．北京：清华大学出版社．2018-12.</w:t>
      </w:r>
    </w:p>
    <w:p>
      <w:pPr>
        <w:numPr>
          <w:ilvl w:val="0"/>
          <w:numId w:val="52"/>
        </w:numPr>
        <w:snapToGrid w:val="0"/>
        <w:spacing w:line="300" w:lineRule="auto"/>
        <w:rPr>
          <w:rFonts w:ascii="Times New Roman" w:hAnsi="Times New Roman" w:eastAsia="宋体" w:cs="Times New Roman"/>
        </w:rPr>
      </w:pPr>
      <w:r>
        <w:rPr>
          <w:rFonts w:ascii="Times New Roman" w:hAnsi="Times New Roman" w:eastAsia="宋体" w:cs="Times New Roman"/>
          <w:kern w:val="0"/>
          <w:szCs w:val="21"/>
        </w:rPr>
        <w:t>郁有文. 传感器原理及工程应用（第四版）[M].西安：西安电子科技大学出版社．2018-05.</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p>
      <w:pPr>
        <w:keepNext/>
        <w:keepLines/>
        <w:spacing w:before="260" w:after="260" w:line="413" w:lineRule="auto"/>
        <w:jc w:val="center"/>
        <w:outlineLvl w:val="3"/>
        <w:rPr>
          <w:rFonts w:ascii="Times New Roman" w:hAnsi="Times New Roman" w:cs="Times New Roman" w:eastAsiaTheme="majorEastAsia"/>
          <w:b/>
          <w:bCs/>
          <w:sz w:val="28"/>
          <w:szCs w:val="28"/>
        </w:rPr>
      </w:pPr>
      <w:bookmarkStart w:id="164" w:name="_Toc189"/>
      <w:bookmarkStart w:id="165" w:name="_Toc47719766"/>
      <w:bookmarkStart w:id="166" w:name="_Toc47774722"/>
      <w:bookmarkStart w:id="167" w:name="_Toc47718795"/>
      <w:r>
        <w:rPr>
          <w:rFonts w:ascii="Times New Roman" w:hAnsi="Times New Roman" w:cs="Times New Roman" w:eastAsiaTheme="majorEastAsia"/>
          <w:b/>
          <w:bCs/>
          <w:sz w:val="32"/>
          <w:szCs w:val="32"/>
        </w:rPr>
        <w:t>16142109《嵌入式系统》课程教学大纲</w:t>
      </w:r>
      <w:bookmarkEnd w:id="164"/>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16142109</w:t>
            </w:r>
          </w:p>
        </w:tc>
        <w:tc>
          <w:tcPr>
            <w:tcW w:w="119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嵌入式系统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专业类</w:t>
            </w:r>
          </w:p>
        </w:tc>
        <w:tc>
          <w:tcPr>
            <w:tcW w:w="119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szCs w:val="21"/>
              </w:rPr>
              <w:t>Embedded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2</w:t>
            </w:r>
            <w:r>
              <w:rPr>
                <w:rFonts w:ascii="Times New Roman" w:hAnsi="Times New Roman" w:eastAsia="宋体" w:cs="Times New Roman"/>
                <w:bCs/>
                <w:kern w:val="0"/>
                <w:szCs w:val="21"/>
              </w:rPr>
              <w:t xml:space="preserve"> </w:t>
            </w:r>
            <w:r>
              <w:rPr>
                <w:rFonts w:ascii="Times New Roman" w:hAnsi="Times New Roman" w:eastAsia="宋体" w:cs="Times New Roman"/>
                <w:kern w:val="0"/>
                <w:szCs w:val="21"/>
              </w:rPr>
              <w:t xml:space="preserve">: </w:t>
            </w:r>
            <w:r>
              <w:rPr>
                <w:rFonts w:ascii="Times New Roman" w:hAnsi="Times New Roman" w:eastAsia="宋体" w:cs="Times New Roman"/>
                <w:szCs w:val="21"/>
              </w:rPr>
              <w:t>32（8）</w:t>
            </w:r>
          </w:p>
        </w:tc>
        <w:tc>
          <w:tcPr>
            <w:tcW w:w="1198" w:type="dxa"/>
            <w:tcBorders>
              <w:tl2br w:val="nil"/>
              <w:tr2bl w:val="nil"/>
            </w:tcBorders>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tcBorders>
              <w:tl2br w:val="nil"/>
              <w:tr2bl w:val="nil"/>
            </w:tcBorders>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邓锐、冯青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1"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198"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邓锐</w:t>
            </w:r>
          </w:p>
        </w:tc>
        <w:tc>
          <w:tcPr>
            <w:tcW w:w="1198"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tcBorders>
              <w:tl2br w:val="nil"/>
              <w:tr2bl w:val="nil"/>
            </w:tcBorders>
            <w:shd w:val="clear" w:color="auto" w:fill="auto"/>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单片机原理与应用、</w:t>
            </w:r>
          </w:p>
          <w:p>
            <w:pPr>
              <w:spacing w:line="300" w:lineRule="exact"/>
              <w:jc w:val="center"/>
              <w:rPr>
                <w:rFonts w:ascii="Times New Roman" w:hAnsi="Times New Roman" w:eastAsia="宋体" w:cs="Times New Roman"/>
                <w:bCs/>
                <w:kern w:val="0"/>
                <w:szCs w:val="21"/>
              </w:rPr>
            </w:pPr>
            <w:r>
              <w:rPr>
                <w:rFonts w:ascii="Times New Roman" w:hAnsi="Times New Roman" w:eastAsia="宋体" w:cs="Times New Roman"/>
                <w:szCs w:val="21"/>
              </w:rPr>
              <w:t>数字电子技术基础</w:t>
            </w:r>
          </w:p>
        </w:tc>
        <w:tc>
          <w:tcPr>
            <w:tcW w:w="1198" w:type="dxa"/>
            <w:tcBorders>
              <w:tl2br w:val="nil"/>
              <w:tr2bl w:val="nil"/>
            </w:tcBorders>
            <w:shd w:val="clear" w:color="auto" w:fill="auto"/>
            <w:vAlign w:val="center"/>
          </w:tcPr>
          <w:p>
            <w:pPr>
              <w:snapToGrid w:val="0"/>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47"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tcBorders>
              <w:tl2br w:val="nil"/>
              <w:tr2bl w:val="nil"/>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是电子信息工程相关专业人才培养方案中的学科专业拓展课，通过理论和实验教学使学生掌握嵌入式系统的基本原理和方法。课程详细介绍嵌入式系统软、硬件实现的应用领域，以GPIO应用、UART功能设计、PWM与定时器应用、AD转换器的结构和设计方法，在各章节中导入应用实例，使学生掌握解决实际问题的基本分析方法和设计工具，培养学生从电路设计、软件设计及系统测试等方法去分析问题和解决问题的能力。</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嵌入式系统》是电子信息工程专业一门重要的专业课。本课程的目的和任务是使学生全面掌握各种常用的嵌入式开发平台的内部结构与工作原理，为将来参与嵌入式电子产品开发提供必要的技术基础，提高学生电子产品设计的能力，并在教学过程中，讲述嵌入式系统的技术发展历史与最前沿的开发平台，培养学生以科学报国的爱国主义情怀。</w:t>
      </w:r>
    </w:p>
    <w:p>
      <w:pPr>
        <w:adjustRightInd w:val="0"/>
        <w:snapToGrid w:val="0"/>
        <w:spacing w:line="300" w:lineRule="auto"/>
        <w:ind w:firstLine="41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kern w:val="0"/>
          <w:szCs w:val="21"/>
        </w:rPr>
        <w:t>．</w:t>
      </w:r>
      <w:r>
        <w:rPr>
          <w:rFonts w:ascii="Times New Roman" w:hAnsi="Times New Roman" w:eastAsia="宋体" w:cs="Times New Roman"/>
          <w:szCs w:val="21"/>
        </w:rPr>
        <w:t>了解嵌入式的基本概念、基本分析方法和处理技术。掌握开发工具的使用和嵌入式系统的基本结构、时钟分派技术及图形化软件配置的基本方法。[3.1]</w:t>
      </w:r>
    </w:p>
    <w:p>
      <w:pPr>
        <w:adjustRightInd w:val="0"/>
        <w:snapToGrid w:val="0"/>
        <w:spacing w:line="300" w:lineRule="auto"/>
        <w:ind w:firstLine="41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kern w:val="0"/>
          <w:szCs w:val="21"/>
        </w:rPr>
        <w:t>．</w:t>
      </w:r>
      <w:r>
        <w:rPr>
          <w:rFonts w:ascii="Times New Roman" w:hAnsi="Times New Roman" w:eastAsia="宋体" w:cs="Times New Roman"/>
          <w:szCs w:val="21"/>
        </w:rPr>
        <w:t>掌握GUI和RTOS设计原则和嵌入式软件结构设计方法，为研究设计各种应用系统提供必要的基础；掌握 Cubemx软件包中的的使用方法，使其具有图形化编程和正反向工程编辑的能力。[</w:t>
      </w:r>
      <w:r>
        <w:rPr>
          <w:rFonts w:hint="eastAsia" w:ascii="Times New Roman" w:hAnsi="Times New Roman" w:eastAsia="宋体" w:cs="Times New Roman"/>
          <w:szCs w:val="21"/>
        </w:rPr>
        <w:t>3</w:t>
      </w:r>
      <w:r>
        <w:rPr>
          <w:rFonts w:ascii="Times New Roman" w:hAnsi="Times New Roman" w:eastAsia="宋体" w:cs="Times New Roman"/>
          <w:szCs w:val="21"/>
        </w:rPr>
        <w:t>.1]</w:t>
      </w:r>
    </w:p>
    <w:p>
      <w:pPr>
        <w:adjustRightInd w:val="0"/>
        <w:snapToGrid w:val="0"/>
        <w:spacing w:line="300" w:lineRule="auto"/>
        <w:ind w:firstLine="410"/>
        <w:rPr>
          <w:rFonts w:ascii="Times New Roman" w:hAnsi="Times New Roman" w:eastAsia="宋体" w:cs="Times New Roman"/>
          <w:szCs w:val="21"/>
        </w:rPr>
      </w:pPr>
      <w:r>
        <w:rPr>
          <w:rFonts w:ascii="Times New Roman" w:hAnsi="Times New Roman" w:eastAsia="宋体" w:cs="Times New Roman"/>
          <w:szCs w:val="21"/>
        </w:rPr>
        <w:t>3</w:t>
      </w:r>
      <w:r>
        <w:rPr>
          <w:rFonts w:ascii="Times New Roman" w:hAnsi="Times New Roman" w:eastAsia="宋体" w:cs="Times New Roman"/>
          <w:kern w:val="0"/>
          <w:szCs w:val="21"/>
        </w:rPr>
        <w:t>．</w:t>
      </w:r>
      <w:r>
        <w:rPr>
          <w:rFonts w:ascii="Times New Roman" w:hAnsi="Times New Roman" w:eastAsia="宋体" w:cs="Times New Roman"/>
          <w:szCs w:val="21"/>
        </w:rPr>
        <w:t>掌握时钟配置，项目结构管理的基本方法；掌握HAL库的基本结构和相关API的设计方法。[</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1</w:t>
      </w:r>
      <w:r>
        <w:rPr>
          <w:rFonts w:ascii="Times New Roman" w:hAnsi="Times New Roman" w:eastAsia="宋体" w:cs="Times New Roman"/>
          <w:szCs w:val="21"/>
        </w:rPr>
        <w:t>]</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spacing w:before="156" w:beforeLines="50" w:line="300" w:lineRule="auto"/>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表1 毕业要求指标点实现矩阵</w:t>
      </w:r>
    </w:p>
    <w:tbl>
      <w:tblPr>
        <w:tblStyle w:val="22"/>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b/>
                <w:sz w:val="18"/>
                <w:szCs w:val="18"/>
              </w:rPr>
              <w:t>专业</w:t>
            </w:r>
            <w:r>
              <w:rPr>
                <w:rFonts w:ascii="Times New Roman" w:hAnsi="Times New Roman" w:eastAsia="宋体" w:cs="Times New Roman"/>
                <w:b/>
                <w:bCs/>
                <w:sz w:val="18"/>
                <w:szCs w:val="18"/>
              </w:rPr>
              <w:t>毕</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业要求</w:t>
            </w:r>
          </w:p>
        </w:tc>
        <w:tc>
          <w:tcPr>
            <w:tcW w:w="614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b/>
                <w:sz w:val="18"/>
                <w:szCs w:val="18"/>
              </w:rPr>
              <w:t>专业</w:t>
            </w:r>
            <w:r>
              <w:rPr>
                <w:rFonts w:ascii="Times New Roman" w:hAnsi="Times New Roman" w:eastAsia="宋体" w:cs="Times New Roman"/>
                <w:b/>
                <w:bCs/>
                <w:sz w:val="18"/>
                <w:szCs w:val="18"/>
              </w:rPr>
              <w:t>毕业要求指标点</w:t>
            </w:r>
          </w:p>
        </w:tc>
        <w:tc>
          <w:tcPr>
            <w:tcW w:w="68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w:t>
            </w:r>
            <w:r>
              <w:rPr>
                <w:rFonts w:ascii="Times New Roman" w:hAnsi="Times New Roman" w:eastAsia="宋体" w:cs="Times New Roman"/>
                <w:kern w:val="0"/>
                <w:szCs w:val="21"/>
              </w:rPr>
              <w:t>．</w:t>
            </w:r>
            <w:r>
              <w:rPr>
                <w:rFonts w:ascii="Times New Roman" w:hAnsi="Times New Roman" w:eastAsia="宋体" w:cs="Times New Roman"/>
                <w:sz w:val="18"/>
                <w:szCs w:val="18"/>
              </w:rPr>
              <w:t>设计/开发解决方案</w:t>
            </w:r>
          </w:p>
        </w:tc>
        <w:tc>
          <w:tcPr>
            <w:tcW w:w="6144" w:type="dxa"/>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3.1能够利用专业知识，针对给定需求，设计出满足要求的系统总体方案与系统拓扑图、单元子系统（或单元电路）、软硬件模块或工艺。</w:t>
            </w:r>
          </w:p>
        </w:tc>
        <w:tc>
          <w:tcPr>
            <w:tcW w:w="689"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sz w:val="18"/>
                <w:szCs w:val="18"/>
              </w:rPr>
              <w:t>1，2</w:t>
            </w:r>
            <w:r>
              <w:rPr>
                <w:rFonts w:hint="eastAsia" w:ascii="Times New Roman" w:hAnsi="Times New Roman" w:eastAsia="宋体" w:cs="Times New Roman"/>
                <w:bCs/>
                <w:sz w:val="18"/>
                <w:szCs w:val="18"/>
              </w:rPr>
              <w:t>，3</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 了解嵌入式的基本概念、基本分析方法和处理技术。掌握开发工具的使用和嵌入式系统的基本结构、时钟分派技术及图形化软件配置的基本方法。</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课堂讲授、指定阅读、网络学习等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课堂表现、习题作业、期末考试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 掌握GUI和RTOS设计原则和嵌入式软件结构设计方法，为研究设计各种应用系统提供必要的基础；掌握 Cubemx软件包中的的使用方法，使其具有图形化编程和正反向工程编辑的能力</w:t>
            </w:r>
            <w:r>
              <w:rPr>
                <w:rFonts w:hint="eastAsia" w:ascii="Times New Roman" w:hAnsi="Times New Roman" w:eastAsia="宋体" w:cs="Times New Roman"/>
                <w:sz w:val="18"/>
                <w:szCs w:val="18"/>
              </w:rPr>
              <w:t>。</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课堂讲授、案例研讨、作业、网络学习等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掌握时钟配置，项目结构管理的基本方法；掌握HAL库的基本结构和相关API的设计方法。</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课堂讲授、上机实验</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课堂表现、习题作业、期末考试</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ind w:firstLine="420" w:firstLineChars="200"/>
        <w:rPr>
          <w:rFonts w:ascii="Times New Roman" w:hAnsi="Times New Roman" w:eastAsia="宋体" w:cs="Times New Roman"/>
        </w:rPr>
      </w:pPr>
      <w:r>
        <w:rPr>
          <w:rFonts w:ascii="Times New Roman" w:hAnsi="Times New Roman" w:eastAsia="宋体" w:cs="Times New Roman"/>
        </w:rPr>
        <w:t>1. 课堂讲授为主，多媒体教学、课程独立网站（含教学视频）学习为辅，注重工程案例教学，每周平均讲授4学时，与专业相关实践教学环节和场景配合呼应。</w:t>
      </w:r>
    </w:p>
    <w:p>
      <w:pPr>
        <w:ind w:firstLine="420" w:firstLineChars="200"/>
        <w:rPr>
          <w:rFonts w:ascii="Times New Roman" w:hAnsi="Times New Roman" w:eastAsia="宋体" w:cs="Times New Roman"/>
        </w:rPr>
      </w:pPr>
      <w:r>
        <w:rPr>
          <w:rFonts w:ascii="Times New Roman" w:hAnsi="Times New Roman" w:eastAsia="宋体" w:cs="Times New Roman"/>
        </w:rPr>
        <w:t> 2. 基于电子信息系统信息处理与传输工作流程构建课程教学体系；根据课程特点采用启发式教学、任务驱动教学、案例教学法进行教学方法创新；核心能力知识点采用</w:t>
      </w:r>
      <w:r>
        <w:rPr>
          <w:rFonts w:hint="eastAsia" w:ascii="Times New Roman" w:hAnsi="Times New Roman" w:eastAsia="宋体" w:cs="Times New Roman"/>
        </w:rPr>
        <w:t>“</w:t>
      </w:r>
      <w:r>
        <w:rPr>
          <w:rFonts w:ascii="Times New Roman" w:hAnsi="Times New Roman" w:eastAsia="宋体" w:cs="Times New Roman"/>
        </w:rPr>
        <w:t>原理描述-设计要点分析-应用案例展示</w:t>
      </w:r>
      <w:r>
        <w:rPr>
          <w:rFonts w:hint="eastAsia" w:ascii="Times New Roman" w:hAnsi="Times New Roman" w:eastAsia="宋体" w:cs="Times New Roman"/>
        </w:rPr>
        <w:t>”</w:t>
      </w:r>
      <w:r>
        <w:rPr>
          <w:rFonts w:ascii="Times New Roman" w:hAnsi="Times New Roman" w:eastAsia="宋体" w:cs="Times New Roman"/>
        </w:rPr>
        <w:t>相互呼应的教学模式。</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887"/>
        <w:gridCol w:w="2522"/>
        <w:gridCol w:w="738"/>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95" w:type="dxa"/>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3887"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2522"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4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88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一、绪论</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1.1 嵌入式系统的发展历史、科技前沿及其课程学习的历史使命</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 嵌入式系统研究内容、实现方法和系统构成</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1.3 嵌入式系统的特点</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1.4 嵌入式系统的应用领域</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1.5 嵌入式系统与Cubemx的关系</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课程思政主题：</w:t>
            </w:r>
            <w:r>
              <w:rPr>
                <w:rFonts w:hint="eastAsia" w:ascii="Times New Roman" w:hAnsi="Times New Roman" w:eastAsia="宋体" w:cs="Times New Roman"/>
                <w:sz w:val="18"/>
                <w:szCs w:val="18"/>
              </w:rPr>
              <w:t>介绍美国政府为其霸权主义，对我国集成电路与嵌入式系统限制销售，以抑制中国科技发展的事实。</w:t>
            </w:r>
          </w:p>
        </w:tc>
        <w:tc>
          <w:tcPr>
            <w:tcW w:w="2522"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1、了解数字嵌入式系统的应用领域、发展概况，以及ARM与Cubemx的关系；</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2、理解嵌入式系统的优点和特点；</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3、掌握嵌入式系统的基本概念和系统组成。</w:t>
            </w:r>
          </w:p>
        </w:tc>
        <w:tc>
          <w:tcPr>
            <w:tcW w:w="73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40"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388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二、时钟树与ARM体系结构</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2.1 外部时钟与内部时钟</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2.2 锁相环的结构与配置—序列</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2.3 ARM指令集的分类</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2.4 指令对齐方式</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2.5 浮点运算与数据加速</w:t>
            </w:r>
          </w:p>
        </w:tc>
        <w:tc>
          <w:tcPr>
            <w:tcW w:w="2522"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1、了解时钟树的基本概念，以及锁相环的定义；</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2、理解时钟分频的基本方法；Arm与Thume指令集的区别；</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3、掌握精简指令集，APB总线，系统总线的概念。</w:t>
            </w:r>
          </w:p>
        </w:tc>
        <w:tc>
          <w:tcPr>
            <w:tcW w:w="73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040"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5"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388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三、工具软件的安装与使用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3.1 Keil 的安装与使用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3.2 仿真器的安装与设置</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3.3 断点的设置方法</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3.4 Cubemx的使用方法</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3.5 Source Insight 的安装与使用</w:t>
            </w:r>
          </w:p>
        </w:tc>
        <w:tc>
          <w:tcPr>
            <w:tcW w:w="2522"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1、了解仿真器的作用；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2、MDK的安装与使用；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3、掌握Cubemx的安装与使用。</w:t>
            </w:r>
          </w:p>
        </w:tc>
        <w:tc>
          <w:tcPr>
            <w:tcW w:w="73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040"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5"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388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四、图形化编程方法</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4.1 项目的建立与基本设置</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4.2 晶体的选择</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4.3 系统定时器的作用与应用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4.4 外设时钟计算方法</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4.5 中断的分类与设置方法</w:t>
            </w:r>
          </w:p>
        </w:tc>
        <w:tc>
          <w:tcPr>
            <w:tcW w:w="2522"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1、了解图形化编程的定义；</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2、理解双向工程；</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3、掌握HAL库函数的应用。</w:t>
            </w:r>
          </w:p>
        </w:tc>
        <w:tc>
          <w:tcPr>
            <w:tcW w:w="73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040"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95"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388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五、DMA 的应用与设计</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5.1 DMA的基本结构</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5.2数据传输的方法与特点</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5.3 DMA数据的传输模式</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5.4 DMA库函数的使用</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5.5 AD转换利用DMA高速传输数据的实例</w:t>
            </w:r>
          </w:p>
        </w:tc>
        <w:tc>
          <w:tcPr>
            <w:tcW w:w="2522"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1、了解DMA的基本定义；</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2、掌握外设与DMA的链接方法；</w:t>
            </w:r>
          </w:p>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3、掌握 与DMA方法配套的软件开发技术。</w:t>
            </w:r>
          </w:p>
        </w:tc>
        <w:tc>
          <w:tcPr>
            <w:tcW w:w="73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040"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r>
    </w:tbl>
    <w:p>
      <w:pPr>
        <w:snapToGrid w:val="0"/>
        <w:spacing w:before="156" w:beforeLines="50" w:line="300" w:lineRule="auto"/>
        <w:ind w:firstLine="420" w:firstLineChars="200"/>
        <w:rPr>
          <w:rFonts w:ascii="Times New Roman" w:hAnsi="Times New Roman" w:eastAsia="宋体" w:cs="Times New Roman"/>
        </w:rPr>
      </w:pPr>
      <w:r>
        <w:rPr>
          <w:rFonts w:ascii="Times New Roman" w:hAnsi="Times New Roman" w:eastAsia="宋体" w:cs="Times New Roman"/>
        </w:rPr>
        <w:t>实验内容见表4所示。</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71"/>
        <w:gridCol w:w="2545"/>
        <w:gridCol w:w="750"/>
        <w:gridCol w:w="754"/>
        <w:gridCol w:w="750"/>
        <w:gridCol w:w="754"/>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序号</w:t>
            </w:r>
          </w:p>
        </w:tc>
        <w:tc>
          <w:tcPr>
            <w:tcW w:w="167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实验项目名称</w:t>
            </w:r>
          </w:p>
        </w:tc>
        <w:tc>
          <w:tcPr>
            <w:tcW w:w="2545"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实验目的要求</w:t>
            </w:r>
          </w:p>
        </w:tc>
        <w:tc>
          <w:tcPr>
            <w:tcW w:w="75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学时分配</w:t>
            </w:r>
          </w:p>
        </w:tc>
        <w:tc>
          <w:tcPr>
            <w:tcW w:w="754"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实验类型</w:t>
            </w:r>
          </w:p>
        </w:tc>
        <w:tc>
          <w:tcPr>
            <w:tcW w:w="750"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每组人数</w:t>
            </w:r>
          </w:p>
        </w:tc>
        <w:tc>
          <w:tcPr>
            <w:tcW w:w="754"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必开</w:t>
            </w:r>
          </w:p>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选开</w:t>
            </w:r>
          </w:p>
        </w:tc>
        <w:tc>
          <w:tcPr>
            <w:tcW w:w="748"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9"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671"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跑马灯实验</w:t>
            </w:r>
          </w:p>
        </w:tc>
        <w:tc>
          <w:tcPr>
            <w:tcW w:w="2545"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掌握GPIO的配置与控制</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必开</w:t>
            </w:r>
          </w:p>
        </w:tc>
        <w:tc>
          <w:tcPr>
            <w:tcW w:w="74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9"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671"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串口实验</w:t>
            </w:r>
          </w:p>
        </w:tc>
        <w:tc>
          <w:tcPr>
            <w:tcW w:w="2545"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掌握串口配置，数据收法和232电平技术</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必开</w:t>
            </w:r>
          </w:p>
        </w:tc>
        <w:tc>
          <w:tcPr>
            <w:tcW w:w="74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09"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671"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DMA实验</w:t>
            </w:r>
          </w:p>
        </w:tc>
        <w:tc>
          <w:tcPr>
            <w:tcW w:w="2545"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掌握DMA的设计技术</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必开</w:t>
            </w:r>
          </w:p>
        </w:tc>
        <w:tc>
          <w:tcPr>
            <w:tcW w:w="74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671"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外部中断实验</w:t>
            </w:r>
          </w:p>
        </w:tc>
        <w:tc>
          <w:tcPr>
            <w:tcW w:w="2545"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掌握外部中断的配置与应用</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50"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754"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必开</w:t>
            </w:r>
          </w:p>
        </w:tc>
        <w:tc>
          <w:tcPr>
            <w:tcW w:w="748"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kern w:val="0"/>
          <w:szCs w:val="21"/>
        </w:rPr>
        <w:t>．</w:t>
      </w:r>
      <w:r>
        <w:rPr>
          <w:rFonts w:ascii="Times New Roman" w:hAnsi="Times New Roman" w:eastAsia="宋体" w:cs="Times New Roman"/>
        </w:rPr>
        <w:t>考核方式：采取开卷笔试、实验报告和平时成绩（包括考勤、作业及课堂表现等）相结合，最后60分以上为合格</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kern w:val="0"/>
          <w:szCs w:val="21"/>
        </w:rPr>
        <w:t>．</w:t>
      </w:r>
      <w:r>
        <w:rPr>
          <w:rFonts w:ascii="Times New Roman" w:hAnsi="Times New Roman" w:eastAsia="宋体" w:cs="Times New Roman"/>
        </w:rPr>
        <w:t>成绩构成：平时成绩30%+实验成绩20 %+期末成绩50 %。</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w:t>
      </w:r>
      <w:r>
        <w:rPr>
          <w:rFonts w:ascii="Times New Roman" w:hAnsi="Times New Roman" w:eastAsia="宋体" w:cs="Times New Roman"/>
          <w:kern w:val="0"/>
          <w:szCs w:val="21"/>
        </w:rPr>
        <w:t>．</w:t>
      </w:r>
      <w:r>
        <w:rPr>
          <w:rFonts w:ascii="Times New Roman" w:hAnsi="Times New Roman" w:eastAsia="宋体" w:cs="Times New Roman"/>
        </w:rPr>
        <w:t>考核评价标准见表5所示：</w:t>
      </w:r>
    </w:p>
    <w:p>
      <w:pPr>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530"/>
        <w:gridCol w:w="567"/>
        <w:gridCol w:w="709"/>
        <w:gridCol w:w="851"/>
        <w:gridCol w:w="4226"/>
        <w:gridCol w:w="1018"/>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3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5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56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70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85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422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101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73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restart"/>
            <w:vAlign w:val="center"/>
          </w:tcPr>
          <w:p>
            <w:pPr>
              <w:snapToGrid w:val="0"/>
              <w:rPr>
                <w:rFonts w:ascii="Times New Roman" w:hAnsi="Times New Roman" w:eastAsia="宋体" w:cs="Times New Roman"/>
                <w:sz w:val="18"/>
                <w:szCs w:val="18"/>
              </w:rPr>
            </w:pPr>
          </w:p>
          <w:p>
            <w:pPr>
              <w:snapToGrid w:val="0"/>
              <w:jc w:val="left"/>
              <w:rPr>
                <w:rFonts w:ascii="Times New Roman" w:hAnsi="Times New Roman" w:eastAsia="宋体" w:cs="Times New Roman"/>
                <w:sz w:val="18"/>
                <w:szCs w:val="18"/>
              </w:rPr>
            </w:pPr>
            <w:r>
              <w:rPr>
                <w:rFonts w:ascii="Times New Roman" w:hAnsi="Times New Roman" w:eastAsia="宋体" w:cs="Times New Roman"/>
                <w:sz w:val="18"/>
                <w:szCs w:val="18"/>
              </w:rPr>
              <w:t>平时</w:t>
            </w:r>
          </w:p>
          <w:p>
            <w:pPr>
              <w:snapToGrid w:val="0"/>
              <w:jc w:val="left"/>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530" w:type="dxa"/>
            <w:vMerge w:val="restart"/>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67" w:type="dxa"/>
            <w:vMerge w:val="restart"/>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709"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851"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w:t>
            </w:r>
          </w:p>
        </w:tc>
        <w:tc>
          <w:tcPr>
            <w:tcW w:w="4226" w:type="dxa"/>
            <w:vAlign w:val="center"/>
          </w:tcPr>
          <w:p>
            <w:pPr>
              <w:jc w:val="left"/>
              <w:rPr>
                <w:rFonts w:ascii="Times New Roman" w:hAnsi="Times New Roman"/>
                <w:sz w:val="18"/>
                <w:szCs w:val="18"/>
              </w:rPr>
            </w:pPr>
            <w:r>
              <w:rPr>
                <w:rFonts w:ascii="Times New Roman" w:hAnsi="Times New Roman"/>
                <w:sz w:val="18"/>
                <w:szCs w:val="18"/>
              </w:rPr>
              <w:t>上课表现</w:t>
            </w:r>
            <w:r>
              <w:rPr>
                <w:rFonts w:hint="eastAsia" w:ascii="Times New Roman" w:hAnsi="Times New Roman"/>
                <w:sz w:val="18"/>
                <w:szCs w:val="18"/>
              </w:rPr>
              <w:t>以10</w:t>
            </w:r>
            <w:r>
              <w:rPr>
                <w:rFonts w:ascii="Times New Roman" w:hAnsi="Times New Roman"/>
                <w:sz w:val="18"/>
                <w:szCs w:val="18"/>
              </w:rPr>
              <w:t>0分制</w:t>
            </w:r>
            <w:r>
              <w:rPr>
                <w:rFonts w:hint="eastAsia" w:ascii="Times New Roman" w:hAnsi="Times New Roman"/>
                <w:sz w:val="18"/>
                <w:szCs w:val="18"/>
              </w:rPr>
              <w:t>计</w:t>
            </w:r>
            <w:r>
              <w:rPr>
                <w:rFonts w:ascii="Times New Roman" w:hAnsi="Times New Roman"/>
                <w:sz w:val="18"/>
                <w:szCs w:val="18"/>
              </w:rPr>
              <w:t>分，按</w:t>
            </w:r>
            <w:r>
              <w:rPr>
                <w:rFonts w:hint="eastAsia" w:ascii="Times New Roman" w:hAnsi="Times New Roman"/>
                <w:sz w:val="18"/>
                <w:szCs w:val="18"/>
              </w:rPr>
              <w:t>比例</w:t>
            </w:r>
            <w:r>
              <w:rPr>
                <w:rFonts w:ascii="Times New Roman" w:hAnsi="Times New Roman"/>
                <w:sz w:val="18"/>
                <w:szCs w:val="18"/>
              </w:rPr>
              <w:t>计入课程总评成绩；根据出勤率、课堂表现及互动情况考核。</w:t>
            </w:r>
            <w:r>
              <w:rPr>
                <w:rFonts w:hint="eastAsia" w:ascii="Times New Roman" w:hAnsi="Times New Roman"/>
                <w:sz w:val="18"/>
                <w:szCs w:val="18"/>
              </w:rPr>
              <w:t xml:space="preserve"> </w:t>
            </w:r>
          </w:p>
        </w:tc>
        <w:tc>
          <w:tcPr>
            <w:tcW w:w="1018" w:type="dxa"/>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737" w:type="dxa"/>
            <w:vAlign w:val="center"/>
          </w:tcPr>
          <w:p>
            <w:pPr>
              <w:jc w:val="left"/>
              <w:rPr>
                <w:rFonts w:ascii="Times New Roman" w:hAnsi="Times New Roman" w:cs="Times New Roman"/>
                <w:sz w:val="18"/>
                <w:szCs w:val="18"/>
              </w:rPr>
            </w:pPr>
            <w:r>
              <w:rPr>
                <w:rFonts w:hint="eastAsia" w:ascii="Times New Roman" w:hAnsi="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34" w:type="dxa"/>
            <w:vMerge w:val="continue"/>
            <w:vAlign w:val="center"/>
          </w:tcPr>
          <w:p>
            <w:pPr>
              <w:snapToGrid w:val="0"/>
              <w:rPr>
                <w:rFonts w:ascii="Times New Roman" w:hAnsi="Times New Roman" w:eastAsia="宋体" w:cs="Times New Roman"/>
                <w:sz w:val="18"/>
                <w:szCs w:val="18"/>
              </w:rPr>
            </w:pPr>
          </w:p>
        </w:tc>
        <w:tc>
          <w:tcPr>
            <w:tcW w:w="530" w:type="dxa"/>
            <w:vMerge w:val="continue"/>
            <w:vAlign w:val="center"/>
          </w:tcPr>
          <w:p>
            <w:pPr>
              <w:snapToGrid w:val="0"/>
              <w:jc w:val="center"/>
              <w:rPr>
                <w:rFonts w:ascii="Times New Roman" w:hAnsi="Times New Roman" w:eastAsia="宋体" w:cs="Times New Roman"/>
                <w:sz w:val="18"/>
                <w:szCs w:val="18"/>
              </w:rPr>
            </w:pPr>
          </w:p>
        </w:tc>
        <w:tc>
          <w:tcPr>
            <w:tcW w:w="567" w:type="dxa"/>
            <w:vMerge w:val="continue"/>
            <w:vAlign w:val="center"/>
          </w:tcPr>
          <w:p>
            <w:pPr>
              <w:snapToGrid w:val="0"/>
              <w:jc w:val="center"/>
              <w:rPr>
                <w:rFonts w:ascii="Times New Roman" w:hAnsi="Times New Roman" w:eastAsia="宋体" w:cs="Times New Roman"/>
                <w:sz w:val="18"/>
                <w:szCs w:val="18"/>
              </w:rPr>
            </w:pPr>
          </w:p>
        </w:tc>
        <w:tc>
          <w:tcPr>
            <w:tcW w:w="709"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851"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4</w:t>
            </w:r>
          </w:p>
        </w:tc>
        <w:tc>
          <w:tcPr>
            <w:tcW w:w="4226" w:type="dxa"/>
            <w:vAlign w:val="center"/>
          </w:tcPr>
          <w:p>
            <w:pPr>
              <w:jc w:val="left"/>
              <w:rPr>
                <w:rFonts w:ascii="Times New Roman" w:hAnsi="Times New Roman"/>
                <w:sz w:val="18"/>
                <w:szCs w:val="18"/>
              </w:rPr>
            </w:pPr>
            <w:r>
              <w:rPr>
                <w:rFonts w:ascii="Times New Roman" w:hAnsi="Times New Roman"/>
                <w:sz w:val="18"/>
                <w:szCs w:val="18"/>
              </w:rPr>
              <w:t>作业</w:t>
            </w:r>
            <w:r>
              <w:rPr>
                <w:rFonts w:hint="eastAsia" w:ascii="Times New Roman" w:hAnsi="Times New Roman"/>
                <w:sz w:val="18"/>
                <w:szCs w:val="18"/>
              </w:rPr>
              <w:t>以10</w:t>
            </w:r>
            <w:r>
              <w:rPr>
                <w:rFonts w:ascii="Times New Roman" w:hAnsi="Times New Roman"/>
                <w:sz w:val="18"/>
                <w:szCs w:val="18"/>
              </w:rPr>
              <w:t>0分制</w:t>
            </w:r>
            <w:r>
              <w:rPr>
                <w:rFonts w:hint="eastAsia" w:ascii="Times New Roman" w:hAnsi="Times New Roman"/>
                <w:sz w:val="18"/>
                <w:szCs w:val="18"/>
              </w:rPr>
              <w:t>计</w:t>
            </w:r>
            <w:r>
              <w:rPr>
                <w:rFonts w:ascii="Times New Roman" w:hAnsi="Times New Roman"/>
                <w:sz w:val="18"/>
                <w:szCs w:val="18"/>
              </w:rPr>
              <w:t>分，按比例计入课程总评成绩；主要考核学生对每章节知识点的理解和掌握程度。</w:t>
            </w:r>
          </w:p>
        </w:tc>
        <w:tc>
          <w:tcPr>
            <w:tcW w:w="1018" w:type="dxa"/>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737" w:type="dxa"/>
            <w:vAlign w:val="center"/>
          </w:tcPr>
          <w:p>
            <w:pPr>
              <w:jc w:val="left"/>
              <w:rPr>
                <w:rFonts w:ascii="Times New Roman" w:hAnsi="Times New Roman" w:cs="Times New Roman"/>
                <w:sz w:val="18"/>
                <w:szCs w:val="18"/>
              </w:rPr>
            </w:pPr>
            <w:r>
              <w:rPr>
                <w:rFonts w:hint="eastAsia" w:ascii="Times New Roman" w:hAnsi="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34" w:type="dxa"/>
            <w:vMerge w:val="continue"/>
            <w:vAlign w:val="center"/>
          </w:tcPr>
          <w:p>
            <w:pPr>
              <w:snapToGrid w:val="0"/>
              <w:rPr>
                <w:rFonts w:ascii="Times New Roman" w:hAnsi="Times New Roman" w:eastAsia="宋体" w:cs="Times New Roman"/>
                <w:sz w:val="18"/>
                <w:szCs w:val="18"/>
              </w:rPr>
            </w:pPr>
          </w:p>
        </w:tc>
        <w:tc>
          <w:tcPr>
            <w:tcW w:w="530" w:type="dxa"/>
            <w:vMerge w:val="continue"/>
            <w:vAlign w:val="center"/>
          </w:tcPr>
          <w:p>
            <w:pPr>
              <w:snapToGrid w:val="0"/>
              <w:jc w:val="center"/>
              <w:rPr>
                <w:rFonts w:ascii="Times New Roman" w:hAnsi="Times New Roman" w:eastAsia="宋体" w:cs="Times New Roman"/>
                <w:sz w:val="18"/>
                <w:szCs w:val="18"/>
              </w:rPr>
            </w:pPr>
          </w:p>
        </w:tc>
        <w:tc>
          <w:tcPr>
            <w:tcW w:w="567" w:type="dxa"/>
            <w:vMerge w:val="continue"/>
            <w:vAlign w:val="center"/>
          </w:tcPr>
          <w:p>
            <w:pPr>
              <w:snapToGrid w:val="0"/>
              <w:jc w:val="center"/>
              <w:rPr>
                <w:rFonts w:ascii="Times New Roman" w:hAnsi="Times New Roman" w:eastAsia="宋体" w:cs="Times New Roman"/>
                <w:sz w:val="18"/>
                <w:szCs w:val="18"/>
              </w:rPr>
            </w:pPr>
          </w:p>
        </w:tc>
        <w:tc>
          <w:tcPr>
            <w:tcW w:w="709"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实验</w:t>
            </w:r>
          </w:p>
        </w:tc>
        <w:tc>
          <w:tcPr>
            <w:tcW w:w="851" w:type="dxa"/>
            <w:vAlign w:val="center"/>
          </w:tcPr>
          <w:p>
            <w:pPr>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0.4</w:t>
            </w:r>
          </w:p>
        </w:tc>
        <w:tc>
          <w:tcPr>
            <w:tcW w:w="4226" w:type="dxa"/>
            <w:vAlign w:val="center"/>
          </w:tcPr>
          <w:p>
            <w:pPr>
              <w:jc w:val="left"/>
              <w:rPr>
                <w:rFonts w:ascii="Times New Roman" w:hAnsi="Times New Roman"/>
                <w:sz w:val="18"/>
                <w:szCs w:val="18"/>
              </w:rPr>
            </w:pPr>
            <w:r>
              <w:rPr>
                <w:rFonts w:ascii="Times New Roman" w:hAnsi="Times New Roman"/>
                <w:sz w:val="18"/>
                <w:szCs w:val="18"/>
              </w:rPr>
              <w:t>实验</w:t>
            </w:r>
            <w:r>
              <w:rPr>
                <w:rFonts w:hint="eastAsia" w:ascii="Times New Roman" w:hAnsi="Times New Roman"/>
                <w:sz w:val="18"/>
                <w:szCs w:val="18"/>
              </w:rPr>
              <w:t>以10</w:t>
            </w:r>
            <w:r>
              <w:rPr>
                <w:rFonts w:ascii="Times New Roman" w:hAnsi="Times New Roman"/>
                <w:sz w:val="18"/>
                <w:szCs w:val="18"/>
              </w:rPr>
              <w:t>0分制</w:t>
            </w:r>
            <w:r>
              <w:rPr>
                <w:rFonts w:hint="eastAsia" w:ascii="Times New Roman" w:hAnsi="Times New Roman"/>
                <w:sz w:val="18"/>
                <w:szCs w:val="18"/>
              </w:rPr>
              <w:t>计</w:t>
            </w:r>
            <w:r>
              <w:rPr>
                <w:rFonts w:ascii="Times New Roman" w:hAnsi="Times New Roman"/>
                <w:sz w:val="18"/>
                <w:szCs w:val="18"/>
              </w:rPr>
              <w:t>分，按比例计入课程总评成绩；主要考核学生的实验完成</w:t>
            </w:r>
            <w:r>
              <w:rPr>
                <w:rFonts w:hint="eastAsia" w:ascii="Times New Roman" w:hAnsi="Times New Roman"/>
                <w:sz w:val="18"/>
                <w:szCs w:val="18"/>
              </w:rPr>
              <w:t>结果</w:t>
            </w:r>
            <w:r>
              <w:rPr>
                <w:rFonts w:ascii="Times New Roman" w:hAnsi="Times New Roman"/>
                <w:sz w:val="18"/>
                <w:szCs w:val="18"/>
              </w:rPr>
              <w:t>及实验报告质量。</w:t>
            </w:r>
          </w:p>
        </w:tc>
        <w:tc>
          <w:tcPr>
            <w:tcW w:w="1018" w:type="dxa"/>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737" w:type="dxa"/>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Align w:val="center"/>
          </w:tcPr>
          <w:p>
            <w:pPr>
              <w:jc w:val="left"/>
              <w:rPr>
                <w:rFonts w:ascii="Times New Roman" w:hAnsi="Times New Roman"/>
                <w:sz w:val="18"/>
                <w:szCs w:val="18"/>
              </w:rPr>
            </w:pPr>
            <w:r>
              <w:rPr>
                <w:rFonts w:ascii="Times New Roman" w:hAnsi="Times New Roman"/>
                <w:sz w:val="18"/>
                <w:szCs w:val="18"/>
              </w:rPr>
              <w:t>期末</w:t>
            </w:r>
          </w:p>
          <w:p>
            <w:pPr>
              <w:jc w:val="left"/>
              <w:rPr>
                <w:rFonts w:ascii="Times New Roman" w:hAnsi="Times New Roman"/>
                <w:sz w:val="18"/>
                <w:szCs w:val="18"/>
              </w:rPr>
            </w:pPr>
            <w:r>
              <w:rPr>
                <w:rFonts w:ascii="Times New Roman" w:hAnsi="Times New Roman"/>
                <w:sz w:val="18"/>
                <w:szCs w:val="18"/>
              </w:rPr>
              <w:t>考试</w:t>
            </w:r>
          </w:p>
          <w:p>
            <w:pPr>
              <w:snapToGrid w:val="0"/>
              <w:jc w:val="left"/>
              <w:rPr>
                <w:rFonts w:ascii="Times New Roman" w:hAnsi="Times New Roman" w:eastAsia="宋体" w:cs="Times New Roman"/>
                <w:sz w:val="18"/>
                <w:szCs w:val="18"/>
              </w:rPr>
            </w:pPr>
            <w:r>
              <w:rPr>
                <w:rFonts w:ascii="Times New Roman" w:hAnsi="Times New Roman"/>
                <w:sz w:val="18"/>
                <w:szCs w:val="18"/>
              </w:rPr>
              <w:t>成绩</w:t>
            </w:r>
          </w:p>
        </w:tc>
        <w:tc>
          <w:tcPr>
            <w:tcW w:w="530"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67"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7</w:t>
            </w:r>
          </w:p>
        </w:tc>
        <w:tc>
          <w:tcPr>
            <w:tcW w:w="709" w:type="dxa"/>
            <w:vAlign w:val="center"/>
          </w:tcPr>
          <w:p>
            <w:pPr>
              <w:snapToGrid w:val="0"/>
              <w:jc w:val="left"/>
              <w:rPr>
                <w:rFonts w:ascii="Times New Roman" w:hAnsi="Times New Roman" w:eastAsia="宋体" w:cs="Times New Roman"/>
                <w:sz w:val="18"/>
                <w:szCs w:val="18"/>
              </w:rPr>
            </w:pPr>
            <w:r>
              <w:rPr>
                <w:rFonts w:ascii="Times New Roman" w:hAnsi="Times New Roman" w:eastAsia="宋体" w:cs="Times New Roman"/>
                <w:sz w:val="18"/>
                <w:szCs w:val="18"/>
              </w:rPr>
              <w:t>开卷考试</w:t>
            </w:r>
          </w:p>
        </w:tc>
        <w:tc>
          <w:tcPr>
            <w:tcW w:w="851" w:type="dxa"/>
            <w:vAlign w:val="center"/>
          </w:tcPr>
          <w:p>
            <w:pPr>
              <w:snapToGrid w:val="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226"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sz w:val="18"/>
                <w:szCs w:val="18"/>
              </w:rPr>
              <w:t>卷面成绩100分，按比例计入课程总评成绩；主要考核学生的基</w:t>
            </w:r>
            <w:r>
              <w:rPr>
                <w:rFonts w:hint="eastAsia" w:ascii="Times New Roman" w:hAnsi="Times New Roman"/>
                <w:sz w:val="18"/>
                <w:szCs w:val="18"/>
              </w:rPr>
              <w:t>础</w:t>
            </w:r>
            <w:r>
              <w:rPr>
                <w:rFonts w:ascii="Times New Roman" w:hAnsi="Times New Roman"/>
                <w:sz w:val="18"/>
                <w:szCs w:val="18"/>
              </w:rPr>
              <w:t>知识、应用能力和逻辑分析能力。</w:t>
            </w:r>
          </w:p>
        </w:tc>
        <w:tc>
          <w:tcPr>
            <w:tcW w:w="1018" w:type="dxa"/>
            <w:vAlign w:val="center"/>
          </w:tcPr>
          <w:p>
            <w:pPr>
              <w:jc w:val="left"/>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737" w:type="dxa"/>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六、课程教学目标达成度评价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ascii="Times New Roman" w:hAnsi="Times New Roman" w:eastAsia="宋体" w:cs="Times New Roman"/>
          <w:szCs w:val="21"/>
        </w:rPr>
        <w:t>达成度评价依据和方法</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snapToGrid w:val="0"/>
        <w:spacing w:line="300" w:lineRule="auto"/>
        <w:jc w:val="center"/>
        <w:rPr>
          <w:rFonts w:ascii="Times New Roman" w:hAnsi="Times New Roman" w:eastAsia="宋体" w:cs="Times New Roman"/>
        </w:rPr>
      </w:pPr>
      <w:r>
        <w:rPr>
          <w:rFonts w:ascii="Times New Roman" w:hAnsi="Times New Roman" w:eastAsia="宋体" w:cs="Times New Roman"/>
          <w:position w:val="-26"/>
        </w:rPr>
        <w:object>
          <v:shape id="_x0000_i1128" o:spt="75" type="#_x0000_t75" style="height:28.5pt;width:345.75pt;" o:ole="t" filled="f" o:preferrelative="t" stroked="f" coordsize="21600,21600">
            <v:path/>
            <v:fill on="f" focussize="0,0"/>
            <v:stroke on="f" joinstyle="miter"/>
            <v:imagedata r:id="rId36" o:title=""/>
            <o:lock v:ext="edit" aspectratio="t"/>
            <w10:wrap type="none"/>
            <w10:anchorlock/>
          </v:shape>
          <o:OLEObject Type="Embed" ProgID="Equation.3" ShapeID="_x0000_i1128" DrawAspect="Content" ObjectID="_1468075825" r:id="rId141">
            <o:LockedField>false</o:LockedField>
          </o:OLEObject>
        </w:objec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课程总目标达成情况为各个课程目标的加权得分率，其计算公式为：</w:t>
      </w:r>
    </w:p>
    <w:p>
      <w:pPr>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ascii="Times New Roman" w:hAnsi="Times New Roman" w:eastAsia="宋体" w:cs="Times New Roman"/>
        </w:rPr>
        <w:object>
          <v:shape id="_x0000_i1129" o:spt="75" type="#_x0000_t75" style="height:19.5pt;width:313.5pt;" o:ole="t" filled="f" o:preferrelative="t" stroked="f" coordsize="21600,21600">
            <v:path/>
            <v:fill on="f" focussize="0,0"/>
            <v:stroke on="f" joinstyle="miter"/>
            <v:imagedata r:id="rId38" o:title=""/>
            <o:lock v:ext="edit" aspectratio="t"/>
            <w10:wrap type="none"/>
            <w10:anchorlock/>
          </v:shape>
          <o:OLEObject Type="Embed" ProgID="Equation.DSMT4" ShapeID="_x0000_i1129" DrawAspect="Content" ObjectID="_1468075826" r:id="rId142">
            <o:LockedField>false</o:LockedField>
          </o:OLEObject>
        </w:object>
      </w:r>
    </w:p>
    <w:p>
      <w:pPr>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其中权重系数按照表6设定。</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表6课程目标权重系数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8"/>
        <w:gridCol w:w="2014"/>
        <w:gridCol w:w="2391"/>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0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201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39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36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0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201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239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0.65</w:t>
            </w:r>
          </w:p>
        </w:tc>
        <w:tc>
          <w:tcPr>
            <w:tcW w:w="236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r>
    </w:tbl>
    <w:p>
      <w:pPr>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课程支撑毕业要求指标点的达成情况为对应的课程目标达成情况加权值，其计算公式为：</w:t>
      </w:r>
    </w:p>
    <w:p>
      <w:pPr>
        <w:snapToGrid w:val="0"/>
        <w:spacing w:line="300" w:lineRule="auto"/>
        <w:jc w:val="center"/>
        <w:rPr>
          <w:rFonts w:ascii="Times New Roman" w:hAnsi="Times New Roman" w:eastAsia="宋体" w:cs="Times New Roman"/>
        </w:rPr>
      </w:pPr>
      <w:r>
        <w:rPr>
          <w:rFonts w:ascii="Times New Roman" w:hAnsi="Times New Roman" w:eastAsia="宋体" w:cs="Times New Roman"/>
        </w:rPr>
        <w:object>
          <v:shape id="_x0000_i1130"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30" DrawAspect="Content" ObjectID="_1468075827" r:id="rId143">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kern w:val="0"/>
          <w:szCs w:val="21"/>
        </w:rPr>
        <w:t>．</w:t>
      </w:r>
      <w:r>
        <w:rPr>
          <w:rFonts w:ascii="Times New Roman" w:hAnsi="Times New Roman" w:eastAsia="宋体" w:cs="Times New Roman"/>
        </w:rPr>
        <w:t>教材：</w:t>
      </w:r>
    </w:p>
    <w:p>
      <w:pPr>
        <w:adjustRightInd w:val="0"/>
        <w:snapToGrid w:val="0"/>
        <w:spacing w:line="300" w:lineRule="auto"/>
        <w:ind w:firstLine="424" w:firstLineChars="202"/>
        <w:rPr>
          <w:rFonts w:ascii="Times New Roman" w:hAnsi="Times New Roman" w:eastAsia="宋体" w:cs="Times New Roman"/>
        </w:rPr>
      </w:pPr>
      <w:r>
        <w:rPr>
          <w:rFonts w:ascii="Times New Roman" w:hAnsi="Times New Roman" w:eastAsia="宋体" w:cs="Times New Roman"/>
          <w:szCs w:val="21"/>
        </w:rPr>
        <w:t>[1] 刘军 stm32 开发指南库函数</w:t>
      </w:r>
      <w:r>
        <w:rPr>
          <w:rFonts w:ascii="Times New Roman" w:hAnsi="Times New Roman" w:eastAsia="宋体" w:cs="Times New Roman"/>
        </w:rPr>
        <w:t>[M]，</w:t>
      </w:r>
      <w:r>
        <w:rPr>
          <w:rFonts w:ascii="Times New Roman" w:hAnsi="Times New Roman" w:eastAsia="宋体" w:cs="Times New Roman"/>
          <w:szCs w:val="21"/>
        </w:rPr>
        <w:t>北京：北京航空航天工业大学出版社，2014年</w:t>
      </w:r>
    </w:p>
    <w:p>
      <w:pPr>
        <w:adjustRightInd w:val="0"/>
        <w:snapToGrid w:val="0"/>
        <w:spacing w:line="300" w:lineRule="auto"/>
        <w:ind w:firstLine="420"/>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kern w:val="0"/>
          <w:szCs w:val="21"/>
        </w:rPr>
        <w:t>．</w:t>
      </w:r>
      <w:r>
        <w:rPr>
          <w:rFonts w:ascii="Times New Roman" w:hAnsi="Times New Roman" w:eastAsia="宋体" w:cs="Times New Roman"/>
        </w:rPr>
        <w:t>参考资料</w:t>
      </w:r>
    </w:p>
    <w:p>
      <w:pPr>
        <w:adjustRightInd w:val="0"/>
        <w:snapToGrid w:val="0"/>
        <w:spacing w:line="30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[1] 刘军，精通STM32F4[M]，北京：北京航空航天大学出版社，2017</w:t>
      </w:r>
    </w:p>
    <w:p>
      <w:pPr>
        <w:adjustRightInd w:val="0"/>
        <w:snapToGrid w:val="0"/>
        <w:spacing w:line="30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 xml:space="preserve">[2] </w:t>
      </w:r>
      <w:r>
        <w:fldChar w:fldCharType="begin"/>
      </w:r>
      <w:r>
        <w:instrText xml:space="preserve"> HYPERLINK "https://baike.baidu.com/item/%E5%91%A8%E7%AB%8B%E5%8A%9F" \t "https://baike.baidu.com/item/ARM%E5%B5%8C%E5%85%A5%E5%BC%8F%E7%B3%BB%E7%BB%9F%E5%9F%BA%E7%A1%80%E6%95%99%E7%A8%8B/_blank" </w:instrText>
      </w:r>
      <w:r>
        <w:fldChar w:fldCharType="separate"/>
      </w:r>
      <w:r>
        <w:rPr>
          <w:rFonts w:ascii="Times New Roman" w:hAnsi="Times New Roman" w:eastAsia="宋体" w:cs="Times New Roman"/>
          <w:szCs w:val="21"/>
        </w:rPr>
        <w:t>周立功</w:t>
      </w:r>
      <w:r>
        <w:rPr>
          <w:rFonts w:ascii="Times New Roman" w:hAnsi="Times New Roman" w:eastAsia="宋体" w:cs="Times New Roman"/>
          <w:szCs w:val="21"/>
        </w:rPr>
        <w:fldChar w:fldCharType="end"/>
      </w:r>
      <w:r>
        <w:rPr>
          <w:rFonts w:ascii="Times New Roman" w:hAnsi="Times New Roman" w:eastAsia="宋体" w:cs="Times New Roman"/>
          <w:szCs w:val="21"/>
        </w:rPr>
        <w:t xml:space="preserve"> ARM嵌入式系统基础教程[M]，北京：</w:t>
      </w:r>
      <w:r>
        <w:fldChar w:fldCharType="begin"/>
      </w:r>
      <w:r>
        <w:instrText xml:space="preserve"> HYPERLINK "https://baike.baidu.com/item/%E5%8C%97%E4%BA%AC%E8%88%AA%E7%A9%BA%E8%88%AA%E5%A4%A9%E5%A4%A7%E5%AD%A6%E5%87%BA%E7%89%88%E7%A4%BE" \t "https://baike.baidu.com/item/ARM%E5%B5%8C%E5%85%A5%E5%BC%8F%E7%B3%BB%E7%BB%9F%E5%9F%BA%E7%A1%80%E6%95%99%E7%A8%8B/_blank" </w:instrText>
      </w:r>
      <w:r>
        <w:fldChar w:fldCharType="separate"/>
      </w:r>
      <w:r>
        <w:rPr>
          <w:rFonts w:ascii="Times New Roman" w:hAnsi="Times New Roman" w:eastAsia="宋体" w:cs="Times New Roman"/>
          <w:szCs w:val="21"/>
        </w:rPr>
        <w:t>北京航空航天大学出版社</w:t>
      </w:r>
      <w:r>
        <w:rPr>
          <w:rFonts w:ascii="Times New Roman" w:hAnsi="Times New Roman" w:eastAsia="宋体" w:cs="Times New Roman"/>
          <w:szCs w:val="21"/>
        </w:rPr>
        <w:fldChar w:fldCharType="end"/>
      </w:r>
      <w:r>
        <w:rPr>
          <w:rFonts w:ascii="Times New Roman" w:hAnsi="Times New Roman" w:eastAsia="宋体" w:cs="Times New Roman"/>
          <w:szCs w:val="21"/>
        </w:rPr>
        <w:tab/>
      </w:r>
      <w:r>
        <w:rPr>
          <w:rFonts w:ascii="Times New Roman" w:hAnsi="Times New Roman" w:eastAsia="宋体" w:cs="Times New Roman"/>
          <w:szCs w:val="21"/>
        </w:rPr>
        <w:t>2008</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tc>
      </w:tr>
    </w:tbl>
    <w:p>
      <w:pPr>
        <w:widowControl/>
        <w:jc w:val="left"/>
        <w:rPr>
          <w:rFonts w:ascii="Times New Roman" w:hAnsi="Times New Roman" w:cs="Times New Roman" w:eastAsiaTheme="majorEastAsia"/>
          <w:b/>
          <w:bCs/>
          <w:sz w:val="32"/>
          <w:szCs w:val="32"/>
        </w:rPr>
      </w:pPr>
      <w:r>
        <w:rPr>
          <w:rFonts w:ascii="Times New Roman" w:hAnsi="Times New Roman" w:cs="Times New Roman"/>
          <w:sz w:val="32"/>
          <w:szCs w:val="32"/>
        </w:rPr>
        <w:br w:type="page"/>
      </w:r>
    </w:p>
    <w:bookmarkEnd w:id="161"/>
    <w:bookmarkEnd w:id="162"/>
    <w:bookmarkEnd w:id="165"/>
    <w:bookmarkEnd w:id="166"/>
    <w:bookmarkEnd w:id="167"/>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168" w:name="_Toc22038"/>
      <w:bookmarkStart w:id="169" w:name="_Toc38126120"/>
      <w:bookmarkStart w:id="170" w:name="_Toc46489666"/>
      <w:r>
        <w:rPr>
          <w:rFonts w:ascii="Times New Roman" w:hAnsi="Times New Roman" w:cs="Times New Roman" w:eastAsiaTheme="majorEastAsia"/>
          <w:b/>
          <w:bCs/>
          <w:sz w:val="32"/>
          <w:szCs w:val="32"/>
        </w:rPr>
        <w:t>16142111</w:t>
      </w:r>
      <w:r>
        <w:rPr>
          <w:rFonts w:hint="eastAsia" w:ascii="Times New Roman" w:hAnsi="Times New Roman" w:cs="Times New Roman" w:eastAsiaTheme="majorEastAsia"/>
          <w:b/>
          <w:bCs/>
          <w:sz w:val="32"/>
          <w:szCs w:val="32"/>
        </w:rPr>
        <w:t>《嵌入式操作系统》课程教学大纲</w:t>
      </w:r>
      <w:bookmarkEnd w:id="16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442"/>
        <w:gridCol w:w="1196"/>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vAlign w:val="center"/>
          </w:tcPr>
          <w:p>
            <w:pPr>
              <w:adjustRightInd w:val="0"/>
              <w:snapToGrid w:val="0"/>
              <w:spacing w:line="300" w:lineRule="auto"/>
              <w:jc w:val="center"/>
              <w:rPr>
                <w:kern w:val="0"/>
                <w:szCs w:val="21"/>
              </w:rPr>
            </w:pPr>
            <w:r>
              <w:rPr>
                <w:kern w:val="0"/>
                <w:szCs w:val="21"/>
              </w:rPr>
              <w:t>课程编号</w:t>
            </w:r>
          </w:p>
        </w:tc>
        <w:tc>
          <w:tcPr>
            <w:tcW w:w="3442" w:type="dxa"/>
            <w:vAlign w:val="center"/>
          </w:tcPr>
          <w:p>
            <w:pPr>
              <w:adjustRightInd w:val="0"/>
              <w:snapToGrid w:val="0"/>
              <w:spacing w:line="300" w:lineRule="auto"/>
              <w:jc w:val="center"/>
              <w:rPr>
                <w:kern w:val="0"/>
                <w:szCs w:val="21"/>
              </w:rPr>
            </w:pPr>
            <w:r>
              <w:rPr>
                <w:bCs/>
                <w:kern w:val="0"/>
                <w:szCs w:val="21"/>
              </w:rPr>
              <w:t>16142111</w:t>
            </w:r>
          </w:p>
        </w:tc>
        <w:tc>
          <w:tcPr>
            <w:tcW w:w="1196" w:type="dxa"/>
            <w:vAlign w:val="center"/>
          </w:tcPr>
          <w:p>
            <w:pPr>
              <w:adjustRightInd w:val="0"/>
              <w:snapToGrid w:val="0"/>
              <w:spacing w:line="300" w:lineRule="auto"/>
              <w:jc w:val="center"/>
              <w:rPr>
                <w:kern w:val="0"/>
                <w:szCs w:val="21"/>
              </w:rPr>
            </w:pPr>
            <w:r>
              <w:rPr>
                <w:kern w:val="0"/>
                <w:szCs w:val="21"/>
              </w:rPr>
              <w:t>课程名称</w:t>
            </w:r>
          </w:p>
        </w:tc>
        <w:tc>
          <w:tcPr>
            <w:tcW w:w="2695" w:type="dxa"/>
            <w:vAlign w:val="center"/>
          </w:tcPr>
          <w:p>
            <w:pPr>
              <w:adjustRightInd w:val="0"/>
              <w:snapToGrid w:val="0"/>
              <w:spacing w:line="300" w:lineRule="auto"/>
              <w:jc w:val="center"/>
              <w:rPr>
                <w:kern w:val="0"/>
                <w:szCs w:val="21"/>
              </w:rPr>
            </w:pPr>
            <w:r>
              <w:rPr>
                <w:bCs/>
                <w:kern w:val="0"/>
                <w:szCs w:val="21"/>
              </w:rPr>
              <w:t>嵌入式操作系统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vAlign w:val="center"/>
          </w:tcPr>
          <w:p>
            <w:pPr>
              <w:adjustRightInd w:val="0"/>
              <w:snapToGrid w:val="0"/>
              <w:spacing w:line="300" w:lineRule="auto"/>
              <w:jc w:val="center"/>
              <w:rPr>
                <w:kern w:val="0"/>
                <w:szCs w:val="21"/>
              </w:rPr>
            </w:pPr>
            <w:r>
              <w:rPr>
                <w:kern w:val="0"/>
                <w:szCs w:val="21"/>
              </w:rPr>
              <w:t>课程性质</w:t>
            </w:r>
            <w:r>
              <w:rPr>
                <w:kern w:val="0"/>
                <w:sz w:val="20"/>
                <w:szCs w:val="20"/>
              </w:rPr>
              <w:t>*</w:t>
            </w:r>
          </w:p>
        </w:tc>
        <w:tc>
          <w:tcPr>
            <w:tcW w:w="3442" w:type="dxa"/>
            <w:vAlign w:val="center"/>
          </w:tcPr>
          <w:p>
            <w:pPr>
              <w:adjustRightInd w:val="0"/>
              <w:snapToGrid w:val="0"/>
              <w:spacing w:line="300" w:lineRule="auto"/>
              <w:jc w:val="center"/>
              <w:rPr>
                <w:kern w:val="0"/>
                <w:szCs w:val="21"/>
              </w:rPr>
            </w:pPr>
            <w:r>
              <w:rPr>
                <w:rFonts w:hint="eastAsia"/>
                <w:szCs w:val="21"/>
              </w:rPr>
              <w:t>专业类</w:t>
            </w:r>
          </w:p>
        </w:tc>
        <w:tc>
          <w:tcPr>
            <w:tcW w:w="1196" w:type="dxa"/>
            <w:vAlign w:val="center"/>
          </w:tcPr>
          <w:p>
            <w:pPr>
              <w:adjustRightInd w:val="0"/>
              <w:snapToGrid w:val="0"/>
              <w:spacing w:line="300" w:lineRule="auto"/>
              <w:jc w:val="center"/>
              <w:rPr>
                <w:kern w:val="0"/>
                <w:szCs w:val="21"/>
              </w:rPr>
            </w:pPr>
            <w:r>
              <w:rPr>
                <w:kern w:val="0"/>
                <w:szCs w:val="21"/>
              </w:rPr>
              <w:t>英文名称</w:t>
            </w:r>
          </w:p>
        </w:tc>
        <w:tc>
          <w:tcPr>
            <w:tcW w:w="2695" w:type="dxa"/>
            <w:vAlign w:val="center"/>
          </w:tcPr>
          <w:p>
            <w:pPr>
              <w:adjustRightInd w:val="0"/>
              <w:snapToGrid w:val="0"/>
              <w:spacing w:line="300" w:lineRule="auto"/>
              <w:jc w:val="center"/>
              <w:rPr>
                <w:bCs/>
                <w:kern w:val="0"/>
                <w:szCs w:val="21"/>
              </w:rPr>
            </w:pPr>
            <w:r>
              <w:rPr>
                <w:szCs w:val="21"/>
              </w:rPr>
              <w:t>Embedded Operating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vAlign w:val="center"/>
          </w:tcPr>
          <w:p>
            <w:pPr>
              <w:adjustRightInd w:val="0"/>
              <w:snapToGrid w:val="0"/>
              <w:spacing w:line="300" w:lineRule="auto"/>
              <w:jc w:val="center"/>
              <w:rPr>
                <w:kern w:val="0"/>
                <w:szCs w:val="21"/>
              </w:rPr>
            </w:pPr>
            <w:r>
              <w:rPr>
                <w:kern w:val="0"/>
                <w:szCs w:val="21"/>
              </w:rPr>
              <w:t>学分学时</w:t>
            </w:r>
          </w:p>
        </w:tc>
        <w:tc>
          <w:tcPr>
            <w:tcW w:w="3442" w:type="dxa"/>
            <w:vAlign w:val="center"/>
          </w:tcPr>
          <w:p>
            <w:pPr>
              <w:adjustRightInd w:val="0"/>
              <w:snapToGrid w:val="0"/>
              <w:spacing w:line="300" w:lineRule="auto"/>
              <w:jc w:val="center"/>
              <w:rPr>
                <w:kern w:val="0"/>
                <w:szCs w:val="21"/>
              </w:rPr>
            </w:pPr>
            <w:r>
              <w:rPr>
                <w:bCs/>
                <w:kern w:val="0"/>
                <w:szCs w:val="21"/>
              </w:rPr>
              <w:t xml:space="preserve">2 </w:t>
            </w:r>
            <w:r>
              <w:rPr>
                <w:kern w:val="0"/>
                <w:szCs w:val="21"/>
              </w:rPr>
              <w:t>: 32（8）</w:t>
            </w:r>
          </w:p>
        </w:tc>
        <w:tc>
          <w:tcPr>
            <w:tcW w:w="1196" w:type="dxa"/>
            <w:vAlign w:val="center"/>
          </w:tcPr>
          <w:p>
            <w:pPr>
              <w:adjustRightInd w:val="0"/>
              <w:snapToGrid w:val="0"/>
              <w:spacing w:line="300" w:lineRule="auto"/>
              <w:jc w:val="center"/>
              <w:rPr>
                <w:kern w:val="0"/>
                <w:szCs w:val="21"/>
                <w:highlight w:val="yellow"/>
              </w:rPr>
            </w:pPr>
            <w:r>
              <w:rPr>
                <w:kern w:val="0"/>
                <w:szCs w:val="21"/>
              </w:rPr>
              <w:t>任课教师</w:t>
            </w:r>
          </w:p>
        </w:tc>
        <w:tc>
          <w:tcPr>
            <w:tcW w:w="2695" w:type="dxa"/>
            <w:vAlign w:val="center"/>
          </w:tcPr>
          <w:p>
            <w:pPr>
              <w:adjustRightInd w:val="0"/>
              <w:snapToGrid w:val="0"/>
              <w:spacing w:line="300" w:lineRule="auto"/>
              <w:jc w:val="center"/>
              <w:rPr>
                <w:kern w:val="0"/>
                <w:szCs w:val="21"/>
                <w:highlight w:val="yellow"/>
              </w:rPr>
            </w:pPr>
            <w:r>
              <w:rPr>
                <w:kern w:val="0"/>
                <w:szCs w:val="21"/>
              </w:rPr>
              <w:t>冯青、邓锐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vAlign w:val="center"/>
          </w:tcPr>
          <w:p>
            <w:pPr>
              <w:adjustRightInd w:val="0"/>
              <w:snapToGrid w:val="0"/>
              <w:spacing w:line="300" w:lineRule="auto"/>
              <w:jc w:val="center"/>
              <w:rPr>
                <w:bCs/>
                <w:kern w:val="0"/>
                <w:szCs w:val="21"/>
              </w:rPr>
            </w:pPr>
            <w:r>
              <w:rPr>
                <w:kern w:val="0"/>
                <w:szCs w:val="21"/>
              </w:rPr>
              <w:t>企业专家</w:t>
            </w:r>
          </w:p>
        </w:tc>
        <w:tc>
          <w:tcPr>
            <w:tcW w:w="3442" w:type="dxa"/>
            <w:vAlign w:val="center"/>
          </w:tcPr>
          <w:p>
            <w:pPr>
              <w:widowControl/>
              <w:adjustRightInd w:val="0"/>
              <w:snapToGrid w:val="0"/>
              <w:spacing w:line="300" w:lineRule="auto"/>
              <w:jc w:val="center"/>
              <w:rPr>
                <w:kern w:val="0"/>
                <w:szCs w:val="21"/>
              </w:rPr>
            </w:pPr>
            <w:r>
              <w:rPr>
                <w:kern w:val="0"/>
                <w:szCs w:val="21"/>
              </w:rPr>
              <w:t>曾耿滨</w:t>
            </w:r>
          </w:p>
        </w:tc>
        <w:tc>
          <w:tcPr>
            <w:tcW w:w="1196" w:type="dxa"/>
            <w:vAlign w:val="center"/>
          </w:tcPr>
          <w:p>
            <w:pPr>
              <w:adjustRightInd w:val="0"/>
              <w:snapToGrid w:val="0"/>
              <w:spacing w:line="300" w:lineRule="auto"/>
              <w:jc w:val="center"/>
              <w:rPr>
                <w:bCs/>
                <w:kern w:val="0"/>
                <w:szCs w:val="21"/>
              </w:rPr>
            </w:pPr>
            <w:r>
              <w:rPr>
                <w:kern w:val="0"/>
                <w:szCs w:val="21"/>
              </w:rPr>
              <w:t>行业专家</w:t>
            </w:r>
          </w:p>
        </w:tc>
        <w:tc>
          <w:tcPr>
            <w:tcW w:w="2695" w:type="dxa"/>
            <w:vAlign w:val="center"/>
          </w:tcPr>
          <w:p>
            <w:pPr>
              <w:widowControl/>
              <w:adjustRightInd w:val="0"/>
              <w:snapToGrid w:val="0"/>
              <w:spacing w:line="300" w:lineRule="auto"/>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vAlign w:val="center"/>
          </w:tcPr>
          <w:p>
            <w:pPr>
              <w:widowControl/>
              <w:adjustRightInd w:val="0"/>
              <w:snapToGrid w:val="0"/>
              <w:spacing w:line="300" w:lineRule="auto"/>
              <w:jc w:val="center"/>
              <w:rPr>
                <w:bCs/>
                <w:kern w:val="0"/>
                <w:szCs w:val="21"/>
              </w:rPr>
            </w:pPr>
            <w:r>
              <w:rPr>
                <w:bCs/>
                <w:kern w:val="0"/>
                <w:szCs w:val="21"/>
              </w:rPr>
              <w:t>执笔教师</w:t>
            </w:r>
          </w:p>
        </w:tc>
        <w:tc>
          <w:tcPr>
            <w:tcW w:w="3442" w:type="dxa"/>
            <w:vAlign w:val="center"/>
          </w:tcPr>
          <w:p>
            <w:pPr>
              <w:widowControl/>
              <w:adjustRightInd w:val="0"/>
              <w:snapToGrid w:val="0"/>
              <w:spacing w:line="300" w:lineRule="auto"/>
              <w:jc w:val="center"/>
              <w:rPr>
                <w:kern w:val="0"/>
                <w:szCs w:val="21"/>
              </w:rPr>
            </w:pPr>
            <w:r>
              <w:rPr>
                <w:kern w:val="0"/>
                <w:szCs w:val="21"/>
              </w:rPr>
              <w:t>冯青</w:t>
            </w:r>
          </w:p>
        </w:tc>
        <w:tc>
          <w:tcPr>
            <w:tcW w:w="1196" w:type="dxa"/>
            <w:vAlign w:val="center"/>
          </w:tcPr>
          <w:p>
            <w:pPr>
              <w:widowControl/>
              <w:adjustRightInd w:val="0"/>
              <w:snapToGrid w:val="0"/>
              <w:spacing w:line="300" w:lineRule="auto"/>
              <w:jc w:val="center"/>
              <w:rPr>
                <w:bCs/>
                <w:kern w:val="0"/>
                <w:szCs w:val="21"/>
              </w:rPr>
            </w:pPr>
            <w:r>
              <w:rPr>
                <w:bCs/>
                <w:kern w:val="0"/>
                <w:szCs w:val="21"/>
              </w:rPr>
              <w:t>责任教授</w:t>
            </w:r>
          </w:p>
        </w:tc>
        <w:tc>
          <w:tcPr>
            <w:tcW w:w="2695" w:type="dxa"/>
            <w:vAlign w:val="center"/>
          </w:tcPr>
          <w:p>
            <w:pPr>
              <w:widowControl/>
              <w:adjustRightInd w:val="0"/>
              <w:snapToGrid w:val="0"/>
              <w:spacing w:line="300" w:lineRule="auto"/>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vAlign w:val="center"/>
          </w:tcPr>
          <w:p>
            <w:pPr>
              <w:widowControl/>
              <w:adjustRightInd w:val="0"/>
              <w:snapToGrid w:val="0"/>
              <w:spacing w:line="300" w:lineRule="auto"/>
              <w:jc w:val="center"/>
              <w:rPr>
                <w:bCs/>
                <w:kern w:val="0"/>
                <w:szCs w:val="21"/>
              </w:rPr>
            </w:pPr>
            <w:r>
              <w:rPr>
                <w:bCs/>
                <w:kern w:val="0"/>
                <w:szCs w:val="21"/>
              </w:rPr>
              <w:t>适用专业</w:t>
            </w:r>
          </w:p>
        </w:tc>
        <w:tc>
          <w:tcPr>
            <w:tcW w:w="3442" w:type="dxa"/>
            <w:vAlign w:val="center"/>
          </w:tcPr>
          <w:p>
            <w:pPr>
              <w:widowControl/>
              <w:adjustRightInd w:val="0"/>
              <w:snapToGrid w:val="0"/>
              <w:spacing w:line="300" w:lineRule="auto"/>
              <w:jc w:val="center"/>
              <w:rPr>
                <w:kern w:val="0"/>
                <w:szCs w:val="21"/>
              </w:rPr>
            </w:pPr>
            <w:r>
              <w:rPr>
                <w:kern w:val="0"/>
                <w:szCs w:val="21"/>
              </w:rPr>
              <w:t>电子信息工程</w:t>
            </w:r>
          </w:p>
        </w:tc>
        <w:tc>
          <w:tcPr>
            <w:tcW w:w="1196" w:type="dxa"/>
            <w:vAlign w:val="center"/>
          </w:tcPr>
          <w:p>
            <w:pPr>
              <w:widowControl/>
              <w:adjustRightInd w:val="0"/>
              <w:snapToGrid w:val="0"/>
              <w:spacing w:line="300" w:lineRule="auto"/>
              <w:jc w:val="center"/>
              <w:rPr>
                <w:bCs/>
                <w:kern w:val="0"/>
                <w:szCs w:val="21"/>
              </w:rPr>
            </w:pPr>
            <w:r>
              <w:rPr>
                <w:bCs/>
                <w:kern w:val="0"/>
                <w:szCs w:val="21"/>
              </w:rPr>
              <w:t>适用对象</w:t>
            </w:r>
          </w:p>
        </w:tc>
        <w:tc>
          <w:tcPr>
            <w:tcW w:w="2695" w:type="dxa"/>
            <w:vAlign w:val="center"/>
          </w:tcPr>
          <w:p>
            <w:pPr>
              <w:widowControl/>
              <w:adjustRightInd w:val="0"/>
              <w:snapToGrid w:val="0"/>
              <w:spacing w:line="300" w:lineRule="auto"/>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vAlign w:val="center"/>
          </w:tcPr>
          <w:p>
            <w:pPr>
              <w:adjustRightInd w:val="0"/>
              <w:snapToGrid w:val="0"/>
              <w:spacing w:line="300" w:lineRule="auto"/>
              <w:jc w:val="center"/>
              <w:rPr>
                <w:b/>
                <w:kern w:val="0"/>
                <w:szCs w:val="21"/>
              </w:rPr>
            </w:pPr>
            <w:r>
              <w:rPr>
                <w:kern w:val="0"/>
                <w:szCs w:val="21"/>
              </w:rPr>
              <w:t>先修课程</w:t>
            </w:r>
          </w:p>
        </w:tc>
        <w:tc>
          <w:tcPr>
            <w:tcW w:w="3442" w:type="dxa"/>
            <w:vAlign w:val="center"/>
          </w:tcPr>
          <w:p>
            <w:pPr>
              <w:adjustRightInd w:val="0"/>
              <w:snapToGrid w:val="0"/>
              <w:spacing w:line="300" w:lineRule="auto"/>
              <w:ind w:left="-120" w:leftChars="-57"/>
              <w:jc w:val="center"/>
              <w:rPr>
                <w:bCs/>
                <w:kern w:val="0"/>
                <w:szCs w:val="21"/>
              </w:rPr>
            </w:pPr>
            <w:r>
              <w:rPr>
                <w:szCs w:val="21"/>
              </w:rPr>
              <w:t>C语言程序设计、算法与数据结构、微机原理与接口技术</w:t>
            </w:r>
          </w:p>
        </w:tc>
        <w:tc>
          <w:tcPr>
            <w:tcW w:w="1196" w:type="dxa"/>
            <w:vAlign w:val="center"/>
          </w:tcPr>
          <w:p>
            <w:pPr>
              <w:adjustRightInd w:val="0"/>
              <w:snapToGrid w:val="0"/>
              <w:spacing w:line="300" w:lineRule="auto"/>
              <w:jc w:val="center"/>
              <w:rPr>
                <w:b/>
                <w:kern w:val="0"/>
                <w:szCs w:val="21"/>
              </w:rPr>
            </w:pPr>
            <w:r>
              <w:rPr>
                <w:kern w:val="0"/>
                <w:szCs w:val="21"/>
              </w:rPr>
              <w:t>同修课程</w:t>
            </w:r>
          </w:p>
        </w:tc>
        <w:tc>
          <w:tcPr>
            <w:tcW w:w="2695" w:type="dxa"/>
            <w:vAlign w:val="center"/>
          </w:tcPr>
          <w:p>
            <w:pPr>
              <w:widowControl/>
              <w:adjustRightInd w:val="0"/>
              <w:snapToGrid w:val="0"/>
              <w:spacing w:line="300" w:lineRule="auto"/>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vAlign w:val="center"/>
          </w:tcPr>
          <w:p>
            <w:pPr>
              <w:adjustRightInd w:val="0"/>
              <w:snapToGrid w:val="0"/>
              <w:spacing w:line="300" w:lineRule="auto"/>
              <w:jc w:val="center"/>
              <w:rPr>
                <w:kern w:val="0"/>
                <w:szCs w:val="21"/>
              </w:rPr>
            </w:pPr>
            <w:r>
              <w:rPr>
                <w:kern w:val="0"/>
                <w:szCs w:val="21"/>
              </w:rPr>
              <w:t>排斥课程</w:t>
            </w:r>
          </w:p>
        </w:tc>
        <w:tc>
          <w:tcPr>
            <w:tcW w:w="3442" w:type="dxa"/>
            <w:vAlign w:val="center"/>
          </w:tcPr>
          <w:p>
            <w:pPr>
              <w:widowControl/>
              <w:adjustRightInd w:val="0"/>
              <w:snapToGrid w:val="0"/>
              <w:spacing w:line="300" w:lineRule="auto"/>
              <w:jc w:val="center"/>
              <w:rPr>
                <w:kern w:val="0"/>
                <w:szCs w:val="21"/>
              </w:rPr>
            </w:pPr>
            <w:r>
              <w:rPr>
                <w:kern w:val="0"/>
                <w:szCs w:val="21"/>
              </w:rPr>
              <w:t>无</w:t>
            </w:r>
          </w:p>
        </w:tc>
        <w:tc>
          <w:tcPr>
            <w:tcW w:w="1196" w:type="dxa"/>
            <w:vAlign w:val="center"/>
          </w:tcPr>
          <w:p>
            <w:pPr>
              <w:adjustRightInd w:val="0"/>
              <w:snapToGrid w:val="0"/>
              <w:spacing w:line="300" w:lineRule="auto"/>
              <w:jc w:val="center"/>
              <w:rPr>
                <w:kern w:val="0"/>
                <w:szCs w:val="21"/>
              </w:rPr>
            </w:pPr>
            <w:r>
              <w:rPr>
                <w:kern w:val="0"/>
                <w:szCs w:val="21"/>
              </w:rPr>
              <w:t>定稿日期</w:t>
            </w:r>
          </w:p>
        </w:tc>
        <w:tc>
          <w:tcPr>
            <w:tcW w:w="2695" w:type="dxa"/>
            <w:vAlign w:val="center"/>
          </w:tcPr>
          <w:p>
            <w:pPr>
              <w:widowControl/>
              <w:adjustRightInd w:val="0"/>
              <w:snapToGrid w:val="0"/>
              <w:spacing w:line="300" w:lineRule="auto"/>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w:t>
      </w:r>
      <w:r>
        <w:t>嵌入式操作系统</w:t>
      </w:r>
      <w:r>
        <w:rPr>
          <w:szCs w:val="21"/>
        </w:rPr>
        <w:t>》是电子与信息工程专业的专业拓展课，</w:t>
      </w:r>
      <w:r>
        <w:t>嵌入式操作系统EOS（Embedded Operating System）是一种用途广泛的系统软件，EOS负责嵌人系统的全部软、硬件资源的分配、调度工作，控制协调并发活动。随着Internet技术的发展、信息家电的普及应用，EOS变得微型化和专业化。课程以嵌入式linux为实例，讲述操作系统的概念、进程及其调度、同步机制、文件系统、设备驱动程序设计、系统裁剪与移植等，并在此基础上扩展基于EOS的应用程序设计。</w:t>
      </w:r>
    </w:p>
    <w:p>
      <w:pPr>
        <w:snapToGrid w:val="0"/>
        <w:spacing w:before="156" w:beforeLines="50" w:after="156" w:afterLines="50" w:line="300" w:lineRule="auto"/>
        <w:rPr>
          <w:b/>
          <w:sz w:val="24"/>
        </w:rPr>
      </w:pPr>
      <w:r>
        <w:rPr>
          <w:b/>
          <w:sz w:val="24"/>
        </w:rPr>
        <w:t>二、课程教学目标</w:t>
      </w:r>
    </w:p>
    <w:p>
      <w:pPr>
        <w:spacing w:line="360" w:lineRule="exact"/>
        <w:ind w:right="-31" w:rightChars="-15" w:firstLine="420" w:firstLineChars="200"/>
      </w:pPr>
      <w:r>
        <w:t>通过该课程的学习，使学生初步具备嵌入式系统开发的基本知识，掌握常用嵌入式系统设备使用和设计方法，掌握嵌入式系统的软硬件设计原理和系统开发及移植的基本技术，具备初步的系统设计和实现能力。</w:t>
      </w:r>
    </w:p>
    <w:p>
      <w:pPr>
        <w:widowControl/>
        <w:snapToGrid w:val="0"/>
        <w:spacing w:line="300" w:lineRule="auto"/>
        <w:ind w:firstLine="420" w:firstLineChars="200"/>
        <w:rPr>
          <w:kern w:val="0"/>
          <w:szCs w:val="21"/>
        </w:rPr>
      </w:pPr>
      <w:r>
        <w:rPr>
          <w:kern w:val="0"/>
          <w:szCs w:val="21"/>
        </w:rPr>
        <w:t>操作系统是信息产业的基础，我国在这方面起步较晚，缺少自有知识产权的优秀操作系统。在当前美国打压的情况下，电子信息专业的同学要有自强不息的精神，争取在此方面勇于突破，早日摆脱对美国的依赖。</w:t>
      </w:r>
    </w:p>
    <w:p>
      <w:pPr>
        <w:widowControl/>
        <w:snapToGrid w:val="0"/>
        <w:spacing w:line="300" w:lineRule="auto"/>
        <w:ind w:firstLine="420" w:firstLineChars="200"/>
        <w:rPr>
          <w:kern w:val="0"/>
          <w:szCs w:val="21"/>
        </w:rPr>
      </w:pPr>
      <w:r>
        <w:rPr>
          <w:kern w:val="0"/>
          <w:szCs w:val="21"/>
        </w:rPr>
        <w:t xml:space="preserve">课程的具体教学目标如下： </w:t>
      </w:r>
    </w:p>
    <w:p>
      <w:pPr>
        <w:widowControl/>
        <w:snapToGrid w:val="0"/>
        <w:spacing w:line="300" w:lineRule="auto"/>
        <w:ind w:firstLine="420" w:firstLineChars="200"/>
        <w:rPr>
          <w:kern w:val="0"/>
          <w:szCs w:val="21"/>
        </w:rPr>
      </w:pPr>
      <w:r>
        <w:rPr>
          <w:kern w:val="0"/>
          <w:szCs w:val="21"/>
        </w:rPr>
        <w:t>通过该课程的学习，使学生初步具备嵌入式系统开发的基本知识，掌握常用嵌入式系统设备使用和设计方法，掌握嵌入式系统的软硬件设计原理和系统开发及移植的基本技术，具备初步的系统设计和实现能力。</w:t>
      </w:r>
    </w:p>
    <w:p>
      <w:pPr>
        <w:widowControl/>
        <w:snapToGrid w:val="0"/>
        <w:spacing w:line="300" w:lineRule="auto"/>
        <w:ind w:firstLine="420" w:firstLineChars="200"/>
        <w:rPr>
          <w:kern w:val="0"/>
          <w:szCs w:val="21"/>
        </w:rPr>
      </w:pPr>
      <w:r>
        <w:rPr>
          <w:kern w:val="0"/>
          <w:szCs w:val="21"/>
        </w:rPr>
        <w:t>1．掌握嵌入式系统的概念、体系结构、系统组成及设计方法。掌握ARM的微处理器结构和指令系统以及嵌入式系统的分析与设计方法，了解嵌入式操作系统和嵌入式网络技术，对电子信息工程的复杂工程问题进行识别、表达和分析，并获得有效结论的能力。掌握ARM系列嵌入式微处理器的硬件资源、指令系统，并以它为核心，能够进行实际系统的设计与分析，设计出满足要求的系统总体方案与系统拓扑图、单元子系统（或单元电路）、软硬件模块或工艺。[3</w:t>
      </w:r>
      <w:r>
        <w:rPr>
          <w:rFonts w:hint="eastAsia"/>
          <w:kern w:val="0"/>
          <w:szCs w:val="21"/>
        </w:rPr>
        <w:t>.</w:t>
      </w:r>
      <w:r>
        <w:rPr>
          <w:kern w:val="0"/>
          <w:szCs w:val="21"/>
        </w:rPr>
        <w:t>1]</w:t>
      </w:r>
    </w:p>
    <w:p>
      <w:pPr>
        <w:widowControl/>
        <w:snapToGrid w:val="0"/>
        <w:spacing w:line="300" w:lineRule="auto"/>
        <w:ind w:firstLine="420" w:firstLineChars="200"/>
        <w:rPr>
          <w:kern w:val="0"/>
          <w:szCs w:val="21"/>
        </w:rPr>
      </w:pPr>
      <w:r>
        <w:rPr>
          <w:kern w:val="0"/>
          <w:szCs w:val="21"/>
        </w:rPr>
        <w:t>2．通过实例学习，重点掌握嵌入式系统的应用开发。具备对复杂工程问题的技术路线，实验方案、软/硬件模块和存在的问题进行研究的能力。[4.1]</w:t>
      </w:r>
    </w:p>
    <w:p>
      <w:pPr>
        <w:widowControl/>
        <w:snapToGrid w:val="0"/>
        <w:spacing w:line="300" w:lineRule="auto"/>
        <w:ind w:firstLine="420" w:firstLineChars="200"/>
        <w:rPr>
          <w:kern w:val="0"/>
          <w:szCs w:val="21"/>
        </w:rPr>
      </w:pPr>
      <w:r>
        <w:rPr>
          <w:kern w:val="0"/>
          <w:szCs w:val="21"/>
        </w:rPr>
        <w:t>3．具备利用虚拟机VM等仿真软件对操作系统进行仿真和应用开发调试实验的能力。[5.2]</w:t>
      </w:r>
    </w:p>
    <w:p>
      <w:pPr>
        <w:widowControl/>
        <w:snapToGrid w:val="0"/>
        <w:spacing w:line="300" w:lineRule="auto"/>
        <w:ind w:firstLine="420" w:firstLineChars="200"/>
        <w:rPr>
          <w:kern w:val="0"/>
          <w:szCs w:val="21"/>
        </w:rPr>
      </w:pPr>
      <w:r>
        <w:rPr>
          <w:kern w:val="0"/>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4"/>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jc w:val="center"/>
              <w:rPr>
                <w:b/>
                <w:bCs/>
                <w:sz w:val="18"/>
                <w:szCs w:val="18"/>
              </w:rPr>
            </w:pPr>
            <w:r>
              <w:rPr>
                <w:b/>
                <w:bCs/>
                <w:sz w:val="18"/>
                <w:szCs w:val="18"/>
              </w:rPr>
              <w:t>毕业要求</w:t>
            </w:r>
          </w:p>
        </w:tc>
        <w:tc>
          <w:tcPr>
            <w:tcW w:w="6144"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center"/>
              <w:rPr>
                <w:b/>
                <w:bCs/>
                <w:sz w:val="18"/>
                <w:szCs w:val="18"/>
              </w:rPr>
            </w:pPr>
            <w:r>
              <w:rPr>
                <w:b/>
                <w:bCs/>
                <w:sz w:val="18"/>
                <w:szCs w:val="18"/>
              </w:rPr>
              <w:t>课程目标</w:t>
            </w:r>
          </w:p>
        </w:tc>
        <w:tc>
          <w:tcPr>
            <w:tcW w:w="655" w:type="dxa"/>
            <w:vAlign w:val="center"/>
          </w:tcPr>
          <w:p>
            <w:pPr>
              <w:snapToGrid w:val="0"/>
              <w:spacing w:line="300" w:lineRule="auto"/>
              <w:jc w:val="center"/>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snapToGrid w:val="0"/>
              <w:spacing w:line="300" w:lineRule="auto"/>
              <w:rPr>
                <w:sz w:val="18"/>
                <w:szCs w:val="18"/>
              </w:rPr>
            </w:pPr>
            <w:r>
              <w:rPr>
                <w:sz w:val="18"/>
                <w:szCs w:val="18"/>
              </w:rPr>
              <w:t>3</w:t>
            </w:r>
            <w:r>
              <w:rPr>
                <w:kern w:val="0"/>
                <w:szCs w:val="21"/>
              </w:rPr>
              <w:t>．</w:t>
            </w:r>
            <w:r>
              <w:rPr>
                <w:sz w:val="18"/>
                <w:szCs w:val="18"/>
              </w:rPr>
              <w:t>设计/开发解决方案</w:t>
            </w:r>
          </w:p>
        </w:tc>
        <w:tc>
          <w:tcPr>
            <w:tcW w:w="6144" w:type="dxa"/>
            <w:vAlign w:val="center"/>
          </w:tcPr>
          <w:p>
            <w:pPr>
              <w:snapToGrid w:val="0"/>
              <w:spacing w:line="300" w:lineRule="auto"/>
              <w:ind w:right="-334"/>
              <w:rPr>
                <w:sz w:val="18"/>
                <w:szCs w:val="18"/>
              </w:rPr>
            </w:pPr>
            <w:r>
              <w:rPr>
                <w:sz w:val="18"/>
                <w:szCs w:val="18"/>
              </w:rPr>
              <w:t>3.1能够利用专业知识，针对给定需求，设计出满足要求的系统总体方案与系统拓扑图、单元子系统（或单元电路）、软硬件模块或工艺。</w:t>
            </w:r>
          </w:p>
        </w:tc>
        <w:tc>
          <w:tcPr>
            <w:tcW w:w="689" w:type="dxa"/>
            <w:vAlign w:val="center"/>
          </w:tcPr>
          <w:p>
            <w:pPr>
              <w:snapToGrid w:val="0"/>
              <w:spacing w:line="300" w:lineRule="auto"/>
              <w:jc w:val="center"/>
              <w:rPr>
                <w:sz w:val="18"/>
                <w:szCs w:val="18"/>
              </w:rPr>
            </w:pPr>
            <w:r>
              <w:rPr>
                <w:sz w:val="18"/>
                <w:szCs w:val="18"/>
              </w:rPr>
              <w:t>1</w:t>
            </w:r>
          </w:p>
        </w:tc>
        <w:tc>
          <w:tcPr>
            <w:tcW w:w="655" w:type="dxa"/>
            <w:vAlign w:val="center"/>
          </w:tcPr>
          <w:p>
            <w:pPr>
              <w:snapToGrid w:val="0"/>
              <w:spacing w:line="300" w:lineRule="auto"/>
              <w:jc w:val="center"/>
              <w:rPr>
                <w:sz w:val="18"/>
                <w:szCs w:val="18"/>
              </w:rPr>
            </w:pPr>
            <w:r>
              <w:rPr>
                <w:sz w:val="18"/>
                <w:szCs w:val="18"/>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4．问题研究</w:t>
            </w:r>
          </w:p>
        </w:tc>
        <w:tc>
          <w:tcPr>
            <w:tcW w:w="6144" w:type="dxa"/>
            <w:vAlign w:val="center"/>
          </w:tcPr>
          <w:p>
            <w:pPr>
              <w:snapToGrid w:val="0"/>
              <w:spacing w:line="300" w:lineRule="auto"/>
              <w:rPr>
                <w:sz w:val="18"/>
                <w:szCs w:val="18"/>
              </w:rPr>
            </w:pPr>
            <w:r>
              <w:rPr>
                <w:sz w:val="18"/>
                <w:szCs w:val="18"/>
              </w:rPr>
              <w:t>4.1具备基于电子信息科学原理并采用科学方法对复杂工程问题的技术路线，实验方案、软/硬件模块和存在的问题进行研究的能力。</w:t>
            </w:r>
          </w:p>
        </w:tc>
        <w:tc>
          <w:tcPr>
            <w:tcW w:w="689" w:type="dxa"/>
            <w:vAlign w:val="center"/>
          </w:tcPr>
          <w:p>
            <w:pPr>
              <w:snapToGrid w:val="0"/>
              <w:spacing w:line="300" w:lineRule="auto"/>
              <w:jc w:val="center"/>
              <w:rPr>
                <w:sz w:val="18"/>
                <w:szCs w:val="18"/>
              </w:rPr>
            </w:pPr>
            <w:r>
              <w:rPr>
                <w:sz w:val="18"/>
                <w:szCs w:val="18"/>
              </w:rPr>
              <w:t>2</w:t>
            </w:r>
          </w:p>
        </w:tc>
        <w:tc>
          <w:tcPr>
            <w:tcW w:w="655" w:type="dxa"/>
            <w:vAlign w:val="center"/>
          </w:tcPr>
          <w:p>
            <w:pPr>
              <w:snapToGrid w:val="0"/>
              <w:spacing w:line="30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5．现代工具使用</w:t>
            </w:r>
          </w:p>
        </w:tc>
        <w:tc>
          <w:tcPr>
            <w:tcW w:w="6144" w:type="dxa"/>
            <w:vAlign w:val="center"/>
          </w:tcPr>
          <w:p>
            <w:pPr>
              <w:snapToGrid w:val="0"/>
              <w:spacing w:line="300" w:lineRule="auto"/>
              <w:rPr>
                <w:sz w:val="18"/>
                <w:szCs w:val="18"/>
              </w:rPr>
            </w:pPr>
            <w:r>
              <w:rPr>
                <w:sz w:val="18"/>
                <w:szCs w:val="18"/>
              </w:rPr>
              <w:t>5.2具备使用实验设备、软件和现代工程工具对复杂工程问题进行模拟或仿真的能力，并能够理解其局限性。</w:t>
            </w:r>
          </w:p>
        </w:tc>
        <w:tc>
          <w:tcPr>
            <w:tcW w:w="689" w:type="dxa"/>
            <w:vAlign w:val="center"/>
          </w:tcPr>
          <w:p>
            <w:pPr>
              <w:snapToGrid w:val="0"/>
              <w:spacing w:line="300" w:lineRule="auto"/>
              <w:jc w:val="center"/>
              <w:rPr>
                <w:sz w:val="18"/>
                <w:szCs w:val="18"/>
              </w:rPr>
            </w:pPr>
            <w:r>
              <w:rPr>
                <w:sz w:val="18"/>
                <w:szCs w:val="18"/>
              </w:rPr>
              <w:t>3</w:t>
            </w:r>
          </w:p>
        </w:tc>
        <w:tc>
          <w:tcPr>
            <w:tcW w:w="655" w:type="dxa"/>
            <w:vAlign w:val="center"/>
          </w:tcPr>
          <w:p>
            <w:pPr>
              <w:snapToGrid w:val="0"/>
              <w:spacing w:line="300" w:lineRule="auto"/>
              <w:jc w:val="center"/>
              <w:rPr>
                <w:sz w:val="18"/>
                <w:szCs w:val="18"/>
              </w:rPr>
            </w:pPr>
            <w:r>
              <w:rPr>
                <w:sz w:val="18"/>
                <w:szCs w:val="18"/>
              </w:rPr>
              <w:t>0.45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0"/>
        <w:gridCol w:w="1781"/>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7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4" w:hRule="atLeast"/>
          <w:jc w:val="center"/>
        </w:trPr>
        <w:tc>
          <w:tcPr>
            <w:tcW w:w="5780"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kern w:val="0"/>
                <w:szCs w:val="21"/>
              </w:rPr>
              <w:t>．</w:t>
            </w:r>
            <w:r>
              <w:rPr>
                <w:sz w:val="18"/>
                <w:szCs w:val="18"/>
                <w:shd w:val="clear" w:color="auto" w:fill="FEFEFF"/>
              </w:rPr>
              <w:t>掌握嵌入式系统的概念、体系结构、系统组成及设计方法；掌握ARM的微处理器结构和指令系统以及嵌入式系统的分析与设计方法，了解嵌入式操作系统和嵌入式网络技术，对电子信息工程的复杂工程问题进行识别、表达和分析，并获得有效结论的能力。掌握ARM系列嵌入式微处理器的硬件资源、指令系统，并以它为核心，能够进行实际系统的设计与分析，设计出满足要求的系统总体方案与系统拓扑图、单元子系统（或单元电路）、软硬件模块或工艺。</w:t>
            </w:r>
          </w:p>
        </w:tc>
        <w:tc>
          <w:tcPr>
            <w:tcW w:w="1781"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3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w:t>
            </w:r>
            <w:r>
              <w:rPr>
                <w:kern w:val="0"/>
                <w:szCs w:val="21"/>
              </w:rPr>
              <w:t>．</w:t>
            </w:r>
            <w:r>
              <w:rPr>
                <w:sz w:val="18"/>
                <w:szCs w:val="18"/>
                <w:shd w:val="clear" w:color="auto" w:fill="FEFEFF"/>
              </w:rPr>
              <w:t>通过实例学习，重点掌握嵌入式系统的应用开发。具备对复杂工程问题的技术路线，实验方案、软/硬件模块和存在的问题进行研究的能力。</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3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w:t>
            </w:r>
            <w:r>
              <w:rPr>
                <w:kern w:val="0"/>
                <w:szCs w:val="21"/>
              </w:rPr>
              <w:t>．</w:t>
            </w:r>
            <w:r>
              <w:rPr>
                <w:sz w:val="18"/>
                <w:szCs w:val="18"/>
                <w:shd w:val="clear" w:color="auto" w:fill="FEFEFF"/>
              </w:rPr>
              <w:t>具备利用虚拟机VM等仿真软件对操作系统进行仿真和应用开发调试实验的能力。</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通过课堂讲授与学生学习（实验与仿真）等达成。</w:t>
            </w:r>
          </w:p>
        </w:tc>
        <w:tc>
          <w:tcPr>
            <w:tcW w:w="13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pacing w:line="360" w:lineRule="exact"/>
        <w:ind w:right="-31" w:rightChars="-15" w:firstLine="420" w:firstLineChars="200"/>
      </w:pPr>
      <w:r>
        <w:t>1．课堂讲授为主，网络多媒体教学、课程独立网站（含教学视频）以及“雨课堂”同步学习为辅，注重与专业相关工程实践教学环节和场景配合的案例教学，搜集《电路分析》相关内容在实际工程中的案例，案例由浅入深，结合课程中的相应知识点进行分析，培养学生对复杂工程问题的应用能力。案例见教学内容部分。</w:t>
      </w:r>
    </w:p>
    <w:p>
      <w:pPr>
        <w:spacing w:line="360" w:lineRule="exact"/>
        <w:ind w:right="-31" w:rightChars="-15" w:firstLine="420" w:firstLineChars="200"/>
      </w:pPr>
      <w:r>
        <w:t>2．根据课程特点采用启发式教学、任务驱动教学、案例教学法进行教学方法创新；核心能力知识点采用“原理描述-方法分析-应用案例展示”相互呼应的教学模式。</w:t>
      </w:r>
    </w:p>
    <w:p>
      <w:pPr>
        <w:spacing w:line="360" w:lineRule="exact"/>
        <w:ind w:right="-31" w:rightChars="-15" w:firstLine="420" w:firstLineChars="200"/>
      </w:pPr>
      <w: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pacing w:line="360" w:lineRule="exact"/>
        <w:ind w:right="-31" w:rightChars="-15" w:firstLine="420" w:firstLineChars="200"/>
      </w:pPr>
      <w: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2"/>
        <w:gridCol w:w="3493"/>
        <w:gridCol w:w="4206"/>
        <w:gridCol w:w="445"/>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602" w:type="dxa"/>
            <w:tcMar>
              <w:left w:w="57" w:type="dxa"/>
              <w:right w:w="57" w:type="dxa"/>
            </w:tcMar>
          </w:tcPr>
          <w:p>
            <w:pPr>
              <w:snapToGrid w:val="0"/>
              <w:spacing w:line="300" w:lineRule="auto"/>
              <w:jc w:val="center"/>
              <w:rPr>
                <w:b/>
                <w:bCs/>
                <w:sz w:val="18"/>
                <w:szCs w:val="18"/>
              </w:rPr>
            </w:pPr>
            <w:r>
              <w:rPr>
                <w:b/>
                <w:bCs/>
                <w:sz w:val="18"/>
                <w:szCs w:val="18"/>
              </w:rPr>
              <w:t>序号</w:t>
            </w:r>
          </w:p>
        </w:tc>
        <w:tc>
          <w:tcPr>
            <w:tcW w:w="3493" w:type="dxa"/>
          </w:tcPr>
          <w:p>
            <w:pPr>
              <w:snapToGrid w:val="0"/>
              <w:spacing w:line="300" w:lineRule="auto"/>
              <w:jc w:val="center"/>
              <w:rPr>
                <w:b/>
                <w:bCs/>
                <w:sz w:val="18"/>
                <w:szCs w:val="18"/>
              </w:rPr>
            </w:pPr>
            <w:r>
              <w:rPr>
                <w:b/>
                <w:bCs/>
                <w:sz w:val="18"/>
                <w:szCs w:val="18"/>
              </w:rPr>
              <w:t>教学内容</w:t>
            </w:r>
          </w:p>
        </w:tc>
        <w:tc>
          <w:tcPr>
            <w:tcW w:w="4206" w:type="dxa"/>
          </w:tcPr>
          <w:p>
            <w:pPr>
              <w:snapToGrid w:val="0"/>
              <w:spacing w:line="300" w:lineRule="auto"/>
              <w:jc w:val="center"/>
              <w:rPr>
                <w:b/>
                <w:bCs/>
                <w:sz w:val="18"/>
                <w:szCs w:val="18"/>
              </w:rPr>
            </w:pPr>
            <w:r>
              <w:rPr>
                <w:b/>
                <w:bCs/>
                <w:sz w:val="18"/>
                <w:szCs w:val="18"/>
              </w:rPr>
              <w:t>教与学的要求</w:t>
            </w:r>
          </w:p>
        </w:tc>
        <w:tc>
          <w:tcPr>
            <w:tcW w:w="445" w:type="dxa"/>
          </w:tcPr>
          <w:p>
            <w:pPr>
              <w:snapToGrid w:val="0"/>
              <w:spacing w:line="300" w:lineRule="auto"/>
              <w:jc w:val="center"/>
              <w:rPr>
                <w:b/>
                <w:bCs/>
                <w:sz w:val="18"/>
                <w:szCs w:val="18"/>
              </w:rPr>
            </w:pPr>
            <w:r>
              <w:rPr>
                <w:b/>
                <w:bCs/>
                <w:sz w:val="18"/>
                <w:szCs w:val="18"/>
              </w:rPr>
              <w:t>学时</w:t>
            </w:r>
          </w:p>
        </w:tc>
        <w:tc>
          <w:tcPr>
            <w:tcW w:w="445" w:type="dxa"/>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2" w:type="dxa"/>
            <w:tcMar>
              <w:left w:w="57" w:type="dxa"/>
              <w:right w:w="57" w:type="dxa"/>
            </w:tcMar>
            <w:vAlign w:val="center"/>
          </w:tcPr>
          <w:p>
            <w:pPr>
              <w:snapToGrid w:val="0"/>
              <w:spacing w:line="300" w:lineRule="auto"/>
              <w:rPr>
                <w:sz w:val="18"/>
                <w:szCs w:val="18"/>
              </w:rPr>
            </w:pPr>
            <w:r>
              <w:rPr>
                <w:sz w:val="18"/>
                <w:szCs w:val="18"/>
              </w:rPr>
              <w:t>1</w:t>
            </w:r>
          </w:p>
        </w:tc>
        <w:tc>
          <w:tcPr>
            <w:tcW w:w="3493" w:type="dxa"/>
          </w:tcPr>
          <w:p>
            <w:pPr>
              <w:snapToGrid w:val="0"/>
              <w:spacing w:line="300" w:lineRule="auto"/>
              <w:rPr>
                <w:sz w:val="18"/>
                <w:szCs w:val="18"/>
              </w:rPr>
            </w:pPr>
            <w:r>
              <w:rPr>
                <w:sz w:val="18"/>
                <w:szCs w:val="18"/>
              </w:rPr>
              <w:t>1.嵌入式系统概述</w:t>
            </w:r>
          </w:p>
          <w:p>
            <w:pPr>
              <w:snapToGrid w:val="0"/>
              <w:spacing w:line="300" w:lineRule="auto"/>
              <w:rPr>
                <w:sz w:val="18"/>
                <w:szCs w:val="18"/>
              </w:rPr>
            </w:pPr>
            <w:r>
              <w:rPr>
                <w:sz w:val="18"/>
                <w:szCs w:val="18"/>
              </w:rPr>
              <w:t>1.1 嵌入式系统的发展历程</w:t>
            </w:r>
          </w:p>
          <w:p>
            <w:pPr>
              <w:snapToGrid w:val="0"/>
              <w:spacing w:line="300" w:lineRule="auto"/>
              <w:rPr>
                <w:sz w:val="18"/>
                <w:szCs w:val="18"/>
              </w:rPr>
            </w:pPr>
            <w:r>
              <w:rPr>
                <w:sz w:val="18"/>
                <w:szCs w:val="18"/>
              </w:rPr>
              <w:t xml:space="preserve">1.2 嵌入式系统的特点 </w:t>
            </w:r>
          </w:p>
          <w:p>
            <w:pPr>
              <w:snapToGrid w:val="0"/>
              <w:spacing w:line="300" w:lineRule="auto"/>
              <w:rPr>
                <w:sz w:val="18"/>
                <w:szCs w:val="18"/>
              </w:rPr>
            </w:pPr>
            <w:r>
              <w:rPr>
                <w:sz w:val="18"/>
                <w:szCs w:val="18"/>
              </w:rPr>
              <w:t xml:space="preserve">1.3 嵌入式系统的分类 </w:t>
            </w:r>
          </w:p>
          <w:p>
            <w:pPr>
              <w:snapToGrid w:val="0"/>
              <w:spacing w:line="300" w:lineRule="auto"/>
              <w:rPr>
                <w:sz w:val="18"/>
                <w:szCs w:val="18"/>
              </w:rPr>
            </w:pPr>
            <w:r>
              <w:rPr>
                <w:sz w:val="18"/>
                <w:szCs w:val="18"/>
              </w:rPr>
              <w:t>1.4 嵌入式系统的应用领域</w:t>
            </w:r>
          </w:p>
          <w:p>
            <w:pPr>
              <w:snapToGrid w:val="0"/>
              <w:spacing w:line="300" w:lineRule="auto"/>
              <w:rPr>
                <w:sz w:val="18"/>
                <w:szCs w:val="18"/>
              </w:rPr>
            </w:pPr>
            <w:r>
              <w:rPr>
                <w:sz w:val="18"/>
                <w:szCs w:val="18"/>
              </w:rPr>
              <w:t xml:space="preserve">1.5 嵌入式系统的实时性与可靠性 </w:t>
            </w:r>
          </w:p>
          <w:p>
            <w:pPr>
              <w:snapToGrid w:val="0"/>
              <w:spacing w:line="300" w:lineRule="auto"/>
              <w:rPr>
                <w:sz w:val="18"/>
                <w:szCs w:val="18"/>
              </w:rPr>
            </w:pPr>
            <w:r>
              <w:rPr>
                <w:sz w:val="18"/>
                <w:szCs w:val="18"/>
              </w:rPr>
              <w:t xml:space="preserve">1.6 嵌入式系统的可靠性 </w:t>
            </w:r>
          </w:p>
          <w:p>
            <w:pPr>
              <w:snapToGrid w:val="0"/>
              <w:spacing w:line="300" w:lineRule="auto"/>
              <w:rPr>
                <w:sz w:val="18"/>
                <w:szCs w:val="18"/>
              </w:rPr>
            </w:pPr>
            <w:r>
              <w:rPr>
                <w:sz w:val="18"/>
                <w:szCs w:val="18"/>
              </w:rPr>
              <w:t xml:space="preserve">1.7 嵌入式系统的实时性 </w:t>
            </w:r>
          </w:p>
          <w:p>
            <w:pPr>
              <w:snapToGrid w:val="0"/>
              <w:spacing w:line="300" w:lineRule="auto"/>
              <w:rPr>
                <w:sz w:val="18"/>
                <w:szCs w:val="18"/>
              </w:rPr>
            </w:pPr>
            <w:r>
              <w:rPr>
                <w:sz w:val="18"/>
                <w:szCs w:val="18"/>
              </w:rPr>
              <w:t>1.8 嵌入式系统的发展趋势</w:t>
            </w:r>
          </w:p>
          <w:p>
            <w:pPr>
              <w:snapToGrid w:val="0"/>
              <w:spacing w:line="300" w:lineRule="auto"/>
              <w:rPr>
                <w:sz w:val="18"/>
                <w:szCs w:val="18"/>
              </w:rPr>
            </w:pPr>
            <w:r>
              <w:rPr>
                <w:sz w:val="18"/>
                <w:szCs w:val="18"/>
              </w:rPr>
              <w:t>1.9华为鸿蒙操作系统的横空出世（思政）</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（1）了解：嵌入系统概念，嵌入系统的组成</w:t>
            </w:r>
          </w:p>
          <w:p>
            <w:pPr>
              <w:snapToGrid w:val="0"/>
              <w:spacing w:line="300" w:lineRule="auto"/>
              <w:rPr>
                <w:sz w:val="18"/>
                <w:szCs w:val="18"/>
              </w:rPr>
            </w:pPr>
            <w:r>
              <w:rPr>
                <w:sz w:val="18"/>
                <w:szCs w:val="18"/>
              </w:rPr>
              <w:t>（2）理解：嵌入式系统的实时性与可靠性</w:t>
            </w:r>
          </w:p>
          <w:p>
            <w:pPr>
              <w:snapToGrid w:val="0"/>
              <w:spacing w:line="300" w:lineRule="auto"/>
              <w:rPr>
                <w:sz w:val="18"/>
                <w:szCs w:val="18"/>
              </w:rPr>
            </w:pPr>
            <w:r>
              <w:rPr>
                <w:sz w:val="18"/>
                <w:szCs w:val="18"/>
              </w:rPr>
              <w:t>（3）掌握：嵌入式系统开发的过程与方法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（1）OS的发展历程；</w:t>
            </w:r>
          </w:p>
          <w:p>
            <w:pPr>
              <w:snapToGrid w:val="0"/>
              <w:spacing w:line="300" w:lineRule="auto"/>
              <w:rPr>
                <w:sz w:val="18"/>
                <w:szCs w:val="18"/>
              </w:rPr>
            </w:pPr>
            <w:r>
              <w:rPr>
                <w:sz w:val="18"/>
                <w:szCs w:val="18"/>
              </w:rPr>
              <w:t>（2）复习第一章内容；</w:t>
            </w:r>
          </w:p>
          <w:p>
            <w:pPr>
              <w:snapToGrid w:val="0"/>
              <w:spacing w:line="300" w:lineRule="auto"/>
              <w:rPr>
                <w:sz w:val="18"/>
                <w:szCs w:val="18"/>
              </w:rPr>
            </w:pPr>
            <w:r>
              <w:rPr>
                <w:sz w:val="18"/>
                <w:szCs w:val="18"/>
              </w:rPr>
              <w:t>（3）完成教材第一章作业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案例1：移动操作系统Android与IOS。</w:t>
            </w:r>
          </w:p>
        </w:tc>
        <w:tc>
          <w:tcPr>
            <w:tcW w:w="445" w:type="dxa"/>
            <w:vAlign w:val="center"/>
          </w:tcPr>
          <w:p>
            <w:pPr>
              <w:snapToGrid w:val="0"/>
              <w:spacing w:line="300" w:lineRule="auto"/>
              <w:rPr>
                <w:sz w:val="18"/>
                <w:szCs w:val="18"/>
              </w:rPr>
            </w:pPr>
            <w:r>
              <w:rPr>
                <w:sz w:val="18"/>
                <w:szCs w:val="18"/>
              </w:rPr>
              <w:t>2</w:t>
            </w:r>
          </w:p>
        </w:tc>
        <w:tc>
          <w:tcPr>
            <w:tcW w:w="445" w:type="dxa"/>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2</w:t>
            </w:r>
          </w:p>
        </w:tc>
        <w:tc>
          <w:tcPr>
            <w:tcW w:w="3493" w:type="dxa"/>
          </w:tcPr>
          <w:p>
            <w:pPr>
              <w:snapToGrid w:val="0"/>
              <w:spacing w:line="300" w:lineRule="auto"/>
              <w:rPr>
                <w:sz w:val="18"/>
                <w:szCs w:val="18"/>
              </w:rPr>
            </w:pPr>
            <w:r>
              <w:rPr>
                <w:sz w:val="18"/>
                <w:szCs w:val="18"/>
              </w:rPr>
              <w:t>2嵌入式硬件系统</w:t>
            </w:r>
          </w:p>
          <w:p>
            <w:pPr>
              <w:snapToGrid w:val="0"/>
              <w:spacing w:line="300" w:lineRule="auto"/>
              <w:rPr>
                <w:sz w:val="18"/>
                <w:szCs w:val="18"/>
              </w:rPr>
            </w:pPr>
            <w:r>
              <w:rPr>
                <w:sz w:val="18"/>
                <w:szCs w:val="18"/>
              </w:rPr>
              <w:t xml:space="preserve">2.1 基本组成 </w:t>
            </w:r>
          </w:p>
          <w:p>
            <w:pPr>
              <w:snapToGrid w:val="0"/>
              <w:spacing w:line="300" w:lineRule="auto"/>
              <w:rPr>
                <w:sz w:val="18"/>
                <w:szCs w:val="18"/>
              </w:rPr>
            </w:pPr>
            <w:r>
              <w:rPr>
                <w:sz w:val="18"/>
                <w:szCs w:val="18"/>
              </w:rPr>
              <w:t xml:space="preserve">2.2 嵌入式微处理器 </w:t>
            </w:r>
          </w:p>
          <w:p>
            <w:pPr>
              <w:snapToGrid w:val="0"/>
              <w:spacing w:line="300" w:lineRule="auto"/>
              <w:rPr>
                <w:sz w:val="18"/>
                <w:szCs w:val="18"/>
              </w:rPr>
            </w:pPr>
            <w:r>
              <w:rPr>
                <w:sz w:val="18"/>
                <w:szCs w:val="18"/>
              </w:rPr>
              <w:t xml:space="preserve">2.3 总线 </w:t>
            </w:r>
          </w:p>
          <w:p>
            <w:pPr>
              <w:snapToGrid w:val="0"/>
              <w:spacing w:line="300" w:lineRule="auto"/>
              <w:rPr>
                <w:sz w:val="18"/>
                <w:szCs w:val="18"/>
              </w:rPr>
            </w:pPr>
            <w:r>
              <w:rPr>
                <w:sz w:val="18"/>
                <w:szCs w:val="18"/>
              </w:rPr>
              <w:t xml:space="preserve">2.4 存储器 </w:t>
            </w:r>
          </w:p>
          <w:p>
            <w:pPr>
              <w:snapToGrid w:val="0"/>
              <w:spacing w:line="300" w:lineRule="auto"/>
              <w:rPr>
                <w:sz w:val="18"/>
                <w:szCs w:val="18"/>
              </w:rPr>
            </w:pPr>
            <w:r>
              <w:rPr>
                <w:sz w:val="18"/>
                <w:szCs w:val="18"/>
              </w:rPr>
              <w:t>2.5 输入/输出接口设备</w:t>
            </w:r>
          </w:p>
          <w:p>
            <w:pPr>
              <w:snapToGrid w:val="0"/>
              <w:spacing w:line="300" w:lineRule="auto"/>
              <w:rPr>
                <w:sz w:val="18"/>
                <w:szCs w:val="18"/>
              </w:rPr>
            </w:pPr>
            <w:r>
              <w:rPr>
                <w:sz w:val="18"/>
                <w:szCs w:val="18"/>
              </w:rPr>
              <w:t>2.6嵌入式系统开发环境</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（1）了解：嵌入式硬件系统的基本组成</w:t>
            </w:r>
          </w:p>
          <w:p>
            <w:pPr>
              <w:snapToGrid w:val="0"/>
              <w:spacing w:line="300" w:lineRule="auto"/>
              <w:rPr>
                <w:sz w:val="18"/>
                <w:szCs w:val="18"/>
              </w:rPr>
            </w:pPr>
            <w:r>
              <w:rPr>
                <w:sz w:val="18"/>
                <w:szCs w:val="18"/>
              </w:rPr>
              <w:t>（2）理解：嵌入式硬件系统开发平台</w:t>
            </w:r>
          </w:p>
          <w:p>
            <w:pPr>
              <w:snapToGrid w:val="0"/>
              <w:spacing w:line="300" w:lineRule="auto"/>
              <w:rPr>
                <w:sz w:val="18"/>
                <w:szCs w:val="18"/>
              </w:rPr>
            </w:pPr>
            <w:r>
              <w:rPr>
                <w:sz w:val="18"/>
                <w:szCs w:val="18"/>
              </w:rPr>
              <w:t>（3）掌握：嵌入式系统开发环境的建立。</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（1）复习第二章内容；</w:t>
            </w:r>
          </w:p>
          <w:p>
            <w:pPr>
              <w:snapToGrid w:val="0"/>
              <w:spacing w:line="300" w:lineRule="auto"/>
              <w:rPr>
                <w:sz w:val="18"/>
                <w:szCs w:val="18"/>
              </w:rPr>
            </w:pPr>
            <w:r>
              <w:rPr>
                <w:sz w:val="18"/>
                <w:szCs w:val="18"/>
              </w:rPr>
              <w:t>（2）完成教材第二章作业。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tc>
        <w:tc>
          <w:tcPr>
            <w:tcW w:w="445" w:type="dxa"/>
            <w:vAlign w:val="center"/>
          </w:tcPr>
          <w:p>
            <w:pPr>
              <w:snapToGrid w:val="0"/>
              <w:spacing w:line="300" w:lineRule="auto"/>
              <w:rPr>
                <w:sz w:val="18"/>
                <w:szCs w:val="18"/>
              </w:rPr>
            </w:pPr>
            <w:r>
              <w:rPr>
                <w:sz w:val="18"/>
                <w:szCs w:val="18"/>
              </w:rPr>
              <w:t>2</w:t>
            </w:r>
          </w:p>
        </w:tc>
        <w:tc>
          <w:tcPr>
            <w:tcW w:w="445" w:type="dxa"/>
            <w:vAlign w:val="center"/>
          </w:tcPr>
          <w:p>
            <w:pPr>
              <w:snapToGrid w:val="0"/>
              <w:spacing w:line="300" w:lineRule="auto"/>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3</w:t>
            </w:r>
          </w:p>
        </w:tc>
        <w:tc>
          <w:tcPr>
            <w:tcW w:w="3493" w:type="dxa"/>
          </w:tcPr>
          <w:p>
            <w:pPr>
              <w:snapToGrid w:val="0"/>
              <w:spacing w:line="300" w:lineRule="auto"/>
              <w:rPr>
                <w:sz w:val="18"/>
                <w:szCs w:val="18"/>
              </w:rPr>
            </w:pPr>
            <w:r>
              <w:rPr>
                <w:sz w:val="18"/>
                <w:szCs w:val="18"/>
              </w:rPr>
              <w:t>3Linux基础</w:t>
            </w:r>
          </w:p>
          <w:p>
            <w:pPr>
              <w:snapToGrid w:val="0"/>
              <w:spacing w:line="300" w:lineRule="auto"/>
              <w:rPr>
                <w:sz w:val="18"/>
                <w:szCs w:val="18"/>
              </w:rPr>
            </w:pPr>
            <w:r>
              <w:rPr>
                <w:sz w:val="18"/>
                <w:szCs w:val="18"/>
              </w:rPr>
              <w:t xml:space="preserve">3.1．Linux操作系统及内核的主要组成 </w:t>
            </w:r>
          </w:p>
          <w:p>
            <w:pPr>
              <w:snapToGrid w:val="0"/>
              <w:spacing w:line="300" w:lineRule="auto"/>
              <w:rPr>
                <w:sz w:val="18"/>
                <w:szCs w:val="18"/>
              </w:rPr>
            </w:pPr>
            <w:r>
              <w:rPr>
                <w:sz w:val="18"/>
                <w:szCs w:val="18"/>
              </w:rPr>
              <w:t xml:space="preserve">3.2．安装Linux操作系统 </w:t>
            </w:r>
          </w:p>
          <w:p>
            <w:pPr>
              <w:snapToGrid w:val="0"/>
              <w:spacing w:line="300" w:lineRule="auto"/>
              <w:rPr>
                <w:sz w:val="18"/>
                <w:szCs w:val="18"/>
              </w:rPr>
            </w:pPr>
            <w:r>
              <w:rPr>
                <w:sz w:val="18"/>
                <w:szCs w:val="18"/>
              </w:rPr>
              <w:t xml:space="preserve">3.3．Linux文件系统 </w:t>
            </w:r>
          </w:p>
          <w:p>
            <w:pPr>
              <w:snapToGrid w:val="0"/>
              <w:spacing w:line="300" w:lineRule="auto"/>
              <w:rPr>
                <w:sz w:val="18"/>
                <w:szCs w:val="18"/>
              </w:rPr>
            </w:pPr>
            <w:r>
              <w:rPr>
                <w:sz w:val="18"/>
                <w:szCs w:val="18"/>
              </w:rPr>
              <w:t>3.4．Linux常用命令</w:t>
            </w:r>
          </w:p>
          <w:p>
            <w:pPr>
              <w:snapToGrid w:val="0"/>
              <w:spacing w:line="300" w:lineRule="auto"/>
              <w:rPr>
                <w:sz w:val="18"/>
                <w:szCs w:val="18"/>
              </w:rPr>
            </w:pPr>
            <w:r>
              <w:rPr>
                <w:sz w:val="18"/>
                <w:szCs w:val="18"/>
              </w:rPr>
              <w:t>3.5．Linux启动过程</w:t>
            </w:r>
          </w:p>
          <w:p>
            <w:pPr>
              <w:snapToGrid w:val="0"/>
              <w:spacing w:line="300" w:lineRule="auto"/>
              <w:rPr>
                <w:sz w:val="18"/>
                <w:szCs w:val="18"/>
              </w:rPr>
            </w:pPr>
            <w:r>
              <w:rPr>
                <w:sz w:val="18"/>
                <w:szCs w:val="18"/>
              </w:rPr>
              <w:t xml:space="preserve">3.6．熟悉Linux服务 </w:t>
            </w:r>
          </w:p>
          <w:p>
            <w:pPr>
              <w:snapToGrid w:val="0"/>
              <w:spacing w:line="300" w:lineRule="auto"/>
              <w:rPr>
                <w:sz w:val="18"/>
                <w:szCs w:val="18"/>
              </w:rPr>
            </w:pPr>
            <w:r>
              <w:rPr>
                <w:sz w:val="18"/>
                <w:szCs w:val="18"/>
              </w:rPr>
              <w:t>3.7 Linux 开发基础， gcc、 gdb 及MAKEFILE的使用</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（1）了解：Linux基本概念</w:t>
            </w:r>
          </w:p>
          <w:p>
            <w:pPr>
              <w:snapToGrid w:val="0"/>
              <w:spacing w:line="300" w:lineRule="auto"/>
              <w:rPr>
                <w:sz w:val="18"/>
                <w:szCs w:val="18"/>
              </w:rPr>
            </w:pPr>
            <w:r>
              <w:rPr>
                <w:sz w:val="18"/>
                <w:szCs w:val="18"/>
              </w:rPr>
              <w:t>（2）理解：常用LINUX命令</w:t>
            </w:r>
          </w:p>
          <w:p>
            <w:pPr>
              <w:snapToGrid w:val="0"/>
              <w:spacing w:line="300" w:lineRule="auto"/>
              <w:rPr>
                <w:sz w:val="18"/>
                <w:szCs w:val="18"/>
              </w:rPr>
            </w:pPr>
            <w:r>
              <w:rPr>
                <w:sz w:val="18"/>
                <w:szCs w:val="18"/>
              </w:rPr>
              <w:t>（3）掌握：LINUX的开发基础</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（1）复习第三章内容；</w:t>
            </w:r>
          </w:p>
          <w:p>
            <w:pPr>
              <w:snapToGrid w:val="0"/>
              <w:spacing w:line="300" w:lineRule="auto"/>
              <w:rPr>
                <w:sz w:val="18"/>
                <w:szCs w:val="18"/>
              </w:rPr>
            </w:pPr>
            <w:r>
              <w:rPr>
                <w:sz w:val="18"/>
                <w:szCs w:val="18"/>
              </w:rPr>
              <w:t>（2）完成教材第三章作业。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案例2：WINDOWS操作系统与Linux操作的异同</w:t>
            </w:r>
          </w:p>
        </w:tc>
        <w:tc>
          <w:tcPr>
            <w:tcW w:w="445" w:type="dxa"/>
            <w:vAlign w:val="center"/>
          </w:tcPr>
          <w:p>
            <w:pPr>
              <w:snapToGrid w:val="0"/>
              <w:spacing w:line="300" w:lineRule="auto"/>
              <w:rPr>
                <w:sz w:val="18"/>
                <w:szCs w:val="18"/>
              </w:rPr>
            </w:pPr>
            <w:r>
              <w:rPr>
                <w:sz w:val="18"/>
                <w:szCs w:val="18"/>
              </w:rPr>
              <w:t>4</w:t>
            </w:r>
          </w:p>
        </w:tc>
        <w:tc>
          <w:tcPr>
            <w:tcW w:w="445" w:type="dxa"/>
            <w:vAlign w:val="center"/>
          </w:tcPr>
          <w:p>
            <w:pPr>
              <w:snapToGrid w:val="0"/>
              <w:spacing w:line="300" w:lineRule="auto"/>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4</w:t>
            </w:r>
          </w:p>
        </w:tc>
        <w:tc>
          <w:tcPr>
            <w:tcW w:w="3493" w:type="dxa"/>
          </w:tcPr>
          <w:p>
            <w:pPr>
              <w:snapToGrid w:val="0"/>
              <w:spacing w:line="300" w:lineRule="auto"/>
              <w:rPr>
                <w:sz w:val="18"/>
                <w:szCs w:val="18"/>
              </w:rPr>
            </w:pPr>
            <w:r>
              <w:rPr>
                <w:sz w:val="18"/>
                <w:szCs w:val="18"/>
              </w:rPr>
              <w:t>4Linux 下的 C 编程基础</w:t>
            </w:r>
          </w:p>
          <w:p>
            <w:pPr>
              <w:snapToGrid w:val="0"/>
              <w:spacing w:line="300" w:lineRule="auto"/>
              <w:rPr>
                <w:sz w:val="18"/>
                <w:szCs w:val="18"/>
              </w:rPr>
            </w:pPr>
            <w:r>
              <w:rPr>
                <w:sz w:val="18"/>
                <w:szCs w:val="18"/>
              </w:rPr>
              <w:t>4.1文件操作</w:t>
            </w:r>
          </w:p>
          <w:p>
            <w:pPr>
              <w:snapToGrid w:val="0"/>
              <w:spacing w:line="300" w:lineRule="auto"/>
              <w:rPr>
                <w:sz w:val="18"/>
                <w:szCs w:val="18"/>
              </w:rPr>
            </w:pPr>
            <w:r>
              <w:rPr>
                <w:sz w:val="18"/>
                <w:szCs w:val="18"/>
              </w:rPr>
              <w:t xml:space="preserve"> 4.1.1文件的基本I/O.标准I/O，文件描述符及其实现的API</w:t>
            </w:r>
          </w:p>
          <w:p>
            <w:pPr>
              <w:snapToGrid w:val="0"/>
              <w:spacing w:line="300" w:lineRule="auto"/>
              <w:rPr>
                <w:sz w:val="18"/>
                <w:szCs w:val="18"/>
              </w:rPr>
            </w:pPr>
            <w:r>
              <w:rPr>
                <w:sz w:val="18"/>
                <w:szCs w:val="18"/>
              </w:rPr>
              <w:t xml:space="preserve"> 4.1.2设备操作，设备号，串口设备的通信功能实现</w:t>
            </w:r>
          </w:p>
          <w:p>
            <w:pPr>
              <w:snapToGrid w:val="0"/>
              <w:spacing w:line="300" w:lineRule="auto"/>
              <w:rPr>
                <w:sz w:val="18"/>
                <w:szCs w:val="18"/>
              </w:rPr>
            </w:pPr>
            <w:r>
              <w:rPr>
                <w:sz w:val="18"/>
                <w:szCs w:val="18"/>
              </w:rPr>
              <w:t>4.2进程的概念与状态</w:t>
            </w:r>
          </w:p>
          <w:p>
            <w:pPr>
              <w:snapToGrid w:val="0"/>
              <w:spacing w:line="300" w:lineRule="auto"/>
              <w:rPr>
                <w:sz w:val="18"/>
                <w:szCs w:val="18"/>
              </w:rPr>
            </w:pPr>
            <w:r>
              <w:rPr>
                <w:sz w:val="18"/>
                <w:szCs w:val="18"/>
              </w:rPr>
              <w:t xml:space="preserve"> 4.2.1 FORK与EXEC函数族、EXIT函数、僵尸进程、守护进程</w:t>
            </w:r>
          </w:p>
          <w:p>
            <w:pPr>
              <w:snapToGrid w:val="0"/>
              <w:spacing w:line="300" w:lineRule="auto"/>
              <w:rPr>
                <w:sz w:val="18"/>
                <w:szCs w:val="18"/>
              </w:rPr>
            </w:pPr>
            <w:r>
              <w:rPr>
                <w:sz w:val="18"/>
                <w:szCs w:val="18"/>
              </w:rPr>
              <w:t>4.3进程间通信的概念及其一般模型</w:t>
            </w:r>
          </w:p>
          <w:p>
            <w:pPr>
              <w:snapToGrid w:val="0"/>
              <w:spacing w:line="300" w:lineRule="auto"/>
              <w:rPr>
                <w:sz w:val="18"/>
                <w:szCs w:val="18"/>
              </w:rPr>
            </w:pPr>
            <w:r>
              <w:rPr>
                <w:sz w:val="18"/>
                <w:szCs w:val="18"/>
              </w:rPr>
              <w:t xml:space="preserve">  4.3.1进程间通信的方法与分类</w:t>
            </w:r>
          </w:p>
          <w:p>
            <w:pPr>
              <w:snapToGrid w:val="0"/>
              <w:spacing w:line="300" w:lineRule="auto"/>
              <w:rPr>
                <w:sz w:val="18"/>
                <w:szCs w:val="18"/>
              </w:rPr>
            </w:pPr>
            <w:r>
              <w:rPr>
                <w:sz w:val="18"/>
                <w:szCs w:val="18"/>
              </w:rPr>
              <w:t>4.3.2管道与有名管道及其API</w:t>
            </w:r>
          </w:p>
          <w:p>
            <w:pPr>
              <w:snapToGrid w:val="0"/>
              <w:spacing w:line="300" w:lineRule="auto"/>
              <w:rPr>
                <w:sz w:val="18"/>
                <w:szCs w:val="18"/>
              </w:rPr>
            </w:pPr>
            <w:r>
              <w:rPr>
                <w:sz w:val="18"/>
                <w:szCs w:val="18"/>
              </w:rPr>
              <w:t>4.3.3共享内存通信及其API</w:t>
            </w:r>
          </w:p>
          <w:p>
            <w:pPr>
              <w:snapToGrid w:val="0"/>
              <w:spacing w:line="300" w:lineRule="auto"/>
              <w:rPr>
                <w:sz w:val="18"/>
                <w:szCs w:val="18"/>
              </w:rPr>
            </w:pPr>
            <w:r>
              <w:rPr>
                <w:sz w:val="18"/>
                <w:szCs w:val="18"/>
              </w:rPr>
              <w:t xml:space="preserve">4.3.4信号与信号量 </w:t>
            </w:r>
          </w:p>
          <w:p>
            <w:pPr>
              <w:snapToGrid w:val="0"/>
              <w:spacing w:line="300" w:lineRule="auto"/>
              <w:rPr>
                <w:sz w:val="18"/>
                <w:szCs w:val="18"/>
              </w:rPr>
            </w:pPr>
            <w:r>
              <w:rPr>
                <w:sz w:val="18"/>
                <w:szCs w:val="18"/>
              </w:rPr>
              <w:t>4.3.5线程的概念</w:t>
            </w:r>
          </w:p>
          <w:p>
            <w:pPr>
              <w:snapToGrid w:val="0"/>
              <w:spacing w:line="300" w:lineRule="auto"/>
              <w:rPr>
                <w:sz w:val="18"/>
                <w:szCs w:val="18"/>
              </w:rPr>
            </w:pPr>
            <w:r>
              <w:rPr>
                <w:sz w:val="18"/>
                <w:szCs w:val="18"/>
              </w:rPr>
              <w:t>4.4网络编程的概念</w:t>
            </w:r>
          </w:p>
          <w:p>
            <w:pPr>
              <w:snapToGrid w:val="0"/>
              <w:spacing w:line="300" w:lineRule="auto"/>
              <w:rPr>
                <w:sz w:val="18"/>
                <w:szCs w:val="18"/>
              </w:rPr>
            </w:pPr>
            <w:r>
              <w:rPr>
                <w:sz w:val="18"/>
                <w:szCs w:val="18"/>
              </w:rPr>
              <w:t xml:space="preserve">  4.4.1网络编程模型及TCP编程</w:t>
            </w:r>
          </w:p>
          <w:p>
            <w:pPr>
              <w:snapToGrid w:val="0"/>
              <w:spacing w:line="300" w:lineRule="auto"/>
              <w:rPr>
                <w:sz w:val="18"/>
                <w:szCs w:val="18"/>
              </w:rPr>
            </w:pPr>
            <w:r>
              <w:rPr>
                <w:sz w:val="18"/>
                <w:szCs w:val="18"/>
              </w:rPr>
              <w:t xml:space="preserve">  4.4.2 UDP编程</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（1）了解：编译基本过程，Make文件执行过程，交叉编译环境</w:t>
            </w:r>
          </w:p>
          <w:p>
            <w:pPr>
              <w:snapToGrid w:val="0"/>
              <w:spacing w:line="300" w:lineRule="auto"/>
              <w:rPr>
                <w:sz w:val="18"/>
                <w:szCs w:val="18"/>
              </w:rPr>
            </w:pPr>
            <w:r>
              <w:rPr>
                <w:sz w:val="18"/>
                <w:szCs w:val="18"/>
              </w:rPr>
              <w:t>（2）理解：文件操作的分类及实现方法</w:t>
            </w:r>
          </w:p>
          <w:p>
            <w:pPr>
              <w:snapToGrid w:val="0"/>
              <w:spacing w:line="300" w:lineRule="auto"/>
              <w:rPr>
                <w:sz w:val="18"/>
                <w:szCs w:val="18"/>
              </w:rPr>
            </w:pPr>
            <w:r>
              <w:rPr>
                <w:sz w:val="18"/>
                <w:szCs w:val="18"/>
              </w:rPr>
              <w:t>（3）掌握LINUX环境下文件操作的实现，进程创建，进程间通信；网络编程的方法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（1）编写helloword.并编译，及交叉编译</w:t>
            </w:r>
          </w:p>
          <w:p>
            <w:pPr>
              <w:snapToGrid w:val="0"/>
              <w:spacing w:line="300" w:lineRule="auto"/>
              <w:rPr>
                <w:sz w:val="18"/>
                <w:szCs w:val="18"/>
              </w:rPr>
            </w:pPr>
            <w:r>
              <w:rPr>
                <w:sz w:val="18"/>
                <w:szCs w:val="18"/>
              </w:rPr>
              <w:t>（2）编写文件操作的应用程序</w:t>
            </w:r>
          </w:p>
          <w:p>
            <w:pPr>
              <w:snapToGrid w:val="0"/>
              <w:spacing w:line="300" w:lineRule="auto"/>
              <w:rPr>
                <w:sz w:val="18"/>
                <w:szCs w:val="18"/>
              </w:rPr>
            </w:pPr>
            <w:r>
              <w:rPr>
                <w:sz w:val="18"/>
                <w:szCs w:val="18"/>
              </w:rPr>
              <w:t>（3）编写进程创建及进程间通信的应用程序</w:t>
            </w:r>
          </w:p>
          <w:p>
            <w:pPr>
              <w:snapToGrid w:val="0"/>
              <w:spacing w:line="300" w:lineRule="auto"/>
              <w:rPr>
                <w:sz w:val="18"/>
                <w:szCs w:val="18"/>
              </w:rPr>
            </w:pPr>
            <w:r>
              <w:rPr>
                <w:sz w:val="18"/>
                <w:szCs w:val="18"/>
              </w:rPr>
              <w:t>（4）编写基于UDP通信的应用程序。</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45" w:type="dxa"/>
            <w:vAlign w:val="center"/>
          </w:tcPr>
          <w:p>
            <w:pPr>
              <w:snapToGrid w:val="0"/>
              <w:spacing w:line="300" w:lineRule="auto"/>
              <w:rPr>
                <w:sz w:val="18"/>
                <w:szCs w:val="18"/>
              </w:rPr>
            </w:pPr>
            <w:r>
              <w:rPr>
                <w:sz w:val="18"/>
                <w:szCs w:val="18"/>
              </w:rPr>
              <w:t>6</w:t>
            </w:r>
          </w:p>
        </w:tc>
        <w:tc>
          <w:tcPr>
            <w:tcW w:w="445"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5</w:t>
            </w:r>
          </w:p>
        </w:tc>
        <w:tc>
          <w:tcPr>
            <w:tcW w:w="3493" w:type="dxa"/>
          </w:tcPr>
          <w:p>
            <w:pPr>
              <w:snapToGrid w:val="0"/>
              <w:spacing w:line="300" w:lineRule="auto"/>
              <w:rPr>
                <w:sz w:val="18"/>
                <w:szCs w:val="18"/>
              </w:rPr>
            </w:pPr>
            <w:r>
              <w:rPr>
                <w:sz w:val="18"/>
                <w:szCs w:val="18"/>
              </w:rPr>
              <w:t>5嵌入式软件系统的构建</w:t>
            </w:r>
          </w:p>
          <w:p>
            <w:pPr>
              <w:snapToGrid w:val="0"/>
              <w:spacing w:line="300" w:lineRule="auto"/>
              <w:rPr>
                <w:sz w:val="18"/>
                <w:szCs w:val="18"/>
              </w:rPr>
            </w:pPr>
            <w:r>
              <w:rPr>
                <w:sz w:val="18"/>
                <w:szCs w:val="18"/>
              </w:rPr>
              <w:t>5.1嵌入式软件系统的组成</w:t>
            </w:r>
          </w:p>
          <w:p>
            <w:pPr>
              <w:snapToGrid w:val="0"/>
              <w:spacing w:line="300" w:lineRule="auto"/>
              <w:rPr>
                <w:sz w:val="18"/>
                <w:szCs w:val="18"/>
              </w:rPr>
            </w:pPr>
            <w:r>
              <w:rPr>
                <w:sz w:val="18"/>
                <w:szCs w:val="18"/>
              </w:rPr>
              <w:t xml:space="preserve"> 5.1.1嵌入式软件系统的组成与定位</w:t>
            </w:r>
          </w:p>
          <w:p>
            <w:pPr>
              <w:snapToGrid w:val="0"/>
              <w:spacing w:line="300" w:lineRule="auto"/>
              <w:rPr>
                <w:sz w:val="18"/>
                <w:szCs w:val="18"/>
              </w:rPr>
            </w:pPr>
            <w:r>
              <w:rPr>
                <w:sz w:val="18"/>
                <w:szCs w:val="18"/>
              </w:rPr>
              <w:t xml:space="preserve"> 5.1.2 BOOTLOAD的基本概念、原理与分类</w:t>
            </w:r>
          </w:p>
          <w:p>
            <w:pPr>
              <w:snapToGrid w:val="0"/>
              <w:spacing w:line="300" w:lineRule="auto"/>
              <w:rPr>
                <w:sz w:val="18"/>
                <w:szCs w:val="18"/>
              </w:rPr>
            </w:pPr>
            <w:r>
              <w:rPr>
                <w:sz w:val="18"/>
                <w:szCs w:val="18"/>
              </w:rPr>
              <w:t xml:space="preserve"> 5.1.3 UBOOT与VIVI</w:t>
            </w:r>
          </w:p>
          <w:p>
            <w:pPr>
              <w:snapToGrid w:val="0"/>
              <w:spacing w:line="300" w:lineRule="auto"/>
              <w:rPr>
                <w:sz w:val="18"/>
                <w:szCs w:val="18"/>
              </w:rPr>
            </w:pPr>
            <w:r>
              <w:rPr>
                <w:sz w:val="18"/>
                <w:szCs w:val="18"/>
              </w:rPr>
              <w:t>5.2LINUX内核及其主要功能</w:t>
            </w:r>
          </w:p>
          <w:p>
            <w:pPr>
              <w:snapToGrid w:val="0"/>
              <w:spacing w:line="300" w:lineRule="auto"/>
              <w:rPr>
                <w:sz w:val="18"/>
                <w:szCs w:val="18"/>
              </w:rPr>
            </w:pPr>
            <w:r>
              <w:rPr>
                <w:sz w:val="18"/>
                <w:szCs w:val="18"/>
              </w:rPr>
              <w:t xml:space="preserve">  5.2.1LINUX内核的裁剪与移植及其方法</w:t>
            </w:r>
          </w:p>
          <w:p>
            <w:pPr>
              <w:snapToGrid w:val="0"/>
              <w:spacing w:line="300" w:lineRule="auto"/>
              <w:rPr>
                <w:sz w:val="18"/>
                <w:szCs w:val="18"/>
              </w:rPr>
            </w:pPr>
            <w:r>
              <w:rPr>
                <w:sz w:val="18"/>
                <w:szCs w:val="18"/>
              </w:rPr>
              <w:t xml:space="preserve">  5.3根文件系统概念及实现方法</w:t>
            </w:r>
          </w:p>
          <w:p>
            <w:pPr>
              <w:snapToGrid w:val="0"/>
              <w:spacing w:line="300" w:lineRule="auto"/>
              <w:rPr>
                <w:sz w:val="18"/>
                <w:szCs w:val="18"/>
              </w:rPr>
            </w:pPr>
            <w:r>
              <w:rPr>
                <w:sz w:val="18"/>
                <w:szCs w:val="18"/>
              </w:rPr>
              <w:t xml:space="preserve">  5.3.1文件系统的概念及网络文件系统NFS </w:t>
            </w:r>
          </w:p>
          <w:p>
            <w:pPr>
              <w:snapToGrid w:val="0"/>
              <w:spacing w:line="300" w:lineRule="auto"/>
              <w:rPr>
                <w:sz w:val="18"/>
                <w:szCs w:val="18"/>
              </w:rPr>
            </w:pPr>
            <w:r>
              <w:rPr>
                <w:sz w:val="18"/>
                <w:szCs w:val="18"/>
              </w:rPr>
              <w:t xml:space="preserve">5.3.2 虚拟文件系统VFS的概念与原理 </w:t>
            </w:r>
          </w:p>
          <w:p>
            <w:pPr>
              <w:snapToGrid w:val="0"/>
              <w:spacing w:line="300" w:lineRule="auto"/>
              <w:rPr>
                <w:sz w:val="18"/>
                <w:szCs w:val="18"/>
              </w:rPr>
            </w:pPr>
            <w:r>
              <w:rPr>
                <w:sz w:val="18"/>
                <w:szCs w:val="18"/>
              </w:rPr>
              <w:t>5.3.3 典型嵌入式文件系统 jffs 与 yaffs 及 cramfs 与 Romfs</w:t>
            </w:r>
          </w:p>
          <w:p>
            <w:pPr>
              <w:snapToGrid w:val="0"/>
              <w:spacing w:line="300" w:lineRule="auto"/>
              <w:rPr>
                <w:sz w:val="18"/>
                <w:szCs w:val="18"/>
              </w:rPr>
            </w:pPr>
            <w:r>
              <w:rPr>
                <w:sz w:val="18"/>
                <w:szCs w:val="18"/>
              </w:rPr>
              <w:t>5.3.4 BUSYBOX实现根文件系统</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（1）了解：嵌入式软件的组成</w:t>
            </w:r>
          </w:p>
          <w:p>
            <w:pPr>
              <w:snapToGrid w:val="0"/>
              <w:spacing w:line="300" w:lineRule="auto"/>
              <w:rPr>
                <w:sz w:val="18"/>
                <w:szCs w:val="18"/>
              </w:rPr>
            </w:pPr>
            <w:r>
              <w:rPr>
                <w:sz w:val="18"/>
                <w:szCs w:val="18"/>
              </w:rPr>
              <w:t>（2）理解：嵌入系统的引导程序BOOTLOADER，嵌入式操作系统LINUX内核，根文件系统</w:t>
            </w:r>
          </w:p>
          <w:p>
            <w:pPr>
              <w:snapToGrid w:val="0"/>
              <w:spacing w:line="300" w:lineRule="auto"/>
              <w:rPr>
                <w:sz w:val="18"/>
                <w:szCs w:val="18"/>
              </w:rPr>
            </w:pPr>
            <w:r>
              <w:rPr>
                <w:sz w:val="18"/>
                <w:szCs w:val="18"/>
              </w:rPr>
              <w:t>（3）掌握：嵌入式系统的移植</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（1）复习第五章内容；</w:t>
            </w:r>
          </w:p>
          <w:p>
            <w:pPr>
              <w:snapToGrid w:val="0"/>
              <w:spacing w:line="300" w:lineRule="auto"/>
              <w:rPr>
                <w:sz w:val="18"/>
                <w:szCs w:val="18"/>
              </w:rPr>
            </w:pPr>
            <w:r>
              <w:rPr>
                <w:sz w:val="18"/>
                <w:szCs w:val="18"/>
              </w:rPr>
              <w:t>（2）完成教材第五章作业。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p>
            <w:pPr>
              <w:snapToGrid w:val="0"/>
              <w:spacing w:line="300" w:lineRule="auto"/>
              <w:rPr>
                <w:sz w:val="18"/>
                <w:szCs w:val="18"/>
              </w:rPr>
            </w:pPr>
          </w:p>
        </w:tc>
        <w:tc>
          <w:tcPr>
            <w:tcW w:w="445" w:type="dxa"/>
            <w:vAlign w:val="center"/>
          </w:tcPr>
          <w:p>
            <w:pPr>
              <w:snapToGrid w:val="0"/>
              <w:spacing w:line="300" w:lineRule="auto"/>
              <w:rPr>
                <w:sz w:val="18"/>
                <w:szCs w:val="18"/>
              </w:rPr>
            </w:pPr>
            <w:r>
              <w:rPr>
                <w:sz w:val="18"/>
                <w:szCs w:val="18"/>
              </w:rPr>
              <w:t>2</w:t>
            </w:r>
          </w:p>
        </w:tc>
        <w:tc>
          <w:tcPr>
            <w:tcW w:w="445" w:type="dxa"/>
            <w:vAlign w:val="center"/>
          </w:tcPr>
          <w:p>
            <w:pPr>
              <w:snapToGrid w:val="0"/>
              <w:spacing w:line="300" w:lineRule="auto"/>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6</w:t>
            </w:r>
          </w:p>
        </w:tc>
        <w:tc>
          <w:tcPr>
            <w:tcW w:w="3493" w:type="dxa"/>
          </w:tcPr>
          <w:p>
            <w:pPr>
              <w:snapToGrid w:val="0"/>
              <w:spacing w:line="300" w:lineRule="auto"/>
              <w:rPr>
                <w:sz w:val="18"/>
                <w:szCs w:val="18"/>
              </w:rPr>
            </w:pPr>
            <w:r>
              <w:rPr>
                <w:sz w:val="18"/>
                <w:szCs w:val="18"/>
              </w:rPr>
              <w:t>6内存管理与设备管理及LINUX设备驱动程序的开发</w:t>
            </w:r>
          </w:p>
          <w:p>
            <w:pPr>
              <w:snapToGrid w:val="0"/>
              <w:spacing w:line="300" w:lineRule="auto"/>
              <w:rPr>
                <w:sz w:val="18"/>
                <w:szCs w:val="18"/>
              </w:rPr>
            </w:pPr>
            <w:r>
              <w:rPr>
                <w:sz w:val="18"/>
                <w:szCs w:val="18"/>
              </w:rPr>
              <w:t>6.1LINUX硬件设备的分类及其基本机制</w:t>
            </w:r>
          </w:p>
          <w:p>
            <w:pPr>
              <w:snapToGrid w:val="0"/>
              <w:spacing w:line="300" w:lineRule="auto"/>
              <w:rPr>
                <w:sz w:val="18"/>
                <w:szCs w:val="18"/>
              </w:rPr>
            </w:pPr>
            <w:r>
              <w:rPr>
                <w:sz w:val="18"/>
                <w:szCs w:val="18"/>
              </w:rPr>
              <w:t>6.1.1设备分类与设备文件及其创建方法</w:t>
            </w:r>
          </w:p>
          <w:p>
            <w:pPr>
              <w:snapToGrid w:val="0"/>
              <w:spacing w:line="300" w:lineRule="auto"/>
              <w:rPr>
                <w:sz w:val="18"/>
                <w:szCs w:val="18"/>
              </w:rPr>
            </w:pPr>
            <w:r>
              <w:rPr>
                <w:sz w:val="18"/>
                <w:szCs w:val="18"/>
              </w:rPr>
              <w:t>6.1.2设备驱动与LINUX操作系统的框架</w:t>
            </w:r>
          </w:p>
          <w:p>
            <w:pPr>
              <w:snapToGrid w:val="0"/>
              <w:spacing w:line="300" w:lineRule="auto"/>
              <w:rPr>
                <w:sz w:val="18"/>
                <w:szCs w:val="18"/>
              </w:rPr>
            </w:pPr>
            <w:r>
              <w:rPr>
                <w:sz w:val="18"/>
                <w:szCs w:val="18"/>
              </w:rPr>
              <w:t>6.1.3设备号与设备文件的关联</w:t>
            </w:r>
          </w:p>
          <w:p>
            <w:pPr>
              <w:snapToGrid w:val="0"/>
              <w:spacing w:line="300" w:lineRule="auto"/>
              <w:rPr>
                <w:sz w:val="18"/>
                <w:szCs w:val="18"/>
              </w:rPr>
            </w:pPr>
            <w:r>
              <w:rPr>
                <w:sz w:val="18"/>
                <w:szCs w:val="18"/>
              </w:rPr>
              <w:t>6.2内核模块以及与设备驱动</w:t>
            </w:r>
          </w:p>
          <w:p>
            <w:pPr>
              <w:snapToGrid w:val="0"/>
              <w:spacing w:line="300" w:lineRule="auto"/>
              <w:rPr>
                <w:sz w:val="18"/>
                <w:szCs w:val="18"/>
              </w:rPr>
            </w:pPr>
            <w:r>
              <w:rPr>
                <w:sz w:val="18"/>
                <w:szCs w:val="18"/>
              </w:rPr>
              <w:t>6.2.1模块的概念与创建及编译</w:t>
            </w:r>
          </w:p>
          <w:p>
            <w:pPr>
              <w:snapToGrid w:val="0"/>
              <w:spacing w:line="300" w:lineRule="auto"/>
              <w:rPr>
                <w:sz w:val="18"/>
                <w:szCs w:val="18"/>
              </w:rPr>
            </w:pPr>
            <w:r>
              <w:rPr>
                <w:sz w:val="18"/>
                <w:szCs w:val="18"/>
              </w:rPr>
              <w:t>6.2.2模块的加载与卸载</w:t>
            </w:r>
          </w:p>
          <w:p>
            <w:pPr>
              <w:snapToGrid w:val="0"/>
              <w:spacing w:line="300" w:lineRule="auto"/>
              <w:rPr>
                <w:sz w:val="18"/>
                <w:szCs w:val="18"/>
              </w:rPr>
            </w:pPr>
            <w:r>
              <w:rPr>
                <w:sz w:val="18"/>
                <w:szCs w:val="18"/>
              </w:rPr>
              <w:t>6.2.3字符设备的驱动框架</w:t>
            </w:r>
          </w:p>
          <w:p>
            <w:pPr>
              <w:snapToGrid w:val="0"/>
              <w:spacing w:line="300" w:lineRule="auto"/>
              <w:rPr>
                <w:sz w:val="18"/>
                <w:szCs w:val="18"/>
              </w:rPr>
            </w:pPr>
            <w:r>
              <w:rPr>
                <w:sz w:val="18"/>
                <w:szCs w:val="18"/>
              </w:rPr>
              <w:t>6.3字符设备的驱动的实现与验证</w:t>
            </w:r>
          </w:p>
          <w:p>
            <w:pPr>
              <w:snapToGrid w:val="0"/>
              <w:spacing w:line="300" w:lineRule="auto"/>
              <w:rPr>
                <w:sz w:val="18"/>
                <w:szCs w:val="18"/>
              </w:rPr>
            </w:pPr>
            <w:r>
              <w:rPr>
                <w:sz w:val="18"/>
                <w:szCs w:val="18"/>
              </w:rPr>
              <w:t>6.4系统内存管理</w:t>
            </w:r>
          </w:p>
          <w:p>
            <w:pPr>
              <w:snapToGrid w:val="0"/>
              <w:spacing w:line="300" w:lineRule="auto"/>
              <w:rPr>
                <w:sz w:val="18"/>
                <w:szCs w:val="18"/>
              </w:rPr>
            </w:pPr>
            <w:r>
              <w:rPr>
                <w:sz w:val="18"/>
                <w:szCs w:val="18"/>
              </w:rPr>
              <w:t>6.4.1内存管理机制及其分类</w:t>
            </w:r>
          </w:p>
          <w:p>
            <w:pPr>
              <w:snapToGrid w:val="0"/>
              <w:spacing w:line="300" w:lineRule="auto"/>
              <w:rPr>
                <w:sz w:val="18"/>
                <w:szCs w:val="18"/>
              </w:rPr>
            </w:pPr>
            <w:r>
              <w:rPr>
                <w:sz w:val="18"/>
                <w:szCs w:val="18"/>
              </w:rPr>
              <w:t>6.4.2段式，页式，段页式内存管理</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（1）了解：设备管理，内存管理的运用；</w:t>
            </w:r>
          </w:p>
          <w:p>
            <w:pPr>
              <w:snapToGrid w:val="0"/>
              <w:spacing w:line="300" w:lineRule="auto"/>
              <w:rPr>
                <w:sz w:val="18"/>
                <w:szCs w:val="18"/>
              </w:rPr>
            </w:pPr>
            <w:r>
              <w:rPr>
                <w:sz w:val="18"/>
                <w:szCs w:val="18"/>
              </w:rPr>
              <w:t>（2）理解：设备管理的基本概念，应用程序接口、设备注册；地址空间与地址映射；</w:t>
            </w:r>
          </w:p>
          <w:p>
            <w:pPr>
              <w:snapToGrid w:val="0"/>
              <w:spacing w:line="300" w:lineRule="auto"/>
              <w:rPr>
                <w:sz w:val="18"/>
                <w:szCs w:val="18"/>
              </w:rPr>
            </w:pPr>
            <w:r>
              <w:rPr>
                <w:sz w:val="18"/>
                <w:szCs w:val="18"/>
              </w:rPr>
              <w:t>掌握：设备管理、内存管理函数的使用。</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（1）复习第六章内容；</w:t>
            </w:r>
          </w:p>
          <w:p>
            <w:pPr>
              <w:snapToGrid w:val="0"/>
              <w:spacing w:line="300" w:lineRule="auto"/>
              <w:rPr>
                <w:sz w:val="18"/>
                <w:szCs w:val="18"/>
              </w:rPr>
            </w:pPr>
            <w:r>
              <w:rPr>
                <w:sz w:val="18"/>
                <w:szCs w:val="18"/>
              </w:rPr>
              <w:t>（2）完成教材第六章作业。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tc>
        <w:tc>
          <w:tcPr>
            <w:tcW w:w="445" w:type="dxa"/>
            <w:vAlign w:val="center"/>
          </w:tcPr>
          <w:p>
            <w:pPr>
              <w:snapToGrid w:val="0"/>
              <w:spacing w:line="300" w:lineRule="auto"/>
              <w:rPr>
                <w:sz w:val="18"/>
                <w:szCs w:val="18"/>
              </w:rPr>
            </w:pPr>
            <w:r>
              <w:rPr>
                <w:sz w:val="18"/>
                <w:szCs w:val="18"/>
              </w:rPr>
              <w:t>4</w:t>
            </w:r>
          </w:p>
        </w:tc>
        <w:tc>
          <w:tcPr>
            <w:tcW w:w="445"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602" w:type="dxa"/>
            <w:tcMar>
              <w:left w:w="57" w:type="dxa"/>
              <w:right w:w="57" w:type="dxa"/>
            </w:tcMar>
            <w:vAlign w:val="center"/>
          </w:tcPr>
          <w:p>
            <w:pPr>
              <w:snapToGrid w:val="0"/>
              <w:spacing w:line="300" w:lineRule="auto"/>
              <w:rPr>
                <w:sz w:val="18"/>
                <w:szCs w:val="18"/>
              </w:rPr>
            </w:pPr>
            <w:r>
              <w:rPr>
                <w:sz w:val="18"/>
                <w:szCs w:val="18"/>
              </w:rPr>
              <w:t>7</w:t>
            </w:r>
          </w:p>
        </w:tc>
        <w:tc>
          <w:tcPr>
            <w:tcW w:w="3493" w:type="dxa"/>
          </w:tcPr>
          <w:p>
            <w:pPr>
              <w:snapToGrid w:val="0"/>
              <w:spacing w:line="300" w:lineRule="auto"/>
              <w:rPr>
                <w:sz w:val="18"/>
                <w:szCs w:val="18"/>
              </w:rPr>
            </w:pPr>
            <w:r>
              <w:rPr>
                <w:sz w:val="18"/>
                <w:szCs w:val="18"/>
              </w:rPr>
              <w:t>7嵌入式应用软件开发</w:t>
            </w:r>
          </w:p>
          <w:p>
            <w:pPr>
              <w:snapToGrid w:val="0"/>
              <w:spacing w:line="300" w:lineRule="auto"/>
              <w:rPr>
                <w:sz w:val="18"/>
                <w:szCs w:val="18"/>
              </w:rPr>
            </w:pPr>
            <w:r>
              <w:rPr>
                <w:sz w:val="18"/>
                <w:szCs w:val="18"/>
              </w:rPr>
              <w:t>7.1图形用户接口（GUI）原理</w:t>
            </w:r>
          </w:p>
          <w:p>
            <w:pPr>
              <w:snapToGrid w:val="0"/>
              <w:spacing w:line="300" w:lineRule="auto"/>
              <w:rPr>
                <w:sz w:val="18"/>
                <w:szCs w:val="18"/>
              </w:rPr>
            </w:pPr>
            <w:r>
              <w:rPr>
                <w:sz w:val="18"/>
                <w:szCs w:val="18"/>
              </w:rPr>
              <w:t>7.1.1Qt图形库的结构</w:t>
            </w:r>
          </w:p>
          <w:p>
            <w:pPr>
              <w:snapToGrid w:val="0"/>
              <w:spacing w:line="300" w:lineRule="auto"/>
              <w:rPr>
                <w:sz w:val="18"/>
                <w:szCs w:val="18"/>
              </w:rPr>
            </w:pPr>
            <w:r>
              <w:rPr>
                <w:sz w:val="18"/>
                <w:szCs w:val="18"/>
              </w:rPr>
              <w:t>7.1.2Qt移植</w:t>
            </w:r>
          </w:p>
          <w:p>
            <w:pPr>
              <w:snapToGrid w:val="0"/>
              <w:spacing w:line="300" w:lineRule="auto"/>
              <w:rPr>
                <w:sz w:val="18"/>
                <w:szCs w:val="18"/>
              </w:rPr>
            </w:pPr>
            <w:r>
              <w:rPr>
                <w:sz w:val="18"/>
                <w:szCs w:val="18"/>
              </w:rPr>
              <w:t>7.2基于Qt的GUI应用程序开发</w:t>
            </w:r>
          </w:p>
          <w:p>
            <w:pPr>
              <w:snapToGrid w:val="0"/>
              <w:spacing w:line="300" w:lineRule="auto"/>
              <w:rPr>
                <w:sz w:val="18"/>
                <w:szCs w:val="18"/>
              </w:rPr>
            </w:pPr>
            <w:r>
              <w:rPr>
                <w:sz w:val="18"/>
                <w:szCs w:val="18"/>
              </w:rPr>
              <w:t>7.2.1面向对象的编程与C++编程</w:t>
            </w:r>
          </w:p>
          <w:p>
            <w:pPr>
              <w:snapToGrid w:val="0"/>
              <w:spacing w:line="300" w:lineRule="auto"/>
              <w:rPr>
                <w:sz w:val="18"/>
                <w:szCs w:val="18"/>
              </w:rPr>
            </w:pPr>
            <w:r>
              <w:rPr>
                <w:sz w:val="18"/>
                <w:szCs w:val="18"/>
              </w:rPr>
              <w:t>7.2.2信号与槽机制</w:t>
            </w:r>
          </w:p>
          <w:p>
            <w:pPr>
              <w:snapToGrid w:val="0"/>
              <w:spacing w:line="300" w:lineRule="auto"/>
              <w:rPr>
                <w:sz w:val="18"/>
                <w:szCs w:val="18"/>
              </w:rPr>
            </w:pPr>
            <w:r>
              <w:rPr>
                <w:sz w:val="18"/>
                <w:szCs w:val="18"/>
              </w:rPr>
              <w:t>7.2.3GUI开发</w:t>
            </w:r>
          </w:p>
        </w:tc>
        <w:tc>
          <w:tcPr>
            <w:tcW w:w="4206" w:type="dxa"/>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（1）了解：面向对象的编程；</w:t>
            </w:r>
          </w:p>
          <w:p>
            <w:pPr>
              <w:snapToGrid w:val="0"/>
              <w:spacing w:line="300" w:lineRule="auto"/>
              <w:rPr>
                <w:sz w:val="18"/>
                <w:szCs w:val="18"/>
              </w:rPr>
            </w:pPr>
            <w:r>
              <w:rPr>
                <w:sz w:val="18"/>
                <w:szCs w:val="18"/>
              </w:rPr>
              <w:t>（2）QT中信号与槽机制</w:t>
            </w:r>
          </w:p>
          <w:p>
            <w:pPr>
              <w:snapToGrid w:val="0"/>
              <w:spacing w:line="300" w:lineRule="auto"/>
              <w:rPr>
                <w:sz w:val="18"/>
                <w:szCs w:val="18"/>
              </w:rPr>
            </w:pPr>
            <w:r>
              <w:rPr>
                <w:sz w:val="18"/>
                <w:szCs w:val="18"/>
              </w:rPr>
              <w:t>（3）掌握：基于QT的应用程序设计</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（1）复习第七章内容；</w:t>
            </w:r>
          </w:p>
          <w:p>
            <w:pPr>
              <w:snapToGrid w:val="0"/>
              <w:spacing w:line="300" w:lineRule="auto"/>
              <w:rPr>
                <w:sz w:val="18"/>
                <w:szCs w:val="18"/>
              </w:rPr>
            </w:pPr>
            <w:r>
              <w:rPr>
                <w:sz w:val="18"/>
                <w:szCs w:val="18"/>
              </w:rPr>
              <w:t>（2）完成教材第七章作业。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讲授式、讨论式、启发式相结合。</w:t>
            </w:r>
          </w:p>
        </w:tc>
        <w:tc>
          <w:tcPr>
            <w:tcW w:w="445" w:type="dxa"/>
            <w:vAlign w:val="center"/>
          </w:tcPr>
          <w:p>
            <w:pPr>
              <w:snapToGrid w:val="0"/>
              <w:spacing w:line="300" w:lineRule="auto"/>
              <w:rPr>
                <w:sz w:val="18"/>
                <w:szCs w:val="18"/>
              </w:rPr>
            </w:pPr>
            <w:r>
              <w:rPr>
                <w:sz w:val="18"/>
                <w:szCs w:val="18"/>
              </w:rPr>
              <w:t>4</w:t>
            </w:r>
          </w:p>
        </w:tc>
        <w:tc>
          <w:tcPr>
            <w:tcW w:w="445" w:type="dxa"/>
            <w:vAlign w:val="center"/>
          </w:tcPr>
          <w:p>
            <w:pPr>
              <w:snapToGrid w:val="0"/>
              <w:spacing w:line="300" w:lineRule="auto"/>
              <w:rPr>
                <w:sz w:val="18"/>
                <w:szCs w:val="18"/>
              </w:rPr>
            </w:pPr>
            <w:r>
              <w:rPr>
                <w:sz w:val="18"/>
                <w:szCs w:val="18"/>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19"/>
        <w:gridCol w:w="2970"/>
        <w:gridCol w:w="694"/>
        <w:gridCol w:w="696"/>
        <w:gridCol w:w="696"/>
        <w:gridCol w:w="62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9" w:type="dxa"/>
            <w:vAlign w:val="center"/>
          </w:tcPr>
          <w:p>
            <w:pPr>
              <w:snapToGrid w:val="0"/>
              <w:spacing w:line="300" w:lineRule="auto"/>
              <w:jc w:val="center"/>
              <w:rPr>
                <w:b/>
                <w:bCs/>
                <w:sz w:val="18"/>
                <w:szCs w:val="18"/>
              </w:rPr>
            </w:pPr>
            <w:r>
              <w:rPr>
                <w:b/>
                <w:bCs/>
                <w:kern w:val="0"/>
                <w:sz w:val="18"/>
                <w:szCs w:val="18"/>
              </w:rPr>
              <w:t>序号</w:t>
            </w:r>
          </w:p>
        </w:tc>
        <w:tc>
          <w:tcPr>
            <w:tcW w:w="1619" w:type="dxa"/>
            <w:vAlign w:val="center"/>
          </w:tcPr>
          <w:p>
            <w:pPr>
              <w:snapToGrid w:val="0"/>
              <w:spacing w:line="300" w:lineRule="auto"/>
              <w:jc w:val="center"/>
              <w:rPr>
                <w:b/>
                <w:bCs/>
                <w:sz w:val="18"/>
                <w:szCs w:val="18"/>
              </w:rPr>
            </w:pPr>
            <w:r>
              <w:rPr>
                <w:b/>
                <w:bCs/>
                <w:kern w:val="0"/>
                <w:sz w:val="18"/>
                <w:szCs w:val="18"/>
              </w:rPr>
              <w:t>实验项目名称</w:t>
            </w:r>
          </w:p>
        </w:tc>
        <w:tc>
          <w:tcPr>
            <w:tcW w:w="2970" w:type="dxa"/>
            <w:vAlign w:val="center"/>
          </w:tcPr>
          <w:p>
            <w:pPr>
              <w:snapToGrid w:val="0"/>
              <w:spacing w:line="300" w:lineRule="auto"/>
              <w:jc w:val="center"/>
              <w:rPr>
                <w:b/>
                <w:bCs/>
                <w:sz w:val="18"/>
                <w:szCs w:val="18"/>
              </w:rPr>
            </w:pPr>
            <w:r>
              <w:rPr>
                <w:b/>
                <w:bCs/>
                <w:kern w:val="0"/>
                <w:sz w:val="18"/>
                <w:szCs w:val="18"/>
              </w:rPr>
              <w:t>目的要求</w:t>
            </w:r>
          </w:p>
        </w:tc>
        <w:tc>
          <w:tcPr>
            <w:tcW w:w="694"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6"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4"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rPr>
                <w:sz w:val="18"/>
                <w:szCs w:val="18"/>
              </w:rPr>
            </w:pPr>
            <w:r>
              <w:rPr>
                <w:sz w:val="18"/>
                <w:szCs w:val="18"/>
              </w:rPr>
              <w:t>1</w:t>
            </w:r>
          </w:p>
        </w:tc>
        <w:tc>
          <w:tcPr>
            <w:tcW w:w="1619" w:type="dxa"/>
            <w:vAlign w:val="center"/>
          </w:tcPr>
          <w:p>
            <w:pPr>
              <w:snapToGrid w:val="0"/>
              <w:spacing w:line="300" w:lineRule="auto"/>
              <w:rPr>
                <w:sz w:val="18"/>
                <w:szCs w:val="18"/>
              </w:rPr>
            </w:pPr>
            <w:r>
              <w:rPr>
                <w:sz w:val="18"/>
                <w:szCs w:val="18"/>
              </w:rPr>
              <w:t>嵌入式开发环境</w:t>
            </w:r>
          </w:p>
        </w:tc>
        <w:tc>
          <w:tcPr>
            <w:tcW w:w="2970" w:type="dxa"/>
            <w:vAlign w:val="center"/>
          </w:tcPr>
          <w:p>
            <w:pPr>
              <w:snapToGrid w:val="0"/>
              <w:spacing w:line="300" w:lineRule="auto"/>
              <w:rPr>
                <w:sz w:val="18"/>
                <w:szCs w:val="18"/>
              </w:rPr>
            </w:pPr>
            <w:r>
              <w:rPr>
                <w:sz w:val="18"/>
                <w:szCs w:val="18"/>
              </w:rPr>
              <w:t>构建嵌入式开发环境</w:t>
            </w:r>
          </w:p>
        </w:tc>
        <w:tc>
          <w:tcPr>
            <w:tcW w:w="694" w:type="dxa"/>
            <w:vAlign w:val="center"/>
          </w:tcPr>
          <w:p>
            <w:pPr>
              <w:snapToGrid w:val="0"/>
              <w:spacing w:line="300" w:lineRule="auto"/>
              <w:rPr>
                <w:sz w:val="18"/>
                <w:szCs w:val="18"/>
              </w:rPr>
            </w:pPr>
            <w:r>
              <w:rPr>
                <w:sz w:val="18"/>
                <w:szCs w:val="18"/>
              </w:rPr>
              <w:t>2</w:t>
            </w:r>
          </w:p>
        </w:tc>
        <w:tc>
          <w:tcPr>
            <w:tcW w:w="696" w:type="dxa"/>
            <w:vAlign w:val="center"/>
          </w:tcPr>
          <w:p>
            <w:pPr>
              <w:snapToGrid w:val="0"/>
              <w:spacing w:line="300" w:lineRule="auto"/>
              <w:rPr>
                <w:sz w:val="18"/>
                <w:szCs w:val="18"/>
              </w:rPr>
            </w:pPr>
            <w:r>
              <w:rPr>
                <w:sz w:val="18"/>
                <w:szCs w:val="18"/>
              </w:rPr>
              <w:t>验证</w:t>
            </w:r>
          </w:p>
        </w:tc>
        <w:tc>
          <w:tcPr>
            <w:tcW w:w="696" w:type="dxa"/>
            <w:vAlign w:val="center"/>
          </w:tcPr>
          <w:p>
            <w:pPr>
              <w:snapToGrid w:val="0"/>
              <w:spacing w:line="300" w:lineRule="auto"/>
              <w:rPr>
                <w:sz w:val="18"/>
                <w:szCs w:val="18"/>
              </w:rPr>
            </w:pPr>
            <w:r>
              <w:rPr>
                <w:sz w:val="18"/>
                <w:szCs w:val="18"/>
              </w:rPr>
              <w:t>2</w:t>
            </w:r>
          </w:p>
        </w:tc>
        <w:tc>
          <w:tcPr>
            <w:tcW w:w="623" w:type="dxa"/>
            <w:vAlign w:val="center"/>
          </w:tcPr>
          <w:p>
            <w:pPr>
              <w:snapToGrid w:val="0"/>
              <w:spacing w:line="300" w:lineRule="auto"/>
              <w:rPr>
                <w:sz w:val="18"/>
                <w:szCs w:val="18"/>
              </w:rPr>
            </w:pPr>
            <w:r>
              <w:rPr>
                <w:sz w:val="18"/>
                <w:szCs w:val="18"/>
              </w:rPr>
              <w:t>必开</w:t>
            </w:r>
          </w:p>
        </w:tc>
        <w:tc>
          <w:tcPr>
            <w:tcW w:w="674" w:type="dxa"/>
            <w:vAlign w:val="center"/>
          </w:tcPr>
          <w:p>
            <w:pPr>
              <w:snapToGrid w:val="0"/>
              <w:spacing w:line="300" w:lineRule="auto"/>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9" w:type="dxa"/>
            <w:vAlign w:val="center"/>
          </w:tcPr>
          <w:p>
            <w:pPr>
              <w:snapToGrid w:val="0"/>
              <w:spacing w:line="300" w:lineRule="auto"/>
              <w:rPr>
                <w:sz w:val="18"/>
                <w:szCs w:val="18"/>
              </w:rPr>
            </w:pPr>
            <w:r>
              <w:rPr>
                <w:sz w:val="18"/>
                <w:szCs w:val="18"/>
              </w:rPr>
              <w:t>2</w:t>
            </w:r>
          </w:p>
        </w:tc>
        <w:tc>
          <w:tcPr>
            <w:tcW w:w="1619" w:type="dxa"/>
            <w:vAlign w:val="center"/>
          </w:tcPr>
          <w:p>
            <w:pPr>
              <w:snapToGrid w:val="0"/>
              <w:spacing w:line="300" w:lineRule="auto"/>
              <w:rPr>
                <w:sz w:val="18"/>
                <w:szCs w:val="18"/>
              </w:rPr>
            </w:pPr>
            <w:r>
              <w:rPr>
                <w:sz w:val="18"/>
                <w:szCs w:val="18"/>
              </w:rPr>
              <w:t>嵌入式系统的构建</w:t>
            </w:r>
          </w:p>
        </w:tc>
        <w:tc>
          <w:tcPr>
            <w:tcW w:w="2970" w:type="dxa"/>
            <w:vAlign w:val="center"/>
          </w:tcPr>
          <w:p>
            <w:pPr>
              <w:snapToGrid w:val="0"/>
              <w:spacing w:line="300" w:lineRule="auto"/>
              <w:rPr>
                <w:sz w:val="18"/>
                <w:szCs w:val="18"/>
              </w:rPr>
            </w:pPr>
            <w:r>
              <w:rPr>
                <w:sz w:val="18"/>
                <w:szCs w:val="18"/>
              </w:rPr>
              <w:t>利用BOOTLOADER，内核镜像及根文件系统构建嵌入式软件系统</w:t>
            </w:r>
          </w:p>
        </w:tc>
        <w:tc>
          <w:tcPr>
            <w:tcW w:w="694" w:type="dxa"/>
            <w:vAlign w:val="center"/>
          </w:tcPr>
          <w:p>
            <w:pPr>
              <w:snapToGrid w:val="0"/>
              <w:spacing w:line="300" w:lineRule="auto"/>
              <w:rPr>
                <w:sz w:val="18"/>
                <w:szCs w:val="18"/>
              </w:rPr>
            </w:pPr>
            <w:r>
              <w:rPr>
                <w:sz w:val="18"/>
                <w:szCs w:val="18"/>
              </w:rPr>
              <w:t>2</w:t>
            </w:r>
          </w:p>
        </w:tc>
        <w:tc>
          <w:tcPr>
            <w:tcW w:w="696" w:type="dxa"/>
            <w:vAlign w:val="center"/>
          </w:tcPr>
          <w:p>
            <w:pPr>
              <w:snapToGrid w:val="0"/>
              <w:spacing w:line="300" w:lineRule="auto"/>
              <w:rPr>
                <w:sz w:val="18"/>
                <w:szCs w:val="18"/>
              </w:rPr>
            </w:pPr>
            <w:r>
              <w:rPr>
                <w:sz w:val="18"/>
                <w:szCs w:val="18"/>
              </w:rPr>
              <w:t>验证</w:t>
            </w:r>
          </w:p>
        </w:tc>
        <w:tc>
          <w:tcPr>
            <w:tcW w:w="696" w:type="dxa"/>
            <w:vAlign w:val="center"/>
          </w:tcPr>
          <w:p>
            <w:pPr>
              <w:snapToGrid w:val="0"/>
              <w:spacing w:line="300" w:lineRule="auto"/>
              <w:rPr>
                <w:sz w:val="18"/>
                <w:szCs w:val="18"/>
              </w:rPr>
            </w:pPr>
            <w:r>
              <w:rPr>
                <w:sz w:val="18"/>
                <w:szCs w:val="18"/>
              </w:rPr>
              <w:t>2</w:t>
            </w:r>
          </w:p>
        </w:tc>
        <w:tc>
          <w:tcPr>
            <w:tcW w:w="623" w:type="dxa"/>
            <w:vAlign w:val="center"/>
          </w:tcPr>
          <w:p>
            <w:pPr>
              <w:snapToGrid w:val="0"/>
              <w:spacing w:line="300" w:lineRule="auto"/>
              <w:rPr>
                <w:sz w:val="18"/>
                <w:szCs w:val="18"/>
              </w:rPr>
            </w:pPr>
            <w:r>
              <w:rPr>
                <w:sz w:val="18"/>
                <w:szCs w:val="18"/>
              </w:rPr>
              <w:t>必开</w:t>
            </w:r>
          </w:p>
        </w:tc>
        <w:tc>
          <w:tcPr>
            <w:tcW w:w="674" w:type="dxa"/>
            <w:vAlign w:val="center"/>
          </w:tcPr>
          <w:p>
            <w:pPr>
              <w:snapToGrid w:val="0"/>
              <w:spacing w:line="300" w:lineRule="auto"/>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09" w:type="dxa"/>
            <w:vAlign w:val="center"/>
          </w:tcPr>
          <w:p>
            <w:pPr>
              <w:snapToGrid w:val="0"/>
              <w:spacing w:line="300" w:lineRule="auto"/>
              <w:rPr>
                <w:sz w:val="18"/>
                <w:szCs w:val="18"/>
              </w:rPr>
            </w:pPr>
            <w:r>
              <w:rPr>
                <w:sz w:val="18"/>
                <w:szCs w:val="18"/>
              </w:rPr>
              <w:t>3</w:t>
            </w:r>
          </w:p>
        </w:tc>
        <w:tc>
          <w:tcPr>
            <w:tcW w:w="1619" w:type="dxa"/>
            <w:vAlign w:val="center"/>
          </w:tcPr>
          <w:p>
            <w:pPr>
              <w:snapToGrid w:val="0"/>
              <w:spacing w:line="300" w:lineRule="auto"/>
              <w:rPr>
                <w:sz w:val="18"/>
                <w:szCs w:val="18"/>
              </w:rPr>
            </w:pPr>
            <w:r>
              <w:rPr>
                <w:sz w:val="18"/>
                <w:szCs w:val="18"/>
              </w:rPr>
              <w:t>LINUX环境下C语言编程</w:t>
            </w:r>
          </w:p>
        </w:tc>
        <w:tc>
          <w:tcPr>
            <w:tcW w:w="2970" w:type="dxa"/>
            <w:vAlign w:val="center"/>
          </w:tcPr>
          <w:p>
            <w:pPr>
              <w:snapToGrid w:val="0"/>
              <w:spacing w:line="300" w:lineRule="auto"/>
              <w:rPr>
                <w:sz w:val="18"/>
                <w:szCs w:val="18"/>
              </w:rPr>
            </w:pPr>
            <w:r>
              <w:rPr>
                <w:sz w:val="18"/>
                <w:szCs w:val="18"/>
              </w:rPr>
              <w:t>文件操作，创建进程及进程间通信</w:t>
            </w:r>
          </w:p>
        </w:tc>
        <w:tc>
          <w:tcPr>
            <w:tcW w:w="694" w:type="dxa"/>
            <w:vAlign w:val="center"/>
          </w:tcPr>
          <w:p>
            <w:pPr>
              <w:snapToGrid w:val="0"/>
              <w:spacing w:line="300" w:lineRule="auto"/>
              <w:rPr>
                <w:sz w:val="18"/>
                <w:szCs w:val="18"/>
              </w:rPr>
            </w:pPr>
            <w:r>
              <w:rPr>
                <w:sz w:val="18"/>
                <w:szCs w:val="18"/>
              </w:rPr>
              <w:t>2</w:t>
            </w:r>
          </w:p>
        </w:tc>
        <w:tc>
          <w:tcPr>
            <w:tcW w:w="696" w:type="dxa"/>
            <w:vAlign w:val="center"/>
          </w:tcPr>
          <w:p>
            <w:pPr>
              <w:snapToGrid w:val="0"/>
              <w:spacing w:line="300" w:lineRule="auto"/>
              <w:rPr>
                <w:sz w:val="18"/>
                <w:szCs w:val="18"/>
              </w:rPr>
            </w:pPr>
            <w:r>
              <w:rPr>
                <w:sz w:val="18"/>
                <w:szCs w:val="18"/>
              </w:rPr>
              <w:t>设计</w:t>
            </w:r>
          </w:p>
        </w:tc>
        <w:tc>
          <w:tcPr>
            <w:tcW w:w="696" w:type="dxa"/>
            <w:vAlign w:val="center"/>
          </w:tcPr>
          <w:p>
            <w:pPr>
              <w:snapToGrid w:val="0"/>
              <w:spacing w:line="300" w:lineRule="auto"/>
              <w:rPr>
                <w:sz w:val="18"/>
                <w:szCs w:val="18"/>
              </w:rPr>
            </w:pPr>
            <w:r>
              <w:rPr>
                <w:sz w:val="18"/>
                <w:szCs w:val="18"/>
              </w:rPr>
              <w:t>2</w:t>
            </w:r>
          </w:p>
        </w:tc>
        <w:tc>
          <w:tcPr>
            <w:tcW w:w="623" w:type="dxa"/>
            <w:vAlign w:val="center"/>
          </w:tcPr>
          <w:p>
            <w:pPr>
              <w:snapToGrid w:val="0"/>
              <w:spacing w:line="300" w:lineRule="auto"/>
              <w:rPr>
                <w:sz w:val="18"/>
                <w:szCs w:val="18"/>
              </w:rPr>
            </w:pPr>
            <w:r>
              <w:rPr>
                <w:sz w:val="18"/>
                <w:szCs w:val="18"/>
              </w:rPr>
              <w:t>必开</w:t>
            </w:r>
          </w:p>
        </w:tc>
        <w:tc>
          <w:tcPr>
            <w:tcW w:w="674" w:type="dxa"/>
            <w:vAlign w:val="center"/>
          </w:tcPr>
          <w:p>
            <w:pPr>
              <w:snapToGrid w:val="0"/>
              <w:spacing w:line="300" w:lineRule="auto"/>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rPr>
                <w:sz w:val="18"/>
                <w:szCs w:val="18"/>
              </w:rPr>
            </w:pPr>
            <w:r>
              <w:rPr>
                <w:sz w:val="18"/>
                <w:szCs w:val="18"/>
              </w:rPr>
              <w:t>4</w:t>
            </w:r>
          </w:p>
        </w:tc>
        <w:tc>
          <w:tcPr>
            <w:tcW w:w="1619" w:type="dxa"/>
            <w:vAlign w:val="center"/>
          </w:tcPr>
          <w:p>
            <w:pPr>
              <w:snapToGrid w:val="0"/>
              <w:spacing w:line="300" w:lineRule="auto"/>
              <w:rPr>
                <w:sz w:val="18"/>
                <w:szCs w:val="18"/>
              </w:rPr>
            </w:pPr>
            <w:r>
              <w:rPr>
                <w:sz w:val="18"/>
                <w:szCs w:val="18"/>
              </w:rPr>
              <w:t>LINUX设备驱动的开发</w:t>
            </w:r>
          </w:p>
        </w:tc>
        <w:tc>
          <w:tcPr>
            <w:tcW w:w="2970" w:type="dxa"/>
            <w:vAlign w:val="center"/>
          </w:tcPr>
          <w:p>
            <w:pPr>
              <w:snapToGrid w:val="0"/>
              <w:spacing w:line="300" w:lineRule="auto"/>
              <w:rPr>
                <w:sz w:val="18"/>
                <w:szCs w:val="18"/>
              </w:rPr>
            </w:pPr>
            <w:r>
              <w:rPr>
                <w:sz w:val="18"/>
                <w:szCs w:val="18"/>
              </w:rPr>
              <w:t>字符设备驱动的开发与实现</w:t>
            </w:r>
          </w:p>
        </w:tc>
        <w:tc>
          <w:tcPr>
            <w:tcW w:w="694" w:type="dxa"/>
            <w:vAlign w:val="center"/>
          </w:tcPr>
          <w:p>
            <w:pPr>
              <w:snapToGrid w:val="0"/>
              <w:spacing w:line="300" w:lineRule="auto"/>
              <w:rPr>
                <w:sz w:val="18"/>
                <w:szCs w:val="18"/>
              </w:rPr>
            </w:pPr>
            <w:r>
              <w:rPr>
                <w:sz w:val="18"/>
                <w:szCs w:val="18"/>
              </w:rPr>
              <w:t>2</w:t>
            </w:r>
          </w:p>
        </w:tc>
        <w:tc>
          <w:tcPr>
            <w:tcW w:w="696" w:type="dxa"/>
            <w:vAlign w:val="center"/>
          </w:tcPr>
          <w:p>
            <w:pPr>
              <w:snapToGrid w:val="0"/>
              <w:spacing w:line="300" w:lineRule="auto"/>
              <w:rPr>
                <w:sz w:val="18"/>
                <w:szCs w:val="18"/>
              </w:rPr>
            </w:pPr>
            <w:r>
              <w:rPr>
                <w:sz w:val="18"/>
                <w:szCs w:val="18"/>
              </w:rPr>
              <w:t>综合</w:t>
            </w:r>
          </w:p>
        </w:tc>
        <w:tc>
          <w:tcPr>
            <w:tcW w:w="696" w:type="dxa"/>
            <w:vAlign w:val="center"/>
          </w:tcPr>
          <w:p>
            <w:pPr>
              <w:snapToGrid w:val="0"/>
              <w:spacing w:line="300" w:lineRule="auto"/>
              <w:rPr>
                <w:sz w:val="18"/>
                <w:szCs w:val="18"/>
              </w:rPr>
            </w:pPr>
            <w:r>
              <w:rPr>
                <w:sz w:val="18"/>
                <w:szCs w:val="18"/>
              </w:rPr>
              <w:t>2</w:t>
            </w:r>
          </w:p>
        </w:tc>
        <w:tc>
          <w:tcPr>
            <w:tcW w:w="623" w:type="dxa"/>
            <w:vAlign w:val="center"/>
          </w:tcPr>
          <w:p>
            <w:pPr>
              <w:snapToGrid w:val="0"/>
              <w:spacing w:line="300" w:lineRule="auto"/>
              <w:rPr>
                <w:sz w:val="18"/>
                <w:szCs w:val="18"/>
              </w:rPr>
            </w:pPr>
            <w:r>
              <w:rPr>
                <w:sz w:val="18"/>
                <w:szCs w:val="18"/>
              </w:rPr>
              <w:t>必开</w:t>
            </w:r>
          </w:p>
        </w:tc>
        <w:tc>
          <w:tcPr>
            <w:tcW w:w="674" w:type="dxa"/>
            <w:vAlign w:val="center"/>
          </w:tcPr>
          <w:p>
            <w:pPr>
              <w:snapToGrid w:val="0"/>
              <w:spacing w:line="300" w:lineRule="auto"/>
              <w:rPr>
                <w:sz w:val="18"/>
                <w:szCs w:val="18"/>
              </w:rPr>
            </w:pPr>
            <w:r>
              <w:rPr>
                <w:sz w:val="18"/>
                <w:szCs w:val="18"/>
              </w:rPr>
              <w:t>1，3</w:t>
            </w:r>
          </w:p>
        </w:tc>
      </w:tr>
    </w:tbl>
    <w:p>
      <w:pPr>
        <w:snapToGrid w:val="0"/>
        <w:spacing w:before="156" w:beforeLines="50" w:after="156" w:afterLines="50" w:line="300" w:lineRule="auto"/>
        <w:rPr>
          <w:b/>
          <w:sz w:val="24"/>
        </w:rPr>
      </w:pPr>
      <w:r>
        <w:rPr>
          <w:b/>
          <w:sz w:val="24"/>
        </w:rPr>
        <w:t>五、课程考核及成绩评定</w:t>
      </w:r>
    </w:p>
    <w:p>
      <w:pPr>
        <w:spacing w:line="360" w:lineRule="exact"/>
        <w:ind w:right="-31" w:rightChars="-15" w:firstLine="420" w:firstLineChars="200"/>
      </w:pPr>
      <w:r>
        <w:t>1．考核方式：闭卷/开卷笔试/实操+论文+答辩、平时测验及作业，实验报告。</w:t>
      </w:r>
    </w:p>
    <w:p>
      <w:pPr>
        <w:spacing w:line="360" w:lineRule="exact"/>
        <w:ind w:right="-31" w:rightChars="-15" w:firstLine="420" w:firstLineChars="200"/>
      </w:pPr>
      <w:r>
        <w:t>2．成绩构成：闭卷笔试成绩70%，平时成绩20%（课后作业、课堂表现、随堂测验、口头报告等），实验成绩10%。或实操+论文+答辩占比70%，平时成绩20%（课后作业、课堂表现、随堂测验、口头报告等），实验成绩10%。或开卷50%+平时成绩20%+实验考核20%+实验成绩10%。</w:t>
      </w:r>
    </w:p>
    <w:p>
      <w:pPr>
        <w:spacing w:line="360" w:lineRule="exact"/>
        <w:ind w:right="-31" w:rightChars="-15"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49"/>
        <w:gridCol w:w="749"/>
        <w:gridCol w:w="729"/>
        <w:gridCol w:w="616"/>
        <w:gridCol w:w="403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blHeader/>
          <w:jc w:val="center"/>
        </w:trPr>
        <w:tc>
          <w:tcPr>
            <w:tcW w:w="749"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749" w:type="dxa"/>
            <w:vAlign w:val="center"/>
          </w:tcPr>
          <w:p>
            <w:pPr>
              <w:snapToGrid w:val="0"/>
              <w:spacing w:line="300" w:lineRule="auto"/>
              <w:jc w:val="center"/>
              <w:rPr>
                <w:b/>
                <w:bCs/>
                <w:sz w:val="18"/>
                <w:szCs w:val="18"/>
              </w:rPr>
            </w:pPr>
            <w:r>
              <w:rPr>
                <w:b/>
                <w:bCs/>
                <w:sz w:val="18"/>
                <w:szCs w:val="18"/>
              </w:rPr>
              <w:t>分值</w:t>
            </w:r>
          </w:p>
        </w:tc>
        <w:tc>
          <w:tcPr>
            <w:tcW w:w="749" w:type="dxa"/>
            <w:vAlign w:val="center"/>
          </w:tcPr>
          <w:p>
            <w:pPr>
              <w:snapToGrid w:val="0"/>
              <w:spacing w:line="300" w:lineRule="auto"/>
              <w:jc w:val="center"/>
              <w:rPr>
                <w:b/>
                <w:bCs/>
                <w:sz w:val="18"/>
                <w:szCs w:val="18"/>
              </w:rPr>
            </w:pPr>
            <w:r>
              <w:rPr>
                <w:b/>
                <w:bCs/>
                <w:sz w:val="18"/>
                <w:szCs w:val="18"/>
              </w:rPr>
              <w:t>权重</w:t>
            </w:r>
          </w:p>
        </w:tc>
        <w:tc>
          <w:tcPr>
            <w:tcW w:w="729" w:type="dxa"/>
            <w:vAlign w:val="center"/>
          </w:tcPr>
          <w:p>
            <w:pPr>
              <w:snapToGrid w:val="0"/>
              <w:spacing w:line="300" w:lineRule="auto"/>
              <w:jc w:val="center"/>
              <w:rPr>
                <w:b/>
                <w:bCs/>
                <w:sz w:val="18"/>
                <w:szCs w:val="18"/>
              </w:rPr>
            </w:pPr>
            <w:r>
              <w:rPr>
                <w:b/>
                <w:bCs/>
                <w:sz w:val="18"/>
                <w:szCs w:val="18"/>
              </w:rPr>
              <w:t>类别</w:t>
            </w:r>
          </w:p>
        </w:tc>
        <w:tc>
          <w:tcPr>
            <w:tcW w:w="616" w:type="dxa"/>
            <w:vAlign w:val="center"/>
          </w:tcPr>
          <w:p>
            <w:pPr>
              <w:snapToGrid w:val="0"/>
              <w:spacing w:line="300" w:lineRule="auto"/>
              <w:jc w:val="center"/>
              <w:rPr>
                <w:b/>
                <w:bCs/>
                <w:sz w:val="18"/>
                <w:szCs w:val="18"/>
              </w:rPr>
            </w:pPr>
            <w:r>
              <w:rPr>
                <w:b/>
                <w:bCs/>
                <w:sz w:val="18"/>
                <w:szCs w:val="18"/>
              </w:rPr>
              <w:t>权重</w:t>
            </w:r>
          </w:p>
        </w:tc>
        <w:tc>
          <w:tcPr>
            <w:tcW w:w="4037" w:type="dxa"/>
            <w:vAlign w:val="center"/>
          </w:tcPr>
          <w:p>
            <w:pPr>
              <w:snapToGrid w:val="0"/>
              <w:spacing w:line="300" w:lineRule="auto"/>
              <w:jc w:val="center"/>
              <w:rPr>
                <w:b/>
                <w:bCs/>
                <w:sz w:val="18"/>
                <w:szCs w:val="18"/>
              </w:rPr>
            </w:pPr>
            <w:r>
              <w:rPr>
                <w:b/>
                <w:bCs/>
                <w:sz w:val="18"/>
                <w:szCs w:val="18"/>
              </w:rPr>
              <w:t>考核/评价细则</w:t>
            </w:r>
          </w:p>
        </w:tc>
        <w:tc>
          <w:tcPr>
            <w:tcW w:w="1052" w:type="dxa"/>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restart"/>
            <w:vAlign w:val="center"/>
          </w:tcPr>
          <w:p>
            <w:pPr>
              <w:snapToGrid w:val="0"/>
              <w:spacing w:line="300" w:lineRule="auto"/>
              <w:rPr>
                <w:sz w:val="18"/>
                <w:szCs w:val="18"/>
              </w:rPr>
            </w:pPr>
            <w:r>
              <w:rPr>
                <w:sz w:val="18"/>
                <w:szCs w:val="18"/>
              </w:rPr>
              <w:t>平时成绩</w:t>
            </w:r>
          </w:p>
        </w:tc>
        <w:tc>
          <w:tcPr>
            <w:tcW w:w="749" w:type="dxa"/>
            <w:vMerge w:val="restart"/>
            <w:vAlign w:val="center"/>
          </w:tcPr>
          <w:p>
            <w:pPr>
              <w:snapToGrid w:val="0"/>
              <w:spacing w:line="300" w:lineRule="auto"/>
              <w:rPr>
                <w:sz w:val="18"/>
                <w:szCs w:val="18"/>
              </w:rPr>
            </w:pPr>
            <w:r>
              <w:rPr>
                <w:sz w:val="18"/>
                <w:szCs w:val="18"/>
              </w:rPr>
              <w:t>100</w:t>
            </w:r>
          </w:p>
        </w:tc>
        <w:tc>
          <w:tcPr>
            <w:tcW w:w="749" w:type="dxa"/>
            <w:vMerge w:val="restart"/>
            <w:vAlign w:val="center"/>
          </w:tcPr>
          <w:p>
            <w:pPr>
              <w:snapToGrid w:val="0"/>
              <w:spacing w:line="300" w:lineRule="auto"/>
              <w:rPr>
                <w:sz w:val="18"/>
                <w:szCs w:val="18"/>
              </w:rPr>
            </w:pPr>
            <w:r>
              <w:rPr>
                <w:sz w:val="18"/>
                <w:szCs w:val="18"/>
              </w:rPr>
              <w:t>0.3</w:t>
            </w:r>
          </w:p>
        </w:tc>
        <w:tc>
          <w:tcPr>
            <w:tcW w:w="729" w:type="dxa"/>
            <w:vAlign w:val="center"/>
          </w:tcPr>
          <w:p>
            <w:pPr>
              <w:snapToGrid w:val="0"/>
              <w:spacing w:line="300" w:lineRule="auto"/>
              <w:rPr>
                <w:sz w:val="18"/>
                <w:szCs w:val="18"/>
              </w:rPr>
            </w:pPr>
            <w:r>
              <w:rPr>
                <w:sz w:val="18"/>
                <w:szCs w:val="18"/>
              </w:rPr>
              <w:t>课堂表现</w:t>
            </w:r>
          </w:p>
        </w:tc>
        <w:tc>
          <w:tcPr>
            <w:tcW w:w="616" w:type="dxa"/>
            <w:vAlign w:val="center"/>
          </w:tcPr>
          <w:p>
            <w:pPr>
              <w:snapToGrid w:val="0"/>
              <w:spacing w:line="300" w:lineRule="auto"/>
              <w:rPr>
                <w:sz w:val="18"/>
                <w:szCs w:val="18"/>
              </w:rPr>
            </w:pPr>
            <w:r>
              <w:rPr>
                <w:sz w:val="18"/>
                <w:szCs w:val="18"/>
              </w:rPr>
              <w:t>0.1</w:t>
            </w:r>
          </w:p>
        </w:tc>
        <w:tc>
          <w:tcPr>
            <w:tcW w:w="4037" w:type="dxa"/>
            <w:vAlign w:val="center"/>
          </w:tcPr>
          <w:p>
            <w:pPr>
              <w:snapToGrid w:val="0"/>
              <w:spacing w:line="300" w:lineRule="auto"/>
              <w:rPr>
                <w:sz w:val="18"/>
                <w:szCs w:val="18"/>
              </w:rPr>
            </w:pPr>
            <w:r>
              <w:rPr>
                <w:sz w:val="18"/>
                <w:szCs w:val="18"/>
              </w:rPr>
              <w:t>根据学生课堂表现打分，满分100。</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29" w:type="dxa"/>
            <w:vAlign w:val="center"/>
          </w:tcPr>
          <w:p>
            <w:pPr>
              <w:snapToGrid w:val="0"/>
              <w:spacing w:line="300" w:lineRule="auto"/>
              <w:rPr>
                <w:sz w:val="18"/>
                <w:szCs w:val="18"/>
              </w:rPr>
            </w:pPr>
            <w:r>
              <w:rPr>
                <w:sz w:val="18"/>
                <w:szCs w:val="18"/>
              </w:rPr>
              <w:t>作业</w:t>
            </w:r>
          </w:p>
        </w:tc>
        <w:tc>
          <w:tcPr>
            <w:tcW w:w="616" w:type="dxa"/>
            <w:vAlign w:val="center"/>
          </w:tcPr>
          <w:p>
            <w:pPr>
              <w:snapToGrid w:val="0"/>
              <w:spacing w:line="300" w:lineRule="auto"/>
              <w:rPr>
                <w:sz w:val="18"/>
                <w:szCs w:val="18"/>
              </w:rPr>
            </w:pPr>
            <w:r>
              <w:rPr>
                <w:sz w:val="18"/>
                <w:szCs w:val="18"/>
              </w:rPr>
              <w:t>0.3</w:t>
            </w:r>
          </w:p>
        </w:tc>
        <w:tc>
          <w:tcPr>
            <w:tcW w:w="4037" w:type="dxa"/>
            <w:vAlign w:val="center"/>
          </w:tcPr>
          <w:p>
            <w:pPr>
              <w:snapToGrid w:val="0"/>
              <w:spacing w:line="300" w:lineRule="auto"/>
              <w:rPr>
                <w:sz w:val="18"/>
                <w:szCs w:val="18"/>
              </w:rPr>
            </w:pPr>
            <w:r>
              <w:rPr>
                <w:sz w:val="18"/>
                <w:szCs w:val="18"/>
              </w:rPr>
              <w:t>主要考核学生对每章节知识点的理解和掌握程度；每次作业按100分制单独评分，取各次成绩的平均值作为书面作业成绩。</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29" w:type="dxa"/>
            <w:vAlign w:val="center"/>
          </w:tcPr>
          <w:p>
            <w:pPr>
              <w:snapToGrid w:val="0"/>
              <w:spacing w:line="300" w:lineRule="auto"/>
              <w:rPr>
                <w:sz w:val="18"/>
                <w:szCs w:val="18"/>
              </w:rPr>
            </w:pPr>
            <w:r>
              <w:rPr>
                <w:sz w:val="18"/>
                <w:szCs w:val="18"/>
              </w:rPr>
              <w:t>实验</w:t>
            </w:r>
          </w:p>
        </w:tc>
        <w:tc>
          <w:tcPr>
            <w:tcW w:w="616" w:type="dxa"/>
            <w:vAlign w:val="center"/>
          </w:tcPr>
          <w:p>
            <w:pPr>
              <w:snapToGrid w:val="0"/>
              <w:spacing w:line="300" w:lineRule="auto"/>
              <w:rPr>
                <w:sz w:val="18"/>
                <w:szCs w:val="18"/>
              </w:rPr>
            </w:pPr>
            <w:r>
              <w:rPr>
                <w:sz w:val="18"/>
                <w:szCs w:val="18"/>
              </w:rPr>
              <w:t>0.3</w:t>
            </w:r>
          </w:p>
        </w:tc>
        <w:tc>
          <w:tcPr>
            <w:tcW w:w="4037" w:type="dxa"/>
            <w:vAlign w:val="center"/>
          </w:tcPr>
          <w:p>
            <w:pPr>
              <w:snapToGrid w:val="0"/>
              <w:spacing w:line="300" w:lineRule="auto"/>
              <w:rPr>
                <w:sz w:val="18"/>
                <w:szCs w:val="18"/>
              </w:rPr>
            </w:pPr>
            <w:r>
              <w:rPr>
                <w:sz w:val="18"/>
                <w:szCs w:val="18"/>
              </w:rPr>
              <w:t>根据实验完成质量，以及实验报告质量评分，满分100分。</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29" w:type="dxa"/>
            <w:vAlign w:val="center"/>
          </w:tcPr>
          <w:p>
            <w:pPr>
              <w:snapToGrid w:val="0"/>
              <w:spacing w:line="300" w:lineRule="auto"/>
              <w:rPr>
                <w:sz w:val="18"/>
                <w:szCs w:val="18"/>
              </w:rPr>
            </w:pPr>
            <w:r>
              <w:rPr>
                <w:sz w:val="18"/>
                <w:szCs w:val="18"/>
              </w:rPr>
              <w:t>平时测验</w:t>
            </w:r>
          </w:p>
        </w:tc>
        <w:tc>
          <w:tcPr>
            <w:tcW w:w="616" w:type="dxa"/>
            <w:vAlign w:val="center"/>
          </w:tcPr>
          <w:p>
            <w:pPr>
              <w:snapToGrid w:val="0"/>
              <w:spacing w:line="300" w:lineRule="auto"/>
              <w:rPr>
                <w:sz w:val="18"/>
                <w:szCs w:val="18"/>
              </w:rPr>
            </w:pPr>
            <w:r>
              <w:rPr>
                <w:sz w:val="18"/>
                <w:szCs w:val="18"/>
              </w:rPr>
              <w:t>0.2</w:t>
            </w:r>
          </w:p>
        </w:tc>
        <w:tc>
          <w:tcPr>
            <w:tcW w:w="4037" w:type="dxa"/>
            <w:vAlign w:val="center"/>
          </w:tcPr>
          <w:p>
            <w:pPr>
              <w:snapToGrid w:val="0"/>
              <w:spacing w:line="300" w:lineRule="auto"/>
              <w:rPr>
                <w:sz w:val="18"/>
                <w:szCs w:val="18"/>
              </w:rPr>
            </w:pPr>
            <w:r>
              <w:rPr>
                <w:sz w:val="18"/>
                <w:szCs w:val="18"/>
              </w:rPr>
              <w:t>做两三次平时测验，每次满分100分。</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rPr>
                <w:sz w:val="18"/>
                <w:szCs w:val="18"/>
              </w:rPr>
            </w:pPr>
          </w:p>
        </w:tc>
        <w:tc>
          <w:tcPr>
            <w:tcW w:w="729" w:type="dxa"/>
            <w:vAlign w:val="center"/>
          </w:tcPr>
          <w:p>
            <w:pPr>
              <w:snapToGrid w:val="0"/>
              <w:spacing w:line="300" w:lineRule="auto"/>
              <w:rPr>
                <w:sz w:val="18"/>
                <w:szCs w:val="18"/>
              </w:rPr>
            </w:pPr>
            <w:r>
              <w:rPr>
                <w:sz w:val="18"/>
                <w:szCs w:val="18"/>
              </w:rPr>
              <w:t>项目研究</w:t>
            </w:r>
          </w:p>
        </w:tc>
        <w:tc>
          <w:tcPr>
            <w:tcW w:w="616" w:type="dxa"/>
            <w:vAlign w:val="center"/>
          </w:tcPr>
          <w:p>
            <w:pPr>
              <w:snapToGrid w:val="0"/>
              <w:spacing w:line="300" w:lineRule="auto"/>
              <w:rPr>
                <w:sz w:val="18"/>
                <w:szCs w:val="18"/>
              </w:rPr>
            </w:pPr>
            <w:r>
              <w:rPr>
                <w:sz w:val="18"/>
                <w:szCs w:val="18"/>
              </w:rPr>
              <w:t>0.1</w:t>
            </w:r>
          </w:p>
        </w:tc>
        <w:tc>
          <w:tcPr>
            <w:tcW w:w="4037" w:type="dxa"/>
            <w:vAlign w:val="center"/>
          </w:tcPr>
          <w:p>
            <w:pPr>
              <w:snapToGrid w:val="0"/>
              <w:spacing w:line="300" w:lineRule="auto"/>
              <w:rPr>
                <w:sz w:val="18"/>
                <w:szCs w:val="18"/>
              </w:rPr>
            </w:pPr>
            <w:r>
              <w:rPr>
                <w:sz w:val="18"/>
                <w:szCs w:val="18"/>
              </w:rPr>
              <w:t>以小组为单位选题，并撰写报告，设计PPT，最高分100分。</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49" w:type="dxa"/>
            <w:vAlign w:val="center"/>
          </w:tcPr>
          <w:p>
            <w:pPr>
              <w:snapToGrid w:val="0"/>
              <w:spacing w:line="300" w:lineRule="auto"/>
              <w:rPr>
                <w:sz w:val="18"/>
                <w:szCs w:val="18"/>
              </w:rPr>
            </w:pPr>
            <w:r>
              <w:rPr>
                <w:sz w:val="18"/>
                <w:szCs w:val="18"/>
              </w:rPr>
              <w:t>期末考试成绩</w:t>
            </w:r>
          </w:p>
        </w:tc>
        <w:tc>
          <w:tcPr>
            <w:tcW w:w="749" w:type="dxa"/>
            <w:vAlign w:val="center"/>
          </w:tcPr>
          <w:p>
            <w:pPr>
              <w:snapToGrid w:val="0"/>
              <w:spacing w:line="300" w:lineRule="auto"/>
              <w:rPr>
                <w:sz w:val="18"/>
                <w:szCs w:val="18"/>
              </w:rPr>
            </w:pPr>
            <w:r>
              <w:rPr>
                <w:sz w:val="18"/>
                <w:szCs w:val="18"/>
              </w:rPr>
              <w:t>100</w:t>
            </w:r>
          </w:p>
        </w:tc>
        <w:tc>
          <w:tcPr>
            <w:tcW w:w="749" w:type="dxa"/>
            <w:vAlign w:val="center"/>
          </w:tcPr>
          <w:p>
            <w:pPr>
              <w:snapToGrid w:val="0"/>
              <w:spacing w:line="300" w:lineRule="auto"/>
              <w:rPr>
                <w:sz w:val="18"/>
                <w:szCs w:val="18"/>
              </w:rPr>
            </w:pPr>
            <w:r>
              <w:rPr>
                <w:sz w:val="18"/>
                <w:szCs w:val="18"/>
              </w:rPr>
              <w:t>0.7</w:t>
            </w:r>
          </w:p>
        </w:tc>
        <w:tc>
          <w:tcPr>
            <w:tcW w:w="729" w:type="dxa"/>
            <w:vAlign w:val="center"/>
          </w:tcPr>
          <w:p>
            <w:pPr>
              <w:snapToGrid w:val="0"/>
              <w:spacing w:line="300" w:lineRule="auto"/>
              <w:rPr>
                <w:sz w:val="18"/>
                <w:szCs w:val="18"/>
              </w:rPr>
            </w:pPr>
            <w:r>
              <w:rPr>
                <w:sz w:val="18"/>
                <w:szCs w:val="18"/>
              </w:rPr>
              <w:t>闭卷考试</w:t>
            </w:r>
          </w:p>
        </w:tc>
        <w:tc>
          <w:tcPr>
            <w:tcW w:w="616" w:type="dxa"/>
            <w:vAlign w:val="center"/>
          </w:tcPr>
          <w:p>
            <w:pPr>
              <w:snapToGrid w:val="0"/>
              <w:spacing w:line="300" w:lineRule="auto"/>
              <w:rPr>
                <w:sz w:val="18"/>
                <w:szCs w:val="18"/>
              </w:rPr>
            </w:pPr>
            <w:r>
              <w:rPr>
                <w:sz w:val="18"/>
                <w:szCs w:val="18"/>
              </w:rPr>
              <w:t>1</w:t>
            </w:r>
          </w:p>
        </w:tc>
        <w:tc>
          <w:tcPr>
            <w:tcW w:w="4037"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第1-7章。</w:t>
            </w:r>
          </w:p>
          <w:p>
            <w:pPr>
              <w:snapToGrid w:val="0"/>
              <w:spacing w:line="300" w:lineRule="auto"/>
              <w:rPr>
                <w:sz w:val="18"/>
                <w:szCs w:val="18"/>
              </w:rPr>
            </w:pPr>
            <w:r>
              <w:rPr>
                <w:sz w:val="18"/>
                <w:szCs w:val="18"/>
              </w:rPr>
              <w:t>(3)建议考试题型包括：选择题、填空题、分析判断、综合计算题、证明题等其中某几种题型。</w:t>
            </w:r>
          </w:p>
        </w:tc>
        <w:tc>
          <w:tcPr>
            <w:tcW w:w="1052"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r>
    </w:tbl>
    <w:p>
      <w:pPr>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131"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31" DrawAspect="Content" ObjectID="_1468075828" r:id="rId144">
            <o:LockedField>false</o:LockedField>
          </o:OLEObject>
        </w:object>
      </w:r>
    </w:p>
    <w:p>
      <w:pPr>
        <w:adjustRightInd w:val="0"/>
        <w:snapToGrid w:val="0"/>
        <w:spacing w:line="300" w:lineRule="auto"/>
        <w:ind w:firstLine="420" w:firstLineChars="200"/>
      </w:pPr>
      <w:r>
        <w:t>课程总目标达成情况为5个课程目标的加权得分率，其计算公式为：</w:t>
      </w:r>
    </w:p>
    <w:p>
      <w:pPr>
        <w:adjustRightInd w:val="0"/>
        <w:snapToGrid w:val="0"/>
        <w:spacing w:line="300" w:lineRule="auto"/>
        <w:jc w:val="center"/>
      </w:pPr>
      <w:r>
        <w:t xml:space="preserve"> </w:t>
      </w:r>
      <w:r>
        <w:object>
          <v:shape id="_x0000_i1132"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32" DrawAspect="Content" ObjectID="_1468075829" r:id="rId145">
            <o:LockedField>false</o:LockedField>
          </o:OLEObject>
        </w:object>
      </w:r>
    </w:p>
    <w:p>
      <w:pPr>
        <w:adjustRightInd w:val="0"/>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7"/>
        <w:gridCol w:w="2015"/>
        <w:gridCol w:w="2390"/>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07" w:type="dxa"/>
            <w:vAlign w:val="center"/>
          </w:tcPr>
          <w:p>
            <w:pPr>
              <w:snapToGrid w:val="0"/>
              <w:spacing w:line="300" w:lineRule="auto"/>
              <w:jc w:val="center"/>
              <w:rPr>
                <w:b/>
                <w:bCs/>
                <w:sz w:val="18"/>
                <w:szCs w:val="18"/>
              </w:rPr>
            </w:pPr>
            <w:r>
              <w:rPr>
                <w:b/>
                <w:bCs/>
                <w:sz w:val="18"/>
                <w:szCs w:val="18"/>
              </w:rPr>
              <w:t>课程目标</w:t>
            </w:r>
          </w:p>
        </w:tc>
        <w:tc>
          <w:tcPr>
            <w:tcW w:w="2015" w:type="dxa"/>
            <w:vAlign w:val="center"/>
          </w:tcPr>
          <w:p>
            <w:pPr>
              <w:snapToGrid w:val="0"/>
              <w:spacing w:line="300" w:lineRule="auto"/>
              <w:jc w:val="center"/>
              <w:rPr>
                <w:sz w:val="18"/>
                <w:szCs w:val="18"/>
              </w:rPr>
            </w:pPr>
            <w:r>
              <w:rPr>
                <w:sz w:val="18"/>
                <w:szCs w:val="18"/>
              </w:rPr>
              <w:t>1</w:t>
            </w:r>
          </w:p>
        </w:tc>
        <w:tc>
          <w:tcPr>
            <w:tcW w:w="2390" w:type="dxa"/>
            <w:vAlign w:val="center"/>
          </w:tcPr>
          <w:p>
            <w:pPr>
              <w:snapToGrid w:val="0"/>
              <w:spacing w:line="300" w:lineRule="auto"/>
              <w:jc w:val="center"/>
              <w:rPr>
                <w:sz w:val="18"/>
                <w:szCs w:val="18"/>
              </w:rPr>
            </w:pPr>
            <w:r>
              <w:rPr>
                <w:sz w:val="18"/>
                <w:szCs w:val="18"/>
              </w:rPr>
              <w:t>2</w:t>
            </w:r>
          </w:p>
        </w:tc>
        <w:tc>
          <w:tcPr>
            <w:tcW w:w="2366"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07" w:type="dxa"/>
            <w:vAlign w:val="center"/>
          </w:tcPr>
          <w:p>
            <w:pPr>
              <w:snapToGrid w:val="0"/>
              <w:spacing w:line="300" w:lineRule="auto"/>
              <w:jc w:val="center"/>
              <w:rPr>
                <w:b/>
                <w:bCs/>
                <w:sz w:val="18"/>
                <w:szCs w:val="18"/>
              </w:rPr>
            </w:pPr>
            <w:r>
              <w:rPr>
                <w:b/>
                <w:bCs/>
                <w:sz w:val="18"/>
                <w:szCs w:val="18"/>
              </w:rPr>
              <w:t>权重系数</w:t>
            </w:r>
          </w:p>
        </w:tc>
        <w:tc>
          <w:tcPr>
            <w:tcW w:w="2015"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0.45</w:t>
            </w:r>
          </w:p>
        </w:tc>
        <w:tc>
          <w:tcPr>
            <w:tcW w:w="2390"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w:t>
            </w:r>
          </w:p>
        </w:tc>
        <w:tc>
          <w:tcPr>
            <w:tcW w:w="2366"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0.45</w:t>
            </w:r>
          </w:p>
        </w:tc>
      </w:tr>
    </w:tbl>
    <w:p>
      <w:pPr>
        <w:spacing w:line="360" w:lineRule="exact"/>
        <w:ind w:right="-31" w:rightChars="-15" w:firstLine="420" w:firstLineChars="200"/>
      </w:pPr>
      <w:r>
        <w:t>课程毕业要求指标点达成情况评价：</w:t>
      </w:r>
    </w:p>
    <w:p>
      <w:pPr>
        <w:spacing w:line="360" w:lineRule="exact"/>
        <w:ind w:right="-31" w:rightChars="-15" w:firstLine="420" w:firstLineChars="200"/>
      </w:pPr>
      <w:r>
        <w:t>课程支撑毕业要求指标点的达成情况为对应的课程目标达成情况的加权值，其计算公式为：</w:t>
      </w:r>
    </w:p>
    <w:p>
      <w:pPr>
        <w:spacing w:line="360" w:lineRule="exact"/>
        <w:ind w:right="-31" w:rightChars="-15" w:firstLine="420" w:firstLineChars="200"/>
      </w:pPr>
      <w:r>
        <w:pict>
          <v:shape id="Object 3" o:spid="_x0000_s1291" o:spt="75" type="#_x0000_t75" style="position:absolute;left:0pt;margin-left:71.5pt;margin-top:6pt;height:18.3pt;width:273.35pt;mso-wrap-distance-bottom:0pt;mso-wrap-distance-top:0pt;z-index:251671552;mso-width-relative:page;mso-height-relative:page;" o:ole="t" filled="f" o:preferrelative="t" stroked="f" coordsize="21600,21600">
            <v:path/>
            <v:fill on="f" focussize="0,0"/>
            <v:stroke on="f" joinstyle="miter"/>
            <v:imagedata r:id="rId147" o:title=""/>
            <o:lock v:ext="edit" aspectratio="t"/>
            <w10:wrap type="topAndBottom"/>
          </v:shape>
          <o:OLEObject Type="Embed" ProgID="Equation.3" ShapeID="Object 3" DrawAspect="Content" ObjectID="_1468075830" r:id="rId146">
            <o:LockedField>false</o:LockedField>
          </o:OLEObject>
        </w:pict>
      </w:r>
      <w:r>
        <w:t>2．课程总结要求</w:t>
      </w:r>
    </w:p>
    <w:p>
      <w:pPr>
        <w:spacing w:line="360" w:lineRule="exact"/>
        <w:ind w:right="-31" w:rightChars="-15" w:firstLine="420" w:firstLineChars="200"/>
        <w:rPr>
          <w:rFonts w:ascii="Times New Roman" w:hAnsi="Times New Roman" w:eastAsia="宋体" w:cs="Times New Roman"/>
        </w:rPr>
      </w:pPr>
      <w: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pacing w:line="360" w:lineRule="exact"/>
        <w:ind w:right="-31" w:rightChars="-15"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53"/>
        </w:numPr>
        <w:snapToGrid w:val="0"/>
        <w:spacing w:line="300" w:lineRule="auto"/>
        <w:rPr>
          <w:rFonts w:ascii="Times New Roman" w:hAnsi="Times New Roman" w:eastAsia="宋体" w:cs="Times New Roman"/>
        </w:rPr>
      </w:pPr>
      <w:r>
        <w:rPr>
          <w:rFonts w:ascii="Times New Roman" w:hAnsi="Times New Roman" w:eastAsia="宋体" w:cs="Times New Roman"/>
        </w:rPr>
        <w:t>文全刚. 嵌入式LINUX操作系统原理与应用 [M]. 北京：北京航空航天大学出版社，2017年5月。</w:t>
      </w:r>
    </w:p>
    <w:p>
      <w:pPr>
        <w:spacing w:line="360" w:lineRule="exact"/>
        <w:ind w:right="-31" w:rightChars="-15"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54"/>
        </w:numPr>
        <w:snapToGrid w:val="0"/>
        <w:spacing w:line="300" w:lineRule="auto"/>
        <w:rPr>
          <w:rFonts w:ascii="Times New Roman" w:hAnsi="Times New Roman" w:eastAsia="宋体" w:cs="Times New Roman"/>
        </w:rPr>
      </w:pPr>
      <w:r>
        <w:rPr>
          <w:rFonts w:ascii="Times New Roman" w:hAnsi="Times New Roman" w:eastAsia="宋体" w:cs="Times New Roman"/>
        </w:rPr>
        <w:t>周立功. ARM嵌入式系统基础教程 [M]. 北京：北京航空航天大学出版社, 2005.</w:t>
      </w:r>
    </w:p>
    <w:p>
      <w:pPr>
        <w:numPr>
          <w:ilvl w:val="0"/>
          <w:numId w:val="54"/>
        </w:numPr>
        <w:snapToGrid w:val="0"/>
        <w:spacing w:line="300" w:lineRule="auto"/>
        <w:rPr>
          <w:rFonts w:ascii="Times New Roman" w:hAnsi="Times New Roman" w:eastAsia="宋体" w:cs="Times New Roman"/>
        </w:rPr>
      </w:pPr>
      <w:r>
        <w:rPr>
          <w:rFonts w:ascii="Times New Roman" w:hAnsi="Times New Roman" w:eastAsia="宋体" w:cs="Times New Roman"/>
        </w:rPr>
        <w:t>王田苗, 嵌入式系统设计与实例开发[M]. 北京：清华大学出版社, 2002.</w:t>
      </w:r>
    </w:p>
    <w:p>
      <w:pPr>
        <w:numPr>
          <w:ilvl w:val="0"/>
          <w:numId w:val="54"/>
        </w:numPr>
        <w:snapToGrid w:val="0"/>
        <w:spacing w:line="300" w:lineRule="auto"/>
        <w:rPr>
          <w:rFonts w:ascii="Times New Roman" w:hAnsi="Times New Roman" w:eastAsia="宋体" w:cs="Times New Roman"/>
        </w:rPr>
      </w:pPr>
      <w:r>
        <w:rPr>
          <w:rFonts w:ascii="Times New Roman" w:hAnsi="Times New Roman" w:eastAsia="宋体" w:cs="Times New Roman"/>
        </w:rPr>
        <w:t>杜春雷. ARM体系结构与编程.[M]. 清华大学出版社，2003.</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169"/>
    <w:bookmarkEnd w:id="170"/>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171" w:name="_Toc22641"/>
      <w:r>
        <w:rPr>
          <w:rFonts w:ascii="Times New Roman" w:hAnsi="Times New Roman" w:cs="Times New Roman" w:eastAsiaTheme="majorEastAsia"/>
          <w:b/>
          <w:bCs/>
          <w:sz w:val="32"/>
          <w:szCs w:val="32"/>
        </w:rPr>
        <w:t>33452004</w:t>
      </w:r>
      <w:r>
        <w:rPr>
          <w:rFonts w:hint="eastAsia" w:ascii="Times New Roman" w:hAnsi="Times New Roman" w:cs="Times New Roman" w:eastAsiaTheme="majorEastAsia"/>
          <w:b/>
          <w:bCs/>
          <w:sz w:val="32"/>
          <w:szCs w:val="32"/>
        </w:rPr>
        <w:t>《无线传感器网络》课程教学大纲</w:t>
      </w:r>
      <w:bookmarkEnd w:id="171"/>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442"/>
        <w:gridCol w:w="1196"/>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vAlign w:val="center"/>
          </w:tcPr>
          <w:p>
            <w:pPr>
              <w:jc w:val="center"/>
              <w:rPr>
                <w:kern w:val="0"/>
                <w:szCs w:val="21"/>
              </w:rPr>
            </w:pPr>
            <w:r>
              <w:rPr>
                <w:kern w:val="0"/>
                <w:szCs w:val="21"/>
              </w:rPr>
              <w:t>课程编号</w:t>
            </w:r>
          </w:p>
        </w:tc>
        <w:tc>
          <w:tcPr>
            <w:tcW w:w="3442" w:type="dxa"/>
            <w:vAlign w:val="center"/>
          </w:tcPr>
          <w:p>
            <w:pPr>
              <w:jc w:val="center"/>
              <w:rPr>
                <w:kern w:val="0"/>
                <w:szCs w:val="21"/>
              </w:rPr>
            </w:pPr>
            <w:r>
              <w:rPr>
                <w:szCs w:val="21"/>
              </w:rPr>
              <w:t>33452004</w:t>
            </w:r>
          </w:p>
        </w:tc>
        <w:tc>
          <w:tcPr>
            <w:tcW w:w="1196"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kern w:val="0"/>
                <w:szCs w:val="21"/>
              </w:rPr>
              <w:t>无线传感器网络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vAlign w:val="center"/>
          </w:tcPr>
          <w:p>
            <w:pPr>
              <w:jc w:val="center"/>
              <w:rPr>
                <w:kern w:val="0"/>
                <w:szCs w:val="21"/>
              </w:rPr>
            </w:pPr>
            <w:r>
              <w:rPr>
                <w:kern w:val="0"/>
                <w:szCs w:val="21"/>
              </w:rPr>
              <w:t>课程性质*</w:t>
            </w:r>
          </w:p>
        </w:tc>
        <w:tc>
          <w:tcPr>
            <w:tcW w:w="3442" w:type="dxa"/>
            <w:vAlign w:val="center"/>
          </w:tcPr>
          <w:p>
            <w:pPr>
              <w:jc w:val="center"/>
              <w:rPr>
                <w:kern w:val="0"/>
                <w:szCs w:val="21"/>
              </w:rPr>
            </w:pPr>
            <w:r>
              <w:rPr>
                <w:rFonts w:hint="eastAsia"/>
                <w:szCs w:val="21"/>
              </w:rPr>
              <w:t>专业类</w:t>
            </w:r>
          </w:p>
        </w:tc>
        <w:tc>
          <w:tcPr>
            <w:tcW w:w="1196"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Wireless Sensor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vAlign w:val="center"/>
          </w:tcPr>
          <w:p>
            <w:pPr>
              <w:jc w:val="center"/>
              <w:rPr>
                <w:kern w:val="0"/>
                <w:szCs w:val="21"/>
              </w:rPr>
            </w:pPr>
            <w:r>
              <w:rPr>
                <w:kern w:val="0"/>
                <w:szCs w:val="21"/>
              </w:rPr>
              <w:t>学分学时</w:t>
            </w:r>
          </w:p>
        </w:tc>
        <w:tc>
          <w:tcPr>
            <w:tcW w:w="3442" w:type="dxa"/>
            <w:vAlign w:val="center"/>
          </w:tcPr>
          <w:p>
            <w:pPr>
              <w:jc w:val="center"/>
              <w:rPr>
                <w:kern w:val="0"/>
                <w:szCs w:val="21"/>
              </w:rPr>
            </w:pPr>
            <w:r>
              <w:rPr>
                <w:bCs/>
                <w:kern w:val="0"/>
                <w:szCs w:val="21"/>
              </w:rPr>
              <w:t xml:space="preserve">2 </w:t>
            </w:r>
            <w:r>
              <w:rPr>
                <w:kern w:val="0"/>
                <w:szCs w:val="21"/>
              </w:rPr>
              <w:t>: 32（8）</w:t>
            </w:r>
          </w:p>
        </w:tc>
        <w:tc>
          <w:tcPr>
            <w:tcW w:w="1196" w:type="dxa"/>
            <w:vAlign w:val="center"/>
          </w:tcPr>
          <w:p>
            <w:pPr>
              <w:jc w:val="center"/>
              <w:rPr>
                <w:kern w:val="0"/>
                <w:szCs w:val="21"/>
              </w:rPr>
            </w:pPr>
            <w:r>
              <w:rPr>
                <w:kern w:val="0"/>
                <w:szCs w:val="21"/>
              </w:rPr>
              <w:t>任课教师</w:t>
            </w:r>
          </w:p>
        </w:tc>
        <w:tc>
          <w:tcPr>
            <w:tcW w:w="2695" w:type="dxa"/>
            <w:vAlign w:val="center"/>
          </w:tcPr>
          <w:p>
            <w:pPr>
              <w:jc w:val="center"/>
              <w:rPr>
                <w:kern w:val="0"/>
                <w:szCs w:val="21"/>
              </w:rPr>
            </w:pPr>
            <w:r>
              <w:rPr>
                <w:kern w:val="0"/>
                <w:szCs w:val="21"/>
              </w:rPr>
              <w:t>王骥、邓锐、王峰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vAlign w:val="center"/>
          </w:tcPr>
          <w:p>
            <w:pPr>
              <w:jc w:val="center"/>
              <w:rPr>
                <w:bCs/>
                <w:kern w:val="0"/>
                <w:szCs w:val="21"/>
              </w:rPr>
            </w:pPr>
            <w:r>
              <w:rPr>
                <w:bCs/>
                <w:kern w:val="0"/>
                <w:szCs w:val="21"/>
              </w:rPr>
              <w:t>企业专家</w:t>
            </w:r>
          </w:p>
        </w:tc>
        <w:tc>
          <w:tcPr>
            <w:tcW w:w="3442" w:type="dxa"/>
            <w:vAlign w:val="center"/>
          </w:tcPr>
          <w:p>
            <w:pPr>
              <w:widowControl/>
              <w:jc w:val="center"/>
              <w:rPr>
                <w:kern w:val="0"/>
                <w:szCs w:val="21"/>
              </w:rPr>
            </w:pPr>
            <w:r>
              <w:rPr>
                <w:kern w:val="0"/>
                <w:szCs w:val="21"/>
              </w:rPr>
              <w:t>曾耿滨</w:t>
            </w:r>
          </w:p>
        </w:tc>
        <w:tc>
          <w:tcPr>
            <w:tcW w:w="1196"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vAlign w:val="center"/>
          </w:tcPr>
          <w:p>
            <w:pPr>
              <w:widowControl/>
              <w:jc w:val="center"/>
              <w:rPr>
                <w:bCs/>
                <w:kern w:val="0"/>
                <w:szCs w:val="21"/>
              </w:rPr>
            </w:pPr>
            <w:r>
              <w:rPr>
                <w:bCs/>
                <w:kern w:val="0"/>
                <w:szCs w:val="21"/>
              </w:rPr>
              <w:t>执笔教师</w:t>
            </w:r>
          </w:p>
        </w:tc>
        <w:tc>
          <w:tcPr>
            <w:tcW w:w="3442" w:type="dxa"/>
            <w:vAlign w:val="center"/>
          </w:tcPr>
          <w:p>
            <w:pPr>
              <w:widowControl/>
              <w:jc w:val="center"/>
              <w:rPr>
                <w:kern w:val="0"/>
                <w:szCs w:val="21"/>
              </w:rPr>
            </w:pPr>
            <w:r>
              <w:rPr>
                <w:kern w:val="0"/>
                <w:szCs w:val="21"/>
              </w:rPr>
              <w:t>王峰</w:t>
            </w:r>
          </w:p>
        </w:tc>
        <w:tc>
          <w:tcPr>
            <w:tcW w:w="1196"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vAlign w:val="center"/>
          </w:tcPr>
          <w:p>
            <w:pPr>
              <w:widowControl/>
              <w:jc w:val="center"/>
              <w:rPr>
                <w:bCs/>
                <w:kern w:val="0"/>
                <w:szCs w:val="21"/>
              </w:rPr>
            </w:pPr>
            <w:r>
              <w:rPr>
                <w:bCs/>
                <w:kern w:val="0"/>
                <w:szCs w:val="21"/>
              </w:rPr>
              <w:t>适用专业</w:t>
            </w:r>
          </w:p>
        </w:tc>
        <w:tc>
          <w:tcPr>
            <w:tcW w:w="3442" w:type="dxa"/>
            <w:vAlign w:val="center"/>
          </w:tcPr>
          <w:p>
            <w:pPr>
              <w:widowControl/>
              <w:jc w:val="center"/>
              <w:rPr>
                <w:kern w:val="0"/>
                <w:szCs w:val="21"/>
              </w:rPr>
            </w:pPr>
            <w:r>
              <w:rPr>
                <w:kern w:val="0"/>
                <w:szCs w:val="21"/>
              </w:rPr>
              <w:t>电子信息工程</w:t>
            </w:r>
          </w:p>
        </w:tc>
        <w:tc>
          <w:tcPr>
            <w:tcW w:w="1196"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vAlign w:val="center"/>
          </w:tcPr>
          <w:p>
            <w:pPr>
              <w:jc w:val="center"/>
              <w:rPr>
                <w:b/>
                <w:kern w:val="0"/>
                <w:szCs w:val="21"/>
              </w:rPr>
            </w:pPr>
            <w:r>
              <w:rPr>
                <w:kern w:val="0"/>
                <w:szCs w:val="21"/>
              </w:rPr>
              <w:t>先修课程</w:t>
            </w:r>
          </w:p>
        </w:tc>
        <w:tc>
          <w:tcPr>
            <w:tcW w:w="3442" w:type="dxa"/>
            <w:vAlign w:val="center"/>
          </w:tcPr>
          <w:p>
            <w:pPr>
              <w:widowControl/>
              <w:jc w:val="center"/>
              <w:rPr>
                <w:bCs/>
                <w:kern w:val="0"/>
                <w:szCs w:val="21"/>
              </w:rPr>
            </w:pPr>
            <w:r>
              <w:rPr>
                <w:bCs/>
                <w:kern w:val="0"/>
                <w:szCs w:val="21"/>
              </w:rPr>
              <w:t>高等数学、大学物理、工程数学</w:t>
            </w:r>
          </w:p>
        </w:tc>
        <w:tc>
          <w:tcPr>
            <w:tcW w:w="1196"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vAlign w:val="center"/>
          </w:tcPr>
          <w:p>
            <w:pPr>
              <w:jc w:val="center"/>
              <w:rPr>
                <w:kern w:val="0"/>
                <w:szCs w:val="21"/>
              </w:rPr>
            </w:pPr>
            <w:r>
              <w:rPr>
                <w:kern w:val="0"/>
                <w:szCs w:val="21"/>
              </w:rPr>
              <w:t>排斥课程</w:t>
            </w:r>
          </w:p>
        </w:tc>
        <w:tc>
          <w:tcPr>
            <w:tcW w:w="3442" w:type="dxa"/>
            <w:vAlign w:val="center"/>
          </w:tcPr>
          <w:p>
            <w:pPr>
              <w:widowControl/>
              <w:jc w:val="center"/>
              <w:rPr>
                <w:kern w:val="0"/>
                <w:szCs w:val="21"/>
              </w:rPr>
            </w:pPr>
            <w:r>
              <w:rPr>
                <w:kern w:val="0"/>
                <w:szCs w:val="21"/>
              </w:rPr>
              <w:t>无</w:t>
            </w:r>
          </w:p>
        </w:tc>
        <w:tc>
          <w:tcPr>
            <w:tcW w:w="1196"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 w:val="18"/>
          <w:szCs w:val="18"/>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line="300" w:lineRule="auto"/>
        <w:rPr>
          <w:b/>
          <w:sz w:val="24"/>
        </w:rPr>
      </w:pPr>
      <w:r>
        <w:rPr>
          <w:b/>
          <w:sz w:val="24"/>
        </w:rPr>
        <w:t>一、课程简介</w:t>
      </w:r>
    </w:p>
    <w:p>
      <w:pPr>
        <w:snapToGrid w:val="0"/>
        <w:spacing w:line="300" w:lineRule="auto"/>
        <w:ind w:firstLine="420" w:firstLineChars="200"/>
        <w:rPr>
          <w:szCs w:val="21"/>
        </w:rPr>
      </w:pPr>
      <w:r>
        <w:rPr>
          <w:szCs w:val="21"/>
        </w:rPr>
        <w:t>《无线传感器网络》是学科专业拓展课之一，授课对象为电子信息工程专业本科生。本课程主要内容包括无线传感网的应用特点及发展趋势、无线传感网的层次结构、Zstack协议栈的用法以及典型无线传感网应用开发实践等。其教学目的在于使学生了解无线传感网的结构与特点，结合Zigbee开发板和传感器，掌握一种无线传感器网络协议栈Zstack的使用与应用开发，提高学生的实际应用能力，为以后从事物联网应用开发等行业奠定基础。作为一门实践性较强的课程，激发和培养学生的热情和兴趣是关键，以项目体验式开发为主线，合理紧密安排理论教学和实验教学。</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无线传感器网络》以提高实际工程应用能力为目的，通过系统地学习无线传感器网络层次结构及应用开发，以及在Zigbee(CC2530平台)上的相关实践教学训练，帮助学生初步了解和掌握基于Zigbee协议的无线传感器网络开发，为进行创新性、综合性电子系统设计打下基础。在讲述过程中，介绍无线传感器网络对物联网领域产品研发的重要作用及其应用场景，阐述我国在无线传感器网络领域的领先地位与技术瓶颈，激发学生的技术学习兴趣与科技报国热情。</w:t>
      </w:r>
    </w:p>
    <w:p>
      <w:pPr>
        <w:widowControl/>
        <w:snapToGrid w:val="0"/>
        <w:spacing w:line="300" w:lineRule="auto"/>
        <w:ind w:firstLine="420" w:firstLineChars="200"/>
        <w:rPr>
          <w:kern w:val="0"/>
          <w:szCs w:val="21"/>
        </w:rPr>
      </w:pPr>
      <w:r>
        <w:rPr>
          <w:kern w:val="0"/>
          <w:szCs w:val="21"/>
        </w:rPr>
        <w:t>本课程的具体教学目标如下：</w:t>
      </w:r>
    </w:p>
    <w:p>
      <w:pPr>
        <w:widowControl/>
        <w:numPr>
          <w:ilvl w:val="0"/>
          <w:numId w:val="55"/>
        </w:numPr>
        <w:snapToGrid w:val="0"/>
        <w:spacing w:line="300" w:lineRule="auto"/>
        <w:ind w:firstLine="420" w:firstLineChars="200"/>
        <w:rPr>
          <w:kern w:val="0"/>
          <w:szCs w:val="21"/>
        </w:rPr>
      </w:pPr>
      <w:r>
        <w:rPr>
          <w:kern w:val="0"/>
          <w:szCs w:val="21"/>
        </w:rPr>
        <w:t>了解无线传感器网络的特点和体系结构，理解其应用特点，并能将无线传感网的新技术与模拟电路、嵌入式系统、计算机网络、人工智能等结合起来，在研究针对具体问题的解决方案中予以考虑，提出创新性解决方案。课程授课过程中，植入万物互联背景下创新创业的示例，激励学生积极参加双创活动，培育创新精神。[3.2]</w:t>
      </w:r>
    </w:p>
    <w:p>
      <w:pPr>
        <w:widowControl/>
        <w:numPr>
          <w:ilvl w:val="0"/>
          <w:numId w:val="55"/>
        </w:numPr>
        <w:snapToGrid w:val="0"/>
        <w:spacing w:line="300" w:lineRule="auto"/>
        <w:ind w:firstLine="420" w:firstLineChars="200"/>
        <w:rPr>
          <w:kern w:val="0"/>
          <w:sz w:val="24"/>
          <w:szCs w:val="21"/>
        </w:rPr>
      </w:pPr>
      <w:r>
        <w:rPr>
          <w:kern w:val="0"/>
          <w:szCs w:val="21"/>
        </w:rPr>
        <w:t>理解无线传感器的关键支撑技术的原理；掌握CC2530芯片为核心的硬件系统原理图；IAR集成开发环境的使用；TI公司Zstack协议栈的层次结构、应用程序开发、硬件移植。通过具体示例，展示从需求分析开始，进行总体方案设计并分析优缺点，运用软硬件模块进行系统搭建，最终解决实际问题的全过程。[4.1]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6071"/>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266" w:type="dxa"/>
            <w:vAlign w:val="center"/>
          </w:tcPr>
          <w:p>
            <w:pPr>
              <w:snapToGrid w:val="0"/>
              <w:spacing w:line="300" w:lineRule="auto"/>
              <w:jc w:val="center"/>
              <w:rPr>
                <w:b/>
                <w:bCs/>
                <w:sz w:val="18"/>
                <w:szCs w:val="18"/>
              </w:rPr>
            </w:pPr>
            <w:r>
              <w:rPr>
                <w:b/>
                <w:bCs/>
                <w:sz w:val="18"/>
                <w:szCs w:val="18"/>
              </w:rPr>
              <w:t>毕业要求</w:t>
            </w:r>
          </w:p>
        </w:tc>
        <w:tc>
          <w:tcPr>
            <w:tcW w:w="6071"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center"/>
              <w:rPr>
                <w:b/>
                <w:bCs/>
                <w:sz w:val="18"/>
                <w:szCs w:val="18"/>
              </w:rPr>
            </w:pPr>
            <w:r>
              <w:rPr>
                <w:b/>
                <w:bCs/>
                <w:sz w:val="18"/>
                <w:szCs w:val="18"/>
              </w:rPr>
              <w:t>课程目标</w:t>
            </w:r>
          </w:p>
        </w:tc>
        <w:tc>
          <w:tcPr>
            <w:tcW w:w="655" w:type="dxa"/>
            <w:vAlign w:val="center"/>
          </w:tcPr>
          <w:p>
            <w:pPr>
              <w:snapToGrid w:val="0"/>
              <w:spacing w:line="300" w:lineRule="auto"/>
              <w:jc w:val="center"/>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 w:hRule="atLeast"/>
          <w:jc w:val="center"/>
        </w:trPr>
        <w:tc>
          <w:tcPr>
            <w:tcW w:w="1266" w:type="dxa"/>
            <w:vAlign w:val="center"/>
          </w:tcPr>
          <w:p>
            <w:pPr>
              <w:snapToGrid w:val="0"/>
              <w:spacing w:line="300" w:lineRule="auto"/>
              <w:rPr>
                <w:sz w:val="18"/>
                <w:szCs w:val="18"/>
              </w:rPr>
            </w:pPr>
            <w:r>
              <w:rPr>
                <w:sz w:val="18"/>
                <w:szCs w:val="18"/>
              </w:rPr>
              <w:t>3．设计/开发解决方案</w:t>
            </w:r>
          </w:p>
        </w:tc>
        <w:tc>
          <w:tcPr>
            <w:tcW w:w="6071" w:type="dxa"/>
            <w:vAlign w:val="center"/>
          </w:tcPr>
          <w:p>
            <w:pPr>
              <w:snapToGrid w:val="0"/>
              <w:spacing w:line="300" w:lineRule="auto"/>
              <w:rPr>
                <w:sz w:val="18"/>
                <w:szCs w:val="18"/>
              </w:rPr>
            </w:pPr>
            <w:r>
              <w:rPr>
                <w:sz w:val="18"/>
                <w:szCs w:val="18"/>
              </w:rPr>
              <w:t>3.2</w:t>
            </w:r>
            <w:r>
              <w:rPr>
                <w:rFonts w:hint="eastAsia"/>
                <w:sz w:val="18"/>
                <w:szCs w:val="18"/>
              </w:rPr>
              <w:t>能够</w:t>
            </w:r>
            <w:r>
              <w:rPr>
                <w:sz w:val="18"/>
                <w:szCs w:val="18"/>
              </w:rPr>
              <w:t>在设计中综合利用电子信息工程的专业知识和新技术，体现创新意识。</w:t>
            </w:r>
          </w:p>
        </w:tc>
        <w:tc>
          <w:tcPr>
            <w:tcW w:w="689" w:type="dxa"/>
            <w:vAlign w:val="center"/>
          </w:tcPr>
          <w:p>
            <w:pPr>
              <w:snapToGrid w:val="0"/>
              <w:spacing w:line="300" w:lineRule="auto"/>
              <w:jc w:val="center"/>
              <w:rPr>
                <w:sz w:val="18"/>
                <w:szCs w:val="18"/>
              </w:rPr>
            </w:pPr>
            <w:r>
              <w:rPr>
                <w:sz w:val="18"/>
                <w:szCs w:val="18"/>
              </w:rPr>
              <w:t>1</w:t>
            </w:r>
          </w:p>
        </w:tc>
        <w:tc>
          <w:tcPr>
            <w:tcW w:w="655" w:type="dxa"/>
            <w:vAlign w:val="center"/>
          </w:tcPr>
          <w:p>
            <w:pPr>
              <w:snapToGrid w:val="0"/>
              <w:spacing w:line="300" w:lineRule="auto"/>
              <w:jc w:val="center"/>
              <w:rPr>
                <w:sz w:val="18"/>
                <w:szCs w:val="18"/>
              </w:rPr>
            </w:pPr>
            <w:r>
              <w:rPr>
                <w:sz w:val="18"/>
                <w:szCs w:val="18"/>
              </w:rPr>
              <w:t>0</w:t>
            </w:r>
            <w:r>
              <w:rPr>
                <w:rFonts w:hint="eastAsia"/>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66" w:type="dxa"/>
            <w:vAlign w:val="center"/>
          </w:tcPr>
          <w:p>
            <w:pPr>
              <w:snapToGrid w:val="0"/>
              <w:spacing w:line="300" w:lineRule="auto"/>
              <w:rPr>
                <w:sz w:val="18"/>
                <w:szCs w:val="18"/>
              </w:rPr>
            </w:pPr>
            <w:r>
              <w:rPr>
                <w:sz w:val="18"/>
                <w:szCs w:val="18"/>
              </w:rPr>
              <w:t>4．研究</w:t>
            </w:r>
          </w:p>
        </w:tc>
        <w:tc>
          <w:tcPr>
            <w:tcW w:w="6071" w:type="dxa"/>
            <w:vAlign w:val="center"/>
          </w:tcPr>
          <w:p>
            <w:pPr>
              <w:snapToGrid w:val="0"/>
              <w:spacing w:line="300" w:lineRule="auto"/>
              <w:rPr>
                <w:sz w:val="18"/>
                <w:szCs w:val="18"/>
              </w:rPr>
            </w:pPr>
            <w:r>
              <w:rPr>
                <w:sz w:val="18"/>
                <w:szCs w:val="18"/>
              </w:rPr>
              <w:t>4</w:t>
            </w:r>
            <w:r>
              <w:rPr>
                <w:rFonts w:hint="eastAsia"/>
                <w:sz w:val="18"/>
                <w:szCs w:val="18"/>
              </w:rPr>
              <w:t>.</w:t>
            </w:r>
            <w:r>
              <w:rPr>
                <w:sz w:val="18"/>
                <w:szCs w:val="18"/>
              </w:rPr>
              <w:t>1具备基于电子信息科学原理并采用科学方法对复杂工程问题的技术路线，实验方案、软/硬件模块和存在的问题进行研究的能力。</w:t>
            </w:r>
          </w:p>
        </w:tc>
        <w:tc>
          <w:tcPr>
            <w:tcW w:w="689" w:type="dxa"/>
            <w:vAlign w:val="center"/>
          </w:tcPr>
          <w:p>
            <w:pPr>
              <w:snapToGrid w:val="0"/>
              <w:spacing w:line="300" w:lineRule="auto"/>
              <w:jc w:val="center"/>
              <w:rPr>
                <w:sz w:val="18"/>
                <w:szCs w:val="18"/>
              </w:rPr>
            </w:pPr>
            <w:r>
              <w:rPr>
                <w:sz w:val="18"/>
                <w:szCs w:val="18"/>
              </w:rPr>
              <w:t>2</w:t>
            </w:r>
          </w:p>
        </w:tc>
        <w:tc>
          <w:tcPr>
            <w:tcW w:w="655" w:type="dxa"/>
            <w:vAlign w:val="center"/>
          </w:tcPr>
          <w:p>
            <w:pPr>
              <w:snapToGrid w:val="0"/>
              <w:spacing w:line="300" w:lineRule="auto"/>
              <w:jc w:val="center"/>
              <w:rPr>
                <w:sz w:val="18"/>
                <w:szCs w:val="18"/>
              </w:rPr>
            </w:pPr>
            <w:r>
              <w:rPr>
                <w:sz w:val="18"/>
                <w:szCs w:val="18"/>
              </w:rPr>
              <w:t>0.4</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1、</w:t>
            </w:r>
            <w:r>
              <w:rPr>
                <w:kern w:val="0"/>
                <w:sz w:val="18"/>
                <w:szCs w:val="18"/>
              </w:rPr>
              <w:t>了解无线传感器网络的特点和体系结构，理解其应用特点，并能将无线传感网的新技术与模拟电路、嵌入式系统、计算机网络、人工智能等结合起来，在研究针对具体问题的解决方案中予以考虑，提出创新性解决方案。课程授课过程中，植入万物互联背景下创新创业的示例，激励学生积极参加双创活动，培育创新精神。</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讲授、综合实验、项目实施报告、考试等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课堂表现、实验、方案报告、考试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rFonts w:hint="eastAsia"/>
                <w:kern w:val="0"/>
                <w:sz w:val="18"/>
                <w:szCs w:val="18"/>
              </w:rPr>
              <w:t>2、</w:t>
            </w:r>
            <w:r>
              <w:rPr>
                <w:kern w:val="0"/>
                <w:sz w:val="18"/>
                <w:szCs w:val="18"/>
              </w:rPr>
              <w:t>理解无线传感器的关键支撑技术的原理；掌握CC2530芯片为核心的硬件系统原理图；IAR集成开发环境的使用；TI公司Zstack协议栈的层次结构、应用程序开发、硬件移植。通过具体示例，展示从需求分析开始，进行总体方案设计并分析优缺点，运用软硬件模块进行系统搭建，最终解决实际问题的全过程。</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讲授、综合实验、项目实施报告、考试等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课堂表现、实验</w:t>
            </w:r>
            <w:r>
              <w:rPr>
                <w:rFonts w:hint="eastAsia"/>
                <w:sz w:val="18"/>
                <w:szCs w:val="18"/>
                <w:shd w:val="clear" w:color="auto" w:fill="FEFEFF"/>
              </w:rPr>
              <w:t>、</w:t>
            </w:r>
            <w:r>
              <w:rPr>
                <w:sz w:val="18"/>
                <w:szCs w:val="18"/>
                <w:shd w:val="clear" w:color="auto" w:fill="FEFEFF"/>
              </w:rPr>
              <w:t>方案报告、考试</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课堂讲授为主，辅以实验和项目研发，搜集《无线传感器网络》相关内容在实际工程中的案例，案例由浅入深，结合课程中的相应知识点进行分析，培养学生对复杂工程问题的应用能力。案例见教学内容部分。</w:t>
      </w:r>
    </w:p>
    <w:p>
      <w:pPr>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3"/>
        <w:gridCol w:w="1795"/>
        <w:gridCol w:w="4894"/>
        <w:gridCol w:w="594"/>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7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795" w:type="dxa"/>
            <w:vAlign w:val="center"/>
          </w:tcPr>
          <w:p>
            <w:pPr>
              <w:snapToGrid w:val="0"/>
              <w:spacing w:line="300" w:lineRule="auto"/>
              <w:ind w:firstLine="361" w:firstLineChars="200"/>
              <w:rPr>
                <w:b/>
                <w:bCs/>
                <w:sz w:val="18"/>
                <w:szCs w:val="18"/>
              </w:rPr>
            </w:pPr>
            <w:r>
              <w:rPr>
                <w:b/>
                <w:bCs/>
                <w:sz w:val="18"/>
                <w:szCs w:val="18"/>
              </w:rPr>
              <w:t>教学内容</w:t>
            </w:r>
          </w:p>
        </w:tc>
        <w:tc>
          <w:tcPr>
            <w:tcW w:w="4894"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594" w:type="dxa"/>
            <w:vAlign w:val="center"/>
          </w:tcPr>
          <w:p>
            <w:pPr>
              <w:snapToGrid w:val="0"/>
              <w:spacing w:line="300" w:lineRule="auto"/>
              <w:jc w:val="center"/>
              <w:rPr>
                <w:b/>
                <w:bCs/>
                <w:sz w:val="18"/>
                <w:szCs w:val="18"/>
              </w:rPr>
            </w:pPr>
            <w:r>
              <w:rPr>
                <w:b/>
                <w:bCs/>
                <w:sz w:val="18"/>
                <w:szCs w:val="18"/>
              </w:rPr>
              <w:t>学时</w:t>
            </w:r>
          </w:p>
        </w:tc>
        <w:tc>
          <w:tcPr>
            <w:tcW w:w="825"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tcMar>
              <w:left w:w="57" w:type="dxa"/>
              <w:right w:w="57" w:type="dxa"/>
            </w:tcMar>
            <w:vAlign w:val="center"/>
          </w:tcPr>
          <w:p>
            <w:pPr>
              <w:widowControl/>
              <w:jc w:val="center"/>
              <w:rPr>
                <w:sz w:val="18"/>
                <w:szCs w:val="18"/>
              </w:rPr>
            </w:pPr>
            <w:r>
              <w:rPr>
                <w:kern w:val="0"/>
                <w:sz w:val="18"/>
                <w:szCs w:val="18"/>
              </w:rPr>
              <w:t>1</w:t>
            </w:r>
          </w:p>
        </w:tc>
        <w:tc>
          <w:tcPr>
            <w:tcW w:w="1795" w:type="dxa"/>
            <w:vAlign w:val="center"/>
          </w:tcPr>
          <w:p>
            <w:pPr>
              <w:snapToGrid w:val="0"/>
              <w:spacing w:line="300" w:lineRule="auto"/>
              <w:rPr>
                <w:sz w:val="18"/>
                <w:szCs w:val="18"/>
              </w:rPr>
            </w:pPr>
            <w:r>
              <w:rPr>
                <w:sz w:val="18"/>
                <w:szCs w:val="18"/>
              </w:rPr>
              <w:t>第1章绪论</w:t>
            </w:r>
          </w:p>
          <w:p>
            <w:pPr>
              <w:snapToGrid w:val="0"/>
              <w:spacing w:line="300" w:lineRule="auto"/>
              <w:rPr>
                <w:sz w:val="18"/>
                <w:szCs w:val="18"/>
              </w:rPr>
            </w:pPr>
            <w:r>
              <w:rPr>
                <w:sz w:val="18"/>
                <w:szCs w:val="18"/>
              </w:rPr>
              <w:t>1.1 WSN的基本概念</w:t>
            </w:r>
          </w:p>
          <w:p>
            <w:pPr>
              <w:snapToGrid w:val="0"/>
              <w:spacing w:line="300" w:lineRule="auto"/>
              <w:rPr>
                <w:sz w:val="18"/>
                <w:szCs w:val="18"/>
              </w:rPr>
            </w:pPr>
            <w:r>
              <w:rPr>
                <w:sz w:val="18"/>
                <w:szCs w:val="18"/>
              </w:rPr>
              <w:t>1.2 WSN的特点</w:t>
            </w:r>
          </w:p>
          <w:p>
            <w:pPr>
              <w:snapToGrid w:val="0"/>
              <w:spacing w:line="300" w:lineRule="auto"/>
              <w:rPr>
                <w:sz w:val="18"/>
                <w:szCs w:val="18"/>
              </w:rPr>
            </w:pPr>
            <w:r>
              <w:rPr>
                <w:sz w:val="18"/>
                <w:szCs w:val="18"/>
              </w:rPr>
              <w:t>1.3 WSN的关键性能指标</w:t>
            </w:r>
          </w:p>
          <w:p>
            <w:pPr>
              <w:snapToGrid w:val="0"/>
              <w:spacing w:line="300" w:lineRule="auto"/>
              <w:rPr>
                <w:sz w:val="18"/>
                <w:szCs w:val="18"/>
              </w:rPr>
            </w:pPr>
            <w:r>
              <w:rPr>
                <w:sz w:val="18"/>
                <w:szCs w:val="18"/>
              </w:rPr>
              <w:t>1.4传感器的类型</w:t>
            </w:r>
          </w:p>
          <w:p>
            <w:pPr>
              <w:snapToGrid w:val="0"/>
              <w:spacing w:line="300" w:lineRule="auto"/>
              <w:rPr>
                <w:sz w:val="18"/>
                <w:szCs w:val="18"/>
              </w:rPr>
            </w:pPr>
            <w:r>
              <w:rPr>
                <w:sz w:val="18"/>
                <w:szCs w:val="18"/>
              </w:rPr>
              <w:t>1.5 WSN的应用</w:t>
            </w:r>
          </w:p>
          <w:p>
            <w:pPr>
              <w:snapToGrid w:val="0"/>
              <w:spacing w:line="300" w:lineRule="auto"/>
              <w:rPr>
                <w:sz w:val="18"/>
                <w:szCs w:val="18"/>
              </w:rPr>
            </w:pPr>
            <w:r>
              <w:rPr>
                <w:sz w:val="18"/>
                <w:szCs w:val="18"/>
              </w:rPr>
              <w:t>1.6 WSN的研究历史</w:t>
            </w:r>
          </w:p>
          <w:p>
            <w:pPr>
              <w:snapToGrid w:val="0"/>
              <w:spacing w:line="300" w:lineRule="auto"/>
              <w:rPr>
                <w:sz w:val="18"/>
                <w:szCs w:val="18"/>
              </w:rPr>
            </w:pPr>
            <w:r>
              <w:rPr>
                <w:sz w:val="18"/>
                <w:szCs w:val="18"/>
              </w:rPr>
              <w:t>1.7</w:t>
            </w:r>
            <w:r>
              <w:rPr>
                <w:b/>
                <w:bCs/>
                <w:sz w:val="18"/>
                <w:szCs w:val="18"/>
              </w:rPr>
              <w:t>介绍无线传感器网络对物联网领域产品研发的重要作用及其应用场景，阐述我国在无线传感器网络领域的领先地位与技术瓶颈</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了解WSN的基本概念；</w:t>
            </w:r>
          </w:p>
          <w:p>
            <w:pPr>
              <w:snapToGrid w:val="0"/>
              <w:spacing w:line="300" w:lineRule="auto"/>
              <w:rPr>
                <w:sz w:val="18"/>
                <w:szCs w:val="18"/>
              </w:rPr>
            </w:pPr>
            <w:r>
              <w:rPr>
                <w:sz w:val="18"/>
                <w:szCs w:val="18"/>
                <w:shd w:val="clear" w:color="auto" w:fill="FEFEFF"/>
              </w:rPr>
              <w:t>（2）</w:t>
            </w:r>
            <w:r>
              <w:rPr>
                <w:sz w:val="18"/>
                <w:szCs w:val="18"/>
              </w:rPr>
              <w:t>理解无线传感网的特点以及与其他无线网的异同；</w:t>
            </w:r>
          </w:p>
          <w:p>
            <w:pPr>
              <w:snapToGrid w:val="0"/>
              <w:spacing w:line="300" w:lineRule="auto"/>
              <w:rPr>
                <w:sz w:val="18"/>
                <w:szCs w:val="18"/>
              </w:rPr>
            </w:pPr>
            <w:r>
              <w:rPr>
                <w:sz w:val="18"/>
                <w:szCs w:val="18"/>
                <w:shd w:val="clear" w:color="auto" w:fill="FEFEFF"/>
              </w:rPr>
              <w:t>（3）</w:t>
            </w:r>
            <w:r>
              <w:rPr>
                <w:sz w:val="18"/>
                <w:szCs w:val="18"/>
              </w:rPr>
              <w:t>掌握无线传感网的关键性能指标；</w:t>
            </w:r>
          </w:p>
          <w:p>
            <w:pPr>
              <w:snapToGrid w:val="0"/>
              <w:spacing w:line="300" w:lineRule="auto"/>
              <w:rPr>
                <w:sz w:val="18"/>
                <w:szCs w:val="18"/>
              </w:rPr>
            </w:pPr>
            <w:r>
              <w:rPr>
                <w:sz w:val="18"/>
                <w:szCs w:val="18"/>
                <w:shd w:val="clear" w:color="auto" w:fill="FEFEFF"/>
              </w:rPr>
              <w:t>（4）</w:t>
            </w:r>
            <w:r>
              <w:rPr>
                <w:sz w:val="18"/>
                <w:szCs w:val="18"/>
              </w:rPr>
              <w:t>了解WSN的应用和发展路径；</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阅读资料，分析一下智能家居中无线传感网是如何使用的？</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WSN和常见的无线Wifi、无线数据网络的区别。</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网上查阅资料，了解WSN在农业和海洋中的应用案例。</w:t>
            </w:r>
          </w:p>
        </w:tc>
        <w:tc>
          <w:tcPr>
            <w:tcW w:w="594" w:type="dxa"/>
            <w:vAlign w:val="center"/>
          </w:tcPr>
          <w:p>
            <w:pPr>
              <w:widowControl/>
              <w:jc w:val="center"/>
              <w:rPr>
                <w:sz w:val="18"/>
                <w:szCs w:val="18"/>
              </w:rPr>
            </w:pPr>
            <w:r>
              <w:rPr>
                <w:kern w:val="0"/>
                <w:sz w:val="18"/>
                <w:szCs w:val="18"/>
              </w:rPr>
              <w:t>2</w:t>
            </w:r>
          </w:p>
        </w:tc>
        <w:tc>
          <w:tcPr>
            <w:tcW w:w="825" w:type="dxa"/>
            <w:vAlign w:val="center"/>
          </w:tcPr>
          <w:p>
            <w:pPr>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73" w:type="dxa"/>
            <w:tcMar>
              <w:left w:w="57" w:type="dxa"/>
              <w:right w:w="57" w:type="dxa"/>
            </w:tcMar>
            <w:vAlign w:val="center"/>
          </w:tcPr>
          <w:p>
            <w:pPr>
              <w:widowControl/>
              <w:jc w:val="center"/>
              <w:rPr>
                <w:sz w:val="18"/>
                <w:szCs w:val="18"/>
              </w:rPr>
            </w:pPr>
            <w:r>
              <w:rPr>
                <w:kern w:val="0"/>
                <w:sz w:val="18"/>
                <w:szCs w:val="18"/>
              </w:rPr>
              <w:t>2</w:t>
            </w:r>
          </w:p>
        </w:tc>
        <w:tc>
          <w:tcPr>
            <w:tcW w:w="1795" w:type="dxa"/>
            <w:vAlign w:val="center"/>
          </w:tcPr>
          <w:p>
            <w:pPr>
              <w:snapToGrid w:val="0"/>
              <w:spacing w:line="300" w:lineRule="auto"/>
              <w:rPr>
                <w:sz w:val="18"/>
                <w:szCs w:val="18"/>
              </w:rPr>
            </w:pPr>
            <w:r>
              <w:rPr>
                <w:sz w:val="18"/>
                <w:szCs w:val="18"/>
              </w:rPr>
              <w:t>第2章 无线传感网的网络结构</w:t>
            </w:r>
          </w:p>
          <w:p>
            <w:pPr>
              <w:snapToGrid w:val="0"/>
              <w:spacing w:line="300" w:lineRule="auto"/>
              <w:rPr>
                <w:sz w:val="18"/>
                <w:szCs w:val="18"/>
              </w:rPr>
            </w:pPr>
            <w:r>
              <w:rPr>
                <w:sz w:val="18"/>
                <w:szCs w:val="18"/>
              </w:rPr>
              <w:t>2.1 概述</w:t>
            </w:r>
          </w:p>
          <w:p>
            <w:pPr>
              <w:snapToGrid w:val="0"/>
              <w:spacing w:line="300" w:lineRule="auto"/>
              <w:rPr>
                <w:sz w:val="18"/>
                <w:szCs w:val="18"/>
              </w:rPr>
            </w:pPr>
            <w:r>
              <w:rPr>
                <w:sz w:val="18"/>
                <w:szCs w:val="18"/>
              </w:rPr>
              <w:t>2.2 Zigbee网络结构</w:t>
            </w:r>
          </w:p>
          <w:p>
            <w:pPr>
              <w:snapToGrid w:val="0"/>
              <w:spacing w:line="300" w:lineRule="auto"/>
              <w:rPr>
                <w:sz w:val="18"/>
                <w:szCs w:val="18"/>
              </w:rPr>
            </w:pPr>
            <w:r>
              <w:rPr>
                <w:sz w:val="18"/>
                <w:szCs w:val="18"/>
              </w:rPr>
              <w:t>2.3 IEEE802.15.4通信层</w:t>
            </w:r>
          </w:p>
          <w:p>
            <w:pPr>
              <w:snapToGrid w:val="0"/>
              <w:spacing w:line="300" w:lineRule="auto"/>
              <w:rPr>
                <w:sz w:val="18"/>
                <w:szCs w:val="18"/>
              </w:rPr>
            </w:pPr>
            <w:r>
              <w:rPr>
                <w:sz w:val="18"/>
                <w:szCs w:val="18"/>
              </w:rPr>
              <w:t>2.4 Zigbee网络层</w:t>
            </w:r>
          </w:p>
          <w:p>
            <w:pPr>
              <w:snapToGrid w:val="0"/>
              <w:spacing w:line="300" w:lineRule="auto"/>
              <w:rPr>
                <w:sz w:val="18"/>
                <w:szCs w:val="18"/>
              </w:rPr>
            </w:pPr>
            <w:r>
              <w:rPr>
                <w:sz w:val="18"/>
                <w:szCs w:val="18"/>
              </w:rPr>
              <w:t>2.5 Zigbee应用层</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了解网络分层概念；</w:t>
            </w:r>
          </w:p>
          <w:p>
            <w:pPr>
              <w:snapToGrid w:val="0"/>
              <w:spacing w:line="300" w:lineRule="auto"/>
              <w:rPr>
                <w:sz w:val="18"/>
                <w:szCs w:val="18"/>
              </w:rPr>
            </w:pPr>
            <w:r>
              <w:rPr>
                <w:sz w:val="18"/>
                <w:szCs w:val="18"/>
                <w:shd w:val="clear" w:color="auto" w:fill="FEFEFF"/>
              </w:rPr>
              <w:t>（2）</w:t>
            </w:r>
            <w:r>
              <w:rPr>
                <w:sz w:val="18"/>
                <w:szCs w:val="18"/>
              </w:rPr>
              <w:t>理解无线传感网的层次与ISO七层网络模型的异同；</w:t>
            </w:r>
          </w:p>
          <w:p>
            <w:pPr>
              <w:snapToGrid w:val="0"/>
              <w:spacing w:line="300" w:lineRule="auto"/>
              <w:rPr>
                <w:sz w:val="18"/>
                <w:szCs w:val="18"/>
              </w:rPr>
            </w:pPr>
            <w:r>
              <w:rPr>
                <w:sz w:val="18"/>
                <w:szCs w:val="18"/>
                <w:shd w:val="clear" w:color="auto" w:fill="FEFEFF"/>
              </w:rPr>
              <w:t>（3）</w:t>
            </w:r>
            <w:r>
              <w:rPr>
                <w:sz w:val="18"/>
                <w:szCs w:val="18"/>
              </w:rPr>
              <w:t>掌握无线传感网；</w:t>
            </w:r>
          </w:p>
          <w:p>
            <w:pPr>
              <w:snapToGrid w:val="0"/>
              <w:spacing w:line="300" w:lineRule="auto"/>
              <w:rPr>
                <w:sz w:val="18"/>
                <w:szCs w:val="18"/>
              </w:rPr>
            </w:pPr>
            <w:r>
              <w:rPr>
                <w:sz w:val="18"/>
                <w:szCs w:val="18"/>
                <w:shd w:val="clear" w:color="auto" w:fill="FEFEFF"/>
              </w:rPr>
              <w:t>（4）</w:t>
            </w:r>
            <w:r>
              <w:rPr>
                <w:sz w:val="18"/>
                <w:szCs w:val="18"/>
              </w:rPr>
              <w:t>了解WSN的应用和发展路径；</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阅读资料，分析一下智能家居中无线传感网是如何使用的？</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WSN和常见的无线Wifi、无线数据网络的区别。</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网上查阅资料，了解WSN与无线Wifi网络的异同以及层次结构。</w:t>
            </w:r>
          </w:p>
        </w:tc>
        <w:tc>
          <w:tcPr>
            <w:tcW w:w="594" w:type="dxa"/>
            <w:vAlign w:val="center"/>
          </w:tcPr>
          <w:p>
            <w:pPr>
              <w:widowControl/>
              <w:jc w:val="center"/>
              <w:rPr>
                <w:sz w:val="18"/>
                <w:szCs w:val="18"/>
              </w:rPr>
            </w:pPr>
            <w:r>
              <w:rPr>
                <w:kern w:val="0"/>
                <w:sz w:val="18"/>
                <w:szCs w:val="18"/>
              </w:rPr>
              <w:t>2</w:t>
            </w:r>
          </w:p>
        </w:tc>
        <w:tc>
          <w:tcPr>
            <w:tcW w:w="825" w:type="dxa"/>
            <w:vAlign w:val="center"/>
          </w:tcPr>
          <w:p>
            <w:pPr>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73" w:type="dxa"/>
            <w:tcMar>
              <w:left w:w="57" w:type="dxa"/>
              <w:right w:w="57" w:type="dxa"/>
            </w:tcMar>
            <w:vAlign w:val="center"/>
          </w:tcPr>
          <w:p>
            <w:pPr>
              <w:widowControl/>
              <w:jc w:val="center"/>
              <w:rPr>
                <w:sz w:val="18"/>
                <w:szCs w:val="18"/>
              </w:rPr>
            </w:pPr>
            <w:r>
              <w:rPr>
                <w:kern w:val="0"/>
                <w:sz w:val="18"/>
                <w:szCs w:val="18"/>
              </w:rPr>
              <w:t>3</w:t>
            </w:r>
          </w:p>
        </w:tc>
        <w:tc>
          <w:tcPr>
            <w:tcW w:w="1795" w:type="dxa"/>
            <w:vAlign w:val="center"/>
          </w:tcPr>
          <w:p>
            <w:pPr>
              <w:snapToGrid w:val="0"/>
              <w:spacing w:line="300" w:lineRule="auto"/>
              <w:rPr>
                <w:sz w:val="18"/>
                <w:szCs w:val="18"/>
              </w:rPr>
            </w:pPr>
            <w:r>
              <w:rPr>
                <w:sz w:val="18"/>
                <w:szCs w:val="18"/>
              </w:rPr>
              <w:t>第3章无线传感网关键技术</w:t>
            </w:r>
          </w:p>
          <w:p>
            <w:pPr>
              <w:snapToGrid w:val="0"/>
              <w:spacing w:line="300" w:lineRule="auto"/>
              <w:rPr>
                <w:sz w:val="18"/>
                <w:szCs w:val="18"/>
              </w:rPr>
            </w:pPr>
            <w:r>
              <w:rPr>
                <w:sz w:val="18"/>
                <w:szCs w:val="18"/>
              </w:rPr>
              <w:t>3.1　无线传感网时间同步技术</w:t>
            </w:r>
          </w:p>
          <w:p>
            <w:pPr>
              <w:snapToGrid w:val="0"/>
              <w:spacing w:line="300" w:lineRule="auto"/>
              <w:rPr>
                <w:sz w:val="18"/>
                <w:szCs w:val="18"/>
              </w:rPr>
            </w:pPr>
            <w:r>
              <w:rPr>
                <w:sz w:val="18"/>
                <w:szCs w:val="18"/>
              </w:rPr>
              <w:t>3.2　无线传感网网络定位技术</w:t>
            </w:r>
          </w:p>
          <w:p>
            <w:pPr>
              <w:snapToGrid w:val="0"/>
              <w:spacing w:line="300" w:lineRule="auto"/>
              <w:rPr>
                <w:sz w:val="18"/>
                <w:szCs w:val="18"/>
              </w:rPr>
            </w:pPr>
            <w:r>
              <w:rPr>
                <w:sz w:val="18"/>
                <w:szCs w:val="18"/>
              </w:rPr>
              <w:t>3.3　无线传感网多传感器数据融合技术</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理解时间同步的基本概念、同步信息传输延时分析、同步算法；</w:t>
            </w:r>
          </w:p>
          <w:p>
            <w:pPr>
              <w:snapToGrid w:val="0"/>
              <w:spacing w:line="300" w:lineRule="auto"/>
              <w:rPr>
                <w:sz w:val="18"/>
                <w:szCs w:val="18"/>
              </w:rPr>
            </w:pPr>
            <w:r>
              <w:rPr>
                <w:sz w:val="18"/>
                <w:szCs w:val="18"/>
                <w:shd w:val="clear" w:color="auto" w:fill="FEFEFF"/>
              </w:rPr>
              <w:t>（2）</w:t>
            </w:r>
            <w:r>
              <w:rPr>
                <w:sz w:val="18"/>
                <w:szCs w:val="18"/>
              </w:rPr>
              <w:t>了解定位算法（基于信号强度、到达时间、时间差、到达角度）的原理，定位技术的应用；</w:t>
            </w:r>
          </w:p>
          <w:p>
            <w:pPr>
              <w:snapToGrid w:val="0"/>
              <w:spacing w:line="300" w:lineRule="auto"/>
              <w:rPr>
                <w:sz w:val="18"/>
                <w:szCs w:val="18"/>
              </w:rPr>
            </w:pPr>
            <w:r>
              <w:rPr>
                <w:sz w:val="18"/>
                <w:szCs w:val="18"/>
                <w:shd w:val="clear" w:color="auto" w:fill="FEFEFF"/>
              </w:rPr>
              <w:t>（3）</w:t>
            </w:r>
            <w:r>
              <w:rPr>
                <w:sz w:val="18"/>
                <w:szCs w:val="18"/>
              </w:rPr>
              <w:t>了解多传感器数据融合的意义和分类、数据融合的主要方法；掌握综合平均法、贝叶斯估计法。</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室内三维定位用途广泛，设计分以利用无线传感器网络进行室内三维定位系统的原理。</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数据融合和独立传感器数据的不同的优势。</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网上查阅资料，设计基于时间同步技术的无线传感器网络在室内三维定位中的解决方案。</w:t>
            </w:r>
          </w:p>
        </w:tc>
        <w:tc>
          <w:tcPr>
            <w:tcW w:w="594" w:type="dxa"/>
            <w:vAlign w:val="center"/>
          </w:tcPr>
          <w:p>
            <w:pPr>
              <w:widowControl/>
              <w:jc w:val="center"/>
              <w:rPr>
                <w:sz w:val="18"/>
                <w:szCs w:val="18"/>
              </w:rPr>
            </w:pPr>
            <w:r>
              <w:rPr>
                <w:kern w:val="0"/>
                <w:sz w:val="18"/>
                <w:szCs w:val="18"/>
              </w:rPr>
              <w:t>2</w:t>
            </w:r>
          </w:p>
        </w:tc>
        <w:tc>
          <w:tcPr>
            <w:tcW w:w="825" w:type="dxa"/>
            <w:vAlign w:val="center"/>
          </w:tcPr>
          <w:p>
            <w:pPr>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73" w:type="dxa"/>
            <w:tcMar>
              <w:left w:w="57" w:type="dxa"/>
              <w:right w:w="57" w:type="dxa"/>
            </w:tcMar>
            <w:vAlign w:val="center"/>
          </w:tcPr>
          <w:p>
            <w:pPr>
              <w:widowControl/>
              <w:jc w:val="center"/>
              <w:rPr>
                <w:sz w:val="18"/>
                <w:szCs w:val="18"/>
              </w:rPr>
            </w:pPr>
            <w:r>
              <w:rPr>
                <w:kern w:val="0"/>
                <w:sz w:val="18"/>
                <w:szCs w:val="18"/>
              </w:rPr>
              <w:t>4</w:t>
            </w:r>
          </w:p>
        </w:tc>
        <w:tc>
          <w:tcPr>
            <w:tcW w:w="1795" w:type="dxa"/>
            <w:vAlign w:val="center"/>
          </w:tcPr>
          <w:p>
            <w:pPr>
              <w:snapToGrid w:val="0"/>
              <w:spacing w:line="300" w:lineRule="auto"/>
              <w:rPr>
                <w:sz w:val="18"/>
                <w:szCs w:val="18"/>
              </w:rPr>
            </w:pPr>
            <w:r>
              <w:rPr>
                <w:sz w:val="18"/>
                <w:szCs w:val="18"/>
              </w:rPr>
              <w:t>第4章 CC2530基础开发</w:t>
            </w:r>
          </w:p>
          <w:p>
            <w:pPr>
              <w:snapToGrid w:val="0"/>
              <w:spacing w:line="300" w:lineRule="auto"/>
              <w:rPr>
                <w:sz w:val="18"/>
                <w:szCs w:val="18"/>
              </w:rPr>
            </w:pPr>
            <w:r>
              <w:rPr>
                <w:sz w:val="18"/>
                <w:szCs w:val="18"/>
              </w:rPr>
              <w:t>4.1 概述</w:t>
            </w:r>
          </w:p>
          <w:p>
            <w:pPr>
              <w:snapToGrid w:val="0"/>
              <w:spacing w:line="300" w:lineRule="auto"/>
              <w:rPr>
                <w:sz w:val="18"/>
                <w:szCs w:val="18"/>
              </w:rPr>
            </w:pPr>
            <w:r>
              <w:rPr>
                <w:sz w:val="18"/>
                <w:szCs w:val="18"/>
              </w:rPr>
              <w:t>4.2 CC2530的结构框架</w:t>
            </w:r>
          </w:p>
          <w:p>
            <w:pPr>
              <w:snapToGrid w:val="0"/>
              <w:spacing w:line="300" w:lineRule="auto"/>
              <w:rPr>
                <w:sz w:val="18"/>
                <w:szCs w:val="18"/>
              </w:rPr>
            </w:pPr>
            <w:r>
              <w:rPr>
                <w:sz w:val="18"/>
                <w:szCs w:val="18"/>
              </w:rPr>
              <w:t>4.3 CC2530编程基础</w:t>
            </w:r>
          </w:p>
          <w:p>
            <w:pPr>
              <w:snapToGrid w:val="0"/>
              <w:spacing w:line="300" w:lineRule="auto"/>
              <w:rPr>
                <w:sz w:val="18"/>
                <w:szCs w:val="18"/>
              </w:rPr>
            </w:pPr>
            <w:r>
              <w:rPr>
                <w:sz w:val="18"/>
                <w:szCs w:val="18"/>
              </w:rPr>
              <w:t xml:space="preserve">4.4 I/O </w:t>
            </w:r>
          </w:p>
          <w:p>
            <w:pPr>
              <w:snapToGrid w:val="0"/>
              <w:spacing w:line="300" w:lineRule="auto"/>
              <w:rPr>
                <w:sz w:val="18"/>
                <w:szCs w:val="18"/>
              </w:rPr>
            </w:pPr>
            <w:r>
              <w:rPr>
                <w:sz w:val="18"/>
                <w:szCs w:val="18"/>
              </w:rPr>
              <w:t>4.5 振荡器和时钟</w:t>
            </w:r>
          </w:p>
          <w:p>
            <w:pPr>
              <w:snapToGrid w:val="0"/>
              <w:spacing w:line="300" w:lineRule="auto"/>
              <w:rPr>
                <w:sz w:val="18"/>
                <w:szCs w:val="18"/>
              </w:rPr>
            </w:pPr>
            <w:r>
              <w:rPr>
                <w:sz w:val="18"/>
                <w:szCs w:val="18"/>
              </w:rPr>
              <w:t>4.6 电源管理和复位</w:t>
            </w:r>
          </w:p>
          <w:p>
            <w:pPr>
              <w:snapToGrid w:val="0"/>
              <w:spacing w:line="300" w:lineRule="auto"/>
              <w:rPr>
                <w:sz w:val="18"/>
                <w:szCs w:val="18"/>
              </w:rPr>
            </w:pPr>
            <w:r>
              <w:rPr>
                <w:sz w:val="18"/>
                <w:szCs w:val="18"/>
              </w:rPr>
              <w:t>4.7 串口</w:t>
            </w:r>
          </w:p>
          <w:p>
            <w:pPr>
              <w:snapToGrid w:val="0"/>
              <w:spacing w:line="300" w:lineRule="auto"/>
              <w:rPr>
                <w:sz w:val="18"/>
                <w:szCs w:val="18"/>
              </w:rPr>
            </w:pPr>
            <w:r>
              <w:rPr>
                <w:sz w:val="18"/>
                <w:szCs w:val="18"/>
              </w:rPr>
              <w:t>4.8 DMA</w:t>
            </w:r>
          </w:p>
          <w:p>
            <w:pPr>
              <w:snapToGrid w:val="0"/>
              <w:spacing w:line="300" w:lineRule="auto"/>
              <w:rPr>
                <w:sz w:val="18"/>
                <w:szCs w:val="18"/>
              </w:rPr>
            </w:pPr>
            <w:r>
              <w:rPr>
                <w:sz w:val="18"/>
                <w:szCs w:val="18"/>
              </w:rPr>
              <w:t>4.9 ADC</w:t>
            </w:r>
          </w:p>
          <w:p>
            <w:pPr>
              <w:snapToGrid w:val="0"/>
              <w:spacing w:line="300" w:lineRule="auto"/>
              <w:rPr>
                <w:sz w:val="18"/>
                <w:szCs w:val="18"/>
              </w:rPr>
            </w:pPr>
            <w:r>
              <w:rPr>
                <w:sz w:val="18"/>
                <w:szCs w:val="18"/>
              </w:rPr>
              <w:t>4.10 定时器</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了解CC2530的结构框架；</w:t>
            </w:r>
          </w:p>
          <w:p>
            <w:pPr>
              <w:snapToGrid w:val="0"/>
              <w:spacing w:line="300" w:lineRule="auto"/>
              <w:rPr>
                <w:sz w:val="18"/>
                <w:szCs w:val="18"/>
              </w:rPr>
            </w:pPr>
            <w:r>
              <w:rPr>
                <w:sz w:val="18"/>
                <w:szCs w:val="18"/>
                <w:shd w:val="clear" w:color="auto" w:fill="FEFEFF"/>
              </w:rPr>
              <w:t>（2）</w:t>
            </w:r>
            <w:r>
              <w:rPr>
                <w:sz w:val="18"/>
                <w:szCs w:val="18"/>
              </w:rPr>
              <w:t>掌握IAR集成开发工具的实用、CC2530开发板的调试方法；</w:t>
            </w:r>
          </w:p>
          <w:p>
            <w:pPr>
              <w:snapToGrid w:val="0"/>
              <w:spacing w:line="300" w:lineRule="auto"/>
              <w:rPr>
                <w:sz w:val="18"/>
                <w:szCs w:val="18"/>
              </w:rPr>
            </w:pPr>
            <w:r>
              <w:rPr>
                <w:sz w:val="18"/>
                <w:szCs w:val="18"/>
                <w:shd w:val="clear" w:color="auto" w:fill="FEFEFF"/>
              </w:rPr>
              <w:t>（3）</w:t>
            </w:r>
            <w:r>
              <w:rPr>
                <w:sz w:val="18"/>
                <w:szCs w:val="18"/>
              </w:rPr>
              <w:t>掌握I/O、时钟、电源管理、串口、ADC、定时器的裸机操作。</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编写串口通信程序，实现CC2530和电脑通过串口进行通信。</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数据融合和独立传感器数据的不同的优势。</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网上查阅资料，了解CC2530开发板中各模块硬件电路接口。</w:t>
            </w:r>
          </w:p>
        </w:tc>
        <w:tc>
          <w:tcPr>
            <w:tcW w:w="594" w:type="dxa"/>
            <w:vAlign w:val="center"/>
          </w:tcPr>
          <w:p>
            <w:pPr>
              <w:widowControl/>
              <w:jc w:val="center"/>
              <w:rPr>
                <w:sz w:val="18"/>
                <w:szCs w:val="18"/>
              </w:rPr>
            </w:pPr>
            <w:r>
              <w:rPr>
                <w:kern w:val="0"/>
                <w:sz w:val="18"/>
                <w:szCs w:val="18"/>
              </w:rPr>
              <w:t>2</w:t>
            </w:r>
          </w:p>
        </w:tc>
        <w:tc>
          <w:tcPr>
            <w:tcW w:w="825"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73" w:type="dxa"/>
            <w:tcMar>
              <w:left w:w="57" w:type="dxa"/>
              <w:right w:w="57" w:type="dxa"/>
            </w:tcMar>
            <w:vAlign w:val="center"/>
          </w:tcPr>
          <w:p>
            <w:pPr>
              <w:widowControl/>
              <w:jc w:val="center"/>
              <w:rPr>
                <w:sz w:val="18"/>
                <w:szCs w:val="18"/>
              </w:rPr>
            </w:pPr>
            <w:r>
              <w:rPr>
                <w:kern w:val="0"/>
                <w:sz w:val="18"/>
                <w:szCs w:val="18"/>
              </w:rPr>
              <w:t>5</w:t>
            </w:r>
          </w:p>
        </w:tc>
        <w:tc>
          <w:tcPr>
            <w:tcW w:w="1795" w:type="dxa"/>
            <w:vAlign w:val="center"/>
          </w:tcPr>
          <w:p>
            <w:pPr>
              <w:snapToGrid w:val="0"/>
              <w:spacing w:line="300" w:lineRule="auto"/>
              <w:rPr>
                <w:sz w:val="18"/>
                <w:szCs w:val="18"/>
              </w:rPr>
            </w:pPr>
            <w:r>
              <w:rPr>
                <w:sz w:val="18"/>
                <w:szCs w:val="18"/>
              </w:rPr>
              <w:t>第5章 无线射频与MAC层</w:t>
            </w:r>
          </w:p>
          <w:p>
            <w:pPr>
              <w:snapToGrid w:val="0"/>
              <w:spacing w:line="300" w:lineRule="auto"/>
              <w:rPr>
                <w:sz w:val="18"/>
                <w:szCs w:val="18"/>
              </w:rPr>
            </w:pPr>
            <w:r>
              <w:rPr>
                <w:sz w:val="18"/>
                <w:szCs w:val="18"/>
              </w:rPr>
              <w:t>5.1 概述</w:t>
            </w:r>
          </w:p>
          <w:p>
            <w:pPr>
              <w:snapToGrid w:val="0"/>
              <w:spacing w:line="300" w:lineRule="auto"/>
              <w:rPr>
                <w:sz w:val="18"/>
                <w:szCs w:val="18"/>
              </w:rPr>
            </w:pPr>
            <w:r>
              <w:rPr>
                <w:sz w:val="18"/>
                <w:szCs w:val="18"/>
              </w:rPr>
              <w:t>5.2 RF内核</w:t>
            </w:r>
          </w:p>
          <w:p>
            <w:pPr>
              <w:snapToGrid w:val="0"/>
              <w:spacing w:line="300" w:lineRule="auto"/>
              <w:rPr>
                <w:sz w:val="18"/>
                <w:szCs w:val="18"/>
              </w:rPr>
            </w:pPr>
            <w:r>
              <w:rPr>
                <w:sz w:val="18"/>
                <w:szCs w:val="18"/>
              </w:rPr>
              <w:t>5.3 FIFO访问</w:t>
            </w:r>
          </w:p>
          <w:p>
            <w:pPr>
              <w:snapToGrid w:val="0"/>
              <w:spacing w:line="300" w:lineRule="auto"/>
              <w:rPr>
                <w:sz w:val="18"/>
                <w:szCs w:val="18"/>
              </w:rPr>
            </w:pPr>
            <w:r>
              <w:rPr>
                <w:sz w:val="18"/>
                <w:szCs w:val="18"/>
              </w:rPr>
              <w:t>5.4 发送模式</w:t>
            </w:r>
          </w:p>
          <w:p>
            <w:pPr>
              <w:snapToGrid w:val="0"/>
              <w:spacing w:line="300" w:lineRule="auto"/>
              <w:rPr>
                <w:sz w:val="18"/>
                <w:szCs w:val="18"/>
              </w:rPr>
            </w:pPr>
            <w:r>
              <w:rPr>
                <w:sz w:val="18"/>
                <w:szCs w:val="18"/>
              </w:rPr>
              <w:t>5.5 接收模式</w:t>
            </w:r>
          </w:p>
          <w:p>
            <w:pPr>
              <w:snapToGrid w:val="0"/>
              <w:spacing w:line="300" w:lineRule="auto"/>
              <w:rPr>
                <w:sz w:val="18"/>
                <w:szCs w:val="18"/>
              </w:rPr>
            </w:pPr>
            <w:r>
              <w:rPr>
                <w:sz w:val="18"/>
                <w:szCs w:val="18"/>
              </w:rPr>
              <w:t>5.6 CSMA/CA选通处理器</w:t>
            </w:r>
          </w:p>
          <w:p>
            <w:pPr>
              <w:snapToGrid w:val="0"/>
              <w:spacing w:line="300" w:lineRule="auto"/>
              <w:rPr>
                <w:sz w:val="18"/>
                <w:szCs w:val="18"/>
              </w:rPr>
            </w:pP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了解MAC层的功能、帧结构；</w:t>
            </w:r>
          </w:p>
          <w:p>
            <w:pPr>
              <w:snapToGrid w:val="0"/>
              <w:spacing w:line="300" w:lineRule="auto"/>
              <w:rPr>
                <w:sz w:val="18"/>
                <w:szCs w:val="18"/>
              </w:rPr>
            </w:pPr>
            <w:r>
              <w:rPr>
                <w:sz w:val="18"/>
                <w:szCs w:val="18"/>
                <w:shd w:val="clear" w:color="auto" w:fill="FEFEFF"/>
              </w:rPr>
              <w:t>（2）</w:t>
            </w:r>
            <w:r>
              <w:rPr>
                <w:sz w:val="18"/>
                <w:szCs w:val="18"/>
              </w:rPr>
              <w:t>掌握RF内核结构、FIFO访问方式；</w:t>
            </w:r>
          </w:p>
          <w:p>
            <w:pPr>
              <w:snapToGrid w:val="0"/>
              <w:spacing w:line="300" w:lineRule="auto"/>
              <w:rPr>
                <w:sz w:val="18"/>
                <w:szCs w:val="18"/>
              </w:rPr>
            </w:pPr>
            <w:r>
              <w:rPr>
                <w:sz w:val="18"/>
                <w:szCs w:val="18"/>
                <w:shd w:val="clear" w:color="auto" w:fill="FEFEFF"/>
              </w:rPr>
              <w:t>（3）</w:t>
            </w:r>
            <w:r>
              <w:rPr>
                <w:sz w:val="18"/>
                <w:szCs w:val="18"/>
              </w:rPr>
              <w:t>掌握CC2530无线发送模式;</w:t>
            </w:r>
            <w:r>
              <w:rPr>
                <w:sz w:val="18"/>
                <w:szCs w:val="18"/>
              </w:rPr>
              <w:br w:type="textWrapping"/>
            </w:r>
            <w:r>
              <w:rPr>
                <w:sz w:val="18"/>
                <w:szCs w:val="18"/>
                <w:shd w:val="clear" w:color="auto" w:fill="FEFEFF"/>
              </w:rPr>
              <w:t>（4）</w:t>
            </w:r>
            <w:r>
              <w:rPr>
                <w:sz w:val="18"/>
                <w:szCs w:val="18"/>
              </w:rPr>
              <w:t>掌握CC2530无线接收模式;</w:t>
            </w:r>
            <w:r>
              <w:rPr>
                <w:sz w:val="18"/>
                <w:szCs w:val="18"/>
              </w:rPr>
              <w:br w:type="textWrapping"/>
            </w:r>
            <w:r>
              <w:rPr>
                <w:sz w:val="18"/>
                <w:szCs w:val="18"/>
                <w:shd w:val="clear" w:color="auto" w:fill="FEFEFF"/>
              </w:rPr>
              <w:t>（5）</w:t>
            </w:r>
            <w:r>
              <w:rPr>
                <w:sz w:val="18"/>
                <w:szCs w:val="18"/>
              </w:rPr>
              <w:t>理解CSMA/CA的作用及原理。</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编写发送和接收程序，实现简单数据的无限发送和接收。</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FIFO是一种先入先出的栈结构，利用有哪些实现方式？</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网上查阅资料，了解CC2530开发板中个模块电路的用法。</w:t>
            </w:r>
          </w:p>
        </w:tc>
        <w:tc>
          <w:tcPr>
            <w:tcW w:w="594" w:type="dxa"/>
            <w:vAlign w:val="center"/>
          </w:tcPr>
          <w:p>
            <w:pPr>
              <w:widowControl/>
              <w:jc w:val="center"/>
              <w:rPr>
                <w:sz w:val="18"/>
                <w:szCs w:val="18"/>
              </w:rPr>
            </w:pPr>
            <w:r>
              <w:rPr>
                <w:kern w:val="0"/>
                <w:sz w:val="18"/>
                <w:szCs w:val="18"/>
              </w:rPr>
              <w:t>2</w:t>
            </w:r>
          </w:p>
        </w:tc>
        <w:tc>
          <w:tcPr>
            <w:tcW w:w="825"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573" w:type="dxa"/>
            <w:tcMar>
              <w:left w:w="57" w:type="dxa"/>
              <w:right w:w="57" w:type="dxa"/>
            </w:tcMar>
            <w:vAlign w:val="center"/>
          </w:tcPr>
          <w:p>
            <w:pPr>
              <w:widowControl/>
              <w:jc w:val="center"/>
              <w:rPr>
                <w:sz w:val="18"/>
                <w:szCs w:val="18"/>
              </w:rPr>
            </w:pPr>
            <w:r>
              <w:rPr>
                <w:kern w:val="0"/>
                <w:sz w:val="18"/>
                <w:szCs w:val="18"/>
              </w:rPr>
              <w:t>6</w:t>
            </w:r>
          </w:p>
        </w:tc>
        <w:tc>
          <w:tcPr>
            <w:tcW w:w="1795" w:type="dxa"/>
            <w:vAlign w:val="center"/>
          </w:tcPr>
          <w:p>
            <w:pPr>
              <w:snapToGrid w:val="0"/>
              <w:spacing w:line="300" w:lineRule="auto"/>
              <w:rPr>
                <w:sz w:val="18"/>
                <w:szCs w:val="18"/>
              </w:rPr>
            </w:pPr>
            <w:r>
              <w:rPr>
                <w:sz w:val="18"/>
                <w:szCs w:val="18"/>
              </w:rPr>
              <w:t>第6章 Zstack协议栈</w:t>
            </w:r>
          </w:p>
          <w:p>
            <w:pPr>
              <w:snapToGrid w:val="0"/>
              <w:spacing w:line="300" w:lineRule="auto"/>
              <w:rPr>
                <w:sz w:val="18"/>
                <w:szCs w:val="18"/>
              </w:rPr>
            </w:pPr>
            <w:r>
              <w:rPr>
                <w:sz w:val="18"/>
                <w:szCs w:val="18"/>
              </w:rPr>
              <w:t>6.1 概述</w:t>
            </w:r>
          </w:p>
          <w:p>
            <w:pPr>
              <w:snapToGrid w:val="0"/>
              <w:spacing w:line="300" w:lineRule="auto"/>
              <w:rPr>
                <w:sz w:val="18"/>
                <w:szCs w:val="18"/>
              </w:rPr>
            </w:pPr>
            <w:r>
              <w:rPr>
                <w:sz w:val="18"/>
                <w:szCs w:val="18"/>
              </w:rPr>
              <w:t>6.2 Zstack软件架构</w:t>
            </w:r>
          </w:p>
          <w:p>
            <w:pPr>
              <w:snapToGrid w:val="0"/>
              <w:spacing w:line="300" w:lineRule="auto"/>
              <w:rPr>
                <w:sz w:val="18"/>
                <w:szCs w:val="18"/>
              </w:rPr>
            </w:pPr>
            <w:r>
              <w:rPr>
                <w:sz w:val="18"/>
                <w:szCs w:val="18"/>
              </w:rPr>
              <w:t>6.3 HAL层分析</w:t>
            </w:r>
          </w:p>
          <w:p>
            <w:pPr>
              <w:snapToGrid w:val="0"/>
              <w:spacing w:line="300" w:lineRule="auto"/>
              <w:rPr>
                <w:sz w:val="18"/>
                <w:szCs w:val="18"/>
              </w:rPr>
            </w:pPr>
            <w:r>
              <w:rPr>
                <w:sz w:val="18"/>
                <w:szCs w:val="18"/>
              </w:rPr>
              <w:t>6.4 NWK层分析</w:t>
            </w:r>
          </w:p>
          <w:p>
            <w:pPr>
              <w:snapToGrid w:val="0"/>
              <w:spacing w:line="300" w:lineRule="auto"/>
              <w:rPr>
                <w:sz w:val="18"/>
                <w:szCs w:val="18"/>
              </w:rPr>
            </w:pPr>
            <w:r>
              <w:rPr>
                <w:sz w:val="18"/>
                <w:szCs w:val="18"/>
              </w:rPr>
              <w:t>6.5 Tools配置和分析</w:t>
            </w:r>
          </w:p>
          <w:p>
            <w:pPr>
              <w:snapToGrid w:val="0"/>
              <w:spacing w:line="300" w:lineRule="auto"/>
              <w:rPr>
                <w:sz w:val="18"/>
                <w:szCs w:val="18"/>
              </w:rPr>
            </w:pPr>
            <w:r>
              <w:rPr>
                <w:sz w:val="18"/>
                <w:szCs w:val="18"/>
              </w:rPr>
              <w:t>6.6 Profile层分析</w:t>
            </w:r>
          </w:p>
          <w:p>
            <w:pPr>
              <w:snapToGrid w:val="0"/>
              <w:spacing w:line="300" w:lineRule="auto"/>
              <w:rPr>
                <w:sz w:val="18"/>
                <w:szCs w:val="18"/>
              </w:rPr>
            </w:pPr>
            <w:r>
              <w:rPr>
                <w:sz w:val="18"/>
                <w:szCs w:val="18"/>
              </w:rPr>
              <w:t>6.7 ZDO层分析</w:t>
            </w:r>
          </w:p>
          <w:p>
            <w:pPr>
              <w:snapToGrid w:val="0"/>
              <w:spacing w:line="300" w:lineRule="auto"/>
              <w:rPr>
                <w:sz w:val="18"/>
                <w:szCs w:val="18"/>
              </w:rPr>
            </w:pPr>
            <w:r>
              <w:rPr>
                <w:sz w:val="18"/>
                <w:szCs w:val="18"/>
              </w:rPr>
              <w:t>6.8 API函数</w:t>
            </w:r>
          </w:p>
          <w:p>
            <w:pPr>
              <w:snapToGrid w:val="0"/>
              <w:spacing w:line="300" w:lineRule="auto"/>
              <w:rPr>
                <w:sz w:val="18"/>
                <w:szCs w:val="18"/>
              </w:rPr>
            </w:pPr>
            <w:r>
              <w:rPr>
                <w:sz w:val="18"/>
                <w:szCs w:val="18"/>
              </w:rPr>
              <w:t>6.9 APP层分析</w:t>
            </w:r>
          </w:p>
          <w:p>
            <w:pPr>
              <w:snapToGrid w:val="0"/>
              <w:spacing w:line="300" w:lineRule="auto"/>
              <w:rPr>
                <w:sz w:val="18"/>
                <w:szCs w:val="18"/>
              </w:rPr>
            </w:pPr>
            <w:r>
              <w:rPr>
                <w:sz w:val="18"/>
                <w:szCs w:val="18"/>
              </w:rPr>
              <w:t>6.10 OSAL运行机制</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理解Zstack软件架构;</w:t>
            </w:r>
            <w:r>
              <w:rPr>
                <w:sz w:val="18"/>
                <w:szCs w:val="18"/>
              </w:rPr>
              <w:br w:type="textWrapping"/>
            </w:r>
            <w:r>
              <w:rPr>
                <w:sz w:val="18"/>
                <w:szCs w:val="18"/>
                <w:shd w:val="clear" w:color="auto" w:fill="FEFEFF"/>
              </w:rPr>
              <w:t>（2）</w:t>
            </w:r>
            <w:r>
              <w:rPr>
                <w:sz w:val="18"/>
                <w:szCs w:val="18"/>
              </w:rPr>
              <w:t>掌握操作系统的运行机制；</w:t>
            </w:r>
          </w:p>
          <w:p>
            <w:pPr>
              <w:snapToGrid w:val="0"/>
              <w:spacing w:line="300" w:lineRule="auto"/>
              <w:rPr>
                <w:sz w:val="18"/>
                <w:szCs w:val="18"/>
              </w:rPr>
            </w:pPr>
            <w:r>
              <w:rPr>
                <w:sz w:val="18"/>
                <w:szCs w:val="18"/>
                <w:shd w:val="clear" w:color="auto" w:fill="FEFEFF"/>
              </w:rPr>
              <w:t>（3）</w:t>
            </w:r>
            <w:r>
              <w:rPr>
                <w:sz w:val="18"/>
                <w:szCs w:val="18"/>
              </w:rPr>
              <w:t>掌握Zstack各层的作用;</w:t>
            </w:r>
          </w:p>
          <w:p>
            <w:pPr>
              <w:snapToGrid w:val="0"/>
              <w:spacing w:line="300" w:lineRule="auto"/>
              <w:rPr>
                <w:sz w:val="18"/>
                <w:szCs w:val="18"/>
              </w:rPr>
            </w:pPr>
            <w:r>
              <w:rPr>
                <w:sz w:val="18"/>
                <w:szCs w:val="18"/>
                <w:shd w:val="clear" w:color="auto" w:fill="FEFEFF"/>
              </w:rPr>
              <w:t>（4）</w:t>
            </w:r>
            <w:r>
              <w:rPr>
                <w:sz w:val="18"/>
                <w:szCs w:val="18"/>
              </w:rPr>
              <w:t>掌握APP层应用程序的编写;</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编写发送和接收程序，实现简单数据的无限发送和接收。</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CC2530逻辑程序和Zstack协议栈程序有何异同点，各有何优势？</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网上查阅资料，以无线收发控制LED灯为例，进一步加深理解Zstack协议栈中APP运行过程。</w:t>
            </w:r>
          </w:p>
        </w:tc>
        <w:tc>
          <w:tcPr>
            <w:tcW w:w="594" w:type="dxa"/>
            <w:vAlign w:val="center"/>
          </w:tcPr>
          <w:p>
            <w:pPr>
              <w:widowControl/>
              <w:jc w:val="center"/>
              <w:rPr>
                <w:sz w:val="18"/>
                <w:szCs w:val="18"/>
              </w:rPr>
            </w:pPr>
            <w:r>
              <w:rPr>
                <w:kern w:val="0"/>
                <w:sz w:val="18"/>
                <w:szCs w:val="18"/>
              </w:rPr>
              <w:t>6</w:t>
            </w:r>
          </w:p>
        </w:tc>
        <w:tc>
          <w:tcPr>
            <w:tcW w:w="825"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573" w:type="dxa"/>
            <w:tcMar>
              <w:left w:w="57" w:type="dxa"/>
              <w:right w:w="57" w:type="dxa"/>
            </w:tcMar>
            <w:vAlign w:val="center"/>
          </w:tcPr>
          <w:p>
            <w:pPr>
              <w:widowControl/>
              <w:jc w:val="center"/>
              <w:rPr>
                <w:sz w:val="18"/>
                <w:szCs w:val="18"/>
              </w:rPr>
            </w:pPr>
            <w:r>
              <w:rPr>
                <w:kern w:val="0"/>
                <w:sz w:val="18"/>
                <w:szCs w:val="18"/>
              </w:rPr>
              <w:t>7</w:t>
            </w:r>
          </w:p>
        </w:tc>
        <w:tc>
          <w:tcPr>
            <w:tcW w:w="1795" w:type="dxa"/>
            <w:vAlign w:val="center"/>
          </w:tcPr>
          <w:p>
            <w:pPr>
              <w:snapToGrid w:val="0"/>
              <w:spacing w:line="300" w:lineRule="auto"/>
              <w:rPr>
                <w:sz w:val="18"/>
                <w:szCs w:val="18"/>
              </w:rPr>
            </w:pPr>
            <w:r>
              <w:rPr>
                <w:sz w:val="18"/>
                <w:szCs w:val="18"/>
              </w:rPr>
              <w:t>第7章 Zstack系统移植</w:t>
            </w:r>
          </w:p>
          <w:p>
            <w:pPr>
              <w:snapToGrid w:val="0"/>
              <w:spacing w:line="300" w:lineRule="auto"/>
              <w:rPr>
                <w:sz w:val="18"/>
                <w:szCs w:val="18"/>
              </w:rPr>
            </w:pPr>
            <w:r>
              <w:rPr>
                <w:sz w:val="18"/>
                <w:szCs w:val="18"/>
              </w:rPr>
              <w:t>7.1 工程模板的创建</w:t>
            </w:r>
          </w:p>
          <w:p>
            <w:pPr>
              <w:snapToGrid w:val="0"/>
              <w:spacing w:line="300" w:lineRule="auto"/>
              <w:rPr>
                <w:sz w:val="18"/>
                <w:szCs w:val="18"/>
              </w:rPr>
            </w:pPr>
            <w:r>
              <w:rPr>
                <w:sz w:val="18"/>
                <w:szCs w:val="18"/>
              </w:rPr>
              <w:t>7.2 任务的建立</w:t>
            </w:r>
          </w:p>
          <w:p>
            <w:pPr>
              <w:snapToGrid w:val="0"/>
              <w:spacing w:line="300" w:lineRule="auto"/>
              <w:rPr>
                <w:sz w:val="18"/>
                <w:szCs w:val="18"/>
              </w:rPr>
            </w:pPr>
            <w:r>
              <w:rPr>
                <w:sz w:val="18"/>
                <w:szCs w:val="18"/>
              </w:rPr>
              <w:t>7.3 移植</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掌握利用GenericApp建立工程模板；</w:t>
            </w:r>
            <w:r>
              <w:rPr>
                <w:sz w:val="18"/>
                <w:szCs w:val="18"/>
              </w:rPr>
              <w:br w:type="textWrapping"/>
            </w:r>
            <w:r>
              <w:rPr>
                <w:sz w:val="18"/>
                <w:szCs w:val="18"/>
                <w:shd w:val="clear" w:color="auto" w:fill="FEFEFF"/>
              </w:rPr>
              <w:t>（2）</w:t>
            </w:r>
            <w:r>
              <w:rPr>
                <w:sz w:val="18"/>
                <w:szCs w:val="18"/>
              </w:rPr>
              <w:t>掌握用户任务的建立方法；</w:t>
            </w:r>
          </w:p>
          <w:p>
            <w:pPr>
              <w:snapToGrid w:val="0"/>
              <w:spacing w:line="300" w:lineRule="auto"/>
              <w:rPr>
                <w:sz w:val="18"/>
                <w:szCs w:val="18"/>
              </w:rPr>
            </w:pPr>
            <w:r>
              <w:rPr>
                <w:sz w:val="18"/>
                <w:szCs w:val="18"/>
                <w:shd w:val="clear" w:color="auto" w:fill="FEFEFF"/>
              </w:rPr>
              <w:t>（3）</w:t>
            </w:r>
            <w:r>
              <w:rPr>
                <w:sz w:val="18"/>
                <w:szCs w:val="18"/>
              </w:rPr>
              <w:t>理解用户任务的数据结构和调用过程；</w:t>
            </w:r>
          </w:p>
          <w:p>
            <w:pPr>
              <w:snapToGrid w:val="0"/>
              <w:spacing w:line="300" w:lineRule="auto"/>
              <w:rPr>
                <w:sz w:val="18"/>
                <w:szCs w:val="18"/>
              </w:rPr>
            </w:pPr>
            <w:r>
              <w:rPr>
                <w:sz w:val="18"/>
                <w:szCs w:val="18"/>
                <w:shd w:val="clear" w:color="auto" w:fill="FEFEFF"/>
              </w:rPr>
              <w:t>（4）</w:t>
            </w:r>
            <w:r>
              <w:rPr>
                <w:sz w:val="18"/>
                <w:szCs w:val="18"/>
              </w:rPr>
              <w:t>掌握更换硬件后，LED、按键的软件移植方法。</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依据A开发板的工程模板，针对B开发板进行移植，实现同样LED灯闪烁的功能。</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任务建立时，各个不同层次的程序协调工作的过程。</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网上查阅资料，了解任务建立、运行时的数据结构及其作用。</w:t>
            </w:r>
          </w:p>
        </w:tc>
        <w:tc>
          <w:tcPr>
            <w:tcW w:w="594" w:type="dxa"/>
            <w:vAlign w:val="center"/>
          </w:tcPr>
          <w:p>
            <w:pPr>
              <w:widowControl/>
              <w:jc w:val="center"/>
              <w:rPr>
                <w:sz w:val="18"/>
                <w:szCs w:val="18"/>
              </w:rPr>
            </w:pPr>
            <w:r>
              <w:rPr>
                <w:kern w:val="0"/>
                <w:sz w:val="18"/>
                <w:szCs w:val="18"/>
              </w:rPr>
              <w:t>4</w:t>
            </w:r>
          </w:p>
        </w:tc>
        <w:tc>
          <w:tcPr>
            <w:tcW w:w="825"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573" w:type="dxa"/>
            <w:tcMar>
              <w:left w:w="57" w:type="dxa"/>
              <w:right w:w="57" w:type="dxa"/>
            </w:tcMar>
            <w:vAlign w:val="center"/>
          </w:tcPr>
          <w:p>
            <w:pPr>
              <w:widowControl/>
              <w:jc w:val="center"/>
              <w:rPr>
                <w:sz w:val="18"/>
                <w:szCs w:val="18"/>
              </w:rPr>
            </w:pPr>
            <w:r>
              <w:rPr>
                <w:kern w:val="0"/>
                <w:sz w:val="18"/>
                <w:szCs w:val="18"/>
              </w:rPr>
              <w:t>8</w:t>
            </w:r>
          </w:p>
        </w:tc>
        <w:tc>
          <w:tcPr>
            <w:tcW w:w="1795" w:type="dxa"/>
            <w:vAlign w:val="center"/>
          </w:tcPr>
          <w:p>
            <w:pPr>
              <w:snapToGrid w:val="0"/>
              <w:spacing w:line="300" w:lineRule="auto"/>
              <w:rPr>
                <w:sz w:val="18"/>
                <w:szCs w:val="18"/>
              </w:rPr>
            </w:pPr>
            <w:r>
              <w:rPr>
                <w:sz w:val="18"/>
                <w:szCs w:val="18"/>
              </w:rPr>
              <w:t>第8章 Zstack应用开发</w:t>
            </w:r>
          </w:p>
          <w:p>
            <w:pPr>
              <w:snapToGrid w:val="0"/>
              <w:spacing w:line="300" w:lineRule="auto"/>
              <w:rPr>
                <w:sz w:val="18"/>
                <w:szCs w:val="18"/>
              </w:rPr>
            </w:pPr>
            <w:r>
              <w:rPr>
                <w:sz w:val="18"/>
                <w:szCs w:val="18"/>
              </w:rPr>
              <w:t>8.1 应用设计</w:t>
            </w:r>
          </w:p>
          <w:p>
            <w:pPr>
              <w:snapToGrid w:val="0"/>
              <w:spacing w:line="300" w:lineRule="auto"/>
              <w:rPr>
                <w:sz w:val="18"/>
                <w:szCs w:val="18"/>
              </w:rPr>
            </w:pPr>
            <w:r>
              <w:rPr>
                <w:sz w:val="18"/>
                <w:szCs w:val="18"/>
              </w:rPr>
              <w:t>8.2 体系结构设计</w:t>
            </w:r>
          </w:p>
          <w:p>
            <w:pPr>
              <w:snapToGrid w:val="0"/>
              <w:spacing w:line="300" w:lineRule="auto"/>
              <w:rPr>
                <w:sz w:val="18"/>
                <w:szCs w:val="18"/>
              </w:rPr>
            </w:pPr>
            <w:r>
              <w:rPr>
                <w:sz w:val="18"/>
                <w:szCs w:val="18"/>
              </w:rPr>
              <w:t>8.3 路由器程序编写</w:t>
            </w:r>
          </w:p>
          <w:p>
            <w:pPr>
              <w:snapToGrid w:val="0"/>
              <w:spacing w:line="300" w:lineRule="auto"/>
              <w:rPr>
                <w:sz w:val="18"/>
                <w:szCs w:val="18"/>
              </w:rPr>
            </w:pPr>
            <w:r>
              <w:rPr>
                <w:sz w:val="18"/>
                <w:szCs w:val="18"/>
              </w:rPr>
              <w:t>8.4 协调器程序编写</w:t>
            </w:r>
          </w:p>
        </w:tc>
        <w:tc>
          <w:tcPr>
            <w:tcW w:w="4894" w:type="dxa"/>
            <w:vAlign w:val="center"/>
          </w:tcPr>
          <w:p>
            <w:pPr>
              <w:snapToGrid w:val="0"/>
              <w:spacing w:line="300" w:lineRule="auto"/>
              <w:rPr>
                <w:sz w:val="18"/>
                <w:szCs w:val="18"/>
              </w:rPr>
            </w:pPr>
            <w:r>
              <w:rPr>
                <w:sz w:val="18"/>
                <w:szCs w:val="18"/>
              </w:rPr>
              <w:t>1</w:t>
            </w:r>
            <w:r>
              <w:rPr>
                <w:szCs w:val="21"/>
              </w:rPr>
              <w:t>．</w:t>
            </w:r>
            <w:r>
              <w:rPr>
                <w:sz w:val="18"/>
                <w:szCs w:val="18"/>
              </w:rPr>
              <w:t>目标及要求</w:t>
            </w:r>
          </w:p>
          <w:p>
            <w:pPr>
              <w:snapToGrid w:val="0"/>
              <w:spacing w:line="300" w:lineRule="auto"/>
              <w:rPr>
                <w:sz w:val="18"/>
                <w:szCs w:val="18"/>
              </w:rPr>
            </w:pPr>
            <w:r>
              <w:rPr>
                <w:sz w:val="18"/>
                <w:szCs w:val="18"/>
                <w:shd w:val="clear" w:color="auto" w:fill="FEFEFF"/>
              </w:rPr>
              <w:t>（1）</w:t>
            </w:r>
            <w:r>
              <w:rPr>
                <w:sz w:val="18"/>
                <w:szCs w:val="18"/>
              </w:rPr>
              <w:t>了解Zigbee程序的开发过程——需求分析、体系结构设计、应用程序编程、调测；</w:t>
            </w:r>
            <w:r>
              <w:rPr>
                <w:sz w:val="18"/>
                <w:szCs w:val="18"/>
              </w:rPr>
              <w:br w:type="textWrapping"/>
            </w:r>
            <w:r>
              <w:rPr>
                <w:sz w:val="18"/>
                <w:szCs w:val="18"/>
                <w:shd w:val="clear" w:color="auto" w:fill="FEFEFF"/>
              </w:rPr>
              <w:t>（2）</w:t>
            </w:r>
            <w:r>
              <w:rPr>
                <w:sz w:val="18"/>
                <w:szCs w:val="18"/>
              </w:rPr>
              <w:t>掌握Zigbee程序体系结构的设计，理解协调器、路由器和终端设备的作用。</w:t>
            </w:r>
            <w:r>
              <w:rPr>
                <w:sz w:val="18"/>
                <w:szCs w:val="18"/>
              </w:rPr>
              <w:br w:type="textWrapping"/>
            </w:r>
            <w:r>
              <w:rPr>
                <w:sz w:val="18"/>
                <w:szCs w:val="18"/>
                <w:shd w:val="clear" w:color="auto" w:fill="FEFEFF"/>
              </w:rPr>
              <w:t>（3）</w:t>
            </w:r>
            <w:r>
              <w:rPr>
                <w:sz w:val="18"/>
                <w:szCs w:val="18"/>
              </w:rPr>
              <w:t>掌握协调器和路由器的工程模板，能依据工程模板编写应用程序;</w:t>
            </w:r>
          </w:p>
          <w:p>
            <w:pPr>
              <w:snapToGrid w:val="0"/>
              <w:spacing w:line="300" w:lineRule="auto"/>
              <w:rPr>
                <w:sz w:val="18"/>
                <w:szCs w:val="18"/>
              </w:rPr>
            </w:pPr>
            <w:r>
              <w:rPr>
                <w:sz w:val="18"/>
                <w:szCs w:val="18"/>
                <w:shd w:val="clear" w:color="auto" w:fill="FEFEFF"/>
              </w:rPr>
              <w:t>（4）</w:t>
            </w:r>
            <w:r>
              <w:rPr>
                <w:sz w:val="18"/>
                <w:szCs w:val="18"/>
              </w:rPr>
              <w:t>掌握针对具体应用需求设计无线传感网的方法。</w:t>
            </w:r>
          </w:p>
          <w:p>
            <w:pPr>
              <w:snapToGrid w:val="0"/>
              <w:spacing w:line="300" w:lineRule="auto"/>
              <w:rPr>
                <w:sz w:val="18"/>
                <w:szCs w:val="18"/>
              </w:rPr>
            </w:pPr>
            <w:r>
              <w:rPr>
                <w:sz w:val="18"/>
                <w:szCs w:val="18"/>
              </w:rPr>
              <w:t>2</w:t>
            </w:r>
            <w:r>
              <w:rPr>
                <w:szCs w:val="21"/>
              </w:rPr>
              <w:t>．</w:t>
            </w:r>
            <w:r>
              <w:rPr>
                <w:sz w:val="18"/>
                <w:szCs w:val="18"/>
              </w:rPr>
              <w:t>作业内容</w:t>
            </w:r>
          </w:p>
          <w:p>
            <w:pPr>
              <w:snapToGrid w:val="0"/>
              <w:spacing w:line="300" w:lineRule="auto"/>
              <w:rPr>
                <w:sz w:val="18"/>
                <w:szCs w:val="18"/>
              </w:rPr>
            </w:pPr>
            <w:r>
              <w:rPr>
                <w:sz w:val="18"/>
                <w:szCs w:val="18"/>
              </w:rPr>
              <w:t>编写协调器和终端节点程序，实现温度的无线采集。</w:t>
            </w:r>
          </w:p>
          <w:p>
            <w:pPr>
              <w:snapToGrid w:val="0"/>
              <w:spacing w:line="300" w:lineRule="auto"/>
              <w:rPr>
                <w:sz w:val="18"/>
                <w:szCs w:val="18"/>
              </w:rPr>
            </w:pPr>
            <w:r>
              <w:rPr>
                <w:sz w:val="18"/>
                <w:szCs w:val="18"/>
              </w:rPr>
              <w:t>3</w:t>
            </w:r>
            <w:r>
              <w:rPr>
                <w:szCs w:val="21"/>
              </w:rPr>
              <w:t>．</w:t>
            </w:r>
            <w:r>
              <w:rPr>
                <w:sz w:val="18"/>
                <w:szCs w:val="18"/>
              </w:rPr>
              <w:t>讨论内容</w:t>
            </w:r>
          </w:p>
          <w:p>
            <w:pPr>
              <w:snapToGrid w:val="0"/>
              <w:spacing w:line="300" w:lineRule="auto"/>
              <w:rPr>
                <w:sz w:val="18"/>
                <w:szCs w:val="18"/>
              </w:rPr>
            </w:pPr>
            <w:r>
              <w:rPr>
                <w:sz w:val="18"/>
                <w:szCs w:val="18"/>
              </w:rPr>
              <w:t>设计一个虾塘溶解氧远程无线采集控制系统，讨论器网络架构及个模块功能实现方案。</w:t>
            </w:r>
          </w:p>
          <w:p>
            <w:pPr>
              <w:snapToGrid w:val="0"/>
              <w:spacing w:line="300" w:lineRule="auto"/>
              <w:rPr>
                <w:sz w:val="18"/>
                <w:szCs w:val="18"/>
              </w:rPr>
            </w:pPr>
            <w:r>
              <w:rPr>
                <w:sz w:val="18"/>
                <w:szCs w:val="18"/>
              </w:rPr>
              <w:t>4</w:t>
            </w:r>
            <w:r>
              <w:rPr>
                <w:szCs w:val="21"/>
              </w:rPr>
              <w:t>．</w:t>
            </w:r>
            <w:r>
              <w:rPr>
                <w:sz w:val="18"/>
                <w:szCs w:val="18"/>
              </w:rPr>
              <w:t>自学拓展：</w:t>
            </w:r>
          </w:p>
          <w:p>
            <w:pPr>
              <w:snapToGrid w:val="0"/>
              <w:spacing w:line="300" w:lineRule="auto"/>
              <w:rPr>
                <w:sz w:val="18"/>
                <w:szCs w:val="18"/>
              </w:rPr>
            </w:pPr>
            <w:r>
              <w:rPr>
                <w:sz w:val="18"/>
                <w:szCs w:val="18"/>
              </w:rPr>
              <w:t>网上查阅资料，理解协调器、终端节点的角色任务和协同工作。</w:t>
            </w:r>
          </w:p>
        </w:tc>
        <w:tc>
          <w:tcPr>
            <w:tcW w:w="594" w:type="dxa"/>
            <w:vAlign w:val="center"/>
          </w:tcPr>
          <w:p>
            <w:pPr>
              <w:widowControl/>
              <w:jc w:val="center"/>
              <w:rPr>
                <w:sz w:val="18"/>
                <w:szCs w:val="18"/>
              </w:rPr>
            </w:pPr>
            <w:r>
              <w:rPr>
                <w:kern w:val="0"/>
                <w:sz w:val="18"/>
                <w:szCs w:val="18"/>
              </w:rPr>
              <w:t>4</w:t>
            </w:r>
          </w:p>
        </w:tc>
        <w:tc>
          <w:tcPr>
            <w:tcW w:w="825" w:type="dxa"/>
            <w:vAlign w:val="center"/>
          </w:tcPr>
          <w:p>
            <w:pPr>
              <w:snapToGrid w:val="0"/>
              <w:spacing w:line="300" w:lineRule="auto"/>
              <w:jc w:val="left"/>
              <w:rPr>
                <w:sz w:val="18"/>
                <w:szCs w:val="18"/>
              </w:rPr>
            </w:pPr>
            <w:r>
              <w:rPr>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10"/>
        <w:gridCol w:w="3074"/>
        <w:gridCol w:w="697"/>
        <w:gridCol w:w="696"/>
        <w:gridCol w:w="696"/>
        <w:gridCol w:w="623"/>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3" w:type="dxa"/>
            <w:vAlign w:val="center"/>
          </w:tcPr>
          <w:p>
            <w:pPr>
              <w:snapToGrid w:val="0"/>
              <w:spacing w:line="300" w:lineRule="auto"/>
              <w:jc w:val="center"/>
              <w:rPr>
                <w:b/>
                <w:bCs/>
                <w:sz w:val="18"/>
                <w:szCs w:val="18"/>
              </w:rPr>
            </w:pPr>
            <w:r>
              <w:rPr>
                <w:b/>
                <w:bCs/>
                <w:kern w:val="0"/>
                <w:sz w:val="18"/>
                <w:szCs w:val="18"/>
              </w:rPr>
              <w:t>序号</w:t>
            </w:r>
          </w:p>
        </w:tc>
        <w:tc>
          <w:tcPr>
            <w:tcW w:w="1510" w:type="dxa"/>
            <w:vAlign w:val="center"/>
          </w:tcPr>
          <w:p>
            <w:pPr>
              <w:snapToGrid w:val="0"/>
              <w:spacing w:line="300" w:lineRule="auto"/>
              <w:jc w:val="center"/>
              <w:rPr>
                <w:b/>
                <w:bCs/>
                <w:sz w:val="18"/>
                <w:szCs w:val="18"/>
              </w:rPr>
            </w:pPr>
            <w:r>
              <w:rPr>
                <w:b/>
                <w:bCs/>
                <w:kern w:val="0"/>
                <w:sz w:val="18"/>
                <w:szCs w:val="18"/>
              </w:rPr>
              <w:t>实验项目名称</w:t>
            </w:r>
          </w:p>
        </w:tc>
        <w:tc>
          <w:tcPr>
            <w:tcW w:w="3074" w:type="dxa"/>
            <w:vAlign w:val="center"/>
          </w:tcPr>
          <w:p>
            <w:pPr>
              <w:snapToGrid w:val="0"/>
              <w:spacing w:line="300" w:lineRule="auto"/>
              <w:jc w:val="center"/>
              <w:rPr>
                <w:b/>
                <w:bCs/>
                <w:sz w:val="18"/>
                <w:szCs w:val="18"/>
              </w:rPr>
            </w:pPr>
            <w:r>
              <w:rPr>
                <w:b/>
                <w:bCs/>
                <w:kern w:val="0"/>
                <w:sz w:val="18"/>
                <w:szCs w:val="18"/>
              </w:rPr>
              <w:t>目的要求</w:t>
            </w:r>
          </w:p>
        </w:tc>
        <w:tc>
          <w:tcPr>
            <w:tcW w:w="697"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6"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2"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pPr>
              <w:snapToGrid w:val="0"/>
              <w:spacing w:line="300" w:lineRule="auto"/>
              <w:jc w:val="center"/>
              <w:rPr>
                <w:sz w:val="18"/>
                <w:szCs w:val="18"/>
              </w:rPr>
            </w:pPr>
            <w:r>
              <w:rPr>
                <w:sz w:val="18"/>
                <w:szCs w:val="18"/>
              </w:rPr>
              <w:t>1</w:t>
            </w:r>
          </w:p>
        </w:tc>
        <w:tc>
          <w:tcPr>
            <w:tcW w:w="1510" w:type="dxa"/>
            <w:vAlign w:val="center"/>
          </w:tcPr>
          <w:p>
            <w:pPr>
              <w:snapToGrid w:val="0"/>
              <w:spacing w:line="300" w:lineRule="auto"/>
              <w:rPr>
                <w:sz w:val="18"/>
                <w:szCs w:val="18"/>
              </w:rPr>
            </w:pPr>
            <w:r>
              <w:rPr>
                <w:sz w:val="18"/>
                <w:szCs w:val="18"/>
              </w:rPr>
              <w:t>无线传感器网络基础实验</w:t>
            </w:r>
          </w:p>
        </w:tc>
        <w:tc>
          <w:tcPr>
            <w:tcW w:w="3074" w:type="dxa"/>
          </w:tcPr>
          <w:p>
            <w:pPr>
              <w:snapToGrid w:val="0"/>
              <w:spacing w:line="300" w:lineRule="auto"/>
              <w:rPr>
                <w:sz w:val="18"/>
                <w:szCs w:val="18"/>
              </w:rPr>
            </w:pPr>
            <w:r>
              <w:rPr>
                <w:sz w:val="18"/>
                <w:szCs w:val="18"/>
              </w:rPr>
              <w:t>目的：</w:t>
            </w:r>
          </w:p>
          <w:p>
            <w:pPr>
              <w:snapToGrid w:val="0"/>
              <w:spacing w:line="300" w:lineRule="auto"/>
              <w:rPr>
                <w:sz w:val="18"/>
                <w:szCs w:val="18"/>
              </w:rPr>
            </w:pPr>
            <w:r>
              <w:rPr>
                <w:rFonts w:hint="eastAsia" w:ascii="宋体" w:hAnsi="宋体" w:cs="宋体"/>
                <w:sz w:val="18"/>
                <w:szCs w:val="18"/>
              </w:rPr>
              <w:t>①</w:t>
            </w:r>
            <w:r>
              <w:rPr>
                <w:sz w:val="18"/>
                <w:szCs w:val="18"/>
              </w:rPr>
              <w:t>掌握IAR集成开发环境的使用方法；</w:t>
            </w:r>
            <w:r>
              <w:rPr>
                <w:rFonts w:hint="eastAsia" w:ascii="宋体" w:hAnsi="宋体" w:cs="宋体"/>
                <w:sz w:val="18"/>
                <w:szCs w:val="18"/>
              </w:rPr>
              <w:t>②</w:t>
            </w:r>
            <w:r>
              <w:rPr>
                <w:sz w:val="18"/>
                <w:szCs w:val="18"/>
              </w:rPr>
              <w:t>掌握调试硬件接口连接、编译、下载、调试的步骤方法；</w:t>
            </w:r>
            <w:r>
              <w:rPr>
                <w:rFonts w:hint="eastAsia" w:ascii="宋体" w:hAnsi="宋体" w:cs="宋体"/>
                <w:sz w:val="18"/>
                <w:szCs w:val="18"/>
              </w:rPr>
              <w:t>③</w:t>
            </w:r>
            <w:r>
              <w:rPr>
                <w:sz w:val="18"/>
                <w:szCs w:val="18"/>
              </w:rPr>
              <w:t>掌握CC2530的IO端口控制方法。</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在IAR集成开发环境中建立项目；</w:t>
            </w:r>
            <w:r>
              <w:rPr>
                <w:rFonts w:hint="eastAsia" w:ascii="宋体" w:hAnsi="宋体" w:cs="宋体"/>
                <w:sz w:val="18"/>
                <w:szCs w:val="18"/>
              </w:rPr>
              <w:t>②</w:t>
            </w:r>
            <w:r>
              <w:rPr>
                <w:sz w:val="18"/>
                <w:szCs w:val="18"/>
              </w:rPr>
              <w:t>用调试工具将开发板和PC计连接并在IAR中进行配置；</w:t>
            </w:r>
            <w:r>
              <w:rPr>
                <w:rFonts w:hint="eastAsia" w:ascii="宋体" w:hAnsi="宋体" w:cs="宋体"/>
                <w:sz w:val="18"/>
                <w:szCs w:val="18"/>
              </w:rPr>
              <w:t>③</w:t>
            </w:r>
            <w:r>
              <w:rPr>
                <w:sz w:val="18"/>
                <w:szCs w:val="18"/>
              </w:rPr>
              <w:t>编写IO控制程序；</w:t>
            </w:r>
            <w:r>
              <w:rPr>
                <w:rFonts w:hint="eastAsia" w:ascii="宋体" w:hAnsi="宋体" w:cs="宋体"/>
                <w:sz w:val="18"/>
                <w:szCs w:val="18"/>
              </w:rPr>
              <w:t>④</w:t>
            </w:r>
            <w:r>
              <w:rPr>
                <w:sz w:val="18"/>
                <w:szCs w:val="18"/>
              </w:rPr>
              <w:t>编译并下载，进行单步、断点调试。</w:t>
            </w:r>
          </w:p>
        </w:tc>
        <w:tc>
          <w:tcPr>
            <w:tcW w:w="697"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验证</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2" w:type="dxa"/>
            <w:vAlign w:val="center"/>
          </w:tcPr>
          <w:p>
            <w:pPr>
              <w:snapToGrid w:val="0"/>
              <w:spacing w:line="300" w:lineRule="auto"/>
              <w:jc w:val="left"/>
              <w:rPr>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3" w:type="dxa"/>
            <w:vAlign w:val="center"/>
          </w:tcPr>
          <w:p>
            <w:pPr>
              <w:snapToGrid w:val="0"/>
              <w:spacing w:line="300" w:lineRule="auto"/>
              <w:jc w:val="center"/>
              <w:rPr>
                <w:sz w:val="18"/>
                <w:szCs w:val="18"/>
              </w:rPr>
            </w:pPr>
            <w:r>
              <w:rPr>
                <w:sz w:val="18"/>
                <w:szCs w:val="18"/>
              </w:rPr>
              <w:t>2</w:t>
            </w:r>
          </w:p>
        </w:tc>
        <w:tc>
          <w:tcPr>
            <w:tcW w:w="1510" w:type="dxa"/>
            <w:vAlign w:val="center"/>
          </w:tcPr>
          <w:p>
            <w:pPr>
              <w:snapToGrid w:val="0"/>
              <w:spacing w:line="300" w:lineRule="auto"/>
              <w:rPr>
                <w:sz w:val="18"/>
                <w:szCs w:val="18"/>
              </w:rPr>
            </w:pPr>
            <w:r>
              <w:rPr>
                <w:sz w:val="18"/>
                <w:szCs w:val="18"/>
              </w:rPr>
              <w:t>点对点无线通信实验</w:t>
            </w:r>
          </w:p>
        </w:tc>
        <w:tc>
          <w:tcPr>
            <w:tcW w:w="3074" w:type="dxa"/>
          </w:tcPr>
          <w:p>
            <w:pPr>
              <w:snapToGrid w:val="0"/>
              <w:spacing w:line="300" w:lineRule="auto"/>
              <w:rPr>
                <w:sz w:val="18"/>
                <w:szCs w:val="18"/>
              </w:rPr>
            </w:pPr>
            <w:r>
              <w:rPr>
                <w:sz w:val="18"/>
                <w:szCs w:val="18"/>
              </w:rPr>
              <w:t>目的：</w:t>
            </w:r>
          </w:p>
          <w:p>
            <w:pPr>
              <w:snapToGrid w:val="0"/>
              <w:spacing w:line="300" w:lineRule="auto"/>
              <w:rPr>
                <w:sz w:val="18"/>
                <w:szCs w:val="18"/>
              </w:rPr>
            </w:pPr>
            <w:r>
              <w:rPr>
                <w:rFonts w:hint="eastAsia" w:ascii="宋体" w:hAnsi="宋体" w:cs="宋体"/>
                <w:sz w:val="18"/>
                <w:szCs w:val="18"/>
              </w:rPr>
              <w:t>①</w:t>
            </w:r>
            <w:r>
              <w:rPr>
                <w:sz w:val="18"/>
                <w:szCs w:val="18"/>
              </w:rPr>
              <w:t>掌握CC2530的发送和接收相关寄存器的使用方法；</w:t>
            </w:r>
            <w:r>
              <w:rPr>
                <w:rFonts w:hint="eastAsia" w:ascii="宋体" w:hAnsi="宋体" w:cs="宋体"/>
                <w:sz w:val="18"/>
                <w:szCs w:val="18"/>
              </w:rPr>
              <w:t>②</w:t>
            </w:r>
            <w:r>
              <w:rPr>
                <w:sz w:val="18"/>
                <w:szCs w:val="18"/>
              </w:rPr>
              <w:t>掌握FIFO的用法；</w:t>
            </w:r>
            <w:r>
              <w:rPr>
                <w:rFonts w:hint="eastAsia" w:ascii="宋体" w:hAnsi="宋体" w:cs="宋体"/>
                <w:sz w:val="18"/>
                <w:szCs w:val="18"/>
              </w:rPr>
              <w:t>③</w:t>
            </w:r>
            <w:r>
              <w:rPr>
                <w:sz w:val="18"/>
                <w:szCs w:val="18"/>
              </w:rPr>
              <w:t>掌握开发板的7段数码显示管的用法；</w:t>
            </w:r>
            <w:r>
              <w:rPr>
                <w:rFonts w:hint="eastAsia" w:ascii="宋体" w:hAnsi="宋体" w:cs="宋体"/>
                <w:sz w:val="18"/>
                <w:szCs w:val="18"/>
              </w:rPr>
              <w:t>④</w:t>
            </w:r>
            <w:r>
              <w:rPr>
                <w:sz w:val="18"/>
                <w:szCs w:val="18"/>
              </w:rPr>
              <w:t>掌握下载查看芯片数据手册的能力。</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下载CC2530数据手册，并阅读目录；</w:t>
            </w:r>
            <w:r>
              <w:rPr>
                <w:rFonts w:hint="eastAsia" w:ascii="宋体" w:hAnsi="宋体" w:cs="宋体"/>
                <w:sz w:val="18"/>
                <w:szCs w:val="18"/>
              </w:rPr>
              <w:t>②</w:t>
            </w:r>
            <w:r>
              <w:rPr>
                <w:sz w:val="18"/>
                <w:szCs w:val="18"/>
              </w:rPr>
              <w:t>对照课本，查看数据手册中发送和接受相关寄存器的说明；</w:t>
            </w:r>
            <w:r>
              <w:rPr>
                <w:rFonts w:hint="eastAsia" w:ascii="宋体" w:hAnsi="宋体" w:cs="宋体"/>
                <w:sz w:val="18"/>
                <w:szCs w:val="18"/>
              </w:rPr>
              <w:t>③</w:t>
            </w:r>
            <w:r>
              <w:rPr>
                <w:sz w:val="18"/>
                <w:szCs w:val="18"/>
              </w:rPr>
              <w:t>编写调试发送和接收数据程序；</w:t>
            </w:r>
            <w:r>
              <w:rPr>
                <w:rFonts w:hint="eastAsia" w:ascii="宋体" w:hAnsi="宋体" w:cs="宋体"/>
                <w:sz w:val="18"/>
                <w:szCs w:val="18"/>
              </w:rPr>
              <w:t>④</w:t>
            </w:r>
            <w:r>
              <w:rPr>
                <w:sz w:val="18"/>
                <w:szCs w:val="18"/>
              </w:rPr>
              <w:t>编译并下载，进行单步、断点调试。</w:t>
            </w:r>
          </w:p>
        </w:tc>
        <w:tc>
          <w:tcPr>
            <w:tcW w:w="697"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验证</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2" w:type="dxa"/>
            <w:vAlign w:val="center"/>
          </w:tcPr>
          <w:p>
            <w:pPr>
              <w:widowControl/>
              <w:snapToGrid w:val="0"/>
              <w:spacing w:line="300" w:lineRule="auto"/>
              <w:jc w:val="left"/>
              <w:rPr>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3" w:type="dxa"/>
            <w:vAlign w:val="center"/>
          </w:tcPr>
          <w:p>
            <w:pPr>
              <w:snapToGrid w:val="0"/>
              <w:spacing w:line="300" w:lineRule="auto"/>
              <w:jc w:val="center"/>
              <w:rPr>
                <w:sz w:val="18"/>
                <w:szCs w:val="18"/>
              </w:rPr>
            </w:pPr>
            <w:r>
              <w:rPr>
                <w:sz w:val="18"/>
                <w:szCs w:val="18"/>
              </w:rPr>
              <w:t>3</w:t>
            </w:r>
          </w:p>
        </w:tc>
        <w:tc>
          <w:tcPr>
            <w:tcW w:w="1510" w:type="dxa"/>
            <w:vAlign w:val="center"/>
          </w:tcPr>
          <w:p>
            <w:pPr>
              <w:snapToGrid w:val="0"/>
              <w:spacing w:line="300" w:lineRule="auto"/>
              <w:rPr>
                <w:sz w:val="18"/>
                <w:szCs w:val="18"/>
              </w:rPr>
            </w:pPr>
            <w:r>
              <w:rPr>
                <w:sz w:val="18"/>
                <w:szCs w:val="18"/>
              </w:rPr>
              <w:t>无线传感器网络自组网串口通信实验</w:t>
            </w:r>
          </w:p>
        </w:tc>
        <w:tc>
          <w:tcPr>
            <w:tcW w:w="3074" w:type="dxa"/>
          </w:tcPr>
          <w:p>
            <w:pPr>
              <w:snapToGrid w:val="0"/>
              <w:spacing w:line="300" w:lineRule="auto"/>
              <w:rPr>
                <w:sz w:val="18"/>
                <w:szCs w:val="18"/>
              </w:rPr>
            </w:pPr>
            <w:r>
              <w:rPr>
                <w:sz w:val="18"/>
                <w:szCs w:val="18"/>
              </w:rPr>
              <w:t>目的：</w:t>
            </w:r>
          </w:p>
          <w:p>
            <w:pPr>
              <w:snapToGrid w:val="0"/>
              <w:spacing w:line="300" w:lineRule="auto"/>
              <w:rPr>
                <w:sz w:val="18"/>
                <w:szCs w:val="18"/>
              </w:rPr>
            </w:pPr>
            <w:r>
              <w:rPr>
                <w:rFonts w:hint="eastAsia" w:ascii="宋体" w:hAnsi="宋体" w:cs="宋体"/>
                <w:sz w:val="18"/>
                <w:szCs w:val="18"/>
              </w:rPr>
              <w:t>①</w:t>
            </w:r>
            <w:r>
              <w:rPr>
                <w:sz w:val="18"/>
                <w:szCs w:val="18"/>
              </w:rPr>
              <w:t>掌握协调器、终端的工程模板的使用；</w:t>
            </w:r>
            <w:r>
              <w:rPr>
                <w:rFonts w:hint="eastAsia" w:ascii="宋体" w:hAnsi="宋体" w:cs="宋体"/>
                <w:sz w:val="18"/>
                <w:szCs w:val="18"/>
              </w:rPr>
              <w:t>②</w:t>
            </w:r>
            <w:r>
              <w:rPr>
                <w:sz w:val="18"/>
                <w:szCs w:val="18"/>
              </w:rPr>
              <w:t>掌握CC2530串口的使用方法。</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利用模板，编写协调器程序，了解协调器创建网络类型、地址分配；</w:t>
            </w:r>
            <w:r>
              <w:rPr>
                <w:rFonts w:hint="eastAsia" w:ascii="宋体" w:hAnsi="宋体" w:cs="宋体"/>
                <w:sz w:val="18"/>
                <w:szCs w:val="18"/>
              </w:rPr>
              <w:t>②</w:t>
            </w:r>
            <w:r>
              <w:rPr>
                <w:sz w:val="18"/>
                <w:szCs w:val="18"/>
              </w:rPr>
              <w:t>利用工程模板，创建终端校色，编写程序检测终端入网情况、网络地址；</w:t>
            </w:r>
            <w:r>
              <w:rPr>
                <w:rFonts w:hint="eastAsia" w:ascii="宋体" w:hAnsi="宋体" w:cs="宋体"/>
                <w:sz w:val="18"/>
                <w:szCs w:val="18"/>
              </w:rPr>
              <w:t>③</w:t>
            </w:r>
            <w:r>
              <w:rPr>
                <w:sz w:val="18"/>
                <w:szCs w:val="18"/>
              </w:rPr>
              <w:t>查看CC2530数据手册，编写串口通信函数；</w:t>
            </w:r>
            <w:r>
              <w:rPr>
                <w:rFonts w:hint="eastAsia" w:ascii="宋体" w:hAnsi="宋体" w:cs="宋体"/>
                <w:sz w:val="18"/>
                <w:szCs w:val="18"/>
              </w:rPr>
              <w:t>④</w:t>
            </w:r>
            <w:r>
              <w:rPr>
                <w:sz w:val="18"/>
                <w:szCs w:val="18"/>
              </w:rPr>
              <w:t>编译并下载，进行调试。</w:t>
            </w:r>
          </w:p>
        </w:tc>
        <w:tc>
          <w:tcPr>
            <w:tcW w:w="697" w:type="dxa"/>
            <w:vAlign w:val="center"/>
          </w:tcPr>
          <w:p>
            <w:pPr>
              <w:snapToGrid w:val="0"/>
              <w:spacing w:line="300" w:lineRule="auto"/>
              <w:jc w:val="center"/>
              <w:rPr>
                <w:kern w:val="0"/>
                <w:sz w:val="18"/>
                <w:szCs w:val="18"/>
              </w:rPr>
            </w:pPr>
            <w:r>
              <w:rPr>
                <w:kern w:val="0"/>
                <w:sz w:val="18"/>
                <w:szCs w:val="18"/>
              </w:rPr>
              <w:t>2</w:t>
            </w:r>
          </w:p>
        </w:tc>
        <w:tc>
          <w:tcPr>
            <w:tcW w:w="696" w:type="dxa"/>
            <w:vAlign w:val="center"/>
          </w:tcPr>
          <w:p>
            <w:pPr>
              <w:snapToGrid w:val="0"/>
              <w:spacing w:line="300" w:lineRule="auto"/>
              <w:jc w:val="center"/>
              <w:rPr>
                <w:kern w:val="0"/>
                <w:sz w:val="18"/>
                <w:szCs w:val="18"/>
              </w:rPr>
            </w:pPr>
            <w:r>
              <w:rPr>
                <w:kern w:val="0"/>
                <w:sz w:val="18"/>
                <w:szCs w:val="18"/>
              </w:rPr>
              <w:t>设计</w:t>
            </w:r>
          </w:p>
        </w:tc>
        <w:tc>
          <w:tcPr>
            <w:tcW w:w="696" w:type="dxa"/>
            <w:vAlign w:val="center"/>
          </w:tcPr>
          <w:p>
            <w:pPr>
              <w:snapToGrid w:val="0"/>
              <w:spacing w:line="300" w:lineRule="auto"/>
              <w:jc w:val="center"/>
              <w:rPr>
                <w:kern w:val="0"/>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2" w:type="dxa"/>
            <w:vAlign w:val="center"/>
          </w:tcPr>
          <w:p>
            <w:pPr>
              <w:snapToGrid w:val="0"/>
              <w:spacing w:line="300" w:lineRule="auto"/>
              <w:jc w:val="left"/>
              <w:rPr>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3" w:type="dxa"/>
            <w:vAlign w:val="center"/>
          </w:tcPr>
          <w:p>
            <w:pPr>
              <w:snapToGrid w:val="0"/>
              <w:spacing w:line="300" w:lineRule="auto"/>
              <w:jc w:val="center"/>
              <w:rPr>
                <w:sz w:val="18"/>
                <w:szCs w:val="18"/>
              </w:rPr>
            </w:pPr>
            <w:r>
              <w:rPr>
                <w:sz w:val="18"/>
                <w:szCs w:val="18"/>
              </w:rPr>
              <w:t>4</w:t>
            </w:r>
          </w:p>
        </w:tc>
        <w:tc>
          <w:tcPr>
            <w:tcW w:w="1510" w:type="dxa"/>
            <w:vAlign w:val="center"/>
          </w:tcPr>
          <w:p>
            <w:pPr>
              <w:snapToGrid w:val="0"/>
              <w:spacing w:line="300" w:lineRule="auto"/>
              <w:rPr>
                <w:sz w:val="18"/>
                <w:szCs w:val="18"/>
              </w:rPr>
            </w:pPr>
            <w:r>
              <w:rPr>
                <w:sz w:val="18"/>
                <w:szCs w:val="18"/>
              </w:rPr>
              <w:t>传感器数据采集及数据传输实验</w:t>
            </w:r>
          </w:p>
        </w:tc>
        <w:tc>
          <w:tcPr>
            <w:tcW w:w="3074" w:type="dxa"/>
          </w:tcPr>
          <w:p>
            <w:pPr>
              <w:snapToGrid w:val="0"/>
              <w:spacing w:line="300" w:lineRule="auto"/>
              <w:rPr>
                <w:sz w:val="18"/>
                <w:szCs w:val="18"/>
              </w:rPr>
            </w:pPr>
            <w:r>
              <w:rPr>
                <w:sz w:val="18"/>
                <w:szCs w:val="18"/>
              </w:rPr>
              <w:t>目的：</w:t>
            </w:r>
          </w:p>
          <w:p>
            <w:pPr>
              <w:snapToGrid w:val="0"/>
              <w:spacing w:line="300" w:lineRule="auto"/>
              <w:rPr>
                <w:sz w:val="18"/>
                <w:szCs w:val="18"/>
              </w:rPr>
            </w:pPr>
            <w:r>
              <w:rPr>
                <w:rFonts w:hint="eastAsia" w:ascii="宋体" w:hAnsi="宋体" w:cs="宋体"/>
                <w:sz w:val="18"/>
                <w:szCs w:val="18"/>
              </w:rPr>
              <w:t>①</w:t>
            </w:r>
            <w:r>
              <w:rPr>
                <w:sz w:val="18"/>
                <w:szCs w:val="18"/>
              </w:rPr>
              <w:t>掌握利用无线传感器网络设计并实现温湿度采集系统的方法；</w:t>
            </w:r>
            <w:r>
              <w:rPr>
                <w:rFonts w:hint="eastAsia" w:ascii="宋体" w:hAnsi="宋体" w:cs="宋体"/>
                <w:sz w:val="18"/>
                <w:szCs w:val="18"/>
              </w:rPr>
              <w:t>②</w:t>
            </w:r>
            <w:r>
              <w:rPr>
                <w:sz w:val="18"/>
                <w:szCs w:val="18"/>
              </w:rPr>
              <w:t>掌握温湿度传感器DH11的使用方法。</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认真查看温湿度传感器DH11的操作说明手册，编写传感器驱动程序，实现温湿度的采集；</w:t>
            </w:r>
            <w:r>
              <w:rPr>
                <w:rFonts w:hint="eastAsia" w:ascii="宋体" w:hAnsi="宋体" w:cs="宋体"/>
                <w:sz w:val="18"/>
                <w:szCs w:val="18"/>
              </w:rPr>
              <w:t>②</w:t>
            </w:r>
            <w:r>
              <w:rPr>
                <w:sz w:val="18"/>
                <w:szCs w:val="18"/>
              </w:rPr>
              <w:t>利用工程模板创建协调器和终端角色；</w:t>
            </w:r>
            <w:r>
              <w:rPr>
                <w:rFonts w:hint="eastAsia" w:ascii="宋体" w:hAnsi="宋体" w:cs="宋体"/>
                <w:sz w:val="18"/>
                <w:szCs w:val="18"/>
              </w:rPr>
              <w:t>③</w:t>
            </w:r>
            <w:r>
              <w:rPr>
                <w:sz w:val="18"/>
                <w:szCs w:val="18"/>
              </w:rPr>
              <w:t>编写程序；</w:t>
            </w:r>
            <w:r>
              <w:rPr>
                <w:rFonts w:hint="eastAsia" w:ascii="宋体" w:hAnsi="宋体" w:cs="宋体"/>
                <w:sz w:val="18"/>
                <w:szCs w:val="18"/>
              </w:rPr>
              <w:t>④</w:t>
            </w:r>
            <w:r>
              <w:rPr>
                <w:sz w:val="18"/>
                <w:szCs w:val="18"/>
              </w:rPr>
              <w:t>编译并下载，进行调试。</w:t>
            </w:r>
          </w:p>
        </w:tc>
        <w:tc>
          <w:tcPr>
            <w:tcW w:w="697"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综合</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2" w:type="dxa"/>
            <w:vAlign w:val="center"/>
          </w:tcPr>
          <w:p>
            <w:pPr>
              <w:snapToGrid w:val="0"/>
              <w:spacing w:line="300" w:lineRule="auto"/>
              <w:jc w:val="left"/>
              <w:rPr>
                <w:sz w:val="18"/>
                <w:szCs w:val="18"/>
              </w:rPr>
            </w:pPr>
            <w:r>
              <w:rPr>
                <w:kern w:val="0"/>
                <w:sz w:val="18"/>
                <w:szCs w:val="18"/>
              </w:rPr>
              <w:t>1，2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1．考核方式：闭卷笔试，平时测验及作业，实验报告。</w:t>
      </w:r>
    </w:p>
    <w:p>
      <w:pPr>
        <w:snapToGrid w:val="0"/>
        <w:spacing w:line="300" w:lineRule="auto"/>
        <w:ind w:firstLine="420" w:firstLineChars="200"/>
        <w:rPr>
          <w:szCs w:val="21"/>
        </w:rPr>
      </w:pPr>
      <w:r>
        <w:rPr>
          <w:szCs w:val="21"/>
        </w:rPr>
        <w:t>2．成绩构成：笔试成绩60%，平时成绩40%，其中课堂表现、总体方案报告和项目实施报告等占30%，实验成绩10%。</w:t>
      </w:r>
    </w:p>
    <w:p>
      <w:pPr>
        <w:snapToGrid w:val="0"/>
        <w:spacing w:line="300" w:lineRule="auto"/>
        <w:ind w:firstLine="420" w:firstLineChars="200"/>
        <w:rPr>
          <w:szCs w:val="21"/>
        </w:rPr>
      </w:pPr>
      <w:r>
        <w:rPr>
          <w:szCs w:val="21"/>
        </w:rP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80"/>
        <w:gridCol w:w="584"/>
        <w:gridCol w:w="708"/>
        <w:gridCol w:w="567"/>
        <w:gridCol w:w="3704"/>
        <w:gridCol w:w="832"/>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63"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580" w:type="dxa"/>
            <w:vAlign w:val="center"/>
          </w:tcPr>
          <w:p>
            <w:pPr>
              <w:snapToGrid w:val="0"/>
              <w:spacing w:line="300" w:lineRule="auto"/>
              <w:jc w:val="center"/>
              <w:rPr>
                <w:b/>
                <w:bCs/>
                <w:sz w:val="18"/>
                <w:szCs w:val="18"/>
              </w:rPr>
            </w:pPr>
            <w:r>
              <w:rPr>
                <w:b/>
                <w:bCs/>
                <w:sz w:val="18"/>
                <w:szCs w:val="18"/>
              </w:rPr>
              <w:t>分值</w:t>
            </w:r>
          </w:p>
        </w:tc>
        <w:tc>
          <w:tcPr>
            <w:tcW w:w="584" w:type="dxa"/>
            <w:vAlign w:val="center"/>
          </w:tcPr>
          <w:p>
            <w:pPr>
              <w:snapToGrid w:val="0"/>
              <w:spacing w:line="300" w:lineRule="auto"/>
              <w:jc w:val="center"/>
              <w:rPr>
                <w:b/>
                <w:bCs/>
                <w:sz w:val="18"/>
                <w:szCs w:val="18"/>
              </w:rPr>
            </w:pPr>
            <w:r>
              <w:rPr>
                <w:b/>
                <w:bCs/>
                <w:sz w:val="18"/>
                <w:szCs w:val="18"/>
              </w:rPr>
              <w:t>权重</w:t>
            </w:r>
          </w:p>
        </w:tc>
        <w:tc>
          <w:tcPr>
            <w:tcW w:w="708" w:type="dxa"/>
            <w:vAlign w:val="center"/>
          </w:tcPr>
          <w:p>
            <w:pPr>
              <w:snapToGrid w:val="0"/>
              <w:spacing w:line="300" w:lineRule="auto"/>
              <w:jc w:val="center"/>
              <w:rPr>
                <w:b/>
                <w:bCs/>
                <w:sz w:val="18"/>
                <w:szCs w:val="18"/>
              </w:rPr>
            </w:pPr>
            <w:r>
              <w:rPr>
                <w:b/>
                <w:bCs/>
                <w:sz w:val="18"/>
                <w:szCs w:val="18"/>
              </w:rPr>
              <w:t>类别</w:t>
            </w:r>
          </w:p>
        </w:tc>
        <w:tc>
          <w:tcPr>
            <w:tcW w:w="567" w:type="dxa"/>
            <w:vAlign w:val="center"/>
          </w:tcPr>
          <w:p>
            <w:pPr>
              <w:snapToGrid w:val="0"/>
              <w:spacing w:line="300" w:lineRule="auto"/>
              <w:jc w:val="center"/>
              <w:rPr>
                <w:b/>
                <w:bCs/>
                <w:sz w:val="18"/>
                <w:szCs w:val="18"/>
              </w:rPr>
            </w:pPr>
            <w:r>
              <w:rPr>
                <w:b/>
                <w:bCs/>
                <w:sz w:val="18"/>
                <w:szCs w:val="18"/>
              </w:rPr>
              <w:t>权重</w:t>
            </w:r>
          </w:p>
        </w:tc>
        <w:tc>
          <w:tcPr>
            <w:tcW w:w="3704" w:type="dxa"/>
            <w:vAlign w:val="center"/>
          </w:tcPr>
          <w:p>
            <w:pPr>
              <w:snapToGrid w:val="0"/>
              <w:spacing w:line="300" w:lineRule="auto"/>
              <w:jc w:val="center"/>
              <w:rPr>
                <w:b/>
                <w:bCs/>
                <w:sz w:val="18"/>
                <w:szCs w:val="18"/>
              </w:rPr>
            </w:pPr>
            <w:r>
              <w:rPr>
                <w:b/>
                <w:bCs/>
                <w:sz w:val="18"/>
                <w:szCs w:val="18"/>
              </w:rPr>
              <w:t>考核/评价细则</w:t>
            </w:r>
          </w:p>
        </w:tc>
        <w:tc>
          <w:tcPr>
            <w:tcW w:w="832" w:type="dxa"/>
            <w:vAlign w:val="center"/>
          </w:tcPr>
          <w:p>
            <w:pPr>
              <w:snapToGrid w:val="0"/>
              <w:spacing w:line="300" w:lineRule="auto"/>
              <w:jc w:val="center"/>
              <w:rPr>
                <w:b/>
                <w:bCs/>
                <w:sz w:val="18"/>
                <w:szCs w:val="18"/>
              </w:rPr>
            </w:pPr>
            <w:r>
              <w:rPr>
                <w:b/>
                <w:bCs/>
                <w:sz w:val="18"/>
                <w:szCs w:val="18"/>
              </w:rPr>
              <w:t>课程目标</w:t>
            </w:r>
          </w:p>
        </w:tc>
        <w:tc>
          <w:tcPr>
            <w:tcW w:w="979" w:type="dxa"/>
          </w:tcPr>
          <w:p>
            <w:pPr>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vAlign w:val="center"/>
          </w:tcPr>
          <w:p>
            <w:pPr>
              <w:snapToGrid w:val="0"/>
              <w:spacing w:line="300" w:lineRule="auto"/>
              <w:jc w:val="center"/>
              <w:rPr>
                <w:sz w:val="18"/>
                <w:szCs w:val="18"/>
              </w:rPr>
            </w:pPr>
            <w:r>
              <w:rPr>
                <w:sz w:val="18"/>
                <w:szCs w:val="18"/>
              </w:rPr>
              <w:t>平时成绩</w:t>
            </w:r>
          </w:p>
        </w:tc>
        <w:tc>
          <w:tcPr>
            <w:tcW w:w="580" w:type="dxa"/>
            <w:vMerge w:val="restart"/>
            <w:vAlign w:val="center"/>
          </w:tcPr>
          <w:p>
            <w:pPr>
              <w:snapToGrid w:val="0"/>
              <w:spacing w:line="300" w:lineRule="auto"/>
              <w:jc w:val="center"/>
              <w:rPr>
                <w:sz w:val="18"/>
                <w:szCs w:val="18"/>
              </w:rPr>
            </w:pPr>
            <w:r>
              <w:rPr>
                <w:sz w:val="18"/>
                <w:szCs w:val="18"/>
              </w:rPr>
              <w:t>100</w:t>
            </w:r>
          </w:p>
        </w:tc>
        <w:tc>
          <w:tcPr>
            <w:tcW w:w="584" w:type="dxa"/>
            <w:vMerge w:val="restart"/>
            <w:vAlign w:val="center"/>
          </w:tcPr>
          <w:p>
            <w:pPr>
              <w:snapToGrid w:val="0"/>
              <w:spacing w:line="300" w:lineRule="auto"/>
              <w:jc w:val="center"/>
              <w:rPr>
                <w:sz w:val="18"/>
                <w:szCs w:val="18"/>
              </w:rPr>
            </w:pPr>
            <w:r>
              <w:rPr>
                <w:sz w:val="18"/>
                <w:szCs w:val="18"/>
              </w:rPr>
              <w:t>0.4</w:t>
            </w:r>
          </w:p>
        </w:tc>
        <w:tc>
          <w:tcPr>
            <w:tcW w:w="708" w:type="dxa"/>
            <w:vAlign w:val="center"/>
          </w:tcPr>
          <w:p>
            <w:pPr>
              <w:snapToGrid w:val="0"/>
              <w:spacing w:line="300" w:lineRule="auto"/>
              <w:jc w:val="center"/>
              <w:rPr>
                <w:sz w:val="18"/>
                <w:szCs w:val="18"/>
              </w:rPr>
            </w:pPr>
            <w:r>
              <w:rPr>
                <w:sz w:val="18"/>
                <w:szCs w:val="18"/>
              </w:rPr>
              <w:t>课堂表现</w:t>
            </w:r>
          </w:p>
        </w:tc>
        <w:tc>
          <w:tcPr>
            <w:tcW w:w="567" w:type="dxa"/>
            <w:vAlign w:val="center"/>
          </w:tcPr>
          <w:p>
            <w:pPr>
              <w:snapToGrid w:val="0"/>
              <w:spacing w:line="300" w:lineRule="auto"/>
              <w:jc w:val="center"/>
              <w:rPr>
                <w:sz w:val="18"/>
                <w:szCs w:val="18"/>
              </w:rPr>
            </w:pPr>
            <w:r>
              <w:rPr>
                <w:sz w:val="18"/>
                <w:szCs w:val="18"/>
              </w:rPr>
              <w:t>0.25</w:t>
            </w:r>
          </w:p>
        </w:tc>
        <w:tc>
          <w:tcPr>
            <w:tcW w:w="3704" w:type="dxa"/>
            <w:vAlign w:val="center"/>
          </w:tcPr>
          <w:p>
            <w:pPr>
              <w:snapToGrid w:val="0"/>
              <w:spacing w:line="300" w:lineRule="auto"/>
              <w:rPr>
                <w:sz w:val="18"/>
                <w:szCs w:val="18"/>
              </w:rPr>
            </w:pPr>
            <w:r>
              <w:rPr>
                <w:sz w:val="18"/>
                <w:szCs w:val="18"/>
              </w:rPr>
              <w:t>根据学生课堂</w:t>
            </w:r>
            <w:r>
              <w:rPr>
                <w:rFonts w:hint="eastAsia"/>
                <w:sz w:val="18"/>
                <w:szCs w:val="18"/>
              </w:rPr>
              <w:t>出勤等</w:t>
            </w:r>
            <w:r>
              <w:rPr>
                <w:sz w:val="18"/>
                <w:szCs w:val="18"/>
              </w:rPr>
              <w:t>表现打分，满分100。</w:t>
            </w:r>
          </w:p>
        </w:tc>
        <w:tc>
          <w:tcPr>
            <w:tcW w:w="832" w:type="dxa"/>
            <w:vAlign w:val="center"/>
          </w:tcPr>
          <w:p>
            <w:pPr>
              <w:snapToGrid w:val="0"/>
              <w:spacing w:line="300" w:lineRule="auto"/>
              <w:jc w:val="left"/>
              <w:rPr>
                <w:sz w:val="18"/>
                <w:szCs w:val="18"/>
              </w:rPr>
            </w:pPr>
            <w:r>
              <w:rPr>
                <w:sz w:val="18"/>
                <w:szCs w:val="18"/>
              </w:rPr>
              <w:t>1，2</w:t>
            </w:r>
          </w:p>
        </w:tc>
        <w:tc>
          <w:tcPr>
            <w:tcW w:w="979" w:type="dxa"/>
            <w:vAlign w:val="center"/>
          </w:tcPr>
          <w:p>
            <w:pPr>
              <w:snapToGrid w:val="0"/>
              <w:spacing w:line="300" w:lineRule="auto"/>
              <w:jc w:val="left"/>
              <w:rPr>
                <w:sz w:val="18"/>
                <w:szCs w:val="18"/>
              </w:rPr>
            </w:pPr>
            <w:r>
              <w:rPr>
                <w:rFonts w:hint="eastAsia"/>
                <w:sz w:val="18"/>
                <w:szCs w:val="18"/>
              </w:rPr>
              <w:t>3</w:t>
            </w:r>
            <w:r>
              <w:rPr>
                <w:sz w:val="18"/>
                <w:szCs w:val="18"/>
              </w:rPr>
              <w:t>.2</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vAlign w:val="center"/>
          </w:tcPr>
          <w:p>
            <w:pPr>
              <w:snapToGrid w:val="0"/>
              <w:spacing w:line="300" w:lineRule="auto"/>
              <w:jc w:val="center"/>
              <w:rPr>
                <w:sz w:val="18"/>
                <w:szCs w:val="18"/>
              </w:rPr>
            </w:pPr>
          </w:p>
        </w:tc>
        <w:tc>
          <w:tcPr>
            <w:tcW w:w="580" w:type="dxa"/>
            <w:vMerge w:val="continue"/>
            <w:vAlign w:val="center"/>
          </w:tcPr>
          <w:p>
            <w:pPr>
              <w:snapToGrid w:val="0"/>
              <w:spacing w:line="300" w:lineRule="auto"/>
              <w:jc w:val="center"/>
              <w:rPr>
                <w:sz w:val="18"/>
                <w:szCs w:val="18"/>
              </w:rPr>
            </w:pPr>
          </w:p>
        </w:tc>
        <w:tc>
          <w:tcPr>
            <w:tcW w:w="584" w:type="dxa"/>
            <w:vMerge w:val="continue"/>
            <w:vAlign w:val="center"/>
          </w:tcPr>
          <w:p>
            <w:pPr>
              <w:snapToGrid w:val="0"/>
              <w:spacing w:line="300" w:lineRule="auto"/>
              <w:jc w:val="center"/>
              <w:rPr>
                <w:sz w:val="18"/>
                <w:szCs w:val="18"/>
              </w:rPr>
            </w:pPr>
          </w:p>
        </w:tc>
        <w:tc>
          <w:tcPr>
            <w:tcW w:w="708" w:type="dxa"/>
            <w:vAlign w:val="center"/>
          </w:tcPr>
          <w:p>
            <w:pPr>
              <w:snapToGrid w:val="0"/>
              <w:spacing w:line="300" w:lineRule="auto"/>
              <w:jc w:val="center"/>
              <w:rPr>
                <w:sz w:val="18"/>
                <w:szCs w:val="18"/>
              </w:rPr>
            </w:pPr>
            <w:r>
              <w:rPr>
                <w:sz w:val="18"/>
                <w:szCs w:val="18"/>
              </w:rPr>
              <w:t>实验</w:t>
            </w:r>
          </w:p>
        </w:tc>
        <w:tc>
          <w:tcPr>
            <w:tcW w:w="567" w:type="dxa"/>
            <w:vAlign w:val="center"/>
          </w:tcPr>
          <w:p>
            <w:pPr>
              <w:snapToGrid w:val="0"/>
              <w:spacing w:line="300" w:lineRule="auto"/>
              <w:jc w:val="center"/>
              <w:rPr>
                <w:sz w:val="18"/>
                <w:szCs w:val="18"/>
              </w:rPr>
            </w:pPr>
            <w:r>
              <w:rPr>
                <w:sz w:val="18"/>
                <w:szCs w:val="18"/>
              </w:rPr>
              <w:t>0.25</w:t>
            </w:r>
          </w:p>
        </w:tc>
        <w:tc>
          <w:tcPr>
            <w:tcW w:w="3704" w:type="dxa"/>
            <w:vAlign w:val="center"/>
          </w:tcPr>
          <w:p>
            <w:pPr>
              <w:snapToGrid w:val="0"/>
              <w:spacing w:line="300" w:lineRule="auto"/>
              <w:jc w:val="left"/>
              <w:rPr>
                <w:sz w:val="18"/>
                <w:szCs w:val="18"/>
              </w:rPr>
            </w:pPr>
            <w:r>
              <w:rPr>
                <w:sz w:val="18"/>
                <w:szCs w:val="18"/>
              </w:rPr>
              <w:t>根据实验完成质量，以及实验报告质量评分，按五级制给分，并转换成百分制。</w:t>
            </w:r>
          </w:p>
        </w:tc>
        <w:tc>
          <w:tcPr>
            <w:tcW w:w="832" w:type="dxa"/>
            <w:vAlign w:val="center"/>
          </w:tcPr>
          <w:p>
            <w:pPr>
              <w:snapToGrid w:val="0"/>
              <w:spacing w:line="300" w:lineRule="auto"/>
              <w:jc w:val="left"/>
              <w:rPr>
                <w:sz w:val="18"/>
                <w:szCs w:val="18"/>
              </w:rPr>
            </w:pPr>
            <w:r>
              <w:rPr>
                <w:sz w:val="18"/>
                <w:szCs w:val="18"/>
              </w:rPr>
              <w:t>1，2</w:t>
            </w:r>
          </w:p>
        </w:tc>
        <w:tc>
          <w:tcPr>
            <w:tcW w:w="979" w:type="dxa"/>
            <w:vAlign w:val="center"/>
          </w:tcPr>
          <w:p>
            <w:pPr>
              <w:snapToGrid w:val="0"/>
              <w:spacing w:line="300" w:lineRule="auto"/>
              <w:jc w:val="left"/>
              <w:rPr>
                <w:sz w:val="18"/>
                <w:szCs w:val="18"/>
              </w:rPr>
            </w:pPr>
            <w:r>
              <w:rPr>
                <w:rFonts w:hint="eastAsia"/>
                <w:sz w:val="18"/>
                <w:szCs w:val="18"/>
              </w:rPr>
              <w:t>3</w:t>
            </w:r>
            <w:r>
              <w:rPr>
                <w:sz w:val="18"/>
                <w:szCs w:val="18"/>
              </w:rPr>
              <w:t>.2</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63" w:type="dxa"/>
            <w:vMerge w:val="continue"/>
            <w:vAlign w:val="center"/>
          </w:tcPr>
          <w:p>
            <w:pPr>
              <w:snapToGrid w:val="0"/>
              <w:spacing w:line="300" w:lineRule="auto"/>
              <w:jc w:val="center"/>
              <w:rPr>
                <w:sz w:val="18"/>
                <w:szCs w:val="18"/>
              </w:rPr>
            </w:pPr>
          </w:p>
        </w:tc>
        <w:tc>
          <w:tcPr>
            <w:tcW w:w="580" w:type="dxa"/>
            <w:vMerge w:val="continue"/>
            <w:vAlign w:val="center"/>
          </w:tcPr>
          <w:p>
            <w:pPr>
              <w:snapToGrid w:val="0"/>
              <w:spacing w:line="300" w:lineRule="auto"/>
              <w:jc w:val="center"/>
              <w:rPr>
                <w:sz w:val="18"/>
                <w:szCs w:val="18"/>
              </w:rPr>
            </w:pPr>
          </w:p>
        </w:tc>
        <w:tc>
          <w:tcPr>
            <w:tcW w:w="584" w:type="dxa"/>
            <w:vMerge w:val="continue"/>
            <w:vAlign w:val="center"/>
          </w:tcPr>
          <w:p>
            <w:pPr>
              <w:snapToGrid w:val="0"/>
              <w:spacing w:line="300" w:lineRule="auto"/>
              <w:jc w:val="center"/>
              <w:rPr>
                <w:sz w:val="18"/>
                <w:szCs w:val="18"/>
              </w:rPr>
            </w:pPr>
          </w:p>
        </w:tc>
        <w:tc>
          <w:tcPr>
            <w:tcW w:w="708" w:type="dxa"/>
            <w:vAlign w:val="center"/>
          </w:tcPr>
          <w:p>
            <w:pPr>
              <w:snapToGrid w:val="0"/>
              <w:spacing w:line="300" w:lineRule="auto"/>
              <w:jc w:val="center"/>
              <w:rPr>
                <w:sz w:val="18"/>
                <w:szCs w:val="18"/>
              </w:rPr>
            </w:pPr>
            <w:r>
              <w:rPr>
                <w:sz w:val="18"/>
                <w:szCs w:val="18"/>
              </w:rPr>
              <w:t>项目研究</w:t>
            </w:r>
          </w:p>
        </w:tc>
        <w:tc>
          <w:tcPr>
            <w:tcW w:w="567" w:type="dxa"/>
            <w:vAlign w:val="center"/>
          </w:tcPr>
          <w:p>
            <w:pPr>
              <w:snapToGrid w:val="0"/>
              <w:spacing w:line="300" w:lineRule="auto"/>
              <w:jc w:val="center"/>
              <w:rPr>
                <w:sz w:val="18"/>
                <w:szCs w:val="18"/>
              </w:rPr>
            </w:pPr>
            <w:r>
              <w:rPr>
                <w:sz w:val="18"/>
                <w:szCs w:val="18"/>
              </w:rPr>
              <w:t>0.5</w:t>
            </w:r>
          </w:p>
        </w:tc>
        <w:tc>
          <w:tcPr>
            <w:tcW w:w="3704" w:type="dxa"/>
            <w:vAlign w:val="center"/>
          </w:tcPr>
          <w:p>
            <w:pPr>
              <w:snapToGrid w:val="0"/>
              <w:spacing w:line="300" w:lineRule="auto"/>
              <w:jc w:val="left"/>
              <w:rPr>
                <w:sz w:val="18"/>
                <w:szCs w:val="18"/>
              </w:rPr>
            </w:pPr>
            <w:r>
              <w:rPr>
                <w:sz w:val="18"/>
                <w:szCs w:val="18"/>
              </w:rPr>
              <w:t>以小组为单位选题，并撰写项目论证报告，项目实施报告，以五级制给分，并转换成百分制。</w:t>
            </w:r>
          </w:p>
        </w:tc>
        <w:tc>
          <w:tcPr>
            <w:tcW w:w="832" w:type="dxa"/>
            <w:vAlign w:val="center"/>
          </w:tcPr>
          <w:p>
            <w:pPr>
              <w:snapToGrid w:val="0"/>
              <w:spacing w:line="300" w:lineRule="auto"/>
              <w:jc w:val="left"/>
              <w:rPr>
                <w:sz w:val="18"/>
                <w:szCs w:val="18"/>
              </w:rPr>
            </w:pPr>
            <w:r>
              <w:rPr>
                <w:sz w:val="18"/>
                <w:szCs w:val="18"/>
              </w:rPr>
              <w:t>1，2</w:t>
            </w:r>
          </w:p>
        </w:tc>
        <w:tc>
          <w:tcPr>
            <w:tcW w:w="979" w:type="dxa"/>
            <w:vAlign w:val="center"/>
          </w:tcPr>
          <w:p>
            <w:pPr>
              <w:snapToGrid w:val="0"/>
              <w:spacing w:line="300" w:lineRule="auto"/>
              <w:jc w:val="left"/>
              <w:rPr>
                <w:sz w:val="18"/>
                <w:szCs w:val="18"/>
              </w:rPr>
            </w:pPr>
            <w:r>
              <w:rPr>
                <w:rFonts w:hint="eastAsia"/>
                <w:sz w:val="18"/>
                <w:szCs w:val="18"/>
              </w:rPr>
              <w:t>3</w:t>
            </w:r>
            <w:r>
              <w:rPr>
                <w:sz w:val="18"/>
                <w:szCs w:val="18"/>
              </w:rPr>
              <w:t>.2</w:t>
            </w:r>
            <w:r>
              <w:rPr>
                <w:rFonts w:hint="eastAsia"/>
                <w:sz w:val="18"/>
                <w:szCs w:val="18"/>
              </w:rPr>
              <w:t>，4</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63" w:type="dxa"/>
            <w:vAlign w:val="center"/>
          </w:tcPr>
          <w:p>
            <w:pPr>
              <w:snapToGrid w:val="0"/>
              <w:spacing w:line="300" w:lineRule="auto"/>
              <w:jc w:val="center"/>
              <w:rPr>
                <w:sz w:val="18"/>
                <w:szCs w:val="18"/>
              </w:rPr>
            </w:pPr>
            <w:r>
              <w:rPr>
                <w:sz w:val="18"/>
                <w:szCs w:val="18"/>
              </w:rPr>
              <w:t>期末考试成绩</w:t>
            </w:r>
          </w:p>
        </w:tc>
        <w:tc>
          <w:tcPr>
            <w:tcW w:w="580" w:type="dxa"/>
            <w:vAlign w:val="center"/>
          </w:tcPr>
          <w:p>
            <w:pPr>
              <w:snapToGrid w:val="0"/>
              <w:spacing w:line="300" w:lineRule="auto"/>
              <w:jc w:val="center"/>
              <w:rPr>
                <w:sz w:val="18"/>
                <w:szCs w:val="18"/>
              </w:rPr>
            </w:pPr>
            <w:r>
              <w:rPr>
                <w:sz w:val="18"/>
                <w:szCs w:val="18"/>
              </w:rPr>
              <w:t>100</w:t>
            </w:r>
          </w:p>
        </w:tc>
        <w:tc>
          <w:tcPr>
            <w:tcW w:w="584" w:type="dxa"/>
            <w:vAlign w:val="center"/>
          </w:tcPr>
          <w:p>
            <w:pPr>
              <w:snapToGrid w:val="0"/>
              <w:spacing w:line="300" w:lineRule="auto"/>
              <w:jc w:val="center"/>
              <w:rPr>
                <w:sz w:val="18"/>
                <w:szCs w:val="18"/>
              </w:rPr>
            </w:pPr>
            <w:r>
              <w:rPr>
                <w:sz w:val="18"/>
                <w:szCs w:val="18"/>
              </w:rPr>
              <w:t>0.6</w:t>
            </w:r>
          </w:p>
        </w:tc>
        <w:tc>
          <w:tcPr>
            <w:tcW w:w="708" w:type="dxa"/>
            <w:vAlign w:val="center"/>
          </w:tcPr>
          <w:p>
            <w:pPr>
              <w:snapToGrid w:val="0"/>
              <w:spacing w:line="300" w:lineRule="auto"/>
              <w:jc w:val="left"/>
              <w:rPr>
                <w:sz w:val="18"/>
                <w:szCs w:val="18"/>
              </w:rPr>
            </w:pPr>
            <w:r>
              <w:rPr>
                <w:sz w:val="18"/>
                <w:szCs w:val="18"/>
              </w:rPr>
              <w:t>闭卷考试</w:t>
            </w:r>
          </w:p>
        </w:tc>
        <w:tc>
          <w:tcPr>
            <w:tcW w:w="567" w:type="dxa"/>
            <w:vAlign w:val="center"/>
          </w:tcPr>
          <w:p>
            <w:pPr>
              <w:snapToGrid w:val="0"/>
              <w:spacing w:line="300" w:lineRule="auto"/>
              <w:jc w:val="center"/>
              <w:rPr>
                <w:sz w:val="18"/>
                <w:szCs w:val="18"/>
              </w:rPr>
            </w:pPr>
            <w:r>
              <w:rPr>
                <w:sz w:val="18"/>
                <w:szCs w:val="18"/>
              </w:rPr>
              <w:t>1</w:t>
            </w:r>
          </w:p>
        </w:tc>
        <w:tc>
          <w:tcPr>
            <w:tcW w:w="3704"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第1-12章，第16章。</w:t>
            </w:r>
          </w:p>
          <w:p>
            <w:pPr>
              <w:snapToGrid w:val="0"/>
              <w:spacing w:line="300" w:lineRule="auto"/>
              <w:rPr>
                <w:sz w:val="18"/>
                <w:szCs w:val="18"/>
              </w:rPr>
            </w:pPr>
            <w:r>
              <w:rPr>
                <w:sz w:val="18"/>
                <w:szCs w:val="18"/>
              </w:rPr>
              <w:t>(3)建议考试题型包括：选择题、填空题、分析判断、综合计算题、证明题等其中某几种题型。</w:t>
            </w:r>
          </w:p>
        </w:tc>
        <w:tc>
          <w:tcPr>
            <w:tcW w:w="832" w:type="dxa"/>
            <w:vAlign w:val="center"/>
          </w:tcPr>
          <w:p>
            <w:pPr>
              <w:snapToGrid w:val="0"/>
              <w:spacing w:line="300" w:lineRule="auto"/>
              <w:jc w:val="left"/>
              <w:rPr>
                <w:sz w:val="18"/>
                <w:szCs w:val="18"/>
              </w:rPr>
            </w:pPr>
            <w:r>
              <w:rPr>
                <w:sz w:val="18"/>
                <w:szCs w:val="18"/>
              </w:rPr>
              <w:t>1，</w:t>
            </w:r>
            <w:r>
              <w:rPr>
                <w:rFonts w:hint="eastAsia"/>
                <w:sz w:val="18"/>
                <w:szCs w:val="18"/>
              </w:rPr>
              <w:t>2</w:t>
            </w:r>
          </w:p>
        </w:tc>
        <w:tc>
          <w:tcPr>
            <w:tcW w:w="979" w:type="dxa"/>
            <w:vAlign w:val="center"/>
          </w:tcPr>
          <w:p>
            <w:pPr>
              <w:snapToGrid w:val="0"/>
              <w:spacing w:line="300" w:lineRule="auto"/>
              <w:jc w:val="left"/>
              <w:rPr>
                <w:sz w:val="18"/>
                <w:szCs w:val="18"/>
              </w:rPr>
            </w:pPr>
            <w:r>
              <w:rPr>
                <w:rFonts w:hint="eastAsia"/>
                <w:sz w:val="18"/>
                <w:szCs w:val="18"/>
              </w:rPr>
              <w:t>3</w:t>
            </w:r>
            <w:r>
              <w:rPr>
                <w:sz w:val="18"/>
                <w:szCs w:val="18"/>
              </w:rPr>
              <w:t>.2</w:t>
            </w:r>
            <w:r>
              <w:rPr>
                <w:rFonts w:hint="eastAsia"/>
                <w:sz w:val="18"/>
                <w:szCs w:val="18"/>
              </w:rPr>
              <w:t>，4</w:t>
            </w:r>
            <w:r>
              <w:rPr>
                <w:sz w:val="18"/>
                <w:szCs w:val="18"/>
              </w:rPr>
              <w:t>.1</w:t>
            </w:r>
          </w:p>
        </w:tc>
      </w:tr>
    </w:tbl>
    <w:p>
      <w:pPr>
        <w:snapToGrid w:val="0"/>
        <w:spacing w:before="156" w:beforeLines="50" w:after="156" w:after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t>．</w:t>
      </w:r>
      <w:r>
        <w:rPr>
          <w:rFonts w:hint="eastAsia"/>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rFonts w:hint="eastAsia"/>
          <w:position w:val="-16"/>
        </w:rPr>
        <w:object>
          <v:shape id="_x0000_i1133"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33" DrawAspect="Content" ObjectID="_1468075831" r:id="rId148">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rPr>
          <w:rFonts w:hint="eastAsia"/>
          <w:position w:val="-10"/>
        </w:rPr>
        <w:object>
          <v:shape id="_x0000_i1134" o:spt="75" type="#_x0000_t75" style="height:24pt;width:246pt;" o:ole="t" filled="f" o:preferrelative="t" stroked="f" coordsize="21600,21600">
            <v:path/>
            <v:fill on="f" focussize="0,0"/>
            <v:stroke on="f" joinstyle="miter"/>
            <v:imagedata r:id="rId59" o:title=""/>
            <o:lock v:ext="edit" aspectratio="t"/>
            <w10:wrap type="none"/>
            <w10:anchorlock/>
          </v:shape>
          <o:OLEObject Type="Embed" ProgID="Equation.DSMT4" ShapeID="_x0000_i1134" DrawAspect="Content" ObjectID="_1468075832" r:id="rId149">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6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600"/>
        <w:gridCol w:w="2083"/>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600" w:type="dxa"/>
            <w:vAlign w:val="center"/>
          </w:tcPr>
          <w:p>
            <w:pPr>
              <w:snapToGrid w:val="0"/>
              <w:spacing w:line="300" w:lineRule="auto"/>
              <w:jc w:val="center"/>
              <w:rPr>
                <w:b/>
                <w:bCs/>
                <w:sz w:val="18"/>
                <w:szCs w:val="18"/>
              </w:rPr>
            </w:pPr>
            <w:r>
              <w:rPr>
                <w:b/>
                <w:bCs/>
                <w:sz w:val="18"/>
                <w:szCs w:val="18"/>
              </w:rPr>
              <w:t>课程目标</w:t>
            </w:r>
          </w:p>
        </w:tc>
        <w:tc>
          <w:tcPr>
            <w:tcW w:w="2083" w:type="dxa"/>
            <w:vAlign w:val="center"/>
          </w:tcPr>
          <w:p>
            <w:pPr>
              <w:snapToGrid w:val="0"/>
              <w:spacing w:line="300" w:lineRule="auto"/>
              <w:jc w:val="center"/>
              <w:rPr>
                <w:sz w:val="18"/>
                <w:szCs w:val="18"/>
              </w:rPr>
            </w:pPr>
            <w:r>
              <w:rPr>
                <w:sz w:val="18"/>
                <w:szCs w:val="18"/>
              </w:rPr>
              <w:t>1</w:t>
            </w:r>
          </w:p>
        </w:tc>
        <w:tc>
          <w:tcPr>
            <w:tcW w:w="2364"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600" w:type="dxa"/>
            <w:vAlign w:val="center"/>
          </w:tcPr>
          <w:p>
            <w:pPr>
              <w:snapToGrid w:val="0"/>
              <w:spacing w:line="300" w:lineRule="auto"/>
              <w:jc w:val="center"/>
              <w:rPr>
                <w:b/>
                <w:bCs/>
                <w:sz w:val="18"/>
                <w:szCs w:val="18"/>
              </w:rPr>
            </w:pPr>
            <w:r>
              <w:rPr>
                <w:b/>
                <w:bCs/>
                <w:sz w:val="18"/>
                <w:szCs w:val="18"/>
              </w:rPr>
              <w:t>权重系数</w:t>
            </w:r>
          </w:p>
        </w:tc>
        <w:tc>
          <w:tcPr>
            <w:tcW w:w="2083" w:type="dxa"/>
            <w:vAlign w:val="center"/>
          </w:tcPr>
          <w:p>
            <w:pPr>
              <w:snapToGrid w:val="0"/>
              <w:spacing w:line="300" w:lineRule="auto"/>
              <w:jc w:val="center"/>
              <w:rPr>
                <w:sz w:val="18"/>
                <w:szCs w:val="18"/>
              </w:rPr>
            </w:pPr>
            <w:r>
              <w:rPr>
                <w:sz w:val="18"/>
                <w:szCs w:val="18"/>
              </w:rPr>
              <w:t>0.</w:t>
            </w:r>
            <w:r>
              <w:rPr>
                <w:rFonts w:hint="eastAsia"/>
                <w:sz w:val="18"/>
                <w:szCs w:val="18"/>
              </w:rPr>
              <w:t>6</w:t>
            </w:r>
          </w:p>
        </w:tc>
        <w:tc>
          <w:tcPr>
            <w:tcW w:w="2364" w:type="dxa"/>
            <w:vAlign w:val="center"/>
          </w:tcPr>
          <w:p>
            <w:pPr>
              <w:snapToGrid w:val="0"/>
              <w:spacing w:line="300" w:lineRule="auto"/>
              <w:jc w:val="center"/>
              <w:rPr>
                <w:sz w:val="18"/>
                <w:szCs w:val="18"/>
              </w:rPr>
            </w:pPr>
            <w:r>
              <w:rPr>
                <w:sz w:val="18"/>
                <w:szCs w:val="18"/>
              </w:rPr>
              <w:t>0.4</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rFonts w:hint="eastAsia"/>
          <w:position w:val="-10"/>
        </w:rPr>
        <w:object>
          <v:shape id="_x0000_i1135" o:spt="75" type="#_x0000_t75" style="height:24pt;width:285pt;" o:ole="t" filled="f" o:preferrelative="t" stroked="f" coordsize="21600,21600">
            <v:path/>
            <v:fill on="f" focussize="0,0"/>
            <v:stroke on="f" joinstyle="miter"/>
            <v:imagedata r:id="rId61" o:title=""/>
            <o:lock v:ext="edit" aspectratio="t"/>
            <w10:wrap type="none"/>
            <w10:anchorlock/>
          </v:shape>
          <o:OLEObject Type="Embed" ProgID="Equation.DSMT4" ShapeID="_x0000_i1135" DrawAspect="Content" ObjectID="_1468075833" r:id="rId150">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1．教材</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[1]《Zigbee开发技术及实践》[M].西安：西安电子科技大学出版社，2016.</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[1]《无线传感器网络技术原理及应用》[M].北京：清华大学出版社，2018.</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[2]《无线传感器网络技术及应用》[M].西安：西安电子科技大学出版社，2016.</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snapToGrid w:val="0"/>
        <w:spacing w:line="300" w:lineRule="auto"/>
        <w:ind w:firstLine="420" w:firstLineChars="200"/>
        <w:rPr>
          <w:rFonts w:ascii="Times New Roman" w:hAnsi="Times New Roman" w:eastAsia="宋体" w:cs="Times New Roman"/>
          <w:szCs w:val="21"/>
        </w:rPr>
      </w:pPr>
    </w:p>
    <w:p>
      <w:pPr>
        <w:pStyle w:val="5"/>
        <w:spacing w:before="260" w:after="260" w:line="413" w:lineRule="auto"/>
        <w:jc w:val="center"/>
        <w:rPr>
          <w:rFonts w:ascii="Times New Roman" w:hAnsi="Times New Roman" w:cs="Times New Roman"/>
          <w:szCs w:val="32"/>
        </w:rPr>
      </w:pPr>
      <w:bookmarkStart w:id="172" w:name="_Toc46489668"/>
      <w:bookmarkStart w:id="173" w:name="_Toc47718798"/>
      <w:bookmarkStart w:id="174" w:name="_Toc47774725"/>
      <w:bookmarkStart w:id="175" w:name="_Toc37358036"/>
      <w:bookmarkStart w:id="176" w:name="_Toc47719769"/>
      <w:bookmarkStart w:id="177" w:name="_Toc38126122"/>
      <w:r>
        <w:rPr>
          <w:rFonts w:ascii="Times New Roman" w:hAnsi="Times New Roman" w:cs="Times New Roman"/>
        </w:rPr>
        <w:br w:type="page"/>
      </w:r>
      <w:bookmarkEnd w:id="172"/>
      <w:bookmarkEnd w:id="173"/>
      <w:bookmarkEnd w:id="174"/>
      <w:bookmarkEnd w:id="175"/>
      <w:bookmarkEnd w:id="176"/>
      <w:bookmarkEnd w:id="177"/>
      <w:bookmarkStart w:id="178" w:name="_Toc38126124"/>
      <w:bookmarkStart w:id="179" w:name="_Toc47718800"/>
      <w:bookmarkStart w:id="180" w:name="_Toc47719771"/>
      <w:bookmarkStart w:id="181" w:name="_Toc25118"/>
      <w:bookmarkStart w:id="182" w:name="_Toc46489670"/>
      <w:bookmarkStart w:id="183" w:name="_Toc47774727"/>
      <w:bookmarkStart w:id="184" w:name="_Hlk36245226"/>
      <w:r>
        <w:rPr>
          <w:rFonts w:ascii="Times New Roman" w:hAnsi="Times New Roman" w:cs="Times New Roman"/>
          <w:sz w:val="32"/>
          <w:szCs w:val="32"/>
        </w:rPr>
        <w:t>33462010</w:t>
      </w:r>
      <w:bookmarkStart w:id="185" w:name="_Hlk36231182"/>
      <w:r>
        <w:rPr>
          <w:rFonts w:hint="eastAsia" w:ascii="Times New Roman" w:hAnsi="Times New Roman" w:cs="Times New Roman"/>
          <w:sz w:val="32"/>
          <w:szCs w:val="32"/>
        </w:rPr>
        <w:t>《</w:t>
      </w:r>
      <w:r>
        <w:rPr>
          <w:rFonts w:ascii="Times New Roman" w:hAnsi="Times New Roman" w:cs="Times New Roman"/>
          <w:sz w:val="32"/>
          <w:szCs w:val="32"/>
        </w:rPr>
        <w:t>DSP</w:t>
      </w:r>
      <w:r>
        <w:rPr>
          <w:rFonts w:hint="eastAsia" w:ascii="Times New Roman" w:hAnsi="Times New Roman" w:cs="Times New Roman"/>
          <w:sz w:val="32"/>
          <w:szCs w:val="32"/>
        </w:rPr>
        <w:t>技术与应用》</w:t>
      </w:r>
      <w:bookmarkEnd w:id="185"/>
      <w:r>
        <w:rPr>
          <w:rFonts w:hint="eastAsia" w:ascii="Times New Roman" w:hAnsi="Times New Roman" w:cs="Times New Roman"/>
          <w:sz w:val="32"/>
          <w:szCs w:val="32"/>
        </w:rPr>
        <w:t>课程教学大纲</w:t>
      </w:r>
      <w:bookmarkEnd w:id="178"/>
      <w:bookmarkEnd w:id="179"/>
      <w:bookmarkEnd w:id="180"/>
      <w:bookmarkEnd w:id="181"/>
      <w:bookmarkEnd w:id="182"/>
      <w:bookmarkEnd w:id="183"/>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33462010</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DSP技术与应用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DSP Technology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xml:space="preserve">: </w:t>
            </w:r>
            <w:r>
              <w:rPr>
                <w:bCs/>
                <w:kern w:val="0"/>
                <w:szCs w:val="21"/>
              </w:rPr>
              <w:t>32（8）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李小立、李树发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李小立</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数字信号处理、微机原理与接口技术、单片机原理与应用、</w:t>
            </w:r>
          </w:p>
          <w:p>
            <w:pPr>
              <w:widowControl/>
              <w:jc w:val="center"/>
              <w:rPr>
                <w:bCs/>
                <w:kern w:val="0"/>
                <w:szCs w:val="21"/>
              </w:rPr>
            </w:pPr>
            <w:r>
              <w:rPr>
                <w:bCs/>
                <w:kern w:val="0"/>
                <w:szCs w:val="21"/>
              </w:rPr>
              <w:t>C语言程序设计</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电子信息类专业课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 w:val="18"/>
          <w:szCs w:val="18"/>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DSP(Digital Signal Processor)技术与应用是电子信息工程专业的专业任选课。它对数字信号处理器的结构、工作原理和应用进行了系统的展示。DSP数字信号处理器是一种适合于进行高速数字信号处理的微处理器，具有高速实时、高精度等优点，主要应用于高、中端电子系统中。通过本课程的学习，培养学生掌握数字信号处理器的体系结构、接口与硬件设计、汇编语言程序设计、高级语言程序设计与CCS集成开发环境。该课程是在C语言程序设计、微机原理及接口技术、单片机原理与技术、数字信号处理等课程的基础上进一步深入学习高端微控制器的原理与应用。</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通过了解数字信号处理器DSP的基本特性，进而认识其特殊的结构特征和工作原理，以及汇编语言程序设计和高级语言程序设计，特别是数字信号处理的算法实现方法和过程，以及开发环境CCS的应用，从知识与技能目标上掌握DSP系统的基本概念、体系结构、软硬件特征、编程格式与指令系统；熟悉DSP系统设计流程、应用领域和发展趋势；掌握CCS集成开发环境的配置和使用方法；通过该课程实现的能力目标为培养学生具有运用各种手段查阅文献资料、获取信息的能力；具有自主学习专业新技术、新知识的能力；具有使用流行的TI德州仪器公司C54XX系列、C55XX系列DSP处理器构建实用系统能力；比较熟练地使用CCS集成开发环境用C语言和汇编语言设计应用程序的能力；提高计算机程序设计的综合能力。其过程与方法目标体现在通过课前预习、课堂听课、课后复习、作业完成及实验设计和实例设计等环节过程的实施，使得学生能够根据系统开发的要求，能正确选用DSP处理器、接口芯片，设计和调试实用系统，编制应用程序；能为今后初步胜任电子信息工程、遥感遥测、通信、自动化仪表、控制、航天航空、生物医学等领域的工程应用开发和实际工作中打下良好的技术、技能基础。培养学生认真、严谨、求实、敬业、创新的工作能力和学习态度。介绍我国在DSP系统应用方面的广阔领域，从医疗图像诊断设备、数字通信系统及设备、消费类电子产品、工业控制领域、军事领域等。</w:t>
      </w:r>
    </w:p>
    <w:p>
      <w:pPr>
        <w:widowControl/>
        <w:snapToGrid w:val="0"/>
        <w:spacing w:line="300" w:lineRule="auto"/>
        <w:ind w:firstLine="420" w:firstLineChars="200"/>
        <w:jc w:val="left"/>
        <w:rPr>
          <w:kern w:val="0"/>
          <w:szCs w:val="21"/>
        </w:rPr>
      </w:pPr>
      <w:r>
        <w:rPr>
          <w:kern w:val="0"/>
          <w:szCs w:val="21"/>
        </w:rPr>
        <w:t>课程教学目标如下：</w:t>
      </w:r>
    </w:p>
    <w:p>
      <w:pPr>
        <w:widowControl/>
        <w:snapToGrid w:val="0"/>
        <w:spacing w:line="300" w:lineRule="auto"/>
        <w:ind w:firstLine="420" w:firstLineChars="200"/>
        <w:rPr>
          <w:kern w:val="0"/>
          <w:szCs w:val="21"/>
        </w:rPr>
      </w:pPr>
      <w:r>
        <w:rPr>
          <w:kern w:val="0"/>
          <w:szCs w:val="21"/>
        </w:rPr>
        <w:t>1．DSP系统的基本概念、体系结构、软/硬件特征知识等工程问题解决的新技术路线，和对存在的问题进行分析研究的创新意识；[3.2]</w:t>
      </w:r>
    </w:p>
    <w:p>
      <w:pPr>
        <w:widowControl/>
        <w:snapToGrid w:val="0"/>
        <w:spacing w:line="300" w:lineRule="auto"/>
        <w:ind w:firstLine="420" w:firstLineChars="200"/>
        <w:rPr>
          <w:kern w:val="0"/>
          <w:szCs w:val="21"/>
        </w:rPr>
      </w:pPr>
      <w:r>
        <w:rPr>
          <w:kern w:val="0"/>
          <w:szCs w:val="21"/>
        </w:rPr>
        <w:t>2．DSP系统设计流程、接口芯片的系统设计/开发解决方案、应用的工程知识</w:t>
      </w:r>
      <w:r>
        <w:rPr>
          <w:rFonts w:hint="eastAsia"/>
          <w:kern w:val="0"/>
          <w:szCs w:val="21"/>
        </w:rPr>
        <w:t>。</w:t>
      </w:r>
      <w:r>
        <w:rPr>
          <w:kern w:val="0"/>
          <w:szCs w:val="21"/>
        </w:rPr>
        <w:t xml:space="preserve">[4.1] </w:t>
      </w:r>
    </w:p>
    <w:p>
      <w:pPr>
        <w:snapToGrid w:val="0"/>
        <w:spacing w:line="300" w:lineRule="auto"/>
        <w:ind w:firstLine="420" w:firstLineChars="200"/>
        <w:rPr>
          <w:szCs w:val="21"/>
        </w:rPr>
      </w:pPr>
      <w:r>
        <w:rPr>
          <w:szCs w:val="21"/>
        </w:rPr>
        <w:t>课程教学目标与毕业要求的对应关系见表1：</w:t>
      </w:r>
    </w:p>
    <w:p>
      <w:pPr>
        <w:snapToGrid w:val="0"/>
        <w:spacing w:before="156" w:beforeLines="50" w:line="300" w:lineRule="auto"/>
        <w:ind w:firstLine="361" w:firstLineChars="200"/>
        <w:jc w:val="center"/>
        <w:rPr>
          <w:b/>
          <w:sz w:val="18"/>
          <w:szCs w:val="18"/>
        </w:rPr>
      </w:pPr>
      <w:r>
        <w:rPr>
          <w:b/>
          <w:sz w:val="18"/>
          <w:szCs w:val="18"/>
        </w:rPr>
        <w:t>表1毕业要求指标点实现矩阵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146"/>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1" w:type="dxa"/>
            <w:vAlign w:val="center"/>
          </w:tcPr>
          <w:p>
            <w:pPr>
              <w:snapToGrid w:val="0"/>
              <w:spacing w:line="300" w:lineRule="auto"/>
              <w:jc w:val="center"/>
              <w:rPr>
                <w:b/>
                <w:bCs/>
                <w:sz w:val="18"/>
                <w:szCs w:val="18"/>
              </w:rPr>
            </w:pPr>
            <w:r>
              <w:rPr>
                <w:b/>
                <w:bCs/>
                <w:sz w:val="18"/>
                <w:szCs w:val="18"/>
              </w:rPr>
              <w:t>毕业要求</w:t>
            </w:r>
          </w:p>
        </w:tc>
        <w:tc>
          <w:tcPr>
            <w:tcW w:w="6146"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5"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1" w:type="dxa"/>
            <w:vAlign w:val="center"/>
          </w:tcPr>
          <w:p>
            <w:pPr>
              <w:snapToGrid w:val="0"/>
              <w:spacing w:line="300" w:lineRule="auto"/>
              <w:rPr>
                <w:sz w:val="18"/>
                <w:szCs w:val="18"/>
              </w:rPr>
            </w:pPr>
            <w:r>
              <w:rPr>
                <w:sz w:val="18"/>
                <w:szCs w:val="18"/>
              </w:rPr>
              <w:t>3</w:t>
            </w:r>
            <w:r>
              <w:rPr>
                <w:kern w:val="0"/>
                <w:szCs w:val="21"/>
              </w:rPr>
              <w:t>．</w:t>
            </w:r>
            <w:r>
              <w:rPr>
                <w:sz w:val="18"/>
                <w:szCs w:val="18"/>
              </w:rPr>
              <w:t>设计/开发解决方案</w:t>
            </w:r>
          </w:p>
        </w:tc>
        <w:tc>
          <w:tcPr>
            <w:tcW w:w="6146" w:type="dxa"/>
            <w:vAlign w:val="center"/>
          </w:tcPr>
          <w:p>
            <w:pPr>
              <w:snapToGrid w:val="0"/>
              <w:spacing w:line="300" w:lineRule="auto"/>
              <w:ind w:right="-334"/>
              <w:rPr>
                <w:sz w:val="18"/>
                <w:szCs w:val="18"/>
              </w:rPr>
            </w:pPr>
            <w:r>
              <w:rPr>
                <w:sz w:val="18"/>
                <w:szCs w:val="18"/>
              </w:rPr>
              <w:t>3.2在设计中综合利用电子信息工程的专业知识和新技术，体现创新意识。</w:t>
            </w:r>
          </w:p>
        </w:tc>
        <w:tc>
          <w:tcPr>
            <w:tcW w:w="689" w:type="dxa"/>
            <w:vAlign w:val="center"/>
          </w:tcPr>
          <w:p>
            <w:pPr>
              <w:snapToGrid w:val="0"/>
              <w:spacing w:line="300" w:lineRule="auto"/>
              <w:jc w:val="center"/>
              <w:rPr>
                <w:sz w:val="18"/>
                <w:szCs w:val="18"/>
              </w:rPr>
            </w:pPr>
            <w:r>
              <w:rPr>
                <w:sz w:val="18"/>
                <w:szCs w:val="18"/>
              </w:rPr>
              <w:t>1</w:t>
            </w:r>
          </w:p>
        </w:tc>
        <w:tc>
          <w:tcPr>
            <w:tcW w:w="655" w:type="dxa"/>
            <w:vAlign w:val="center"/>
          </w:tcPr>
          <w:p>
            <w:pPr>
              <w:snapToGrid w:val="0"/>
              <w:spacing w:line="300" w:lineRule="auto"/>
              <w:jc w:val="center"/>
              <w:rPr>
                <w:sz w:val="18"/>
                <w:szCs w:val="18"/>
              </w:rPr>
            </w:pPr>
            <w:r>
              <w:rPr>
                <w:sz w:val="18"/>
                <w:szCs w:val="18"/>
              </w:rPr>
              <w:t>0.</w:t>
            </w:r>
            <w:r>
              <w:rPr>
                <w:rFonts w:hint="eastAsia"/>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1" w:type="dxa"/>
            <w:vAlign w:val="center"/>
          </w:tcPr>
          <w:p>
            <w:pPr>
              <w:snapToGrid w:val="0"/>
              <w:spacing w:line="300" w:lineRule="auto"/>
              <w:rPr>
                <w:sz w:val="18"/>
                <w:szCs w:val="18"/>
              </w:rPr>
            </w:pPr>
            <w:r>
              <w:rPr>
                <w:sz w:val="18"/>
                <w:szCs w:val="18"/>
              </w:rPr>
              <w:t>4．研究</w:t>
            </w:r>
          </w:p>
        </w:tc>
        <w:tc>
          <w:tcPr>
            <w:tcW w:w="6146" w:type="dxa"/>
            <w:vAlign w:val="center"/>
          </w:tcPr>
          <w:p>
            <w:pPr>
              <w:snapToGrid w:val="0"/>
              <w:spacing w:line="300" w:lineRule="auto"/>
              <w:rPr>
                <w:sz w:val="18"/>
                <w:szCs w:val="18"/>
              </w:rPr>
            </w:pPr>
            <w:r>
              <w:rPr>
                <w:sz w:val="18"/>
                <w:szCs w:val="18"/>
              </w:rPr>
              <w:t>4.1具备基于电子信息科学原理并采用科学方法对复杂工程问题的技术路线，实验方案、软/硬件模块和存在的问题进行研究的能力。</w:t>
            </w:r>
          </w:p>
        </w:tc>
        <w:tc>
          <w:tcPr>
            <w:tcW w:w="689" w:type="dxa"/>
            <w:vAlign w:val="center"/>
          </w:tcPr>
          <w:p>
            <w:pPr>
              <w:snapToGrid w:val="0"/>
              <w:spacing w:line="300" w:lineRule="auto"/>
              <w:jc w:val="center"/>
              <w:rPr>
                <w:sz w:val="18"/>
                <w:szCs w:val="18"/>
              </w:rPr>
            </w:pPr>
            <w:r>
              <w:rPr>
                <w:sz w:val="18"/>
                <w:szCs w:val="18"/>
              </w:rPr>
              <w:t>2</w:t>
            </w:r>
          </w:p>
        </w:tc>
        <w:tc>
          <w:tcPr>
            <w:tcW w:w="655" w:type="dxa"/>
            <w:vAlign w:val="center"/>
          </w:tcPr>
          <w:p>
            <w:pPr>
              <w:snapToGrid w:val="0"/>
              <w:spacing w:line="300" w:lineRule="auto"/>
              <w:jc w:val="center"/>
              <w:rPr>
                <w:sz w:val="18"/>
                <w:szCs w:val="18"/>
              </w:rPr>
            </w:pPr>
            <w:r>
              <w:rPr>
                <w:sz w:val="18"/>
                <w:szCs w:val="18"/>
              </w:rPr>
              <w:t>0.4</w:t>
            </w:r>
          </w:p>
        </w:tc>
      </w:tr>
    </w:tbl>
    <w:p>
      <w:pPr>
        <w:snapToGrid w:val="0"/>
        <w:spacing w:before="156" w:beforeLines="50" w:after="156" w:afterLines="50" w:line="300" w:lineRule="auto"/>
        <w:rPr>
          <w:b/>
          <w:sz w:val="24"/>
        </w:rPr>
      </w:pPr>
      <w:r>
        <w:rPr>
          <w:b/>
          <w:sz w:val="24"/>
        </w:rPr>
        <w:t>三、课程教学目标达成途径（或教学设计）</w:t>
      </w:r>
    </w:p>
    <w:p>
      <w:pPr>
        <w:snapToGrid w:val="0"/>
        <w:spacing w:before="156" w:beforeLines="50" w:line="300" w:lineRule="auto"/>
        <w:ind w:firstLine="2891" w:firstLineChars="1600"/>
        <w:rPr>
          <w:b/>
          <w:sz w:val="18"/>
          <w:szCs w:val="18"/>
        </w:rPr>
      </w:pPr>
      <w:r>
        <w:rPr>
          <w:b/>
          <w:sz w:val="18"/>
          <w:szCs w:val="18"/>
        </w:rPr>
        <w:t>表2课程教学目标达成途径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239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9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w:t>
            </w:r>
            <w:r>
              <w:rPr>
                <w:sz w:val="18"/>
                <w:szCs w:val="18"/>
              </w:rPr>
              <w:t>．</w:t>
            </w:r>
            <w:r>
              <w:rPr>
                <w:sz w:val="18"/>
                <w:szCs w:val="18"/>
                <w:shd w:val="clear" w:color="auto" w:fill="FEFEFF"/>
              </w:rPr>
              <w:t>DSP系统的基本概念、体系结构、软/硬件特征知识等工程问题解决的新技术路线，和对存在的问题进行分析研究的创新意识；</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实验动手能力、</w:t>
            </w:r>
            <w:r>
              <w:rPr>
                <w:sz w:val="18"/>
                <w:szCs w:val="18"/>
                <w:shd w:val="clear" w:color="auto" w:fill="FEFEFF"/>
              </w:rPr>
              <w:t>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2</w:t>
            </w:r>
            <w:r>
              <w:rPr>
                <w:sz w:val="18"/>
                <w:szCs w:val="18"/>
              </w:rPr>
              <w:t>．</w:t>
            </w:r>
            <w:r>
              <w:rPr>
                <w:sz w:val="18"/>
                <w:szCs w:val="18"/>
                <w:shd w:val="clear" w:color="auto" w:fill="FEFEFF"/>
              </w:rPr>
              <w:t>DSP系统设计流程、接口芯片的系统设计/开发解决方案、应用的工程知识；</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w:t>
            </w:r>
            <w:r>
              <w:rPr>
                <w:rFonts w:hint="eastAsia"/>
                <w:sz w:val="18"/>
                <w:szCs w:val="18"/>
                <w:shd w:val="clear" w:color="auto" w:fill="FEFEFF"/>
              </w:rPr>
              <w:t>实验动手能力</w:t>
            </w:r>
            <w:r>
              <w:rPr>
                <w:sz w:val="18"/>
                <w:szCs w:val="18"/>
                <w:shd w:val="clear" w:color="auto" w:fill="FEFEFF"/>
              </w:rPr>
              <w:t>考查</w:t>
            </w:r>
          </w:p>
        </w:tc>
      </w:tr>
    </w:tbl>
    <w:p>
      <w:pPr>
        <w:snapToGrid w:val="0"/>
        <w:spacing w:before="156" w:beforeLines="50" w:after="156" w:afterLines="50" w:line="300" w:lineRule="auto"/>
        <w:jc w:val="left"/>
        <w:rPr>
          <w:b/>
          <w:sz w:val="24"/>
        </w:rPr>
      </w:pPr>
      <w:r>
        <w:rPr>
          <w:b/>
          <w:sz w:val="24"/>
        </w:rPr>
        <w:t>四、课程教学内容、教与学的要求</w:t>
      </w:r>
    </w:p>
    <w:p>
      <w:pPr>
        <w:snapToGrid w:val="0"/>
        <w:spacing w:line="300" w:lineRule="auto"/>
        <w:ind w:firstLine="420" w:firstLineChars="200"/>
        <w:rPr>
          <w:szCs w:val="21"/>
        </w:rPr>
      </w:pPr>
      <w:r>
        <w:rPr>
          <w:szCs w:val="21"/>
        </w:rPr>
        <w:t>本课程作为专业任选课，其主要教学目的是扩展同学们对新型处理器系统的认识，并结合所学的数字信号处理原理和方法，用数字信号处理器DSP（Digital signal Processor）具体实现其处理，得到需要的高速、低功耗、高可靠性数字系统。鉴于DSP技术的飞速发展和广泛应用，考虑到学时所限和任选课的性质，主要从扩展同学们对DSP处理器架构和系统的认识，了解其硬件系统设计过程和接口软件及应用软件的设计原理，能够合理选择系统结构和有关关键器件。通过安排实验，进一步增强学生对现代数字处理技术的实现能力和工程实践能力。教学过程中既要考虑到学时数量的限制，也要展现出技术飞速发展的惊人速度和产品性能的提高对工程应用的挑战，还要综合锻炼学生分析工程问题、解决实际问题的能力和方法，以及学生自主学习、继续学习和终身学习的习惯和素养。课程教学内容、教与学的要求具体见表3。</w:t>
      </w:r>
    </w:p>
    <w:p>
      <w:pPr>
        <w:snapToGrid w:val="0"/>
        <w:spacing w:line="300" w:lineRule="auto"/>
        <w:ind w:firstLine="420" w:firstLineChars="200"/>
        <w:rPr>
          <w:szCs w:val="21"/>
        </w:rPr>
      </w:pPr>
    </w:p>
    <w:p>
      <w:pPr>
        <w:snapToGrid w:val="0"/>
        <w:spacing w:before="156" w:beforeLines="50" w:line="300" w:lineRule="auto"/>
        <w:jc w:val="center"/>
        <w:rPr>
          <w:b/>
          <w:sz w:val="18"/>
          <w:szCs w:val="18"/>
        </w:rPr>
      </w:pPr>
      <w:r>
        <w:rPr>
          <w:b/>
          <w:sz w:val="18"/>
          <w:szCs w:val="18"/>
        </w:rPr>
        <w:t>表3 教学内容与教学要求</w:t>
      </w:r>
    </w:p>
    <w:tbl>
      <w:tblPr>
        <w:tblStyle w:val="22"/>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292"/>
        <w:gridCol w:w="4036"/>
        <w:gridCol w:w="734"/>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587"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292" w:type="dxa"/>
            <w:vAlign w:val="center"/>
          </w:tcPr>
          <w:p>
            <w:pPr>
              <w:snapToGrid w:val="0"/>
              <w:spacing w:line="300" w:lineRule="auto"/>
              <w:ind w:firstLine="361" w:firstLineChars="200"/>
              <w:rPr>
                <w:b/>
                <w:bCs/>
                <w:sz w:val="18"/>
                <w:szCs w:val="18"/>
              </w:rPr>
            </w:pPr>
            <w:r>
              <w:rPr>
                <w:b/>
                <w:bCs/>
                <w:sz w:val="18"/>
                <w:szCs w:val="18"/>
              </w:rPr>
              <w:t>教学内容</w:t>
            </w:r>
          </w:p>
        </w:tc>
        <w:tc>
          <w:tcPr>
            <w:tcW w:w="4036" w:type="dxa"/>
            <w:vAlign w:val="center"/>
          </w:tcPr>
          <w:p>
            <w:pPr>
              <w:snapToGrid w:val="0"/>
              <w:spacing w:line="300" w:lineRule="auto"/>
              <w:jc w:val="center"/>
              <w:rPr>
                <w:b/>
                <w:bCs/>
                <w:sz w:val="18"/>
                <w:szCs w:val="18"/>
              </w:rPr>
            </w:pPr>
            <w:r>
              <w:rPr>
                <w:b/>
                <w:bCs/>
                <w:sz w:val="18"/>
                <w:szCs w:val="18"/>
              </w:rPr>
              <w:t>教与学的要求</w:t>
            </w:r>
          </w:p>
        </w:tc>
        <w:tc>
          <w:tcPr>
            <w:tcW w:w="734" w:type="dxa"/>
            <w:vAlign w:val="center"/>
          </w:tcPr>
          <w:p>
            <w:pPr>
              <w:snapToGrid w:val="0"/>
              <w:spacing w:line="300" w:lineRule="auto"/>
              <w:jc w:val="center"/>
              <w:rPr>
                <w:b/>
                <w:bCs/>
                <w:sz w:val="18"/>
                <w:szCs w:val="18"/>
              </w:rPr>
            </w:pPr>
            <w:r>
              <w:rPr>
                <w:b/>
                <w:bCs/>
                <w:sz w:val="18"/>
                <w:szCs w:val="18"/>
              </w:rPr>
              <w:t>学时</w:t>
            </w:r>
          </w:p>
        </w:tc>
        <w:tc>
          <w:tcPr>
            <w:tcW w:w="1027"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1</w:t>
            </w:r>
          </w:p>
        </w:tc>
        <w:tc>
          <w:tcPr>
            <w:tcW w:w="2292" w:type="dxa"/>
            <w:vAlign w:val="center"/>
          </w:tcPr>
          <w:p>
            <w:pPr>
              <w:snapToGrid w:val="0"/>
              <w:spacing w:line="300" w:lineRule="auto"/>
              <w:rPr>
                <w:sz w:val="18"/>
                <w:szCs w:val="18"/>
              </w:rPr>
            </w:pPr>
            <w:r>
              <w:rPr>
                <w:sz w:val="18"/>
                <w:szCs w:val="18"/>
              </w:rPr>
              <w:t>第1章  数字信号处理和DSP系统</w:t>
            </w:r>
          </w:p>
          <w:p>
            <w:pPr>
              <w:snapToGrid w:val="0"/>
              <w:spacing w:line="300" w:lineRule="auto"/>
              <w:rPr>
                <w:sz w:val="18"/>
                <w:szCs w:val="18"/>
              </w:rPr>
            </w:pPr>
            <w:r>
              <w:rPr>
                <w:sz w:val="18"/>
                <w:szCs w:val="18"/>
              </w:rPr>
              <w:t>1.1  实时数字信号处理技术的发展</w:t>
            </w:r>
          </w:p>
          <w:p>
            <w:pPr>
              <w:snapToGrid w:val="0"/>
              <w:spacing w:line="300" w:lineRule="auto"/>
              <w:rPr>
                <w:sz w:val="18"/>
                <w:szCs w:val="18"/>
              </w:rPr>
            </w:pPr>
            <w:r>
              <w:rPr>
                <w:sz w:val="18"/>
                <w:szCs w:val="18"/>
              </w:rPr>
              <w:t>1.2  数字信号处理器的特点</w:t>
            </w:r>
          </w:p>
          <w:p>
            <w:pPr>
              <w:snapToGrid w:val="0"/>
              <w:spacing w:line="300" w:lineRule="auto"/>
              <w:rPr>
                <w:sz w:val="18"/>
                <w:szCs w:val="18"/>
              </w:rPr>
            </w:pPr>
            <w:r>
              <w:rPr>
                <w:sz w:val="18"/>
                <w:szCs w:val="18"/>
              </w:rPr>
              <w:t>1.3  TI公司的DSP产品</w:t>
            </w:r>
          </w:p>
          <w:p>
            <w:pPr>
              <w:snapToGrid w:val="0"/>
              <w:spacing w:line="300" w:lineRule="auto"/>
              <w:rPr>
                <w:sz w:val="18"/>
                <w:szCs w:val="18"/>
              </w:rPr>
            </w:pPr>
            <w:r>
              <w:rPr>
                <w:sz w:val="18"/>
                <w:szCs w:val="18"/>
              </w:rPr>
              <w:t>1.4   DSP芯片的选择</w:t>
            </w:r>
          </w:p>
          <w:p>
            <w:pPr>
              <w:snapToGrid w:val="0"/>
              <w:spacing w:line="300" w:lineRule="auto"/>
              <w:rPr>
                <w:sz w:val="18"/>
                <w:szCs w:val="18"/>
              </w:rPr>
            </w:pPr>
            <w:r>
              <w:rPr>
                <w:sz w:val="18"/>
                <w:szCs w:val="18"/>
              </w:rPr>
              <w:t>1.5  DSP应用系统设计流程</w:t>
            </w:r>
          </w:p>
          <w:p>
            <w:pPr>
              <w:snapToGrid w:val="0"/>
              <w:spacing w:line="300" w:lineRule="auto"/>
              <w:rPr>
                <w:sz w:val="18"/>
                <w:szCs w:val="18"/>
              </w:rPr>
            </w:pPr>
            <w:r>
              <w:rPr>
                <w:b/>
                <w:bCs/>
                <w:sz w:val="18"/>
                <w:szCs w:val="18"/>
              </w:rPr>
              <w:t>介绍我国在DSP系统应用方面的广阔领域，从医疗图像诊断设备、数字通信系统及设备、消费类电子产品、工业控制领域、军事领域等。</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（1）了解：DSP的特点、TI公司DSP系列</w:t>
            </w:r>
          </w:p>
          <w:p>
            <w:pPr>
              <w:snapToGrid w:val="0"/>
              <w:spacing w:line="300" w:lineRule="auto"/>
              <w:rPr>
                <w:sz w:val="18"/>
                <w:szCs w:val="18"/>
              </w:rPr>
            </w:pPr>
            <w:r>
              <w:rPr>
                <w:sz w:val="18"/>
                <w:szCs w:val="18"/>
              </w:rPr>
              <w:t>（2）理解：DSP芯片的选择</w:t>
            </w:r>
          </w:p>
          <w:p>
            <w:pPr>
              <w:snapToGrid w:val="0"/>
              <w:spacing w:line="300" w:lineRule="auto"/>
              <w:rPr>
                <w:sz w:val="18"/>
                <w:szCs w:val="18"/>
              </w:rPr>
            </w:pPr>
            <w:r>
              <w:rPr>
                <w:sz w:val="18"/>
                <w:szCs w:val="18"/>
              </w:rPr>
              <w:t>（3）掌握：常用术语、DSP系统设计流程</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（1）学习和了解DSP的发展历程；</w:t>
            </w:r>
          </w:p>
          <w:p>
            <w:pPr>
              <w:snapToGrid w:val="0"/>
              <w:spacing w:line="300" w:lineRule="auto"/>
              <w:rPr>
                <w:sz w:val="18"/>
                <w:szCs w:val="18"/>
              </w:rPr>
            </w:pPr>
            <w:r>
              <w:rPr>
                <w:sz w:val="18"/>
                <w:szCs w:val="18"/>
              </w:rPr>
              <w:t>（2）复习第1章内容；</w:t>
            </w:r>
          </w:p>
          <w:p>
            <w:pPr>
              <w:snapToGrid w:val="0"/>
              <w:spacing w:line="300" w:lineRule="auto"/>
              <w:rPr>
                <w:sz w:val="18"/>
                <w:szCs w:val="18"/>
              </w:rPr>
            </w:pPr>
            <w:r>
              <w:rPr>
                <w:sz w:val="18"/>
                <w:szCs w:val="18"/>
              </w:rPr>
              <w:t>（3）完成教材第1章作业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案例1：DSP系统组成结构。</w:t>
            </w:r>
          </w:p>
        </w:tc>
        <w:tc>
          <w:tcPr>
            <w:tcW w:w="734" w:type="dxa"/>
            <w:vAlign w:val="center"/>
          </w:tcPr>
          <w:p>
            <w:pPr>
              <w:snapToGrid w:val="0"/>
              <w:spacing w:line="300" w:lineRule="auto"/>
              <w:jc w:val="center"/>
              <w:rPr>
                <w:sz w:val="18"/>
                <w:szCs w:val="18"/>
              </w:rPr>
            </w:pPr>
            <w:r>
              <w:rPr>
                <w:sz w:val="18"/>
                <w:szCs w:val="18"/>
              </w:rPr>
              <w:t>2</w:t>
            </w:r>
          </w:p>
        </w:tc>
        <w:tc>
          <w:tcPr>
            <w:tcW w:w="1027" w:type="dxa"/>
            <w:vAlign w:val="center"/>
          </w:tcPr>
          <w:p>
            <w:pPr>
              <w:snapToGrid w:val="0"/>
              <w:spacing w:line="300" w:lineRule="auto"/>
              <w:ind w:firstLine="180" w:firstLineChars="100"/>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2</w:t>
            </w:r>
          </w:p>
        </w:tc>
        <w:tc>
          <w:tcPr>
            <w:tcW w:w="2292" w:type="dxa"/>
          </w:tcPr>
          <w:p>
            <w:pPr>
              <w:snapToGrid w:val="0"/>
              <w:spacing w:line="300" w:lineRule="auto"/>
              <w:rPr>
                <w:sz w:val="18"/>
                <w:szCs w:val="18"/>
              </w:rPr>
            </w:pPr>
            <w:r>
              <w:rPr>
                <w:sz w:val="18"/>
                <w:szCs w:val="18"/>
              </w:rPr>
              <w:t>第2章  TMS320C55x的硬件结构</w:t>
            </w:r>
          </w:p>
          <w:p>
            <w:pPr>
              <w:snapToGrid w:val="0"/>
              <w:spacing w:line="300" w:lineRule="auto"/>
              <w:rPr>
                <w:sz w:val="18"/>
                <w:szCs w:val="18"/>
              </w:rPr>
            </w:pPr>
            <w:r>
              <w:rPr>
                <w:sz w:val="18"/>
                <w:szCs w:val="18"/>
              </w:rPr>
              <w:t>2.1 TMS320C55x DSP的基本结构</w:t>
            </w:r>
          </w:p>
          <w:p>
            <w:pPr>
              <w:snapToGrid w:val="0"/>
              <w:spacing w:line="300" w:lineRule="auto"/>
              <w:rPr>
                <w:sz w:val="18"/>
                <w:szCs w:val="18"/>
              </w:rPr>
            </w:pPr>
            <w:r>
              <w:rPr>
                <w:sz w:val="18"/>
                <w:szCs w:val="18"/>
              </w:rPr>
              <w:t>2.2  TMS320VC5509A的主要特性</w:t>
            </w:r>
          </w:p>
          <w:p>
            <w:pPr>
              <w:snapToGrid w:val="0"/>
              <w:spacing w:line="300" w:lineRule="auto"/>
              <w:rPr>
                <w:sz w:val="18"/>
                <w:szCs w:val="18"/>
              </w:rPr>
            </w:pPr>
            <w:r>
              <w:rPr>
                <w:sz w:val="18"/>
                <w:szCs w:val="18"/>
              </w:rPr>
              <w:t>2.3  TMS320C55x 存储空间结构</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（1）了解：TMS320C55x DSP的基本结构</w:t>
            </w:r>
          </w:p>
          <w:p>
            <w:pPr>
              <w:snapToGrid w:val="0"/>
              <w:spacing w:line="300" w:lineRule="auto"/>
              <w:rPr>
                <w:sz w:val="18"/>
                <w:szCs w:val="18"/>
              </w:rPr>
            </w:pPr>
            <w:r>
              <w:rPr>
                <w:sz w:val="18"/>
                <w:szCs w:val="18"/>
              </w:rPr>
              <w:t>（2）理解：TMS320VC5509A的主要特性</w:t>
            </w:r>
          </w:p>
          <w:p>
            <w:pPr>
              <w:snapToGrid w:val="0"/>
              <w:spacing w:line="300" w:lineRule="auto"/>
              <w:rPr>
                <w:sz w:val="18"/>
                <w:szCs w:val="18"/>
              </w:rPr>
            </w:pPr>
            <w:r>
              <w:rPr>
                <w:sz w:val="18"/>
                <w:szCs w:val="18"/>
              </w:rPr>
              <w:t>（3）掌握：TMS320C55x 存储空间结构</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（1）复习第2章内容；</w:t>
            </w:r>
          </w:p>
          <w:p>
            <w:pPr>
              <w:snapToGrid w:val="0"/>
              <w:spacing w:line="300" w:lineRule="auto"/>
              <w:rPr>
                <w:sz w:val="18"/>
                <w:szCs w:val="18"/>
              </w:rPr>
            </w:pPr>
            <w:r>
              <w:rPr>
                <w:sz w:val="18"/>
                <w:szCs w:val="18"/>
              </w:rPr>
              <w:t>（2）完成教材第2章作业。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案例2：55XDSP存储空间结构分析。</w:t>
            </w:r>
          </w:p>
        </w:tc>
        <w:tc>
          <w:tcPr>
            <w:tcW w:w="734" w:type="dxa"/>
            <w:vAlign w:val="center"/>
          </w:tcPr>
          <w:p>
            <w:pPr>
              <w:snapToGrid w:val="0"/>
              <w:spacing w:line="300" w:lineRule="auto"/>
              <w:jc w:val="center"/>
              <w:rPr>
                <w:sz w:val="18"/>
                <w:szCs w:val="18"/>
              </w:rPr>
            </w:pPr>
            <w:r>
              <w:rPr>
                <w:sz w:val="18"/>
                <w:szCs w:val="18"/>
              </w:rPr>
              <w:t>4</w:t>
            </w:r>
          </w:p>
        </w:tc>
        <w:tc>
          <w:tcPr>
            <w:tcW w:w="1027" w:type="dxa"/>
            <w:vAlign w:val="center"/>
          </w:tcPr>
          <w:p>
            <w:pPr>
              <w:snapToGrid w:val="0"/>
              <w:spacing w:line="300" w:lineRule="auto"/>
              <w:ind w:firstLine="180" w:firstLineChars="100"/>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3</w:t>
            </w:r>
          </w:p>
        </w:tc>
        <w:tc>
          <w:tcPr>
            <w:tcW w:w="2292" w:type="dxa"/>
          </w:tcPr>
          <w:p>
            <w:pPr>
              <w:snapToGrid w:val="0"/>
              <w:spacing w:line="300" w:lineRule="auto"/>
              <w:rPr>
                <w:sz w:val="18"/>
                <w:szCs w:val="18"/>
              </w:rPr>
            </w:pPr>
            <w:r>
              <w:rPr>
                <w:sz w:val="18"/>
                <w:szCs w:val="18"/>
              </w:rPr>
              <w:t>第3章  TMS320C55x的指令系统</w:t>
            </w:r>
          </w:p>
          <w:p>
            <w:pPr>
              <w:snapToGrid w:val="0"/>
              <w:spacing w:line="300" w:lineRule="auto"/>
              <w:rPr>
                <w:sz w:val="18"/>
                <w:szCs w:val="18"/>
              </w:rPr>
            </w:pPr>
            <w:r>
              <w:rPr>
                <w:sz w:val="18"/>
                <w:szCs w:val="18"/>
              </w:rPr>
              <w:t>3.1  寻址方式</w:t>
            </w:r>
            <w:r>
              <w:rPr>
                <w:sz w:val="18"/>
                <w:szCs w:val="18"/>
              </w:rPr>
              <w:tab/>
            </w:r>
          </w:p>
          <w:p>
            <w:pPr>
              <w:snapToGrid w:val="0"/>
              <w:spacing w:line="300" w:lineRule="auto"/>
              <w:rPr>
                <w:sz w:val="18"/>
                <w:szCs w:val="18"/>
              </w:rPr>
            </w:pPr>
            <w:r>
              <w:rPr>
                <w:sz w:val="18"/>
                <w:szCs w:val="18"/>
              </w:rPr>
              <w:t>3.2  TMS320C55x的指令系统</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（1）了解：汇编指令 </w:t>
            </w:r>
          </w:p>
          <w:p>
            <w:pPr>
              <w:snapToGrid w:val="0"/>
              <w:spacing w:line="300" w:lineRule="auto"/>
              <w:rPr>
                <w:sz w:val="18"/>
                <w:szCs w:val="18"/>
              </w:rPr>
            </w:pPr>
            <w:r>
              <w:rPr>
                <w:sz w:val="18"/>
                <w:szCs w:val="18"/>
              </w:rPr>
              <w:t>（2）理解：寻址方式、</w:t>
            </w:r>
          </w:p>
          <w:p>
            <w:pPr>
              <w:snapToGrid w:val="0"/>
              <w:spacing w:line="300" w:lineRule="auto"/>
              <w:rPr>
                <w:sz w:val="18"/>
                <w:szCs w:val="18"/>
              </w:rPr>
            </w:pPr>
            <w:r>
              <w:rPr>
                <w:sz w:val="18"/>
                <w:szCs w:val="18"/>
              </w:rPr>
              <w:t>（3）掌握：TMS320C55x的指令系统</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（1）复习第3章内容；</w:t>
            </w:r>
          </w:p>
          <w:p>
            <w:pPr>
              <w:snapToGrid w:val="0"/>
              <w:spacing w:line="300" w:lineRule="auto"/>
              <w:rPr>
                <w:sz w:val="18"/>
                <w:szCs w:val="18"/>
              </w:rPr>
            </w:pPr>
            <w:r>
              <w:rPr>
                <w:sz w:val="18"/>
                <w:szCs w:val="18"/>
              </w:rPr>
              <w:t>（2）完成教材第3章作业。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4</w:t>
            </w:r>
          </w:p>
        </w:tc>
        <w:tc>
          <w:tcPr>
            <w:tcW w:w="1027"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4</w:t>
            </w:r>
          </w:p>
        </w:tc>
        <w:tc>
          <w:tcPr>
            <w:tcW w:w="2292" w:type="dxa"/>
          </w:tcPr>
          <w:p>
            <w:pPr>
              <w:snapToGrid w:val="0"/>
              <w:spacing w:line="300" w:lineRule="auto"/>
              <w:rPr>
                <w:sz w:val="18"/>
                <w:szCs w:val="18"/>
              </w:rPr>
            </w:pPr>
            <w:r>
              <w:rPr>
                <w:sz w:val="18"/>
                <w:szCs w:val="18"/>
              </w:rPr>
              <w:t>第4章  C55x处理器的软件设计</w:t>
            </w:r>
          </w:p>
          <w:p>
            <w:pPr>
              <w:snapToGrid w:val="0"/>
              <w:spacing w:line="300" w:lineRule="auto"/>
              <w:rPr>
                <w:sz w:val="18"/>
                <w:szCs w:val="18"/>
              </w:rPr>
            </w:pPr>
            <w:r>
              <w:rPr>
                <w:sz w:val="18"/>
                <w:szCs w:val="18"/>
              </w:rPr>
              <w:t>4.1  C55x处理器程序基本结构</w:t>
            </w:r>
            <w:r>
              <w:rPr>
                <w:sz w:val="18"/>
                <w:szCs w:val="18"/>
              </w:rPr>
              <w:tab/>
            </w:r>
          </w:p>
          <w:p>
            <w:pPr>
              <w:snapToGrid w:val="0"/>
              <w:spacing w:line="300" w:lineRule="auto"/>
              <w:rPr>
                <w:sz w:val="18"/>
                <w:szCs w:val="18"/>
              </w:rPr>
            </w:pPr>
            <w:r>
              <w:rPr>
                <w:sz w:val="18"/>
                <w:szCs w:val="18"/>
              </w:rPr>
              <w:t>4.2  C语言程序开发及优化</w:t>
            </w:r>
          </w:p>
          <w:p>
            <w:pPr>
              <w:snapToGrid w:val="0"/>
              <w:spacing w:line="300" w:lineRule="auto"/>
              <w:rPr>
                <w:sz w:val="18"/>
                <w:szCs w:val="18"/>
              </w:rPr>
            </w:pPr>
            <w:r>
              <w:rPr>
                <w:sz w:val="18"/>
                <w:szCs w:val="18"/>
              </w:rPr>
              <w:t>4.3  C语言与汇编语言的混合编程</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（1）了解：C55x处理器程序基本结构</w:t>
            </w:r>
          </w:p>
          <w:p>
            <w:pPr>
              <w:snapToGrid w:val="0"/>
              <w:spacing w:line="300" w:lineRule="auto"/>
              <w:rPr>
                <w:sz w:val="18"/>
                <w:szCs w:val="18"/>
              </w:rPr>
            </w:pPr>
            <w:r>
              <w:rPr>
                <w:sz w:val="18"/>
                <w:szCs w:val="18"/>
              </w:rPr>
              <w:t>（2）理解：C语言程序开发及优化</w:t>
            </w:r>
          </w:p>
          <w:p>
            <w:pPr>
              <w:snapToGrid w:val="0"/>
              <w:spacing w:line="300" w:lineRule="auto"/>
              <w:rPr>
                <w:sz w:val="18"/>
                <w:szCs w:val="18"/>
              </w:rPr>
            </w:pPr>
            <w:r>
              <w:rPr>
                <w:sz w:val="18"/>
                <w:szCs w:val="18"/>
              </w:rPr>
              <w:t>（3）掌握：DSP的C语言程序格式</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（1）复习第4章内容；</w:t>
            </w:r>
          </w:p>
          <w:p>
            <w:pPr>
              <w:snapToGrid w:val="0"/>
              <w:spacing w:line="300" w:lineRule="auto"/>
              <w:rPr>
                <w:sz w:val="18"/>
                <w:szCs w:val="18"/>
              </w:rPr>
            </w:pPr>
            <w:r>
              <w:rPr>
                <w:sz w:val="18"/>
                <w:szCs w:val="18"/>
              </w:rPr>
              <w:t>（2）完成教材第4章作业。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734" w:type="dxa"/>
            <w:vAlign w:val="center"/>
          </w:tcPr>
          <w:p>
            <w:pPr>
              <w:snapToGrid w:val="0"/>
              <w:spacing w:line="300" w:lineRule="auto"/>
              <w:jc w:val="center"/>
              <w:rPr>
                <w:sz w:val="18"/>
                <w:szCs w:val="18"/>
              </w:rPr>
            </w:pPr>
            <w:r>
              <w:rPr>
                <w:sz w:val="18"/>
                <w:szCs w:val="18"/>
              </w:rPr>
              <w:t>4</w:t>
            </w:r>
          </w:p>
        </w:tc>
        <w:tc>
          <w:tcPr>
            <w:tcW w:w="1027" w:type="dxa"/>
            <w:vAlign w:val="center"/>
          </w:tcPr>
          <w:p>
            <w:pPr>
              <w:snapToGrid w:val="0"/>
              <w:spacing w:line="300" w:lineRule="auto"/>
              <w:ind w:firstLine="180" w:firstLineChars="100"/>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5</w:t>
            </w:r>
          </w:p>
        </w:tc>
        <w:tc>
          <w:tcPr>
            <w:tcW w:w="2292" w:type="dxa"/>
            <w:vAlign w:val="center"/>
          </w:tcPr>
          <w:p>
            <w:pPr>
              <w:snapToGrid w:val="0"/>
              <w:spacing w:line="300" w:lineRule="auto"/>
              <w:rPr>
                <w:sz w:val="18"/>
                <w:szCs w:val="18"/>
              </w:rPr>
            </w:pPr>
            <w:r>
              <w:rPr>
                <w:sz w:val="18"/>
                <w:szCs w:val="18"/>
              </w:rPr>
              <w:t>第5章  TMS320C55x的片内集成外设开发及测试</w:t>
            </w:r>
            <w:r>
              <w:rPr>
                <w:sz w:val="18"/>
                <w:szCs w:val="18"/>
              </w:rPr>
              <w:tab/>
            </w:r>
          </w:p>
          <w:p>
            <w:pPr>
              <w:snapToGrid w:val="0"/>
              <w:spacing w:line="300" w:lineRule="auto"/>
              <w:rPr>
                <w:sz w:val="18"/>
                <w:szCs w:val="18"/>
              </w:rPr>
            </w:pPr>
            <w:r>
              <w:rPr>
                <w:sz w:val="18"/>
                <w:szCs w:val="18"/>
              </w:rPr>
              <w:t>5.1  C55x片内外设与芯片支持库简介</w:t>
            </w:r>
            <w:r>
              <w:rPr>
                <w:sz w:val="18"/>
                <w:szCs w:val="18"/>
              </w:rPr>
              <w:tab/>
            </w:r>
          </w:p>
          <w:p>
            <w:pPr>
              <w:snapToGrid w:val="0"/>
              <w:spacing w:line="300" w:lineRule="auto"/>
              <w:rPr>
                <w:sz w:val="18"/>
                <w:szCs w:val="18"/>
              </w:rPr>
            </w:pPr>
            <w:r>
              <w:rPr>
                <w:sz w:val="18"/>
                <w:szCs w:val="18"/>
              </w:rPr>
              <w:t>5.2  时钟发生器</w:t>
            </w:r>
          </w:p>
          <w:p>
            <w:pPr>
              <w:snapToGrid w:val="0"/>
              <w:spacing w:line="300" w:lineRule="auto"/>
              <w:rPr>
                <w:sz w:val="18"/>
                <w:szCs w:val="18"/>
              </w:rPr>
            </w:pPr>
            <w:r>
              <w:rPr>
                <w:sz w:val="18"/>
                <w:szCs w:val="18"/>
              </w:rPr>
              <w:t>5.3  通用定时器</w:t>
            </w:r>
          </w:p>
          <w:p>
            <w:pPr>
              <w:snapToGrid w:val="0"/>
              <w:spacing w:line="300" w:lineRule="auto"/>
              <w:rPr>
                <w:sz w:val="18"/>
                <w:szCs w:val="18"/>
              </w:rPr>
            </w:pPr>
            <w:r>
              <w:rPr>
                <w:sz w:val="18"/>
                <w:szCs w:val="18"/>
              </w:rPr>
              <w:t>5.4  外部存储器接口</w:t>
            </w:r>
          </w:p>
          <w:p>
            <w:pPr>
              <w:snapToGrid w:val="0"/>
              <w:spacing w:line="300" w:lineRule="auto"/>
              <w:rPr>
                <w:sz w:val="18"/>
                <w:szCs w:val="18"/>
              </w:rPr>
            </w:pPr>
            <w:r>
              <w:rPr>
                <w:sz w:val="18"/>
                <w:szCs w:val="18"/>
              </w:rPr>
              <w:t>5.5  主机接口（EHPI）</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（1）了解：C55x片内外设与芯片支持库简介</w:t>
            </w:r>
          </w:p>
          <w:p>
            <w:pPr>
              <w:snapToGrid w:val="0"/>
              <w:spacing w:line="300" w:lineRule="auto"/>
              <w:rPr>
                <w:sz w:val="18"/>
                <w:szCs w:val="18"/>
              </w:rPr>
            </w:pPr>
            <w:r>
              <w:rPr>
                <w:sz w:val="18"/>
                <w:szCs w:val="18"/>
              </w:rPr>
              <w:t>（2）理解：时钟发生器、通用定时器、外部存储器接口</w:t>
            </w:r>
          </w:p>
          <w:p>
            <w:pPr>
              <w:snapToGrid w:val="0"/>
              <w:spacing w:line="300" w:lineRule="auto"/>
              <w:rPr>
                <w:sz w:val="18"/>
                <w:szCs w:val="18"/>
              </w:rPr>
            </w:pPr>
            <w:r>
              <w:rPr>
                <w:sz w:val="18"/>
                <w:szCs w:val="18"/>
              </w:rPr>
              <w:t>（3）掌握：主机接口（EHPI）</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（1）复习第5章内容；</w:t>
            </w:r>
          </w:p>
          <w:p>
            <w:pPr>
              <w:snapToGrid w:val="0"/>
              <w:spacing w:line="300" w:lineRule="auto"/>
              <w:rPr>
                <w:sz w:val="18"/>
                <w:szCs w:val="18"/>
              </w:rPr>
            </w:pPr>
            <w:r>
              <w:rPr>
                <w:sz w:val="18"/>
                <w:szCs w:val="18"/>
              </w:rPr>
              <w:t>（2）完成教材第5章作业。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4</w:t>
            </w:r>
          </w:p>
        </w:tc>
        <w:tc>
          <w:tcPr>
            <w:tcW w:w="1027" w:type="dxa"/>
            <w:vAlign w:val="center"/>
          </w:tcPr>
          <w:p>
            <w:pPr>
              <w:snapToGrid w:val="0"/>
              <w:spacing w:line="300" w:lineRule="auto"/>
              <w:ind w:firstLine="180" w:firstLineChars="100"/>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6</w:t>
            </w:r>
          </w:p>
        </w:tc>
        <w:tc>
          <w:tcPr>
            <w:tcW w:w="2292" w:type="dxa"/>
            <w:vAlign w:val="center"/>
          </w:tcPr>
          <w:p>
            <w:pPr>
              <w:snapToGrid w:val="0"/>
              <w:spacing w:line="300" w:lineRule="auto"/>
              <w:rPr>
                <w:sz w:val="18"/>
                <w:szCs w:val="18"/>
              </w:rPr>
            </w:pPr>
            <w:r>
              <w:rPr>
                <w:sz w:val="18"/>
                <w:szCs w:val="18"/>
              </w:rPr>
              <w:t>第6章 DSP集成开发环境CCS</w:t>
            </w:r>
          </w:p>
          <w:p>
            <w:pPr>
              <w:snapToGrid w:val="0"/>
              <w:spacing w:line="300" w:lineRule="auto"/>
              <w:rPr>
                <w:sz w:val="18"/>
                <w:szCs w:val="18"/>
              </w:rPr>
            </w:pPr>
            <w:r>
              <w:rPr>
                <w:sz w:val="18"/>
                <w:szCs w:val="18"/>
              </w:rPr>
              <w:t>6.1  CCS功能简介</w:t>
            </w:r>
            <w:r>
              <w:rPr>
                <w:sz w:val="18"/>
                <w:szCs w:val="18"/>
              </w:rPr>
              <w:tab/>
            </w:r>
          </w:p>
          <w:p>
            <w:pPr>
              <w:snapToGrid w:val="0"/>
              <w:spacing w:line="300" w:lineRule="auto"/>
              <w:rPr>
                <w:sz w:val="18"/>
                <w:szCs w:val="18"/>
              </w:rPr>
            </w:pPr>
            <w:r>
              <w:rPr>
                <w:sz w:val="18"/>
                <w:szCs w:val="18"/>
              </w:rPr>
              <w:t>6.2  CCS安装与设置</w:t>
            </w:r>
          </w:p>
          <w:p>
            <w:pPr>
              <w:snapToGrid w:val="0"/>
              <w:spacing w:line="300" w:lineRule="auto"/>
              <w:rPr>
                <w:sz w:val="18"/>
                <w:szCs w:val="18"/>
              </w:rPr>
            </w:pPr>
            <w:r>
              <w:rPr>
                <w:sz w:val="18"/>
                <w:szCs w:val="18"/>
              </w:rPr>
              <w:t>6.3 CCS的基本操作</w:t>
            </w:r>
          </w:p>
          <w:p>
            <w:pPr>
              <w:snapToGrid w:val="0"/>
              <w:spacing w:line="300" w:lineRule="auto"/>
              <w:rPr>
                <w:sz w:val="18"/>
                <w:szCs w:val="18"/>
              </w:rPr>
            </w:pPr>
            <w:r>
              <w:rPr>
                <w:sz w:val="18"/>
                <w:szCs w:val="18"/>
              </w:rPr>
              <w:t>6.4  创建工程项目</w:t>
            </w:r>
          </w:p>
          <w:p>
            <w:pPr>
              <w:snapToGrid w:val="0"/>
              <w:spacing w:line="300" w:lineRule="auto"/>
              <w:rPr>
                <w:sz w:val="18"/>
                <w:szCs w:val="18"/>
              </w:rPr>
            </w:pPr>
            <w:r>
              <w:rPr>
                <w:sz w:val="18"/>
                <w:szCs w:val="18"/>
              </w:rPr>
              <w:t>6.5  利用CCS调试程序</w:t>
            </w:r>
          </w:p>
          <w:p>
            <w:pPr>
              <w:snapToGrid w:val="0"/>
              <w:spacing w:line="300" w:lineRule="auto"/>
              <w:rPr>
                <w:sz w:val="18"/>
                <w:szCs w:val="18"/>
              </w:rPr>
            </w:pPr>
            <w:r>
              <w:rPr>
                <w:sz w:val="18"/>
                <w:szCs w:val="18"/>
              </w:rPr>
              <w:t>6.6  程序分析工具的使用</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（1）了解：CCS功能简介、CCS安装与设置</w:t>
            </w:r>
          </w:p>
          <w:p>
            <w:pPr>
              <w:snapToGrid w:val="0"/>
              <w:spacing w:line="300" w:lineRule="auto"/>
              <w:rPr>
                <w:sz w:val="18"/>
                <w:szCs w:val="18"/>
              </w:rPr>
            </w:pPr>
            <w:r>
              <w:rPr>
                <w:sz w:val="18"/>
                <w:szCs w:val="18"/>
              </w:rPr>
              <w:t>（2）理解：CCS的基本操作</w:t>
            </w:r>
          </w:p>
          <w:p>
            <w:pPr>
              <w:snapToGrid w:val="0"/>
              <w:spacing w:line="300" w:lineRule="auto"/>
              <w:rPr>
                <w:sz w:val="18"/>
                <w:szCs w:val="18"/>
              </w:rPr>
            </w:pPr>
            <w:r>
              <w:rPr>
                <w:sz w:val="18"/>
                <w:szCs w:val="18"/>
              </w:rPr>
              <w:t>（3）掌握：创建工程项目</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（1）复习第6章内容；</w:t>
            </w:r>
          </w:p>
          <w:p>
            <w:pPr>
              <w:snapToGrid w:val="0"/>
              <w:spacing w:line="300" w:lineRule="auto"/>
              <w:rPr>
                <w:sz w:val="18"/>
                <w:szCs w:val="18"/>
              </w:rPr>
            </w:pPr>
            <w:r>
              <w:rPr>
                <w:sz w:val="18"/>
                <w:szCs w:val="18"/>
              </w:rPr>
              <w:t>（2）完成教材第6章作业。</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讲授式、案例式、讨论式启发式相结合。</w:t>
            </w:r>
          </w:p>
          <w:p>
            <w:pPr>
              <w:snapToGrid w:val="0"/>
              <w:spacing w:line="300" w:lineRule="auto"/>
              <w:rPr>
                <w:sz w:val="18"/>
                <w:szCs w:val="18"/>
              </w:rPr>
            </w:pPr>
            <w:r>
              <w:rPr>
                <w:sz w:val="18"/>
                <w:szCs w:val="18"/>
              </w:rPr>
              <w:t>案例2：CCS使用练习</w:t>
            </w:r>
          </w:p>
        </w:tc>
        <w:tc>
          <w:tcPr>
            <w:tcW w:w="734" w:type="dxa"/>
            <w:vAlign w:val="center"/>
          </w:tcPr>
          <w:p>
            <w:pPr>
              <w:snapToGrid w:val="0"/>
              <w:spacing w:line="300" w:lineRule="auto"/>
              <w:jc w:val="center"/>
              <w:rPr>
                <w:sz w:val="18"/>
                <w:szCs w:val="18"/>
              </w:rPr>
            </w:pPr>
            <w:r>
              <w:rPr>
                <w:sz w:val="18"/>
                <w:szCs w:val="18"/>
              </w:rPr>
              <w:t>2</w:t>
            </w:r>
          </w:p>
        </w:tc>
        <w:tc>
          <w:tcPr>
            <w:tcW w:w="1027" w:type="dxa"/>
            <w:vAlign w:val="center"/>
          </w:tcPr>
          <w:p>
            <w:pPr>
              <w:snapToGrid w:val="0"/>
              <w:spacing w:line="300" w:lineRule="auto"/>
              <w:ind w:firstLine="180" w:firstLineChars="100"/>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7</w:t>
            </w:r>
          </w:p>
        </w:tc>
        <w:tc>
          <w:tcPr>
            <w:tcW w:w="2292" w:type="dxa"/>
          </w:tcPr>
          <w:p>
            <w:pPr>
              <w:snapToGrid w:val="0"/>
              <w:spacing w:line="300" w:lineRule="auto"/>
              <w:rPr>
                <w:sz w:val="18"/>
                <w:szCs w:val="18"/>
              </w:rPr>
            </w:pPr>
            <w:r>
              <w:rPr>
                <w:sz w:val="18"/>
                <w:szCs w:val="18"/>
              </w:rPr>
              <w:t>第7章 TMS320C55x硬件设计实例</w:t>
            </w:r>
          </w:p>
          <w:p>
            <w:pPr>
              <w:snapToGrid w:val="0"/>
              <w:spacing w:line="300" w:lineRule="auto"/>
              <w:rPr>
                <w:sz w:val="18"/>
                <w:szCs w:val="18"/>
              </w:rPr>
            </w:pPr>
            <w:r>
              <w:rPr>
                <w:sz w:val="18"/>
                <w:szCs w:val="18"/>
              </w:rPr>
              <w:t>7.1</w:t>
            </w:r>
            <w:r>
              <w:rPr>
                <w:sz w:val="18"/>
                <w:szCs w:val="18"/>
              </w:rPr>
              <w:tab/>
            </w:r>
            <w:r>
              <w:rPr>
                <w:sz w:val="18"/>
                <w:szCs w:val="18"/>
              </w:rPr>
              <w:t xml:space="preserve"> DSP最小系统设计</w:t>
            </w:r>
          </w:p>
          <w:p>
            <w:pPr>
              <w:snapToGrid w:val="0"/>
              <w:spacing w:line="300" w:lineRule="auto"/>
              <w:rPr>
                <w:sz w:val="18"/>
                <w:szCs w:val="18"/>
              </w:rPr>
            </w:pPr>
            <w:r>
              <w:rPr>
                <w:sz w:val="18"/>
                <w:szCs w:val="18"/>
              </w:rPr>
              <w:t>7.2</w:t>
            </w:r>
            <w:r>
              <w:rPr>
                <w:sz w:val="18"/>
                <w:szCs w:val="18"/>
              </w:rPr>
              <w:tab/>
            </w:r>
            <w:r>
              <w:rPr>
                <w:sz w:val="18"/>
                <w:szCs w:val="18"/>
              </w:rPr>
              <w:t xml:space="preserve"> A/D与D/A设计</w:t>
            </w:r>
          </w:p>
          <w:p>
            <w:pPr>
              <w:snapToGrid w:val="0"/>
              <w:spacing w:line="300" w:lineRule="auto"/>
              <w:rPr>
                <w:sz w:val="18"/>
                <w:szCs w:val="18"/>
              </w:rPr>
            </w:pPr>
            <w:r>
              <w:rPr>
                <w:sz w:val="18"/>
                <w:szCs w:val="18"/>
              </w:rPr>
              <w:t>7.3 C55x在语音系统中的应用</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（1）了解：DSP最小系统设计、C55x在语音系统中的应用</w:t>
            </w:r>
          </w:p>
          <w:p>
            <w:pPr>
              <w:snapToGrid w:val="0"/>
              <w:spacing w:line="300" w:lineRule="auto"/>
              <w:rPr>
                <w:sz w:val="18"/>
                <w:szCs w:val="18"/>
              </w:rPr>
            </w:pPr>
            <w:r>
              <w:rPr>
                <w:sz w:val="18"/>
                <w:szCs w:val="18"/>
              </w:rPr>
              <w:t>（2）理解：A/D与D/A设计</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（1）复习第7章内容；</w:t>
            </w:r>
          </w:p>
          <w:p>
            <w:pPr>
              <w:snapToGrid w:val="0"/>
              <w:spacing w:line="300" w:lineRule="auto"/>
              <w:rPr>
                <w:sz w:val="18"/>
                <w:szCs w:val="18"/>
              </w:rPr>
            </w:pPr>
            <w:r>
              <w:rPr>
                <w:sz w:val="18"/>
                <w:szCs w:val="18"/>
              </w:rPr>
              <w:t>（2）完成教材第7章作业。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讲授式、讨论式与启发式相结合。</w:t>
            </w:r>
          </w:p>
        </w:tc>
        <w:tc>
          <w:tcPr>
            <w:tcW w:w="734" w:type="dxa"/>
            <w:vAlign w:val="center"/>
          </w:tcPr>
          <w:p>
            <w:pPr>
              <w:snapToGrid w:val="0"/>
              <w:spacing w:line="300" w:lineRule="auto"/>
              <w:jc w:val="center"/>
              <w:rPr>
                <w:sz w:val="18"/>
                <w:szCs w:val="18"/>
              </w:rPr>
            </w:pPr>
            <w:r>
              <w:rPr>
                <w:sz w:val="18"/>
                <w:szCs w:val="18"/>
              </w:rPr>
              <w:t>2</w:t>
            </w:r>
          </w:p>
        </w:tc>
        <w:tc>
          <w:tcPr>
            <w:tcW w:w="1027" w:type="dxa"/>
            <w:vAlign w:val="center"/>
          </w:tcPr>
          <w:p>
            <w:pPr>
              <w:snapToGrid w:val="0"/>
              <w:spacing w:line="300" w:lineRule="auto"/>
              <w:ind w:firstLine="180" w:firstLineChars="100"/>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8</w:t>
            </w:r>
          </w:p>
        </w:tc>
        <w:tc>
          <w:tcPr>
            <w:tcW w:w="2292" w:type="dxa"/>
            <w:vAlign w:val="center"/>
          </w:tcPr>
          <w:p>
            <w:pPr>
              <w:snapToGrid w:val="0"/>
              <w:spacing w:line="300" w:lineRule="auto"/>
              <w:rPr>
                <w:sz w:val="18"/>
                <w:szCs w:val="18"/>
              </w:rPr>
            </w:pPr>
            <w:r>
              <w:rPr>
                <w:sz w:val="18"/>
                <w:szCs w:val="18"/>
              </w:rPr>
              <w:t>第8章  DSP算法软件开发实例</w:t>
            </w:r>
          </w:p>
          <w:p>
            <w:pPr>
              <w:snapToGrid w:val="0"/>
              <w:spacing w:line="300" w:lineRule="auto"/>
              <w:rPr>
                <w:sz w:val="18"/>
                <w:szCs w:val="18"/>
              </w:rPr>
            </w:pPr>
            <w:r>
              <w:rPr>
                <w:sz w:val="18"/>
                <w:szCs w:val="18"/>
              </w:rPr>
              <w:t>8.1卷积算法</w:t>
            </w:r>
            <w:r>
              <w:rPr>
                <w:sz w:val="18"/>
                <w:szCs w:val="18"/>
              </w:rPr>
              <w:tab/>
            </w:r>
          </w:p>
          <w:p>
            <w:pPr>
              <w:snapToGrid w:val="0"/>
              <w:spacing w:line="300" w:lineRule="auto"/>
              <w:rPr>
                <w:sz w:val="18"/>
                <w:szCs w:val="18"/>
              </w:rPr>
            </w:pPr>
            <w:r>
              <w:rPr>
                <w:sz w:val="18"/>
                <w:szCs w:val="18"/>
              </w:rPr>
              <w:t>8.2有限冲激响应滤波器（FIR）的 实现</w:t>
            </w:r>
          </w:p>
          <w:p>
            <w:pPr>
              <w:snapToGrid w:val="0"/>
              <w:spacing w:line="300" w:lineRule="auto"/>
              <w:rPr>
                <w:sz w:val="18"/>
                <w:szCs w:val="18"/>
              </w:rPr>
            </w:pPr>
            <w:r>
              <w:rPr>
                <w:sz w:val="18"/>
                <w:szCs w:val="18"/>
              </w:rPr>
              <w:t>8.3无限冲激响应滤波器（IIR）的 实现</w:t>
            </w:r>
          </w:p>
        </w:tc>
        <w:tc>
          <w:tcPr>
            <w:tcW w:w="4036"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（1）理解：卷积算法</w:t>
            </w:r>
          </w:p>
          <w:p>
            <w:pPr>
              <w:snapToGrid w:val="0"/>
              <w:spacing w:line="300" w:lineRule="auto"/>
              <w:rPr>
                <w:sz w:val="18"/>
                <w:szCs w:val="18"/>
              </w:rPr>
            </w:pPr>
            <w:r>
              <w:rPr>
                <w:sz w:val="18"/>
                <w:szCs w:val="18"/>
              </w:rPr>
              <w:t>（2）了解：有限冲激响应滤波器</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（1）复习第8章内容；</w:t>
            </w:r>
          </w:p>
          <w:p>
            <w:pPr>
              <w:snapToGrid w:val="0"/>
              <w:spacing w:line="300" w:lineRule="auto"/>
              <w:rPr>
                <w:sz w:val="18"/>
                <w:szCs w:val="18"/>
              </w:rPr>
            </w:pPr>
            <w:r>
              <w:rPr>
                <w:sz w:val="18"/>
                <w:szCs w:val="18"/>
              </w:rPr>
              <w:t>（2）完成教材第8章作业。</w:t>
            </w:r>
          </w:p>
          <w:p>
            <w:pPr>
              <w:snapToGrid w:val="0"/>
              <w:spacing w:line="300" w:lineRule="auto"/>
              <w:rPr>
                <w:sz w:val="18"/>
                <w:szCs w:val="18"/>
              </w:rPr>
            </w:pPr>
            <w:r>
              <w:rPr>
                <w:sz w:val="18"/>
                <w:szCs w:val="18"/>
              </w:rPr>
              <w:t>3．教学方法</w:t>
            </w:r>
          </w:p>
          <w:p>
            <w:pPr>
              <w:snapToGrid w:val="0"/>
              <w:spacing w:line="300" w:lineRule="auto"/>
              <w:rPr>
                <w:sz w:val="18"/>
                <w:szCs w:val="18"/>
              </w:rPr>
            </w:pPr>
            <w:r>
              <w:rPr>
                <w:sz w:val="18"/>
                <w:szCs w:val="18"/>
              </w:rPr>
              <w:t>讲授式、讨论式、启发式相结合。</w:t>
            </w:r>
          </w:p>
        </w:tc>
        <w:tc>
          <w:tcPr>
            <w:tcW w:w="734" w:type="dxa"/>
            <w:vAlign w:val="center"/>
          </w:tcPr>
          <w:p>
            <w:pPr>
              <w:snapToGrid w:val="0"/>
              <w:spacing w:line="300" w:lineRule="auto"/>
              <w:jc w:val="center"/>
              <w:rPr>
                <w:sz w:val="18"/>
                <w:szCs w:val="18"/>
              </w:rPr>
            </w:pPr>
            <w:r>
              <w:rPr>
                <w:sz w:val="18"/>
                <w:szCs w:val="18"/>
              </w:rPr>
              <w:t>2</w:t>
            </w:r>
          </w:p>
        </w:tc>
        <w:tc>
          <w:tcPr>
            <w:tcW w:w="1027" w:type="dxa"/>
            <w:vAlign w:val="center"/>
          </w:tcPr>
          <w:p>
            <w:pPr>
              <w:snapToGrid w:val="0"/>
              <w:spacing w:line="300" w:lineRule="auto"/>
              <w:ind w:firstLine="270" w:firstLineChars="150"/>
              <w:rPr>
                <w:sz w:val="18"/>
                <w:szCs w:val="18"/>
              </w:rPr>
            </w:pPr>
            <w:r>
              <w:rPr>
                <w:sz w:val="18"/>
                <w:szCs w:val="18"/>
              </w:rPr>
              <w:t>1</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25"/>
        <w:gridCol w:w="3064"/>
        <w:gridCol w:w="694"/>
        <w:gridCol w:w="696"/>
        <w:gridCol w:w="696"/>
        <w:gridCol w:w="62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9" w:type="dxa"/>
            <w:vAlign w:val="center"/>
          </w:tcPr>
          <w:p>
            <w:pPr>
              <w:snapToGrid w:val="0"/>
              <w:spacing w:line="300" w:lineRule="auto"/>
              <w:jc w:val="center"/>
              <w:rPr>
                <w:b/>
                <w:bCs/>
                <w:sz w:val="18"/>
                <w:szCs w:val="18"/>
              </w:rPr>
            </w:pPr>
            <w:r>
              <w:rPr>
                <w:b/>
                <w:bCs/>
                <w:kern w:val="0"/>
                <w:sz w:val="18"/>
                <w:szCs w:val="18"/>
              </w:rPr>
              <w:t>序号</w:t>
            </w:r>
          </w:p>
        </w:tc>
        <w:tc>
          <w:tcPr>
            <w:tcW w:w="1525" w:type="dxa"/>
            <w:vAlign w:val="center"/>
          </w:tcPr>
          <w:p>
            <w:pPr>
              <w:snapToGrid w:val="0"/>
              <w:spacing w:line="300" w:lineRule="auto"/>
              <w:jc w:val="center"/>
              <w:rPr>
                <w:b/>
                <w:bCs/>
                <w:sz w:val="18"/>
                <w:szCs w:val="18"/>
              </w:rPr>
            </w:pPr>
            <w:r>
              <w:rPr>
                <w:b/>
                <w:bCs/>
                <w:kern w:val="0"/>
                <w:sz w:val="18"/>
                <w:szCs w:val="18"/>
              </w:rPr>
              <w:t>实验项目名称</w:t>
            </w:r>
          </w:p>
        </w:tc>
        <w:tc>
          <w:tcPr>
            <w:tcW w:w="3064" w:type="dxa"/>
            <w:vAlign w:val="center"/>
          </w:tcPr>
          <w:p>
            <w:pPr>
              <w:snapToGrid w:val="0"/>
              <w:spacing w:line="300" w:lineRule="auto"/>
              <w:jc w:val="center"/>
              <w:rPr>
                <w:b/>
                <w:bCs/>
                <w:sz w:val="18"/>
                <w:szCs w:val="18"/>
              </w:rPr>
            </w:pPr>
            <w:r>
              <w:rPr>
                <w:b/>
                <w:bCs/>
                <w:kern w:val="0"/>
                <w:sz w:val="18"/>
                <w:szCs w:val="18"/>
              </w:rPr>
              <w:t>目的要求</w:t>
            </w:r>
          </w:p>
        </w:tc>
        <w:tc>
          <w:tcPr>
            <w:tcW w:w="694"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6"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4"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jc w:val="center"/>
              <w:rPr>
                <w:sz w:val="18"/>
                <w:szCs w:val="18"/>
              </w:rPr>
            </w:pPr>
            <w:r>
              <w:rPr>
                <w:sz w:val="18"/>
                <w:szCs w:val="18"/>
              </w:rPr>
              <w:t>1</w:t>
            </w:r>
          </w:p>
        </w:tc>
        <w:tc>
          <w:tcPr>
            <w:tcW w:w="1525" w:type="dxa"/>
            <w:vAlign w:val="center"/>
          </w:tcPr>
          <w:p>
            <w:pPr>
              <w:snapToGrid w:val="0"/>
              <w:spacing w:line="300" w:lineRule="auto"/>
              <w:rPr>
                <w:sz w:val="18"/>
                <w:szCs w:val="18"/>
              </w:rPr>
            </w:pPr>
            <w:r>
              <w:rPr>
                <w:kern w:val="0"/>
                <w:sz w:val="18"/>
                <w:szCs w:val="18"/>
              </w:rPr>
              <w:t>常用指令实验</w:t>
            </w:r>
          </w:p>
        </w:tc>
        <w:tc>
          <w:tcPr>
            <w:tcW w:w="3064" w:type="dxa"/>
            <w:vAlign w:val="center"/>
          </w:tcPr>
          <w:p>
            <w:pPr>
              <w:snapToGrid w:val="0"/>
              <w:spacing w:line="300" w:lineRule="auto"/>
              <w:rPr>
                <w:sz w:val="18"/>
                <w:szCs w:val="18"/>
              </w:rPr>
            </w:pPr>
            <w:r>
              <w:rPr>
                <w:sz w:val="18"/>
                <w:szCs w:val="18"/>
              </w:rPr>
              <w:t>掌握集成开发环境CCS的使用及程序结构</w:t>
            </w:r>
          </w:p>
        </w:tc>
        <w:tc>
          <w:tcPr>
            <w:tcW w:w="694"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验证</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4" w:type="dxa"/>
            <w:vAlign w:val="center"/>
          </w:tcPr>
          <w:p>
            <w:pPr>
              <w:snapToGrid w:val="0"/>
              <w:spacing w:line="300" w:lineRule="auto"/>
              <w:jc w:val="center"/>
              <w:rPr>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9" w:type="dxa"/>
            <w:vAlign w:val="center"/>
          </w:tcPr>
          <w:p>
            <w:pPr>
              <w:snapToGrid w:val="0"/>
              <w:spacing w:line="300" w:lineRule="auto"/>
              <w:jc w:val="center"/>
              <w:rPr>
                <w:sz w:val="18"/>
                <w:szCs w:val="18"/>
              </w:rPr>
            </w:pPr>
            <w:r>
              <w:rPr>
                <w:sz w:val="18"/>
                <w:szCs w:val="18"/>
              </w:rPr>
              <w:t>2</w:t>
            </w:r>
          </w:p>
        </w:tc>
        <w:tc>
          <w:tcPr>
            <w:tcW w:w="1525" w:type="dxa"/>
            <w:vAlign w:val="center"/>
          </w:tcPr>
          <w:p>
            <w:pPr>
              <w:snapToGrid w:val="0"/>
              <w:spacing w:line="300" w:lineRule="auto"/>
              <w:rPr>
                <w:sz w:val="18"/>
                <w:szCs w:val="18"/>
              </w:rPr>
            </w:pPr>
            <w:r>
              <w:rPr>
                <w:kern w:val="0"/>
                <w:sz w:val="18"/>
                <w:szCs w:val="18"/>
              </w:rPr>
              <w:t>数据存储实验</w:t>
            </w:r>
          </w:p>
        </w:tc>
        <w:tc>
          <w:tcPr>
            <w:tcW w:w="3064" w:type="dxa"/>
            <w:vAlign w:val="center"/>
          </w:tcPr>
          <w:p>
            <w:pPr>
              <w:snapToGrid w:val="0"/>
              <w:spacing w:line="300" w:lineRule="auto"/>
              <w:rPr>
                <w:sz w:val="18"/>
                <w:szCs w:val="18"/>
              </w:rPr>
            </w:pPr>
            <w:r>
              <w:rPr>
                <w:sz w:val="18"/>
                <w:szCs w:val="18"/>
              </w:rPr>
              <w:t>掌握DSP的存储空间结构及程序设计方法</w:t>
            </w:r>
          </w:p>
        </w:tc>
        <w:tc>
          <w:tcPr>
            <w:tcW w:w="694"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验证</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4" w:type="dxa"/>
            <w:vAlign w:val="center"/>
          </w:tcPr>
          <w:p>
            <w:pPr>
              <w:widowControl/>
              <w:snapToGrid w:val="0"/>
              <w:spacing w:line="300" w:lineRule="auto"/>
              <w:jc w:val="center"/>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09" w:type="dxa"/>
            <w:vAlign w:val="center"/>
          </w:tcPr>
          <w:p>
            <w:pPr>
              <w:snapToGrid w:val="0"/>
              <w:spacing w:line="300" w:lineRule="auto"/>
              <w:jc w:val="center"/>
              <w:rPr>
                <w:sz w:val="18"/>
                <w:szCs w:val="18"/>
              </w:rPr>
            </w:pPr>
            <w:r>
              <w:rPr>
                <w:sz w:val="18"/>
                <w:szCs w:val="18"/>
              </w:rPr>
              <w:t>3</w:t>
            </w:r>
          </w:p>
        </w:tc>
        <w:tc>
          <w:tcPr>
            <w:tcW w:w="1525" w:type="dxa"/>
            <w:vAlign w:val="center"/>
          </w:tcPr>
          <w:p>
            <w:pPr>
              <w:snapToGrid w:val="0"/>
              <w:spacing w:line="300" w:lineRule="auto"/>
              <w:rPr>
                <w:sz w:val="18"/>
                <w:szCs w:val="18"/>
              </w:rPr>
            </w:pPr>
            <w:r>
              <w:rPr>
                <w:kern w:val="0"/>
                <w:sz w:val="18"/>
                <w:szCs w:val="18"/>
              </w:rPr>
              <w:t>I/O实验的研究</w:t>
            </w:r>
          </w:p>
        </w:tc>
        <w:tc>
          <w:tcPr>
            <w:tcW w:w="3064" w:type="dxa"/>
            <w:vAlign w:val="center"/>
          </w:tcPr>
          <w:p>
            <w:pPr>
              <w:snapToGrid w:val="0"/>
              <w:spacing w:line="300" w:lineRule="auto"/>
              <w:rPr>
                <w:sz w:val="18"/>
                <w:szCs w:val="18"/>
              </w:rPr>
            </w:pPr>
            <w:r>
              <w:rPr>
                <w:kern w:val="0"/>
                <w:sz w:val="18"/>
                <w:szCs w:val="18"/>
              </w:rPr>
              <w:t>掌握I/O空间结构及程序设计方法</w:t>
            </w:r>
          </w:p>
        </w:tc>
        <w:tc>
          <w:tcPr>
            <w:tcW w:w="694"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设计</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4" w:type="dxa"/>
            <w:vAlign w:val="center"/>
          </w:tcPr>
          <w:p>
            <w:pPr>
              <w:snapToGrid w:val="0"/>
              <w:spacing w:line="300" w:lineRule="auto"/>
              <w:jc w:val="center"/>
              <w:rPr>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9" w:type="dxa"/>
            <w:vAlign w:val="center"/>
          </w:tcPr>
          <w:p>
            <w:pPr>
              <w:snapToGrid w:val="0"/>
              <w:spacing w:line="300" w:lineRule="auto"/>
              <w:jc w:val="center"/>
              <w:rPr>
                <w:sz w:val="18"/>
                <w:szCs w:val="18"/>
              </w:rPr>
            </w:pPr>
            <w:r>
              <w:rPr>
                <w:sz w:val="18"/>
                <w:szCs w:val="18"/>
              </w:rPr>
              <w:t>4</w:t>
            </w:r>
          </w:p>
        </w:tc>
        <w:tc>
          <w:tcPr>
            <w:tcW w:w="1525" w:type="dxa"/>
            <w:vAlign w:val="center"/>
          </w:tcPr>
          <w:p>
            <w:pPr>
              <w:snapToGrid w:val="0"/>
              <w:spacing w:line="300" w:lineRule="auto"/>
              <w:rPr>
                <w:sz w:val="18"/>
                <w:szCs w:val="18"/>
              </w:rPr>
            </w:pPr>
            <w:r>
              <w:rPr>
                <w:kern w:val="0"/>
                <w:sz w:val="18"/>
                <w:szCs w:val="18"/>
              </w:rPr>
              <w:t>外部中断实验</w:t>
            </w:r>
          </w:p>
        </w:tc>
        <w:tc>
          <w:tcPr>
            <w:tcW w:w="3064" w:type="dxa"/>
            <w:vAlign w:val="center"/>
          </w:tcPr>
          <w:p>
            <w:pPr>
              <w:snapToGrid w:val="0"/>
              <w:spacing w:line="300" w:lineRule="auto"/>
              <w:rPr>
                <w:sz w:val="18"/>
                <w:szCs w:val="18"/>
              </w:rPr>
            </w:pPr>
            <w:r>
              <w:rPr>
                <w:kern w:val="0"/>
                <w:sz w:val="18"/>
                <w:szCs w:val="18"/>
              </w:rPr>
              <w:t>掌握中断技术及中断程序设计</w:t>
            </w:r>
          </w:p>
        </w:tc>
        <w:tc>
          <w:tcPr>
            <w:tcW w:w="694" w:type="dxa"/>
            <w:vAlign w:val="center"/>
          </w:tcPr>
          <w:p>
            <w:pPr>
              <w:snapToGrid w:val="0"/>
              <w:spacing w:line="300" w:lineRule="auto"/>
              <w:jc w:val="center"/>
              <w:rPr>
                <w:sz w:val="18"/>
                <w:szCs w:val="18"/>
              </w:rPr>
            </w:pPr>
            <w:r>
              <w:rPr>
                <w:kern w:val="0"/>
                <w:sz w:val="18"/>
                <w:szCs w:val="18"/>
              </w:rPr>
              <w:t>2</w:t>
            </w:r>
          </w:p>
        </w:tc>
        <w:tc>
          <w:tcPr>
            <w:tcW w:w="696" w:type="dxa"/>
            <w:vAlign w:val="center"/>
          </w:tcPr>
          <w:p>
            <w:pPr>
              <w:snapToGrid w:val="0"/>
              <w:spacing w:line="300" w:lineRule="auto"/>
              <w:jc w:val="center"/>
              <w:rPr>
                <w:sz w:val="18"/>
                <w:szCs w:val="18"/>
              </w:rPr>
            </w:pPr>
            <w:r>
              <w:rPr>
                <w:kern w:val="0"/>
                <w:sz w:val="18"/>
                <w:szCs w:val="18"/>
              </w:rPr>
              <w:t>综合</w:t>
            </w:r>
          </w:p>
        </w:tc>
        <w:tc>
          <w:tcPr>
            <w:tcW w:w="696" w:type="dxa"/>
            <w:vAlign w:val="center"/>
          </w:tcPr>
          <w:p>
            <w:pPr>
              <w:snapToGrid w:val="0"/>
              <w:spacing w:line="300" w:lineRule="auto"/>
              <w:jc w:val="center"/>
              <w:rPr>
                <w:sz w:val="18"/>
                <w:szCs w:val="18"/>
              </w:rPr>
            </w:pPr>
            <w:r>
              <w:rPr>
                <w:kern w:val="0"/>
                <w:sz w:val="18"/>
                <w:szCs w:val="18"/>
              </w:rPr>
              <w:t>2</w:t>
            </w:r>
          </w:p>
        </w:tc>
        <w:tc>
          <w:tcPr>
            <w:tcW w:w="623" w:type="dxa"/>
            <w:vAlign w:val="center"/>
          </w:tcPr>
          <w:p>
            <w:pPr>
              <w:snapToGrid w:val="0"/>
              <w:spacing w:line="300" w:lineRule="auto"/>
              <w:jc w:val="center"/>
              <w:rPr>
                <w:sz w:val="18"/>
                <w:szCs w:val="18"/>
              </w:rPr>
            </w:pPr>
            <w:r>
              <w:rPr>
                <w:kern w:val="0"/>
                <w:sz w:val="18"/>
                <w:szCs w:val="18"/>
              </w:rPr>
              <w:t>必开</w:t>
            </w:r>
          </w:p>
        </w:tc>
        <w:tc>
          <w:tcPr>
            <w:tcW w:w="674" w:type="dxa"/>
            <w:vAlign w:val="center"/>
          </w:tcPr>
          <w:p>
            <w:pPr>
              <w:snapToGrid w:val="0"/>
              <w:spacing w:line="300" w:lineRule="auto"/>
              <w:jc w:val="center"/>
              <w:rPr>
                <w:sz w:val="18"/>
                <w:szCs w:val="18"/>
              </w:rPr>
            </w:pPr>
            <w:r>
              <w:rPr>
                <w:kern w:val="0"/>
                <w:sz w:val="18"/>
                <w:szCs w:val="18"/>
              </w:rPr>
              <w:t>1、2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w:t>
      </w:r>
      <w:r>
        <w:rPr>
          <w:kern w:val="0"/>
          <w:szCs w:val="21"/>
        </w:rPr>
        <w:t>．</w:t>
      </w:r>
      <w:r>
        <w:rPr>
          <w:szCs w:val="21"/>
        </w:rPr>
        <w:t>考核方式：过程考核、形成性评价、终结性评价（开卷考试）</w:t>
      </w:r>
    </w:p>
    <w:p>
      <w:pPr>
        <w:snapToGrid w:val="0"/>
        <w:spacing w:line="300" w:lineRule="auto"/>
        <w:ind w:left="2" w:firstLine="420" w:firstLineChars="200"/>
        <w:rPr>
          <w:szCs w:val="21"/>
        </w:rPr>
      </w:pPr>
      <w:r>
        <w:rPr>
          <w:szCs w:val="21"/>
        </w:rPr>
        <w:t>2</w:t>
      </w:r>
      <w:r>
        <w:rPr>
          <w:kern w:val="0"/>
          <w:szCs w:val="21"/>
        </w:rPr>
        <w:t>．</w:t>
      </w:r>
      <w:r>
        <w:rPr>
          <w:szCs w:val="21"/>
        </w:rPr>
        <w:t>考核成绩组成</w:t>
      </w:r>
      <w:r>
        <w:rPr>
          <w:b/>
          <w:szCs w:val="21"/>
        </w:rPr>
        <w:t>：</w:t>
      </w:r>
      <w:r>
        <w:rPr>
          <w:szCs w:val="21"/>
        </w:rPr>
        <w:t>结合教学要求中的知识、理解、应用等能力层次，体现对学生基本知识、基本技能、综合应用能力、专业素养及创新能力考核要求。</w:t>
      </w:r>
    </w:p>
    <w:p>
      <w:pPr>
        <w:snapToGrid w:val="0"/>
        <w:spacing w:line="300" w:lineRule="auto"/>
        <w:rPr>
          <w:szCs w:val="21"/>
        </w:rPr>
      </w:pPr>
      <w:r>
        <w:rPr>
          <w:szCs w:val="21"/>
        </w:rPr>
        <w:t xml:space="preserve">    考查成绩由平时成绩和期末考核成绩组成，其中平时成绩占50%（包括课堂表现、课堂作业、口头报告、实验和实验报告等组成），期末成绩（卷面成绩）占50%。再将百分制成绩转换为等级制成绩，即100~90为优秀，89~80为良好，79~70为中等，69~60为及格，60以下不及格。</w:t>
      </w:r>
    </w:p>
    <w:p>
      <w:pPr>
        <w:snapToGrid w:val="0"/>
        <w:spacing w:line="300" w:lineRule="auto"/>
      </w:pPr>
      <w:r>
        <w:t>百分制成绩与五级记分制成绩转换标准如表5。</w:t>
      </w:r>
    </w:p>
    <w:p>
      <w:pPr>
        <w:widowControl/>
        <w:snapToGrid w:val="0"/>
        <w:spacing w:before="156" w:beforeLines="50" w:line="300" w:lineRule="auto"/>
        <w:ind w:firstLine="482"/>
        <w:jc w:val="center"/>
        <w:rPr>
          <w:b/>
          <w:kern w:val="0"/>
          <w:sz w:val="18"/>
          <w:szCs w:val="18"/>
        </w:rPr>
      </w:pPr>
      <w:r>
        <w:rPr>
          <w:b/>
          <w:kern w:val="0"/>
          <w:sz w:val="18"/>
          <w:szCs w:val="18"/>
        </w:rPr>
        <w:t>表5 百分制成绩与五级记分制成绩转换标准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47"/>
        <w:gridCol w:w="1447"/>
        <w:gridCol w:w="1447"/>
        <w:gridCol w:w="1447"/>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47" w:type="dxa"/>
            <w:vAlign w:val="center"/>
          </w:tcPr>
          <w:p>
            <w:pPr>
              <w:widowControl/>
              <w:snapToGrid w:val="0"/>
              <w:spacing w:line="300" w:lineRule="auto"/>
              <w:jc w:val="center"/>
              <w:rPr>
                <w:b/>
                <w:kern w:val="0"/>
                <w:sz w:val="18"/>
                <w:szCs w:val="18"/>
              </w:rPr>
            </w:pPr>
            <w:r>
              <w:rPr>
                <w:b/>
                <w:kern w:val="0"/>
                <w:sz w:val="18"/>
                <w:szCs w:val="18"/>
              </w:rPr>
              <w:t>百分制成绩</w:t>
            </w:r>
          </w:p>
        </w:tc>
        <w:tc>
          <w:tcPr>
            <w:tcW w:w="1447" w:type="dxa"/>
            <w:vAlign w:val="center"/>
          </w:tcPr>
          <w:p>
            <w:pPr>
              <w:widowControl/>
              <w:snapToGrid w:val="0"/>
              <w:spacing w:line="300" w:lineRule="auto"/>
              <w:jc w:val="center"/>
              <w:rPr>
                <w:bCs/>
                <w:kern w:val="0"/>
                <w:sz w:val="18"/>
                <w:szCs w:val="18"/>
              </w:rPr>
            </w:pPr>
            <w:r>
              <w:rPr>
                <w:bCs/>
                <w:kern w:val="0"/>
                <w:sz w:val="18"/>
                <w:szCs w:val="18"/>
              </w:rPr>
              <w:t>60分以下</w:t>
            </w:r>
          </w:p>
        </w:tc>
        <w:tc>
          <w:tcPr>
            <w:tcW w:w="1447" w:type="dxa"/>
            <w:vAlign w:val="center"/>
          </w:tcPr>
          <w:p>
            <w:pPr>
              <w:widowControl/>
              <w:snapToGrid w:val="0"/>
              <w:spacing w:line="300" w:lineRule="auto"/>
              <w:jc w:val="center"/>
              <w:rPr>
                <w:bCs/>
                <w:kern w:val="0"/>
                <w:sz w:val="18"/>
                <w:szCs w:val="18"/>
              </w:rPr>
            </w:pPr>
            <w:r>
              <w:rPr>
                <w:bCs/>
                <w:kern w:val="0"/>
                <w:sz w:val="18"/>
                <w:szCs w:val="18"/>
              </w:rPr>
              <w:t>60-69分</w:t>
            </w:r>
          </w:p>
        </w:tc>
        <w:tc>
          <w:tcPr>
            <w:tcW w:w="1447" w:type="dxa"/>
            <w:vAlign w:val="center"/>
          </w:tcPr>
          <w:p>
            <w:pPr>
              <w:widowControl/>
              <w:snapToGrid w:val="0"/>
              <w:spacing w:line="300" w:lineRule="auto"/>
              <w:jc w:val="center"/>
              <w:rPr>
                <w:bCs/>
                <w:kern w:val="0"/>
                <w:sz w:val="18"/>
                <w:szCs w:val="18"/>
              </w:rPr>
            </w:pPr>
            <w:r>
              <w:rPr>
                <w:bCs/>
                <w:kern w:val="0"/>
                <w:sz w:val="18"/>
                <w:szCs w:val="18"/>
              </w:rPr>
              <w:t>70-79分</w:t>
            </w:r>
          </w:p>
        </w:tc>
        <w:tc>
          <w:tcPr>
            <w:tcW w:w="1447" w:type="dxa"/>
            <w:vAlign w:val="center"/>
          </w:tcPr>
          <w:p>
            <w:pPr>
              <w:widowControl/>
              <w:snapToGrid w:val="0"/>
              <w:spacing w:line="300" w:lineRule="auto"/>
              <w:jc w:val="center"/>
              <w:rPr>
                <w:bCs/>
                <w:kern w:val="0"/>
                <w:sz w:val="18"/>
                <w:szCs w:val="18"/>
              </w:rPr>
            </w:pPr>
            <w:r>
              <w:rPr>
                <w:bCs/>
                <w:kern w:val="0"/>
                <w:sz w:val="18"/>
                <w:szCs w:val="18"/>
              </w:rPr>
              <w:t>80-89分</w:t>
            </w:r>
          </w:p>
        </w:tc>
        <w:tc>
          <w:tcPr>
            <w:tcW w:w="1446" w:type="dxa"/>
            <w:vAlign w:val="center"/>
          </w:tcPr>
          <w:p>
            <w:pPr>
              <w:widowControl/>
              <w:snapToGrid w:val="0"/>
              <w:spacing w:line="300" w:lineRule="auto"/>
              <w:jc w:val="center"/>
              <w:rPr>
                <w:bCs/>
                <w:kern w:val="0"/>
                <w:sz w:val="18"/>
                <w:szCs w:val="18"/>
              </w:rPr>
            </w:pPr>
            <w:r>
              <w:rPr>
                <w:bCs/>
                <w:kern w:val="0"/>
                <w:sz w:val="18"/>
                <w:szCs w:val="18"/>
              </w:rPr>
              <w:t>90-100分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47" w:type="dxa"/>
            <w:vAlign w:val="center"/>
          </w:tcPr>
          <w:p>
            <w:pPr>
              <w:widowControl/>
              <w:snapToGrid w:val="0"/>
              <w:spacing w:line="300" w:lineRule="auto"/>
              <w:jc w:val="center"/>
              <w:rPr>
                <w:b/>
                <w:bCs/>
                <w:kern w:val="0"/>
                <w:sz w:val="18"/>
                <w:szCs w:val="18"/>
              </w:rPr>
            </w:pPr>
            <w:r>
              <w:rPr>
                <w:b/>
                <w:bCs/>
                <w:kern w:val="0"/>
                <w:sz w:val="18"/>
                <w:szCs w:val="18"/>
              </w:rPr>
              <w:t>五级制成绩</w:t>
            </w:r>
          </w:p>
        </w:tc>
        <w:tc>
          <w:tcPr>
            <w:tcW w:w="1447" w:type="dxa"/>
            <w:vAlign w:val="center"/>
          </w:tcPr>
          <w:p>
            <w:pPr>
              <w:widowControl/>
              <w:snapToGrid w:val="0"/>
              <w:spacing w:line="300" w:lineRule="auto"/>
              <w:jc w:val="center"/>
              <w:rPr>
                <w:kern w:val="0"/>
                <w:sz w:val="18"/>
                <w:szCs w:val="18"/>
              </w:rPr>
            </w:pPr>
            <w:r>
              <w:rPr>
                <w:kern w:val="0"/>
                <w:sz w:val="18"/>
                <w:szCs w:val="18"/>
              </w:rPr>
              <w:t>不及格</w:t>
            </w:r>
          </w:p>
        </w:tc>
        <w:tc>
          <w:tcPr>
            <w:tcW w:w="1447" w:type="dxa"/>
            <w:vAlign w:val="center"/>
          </w:tcPr>
          <w:p>
            <w:pPr>
              <w:widowControl/>
              <w:snapToGrid w:val="0"/>
              <w:spacing w:line="300" w:lineRule="auto"/>
              <w:jc w:val="center"/>
              <w:rPr>
                <w:kern w:val="0"/>
                <w:sz w:val="18"/>
                <w:szCs w:val="18"/>
              </w:rPr>
            </w:pPr>
            <w:r>
              <w:rPr>
                <w:kern w:val="0"/>
                <w:sz w:val="18"/>
                <w:szCs w:val="18"/>
              </w:rPr>
              <w:t>及格</w:t>
            </w:r>
          </w:p>
        </w:tc>
        <w:tc>
          <w:tcPr>
            <w:tcW w:w="1447" w:type="dxa"/>
            <w:vAlign w:val="center"/>
          </w:tcPr>
          <w:p>
            <w:pPr>
              <w:widowControl/>
              <w:snapToGrid w:val="0"/>
              <w:spacing w:line="300" w:lineRule="auto"/>
              <w:jc w:val="center"/>
              <w:rPr>
                <w:kern w:val="0"/>
                <w:sz w:val="18"/>
                <w:szCs w:val="18"/>
              </w:rPr>
            </w:pPr>
            <w:r>
              <w:rPr>
                <w:kern w:val="0"/>
                <w:sz w:val="18"/>
                <w:szCs w:val="18"/>
              </w:rPr>
              <w:t>中</w:t>
            </w:r>
          </w:p>
        </w:tc>
        <w:tc>
          <w:tcPr>
            <w:tcW w:w="1447" w:type="dxa"/>
            <w:vAlign w:val="center"/>
          </w:tcPr>
          <w:p>
            <w:pPr>
              <w:widowControl/>
              <w:snapToGrid w:val="0"/>
              <w:spacing w:line="300" w:lineRule="auto"/>
              <w:jc w:val="center"/>
              <w:rPr>
                <w:kern w:val="0"/>
                <w:sz w:val="18"/>
                <w:szCs w:val="18"/>
              </w:rPr>
            </w:pPr>
            <w:r>
              <w:rPr>
                <w:kern w:val="0"/>
                <w:sz w:val="18"/>
                <w:szCs w:val="18"/>
              </w:rPr>
              <w:t>良</w:t>
            </w:r>
          </w:p>
        </w:tc>
        <w:tc>
          <w:tcPr>
            <w:tcW w:w="1446" w:type="dxa"/>
            <w:vAlign w:val="center"/>
          </w:tcPr>
          <w:p>
            <w:pPr>
              <w:widowControl/>
              <w:snapToGrid w:val="0"/>
              <w:spacing w:line="300" w:lineRule="auto"/>
              <w:jc w:val="center"/>
              <w:rPr>
                <w:kern w:val="0"/>
                <w:sz w:val="18"/>
                <w:szCs w:val="18"/>
              </w:rPr>
            </w:pPr>
            <w:r>
              <w:rPr>
                <w:kern w:val="0"/>
                <w:sz w:val="18"/>
                <w:szCs w:val="18"/>
              </w:rPr>
              <w:t>优</w:t>
            </w:r>
          </w:p>
        </w:tc>
      </w:tr>
    </w:tbl>
    <w:p>
      <w:pPr>
        <w:snapToGrid w:val="0"/>
        <w:spacing w:before="156" w:beforeLines="50" w:line="300" w:lineRule="auto"/>
        <w:ind w:firstLine="420"/>
        <w:rPr>
          <w:szCs w:val="21"/>
        </w:rPr>
      </w:pPr>
      <w:r>
        <w:rPr>
          <w:szCs w:val="21"/>
        </w:rPr>
        <w:t>3</w:t>
      </w:r>
      <w:r>
        <w:rPr>
          <w:kern w:val="0"/>
          <w:szCs w:val="21"/>
        </w:rPr>
        <w:t>．</w:t>
      </w:r>
      <w:r>
        <w:rPr>
          <w:szCs w:val="21"/>
        </w:rPr>
        <w:t>考核评价标准见表6。</w:t>
      </w:r>
    </w:p>
    <w:p>
      <w:pPr>
        <w:widowControl/>
        <w:snapToGrid w:val="0"/>
        <w:spacing w:before="156" w:beforeLines="50" w:line="300" w:lineRule="auto"/>
        <w:ind w:firstLine="2982" w:firstLineChars="1650"/>
        <w:rPr>
          <w:b/>
          <w:kern w:val="0"/>
          <w:sz w:val="18"/>
          <w:szCs w:val="18"/>
        </w:rPr>
      </w:pPr>
      <w:r>
        <w:rPr>
          <w:b/>
          <w:kern w:val="0"/>
          <w:sz w:val="18"/>
          <w:szCs w:val="18"/>
        </w:rPr>
        <w:t>表6 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25"/>
        <w:gridCol w:w="725"/>
        <w:gridCol w:w="1012"/>
        <w:gridCol w:w="724"/>
        <w:gridCol w:w="2801"/>
        <w:gridCol w:w="986"/>
        <w:gridCol w:w="6"/>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2" w:type="dxa"/>
            <w:vAlign w:val="center"/>
          </w:tcPr>
          <w:p>
            <w:pPr>
              <w:snapToGrid w:val="0"/>
              <w:spacing w:line="300" w:lineRule="auto"/>
              <w:jc w:val="center"/>
              <w:rPr>
                <w:b/>
                <w:sz w:val="18"/>
                <w:szCs w:val="18"/>
              </w:rPr>
            </w:pPr>
            <w:r>
              <w:rPr>
                <w:b/>
                <w:sz w:val="18"/>
                <w:szCs w:val="18"/>
              </w:rPr>
              <w:t>成绩</w:t>
            </w:r>
          </w:p>
          <w:p>
            <w:pPr>
              <w:snapToGrid w:val="0"/>
              <w:spacing w:line="300" w:lineRule="auto"/>
              <w:jc w:val="center"/>
              <w:rPr>
                <w:b/>
                <w:bCs/>
                <w:sz w:val="18"/>
                <w:szCs w:val="18"/>
              </w:rPr>
            </w:pPr>
            <w:r>
              <w:rPr>
                <w:b/>
                <w:sz w:val="18"/>
                <w:szCs w:val="18"/>
              </w:rPr>
              <w:t>类型</w:t>
            </w:r>
          </w:p>
        </w:tc>
        <w:tc>
          <w:tcPr>
            <w:tcW w:w="725" w:type="dxa"/>
            <w:vAlign w:val="center"/>
          </w:tcPr>
          <w:p>
            <w:pPr>
              <w:snapToGrid w:val="0"/>
              <w:spacing w:line="300" w:lineRule="auto"/>
              <w:jc w:val="center"/>
              <w:rPr>
                <w:b/>
                <w:bCs/>
                <w:sz w:val="18"/>
                <w:szCs w:val="18"/>
              </w:rPr>
            </w:pPr>
            <w:r>
              <w:rPr>
                <w:b/>
                <w:sz w:val="18"/>
                <w:szCs w:val="18"/>
              </w:rPr>
              <w:t>分值</w:t>
            </w:r>
          </w:p>
        </w:tc>
        <w:tc>
          <w:tcPr>
            <w:tcW w:w="725" w:type="dxa"/>
            <w:vAlign w:val="center"/>
          </w:tcPr>
          <w:p>
            <w:pPr>
              <w:snapToGrid w:val="0"/>
              <w:spacing w:line="300" w:lineRule="auto"/>
              <w:jc w:val="center"/>
              <w:rPr>
                <w:b/>
                <w:bCs/>
                <w:sz w:val="18"/>
                <w:szCs w:val="18"/>
              </w:rPr>
            </w:pPr>
            <w:r>
              <w:rPr>
                <w:b/>
                <w:sz w:val="18"/>
                <w:szCs w:val="18"/>
              </w:rPr>
              <w:t>权重</w:t>
            </w:r>
          </w:p>
        </w:tc>
        <w:tc>
          <w:tcPr>
            <w:tcW w:w="1012" w:type="dxa"/>
            <w:vAlign w:val="center"/>
          </w:tcPr>
          <w:p>
            <w:pPr>
              <w:snapToGrid w:val="0"/>
              <w:spacing w:line="300" w:lineRule="auto"/>
              <w:jc w:val="center"/>
              <w:rPr>
                <w:b/>
                <w:bCs/>
                <w:sz w:val="18"/>
                <w:szCs w:val="18"/>
              </w:rPr>
            </w:pPr>
            <w:r>
              <w:rPr>
                <w:b/>
                <w:sz w:val="18"/>
                <w:szCs w:val="18"/>
              </w:rPr>
              <w:t>类别</w:t>
            </w:r>
          </w:p>
        </w:tc>
        <w:tc>
          <w:tcPr>
            <w:tcW w:w="724" w:type="dxa"/>
            <w:vAlign w:val="center"/>
          </w:tcPr>
          <w:p>
            <w:pPr>
              <w:snapToGrid w:val="0"/>
              <w:spacing w:line="300" w:lineRule="auto"/>
              <w:jc w:val="center"/>
              <w:rPr>
                <w:b/>
                <w:bCs/>
                <w:sz w:val="18"/>
                <w:szCs w:val="18"/>
              </w:rPr>
            </w:pPr>
            <w:r>
              <w:rPr>
                <w:b/>
                <w:sz w:val="18"/>
                <w:szCs w:val="18"/>
              </w:rPr>
              <w:t>权重</w:t>
            </w:r>
          </w:p>
        </w:tc>
        <w:tc>
          <w:tcPr>
            <w:tcW w:w="2801" w:type="dxa"/>
            <w:vAlign w:val="center"/>
          </w:tcPr>
          <w:p>
            <w:pPr>
              <w:snapToGrid w:val="0"/>
              <w:spacing w:line="300" w:lineRule="auto"/>
              <w:jc w:val="center"/>
              <w:rPr>
                <w:b/>
                <w:bCs/>
                <w:sz w:val="18"/>
                <w:szCs w:val="18"/>
              </w:rPr>
            </w:pPr>
            <w:r>
              <w:rPr>
                <w:b/>
                <w:bCs/>
                <w:sz w:val="18"/>
                <w:szCs w:val="18"/>
              </w:rPr>
              <w:t>考核/评价细则</w:t>
            </w:r>
          </w:p>
        </w:tc>
        <w:tc>
          <w:tcPr>
            <w:tcW w:w="992" w:type="dxa"/>
            <w:gridSpan w:val="2"/>
            <w:vAlign w:val="center"/>
          </w:tcPr>
          <w:p>
            <w:pPr>
              <w:snapToGrid w:val="0"/>
              <w:spacing w:line="300" w:lineRule="auto"/>
              <w:jc w:val="center"/>
              <w:rPr>
                <w:b/>
                <w:bCs/>
                <w:sz w:val="18"/>
                <w:szCs w:val="18"/>
              </w:rPr>
            </w:pPr>
            <w:r>
              <w:rPr>
                <w:b/>
                <w:bCs/>
                <w:sz w:val="18"/>
                <w:szCs w:val="18"/>
              </w:rPr>
              <w:t>课程目标</w:t>
            </w:r>
          </w:p>
        </w:tc>
        <w:tc>
          <w:tcPr>
            <w:tcW w:w="980" w:type="dxa"/>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vAlign w:val="center"/>
          </w:tcPr>
          <w:p>
            <w:pPr>
              <w:snapToGrid w:val="0"/>
              <w:spacing w:line="300" w:lineRule="auto"/>
              <w:rPr>
                <w:sz w:val="18"/>
                <w:szCs w:val="18"/>
              </w:rPr>
            </w:pPr>
          </w:p>
          <w:p>
            <w:pPr>
              <w:snapToGrid w:val="0"/>
              <w:spacing w:line="300" w:lineRule="auto"/>
              <w:jc w:val="left"/>
              <w:rPr>
                <w:sz w:val="18"/>
                <w:szCs w:val="18"/>
              </w:rPr>
            </w:pPr>
            <w:r>
              <w:rPr>
                <w:sz w:val="18"/>
                <w:szCs w:val="18"/>
              </w:rPr>
              <w:t>平时成绩</w:t>
            </w:r>
          </w:p>
        </w:tc>
        <w:tc>
          <w:tcPr>
            <w:tcW w:w="725" w:type="dxa"/>
            <w:vMerge w:val="restart"/>
            <w:vAlign w:val="center"/>
          </w:tcPr>
          <w:p>
            <w:pPr>
              <w:snapToGrid w:val="0"/>
              <w:spacing w:line="300" w:lineRule="auto"/>
              <w:jc w:val="center"/>
              <w:rPr>
                <w:sz w:val="18"/>
                <w:szCs w:val="18"/>
              </w:rPr>
            </w:pPr>
            <w:r>
              <w:rPr>
                <w:sz w:val="18"/>
                <w:szCs w:val="18"/>
              </w:rPr>
              <w:t>100</w:t>
            </w:r>
          </w:p>
        </w:tc>
        <w:tc>
          <w:tcPr>
            <w:tcW w:w="725" w:type="dxa"/>
            <w:vMerge w:val="restart"/>
            <w:vAlign w:val="center"/>
          </w:tcPr>
          <w:p>
            <w:pPr>
              <w:snapToGrid w:val="0"/>
              <w:spacing w:line="300" w:lineRule="auto"/>
              <w:jc w:val="center"/>
              <w:rPr>
                <w:sz w:val="18"/>
                <w:szCs w:val="18"/>
              </w:rPr>
            </w:pPr>
            <w:r>
              <w:rPr>
                <w:sz w:val="18"/>
                <w:szCs w:val="18"/>
              </w:rPr>
              <w:t>0.5</w:t>
            </w:r>
          </w:p>
        </w:tc>
        <w:tc>
          <w:tcPr>
            <w:tcW w:w="1012" w:type="dxa"/>
            <w:vAlign w:val="center"/>
          </w:tcPr>
          <w:p>
            <w:pPr>
              <w:snapToGrid w:val="0"/>
              <w:spacing w:line="300" w:lineRule="auto"/>
              <w:jc w:val="center"/>
              <w:rPr>
                <w:sz w:val="18"/>
                <w:szCs w:val="18"/>
              </w:rPr>
            </w:pPr>
            <w:r>
              <w:rPr>
                <w:sz w:val="18"/>
                <w:szCs w:val="18"/>
              </w:rPr>
              <w:t>课堂表现</w:t>
            </w:r>
          </w:p>
        </w:tc>
        <w:tc>
          <w:tcPr>
            <w:tcW w:w="724" w:type="dxa"/>
            <w:vAlign w:val="center"/>
          </w:tcPr>
          <w:p>
            <w:pPr>
              <w:snapToGrid w:val="0"/>
              <w:spacing w:line="300" w:lineRule="auto"/>
              <w:jc w:val="center"/>
              <w:rPr>
                <w:sz w:val="18"/>
                <w:szCs w:val="18"/>
              </w:rPr>
            </w:pPr>
            <w:r>
              <w:rPr>
                <w:sz w:val="18"/>
                <w:szCs w:val="18"/>
              </w:rPr>
              <w:t>0.1</w:t>
            </w:r>
          </w:p>
        </w:tc>
        <w:tc>
          <w:tcPr>
            <w:tcW w:w="2801" w:type="dxa"/>
            <w:vAlign w:val="center"/>
          </w:tcPr>
          <w:p>
            <w:pPr>
              <w:snapToGrid w:val="0"/>
              <w:spacing w:line="300" w:lineRule="auto"/>
              <w:jc w:val="left"/>
              <w:rPr>
                <w:sz w:val="18"/>
                <w:szCs w:val="18"/>
              </w:rPr>
            </w:pPr>
            <w:r>
              <w:rPr>
                <w:sz w:val="18"/>
                <w:szCs w:val="18"/>
              </w:rPr>
              <w:t>根据学生课堂表现打分，满分100。</w:t>
            </w:r>
          </w:p>
        </w:tc>
        <w:tc>
          <w:tcPr>
            <w:tcW w:w="986" w:type="dxa"/>
            <w:vAlign w:val="center"/>
          </w:tcPr>
          <w:p>
            <w:pPr>
              <w:snapToGrid w:val="0"/>
              <w:spacing w:line="300" w:lineRule="auto"/>
              <w:jc w:val="center"/>
              <w:rPr>
                <w:sz w:val="18"/>
                <w:szCs w:val="18"/>
              </w:rPr>
            </w:pPr>
            <w:r>
              <w:rPr>
                <w:sz w:val="18"/>
                <w:szCs w:val="18"/>
              </w:rPr>
              <w:t>1</w:t>
            </w:r>
          </w:p>
        </w:tc>
        <w:tc>
          <w:tcPr>
            <w:tcW w:w="986" w:type="dxa"/>
            <w:gridSpan w:val="2"/>
            <w:vMerge w:val="restart"/>
            <w:vAlign w:val="center"/>
          </w:tcPr>
          <w:p>
            <w:pPr>
              <w:snapToGrid w:val="0"/>
              <w:spacing w:line="300" w:lineRule="auto"/>
              <w:jc w:val="center"/>
              <w:rPr>
                <w:sz w:val="18"/>
                <w:szCs w:val="18"/>
              </w:rPr>
            </w:pPr>
            <w:r>
              <w:rPr>
                <w:rFonts w:hint="eastAsia"/>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2" w:type="dxa"/>
            <w:vMerge w:val="continue"/>
            <w:vAlign w:val="center"/>
          </w:tcPr>
          <w:p>
            <w:pPr>
              <w:snapToGrid w:val="0"/>
              <w:spacing w:line="300" w:lineRule="auto"/>
              <w:rPr>
                <w:sz w:val="18"/>
                <w:szCs w:val="18"/>
              </w:rPr>
            </w:pPr>
          </w:p>
        </w:tc>
        <w:tc>
          <w:tcPr>
            <w:tcW w:w="725" w:type="dxa"/>
            <w:vMerge w:val="continue"/>
            <w:vAlign w:val="center"/>
          </w:tcPr>
          <w:p>
            <w:pPr>
              <w:snapToGrid w:val="0"/>
              <w:spacing w:line="300" w:lineRule="auto"/>
              <w:jc w:val="center"/>
              <w:rPr>
                <w:sz w:val="18"/>
                <w:szCs w:val="18"/>
              </w:rPr>
            </w:pPr>
          </w:p>
        </w:tc>
        <w:tc>
          <w:tcPr>
            <w:tcW w:w="725" w:type="dxa"/>
            <w:vMerge w:val="continue"/>
            <w:vAlign w:val="center"/>
          </w:tcPr>
          <w:p>
            <w:pPr>
              <w:snapToGrid w:val="0"/>
              <w:spacing w:line="300" w:lineRule="auto"/>
              <w:jc w:val="center"/>
              <w:rPr>
                <w:sz w:val="18"/>
                <w:szCs w:val="18"/>
              </w:rPr>
            </w:pPr>
          </w:p>
        </w:tc>
        <w:tc>
          <w:tcPr>
            <w:tcW w:w="1012" w:type="dxa"/>
            <w:vAlign w:val="center"/>
          </w:tcPr>
          <w:p>
            <w:pPr>
              <w:snapToGrid w:val="0"/>
              <w:spacing w:line="300" w:lineRule="auto"/>
              <w:jc w:val="center"/>
              <w:rPr>
                <w:sz w:val="18"/>
                <w:szCs w:val="18"/>
              </w:rPr>
            </w:pPr>
            <w:r>
              <w:rPr>
                <w:sz w:val="18"/>
                <w:szCs w:val="18"/>
              </w:rPr>
              <w:t>作业</w:t>
            </w:r>
          </w:p>
        </w:tc>
        <w:tc>
          <w:tcPr>
            <w:tcW w:w="724" w:type="dxa"/>
            <w:vAlign w:val="center"/>
          </w:tcPr>
          <w:p>
            <w:pPr>
              <w:snapToGrid w:val="0"/>
              <w:spacing w:line="300" w:lineRule="auto"/>
              <w:jc w:val="center"/>
              <w:rPr>
                <w:sz w:val="18"/>
                <w:szCs w:val="18"/>
              </w:rPr>
            </w:pPr>
            <w:r>
              <w:rPr>
                <w:sz w:val="18"/>
                <w:szCs w:val="18"/>
              </w:rPr>
              <w:t>0.3</w:t>
            </w:r>
          </w:p>
        </w:tc>
        <w:tc>
          <w:tcPr>
            <w:tcW w:w="2801"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986" w:type="dxa"/>
            <w:vAlign w:val="center"/>
          </w:tcPr>
          <w:p>
            <w:pPr>
              <w:snapToGrid w:val="0"/>
              <w:spacing w:line="300" w:lineRule="auto"/>
              <w:jc w:val="center"/>
              <w:rPr>
                <w:sz w:val="18"/>
                <w:szCs w:val="18"/>
              </w:rPr>
            </w:pPr>
            <w:r>
              <w:rPr>
                <w:sz w:val="18"/>
                <w:szCs w:val="18"/>
              </w:rPr>
              <w:t>1</w:t>
            </w:r>
          </w:p>
        </w:tc>
        <w:tc>
          <w:tcPr>
            <w:tcW w:w="986" w:type="dxa"/>
            <w:gridSpan w:val="2"/>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snapToGrid w:val="0"/>
              <w:spacing w:line="300" w:lineRule="auto"/>
              <w:rPr>
                <w:sz w:val="18"/>
                <w:szCs w:val="18"/>
              </w:rPr>
            </w:pPr>
          </w:p>
        </w:tc>
        <w:tc>
          <w:tcPr>
            <w:tcW w:w="725" w:type="dxa"/>
            <w:vMerge w:val="continue"/>
            <w:vAlign w:val="center"/>
          </w:tcPr>
          <w:p>
            <w:pPr>
              <w:snapToGrid w:val="0"/>
              <w:spacing w:line="300" w:lineRule="auto"/>
              <w:jc w:val="center"/>
              <w:rPr>
                <w:sz w:val="18"/>
                <w:szCs w:val="18"/>
              </w:rPr>
            </w:pPr>
          </w:p>
        </w:tc>
        <w:tc>
          <w:tcPr>
            <w:tcW w:w="725" w:type="dxa"/>
            <w:vMerge w:val="continue"/>
            <w:vAlign w:val="center"/>
          </w:tcPr>
          <w:p>
            <w:pPr>
              <w:snapToGrid w:val="0"/>
              <w:spacing w:line="300" w:lineRule="auto"/>
              <w:jc w:val="center"/>
              <w:rPr>
                <w:sz w:val="18"/>
                <w:szCs w:val="18"/>
              </w:rPr>
            </w:pPr>
          </w:p>
        </w:tc>
        <w:tc>
          <w:tcPr>
            <w:tcW w:w="1012" w:type="dxa"/>
            <w:vAlign w:val="center"/>
          </w:tcPr>
          <w:p>
            <w:pPr>
              <w:snapToGrid w:val="0"/>
              <w:spacing w:line="300" w:lineRule="auto"/>
              <w:jc w:val="center"/>
              <w:rPr>
                <w:sz w:val="18"/>
                <w:szCs w:val="18"/>
              </w:rPr>
            </w:pPr>
            <w:r>
              <w:rPr>
                <w:sz w:val="18"/>
                <w:szCs w:val="18"/>
              </w:rPr>
              <w:t>实验</w:t>
            </w:r>
          </w:p>
        </w:tc>
        <w:tc>
          <w:tcPr>
            <w:tcW w:w="724" w:type="dxa"/>
            <w:vAlign w:val="center"/>
          </w:tcPr>
          <w:p>
            <w:pPr>
              <w:snapToGrid w:val="0"/>
              <w:spacing w:line="300" w:lineRule="auto"/>
              <w:jc w:val="center"/>
              <w:rPr>
                <w:sz w:val="18"/>
                <w:szCs w:val="18"/>
              </w:rPr>
            </w:pPr>
            <w:r>
              <w:rPr>
                <w:sz w:val="18"/>
                <w:szCs w:val="18"/>
              </w:rPr>
              <w:t>0.3</w:t>
            </w:r>
          </w:p>
        </w:tc>
        <w:tc>
          <w:tcPr>
            <w:tcW w:w="2801"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986" w:type="dxa"/>
            <w:vAlign w:val="center"/>
          </w:tcPr>
          <w:p>
            <w:pPr>
              <w:snapToGrid w:val="0"/>
              <w:spacing w:line="300" w:lineRule="auto"/>
              <w:jc w:val="center"/>
              <w:rPr>
                <w:sz w:val="18"/>
                <w:szCs w:val="18"/>
              </w:rPr>
            </w:pPr>
            <w:r>
              <w:rPr>
                <w:sz w:val="18"/>
                <w:szCs w:val="18"/>
              </w:rPr>
              <w:t>2，</w:t>
            </w:r>
            <w:r>
              <w:rPr>
                <w:rFonts w:hint="eastAsia"/>
                <w:sz w:val="18"/>
                <w:szCs w:val="18"/>
              </w:rPr>
              <w:t>3</w:t>
            </w:r>
          </w:p>
        </w:tc>
        <w:tc>
          <w:tcPr>
            <w:tcW w:w="986" w:type="dxa"/>
            <w:gridSpan w:val="2"/>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2" w:type="dxa"/>
            <w:vMerge w:val="continue"/>
            <w:vAlign w:val="center"/>
          </w:tcPr>
          <w:p>
            <w:pPr>
              <w:snapToGrid w:val="0"/>
              <w:spacing w:line="300" w:lineRule="auto"/>
              <w:rPr>
                <w:sz w:val="18"/>
                <w:szCs w:val="18"/>
              </w:rPr>
            </w:pPr>
          </w:p>
        </w:tc>
        <w:tc>
          <w:tcPr>
            <w:tcW w:w="725" w:type="dxa"/>
            <w:vMerge w:val="continue"/>
            <w:vAlign w:val="center"/>
          </w:tcPr>
          <w:p>
            <w:pPr>
              <w:snapToGrid w:val="0"/>
              <w:spacing w:line="300" w:lineRule="auto"/>
              <w:jc w:val="center"/>
              <w:rPr>
                <w:sz w:val="18"/>
                <w:szCs w:val="18"/>
              </w:rPr>
            </w:pPr>
          </w:p>
        </w:tc>
        <w:tc>
          <w:tcPr>
            <w:tcW w:w="725" w:type="dxa"/>
            <w:vMerge w:val="continue"/>
            <w:vAlign w:val="center"/>
          </w:tcPr>
          <w:p>
            <w:pPr>
              <w:snapToGrid w:val="0"/>
              <w:spacing w:line="300" w:lineRule="auto"/>
              <w:jc w:val="center"/>
              <w:rPr>
                <w:sz w:val="18"/>
                <w:szCs w:val="18"/>
              </w:rPr>
            </w:pPr>
          </w:p>
        </w:tc>
        <w:tc>
          <w:tcPr>
            <w:tcW w:w="1012" w:type="dxa"/>
            <w:vAlign w:val="center"/>
          </w:tcPr>
          <w:p>
            <w:pPr>
              <w:snapToGrid w:val="0"/>
              <w:spacing w:line="300" w:lineRule="auto"/>
              <w:jc w:val="center"/>
              <w:rPr>
                <w:sz w:val="18"/>
                <w:szCs w:val="18"/>
              </w:rPr>
            </w:pPr>
            <w:r>
              <w:rPr>
                <w:sz w:val="18"/>
                <w:szCs w:val="18"/>
              </w:rPr>
              <w:t>平时测验</w:t>
            </w:r>
          </w:p>
        </w:tc>
        <w:tc>
          <w:tcPr>
            <w:tcW w:w="724" w:type="dxa"/>
            <w:vAlign w:val="center"/>
          </w:tcPr>
          <w:p>
            <w:pPr>
              <w:snapToGrid w:val="0"/>
              <w:spacing w:line="300" w:lineRule="auto"/>
              <w:jc w:val="center"/>
              <w:rPr>
                <w:sz w:val="18"/>
                <w:szCs w:val="18"/>
              </w:rPr>
            </w:pPr>
            <w:r>
              <w:rPr>
                <w:sz w:val="18"/>
                <w:szCs w:val="18"/>
              </w:rPr>
              <w:t>0.2</w:t>
            </w:r>
          </w:p>
        </w:tc>
        <w:tc>
          <w:tcPr>
            <w:tcW w:w="2801" w:type="dxa"/>
            <w:vAlign w:val="center"/>
          </w:tcPr>
          <w:p>
            <w:pPr>
              <w:snapToGrid w:val="0"/>
              <w:spacing w:line="300" w:lineRule="auto"/>
              <w:jc w:val="left"/>
              <w:rPr>
                <w:sz w:val="18"/>
                <w:szCs w:val="18"/>
              </w:rPr>
            </w:pPr>
            <w:r>
              <w:rPr>
                <w:sz w:val="18"/>
                <w:szCs w:val="18"/>
              </w:rPr>
              <w:t>做两三次平时测验，每次满分100分。</w:t>
            </w:r>
          </w:p>
        </w:tc>
        <w:tc>
          <w:tcPr>
            <w:tcW w:w="986" w:type="dxa"/>
            <w:vAlign w:val="center"/>
          </w:tcPr>
          <w:p>
            <w:pPr>
              <w:snapToGrid w:val="0"/>
              <w:spacing w:line="300" w:lineRule="auto"/>
              <w:jc w:val="center"/>
              <w:rPr>
                <w:sz w:val="18"/>
                <w:szCs w:val="18"/>
              </w:rPr>
            </w:pPr>
            <w:r>
              <w:rPr>
                <w:sz w:val="18"/>
                <w:szCs w:val="18"/>
              </w:rPr>
              <w:t>1</w:t>
            </w:r>
          </w:p>
        </w:tc>
        <w:tc>
          <w:tcPr>
            <w:tcW w:w="986" w:type="dxa"/>
            <w:gridSpan w:val="2"/>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2" w:type="dxa"/>
            <w:vMerge w:val="continue"/>
            <w:vAlign w:val="center"/>
          </w:tcPr>
          <w:p>
            <w:pPr>
              <w:snapToGrid w:val="0"/>
              <w:spacing w:line="300" w:lineRule="auto"/>
              <w:rPr>
                <w:sz w:val="18"/>
                <w:szCs w:val="18"/>
              </w:rPr>
            </w:pPr>
          </w:p>
        </w:tc>
        <w:tc>
          <w:tcPr>
            <w:tcW w:w="725" w:type="dxa"/>
            <w:vMerge w:val="continue"/>
            <w:vAlign w:val="center"/>
          </w:tcPr>
          <w:p>
            <w:pPr>
              <w:snapToGrid w:val="0"/>
              <w:spacing w:line="300" w:lineRule="auto"/>
              <w:jc w:val="center"/>
              <w:rPr>
                <w:sz w:val="18"/>
                <w:szCs w:val="18"/>
              </w:rPr>
            </w:pPr>
          </w:p>
        </w:tc>
        <w:tc>
          <w:tcPr>
            <w:tcW w:w="725" w:type="dxa"/>
            <w:vMerge w:val="continue"/>
            <w:vAlign w:val="center"/>
          </w:tcPr>
          <w:p>
            <w:pPr>
              <w:snapToGrid w:val="0"/>
              <w:spacing w:line="300" w:lineRule="auto"/>
              <w:jc w:val="center"/>
              <w:rPr>
                <w:sz w:val="18"/>
                <w:szCs w:val="18"/>
              </w:rPr>
            </w:pPr>
          </w:p>
        </w:tc>
        <w:tc>
          <w:tcPr>
            <w:tcW w:w="1012" w:type="dxa"/>
            <w:vAlign w:val="center"/>
          </w:tcPr>
          <w:p>
            <w:pPr>
              <w:snapToGrid w:val="0"/>
              <w:spacing w:line="300" w:lineRule="auto"/>
              <w:jc w:val="center"/>
              <w:rPr>
                <w:sz w:val="18"/>
                <w:szCs w:val="18"/>
              </w:rPr>
            </w:pPr>
            <w:r>
              <w:rPr>
                <w:sz w:val="18"/>
                <w:szCs w:val="18"/>
              </w:rPr>
              <w:t>项目研究</w:t>
            </w:r>
          </w:p>
        </w:tc>
        <w:tc>
          <w:tcPr>
            <w:tcW w:w="724" w:type="dxa"/>
            <w:vAlign w:val="center"/>
          </w:tcPr>
          <w:p>
            <w:pPr>
              <w:snapToGrid w:val="0"/>
              <w:spacing w:line="300" w:lineRule="auto"/>
              <w:jc w:val="center"/>
              <w:rPr>
                <w:sz w:val="18"/>
                <w:szCs w:val="18"/>
              </w:rPr>
            </w:pPr>
            <w:r>
              <w:rPr>
                <w:sz w:val="18"/>
                <w:szCs w:val="18"/>
              </w:rPr>
              <w:t>0.1</w:t>
            </w:r>
          </w:p>
        </w:tc>
        <w:tc>
          <w:tcPr>
            <w:tcW w:w="2801" w:type="dxa"/>
            <w:vAlign w:val="center"/>
          </w:tcPr>
          <w:p>
            <w:pPr>
              <w:snapToGrid w:val="0"/>
              <w:spacing w:line="300" w:lineRule="auto"/>
              <w:jc w:val="left"/>
              <w:rPr>
                <w:sz w:val="18"/>
                <w:szCs w:val="18"/>
              </w:rPr>
            </w:pPr>
            <w:r>
              <w:rPr>
                <w:sz w:val="18"/>
                <w:szCs w:val="18"/>
              </w:rPr>
              <w:t>以小组为单位选题，并撰写报告，设计PPT，最高分100分</w:t>
            </w:r>
          </w:p>
        </w:tc>
        <w:tc>
          <w:tcPr>
            <w:tcW w:w="986" w:type="dxa"/>
            <w:vAlign w:val="center"/>
          </w:tcPr>
          <w:p>
            <w:pPr>
              <w:snapToGrid w:val="0"/>
              <w:spacing w:line="300" w:lineRule="auto"/>
              <w:jc w:val="center"/>
              <w:rPr>
                <w:sz w:val="18"/>
                <w:szCs w:val="18"/>
              </w:rPr>
            </w:pPr>
            <w:r>
              <w:rPr>
                <w:sz w:val="18"/>
                <w:szCs w:val="18"/>
              </w:rPr>
              <w:t>2</w:t>
            </w:r>
          </w:p>
        </w:tc>
        <w:tc>
          <w:tcPr>
            <w:tcW w:w="986" w:type="dxa"/>
            <w:gridSpan w:val="2"/>
            <w:vAlign w:val="center"/>
          </w:tcPr>
          <w:p>
            <w:pPr>
              <w:snapToGrid w:val="0"/>
              <w:spacing w:line="300" w:lineRule="auto"/>
              <w:jc w:val="center"/>
              <w:rPr>
                <w:sz w:val="18"/>
                <w:szCs w:val="18"/>
              </w:rPr>
            </w:pPr>
            <w:r>
              <w:rPr>
                <w:rFonts w:hint="eastAsia"/>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22" w:type="dxa"/>
            <w:vAlign w:val="center"/>
          </w:tcPr>
          <w:p>
            <w:pPr>
              <w:snapToGrid w:val="0"/>
              <w:spacing w:line="300" w:lineRule="auto"/>
              <w:jc w:val="left"/>
              <w:rPr>
                <w:sz w:val="18"/>
                <w:szCs w:val="18"/>
              </w:rPr>
            </w:pPr>
            <w:r>
              <w:rPr>
                <w:sz w:val="18"/>
                <w:szCs w:val="18"/>
              </w:rPr>
              <w:t>期末考试成绩</w:t>
            </w:r>
          </w:p>
        </w:tc>
        <w:tc>
          <w:tcPr>
            <w:tcW w:w="725" w:type="dxa"/>
            <w:vAlign w:val="center"/>
          </w:tcPr>
          <w:p>
            <w:pPr>
              <w:snapToGrid w:val="0"/>
              <w:spacing w:line="300" w:lineRule="auto"/>
              <w:jc w:val="center"/>
              <w:rPr>
                <w:sz w:val="18"/>
                <w:szCs w:val="18"/>
              </w:rPr>
            </w:pPr>
            <w:r>
              <w:rPr>
                <w:sz w:val="18"/>
                <w:szCs w:val="18"/>
              </w:rPr>
              <w:t>100</w:t>
            </w:r>
          </w:p>
        </w:tc>
        <w:tc>
          <w:tcPr>
            <w:tcW w:w="725" w:type="dxa"/>
            <w:vAlign w:val="center"/>
          </w:tcPr>
          <w:p>
            <w:pPr>
              <w:snapToGrid w:val="0"/>
              <w:spacing w:line="300" w:lineRule="auto"/>
              <w:jc w:val="center"/>
              <w:rPr>
                <w:sz w:val="18"/>
                <w:szCs w:val="18"/>
              </w:rPr>
            </w:pPr>
            <w:r>
              <w:rPr>
                <w:sz w:val="18"/>
                <w:szCs w:val="18"/>
              </w:rPr>
              <w:t>0.5</w:t>
            </w:r>
          </w:p>
        </w:tc>
        <w:tc>
          <w:tcPr>
            <w:tcW w:w="1012" w:type="dxa"/>
            <w:vAlign w:val="center"/>
          </w:tcPr>
          <w:p>
            <w:pPr>
              <w:snapToGrid w:val="0"/>
              <w:spacing w:line="300" w:lineRule="auto"/>
              <w:rPr>
                <w:sz w:val="18"/>
                <w:szCs w:val="18"/>
              </w:rPr>
            </w:pPr>
            <w:r>
              <w:rPr>
                <w:rFonts w:hint="eastAsia"/>
                <w:sz w:val="18"/>
                <w:szCs w:val="18"/>
              </w:rPr>
              <w:t>开</w:t>
            </w:r>
            <w:r>
              <w:rPr>
                <w:sz w:val="18"/>
                <w:szCs w:val="18"/>
              </w:rPr>
              <w:t>卷考试</w:t>
            </w:r>
          </w:p>
        </w:tc>
        <w:tc>
          <w:tcPr>
            <w:tcW w:w="724" w:type="dxa"/>
            <w:vAlign w:val="center"/>
          </w:tcPr>
          <w:p>
            <w:pPr>
              <w:snapToGrid w:val="0"/>
              <w:spacing w:line="300" w:lineRule="auto"/>
              <w:jc w:val="center"/>
              <w:rPr>
                <w:sz w:val="18"/>
                <w:szCs w:val="18"/>
              </w:rPr>
            </w:pPr>
            <w:r>
              <w:rPr>
                <w:sz w:val="18"/>
                <w:szCs w:val="18"/>
              </w:rPr>
              <w:t>1</w:t>
            </w:r>
          </w:p>
        </w:tc>
        <w:tc>
          <w:tcPr>
            <w:tcW w:w="2801"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第7章</w:t>
            </w:r>
          </w:p>
          <w:p>
            <w:pPr>
              <w:snapToGrid w:val="0"/>
              <w:spacing w:line="300" w:lineRule="auto"/>
              <w:rPr>
                <w:sz w:val="18"/>
                <w:szCs w:val="18"/>
              </w:rPr>
            </w:pPr>
            <w:r>
              <w:rPr>
                <w:sz w:val="18"/>
                <w:szCs w:val="18"/>
              </w:rPr>
              <w:t>(3)建议考试题型包括：选择题、填空题、分析判断、综合计算题、简答题等其中某几种题型</w:t>
            </w:r>
          </w:p>
        </w:tc>
        <w:tc>
          <w:tcPr>
            <w:tcW w:w="986" w:type="dxa"/>
            <w:vAlign w:val="center"/>
          </w:tcPr>
          <w:p>
            <w:pPr>
              <w:snapToGrid w:val="0"/>
              <w:spacing w:line="300" w:lineRule="auto"/>
              <w:jc w:val="center"/>
              <w:rPr>
                <w:sz w:val="18"/>
                <w:szCs w:val="18"/>
              </w:rPr>
            </w:pPr>
            <w:r>
              <w:rPr>
                <w:sz w:val="18"/>
                <w:szCs w:val="18"/>
              </w:rPr>
              <w:t>1</w:t>
            </w:r>
          </w:p>
        </w:tc>
        <w:tc>
          <w:tcPr>
            <w:tcW w:w="986" w:type="dxa"/>
            <w:gridSpan w:val="2"/>
            <w:vAlign w:val="center"/>
          </w:tcPr>
          <w:p>
            <w:pPr>
              <w:snapToGrid w:val="0"/>
              <w:spacing w:line="300" w:lineRule="auto"/>
              <w:jc w:val="center"/>
              <w:rPr>
                <w:sz w:val="18"/>
                <w:szCs w:val="18"/>
              </w:rPr>
            </w:pPr>
            <w:r>
              <w:rPr>
                <w:rFonts w:hint="eastAsia"/>
                <w:sz w:val="18"/>
                <w:szCs w:val="18"/>
              </w:rPr>
              <w:t>3-2</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right="272" w:firstLine="420"/>
        <w:rPr>
          <w:szCs w:val="21"/>
        </w:rPr>
      </w:pPr>
      <w:r>
        <w:rPr>
          <w:szCs w:val="21"/>
        </w:rPr>
        <w:t>课程目标评价方式 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方</w:t>
      </w:r>
      <w:r>
        <w:rPr>
          <w:szCs w:val="21"/>
        </w:rPr>
        <w:t>法</w:t>
      </w:r>
      <w:r>
        <w:rPr>
          <w:spacing w:val="-2"/>
          <w:szCs w:val="21"/>
        </w:rPr>
        <w:t>如</w:t>
      </w:r>
      <w:r>
        <w:rPr>
          <w:szCs w:val="21"/>
        </w:rPr>
        <w:t>下：</w:t>
      </w:r>
    </w:p>
    <w:p>
      <w:pPr>
        <w:jc w:val="center"/>
      </w:pPr>
      <w:r>
        <w:rPr>
          <w:position w:val="-26"/>
        </w:rPr>
        <w:object>
          <v:shape id="_x0000_i1136" o:spt="75" type="#_x0000_t75" style="height:30pt;width:361.5pt;" o:ole="t" filled="f" o:preferrelative="t" stroked="f" coordsize="21600,21600">
            <v:path/>
            <v:fill on="f" focussize="0,0"/>
            <v:stroke on="f" joinstyle="miter"/>
            <v:imagedata r:id="rId36" o:title=""/>
            <o:lock v:ext="edit" aspectratio="t"/>
            <w10:wrap type="none"/>
            <w10:anchorlock/>
          </v:shape>
          <o:OLEObject Type="Embed" ProgID="Equation.3" ShapeID="_x0000_i1136" DrawAspect="Content" ObjectID="_1468075834" r:id="rId151">
            <o:LockedField>false</o:LockedField>
          </o:OLEObject>
        </w:object>
      </w:r>
    </w:p>
    <w:p>
      <w:pPr>
        <w:spacing w:line="300" w:lineRule="auto"/>
        <w:ind w:right="595"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w:t>
      </w:r>
      <w:r>
        <w:rPr>
          <w:spacing w:val="-6"/>
          <w:position w:val="-1"/>
          <w:szCs w:val="21"/>
        </w:rPr>
        <w:t xml:space="preserve"> </w:t>
      </w:r>
      <w:r>
        <w:rPr>
          <w:position w:val="-1"/>
          <w:szCs w:val="21"/>
        </w:rPr>
        <w:t>2</w:t>
      </w:r>
      <w:r>
        <w:rPr>
          <w:spacing w:val="-2"/>
          <w:position w:val="-1"/>
          <w:szCs w:val="21"/>
        </w:rPr>
        <w:t>个</w:t>
      </w:r>
      <w:r>
        <w:rPr>
          <w:position w:val="-1"/>
          <w:szCs w:val="21"/>
        </w:rPr>
        <w:t>课程</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pacing w:before="72"/>
        <w:ind w:right="-20"/>
        <w:jc w:val="center"/>
        <w:rPr>
          <w:szCs w:val="21"/>
        </w:rPr>
      </w:pPr>
      <w:r>
        <w:object>
          <v:shape id="_x0000_i1137" o:spt="75" type="#_x0000_t75" style="height:18pt;width:275.25pt;" o:ole="t" filled="f" o:preferrelative="t" stroked="f" coordsize="21600,21600">
            <v:path/>
            <v:fill on="f" focussize="0,0"/>
            <v:stroke on="f" joinstyle="miter"/>
            <v:imagedata r:id="rId38" o:title=""/>
            <o:lock v:ext="edit" aspectratio="t"/>
            <w10:wrap type="none"/>
            <w10:anchorlock/>
          </v:shape>
          <o:OLEObject Type="Embed" ProgID="Equation.DSMT4" ShapeID="_x0000_i1137" DrawAspect="Content" ObjectID="_1468075835" r:id="rId152">
            <o:LockedField>false</o:LockedField>
          </o:OLEObject>
        </w:object>
      </w:r>
    </w:p>
    <w:p>
      <w:pPr>
        <w:spacing w:line="300" w:lineRule="auto"/>
        <w:ind w:right="-23"/>
        <w:rPr>
          <w:spacing w:val="-2"/>
          <w:position w:val="-3"/>
          <w:szCs w:val="21"/>
        </w:rPr>
      </w:pPr>
      <w:r>
        <w:rPr>
          <w:position w:val="-3"/>
          <w:szCs w:val="21"/>
        </w:rPr>
        <w:t>其中</w:t>
      </w:r>
      <w:r>
        <w:rPr>
          <w:spacing w:val="-2"/>
          <w:position w:val="-3"/>
          <w:szCs w:val="21"/>
        </w:rPr>
        <w:t>权</w:t>
      </w:r>
      <w:r>
        <w:rPr>
          <w:position w:val="-3"/>
          <w:szCs w:val="21"/>
        </w:rPr>
        <w:t>重</w:t>
      </w:r>
      <w:r>
        <w:rPr>
          <w:spacing w:val="-2"/>
          <w:position w:val="-3"/>
          <w:szCs w:val="21"/>
        </w:rPr>
        <w:t>系</w:t>
      </w:r>
      <w:r>
        <w:rPr>
          <w:position w:val="-3"/>
          <w:szCs w:val="21"/>
        </w:rPr>
        <w:t>数</w:t>
      </w:r>
      <w:r>
        <w:rPr>
          <w:spacing w:val="-2"/>
          <w:position w:val="-3"/>
          <w:szCs w:val="21"/>
        </w:rPr>
        <w:t>设</w:t>
      </w:r>
      <w:r>
        <w:rPr>
          <w:position w:val="-3"/>
          <w:szCs w:val="21"/>
        </w:rPr>
        <w:t>定</w:t>
      </w:r>
      <w:r>
        <w:rPr>
          <w:spacing w:val="-2"/>
          <w:position w:val="-3"/>
          <w:szCs w:val="21"/>
        </w:rPr>
        <w:t>如表7。</w:t>
      </w:r>
    </w:p>
    <w:p>
      <w:pPr>
        <w:snapToGrid w:val="0"/>
        <w:spacing w:before="156" w:beforeLines="50" w:line="300" w:lineRule="auto"/>
        <w:ind w:right="-23"/>
        <w:jc w:val="center"/>
        <w:rPr>
          <w:b/>
          <w:sz w:val="18"/>
          <w:szCs w:val="18"/>
        </w:rPr>
      </w:pPr>
      <w:r>
        <w:rPr>
          <w:b/>
          <w:spacing w:val="-2"/>
          <w:position w:val="-3"/>
          <w:sz w:val="18"/>
          <w:szCs w:val="18"/>
        </w:rPr>
        <w:t>表7 课程目标权</w:t>
      </w:r>
      <w:r>
        <w:rPr>
          <w:b/>
          <w:position w:val="-3"/>
          <w:sz w:val="18"/>
          <w:szCs w:val="18"/>
        </w:rPr>
        <w:t>重</w:t>
      </w:r>
      <w:r>
        <w:rPr>
          <w:b/>
          <w:spacing w:val="-2"/>
          <w:position w:val="-3"/>
          <w:sz w:val="18"/>
          <w:szCs w:val="18"/>
        </w:rPr>
        <w:t>系</w:t>
      </w:r>
      <w:r>
        <w:rPr>
          <w:b/>
          <w:position w:val="-3"/>
          <w:sz w:val="18"/>
          <w:szCs w:val="18"/>
        </w:rPr>
        <w:t>数</w:t>
      </w:r>
    </w:p>
    <w:p>
      <w:pPr>
        <w:spacing w:before="9" w:line="40" w:lineRule="exact"/>
        <w:rPr>
          <w:sz w:val="4"/>
          <w:szCs w:val="4"/>
        </w:rPr>
      </w:pPr>
    </w:p>
    <w:tbl>
      <w:tblPr>
        <w:tblStyle w:val="22"/>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622"/>
        <w:gridCol w:w="2773"/>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2622" w:type="dxa"/>
            <w:vAlign w:val="center"/>
          </w:tcPr>
          <w:p>
            <w:pPr>
              <w:snapToGrid w:val="0"/>
              <w:spacing w:line="300" w:lineRule="auto"/>
              <w:jc w:val="center"/>
              <w:rPr>
                <w:b/>
                <w:bCs/>
                <w:sz w:val="18"/>
                <w:szCs w:val="18"/>
              </w:rPr>
            </w:pPr>
            <w:r>
              <w:rPr>
                <w:b/>
                <w:bCs/>
                <w:sz w:val="18"/>
                <w:szCs w:val="18"/>
              </w:rPr>
              <w:t>课程目标</w:t>
            </w:r>
          </w:p>
        </w:tc>
        <w:tc>
          <w:tcPr>
            <w:tcW w:w="2773" w:type="dxa"/>
            <w:vAlign w:val="center"/>
          </w:tcPr>
          <w:p>
            <w:pPr>
              <w:snapToGrid w:val="0"/>
              <w:spacing w:line="300" w:lineRule="auto"/>
              <w:jc w:val="center"/>
              <w:rPr>
                <w:sz w:val="18"/>
                <w:szCs w:val="18"/>
              </w:rPr>
            </w:pPr>
            <w:r>
              <w:rPr>
                <w:sz w:val="18"/>
                <w:szCs w:val="18"/>
              </w:rPr>
              <w:t>1</w:t>
            </w:r>
          </w:p>
        </w:tc>
        <w:tc>
          <w:tcPr>
            <w:tcW w:w="3284"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2622" w:type="dxa"/>
            <w:vAlign w:val="center"/>
          </w:tcPr>
          <w:p>
            <w:pPr>
              <w:snapToGrid w:val="0"/>
              <w:spacing w:line="300" w:lineRule="auto"/>
              <w:jc w:val="center"/>
              <w:rPr>
                <w:b/>
                <w:bCs/>
                <w:sz w:val="18"/>
                <w:szCs w:val="18"/>
              </w:rPr>
            </w:pPr>
            <w:r>
              <w:rPr>
                <w:b/>
                <w:bCs/>
                <w:sz w:val="18"/>
                <w:szCs w:val="18"/>
              </w:rPr>
              <w:t>权重系数</w:t>
            </w:r>
          </w:p>
        </w:tc>
        <w:tc>
          <w:tcPr>
            <w:tcW w:w="2773" w:type="dxa"/>
            <w:vAlign w:val="center"/>
          </w:tcPr>
          <w:p>
            <w:pPr>
              <w:snapToGrid w:val="0"/>
              <w:spacing w:line="300" w:lineRule="auto"/>
              <w:jc w:val="center"/>
              <w:rPr>
                <w:sz w:val="18"/>
                <w:szCs w:val="18"/>
              </w:rPr>
            </w:pPr>
            <w:r>
              <w:rPr>
                <w:sz w:val="18"/>
                <w:szCs w:val="18"/>
              </w:rPr>
              <w:t>0.6</w:t>
            </w:r>
          </w:p>
        </w:tc>
        <w:tc>
          <w:tcPr>
            <w:tcW w:w="3284" w:type="dxa"/>
            <w:vAlign w:val="center"/>
          </w:tcPr>
          <w:p>
            <w:pPr>
              <w:snapToGrid w:val="0"/>
              <w:spacing w:line="300" w:lineRule="auto"/>
              <w:jc w:val="center"/>
              <w:rPr>
                <w:sz w:val="18"/>
                <w:szCs w:val="18"/>
              </w:rPr>
            </w:pPr>
            <w:r>
              <w:rPr>
                <w:sz w:val="18"/>
                <w:szCs w:val="18"/>
              </w:rPr>
              <w:t>0.4</w:t>
            </w:r>
          </w:p>
        </w:tc>
      </w:tr>
    </w:tbl>
    <w:p>
      <w:pPr>
        <w:snapToGrid w:val="0"/>
        <w:spacing w:before="156" w:beforeLines="50"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jc w:val="center"/>
      </w:pPr>
      <w:r>
        <w:object>
          <v:shape id="_x0000_i1138" o:spt="75" type="#_x0000_t75" style="height:18.75pt;width:271.5pt;" o:ole="t" filled="f" o:preferrelative="t" stroked="f" coordsize="21600,21600">
            <v:path/>
            <v:fill on="f" focussize="0,0"/>
            <v:stroke on="f" joinstyle="miter"/>
            <v:imagedata r:id="rId40" o:title=""/>
            <o:lock v:ext="edit" aspectratio="t"/>
            <w10:wrap type="none"/>
            <w10:anchorlock/>
          </v:shape>
          <o:OLEObject Type="Embed" ProgID="Equation.3" ShapeID="_x0000_i1138" DrawAspect="Content" ObjectID="_1468075836" r:id="rId153">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1. 教材：</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汪春梅. TMS320C55xDSP原理及应用（第5版）[M]. 北京：电子工业出版社，2018.5</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张雄伟. DSP芯片的原理与开发应用(第五版)[M].北京：电子工业出版社，2016.8</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[1] 陈存锴. </w:t>
      </w:r>
      <w:r>
        <w:rPr>
          <w:rFonts w:ascii="Times New Roman" w:hAnsi="Times New Roman" w:eastAsia="宋体" w:cs="Times New Roman"/>
          <w:bCs/>
          <w:kern w:val="24"/>
          <w:szCs w:val="21"/>
        </w:rPr>
        <w:t>TMS320C54XDSP原理、编程及应用</w:t>
      </w:r>
      <w:r>
        <w:rPr>
          <w:rFonts w:ascii="Times New Roman" w:hAnsi="Times New Roman" w:eastAsia="宋体" w:cs="Times New Roman"/>
          <w:szCs w:val="21"/>
        </w:rPr>
        <w:t>[M].北京：清华大学出版社，2012.6</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邹彦. DSP原理及应用[M]. 北京：电子工业出版社，2013.5</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 赵红怡. DSP技术与应用实例[M]. 北京：电子工业出版社，2012.2</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24" w:firstLineChars="202"/>
              <w:jc w:val="right"/>
              <w:rPr>
                <w:rFonts w:ascii="Times New Roman" w:hAnsi="Times New Roman" w:eastAsia="宋体" w:cs="Times New Roman"/>
                <w:kern w:val="0"/>
                <w:szCs w:val="21"/>
              </w:rPr>
            </w:pPr>
            <w:r>
              <w:rPr>
                <w:rFonts w:ascii="Times New Roman" w:hAnsi="Times New Roman" w:eastAsia="宋体" w:cs="Times New Roman"/>
                <w:kern w:val="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Cs w:val="21"/>
              </w:rPr>
            </w:pPr>
            <w:r>
              <w:rPr>
                <w:rFonts w:ascii="Times New Roman" w:hAnsi="Times New Roman" w:eastAsia="宋体" w:cs="Times New Roman"/>
                <w:kern w:val="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Cs w:val="21"/>
              </w:rPr>
            </w:pPr>
            <w:r>
              <w:rPr>
                <w:rFonts w:ascii="Times New Roman" w:hAnsi="Times New Roman" w:eastAsia="宋体" w:cs="Times New Roman"/>
                <w:kern w:val="0"/>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Cs w:val="21"/>
              </w:rPr>
            </w:pPr>
          </w:p>
        </w:tc>
      </w:tr>
      <w:bookmarkEnd w:id="184"/>
    </w:tbl>
    <w:p>
      <w:pPr>
        <w:rPr>
          <w:rFonts w:ascii="Times New Roman" w:hAnsi="Times New Roman" w:eastAsia="宋体" w:cs="Times New Roman"/>
          <w:b/>
          <w:sz w:val="32"/>
          <w:szCs w:val="32"/>
        </w:rPr>
      </w:pPr>
      <w:bookmarkStart w:id="186" w:name="_Toc38126125"/>
      <w:bookmarkStart w:id="187" w:name="_Toc46489671"/>
      <w:r>
        <w:rPr>
          <w:rFonts w:ascii="Times New Roman" w:hAnsi="Times New Roman" w:eastAsia="宋体" w:cs="Times New Roman"/>
          <w:b/>
          <w:sz w:val="32"/>
          <w:szCs w:val="32"/>
        </w:rPr>
        <w:br w:type="page"/>
      </w:r>
    </w:p>
    <w:bookmarkEnd w:id="186"/>
    <w:bookmarkEnd w:id="187"/>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188" w:name="_Toc2822"/>
      <w:bookmarkStart w:id="189" w:name="_Toc38126126"/>
      <w:bookmarkStart w:id="190" w:name="_Toc46489672"/>
      <w:r>
        <w:rPr>
          <w:rFonts w:ascii="Times New Roman" w:hAnsi="Times New Roman" w:cs="Times New Roman" w:eastAsiaTheme="majorEastAsia"/>
          <w:b/>
          <w:bCs/>
          <w:sz w:val="32"/>
          <w:szCs w:val="32"/>
        </w:rPr>
        <w:t>33462011</w:t>
      </w:r>
      <w:r>
        <w:rPr>
          <w:rFonts w:hint="eastAsia" w:ascii="Times New Roman" w:hAnsi="Times New Roman" w:cs="Times New Roman" w:eastAsiaTheme="majorEastAsia"/>
          <w:b/>
          <w:bCs/>
          <w:sz w:val="32"/>
          <w:szCs w:val="32"/>
        </w:rPr>
        <w:t>《</w:t>
      </w:r>
      <w:r>
        <w:fldChar w:fldCharType="begin"/>
      </w:r>
      <w:r>
        <w:instrText xml:space="preserve"> HYPERLINK "http://www.shangxueba.com/book/25957.html" </w:instrText>
      </w:r>
      <w:r>
        <w:fldChar w:fldCharType="separate"/>
      </w:r>
      <w:r>
        <w:rPr>
          <w:rFonts w:hint="eastAsia" w:ascii="Times New Roman" w:hAnsi="Times New Roman" w:cs="Times New Roman" w:eastAsiaTheme="majorEastAsia"/>
          <w:b/>
          <w:bCs/>
          <w:sz w:val="32"/>
          <w:szCs w:val="32"/>
        </w:rPr>
        <w:t>无线电工程的现代方法</w:t>
      </w:r>
      <w:r>
        <w:rPr>
          <w:rFonts w:hint="eastAsia" w:ascii="Times New Roman" w:hAnsi="Times New Roman" w:cs="Times New Roman" w:eastAsiaTheme="majorEastAsia"/>
          <w:b/>
          <w:bCs/>
          <w:sz w:val="32"/>
          <w:szCs w:val="32"/>
        </w:rPr>
        <w:fldChar w:fldCharType="end"/>
      </w:r>
      <w:r>
        <w:rPr>
          <w:rFonts w:hint="eastAsia" w:ascii="Times New Roman" w:hAnsi="Times New Roman" w:cs="Times New Roman" w:eastAsiaTheme="majorEastAsia"/>
          <w:b/>
          <w:bCs/>
          <w:sz w:val="32"/>
          <w:szCs w:val="32"/>
        </w:rPr>
        <w:t>》课程教学大纲</w:t>
      </w:r>
      <w:bookmarkEnd w:id="18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szCs w:val="21"/>
              </w:rPr>
              <w:t>33462011</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fldChar w:fldCharType="begin"/>
            </w:r>
            <w:r>
              <w:instrText xml:space="preserve"> HYPERLINK "http://www.shangxueba.com/book/25957.html" </w:instrText>
            </w:r>
            <w:r>
              <w:fldChar w:fldCharType="separate"/>
            </w:r>
            <w:r>
              <w:rPr>
                <w:szCs w:val="21"/>
              </w:rPr>
              <w:t>无线电工程的现代方法</w:t>
            </w:r>
            <w:r>
              <w:rPr>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szCs w:val="21"/>
              </w:rPr>
              <w:t>Modern Method of Radio 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xml:space="preserve">: </w:t>
            </w:r>
            <w:r>
              <w:rPr>
                <w:bCs/>
                <w:kern w:val="0"/>
                <w:szCs w:val="21"/>
              </w:rPr>
              <w:t>32（8）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邓锐、冯青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邓锐</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kern w:val="0"/>
                <w:szCs w:val="21"/>
              </w:rPr>
              <w:t>模拟电路、数字电路</w:t>
            </w:r>
          </w:p>
        </w:tc>
        <w:tc>
          <w:tcPr>
            <w:tcW w:w="1198" w:type="dxa"/>
            <w:vAlign w:val="center"/>
          </w:tcPr>
          <w:p>
            <w:pPr>
              <w:snapToGrid w:val="0"/>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widowControl/>
        <w:adjustRightInd w:val="0"/>
        <w:snapToGrid w:val="0"/>
        <w:spacing w:line="300" w:lineRule="auto"/>
        <w:ind w:firstLine="420" w:firstLineChars="200"/>
        <w:rPr>
          <w:szCs w:val="21"/>
        </w:rPr>
      </w:pPr>
      <w:r>
        <w:fldChar w:fldCharType="begin"/>
      </w:r>
      <w:r>
        <w:instrText xml:space="preserve"> HYPERLINK "http://www.shangxueba.com/book/25957.html" </w:instrText>
      </w:r>
      <w:r>
        <w:fldChar w:fldCharType="separate"/>
      </w:r>
      <w:r>
        <w:rPr>
          <w:szCs w:val="21"/>
        </w:rPr>
        <w:t>《</w:t>
      </w:r>
      <w:r>
        <w:t>》</w:t>
      </w:r>
      <w:r>
        <w:fldChar w:fldCharType="end"/>
      </w:r>
      <w:r>
        <w:rPr>
          <w:szCs w:val="21"/>
        </w:rPr>
        <w:t>是一门理论性和实用性都很强的课程。因此，本课程将课堂教学与实验教学紧密结合，从软件无线电总体体系出发，对软件无线电的主要理论、关键技术和最新发展情况进行讲解并指导学生学习和应用重要的设计工具，使学生学习本课程以后,不仅对软件无线电的体系结构和关键技术有较全面的理解,而且能够利用相关工具进行设计,最终达到能进行系统设计的目的。</w:t>
      </w:r>
    </w:p>
    <w:p>
      <w:pPr>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410"/>
      </w:pPr>
      <w:r>
        <w:t>《</w:t>
      </w:r>
      <w:r>
        <w:fldChar w:fldCharType="begin"/>
      </w:r>
      <w:r>
        <w:instrText xml:space="preserve"> HYPERLINK "http://www.shangxueba.com/book/25957.html" </w:instrText>
      </w:r>
      <w:r>
        <w:fldChar w:fldCharType="separate"/>
      </w:r>
      <w:r>
        <w:rPr>
          <w:szCs w:val="21"/>
        </w:rPr>
        <w:t>无线电工程的现代方法</w:t>
      </w:r>
      <w:r>
        <w:rPr>
          <w:szCs w:val="21"/>
        </w:rPr>
        <w:fldChar w:fldCharType="end"/>
      </w:r>
      <w:r>
        <w:t>》是电子信息工程专业一门重要的专业课。本课程的目的和任务是使学生全面掌握软件无线电的理论基础以及实现方法，并在教学过程中讲述软件无线电的技术发展历史与最前沿实现技术，培养学生以科学报国的爱国主义情怀。</w:t>
      </w:r>
    </w:p>
    <w:p>
      <w:pPr>
        <w:adjustRightInd w:val="0"/>
        <w:snapToGrid w:val="0"/>
        <w:spacing w:line="300" w:lineRule="auto"/>
        <w:ind w:firstLine="410"/>
        <w:rPr>
          <w:szCs w:val="21"/>
        </w:rPr>
      </w:pPr>
      <w:r>
        <w:rPr>
          <w:szCs w:val="21"/>
        </w:rPr>
        <w:t>1</w:t>
      </w:r>
      <w:r>
        <w:rPr>
          <w:kern w:val="0"/>
          <w:szCs w:val="21"/>
        </w:rPr>
        <w:t>．</w:t>
      </w:r>
      <w:r>
        <w:rPr>
          <w:szCs w:val="21"/>
        </w:rPr>
        <w:t>了解软件无线电中的采样理论，掌握软件无线电中的数字信号正交变换理论；掌握信道化软件无线电发射机数学模型；[3.1]</w:t>
      </w:r>
    </w:p>
    <w:p>
      <w:pPr>
        <w:adjustRightInd w:val="0"/>
        <w:snapToGrid w:val="0"/>
        <w:spacing w:line="300" w:lineRule="auto"/>
        <w:ind w:firstLine="410"/>
        <w:rPr>
          <w:szCs w:val="21"/>
        </w:rPr>
      </w:pPr>
      <w:r>
        <w:rPr>
          <w:rFonts w:hint="eastAsia"/>
          <w:szCs w:val="21"/>
        </w:rPr>
        <w:t>2</w:t>
      </w:r>
      <w:r>
        <w:rPr>
          <w:kern w:val="0"/>
          <w:szCs w:val="21"/>
        </w:rPr>
        <w:t>．</w:t>
      </w:r>
      <w:r>
        <w:rPr>
          <w:szCs w:val="21"/>
        </w:rPr>
        <w:t>熟悉软件无线电接收机数学模型；掌握软件无线电前端电路和软件无线电中的调制算法；[</w:t>
      </w:r>
      <w:r>
        <w:rPr>
          <w:rFonts w:hint="eastAsia"/>
          <w:szCs w:val="21"/>
        </w:rPr>
        <w:t>3</w:t>
      </w:r>
      <w:r>
        <w:rPr>
          <w:szCs w:val="21"/>
        </w:rPr>
        <w:t>.1]</w:t>
      </w:r>
    </w:p>
    <w:p>
      <w:pPr>
        <w:adjustRightInd w:val="0"/>
        <w:snapToGrid w:val="0"/>
        <w:spacing w:line="300" w:lineRule="auto"/>
        <w:ind w:firstLine="410"/>
        <w:rPr>
          <w:szCs w:val="21"/>
        </w:rPr>
      </w:pPr>
      <w:r>
        <w:rPr>
          <w:rFonts w:hint="eastAsia"/>
          <w:szCs w:val="21"/>
        </w:rPr>
        <w:t>3</w:t>
      </w:r>
      <w:r>
        <w:rPr>
          <w:kern w:val="0"/>
          <w:szCs w:val="21"/>
        </w:rPr>
        <w:t>．了解无线电工程行业相关技术标准、知识产权、产业政策和法律法规，了解无线电工程</w:t>
      </w:r>
      <w:r>
        <w:rPr>
          <w:rFonts w:hint="eastAsia"/>
          <w:kern w:val="0"/>
          <w:szCs w:val="21"/>
        </w:rPr>
        <w:t>问题解决方案</w:t>
      </w:r>
      <w:r>
        <w:rPr>
          <w:kern w:val="0"/>
          <w:szCs w:val="21"/>
        </w:rPr>
        <w:t>与社会、健康、安全、法律以及文化的关系。[6.1]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sz w:val="18"/>
                <w:szCs w:val="18"/>
              </w:rPr>
              <w:t>专业</w:t>
            </w:r>
            <w:r>
              <w:rPr>
                <w:b/>
                <w:bCs/>
                <w:sz w:val="18"/>
                <w:szCs w:val="18"/>
              </w:rPr>
              <w:t>毕业要求</w:t>
            </w:r>
          </w:p>
        </w:tc>
        <w:tc>
          <w:tcPr>
            <w:tcW w:w="6143" w:type="dxa"/>
            <w:vAlign w:val="center"/>
          </w:tcPr>
          <w:p>
            <w:pPr>
              <w:snapToGrid w:val="0"/>
              <w:spacing w:line="300" w:lineRule="auto"/>
              <w:jc w:val="center"/>
              <w:rPr>
                <w:b/>
                <w:bCs/>
                <w:sz w:val="18"/>
                <w:szCs w:val="18"/>
              </w:rPr>
            </w:pPr>
            <w:r>
              <w:rPr>
                <w:b/>
                <w:sz w:val="18"/>
                <w:szCs w:val="18"/>
              </w:rPr>
              <w:t>专业</w:t>
            </w: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widowControl/>
              <w:adjustRightInd w:val="0"/>
              <w:snapToGrid w:val="0"/>
              <w:spacing w:line="300" w:lineRule="auto"/>
              <w:rPr>
                <w:sz w:val="18"/>
                <w:szCs w:val="18"/>
              </w:rPr>
            </w:pPr>
            <w:r>
              <w:rPr>
                <w:sz w:val="18"/>
                <w:szCs w:val="18"/>
              </w:rPr>
              <w:t>3</w:t>
            </w:r>
            <w:r>
              <w:rPr>
                <w:kern w:val="0"/>
                <w:szCs w:val="21"/>
              </w:rPr>
              <w:t>．</w:t>
            </w:r>
            <w:r>
              <w:rPr>
                <w:sz w:val="18"/>
                <w:szCs w:val="18"/>
              </w:rPr>
              <w:t>设计/开发解决方案</w:t>
            </w:r>
          </w:p>
        </w:tc>
        <w:tc>
          <w:tcPr>
            <w:tcW w:w="6143" w:type="dxa"/>
          </w:tcPr>
          <w:p>
            <w:pPr>
              <w:widowControl/>
              <w:adjustRightInd w:val="0"/>
              <w:snapToGrid w:val="0"/>
              <w:spacing w:line="300" w:lineRule="auto"/>
              <w:jc w:val="left"/>
              <w:rPr>
                <w:kern w:val="0"/>
                <w:sz w:val="18"/>
                <w:szCs w:val="18"/>
              </w:rPr>
            </w:pPr>
            <w:r>
              <w:rPr>
                <w:kern w:val="0"/>
                <w:sz w:val="18"/>
                <w:szCs w:val="18"/>
              </w:rPr>
              <w:t>3.1能够利用专业知识，针对给定需求，设计出满足要求的系统总体方案与系统拓扑图、单元子系统（或单元电路）、软硬件模块或工艺流程。</w:t>
            </w:r>
          </w:p>
        </w:tc>
        <w:tc>
          <w:tcPr>
            <w:tcW w:w="689" w:type="dxa"/>
            <w:vAlign w:val="center"/>
          </w:tcPr>
          <w:p>
            <w:pPr>
              <w:widowControl/>
              <w:adjustRightInd w:val="0"/>
              <w:snapToGrid w:val="0"/>
              <w:spacing w:line="300" w:lineRule="auto"/>
              <w:jc w:val="left"/>
              <w:rPr>
                <w:sz w:val="18"/>
                <w:szCs w:val="18"/>
              </w:rPr>
            </w:pPr>
            <w:r>
              <w:rPr>
                <w:rFonts w:hint="eastAsia"/>
                <w:bCs/>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widowControl/>
              <w:adjustRightInd w:val="0"/>
              <w:snapToGrid w:val="0"/>
              <w:spacing w:line="300" w:lineRule="auto"/>
              <w:jc w:val="left"/>
              <w:rPr>
                <w:sz w:val="18"/>
                <w:szCs w:val="18"/>
              </w:rPr>
            </w:pPr>
            <w:r>
              <w:rPr>
                <w:sz w:val="18"/>
                <w:szCs w:val="18"/>
              </w:rPr>
              <w:t>6</w:t>
            </w:r>
            <w:r>
              <w:rPr>
                <w:kern w:val="0"/>
                <w:szCs w:val="21"/>
              </w:rPr>
              <w:t>．</w:t>
            </w:r>
            <w:r>
              <w:rPr>
                <w:sz w:val="18"/>
                <w:szCs w:val="18"/>
              </w:rPr>
              <w:t>工程与社会</w:t>
            </w:r>
          </w:p>
        </w:tc>
        <w:tc>
          <w:tcPr>
            <w:tcW w:w="6143" w:type="dxa"/>
          </w:tcPr>
          <w:p>
            <w:pPr>
              <w:widowControl/>
              <w:adjustRightInd w:val="0"/>
              <w:snapToGrid w:val="0"/>
              <w:spacing w:line="300" w:lineRule="auto"/>
              <w:jc w:val="left"/>
              <w:rPr>
                <w:kern w:val="0"/>
                <w:sz w:val="18"/>
                <w:szCs w:val="18"/>
              </w:rPr>
            </w:pPr>
            <w:r>
              <w:rPr>
                <w:kern w:val="0"/>
                <w:sz w:val="18"/>
                <w:szCs w:val="18"/>
              </w:rPr>
              <w:t>6.1具有工程实践经历，了解电子信息行业相关的技术标准、知识产权、产业政策和法律法规，了解工程实践和电子信息</w:t>
            </w:r>
            <w:r>
              <w:rPr>
                <w:rFonts w:hint="eastAsia"/>
                <w:kern w:val="0"/>
                <w:sz w:val="18"/>
                <w:szCs w:val="18"/>
              </w:rPr>
              <w:t>复杂工程问题解决方案</w:t>
            </w:r>
            <w:r>
              <w:rPr>
                <w:kern w:val="0"/>
                <w:sz w:val="18"/>
                <w:szCs w:val="18"/>
              </w:rPr>
              <w:t>与社会、健康、安全、法律以及文化的关系。</w:t>
            </w:r>
          </w:p>
        </w:tc>
        <w:tc>
          <w:tcPr>
            <w:tcW w:w="689" w:type="dxa"/>
            <w:vAlign w:val="center"/>
          </w:tcPr>
          <w:p>
            <w:pPr>
              <w:widowControl/>
              <w:adjustRightInd w:val="0"/>
              <w:snapToGrid w:val="0"/>
              <w:spacing w:line="300" w:lineRule="auto"/>
              <w:jc w:val="left"/>
              <w:rPr>
                <w:sz w:val="18"/>
                <w:szCs w:val="18"/>
              </w:rPr>
            </w:pPr>
            <w:r>
              <w:rPr>
                <w:rFonts w:hint="eastAsia"/>
                <w:sz w:val="18"/>
                <w:szCs w:val="18"/>
              </w:rPr>
              <w:t>3</w:t>
            </w:r>
          </w:p>
        </w:tc>
      </w:tr>
    </w:tbl>
    <w:p>
      <w:pPr>
        <w:snapToGrid w:val="0"/>
        <w:spacing w:before="156" w:beforeLines="50" w:after="156" w:afterLines="50" w:line="300" w:lineRule="auto"/>
        <w:rPr>
          <w:b/>
          <w:bCs/>
          <w:sz w:val="18"/>
          <w:szCs w:val="18"/>
          <w:shd w:val="clear" w:color="auto" w:fill="FEFEFF"/>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3"/>
        <w:gridCol w:w="2258"/>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25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225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 xml:space="preserve">1．了解软件无线电中的采样理论，掌握软件无线电中的数字信号正交变换理论；掌握信道化软件无线电发射机数学模型； </w:t>
            </w:r>
          </w:p>
        </w:tc>
        <w:tc>
          <w:tcPr>
            <w:tcW w:w="22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课堂讲授、指定阅读、网络学习等</w:t>
            </w:r>
          </w:p>
        </w:tc>
        <w:tc>
          <w:tcPr>
            <w:tcW w:w="22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2．熟悉软件无线电接收机数学模型；掌握软件无线电前端电路和软件无线电中的调制算法</w:t>
            </w:r>
            <w:r>
              <w:rPr>
                <w:rFonts w:hint="eastAsia"/>
                <w:sz w:val="18"/>
                <w:szCs w:val="18"/>
              </w:rPr>
              <w:t>；</w:t>
            </w:r>
          </w:p>
        </w:tc>
        <w:tc>
          <w:tcPr>
            <w:tcW w:w="22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课堂讲授、案例研讨、作业、网络学习等</w:t>
            </w:r>
          </w:p>
        </w:tc>
        <w:tc>
          <w:tcPr>
            <w:tcW w:w="2250"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rFonts w:hint="eastAsia"/>
                <w:sz w:val="18"/>
                <w:szCs w:val="18"/>
              </w:rPr>
              <w:t>3</w:t>
            </w:r>
            <w:r>
              <w:rPr>
                <w:sz w:val="18"/>
                <w:szCs w:val="18"/>
              </w:rPr>
              <w:t>．了解无线电工程行业相关技术标准、知识产权、产业政策和法律法规，了解无线电工程</w:t>
            </w:r>
            <w:r>
              <w:rPr>
                <w:rFonts w:hint="eastAsia"/>
                <w:sz w:val="18"/>
                <w:szCs w:val="18"/>
              </w:rPr>
              <w:t>问题解决方案</w:t>
            </w:r>
            <w:r>
              <w:rPr>
                <w:sz w:val="18"/>
                <w:szCs w:val="18"/>
              </w:rPr>
              <w:t>与社会、健康、安全、法律以及文化的关系</w:t>
            </w:r>
            <w:r>
              <w:rPr>
                <w:rFonts w:hint="eastAsia"/>
                <w:sz w:val="18"/>
                <w:szCs w:val="18"/>
              </w:rPr>
              <w:t>。</w:t>
            </w:r>
          </w:p>
        </w:tc>
        <w:tc>
          <w:tcPr>
            <w:tcW w:w="22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课堂讲授、</w:t>
            </w:r>
            <w:r>
              <w:rPr>
                <w:rFonts w:hint="eastAsia"/>
                <w:sz w:val="18"/>
                <w:szCs w:val="18"/>
              </w:rPr>
              <w:t>自主学习</w:t>
            </w:r>
          </w:p>
        </w:tc>
        <w:tc>
          <w:tcPr>
            <w:tcW w:w="22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课堂表现、习题作业、期末考试</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w:t>
      </w:r>
      <w:r>
        <w:rPr>
          <w:kern w:val="0"/>
          <w:szCs w:val="21"/>
        </w:rPr>
        <w:t>．</w:t>
      </w:r>
      <w:r>
        <w:rPr>
          <w:szCs w:val="21"/>
        </w:rPr>
        <w:t>课堂讲授为主，多媒体教学、课程独立网站（含教学视频）学习为辅，注重工程案例教学，每周平均讲授4学时，与专业相关实践教学环节和场景配合呼应。</w:t>
      </w:r>
    </w:p>
    <w:p>
      <w:pPr>
        <w:adjustRightInd w:val="0"/>
        <w:snapToGrid w:val="0"/>
        <w:spacing w:line="300" w:lineRule="auto"/>
        <w:ind w:firstLine="420" w:firstLineChars="200"/>
        <w:rPr>
          <w:szCs w:val="21"/>
        </w:rPr>
      </w:pPr>
      <w:r>
        <w:rPr>
          <w:szCs w:val="21"/>
        </w:rPr>
        <w:t> 2</w:t>
      </w:r>
      <w:r>
        <w:rPr>
          <w:kern w:val="0"/>
          <w:szCs w:val="21"/>
        </w:rPr>
        <w:t>．</w:t>
      </w:r>
      <w:r>
        <w:rPr>
          <w:szCs w:val="21"/>
        </w:rPr>
        <w:t>基于电子信息系统信息处理与传输工作流程构建课程教学体系；根据课程特点采用启发式教学、任务驱动教学、案例教学法进行教学方法创新；核心能力知识点采用</w:t>
      </w:r>
      <w:r>
        <w:rPr>
          <w:rFonts w:hint="eastAsia"/>
          <w:szCs w:val="21"/>
        </w:rPr>
        <w:t>“</w:t>
      </w:r>
      <w:r>
        <w:rPr>
          <w:szCs w:val="21"/>
        </w:rPr>
        <w:t>原理描述-设计要点分析-应用案例展示</w:t>
      </w:r>
      <w:r>
        <w:rPr>
          <w:rFonts w:hint="eastAsia"/>
          <w:szCs w:val="21"/>
        </w:rPr>
        <w:t>”</w:t>
      </w:r>
      <w:r>
        <w:rPr>
          <w:szCs w:val="21"/>
        </w:rPr>
        <w:t>相互呼应的教学模式。</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624"/>
        <w:gridCol w:w="2703"/>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90"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3624" w:type="dxa"/>
            <w:vAlign w:val="center"/>
          </w:tcPr>
          <w:p>
            <w:pPr>
              <w:snapToGrid w:val="0"/>
              <w:spacing w:line="300" w:lineRule="auto"/>
              <w:jc w:val="center"/>
              <w:rPr>
                <w:b/>
                <w:bCs/>
                <w:sz w:val="18"/>
                <w:szCs w:val="18"/>
              </w:rPr>
            </w:pPr>
            <w:r>
              <w:rPr>
                <w:b/>
                <w:bCs/>
                <w:sz w:val="18"/>
                <w:szCs w:val="18"/>
              </w:rPr>
              <w:t>教学内容</w:t>
            </w:r>
          </w:p>
        </w:tc>
        <w:tc>
          <w:tcPr>
            <w:tcW w:w="2703" w:type="dxa"/>
            <w:vAlign w:val="center"/>
          </w:tcPr>
          <w:p>
            <w:pPr>
              <w:snapToGrid w:val="0"/>
              <w:spacing w:line="300" w:lineRule="auto"/>
              <w:jc w:val="center"/>
              <w:rPr>
                <w:b/>
                <w:bCs/>
                <w:sz w:val="18"/>
                <w:szCs w:val="18"/>
              </w:rPr>
            </w:pPr>
            <w:r>
              <w:rPr>
                <w:b/>
                <w:bCs/>
                <w:sz w:val="18"/>
                <w:szCs w:val="18"/>
              </w:rPr>
              <w:t>教与学的要求</w:t>
            </w:r>
          </w:p>
        </w:tc>
        <w:tc>
          <w:tcPr>
            <w:tcW w:w="734" w:type="dxa"/>
            <w:vAlign w:val="center"/>
          </w:tcPr>
          <w:p>
            <w:pPr>
              <w:snapToGrid w:val="0"/>
              <w:spacing w:line="300" w:lineRule="auto"/>
              <w:jc w:val="center"/>
              <w:rPr>
                <w:b/>
                <w:bCs/>
                <w:sz w:val="18"/>
                <w:szCs w:val="18"/>
              </w:rPr>
            </w:pPr>
            <w:r>
              <w:rPr>
                <w:b/>
                <w:bCs/>
                <w:sz w:val="18"/>
                <w:szCs w:val="18"/>
              </w:rPr>
              <w:t>学时</w:t>
            </w:r>
          </w:p>
        </w:tc>
        <w:tc>
          <w:tcPr>
            <w:tcW w:w="1030"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Mar>
              <w:left w:w="57" w:type="dxa"/>
              <w:right w:w="57" w:type="dxa"/>
            </w:tcMar>
            <w:vAlign w:val="center"/>
          </w:tcPr>
          <w:p>
            <w:pPr>
              <w:widowControl/>
              <w:adjustRightInd w:val="0"/>
              <w:snapToGrid w:val="0"/>
              <w:spacing w:line="300" w:lineRule="auto"/>
              <w:jc w:val="center"/>
              <w:rPr>
                <w:sz w:val="18"/>
                <w:szCs w:val="18"/>
              </w:rPr>
            </w:pPr>
            <w:r>
              <w:rPr>
                <w:sz w:val="18"/>
                <w:szCs w:val="18"/>
              </w:rPr>
              <w:t>1</w:t>
            </w:r>
          </w:p>
        </w:tc>
        <w:tc>
          <w:tcPr>
            <w:tcW w:w="3624" w:type="dxa"/>
            <w:vAlign w:val="center"/>
          </w:tcPr>
          <w:p>
            <w:pPr>
              <w:widowControl/>
              <w:adjustRightInd w:val="0"/>
              <w:snapToGrid w:val="0"/>
              <w:spacing w:line="300" w:lineRule="auto"/>
              <w:jc w:val="left"/>
              <w:rPr>
                <w:sz w:val="18"/>
                <w:szCs w:val="18"/>
              </w:rPr>
            </w:pPr>
            <w:r>
              <w:rPr>
                <w:sz w:val="18"/>
                <w:szCs w:val="18"/>
              </w:rPr>
              <w:t>一、绪论</w:t>
            </w:r>
          </w:p>
          <w:p>
            <w:pPr>
              <w:widowControl/>
              <w:adjustRightInd w:val="0"/>
              <w:snapToGrid w:val="0"/>
              <w:spacing w:line="300" w:lineRule="auto"/>
              <w:jc w:val="left"/>
              <w:rPr>
                <w:sz w:val="18"/>
                <w:szCs w:val="18"/>
              </w:rPr>
            </w:pPr>
            <w:r>
              <w:rPr>
                <w:sz w:val="18"/>
                <w:szCs w:val="18"/>
              </w:rPr>
              <w:t>1.1 软件无线电理论基础；</w:t>
            </w:r>
          </w:p>
          <w:p>
            <w:pPr>
              <w:widowControl/>
              <w:adjustRightInd w:val="0"/>
              <w:snapToGrid w:val="0"/>
              <w:spacing w:line="300" w:lineRule="auto"/>
              <w:jc w:val="left"/>
              <w:rPr>
                <w:sz w:val="18"/>
                <w:szCs w:val="18"/>
              </w:rPr>
            </w:pPr>
            <w:r>
              <w:rPr>
                <w:sz w:val="18"/>
                <w:szCs w:val="18"/>
              </w:rPr>
              <w:t>1.2 信号采样理论。</w:t>
            </w:r>
          </w:p>
          <w:p>
            <w:pPr>
              <w:widowControl/>
              <w:adjustRightInd w:val="0"/>
              <w:snapToGrid w:val="0"/>
              <w:spacing w:line="300" w:lineRule="auto"/>
              <w:jc w:val="left"/>
              <w:rPr>
                <w:sz w:val="18"/>
                <w:szCs w:val="18"/>
              </w:rPr>
            </w:pPr>
            <w:r>
              <w:rPr>
                <w:sz w:val="18"/>
                <w:szCs w:val="18"/>
              </w:rPr>
              <w:t>课程思政主题：讲述软件无线电的技术发展历史与最前沿实现技术，培养学生以科学报国的爱国主义情怀。</w:t>
            </w:r>
          </w:p>
        </w:tc>
        <w:tc>
          <w:tcPr>
            <w:tcW w:w="2703" w:type="dxa"/>
            <w:vAlign w:val="center"/>
          </w:tcPr>
          <w:p>
            <w:pPr>
              <w:widowControl/>
              <w:adjustRightInd w:val="0"/>
              <w:snapToGrid w:val="0"/>
              <w:spacing w:line="300" w:lineRule="auto"/>
              <w:jc w:val="left"/>
              <w:rPr>
                <w:sz w:val="18"/>
                <w:szCs w:val="18"/>
              </w:rPr>
            </w:pPr>
            <w:r>
              <w:rPr>
                <w:sz w:val="18"/>
                <w:szCs w:val="18"/>
              </w:rPr>
              <w:t>1．掌握软件无线电概念的由来；</w:t>
            </w:r>
          </w:p>
          <w:p>
            <w:pPr>
              <w:widowControl/>
              <w:adjustRightInd w:val="0"/>
              <w:snapToGrid w:val="0"/>
              <w:spacing w:line="300" w:lineRule="auto"/>
              <w:jc w:val="left"/>
              <w:rPr>
                <w:sz w:val="18"/>
                <w:szCs w:val="18"/>
              </w:rPr>
            </w:pPr>
            <w:r>
              <w:rPr>
                <w:sz w:val="18"/>
                <w:szCs w:val="18"/>
              </w:rPr>
              <w:t>2．了解软件无线电的发展概况；</w:t>
            </w:r>
          </w:p>
          <w:p>
            <w:pPr>
              <w:widowControl/>
              <w:adjustRightInd w:val="0"/>
              <w:snapToGrid w:val="0"/>
              <w:spacing w:line="300" w:lineRule="auto"/>
              <w:jc w:val="left"/>
              <w:rPr>
                <w:sz w:val="18"/>
                <w:szCs w:val="18"/>
              </w:rPr>
            </w:pPr>
            <w:r>
              <w:rPr>
                <w:sz w:val="18"/>
                <w:szCs w:val="18"/>
              </w:rPr>
              <w:t>3．了解软件无线电的基本结构。</w:t>
            </w:r>
          </w:p>
        </w:tc>
        <w:tc>
          <w:tcPr>
            <w:tcW w:w="734" w:type="dxa"/>
            <w:vAlign w:val="center"/>
          </w:tcPr>
          <w:p>
            <w:pPr>
              <w:widowControl/>
              <w:adjustRightInd w:val="0"/>
              <w:snapToGrid w:val="0"/>
              <w:spacing w:line="300" w:lineRule="auto"/>
              <w:jc w:val="center"/>
              <w:rPr>
                <w:sz w:val="18"/>
                <w:szCs w:val="18"/>
              </w:rPr>
            </w:pPr>
            <w:r>
              <w:rPr>
                <w:sz w:val="18"/>
                <w:szCs w:val="18"/>
              </w:rPr>
              <w:t>4</w:t>
            </w:r>
          </w:p>
        </w:tc>
        <w:tc>
          <w:tcPr>
            <w:tcW w:w="1030" w:type="dxa"/>
            <w:vAlign w:val="center"/>
          </w:tcPr>
          <w:p>
            <w:pPr>
              <w:widowControl/>
              <w:adjustRightInd w:val="0"/>
              <w:snapToGrid w:val="0"/>
              <w:spacing w:line="300" w:lineRule="auto"/>
              <w:jc w:val="left"/>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Mar>
              <w:left w:w="57" w:type="dxa"/>
              <w:right w:w="57" w:type="dxa"/>
            </w:tcMar>
            <w:vAlign w:val="center"/>
          </w:tcPr>
          <w:p>
            <w:pPr>
              <w:widowControl/>
              <w:adjustRightInd w:val="0"/>
              <w:snapToGrid w:val="0"/>
              <w:spacing w:line="300" w:lineRule="auto"/>
              <w:jc w:val="center"/>
              <w:rPr>
                <w:sz w:val="18"/>
                <w:szCs w:val="18"/>
              </w:rPr>
            </w:pPr>
            <w:r>
              <w:rPr>
                <w:sz w:val="18"/>
                <w:szCs w:val="18"/>
              </w:rPr>
              <w:t>2</w:t>
            </w:r>
          </w:p>
        </w:tc>
        <w:tc>
          <w:tcPr>
            <w:tcW w:w="3624" w:type="dxa"/>
            <w:vAlign w:val="center"/>
          </w:tcPr>
          <w:p>
            <w:pPr>
              <w:widowControl/>
              <w:adjustRightInd w:val="0"/>
              <w:snapToGrid w:val="0"/>
              <w:spacing w:line="300" w:lineRule="auto"/>
              <w:jc w:val="left"/>
              <w:rPr>
                <w:sz w:val="18"/>
                <w:szCs w:val="18"/>
              </w:rPr>
            </w:pPr>
            <w:r>
              <w:rPr>
                <w:sz w:val="18"/>
                <w:szCs w:val="18"/>
              </w:rPr>
              <w:t>二、软件无线电中的采样理论</w:t>
            </w:r>
          </w:p>
          <w:p>
            <w:pPr>
              <w:widowControl/>
              <w:adjustRightInd w:val="0"/>
              <w:snapToGrid w:val="0"/>
              <w:spacing w:line="300" w:lineRule="auto"/>
              <w:jc w:val="left"/>
              <w:rPr>
                <w:sz w:val="18"/>
                <w:szCs w:val="18"/>
              </w:rPr>
            </w:pPr>
            <w:r>
              <w:rPr>
                <w:sz w:val="18"/>
                <w:szCs w:val="18"/>
              </w:rPr>
              <w:t>2.1 带通信号采样理论</w:t>
            </w:r>
          </w:p>
          <w:p>
            <w:pPr>
              <w:widowControl/>
              <w:adjustRightInd w:val="0"/>
              <w:snapToGrid w:val="0"/>
              <w:spacing w:line="300" w:lineRule="auto"/>
              <w:jc w:val="left"/>
              <w:rPr>
                <w:sz w:val="18"/>
                <w:szCs w:val="18"/>
              </w:rPr>
            </w:pPr>
            <w:r>
              <w:rPr>
                <w:sz w:val="18"/>
                <w:szCs w:val="18"/>
              </w:rPr>
              <w:t>2.2 窄带中频采样数字化</w:t>
            </w:r>
          </w:p>
          <w:p>
            <w:pPr>
              <w:widowControl/>
              <w:adjustRightInd w:val="0"/>
              <w:snapToGrid w:val="0"/>
              <w:spacing w:line="300" w:lineRule="auto"/>
              <w:jc w:val="left"/>
              <w:rPr>
                <w:sz w:val="18"/>
                <w:szCs w:val="18"/>
              </w:rPr>
            </w:pPr>
            <w:r>
              <w:rPr>
                <w:sz w:val="18"/>
                <w:szCs w:val="18"/>
              </w:rPr>
              <w:t>2.3 宽带中频采样数字化</w:t>
            </w:r>
          </w:p>
          <w:p>
            <w:pPr>
              <w:widowControl/>
              <w:adjustRightInd w:val="0"/>
              <w:snapToGrid w:val="0"/>
              <w:spacing w:line="300" w:lineRule="auto"/>
              <w:jc w:val="left"/>
              <w:rPr>
                <w:sz w:val="18"/>
                <w:szCs w:val="18"/>
              </w:rPr>
            </w:pPr>
            <w:r>
              <w:rPr>
                <w:sz w:val="18"/>
                <w:szCs w:val="18"/>
              </w:rPr>
              <w:t>2.4 射频直接带通采样原理。</w:t>
            </w:r>
          </w:p>
        </w:tc>
        <w:tc>
          <w:tcPr>
            <w:tcW w:w="2703" w:type="dxa"/>
            <w:vAlign w:val="center"/>
          </w:tcPr>
          <w:p>
            <w:pPr>
              <w:widowControl/>
              <w:adjustRightInd w:val="0"/>
              <w:snapToGrid w:val="0"/>
              <w:spacing w:line="300" w:lineRule="auto"/>
              <w:jc w:val="left"/>
              <w:rPr>
                <w:sz w:val="18"/>
                <w:szCs w:val="18"/>
              </w:rPr>
            </w:pPr>
            <w:r>
              <w:rPr>
                <w:sz w:val="18"/>
                <w:szCs w:val="18"/>
              </w:rPr>
              <w:t>1．掌握隔离式DC/DC变换器的工作原理和特点，熟悉各种变换器的元器件选择方法；</w:t>
            </w:r>
          </w:p>
          <w:p>
            <w:pPr>
              <w:widowControl/>
              <w:adjustRightInd w:val="0"/>
              <w:snapToGrid w:val="0"/>
              <w:spacing w:line="300" w:lineRule="auto"/>
              <w:jc w:val="left"/>
              <w:rPr>
                <w:sz w:val="18"/>
                <w:szCs w:val="18"/>
              </w:rPr>
            </w:pPr>
            <w:r>
              <w:rPr>
                <w:sz w:val="18"/>
                <w:szCs w:val="18"/>
              </w:rPr>
              <w:t>2．了解基本采样理论――Nyquist采样定理。</w:t>
            </w:r>
          </w:p>
        </w:tc>
        <w:tc>
          <w:tcPr>
            <w:tcW w:w="734" w:type="dxa"/>
            <w:vAlign w:val="center"/>
          </w:tcPr>
          <w:p>
            <w:pPr>
              <w:widowControl/>
              <w:adjustRightInd w:val="0"/>
              <w:snapToGrid w:val="0"/>
              <w:spacing w:line="300" w:lineRule="auto"/>
              <w:jc w:val="center"/>
              <w:rPr>
                <w:sz w:val="18"/>
                <w:szCs w:val="18"/>
              </w:rPr>
            </w:pPr>
            <w:r>
              <w:rPr>
                <w:sz w:val="18"/>
                <w:szCs w:val="18"/>
              </w:rPr>
              <w:t>5</w:t>
            </w:r>
          </w:p>
        </w:tc>
        <w:tc>
          <w:tcPr>
            <w:tcW w:w="1030" w:type="dxa"/>
            <w:vAlign w:val="center"/>
          </w:tcPr>
          <w:p>
            <w:pPr>
              <w:widowControl/>
              <w:adjustRightInd w:val="0"/>
              <w:snapToGrid w:val="0"/>
              <w:spacing w:line="300" w:lineRule="auto"/>
              <w:jc w:val="left"/>
              <w:rPr>
                <w:sz w:val="18"/>
                <w:szCs w:val="18"/>
              </w:rPr>
            </w:pPr>
            <w:r>
              <w:rPr>
                <w:sz w:val="18"/>
                <w:szCs w:val="18"/>
              </w:rPr>
              <w:t>1，</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widowControl/>
              <w:adjustRightInd w:val="0"/>
              <w:snapToGrid w:val="0"/>
              <w:spacing w:line="300" w:lineRule="auto"/>
              <w:jc w:val="center"/>
              <w:rPr>
                <w:sz w:val="18"/>
                <w:szCs w:val="18"/>
              </w:rPr>
            </w:pPr>
            <w:r>
              <w:rPr>
                <w:sz w:val="18"/>
                <w:szCs w:val="18"/>
              </w:rPr>
              <w:t>3</w:t>
            </w:r>
          </w:p>
        </w:tc>
        <w:tc>
          <w:tcPr>
            <w:tcW w:w="3624" w:type="dxa"/>
            <w:vAlign w:val="center"/>
          </w:tcPr>
          <w:p>
            <w:pPr>
              <w:widowControl/>
              <w:adjustRightInd w:val="0"/>
              <w:snapToGrid w:val="0"/>
              <w:spacing w:line="300" w:lineRule="auto"/>
              <w:jc w:val="left"/>
              <w:rPr>
                <w:sz w:val="18"/>
                <w:szCs w:val="18"/>
              </w:rPr>
            </w:pPr>
            <w:r>
              <w:rPr>
                <w:sz w:val="18"/>
                <w:szCs w:val="18"/>
              </w:rPr>
              <w:t>三、多速率信号处理</w:t>
            </w:r>
          </w:p>
          <w:p>
            <w:pPr>
              <w:widowControl/>
              <w:adjustRightInd w:val="0"/>
              <w:snapToGrid w:val="0"/>
              <w:spacing w:line="300" w:lineRule="auto"/>
              <w:jc w:val="left"/>
              <w:rPr>
                <w:sz w:val="18"/>
                <w:szCs w:val="18"/>
              </w:rPr>
            </w:pPr>
            <w:r>
              <w:rPr>
                <w:sz w:val="18"/>
                <w:szCs w:val="18"/>
              </w:rPr>
              <w:t>3.1 取样率变换性质</w:t>
            </w:r>
          </w:p>
          <w:p>
            <w:pPr>
              <w:widowControl/>
              <w:adjustRightInd w:val="0"/>
              <w:snapToGrid w:val="0"/>
              <w:spacing w:line="300" w:lineRule="auto"/>
              <w:jc w:val="left"/>
              <w:rPr>
                <w:sz w:val="18"/>
                <w:szCs w:val="18"/>
              </w:rPr>
            </w:pPr>
            <w:r>
              <w:rPr>
                <w:sz w:val="18"/>
                <w:szCs w:val="18"/>
              </w:rPr>
              <w:t>3.2 抽取内插器的实时处理结构——多相滤波结构</w:t>
            </w:r>
          </w:p>
          <w:p>
            <w:pPr>
              <w:widowControl/>
              <w:adjustRightInd w:val="0"/>
              <w:snapToGrid w:val="0"/>
              <w:spacing w:line="300" w:lineRule="auto"/>
              <w:jc w:val="left"/>
              <w:rPr>
                <w:sz w:val="18"/>
                <w:szCs w:val="18"/>
              </w:rPr>
            </w:pPr>
            <w:r>
              <w:rPr>
                <w:sz w:val="18"/>
                <w:szCs w:val="18"/>
              </w:rPr>
              <w:t>3.3 取样率变换的多级实现</w:t>
            </w:r>
          </w:p>
          <w:p>
            <w:pPr>
              <w:widowControl/>
              <w:adjustRightInd w:val="0"/>
              <w:snapToGrid w:val="0"/>
              <w:spacing w:line="300" w:lineRule="auto"/>
              <w:jc w:val="left"/>
              <w:rPr>
                <w:sz w:val="18"/>
                <w:szCs w:val="18"/>
              </w:rPr>
            </w:pPr>
            <w:r>
              <w:rPr>
                <w:sz w:val="18"/>
                <w:szCs w:val="18"/>
              </w:rPr>
              <w:t>3.4 带通信号的取样率变换</w:t>
            </w:r>
          </w:p>
        </w:tc>
        <w:tc>
          <w:tcPr>
            <w:tcW w:w="2703" w:type="dxa"/>
            <w:vAlign w:val="center"/>
          </w:tcPr>
          <w:p>
            <w:pPr>
              <w:widowControl/>
              <w:adjustRightInd w:val="0"/>
              <w:snapToGrid w:val="0"/>
              <w:spacing w:line="300" w:lineRule="auto"/>
              <w:jc w:val="left"/>
              <w:rPr>
                <w:sz w:val="18"/>
                <w:szCs w:val="18"/>
              </w:rPr>
            </w:pPr>
            <w:r>
              <w:rPr>
                <w:sz w:val="18"/>
                <w:szCs w:val="18"/>
              </w:rPr>
              <w:t>1．了解整数倍抽取；</w:t>
            </w:r>
          </w:p>
          <w:p>
            <w:pPr>
              <w:widowControl/>
              <w:adjustRightInd w:val="0"/>
              <w:snapToGrid w:val="0"/>
              <w:spacing w:line="300" w:lineRule="auto"/>
              <w:jc w:val="left"/>
              <w:rPr>
                <w:sz w:val="18"/>
                <w:szCs w:val="18"/>
              </w:rPr>
            </w:pPr>
            <w:r>
              <w:rPr>
                <w:sz w:val="18"/>
                <w:szCs w:val="18"/>
              </w:rPr>
              <w:t>2．掌握取样率的分数倍变换。</w:t>
            </w:r>
          </w:p>
        </w:tc>
        <w:tc>
          <w:tcPr>
            <w:tcW w:w="734" w:type="dxa"/>
            <w:vAlign w:val="center"/>
          </w:tcPr>
          <w:p>
            <w:pPr>
              <w:widowControl/>
              <w:adjustRightInd w:val="0"/>
              <w:snapToGrid w:val="0"/>
              <w:spacing w:line="300" w:lineRule="auto"/>
              <w:jc w:val="center"/>
              <w:rPr>
                <w:sz w:val="18"/>
                <w:szCs w:val="18"/>
              </w:rPr>
            </w:pPr>
            <w:r>
              <w:rPr>
                <w:sz w:val="18"/>
                <w:szCs w:val="18"/>
              </w:rPr>
              <w:t>5</w:t>
            </w:r>
          </w:p>
        </w:tc>
        <w:tc>
          <w:tcPr>
            <w:tcW w:w="1030" w:type="dxa"/>
            <w:vAlign w:val="center"/>
          </w:tcPr>
          <w:p>
            <w:pPr>
              <w:widowControl/>
              <w:adjustRightInd w:val="0"/>
              <w:snapToGrid w:val="0"/>
              <w:spacing w:line="300" w:lineRule="auto"/>
              <w:jc w:val="left"/>
              <w:rPr>
                <w:sz w:val="18"/>
                <w:szCs w:val="18"/>
              </w:rPr>
            </w:pPr>
            <w:r>
              <w:rPr>
                <w:sz w:val="18"/>
                <w:szCs w:val="18"/>
              </w:rPr>
              <w:t>1，</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0" w:type="dxa"/>
            <w:tcMar>
              <w:left w:w="57" w:type="dxa"/>
              <w:right w:w="57" w:type="dxa"/>
            </w:tcMar>
            <w:vAlign w:val="center"/>
          </w:tcPr>
          <w:p>
            <w:pPr>
              <w:widowControl/>
              <w:adjustRightInd w:val="0"/>
              <w:snapToGrid w:val="0"/>
              <w:spacing w:line="300" w:lineRule="auto"/>
              <w:jc w:val="center"/>
              <w:rPr>
                <w:sz w:val="18"/>
                <w:szCs w:val="18"/>
              </w:rPr>
            </w:pPr>
            <w:r>
              <w:rPr>
                <w:sz w:val="18"/>
                <w:szCs w:val="18"/>
              </w:rPr>
              <w:t>4</w:t>
            </w:r>
          </w:p>
        </w:tc>
        <w:tc>
          <w:tcPr>
            <w:tcW w:w="3624" w:type="dxa"/>
            <w:vAlign w:val="center"/>
          </w:tcPr>
          <w:p>
            <w:pPr>
              <w:widowControl/>
              <w:adjustRightInd w:val="0"/>
              <w:snapToGrid w:val="0"/>
              <w:spacing w:line="300" w:lineRule="auto"/>
              <w:jc w:val="left"/>
              <w:rPr>
                <w:sz w:val="18"/>
                <w:szCs w:val="18"/>
              </w:rPr>
            </w:pPr>
            <w:r>
              <w:rPr>
                <w:sz w:val="18"/>
                <w:szCs w:val="18"/>
              </w:rPr>
              <w:t>四、软件无线电中的高效数字滤波</w:t>
            </w:r>
          </w:p>
          <w:p>
            <w:pPr>
              <w:widowControl/>
              <w:adjustRightInd w:val="0"/>
              <w:snapToGrid w:val="0"/>
              <w:spacing w:line="300" w:lineRule="auto"/>
              <w:jc w:val="left"/>
              <w:rPr>
                <w:sz w:val="18"/>
                <w:szCs w:val="18"/>
              </w:rPr>
            </w:pPr>
            <w:r>
              <w:rPr>
                <w:sz w:val="18"/>
                <w:szCs w:val="18"/>
              </w:rPr>
              <w:t>4.1 适合于D=2M倍抽取或内插的半带滤波器</w:t>
            </w:r>
          </w:p>
          <w:p>
            <w:pPr>
              <w:widowControl/>
              <w:adjustRightInd w:val="0"/>
              <w:snapToGrid w:val="0"/>
              <w:spacing w:line="300" w:lineRule="auto"/>
              <w:jc w:val="left"/>
              <w:rPr>
                <w:sz w:val="18"/>
                <w:szCs w:val="18"/>
              </w:rPr>
            </w:pPr>
            <w:r>
              <w:rPr>
                <w:sz w:val="18"/>
                <w:szCs w:val="18"/>
              </w:rPr>
              <w:t>4.2 窄带信号的正交分解与模拟域实现</w:t>
            </w:r>
          </w:p>
          <w:p>
            <w:pPr>
              <w:widowControl/>
              <w:adjustRightInd w:val="0"/>
              <w:snapToGrid w:val="0"/>
              <w:spacing w:line="300" w:lineRule="auto"/>
              <w:jc w:val="left"/>
              <w:rPr>
                <w:sz w:val="18"/>
                <w:szCs w:val="18"/>
              </w:rPr>
            </w:pPr>
            <w:r>
              <w:rPr>
                <w:sz w:val="18"/>
                <w:szCs w:val="18"/>
              </w:rPr>
              <w:t>4.3 数字混频正交变换</w:t>
            </w:r>
          </w:p>
        </w:tc>
        <w:tc>
          <w:tcPr>
            <w:tcW w:w="2703" w:type="dxa"/>
            <w:vAlign w:val="center"/>
          </w:tcPr>
          <w:p>
            <w:pPr>
              <w:widowControl/>
              <w:adjustRightInd w:val="0"/>
              <w:snapToGrid w:val="0"/>
              <w:spacing w:line="300" w:lineRule="auto"/>
              <w:jc w:val="left"/>
              <w:rPr>
                <w:sz w:val="18"/>
                <w:szCs w:val="18"/>
              </w:rPr>
            </w:pPr>
            <w:r>
              <w:rPr>
                <w:sz w:val="18"/>
                <w:szCs w:val="18"/>
              </w:rPr>
              <w:t>1．了解高频变压器的特点；</w:t>
            </w:r>
          </w:p>
          <w:p>
            <w:pPr>
              <w:widowControl/>
              <w:adjustRightInd w:val="0"/>
              <w:snapToGrid w:val="0"/>
              <w:spacing w:line="300" w:lineRule="auto"/>
              <w:jc w:val="left"/>
              <w:rPr>
                <w:sz w:val="18"/>
                <w:szCs w:val="18"/>
              </w:rPr>
            </w:pPr>
            <w:r>
              <w:rPr>
                <w:sz w:val="18"/>
                <w:szCs w:val="18"/>
              </w:rPr>
              <w:t>2．掌握电抗器设计要点。</w:t>
            </w:r>
          </w:p>
          <w:p>
            <w:pPr>
              <w:widowControl/>
              <w:adjustRightInd w:val="0"/>
              <w:snapToGrid w:val="0"/>
              <w:spacing w:line="300" w:lineRule="auto"/>
              <w:jc w:val="left"/>
              <w:rPr>
                <w:sz w:val="18"/>
                <w:szCs w:val="18"/>
              </w:rPr>
            </w:pPr>
          </w:p>
        </w:tc>
        <w:tc>
          <w:tcPr>
            <w:tcW w:w="734" w:type="dxa"/>
            <w:vAlign w:val="center"/>
          </w:tcPr>
          <w:p>
            <w:pPr>
              <w:widowControl/>
              <w:adjustRightInd w:val="0"/>
              <w:snapToGrid w:val="0"/>
              <w:spacing w:line="300" w:lineRule="auto"/>
              <w:jc w:val="center"/>
              <w:rPr>
                <w:sz w:val="18"/>
                <w:szCs w:val="18"/>
              </w:rPr>
            </w:pPr>
            <w:r>
              <w:rPr>
                <w:sz w:val="18"/>
                <w:szCs w:val="18"/>
              </w:rPr>
              <w:t>5</w:t>
            </w:r>
          </w:p>
        </w:tc>
        <w:tc>
          <w:tcPr>
            <w:tcW w:w="1030" w:type="dxa"/>
            <w:vAlign w:val="center"/>
          </w:tcPr>
          <w:p>
            <w:pPr>
              <w:widowControl/>
              <w:adjustRightInd w:val="0"/>
              <w:snapToGrid w:val="0"/>
              <w:spacing w:line="300" w:lineRule="auto"/>
              <w:jc w:val="left"/>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90" w:type="dxa"/>
            <w:tcMar>
              <w:left w:w="57" w:type="dxa"/>
              <w:right w:w="57" w:type="dxa"/>
            </w:tcMar>
            <w:vAlign w:val="center"/>
          </w:tcPr>
          <w:p>
            <w:pPr>
              <w:widowControl/>
              <w:adjustRightInd w:val="0"/>
              <w:snapToGrid w:val="0"/>
              <w:spacing w:line="300" w:lineRule="auto"/>
              <w:jc w:val="center"/>
              <w:rPr>
                <w:sz w:val="18"/>
                <w:szCs w:val="18"/>
              </w:rPr>
            </w:pPr>
            <w:r>
              <w:rPr>
                <w:sz w:val="18"/>
                <w:szCs w:val="18"/>
              </w:rPr>
              <w:t>5</w:t>
            </w:r>
          </w:p>
        </w:tc>
        <w:tc>
          <w:tcPr>
            <w:tcW w:w="3624" w:type="dxa"/>
            <w:vAlign w:val="center"/>
          </w:tcPr>
          <w:p>
            <w:pPr>
              <w:widowControl/>
              <w:adjustRightInd w:val="0"/>
              <w:snapToGrid w:val="0"/>
              <w:spacing w:line="300" w:lineRule="auto"/>
              <w:jc w:val="left"/>
              <w:rPr>
                <w:sz w:val="18"/>
                <w:szCs w:val="18"/>
              </w:rPr>
            </w:pPr>
            <w:r>
              <w:rPr>
                <w:sz w:val="18"/>
                <w:szCs w:val="18"/>
              </w:rPr>
              <w:t>五、软件无线电数学模型</w:t>
            </w:r>
          </w:p>
          <w:p>
            <w:pPr>
              <w:widowControl/>
              <w:adjustRightInd w:val="0"/>
              <w:snapToGrid w:val="0"/>
              <w:spacing w:line="300" w:lineRule="auto"/>
              <w:jc w:val="left"/>
              <w:rPr>
                <w:sz w:val="18"/>
                <w:szCs w:val="18"/>
              </w:rPr>
            </w:pPr>
            <w:r>
              <w:rPr>
                <w:sz w:val="18"/>
                <w:szCs w:val="18"/>
              </w:rPr>
              <w:t>5.1 射频全宽开低通采样软件无线电结构</w:t>
            </w:r>
          </w:p>
          <w:p>
            <w:pPr>
              <w:widowControl/>
              <w:adjustRightInd w:val="0"/>
              <w:snapToGrid w:val="0"/>
              <w:spacing w:line="300" w:lineRule="auto"/>
              <w:jc w:val="left"/>
              <w:rPr>
                <w:sz w:val="18"/>
                <w:szCs w:val="18"/>
              </w:rPr>
            </w:pPr>
            <w:r>
              <w:rPr>
                <w:sz w:val="18"/>
                <w:szCs w:val="18"/>
              </w:rPr>
              <w:t>5.2射频直接带通采样软件无线电结构</w:t>
            </w:r>
          </w:p>
          <w:p>
            <w:pPr>
              <w:widowControl/>
              <w:adjustRightInd w:val="0"/>
              <w:snapToGrid w:val="0"/>
              <w:spacing w:line="300" w:lineRule="auto"/>
              <w:jc w:val="left"/>
              <w:rPr>
                <w:sz w:val="18"/>
                <w:szCs w:val="18"/>
              </w:rPr>
            </w:pPr>
            <w:r>
              <w:rPr>
                <w:sz w:val="18"/>
                <w:szCs w:val="18"/>
              </w:rPr>
              <w:t>5.3 宽带中频带通采样软件无线电结构</w:t>
            </w:r>
          </w:p>
          <w:p>
            <w:pPr>
              <w:widowControl/>
              <w:adjustRightInd w:val="0"/>
              <w:snapToGrid w:val="0"/>
              <w:spacing w:line="300" w:lineRule="auto"/>
              <w:jc w:val="left"/>
              <w:rPr>
                <w:sz w:val="18"/>
                <w:szCs w:val="18"/>
              </w:rPr>
            </w:pPr>
            <w:r>
              <w:rPr>
                <w:sz w:val="18"/>
                <w:szCs w:val="18"/>
              </w:rPr>
              <w:t>5.4 单通道软件无线电接收机数学模型</w:t>
            </w:r>
          </w:p>
        </w:tc>
        <w:tc>
          <w:tcPr>
            <w:tcW w:w="2703" w:type="dxa"/>
            <w:vAlign w:val="center"/>
          </w:tcPr>
          <w:p>
            <w:pPr>
              <w:widowControl/>
              <w:adjustRightInd w:val="0"/>
              <w:snapToGrid w:val="0"/>
              <w:spacing w:line="300" w:lineRule="auto"/>
              <w:jc w:val="left"/>
              <w:rPr>
                <w:sz w:val="18"/>
                <w:szCs w:val="18"/>
              </w:rPr>
            </w:pPr>
            <w:r>
              <w:rPr>
                <w:sz w:val="18"/>
                <w:szCs w:val="18"/>
              </w:rPr>
              <w:t>1．了解软件无线电的三种结构形式；</w:t>
            </w:r>
          </w:p>
          <w:p>
            <w:pPr>
              <w:widowControl/>
              <w:adjustRightInd w:val="0"/>
              <w:snapToGrid w:val="0"/>
              <w:spacing w:line="300" w:lineRule="auto"/>
              <w:jc w:val="left"/>
              <w:rPr>
                <w:sz w:val="18"/>
                <w:szCs w:val="18"/>
              </w:rPr>
            </w:pPr>
            <w:r>
              <w:rPr>
                <w:sz w:val="18"/>
                <w:szCs w:val="18"/>
              </w:rPr>
              <w:t>2．掌握软件无线电接收机数学模型。</w:t>
            </w:r>
          </w:p>
        </w:tc>
        <w:tc>
          <w:tcPr>
            <w:tcW w:w="734" w:type="dxa"/>
            <w:vAlign w:val="center"/>
          </w:tcPr>
          <w:p>
            <w:pPr>
              <w:widowControl/>
              <w:adjustRightInd w:val="0"/>
              <w:snapToGrid w:val="0"/>
              <w:spacing w:line="300" w:lineRule="auto"/>
              <w:jc w:val="center"/>
              <w:rPr>
                <w:sz w:val="18"/>
                <w:szCs w:val="18"/>
              </w:rPr>
            </w:pPr>
            <w:r>
              <w:rPr>
                <w:sz w:val="18"/>
                <w:szCs w:val="18"/>
              </w:rPr>
              <w:t>5</w:t>
            </w:r>
          </w:p>
        </w:tc>
        <w:tc>
          <w:tcPr>
            <w:tcW w:w="1030" w:type="dxa"/>
            <w:vAlign w:val="center"/>
          </w:tcPr>
          <w:p>
            <w:pPr>
              <w:widowControl/>
              <w:adjustRightInd w:val="0"/>
              <w:snapToGrid w:val="0"/>
              <w:spacing w:line="300" w:lineRule="auto"/>
              <w:jc w:val="left"/>
              <w:rPr>
                <w:sz w:val="18"/>
                <w:szCs w:val="18"/>
              </w:rPr>
            </w:pPr>
            <w:r>
              <w:rPr>
                <w:sz w:val="18"/>
                <w:szCs w:val="18"/>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272"/>
        <w:gridCol w:w="2409"/>
        <w:gridCol w:w="698"/>
        <w:gridCol w:w="696"/>
        <w:gridCol w:w="698"/>
        <w:gridCol w:w="62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10" w:type="dxa"/>
            <w:vAlign w:val="center"/>
          </w:tcPr>
          <w:p>
            <w:pPr>
              <w:snapToGrid w:val="0"/>
              <w:spacing w:line="300" w:lineRule="auto"/>
              <w:rPr>
                <w:b/>
                <w:bCs/>
                <w:sz w:val="18"/>
                <w:szCs w:val="18"/>
              </w:rPr>
            </w:pPr>
            <w:r>
              <w:rPr>
                <w:b/>
                <w:bCs/>
                <w:kern w:val="0"/>
                <w:sz w:val="18"/>
                <w:szCs w:val="18"/>
              </w:rPr>
              <w:t>序号</w:t>
            </w:r>
          </w:p>
        </w:tc>
        <w:tc>
          <w:tcPr>
            <w:tcW w:w="2272" w:type="dxa"/>
            <w:vAlign w:val="center"/>
          </w:tcPr>
          <w:p>
            <w:pPr>
              <w:snapToGrid w:val="0"/>
              <w:spacing w:line="300" w:lineRule="auto"/>
              <w:jc w:val="center"/>
              <w:rPr>
                <w:b/>
                <w:bCs/>
                <w:sz w:val="18"/>
                <w:szCs w:val="18"/>
              </w:rPr>
            </w:pPr>
            <w:r>
              <w:rPr>
                <w:b/>
                <w:bCs/>
                <w:kern w:val="0"/>
                <w:sz w:val="18"/>
                <w:szCs w:val="18"/>
              </w:rPr>
              <w:t>实验项目名称</w:t>
            </w:r>
          </w:p>
        </w:tc>
        <w:tc>
          <w:tcPr>
            <w:tcW w:w="2409" w:type="dxa"/>
            <w:vAlign w:val="center"/>
          </w:tcPr>
          <w:p>
            <w:pPr>
              <w:snapToGrid w:val="0"/>
              <w:spacing w:line="300" w:lineRule="auto"/>
              <w:jc w:val="center"/>
              <w:rPr>
                <w:b/>
                <w:bCs/>
                <w:sz w:val="18"/>
                <w:szCs w:val="18"/>
              </w:rPr>
            </w:pPr>
            <w:r>
              <w:rPr>
                <w:b/>
                <w:kern w:val="0"/>
                <w:sz w:val="18"/>
                <w:szCs w:val="18"/>
              </w:rPr>
              <w:t>实验</w:t>
            </w:r>
            <w:r>
              <w:rPr>
                <w:b/>
                <w:bCs/>
                <w:kern w:val="0"/>
                <w:sz w:val="18"/>
                <w:szCs w:val="18"/>
              </w:rPr>
              <w:t>目的要求</w:t>
            </w:r>
          </w:p>
        </w:tc>
        <w:tc>
          <w:tcPr>
            <w:tcW w:w="698"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8"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5"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10" w:type="dxa"/>
            <w:vAlign w:val="center"/>
          </w:tcPr>
          <w:p>
            <w:pPr>
              <w:widowControl/>
              <w:adjustRightInd w:val="0"/>
              <w:snapToGrid w:val="0"/>
              <w:spacing w:line="300" w:lineRule="auto"/>
              <w:jc w:val="center"/>
              <w:rPr>
                <w:sz w:val="18"/>
                <w:szCs w:val="18"/>
              </w:rPr>
            </w:pPr>
            <w:r>
              <w:rPr>
                <w:sz w:val="18"/>
                <w:szCs w:val="18"/>
              </w:rPr>
              <w:t>1</w:t>
            </w:r>
          </w:p>
        </w:tc>
        <w:tc>
          <w:tcPr>
            <w:tcW w:w="2272" w:type="dxa"/>
            <w:vAlign w:val="center"/>
          </w:tcPr>
          <w:p>
            <w:pPr>
              <w:widowControl/>
              <w:adjustRightInd w:val="0"/>
              <w:snapToGrid w:val="0"/>
              <w:spacing w:line="300" w:lineRule="auto"/>
              <w:jc w:val="left"/>
              <w:rPr>
                <w:sz w:val="18"/>
                <w:szCs w:val="18"/>
              </w:rPr>
            </w:pPr>
            <w:r>
              <w:rPr>
                <w:sz w:val="18"/>
                <w:szCs w:val="18"/>
              </w:rPr>
              <w:t>前极数据采集</w:t>
            </w:r>
          </w:p>
        </w:tc>
        <w:tc>
          <w:tcPr>
            <w:tcW w:w="2409" w:type="dxa"/>
            <w:vAlign w:val="center"/>
          </w:tcPr>
          <w:p>
            <w:pPr>
              <w:widowControl/>
              <w:adjustRightInd w:val="0"/>
              <w:snapToGrid w:val="0"/>
              <w:spacing w:line="300" w:lineRule="auto"/>
              <w:jc w:val="left"/>
              <w:rPr>
                <w:sz w:val="18"/>
                <w:szCs w:val="18"/>
              </w:rPr>
            </w:pPr>
            <w:r>
              <w:rPr>
                <w:sz w:val="18"/>
                <w:szCs w:val="18"/>
              </w:rPr>
              <w:t>掌握无线信号的前级采样电路设计方法</w:t>
            </w:r>
          </w:p>
        </w:tc>
        <w:tc>
          <w:tcPr>
            <w:tcW w:w="698" w:type="dxa"/>
            <w:vAlign w:val="center"/>
          </w:tcPr>
          <w:p>
            <w:pPr>
              <w:widowControl/>
              <w:adjustRightInd w:val="0"/>
              <w:snapToGrid w:val="0"/>
              <w:spacing w:line="300" w:lineRule="auto"/>
              <w:jc w:val="center"/>
              <w:rPr>
                <w:sz w:val="18"/>
                <w:szCs w:val="18"/>
              </w:rPr>
            </w:pPr>
            <w:r>
              <w:rPr>
                <w:sz w:val="18"/>
                <w:szCs w:val="18"/>
              </w:rPr>
              <w:t>2</w:t>
            </w:r>
          </w:p>
        </w:tc>
        <w:tc>
          <w:tcPr>
            <w:tcW w:w="696" w:type="dxa"/>
            <w:vAlign w:val="center"/>
          </w:tcPr>
          <w:p>
            <w:pPr>
              <w:widowControl/>
              <w:adjustRightInd w:val="0"/>
              <w:snapToGrid w:val="0"/>
              <w:spacing w:line="300" w:lineRule="auto"/>
              <w:jc w:val="center"/>
              <w:rPr>
                <w:sz w:val="18"/>
                <w:szCs w:val="18"/>
              </w:rPr>
            </w:pPr>
            <w:r>
              <w:rPr>
                <w:sz w:val="18"/>
                <w:szCs w:val="18"/>
              </w:rPr>
              <w:t>验证</w:t>
            </w:r>
          </w:p>
        </w:tc>
        <w:tc>
          <w:tcPr>
            <w:tcW w:w="698" w:type="dxa"/>
            <w:vAlign w:val="center"/>
          </w:tcPr>
          <w:p>
            <w:pPr>
              <w:widowControl/>
              <w:adjustRightInd w:val="0"/>
              <w:snapToGrid w:val="0"/>
              <w:spacing w:line="300" w:lineRule="auto"/>
              <w:jc w:val="center"/>
              <w:rPr>
                <w:sz w:val="18"/>
                <w:szCs w:val="18"/>
              </w:rPr>
            </w:pPr>
            <w:r>
              <w:rPr>
                <w:sz w:val="18"/>
                <w:szCs w:val="18"/>
              </w:rPr>
              <w:t>1</w:t>
            </w:r>
          </w:p>
        </w:tc>
        <w:tc>
          <w:tcPr>
            <w:tcW w:w="623" w:type="dxa"/>
            <w:vAlign w:val="center"/>
          </w:tcPr>
          <w:p>
            <w:pPr>
              <w:widowControl/>
              <w:adjustRightInd w:val="0"/>
              <w:snapToGrid w:val="0"/>
              <w:spacing w:line="300" w:lineRule="auto"/>
              <w:jc w:val="center"/>
              <w:rPr>
                <w:sz w:val="18"/>
                <w:szCs w:val="18"/>
              </w:rPr>
            </w:pPr>
            <w:r>
              <w:rPr>
                <w:sz w:val="18"/>
                <w:szCs w:val="18"/>
              </w:rPr>
              <w:t>必开</w:t>
            </w:r>
          </w:p>
        </w:tc>
        <w:tc>
          <w:tcPr>
            <w:tcW w:w="675" w:type="dxa"/>
            <w:vAlign w:val="center"/>
          </w:tcPr>
          <w:p>
            <w:pPr>
              <w:widowControl/>
              <w:adjustRightInd w:val="0"/>
              <w:snapToGrid w:val="0"/>
              <w:spacing w:line="300" w:lineRule="auto"/>
              <w:jc w:val="center"/>
              <w:rPr>
                <w:sz w:val="18"/>
                <w:szCs w:val="18"/>
              </w:rPr>
            </w:pPr>
            <w:r>
              <w:rPr>
                <w:rFonts w:hint="eastAsia"/>
                <w:sz w:val="18"/>
                <w:szCs w:val="18"/>
              </w:rPr>
              <w:t>1</w:t>
            </w:r>
            <w:r>
              <w:rPr>
                <w:sz w:val="18"/>
                <w:szCs w:val="18"/>
              </w:rPr>
              <w:t>，</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10" w:type="dxa"/>
            <w:vAlign w:val="center"/>
          </w:tcPr>
          <w:p>
            <w:pPr>
              <w:widowControl/>
              <w:adjustRightInd w:val="0"/>
              <w:snapToGrid w:val="0"/>
              <w:spacing w:line="300" w:lineRule="auto"/>
              <w:jc w:val="center"/>
              <w:rPr>
                <w:sz w:val="18"/>
                <w:szCs w:val="18"/>
              </w:rPr>
            </w:pPr>
            <w:r>
              <w:rPr>
                <w:sz w:val="18"/>
                <w:szCs w:val="18"/>
              </w:rPr>
              <w:t>2</w:t>
            </w:r>
          </w:p>
        </w:tc>
        <w:tc>
          <w:tcPr>
            <w:tcW w:w="2272" w:type="dxa"/>
            <w:vAlign w:val="center"/>
          </w:tcPr>
          <w:p>
            <w:pPr>
              <w:widowControl/>
              <w:adjustRightInd w:val="0"/>
              <w:snapToGrid w:val="0"/>
              <w:spacing w:line="300" w:lineRule="auto"/>
              <w:jc w:val="left"/>
              <w:rPr>
                <w:sz w:val="18"/>
                <w:szCs w:val="18"/>
              </w:rPr>
            </w:pPr>
            <w:r>
              <w:rPr>
                <w:sz w:val="18"/>
                <w:szCs w:val="18"/>
              </w:rPr>
              <w:t>试验平台接收机设计</w:t>
            </w:r>
          </w:p>
        </w:tc>
        <w:tc>
          <w:tcPr>
            <w:tcW w:w="2409" w:type="dxa"/>
            <w:vAlign w:val="center"/>
          </w:tcPr>
          <w:p>
            <w:pPr>
              <w:widowControl/>
              <w:adjustRightInd w:val="0"/>
              <w:snapToGrid w:val="0"/>
              <w:spacing w:line="300" w:lineRule="auto"/>
              <w:jc w:val="left"/>
              <w:rPr>
                <w:sz w:val="18"/>
                <w:szCs w:val="18"/>
              </w:rPr>
            </w:pPr>
            <w:r>
              <w:rPr>
                <w:sz w:val="18"/>
                <w:szCs w:val="18"/>
              </w:rPr>
              <w:t>掌握无线采集平台设计方法</w:t>
            </w:r>
          </w:p>
        </w:tc>
        <w:tc>
          <w:tcPr>
            <w:tcW w:w="698" w:type="dxa"/>
            <w:vAlign w:val="center"/>
          </w:tcPr>
          <w:p>
            <w:pPr>
              <w:widowControl/>
              <w:adjustRightInd w:val="0"/>
              <w:snapToGrid w:val="0"/>
              <w:spacing w:line="300" w:lineRule="auto"/>
              <w:jc w:val="center"/>
              <w:rPr>
                <w:sz w:val="18"/>
                <w:szCs w:val="18"/>
              </w:rPr>
            </w:pPr>
            <w:r>
              <w:rPr>
                <w:sz w:val="18"/>
                <w:szCs w:val="18"/>
              </w:rPr>
              <w:t>2</w:t>
            </w:r>
          </w:p>
        </w:tc>
        <w:tc>
          <w:tcPr>
            <w:tcW w:w="696" w:type="dxa"/>
            <w:vAlign w:val="center"/>
          </w:tcPr>
          <w:p>
            <w:pPr>
              <w:widowControl/>
              <w:adjustRightInd w:val="0"/>
              <w:snapToGrid w:val="0"/>
              <w:spacing w:line="300" w:lineRule="auto"/>
              <w:jc w:val="center"/>
              <w:rPr>
                <w:sz w:val="18"/>
                <w:szCs w:val="18"/>
              </w:rPr>
            </w:pPr>
            <w:r>
              <w:rPr>
                <w:sz w:val="18"/>
                <w:szCs w:val="18"/>
              </w:rPr>
              <w:t>验证</w:t>
            </w:r>
          </w:p>
        </w:tc>
        <w:tc>
          <w:tcPr>
            <w:tcW w:w="698" w:type="dxa"/>
            <w:vAlign w:val="center"/>
          </w:tcPr>
          <w:p>
            <w:pPr>
              <w:widowControl/>
              <w:adjustRightInd w:val="0"/>
              <w:snapToGrid w:val="0"/>
              <w:spacing w:line="300" w:lineRule="auto"/>
              <w:jc w:val="center"/>
              <w:rPr>
                <w:sz w:val="18"/>
                <w:szCs w:val="18"/>
              </w:rPr>
            </w:pPr>
            <w:r>
              <w:rPr>
                <w:sz w:val="18"/>
                <w:szCs w:val="18"/>
              </w:rPr>
              <w:t>1</w:t>
            </w:r>
          </w:p>
        </w:tc>
        <w:tc>
          <w:tcPr>
            <w:tcW w:w="623" w:type="dxa"/>
            <w:vAlign w:val="center"/>
          </w:tcPr>
          <w:p>
            <w:pPr>
              <w:widowControl/>
              <w:adjustRightInd w:val="0"/>
              <w:snapToGrid w:val="0"/>
              <w:spacing w:line="300" w:lineRule="auto"/>
              <w:jc w:val="center"/>
              <w:rPr>
                <w:sz w:val="18"/>
                <w:szCs w:val="18"/>
              </w:rPr>
            </w:pPr>
            <w:r>
              <w:rPr>
                <w:sz w:val="18"/>
                <w:szCs w:val="18"/>
              </w:rPr>
              <w:t>必开</w:t>
            </w:r>
          </w:p>
        </w:tc>
        <w:tc>
          <w:tcPr>
            <w:tcW w:w="675" w:type="dxa"/>
            <w:vAlign w:val="center"/>
          </w:tcPr>
          <w:p>
            <w:pPr>
              <w:widowControl/>
              <w:adjustRightInd w:val="0"/>
              <w:snapToGrid w:val="0"/>
              <w:spacing w:line="300" w:lineRule="auto"/>
              <w:jc w:val="center"/>
              <w:rPr>
                <w:sz w:val="18"/>
                <w:szCs w:val="18"/>
              </w:rPr>
            </w:pPr>
            <w:r>
              <w:rPr>
                <w:rFonts w:hint="eastAsia"/>
                <w:sz w:val="18"/>
                <w:szCs w:val="18"/>
              </w:rPr>
              <w:t>1</w:t>
            </w:r>
            <w:r>
              <w:rPr>
                <w:sz w:val="18"/>
                <w:szCs w:val="18"/>
              </w:rPr>
              <w:t>，</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10" w:type="dxa"/>
            <w:vAlign w:val="center"/>
          </w:tcPr>
          <w:p>
            <w:pPr>
              <w:widowControl/>
              <w:adjustRightInd w:val="0"/>
              <w:snapToGrid w:val="0"/>
              <w:spacing w:line="300" w:lineRule="auto"/>
              <w:jc w:val="center"/>
              <w:rPr>
                <w:sz w:val="18"/>
                <w:szCs w:val="18"/>
              </w:rPr>
            </w:pPr>
            <w:r>
              <w:rPr>
                <w:sz w:val="18"/>
                <w:szCs w:val="18"/>
              </w:rPr>
              <w:t>3</w:t>
            </w:r>
          </w:p>
        </w:tc>
        <w:tc>
          <w:tcPr>
            <w:tcW w:w="2272" w:type="dxa"/>
            <w:vAlign w:val="center"/>
          </w:tcPr>
          <w:p>
            <w:pPr>
              <w:widowControl/>
              <w:adjustRightInd w:val="0"/>
              <w:snapToGrid w:val="0"/>
              <w:spacing w:line="300" w:lineRule="auto"/>
              <w:jc w:val="left"/>
              <w:rPr>
                <w:sz w:val="18"/>
                <w:szCs w:val="18"/>
              </w:rPr>
            </w:pPr>
            <w:r>
              <w:rPr>
                <w:sz w:val="18"/>
                <w:szCs w:val="18"/>
              </w:rPr>
              <w:t>模拟调制信号解调</w:t>
            </w:r>
          </w:p>
        </w:tc>
        <w:tc>
          <w:tcPr>
            <w:tcW w:w="2409" w:type="dxa"/>
            <w:vAlign w:val="center"/>
          </w:tcPr>
          <w:p>
            <w:pPr>
              <w:widowControl/>
              <w:adjustRightInd w:val="0"/>
              <w:snapToGrid w:val="0"/>
              <w:spacing w:line="300" w:lineRule="auto"/>
              <w:jc w:val="left"/>
              <w:rPr>
                <w:sz w:val="18"/>
                <w:szCs w:val="18"/>
              </w:rPr>
            </w:pPr>
            <w:r>
              <w:rPr>
                <w:sz w:val="18"/>
                <w:szCs w:val="18"/>
              </w:rPr>
              <w:t>掌握模拟信号的解调电路设计</w:t>
            </w:r>
          </w:p>
        </w:tc>
        <w:tc>
          <w:tcPr>
            <w:tcW w:w="698" w:type="dxa"/>
            <w:vAlign w:val="center"/>
          </w:tcPr>
          <w:p>
            <w:pPr>
              <w:widowControl/>
              <w:adjustRightInd w:val="0"/>
              <w:snapToGrid w:val="0"/>
              <w:spacing w:line="300" w:lineRule="auto"/>
              <w:jc w:val="center"/>
              <w:rPr>
                <w:sz w:val="18"/>
                <w:szCs w:val="18"/>
              </w:rPr>
            </w:pPr>
            <w:r>
              <w:rPr>
                <w:sz w:val="18"/>
                <w:szCs w:val="18"/>
              </w:rPr>
              <w:t>2</w:t>
            </w:r>
          </w:p>
        </w:tc>
        <w:tc>
          <w:tcPr>
            <w:tcW w:w="696" w:type="dxa"/>
            <w:vAlign w:val="center"/>
          </w:tcPr>
          <w:p>
            <w:pPr>
              <w:widowControl/>
              <w:adjustRightInd w:val="0"/>
              <w:snapToGrid w:val="0"/>
              <w:spacing w:line="300" w:lineRule="auto"/>
              <w:jc w:val="center"/>
              <w:rPr>
                <w:sz w:val="18"/>
                <w:szCs w:val="18"/>
              </w:rPr>
            </w:pPr>
            <w:r>
              <w:rPr>
                <w:sz w:val="18"/>
                <w:szCs w:val="18"/>
              </w:rPr>
              <w:t>验证</w:t>
            </w:r>
          </w:p>
        </w:tc>
        <w:tc>
          <w:tcPr>
            <w:tcW w:w="698" w:type="dxa"/>
            <w:vAlign w:val="center"/>
          </w:tcPr>
          <w:p>
            <w:pPr>
              <w:widowControl/>
              <w:adjustRightInd w:val="0"/>
              <w:snapToGrid w:val="0"/>
              <w:spacing w:line="300" w:lineRule="auto"/>
              <w:jc w:val="center"/>
              <w:rPr>
                <w:sz w:val="18"/>
                <w:szCs w:val="18"/>
              </w:rPr>
            </w:pPr>
            <w:r>
              <w:rPr>
                <w:sz w:val="18"/>
                <w:szCs w:val="18"/>
              </w:rPr>
              <w:t>1</w:t>
            </w:r>
          </w:p>
        </w:tc>
        <w:tc>
          <w:tcPr>
            <w:tcW w:w="623" w:type="dxa"/>
            <w:vAlign w:val="center"/>
          </w:tcPr>
          <w:p>
            <w:pPr>
              <w:widowControl/>
              <w:adjustRightInd w:val="0"/>
              <w:snapToGrid w:val="0"/>
              <w:spacing w:line="300" w:lineRule="auto"/>
              <w:jc w:val="center"/>
              <w:rPr>
                <w:sz w:val="18"/>
                <w:szCs w:val="18"/>
              </w:rPr>
            </w:pPr>
            <w:r>
              <w:rPr>
                <w:sz w:val="18"/>
                <w:szCs w:val="18"/>
              </w:rPr>
              <w:t>必开</w:t>
            </w:r>
          </w:p>
        </w:tc>
        <w:tc>
          <w:tcPr>
            <w:tcW w:w="675" w:type="dxa"/>
            <w:vAlign w:val="center"/>
          </w:tcPr>
          <w:p>
            <w:pPr>
              <w:widowControl/>
              <w:adjustRightInd w:val="0"/>
              <w:snapToGrid w:val="0"/>
              <w:spacing w:line="300" w:lineRule="auto"/>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0" w:type="dxa"/>
            <w:vAlign w:val="center"/>
          </w:tcPr>
          <w:p>
            <w:pPr>
              <w:widowControl/>
              <w:adjustRightInd w:val="0"/>
              <w:snapToGrid w:val="0"/>
              <w:spacing w:line="300" w:lineRule="auto"/>
              <w:jc w:val="center"/>
              <w:rPr>
                <w:sz w:val="18"/>
                <w:szCs w:val="18"/>
              </w:rPr>
            </w:pPr>
            <w:r>
              <w:rPr>
                <w:sz w:val="18"/>
                <w:szCs w:val="18"/>
              </w:rPr>
              <w:t>4</w:t>
            </w:r>
          </w:p>
        </w:tc>
        <w:tc>
          <w:tcPr>
            <w:tcW w:w="2272" w:type="dxa"/>
            <w:vAlign w:val="center"/>
          </w:tcPr>
          <w:p>
            <w:pPr>
              <w:widowControl/>
              <w:adjustRightInd w:val="0"/>
              <w:snapToGrid w:val="0"/>
              <w:spacing w:line="300" w:lineRule="auto"/>
              <w:jc w:val="left"/>
              <w:rPr>
                <w:sz w:val="18"/>
                <w:szCs w:val="18"/>
              </w:rPr>
            </w:pPr>
            <w:r>
              <w:rPr>
                <w:sz w:val="18"/>
                <w:szCs w:val="18"/>
              </w:rPr>
              <w:t>数字调制信号的自动识别</w:t>
            </w:r>
          </w:p>
        </w:tc>
        <w:tc>
          <w:tcPr>
            <w:tcW w:w="2409" w:type="dxa"/>
            <w:vAlign w:val="center"/>
          </w:tcPr>
          <w:p>
            <w:pPr>
              <w:widowControl/>
              <w:adjustRightInd w:val="0"/>
              <w:snapToGrid w:val="0"/>
              <w:spacing w:line="300" w:lineRule="auto"/>
              <w:jc w:val="left"/>
              <w:rPr>
                <w:sz w:val="18"/>
                <w:szCs w:val="18"/>
              </w:rPr>
            </w:pPr>
            <w:r>
              <w:rPr>
                <w:sz w:val="18"/>
                <w:szCs w:val="18"/>
              </w:rPr>
              <w:t>掌握数字调整信号的自动设计方法</w:t>
            </w:r>
          </w:p>
        </w:tc>
        <w:tc>
          <w:tcPr>
            <w:tcW w:w="698" w:type="dxa"/>
            <w:vAlign w:val="center"/>
          </w:tcPr>
          <w:p>
            <w:pPr>
              <w:widowControl/>
              <w:adjustRightInd w:val="0"/>
              <w:snapToGrid w:val="0"/>
              <w:spacing w:line="300" w:lineRule="auto"/>
              <w:jc w:val="center"/>
              <w:rPr>
                <w:sz w:val="18"/>
                <w:szCs w:val="18"/>
              </w:rPr>
            </w:pPr>
            <w:r>
              <w:rPr>
                <w:sz w:val="18"/>
                <w:szCs w:val="18"/>
              </w:rPr>
              <w:t>2</w:t>
            </w:r>
          </w:p>
        </w:tc>
        <w:tc>
          <w:tcPr>
            <w:tcW w:w="696" w:type="dxa"/>
            <w:vAlign w:val="center"/>
          </w:tcPr>
          <w:p>
            <w:pPr>
              <w:widowControl/>
              <w:adjustRightInd w:val="0"/>
              <w:snapToGrid w:val="0"/>
              <w:spacing w:line="300" w:lineRule="auto"/>
              <w:jc w:val="center"/>
              <w:rPr>
                <w:sz w:val="18"/>
                <w:szCs w:val="18"/>
              </w:rPr>
            </w:pPr>
            <w:r>
              <w:rPr>
                <w:sz w:val="18"/>
                <w:szCs w:val="18"/>
              </w:rPr>
              <w:t>综合</w:t>
            </w:r>
          </w:p>
        </w:tc>
        <w:tc>
          <w:tcPr>
            <w:tcW w:w="698" w:type="dxa"/>
            <w:vAlign w:val="center"/>
          </w:tcPr>
          <w:p>
            <w:pPr>
              <w:widowControl/>
              <w:adjustRightInd w:val="0"/>
              <w:snapToGrid w:val="0"/>
              <w:spacing w:line="300" w:lineRule="auto"/>
              <w:jc w:val="center"/>
              <w:rPr>
                <w:sz w:val="18"/>
                <w:szCs w:val="18"/>
              </w:rPr>
            </w:pPr>
            <w:r>
              <w:rPr>
                <w:sz w:val="18"/>
                <w:szCs w:val="18"/>
              </w:rPr>
              <w:t>1</w:t>
            </w:r>
          </w:p>
        </w:tc>
        <w:tc>
          <w:tcPr>
            <w:tcW w:w="623" w:type="dxa"/>
            <w:vAlign w:val="center"/>
          </w:tcPr>
          <w:p>
            <w:pPr>
              <w:widowControl/>
              <w:adjustRightInd w:val="0"/>
              <w:snapToGrid w:val="0"/>
              <w:spacing w:line="300" w:lineRule="auto"/>
              <w:jc w:val="center"/>
              <w:rPr>
                <w:sz w:val="18"/>
                <w:szCs w:val="18"/>
              </w:rPr>
            </w:pPr>
            <w:r>
              <w:rPr>
                <w:sz w:val="18"/>
                <w:szCs w:val="18"/>
              </w:rPr>
              <w:t>必开</w:t>
            </w:r>
          </w:p>
        </w:tc>
        <w:tc>
          <w:tcPr>
            <w:tcW w:w="675" w:type="dxa"/>
            <w:vAlign w:val="center"/>
          </w:tcPr>
          <w:p>
            <w:pPr>
              <w:widowControl/>
              <w:adjustRightInd w:val="0"/>
              <w:snapToGrid w:val="0"/>
              <w:spacing w:line="300" w:lineRule="auto"/>
              <w:jc w:val="center"/>
              <w:rPr>
                <w:sz w:val="18"/>
                <w:szCs w:val="18"/>
              </w:rPr>
            </w:pPr>
            <w:r>
              <w:rPr>
                <w:sz w:val="18"/>
                <w:szCs w:val="18"/>
              </w:rPr>
              <w:t>2，</w:t>
            </w:r>
            <w:r>
              <w:rPr>
                <w:rFonts w:hint="eastAsia"/>
                <w:sz w:val="18"/>
                <w:szCs w:val="18"/>
              </w:rPr>
              <w:t>3</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rPr>
          <w:szCs w:val="21"/>
        </w:rPr>
      </w:pPr>
      <w:r>
        <w:rPr>
          <w:szCs w:val="21"/>
        </w:rPr>
        <w:t>1</w:t>
      </w:r>
      <w:r>
        <w:rPr>
          <w:kern w:val="0"/>
          <w:szCs w:val="21"/>
        </w:rPr>
        <w:t>．</w:t>
      </w:r>
      <w:r>
        <w:rPr>
          <w:szCs w:val="21"/>
        </w:rPr>
        <w:t>考核方式：采取开卷笔试、实验报告和平时成绩（包括考勤、作业及课堂表现等）相结合，最后60分以上为合格</w:t>
      </w:r>
    </w:p>
    <w:p>
      <w:pPr>
        <w:adjustRightInd w:val="0"/>
        <w:snapToGrid w:val="0"/>
        <w:spacing w:line="300" w:lineRule="auto"/>
        <w:ind w:firstLine="420" w:firstLineChars="200"/>
        <w:rPr>
          <w:szCs w:val="21"/>
        </w:rPr>
      </w:pPr>
      <w:r>
        <w:rPr>
          <w:szCs w:val="21"/>
        </w:rPr>
        <w:t>2</w:t>
      </w:r>
      <w:r>
        <w:rPr>
          <w:kern w:val="0"/>
          <w:szCs w:val="21"/>
        </w:rPr>
        <w:t>．</w:t>
      </w:r>
      <w:r>
        <w:rPr>
          <w:szCs w:val="21"/>
        </w:rPr>
        <w:t>成绩构成：平时成绩30%+实验成绩20 %+期末成绩50 %。</w:t>
      </w:r>
    </w:p>
    <w:p>
      <w:pPr>
        <w:adjustRightInd w:val="0"/>
        <w:snapToGrid w:val="0"/>
        <w:spacing w:line="300" w:lineRule="auto"/>
        <w:ind w:firstLine="420" w:firstLineChars="200"/>
        <w:rPr>
          <w:szCs w:val="21"/>
        </w:rPr>
      </w:pPr>
      <w:r>
        <w:rPr>
          <w:szCs w:val="21"/>
        </w:rPr>
        <w:t>3</w:t>
      </w:r>
      <w:r>
        <w:rPr>
          <w:kern w:val="0"/>
          <w:szCs w:val="21"/>
        </w:rPr>
        <w:t>．</w:t>
      </w:r>
      <w:r>
        <w:rPr>
          <w:szCs w:val="21"/>
        </w:rPr>
        <w:t>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709"/>
        <w:gridCol w:w="708"/>
        <w:gridCol w:w="709"/>
        <w:gridCol w:w="567"/>
        <w:gridCol w:w="4253"/>
        <w:gridCol w:w="708"/>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09"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709" w:type="dxa"/>
            <w:vAlign w:val="center"/>
          </w:tcPr>
          <w:p>
            <w:pPr>
              <w:snapToGrid w:val="0"/>
              <w:spacing w:line="300" w:lineRule="auto"/>
              <w:jc w:val="center"/>
              <w:rPr>
                <w:b/>
                <w:bCs/>
                <w:sz w:val="18"/>
                <w:szCs w:val="18"/>
              </w:rPr>
            </w:pPr>
            <w:r>
              <w:rPr>
                <w:b/>
                <w:bCs/>
                <w:sz w:val="18"/>
                <w:szCs w:val="18"/>
              </w:rPr>
              <w:t>分值</w:t>
            </w:r>
          </w:p>
        </w:tc>
        <w:tc>
          <w:tcPr>
            <w:tcW w:w="708" w:type="dxa"/>
            <w:vAlign w:val="center"/>
          </w:tcPr>
          <w:p>
            <w:pPr>
              <w:snapToGrid w:val="0"/>
              <w:spacing w:line="300" w:lineRule="auto"/>
              <w:jc w:val="center"/>
              <w:rPr>
                <w:b/>
                <w:bCs/>
                <w:sz w:val="18"/>
                <w:szCs w:val="18"/>
              </w:rPr>
            </w:pPr>
            <w:r>
              <w:rPr>
                <w:b/>
                <w:bCs/>
                <w:sz w:val="18"/>
                <w:szCs w:val="18"/>
              </w:rPr>
              <w:t>权重</w:t>
            </w:r>
          </w:p>
        </w:tc>
        <w:tc>
          <w:tcPr>
            <w:tcW w:w="709" w:type="dxa"/>
            <w:vAlign w:val="center"/>
          </w:tcPr>
          <w:p>
            <w:pPr>
              <w:snapToGrid w:val="0"/>
              <w:spacing w:line="300" w:lineRule="auto"/>
              <w:jc w:val="center"/>
              <w:rPr>
                <w:b/>
                <w:bCs/>
                <w:sz w:val="18"/>
                <w:szCs w:val="18"/>
              </w:rPr>
            </w:pPr>
            <w:r>
              <w:rPr>
                <w:b/>
                <w:bCs/>
                <w:sz w:val="18"/>
                <w:szCs w:val="18"/>
              </w:rPr>
              <w:t>类别</w:t>
            </w:r>
          </w:p>
        </w:tc>
        <w:tc>
          <w:tcPr>
            <w:tcW w:w="567" w:type="dxa"/>
            <w:vAlign w:val="center"/>
          </w:tcPr>
          <w:p>
            <w:pPr>
              <w:snapToGrid w:val="0"/>
              <w:spacing w:line="300" w:lineRule="auto"/>
              <w:jc w:val="center"/>
              <w:rPr>
                <w:b/>
                <w:bCs/>
                <w:sz w:val="18"/>
                <w:szCs w:val="18"/>
              </w:rPr>
            </w:pPr>
            <w:r>
              <w:rPr>
                <w:b/>
                <w:bCs/>
                <w:sz w:val="18"/>
                <w:szCs w:val="18"/>
              </w:rPr>
              <w:t>权重</w:t>
            </w:r>
          </w:p>
        </w:tc>
        <w:tc>
          <w:tcPr>
            <w:tcW w:w="4253" w:type="dxa"/>
            <w:vAlign w:val="center"/>
          </w:tcPr>
          <w:p>
            <w:pPr>
              <w:snapToGrid w:val="0"/>
              <w:spacing w:line="300" w:lineRule="auto"/>
              <w:jc w:val="center"/>
              <w:rPr>
                <w:b/>
                <w:bCs/>
                <w:sz w:val="18"/>
                <w:szCs w:val="18"/>
              </w:rPr>
            </w:pPr>
            <w:r>
              <w:rPr>
                <w:b/>
                <w:bCs/>
                <w:sz w:val="18"/>
                <w:szCs w:val="18"/>
              </w:rPr>
              <w:t>考核/评价细则</w:t>
            </w:r>
          </w:p>
        </w:tc>
        <w:tc>
          <w:tcPr>
            <w:tcW w:w="708" w:type="dxa"/>
            <w:vAlign w:val="center"/>
          </w:tcPr>
          <w:p>
            <w:pPr>
              <w:snapToGrid w:val="0"/>
              <w:spacing w:line="300" w:lineRule="auto"/>
              <w:jc w:val="center"/>
              <w:rPr>
                <w:b/>
                <w:bCs/>
                <w:sz w:val="18"/>
                <w:szCs w:val="18"/>
              </w:rPr>
            </w:pPr>
            <w:r>
              <w:rPr>
                <w:b/>
                <w:bCs/>
                <w:sz w:val="18"/>
                <w:szCs w:val="18"/>
              </w:rPr>
              <w:t>课程目标</w:t>
            </w:r>
          </w:p>
        </w:tc>
        <w:tc>
          <w:tcPr>
            <w:tcW w:w="692" w:type="dxa"/>
            <w:vAlign w:val="center"/>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restart"/>
            <w:vAlign w:val="center"/>
          </w:tcPr>
          <w:p>
            <w:pPr>
              <w:snapToGrid w:val="0"/>
              <w:jc w:val="left"/>
              <w:rPr>
                <w:sz w:val="18"/>
                <w:szCs w:val="18"/>
              </w:rPr>
            </w:pPr>
            <w:r>
              <w:rPr>
                <w:sz w:val="18"/>
                <w:szCs w:val="18"/>
              </w:rPr>
              <w:t>平时</w:t>
            </w:r>
          </w:p>
          <w:p>
            <w:pPr>
              <w:snapToGrid w:val="0"/>
              <w:jc w:val="left"/>
              <w:rPr>
                <w:sz w:val="18"/>
                <w:szCs w:val="18"/>
              </w:rPr>
            </w:pPr>
            <w:r>
              <w:rPr>
                <w:sz w:val="18"/>
                <w:szCs w:val="18"/>
              </w:rPr>
              <w:t>成绩</w:t>
            </w:r>
          </w:p>
        </w:tc>
        <w:tc>
          <w:tcPr>
            <w:tcW w:w="709" w:type="dxa"/>
            <w:vMerge w:val="restart"/>
            <w:vAlign w:val="center"/>
          </w:tcPr>
          <w:p>
            <w:pPr>
              <w:snapToGrid w:val="0"/>
              <w:jc w:val="center"/>
              <w:rPr>
                <w:sz w:val="18"/>
                <w:szCs w:val="18"/>
              </w:rPr>
            </w:pPr>
            <w:r>
              <w:rPr>
                <w:sz w:val="18"/>
                <w:szCs w:val="18"/>
              </w:rPr>
              <w:t>100</w:t>
            </w:r>
          </w:p>
        </w:tc>
        <w:tc>
          <w:tcPr>
            <w:tcW w:w="708" w:type="dxa"/>
            <w:vMerge w:val="restart"/>
            <w:vAlign w:val="center"/>
          </w:tcPr>
          <w:p>
            <w:pPr>
              <w:snapToGrid w:val="0"/>
              <w:jc w:val="center"/>
              <w:rPr>
                <w:sz w:val="18"/>
                <w:szCs w:val="18"/>
              </w:rPr>
            </w:pPr>
            <w:r>
              <w:rPr>
                <w:rFonts w:hint="eastAsia"/>
                <w:sz w:val="18"/>
                <w:szCs w:val="18"/>
              </w:rPr>
              <w:t>0.3</w:t>
            </w:r>
          </w:p>
        </w:tc>
        <w:tc>
          <w:tcPr>
            <w:tcW w:w="709" w:type="dxa"/>
            <w:vAlign w:val="center"/>
          </w:tcPr>
          <w:p>
            <w:pPr>
              <w:snapToGrid w:val="0"/>
              <w:jc w:val="center"/>
              <w:rPr>
                <w:sz w:val="18"/>
                <w:szCs w:val="18"/>
              </w:rPr>
            </w:pPr>
            <w:r>
              <w:rPr>
                <w:sz w:val="18"/>
                <w:szCs w:val="18"/>
              </w:rPr>
              <w:t>课堂表现</w:t>
            </w:r>
          </w:p>
        </w:tc>
        <w:tc>
          <w:tcPr>
            <w:tcW w:w="567" w:type="dxa"/>
            <w:vAlign w:val="center"/>
          </w:tcPr>
          <w:p>
            <w:pPr>
              <w:snapToGrid w:val="0"/>
              <w:jc w:val="center"/>
              <w:rPr>
                <w:sz w:val="18"/>
                <w:szCs w:val="18"/>
              </w:rPr>
            </w:pPr>
            <w:r>
              <w:rPr>
                <w:sz w:val="18"/>
                <w:szCs w:val="18"/>
              </w:rPr>
              <w:t>0.</w:t>
            </w:r>
            <w:r>
              <w:rPr>
                <w:rFonts w:hint="eastAsia"/>
                <w:sz w:val="18"/>
                <w:szCs w:val="18"/>
              </w:rPr>
              <w:t>2</w:t>
            </w:r>
          </w:p>
        </w:tc>
        <w:tc>
          <w:tcPr>
            <w:tcW w:w="4253" w:type="dxa"/>
            <w:vAlign w:val="center"/>
          </w:tcPr>
          <w:p>
            <w:pPr>
              <w:jc w:val="left"/>
              <w:rPr>
                <w:sz w:val="18"/>
                <w:szCs w:val="18"/>
              </w:rPr>
            </w:pPr>
            <w:r>
              <w:rPr>
                <w:sz w:val="18"/>
                <w:szCs w:val="18"/>
              </w:rPr>
              <w:t>课堂考勤与提问</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p>
        </w:tc>
        <w:tc>
          <w:tcPr>
            <w:tcW w:w="708" w:type="dxa"/>
            <w:vAlign w:val="center"/>
          </w:tcPr>
          <w:p>
            <w:pPr>
              <w:jc w:val="left"/>
              <w:rPr>
                <w:sz w:val="18"/>
                <w:szCs w:val="18"/>
              </w:rPr>
            </w:pPr>
            <w:r>
              <w:rPr>
                <w:sz w:val="18"/>
                <w:szCs w:val="18"/>
              </w:rPr>
              <w:t>1，2</w:t>
            </w:r>
          </w:p>
        </w:tc>
        <w:tc>
          <w:tcPr>
            <w:tcW w:w="692" w:type="dxa"/>
            <w:vAlign w:val="center"/>
          </w:tcPr>
          <w:p>
            <w:pPr>
              <w:jc w:val="center"/>
              <w:rPr>
                <w:sz w:val="18"/>
                <w:szCs w:val="18"/>
              </w:rPr>
            </w:pPr>
            <w:r>
              <w:rPr>
                <w:rFonts w:hint="eastAsia"/>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09" w:type="dxa"/>
            <w:vMerge w:val="continue"/>
            <w:vAlign w:val="center"/>
          </w:tcPr>
          <w:p>
            <w:pPr>
              <w:snapToGrid w:val="0"/>
              <w:rPr>
                <w:sz w:val="18"/>
                <w:szCs w:val="18"/>
              </w:rPr>
            </w:pPr>
          </w:p>
        </w:tc>
        <w:tc>
          <w:tcPr>
            <w:tcW w:w="709" w:type="dxa"/>
            <w:vMerge w:val="continue"/>
            <w:vAlign w:val="center"/>
          </w:tcPr>
          <w:p>
            <w:pPr>
              <w:snapToGrid w:val="0"/>
              <w:jc w:val="center"/>
              <w:rPr>
                <w:sz w:val="18"/>
                <w:szCs w:val="18"/>
              </w:rPr>
            </w:pPr>
          </w:p>
        </w:tc>
        <w:tc>
          <w:tcPr>
            <w:tcW w:w="708" w:type="dxa"/>
            <w:vMerge w:val="continue"/>
            <w:vAlign w:val="center"/>
          </w:tcPr>
          <w:p>
            <w:pPr>
              <w:snapToGrid w:val="0"/>
              <w:jc w:val="center"/>
              <w:rPr>
                <w:sz w:val="18"/>
                <w:szCs w:val="18"/>
              </w:rPr>
            </w:pPr>
          </w:p>
        </w:tc>
        <w:tc>
          <w:tcPr>
            <w:tcW w:w="709" w:type="dxa"/>
            <w:vAlign w:val="center"/>
          </w:tcPr>
          <w:p>
            <w:pPr>
              <w:snapToGrid w:val="0"/>
              <w:jc w:val="center"/>
              <w:rPr>
                <w:sz w:val="18"/>
                <w:szCs w:val="18"/>
              </w:rPr>
            </w:pPr>
            <w:r>
              <w:rPr>
                <w:sz w:val="18"/>
                <w:szCs w:val="18"/>
              </w:rPr>
              <w:t>作业</w:t>
            </w:r>
          </w:p>
        </w:tc>
        <w:tc>
          <w:tcPr>
            <w:tcW w:w="567" w:type="dxa"/>
            <w:vAlign w:val="center"/>
          </w:tcPr>
          <w:p>
            <w:pPr>
              <w:snapToGrid w:val="0"/>
              <w:jc w:val="center"/>
              <w:rPr>
                <w:sz w:val="18"/>
                <w:szCs w:val="18"/>
              </w:rPr>
            </w:pPr>
            <w:r>
              <w:rPr>
                <w:sz w:val="18"/>
                <w:szCs w:val="18"/>
              </w:rPr>
              <w:t>0.</w:t>
            </w:r>
            <w:r>
              <w:rPr>
                <w:rFonts w:hint="eastAsia"/>
                <w:sz w:val="18"/>
                <w:szCs w:val="18"/>
              </w:rPr>
              <w:t>4</w:t>
            </w:r>
          </w:p>
        </w:tc>
        <w:tc>
          <w:tcPr>
            <w:tcW w:w="4253" w:type="dxa"/>
            <w:vAlign w:val="center"/>
          </w:tcPr>
          <w:p>
            <w:pPr>
              <w:jc w:val="left"/>
              <w:rPr>
                <w:sz w:val="18"/>
                <w:szCs w:val="18"/>
              </w:rPr>
            </w:pPr>
            <w:r>
              <w:rPr>
                <w:sz w:val="18"/>
                <w:szCs w:val="18"/>
              </w:rPr>
              <w:t>作业</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分，按比例计入课程总评成绩；主要考核学生对每章节知识点的理解和掌握程度。</w:t>
            </w:r>
          </w:p>
        </w:tc>
        <w:tc>
          <w:tcPr>
            <w:tcW w:w="708" w:type="dxa"/>
            <w:vAlign w:val="center"/>
          </w:tcPr>
          <w:p>
            <w:pPr>
              <w:jc w:val="left"/>
              <w:rPr>
                <w:sz w:val="18"/>
                <w:szCs w:val="18"/>
              </w:rPr>
            </w:pPr>
            <w:r>
              <w:rPr>
                <w:sz w:val="18"/>
                <w:szCs w:val="18"/>
              </w:rPr>
              <w:t>1，2</w:t>
            </w:r>
          </w:p>
        </w:tc>
        <w:tc>
          <w:tcPr>
            <w:tcW w:w="692" w:type="dxa"/>
            <w:vAlign w:val="center"/>
          </w:tcPr>
          <w:p>
            <w:pPr>
              <w:jc w:val="center"/>
              <w:rPr>
                <w:sz w:val="18"/>
                <w:szCs w:val="18"/>
              </w:rPr>
            </w:pP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09" w:type="dxa"/>
            <w:vMerge w:val="continue"/>
            <w:vAlign w:val="center"/>
          </w:tcPr>
          <w:p>
            <w:pPr>
              <w:snapToGrid w:val="0"/>
              <w:rPr>
                <w:sz w:val="18"/>
                <w:szCs w:val="18"/>
              </w:rPr>
            </w:pPr>
          </w:p>
        </w:tc>
        <w:tc>
          <w:tcPr>
            <w:tcW w:w="709" w:type="dxa"/>
            <w:vMerge w:val="continue"/>
            <w:vAlign w:val="center"/>
          </w:tcPr>
          <w:p>
            <w:pPr>
              <w:snapToGrid w:val="0"/>
              <w:jc w:val="center"/>
              <w:rPr>
                <w:sz w:val="18"/>
                <w:szCs w:val="18"/>
              </w:rPr>
            </w:pPr>
          </w:p>
        </w:tc>
        <w:tc>
          <w:tcPr>
            <w:tcW w:w="708" w:type="dxa"/>
            <w:vMerge w:val="continue"/>
            <w:vAlign w:val="center"/>
          </w:tcPr>
          <w:p>
            <w:pPr>
              <w:snapToGrid w:val="0"/>
              <w:jc w:val="center"/>
              <w:rPr>
                <w:sz w:val="18"/>
                <w:szCs w:val="18"/>
              </w:rPr>
            </w:pPr>
          </w:p>
        </w:tc>
        <w:tc>
          <w:tcPr>
            <w:tcW w:w="709" w:type="dxa"/>
            <w:vAlign w:val="center"/>
          </w:tcPr>
          <w:p>
            <w:pPr>
              <w:snapToGrid w:val="0"/>
              <w:jc w:val="center"/>
              <w:rPr>
                <w:sz w:val="18"/>
                <w:szCs w:val="18"/>
              </w:rPr>
            </w:pPr>
            <w:r>
              <w:rPr>
                <w:sz w:val="18"/>
                <w:szCs w:val="18"/>
              </w:rPr>
              <w:t>实验</w:t>
            </w:r>
          </w:p>
        </w:tc>
        <w:tc>
          <w:tcPr>
            <w:tcW w:w="567" w:type="dxa"/>
            <w:vAlign w:val="center"/>
          </w:tcPr>
          <w:p>
            <w:pPr>
              <w:snapToGrid w:val="0"/>
              <w:jc w:val="center"/>
              <w:rPr>
                <w:sz w:val="18"/>
                <w:szCs w:val="18"/>
              </w:rPr>
            </w:pPr>
            <w:r>
              <w:rPr>
                <w:rFonts w:hint="eastAsia"/>
                <w:sz w:val="18"/>
                <w:szCs w:val="18"/>
              </w:rPr>
              <w:t>0.4</w:t>
            </w:r>
          </w:p>
        </w:tc>
        <w:tc>
          <w:tcPr>
            <w:tcW w:w="4253" w:type="dxa"/>
            <w:vAlign w:val="center"/>
          </w:tcPr>
          <w:p>
            <w:pPr>
              <w:jc w:val="left"/>
              <w:rPr>
                <w:sz w:val="18"/>
                <w:szCs w:val="18"/>
              </w:rPr>
            </w:pPr>
            <w:r>
              <w:rPr>
                <w:sz w:val="18"/>
                <w:szCs w:val="18"/>
              </w:rPr>
              <w:t>实验</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分，按比例计入课程总评成绩；主要考核学生的实验完成</w:t>
            </w:r>
            <w:r>
              <w:rPr>
                <w:rFonts w:hint="eastAsia"/>
                <w:sz w:val="18"/>
                <w:szCs w:val="18"/>
              </w:rPr>
              <w:t>结果</w:t>
            </w:r>
            <w:r>
              <w:rPr>
                <w:sz w:val="18"/>
                <w:szCs w:val="18"/>
              </w:rPr>
              <w:t>及实验报告质量。</w:t>
            </w:r>
          </w:p>
        </w:tc>
        <w:tc>
          <w:tcPr>
            <w:tcW w:w="708" w:type="dxa"/>
            <w:vAlign w:val="center"/>
          </w:tcPr>
          <w:p>
            <w:pPr>
              <w:jc w:val="left"/>
              <w:rPr>
                <w:sz w:val="18"/>
                <w:szCs w:val="18"/>
              </w:rPr>
            </w:pPr>
            <w:r>
              <w:rPr>
                <w:sz w:val="18"/>
                <w:szCs w:val="18"/>
              </w:rPr>
              <w:t>3</w:t>
            </w:r>
          </w:p>
        </w:tc>
        <w:tc>
          <w:tcPr>
            <w:tcW w:w="692" w:type="dxa"/>
            <w:vAlign w:val="center"/>
          </w:tcPr>
          <w:p>
            <w:pPr>
              <w:jc w:val="center"/>
              <w:rPr>
                <w:sz w:val="18"/>
                <w:szCs w:val="18"/>
              </w:rPr>
            </w:pPr>
            <w:r>
              <w:rPr>
                <w:rFonts w:hint="eastAsia"/>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Align w:val="center"/>
          </w:tcPr>
          <w:p>
            <w:pPr>
              <w:snapToGrid w:val="0"/>
              <w:jc w:val="left"/>
              <w:rPr>
                <w:sz w:val="18"/>
                <w:szCs w:val="18"/>
              </w:rPr>
            </w:pPr>
            <w:r>
              <w:rPr>
                <w:sz w:val="18"/>
                <w:szCs w:val="18"/>
              </w:rPr>
              <w:t>期末考试成绩</w:t>
            </w:r>
          </w:p>
        </w:tc>
        <w:tc>
          <w:tcPr>
            <w:tcW w:w="709" w:type="dxa"/>
            <w:vAlign w:val="center"/>
          </w:tcPr>
          <w:p>
            <w:pPr>
              <w:snapToGrid w:val="0"/>
              <w:jc w:val="center"/>
              <w:rPr>
                <w:sz w:val="18"/>
                <w:szCs w:val="18"/>
              </w:rPr>
            </w:pPr>
            <w:r>
              <w:rPr>
                <w:sz w:val="18"/>
                <w:szCs w:val="18"/>
              </w:rPr>
              <w:t>100</w:t>
            </w:r>
          </w:p>
        </w:tc>
        <w:tc>
          <w:tcPr>
            <w:tcW w:w="708" w:type="dxa"/>
            <w:vAlign w:val="center"/>
          </w:tcPr>
          <w:p>
            <w:pPr>
              <w:snapToGrid w:val="0"/>
              <w:jc w:val="center"/>
              <w:rPr>
                <w:sz w:val="18"/>
                <w:szCs w:val="18"/>
              </w:rPr>
            </w:pPr>
            <w:r>
              <w:rPr>
                <w:rFonts w:hint="eastAsia"/>
                <w:sz w:val="18"/>
                <w:szCs w:val="18"/>
              </w:rPr>
              <w:t>0.7</w:t>
            </w:r>
          </w:p>
        </w:tc>
        <w:tc>
          <w:tcPr>
            <w:tcW w:w="709" w:type="dxa"/>
            <w:vAlign w:val="center"/>
          </w:tcPr>
          <w:p>
            <w:pPr>
              <w:snapToGrid w:val="0"/>
              <w:jc w:val="left"/>
              <w:rPr>
                <w:sz w:val="18"/>
                <w:szCs w:val="18"/>
              </w:rPr>
            </w:pPr>
            <w:r>
              <w:rPr>
                <w:sz w:val="18"/>
                <w:szCs w:val="18"/>
              </w:rPr>
              <w:t>闭卷考试</w:t>
            </w:r>
          </w:p>
        </w:tc>
        <w:tc>
          <w:tcPr>
            <w:tcW w:w="567" w:type="dxa"/>
            <w:vAlign w:val="center"/>
          </w:tcPr>
          <w:p>
            <w:pPr>
              <w:snapToGrid w:val="0"/>
              <w:jc w:val="center"/>
              <w:rPr>
                <w:sz w:val="18"/>
                <w:szCs w:val="18"/>
              </w:rPr>
            </w:pPr>
            <w:r>
              <w:rPr>
                <w:rFonts w:hint="eastAsia"/>
                <w:sz w:val="18"/>
                <w:szCs w:val="18"/>
              </w:rPr>
              <w:t>1</w:t>
            </w:r>
          </w:p>
        </w:tc>
        <w:tc>
          <w:tcPr>
            <w:tcW w:w="4253" w:type="dxa"/>
            <w:vAlign w:val="center"/>
          </w:tcPr>
          <w:p>
            <w:pPr>
              <w:rPr>
                <w:sz w:val="18"/>
                <w:szCs w:val="18"/>
              </w:rPr>
            </w:pPr>
            <w:r>
              <w:rPr>
                <w:sz w:val="18"/>
                <w:szCs w:val="18"/>
              </w:rPr>
              <w:t>卷面成绩100分，按比例计入课程总评成绩；主要考核学生的基</w:t>
            </w:r>
            <w:r>
              <w:rPr>
                <w:rFonts w:hint="eastAsia"/>
                <w:sz w:val="18"/>
                <w:szCs w:val="18"/>
              </w:rPr>
              <w:t>础</w:t>
            </w:r>
            <w:r>
              <w:rPr>
                <w:sz w:val="18"/>
                <w:szCs w:val="18"/>
              </w:rPr>
              <w:t>知识、应用能力和逻辑分析能力。</w:t>
            </w:r>
          </w:p>
        </w:tc>
        <w:tc>
          <w:tcPr>
            <w:tcW w:w="708" w:type="dxa"/>
            <w:vAlign w:val="center"/>
          </w:tcPr>
          <w:p>
            <w:pPr>
              <w:jc w:val="left"/>
              <w:rPr>
                <w:sz w:val="18"/>
                <w:szCs w:val="18"/>
              </w:rPr>
            </w:pPr>
            <w:r>
              <w:rPr>
                <w:sz w:val="18"/>
                <w:szCs w:val="18"/>
              </w:rPr>
              <w:t>1，2，3</w:t>
            </w:r>
          </w:p>
        </w:tc>
        <w:tc>
          <w:tcPr>
            <w:tcW w:w="692" w:type="dxa"/>
            <w:vAlign w:val="center"/>
          </w:tcPr>
          <w:p>
            <w:pPr>
              <w:jc w:val="center"/>
              <w:rPr>
                <w:sz w:val="18"/>
                <w:szCs w:val="18"/>
              </w:rPr>
            </w:pPr>
            <w:r>
              <w:rPr>
                <w:rFonts w:hint="eastAsia"/>
                <w:sz w:val="18"/>
                <w:szCs w:val="18"/>
              </w:rPr>
              <w:t>3，6</w:t>
            </w:r>
          </w:p>
        </w:tc>
      </w:tr>
    </w:tbl>
    <w:p>
      <w:pPr>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1．达成度评价依据和方法</w:t>
      </w:r>
    </w:p>
    <w:p>
      <w:pPr>
        <w:adjustRightInd w:val="0"/>
        <w:snapToGrid w:val="0"/>
        <w:spacing w:line="300" w:lineRule="auto"/>
        <w:ind w:firstLine="420" w:firstLineChars="200"/>
        <w:rPr>
          <w:szCs w:val="21"/>
        </w:rPr>
      </w:pPr>
      <w:r>
        <w:rPr>
          <w:szCs w:val="21"/>
        </w:rPr>
        <w:t>课程各目标达成情况为该项目学生的平均得分率，其计算公式为：</w:t>
      </w:r>
    </w:p>
    <w:p>
      <w:pPr>
        <w:adjustRightInd w:val="0"/>
        <w:snapToGrid w:val="0"/>
        <w:spacing w:line="300" w:lineRule="auto"/>
        <w:jc w:val="center"/>
        <w:rPr>
          <w:szCs w:val="21"/>
        </w:rPr>
      </w:pPr>
      <w:r>
        <w:rPr>
          <w:szCs w:val="21"/>
        </w:rPr>
        <w:object>
          <v:shape id="_x0000_i1139"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39" DrawAspect="Content" ObjectID="_1468075837" r:id="rId154">
            <o:LockedField>false</o:LockedField>
          </o:OLEObject>
        </w:object>
      </w:r>
    </w:p>
    <w:p>
      <w:pPr>
        <w:adjustRightInd w:val="0"/>
        <w:snapToGrid w:val="0"/>
        <w:spacing w:line="300" w:lineRule="auto"/>
        <w:ind w:firstLine="420" w:firstLineChars="200"/>
        <w:rPr>
          <w:szCs w:val="21"/>
        </w:rPr>
      </w:pPr>
      <w:r>
        <w:rPr>
          <w:szCs w:val="21"/>
        </w:rPr>
        <w:t>课程总目标达成情况为各个课程目标的加权得分率，其计算公式为：</w:t>
      </w:r>
    </w:p>
    <w:p>
      <w:pPr>
        <w:adjustRightInd w:val="0"/>
        <w:snapToGrid w:val="0"/>
        <w:spacing w:line="300" w:lineRule="auto"/>
        <w:jc w:val="center"/>
        <w:rPr>
          <w:szCs w:val="21"/>
        </w:rPr>
      </w:pPr>
      <w:r>
        <w:rPr>
          <w:szCs w:val="21"/>
        </w:rPr>
        <w:object>
          <v:shape id="_x0000_i1140"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40" DrawAspect="Content" ObjectID="_1468075838" r:id="rId155">
            <o:LockedField>false</o:LockedField>
          </o:OLEObject>
        </w:object>
      </w:r>
    </w:p>
    <w:p>
      <w:pPr>
        <w:adjustRightInd w:val="0"/>
        <w:snapToGrid w:val="0"/>
        <w:spacing w:line="300" w:lineRule="auto"/>
        <w:rPr>
          <w:szCs w:val="21"/>
        </w:rPr>
      </w:pPr>
      <w:r>
        <w:rPr>
          <w:szCs w:val="21"/>
        </w:rP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343"/>
        <w:gridCol w:w="1689"/>
        <w:gridCol w:w="1757"/>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2343" w:type="dxa"/>
            <w:vAlign w:val="center"/>
          </w:tcPr>
          <w:p>
            <w:pPr>
              <w:snapToGrid w:val="0"/>
              <w:spacing w:line="300" w:lineRule="auto"/>
              <w:jc w:val="center"/>
              <w:rPr>
                <w:b/>
                <w:bCs/>
                <w:sz w:val="18"/>
                <w:szCs w:val="18"/>
              </w:rPr>
            </w:pPr>
            <w:r>
              <w:rPr>
                <w:b/>
                <w:bCs/>
                <w:sz w:val="18"/>
                <w:szCs w:val="18"/>
              </w:rPr>
              <w:t>课程目标</w:t>
            </w:r>
          </w:p>
        </w:tc>
        <w:tc>
          <w:tcPr>
            <w:tcW w:w="1689" w:type="dxa"/>
            <w:vAlign w:val="center"/>
          </w:tcPr>
          <w:p>
            <w:pPr>
              <w:snapToGrid w:val="0"/>
              <w:spacing w:line="300" w:lineRule="auto"/>
              <w:jc w:val="center"/>
              <w:rPr>
                <w:sz w:val="18"/>
                <w:szCs w:val="18"/>
              </w:rPr>
            </w:pPr>
            <w:r>
              <w:rPr>
                <w:sz w:val="18"/>
                <w:szCs w:val="18"/>
              </w:rPr>
              <w:t>1</w:t>
            </w:r>
          </w:p>
        </w:tc>
        <w:tc>
          <w:tcPr>
            <w:tcW w:w="1757" w:type="dxa"/>
            <w:vAlign w:val="center"/>
          </w:tcPr>
          <w:p>
            <w:pPr>
              <w:snapToGrid w:val="0"/>
              <w:spacing w:line="300" w:lineRule="auto"/>
              <w:jc w:val="center"/>
              <w:rPr>
                <w:sz w:val="18"/>
                <w:szCs w:val="18"/>
              </w:rPr>
            </w:pPr>
            <w:r>
              <w:rPr>
                <w:sz w:val="18"/>
                <w:szCs w:val="18"/>
              </w:rPr>
              <w:t>2</w:t>
            </w:r>
          </w:p>
        </w:tc>
        <w:tc>
          <w:tcPr>
            <w:tcW w:w="1446" w:type="dxa"/>
            <w:vAlign w:val="center"/>
          </w:tcPr>
          <w:p>
            <w:pPr>
              <w:snapToGrid w:val="0"/>
              <w:spacing w:line="300" w:lineRule="auto"/>
              <w:jc w:val="center"/>
              <w:rPr>
                <w:sz w:val="18"/>
                <w:szCs w:val="18"/>
              </w:rPr>
            </w:pPr>
            <w:r>
              <w:rPr>
                <w:sz w:val="18"/>
                <w:szCs w:val="18"/>
              </w:rPr>
              <w:t>3</w:t>
            </w:r>
          </w:p>
        </w:tc>
        <w:tc>
          <w:tcPr>
            <w:tcW w:w="1446" w:type="dxa"/>
            <w:vAlign w:val="center"/>
          </w:tcPr>
          <w:p>
            <w:pPr>
              <w:snapToGrid w:val="0"/>
              <w:spacing w:line="300" w:lineRule="auto"/>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2343" w:type="dxa"/>
            <w:vAlign w:val="center"/>
          </w:tcPr>
          <w:p>
            <w:pPr>
              <w:snapToGrid w:val="0"/>
              <w:spacing w:line="300" w:lineRule="auto"/>
              <w:jc w:val="center"/>
              <w:rPr>
                <w:b/>
                <w:bCs/>
                <w:sz w:val="18"/>
                <w:szCs w:val="18"/>
              </w:rPr>
            </w:pPr>
            <w:r>
              <w:rPr>
                <w:b/>
                <w:bCs/>
                <w:sz w:val="18"/>
                <w:szCs w:val="18"/>
              </w:rPr>
              <w:t>权重系数</w:t>
            </w:r>
          </w:p>
        </w:tc>
        <w:tc>
          <w:tcPr>
            <w:tcW w:w="1689" w:type="dxa"/>
            <w:vAlign w:val="center"/>
          </w:tcPr>
          <w:p>
            <w:pPr>
              <w:snapToGrid w:val="0"/>
              <w:spacing w:line="300" w:lineRule="auto"/>
              <w:jc w:val="center"/>
              <w:rPr>
                <w:sz w:val="18"/>
                <w:szCs w:val="18"/>
              </w:rPr>
            </w:pPr>
            <w:r>
              <w:rPr>
                <w:sz w:val="18"/>
                <w:szCs w:val="18"/>
              </w:rPr>
              <w:t>0.1</w:t>
            </w:r>
          </w:p>
        </w:tc>
        <w:tc>
          <w:tcPr>
            <w:tcW w:w="1757" w:type="dxa"/>
            <w:vAlign w:val="center"/>
          </w:tcPr>
          <w:p>
            <w:pPr>
              <w:snapToGrid w:val="0"/>
              <w:spacing w:line="300" w:lineRule="auto"/>
              <w:jc w:val="center"/>
              <w:rPr>
                <w:sz w:val="18"/>
                <w:szCs w:val="18"/>
              </w:rPr>
            </w:pPr>
            <w:r>
              <w:rPr>
                <w:sz w:val="18"/>
                <w:szCs w:val="18"/>
              </w:rPr>
              <w:t>0.65</w:t>
            </w:r>
          </w:p>
        </w:tc>
        <w:tc>
          <w:tcPr>
            <w:tcW w:w="1446" w:type="dxa"/>
            <w:vAlign w:val="center"/>
          </w:tcPr>
          <w:p>
            <w:pPr>
              <w:snapToGrid w:val="0"/>
              <w:spacing w:line="300" w:lineRule="auto"/>
              <w:jc w:val="center"/>
              <w:rPr>
                <w:sz w:val="18"/>
                <w:szCs w:val="18"/>
              </w:rPr>
            </w:pPr>
            <w:r>
              <w:rPr>
                <w:sz w:val="18"/>
                <w:szCs w:val="18"/>
              </w:rPr>
              <w:t>0.2</w:t>
            </w:r>
          </w:p>
        </w:tc>
        <w:tc>
          <w:tcPr>
            <w:tcW w:w="1446" w:type="dxa"/>
            <w:vAlign w:val="center"/>
          </w:tcPr>
          <w:p>
            <w:pPr>
              <w:snapToGrid w:val="0"/>
              <w:spacing w:line="300" w:lineRule="auto"/>
              <w:jc w:val="center"/>
              <w:rPr>
                <w:sz w:val="18"/>
                <w:szCs w:val="18"/>
              </w:rPr>
            </w:pPr>
            <w:r>
              <w:rPr>
                <w:sz w:val="18"/>
                <w:szCs w:val="18"/>
              </w:rPr>
              <w:t>0.05</w:t>
            </w:r>
          </w:p>
        </w:tc>
      </w:tr>
    </w:tbl>
    <w:p>
      <w:pPr>
        <w:adjustRightInd w:val="0"/>
        <w:snapToGrid w:val="0"/>
        <w:spacing w:line="300" w:lineRule="auto"/>
        <w:ind w:firstLine="420" w:firstLineChars="200"/>
        <w:rPr>
          <w:szCs w:val="21"/>
        </w:rPr>
      </w:pPr>
      <w:r>
        <w:rPr>
          <w:szCs w:val="21"/>
        </w:rPr>
        <w:t>课程毕业要求指标点达成情况评价：</w:t>
      </w:r>
    </w:p>
    <w:p>
      <w:pPr>
        <w:adjustRightInd w:val="0"/>
        <w:snapToGrid w:val="0"/>
        <w:spacing w:line="300" w:lineRule="auto"/>
        <w:ind w:firstLine="420" w:firstLineChars="200"/>
        <w:rPr>
          <w:szCs w:val="21"/>
        </w:rPr>
      </w:pPr>
      <w:r>
        <w:rPr>
          <w:szCs w:val="21"/>
        </w:rPr>
        <w:t>课程支撑毕业要求指标点的达成情况为对应课程目标达成情况的加权值，其计算公式为：</w:t>
      </w:r>
    </w:p>
    <w:p>
      <w:pPr>
        <w:adjustRightInd w:val="0"/>
        <w:snapToGrid w:val="0"/>
        <w:spacing w:line="300" w:lineRule="auto"/>
        <w:jc w:val="center"/>
        <w:rPr>
          <w:szCs w:val="21"/>
        </w:rPr>
      </w:pPr>
      <w:r>
        <w:rPr>
          <w:szCs w:val="21"/>
        </w:rPr>
        <w:object>
          <v:shape id="_x0000_i1141" o:spt="75" type="#_x0000_t75" style="height:18pt;width:268.5pt;" o:ole="t" filled="f" o:preferrelative="t" stroked="f" coordsize="21600,21600">
            <v:path/>
            <v:fill on="f" focussize="0,0"/>
            <v:stroke on="f" joinstyle="miter"/>
            <v:imagedata r:id="rId40" o:title=""/>
            <o:lock v:ext="edit" aspectratio="t"/>
            <w10:wrap type="none"/>
            <w10:anchorlock/>
          </v:shape>
          <o:OLEObject Type="Embed" ProgID="Equation.3" ShapeID="_x0000_i1141" DrawAspect="Content" ObjectID="_1468075839" r:id="rId156">
            <o:LockedField>false</o:LockedField>
          </o:OLEObject>
        </w:object>
      </w:r>
    </w:p>
    <w:p>
      <w:pPr>
        <w:adjustRightInd w:val="0"/>
        <w:snapToGrid w:val="0"/>
        <w:spacing w:line="300" w:lineRule="auto"/>
        <w:ind w:firstLine="420" w:firstLineChars="200"/>
        <w:rPr>
          <w:szCs w:val="21"/>
        </w:rPr>
      </w:pPr>
      <w:r>
        <w:rPr>
          <w:szCs w:val="21"/>
        </w:rPr>
        <w:t>2．课程总结要求</w:t>
      </w:r>
    </w:p>
    <w:p>
      <w:pPr>
        <w:adjustRightInd w:val="0"/>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kern w:val="0"/>
          <w:szCs w:val="21"/>
        </w:rPr>
        <w:t>．</w:t>
      </w:r>
      <w:r>
        <w:rPr>
          <w:rFonts w:ascii="Times New Roman" w:hAnsi="Times New Roman" w:eastAsia="宋体" w:cs="Times New Roman"/>
        </w:rPr>
        <w:t>教材：</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 邬正义、徐惠钢，现代无线通信技术[M]，北京：高等教育出版社，2008年。</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kern w:val="0"/>
          <w:szCs w:val="21"/>
        </w:rPr>
        <w:t>．</w:t>
      </w:r>
      <w:r>
        <w:rPr>
          <w:rFonts w:ascii="Times New Roman" w:hAnsi="Times New Roman" w:eastAsia="宋体" w:cs="Times New Roman"/>
        </w:rPr>
        <w:t>参考资料</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西蒙·赫金 .现代无线通信.北京：电子工业出版社，2006</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胡健栋.现代无线通信技术.北京：工业出版社，2007</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136"/>
    <w:bookmarkEnd w:id="137"/>
    <w:bookmarkEnd w:id="189"/>
    <w:bookmarkEnd w:id="190"/>
    <w:p>
      <w:pPr>
        <w:snapToGrid w:val="0"/>
        <w:spacing w:before="156" w:beforeLines="50" w:after="156" w:afterLines="50" w:line="300" w:lineRule="auto"/>
        <w:jc w:val="center"/>
        <w:outlineLvl w:val="3"/>
        <w:rPr>
          <w:rFonts w:ascii="Times New Roman" w:hAnsi="Times New Roman" w:eastAsia="宋体" w:cs="Times New Roman"/>
          <w:b/>
          <w:sz w:val="32"/>
          <w:szCs w:val="32"/>
        </w:rPr>
      </w:pPr>
      <w:bookmarkStart w:id="191" w:name="_Toc5617"/>
      <w:bookmarkStart w:id="192" w:name="_Toc47719774"/>
      <w:bookmarkStart w:id="193" w:name="_Toc47718803"/>
      <w:bookmarkStart w:id="194" w:name="_Toc47774730"/>
      <w:r>
        <w:rPr>
          <w:rFonts w:hint="eastAsia" w:ascii="Times New Roman" w:hAnsi="Times New Roman" w:eastAsia="宋体" w:cs="Times New Roman"/>
          <w:b/>
          <w:sz w:val="32"/>
          <w:szCs w:val="32"/>
        </w:rPr>
        <w:t>16152403</w:t>
      </w:r>
      <w:r>
        <w:rPr>
          <w:rFonts w:ascii="Times New Roman" w:hAnsi="Times New Roman" w:eastAsia="宋体" w:cs="Times New Roman"/>
          <w:b/>
          <w:sz w:val="32"/>
          <w:szCs w:val="32"/>
        </w:rPr>
        <w:t>《</w:t>
      </w:r>
      <w:r>
        <w:rPr>
          <w:rFonts w:hint="eastAsia" w:ascii="Times New Roman" w:hAnsi="Times New Roman" w:eastAsia="宋体" w:cs="Times New Roman"/>
          <w:b/>
          <w:sz w:val="32"/>
          <w:szCs w:val="32"/>
        </w:rPr>
        <w:t>信号检测与估计</w:t>
      </w:r>
      <w:r>
        <w:rPr>
          <w:rFonts w:ascii="Times New Roman" w:hAnsi="Times New Roman" w:eastAsia="宋体" w:cs="Times New Roman"/>
          <w:b/>
          <w:sz w:val="32"/>
          <w:szCs w:val="32"/>
        </w:rPr>
        <w:t>》课程教学大纲</w:t>
      </w:r>
      <w:bookmarkEnd w:id="191"/>
    </w:p>
    <w:tbl>
      <w:tblPr>
        <w:tblStyle w:val="22"/>
        <w:tblW w:w="8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6"/>
        <w:gridCol w:w="3285"/>
        <w:gridCol w:w="1143"/>
        <w:gridCol w:w="2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286" w:type="dxa"/>
          </w:tcPr>
          <w:p>
            <w:pPr>
              <w:jc w:val="center"/>
              <w:rPr>
                <w:kern w:val="0"/>
                <w:szCs w:val="21"/>
              </w:rPr>
            </w:pPr>
            <w:r>
              <w:rPr>
                <w:kern w:val="0"/>
                <w:szCs w:val="21"/>
              </w:rPr>
              <w:t>课程编号</w:t>
            </w:r>
          </w:p>
        </w:tc>
        <w:tc>
          <w:tcPr>
            <w:tcW w:w="3285" w:type="dxa"/>
          </w:tcPr>
          <w:p>
            <w:pPr>
              <w:jc w:val="center"/>
              <w:rPr>
                <w:kern w:val="0"/>
                <w:szCs w:val="21"/>
              </w:rPr>
            </w:pPr>
            <w:r>
              <w:rPr>
                <w:szCs w:val="21"/>
              </w:rPr>
              <w:t>16152403</w:t>
            </w:r>
          </w:p>
        </w:tc>
        <w:tc>
          <w:tcPr>
            <w:tcW w:w="1143" w:type="dxa"/>
          </w:tcPr>
          <w:p>
            <w:pPr>
              <w:jc w:val="center"/>
              <w:rPr>
                <w:kern w:val="0"/>
                <w:szCs w:val="21"/>
              </w:rPr>
            </w:pPr>
            <w:r>
              <w:rPr>
                <w:kern w:val="0"/>
                <w:szCs w:val="21"/>
              </w:rPr>
              <w:t>课程名称</w:t>
            </w:r>
          </w:p>
        </w:tc>
        <w:tc>
          <w:tcPr>
            <w:tcW w:w="2572" w:type="dxa"/>
          </w:tcPr>
          <w:p>
            <w:pPr>
              <w:jc w:val="center"/>
              <w:rPr>
                <w:kern w:val="0"/>
                <w:szCs w:val="21"/>
              </w:rPr>
            </w:pPr>
            <w:r>
              <w:rPr>
                <w:szCs w:val="21"/>
              </w:rPr>
              <w:t>信号检测与估计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86" w:type="dxa"/>
          </w:tcPr>
          <w:p>
            <w:pPr>
              <w:jc w:val="center"/>
              <w:rPr>
                <w:kern w:val="0"/>
                <w:szCs w:val="21"/>
              </w:rPr>
            </w:pPr>
            <w:r>
              <w:rPr>
                <w:kern w:val="0"/>
                <w:szCs w:val="21"/>
              </w:rPr>
              <w:t>课程性质</w:t>
            </w:r>
            <w:r>
              <w:rPr>
                <w:kern w:val="0"/>
                <w:sz w:val="20"/>
                <w:szCs w:val="20"/>
              </w:rPr>
              <w:t>*</w:t>
            </w:r>
          </w:p>
        </w:tc>
        <w:tc>
          <w:tcPr>
            <w:tcW w:w="3285" w:type="dxa"/>
          </w:tcPr>
          <w:p>
            <w:pPr>
              <w:jc w:val="center"/>
              <w:rPr>
                <w:kern w:val="0"/>
                <w:szCs w:val="21"/>
              </w:rPr>
            </w:pPr>
            <w:r>
              <w:rPr>
                <w:rFonts w:hint="eastAsia"/>
                <w:kern w:val="0"/>
                <w:szCs w:val="21"/>
              </w:rPr>
              <w:t>专业类</w:t>
            </w:r>
          </w:p>
        </w:tc>
        <w:tc>
          <w:tcPr>
            <w:tcW w:w="1143" w:type="dxa"/>
          </w:tcPr>
          <w:p>
            <w:pPr>
              <w:jc w:val="center"/>
              <w:rPr>
                <w:kern w:val="0"/>
                <w:szCs w:val="21"/>
              </w:rPr>
            </w:pPr>
            <w:r>
              <w:rPr>
                <w:kern w:val="0"/>
                <w:szCs w:val="21"/>
              </w:rPr>
              <w:t>英文名称</w:t>
            </w:r>
          </w:p>
        </w:tc>
        <w:tc>
          <w:tcPr>
            <w:tcW w:w="2572" w:type="dxa"/>
            <w:vAlign w:val="center"/>
          </w:tcPr>
          <w:p>
            <w:pPr>
              <w:jc w:val="center"/>
              <w:rPr>
                <w:bCs/>
                <w:kern w:val="0"/>
                <w:szCs w:val="21"/>
              </w:rPr>
            </w:pPr>
            <w:r>
              <w:rPr>
                <w:szCs w:val="21"/>
              </w:rPr>
              <w:t>Signal Detection and Estimation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286" w:type="dxa"/>
          </w:tcPr>
          <w:p>
            <w:pPr>
              <w:jc w:val="center"/>
              <w:rPr>
                <w:kern w:val="0"/>
                <w:szCs w:val="21"/>
              </w:rPr>
            </w:pPr>
            <w:r>
              <w:rPr>
                <w:kern w:val="0"/>
                <w:szCs w:val="21"/>
              </w:rPr>
              <w:t>学分学时</w:t>
            </w:r>
          </w:p>
        </w:tc>
        <w:tc>
          <w:tcPr>
            <w:tcW w:w="3285" w:type="dxa"/>
          </w:tcPr>
          <w:p>
            <w:pPr>
              <w:jc w:val="center"/>
              <w:rPr>
                <w:kern w:val="0"/>
                <w:szCs w:val="21"/>
              </w:rPr>
            </w:pPr>
            <w:r>
              <w:rPr>
                <w:rFonts w:hint="eastAsia"/>
                <w:bCs/>
                <w:kern w:val="0"/>
                <w:szCs w:val="21"/>
              </w:rPr>
              <w:t>2</w:t>
            </w:r>
            <w:r>
              <w:rPr>
                <w:bCs/>
                <w:kern w:val="0"/>
                <w:szCs w:val="21"/>
              </w:rPr>
              <w:t>.</w:t>
            </w:r>
            <w:r>
              <w:rPr>
                <w:rFonts w:hint="eastAsia"/>
                <w:bCs/>
                <w:kern w:val="0"/>
                <w:szCs w:val="21"/>
              </w:rPr>
              <w:t>0</w:t>
            </w:r>
            <w:r>
              <w:rPr>
                <w:bCs/>
                <w:color w:val="FF0000"/>
                <w:kern w:val="0"/>
                <w:szCs w:val="21"/>
              </w:rPr>
              <w:t xml:space="preserve"> </w:t>
            </w:r>
            <w:r>
              <w:rPr>
                <w:rFonts w:hint="eastAsia"/>
                <w:kern w:val="0"/>
                <w:szCs w:val="21"/>
              </w:rPr>
              <w:t>;</w:t>
            </w:r>
            <w:r>
              <w:rPr>
                <w:kern w:val="0"/>
                <w:szCs w:val="21"/>
              </w:rPr>
              <w:t xml:space="preserve"> </w:t>
            </w:r>
            <w:r>
              <w:rPr>
                <w:rFonts w:hint="eastAsia"/>
                <w:kern w:val="0"/>
                <w:szCs w:val="21"/>
              </w:rPr>
              <w:t>3</w:t>
            </w:r>
            <w:r>
              <w:rPr>
                <w:kern w:val="0"/>
                <w:szCs w:val="21"/>
              </w:rPr>
              <w:t>2</w:t>
            </w:r>
            <w:r>
              <w:rPr>
                <w:rFonts w:hint="eastAsia"/>
                <w:kern w:val="0"/>
                <w:szCs w:val="21"/>
              </w:rPr>
              <w:t>（6）</w:t>
            </w:r>
          </w:p>
        </w:tc>
        <w:tc>
          <w:tcPr>
            <w:tcW w:w="1143" w:type="dxa"/>
          </w:tcPr>
          <w:p>
            <w:pPr>
              <w:jc w:val="center"/>
              <w:rPr>
                <w:kern w:val="0"/>
                <w:szCs w:val="21"/>
                <w:highlight w:val="yellow"/>
              </w:rPr>
            </w:pPr>
            <w:r>
              <w:rPr>
                <w:kern w:val="0"/>
                <w:szCs w:val="21"/>
              </w:rPr>
              <w:t>任课教师</w:t>
            </w:r>
          </w:p>
        </w:tc>
        <w:tc>
          <w:tcPr>
            <w:tcW w:w="2572" w:type="dxa"/>
          </w:tcPr>
          <w:p>
            <w:pPr>
              <w:jc w:val="center"/>
              <w:rPr>
                <w:kern w:val="0"/>
                <w:szCs w:val="21"/>
                <w:highlight w:val="yellow"/>
              </w:rPr>
            </w:pPr>
            <w:r>
              <w:rPr>
                <w:kern w:val="0"/>
                <w:szCs w:val="21"/>
              </w:rPr>
              <w:t>刘雯景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286" w:type="dxa"/>
          </w:tcPr>
          <w:p>
            <w:pPr>
              <w:jc w:val="center"/>
              <w:rPr>
                <w:bCs/>
                <w:kern w:val="0"/>
                <w:szCs w:val="21"/>
              </w:rPr>
            </w:pPr>
            <w:r>
              <w:rPr>
                <w:bCs/>
                <w:kern w:val="0"/>
                <w:szCs w:val="21"/>
              </w:rPr>
              <w:t>企业专家</w:t>
            </w:r>
          </w:p>
        </w:tc>
        <w:tc>
          <w:tcPr>
            <w:tcW w:w="3285" w:type="dxa"/>
          </w:tcPr>
          <w:p>
            <w:pPr>
              <w:widowControl/>
              <w:jc w:val="center"/>
              <w:rPr>
                <w:kern w:val="0"/>
                <w:szCs w:val="21"/>
              </w:rPr>
            </w:pPr>
            <w:r>
              <w:rPr>
                <w:kern w:val="0"/>
                <w:szCs w:val="21"/>
              </w:rPr>
              <w:t>曾耿滨</w:t>
            </w:r>
          </w:p>
        </w:tc>
        <w:tc>
          <w:tcPr>
            <w:tcW w:w="1143" w:type="dxa"/>
          </w:tcPr>
          <w:p>
            <w:pPr>
              <w:jc w:val="center"/>
              <w:rPr>
                <w:bCs/>
                <w:kern w:val="0"/>
                <w:szCs w:val="21"/>
              </w:rPr>
            </w:pPr>
            <w:r>
              <w:rPr>
                <w:bCs/>
                <w:kern w:val="0"/>
                <w:szCs w:val="21"/>
              </w:rPr>
              <w:t>行业专家</w:t>
            </w:r>
          </w:p>
        </w:tc>
        <w:tc>
          <w:tcPr>
            <w:tcW w:w="2572" w:type="dxa"/>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286" w:type="dxa"/>
          </w:tcPr>
          <w:p>
            <w:pPr>
              <w:widowControl/>
              <w:jc w:val="center"/>
              <w:rPr>
                <w:bCs/>
                <w:kern w:val="0"/>
                <w:szCs w:val="21"/>
              </w:rPr>
            </w:pPr>
            <w:r>
              <w:rPr>
                <w:bCs/>
                <w:kern w:val="0"/>
                <w:szCs w:val="21"/>
              </w:rPr>
              <w:t>执笔教师</w:t>
            </w:r>
          </w:p>
        </w:tc>
        <w:tc>
          <w:tcPr>
            <w:tcW w:w="3285" w:type="dxa"/>
          </w:tcPr>
          <w:p>
            <w:pPr>
              <w:widowControl/>
              <w:jc w:val="center"/>
              <w:rPr>
                <w:kern w:val="0"/>
                <w:szCs w:val="21"/>
              </w:rPr>
            </w:pPr>
            <w:r>
              <w:rPr>
                <w:kern w:val="0"/>
                <w:szCs w:val="21"/>
              </w:rPr>
              <w:t>刘雯景</w:t>
            </w:r>
          </w:p>
        </w:tc>
        <w:tc>
          <w:tcPr>
            <w:tcW w:w="1143" w:type="dxa"/>
          </w:tcPr>
          <w:p>
            <w:pPr>
              <w:widowControl/>
              <w:jc w:val="center"/>
              <w:rPr>
                <w:bCs/>
                <w:kern w:val="0"/>
                <w:szCs w:val="21"/>
              </w:rPr>
            </w:pPr>
            <w:r>
              <w:rPr>
                <w:bCs/>
                <w:kern w:val="0"/>
                <w:szCs w:val="21"/>
              </w:rPr>
              <w:t>责任教授</w:t>
            </w:r>
          </w:p>
        </w:tc>
        <w:tc>
          <w:tcPr>
            <w:tcW w:w="2572" w:type="dxa"/>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86" w:type="dxa"/>
            <w:tcBorders>
              <w:bottom w:val="single" w:color="auto" w:sz="4" w:space="0"/>
            </w:tcBorders>
          </w:tcPr>
          <w:p>
            <w:pPr>
              <w:widowControl/>
              <w:jc w:val="center"/>
              <w:rPr>
                <w:bCs/>
                <w:kern w:val="0"/>
                <w:szCs w:val="21"/>
              </w:rPr>
            </w:pPr>
            <w:r>
              <w:rPr>
                <w:bCs/>
                <w:kern w:val="0"/>
                <w:szCs w:val="21"/>
              </w:rPr>
              <w:t>适用专业</w:t>
            </w:r>
          </w:p>
        </w:tc>
        <w:tc>
          <w:tcPr>
            <w:tcW w:w="3285" w:type="dxa"/>
            <w:tcBorders>
              <w:bottom w:val="single" w:color="auto" w:sz="4" w:space="0"/>
            </w:tcBorders>
          </w:tcPr>
          <w:p>
            <w:pPr>
              <w:widowControl/>
              <w:jc w:val="center"/>
              <w:rPr>
                <w:kern w:val="0"/>
                <w:szCs w:val="21"/>
              </w:rPr>
            </w:pPr>
            <w:r>
              <w:rPr>
                <w:kern w:val="0"/>
                <w:szCs w:val="21"/>
              </w:rPr>
              <w:t>电子信息工程</w:t>
            </w:r>
          </w:p>
        </w:tc>
        <w:tc>
          <w:tcPr>
            <w:tcW w:w="1143" w:type="dxa"/>
            <w:tcBorders>
              <w:bottom w:val="single" w:color="auto" w:sz="4" w:space="0"/>
            </w:tcBorders>
          </w:tcPr>
          <w:p>
            <w:pPr>
              <w:widowControl/>
              <w:jc w:val="center"/>
              <w:rPr>
                <w:bCs/>
                <w:kern w:val="0"/>
                <w:szCs w:val="21"/>
              </w:rPr>
            </w:pPr>
            <w:r>
              <w:rPr>
                <w:bCs/>
                <w:kern w:val="0"/>
                <w:szCs w:val="21"/>
              </w:rPr>
              <w:t>适用对象</w:t>
            </w:r>
          </w:p>
        </w:tc>
        <w:tc>
          <w:tcPr>
            <w:tcW w:w="2572" w:type="dxa"/>
            <w:tcBorders>
              <w:bottom w:val="single" w:color="auto" w:sz="4" w:space="0"/>
            </w:tcBorders>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286" w:type="dxa"/>
            <w:tcBorders>
              <w:top w:val="single" w:color="auto" w:sz="4" w:space="0"/>
              <w:bottom w:val="single" w:color="auto" w:sz="4" w:space="0"/>
            </w:tcBorders>
          </w:tcPr>
          <w:p>
            <w:pPr>
              <w:jc w:val="center"/>
              <w:rPr>
                <w:b/>
                <w:kern w:val="0"/>
                <w:szCs w:val="21"/>
              </w:rPr>
            </w:pPr>
            <w:r>
              <w:rPr>
                <w:kern w:val="0"/>
                <w:szCs w:val="21"/>
              </w:rPr>
              <w:t>先修课程</w:t>
            </w:r>
          </w:p>
        </w:tc>
        <w:tc>
          <w:tcPr>
            <w:tcW w:w="3285" w:type="dxa"/>
            <w:tcBorders>
              <w:top w:val="single" w:color="auto" w:sz="4" w:space="0"/>
              <w:bottom w:val="single" w:color="auto" w:sz="4" w:space="0"/>
            </w:tcBorders>
            <w:vAlign w:val="center"/>
          </w:tcPr>
          <w:p>
            <w:pPr>
              <w:widowControl/>
              <w:jc w:val="center"/>
              <w:rPr>
                <w:bCs/>
                <w:kern w:val="0"/>
                <w:szCs w:val="21"/>
              </w:rPr>
            </w:pPr>
            <w:r>
              <w:rPr>
                <w:szCs w:val="21"/>
              </w:rPr>
              <w:t>工程数学、信号与系统及MATLAB 语言与应用等</w:t>
            </w:r>
          </w:p>
        </w:tc>
        <w:tc>
          <w:tcPr>
            <w:tcW w:w="1143" w:type="dxa"/>
            <w:tcBorders>
              <w:top w:val="single" w:color="auto" w:sz="4" w:space="0"/>
              <w:bottom w:val="single" w:color="auto" w:sz="4" w:space="0"/>
            </w:tcBorders>
          </w:tcPr>
          <w:p>
            <w:pPr>
              <w:snapToGrid w:val="0"/>
              <w:jc w:val="center"/>
              <w:rPr>
                <w:b/>
                <w:kern w:val="0"/>
                <w:szCs w:val="21"/>
              </w:rPr>
            </w:pPr>
            <w:r>
              <w:rPr>
                <w:kern w:val="0"/>
                <w:szCs w:val="21"/>
              </w:rPr>
              <w:t>同修课程</w:t>
            </w:r>
          </w:p>
        </w:tc>
        <w:tc>
          <w:tcPr>
            <w:tcW w:w="2572" w:type="dxa"/>
            <w:tcBorders>
              <w:top w:val="single" w:color="auto" w:sz="4" w:space="0"/>
              <w:bottom w:val="single" w:color="auto" w:sz="4" w:space="0"/>
            </w:tcBorders>
          </w:tcPr>
          <w:p>
            <w:pPr>
              <w:widowControl/>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286" w:type="dxa"/>
            <w:tcBorders>
              <w:top w:val="single" w:color="auto" w:sz="4" w:space="0"/>
            </w:tcBorders>
          </w:tcPr>
          <w:p>
            <w:pPr>
              <w:jc w:val="center"/>
              <w:rPr>
                <w:kern w:val="0"/>
                <w:szCs w:val="21"/>
              </w:rPr>
            </w:pPr>
            <w:r>
              <w:rPr>
                <w:kern w:val="0"/>
                <w:szCs w:val="21"/>
              </w:rPr>
              <w:t>排斥课程</w:t>
            </w:r>
          </w:p>
        </w:tc>
        <w:tc>
          <w:tcPr>
            <w:tcW w:w="3285" w:type="dxa"/>
            <w:tcBorders>
              <w:top w:val="single" w:color="auto" w:sz="4" w:space="0"/>
            </w:tcBorders>
          </w:tcPr>
          <w:p>
            <w:pPr>
              <w:widowControl/>
              <w:jc w:val="center"/>
              <w:rPr>
                <w:kern w:val="0"/>
                <w:szCs w:val="21"/>
              </w:rPr>
            </w:pPr>
            <w:r>
              <w:rPr>
                <w:kern w:val="0"/>
                <w:szCs w:val="21"/>
              </w:rPr>
              <w:t>无</w:t>
            </w:r>
          </w:p>
        </w:tc>
        <w:tc>
          <w:tcPr>
            <w:tcW w:w="1143" w:type="dxa"/>
            <w:tcBorders>
              <w:top w:val="single" w:color="auto" w:sz="4" w:space="0"/>
            </w:tcBorders>
          </w:tcPr>
          <w:p>
            <w:pPr>
              <w:snapToGrid w:val="0"/>
              <w:jc w:val="center"/>
              <w:rPr>
                <w:kern w:val="0"/>
                <w:szCs w:val="21"/>
              </w:rPr>
            </w:pPr>
            <w:r>
              <w:rPr>
                <w:kern w:val="0"/>
                <w:szCs w:val="21"/>
              </w:rPr>
              <w:t>定稿日期</w:t>
            </w:r>
          </w:p>
        </w:tc>
        <w:tc>
          <w:tcPr>
            <w:tcW w:w="2572" w:type="dxa"/>
            <w:tcBorders>
              <w:top w:val="single" w:color="auto" w:sz="4" w:space="0"/>
            </w:tcBorders>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color w:val="FF0000"/>
          <w:szCs w:val="21"/>
        </w:rPr>
      </w:pPr>
      <w:r>
        <w:rPr>
          <w:rFonts w:hint="eastAsia"/>
          <w:szCs w:val="21"/>
        </w:rPr>
        <w:t>信号检测与估计属专业任选课，是现代信息理论的一个重要分支，是以信息论为理论基础，以概率论、数理统计和随机过程为数学工具，综合系统理论与通信工程的一门学科。信号检测与估计主要研究在噪声、干扰和信号共存的环境中，如何正确发现、辨别和估计信号参数。它最早从雷达、通信、声纳等系统产生发展起来，现在它的应用已涉及几乎所有科学技术领域，包括电子信息系统、航空航天系统、自动控制、模式识别、遥测遥控、生物医学工程等。其主要研究内容包括：随机信号与噪声理论、统计判决（检测）理论以及参量估计理论。通过本课程的学习，尽可能使学生系统地了解信号检测与估计的基础知识与基本理论，掌握对受噪信号处理的基本方法。在讲授过程中通过介绍在统计信号处理领域有杰出贡献的科学家的科研经历以及信号检测与估计理论的科技应用来激励学生的创新创造意识，使学生的学习能力提升的同时，精神层面也得到升华。</w:t>
      </w:r>
    </w:p>
    <w:p>
      <w:pPr>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420" w:firstLineChars="200"/>
        <w:rPr>
          <w:szCs w:val="21"/>
        </w:rPr>
      </w:pPr>
      <w:r>
        <w:rPr>
          <w:rFonts w:hint="eastAsia"/>
          <w:szCs w:val="21"/>
        </w:rPr>
        <w:t>信号检测与估计是随机信号处理的基础理论知识之一。它将为深入研究随机信号统计处理的理论、提高信号处理的水平，打下扎实的理论基础；同时，它的基本概念、基本理论和分析问题的基本方法，也为信号处理系统的设计等实际应用提供理论依据。本课程的具体教学目标如下：</w:t>
      </w:r>
    </w:p>
    <w:p>
      <w:pPr>
        <w:adjustRightInd w:val="0"/>
        <w:snapToGrid w:val="0"/>
        <w:spacing w:line="300" w:lineRule="auto"/>
        <w:ind w:firstLine="420" w:firstLineChars="200"/>
        <w:rPr>
          <w:szCs w:val="21"/>
        </w:rPr>
      </w:pPr>
      <w:r>
        <w:rPr>
          <w:rFonts w:hint="eastAsia"/>
          <w:szCs w:val="21"/>
        </w:rPr>
        <w:t>1、基础知识学习目标：理解统计信号处理的含义，即对信号的统计描述，统计意义上的最佳处理，性能的统计评估等概念；掌握扎实的统计信号处理的理论基础，包括信号的统计检测理论，估计理论的基本概念，分析研究问题的基本方法和基本运算。[1.2]</w:t>
      </w:r>
    </w:p>
    <w:p>
      <w:pPr>
        <w:adjustRightInd w:val="0"/>
        <w:snapToGrid w:val="0"/>
        <w:spacing w:line="300" w:lineRule="auto"/>
        <w:ind w:firstLine="420" w:firstLineChars="200"/>
        <w:rPr>
          <w:szCs w:val="21"/>
        </w:rPr>
      </w:pPr>
      <w:r>
        <w:rPr>
          <w:rFonts w:hint="eastAsia"/>
          <w:szCs w:val="21"/>
        </w:rPr>
        <w:t>2、分析、解决问题的能力：运用随机信号的统计处理理论，针对实际问题能从物理的意义上而不仅限于数学公式上加以解决分析，以巩固、加深和扩展对所讨论问题的基本概念、基本方法和基本运算的掌握及熟练程度；运用Matlab软件编程实现统计信号处理和分析，加深对统计信号处理的理解。[2.</w:t>
      </w:r>
      <w:r>
        <w:rPr>
          <w:szCs w:val="21"/>
        </w:rPr>
        <w:t>2</w:t>
      </w:r>
      <w:r>
        <w:rPr>
          <w:rFonts w:hint="eastAsia"/>
          <w:szCs w:val="21"/>
        </w:rPr>
        <w:t>]</w:t>
      </w:r>
    </w:p>
    <w:p>
      <w:pPr>
        <w:adjustRightInd w:val="0"/>
        <w:snapToGrid w:val="0"/>
        <w:spacing w:line="300" w:lineRule="auto"/>
        <w:ind w:firstLine="420" w:firstLineChars="200"/>
        <w:jc w:val="center"/>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7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587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blHeader/>
          <w:jc w:val="center"/>
        </w:trPr>
        <w:tc>
          <w:tcPr>
            <w:tcW w:w="1140" w:type="dxa"/>
            <w:vAlign w:val="center"/>
          </w:tcPr>
          <w:p>
            <w:pPr>
              <w:snapToGrid w:val="0"/>
              <w:spacing w:line="300" w:lineRule="auto"/>
              <w:rPr>
                <w:b/>
                <w:bCs/>
                <w:color w:val="000000"/>
                <w:sz w:val="18"/>
                <w:szCs w:val="18"/>
              </w:rPr>
            </w:pPr>
            <w:r>
              <w:rPr>
                <w:b/>
                <w:bCs/>
                <w:color w:val="000000"/>
                <w:sz w:val="18"/>
                <w:szCs w:val="18"/>
              </w:rPr>
              <w:t>毕业要求</w:t>
            </w:r>
          </w:p>
        </w:tc>
        <w:tc>
          <w:tcPr>
            <w:tcW w:w="5870" w:type="dxa"/>
            <w:vAlign w:val="center"/>
          </w:tcPr>
          <w:p>
            <w:pPr>
              <w:snapToGrid w:val="0"/>
              <w:spacing w:line="300" w:lineRule="auto"/>
              <w:jc w:val="center"/>
              <w:rPr>
                <w:b/>
                <w:bCs/>
                <w:color w:val="000000"/>
                <w:sz w:val="18"/>
                <w:szCs w:val="18"/>
              </w:rPr>
            </w:pPr>
            <w:r>
              <w:rPr>
                <w:b/>
                <w:bCs/>
                <w:color w:val="000000"/>
                <w:sz w:val="18"/>
                <w:szCs w:val="18"/>
              </w:rPr>
              <w:t>毕业要求指标点</w:t>
            </w:r>
          </w:p>
        </w:tc>
        <w:tc>
          <w:tcPr>
            <w:tcW w:w="65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Align w:val="center"/>
          </w:tcPr>
          <w:p>
            <w:pPr>
              <w:widowControl/>
              <w:jc w:val="left"/>
              <w:rPr>
                <w:sz w:val="18"/>
                <w:szCs w:val="18"/>
              </w:rPr>
            </w:pPr>
            <w:r>
              <w:rPr>
                <w:color w:val="000000"/>
                <w:sz w:val="18"/>
                <w:szCs w:val="18"/>
              </w:rPr>
              <w:t>1.工程知识</w:t>
            </w:r>
          </w:p>
        </w:tc>
        <w:tc>
          <w:tcPr>
            <w:tcW w:w="5870" w:type="dxa"/>
          </w:tcPr>
          <w:p>
            <w:pPr>
              <w:pStyle w:val="20"/>
              <w:spacing w:before="0" w:beforeAutospacing="0" w:after="0" w:afterAutospacing="0"/>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2掌握计算机、电子、信息、通信、测控及其它工程基础知识，并有效将其应用于电子信息领域工程问题（含海洋电子信息领域）的软硬件分析与设计。</w:t>
            </w:r>
          </w:p>
        </w:tc>
        <w:tc>
          <w:tcPr>
            <w:tcW w:w="659" w:type="dxa"/>
            <w:vAlign w:val="center"/>
          </w:tcPr>
          <w:p>
            <w:pPr>
              <w:widowControl/>
              <w:jc w:val="center"/>
              <w:rPr>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40" w:type="dxa"/>
            <w:vAlign w:val="center"/>
          </w:tcPr>
          <w:p>
            <w:pPr>
              <w:widowControl/>
              <w:rPr>
                <w:sz w:val="18"/>
                <w:szCs w:val="18"/>
              </w:rPr>
            </w:pPr>
            <w:r>
              <w:rPr>
                <w:color w:val="000000"/>
                <w:sz w:val="18"/>
                <w:szCs w:val="18"/>
              </w:rPr>
              <w:t>2.问题分析</w:t>
            </w:r>
          </w:p>
        </w:tc>
        <w:tc>
          <w:tcPr>
            <w:tcW w:w="5870" w:type="dxa"/>
          </w:tcPr>
          <w:p>
            <w:pPr>
              <w:pStyle w:val="20"/>
              <w:spacing w:before="0" w:beforeAutospacing="0" w:after="0" w:afterAutospacing="0"/>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2</w:t>
            </w:r>
            <w:r>
              <w:rPr>
                <w:rFonts w:hint="eastAsia"/>
                <w:sz w:val="18"/>
                <w:szCs w:val="18"/>
              </w:rPr>
              <w:t>能运用电子信息工程专业基本原理和方法，综合考虑多种影响因素，分析电子信息工程（含海洋电子信息）领域复杂工程问题，选择和优化问题的解决方案。</w:t>
            </w:r>
            <w:r>
              <w:rPr>
                <w:rFonts w:ascii="Times New Roman" w:hAnsi="Times New Roman"/>
                <w:sz w:val="18"/>
                <w:szCs w:val="18"/>
              </w:rPr>
              <w:t xml:space="preserve"> </w:t>
            </w:r>
          </w:p>
        </w:tc>
        <w:tc>
          <w:tcPr>
            <w:tcW w:w="659" w:type="dxa"/>
            <w:vAlign w:val="center"/>
          </w:tcPr>
          <w:p>
            <w:pPr>
              <w:widowControl/>
              <w:jc w:val="center"/>
              <w:rPr>
                <w:sz w:val="18"/>
                <w:szCs w:val="18"/>
              </w:rPr>
            </w:pPr>
            <w:r>
              <w:rPr>
                <w:bCs/>
                <w:color w:val="000000"/>
                <w:sz w:val="18"/>
                <w:szCs w:val="18"/>
              </w:rPr>
              <w:t>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2288"/>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color w:val="000000"/>
                <w:sz w:val="18"/>
                <w:szCs w:val="18"/>
              </w:rPr>
              <w:t>1.基础知识学习目标：理解统计信号处理的含义，即对信号的统计描述，统计意义上的最佳处理，性能的统计评估等概念；掌握扎实的统计信号处理的理论基础，包括信号的统计检测理论，估计理论的基本概念，分析研究问题的基本方法和基本运算；</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课堂讲授、指定阅读、网络学习等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Cs/>
                <w:color w:val="000000"/>
                <w:sz w:val="18"/>
                <w:szCs w:val="18"/>
              </w:rPr>
            </w:pPr>
            <w:r>
              <w:rPr>
                <w:bCs/>
                <w:color w:val="000000"/>
                <w:sz w:val="18"/>
                <w:szCs w:val="18"/>
              </w:rPr>
              <w:t>抽查提问、习题、期末考试</w:t>
            </w:r>
          </w:p>
          <w:p>
            <w:pPr>
              <w:widowControl/>
              <w:jc w:val="center"/>
              <w:rPr>
                <w:color w:val="333333"/>
                <w:sz w:val="18"/>
                <w:szCs w:val="18"/>
                <w:shd w:val="clear" w:color="auto" w:fill="FEFE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color w:val="333333"/>
                <w:sz w:val="18"/>
                <w:szCs w:val="18"/>
                <w:shd w:val="clear" w:color="auto" w:fill="FEFEFF"/>
              </w:rPr>
            </w:pPr>
            <w:r>
              <w:rPr>
                <w:sz w:val="18"/>
                <w:szCs w:val="18"/>
                <w:shd w:val="clear" w:color="auto" w:fill="FFFFFF"/>
              </w:rPr>
              <w:t>2.分析、解决问题的能力：运用随机信号的统计处理理论，针对实际问题能从物理的意义上而不仅限于数学公式上加以解决分析，以巩固、加深和扩展对所讨论问题的基本概念、基本方法和基本运算的掌握及熟练程度；运用Matlab软件编程实现统计信号处理和分析，加深对统计信号处理的理解。</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课堂讲授、案例研讨、作业、网络学习</w:t>
            </w:r>
            <w:r>
              <w:rPr>
                <w:rFonts w:hint="eastAsia"/>
                <w:sz w:val="18"/>
                <w:szCs w:val="18"/>
              </w:rPr>
              <w:t>、</w:t>
            </w:r>
            <w:r>
              <w:rPr>
                <w:sz w:val="18"/>
                <w:szCs w:val="18"/>
              </w:rPr>
              <w:t>上机实验等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Cs/>
                <w:color w:val="000000"/>
                <w:sz w:val="18"/>
                <w:szCs w:val="18"/>
              </w:rPr>
            </w:pPr>
            <w:r>
              <w:rPr>
                <w:bCs/>
                <w:color w:val="000000"/>
                <w:sz w:val="18"/>
                <w:szCs w:val="18"/>
              </w:rPr>
              <w:t>抽查提问、习题、</w:t>
            </w:r>
            <w:r>
              <w:rPr>
                <w:rFonts w:hint="eastAsia"/>
                <w:bCs/>
                <w:color w:val="000000"/>
                <w:sz w:val="18"/>
                <w:szCs w:val="18"/>
              </w:rPr>
              <w:t>专题研讨、</w:t>
            </w:r>
            <w:r>
              <w:rPr>
                <w:bCs/>
                <w:color w:val="000000"/>
                <w:sz w:val="18"/>
                <w:szCs w:val="18"/>
              </w:rPr>
              <w:t>期末考试</w:t>
            </w:r>
            <w:r>
              <w:rPr>
                <w:rFonts w:hint="eastAsia"/>
                <w:bCs/>
                <w:color w:val="000000"/>
                <w:sz w:val="18"/>
                <w:szCs w:val="18"/>
              </w:rPr>
              <w:t>、</w:t>
            </w:r>
            <w:r>
              <w:rPr>
                <w:bCs/>
                <w:color w:val="000000"/>
                <w:sz w:val="18"/>
                <w:szCs w:val="18"/>
              </w:rPr>
              <w:t>实验验收、实验报告</w:t>
            </w:r>
          </w:p>
          <w:p>
            <w:pPr>
              <w:widowControl/>
              <w:jc w:val="center"/>
              <w:rPr>
                <w:color w:val="333333"/>
                <w:sz w:val="18"/>
                <w:szCs w:val="18"/>
                <w:shd w:val="clear" w:color="auto" w:fill="FEFEFF"/>
              </w:rPr>
            </w:pP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rFonts w:hint="eastAsia"/>
          <w:szCs w:val="21"/>
        </w:rPr>
        <w:t>1.理论联系实际，注重案例教学：本课程的授课方法仍以课堂讲授为主，理论复杂，公式推导较多，无论对教师的“教”，还是对学生的“学”都有较大的难度；但该课程涉及知识领域非常广，几乎能运用到我们生活中的方方面面，因此应该注重工程案例教学，理论联系实际，寻找与本专业相关的、学生感兴趣的实例进行分析，加强学生对理论知识的理解。通过分析信号检测与估计在各项与人们生活息息相关的技术领域中的实际应用来加深学生对理论知识的理解和掌握。“信号检测与估计理论”它最早从雷达、通信、声纳等系统产生发展起来，现在它的应用已涉及几乎所有科学技术领域，不仅在自动控制、模式识别、系统识辨、图像处理、语音识别中广泛应用，而且在地震、天文、生物医学工程、化学、物理等学科得到应用。例如，通过引入通信系统的中二元数字通信系统来加深学生对统计检测理论的理解，通过引入通信系统中的FSK 信号接收来加深学生对波形检测理论的理解、通过引入雷达信号检测的方法来加深学生对对奈曼-皮尔逊准则和恒虚警概念的理解等。通过举例可以帮助学生更好的理解理论和公式，同时也明白理论的实际应用，提升学习兴趣。</w:t>
      </w:r>
    </w:p>
    <w:p>
      <w:pPr>
        <w:adjustRightInd w:val="0"/>
        <w:snapToGrid w:val="0"/>
        <w:spacing w:line="300" w:lineRule="auto"/>
        <w:ind w:firstLine="420" w:firstLineChars="200"/>
        <w:rPr>
          <w:szCs w:val="21"/>
        </w:rPr>
      </w:pPr>
      <w:r>
        <w:rPr>
          <w:rFonts w:hint="eastAsia"/>
          <w:szCs w:val="21"/>
        </w:rPr>
        <w:t>2.提高课堂教学服务水平：运用Matlab仿真软件，以实例分析的方法进行课程教学（不仅限于实验课）。通过Matlab强大的数据和图形处理功能，将“信号检测与估计”中比较抽象的物理概念和知识难点以易于理解的可视化形式加以演示，从而加深学生对知识点的理解，调动学生的学习积极性。例如，通过Matlab仿真软件来向学生讲解信号统计检测中的极大极小化准则，通过图形让学生理解猜测的先验概率对实际可能代价的影响、贝叶斯准则的最小平均代价的最大值、极大极小化准则的平均代价曲线等的意义。</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969"/>
        <w:gridCol w:w="4078"/>
        <w:gridCol w:w="702"/>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969" w:type="dxa"/>
            <w:vAlign w:val="center"/>
          </w:tcPr>
          <w:p>
            <w:pPr>
              <w:snapToGrid w:val="0"/>
              <w:spacing w:line="300" w:lineRule="auto"/>
              <w:ind w:firstLine="361" w:firstLineChars="200"/>
              <w:rPr>
                <w:b/>
                <w:bCs/>
                <w:sz w:val="18"/>
                <w:szCs w:val="18"/>
              </w:rPr>
            </w:pPr>
            <w:r>
              <w:rPr>
                <w:b/>
                <w:bCs/>
                <w:sz w:val="18"/>
                <w:szCs w:val="18"/>
              </w:rPr>
              <w:t>教学内容</w:t>
            </w:r>
          </w:p>
        </w:tc>
        <w:tc>
          <w:tcPr>
            <w:tcW w:w="4078"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02" w:type="dxa"/>
            <w:vAlign w:val="center"/>
          </w:tcPr>
          <w:p>
            <w:pPr>
              <w:snapToGrid w:val="0"/>
              <w:spacing w:line="300" w:lineRule="auto"/>
              <w:jc w:val="center"/>
              <w:rPr>
                <w:b/>
                <w:bCs/>
                <w:sz w:val="18"/>
                <w:szCs w:val="18"/>
              </w:rPr>
            </w:pPr>
            <w:r>
              <w:rPr>
                <w:b/>
                <w:bCs/>
                <w:sz w:val="18"/>
                <w:szCs w:val="18"/>
              </w:rPr>
              <w:t>学时</w:t>
            </w:r>
          </w:p>
        </w:tc>
        <w:tc>
          <w:tcPr>
            <w:tcW w:w="984"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widowControl/>
              <w:jc w:val="center"/>
              <w:rPr>
                <w:sz w:val="18"/>
                <w:szCs w:val="18"/>
              </w:rPr>
            </w:pPr>
            <w:r>
              <w:rPr>
                <w:kern w:val="0"/>
                <w:sz w:val="18"/>
                <w:szCs w:val="18"/>
              </w:rPr>
              <w:t>1</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信号检测与估计概论</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1.1信号检测与估计的概念</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1.2信号检测与估计理论的发展历程</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1.3信号的随机特性及其统计处理方法</w:t>
            </w:r>
          </w:p>
          <w:p>
            <w:pPr>
              <w:pStyle w:val="20"/>
              <w:shd w:val="clear" w:color="auto" w:fill="FFFFFF"/>
              <w:spacing w:before="0" w:beforeAutospacing="0" w:after="0" w:afterAutospacing="0"/>
              <w:rPr>
                <w:rFonts w:ascii="Times New Roman" w:hAnsi="Times New Roman"/>
                <w:sz w:val="18"/>
                <w:szCs w:val="18"/>
              </w:rPr>
            </w:pPr>
            <w:r>
              <w:rPr>
                <w:rFonts w:hint="eastAsia" w:ascii="Times New Roman" w:hAnsi="Times New Roman"/>
                <w:sz w:val="18"/>
                <w:szCs w:val="18"/>
              </w:rPr>
              <w:t>1.4课程的设置和要求</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ind w:right="-31" w:rightChars="-15"/>
              <w:rPr>
                <w:sz w:val="18"/>
                <w:szCs w:val="18"/>
              </w:rPr>
            </w:pPr>
            <w:r>
              <w:rPr>
                <w:sz w:val="18"/>
                <w:szCs w:val="18"/>
              </w:rPr>
              <w:t>1）了解：信号检测与估计的研究对象和发展历程</w:t>
            </w:r>
          </w:p>
          <w:p>
            <w:pPr>
              <w:ind w:right="-31" w:rightChars="-15"/>
              <w:rPr>
                <w:sz w:val="18"/>
                <w:szCs w:val="18"/>
              </w:rPr>
            </w:pPr>
            <w:r>
              <w:rPr>
                <w:sz w:val="18"/>
                <w:szCs w:val="18"/>
              </w:rPr>
              <w:t>2）理解：信号的随机特性及其统计处理方法</w:t>
            </w:r>
          </w:p>
          <w:p>
            <w:pPr>
              <w:ind w:right="-31" w:rightChars="-15"/>
              <w:rPr>
                <w:sz w:val="18"/>
                <w:szCs w:val="18"/>
              </w:rPr>
            </w:pPr>
            <w:r>
              <w:rPr>
                <w:sz w:val="18"/>
                <w:szCs w:val="18"/>
              </w:rPr>
              <w:t>2、作业内容：教材本章内容的思考与练习</w:t>
            </w:r>
          </w:p>
          <w:p>
            <w:pPr>
              <w:ind w:right="-31" w:rightChars="-15"/>
              <w:rPr>
                <w:sz w:val="18"/>
                <w:szCs w:val="18"/>
              </w:rPr>
            </w:pPr>
            <w:r>
              <w:rPr>
                <w:sz w:val="18"/>
                <w:szCs w:val="18"/>
              </w:rPr>
              <w:t>3、讨论内容：</w:t>
            </w:r>
            <w:r>
              <w:rPr>
                <w:rFonts w:hint="eastAsia"/>
                <w:sz w:val="18"/>
                <w:szCs w:val="18"/>
              </w:rPr>
              <w:t>无</w:t>
            </w:r>
          </w:p>
          <w:p>
            <w:pPr>
              <w:ind w:right="-31" w:rightChars="-15"/>
              <w:rPr>
                <w:sz w:val="18"/>
                <w:szCs w:val="18"/>
              </w:rPr>
            </w:pPr>
            <w:r>
              <w:rPr>
                <w:sz w:val="18"/>
                <w:szCs w:val="18"/>
              </w:rPr>
              <w:t>4、自学拓展：总结国内外信号检测与估计领域最新研究进展</w:t>
            </w:r>
          </w:p>
        </w:tc>
        <w:tc>
          <w:tcPr>
            <w:tcW w:w="702" w:type="dxa"/>
            <w:vAlign w:val="center"/>
          </w:tcPr>
          <w:p>
            <w:pPr>
              <w:widowControl/>
              <w:jc w:val="center"/>
              <w:rPr>
                <w:sz w:val="18"/>
                <w:szCs w:val="18"/>
              </w:rPr>
            </w:pPr>
            <w:r>
              <w:rPr>
                <w:kern w:val="0"/>
                <w:sz w:val="18"/>
                <w:szCs w:val="18"/>
              </w:rPr>
              <w:t>2</w:t>
            </w:r>
          </w:p>
        </w:tc>
        <w:tc>
          <w:tcPr>
            <w:tcW w:w="984" w:type="dxa"/>
            <w:vAlign w:val="center"/>
          </w:tcPr>
          <w:p>
            <w:pPr>
              <w:widowControl/>
              <w:jc w:val="center"/>
              <w:rPr>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widowControl/>
              <w:jc w:val="center"/>
              <w:rPr>
                <w:sz w:val="18"/>
                <w:szCs w:val="18"/>
              </w:rPr>
            </w:pPr>
            <w:r>
              <w:rPr>
                <w:kern w:val="0"/>
                <w:sz w:val="18"/>
                <w:szCs w:val="18"/>
              </w:rPr>
              <w:t>2</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第二章 信号检测与估计理论的基础知识</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2.1 随机过程及其统计描述</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2.2 一些常用的随机变量</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2.3 基本概率公式</w:t>
            </w:r>
          </w:p>
          <w:p>
            <w:pPr>
              <w:pStyle w:val="20"/>
              <w:shd w:val="clear" w:color="auto" w:fill="FFFFFF"/>
              <w:spacing w:before="0" w:beforeAutospacing="0" w:after="0" w:afterAutospacing="0"/>
              <w:rPr>
                <w:rFonts w:ascii="Times New Roman" w:hAnsi="Times New Roman"/>
                <w:sz w:val="18"/>
                <w:szCs w:val="18"/>
              </w:rPr>
            </w:pP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ind w:right="-31" w:rightChars="-15"/>
              <w:rPr>
                <w:sz w:val="18"/>
                <w:szCs w:val="18"/>
              </w:rPr>
            </w:pPr>
            <w:r>
              <w:rPr>
                <w:sz w:val="18"/>
                <w:szCs w:val="18"/>
              </w:rPr>
              <w:t>1）了解：随机过程</w:t>
            </w:r>
            <w:r>
              <w:rPr>
                <w:rFonts w:hint="eastAsia"/>
                <w:sz w:val="18"/>
                <w:szCs w:val="18"/>
              </w:rPr>
              <w:t>独</w:t>
            </w:r>
            <w:r>
              <w:rPr>
                <w:sz w:val="18"/>
                <w:szCs w:val="18"/>
              </w:rPr>
              <w:t>立性、相关性和正交性、一些常用的随机变量</w:t>
            </w:r>
          </w:p>
          <w:p>
            <w:pPr>
              <w:ind w:right="-31" w:rightChars="-15"/>
              <w:rPr>
                <w:sz w:val="18"/>
                <w:szCs w:val="18"/>
              </w:rPr>
            </w:pPr>
            <w:r>
              <w:rPr>
                <w:sz w:val="18"/>
                <w:szCs w:val="18"/>
              </w:rPr>
              <w:t>2）理解：随机过程平稳性与各态历经性</w:t>
            </w:r>
          </w:p>
          <w:p>
            <w:pPr>
              <w:widowControl/>
              <w:tabs>
                <w:tab w:val="left" w:pos="426"/>
                <w:tab w:val="left" w:pos="5245"/>
                <w:tab w:val="left" w:pos="5387"/>
              </w:tabs>
              <w:rPr>
                <w:kern w:val="0"/>
                <w:sz w:val="18"/>
                <w:szCs w:val="18"/>
              </w:rPr>
            </w:pPr>
            <w:r>
              <w:rPr>
                <w:sz w:val="18"/>
                <w:szCs w:val="18"/>
              </w:rPr>
              <w:t>3）掌握：随机过程的统计描述、</w:t>
            </w:r>
            <w:r>
              <w:rPr>
                <w:rFonts w:hint="eastAsia"/>
                <w:sz w:val="18"/>
                <w:szCs w:val="18"/>
              </w:rPr>
              <w:t>全概率公式和贝叶斯公式</w:t>
            </w:r>
          </w:p>
          <w:p>
            <w:pPr>
              <w:ind w:right="-31" w:rightChars="-15"/>
              <w:rPr>
                <w:sz w:val="18"/>
                <w:szCs w:val="18"/>
              </w:rPr>
            </w:pPr>
            <w:r>
              <w:rPr>
                <w:sz w:val="18"/>
                <w:szCs w:val="18"/>
              </w:rPr>
              <w:t>2、作业内容：教材本章内容的思考与练习</w:t>
            </w:r>
          </w:p>
          <w:p>
            <w:pPr>
              <w:ind w:right="-31" w:rightChars="-15"/>
              <w:rPr>
                <w:sz w:val="18"/>
                <w:szCs w:val="18"/>
              </w:rPr>
            </w:pPr>
            <w:r>
              <w:rPr>
                <w:sz w:val="18"/>
                <w:szCs w:val="18"/>
              </w:rPr>
              <w:t>3、讨论内容：两个随机过程相互统计独立、不相关和正交的概念如何区分？</w:t>
            </w:r>
          </w:p>
          <w:p>
            <w:pPr>
              <w:ind w:right="-31" w:rightChars="-15"/>
              <w:rPr>
                <w:sz w:val="18"/>
                <w:szCs w:val="18"/>
              </w:rPr>
            </w:pPr>
            <w:r>
              <w:rPr>
                <w:sz w:val="18"/>
                <w:szCs w:val="18"/>
              </w:rPr>
              <w:t>4、自学拓展：</w:t>
            </w:r>
            <w:r>
              <w:rPr>
                <w:rFonts w:hint="eastAsia"/>
                <w:sz w:val="18"/>
                <w:szCs w:val="18"/>
              </w:rPr>
              <w:t>无</w:t>
            </w:r>
          </w:p>
        </w:tc>
        <w:tc>
          <w:tcPr>
            <w:tcW w:w="702" w:type="dxa"/>
            <w:vAlign w:val="center"/>
          </w:tcPr>
          <w:p>
            <w:pPr>
              <w:widowControl/>
              <w:jc w:val="center"/>
              <w:rPr>
                <w:sz w:val="18"/>
                <w:szCs w:val="18"/>
              </w:rPr>
            </w:pPr>
            <w:r>
              <w:rPr>
                <w:kern w:val="0"/>
                <w:sz w:val="18"/>
                <w:szCs w:val="18"/>
              </w:rPr>
              <w:t>2</w:t>
            </w:r>
          </w:p>
        </w:tc>
        <w:tc>
          <w:tcPr>
            <w:tcW w:w="984" w:type="dxa"/>
            <w:vAlign w:val="center"/>
          </w:tcPr>
          <w:p>
            <w:pPr>
              <w:widowControl/>
              <w:jc w:val="center"/>
              <w:rPr>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sz w:val="18"/>
                <w:szCs w:val="18"/>
              </w:rPr>
            </w:pPr>
            <w:r>
              <w:rPr>
                <w:kern w:val="0"/>
                <w:sz w:val="18"/>
                <w:szCs w:val="18"/>
              </w:rPr>
              <w:t>3</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第三章 信号的统计检测理论</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3.1 检测理论的基本概念</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3.2 最大后验概率准则</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3.3 Bayes（贝叶斯）准则</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3.4 最小平均错误概率准则</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3.5 极大极小准则</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3.6 Neyman-Pearson（奈曼-皮尔逊）准则</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3.7 M元信号的统计检测</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ind w:right="-31" w:rightChars="-15"/>
              <w:rPr>
                <w:sz w:val="18"/>
                <w:szCs w:val="18"/>
              </w:rPr>
            </w:pPr>
            <w:r>
              <w:rPr>
                <w:sz w:val="18"/>
                <w:szCs w:val="18"/>
              </w:rPr>
              <w:t>1）理解：统计检测理论的基本概念</w:t>
            </w:r>
            <w:r>
              <w:rPr>
                <w:rFonts w:hint="eastAsia"/>
                <w:sz w:val="18"/>
                <w:szCs w:val="18"/>
              </w:rPr>
              <w:t>、各种检测准则的使用条件、</w:t>
            </w:r>
            <w:r>
              <w:rPr>
                <w:sz w:val="18"/>
                <w:szCs w:val="18"/>
              </w:rPr>
              <w:t>信号统计检测的性能</w:t>
            </w:r>
            <w:r>
              <w:rPr>
                <w:rFonts w:hint="eastAsia"/>
                <w:sz w:val="18"/>
                <w:szCs w:val="18"/>
              </w:rPr>
              <w:t>指标</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2）掌握：，贝叶斯准则，最大后验概率准则</w:t>
            </w:r>
          </w:p>
          <w:p>
            <w:pPr>
              <w:shd w:val="clear" w:color="auto" w:fill="FFFFFF"/>
              <w:tabs>
                <w:tab w:val="left" w:pos="426"/>
                <w:tab w:val="left" w:pos="5245"/>
                <w:tab w:val="left" w:pos="5387"/>
              </w:tabs>
              <w:rPr>
                <w:sz w:val="18"/>
                <w:szCs w:val="18"/>
              </w:rPr>
            </w:pPr>
            <w:r>
              <w:rPr>
                <w:sz w:val="18"/>
                <w:szCs w:val="18"/>
              </w:rPr>
              <w:t>最小平均错误概率准则</w:t>
            </w:r>
            <w:r>
              <w:rPr>
                <w:rFonts w:hint="eastAsia"/>
                <w:sz w:val="18"/>
                <w:szCs w:val="18"/>
              </w:rPr>
              <w:t>、</w:t>
            </w:r>
            <w:r>
              <w:rPr>
                <w:sz w:val="18"/>
                <w:szCs w:val="18"/>
              </w:rPr>
              <w:t>极大极小准则</w:t>
            </w:r>
            <w:r>
              <w:rPr>
                <w:rFonts w:hint="eastAsia"/>
                <w:sz w:val="18"/>
                <w:szCs w:val="18"/>
              </w:rPr>
              <w:t>、</w:t>
            </w:r>
            <w:r>
              <w:rPr>
                <w:sz w:val="18"/>
                <w:szCs w:val="18"/>
              </w:rPr>
              <w:t xml:space="preserve"> Neyman-Pearson（奈曼-皮尔逊）准则</w:t>
            </w:r>
            <w:r>
              <w:rPr>
                <w:rFonts w:hint="eastAsia"/>
                <w:sz w:val="18"/>
                <w:szCs w:val="18"/>
              </w:rPr>
              <w:t>的判决表达式及其在信号处理中的应用。</w:t>
            </w:r>
            <w:r>
              <w:rPr>
                <w:sz w:val="18"/>
                <w:szCs w:val="18"/>
              </w:rPr>
              <w:t>M元信号的统计检测</w:t>
            </w:r>
            <w:r>
              <w:rPr>
                <w:rFonts w:hint="eastAsia"/>
                <w:sz w:val="18"/>
                <w:szCs w:val="18"/>
              </w:rPr>
              <w:t>的判决方法。</w:t>
            </w:r>
          </w:p>
          <w:p>
            <w:pPr>
              <w:ind w:right="-31" w:rightChars="-15"/>
              <w:rPr>
                <w:sz w:val="18"/>
                <w:szCs w:val="18"/>
              </w:rPr>
            </w:pPr>
            <w:r>
              <w:rPr>
                <w:sz w:val="18"/>
                <w:szCs w:val="18"/>
              </w:rPr>
              <w:t>2、作业内容：教材本章内容的思考与练习</w:t>
            </w:r>
          </w:p>
          <w:p>
            <w:pPr>
              <w:ind w:right="-31" w:rightChars="-15"/>
              <w:rPr>
                <w:sz w:val="18"/>
                <w:szCs w:val="18"/>
              </w:rPr>
            </w:pPr>
            <w:r>
              <w:rPr>
                <w:sz w:val="18"/>
                <w:szCs w:val="18"/>
              </w:rPr>
              <w:t>3、讨论内容：各种检测准则的异同点</w:t>
            </w:r>
            <w:r>
              <w:rPr>
                <w:rFonts w:hint="eastAsia"/>
                <w:sz w:val="18"/>
                <w:szCs w:val="18"/>
              </w:rPr>
              <w:t>；</w:t>
            </w:r>
          </w:p>
          <w:p>
            <w:pPr>
              <w:ind w:right="-31" w:rightChars="-15"/>
              <w:rPr>
                <w:sz w:val="18"/>
                <w:szCs w:val="18"/>
              </w:rPr>
            </w:pPr>
            <w:r>
              <w:rPr>
                <w:sz w:val="18"/>
                <w:szCs w:val="18"/>
              </w:rPr>
              <w:t>4、自学拓展：信号的序列检测</w:t>
            </w:r>
          </w:p>
        </w:tc>
        <w:tc>
          <w:tcPr>
            <w:tcW w:w="702" w:type="dxa"/>
            <w:vAlign w:val="center"/>
          </w:tcPr>
          <w:p>
            <w:pPr>
              <w:widowControl/>
              <w:jc w:val="center"/>
              <w:rPr>
                <w:sz w:val="18"/>
                <w:szCs w:val="18"/>
              </w:rPr>
            </w:pPr>
            <w:r>
              <w:rPr>
                <w:kern w:val="0"/>
                <w:sz w:val="18"/>
                <w:szCs w:val="18"/>
              </w:rPr>
              <w:t>8</w:t>
            </w:r>
          </w:p>
        </w:tc>
        <w:tc>
          <w:tcPr>
            <w:tcW w:w="984" w:type="dxa"/>
            <w:vAlign w:val="center"/>
          </w:tcPr>
          <w:p>
            <w:pPr>
              <w:widowControl/>
              <w:ind w:firstLine="360" w:firstLineChars="200"/>
              <w:rPr>
                <w:sz w:val="18"/>
                <w:szCs w:val="18"/>
              </w:rPr>
            </w:pPr>
            <w:r>
              <w:rPr>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63" w:type="dxa"/>
            <w:tcMar>
              <w:left w:w="57" w:type="dxa"/>
              <w:right w:w="57" w:type="dxa"/>
            </w:tcMar>
            <w:vAlign w:val="center"/>
          </w:tcPr>
          <w:p>
            <w:pPr>
              <w:widowControl/>
              <w:jc w:val="center"/>
              <w:rPr>
                <w:sz w:val="18"/>
                <w:szCs w:val="18"/>
              </w:rPr>
            </w:pPr>
            <w:r>
              <w:rPr>
                <w:kern w:val="0"/>
                <w:sz w:val="18"/>
                <w:szCs w:val="18"/>
              </w:rPr>
              <w:t>4</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第4章 信号的波形检测</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4.1 匹配滤波器理论4.2 随机过程正交级数展开</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4.3 高斯白噪声中确知信号波形的检测</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ind w:right="-31" w:rightChars="-15"/>
              <w:rPr>
                <w:sz w:val="18"/>
                <w:szCs w:val="18"/>
              </w:rPr>
            </w:pPr>
            <w:r>
              <w:rPr>
                <w:sz w:val="18"/>
                <w:szCs w:val="18"/>
              </w:rPr>
              <w:t>1）了解：匹配滤波器理论</w:t>
            </w:r>
          </w:p>
          <w:p>
            <w:pPr>
              <w:ind w:right="-31" w:rightChars="-15"/>
              <w:rPr>
                <w:sz w:val="18"/>
                <w:szCs w:val="18"/>
              </w:rPr>
            </w:pPr>
            <w:r>
              <w:rPr>
                <w:sz w:val="18"/>
                <w:szCs w:val="18"/>
              </w:rPr>
              <w:t>2）理解：</w:t>
            </w:r>
            <w:r>
              <w:rPr>
                <w:rFonts w:hint="eastAsia"/>
                <w:sz w:val="18"/>
                <w:szCs w:val="18"/>
              </w:rPr>
              <w:t>随机过程的正交级数展开</w:t>
            </w:r>
          </w:p>
          <w:p>
            <w:pPr>
              <w:widowControl/>
              <w:tabs>
                <w:tab w:val="left" w:pos="426"/>
                <w:tab w:val="left" w:pos="5245"/>
                <w:tab w:val="left" w:pos="5387"/>
              </w:tabs>
              <w:rPr>
                <w:kern w:val="0"/>
                <w:sz w:val="18"/>
                <w:szCs w:val="18"/>
              </w:rPr>
            </w:pPr>
            <w:r>
              <w:rPr>
                <w:rFonts w:hint="eastAsia"/>
                <w:sz w:val="18"/>
                <w:szCs w:val="18"/>
              </w:rPr>
              <w:t>3</w:t>
            </w:r>
            <w:r>
              <w:rPr>
                <w:sz w:val="18"/>
                <w:szCs w:val="18"/>
              </w:rPr>
              <w:t>）掌握：高斯白噪声中的确知信号波形的检测</w:t>
            </w:r>
          </w:p>
          <w:p>
            <w:pPr>
              <w:ind w:right="-31" w:rightChars="-15"/>
              <w:rPr>
                <w:sz w:val="18"/>
                <w:szCs w:val="18"/>
              </w:rPr>
            </w:pPr>
            <w:r>
              <w:rPr>
                <w:sz w:val="18"/>
                <w:szCs w:val="18"/>
              </w:rPr>
              <w:t>2、作业内容：教材本章内容的思考与练习</w:t>
            </w:r>
          </w:p>
          <w:p>
            <w:pPr>
              <w:ind w:right="-31" w:rightChars="-15"/>
              <w:rPr>
                <w:sz w:val="18"/>
                <w:szCs w:val="18"/>
              </w:rPr>
            </w:pPr>
            <w:r>
              <w:rPr>
                <w:sz w:val="18"/>
                <w:szCs w:val="18"/>
              </w:rPr>
              <w:t>3、讨论内容：高斯白噪声中多元确知信号波形的检测中，平均错误概率与哪些因素有关？</w:t>
            </w:r>
          </w:p>
          <w:p>
            <w:pPr>
              <w:ind w:right="-31" w:rightChars="-15"/>
              <w:rPr>
                <w:sz w:val="18"/>
                <w:szCs w:val="18"/>
              </w:rPr>
            </w:pPr>
            <w:r>
              <w:rPr>
                <w:sz w:val="18"/>
                <w:szCs w:val="18"/>
              </w:rPr>
              <w:t>4、自学拓展：高斯白噪声中随机参量信号波形的检测</w:t>
            </w:r>
          </w:p>
        </w:tc>
        <w:tc>
          <w:tcPr>
            <w:tcW w:w="702" w:type="dxa"/>
            <w:vAlign w:val="center"/>
          </w:tcPr>
          <w:p>
            <w:pPr>
              <w:widowControl/>
              <w:jc w:val="center"/>
              <w:rPr>
                <w:sz w:val="18"/>
                <w:szCs w:val="18"/>
              </w:rPr>
            </w:pPr>
            <w:r>
              <w:rPr>
                <w:rFonts w:hint="eastAsia"/>
                <w:kern w:val="0"/>
                <w:sz w:val="18"/>
                <w:szCs w:val="18"/>
              </w:rPr>
              <w:t>6</w:t>
            </w:r>
          </w:p>
        </w:tc>
        <w:tc>
          <w:tcPr>
            <w:tcW w:w="984" w:type="dxa"/>
            <w:vAlign w:val="center"/>
          </w:tcPr>
          <w:p>
            <w:pPr>
              <w:widowControl/>
              <w:jc w:val="center"/>
              <w:rPr>
                <w:sz w:val="18"/>
                <w:szCs w:val="18"/>
              </w:rPr>
            </w:pPr>
            <w:r>
              <w:rPr>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3" w:type="dxa"/>
            <w:tcMar>
              <w:left w:w="57" w:type="dxa"/>
              <w:right w:w="57" w:type="dxa"/>
            </w:tcMar>
            <w:vAlign w:val="center"/>
          </w:tcPr>
          <w:p>
            <w:pPr>
              <w:widowControl/>
              <w:jc w:val="center"/>
              <w:rPr>
                <w:sz w:val="18"/>
                <w:szCs w:val="18"/>
              </w:rPr>
            </w:pPr>
            <w:r>
              <w:rPr>
                <w:kern w:val="0"/>
                <w:sz w:val="18"/>
                <w:szCs w:val="18"/>
              </w:rPr>
              <w:t>5</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第五章 信号的统计估计理论</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5.1 随机参量的贝叶斯估计</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5.2 最大似然估计</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5.3 估计量的性质</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ind w:right="-31" w:rightChars="-15"/>
              <w:rPr>
                <w:sz w:val="18"/>
                <w:szCs w:val="18"/>
              </w:rPr>
            </w:pPr>
            <w:r>
              <w:rPr>
                <w:sz w:val="18"/>
                <w:szCs w:val="18"/>
              </w:rPr>
              <w:t>1）理解：信号参量统计估计理论的模型</w:t>
            </w:r>
            <w:r>
              <w:rPr>
                <w:rFonts w:hint="eastAsia"/>
                <w:sz w:val="18"/>
                <w:szCs w:val="18"/>
              </w:rPr>
              <w:t>、估计量的构造原则</w:t>
            </w:r>
          </w:p>
          <w:p>
            <w:pPr>
              <w:widowControl/>
              <w:tabs>
                <w:tab w:val="left" w:pos="426"/>
                <w:tab w:val="left" w:pos="5245"/>
                <w:tab w:val="left" w:pos="5387"/>
              </w:tabs>
              <w:rPr>
                <w:kern w:val="0"/>
                <w:sz w:val="18"/>
                <w:szCs w:val="18"/>
              </w:rPr>
            </w:pPr>
            <w:r>
              <w:rPr>
                <w:rFonts w:hint="eastAsia"/>
                <w:sz w:val="18"/>
                <w:szCs w:val="18"/>
              </w:rPr>
              <w:t>2</w:t>
            </w:r>
            <w:r>
              <w:rPr>
                <w:sz w:val="18"/>
                <w:szCs w:val="18"/>
              </w:rPr>
              <w:t>）掌握：随机参量的贝叶斯估计，最大似然估计，估计量的性质</w:t>
            </w:r>
          </w:p>
          <w:p>
            <w:pPr>
              <w:ind w:right="-31" w:rightChars="-15"/>
              <w:rPr>
                <w:sz w:val="18"/>
                <w:szCs w:val="18"/>
              </w:rPr>
            </w:pPr>
            <w:r>
              <w:rPr>
                <w:sz w:val="18"/>
                <w:szCs w:val="18"/>
              </w:rPr>
              <w:t>2、作业内容：教材本章内容的思考与练习</w:t>
            </w:r>
          </w:p>
          <w:p>
            <w:pPr>
              <w:ind w:right="-31" w:rightChars="-15"/>
              <w:rPr>
                <w:sz w:val="18"/>
                <w:szCs w:val="18"/>
              </w:rPr>
            </w:pPr>
            <w:r>
              <w:rPr>
                <w:sz w:val="18"/>
                <w:szCs w:val="18"/>
              </w:rPr>
              <w:t>3、讨论内容：不同估计方法的区别和联系</w:t>
            </w:r>
          </w:p>
          <w:p>
            <w:pPr>
              <w:ind w:right="-31" w:rightChars="-15"/>
              <w:rPr>
                <w:sz w:val="18"/>
                <w:szCs w:val="18"/>
              </w:rPr>
            </w:pPr>
            <w:r>
              <w:rPr>
                <w:sz w:val="18"/>
                <w:szCs w:val="18"/>
              </w:rPr>
              <w:t>4、自学拓展：一般高斯信号参量的统计估计</w:t>
            </w:r>
            <w:r>
              <w:rPr>
                <w:rFonts w:hint="eastAsia"/>
                <w:sz w:val="18"/>
                <w:szCs w:val="18"/>
              </w:rPr>
              <w:t>、</w:t>
            </w:r>
            <w:r>
              <w:rPr>
                <w:sz w:val="18"/>
                <w:szCs w:val="18"/>
              </w:rPr>
              <w:t>最小二乘估计</w:t>
            </w:r>
          </w:p>
        </w:tc>
        <w:tc>
          <w:tcPr>
            <w:tcW w:w="702" w:type="dxa"/>
            <w:vAlign w:val="center"/>
          </w:tcPr>
          <w:p>
            <w:pPr>
              <w:widowControl/>
              <w:jc w:val="center"/>
              <w:rPr>
                <w:sz w:val="18"/>
                <w:szCs w:val="18"/>
              </w:rPr>
            </w:pPr>
            <w:r>
              <w:rPr>
                <w:rFonts w:hint="eastAsia"/>
                <w:kern w:val="0"/>
                <w:sz w:val="18"/>
                <w:szCs w:val="18"/>
              </w:rPr>
              <w:t>8</w:t>
            </w:r>
          </w:p>
        </w:tc>
        <w:tc>
          <w:tcPr>
            <w:tcW w:w="984" w:type="dxa"/>
            <w:vAlign w:val="center"/>
          </w:tcPr>
          <w:p>
            <w:pPr>
              <w:widowControl/>
              <w:jc w:val="center"/>
              <w:rPr>
                <w:sz w:val="18"/>
                <w:szCs w:val="18"/>
              </w:rPr>
            </w:pPr>
            <w:r>
              <w:rPr>
                <w:color w:val="000000"/>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73"/>
        <w:gridCol w:w="2370"/>
        <w:gridCol w:w="722"/>
        <w:gridCol w:w="723"/>
        <w:gridCol w:w="722"/>
        <w:gridCol w:w="72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1" w:type="dxa"/>
            <w:vAlign w:val="center"/>
          </w:tcPr>
          <w:p>
            <w:pPr>
              <w:snapToGrid w:val="0"/>
              <w:spacing w:line="300" w:lineRule="auto"/>
              <w:rPr>
                <w:b/>
                <w:bCs/>
                <w:color w:val="000000"/>
                <w:sz w:val="18"/>
                <w:szCs w:val="18"/>
              </w:rPr>
            </w:pPr>
            <w:r>
              <w:rPr>
                <w:b/>
                <w:bCs/>
                <w:kern w:val="0"/>
                <w:sz w:val="18"/>
                <w:szCs w:val="18"/>
              </w:rPr>
              <w:t>序号</w:t>
            </w:r>
          </w:p>
        </w:tc>
        <w:tc>
          <w:tcPr>
            <w:tcW w:w="1673" w:type="dxa"/>
            <w:vAlign w:val="center"/>
          </w:tcPr>
          <w:p>
            <w:pPr>
              <w:snapToGrid w:val="0"/>
              <w:spacing w:line="300" w:lineRule="auto"/>
              <w:jc w:val="center"/>
              <w:rPr>
                <w:b/>
                <w:bCs/>
                <w:color w:val="000000"/>
                <w:sz w:val="18"/>
                <w:szCs w:val="18"/>
              </w:rPr>
            </w:pPr>
            <w:r>
              <w:rPr>
                <w:b/>
                <w:bCs/>
                <w:kern w:val="0"/>
                <w:sz w:val="18"/>
                <w:szCs w:val="18"/>
              </w:rPr>
              <w:t>实验项目名称</w:t>
            </w:r>
          </w:p>
        </w:tc>
        <w:tc>
          <w:tcPr>
            <w:tcW w:w="2370" w:type="dxa"/>
            <w:vAlign w:val="center"/>
          </w:tcPr>
          <w:p>
            <w:pPr>
              <w:snapToGrid w:val="0"/>
              <w:spacing w:line="300" w:lineRule="auto"/>
              <w:jc w:val="center"/>
              <w:rPr>
                <w:b/>
                <w:bCs/>
                <w:color w:val="000000"/>
                <w:sz w:val="18"/>
                <w:szCs w:val="18"/>
              </w:rPr>
            </w:pPr>
            <w:r>
              <w:rPr>
                <w:b/>
                <w:bCs/>
                <w:kern w:val="0"/>
                <w:sz w:val="18"/>
                <w:szCs w:val="18"/>
              </w:rPr>
              <w:t>目的要求</w:t>
            </w:r>
          </w:p>
        </w:tc>
        <w:tc>
          <w:tcPr>
            <w:tcW w:w="722" w:type="dxa"/>
            <w:vAlign w:val="center"/>
          </w:tcPr>
          <w:p>
            <w:pPr>
              <w:snapToGrid w:val="0"/>
              <w:spacing w:line="300" w:lineRule="auto"/>
              <w:jc w:val="center"/>
              <w:rPr>
                <w:b/>
                <w:bCs/>
                <w:color w:val="000000"/>
                <w:sz w:val="18"/>
                <w:szCs w:val="18"/>
              </w:rPr>
            </w:pPr>
            <w:r>
              <w:rPr>
                <w:b/>
                <w:bCs/>
                <w:kern w:val="0"/>
                <w:sz w:val="18"/>
                <w:szCs w:val="18"/>
              </w:rPr>
              <w:t>学时分配</w:t>
            </w:r>
          </w:p>
        </w:tc>
        <w:tc>
          <w:tcPr>
            <w:tcW w:w="723" w:type="dxa"/>
            <w:vAlign w:val="center"/>
          </w:tcPr>
          <w:p>
            <w:pPr>
              <w:snapToGrid w:val="0"/>
              <w:spacing w:line="300" w:lineRule="auto"/>
              <w:jc w:val="center"/>
              <w:rPr>
                <w:b/>
                <w:bCs/>
                <w:kern w:val="0"/>
                <w:sz w:val="18"/>
                <w:szCs w:val="18"/>
              </w:rPr>
            </w:pPr>
            <w:r>
              <w:rPr>
                <w:b/>
                <w:bCs/>
                <w:kern w:val="0"/>
                <w:sz w:val="18"/>
                <w:szCs w:val="18"/>
              </w:rPr>
              <w:t>实验类型</w:t>
            </w:r>
          </w:p>
        </w:tc>
        <w:tc>
          <w:tcPr>
            <w:tcW w:w="722" w:type="dxa"/>
            <w:vAlign w:val="center"/>
          </w:tcPr>
          <w:p>
            <w:pPr>
              <w:snapToGrid w:val="0"/>
              <w:spacing w:line="300" w:lineRule="auto"/>
              <w:jc w:val="center"/>
              <w:rPr>
                <w:b/>
                <w:bCs/>
                <w:kern w:val="0"/>
                <w:sz w:val="18"/>
                <w:szCs w:val="18"/>
              </w:rPr>
            </w:pPr>
            <w:r>
              <w:rPr>
                <w:b/>
                <w:bCs/>
                <w:kern w:val="0"/>
                <w:sz w:val="18"/>
                <w:szCs w:val="18"/>
              </w:rPr>
              <w:t>每组人数</w:t>
            </w:r>
          </w:p>
        </w:tc>
        <w:tc>
          <w:tcPr>
            <w:tcW w:w="7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20" w:type="dxa"/>
            <w:vAlign w:val="center"/>
          </w:tcPr>
          <w:p>
            <w:pPr>
              <w:snapToGrid w:val="0"/>
              <w:spacing w:line="300" w:lineRule="auto"/>
              <w:jc w:val="center"/>
              <w:rPr>
                <w:b/>
                <w:bCs/>
                <w:kern w:val="0"/>
                <w:sz w:val="18"/>
                <w:szCs w:val="18"/>
              </w:rPr>
            </w:pPr>
            <w:r>
              <w:rPr>
                <w:rFonts w:hint="eastAsia"/>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1" w:type="dxa"/>
            <w:vAlign w:val="center"/>
          </w:tcPr>
          <w:p>
            <w:pPr>
              <w:snapToGrid w:val="0"/>
              <w:spacing w:line="300" w:lineRule="auto"/>
              <w:jc w:val="center"/>
              <w:rPr>
                <w:b/>
                <w:bCs/>
                <w:kern w:val="0"/>
                <w:sz w:val="18"/>
                <w:szCs w:val="18"/>
              </w:rPr>
            </w:pPr>
            <w:r>
              <w:rPr>
                <w:rFonts w:hint="eastAsia"/>
                <w:sz w:val="18"/>
                <w:szCs w:val="18"/>
              </w:rPr>
              <w:t>1</w:t>
            </w:r>
          </w:p>
        </w:tc>
        <w:tc>
          <w:tcPr>
            <w:tcW w:w="1673" w:type="dxa"/>
            <w:vAlign w:val="center"/>
          </w:tcPr>
          <w:p>
            <w:pPr>
              <w:snapToGrid w:val="0"/>
              <w:spacing w:line="300" w:lineRule="auto"/>
              <w:jc w:val="center"/>
              <w:rPr>
                <w:b/>
                <w:bCs/>
                <w:kern w:val="0"/>
                <w:sz w:val="18"/>
                <w:szCs w:val="18"/>
              </w:rPr>
            </w:pPr>
            <w:r>
              <w:rPr>
                <w:rFonts w:hint="eastAsia"/>
                <w:sz w:val="18"/>
                <w:szCs w:val="18"/>
              </w:rPr>
              <w:t>Matlab随机数据的统计描述</w:t>
            </w:r>
          </w:p>
        </w:tc>
        <w:tc>
          <w:tcPr>
            <w:tcW w:w="2370" w:type="dxa"/>
            <w:vAlign w:val="center"/>
          </w:tcPr>
          <w:p>
            <w:pPr>
              <w:snapToGrid w:val="0"/>
              <w:spacing w:line="300" w:lineRule="auto"/>
              <w:jc w:val="center"/>
              <w:rPr>
                <w:b/>
                <w:bCs/>
                <w:kern w:val="0"/>
                <w:sz w:val="18"/>
                <w:szCs w:val="18"/>
              </w:rPr>
            </w:pPr>
            <w:r>
              <w:rPr>
                <w:rFonts w:hint="eastAsia"/>
                <w:sz w:val="18"/>
                <w:szCs w:val="18"/>
              </w:rPr>
              <w:t>通过计算随机序列的均值、方差和相关系数等，加深对随机序列的理解，掌握随机序列的统计特性。</w:t>
            </w:r>
          </w:p>
        </w:tc>
        <w:tc>
          <w:tcPr>
            <w:tcW w:w="722" w:type="dxa"/>
            <w:vAlign w:val="center"/>
          </w:tcPr>
          <w:p>
            <w:pPr>
              <w:snapToGrid w:val="0"/>
              <w:spacing w:line="300" w:lineRule="auto"/>
              <w:jc w:val="center"/>
              <w:rPr>
                <w:b/>
                <w:bCs/>
                <w:kern w:val="0"/>
                <w:sz w:val="18"/>
                <w:szCs w:val="18"/>
              </w:rPr>
            </w:pPr>
            <w:r>
              <w:rPr>
                <w:sz w:val="18"/>
                <w:szCs w:val="18"/>
              </w:rPr>
              <w:t>2</w:t>
            </w:r>
          </w:p>
        </w:tc>
        <w:tc>
          <w:tcPr>
            <w:tcW w:w="723" w:type="dxa"/>
            <w:vAlign w:val="center"/>
          </w:tcPr>
          <w:p>
            <w:pPr>
              <w:snapToGrid w:val="0"/>
              <w:spacing w:line="300" w:lineRule="auto"/>
              <w:jc w:val="center"/>
              <w:rPr>
                <w:b/>
                <w:bCs/>
                <w:kern w:val="0"/>
                <w:sz w:val="18"/>
                <w:szCs w:val="18"/>
              </w:rPr>
            </w:pPr>
            <w:r>
              <w:rPr>
                <w:sz w:val="18"/>
                <w:szCs w:val="18"/>
              </w:rPr>
              <w:t>验证</w:t>
            </w:r>
          </w:p>
        </w:tc>
        <w:tc>
          <w:tcPr>
            <w:tcW w:w="722" w:type="dxa"/>
            <w:vAlign w:val="center"/>
          </w:tcPr>
          <w:p>
            <w:pPr>
              <w:snapToGrid w:val="0"/>
              <w:spacing w:line="300" w:lineRule="auto"/>
              <w:jc w:val="center"/>
              <w:rPr>
                <w:b/>
                <w:bCs/>
                <w:kern w:val="0"/>
                <w:sz w:val="18"/>
                <w:szCs w:val="18"/>
              </w:rPr>
            </w:pPr>
            <w:r>
              <w:rPr>
                <w:sz w:val="18"/>
                <w:szCs w:val="18"/>
              </w:rPr>
              <w:t>1</w:t>
            </w:r>
          </w:p>
        </w:tc>
        <w:tc>
          <w:tcPr>
            <w:tcW w:w="723" w:type="dxa"/>
            <w:vAlign w:val="center"/>
          </w:tcPr>
          <w:p>
            <w:pPr>
              <w:snapToGrid w:val="0"/>
              <w:spacing w:line="300" w:lineRule="auto"/>
              <w:jc w:val="center"/>
              <w:rPr>
                <w:b/>
                <w:bCs/>
                <w:kern w:val="0"/>
                <w:sz w:val="18"/>
                <w:szCs w:val="18"/>
              </w:rPr>
            </w:pPr>
            <w:r>
              <w:rPr>
                <w:sz w:val="18"/>
                <w:szCs w:val="18"/>
              </w:rPr>
              <w:t>必开</w:t>
            </w:r>
          </w:p>
        </w:tc>
        <w:tc>
          <w:tcPr>
            <w:tcW w:w="720" w:type="dxa"/>
            <w:vAlign w:val="center"/>
          </w:tcPr>
          <w:p>
            <w:pPr>
              <w:snapToGrid w:val="0"/>
              <w:spacing w:line="300" w:lineRule="auto"/>
              <w:jc w:val="center"/>
              <w:rPr>
                <w:b/>
                <w:bCs/>
                <w:kern w:val="0"/>
                <w:sz w:val="18"/>
                <w:szCs w:val="18"/>
              </w:rPr>
            </w:pPr>
            <w:r>
              <w:rPr>
                <w:rFonts w:hint="eastAsia"/>
                <w:b/>
                <w:bCs/>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81" w:type="dxa"/>
            <w:vAlign w:val="center"/>
          </w:tcPr>
          <w:p>
            <w:pPr>
              <w:adjustRightInd w:val="0"/>
              <w:snapToGrid w:val="0"/>
              <w:ind w:left="-105" w:right="-105" w:rightChars="-50"/>
              <w:jc w:val="center"/>
              <w:rPr>
                <w:sz w:val="18"/>
                <w:szCs w:val="18"/>
              </w:rPr>
            </w:pPr>
            <w:r>
              <w:rPr>
                <w:rFonts w:hint="eastAsia"/>
                <w:sz w:val="18"/>
                <w:szCs w:val="18"/>
              </w:rPr>
              <w:t>2</w:t>
            </w:r>
          </w:p>
        </w:tc>
        <w:tc>
          <w:tcPr>
            <w:tcW w:w="1673" w:type="dxa"/>
            <w:vAlign w:val="center"/>
          </w:tcPr>
          <w:p>
            <w:pPr>
              <w:adjustRightInd w:val="0"/>
              <w:snapToGrid w:val="0"/>
              <w:spacing w:after="120"/>
              <w:jc w:val="center"/>
              <w:rPr>
                <w:sz w:val="18"/>
                <w:szCs w:val="18"/>
              </w:rPr>
            </w:pPr>
            <w:r>
              <w:rPr>
                <w:sz w:val="18"/>
                <w:szCs w:val="18"/>
              </w:rPr>
              <w:t>奈曼－皮尔逊准则实验</w:t>
            </w:r>
          </w:p>
        </w:tc>
        <w:tc>
          <w:tcPr>
            <w:tcW w:w="2370" w:type="dxa"/>
            <w:vAlign w:val="center"/>
          </w:tcPr>
          <w:p>
            <w:pPr>
              <w:tabs>
                <w:tab w:val="right" w:leader="dot" w:pos="9174"/>
              </w:tabs>
              <w:adjustRightInd w:val="0"/>
              <w:snapToGrid w:val="0"/>
              <w:rPr>
                <w:sz w:val="18"/>
                <w:szCs w:val="18"/>
              </w:rPr>
            </w:pPr>
            <w:r>
              <w:rPr>
                <w:sz w:val="18"/>
                <w:szCs w:val="18"/>
              </w:rPr>
              <w:t>通过查表计算门限</w:t>
            </w:r>
            <w:r>
              <w:rPr>
                <w:position w:val="-10"/>
                <w:sz w:val="18"/>
                <w:szCs w:val="18"/>
              </w:rPr>
              <w:drawing>
                <wp:inline distT="0" distB="0" distL="0" distR="0">
                  <wp:extent cx="266065" cy="172085"/>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266065" cy="172085"/>
                          </a:xfrm>
                          <a:prstGeom prst="rect">
                            <a:avLst/>
                          </a:prstGeom>
                          <a:noFill/>
                          <a:ln>
                            <a:noFill/>
                          </a:ln>
                        </pic:spPr>
                      </pic:pic>
                    </a:graphicData>
                  </a:graphic>
                </wp:inline>
              </w:drawing>
            </w:r>
            <w:r>
              <w:rPr>
                <w:sz w:val="18"/>
                <w:szCs w:val="18"/>
              </w:rPr>
              <w:t>和</w:t>
            </w:r>
            <w:r>
              <w:rPr>
                <w:position w:val="-10"/>
                <w:sz w:val="18"/>
                <w:szCs w:val="18"/>
              </w:rPr>
              <w:drawing>
                <wp:inline distT="0" distB="0" distL="0" distR="0">
                  <wp:extent cx="121920" cy="1606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21920" cy="160655"/>
                          </a:xfrm>
                          <a:prstGeom prst="rect">
                            <a:avLst/>
                          </a:prstGeom>
                          <a:noFill/>
                          <a:ln>
                            <a:noFill/>
                          </a:ln>
                        </pic:spPr>
                      </pic:pic>
                    </a:graphicData>
                  </a:graphic>
                </wp:inline>
              </w:drawing>
            </w:r>
            <w:r>
              <w:rPr>
                <w:sz w:val="18"/>
                <w:szCs w:val="18"/>
              </w:rPr>
              <w:t>；利用计算得到的门限值，编程实现虚警概率、检测概率的计算</w:t>
            </w:r>
          </w:p>
        </w:tc>
        <w:tc>
          <w:tcPr>
            <w:tcW w:w="722"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2</w:t>
            </w:r>
          </w:p>
        </w:tc>
        <w:tc>
          <w:tcPr>
            <w:tcW w:w="723"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验证</w:t>
            </w:r>
          </w:p>
        </w:tc>
        <w:tc>
          <w:tcPr>
            <w:tcW w:w="722" w:type="dxa"/>
          </w:tcPr>
          <w:p>
            <w:pPr>
              <w:adjustRightInd w:val="0"/>
              <w:snapToGrid w:val="0"/>
              <w:jc w:val="center"/>
              <w:rPr>
                <w:sz w:val="18"/>
                <w:szCs w:val="18"/>
              </w:rPr>
            </w:pPr>
          </w:p>
          <w:p>
            <w:pPr>
              <w:adjustRightInd w:val="0"/>
              <w:snapToGrid w:val="0"/>
              <w:ind w:firstLine="180" w:firstLineChars="100"/>
              <w:jc w:val="center"/>
              <w:rPr>
                <w:sz w:val="18"/>
                <w:szCs w:val="18"/>
              </w:rPr>
            </w:pPr>
          </w:p>
          <w:p>
            <w:pPr>
              <w:adjustRightInd w:val="0"/>
              <w:snapToGrid w:val="0"/>
              <w:jc w:val="center"/>
              <w:rPr>
                <w:sz w:val="18"/>
                <w:szCs w:val="18"/>
              </w:rPr>
            </w:pPr>
            <w:r>
              <w:rPr>
                <w:sz w:val="18"/>
                <w:szCs w:val="18"/>
              </w:rPr>
              <w:t>1</w:t>
            </w:r>
          </w:p>
        </w:tc>
        <w:tc>
          <w:tcPr>
            <w:tcW w:w="723"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必开</w:t>
            </w:r>
          </w:p>
        </w:tc>
        <w:tc>
          <w:tcPr>
            <w:tcW w:w="720"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81" w:type="dxa"/>
            <w:vAlign w:val="center"/>
          </w:tcPr>
          <w:p>
            <w:pPr>
              <w:adjustRightInd w:val="0"/>
              <w:snapToGrid w:val="0"/>
              <w:ind w:right="-105" w:rightChars="-50"/>
              <w:jc w:val="center"/>
              <w:rPr>
                <w:sz w:val="18"/>
                <w:szCs w:val="18"/>
              </w:rPr>
            </w:pPr>
            <w:r>
              <w:rPr>
                <w:rFonts w:hint="eastAsia"/>
                <w:sz w:val="18"/>
                <w:szCs w:val="18"/>
              </w:rPr>
              <w:t>3</w:t>
            </w:r>
          </w:p>
        </w:tc>
        <w:tc>
          <w:tcPr>
            <w:tcW w:w="1673" w:type="dxa"/>
            <w:vAlign w:val="center"/>
          </w:tcPr>
          <w:p>
            <w:pPr>
              <w:adjustRightInd w:val="0"/>
              <w:snapToGrid w:val="0"/>
              <w:spacing w:after="120"/>
              <w:jc w:val="center"/>
              <w:rPr>
                <w:sz w:val="18"/>
                <w:szCs w:val="18"/>
              </w:rPr>
            </w:pPr>
            <w:r>
              <w:rPr>
                <w:sz w:val="18"/>
                <w:szCs w:val="18"/>
              </w:rPr>
              <w:t>接收机工作特性分析</w:t>
            </w:r>
          </w:p>
        </w:tc>
        <w:tc>
          <w:tcPr>
            <w:tcW w:w="2370" w:type="dxa"/>
            <w:vAlign w:val="center"/>
          </w:tcPr>
          <w:p>
            <w:pPr>
              <w:tabs>
                <w:tab w:val="right" w:leader="dot" w:pos="9174"/>
              </w:tabs>
              <w:adjustRightInd w:val="0"/>
              <w:snapToGrid w:val="0"/>
              <w:rPr>
                <w:sz w:val="18"/>
                <w:szCs w:val="18"/>
              </w:rPr>
            </w:pPr>
            <w:r>
              <w:rPr>
                <w:sz w:val="18"/>
                <w:szCs w:val="18"/>
              </w:rPr>
              <w:t>理论上分析虚警概率</w:t>
            </w:r>
            <w:r>
              <w:rPr>
                <w:position w:val="-10"/>
                <w:sz w:val="18"/>
                <w:szCs w:val="18"/>
              </w:rPr>
              <w:drawing>
                <wp:inline distT="0" distB="0" distL="0" distR="0">
                  <wp:extent cx="199390" cy="2216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199390" cy="221615"/>
                          </a:xfrm>
                          <a:prstGeom prst="rect">
                            <a:avLst/>
                          </a:prstGeom>
                          <a:noFill/>
                          <a:ln>
                            <a:noFill/>
                          </a:ln>
                        </pic:spPr>
                      </pic:pic>
                    </a:graphicData>
                  </a:graphic>
                </wp:inline>
              </w:drawing>
            </w:r>
            <w:r>
              <w:rPr>
                <w:sz w:val="18"/>
                <w:szCs w:val="18"/>
              </w:rPr>
              <w:t>和检测概率</w:t>
            </w:r>
            <w:r>
              <w:rPr>
                <w:position w:val="-10"/>
                <w:sz w:val="18"/>
                <w:szCs w:val="18"/>
              </w:rPr>
              <w:drawing>
                <wp:inline distT="0" distB="0" distL="0" distR="0">
                  <wp:extent cx="199390" cy="2216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199390" cy="221615"/>
                          </a:xfrm>
                          <a:prstGeom prst="rect">
                            <a:avLst/>
                          </a:prstGeom>
                          <a:noFill/>
                          <a:ln>
                            <a:noFill/>
                          </a:ln>
                        </pic:spPr>
                      </pic:pic>
                    </a:graphicData>
                  </a:graphic>
                </wp:inline>
              </w:drawing>
            </w:r>
            <w:r>
              <w:rPr>
                <w:sz w:val="18"/>
                <w:szCs w:val="18"/>
              </w:rPr>
              <w:t>与幅度信噪比</w:t>
            </w:r>
            <w:r>
              <w:rPr>
                <w:position w:val="-6"/>
                <w:sz w:val="18"/>
                <w:szCs w:val="18"/>
              </w:rPr>
              <w:drawing>
                <wp:inline distT="0" distB="0" distL="0" distR="0">
                  <wp:extent cx="144145" cy="182880"/>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144145" cy="182880"/>
                          </a:xfrm>
                          <a:prstGeom prst="rect">
                            <a:avLst/>
                          </a:prstGeom>
                          <a:noFill/>
                          <a:ln>
                            <a:noFill/>
                          </a:ln>
                        </pic:spPr>
                      </pic:pic>
                    </a:graphicData>
                  </a:graphic>
                </wp:inline>
              </w:drawing>
            </w:r>
            <w:r>
              <w:rPr>
                <w:sz w:val="18"/>
                <w:szCs w:val="18"/>
              </w:rPr>
              <w:t>、检测门限</w:t>
            </w:r>
            <w:r>
              <w:rPr>
                <w:position w:val="-10"/>
                <w:sz w:val="18"/>
                <w:szCs w:val="18"/>
              </w:rPr>
              <w:drawing>
                <wp:inline distT="0" distB="0" distL="0" distR="0">
                  <wp:extent cx="121920" cy="160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121920" cy="160655"/>
                          </a:xfrm>
                          <a:prstGeom prst="rect">
                            <a:avLst/>
                          </a:prstGeom>
                          <a:noFill/>
                          <a:ln>
                            <a:noFill/>
                          </a:ln>
                        </pic:spPr>
                      </pic:pic>
                    </a:graphicData>
                  </a:graphic>
                </wp:inline>
              </w:drawing>
            </w:r>
            <w:r>
              <w:rPr>
                <w:sz w:val="18"/>
                <w:szCs w:val="18"/>
              </w:rPr>
              <w:t>之间的关系。</w:t>
            </w:r>
          </w:p>
        </w:tc>
        <w:tc>
          <w:tcPr>
            <w:tcW w:w="722"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2</w:t>
            </w:r>
          </w:p>
        </w:tc>
        <w:tc>
          <w:tcPr>
            <w:tcW w:w="723"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验证</w:t>
            </w:r>
          </w:p>
        </w:tc>
        <w:tc>
          <w:tcPr>
            <w:tcW w:w="722"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1</w:t>
            </w:r>
          </w:p>
        </w:tc>
        <w:tc>
          <w:tcPr>
            <w:tcW w:w="723"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sz w:val="18"/>
                <w:szCs w:val="18"/>
              </w:rPr>
              <w:t>必开</w:t>
            </w:r>
          </w:p>
        </w:tc>
        <w:tc>
          <w:tcPr>
            <w:tcW w:w="720" w:type="dxa"/>
          </w:tcPr>
          <w:p>
            <w:pPr>
              <w:adjustRightInd w:val="0"/>
              <w:snapToGrid w:val="0"/>
              <w:jc w:val="center"/>
              <w:rPr>
                <w:sz w:val="18"/>
                <w:szCs w:val="18"/>
              </w:rPr>
            </w:pPr>
          </w:p>
          <w:p>
            <w:pPr>
              <w:adjustRightInd w:val="0"/>
              <w:snapToGrid w:val="0"/>
              <w:jc w:val="center"/>
              <w:rPr>
                <w:sz w:val="18"/>
                <w:szCs w:val="18"/>
              </w:rPr>
            </w:pPr>
          </w:p>
          <w:p>
            <w:pPr>
              <w:adjustRightInd w:val="0"/>
              <w:snapToGrid w:val="0"/>
              <w:jc w:val="center"/>
              <w:rPr>
                <w:sz w:val="18"/>
                <w:szCs w:val="18"/>
              </w:rPr>
            </w:pPr>
            <w:r>
              <w:rPr>
                <w:rFonts w:hint="eastAsia"/>
                <w:sz w:val="18"/>
                <w:szCs w:val="18"/>
              </w:rPr>
              <w:t>2</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rPr>
          <w:rFonts w:hint="eastAsia"/>
        </w:rPr>
        <w:t>1.考核方式：采取开卷笔试、实验报告和平时成绩（包括课堂表现、作业及实验等）相结合，最后60分以上为合格。</w:t>
      </w:r>
    </w:p>
    <w:p>
      <w:pPr>
        <w:adjustRightInd w:val="0"/>
        <w:snapToGrid w:val="0"/>
        <w:spacing w:line="300" w:lineRule="auto"/>
        <w:ind w:firstLine="420" w:firstLineChars="200"/>
      </w:pPr>
      <w:r>
        <w:rPr>
          <w:rFonts w:hint="eastAsia"/>
        </w:rPr>
        <w:t>2.成绩构成：平时成绩40%+期末成绩60 %。</w:t>
      </w:r>
    </w:p>
    <w:p>
      <w:pPr>
        <w:adjustRightInd w:val="0"/>
        <w:snapToGrid w:val="0"/>
        <w:spacing w:line="300" w:lineRule="auto"/>
        <w:ind w:firstLine="420" w:firstLineChars="200"/>
      </w:pPr>
      <w:r>
        <w:rPr>
          <w:rFonts w:hint="eastAsia"/>
        </w:rPr>
        <w:t>3.考核评价标准见表5所示：</w:t>
      </w:r>
    </w:p>
    <w:p>
      <w:pPr>
        <w:snapToGrid w:val="0"/>
        <w:spacing w:before="156" w:beforeLines="50" w:line="300" w:lineRule="auto"/>
        <w:ind w:firstLine="361" w:firstLineChars="200"/>
        <w:jc w:val="center"/>
        <w:rPr>
          <w:b/>
          <w:bCs/>
          <w:color w:val="000000"/>
          <w:sz w:val="18"/>
          <w:szCs w:val="18"/>
        </w:rPr>
      </w:pPr>
      <w:r>
        <w:rPr>
          <w:b/>
          <w:bCs/>
          <w:color w:val="000000"/>
          <w:sz w:val="18"/>
          <w:szCs w:val="18"/>
        </w:rPr>
        <w:t>表5教学目标评价标准</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6"/>
        <w:gridCol w:w="656"/>
        <w:gridCol w:w="639"/>
        <w:gridCol w:w="654"/>
        <w:gridCol w:w="3423"/>
        <w:gridCol w:w="921"/>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6" w:type="dxa"/>
            <w:vAlign w:val="center"/>
          </w:tcPr>
          <w:p>
            <w:pPr>
              <w:snapToGrid w:val="0"/>
              <w:spacing w:line="300" w:lineRule="auto"/>
              <w:jc w:val="center"/>
              <w:rPr>
                <w:b/>
                <w:bCs/>
                <w:sz w:val="18"/>
                <w:szCs w:val="18"/>
              </w:rPr>
            </w:pPr>
            <w:r>
              <w:rPr>
                <w:b/>
                <w:bCs/>
                <w:sz w:val="18"/>
                <w:szCs w:val="18"/>
              </w:rPr>
              <w:t>成绩</w:t>
            </w:r>
          </w:p>
        </w:tc>
        <w:tc>
          <w:tcPr>
            <w:tcW w:w="656" w:type="dxa"/>
            <w:vAlign w:val="center"/>
          </w:tcPr>
          <w:p>
            <w:pPr>
              <w:snapToGrid w:val="0"/>
              <w:spacing w:line="300" w:lineRule="auto"/>
              <w:jc w:val="center"/>
              <w:rPr>
                <w:b/>
                <w:bCs/>
                <w:sz w:val="18"/>
                <w:szCs w:val="18"/>
              </w:rPr>
            </w:pPr>
            <w:r>
              <w:rPr>
                <w:b/>
                <w:bCs/>
                <w:sz w:val="18"/>
                <w:szCs w:val="18"/>
              </w:rPr>
              <w:t>分值</w:t>
            </w:r>
          </w:p>
        </w:tc>
        <w:tc>
          <w:tcPr>
            <w:tcW w:w="656" w:type="dxa"/>
            <w:vAlign w:val="center"/>
          </w:tcPr>
          <w:p>
            <w:pPr>
              <w:snapToGrid w:val="0"/>
              <w:spacing w:line="300" w:lineRule="auto"/>
              <w:jc w:val="center"/>
              <w:rPr>
                <w:b/>
                <w:bCs/>
                <w:sz w:val="18"/>
                <w:szCs w:val="18"/>
              </w:rPr>
            </w:pPr>
            <w:r>
              <w:rPr>
                <w:b/>
                <w:bCs/>
                <w:sz w:val="18"/>
                <w:szCs w:val="18"/>
              </w:rPr>
              <w:t>权重</w:t>
            </w:r>
          </w:p>
        </w:tc>
        <w:tc>
          <w:tcPr>
            <w:tcW w:w="639" w:type="dxa"/>
            <w:vAlign w:val="center"/>
          </w:tcPr>
          <w:p>
            <w:pPr>
              <w:snapToGrid w:val="0"/>
              <w:spacing w:line="300" w:lineRule="auto"/>
              <w:jc w:val="center"/>
              <w:rPr>
                <w:b/>
                <w:bCs/>
                <w:sz w:val="18"/>
                <w:szCs w:val="18"/>
              </w:rPr>
            </w:pPr>
            <w:r>
              <w:rPr>
                <w:b/>
                <w:bCs/>
                <w:sz w:val="18"/>
                <w:szCs w:val="18"/>
              </w:rPr>
              <w:t>类别</w:t>
            </w:r>
          </w:p>
        </w:tc>
        <w:tc>
          <w:tcPr>
            <w:tcW w:w="654" w:type="dxa"/>
            <w:vAlign w:val="center"/>
          </w:tcPr>
          <w:p>
            <w:pPr>
              <w:snapToGrid w:val="0"/>
              <w:spacing w:line="300" w:lineRule="auto"/>
              <w:jc w:val="center"/>
              <w:rPr>
                <w:b/>
                <w:bCs/>
                <w:sz w:val="18"/>
                <w:szCs w:val="18"/>
              </w:rPr>
            </w:pPr>
            <w:r>
              <w:rPr>
                <w:b/>
                <w:bCs/>
                <w:sz w:val="18"/>
                <w:szCs w:val="18"/>
              </w:rPr>
              <w:t>权重</w:t>
            </w:r>
          </w:p>
        </w:tc>
        <w:tc>
          <w:tcPr>
            <w:tcW w:w="3423" w:type="dxa"/>
            <w:vAlign w:val="center"/>
          </w:tcPr>
          <w:p>
            <w:pPr>
              <w:snapToGrid w:val="0"/>
              <w:spacing w:line="300" w:lineRule="auto"/>
              <w:jc w:val="center"/>
              <w:rPr>
                <w:b/>
                <w:bCs/>
                <w:sz w:val="18"/>
                <w:szCs w:val="18"/>
              </w:rPr>
            </w:pPr>
            <w:r>
              <w:rPr>
                <w:b/>
                <w:bCs/>
                <w:sz w:val="18"/>
                <w:szCs w:val="18"/>
              </w:rPr>
              <w:t>考核/评价细则</w:t>
            </w:r>
          </w:p>
        </w:tc>
        <w:tc>
          <w:tcPr>
            <w:tcW w:w="921" w:type="dxa"/>
            <w:vAlign w:val="center"/>
          </w:tcPr>
          <w:p>
            <w:pPr>
              <w:snapToGrid w:val="0"/>
              <w:spacing w:line="300" w:lineRule="auto"/>
              <w:jc w:val="center"/>
              <w:rPr>
                <w:b/>
                <w:bCs/>
                <w:sz w:val="18"/>
                <w:szCs w:val="18"/>
              </w:rPr>
            </w:pPr>
            <w:r>
              <w:rPr>
                <w:b/>
                <w:bCs/>
                <w:sz w:val="18"/>
                <w:szCs w:val="18"/>
              </w:rPr>
              <w:t>课程目标</w:t>
            </w:r>
          </w:p>
        </w:tc>
        <w:tc>
          <w:tcPr>
            <w:tcW w:w="917" w:type="dxa"/>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6" w:type="dxa"/>
            <w:vMerge w:val="restart"/>
            <w:vAlign w:val="center"/>
          </w:tcPr>
          <w:p>
            <w:pPr>
              <w:snapToGrid w:val="0"/>
              <w:rPr>
                <w:sz w:val="18"/>
                <w:szCs w:val="18"/>
              </w:rPr>
            </w:pPr>
            <w:r>
              <w:rPr>
                <w:rFonts w:hint="eastAsia"/>
                <w:sz w:val="18"/>
                <w:szCs w:val="18"/>
              </w:rPr>
              <w:t>平时成绩</w:t>
            </w:r>
          </w:p>
          <w:p>
            <w:pPr>
              <w:snapToGrid w:val="0"/>
              <w:jc w:val="left"/>
              <w:rPr>
                <w:sz w:val="18"/>
                <w:szCs w:val="18"/>
              </w:rPr>
            </w:pPr>
            <w:r>
              <w:rPr>
                <w:rFonts w:hint="eastAsia"/>
                <w:sz w:val="18"/>
                <w:szCs w:val="18"/>
              </w:rPr>
              <w:t>实验成绩</w:t>
            </w:r>
          </w:p>
        </w:tc>
        <w:tc>
          <w:tcPr>
            <w:tcW w:w="656" w:type="dxa"/>
            <w:vMerge w:val="restart"/>
            <w:vAlign w:val="center"/>
          </w:tcPr>
          <w:p>
            <w:pPr>
              <w:snapToGrid w:val="0"/>
              <w:jc w:val="center"/>
              <w:rPr>
                <w:sz w:val="18"/>
                <w:szCs w:val="18"/>
              </w:rPr>
            </w:pPr>
            <w:r>
              <w:rPr>
                <w:rFonts w:hint="eastAsia"/>
                <w:sz w:val="18"/>
                <w:szCs w:val="18"/>
              </w:rPr>
              <w:t>100</w:t>
            </w:r>
          </w:p>
        </w:tc>
        <w:tc>
          <w:tcPr>
            <w:tcW w:w="656" w:type="dxa"/>
            <w:vMerge w:val="restart"/>
            <w:vAlign w:val="center"/>
          </w:tcPr>
          <w:p>
            <w:pPr>
              <w:snapToGrid w:val="0"/>
              <w:jc w:val="center"/>
              <w:rPr>
                <w:sz w:val="18"/>
                <w:szCs w:val="18"/>
              </w:rPr>
            </w:pPr>
            <w:r>
              <w:rPr>
                <w:rFonts w:hint="eastAsia"/>
                <w:sz w:val="18"/>
                <w:szCs w:val="18"/>
              </w:rPr>
              <w:t>0.4</w:t>
            </w:r>
          </w:p>
        </w:tc>
        <w:tc>
          <w:tcPr>
            <w:tcW w:w="639" w:type="dxa"/>
            <w:vMerge w:val="restart"/>
            <w:vAlign w:val="center"/>
          </w:tcPr>
          <w:p>
            <w:pPr>
              <w:snapToGrid w:val="0"/>
              <w:jc w:val="center"/>
              <w:rPr>
                <w:sz w:val="18"/>
                <w:szCs w:val="18"/>
              </w:rPr>
            </w:pPr>
            <w:r>
              <w:rPr>
                <w:sz w:val="18"/>
                <w:szCs w:val="18"/>
              </w:rPr>
              <w:t>课堂表现</w:t>
            </w:r>
          </w:p>
        </w:tc>
        <w:tc>
          <w:tcPr>
            <w:tcW w:w="654" w:type="dxa"/>
            <w:vAlign w:val="center"/>
          </w:tcPr>
          <w:p>
            <w:pPr>
              <w:snapToGrid w:val="0"/>
              <w:jc w:val="center"/>
              <w:rPr>
                <w:sz w:val="18"/>
                <w:szCs w:val="18"/>
              </w:rPr>
            </w:pPr>
            <w:r>
              <w:rPr>
                <w:sz w:val="18"/>
                <w:szCs w:val="18"/>
              </w:rPr>
              <w:t>0.</w:t>
            </w:r>
            <w:r>
              <w:rPr>
                <w:rFonts w:hint="eastAsia"/>
                <w:sz w:val="18"/>
                <w:szCs w:val="18"/>
              </w:rPr>
              <w:t>036</w:t>
            </w:r>
          </w:p>
        </w:tc>
        <w:tc>
          <w:tcPr>
            <w:tcW w:w="3423" w:type="dxa"/>
            <w:vMerge w:val="restart"/>
            <w:vAlign w:val="center"/>
          </w:tcPr>
          <w:p>
            <w:pPr>
              <w:rPr>
                <w:sz w:val="18"/>
                <w:szCs w:val="18"/>
              </w:rPr>
            </w:pPr>
            <w:r>
              <w:rPr>
                <w:sz w:val="18"/>
                <w:szCs w:val="18"/>
              </w:rPr>
              <w:t>根据</w:t>
            </w:r>
            <w:r>
              <w:rPr>
                <w:rFonts w:hint="eastAsia"/>
                <w:sz w:val="18"/>
                <w:szCs w:val="18"/>
              </w:rPr>
              <w:t>学生考勤、</w:t>
            </w:r>
            <w:r>
              <w:rPr>
                <w:sz w:val="18"/>
                <w:szCs w:val="18"/>
              </w:rPr>
              <w:t>课堂回答老师提问时积极性和准确性；小组讨论时的团队合作能力和沟通能力；专题研讨时的参与程度打分；（满分100分 ）</w:t>
            </w:r>
          </w:p>
        </w:tc>
        <w:tc>
          <w:tcPr>
            <w:tcW w:w="921" w:type="dxa"/>
            <w:vAlign w:val="center"/>
          </w:tcPr>
          <w:p>
            <w:pPr>
              <w:jc w:val="center"/>
              <w:rPr>
                <w:sz w:val="18"/>
                <w:szCs w:val="18"/>
              </w:rPr>
            </w:pPr>
            <w:r>
              <w:rPr>
                <w:sz w:val="18"/>
                <w:szCs w:val="18"/>
              </w:rPr>
              <w:t>1</w:t>
            </w:r>
          </w:p>
        </w:tc>
        <w:tc>
          <w:tcPr>
            <w:tcW w:w="917" w:type="dxa"/>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6" w:type="dxa"/>
            <w:vMerge w:val="continue"/>
            <w:vAlign w:val="center"/>
          </w:tcPr>
          <w:p>
            <w:pPr>
              <w:snapToGrid w:val="0"/>
              <w:jc w:val="center"/>
            </w:pPr>
          </w:p>
        </w:tc>
        <w:tc>
          <w:tcPr>
            <w:tcW w:w="656" w:type="dxa"/>
            <w:vMerge w:val="continue"/>
            <w:vAlign w:val="center"/>
          </w:tcPr>
          <w:p>
            <w:pPr>
              <w:snapToGrid w:val="0"/>
              <w:jc w:val="center"/>
            </w:pPr>
          </w:p>
        </w:tc>
        <w:tc>
          <w:tcPr>
            <w:tcW w:w="656" w:type="dxa"/>
            <w:vMerge w:val="continue"/>
            <w:vAlign w:val="center"/>
          </w:tcPr>
          <w:p>
            <w:pPr>
              <w:snapToGrid w:val="0"/>
              <w:jc w:val="center"/>
            </w:pPr>
          </w:p>
        </w:tc>
        <w:tc>
          <w:tcPr>
            <w:tcW w:w="639" w:type="dxa"/>
            <w:vMerge w:val="continue"/>
            <w:vAlign w:val="center"/>
          </w:tcPr>
          <w:p>
            <w:pPr>
              <w:snapToGrid w:val="0"/>
              <w:jc w:val="center"/>
            </w:pPr>
          </w:p>
        </w:tc>
        <w:tc>
          <w:tcPr>
            <w:tcW w:w="654" w:type="dxa"/>
            <w:vAlign w:val="center"/>
          </w:tcPr>
          <w:p>
            <w:pPr>
              <w:snapToGrid w:val="0"/>
              <w:jc w:val="center"/>
              <w:rPr>
                <w:sz w:val="18"/>
                <w:szCs w:val="18"/>
              </w:rPr>
            </w:pPr>
            <w:r>
              <w:rPr>
                <w:rFonts w:hint="eastAsia"/>
                <w:sz w:val="18"/>
                <w:szCs w:val="18"/>
              </w:rPr>
              <w:t>0.084</w:t>
            </w:r>
          </w:p>
        </w:tc>
        <w:tc>
          <w:tcPr>
            <w:tcW w:w="3423" w:type="dxa"/>
            <w:vMerge w:val="continue"/>
            <w:vAlign w:val="center"/>
          </w:tcPr>
          <w:p>
            <w:pPr>
              <w:snapToGrid w:val="0"/>
              <w:jc w:val="center"/>
              <w:rPr>
                <w:sz w:val="18"/>
                <w:szCs w:val="18"/>
              </w:rPr>
            </w:pPr>
          </w:p>
        </w:tc>
        <w:tc>
          <w:tcPr>
            <w:tcW w:w="921" w:type="dxa"/>
            <w:vAlign w:val="center"/>
          </w:tcPr>
          <w:p>
            <w:pPr>
              <w:snapToGrid w:val="0"/>
              <w:jc w:val="center"/>
              <w:rPr>
                <w:sz w:val="18"/>
                <w:szCs w:val="18"/>
              </w:rPr>
            </w:pPr>
            <w:r>
              <w:rPr>
                <w:rFonts w:hint="eastAsia"/>
                <w:sz w:val="18"/>
                <w:szCs w:val="18"/>
              </w:rPr>
              <w:t>2</w:t>
            </w:r>
          </w:p>
        </w:tc>
        <w:tc>
          <w:tcPr>
            <w:tcW w:w="917" w:type="dxa"/>
            <w:vAlign w:val="center"/>
          </w:tcPr>
          <w:p>
            <w:pPr>
              <w:snapToGrid w:val="0"/>
              <w:jc w:val="center"/>
              <w:rPr>
                <w:sz w:val="18"/>
                <w:szCs w:val="18"/>
              </w:rPr>
            </w:pPr>
            <w:r>
              <w:rPr>
                <w:rFonts w:hint="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6" w:type="dxa"/>
            <w:vMerge w:val="continue"/>
            <w:vAlign w:val="center"/>
          </w:tcPr>
          <w:p>
            <w:pPr>
              <w:snapToGrid w:val="0"/>
              <w:rPr>
                <w:sz w:val="18"/>
                <w:szCs w:val="18"/>
              </w:rPr>
            </w:pPr>
          </w:p>
        </w:tc>
        <w:tc>
          <w:tcPr>
            <w:tcW w:w="656" w:type="dxa"/>
            <w:vMerge w:val="continue"/>
            <w:vAlign w:val="center"/>
          </w:tcPr>
          <w:p>
            <w:pPr>
              <w:snapToGrid w:val="0"/>
              <w:jc w:val="center"/>
              <w:rPr>
                <w:sz w:val="18"/>
                <w:szCs w:val="18"/>
              </w:rPr>
            </w:pPr>
          </w:p>
        </w:tc>
        <w:tc>
          <w:tcPr>
            <w:tcW w:w="656" w:type="dxa"/>
            <w:vMerge w:val="continue"/>
            <w:vAlign w:val="center"/>
          </w:tcPr>
          <w:p>
            <w:pPr>
              <w:snapToGrid w:val="0"/>
              <w:jc w:val="center"/>
              <w:rPr>
                <w:sz w:val="18"/>
                <w:szCs w:val="18"/>
              </w:rPr>
            </w:pPr>
          </w:p>
        </w:tc>
        <w:tc>
          <w:tcPr>
            <w:tcW w:w="639" w:type="dxa"/>
            <w:vMerge w:val="restart"/>
            <w:vAlign w:val="center"/>
          </w:tcPr>
          <w:p>
            <w:pPr>
              <w:snapToGrid w:val="0"/>
              <w:jc w:val="center"/>
              <w:rPr>
                <w:sz w:val="18"/>
                <w:szCs w:val="18"/>
              </w:rPr>
            </w:pPr>
            <w:r>
              <w:rPr>
                <w:sz w:val="18"/>
                <w:szCs w:val="18"/>
              </w:rPr>
              <w:t>作业</w:t>
            </w:r>
          </w:p>
        </w:tc>
        <w:tc>
          <w:tcPr>
            <w:tcW w:w="654" w:type="dxa"/>
            <w:vAlign w:val="center"/>
          </w:tcPr>
          <w:p>
            <w:pPr>
              <w:snapToGrid w:val="0"/>
              <w:jc w:val="center"/>
              <w:rPr>
                <w:sz w:val="18"/>
                <w:szCs w:val="18"/>
              </w:rPr>
            </w:pPr>
            <w:r>
              <w:rPr>
                <w:sz w:val="18"/>
                <w:szCs w:val="18"/>
              </w:rPr>
              <w:t>0.</w:t>
            </w:r>
            <w:r>
              <w:rPr>
                <w:rFonts w:hint="eastAsia"/>
                <w:sz w:val="18"/>
                <w:szCs w:val="18"/>
              </w:rPr>
              <w:t>036</w:t>
            </w:r>
          </w:p>
        </w:tc>
        <w:tc>
          <w:tcPr>
            <w:tcW w:w="3423" w:type="dxa"/>
            <w:vMerge w:val="restart"/>
            <w:vAlign w:val="center"/>
          </w:tcPr>
          <w:p>
            <w:pPr>
              <w:jc w:val="left"/>
              <w:rPr>
                <w:sz w:val="18"/>
                <w:szCs w:val="18"/>
              </w:rPr>
            </w:pPr>
            <w:r>
              <w:rPr>
                <w:sz w:val="18"/>
                <w:szCs w:val="18"/>
              </w:rPr>
              <w:t>根据是否按时提交作业，是否准确理解和掌握知识点给分。每次作业按百分制单独评分，取各次成绩的平均值作为书面作业成绩（满分100分）</w:t>
            </w:r>
          </w:p>
        </w:tc>
        <w:tc>
          <w:tcPr>
            <w:tcW w:w="921" w:type="dxa"/>
            <w:vAlign w:val="center"/>
          </w:tcPr>
          <w:p>
            <w:pPr>
              <w:jc w:val="center"/>
              <w:rPr>
                <w:sz w:val="18"/>
                <w:szCs w:val="18"/>
              </w:rPr>
            </w:pPr>
            <w:r>
              <w:rPr>
                <w:sz w:val="18"/>
                <w:szCs w:val="18"/>
              </w:rPr>
              <w:t>1</w:t>
            </w:r>
          </w:p>
        </w:tc>
        <w:tc>
          <w:tcPr>
            <w:tcW w:w="917" w:type="dxa"/>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6" w:type="dxa"/>
            <w:vMerge w:val="continue"/>
            <w:vAlign w:val="center"/>
          </w:tcPr>
          <w:p>
            <w:pPr>
              <w:jc w:val="center"/>
            </w:pPr>
          </w:p>
        </w:tc>
        <w:tc>
          <w:tcPr>
            <w:tcW w:w="656" w:type="dxa"/>
            <w:vMerge w:val="continue"/>
            <w:vAlign w:val="center"/>
          </w:tcPr>
          <w:p>
            <w:pPr>
              <w:jc w:val="center"/>
            </w:pPr>
          </w:p>
        </w:tc>
        <w:tc>
          <w:tcPr>
            <w:tcW w:w="656" w:type="dxa"/>
            <w:vMerge w:val="continue"/>
            <w:vAlign w:val="center"/>
          </w:tcPr>
          <w:p>
            <w:pPr>
              <w:jc w:val="center"/>
            </w:pPr>
          </w:p>
        </w:tc>
        <w:tc>
          <w:tcPr>
            <w:tcW w:w="639" w:type="dxa"/>
            <w:vMerge w:val="continue"/>
            <w:vAlign w:val="center"/>
          </w:tcPr>
          <w:p>
            <w:pPr>
              <w:jc w:val="center"/>
            </w:pPr>
          </w:p>
        </w:tc>
        <w:tc>
          <w:tcPr>
            <w:tcW w:w="654" w:type="dxa"/>
            <w:vAlign w:val="center"/>
          </w:tcPr>
          <w:p>
            <w:pPr>
              <w:jc w:val="center"/>
            </w:pPr>
            <w:r>
              <w:rPr>
                <w:rFonts w:hint="eastAsia"/>
                <w:sz w:val="18"/>
                <w:szCs w:val="18"/>
              </w:rPr>
              <w:t>0.084</w:t>
            </w:r>
          </w:p>
        </w:tc>
        <w:tc>
          <w:tcPr>
            <w:tcW w:w="3423" w:type="dxa"/>
            <w:vMerge w:val="continue"/>
            <w:vAlign w:val="center"/>
          </w:tcPr>
          <w:p>
            <w:pPr>
              <w:jc w:val="center"/>
            </w:pPr>
          </w:p>
        </w:tc>
        <w:tc>
          <w:tcPr>
            <w:tcW w:w="921" w:type="dxa"/>
            <w:vAlign w:val="center"/>
          </w:tcPr>
          <w:p>
            <w:pPr>
              <w:jc w:val="center"/>
              <w:rPr>
                <w:sz w:val="18"/>
                <w:szCs w:val="18"/>
              </w:rPr>
            </w:pPr>
            <w:r>
              <w:rPr>
                <w:rFonts w:hint="eastAsia"/>
                <w:sz w:val="18"/>
                <w:szCs w:val="18"/>
              </w:rPr>
              <w:t>2</w:t>
            </w:r>
          </w:p>
        </w:tc>
        <w:tc>
          <w:tcPr>
            <w:tcW w:w="917" w:type="dxa"/>
            <w:vAlign w:val="center"/>
          </w:tcPr>
          <w:p>
            <w:pPr>
              <w:jc w:val="center"/>
              <w:rPr>
                <w:sz w:val="18"/>
                <w:szCs w:val="18"/>
              </w:rPr>
            </w:pPr>
            <w:r>
              <w:rPr>
                <w:rFonts w:hint="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6" w:type="dxa"/>
            <w:vMerge w:val="continue"/>
            <w:vAlign w:val="center"/>
          </w:tcPr>
          <w:p>
            <w:pPr>
              <w:snapToGrid w:val="0"/>
              <w:jc w:val="left"/>
              <w:rPr>
                <w:sz w:val="18"/>
                <w:szCs w:val="18"/>
              </w:rPr>
            </w:pPr>
          </w:p>
        </w:tc>
        <w:tc>
          <w:tcPr>
            <w:tcW w:w="656" w:type="dxa"/>
            <w:vMerge w:val="continue"/>
            <w:vAlign w:val="center"/>
          </w:tcPr>
          <w:p>
            <w:pPr>
              <w:snapToGrid w:val="0"/>
              <w:jc w:val="center"/>
              <w:rPr>
                <w:sz w:val="18"/>
                <w:szCs w:val="18"/>
              </w:rPr>
            </w:pPr>
          </w:p>
        </w:tc>
        <w:tc>
          <w:tcPr>
            <w:tcW w:w="656" w:type="dxa"/>
            <w:vMerge w:val="continue"/>
            <w:vAlign w:val="center"/>
          </w:tcPr>
          <w:p>
            <w:pPr>
              <w:snapToGrid w:val="0"/>
              <w:jc w:val="center"/>
              <w:rPr>
                <w:sz w:val="18"/>
                <w:szCs w:val="18"/>
              </w:rPr>
            </w:pPr>
          </w:p>
        </w:tc>
        <w:tc>
          <w:tcPr>
            <w:tcW w:w="639" w:type="dxa"/>
            <w:vMerge w:val="restart"/>
            <w:vAlign w:val="center"/>
          </w:tcPr>
          <w:p>
            <w:pPr>
              <w:snapToGrid w:val="0"/>
              <w:jc w:val="center"/>
              <w:rPr>
                <w:sz w:val="18"/>
                <w:szCs w:val="18"/>
              </w:rPr>
            </w:pPr>
            <w:r>
              <w:rPr>
                <w:rFonts w:hint="eastAsia"/>
                <w:sz w:val="18"/>
                <w:szCs w:val="18"/>
              </w:rPr>
              <w:t>实验</w:t>
            </w:r>
          </w:p>
        </w:tc>
        <w:tc>
          <w:tcPr>
            <w:tcW w:w="654" w:type="dxa"/>
            <w:vAlign w:val="center"/>
          </w:tcPr>
          <w:p>
            <w:pPr>
              <w:snapToGrid w:val="0"/>
              <w:jc w:val="center"/>
              <w:rPr>
                <w:sz w:val="18"/>
                <w:szCs w:val="18"/>
              </w:rPr>
            </w:pPr>
            <w:r>
              <w:rPr>
                <w:rFonts w:hint="eastAsia"/>
                <w:sz w:val="18"/>
                <w:szCs w:val="18"/>
              </w:rPr>
              <w:t>0.048</w:t>
            </w:r>
          </w:p>
        </w:tc>
        <w:tc>
          <w:tcPr>
            <w:tcW w:w="3423" w:type="dxa"/>
            <w:vMerge w:val="restart"/>
            <w:vAlign w:val="center"/>
          </w:tcPr>
          <w:p>
            <w:pPr>
              <w:jc w:val="left"/>
              <w:rPr>
                <w:sz w:val="18"/>
                <w:szCs w:val="18"/>
              </w:rPr>
            </w:pPr>
            <w:r>
              <w:rPr>
                <w:sz w:val="18"/>
                <w:szCs w:val="18"/>
              </w:rPr>
              <w:t>根据实验完成质量，以及实验报告质量评分</w:t>
            </w:r>
            <w:r>
              <w:rPr>
                <w:rFonts w:hint="eastAsia"/>
                <w:sz w:val="18"/>
                <w:szCs w:val="18"/>
              </w:rPr>
              <w:t>；</w:t>
            </w:r>
            <w:r>
              <w:rPr>
                <w:sz w:val="18"/>
                <w:szCs w:val="18"/>
              </w:rPr>
              <w:t>每次</w:t>
            </w:r>
            <w:r>
              <w:rPr>
                <w:rFonts w:hint="eastAsia"/>
                <w:sz w:val="18"/>
                <w:szCs w:val="18"/>
              </w:rPr>
              <w:t>实验</w:t>
            </w:r>
            <w:r>
              <w:rPr>
                <w:sz w:val="18"/>
                <w:szCs w:val="18"/>
              </w:rPr>
              <w:t>按百分制单独评分，取各次</w:t>
            </w:r>
            <w:r>
              <w:rPr>
                <w:rFonts w:hint="eastAsia"/>
                <w:sz w:val="18"/>
                <w:szCs w:val="18"/>
              </w:rPr>
              <w:t>实验</w:t>
            </w:r>
            <w:r>
              <w:rPr>
                <w:sz w:val="18"/>
                <w:szCs w:val="18"/>
              </w:rPr>
              <w:t>的平均值作为</w:t>
            </w:r>
            <w:r>
              <w:rPr>
                <w:rFonts w:hint="eastAsia"/>
                <w:sz w:val="18"/>
                <w:szCs w:val="18"/>
              </w:rPr>
              <w:t>实验</w:t>
            </w:r>
            <w:r>
              <w:rPr>
                <w:sz w:val="18"/>
                <w:szCs w:val="18"/>
              </w:rPr>
              <w:t>成绩</w:t>
            </w:r>
            <w:r>
              <w:rPr>
                <w:rFonts w:hint="eastAsia"/>
                <w:sz w:val="18"/>
                <w:szCs w:val="18"/>
              </w:rPr>
              <w:t>（</w:t>
            </w:r>
            <w:r>
              <w:rPr>
                <w:sz w:val="18"/>
                <w:szCs w:val="18"/>
              </w:rPr>
              <w:t>满分100分</w:t>
            </w:r>
            <w:r>
              <w:rPr>
                <w:rFonts w:hint="eastAsia"/>
                <w:sz w:val="18"/>
                <w:szCs w:val="18"/>
              </w:rPr>
              <w:t>）</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6" w:type="dxa"/>
            <w:vMerge w:val="continue"/>
            <w:vAlign w:val="center"/>
          </w:tcPr>
          <w:p>
            <w:pPr>
              <w:snapToGrid w:val="0"/>
              <w:jc w:val="center"/>
            </w:pPr>
          </w:p>
        </w:tc>
        <w:tc>
          <w:tcPr>
            <w:tcW w:w="656" w:type="dxa"/>
            <w:vMerge w:val="continue"/>
            <w:vAlign w:val="center"/>
          </w:tcPr>
          <w:p>
            <w:pPr>
              <w:snapToGrid w:val="0"/>
              <w:jc w:val="center"/>
            </w:pPr>
          </w:p>
        </w:tc>
        <w:tc>
          <w:tcPr>
            <w:tcW w:w="656" w:type="dxa"/>
            <w:vMerge w:val="continue"/>
            <w:vAlign w:val="center"/>
          </w:tcPr>
          <w:p>
            <w:pPr>
              <w:snapToGrid w:val="0"/>
              <w:jc w:val="center"/>
            </w:pPr>
          </w:p>
        </w:tc>
        <w:tc>
          <w:tcPr>
            <w:tcW w:w="639" w:type="dxa"/>
            <w:vMerge w:val="continue"/>
            <w:vAlign w:val="center"/>
          </w:tcPr>
          <w:p>
            <w:pPr>
              <w:snapToGrid w:val="0"/>
              <w:jc w:val="center"/>
            </w:pPr>
          </w:p>
        </w:tc>
        <w:tc>
          <w:tcPr>
            <w:tcW w:w="654" w:type="dxa"/>
            <w:vAlign w:val="center"/>
          </w:tcPr>
          <w:p>
            <w:pPr>
              <w:snapToGrid w:val="0"/>
              <w:jc w:val="center"/>
              <w:rPr>
                <w:sz w:val="18"/>
                <w:szCs w:val="18"/>
              </w:rPr>
            </w:pPr>
            <w:r>
              <w:rPr>
                <w:rFonts w:hint="eastAsia"/>
                <w:sz w:val="18"/>
                <w:szCs w:val="18"/>
              </w:rPr>
              <w:t>0.112</w:t>
            </w:r>
          </w:p>
        </w:tc>
        <w:tc>
          <w:tcPr>
            <w:tcW w:w="3423" w:type="dxa"/>
            <w:vMerge w:val="continue"/>
            <w:vAlign w:val="center"/>
          </w:tcPr>
          <w:p>
            <w:pPr>
              <w:snapToGrid w:val="0"/>
              <w:jc w:val="center"/>
              <w:rPr>
                <w:sz w:val="18"/>
                <w:szCs w:val="18"/>
              </w:rPr>
            </w:pPr>
          </w:p>
        </w:tc>
        <w:tc>
          <w:tcPr>
            <w:tcW w:w="921" w:type="dxa"/>
            <w:vAlign w:val="center"/>
          </w:tcPr>
          <w:p>
            <w:pPr>
              <w:snapToGrid w:val="0"/>
              <w:jc w:val="center"/>
              <w:rPr>
                <w:sz w:val="18"/>
                <w:szCs w:val="18"/>
              </w:rPr>
            </w:pPr>
            <w:r>
              <w:rPr>
                <w:rFonts w:hint="eastAsia"/>
                <w:sz w:val="18"/>
                <w:szCs w:val="18"/>
              </w:rPr>
              <w:t>2</w:t>
            </w:r>
          </w:p>
        </w:tc>
        <w:tc>
          <w:tcPr>
            <w:tcW w:w="917" w:type="dxa"/>
            <w:vAlign w:val="center"/>
          </w:tcPr>
          <w:p>
            <w:pPr>
              <w:snapToGrid w:val="0"/>
              <w:jc w:val="center"/>
              <w:rPr>
                <w:sz w:val="18"/>
                <w:szCs w:val="18"/>
              </w:rPr>
            </w:pPr>
            <w:r>
              <w:rPr>
                <w:rFonts w:hint="eastAsia"/>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656" w:type="dxa"/>
            <w:vMerge w:val="restart"/>
            <w:vAlign w:val="center"/>
          </w:tcPr>
          <w:p>
            <w:pPr>
              <w:snapToGrid w:val="0"/>
              <w:jc w:val="left"/>
              <w:rPr>
                <w:sz w:val="18"/>
                <w:szCs w:val="18"/>
              </w:rPr>
            </w:pPr>
            <w:r>
              <w:rPr>
                <w:sz w:val="18"/>
                <w:szCs w:val="18"/>
              </w:rPr>
              <w:t>期末考试成绩</w:t>
            </w:r>
          </w:p>
        </w:tc>
        <w:tc>
          <w:tcPr>
            <w:tcW w:w="656" w:type="dxa"/>
            <w:vMerge w:val="restart"/>
            <w:vAlign w:val="center"/>
          </w:tcPr>
          <w:p>
            <w:pPr>
              <w:snapToGrid w:val="0"/>
              <w:jc w:val="center"/>
              <w:rPr>
                <w:sz w:val="18"/>
                <w:szCs w:val="18"/>
              </w:rPr>
            </w:pPr>
            <w:r>
              <w:rPr>
                <w:sz w:val="18"/>
                <w:szCs w:val="18"/>
              </w:rPr>
              <w:t>100</w:t>
            </w:r>
          </w:p>
        </w:tc>
        <w:tc>
          <w:tcPr>
            <w:tcW w:w="656" w:type="dxa"/>
            <w:vMerge w:val="restart"/>
            <w:vAlign w:val="center"/>
          </w:tcPr>
          <w:p>
            <w:pPr>
              <w:snapToGrid w:val="0"/>
              <w:jc w:val="center"/>
              <w:rPr>
                <w:sz w:val="18"/>
                <w:szCs w:val="18"/>
              </w:rPr>
            </w:pPr>
            <w:r>
              <w:rPr>
                <w:sz w:val="18"/>
                <w:szCs w:val="18"/>
              </w:rPr>
              <w:t>0.</w:t>
            </w:r>
            <w:r>
              <w:rPr>
                <w:rFonts w:hint="eastAsia"/>
                <w:sz w:val="18"/>
                <w:szCs w:val="18"/>
              </w:rPr>
              <w:t>6</w:t>
            </w:r>
          </w:p>
        </w:tc>
        <w:tc>
          <w:tcPr>
            <w:tcW w:w="639" w:type="dxa"/>
            <w:vMerge w:val="restart"/>
            <w:vAlign w:val="center"/>
          </w:tcPr>
          <w:p>
            <w:pPr>
              <w:snapToGrid w:val="0"/>
              <w:jc w:val="left"/>
              <w:rPr>
                <w:sz w:val="18"/>
                <w:szCs w:val="18"/>
              </w:rPr>
            </w:pPr>
            <w:r>
              <w:rPr>
                <w:rFonts w:hint="eastAsia"/>
                <w:sz w:val="18"/>
                <w:szCs w:val="18"/>
              </w:rPr>
              <w:t>开</w:t>
            </w:r>
            <w:r>
              <w:rPr>
                <w:sz w:val="18"/>
                <w:szCs w:val="18"/>
              </w:rPr>
              <w:t>卷考试</w:t>
            </w:r>
          </w:p>
        </w:tc>
        <w:tc>
          <w:tcPr>
            <w:tcW w:w="654" w:type="dxa"/>
            <w:vAlign w:val="center"/>
          </w:tcPr>
          <w:p>
            <w:pPr>
              <w:snapToGrid w:val="0"/>
              <w:jc w:val="center"/>
              <w:rPr>
                <w:sz w:val="18"/>
                <w:szCs w:val="18"/>
              </w:rPr>
            </w:pPr>
            <w:r>
              <w:rPr>
                <w:rFonts w:hint="eastAsia"/>
                <w:sz w:val="18"/>
                <w:szCs w:val="18"/>
              </w:rPr>
              <w:t>0.18</w:t>
            </w:r>
          </w:p>
        </w:tc>
        <w:tc>
          <w:tcPr>
            <w:tcW w:w="3423" w:type="dxa"/>
            <w:vMerge w:val="restart"/>
            <w:vAlign w:val="center"/>
          </w:tcPr>
          <w:p>
            <w:pPr>
              <w:numPr>
                <w:ilvl w:val="0"/>
                <w:numId w:val="56"/>
              </w:numPr>
              <w:rPr>
                <w:sz w:val="18"/>
                <w:szCs w:val="18"/>
              </w:rPr>
            </w:pPr>
            <w:r>
              <w:rPr>
                <w:sz w:val="18"/>
                <w:szCs w:val="18"/>
              </w:rPr>
              <w:t>卷面成绩100分。根据回答问题的准确性评分</w:t>
            </w:r>
            <w:r>
              <w:rPr>
                <w:rFonts w:hint="eastAsia"/>
                <w:sz w:val="18"/>
                <w:szCs w:val="18"/>
              </w:rPr>
              <w:t>。</w:t>
            </w:r>
          </w:p>
          <w:p>
            <w:pPr>
              <w:numPr>
                <w:ilvl w:val="0"/>
                <w:numId w:val="56"/>
              </w:numPr>
              <w:rPr>
                <w:sz w:val="18"/>
                <w:szCs w:val="18"/>
              </w:rPr>
            </w:pPr>
            <w:r>
              <w:rPr>
                <w:sz w:val="18"/>
                <w:szCs w:val="18"/>
              </w:rPr>
              <w:t>考核依据： 课程考核以教学大纲为依据，能重视考核学生对基本概念、基本理论和基本技能的掌握程度，也能注重考核学生综合应用所学知识、解决问题的能力</w:t>
            </w:r>
            <w:r>
              <w:rPr>
                <w:rFonts w:hint="eastAsia"/>
                <w:sz w:val="18"/>
                <w:szCs w:val="18"/>
              </w:rPr>
              <w:t>；</w:t>
            </w:r>
          </w:p>
          <w:p>
            <w:pPr>
              <w:numPr>
                <w:ilvl w:val="0"/>
                <w:numId w:val="56"/>
              </w:numPr>
              <w:rPr>
                <w:sz w:val="18"/>
                <w:szCs w:val="18"/>
              </w:rPr>
            </w:pPr>
            <w:r>
              <w:rPr>
                <w:sz w:val="18"/>
                <w:szCs w:val="18"/>
              </w:rPr>
              <w:t>考试题型包括：判断题、简述题、计算题</w:t>
            </w:r>
            <w:r>
              <w:rPr>
                <w:rFonts w:hint="eastAsia"/>
                <w:sz w:val="18"/>
                <w:szCs w:val="18"/>
              </w:rPr>
              <w:t>。其中基础题占20%，综合题占60%，较难题占20%。</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656" w:type="dxa"/>
            <w:vMerge w:val="continue"/>
            <w:vAlign w:val="center"/>
          </w:tcPr>
          <w:p>
            <w:pPr>
              <w:snapToGrid w:val="0"/>
              <w:jc w:val="center"/>
            </w:pPr>
          </w:p>
        </w:tc>
        <w:tc>
          <w:tcPr>
            <w:tcW w:w="656" w:type="dxa"/>
            <w:vMerge w:val="continue"/>
            <w:vAlign w:val="center"/>
          </w:tcPr>
          <w:p>
            <w:pPr>
              <w:snapToGrid w:val="0"/>
              <w:jc w:val="center"/>
            </w:pPr>
          </w:p>
        </w:tc>
        <w:tc>
          <w:tcPr>
            <w:tcW w:w="656" w:type="dxa"/>
            <w:vMerge w:val="continue"/>
            <w:vAlign w:val="center"/>
          </w:tcPr>
          <w:p>
            <w:pPr>
              <w:snapToGrid w:val="0"/>
              <w:jc w:val="center"/>
            </w:pPr>
          </w:p>
        </w:tc>
        <w:tc>
          <w:tcPr>
            <w:tcW w:w="639" w:type="dxa"/>
            <w:vMerge w:val="continue"/>
            <w:vAlign w:val="center"/>
          </w:tcPr>
          <w:p>
            <w:pPr>
              <w:snapToGrid w:val="0"/>
              <w:jc w:val="center"/>
            </w:pPr>
          </w:p>
        </w:tc>
        <w:tc>
          <w:tcPr>
            <w:tcW w:w="654" w:type="dxa"/>
            <w:vAlign w:val="center"/>
          </w:tcPr>
          <w:p>
            <w:pPr>
              <w:snapToGrid w:val="0"/>
              <w:jc w:val="center"/>
              <w:rPr>
                <w:sz w:val="18"/>
                <w:szCs w:val="18"/>
              </w:rPr>
            </w:pPr>
            <w:r>
              <w:rPr>
                <w:rFonts w:hint="eastAsia"/>
                <w:sz w:val="18"/>
                <w:szCs w:val="18"/>
              </w:rPr>
              <w:t>0.42</w:t>
            </w:r>
          </w:p>
        </w:tc>
        <w:tc>
          <w:tcPr>
            <w:tcW w:w="3423" w:type="dxa"/>
            <w:vMerge w:val="continue"/>
            <w:vAlign w:val="center"/>
          </w:tcPr>
          <w:p>
            <w:pPr>
              <w:snapToGrid w:val="0"/>
              <w:jc w:val="center"/>
              <w:rPr>
                <w:sz w:val="18"/>
                <w:szCs w:val="18"/>
              </w:rPr>
            </w:pPr>
          </w:p>
        </w:tc>
        <w:tc>
          <w:tcPr>
            <w:tcW w:w="921" w:type="dxa"/>
            <w:vAlign w:val="center"/>
          </w:tcPr>
          <w:p>
            <w:pPr>
              <w:snapToGrid w:val="0"/>
              <w:jc w:val="center"/>
              <w:rPr>
                <w:sz w:val="18"/>
                <w:szCs w:val="18"/>
              </w:rPr>
            </w:pPr>
            <w:r>
              <w:rPr>
                <w:rFonts w:hint="eastAsia"/>
                <w:sz w:val="18"/>
                <w:szCs w:val="18"/>
              </w:rPr>
              <w:t>2</w:t>
            </w:r>
          </w:p>
        </w:tc>
        <w:tc>
          <w:tcPr>
            <w:tcW w:w="917" w:type="dxa"/>
            <w:vAlign w:val="center"/>
          </w:tcPr>
          <w:p>
            <w:pPr>
              <w:snapToGrid w:val="0"/>
              <w:jc w:val="center"/>
              <w:rPr>
                <w:sz w:val="18"/>
                <w:szCs w:val="18"/>
              </w:rPr>
            </w:pPr>
            <w:r>
              <w:rPr>
                <w:rFonts w:hint="eastAsia"/>
                <w:sz w:val="18"/>
                <w:szCs w:val="18"/>
              </w:rPr>
              <w:t>2.1</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color w:val="FF0000"/>
          <w:szCs w:val="21"/>
        </w:rPr>
      </w:pPr>
      <w:r>
        <w:rPr>
          <w:color w:val="000000"/>
          <w:szCs w:val="21"/>
        </w:rPr>
        <w:t>1</w:t>
      </w:r>
      <w:r>
        <w:t>．</w:t>
      </w:r>
      <w:r>
        <w:rPr>
          <w:color w:val="000000"/>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42" o:spt="75" type="#_x0000_t75" style="height:30pt;width:361.5pt;" o:ole="t" filled="f" o:preferrelative="t" stroked="f" coordsize="21600,21600">
            <v:path/>
            <v:fill on="f" focussize="0,0"/>
            <v:stroke on="f" joinstyle="miter"/>
            <v:imagedata r:id="rId36" o:title=""/>
            <o:lock v:ext="edit" aspectratio="t"/>
            <w10:wrap type="none"/>
            <w10:anchorlock/>
          </v:shape>
          <o:OLEObject Type="Embed" ProgID="Equation.3" ShapeID="_x0000_i1142" DrawAspect="Content" ObjectID="_1468075840" r:id="rId163">
            <o:LockedField>false</o:LockedField>
          </o:OLEObject>
        </w:object>
      </w:r>
    </w:p>
    <w:p>
      <w:pPr>
        <w:snapToGrid w:val="0"/>
        <w:spacing w:line="300" w:lineRule="auto"/>
        <w:ind w:firstLine="420" w:firstLineChars="200"/>
      </w:pPr>
      <w:r>
        <w:t>课程总目标达成情况为</w:t>
      </w:r>
      <w:r>
        <w:rPr>
          <w:rFonts w:hint="eastAsia"/>
        </w:rPr>
        <w:t>各</w:t>
      </w:r>
      <w:r>
        <w:t>个课程目标的加权得分率，其计算公式为：</w:t>
      </w:r>
    </w:p>
    <w:p>
      <w:pPr>
        <w:snapToGrid w:val="0"/>
        <w:spacing w:line="300" w:lineRule="auto"/>
        <w:jc w:val="center"/>
      </w:pPr>
      <w:r>
        <w:t xml:space="preserve"> </w:t>
      </w:r>
      <w:r>
        <w:object>
          <v:shape id="_x0000_i1143" o:spt="75" type="#_x0000_t75" style="height:18pt;width:265.5pt;" o:ole="t" filled="f" o:preferrelative="t" stroked="f" coordsize="21600,21600">
            <v:path/>
            <v:fill on="f" focussize="0,0"/>
            <v:stroke on="f" joinstyle="miter"/>
            <v:imagedata r:id="rId38" o:title=""/>
            <o:lock v:ext="edit" aspectratio="t"/>
            <w10:wrap type="none"/>
            <w10:anchorlock/>
          </v:shape>
          <o:OLEObject Type="Embed" ProgID="Equation.DSMT4" ShapeID="_x0000_i1143" DrawAspect="Content" ObjectID="_1468075841" r:id="rId164">
            <o:LockedField>false</o:LockedField>
          </o:OLEObject>
        </w:object>
      </w:r>
    </w:p>
    <w:p>
      <w:pPr>
        <w:snapToGrid w:val="0"/>
        <w:spacing w:line="300" w:lineRule="auto"/>
      </w:pPr>
      <w:r>
        <w:t>其中权重系数按照表6设定。</w:t>
      </w:r>
    </w:p>
    <w:p>
      <w:pPr>
        <w:snapToGrid w:val="0"/>
        <w:spacing w:line="300" w:lineRule="auto"/>
      </w:pPr>
    </w:p>
    <w:p>
      <w:pPr>
        <w:snapToGrid w:val="0"/>
        <w:spacing w:line="300" w:lineRule="auto"/>
        <w:jc w:val="center"/>
        <w:rPr>
          <w:b/>
          <w:bCs/>
          <w:color w:val="000000"/>
          <w:sz w:val="18"/>
          <w:szCs w:val="18"/>
        </w:rPr>
      </w:pPr>
      <w:r>
        <w:rPr>
          <w:b/>
          <w:bCs/>
          <w:color w:val="000000"/>
          <w:sz w:val="18"/>
          <w:szCs w:val="18"/>
        </w:rPr>
        <w:t>表6课程目标权重系数</w:t>
      </w:r>
    </w:p>
    <w:tbl>
      <w:tblPr>
        <w:tblStyle w:val="22"/>
        <w:tblW w:w="6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864"/>
        <w:gridCol w:w="1968"/>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864" w:type="dxa"/>
            <w:vAlign w:val="center"/>
          </w:tcPr>
          <w:p>
            <w:pPr>
              <w:snapToGrid w:val="0"/>
              <w:spacing w:line="300" w:lineRule="auto"/>
              <w:jc w:val="center"/>
              <w:rPr>
                <w:b/>
                <w:bCs/>
                <w:sz w:val="18"/>
                <w:szCs w:val="18"/>
              </w:rPr>
            </w:pPr>
            <w:r>
              <w:rPr>
                <w:b/>
                <w:bCs/>
                <w:sz w:val="18"/>
                <w:szCs w:val="18"/>
              </w:rPr>
              <w:t>课程目标</w:t>
            </w:r>
          </w:p>
        </w:tc>
        <w:tc>
          <w:tcPr>
            <w:tcW w:w="1968" w:type="dxa"/>
            <w:vAlign w:val="center"/>
          </w:tcPr>
          <w:p>
            <w:pPr>
              <w:snapToGrid w:val="0"/>
              <w:spacing w:line="300" w:lineRule="auto"/>
              <w:jc w:val="center"/>
              <w:rPr>
                <w:sz w:val="18"/>
                <w:szCs w:val="18"/>
              </w:rPr>
            </w:pPr>
            <w:r>
              <w:rPr>
                <w:sz w:val="18"/>
                <w:szCs w:val="18"/>
              </w:rPr>
              <w:t>1</w:t>
            </w:r>
          </w:p>
        </w:tc>
        <w:tc>
          <w:tcPr>
            <w:tcW w:w="2333"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864" w:type="dxa"/>
            <w:vAlign w:val="center"/>
          </w:tcPr>
          <w:p>
            <w:pPr>
              <w:snapToGrid w:val="0"/>
              <w:spacing w:line="300" w:lineRule="auto"/>
              <w:jc w:val="center"/>
              <w:rPr>
                <w:b/>
                <w:bCs/>
                <w:sz w:val="18"/>
                <w:szCs w:val="18"/>
              </w:rPr>
            </w:pPr>
            <w:r>
              <w:rPr>
                <w:b/>
                <w:bCs/>
                <w:sz w:val="18"/>
                <w:szCs w:val="18"/>
              </w:rPr>
              <w:t>权重系数</w:t>
            </w:r>
          </w:p>
        </w:tc>
        <w:tc>
          <w:tcPr>
            <w:tcW w:w="1968" w:type="dxa"/>
            <w:vAlign w:val="center"/>
          </w:tcPr>
          <w:p>
            <w:pPr>
              <w:snapToGrid w:val="0"/>
              <w:spacing w:line="300" w:lineRule="auto"/>
              <w:jc w:val="center"/>
              <w:rPr>
                <w:sz w:val="18"/>
                <w:szCs w:val="18"/>
              </w:rPr>
            </w:pPr>
            <w:r>
              <w:rPr>
                <w:sz w:val="18"/>
                <w:szCs w:val="18"/>
              </w:rPr>
              <w:t>0.</w:t>
            </w:r>
            <w:r>
              <w:rPr>
                <w:rFonts w:hint="eastAsia"/>
                <w:sz w:val="18"/>
                <w:szCs w:val="18"/>
              </w:rPr>
              <w:t>3</w:t>
            </w:r>
          </w:p>
        </w:tc>
        <w:tc>
          <w:tcPr>
            <w:tcW w:w="2333" w:type="dxa"/>
            <w:vAlign w:val="center"/>
          </w:tcPr>
          <w:p>
            <w:pPr>
              <w:snapToGrid w:val="0"/>
              <w:spacing w:line="300" w:lineRule="auto"/>
              <w:jc w:val="center"/>
              <w:rPr>
                <w:sz w:val="18"/>
                <w:szCs w:val="18"/>
              </w:rPr>
            </w:pPr>
            <w:r>
              <w:rPr>
                <w:sz w:val="18"/>
                <w:szCs w:val="18"/>
              </w:rPr>
              <w:t>0.</w:t>
            </w:r>
            <w:r>
              <w:rPr>
                <w:rFonts w:hint="eastAsia"/>
                <w:sz w:val="18"/>
                <w:szCs w:val="18"/>
              </w:rPr>
              <w:t>7</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44" o:spt="75" type="#_x0000_t75" style="height:18.75pt;width:283.5pt;" o:ole="t" filled="f" o:preferrelative="t" stroked="f" coordsize="21600,21600">
            <v:path/>
            <v:fill on="f" focussize="0,0"/>
            <v:stroke on="f" joinstyle="miter"/>
            <v:imagedata r:id="rId40" o:title=""/>
            <o:lock v:ext="edit" aspectratio="t"/>
            <w10:wrap type="none"/>
            <w10:anchorlock/>
          </v:shape>
          <o:OLEObject Type="Embed" ProgID="Equation.3" ShapeID="_x0000_i1144" DrawAspect="Content" ObjectID="_1468075842" r:id="rId165">
            <o:LockedField>false</o:LockedField>
          </o:OLEObject>
        </w:object>
      </w:r>
    </w:p>
    <w:p>
      <w:pPr>
        <w:snapToGrid w:val="0"/>
        <w:spacing w:line="300" w:lineRule="auto"/>
        <w:ind w:firstLine="420" w:firstLineChars="200"/>
        <w:rPr>
          <w:color w:val="000000"/>
          <w:szCs w:val="21"/>
        </w:rPr>
      </w:pPr>
      <w:r>
        <w:rPr>
          <w:color w:val="000000"/>
          <w:szCs w:val="21"/>
        </w:rPr>
        <w:t>2</w:t>
      </w:r>
      <w:r>
        <w:t>．</w:t>
      </w:r>
      <w:r>
        <w:rPr>
          <w:color w:val="000000"/>
          <w:szCs w:val="21"/>
        </w:rPr>
        <w:t>课程总结要求</w:t>
      </w:r>
    </w:p>
    <w:p>
      <w:pPr>
        <w:snapToGrid w:val="0"/>
        <w:spacing w:line="300" w:lineRule="auto"/>
        <w:ind w:firstLine="420" w:firstLineChars="200"/>
        <w:rPr>
          <w:color w:val="000000"/>
          <w:szCs w:val="21"/>
        </w:rPr>
      </w:pPr>
      <w:r>
        <w:rPr>
          <w:color w:val="00000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1.教材：</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 赵树杰主编，信号检测与估计，第2版，电子工业出版社，2013年9月。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 张明友，信号检测与估计，第3版，电子工业出版社，2011年11月。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 (美)舍恩霍夫，乔达诺著，关欣，杨爱萍，白煜，李锵译，信号检测与估计--理论与应用/国外电子与通信教材系列，电子工业出版社，2012年1月。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 张立毅著，信号检测与估计，第2版，清华大学出版社，2014年9月。</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[3] 羊彦著，信号检测与估计，西北工业大学出版社，2014年1月。</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rPr>
        <w:t>[4] (美)珀尔(H.Vincent Poor) 著，廖桂生等译著，信号检测与估计，机械工业出版社，2015年1月。</w:t>
      </w:r>
    </w:p>
    <w:tbl>
      <w:tblPr>
        <w:tblStyle w:val="65"/>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tc>
      </w:tr>
    </w:tbl>
    <w:p>
      <w:pPr>
        <w:widowControl/>
        <w:jc w:val="left"/>
        <w:rPr>
          <w:rFonts w:ascii="Times New Roman" w:hAnsi="Times New Roman" w:cs="Times New Roman"/>
          <w:b/>
          <w:sz w:val="32"/>
        </w:rPr>
      </w:pPr>
      <w:r>
        <w:rPr>
          <w:rFonts w:ascii="Times New Roman" w:hAnsi="Times New Roman" w:cs="Times New Roman"/>
        </w:rPr>
        <w:br w:type="page"/>
      </w:r>
    </w:p>
    <w:bookmarkEnd w:id="192"/>
    <w:bookmarkEnd w:id="193"/>
    <w:bookmarkEnd w:id="194"/>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195" w:name="_Toc7672"/>
      <w:bookmarkStart w:id="196" w:name="_Toc46489674"/>
      <w:bookmarkStart w:id="197" w:name="_Toc38126128"/>
      <w:r>
        <w:rPr>
          <w:rFonts w:ascii="Times New Roman" w:hAnsi="Times New Roman" w:cs="Times New Roman" w:eastAsiaTheme="majorEastAsia"/>
          <w:b/>
          <w:bCs/>
          <w:sz w:val="32"/>
          <w:szCs w:val="32"/>
        </w:rPr>
        <w:t>16152104</w:t>
      </w:r>
      <w:r>
        <w:rPr>
          <w:rFonts w:hint="eastAsia" w:ascii="Times New Roman" w:hAnsi="Times New Roman" w:cs="Times New Roman" w:eastAsiaTheme="majorEastAsia"/>
          <w:b/>
          <w:bCs/>
          <w:sz w:val="32"/>
          <w:szCs w:val="32"/>
        </w:rPr>
        <w:t>《现代电源技术》课程教学大纲</w:t>
      </w:r>
      <w:bookmarkEnd w:id="19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szCs w:val="21"/>
              </w:rPr>
              <w:t>16152104</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szCs w:val="21"/>
              </w:rPr>
              <w:t>现代电源技术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szCs w:val="21"/>
              </w:rPr>
              <w:t>Modern Power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szCs w:val="21"/>
              </w:rPr>
              <w:t>2</w:t>
            </w:r>
            <w:r>
              <w:rPr>
                <w:bCs/>
                <w:kern w:val="0"/>
                <w:szCs w:val="21"/>
              </w:rPr>
              <w:t xml:space="preserve"> </w:t>
            </w:r>
            <w:r>
              <w:rPr>
                <w:kern w:val="0"/>
                <w:szCs w:val="21"/>
              </w:rPr>
              <w:t xml:space="preserve">: </w:t>
            </w:r>
            <w:r>
              <w:rPr>
                <w:szCs w:val="21"/>
              </w:rPr>
              <w:t>32（6）</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邓锐、冯青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邓锐</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kern w:val="0"/>
                <w:szCs w:val="20"/>
              </w:rPr>
            </w:pPr>
            <w:r>
              <w:rPr>
                <w:kern w:val="0"/>
                <w:szCs w:val="20"/>
              </w:rPr>
              <w:t>模拟电子技术、</w:t>
            </w:r>
          </w:p>
          <w:p>
            <w:pPr>
              <w:widowControl/>
              <w:jc w:val="center"/>
              <w:rPr>
                <w:bCs/>
                <w:kern w:val="0"/>
                <w:szCs w:val="21"/>
              </w:rPr>
            </w:pPr>
            <w:r>
              <w:rPr>
                <w:kern w:val="0"/>
                <w:szCs w:val="20"/>
              </w:rPr>
              <w:t>数字电子技术基础</w:t>
            </w:r>
          </w:p>
        </w:tc>
        <w:tc>
          <w:tcPr>
            <w:tcW w:w="1198" w:type="dxa"/>
            <w:vAlign w:val="center"/>
          </w:tcPr>
          <w:p>
            <w:pPr>
              <w:snapToGrid w:val="0"/>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widowControl/>
        <w:adjustRightInd w:val="0"/>
        <w:snapToGrid w:val="0"/>
        <w:spacing w:line="300" w:lineRule="auto"/>
        <w:ind w:firstLine="420" w:firstLineChars="200"/>
        <w:rPr>
          <w:kern w:val="0"/>
          <w:szCs w:val="21"/>
        </w:rPr>
      </w:pPr>
      <w:r>
        <w:rPr>
          <w:kern w:val="0"/>
          <w:szCs w:val="21"/>
        </w:rPr>
        <w:t>本课程是电子信息工程相关专业人才培养方案中的专业核心课，通过理论和实验教学使学生掌握现代电源技术的基本原理和方法。课程详细介绍了现代通信电源、计算机电源和网络电源的电路结构和设计技术，是电气工程专业的专业技能课。本课程讲述开关电源直接型和隔离型的基本拓扑电路，及其各自的特点和应用范围；开关元器件（包括开关器件、电容、电感、变压器等）的设计选择方法；开关电源的吸收回路和热设计技术；零开关损耗的基本电路；实际开关电路的电磁兼容性设计。在各章节中导入应用实例，有助于学生掌握现代电源技术的基本分析方法和设计工具，培养学生从数学概念、物理概念及工程概念去分析问题和解决问题的能力。</w:t>
      </w:r>
    </w:p>
    <w:p>
      <w:pPr>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kern w:val="0"/>
          <w:szCs w:val="21"/>
        </w:rPr>
      </w:pPr>
      <w:r>
        <w:rPr>
          <w:kern w:val="0"/>
          <w:szCs w:val="21"/>
        </w:rPr>
        <w:t>通过本课程的学习，尽可能使学生系统地了解现代电源技术的基础知识与理论，掌握现代电源的基本设计方法。在讲授过程中通过介绍现代电源领域的技术发展，激励学生的创新创造意识以及投身科技强国的信念。具体课程教学目标如下：</w:t>
      </w:r>
    </w:p>
    <w:p>
      <w:pPr>
        <w:widowControl/>
        <w:adjustRightInd w:val="0"/>
        <w:snapToGrid w:val="0"/>
        <w:spacing w:line="300" w:lineRule="auto"/>
        <w:ind w:firstLine="420" w:firstLineChars="200"/>
        <w:rPr>
          <w:kern w:val="0"/>
          <w:szCs w:val="21"/>
        </w:rPr>
      </w:pPr>
      <w:r>
        <w:rPr>
          <w:kern w:val="0"/>
          <w:szCs w:val="21"/>
        </w:rPr>
        <w:t>1．了解电力电子元器件在高频开关工作状态下的工作特性，掌握它们在实际应用中的注意要点和选择原则；[3</w:t>
      </w:r>
      <w:r>
        <w:rPr>
          <w:rFonts w:hint="eastAsia"/>
          <w:kern w:val="0"/>
          <w:szCs w:val="21"/>
        </w:rPr>
        <w:t>.3</w:t>
      </w:r>
      <w:r>
        <w:rPr>
          <w:kern w:val="0"/>
          <w:szCs w:val="21"/>
        </w:rPr>
        <w:t>]</w:t>
      </w:r>
    </w:p>
    <w:p>
      <w:pPr>
        <w:widowControl/>
        <w:adjustRightInd w:val="0"/>
        <w:snapToGrid w:val="0"/>
        <w:spacing w:line="300" w:lineRule="auto"/>
        <w:ind w:firstLine="420" w:firstLineChars="200"/>
        <w:rPr>
          <w:kern w:val="0"/>
          <w:szCs w:val="21"/>
        </w:rPr>
      </w:pPr>
      <w:r>
        <w:rPr>
          <w:kern w:val="0"/>
          <w:szCs w:val="21"/>
        </w:rPr>
        <w:t>2．熟悉DC/DC变换器的拓扑结构，掌握不同形式变换器电路的应用特点和范围；[3.1]</w:t>
      </w:r>
    </w:p>
    <w:p>
      <w:pPr>
        <w:widowControl/>
        <w:adjustRightInd w:val="0"/>
        <w:snapToGrid w:val="0"/>
        <w:spacing w:line="300" w:lineRule="auto"/>
        <w:ind w:firstLine="420" w:firstLineChars="200"/>
        <w:rPr>
          <w:kern w:val="0"/>
          <w:szCs w:val="21"/>
        </w:rPr>
      </w:pPr>
      <w:r>
        <w:rPr>
          <w:kern w:val="0"/>
          <w:szCs w:val="21"/>
        </w:rPr>
        <w:t>3．掌握开关元器件（包括电容、电感、变压器等）的设计选择方法；掌握常见吸收回路和热损耗设计技术，熟悉电磁噪声常见的抑制方法；</w:t>
      </w:r>
      <w:r>
        <w:rPr>
          <w:rFonts w:hint="eastAsia"/>
          <w:kern w:val="0"/>
          <w:szCs w:val="21"/>
        </w:rPr>
        <w:t>[5</w:t>
      </w:r>
      <w:r>
        <w:rPr>
          <w:kern w:val="0"/>
          <w:szCs w:val="21"/>
        </w:rPr>
        <w:t>.</w:t>
      </w:r>
      <w:r>
        <w:rPr>
          <w:rFonts w:hint="eastAsia"/>
          <w:kern w:val="0"/>
          <w:szCs w:val="21"/>
        </w:rPr>
        <w:t>2]</w:t>
      </w:r>
    </w:p>
    <w:p>
      <w:pPr>
        <w:widowControl/>
        <w:adjustRightInd w:val="0"/>
        <w:snapToGrid w:val="0"/>
        <w:spacing w:line="300" w:lineRule="auto"/>
        <w:ind w:firstLine="420" w:firstLineChars="200"/>
        <w:rPr>
          <w:kern w:val="0"/>
          <w:szCs w:val="21"/>
        </w:rPr>
      </w:pPr>
      <w:r>
        <w:rPr>
          <w:kern w:val="0"/>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widowControl/>
              <w:adjustRightInd w:val="0"/>
              <w:snapToGrid w:val="0"/>
              <w:spacing w:line="300" w:lineRule="auto"/>
              <w:rPr>
                <w:sz w:val="18"/>
                <w:szCs w:val="18"/>
              </w:rPr>
            </w:pPr>
            <w:r>
              <w:rPr>
                <w:rFonts w:hint="eastAsia"/>
                <w:kern w:val="0"/>
                <w:szCs w:val="21"/>
              </w:rPr>
              <w:t>3</w:t>
            </w:r>
            <w:r>
              <w:rPr>
                <w:kern w:val="0"/>
                <w:szCs w:val="21"/>
              </w:rPr>
              <w:t>．</w:t>
            </w:r>
            <w:r>
              <w:rPr>
                <w:sz w:val="18"/>
                <w:szCs w:val="18"/>
              </w:rPr>
              <w:t>设计/开发解决方案</w:t>
            </w:r>
          </w:p>
        </w:tc>
        <w:tc>
          <w:tcPr>
            <w:tcW w:w="6143" w:type="dxa"/>
          </w:tcPr>
          <w:p>
            <w:pPr>
              <w:widowControl/>
              <w:adjustRightInd w:val="0"/>
              <w:snapToGrid w:val="0"/>
              <w:spacing w:line="300" w:lineRule="auto"/>
              <w:jc w:val="left"/>
              <w:rPr>
                <w:kern w:val="0"/>
                <w:sz w:val="18"/>
                <w:szCs w:val="18"/>
              </w:rPr>
            </w:pPr>
            <w:r>
              <w:rPr>
                <w:kern w:val="0"/>
                <w:sz w:val="18"/>
                <w:szCs w:val="18"/>
              </w:rPr>
              <w:t>3.1</w:t>
            </w:r>
            <w:r>
              <w:rPr>
                <w:sz w:val="18"/>
                <w:szCs w:val="18"/>
              </w:rPr>
              <w:t>能够利用专业知识，针对给定需求，设计出满足要求的系统总体方案与系统拓扑图、单元子系统（或单元电路）、软硬件模块或工艺</w:t>
            </w:r>
            <w:r>
              <w:rPr>
                <w:rFonts w:hint="eastAsia"/>
                <w:sz w:val="18"/>
                <w:szCs w:val="18"/>
              </w:rPr>
              <w:t>流程</w:t>
            </w:r>
            <w:r>
              <w:rPr>
                <w:sz w:val="18"/>
                <w:szCs w:val="18"/>
              </w:rPr>
              <w:t>。</w:t>
            </w:r>
          </w:p>
        </w:tc>
        <w:tc>
          <w:tcPr>
            <w:tcW w:w="689" w:type="dxa"/>
            <w:vAlign w:val="center"/>
          </w:tcPr>
          <w:p>
            <w:pPr>
              <w:widowControl/>
              <w:adjustRightInd w:val="0"/>
              <w:snapToGrid w:val="0"/>
              <w:spacing w:line="300" w:lineRule="auto"/>
              <w:jc w:val="left"/>
              <w:rPr>
                <w:sz w:val="18"/>
                <w:szCs w:val="18"/>
              </w:rPr>
            </w:pPr>
            <w:r>
              <w:rPr>
                <w:bCs/>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widowControl/>
              <w:adjustRightInd w:val="0"/>
              <w:snapToGrid w:val="0"/>
              <w:spacing w:line="300" w:lineRule="auto"/>
              <w:rPr>
                <w:sz w:val="18"/>
                <w:szCs w:val="18"/>
              </w:rPr>
            </w:pPr>
            <w:r>
              <w:rPr>
                <w:sz w:val="18"/>
                <w:szCs w:val="18"/>
              </w:rPr>
              <w:t>3</w:t>
            </w:r>
            <w:r>
              <w:rPr>
                <w:kern w:val="0"/>
                <w:szCs w:val="21"/>
              </w:rPr>
              <w:t>．</w:t>
            </w:r>
            <w:r>
              <w:rPr>
                <w:sz w:val="18"/>
                <w:szCs w:val="18"/>
              </w:rPr>
              <w:t>设计/开发解决方案</w:t>
            </w:r>
          </w:p>
        </w:tc>
        <w:tc>
          <w:tcPr>
            <w:tcW w:w="6143" w:type="dxa"/>
            <w:vAlign w:val="center"/>
          </w:tcPr>
          <w:p>
            <w:pPr>
              <w:widowControl/>
              <w:adjustRightInd w:val="0"/>
              <w:snapToGrid w:val="0"/>
              <w:spacing w:line="300" w:lineRule="auto"/>
              <w:rPr>
                <w:kern w:val="0"/>
                <w:sz w:val="18"/>
                <w:szCs w:val="18"/>
              </w:rPr>
            </w:pPr>
            <w:r>
              <w:rPr>
                <w:kern w:val="0"/>
                <w:sz w:val="18"/>
                <w:szCs w:val="18"/>
              </w:rPr>
              <w:t>3.3</w:t>
            </w:r>
            <w:r>
              <w:rPr>
                <w:rFonts w:hint="eastAsia"/>
                <w:sz w:val="18"/>
                <w:szCs w:val="18"/>
              </w:rPr>
              <w:t>能够在</w:t>
            </w:r>
            <w:r>
              <w:rPr>
                <w:sz w:val="18"/>
                <w:szCs w:val="18"/>
              </w:rPr>
              <w:t>设计中充分考虑社会、健康、安全、法律、文化以及环境等因素。</w:t>
            </w:r>
          </w:p>
        </w:tc>
        <w:tc>
          <w:tcPr>
            <w:tcW w:w="689" w:type="dxa"/>
            <w:vAlign w:val="center"/>
          </w:tcPr>
          <w:p>
            <w:pPr>
              <w:widowControl/>
              <w:adjustRightInd w:val="0"/>
              <w:snapToGrid w:val="0"/>
              <w:spacing w:line="300" w:lineRule="auto"/>
              <w:jc w:val="left"/>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193" w:type="dxa"/>
            <w:vAlign w:val="center"/>
          </w:tcPr>
          <w:p>
            <w:pPr>
              <w:widowControl/>
              <w:adjustRightInd w:val="0"/>
              <w:snapToGrid w:val="0"/>
              <w:spacing w:line="300" w:lineRule="auto"/>
              <w:rPr>
                <w:sz w:val="18"/>
                <w:szCs w:val="18"/>
              </w:rPr>
            </w:pPr>
            <w:r>
              <w:rPr>
                <w:rFonts w:hint="eastAsia"/>
                <w:sz w:val="18"/>
                <w:szCs w:val="18"/>
              </w:rPr>
              <w:t>5</w:t>
            </w:r>
            <w:r>
              <w:rPr>
                <w:sz w:val="18"/>
                <w:szCs w:val="18"/>
              </w:rPr>
              <w:t>．</w:t>
            </w:r>
            <w:r>
              <w:rPr>
                <w:rFonts w:hint="eastAsia"/>
                <w:sz w:val="18"/>
                <w:szCs w:val="18"/>
              </w:rPr>
              <w:t>使用</w:t>
            </w:r>
            <w:r>
              <w:rPr>
                <w:sz w:val="18"/>
                <w:szCs w:val="18"/>
              </w:rPr>
              <w:t>现代工具</w:t>
            </w:r>
          </w:p>
        </w:tc>
        <w:tc>
          <w:tcPr>
            <w:tcW w:w="6143" w:type="dxa"/>
            <w:vAlign w:val="center"/>
          </w:tcPr>
          <w:p>
            <w:pPr>
              <w:widowControl/>
              <w:adjustRightInd w:val="0"/>
              <w:snapToGrid w:val="0"/>
              <w:spacing w:line="300" w:lineRule="auto"/>
              <w:rPr>
                <w:kern w:val="0"/>
                <w:sz w:val="18"/>
                <w:szCs w:val="18"/>
              </w:rPr>
            </w:pPr>
            <w:r>
              <w:rPr>
                <w:rFonts w:hint="eastAsia"/>
                <w:kern w:val="0"/>
                <w:sz w:val="18"/>
                <w:szCs w:val="18"/>
              </w:rPr>
              <w:t>5.2</w:t>
            </w:r>
            <w:r>
              <w:rPr>
                <w:kern w:val="0"/>
                <w:sz w:val="18"/>
                <w:szCs w:val="18"/>
              </w:rPr>
              <w:t>具备使用实验设备、现代工程工具和信息技术工具对复杂工程问题进行模拟或仿真的能力，并能够理解其局限性。</w:t>
            </w:r>
          </w:p>
        </w:tc>
        <w:tc>
          <w:tcPr>
            <w:tcW w:w="689" w:type="dxa"/>
            <w:vAlign w:val="center"/>
          </w:tcPr>
          <w:p>
            <w:pPr>
              <w:widowControl/>
              <w:adjustRightInd w:val="0"/>
              <w:snapToGrid w:val="0"/>
              <w:spacing w:line="300" w:lineRule="auto"/>
              <w:rPr>
                <w:kern w:val="0"/>
                <w:sz w:val="18"/>
                <w:szCs w:val="18"/>
              </w:rPr>
            </w:pPr>
            <w:r>
              <w:rPr>
                <w:rFonts w:hint="eastAsia"/>
                <w:kern w:val="0"/>
                <w:sz w:val="18"/>
                <w:szCs w:val="18"/>
              </w:rPr>
              <w:t>3</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1"/>
        <w:gridCol w:w="1988"/>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3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9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rPr>
              <w:t>1</w:t>
            </w:r>
            <w:r>
              <w:rPr>
                <w:kern w:val="0"/>
                <w:szCs w:val="21"/>
              </w:rPr>
              <w:t>．</w:t>
            </w:r>
            <w:r>
              <w:rPr>
                <w:sz w:val="18"/>
                <w:szCs w:val="18"/>
                <w:shd w:val="clear" w:color="auto" w:fill="FFFFFF"/>
              </w:rPr>
              <w:t>了解电力电子元器件在高频开关工作状态下的工作特性，掌握它们在实际应用中的注意要点和选择原则；</w:t>
            </w:r>
          </w:p>
        </w:tc>
        <w:tc>
          <w:tcPr>
            <w:tcW w:w="19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shd w:val="clear" w:color="auto" w:fill="FEFEFF"/>
              </w:rPr>
            </w:pPr>
            <w:r>
              <w:rPr>
                <w:sz w:val="18"/>
                <w:szCs w:val="18"/>
              </w:rPr>
              <w:t>课堂讲授、指定阅读、网络学习等</w:t>
            </w:r>
          </w:p>
        </w:tc>
        <w:tc>
          <w:tcPr>
            <w:tcW w:w="22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bCs/>
                <w:sz w:val="18"/>
                <w:szCs w:val="18"/>
              </w:rPr>
            </w:pPr>
            <w:r>
              <w:rPr>
                <w:sz w:val="18"/>
                <w:szCs w:val="18"/>
                <w:shd w:val="clear" w:color="auto" w:fill="FFFFFF"/>
              </w:rPr>
              <w:t>课堂表现、习题作业、期末考试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FFFFF"/>
              </w:rPr>
              <w:t>2</w:t>
            </w:r>
            <w:r>
              <w:rPr>
                <w:kern w:val="0"/>
                <w:szCs w:val="21"/>
              </w:rPr>
              <w:t>．</w:t>
            </w:r>
            <w:r>
              <w:rPr>
                <w:sz w:val="18"/>
                <w:szCs w:val="18"/>
                <w:shd w:val="clear" w:color="auto" w:fill="FFFFFF"/>
              </w:rPr>
              <w:t>熟悉DC/DC变换器的拓扑结构，掌握不同形式变换器电路的应用特点和范围；</w:t>
            </w:r>
          </w:p>
        </w:tc>
        <w:tc>
          <w:tcPr>
            <w:tcW w:w="19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shd w:val="clear" w:color="auto" w:fill="FEFEFF"/>
              </w:rPr>
            </w:pPr>
            <w:r>
              <w:rPr>
                <w:sz w:val="18"/>
                <w:szCs w:val="18"/>
              </w:rPr>
              <w:t>课堂讲授、案例研讨、作业、网络学习等</w:t>
            </w:r>
          </w:p>
        </w:tc>
        <w:tc>
          <w:tcPr>
            <w:tcW w:w="2225" w:type="dxa"/>
            <w:tcBorders>
              <w:top w:val="single" w:color="auto" w:sz="4" w:space="0"/>
              <w:left w:val="single" w:color="auto" w:sz="4" w:space="0"/>
              <w:bottom w:val="single" w:color="auto" w:sz="4" w:space="0"/>
              <w:right w:val="single" w:color="auto" w:sz="4" w:space="0"/>
            </w:tcBorders>
            <w:shd w:val="clear" w:color="auto" w:fill="FFFFFF"/>
          </w:tcPr>
          <w:p>
            <w:pPr>
              <w:snapToGrid w:val="0"/>
              <w:spacing w:line="300" w:lineRule="auto"/>
              <w:jc w:val="left"/>
              <w:rPr>
                <w:sz w:val="18"/>
                <w:szCs w:val="18"/>
                <w:shd w:val="clear" w:color="auto" w:fill="FFFFFF"/>
              </w:rPr>
            </w:pPr>
            <w:r>
              <w:rPr>
                <w:sz w:val="18"/>
                <w:szCs w:val="18"/>
                <w:shd w:val="clear" w:color="auto" w:fill="FFFFFF"/>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83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FFFFF"/>
              </w:rPr>
              <w:t>3</w:t>
            </w:r>
            <w:r>
              <w:rPr>
                <w:kern w:val="0"/>
                <w:szCs w:val="21"/>
              </w:rPr>
              <w:t>．</w:t>
            </w:r>
            <w:r>
              <w:rPr>
                <w:kern w:val="0"/>
                <w:sz w:val="18"/>
                <w:szCs w:val="18"/>
              </w:rPr>
              <w:t>掌握开关元器件（包括电容、电感、变压器等）的设计选择方法；掌握常见吸收回路和热损耗设计技术，熟悉电磁噪声常见的抑制方法</w:t>
            </w:r>
            <w:r>
              <w:rPr>
                <w:sz w:val="18"/>
                <w:szCs w:val="18"/>
                <w:shd w:val="clear" w:color="auto" w:fill="FFFFFF"/>
              </w:rPr>
              <w:t>。</w:t>
            </w:r>
          </w:p>
        </w:tc>
        <w:tc>
          <w:tcPr>
            <w:tcW w:w="19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shd w:val="clear" w:color="auto" w:fill="FEFEFF"/>
              </w:rPr>
            </w:pPr>
            <w:r>
              <w:rPr>
                <w:sz w:val="18"/>
                <w:szCs w:val="18"/>
              </w:rPr>
              <w:t>课堂讲授、上机实验</w:t>
            </w:r>
          </w:p>
        </w:tc>
        <w:tc>
          <w:tcPr>
            <w:tcW w:w="22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sz w:val="18"/>
                <w:szCs w:val="18"/>
                <w:shd w:val="clear" w:color="auto" w:fill="FEFEFF"/>
              </w:rPr>
            </w:pPr>
            <w:r>
              <w:rPr>
                <w:sz w:val="18"/>
                <w:szCs w:val="18"/>
                <w:shd w:val="clear" w:color="auto" w:fill="FFFFFF"/>
              </w:rPr>
              <w:t>课堂表现、习题作业、期末考试</w:t>
            </w:r>
          </w:p>
        </w:tc>
      </w:tr>
    </w:tbl>
    <w:p>
      <w:pPr>
        <w:snapToGrid w:val="0"/>
        <w:spacing w:before="156" w:beforeLines="50" w:after="156" w:afterLines="50" w:line="300" w:lineRule="auto"/>
        <w:rPr>
          <w:b/>
          <w:sz w:val="24"/>
        </w:rPr>
      </w:pPr>
      <w:r>
        <w:rPr>
          <w:b/>
          <w:sz w:val="24"/>
        </w:rPr>
        <w:t>四、课程教学内容、教与学的要求</w:t>
      </w:r>
    </w:p>
    <w:p>
      <w:pPr>
        <w:widowControl/>
        <w:adjustRightInd w:val="0"/>
        <w:snapToGrid w:val="0"/>
        <w:spacing w:line="300" w:lineRule="auto"/>
        <w:ind w:firstLine="420" w:firstLineChars="200"/>
        <w:rPr>
          <w:kern w:val="0"/>
          <w:szCs w:val="21"/>
        </w:rPr>
      </w:pPr>
      <w:r>
        <w:rPr>
          <w:kern w:val="0"/>
          <w:szCs w:val="21"/>
        </w:rPr>
        <w:t>1．课堂讲授为主，多媒体教学、课程独立网站（含教学视频）学习为辅，注重工程案例教学，每周平均讲授4学时，与专业相关实践教学环节和场景配合呼应。</w:t>
      </w:r>
    </w:p>
    <w:p>
      <w:pPr>
        <w:widowControl/>
        <w:adjustRightInd w:val="0"/>
        <w:snapToGrid w:val="0"/>
        <w:spacing w:line="300" w:lineRule="auto"/>
        <w:ind w:firstLine="420" w:firstLineChars="200"/>
        <w:rPr>
          <w:kern w:val="0"/>
          <w:szCs w:val="21"/>
        </w:rPr>
      </w:pPr>
      <w:r>
        <w:rPr>
          <w:kern w:val="0"/>
          <w:szCs w:val="21"/>
        </w:rPr>
        <w:t> 2．基于电子信息系统信息处理与传输工作流程构建课程教学体系；根据课程特点采用启发式教学、任务驱动教学、案例教学法进行教学方法创新；核心能力知识点采用</w:t>
      </w:r>
      <w:r>
        <w:rPr>
          <w:rFonts w:hint="eastAsia"/>
          <w:kern w:val="0"/>
          <w:szCs w:val="21"/>
        </w:rPr>
        <w:t>“</w:t>
      </w:r>
      <w:r>
        <w:rPr>
          <w:kern w:val="0"/>
          <w:szCs w:val="21"/>
        </w:rPr>
        <w:t>原理描述-设计要点分析-应用案例展示</w:t>
      </w:r>
      <w:r>
        <w:rPr>
          <w:rFonts w:hint="eastAsia"/>
          <w:kern w:val="0"/>
          <w:szCs w:val="21"/>
        </w:rPr>
        <w:t>”</w:t>
      </w:r>
      <w:r>
        <w:rPr>
          <w:kern w:val="0"/>
          <w:szCs w:val="21"/>
        </w:rPr>
        <w:t>相互呼应的教学模式。</w:t>
      </w:r>
    </w:p>
    <w:p>
      <w:pPr>
        <w:widowControl/>
        <w:adjustRightInd w:val="0"/>
        <w:snapToGrid w:val="0"/>
        <w:spacing w:line="300" w:lineRule="auto"/>
        <w:ind w:firstLine="420" w:firstLineChars="200"/>
        <w:rPr>
          <w:kern w:val="0"/>
          <w:szCs w:val="21"/>
        </w:rPr>
      </w:pPr>
      <w:r>
        <w:rPr>
          <w:kern w:val="0"/>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3"/>
        <w:gridCol w:w="5387"/>
        <w:gridCol w:w="2324"/>
        <w:gridCol w:w="445"/>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jc w:val="center"/>
        </w:trPr>
        <w:tc>
          <w:tcPr>
            <w:tcW w:w="443" w:type="dxa"/>
            <w:tcMar>
              <w:left w:w="57" w:type="dxa"/>
              <w:right w:w="57" w:type="dxa"/>
            </w:tcMar>
            <w:vAlign w:val="center"/>
          </w:tcPr>
          <w:p>
            <w:pPr>
              <w:adjustRightInd w:val="0"/>
              <w:snapToGrid w:val="0"/>
              <w:spacing w:line="264" w:lineRule="auto"/>
              <w:rPr>
                <w:b/>
                <w:bCs/>
                <w:sz w:val="18"/>
                <w:szCs w:val="18"/>
              </w:rPr>
            </w:pPr>
            <w:r>
              <w:rPr>
                <w:b/>
                <w:bCs/>
                <w:sz w:val="18"/>
                <w:szCs w:val="18"/>
              </w:rPr>
              <w:t>序号</w:t>
            </w:r>
          </w:p>
        </w:tc>
        <w:tc>
          <w:tcPr>
            <w:tcW w:w="5387" w:type="dxa"/>
            <w:vAlign w:val="center"/>
          </w:tcPr>
          <w:p>
            <w:pPr>
              <w:adjustRightInd w:val="0"/>
              <w:snapToGrid w:val="0"/>
              <w:spacing w:line="264" w:lineRule="auto"/>
              <w:jc w:val="center"/>
              <w:rPr>
                <w:b/>
                <w:bCs/>
                <w:sz w:val="18"/>
                <w:szCs w:val="18"/>
              </w:rPr>
            </w:pPr>
            <w:r>
              <w:rPr>
                <w:b/>
                <w:bCs/>
                <w:sz w:val="18"/>
                <w:szCs w:val="18"/>
              </w:rPr>
              <w:t>教学内容</w:t>
            </w:r>
          </w:p>
        </w:tc>
        <w:tc>
          <w:tcPr>
            <w:tcW w:w="2324" w:type="dxa"/>
            <w:vAlign w:val="center"/>
          </w:tcPr>
          <w:p>
            <w:pPr>
              <w:adjustRightInd w:val="0"/>
              <w:snapToGrid w:val="0"/>
              <w:spacing w:line="264" w:lineRule="auto"/>
              <w:jc w:val="center"/>
              <w:rPr>
                <w:b/>
                <w:bCs/>
                <w:sz w:val="18"/>
                <w:szCs w:val="18"/>
              </w:rPr>
            </w:pPr>
            <w:r>
              <w:rPr>
                <w:b/>
                <w:bCs/>
                <w:sz w:val="18"/>
                <w:szCs w:val="18"/>
              </w:rPr>
              <w:t>教与学的要求</w:t>
            </w:r>
          </w:p>
        </w:tc>
        <w:tc>
          <w:tcPr>
            <w:tcW w:w="445" w:type="dxa"/>
            <w:vAlign w:val="center"/>
          </w:tcPr>
          <w:p>
            <w:pPr>
              <w:adjustRightInd w:val="0"/>
              <w:snapToGrid w:val="0"/>
              <w:spacing w:line="264" w:lineRule="auto"/>
              <w:jc w:val="center"/>
              <w:rPr>
                <w:b/>
                <w:bCs/>
                <w:sz w:val="18"/>
                <w:szCs w:val="18"/>
              </w:rPr>
            </w:pPr>
            <w:r>
              <w:rPr>
                <w:b/>
                <w:bCs/>
                <w:sz w:val="18"/>
                <w:szCs w:val="18"/>
              </w:rPr>
              <w:t>学时</w:t>
            </w:r>
          </w:p>
        </w:tc>
        <w:tc>
          <w:tcPr>
            <w:tcW w:w="491" w:type="dxa"/>
            <w:vAlign w:val="center"/>
          </w:tcPr>
          <w:p>
            <w:pPr>
              <w:adjustRightInd w:val="0"/>
              <w:snapToGrid w:val="0"/>
              <w:spacing w:line="264"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dxa"/>
            <w:tcMar>
              <w:left w:w="57" w:type="dxa"/>
              <w:right w:w="57" w:type="dxa"/>
            </w:tcMar>
            <w:vAlign w:val="center"/>
          </w:tcPr>
          <w:p>
            <w:pPr>
              <w:adjustRightInd w:val="0"/>
              <w:snapToGrid w:val="0"/>
              <w:spacing w:line="264" w:lineRule="auto"/>
              <w:jc w:val="center"/>
              <w:rPr>
                <w:sz w:val="18"/>
                <w:szCs w:val="18"/>
                <w:shd w:val="clear" w:color="auto" w:fill="FFFFFF"/>
              </w:rPr>
            </w:pPr>
            <w:r>
              <w:rPr>
                <w:sz w:val="18"/>
                <w:szCs w:val="18"/>
                <w:shd w:val="clear" w:color="auto" w:fill="FFFFFF"/>
              </w:rPr>
              <w:t>1</w:t>
            </w:r>
          </w:p>
        </w:tc>
        <w:tc>
          <w:tcPr>
            <w:tcW w:w="5387" w:type="dxa"/>
            <w:vAlign w:val="center"/>
          </w:tcPr>
          <w:p>
            <w:pPr>
              <w:adjustRightInd w:val="0"/>
              <w:snapToGrid w:val="0"/>
              <w:spacing w:line="264" w:lineRule="auto"/>
              <w:rPr>
                <w:sz w:val="18"/>
                <w:szCs w:val="18"/>
                <w:shd w:val="clear" w:color="auto" w:fill="FFFFFF"/>
              </w:rPr>
            </w:pPr>
            <w:r>
              <w:rPr>
                <w:sz w:val="18"/>
                <w:szCs w:val="18"/>
                <w:shd w:val="clear" w:color="auto" w:fill="FFFFFF"/>
              </w:rPr>
              <w:t>1</w:t>
            </w:r>
            <w:r>
              <w:rPr>
                <w:kern w:val="0"/>
                <w:szCs w:val="21"/>
              </w:rPr>
              <w:t>．</w:t>
            </w:r>
            <w:r>
              <w:rPr>
                <w:sz w:val="18"/>
                <w:szCs w:val="18"/>
                <w:shd w:val="clear" w:color="auto" w:fill="FFFFFF"/>
              </w:rPr>
              <w:t>绪论</w:t>
            </w:r>
          </w:p>
          <w:p>
            <w:pPr>
              <w:adjustRightInd w:val="0"/>
              <w:snapToGrid w:val="0"/>
              <w:spacing w:line="264" w:lineRule="auto"/>
              <w:rPr>
                <w:sz w:val="18"/>
                <w:szCs w:val="18"/>
                <w:shd w:val="clear" w:color="auto" w:fill="FFFFFF"/>
              </w:rPr>
            </w:pPr>
            <w:r>
              <w:rPr>
                <w:sz w:val="18"/>
                <w:szCs w:val="18"/>
                <w:shd w:val="clear" w:color="auto" w:fill="FFFFFF"/>
              </w:rPr>
              <w:t>1.1 了解开关电源直接式6种基本拓扑结构：Buck converter, Boost converter, Buck-Boost converter, Cuk converter, Sepic converter 和 Zeta converter , 掌握 Buck</w:t>
            </w:r>
          </w:p>
          <w:p>
            <w:pPr>
              <w:adjustRightInd w:val="0"/>
              <w:snapToGrid w:val="0"/>
              <w:spacing w:line="264" w:lineRule="auto"/>
              <w:rPr>
                <w:sz w:val="18"/>
                <w:szCs w:val="18"/>
                <w:shd w:val="clear" w:color="auto" w:fill="FFFFFF"/>
              </w:rPr>
            </w:pPr>
            <w:r>
              <w:rPr>
                <w:sz w:val="18"/>
                <w:szCs w:val="18"/>
                <w:shd w:val="clear" w:color="auto" w:fill="FFFFFF"/>
              </w:rPr>
              <w:t>converter的分析方法；</w:t>
            </w:r>
          </w:p>
          <w:p>
            <w:pPr>
              <w:adjustRightInd w:val="0"/>
              <w:snapToGrid w:val="0"/>
              <w:spacing w:line="264" w:lineRule="auto"/>
              <w:rPr>
                <w:sz w:val="18"/>
                <w:szCs w:val="18"/>
                <w:shd w:val="clear" w:color="auto" w:fill="FFFFFF"/>
              </w:rPr>
            </w:pPr>
            <w:r>
              <w:rPr>
                <w:sz w:val="18"/>
                <w:szCs w:val="18"/>
                <w:shd w:val="clear" w:color="auto" w:fill="FFFFFF"/>
              </w:rPr>
              <w:t>1.2 熟悉隔离式5种基本电路：单端正激式变换器、单端反激式变换</w:t>
            </w:r>
          </w:p>
          <w:p>
            <w:pPr>
              <w:adjustRightInd w:val="0"/>
              <w:snapToGrid w:val="0"/>
              <w:spacing w:line="264" w:lineRule="auto"/>
              <w:rPr>
                <w:sz w:val="18"/>
                <w:szCs w:val="18"/>
                <w:shd w:val="clear" w:color="auto" w:fill="FFFFFF"/>
              </w:rPr>
            </w:pPr>
            <w:r>
              <w:rPr>
                <w:sz w:val="18"/>
                <w:szCs w:val="18"/>
                <w:shd w:val="clear" w:color="auto" w:fill="FFFFFF"/>
              </w:rPr>
              <w:t>器、推挽式变换器、半桥式变换器和全桥式变换器。</w:t>
            </w:r>
          </w:p>
          <w:p>
            <w:pPr>
              <w:adjustRightInd w:val="0"/>
              <w:snapToGrid w:val="0"/>
              <w:spacing w:line="264" w:lineRule="auto"/>
              <w:rPr>
                <w:sz w:val="18"/>
                <w:szCs w:val="18"/>
                <w:shd w:val="clear" w:color="auto" w:fill="FFFFFF"/>
              </w:rPr>
            </w:pPr>
            <w:r>
              <w:rPr>
                <w:sz w:val="18"/>
                <w:szCs w:val="18"/>
                <w:shd w:val="clear" w:color="auto" w:fill="FFFFFF"/>
              </w:rPr>
              <w:t>课程思政主题：在讲授过程中通过介绍现代电源领域的技术发展，激励学生的创新创造意识以及投身科技强国的信念。</w:t>
            </w:r>
          </w:p>
        </w:tc>
        <w:tc>
          <w:tcPr>
            <w:tcW w:w="2324" w:type="dxa"/>
            <w:vAlign w:val="center"/>
          </w:tcPr>
          <w:p>
            <w:pPr>
              <w:adjustRightInd w:val="0"/>
              <w:snapToGrid w:val="0"/>
              <w:spacing w:line="264" w:lineRule="auto"/>
              <w:rPr>
                <w:sz w:val="18"/>
                <w:szCs w:val="18"/>
                <w:shd w:val="clear" w:color="auto" w:fill="FFFFFF"/>
              </w:rPr>
            </w:pPr>
            <w:r>
              <w:rPr>
                <w:sz w:val="18"/>
                <w:szCs w:val="18"/>
                <w:shd w:val="clear" w:color="auto" w:fill="FFFFFF"/>
              </w:rPr>
              <w:t>1、掌握线性电源和开关电源的优缺点；</w:t>
            </w:r>
          </w:p>
          <w:p>
            <w:pPr>
              <w:adjustRightInd w:val="0"/>
              <w:snapToGrid w:val="0"/>
              <w:spacing w:line="264" w:lineRule="auto"/>
              <w:rPr>
                <w:sz w:val="18"/>
                <w:szCs w:val="18"/>
                <w:shd w:val="clear" w:color="auto" w:fill="FFFFFF"/>
              </w:rPr>
            </w:pPr>
            <w:r>
              <w:rPr>
                <w:sz w:val="18"/>
                <w:szCs w:val="18"/>
                <w:shd w:val="clear" w:color="auto" w:fill="FFFFFF"/>
              </w:rPr>
              <w:t>2、了解开关电源的现状和发展情况；</w:t>
            </w:r>
          </w:p>
          <w:p>
            <w:pPr>
              <w:adjustRightInd w:val="0"/>
              <w:snapToGrid w:val="0"/>
              <w:spacing w:line="264" w:lineRule="auto"/>
              <w:rPr>
                <w:sz w:val="18"/>
                <w:szCs w:val="18"/>
                <w:shd w:val="clear" w:color="auto" w:fill="FFFFFF"/>
              </w:rPr>
            </w:pPr>
            <w:r>
              <w:rPr>
                <w:sz w:val="18"/>
                <w:szCs w:val="18"/>
                <w:shd w:val="clear" w:color="auto" w:fill="FFFFFF"/>
              </w:rPr>
              <w:t>3、了解开关电源基本拓扑结构。</w:t>
            </w:r>
          </w:p>
        </w:tc>
        <w:tc>
          <w:tcPr>
            <w:tcW w:w="445" w:type="dxa"/>
            <w:vAlign w:val="center"/>
          </w:tcPr>
          <w:p>
            <w:pPr>
              <w:adjustRightInd w:val="0"/>
              <w:snapToGrid w:val="0"/>
              <w:spacing w:line="264" w:lineRule="auto"/>
              <w:jc w:val="center"/>
              <w:rPr>
                <w:sz w:val="18"/>
                <w:szCs w:val="18"/>
                <w:shd w:val="clear" w:color="auto" w:fill="FFFFFF"/>
              </w:rPr>
            </w:pPr>
            <w:r>
              <w:rPr>
                <w:sz w:val="18"/>
                <w:szCs w:val="18"/>
                <w:shd w:val="clear" w:color="auto" w:fill="FFFFFF"/>
              </w:rPr>
              <w:t>5</w:t>
            </w:r>
          </w:p>
        </w:tc>
        <w:tc>
          <w:tcPr>
            <w:tcW w:w="491" w:type="dxa"/>
            <w:vAlign w:val="center"/>
          </w:tcPr>
          <w:p>
            <w:pPr>
              <w:adjustRightInd w:val="0"/>
              <w:snapToGrid w:val="0"/>
              <w:spacing w:line="264" w:lineRule="auto"/>
              <w:jc w:val="left"/>
              <w:rPr>
                <w:sz w:val="18"/>
                <w:szCs w:val="18"/>
                <w:shd w:val="clear" w:color="auto" w:fill="FFFFFF"/>
              </w:rPr>
            </w:pPr>
            <w:r>
              <w:rPr>
                <w:sz w:val="18"/>
                <w:szCs w:val="18"/>
                <w:shd w:val="clear" w:color="auto" w:fill="FFFFFF"/>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3" w:type="dxa"/>
            <w:tcMar>
              <w:left w:w="57" w:type="dxa"/>
              <w:right w:w="57" w:type="dxa"/>
            </w:tcMar>
            <w:vAlign w:val="center"/>
          </w:tcPr>
          <w:p>
            <w:pPr>
              <w:adjustRightInd w:val="0"/>
              <w:snapToGrid w:val="0"/>
              <w:spacing w:line="264" w:lineRule="auto"/>
              <w:jc w:val="center"/>
              <w:rPr>
                <w:sz w:val="18"/>
                <w:szCs w:val="18"/>
                <w:shd w:val="clear" w:color="auto" w:fill="FFFFFF"/>
              </w:rPr>
            </w:pPr>
            <w:r>
              <w:rPr>
                <w:sz w:val="18"/>
                <w:szCs w:val="18"/>
                <w:shd w:val="clear" w:color="auto" w:fill="FFFFFF"/>
              </w:rPr>
              <w:t>2</w:t>
            </w:r>
          </w:p>
        </w:tc>
        <w:tc>
          <w:tcPr>
            <w:tcW w:w="5387" w:type="dxa"/>
            <w:vAlign w:val="center"/>
          </w:tcPr>
          <w:p>
            <w:pPr>
              <w:adjustRightInd w:val="0"/>
              <w:snapToGrid w:val="0"/>
              <w:spacing w:line="264" w:lineRule="auto"/>
              <w:rPr>
                <w:sz w:val="18"/>
                <w:szCs w:val="18"/>
                <w:shd w:val="clear" w:color="auto" w:fill="FFFFFF"/>
              </w:rPr>
            </w:pPr>
            <w:r>
              <w:rPr>
                <w:sz w:val="18"/>
                <w:szCs w:val="18"/>
                <w:shd w:val="clear" w:color="auto" w:fill="FFFFFF"/>
              </w:rPr>
              <w:t>2</w:t>
            </w:r>
            <w:r>
              <w:rPr>
                <w:kern w:val="0"/>
                <w:szCs w:val="21"/>
              </w:rPr>
              <w:t>．</w:t>
            </w:r>
            <w:r>
              <w:rPr>
                <w:sz w:val="18"/>
                <w:szCs w:val="18"/>
                <w:shd w:val="clear" w:color="auto" w:fill="FFFFFF"/>
              </w:rPr>
              <w:t>隔离式dc/dc变换器与开关电源的控制方法</w:t>
            </w:r>
          </w:p>
          <w:p>
            <w:pPr>
              <w:adjustRightInd w:val="0"/>
              <w:snapToGrid w:val="0"/>
              <w:spacing w:line="264" w:lineRule="auto"/>
              <w:rPr>
                <w:sz w:val="18"/>
                <w:szCs w:val="18"/>
                <w:shd w:val="clear" w:color="auto" w:fill="FFFFFF"/>
              </w:rPr>
            </w:pPr>
            <w:r>
              <w:rPr>
                <w:sz w:val="18"/>
                <w:szCs w:val="18"/>
                <w:shd w:val="clear" w:color="auto" w:fill="FFFFFF"/>
              </w:rPr>
              <w:t>2.1 单端正激式变换器和单端反激式变换器中变压器的特点和磁通复位原理。</w:t>
            </w:r>
          </w:p>
          <w:p>
            <w:pPr>
              <w:adjustRightInd w:val="0"/>
              <w:snapToGrid w:val="0"/>
              <w:spacing w:line="264" w:lineRule="auto"/>
              <w:rPr>
                <w:sz w:val="18"/>
                <w:szCs w:val="18"/>
                <w:shd w:val="clear" w:color="auto" w:fill="FFFFFF"/>
              </w:rPr>
            </w:pPr>
            <w:r>
              <w:rPr>
                <w:sz w:val="18"/>
                <w:szCs w:val="18"/>
                <w:shd w:val="clear" w:color="auto" w:fill="FFFFFF"/>
              </w:rPr>
              <w:t>2.2 全桥式变换器抗偏磁方法</w:t>
            </w:r>
          </w:p>
          <w:p>
            <w:pPr>
              <w:adjustRightInd w:val="0"/>
              <w:snapToGrid w:val="0"/>
              <w:spacing w:line="264" w:lineRule="auto"/>
              <w:rPr>
                <w:sz w:val="18"/>
                <w:szCs w:val="18"/>
                <w:shd w:val="clear" w:color="auto" w:fill="FFFFFF"/>
              </w:rPr>
            </w:pPr>
            <w:r>
              <w:rPr>
                <w:sz w:val="18"/>
                <w:szCs w:val="18"/>
                <w:shd w:val="clear" w:color="auto" w:fill="FFFFFF"/>
              </w:rPr>
              <w:t>2.3 了解开关电源的两种控制模式：电压型和电流型。</w:t>
            </w:r>
          </w:p>
          <w:p>
            <w:pPr>
              <w:adjustRightInd w:val="0"/>
              <w:snapToGrid w:val="0"/>
              <w:spacing w:line="264" w:lineRule="auto"/>
              <w:rPr>
                <w:sz w:val="18"/>
                <w:szCs w:val="18"/>
                <w:shd w:val="clear" w:color="auto" w:fill="FFFFFF"/>
              </w:rPr>
            </w:pPr>
            <w:r>
              <w:rPr>
                <w:sz w:val="18"/>
                <w:szCs w:val="18"/>
                <w:shd w:val="clear" w:color="auto" w:fill="FFFFFF"/>
              </w:rPr>
              <w:t>2.4 熟悉两种控制方法的优缺点。重点掌握电压型控制方式的电路设计。</w:t>
            </w:r>
          </w:p>
          <w:p>
            <w:pPr>
              <w:adjustRightInd w:val="0"/>
              <w:snapToGrid w:val="0"/>
              <w:spacing w:line="264" w:lineRule="auto"/>
              <w:rPr>
                <w:sz w:val="18"/>
                <w:szCs w:val="18"/>
                <w:shd w:val="clear" w:color="auto" w:fill="FFFFFF"/>
              </w:rPr>
            </w:pPr>
            <w:r>
              <w:rPr>
                <w:sz w:val="18"/>
                <w:szCs w:val="18"/>
                <w:shd w:val="clear" w:color="auto" w:fill="FFFFFF"/>
              </w:rPr>
              <w:t>2.5 控制方法的稳定性和电流型控制方法的补偿问题</w:t>
            </w:r>
          </w:p>
        </w:tc>
        <w:tc>
          <w:tcPr>
            <w:tcW w:w="2324" w:type="dxa"/>
            <w:vAlign w:val="center"/>
          </w:tcPr>
          <w:p>
            <w:pPr>
              <w:adjustRightInd w:val="0"/>
              <w:snapToGrid w:val="0"/>
              <w:spacing w:line="264" w:lineRule="auto"/>
              <w:rPr>
                <w:sz w:val="18"/>
                <w:szCs w:val="18"/>
                <w:shd w:val="clear" w:color="auto" w:fill="FFFFFF"/>
              </w:rPr>
            </w:pPr>
            <w:r>
              <w:rPr>
                <w:sz w:val="18"/>
                <w:szCs w:val="18"/>
                <w:shd w:val="clear" w:color="auto" w:fill="FFFFFF"/>
              </w:rPr>
              <w:t>1、掌握线性电源和开关电源的优缺点；</w:t>
            </w:r>
          </w:p>
          <w:p>
            <w:pPr>
              <w:adjustRightInd w:val="0"/>
              <w:snapToGrid w:val="0"/>
              <w:spacing w:line="264" w:lineRule="auto"/>
              <w:rPr>
                <w:sz w:val="18"/>
                <w:szCs w:val="18"/>
                <w:shd w:val="clear" w:color="auto" w:fill="FFFFFF"/>
              </w:rPr>
            </w:pPr>
            <w:r>
              <w:rPr>
                <w:sz w:val="18"/>
                <w:szCs w:val="18"/>
                <w:shd w:val="clear" w:color="auto" w:fill="FFFFFF"/>
              </w:rPr>
              <w:t>2、了解开关电源的现状和发展情况；</w:t>
            </w:r>
          </w:p>
          <w:p>
            <w:pPr>
              <w:adjustRightInd w:val="0"/>
              <w:snapToGrid w:val="0"/>
              <w:spacing w:line="264" w:lineRule="auto"/>
              <w:rPr>
                <w:sz w:val="18"/>
                <w:szCs w:val="18"/>
                <w:shd w:val="clear" w:color="auto" w:fill="FFFFFF"/>
              </w:rPr>
            </w:pPr>
            <w:r>
              <w:rPr>
                <w:sz w:val="18"/>
                <w:szCs w:val="18"/>
                <w:shd w:val="clear" w:color="auto" w:fill="FFFFFF"/>
              </w:rPr>
              <w:t>3、了解开关电源基本拓扑结构。</w:t>
            </w:r>
          </w:p>
        </w:tc>
        <w:tc>
          <w:tcPr>
            <w:tcW w:w="445" w:type="dxa"/>
            <w:vAlign w:val="center"/>
          </w:tcPr>
          <w:p>
            <w:pPr>
              <w:adjustRightInd w:val="0"/>
              <w:snapToGrid w:val="0"/>
              <w:spacing w:line="264" w:lineRule="auto"/>
              <w:jc w:val="center"/>
              <w:rPr>
                <w:sz w:val="18"/>
                <w:szCs w:val="18"/>
                <w:shd w:val="clear" w:color="auto" w:fill="FFFFFF"/>
              </w:rPr>
            </w:pPr>
            <w:r>
              <w:rPr>
                <w:sz w:val="18"/>
                <w:szCs w:val="18"/>
                <w:shd w:val="clear" w:color="auto" w:fill="FFFFFF"/>
              </w:rPr>
              <w:t>6</w:t>
            </w:r>
          </w:p>
        </w:tc>
        <w:tc>
          <w:tcPr>
            <w:tcW w:w="491" w:type="dxa"/>
            <w:vAlign w:val="center"/>
          </w:tcPr>
          <w:p>
            <w:pPr>
              <w:adjustRightInd w:val="0"/>
              <w:snapToGrid w:val="0"/>
              <w:spacing w:line="264" w:lineRule="auto"/>
              <w:jc w:val="left"/>
              <w:rPr>
                <w:sz w:val="18"/>
                <w:szCs w:val="18"/>
                <w:shd w:val="clear" w:color="auto" w:fill="FFFFFF"/>
              </w:rPr>
            </w:pPr>
            <w:r>
              <w:rPr>
                <w:sz w:val="18"/>
                <w:szCs w:val="18"/>
                <w:shd w:val="clear" w:color="auto" w:fill="FFFFFF"/>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443" w:type="dxa"/>
            <w:tcMar>
              <w:left w:w="57" w:type="dxa"/>
              <w:right w:w="57" w:type="dxa"/>
            </w:tcMar>
            <w:vAlign w:val="center"/>
          </w:tcPr>
          <w:p>
            <w:pPr>
              <w:adjustRightInd w:val="0"/>
              <w:snapToGrid w:val="0"/>
              <w:spacing w:line="264" w:lineRule="auto"/>
              <w:jc w:val="center"/>
              <w:rPr>
                <w:sz w:val="18"/>
                <w:szCs w:val="18"/>
                <w:shd w:val="clear" w:color="auto" w:fill="FFFFFF"/>
              </w:rPr>
            </w:pPr>
            <w:r>
              <w:rPr>
                <w:sz w:val="18"/>
                <w:szCs w:val="18"/>
                <w:shd w:val="clear" w:color="auto" w:fill="FFFFFF"/>
              </w:rPr>
              <w:t>3</w:t>
            </w:r>
          </w:p>
        </w:tc>
        <w:tc>
          <w:tcPr>
            <w:tcW w:w="5387" w:type="dxa"/>
            <w:vAlign w:val="center"/>
          </w:tcPr>
          <w:p>
            <w:pPr>
              <w:adjustRightInd w:val="0"/>
              <w:snapToGrid w:val="0"/>
              <w:spacing w:line="264" w:lineRule="auto"/>
              <w:rPr>
                <w:sz w:val="18"/>
                <w:szCs w:val="18"/>
                <w:shd w:val="clear" w:color="auto" w:fill="FFFFFF"/>
              </w:rPr>
            </w:pPr>
            <w:r>
              <w:rPr>
                <w:sz w:val="18"/>
                <w:szCs w:val="18"/>
                <w:shd w:val="clear" w:color="auto" w:fill="FFFFFF"/>
              </w:rPr>
              <w:t>3．磁性材料和磁路基本定律与变压器电感设计的共性问题</w:t>
            </w:r>
          </w:p>
          <w:p>
            <w:pPr>
              <w:adjustRightInd w:val="0"/>
              <w:snapToGrid w:val="0"/>
              <w:spacing w:line="264" w:lineRule="auto"/>
              <w:rPr>
                <w:sz w:val="18"/>
                <w:szCs w:val="18"/>
                <w:shd w:val="clear" w:color="auto" w:fill="FFFFFF"/>
              </w:rPr>
            </w:pPr>
            <w:r>
              <w:rPr>
                <w:sz w:val="18"/>
                <w:szCs w:val="18"/>
                <w:shd w:val="clear" w:color="auto" w:fill="FFFFFF"/>
              </w:rPr>
              <w:t>3.1 磁路基本定律。</w:t>
            </w:r>
          </w:p>
          <w:p>
            <w:pPr>
              <w:adjustRightInd w:val="0"/>
              <w:snapToGrid w:val="0"/>
              <w:spacing w:line="264" w:lineRule="auto"/>
              <w:rPr>
                <w:sz w:val="18"/>
                <w:szCs w:val="18"/>
                <w:shd w:val="clear" w:color="auto" w:fill="FFFFFF"/>
              </w:rPr>
            </w:pPr>
            <w:r>
              <w:rPr>
                <w:sz w:val="18"/>
                <w:szCs w:val="18"/>
                <w:shd w:val="clear" w:color="auto" w:fill="FFFFFF"/>
              </w:rPr>
              <w:t>3.2 磁路连续性定律、安培环路定律。磁导率和电感的定义。</w:t>
            </w:r>
          </w:p>
          <w:p>
            <w:pPr>
              <w:adjustRightInd w:val="0"/>
              <w:snapToGrid w:val="0"/>
              <w:spacing w:line="264" w:lineRule="auto"/>
              <w:rPr>
                <w:sz w:val="18"/>
                <w:szCs w:val="18"/>
                <w:shd w:val="clear" w:color="auto" w:fill="FFFFFF"/>
              </w:rPr>
            </w:pPr>
            <w:r>
              <w:rPr>
                <w:sz w:val="18"/>
                <w:szCs w:val="18"/>
                <w:shd w:val="clear" w:color="auto" w:fill="FFFFFF"/>
              </w:rPr>
              <w:t>3.3 磁芯的磁化方式、材料特性、居里温度等问题。</w:t>
            </w:r>
          </w:p>
          <w:p>
            <w:pPr>
              <w:adjustRightInd w:val="0"/>
              <w:snapToGrid w:val="0"/>
              <w:spacing w:line="264" w:lineRule="auto"/>
              <w:rPr>
                <w:sz w:val="18"/>
                <w:szCs w:val="18"/>
                <w:shd w:val="clear" w:color="auto" w:fill="FFFFFF"/>
              </w:rPr>
            </w:pPr>
            <w:r>
              <w:rPr>
                <w:sz w:val="18"/>
                <w:szCs w:val="18"/>
                <w:shd w:val="clear" w:color="auto" w:fill="FFFFFF"/>
              </w:rPr>
              <w:t>3.4 导体的直流电阻和交流电阻，集肤效应和邻近效应。</w:t>
            </w:r>
          </w:p>
          <w:p>
            <w:pPr>
              <w:adjustRightInd w:val="0"/>
              <w:snapToGrid w:val="0"/>
              <w:spacing w:line="264" w:lineRule="auto"/>
              <w:rPr>
                <w:sz w:val="18"/>
                <w:szCs w:val="18"/>
                <w:shd w:val="clear" w:color="auto" w:fill="FFFFFF"/>
              </w:rPr>
            </w:pPr>
            <w:r>
              <w:rPr>
                <w:sz w:val="18"/>
                <w:szCs w:val="18"/>
                <w:shd w:val="clear" w:color="auto" w:fill="FFFFFF"/>
              </w:rPr>
              <w:t>3.5 集肤效应、铜损和铁损问题。</w:t>
            </w:r>
          </w:p>
        </w:tc>
        <w:tc>
          <w:tcPr>
            <w:tcW w:w="2324" w:type="dxa"/>
            <w:vAlign w:val="center"/>
          </w:tcPr>
          <w:p>
            <w:pPr>
              <w:adjustRightInd w:val="0"/>
              <w:snapToGrid w:val="0"/>
              <w:spacing w:line="264" w:lineRule="auto"/>
              <w:rPr>
                <w:sz w:val="18"/>
                <w:szCs w:val="18"/>
                <w:shd w:val="clear" w:color="auto" w:fill="FFFFFF"/>
              </w:rPr>
            </w:pPr>
            <w:r>
              <w:rPr>
                <w:sz w:val="18"/>
                <w:szCs w:val="18"/>
                <w:shd w:val="clear" w:color="auto" w:fill="FFFFFF"/>
              </w:rPr>
              <w:t>1、通过电路基本定律引出磁路基本定律。了解磁性材料的分类和特点；</w:t>
            </w:r>
          </w:p>
          <w:p>
            <w:pPr>
              <w:adjustRightInd w:val="0"/>
              <w:snapToGrid w:val="0"/>
              <w:spacing w:line="264" w:lineRule="auto"/>
              <w:rPr>
                <w:sz w:val="18"/>
                <w:szCs w:val="18"/>
                <w:shd w:val="clear" w:color="auto" w:fill="FFFFFF"/>
              </w:rPr>
            </w:pPr>
            <w:r>
              <w:rPr>
                <w:sz w:val="18"/>
                <w:szCs w:val="18"/>
                <w:shd w:val="clear" w:color="auto" w:fill="FFFFFF"/>
              </w:rPr>
              <w:t>2、掌握磁芯的磁化方式、材料特性、居里温度等问题。</w:t>
            </w:r>
          </w:p>
        </w:tc>
        <w:tc>
          <w:tcPr>
            <w:tcW w:w="445" w:type="dxa"/>
            <w:vAlign w:val="center"/>
          </w:tcPr>
          <w:p>
            <w:pPr>
              <w:adjustRightInd w:val="0"/>
              <w:snapToGrid w:val="0"/>
              <w:spacing w:line="264" w:lineRule="auto"/>
              <w:jc w:val="center"/>
              <w:rPr>
                <w:sz w:val="18"/>
                <w:szCs w:val="18"/>
                <w:shd w:val="clear" w:color="auto" w:fill="FFFFFF"/>
              </w:rPr>
            </w:pPr>
            <w:r>
              <w:rPr>
                <w:sz w:val="18"/>
                <w:szCs w:val="18"/>
                <w:shd w:val="clear" w:color="auto" w:fill="FFFFFF"/>
              </w:rPr>
              <w:t>5</w:t>
            </w:r>
          </w:p>
        </w:tc>
        <w:tc>
          <w:tcPr>
            <w:tcW w:w="491" w:type="dxa"/>
            <w:vAlign w:val="center"/>
          </w:tcPr>
          <w:p>
            <w:pPr>
              <w:adjustRightInd w:val="0"/>
              <w:snapToGrid w:val="0"/>
              <w:spacing w:line="264" w:lineRule="auto"/>
              <w:jc w:val="left"/>
              <w:rPr>
                <w:sz w:val="18"/>
                <w:szCs w:val="18"/>
                <w:shd w:val="clear" w:color="auto" w:fill="FFFFFF"/>
              </w:rPr>
            </w:pPr>
            <w:r>
              <w:rPr>
                <w:sz w:val="18"/>
                <w:szCs w:val="18"/>
                <w:shd w:val="clear" w:color="auto" w:fill="FFFF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43" w:type="dxa"/>
            <w:tcMar>
              <w:left w:w="57" w:type="dxa"/>
              <w:right w:w="57" w:type="dxa"/>
            </w:tcMar>
            <w:vAlign w:val="center"/>
          </w:tcPr>
          <w:p>
            <w:pPr>
              <w:adjustRightInd w:val="0"/>
              <w:snapToGrid w:val="0"/>
              <w:spacing w:line="264" w:lineRule="auto"/>
              <w:jc w:val="center"/>
              <w:rPr>
                <w:sz w:val="18"/>
                <w:szCs w:val="18"/>
                <w:shd w:val="clear" w:color="auto" w:fill="FFFFFF"/>
              </w:rPr>
            </w:pPr>
            <w:r>
              <w:rPr>
                <w:sz w:val="18"/>
                <w:szCs w:val="18"/>
                <w:shd w:val="clear" w:color="auto" w:fill="FFFFFF"/>
              </w:rPr>
              <w:t>4</w:t>
            </w:r>
          </w:p>
        </w:tc>
        <w:tc>
          <w:tcPr>
            <w:tcW w:w="5387" w:type="dxa"/>
            <w:vAlign w:val="center"/>
          </w:tcPr>
          <w:p>
            <w:pPr>
              <w:adjustRightInd w:val="0"/>
              <w:snapToGrid w:val="0"/>
              <w:spacing w:line="264" w:lineRule="auto"/>
              <w:rPr>
                <w:sz w:val="18"/>
                <w:szCs w:val="18"/>
                <w:shd w:val="clear" w:color="auto" w:fill="FFFFFF"/>
              </w:rPr>
            </w:pPr>
            <w:r>
              <w:rPr>
                <w:sz w:val="18"/>
                <w:szCs w:val="18"/>
                <w:shd w:val="clear" w:color="auto" w:fill="FFFFFF"/>
              </w:rPr>
              <w:t>4．高频变压器和电抗器的设计</w:t>
            </w:r>
          </w:p>
          <w:p>
            <w:pPr>
              <w:adjustRightInd w:val="0"/>
              <w:snapToGrid w:val="0"/>
              <w:spacing w:line="264" w:lineRule="auto"/>
              <w:rPr>
                <w:sz w:val="18"/>
                <w:szCs w:val="18"/>
                <w:shd w:val="clear" w:color="auto" w:fill="FFFFFF"/>
              </w:rPr>
            </w:pPr>
            <w:r>
              <w:rPr>
                <w:sz w:val="18"/>
                <w:szCs w:val="18"/>
                <w:shd w:val="clear" w:color="auto" w:fill="FFFFFF"/>
              </w:rPr>
              <w:t>4.1 高频变压器和电抗器的设计步骤</w:t>
            </w:r>
          </w:p>
          <w:p>
            <w:pPr>
              <w:adjustRightInd w:val="0"/>
              <w:snapToGrid w:val="0"/>
              <w:spacing w:line="264" w:lineRule="auto"/>
              <w:rPr>
                <w:sz w:val="18"/>
                <w:szCs w:val="18"/>
                <w:shd w:val="clear" w:color="auto" w:fill="FFFFFF"/>
              </w:rPr>
            </w:pPr>
            <w:r>
              <w:rPr>
                <w:sz w:val="18"/>
                <w:szCs w:val="18"/>
                <w:shd w:val="clear" w:color="auto" w:fill="FFFFFF"/>
              </w:rPr>
              <w:t>4.2 变压器和电抗器线圈的绕制方法</w:t>
            </w:r>
          </w:p>
          <w:p>
            <w:pPr>
              <w:adjustRightInd w:val="0"/>
              <w:snapToGrid w:val="0"/>
              <w:spacing w:line="264" w:lineRule="auto"/>
              <w:rPr>
                <w:sz w:val="18"/>
                <w:szCs w:val="18"/>
                <w:shd w:val="clear" w:color="auto" w:fill="FFFFFF"/>
              </w:rPr>
            </w:pPr>
            <w:r>
              <w:rPr>
                <w:sz w:val="18"/>
                <w:szCs w:val="18"/>
                <w:shd w:val="clear" w:color="auto" w:fill="FFFFFF"/>
              </w:rPr>
              <w:t>4.3 电感气隙大小的确定</w:t>
            </w:r>
          </w:p>
        </w:tc>
        <w:tc>
          <w:tcPr>
            <w:tcW w:w="2324" w:type="dxa"/>
            <w:vAlign w:val="center"/>
          </w:tcPr>
          <w:p>
            <w:pPr>
              <w:adjustRightInd w:val="0"/>
              <w:snapToGrid w:val="0"/>
              <w:spacing w:line="264" w:lineRule="auto"/>
              <w:rPr>
                <w:sz w:val="18"/>
                <w:szCs w:val="18"/>
                <w:shd w:val="clear" w:color="auto" w:fill="FFFFFF"/>
              </w:rPr>
            </w:pPr>
            <w:r>
              <w:rPr>
                <w:sz w:val="18"/>
                <w:szCs w:val="18"/>
                <w:shd w:val="clear" w:color="auto" w:fill="FFFFFF"/>
              </w:rPr>
              <w:t>1、了解高频变压器的特点；</w:t>
            </w:r>
          </w:p>
          <w:p>
            <w:pPr>
              <w:adjustRightInd w:val="0"/>
              <w:snapToGrid w:val="0"/>
              <w:spacing w:line="264" w:lineRule="auto"/>
              <w:rPr>
                <w:sz w:val="18"/>
                <w:szCs w:val="18"/>
                <w:shd w:val="clear" w:color="auto" w:fill="FFFFFF"/>
              </w:rPr>
            </w:pPr>
            <w:r>
              <w:rPr>
                <w:sz w:val="18"/>
                <w:szCs w:val="18"/>
                <w:shd w:val="clear" w:color="auto" w:fill="FFFFFF"/>
              </w:rPr>
              <w:t>2、掌握电抗器设计要点。</w:t>
            </w:r>
          </w:p>
        </w:tc>
        <w:tc>
          <w:tcPr>
            <w:tcW w:w="445" w:type="dxa"/>
            <w:vAlign w:val="center"/>
          </w:tcPr>
          <w:p>
            <w:pPr>
              <w:adjustRightInd w:val="0"/>
              <w:snapToGrid w:val="0"/>
              <w:spacing w:line="264" w:lineRule="auto"/>
              <w:jc w:val="center"/>
              <w:rPr>
                <w:sz w:val="18"/>
                <w:szCs w:val="18"/>
                <w:shd w:val="clear" w:color="auto" w:fill="FFFFFF"/>
              </w:rPr>
            </w:pPr>
            <w:r>
              <w:rPr>
                <w:sz w:val="18"/>
                <w:szCs w:val="18"/>
                <w:shd w:val="clear" w:color="auto" w:fill="FFFFFF"/>
              </w:rPr>
              <w:t>5</w:t>
            </w:r>
          </w:p>
        </w:tc>
        <w:tc>
          <w:tcPr>
            <w:tcW w:w="491" w:type="dxa"/>
            <w:vAlign w:val="center"/>
          </w:tcPr>
          <w:p>
            <w:pPr>
              <w:adjustRightInd w:val="0"/>
              <w:snapToGrid w:val="0"/>
              <w:spacing w:line="264" w:lineRule="auto"/>
              <w:jc w:val="left"/>
              <w:rPr>
                <w:sz w:val="18"/>
                <w:szCs w:val="18"/>
                <w:shd w:val="clear" w:color="auto" w:fill="FFFFFF"/>
              </w:rPr>
            </w:pPr>
            <w:r>
              <w:rPr>
                <w:sz w:val="18"/>
                <w:szCs w:val="18"/>
                <w:shd w:val="clear" w:color="auto" w:fill="FFFFFF"/>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43" w:type="dxa"/>
            <w:tcMar>
              <w:left w:w="57" w:type="dxa"/>
              <w:right w:w="57" w:type="dxa"/>
            </w:tcMar>
            <w:vAlign w:val="center"/>
          </w:tcPr>
          <w:p>
            <w:pPr>
              <w:adjustRightInd w:val="0"/>
              <w:snapToGrid w:val="0"/>
              <w:spacing w:line="264" w:lineRule="auto"/>
              <w:jc w:val="center"/>
              <w:rPr>
                <w:sz w:val="18"/>
                <w:szCs w:val="18"/>
                <w:shd w:val="clear" w:color="auto" w:fill="FFFFFF"/>
              </w:rPr>
            </w:pPr>
            <w:r>
              <w:rPr>
                <w:sz w:val="18"/>
                <w:szCs w:val="18"/>
                <w:shd w:val="clear" w:color="auto" w:fill="FFFFFF"/>
              </w:rPr>
              <w:t>5</w:t>
            </w:r>
          </w:p>
        </w:tc>
        <w:tc>
          <w:tcPr>
            <w:tcW w:w="5387" w:type="dxa"/>
            <w:vAlign w:val="center"/>
          </w:tcPr>
          <w:p>
            <w:pPr>
              <w:adjustRightInd w:val="0"/>
              <w:snapToGrid w:val="0"/>
              <w:spacing w:line="264" w:lineRule="auto"/>
              <w:rPr>
                <w:sz w:val="18"/>
                <w:szCs w:val="18"/>
                <w:shd w:val="clear" w:color="auto" w:fill="FFFFFF"/>
              </w:rPr>
            </w:pPr>
            <w:r>
              <w:rPr>
                <w:sz w:val="18"/>
                <w:szCs w:val="18"/>
                <w:shd w:val="clear" w:color="auto" w:fill="FFFFFF"/>
              </w:rPr>
              <w:t>5．开关损耗和吸收回路</w:t>
            </w:r>
          </w:p>
          <w:p>
            <w:pPr>
              <w:adjustRightInd w:val="0"/>
              <w:snapToGrid w:val="0"/>
              <w:spacing w:line="264" w:lineRule="auto"/>
              <w:rPr>
                <w:sz w:val="18"/>
                <w:szCs w:val="18"/>
                <w:shd w:val="clear" w:color="auto" w:fill="FFFFFF"/>
              </w:rPr>
            </w:pPr>
            <w:r>
              <w:rPr>
                <w:sz w:val="18"/>
                <w:szCs w:val="18"/>
                <w:shd w:val="clear" w:color="auto" w:fill="FFFFFF"/>
              </w:rPr>
              <w:t>5.1 变换器电路的损耗构成</w:t>
            </w:r>
          </w:p>
          <w:p>
            <w:pPr>
              <w:adjustRightInd w:val="0"/>
              <w:snapToGrid w:val="0"/>
              <w:spacing w:line="264" w:lineRule="auto"/>
              <w:rPr>
                <w:sz w:val="18"/>
                <w:szCs w:val="18"/>
                <w:shd w:val="clear" w:color="auto" w:fill="FFFFFF"/>
              </w:rPr>
            </w:pPr>
            <w:r>
              <w:rPr>
                <w:sz w:val="18"/>
                <w:szCs w:val="18"/>
                <w:shd w:val="clear" w:color="auto" w:fill="FFFFFF"/>
              </w:rPr>
              <w:t>5.2开关损耗与吸收电路的关系</w:t>
            </w:r>
          </w:p>
          <w:p>
            <w:pPr>
              <w:adjustRightInd w:val="0"/>
              <w:snapToGrid w:val="0"/>
              <w:spacing w:line="264" w:lineRule="auto"/>
              <w:rPr>
                <w:sz w:val="18"/>
                <w:szCs w:val="18"/>
                <w:shd w:val="clear" w:color="auto" w:fill="FFFFFF"/>
              </w:rPr>
            </w:pPr>
            <w:r>
              <w:rPr>
                <w:sz w:val="18"/>
                <w:szCs w:val="18"/>
                <w:shd w:val="clear" w:color="auto" w:fill="FFFFFF"/>
              </w:rPr>
              <w:t>5.3 开关电源吸收回路形式</w:t>
            </w:r>
          </w:p>
          <w:p>
            <w:pPr>
              <w:adjustRightInd w:val="0"/>
              <w:snapToGrid w:val="0"/>
              <w:spacing w:line="264" w:lineRule="auto"/>
              <w:rPr>
                <w:sz w:val="18"/>
                <w:szCs w:val="18"/>
                <w:shd w:val="clear" w:color="auto" w:fill="FFFFFF"/>
              </w:rPr>
            </w:pPr>
            <w:r>
              <w:rPr>
                <w:sz w:val="18"/>
                <w:szCs w:val="18"/>
                <w:shd w:val="clear" w:color="auto" w:fill="FFFFFF"/>
              </w:rPr>
              <w:t>5.4 RCD吸收回路的参数选择</w:t>
            </w:r>
          </w:p>
        </w:tc>
        <w:tc>
          <w:tcPr>
            <w:tcW w:w="2324" w:type="dxa"/>
            <w:vAlign w:val="center"/>
          </w:tcPr>
          <w:p>
            <w:pPr>
              <w:adjustRightInd w:val="0"/>
              <w:snapToGrid w:val="0"/>
              <w:spacing w:line="264" w:lineRule="auto"/>
              <w:rPr>
                <w:sz w:val="18"/>
                <w:szCs w:val="18"/>
                <w:shd w:val="clear" w:color="auto" w:fill="FFFFFF"/>
              </w:rPr>
            </w:pPr>
            <w:r>
              <w:rPr>
                <w:sz w:val="18"/>
                <w:szCs w:val="18"/>
                <w:shd w:val="clear" w:color="auto" w:fill="FFFFFF"/>
              </w:rPr>
              <w:t>1、了解开关损耗基本定义</w:t>
            </w:r>
          </w:p>
          <w:p>
            <w:pPr>
              <w:adjustRightInd w:val="0"/>
              <w:snapToGrid w:val="0"/>
              <w:spacing w:line="264" w:lineRule="auto"/>
              <w:rPr>
                <w:sz w:val="18"/>
                <w:szCs w:val="18"/>
                <w:shd w:val="clear" w:color="auto" w:fill="FFFFFF"/>
              </w:rPr>
            </w:pPr>
            <w:r>
              <w:rPr>
                <w:sz w:val="18"/>
                <w:szCs w:val="18"/>
                <w:shd w:val="clear" w:color="auto" w:fill="FFFFFF"/>
              </w:rPr>
              <w:t>2、掌握吸收电路的设计</w:t>
            </w:r>
          </w:p>
        </w:tc>
        <w:tc>
          <w:tcPr>
            <w:tcW w:w="445" w:type="dxa"/>
            <w:vAlign w:val="center"/>
          </w:tcPr>
          <w:p>
            <w:pPr>
              <w:adjustRightInd w:val="0"/>
              <w:snapToGrid w:val="0"/>
              <w:spacing w:line="264" w:lineRule="auto"/>
              <w:jc w:val="center"/>
              <w:rPr>
                <w:sz w:val="18"/>
                <w:szCs w:val="18"/>
                <w:shd w:val="clear" w:color="auto" w:fill="FFFFFF"/>
              </w:rPr>
            </w:pPr>
            <w:r>
              <w:rPr>
                <w:sz w:val="18"/>
                <w:szCs w:val="18"/>
                <w:shd w:val="clear" w:color="auto" w:fill="FFFFFF"/>
              </w:rPr>
              <w:t>5</w:t>
            </w:r>
          </w:p>
        </w:tc>
        <w:tc>
          <w:tcPr>
            <w:tcW w:w="491" w:type="dxa"/>
            <w:vAlign w:val="center"/>
          </w:tcPr>
          <w:p>
            <w:pPr>
              <w:adjustRightInd w:val="0"/>
              <w:snapToGrid w:val="0"/>
              <w:spacing w:line="264" w:lineRule="auto"/>
              <w:jc w:val="left"/>
              <w:rPr>
                <w:sz w:val="18"/>
                <w:szCs w:val="18"/>
                <w:shd w:val="clear" w:color="auto" w:fill="FFFFFF"/>
              </w:rPr>
            </w:pPr>
            <w:r>
              <w:rPr>
                <w:sz w:val="18"/>
                <w:szCs w:val="18"/>
                <w:shd w:val="clear" w:color="auto" w:fill="FFFFFF"/>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44"/>
        <w:gridCol w:w="2833"/>
        <w:gridCol w:w="696"/>
        <w:gridCol w:w="696"/>
        <w:gridCol w:w="698"/>
        <w:gridCol w:w="62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6" w:type="dxa"/>
            <w:vAlign w:val="center"/>
          </w:tcPr>
          <w:p>
            <w:pPr>
              <w:snapToGrid w:val="0"/>
              <w:spacing w:line="300" w:lineRule="auto"/>
              <w:rPr>
                <w:b/>
                <w:bCs/>
                <w:sz w:val="18"/>
                <w:szCs w:val="18"/>
              </w:rPr>
            </w:pPr>
            <w:r>
              <w:rPr>
                <w:b/>
                <w:bCs/>
                <w:kern w:val="0"/>
                <w:sz w:val="18"/>
                <w:szCs w:val="18"/>
              </w:rPr>
              <w:t>序号</w:t>
            </w:r>
          </w:p>
        </w:tc>
        <w:tc>
          <w:tcPr>
            <w:tcW w:w="1744" w:type="dxa"/>
            <w:vAlign w:val="center"/>
          </w:tcPr>
          <w:p>
            <w:pPr>
              <w:snapToGrid w:val="0"/>
              <w:spacing w:line="300" w:lineRule="auto"/>
              <w:jc w:val="center"/>
              <w:rPr>
                <w:b/>
                <w:bCs/>
                <w:sz w:val="18"/>
                <w:szCs w:val="18"/>
              </w:rPr>
            </w:pPr>
            <w:r>
              <w:rPr>
                <w:b/>
                <w:bCs/>
                <w:kern w:val="0"/>
                <w:sz w:val="18"/>
                <w:szCs w:val="18"/>
              </w:rPr>
              <w:t>实验项目名称</w:t>
            </w:r>
          </w:p>
        </w:tc>
        <w:tc>
          <w:tcPr>
            <w:tcW w:w="2833" w:type="dxa"/>
            <w:vAlign w:val="center"/>
          </w:tcPr>
          <w:p>
            <w:pPr>
              <w:snapToGrid w:val="0"/>
              <w:spacing w:line="300" w:lineRule="auto"/>
              <w:jc w:val="center"/>
              <w:rPr>
                <w:b/>
                <w:bCs/>
                <w:sz w:val="18"/>
                <w:szCs w:val="18"/>
              </w:rPr>
            </w:pPr>
            <w:r>
              <w:rPr>
                <w:b/>
                <w:kern w:val="0"/>
                <w:sz w:val="18"/>
                <w:szCs w:val="18"/>
              </w:rPr>
              <w:t>实验</w:t>
            </w:r>
            <w:r>
              <w:rPr>
                <w:b/>
                <w:bCs/>
                <w:kern w:val="0"/>
                <w:sz w:val="18"/>
                <w:szCs w:val="18"/>
              </w:rPr>
              <w:t>目的要求</w:t>
            </w:r>
          </w:p>
        </w:tc>
        <w:tc>
          <w:tcPr>
            <w:tcW w:w="696"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8"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5"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16" w:type="dxa"/>
            <w:vAlign w:val="center"/>
          </w:tcPr>
          <w:p>
            <w:pPr>
              <w:snapToGrid w:val="0"/>
              <w:spacing w:line="300" w:lineRule="auto"/>
              <w:jc w:val="center"/>
              <w:rPr>
                <w:sz w:val="18"/>
                <w:szCs w:val="18"/>
                <w:shd w:val="clear" w:color="auto" w:fill="FFFFFF"/>
              </w:rPr>
            </w:pPr>
            <w:r>
              <w:rPr>
                <w:sz w:val="18"/>
                <w:szCs w:val="18"/>
                <w:shd w:val="clear" w:color="auto" w:fill="FFFFFF"/>
              </w:rPr>
              <w:t>1</w:t>
            </w:r>
          </w:p>
        </w:tc>
        <w:tc>
          <w:tcPr>
            <w:tcW w:w="1744" w:type="dxa"/>
            <w:vAlign w:val="center"/>
          </w:tcPr>
          <w:p>
            <w:pPr>
              <w:snapToGrid w:val="0"/>
              <w:spacing w:line="300" w:lineRule="auto"/>
              <w:rPr>
                <w:sz w:val="18"/>
                <w:szCs w:val="18"/>
                <w:shd w:val="clear" w:color="auto" w:fill="FFFFFF"/>
              </w:rPr>
            </w:pPr>
            <w:r>
              <w:rPr>
                <w:sz w:val="18"/>
                <w:szCs w:val="18"/>
                <w:shd w:val="clear" w:color="auto" w:fill="FFFFFF"/>
              </w:rPr>
              <w:t>抗干扰电路设计</w:t>
            </w:r>
          </w:p>
        </w:tc>
        <w:tc>
          <w:tcPr>
            <w:tcW w:w="2833" w:type="dxa"/>
            <w:vAlign w:val="center"/>
          </w:tcPr>
          <w:p>
            <w:pPr>
              <w:snapToGrid w:val="0"/>
              <w:spacing w:line="300" w:lineRule="auto"/>
              <w:rPr>
                <w:sz w:val="18"/>
                <w:szCs w:val="18"/>
                <w:shd w:val="clear" w:color="auto" w:fill="FFFFFF"/>
              </w:rPr>
            </w:pPr>
            <w:r>
              <w:rPr>
                <w:sz w:val="18"/>
                <w:szCs w:val="18"/>
                <w:shd w:val="clear" w:color="auto" w:fill="FFFFFF"/>
              </w:rPr>
              <w:t>掌握抗干扰电路元件选型，电路设计，结构排布。</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2</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验证</w:t>
            </w:r>
          </w:p>
        </w:tc>
        <w:tc>
          <w:tcPr>
            <w:tcW w:w="698" w:type="dxa"/>
            <w:vAlign w:val="center"/>
          </w:tcPr>
          <w:p>
            <w:pPr>
              <w:snapToGrid w:val="0"/>
              <w:spacing w:line="300" w:lineRule="auto"/>
              <w:jc w:val="center"/>
              <w:rPr>
                <w:sz w:val="18"/>
                <w:szCs w:val="18"/>
                <w:shd w:val="clear" w:color="auto" w:fill="FFFFFF"/>
              </w:rPr>
            </w:pPr>
            <w:r>
              <w:rPr>
                <w:sz w:val="18"/>
                <w:szCs w:val="18"/>
                <w:shd w:val="clear" w:color="auto" w:fill="FFFFFF"/>
              </w:rPr>
              <w:t>1</w:t>
            </w:r>
          </w:p>
        </w:tc>
        <w:tc>
          <w:tcPr>
            <w:tcW w:w="623" w:type="dxa"/>
            <w:vAlign w:val="center"/>
          </w:tcPr>
          <w:p>
            <w:pPr>
              <w:snapToGrid w:val="0"/>
              <w:spacing w:line="300" w:lineRule="auto"/>
              <w:jc w:val="center"/>
              <w:rPr>
                <w:sz w:val="18"/>
                <w:szCs w:val="18"/>
                <w:shd w:val="clear" w:color="auto" w:fill="FFFFFF"/>
              </w:rPr>
            </w:pPr>
            <w:r>
              <w:rPr>
                <w:sz w:val="18"/>
                <w:szCs w:val="18"/>
                <w:shd w:val="clear" w:color="auto" w:fill="FFFFFF"/>
              </w:rPr>
              <w:t>必开</w:t>
            </w:r>
          </w:p>
        </w:tc>
        <w:tc>
          <w:tcPr>
            <w:tcW w:w="675" w:type="dxa"/>
            <w:vAlign w:val="center"/>
          </w:tcPr>
          <w:p>
            <w:pPr>
              <w:snapToGrid w:val="0"/>
              <w:spacing w:line="300" w:lineRule="auto"/>
              <w:jc w:val="center"/>
              <w:rPr>
                <w:sz w:val="18"/>
                <w:szCs w:val="18"/>
                <w:shd w:val="clear" w:color="auto" w:fill="FFFFFF"/>
              </w:rPr>
            </w:pPr>
            <w:r>
              <w:rPr>
                <w:sz w:val="18"/>
                <w:szCs w:val="18"/>
                <w:shd w:val="clear" w:color="auto" w:fill="FFFFFF"/>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6" w:type="dxa"/>
            <w:vAlign w:val="center"/>
          </w:tcPr>
          <w:p>
            <w:pPr>
              <w:snapToGrid w:val="0"/>
              <w:spacing w:line="300" w:lineRule="auto"/>
              <w:jc w:val="center"/>
              <w:rPr>
                <w:sz w:val="18"/>
                <w:szCs w:val="18"/>
                <w:shd w:val="clear" w:color="auto" w:fill="FFFFFF"/>
              </w:rPr>
            </w:pPr>
            <w:r>
              <w:rPr>
                <w:sz w:val="18"/>
                <w:szCs w:val="18"/>
                <w:shd w:val="clear" w:color="auto" w:fill="FFFFFF"/>
              </w:rPr>
              <w:t>2</w:t>
            </w:r>
          </w:p>
        </w:tc>
        <w:tc>
          <w:tcPr>
            <w:tcW w:w="1744" w:type="dxa"/>
            <w:vAlign w:val="center"/>
          </w:tcPr>
          <w:p>
            <w:pPr>
              <w:snapToGrid w:val="0"/>
              <w:spacing w:line="300" w:lineRule="auto"/>
              <w:rPr>
                <w:sz w:val="18"/>
                <w:szCs w:val="18"/>
                <w:shd w:val="clear" w:color="auto" w:fill="FFFFFF"/>
              </w:rPr>
            </w:pPr>
            <w:r>
              <w:rPr>
                <w:sz w:val="18"/>
                <w:szCs w:val="18"/>
                <w:shd w:val="clear" w:color="auto" w:fill="FFFFFF"/>
              </w:rPr>
              <w:t>自激开关电路设计</w:t>
            </w:r>
          </w:p>
        </w:tc>
        <w:tc>
          <w:tcPr>
            <w:tcW w:w="2833" w:type="dxa"/>
            <w:vAlign w:val="center"/>
          </w:tcPr>
          <w:p>
            <w:pPr>
              <w:snapToGrid w:val="0"/>
              <w:spacing w:line="300" w:lineRule="auto"/>
              <w:rPr>
                <w:sz w:val="18"/>
                <w:szCs w:val="18"/>
                <w:shd w:val="clear" w:color="auto" w:fill="FFFFFF"/>
              </w:rPr>
            </w:pPr>
            <w:r>
              <w:rPr>
                <w:sz w:val="18"/>
                <w:szCs w:val="18"/>
                <w:shd w:val="clear" w:color="auto" w:fill="FFFFFF"/>
              </w:rPr>
              <w:t>掌握自激开关电路元件选型，电路设计，结构排布。</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2</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验证</w:t>
            </w:r>
          </w:p>
        </w:tc>
        <w:tc>
          <w:tcPr>
            <w:tcW w:w="698" w:type="dxa"/>
            <w:vAlign w:val="center"/>
          </w:tcPr>
          <w:p>
            <w:pPr>
              <w:snapToGrid w:val="0"/>
              <w:spacing w:line="300" w:lineRule="auto"/>
              <w:jc w:val="center"/>
              <w:rPr>
                <w:sz w:val="18"/>
                <w:szCs w:val="18"/>
                <w:shd w:val="clear" w:color="auto" w:fill="FFFFFF"/>
              </w:rPr>
            </w:pPr>
            <w:r>
              <w:rPr>
                <w:sz w:val="18"/>
                <w:szCs w:val="18"/>
                <w:shd w:val="clear" w:color="auto" w:fill="FFFFFF"/>
              </w:rPr>
              <w:t>1</w:t>
            </w:r>
          </w:p>
        </w:tc>
        <w:tc>
          <w:tcPr>
            <w:tcW w:w="623" w:type="dxa"/>
            <w:vAlign w:val="center"/>
          </w:tcPr>
          <w:p>
            <w:pPr>
              <w:snapToGrid w:val="0"/>
              <w:spacing w:line="300" w:lineRule="auto"/>
              <w:jc w:val="center"/>
              <w:rPr>
                <w:sz w:val="18"/>
                <w:szCs w:val="18"/>
                <w:shd w:val="clear" w:color="auto" w:fill="FFFFFF"/>
              </w:rPr>
            </w:pPr>
            <w:r>
              <w:rPr>
                <w:sz w:val="18"/>
                <w:szCs w:val="18"/>
                <w:shd w:val="clear" w:color="auto" w:fill="FFFFFF"/>
              </w:rPr>
              <w:t>必开</w:t>
            </w:r>
          </w:p>
        </w:tc>
        <w:tc>
          <w:tcPr>
            <w:tcW w:w="675" w:type="dxa"/>
            <w:vAlign w:val="center"/>
          </w:tcPr>
          <w:p>
            <w:pPr>
              <w:snapToGrid w:val="0"/>
              <w:spacing w:line="300" w:lineRule="auto"/>
              <w:jc w:val="center"/>
              <w:rPr>
                <w:sz w:val="18"/>
                <w:szCs w:val="18"/>
                <w:shd w:val="clear" w:color="auto" w:fill="FFFFFF"/>
              </w:rPr>
            </w:pPr>
            <w:r>
              <w:rPr>
                <w:sz w:val="18"/>
                <w:szCs w:val="18"/>
                <w:shd w:val="clear" w:color="auto" w:fill="FFFFFF"/>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6" w:type="dxa"/>
            <w:vAlign w:val="center"/>
          </w:tcPr>
          <w:p>
            <w:pPr>
              <w:snapToGrid w:val="0"/>
              <w:spacing w:line="300" w:lineRule="auto"/>
              <w:jc w:val="center"/>
              <w:rPr>
                <w:sz w:val="18"/>
                <w:szCs w:val="18"/>
                <w:shd w:val="clear" w:color="auto" w:fill="FFFFFF"/>
              </w:rPr>
            </w:pPr>
            <w:r>
              <w:rPr>
                <w:sz w:val="18"/>
                <w:szCs w:val="18"/>
                <w:shd w:val="clear" w:color="auto" w:fill="FFFFFF"/>
              </w:rPr>
              <w:t>3</w:t>
            </w:r>
          </w:p>
        </w:tc>
        <w:tc>
          <w:tcPr>
            <w:tcW w:w="1744" w:type="dxa"/>
            <w:vAlign w:val="center"/>
          </w:tcPr>
          <w:p>
            <w:pPr>
              <w:snapToGrid w:val="0"/>
              <w:spacing w:line="300" w:lineRule="auto"/>
              <w:rPr>
                <w:sz w:val="18"/>
                <w:szCs w:val="18"/>
                <w:shd w:val="clear" w:color="auto" w:fill="FFFFFF"/>
              </w:rPr>
            </w:pPr>
            <w:r>
              <w:rPr>
                <w:sz w:val="18"/>
                <w:szCs w:val="18"/>
                <w:shd w:val="clear" w:color="auto" w:fill="FFFFFF"/>
              </w:rPr>
              <w:t>电源系统整体测试</w:t>
            </w:r>
          </w:p>
        </w:tc>
        <w:tc>
          <w:tcPr>
            <w:tcW w:w="2833" w:type="dxa"/>
            <w:vAlign w:val="center"/>
          </w:tcPr>
          <w:p>
            <w:pPr>
              <w:snapToGrid w:val="0"/>
              <w:spacing w:line="300" w:lineRule="auto"/>
              <w:rPr>
                <w:sz w:val="18"/>
                <w:szCs w:val="18"/>
                <w:shd w:val="clear" w:color="auto" w:fill="FFFFFF"/>
              </w:rPr>
            </w:pPr>
            <w:r>
              <w:rPr>
                <w:sz w:val="18"/>
                <w:szCs w:val="18"/>
                <w:shd w:val="clear" w:color="auto" w:fill="FFFFFF"/>
              </w:rPr>
              <w:t>掌握开关电源电路的综合设计，测试技巧</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2</w:t>
            </w:r>
          </w:p>
        </w:tc>
        <w:tc>
          <w:tcPr>
            <w:tcW w:w="696" w:type="dxa"/>
            <w:vAlign w:val="center"/>
          </w:tcPr>
          <w:p>
            <w:pPr>
              <w:snapToGrid w:val="0"/>
              <w:spacing w:line="300" w:lineRule="auto"/>
              <w:jc w:val="center"/>
              <w:rPr>
                <w:sz w:val="18"/>
                <w:szCs w:val="18"/>
                <w:shd w:val="clear" w:color="auto" w:fill="FFFFFF"/>
              </w:rPr>
            </w:pPr>
            <w:r>
              <w:rPr>
                <w:sz w:val="18"/>
                <w:szCs w:val="18"/>
                <w:shd w:val="clear" w:color="auto" w:fill="FFFFFF"/>
              </w:rPr>
              <w:t>验证</w:t>
            </w:r>
          </w:p>
        </w:tc>
        <w:tc>
          <w:tcPr>
            <w:tcW w:w="698" w:type="dxa"/>
            <w:vAlign w:val="center"/>
          </w:tcPr>
          <w:p>
            <w:pPr>
              <w:snapToGrid w:val="0"/>
              <w:spacing w:line="300" w:lineRule="auto"/>
              <w:jc w:val="center"/>
              <w:rPr>
                <w:sz w:val="18"/>
                <w:szCs w:val="18"/>
                <w:shd w:val="clear" w:color="auto" w:fill="FFFFFF"/>
              </w:rPr>
            </w:pPr>
            <w:r>
              <w:rPr>
                <w:sz w:val="18"/>
                <w:szCs w:val="18"/>
                <w:shd w:val="clear" w:color="auto" w:fill="FFFFFF"/>
              </w:rPr>
              <w:t>1</w:t>
            </w:r>
          </w:p>
        </w:tc>
        <w:tc>
          <w:tcPr>
            <w:tcW w:w="623" w:type="dxa"/>
            <w:vAlign w:val="center"/>
          </w:tcPr>
          <w:p>
            <w:pPr>
              <w:snapToGrid w:val="0"/>
              <w:spacing w:line="300" w:lineRule="auto"/>
              <w:jc w:val="center"/>
              <w:rPr>
                <w:sz w:val="18"/>
                <w:szCs w:val="18"/>
                <w:shd w:val="clear" w:color="auto" w:fill="FFFFFF"/>
              </w:rPr>
            </w:pPr>
            <w:r>
              <w:rPr>
                <w:sz w:val="18"/>
                <w:szCs w:val="18"/>
                <w:shd w:val="clear" w:color="auto" w:fill="FFFFFF"/>
              </w:rPr>
              <w:t>必开</w:t>
            </w:r>
          </w:p>
        </w:tc>
        <w:tc>
          <w:tcPr>
            <w:tcW w:w="675" w:type="dxa"/>
            <w:vAlign w:val="center"/>
          </w:tcPr>
          <w:p>
            <w:pPr>
              <w:snapToGrid w:val="0"/>
              <w:spacing w:line="300" w:lineRule="auto"/>
              <w:jc w:val="center"/>
              <w:rPr>
                <w:sz w:val="18"/>
                <w:szCs w:val="18"/>
                <w:shd w:val="clear" w:color="auto" w:fill="FFFFFF"/>
              </w:rPr>
            </w:pPr>
            <w:r>
              <w:rPr>
                <w:sz w:val="18"/>
                <w:szCs w:val="18"/>
                <w:shd w:val="clear" w:color="auto" w:fill="FFFFFF"/>
              </w:rPr>
              <w:t>2，3</w:t>
            </w:r>
          </w:p>
        </w:tc>
      </w:tr>
    </w:tbl>
    <w:p>
      <w:pPr>
        <w:snapToGrid w:val="0"/>
        <w:spacing w:before="156" w:beforeLines="50" w:after="156" w:afterLines="50" w:line="300" w:lineRule="auto"/>
        <w:rPr>
          <w:b/>
          <w:sz w:val="24"/>
        </w:rPr>
      </w:pPr>
      <w:r>
        <w:rPr>
          <w:b/>
          <w:sz w:val="24"/>
        </w:rPr>
        <w:t>五、课程考核及成绩评定</w:t>
      </w:r>
    </w:p>
    <w:p>
      <w:pPr>
        <w:widowControl/>
        <w:adjustRightInd w:val="0"/>
        <w:snapToGrid w:val="0"/>
        <w:spacing w:line="300" w:lineRule="auto"/>
        <w:ind w:firstLine="420" w:firstLineChars="200"/>
        <w:rPr>
          <w:kern w:val="0"/>
          <w:szCs w:val="21"/>
        </w:rPr>
      </w:pPr>
      <w:r>
        <w:rPr>
          <w:kern w:val="0"/>
          <w:szCs w:val="21"/>
        </w:rPr>
        <w:t>1．考核方式：采取开卷笔试、实验报告和平时成绩（包括考勤、作业及课堂表现等）相结合，最后60分以上为合格</w:t>
      </w:r>
    </w:p>
    <w:p>
      <w:pPr>
        <w:widowControl/>
        <w:adjustRightInd w:val="0"/>
        <w:snapToGrid w:val="0"/>
        <w:spacing w:line="300" w:lineRule="auto"/>
        <w:ind w:firstLine="420" w:firstLineChars="200"/>
        <w:rPr>
          <w:kern w:val="0"/>
          <w:szCs w:val="21"/>
        </w:rPr>
      </w:pPr>
      <w:r>
        <w:rPr>
          <w:kern w:val="0"/>
          <w:szCs w:val="21"/>
        </w:rPr>
        <w:t>2．成绩构成：平时成绩30%+实验成绩20 %+期末成绩50 %。</w:t>
      </w:r>
    </w:p>
    <w:p>
      <w:pPr>
        <w:widowControl/>
        <w:adjustRightInd w:val="0"/>
        <w:snapToGrid w:val="0"/>
        <w:spacing w:line="300" w:lineRule="auto"/>
        <w:ind w:firstLine="420" w:firstLineChars="200"/>
        <w:rPr>
          <w:kern w:val="0"/>
          <w:szCs w:val="21"/>
        </w:rPr>
      </w:pPr>
      <w:r>
        <w:rPr>
          <w:kern w:val="0"/>
          <w:szCs w:val="21"/>
        </w:rP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444"/>
        <w:gridCol w:w="445"/>
        <w:gridCol w:w="799"/>
        <w:gridCol w:w="426"/>
        <w:gridCol w:w="5103"/>
        <w:gridCol w:w="425"/>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blHeader/>
          <w:jc w:val="center"/>
        </w:trPr>
        <w:tc>
          <w:tcPr>
            <w:tcW w:w="588"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444" w:type="dxa"/>
            <w:vAlign w:val="center"/>
          </w:tcPr>
          <w:p>
            <w:pPr>
              <w:snapToGrid w:val="0"/>
              <w:spacing w:line="300" w:lineRule="auto"/>
              <w:jc w:val="center"/>
              <w:rPr>
                <w:b/>
                <w:bCs/>
                <w:sz w:val="18"/>
                <w:szCs w:val="18"/>
              </w:rPr>
            </w:pPr>
            <w:r>
              <w:rPr>
                <w:b/>
                <w:bCs/>
                <w:sz w:val="18"/>
                <w:szCs w:val="18"/>
              </w:rPr>
              <w:t>分值</w:t>
            </w:r>
          </w:p>
        </w:tc>
        <w:tc>
          <w:tcPr>
            <w:tcW w:w="445" w:type="dxa"/>
            <w:vAlign w:val="center"/>
          </w:tcPr>
          <w:p>
            <w:pPr>
              <w:snapToGrid w:val="0"/>
              <w:spacing w:line="300" w:lineRule="auto"/>
              <w:jc w:val="center"/>
              <w:rPr>
                <w:b/>
                <w:bCs/>
                <w:sz w:val="18"/>
                <w:szCs w:val="18"/>
              </w:rPr>
            </w:pPr>
            <w:r>
              <w:rPr>
                <w:b/>
                <w:bCs/>
                <w:sz w:val="18"/>
                <w:szCs w:val="18"/>
              </w:rPr>
              <w:t>权重</w:t>
            </w:r>
          </w:p>
        </w:tc>
        <w:tc>
          <w:tcPr>
            <w:tcW w:w="799" w:type="dxa"/>
            <w:vAlign w:val="center"/>
          </w:tcPr>
          <w:p>
            <w:pPr>
              <w:snapToGrid w:val="0"/>
              <w:spacing w:line="300" w:lineRule="auto"/>
              <w:jc w:val="center"/>
              <w:rPr>
                <w:b/>
                <w:bCs/>
                <w:sz w:val="18"/>
                <w:szCs w:val="18"/>
              </w:rPr>
            </w:pPr>
            <w:r>
              <w:rPr>
                <w:b/>
                <w:bCs/>
                <w:sz w:val="18"/>
                <w:szCs w:val="18"/>
              </w:rPr>
              <w:t>类别</w:t>
            </w:r>
          </w:p>
        </w:tc>
        <w:tc>
          <w:tcPr>
            <w:tcW w:w="426" w:type="dxa"/>
            <w:vAlign w:val="center"/>
          </w:tcPr>
          <w:p>
            <w:pPr>
              <w:snapToGrid w:val="0"/>
              <w:spacing w:line="300" w:lineRule="auto"/>
              <w:jc w:val="center"/>
              <w:rPr>
                <w:b/>
                <w:bCs/>
                <w:sz w:val="18"/>
                <w:szCs w:val="18"/>
              </w:rPr>
            </w:pPr>
            <w:r>
              <w:rPr>
                <w:b/>
                <w:bCs/>
                <w:sz w:val="18"/>
                <w:szCs w:val="18"/>
              </w:rPr>
              <w:t>权重</w:t>
            </w:r>
          </w:p>
        </w:tc>
        <w:tc>
          <w:tcPr>
            <w:tcW w:w="5103" w:type="dxa"/>
            <w:vAlign w:val="center"/>
          </w:tcPr>
          <w:p>
            <w:pPr>
              <w:snapToGrid w:val="0"/>
              <w:spacing w:line="300" w:lineRule="auto"/>
              <w:jc w:val="center"/>
              <w:rPr>
                <w:b/>
                <w:bCs/>
                <w:sz w:val="18"/>
                <w:szCs w:val="18"/>
              </w:rPr>
            </w:pPr>
            <w:r>
              <w:rPr>
                <w:b/>
                <w:bCs/>
                <w:sz w:val="18"/>
                <w:szCs w:val="18"/>
              </w:rPr>
              <w:t>考核/评价细则</w:t>
            </w:r>
          </w:p>
        </w:tc>
        <w:tc>
          <w:tcPr>
            <w:tcW w:w="425" w:type="dxa"/>
            <w:vAlign w:val="center"/>
          </w:tcPr>
          <w:p>
            <w:pPr>
              <w:snapToGrid w:val="0"/>
              <w:spacing w:line="300" w:lineRule="auto"/>
              <w:jc w:val="center"/>
              <w:rPr>
                <w:b/>
                <w:bCs/>
                <w:sz w:val="18"/>
                <w:szCs w:val="18"/>
              </w:rPr>
            </w:pPr>
            <w:r>
              <w:rPr>
                <w:b/>
                <w:bCs/>
                <w:sz w:val="18"/>
                <w:szCs w:val="18"/>
              </w:rPr>
              <w:t>课程目标</w:t>
            </w:r>
          </w:p>
        </w:tc>
        <w:tc>
          <w:tcPr>
            <w:tcW w:w="521" w:type="dxa"/>
            <w:vAlign w:val="center"/>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vMerge w:val="restart"/>
            <w:vAlign w:val="center"/>
          </w:tcPr>
          <w:p>
            <w:pPr>
              <w:jc w:val="left"/>
              <w:rPr>
                <w:sz w:val="18"/>
                <w:szCs w:val="18"/>
              </w:rPr>
            </w:pPr>
          </w:p>
          <w:p>
            <w:pPr>
              <w:jc w:val="left"/>
              <w:rPr>
                <w:sz w:val="18"/>
                <w:szCs w:val="18"/>
              </w:rPr>
            </w:pPr>
            <w:r>
              <w:rPr>
                <w:sz w:val="18"/>
                <w:szCs w:val="18"/>
              </w:rPr>
              <w:t>平时成绩</w:t>
            </w:r>
          </w:p>
        </w:tc>
        <w:tc>
          <w:tcPr>
            <w:tcW w:w="444" w:type="dxa"/>
            <w:vMerge w:val="restart"/>
            <w:vAlign w:val="center"/>
          </w:tcPr>
          <w:p>
            <w:pPr>
              <w:jc w:val="left"/>
              <w:rPr>
                <w:sz w:val="18"/>
                <w:szCs w:val="18"/>
              </w:rPr>
            </w:pPr>
            <w:r>
              <w:rPr>
                <w:sz w:val="18"/>
                <w:szCs w:val="18"/>
              </w:rPr>
              <w:t>100</w:t>
            </w:r>
          </w:p>
        </w:tc>
        <w:tc>
          <w:tcPr>
            <w:tcW w:w="445" w:type="dxa"/>
            <w:vMerge w:val="restart"/>
            <w:vAlign w:val="center"/>
          </w:tcPr>
          <w:p>
            <w:pPr>
              <w:jc w:val="left"/>
              <w:rPr>
                <w:sz w:val="18"/>
                <w:szCs w:val="18"/>
              </w:rPr>
            </w:pPr>
            <w:r>
              <w:rPr>
                <w:sz w:val="18"/>
                <w:szCs w:val="18"/>
              </w:rPr>
              <w:t>0.3</w:t>
            </w:r>
          </w:p>
        </w:tc>
        <w:tc>
          <w:tcPr>
            <w:tcW w:w="799" w:type="dxa"/>
            <w:vAlign w:val="center"/>
          </w:tcPr>
          <w:p>
            <w:pPr>
              <w:jc w:val="left"/>
              <w:rPr>
                <w:sz w:val="18"/>
                <w:szCs w:val="18"/>
              </w:rPr>
            </w:pPr>
            <w:r>
              <w:rPr>
                <w:sz w:val="18"/>
                <w:szCs w:val="18"/>
              </w:rPr>
              <w:t>课堂表现</w:t>
            </w:r>
          </w:p>
        </w:tc>
        <w:tc>
          <w:tcPr>
            <w:tcW w:w="426" w:type="dxa"/>
            <w:vAlign w:val="center"/>
          </w:tcPr>
          <w:p>
            <w:pPr>
              <w:jc w:val="left"/>
              <w:rPr>
                <w:sz w:val="18"/>
                <w:szCs w:val="18"/>
              </w:rPr>
            </w:pPr>
            <w:r>
              <w:rPr>
                <w:sz w:val="18"/>
                <w:szCs w:val="18"/>
              </w:rPr>
              <w:t>0.</w:t>
            </w:r>
            <w:r>
              <w:rPr>
                <w:rFonts w:hint="eastAsia"/>
                <w:sz w:val="18"/>
                <w:szCs w:val="18"/>
              </w:rPr>
              <w:t>4</w:t>
            </w:r>
          </w:p>
        </w:tc>
        <w:tc>
          <w:tcPr>
            <w:tcW w:w="5103" w:type="dxa"/>
            <w:vAlign w:val="center"/>
          </w:tcPr>
          <w:p>
            <w:pPr>
              <w:jc w:val="left"/>
              <w:rPr>
                <w:sz w:val="18"/>
                <w:szCs w:val="18"/>
              </w:rPr>
            </w:pPr>
            <w:r>
              <w:rPr>
                <w:sz w:val="18"/>
                <w:szCs w:val="18"/>
              </w:rPr>
              <w:t>课堂考勤与提问</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p>
        </w:tc>
        <w:tc>
          <w:tcPr>
            <w:tcW w:w="425" w:type="dxa"/>
            <w:vAlign w:val="center"/>
          </w:tcPr>
          <w:p>
            <w:pPr>
              <w:jc w:val="left"/>
              <w:rPr>
                <w:sz w:val="18"/>
                <w:szCs w:val="18"/>
              </w:rPr>
            </w:pPr>
            <w:r>
              <w:rPr>
                <w:sz w:val="18"/>
                <w:szCs w:val="18"/>
              </w:rPr>
              <w:t>1，2</w:t>
            </w:r>
          </w:p>
        </w:tc>
        <w:tc>
          <w:tcPr>
            <w:tcW w:w="521" w:type="dxa"/>
            <w:vAlign w:val="center"/>
          </w:tcPr>
          <w:p>
            <w:pPr>
              <w:jc w:val="left"/>
              <w:rPr>
                <w:sz w:val="18"/>
                <w:szCs w:val="18"/>
              </w:rPr>
            </w:pP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atLeast"/>
          <w:jc w:val="center"/>
        </w:trPr>
        <w:tc>
          <w:tcPr>
            <w:tcW w:w="588" w:type="dxa"/>
            <w:vMerge w:val="continue"/>
            <w:vAlign w:val="center"/>
          </w:tcPr>
          <w:p>
            <w:pPr>
              <w:jc w:val="left"/>
              <w:rPr>
                <w:sz w:val="18"/>
                <w:szCs w:val="18"/>
              </w:rPr>
            </w:pPr>
          </w:p>
        </w:tc>
        <w:tc>
          <w:tcPr>
            <w:tcW w:w="444" w:type="dxa"/>
            <w:vMerge w:val="continue"/>
            <w:vAlign w:val="center"/>
          </w:tcPr>
          <w:p>
            <w:pPr>
              <w:jc w:val="left"/>
              <w:rPr>
                <w:sz w:val="18"/>
                <w:szCs w:val="18"/>
              </w:rPr>
            </w:pPr>
          </w:p>
        </w:tc>
        <w:tc>
          <w:tcPr>
            <w:tcW w:w="445" w:type="dxa"/>
            <w:vMerge w:val="continue"/>
            <w:vAlign w:val="center"/>
          </w:tcPr>
          <w:p>
            <w:pPr>
              <w:jc w:val="left"/>
              <w:rPr>
                <w:sz w:val="18"/>
                <w:szCs w:val="18"/>
              </w:rPr>
            </w:pPr>
          </w:p>
        </w:tc>
        <w:tc>
          <w:tcPr>
            <w:tcW w:w="799" w:type="dxa"/>
            <w:vAlign w:val="center"/>
          </w:tcPr>
          <w:p>
            <w:pPr>
              <w:jc w:val="left"/>
              <w:rPr>
                <w:sz w:val="18"/>
                <w:szCs w:val="18"/>
              </w:rPr>
            </w:pPr>
            <w:r>
              <w:rPr>
                <w:sz w:val="18"/>
                <w:szCs w:val="18"/>
              </w:rPr>
              <w:t>实验</w:t>
            </w:r>
          </w:p>
        </w:tc>
        <w:tc>
          <w:tcPr>
            <w:tcW w:w="426" w:type="dxa"/>
            <w:vAlign w:val="center"/>
          </w:tcPr>
          <w:p>
            <w:pPr>
              <w:jc w:val="left"/>
              <w:rPr>
                <w:sz w:val="18"/>
                <w:szCs w:val="18"/>
              </w:rPr>
            </w:pPr>
            <w:r>
              <w:rPr>
                <w:rFonts w:hint="eastAsia"/>
                <w:sz w:val="18"/>
                <w:szCs w:val="18"/>
              </w:rPr>
              <w:t>0.6</w:t>
            </w:r>
          </w:p>
        </w:tc>
        <w:tc>
          <w:tcPr>
            <w:tcW w:w="5103" w:type="dxa"/>
            <w:vAlign w:val="center"/>
          </w:tcPr>
          <w:p>
            <w:pPr>
              <w:jc w:val="left"/>
              <w:rPr>
                <w:sz w:val="18"/>
                <w:szCs w:val="18"/>
              </w:rPr>
            </w:pPr>
            <w:r>
              <w:rPr>
                <w:sz w:val="18"/>
                <w:szCs w:val="18"/>
              </w:rPr>
              <w:t>实验</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分，按比例计入课程总评成绩；主要考核学生的实验完成</w:t>
            </w:r>
            <w:r>
              <w:rPr>
                <w:rFonts w:hint="eastAsia"/>
                <w:sz w:val="18"/>
                <w:szCs w:val="18"/>
              </w:rPr>
              <w:t>结果</w:t>
            </w:r>
            <w:r>
              <w:rPr>
                <w:sz w:val="18"/>
                <w:szCs w:val="18"/>
              </w:rPr>
              <w:t>及实验报告质量。</w:t>
            </w:r>
          </w:p>
        </w:tc>
        <w:tc>
          <w:tcPr>
            <w:tcW w:w="425" w:type="dxa"/>
            <w:vAlign w:val="center"/>
          </w:tcPr>
          <w:p>
            <w:pPr>
              <w:jc w:val="left"/>
              <w:rPr>
                <w:sz w:val="18"/>
                <w:szCs w:val="18"/>
              </w:rPr>
            </w:pPr>
            <w:r>
              <w:rPr>
                <w:sz w:val="18"/>
                <w:szCs w:val="18"/>
              </w:rPr>
              <w:t>3</w:t>
            </w:r>
          </w:p>
        </w:tc>
        <w:tc>
          <w:tcPr>
            <w:tcW w:w="521" w:type="dxa"/>
            <w:vAlign w:val="center"/>
          </w:tcPr>
          <w:p>
            <w:pPr>
              <w:jc w:val="left"/>
              <w:rPr>
                <w:sz w:val="18"/>
                <w:szCs w:val="18"/>
              </w:rPr>
            </w:pPr>
            <w:r>
              <w:rPr>
                <w:rFonts w:hint="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vAlign w:val="center"/>
          </w:tcPr>
          <w:p>
            <w:pPr>
              <w:jc w:val="left"/>
              <w:rPr>
                <w:sz w:val="18"/>
                <w:szCs w:val="18"/>
              </w:rPr>
            </w:pPr>
            <w:r>
              <w:rPr>
                <w:sz w:val="18"/>
                <w:szCs w:val="18"/>
              </w:rPr>
              <w:t>实验成绩</w:t>
            </w:r>
          </w:p>
        </w:tc>
        <w:tc>
          <w:tcPr>
            <w:tcW w:w="444" w:type="dxa"/>
            <w:vAlign w:val="center"/>
          </w:tcPr>
          <w:p>
            <w:pPr>
              <w:jc w:val="left"/>
              <w:rPr>
                <w:sz w:val="18"/>
                <w:szCs w:val="18"/>
              </w:rPr>
            </w:pPr>
            <w:r>
              <w:rPr>
                <w:sz w:val="18"/>
                <w:szCs w:val="18"/>
              </w:rPr>
              <w:t>100</w:t>
            </w:r>
          </w:p>
        </w:tc>
        <w:tc>
          <w:tcPr>
            <w:tcW w:w="445" w:type="dxa"/>
            <w:vAlign w:val="center"/>
          </w:tcPr>
          <w:p>
            <w:pPr>
              <w:jc w:val="left"/>
              <w:rPr>
                <w:sz w:val="18"/>
                <w:szCs w:val="18"/>
              </w:rPr>
            </w:pPr>
            <w:r>
              <w:rPr>
                <w:sz w:val="18"/>
                <w:szCs w:val="18"/>
              </w:rPr>
              <w:t>0.</w:t>
            </w:r>
            <w:r>
              <w:rPr>
                <w:rFonts w:hint="eastAsia"/>
                <w:sz w:val="18"/>
                <w:szCs w:val="18"/>
              </w:rPr>
              <w:t>7</w:t>
            </w:r>
          </w:p>
        </w:tc>
        <w:tc>
          <w:tcPr>
            <w:tcW w:w="799" w:type="dxa"/>
            <w:vAlign w:val="center"/>
          </w:tcPr>
          <w:p>
            <w:pPr>
              <w:jc w:val="left"/>
              <w:rPr>
                <w:sz w:val="18"/>
                <w:szCs w:val="18"/>
              </w:rPr>
            </w:pPr>
            <w:r>
              <w:rPr>
                <w:sz w:val="18"/>
                <w:szCs w:val="18"/>
              </w:rPr>
              <w:t>开卷考试</w:t>
            </w:r>
          </w:p>
        </w:tc>
        <w:tc>
          <w:tcPr>
            <w:tcW w:w="426" w:type="dxa"/>
            <w:vAlign w:val="center"/>
          </w:tcPr>
          <w:p>
            <w:pPr>
              <w:jc w:val="left"/>
              <w:rPr>
                <w:sz w:val="18"/>
                <w:szCs w:val="18"/>
              </w:rPr>
            </w:pPr>
            <w:r>
              <w:rPr>
                <w:sz w:val="18"/>
                <w:szCs w:val="18"/>
              </w:rPr>
              <w:t>1</w:t>
            </w:r>
          </w:p>
        </w:tc>
        <w:tc>
          <w:tcPr>
            <w:tcW w:w="5103" w:type="dxa"/>
            <w:vAlign w:val="center"/>
          </w:tcPr>
          <w:p>
            <w:pPr>
              <w:jc w:val="left"/>
              <w:rPr>
                <w:sz w:val="18"/>
                <w:szCs w:val="18"/>
              </w:rPr>
            </w:pPr>
            <w:r>
              <w:rPr>
                <w:sz w:val="18"/>
                <w:szCs w:val="18"/>
              </w:rPr>
              <w:t>卷面成绩100分，按比例计入课程总评成绩；主要考核学生的基</w:t>
            </w:r>
            <w:r>
              <w:rPr>
                <w:rFonts w:hint="eastAsia"/>
                <w:sz w:val="18"/>
                <w:szCs w:val="18"/>
              </w:rPr>
              <w:t>础</w:t>
            </w:r>
            <w:r>
              <w:rPr>
                <w:sz w:val="18"/>
                <w:szCs w:val="18"/>
              </w:rPr>
              <w:t>知识、应用能力和逻辑分析能力。</w:t>
            </w:r>
          </w:p>
        </w:tc>
        <w:tc>
          <w:tcPr>
            <w:tcW w:w="425" w:type="dxa"/>
            <w:vAlign w:val="center"/>
          </w:tcPr>
          <w:p>
            <w:pPr>
              <w:jc w:val="left"/>
              <w:rPr>
                <w:sz w:val="18"/>
                <w:szCs w:val="18"/>
              </w:rPr>
            </w:pPr>
            <w:r>
              <w:rPr>
                <w:sz w:val="18"/>
                <w:szCs w:val="18"/>
              </w:rPr>
              <w:t>1，2，3</w:t>
            </w:r>
          </w:p>
        </w:tc>
        <w:tc>
          <w:tcPr>
            <w:tcW w:w="521" w:type="dxa"/>
            <w:vAlign w:val="center"/>
          </w:tcPr>
          <w:p>
            <w:pPr>
              <w:jc w:val="left"/>
              <w:rPr>
                <w:sz w:val="18"/>
                <w:szCs w:val="18"/>
              </w:rPr>
            </w:pPr>
            <w:r>
              <w:rPr>
                <w:rFonts w:hint="eastAsia"/>
                <w:sz w:val="18"/>
                <w:szCs w:val="18"/>
              </w:rPr>
              <w:t>3，5</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45" o:spt="75" type="#_x0000_t75" style="height:27.75pt;width:343.5pt;" o:ole="t" filled="f" o:preferrelative="t" stroked="f" coordsize="21600,21600">
            <v:path/>
            <v:fill on="f" focussize="0,0"/>
            <v:stroke on="f" joinstyle="miter"/>
            <v:imagedata r:id="rId36" o:title=""/>
            <o:lock v:ext="edit" aspectratio="t"/>
            <w10:wrap type="none"/>
            <w10:anchorlock/>
          </v:shape>
          <o:OLEObject Type="Embed" ProgID="Equation.3" ShapeID="_x0000_i1145" DrawAspect="Content" ObjectID="_1468075843" r:id="rId166">
            <o:LockedField>false</o:LockedField>
          </o:OLEObject>
        </w:object>
      </w:r>
    </w:p>
    <w:p>
      <w:pPr>
        <w:snapToGrid w:val="0"/>
        <w:spacing w:line="300" w:lineRule="auto"/>
        <w:ind w:firstLine="420" w:firstLineChars="200"/>
      </w:pPr>
      <w:r>
        <w:t>课程总目标达成情况为各个课程目标的加权得分率，其计算公式为：</w:t>
      </w:r>
    </w:p>
    <w:p>
      <w:pPr>
        <w:snapToGrid w:val="0"/>
        <w:spacing w:line="300" w:lineRule="auto"/>
        <w:jc w:val="center"/>
      </w:pPr>
      <w:r>
        <w:t xml:space="preserve"> </w:t>
      </w:r>
      <w:r>
        <w:object>
          <v:shape id="_x0000_i1146"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46" DrawAspect="Content" ObjectID="_1468075844" r:id="rId167">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0"/>
        <w:gridCol w:w="2016"/>
        <w:gridCol w:w="2389"/>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10" w:type="dxa"/>
            <w:vAlign w:val="center"/>
          </w:tcPr>
          <w:p>
            <w:pPr>
              <w:snapToGrid w:val="0"/>
              <w:spacing w:line="300" w:lineRule="auto"/>
              <w:jc w:val="center"/>
              <w:rPr>
                <w:b/>
                <w:bCs/>
                <w:sz w:val="18"/>
                <w:szCs w:val="18"/>
              </w:rPr>
            </w:pPr>
            <w:r>
              <w:rPr>
                <w:b/>
                <w:bCs/>
                <w:sz w:val="18"/>
                <w:szCs w:val="18"/>
              </w:rPr>
              <w:t>课程目标</w:t>
            </w:r>
          </w:p>
        </w:tc>
        <w:tc>
          <w:tcPr>
            <w:tcW w:w="2016" w:type="dxa"/>
            <w:vAlign w:val="center"/>
          </w:tcPr>
          <w:p>
            <w:pPr>
              <w:snapToGrid w:val="0"/>
              <w:spacing w:line="300" w:lineRule="auto"/>
              <w:jc w:val="center"/>
              <w:rPr>
                <w:sz w:val="18"/>
                <w:szCs w:val="18"/>
              </w:rPr>
            </w:pPr>
            <w:r>
              <w:rPr>
                <w:sz w:val="18"/>
                <w:szCs w:val="18"/>
              </w:rPr>
              <w:t>1</w:t>
            </w:r>
          </w:p>
        </w:tc>
        <w:tc>
          <w:tcPr>
            <w:tcW w:w="2389" w:type="dxa"/>
            <w:vAlign w:val="center"/>
          </w:tcPr>
          <w:p>
            <w:pPr>
              <w:snapToGrid w:val="0"/>
              <w:spacing w:line="300" w:lineRule="auto"/>
              <w:jc w:val="center"/>
              <w:rPr>
                <w:sz w:val="18"/>
                <w:szCs w:val="18"/>
              </w:rPr>
            </w:pPr>
            <w:r>
              <w:rPr>
                <w:sz w:val="18"/>
                <w:szCs w:val="18"/>
              </w:rPr>
              <w:t>2</w:t>
            </w:r>
          </w:p>
        </w:tc>
        <w:tc>
          <w:tcPr>
            <w:tcW w:w="2366"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910" w:type="dxa"/>
            <w:vAlign w:val="center"/>
          </w:tcPr>
          <w:p>
            <w:pPr>
              <w:snapToGrid w:val="0"/>
              <w:spacing w:line="300" w:lineRule="auto"/>
              <w:jc w:val="center"/>
              <w:rPr>
                <w:b/>
                <w:bCs/>
                <w:sz w:val="18"/>
                <w:szCs w:val="18"/>
              </w:rPr>
            </w:pPr>
            <w:r>
              <w:rPr>
                <w:b/>
                <w:bCs/>
                <w:sz w:val="18"/>
                <w:szCs w:val="18"/>
              </w:rPr>
              <w:t>权重系数</w:t>
            </w:r>
          </w:p>
        </w:tc>
        <w:tc>
          <w:tcPr>
            <w:tcW w:w="2016" w:type="dxa"/>
            <w:vAlign w:val="center"/>
          </w:tcPr>
          <w:p>
            <w:pPr>
              <w:snapToGrid w:val="0"/>
              <w:spacing w:line="300" w:lineRule="auto"/>
              <w:jc w:val="center"/>
              <w:rPr>
                <w:sz w:val="18"/>
                <w:szCs w:val="18"/>
              </w:rPr>
            </w:pPr>
            <w:r>
              <w:rPr>
                <w:sz w:val="18"/>
                <w:szCs w:val="18"/>
              </w:rPr>
              <w:t>0.1</w:t>
            </w:r>
          </w:p>
        </w:tc>
        <w:tc>
          <w:tcPr>
            <w:tcW w:w="2389" w:type="dxa"/>
            <w:vAlign w:val="center"/>
          </w:tcPr>
          <w:p>
            <w:pPr>
              <w:snapToGrid w:val="0"/>
              <w:spacing w:line="300" w:lineRule="auto"/>
              <w:jc w:val="center"/>
              <w:rPr>
                <w:sz w:val="18"/>
                <w:szCs w:val="18"/>
              </w:rPr>
            </w:pPr>
            <w:r>
              <w:rPr>
                <w:sz w:val="18"/>
                <w:szCs w:val="18"/>
              </w:rPr>
              <w:t>0.3</w:t>
            </w:r>
          </w:p>
        </w:tc>
        <w:tc>
          <w:tcPr>
            <w:tcW w:w="2366" w:type="dxa"/>
            <w:vAlign w:val="center"/>
          </w:tcPr>
          <w:p>
            <w:pPr>
              <w:snapToGrid w:val="0"/>
              <w:spacing w:line="300" w:lineRule="auto"/>
              <w:jc w:val="center"/>
              <w:rPr>
                <w:sz w:val="18"/>
                <w:szCs w:val="18"/>
              </w:rPr>
            </w:pPr>
            <w:r>
              <w:rPr>
                <w:sz w:val="18"/>
                <w:szCs w:val="18"/>
              </w:rPr>
              <w:t>0.5</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47"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47" DrawAspect="Content" ObjectID="_1468075845" r:id="rId168">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kern w:val="0"/>
          <w:szCs w:val="21"/>
        </w:rPr>
        <w:t>．</w:t>
      </w:r>
      <w:r>
        <w:rPr>
          <w:rFonts w:ascii="Times New Roman" w:hAnsi="Times New Roman" w:eastAsia="宋体" w:cs="Times New Roman"/>
        </w:rPr>
        <w:t>教材：</w:t>
      </w:r>
    </w:p>
    <w:p>
      <w:pPr>
        <w:numPr>
          <w:ilvl w:val="0"/>
          <w:numId w:val="57"/>
        </w:numPr>
        <w:snapToGrid w:val="0"/>
        <w:spacing w:line="300" w:lineRule="auto"/>
        <w:rPr>
          <w:rFonts w:ascii="Times New Roman" w:hAnsi="Times New Roman" w:eastAsia="宋体" w:cs="Times New Roman"/>
        </w:rPr>
      </w:pPr>
      <w:r>
        <w:rPr>
          <w:rFonts w:ascii="Times New Roman" w:hAnsi="Times New Roman" w:eastAsia="宋体" w:cs="Times New Roman"/>
        </w:rPr>
        <w:t>杜少武，现代电源技术[M]，合肥：合肥工业大学出版社，2010年。</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kern w:val="0"/>
          <w:szCs w:val="21"/>
        </w:rPr>
        <w:t>．</w:t>
      </w:r>
      <w:r>
        <w:rPr>
          <w:rFonts w:ascii="Times New Roman" w:hAnsi="Times New Roman" w:eastAsia="宋体" w:cs="Times New Roman"/>
        </w:rPr>
        <w:t>参考资料</w:t>
      </w:r>
    </w:p>
    <w:p>
      <w:pPr>
        <w:numPr>
          <w:ilvl w:val="0"/>
          <w:numId w:val="58"/>
        </w:numPr>
        <w:snapToGrid w:val="0"/>
        <w:spacing w:line="300" w:lineRule="auto"/>
        <w:rPr>
          <w:rFonts w:ascii="Times New Roman" w:hAnsi="Times New Roman" w:eastAsia="宋体" w:cs="Times New Roman"/>
        </w:rPr>
      </w:pPr>
      <w:r>
        <w:rPr>
          <w:rFonts w:ascii="Times New Roman" w:hAnsi="Times New Roman" w:eastAsia="宋体" w:cs="Times New Roman"/>
          <w:szCs w:val="21"/>
        </w:rPr>
        <w:t>张占松，蔡宣三.开关电源的原理与设计.北京：电子工业出版社，1999</w:t>
      </w:r>
      <w:r>
        <w:rPr>
          <w:rFonts w:ascii="Times New Roman" w:hAnsi="Times New Roman" w:eastAsia="宋体" w:cs="Times New Roman"/>
        </w:rPr>
        <w:t>。</w:t>
      </w:r>
    </w:p>
    <w:p>
      <w:pPr>
        <w:numPr>
          <w:ilvl w:val="0"/>
          <w:numId w:val="58"/>
        </w:numPr>
        <w:snapToGrid w:val="0"/>
        <w:spacing w:line="300" w:lineRule="auto"/>
        <w:rPr>
          <w:rFonts w:ascii="Times New Roman" w:hAnsi="Times New Roman" w:eastAsia="宋体" w:cs="Times New Roman"/>
        </w:rPr>
      </w:pPr>
      <w:r>
        <w:rPr>
          <w:rFonts w:ascii="Times New Roman" w:hAnsi="Times New Roman" w:eastAsia="宋体" w:cs="Times New Roman"/>
          <w:szCs w:val="21"/>
        </w:rPr>
        <w:t>王水平，付敏江.开关稳压电源一一原理设计与实用电路.西安：西安电子科技大学出版社，1997。</w:t>
      </w:r>
    </w:p>
    <w:p>
      <w:pPr>
        <w:numPr>
          <w:ilvl w:val="0"/>
          <w:numId w:val="58"/>
        </w:numPr>
        <w:snapToGrid w:val="0"/>
        <w:spacing w:line="300" w:lineRule="auto"/>
        <w:rPr>
          <w:rFonts w:ascii="Times New Roman" w:hAnsi="Times New Roman" w:eastAsia="宋体" w:cs="Times New Roman"/>
        </w:rPr>
      </w:pPr>
      <w:r>
        <w:rPr>
          <w:rFonts w:ascii="Times New Roman" w:hAnsi="Times New Roman" w:eastAsia="宋体" w:cs="Times New Roman"/>
          <w:szCs w:val="21"/>
        </w:rPr>
        <w:t>郑琼林，耿文学.电力电子电路精选一常用元器件?实用电路?设计实例.北京：电子工业出版社，1996。</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196"/>
    <w:bookmarkEnd w:id="197"/>
    <w:p>
      <w:pPr>
        <w:snapToGrid w:val="0"/>
        <w:spacing w:before="156" w:beforeLines="50" w:after="156" w:afterLines="50" w:line="300" w:lineRule="auto"/>
        <w:jc w:val="center"/>
        <w:outlineLvl w:val="3"/>
        <w:rPr>
          <w:rFonts w:ascii="Times New Roman" w:hAnsi="Times New Roman" w:eastAsia="宋体" w:cs="Times New Roman"/>
          <w:b/>
          <w:sz w:val="32"/>
          <w:szCs w:val="32"/>
        </w:rPr>
      </w:pPr>
      <w:bookmarkStart w:id="198" w:name="_Toc7805"/>
      <w:bookmarkStart w:id="199" w:name="_Toc46489675"/>
      <w:bookmarkStart w:id="200" w:name="_Toc38126129"/>
      <w:bookmarkStart w:id="201" w:name="_Toc37358043"/>
      <w:r>
        <w:rPr>
          <w:rFonts w:ascii="Times New Roman" w:hAnsi="Times New Roman" w:eastAsia="宋体" w:cs="Times New Roman"/>
          <w:b/>
          <w:sz w:val="32"/>
          <w:szCs w:val="32"/>
        </w:rPr>
        <w:t>16152108《FPGA与硬件描述语言》课程教学大纲</w:t>
      </w:r>
      <w:bookmarkEnd w:id="19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16152108</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FPGA与硬件描述语言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Field Programmable Gata Array and Hardware Description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32（16）</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郭晓云，刘畅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郭晓云</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spacing w:line="300" w:lineRule="exact"/>
              <w:jc w:val="center"/>
              <w:rPr>
                <w:bCs/>
                <w:kern w:val="0"/>
                <w:szCs w:val="21"/>
              </w:rPr>
            </w:pPr>
            <w:r>
              <w:rPr>
                <w:bCs/>
                <w:kern w:val="0"/>
                <w:szCs w:val="21"/>
              </w:rPr>
              <w:t>C语言程序设计、数字电子技术基础、单片机原理与应用</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FPGA与硬件描述语言》是针对大学三年级本科生的学科专业拓展课，适用于电子与信息工程学院的电子信息工程专业，是电子信息工程专业本科教学的重要专业扩展课程之一，其内容是EDA技术的重要组成部分。其教学目的在于掌握</w:t>
      </w:r>
      <w:r>
        <w:rPr>
          <w:rFonts w:hint="eastAsia"/>
          <w:szCs w:val="21"/>
        </w:rPr>
        <w:t>Verilog HDL</w:t>
      </w:r>
      <w:r>
        <w:rPr>
          <w:szCs w:val="21"/>
        </w:rPr>
        <w:t>语言、FPGA开发板以及Quartus软件使用等相关知识，能够在FPGA开发板上使用</w:t>
      </w:r>
      <w:r>
        <w:rPr>
          <w:rFonts w:hint="eastAsia"/>
          <w:szCs w:val="21"/>
        </w:rPr>
        <w:t>Verilog HDL</w:t>
      </w:r>
      <w:r>
        <w:rPr>
          <w:szCs w:val="21"/>
        </w:rPr>
        <w:t>语言实现简单的逻辑电路设计，提高学生的实际电子工程设计能力。其主要内容包括FPGA与</w:t>
      </w:r>
      <w:r>
        <w:rPr>
          <w:rFonts w:hint="eastAsia"/>
          <w:szCs w:val="21"/>
        </w:rPr>
        <w:t>Verilog HDL</w:t>
      </w:r>
      <w:r>
        <w:rPr>
          <w:szCs w:val="21"/>
        </w:rPr>
        <w:t>语言相关知识、Quartus软件的使用方法、以及典型设计项目等等。作为一门实践性较强的课程，激发和培养学生的热情和兴趣是关键，合理紧密安排理论教学和实验教学，理论教学以案例式教学为主，实践教学在验证性实验的基础上添加设计性和综合性实验内容，从而提高学生的实践动手能力。</w:t>
      </w:r>
    </w:p>
    <w:p>
      <w:pPr>
        <w:snapToGrid w:val="0"/>
        <w:spacing w:before="156" w:beforeLines="50" w:after="156" w:afterLines="50" w:line="300" w:lineRule="auto"/>
        <w:rPr>
          <w:b/>
          <w:sz w:val="24"/>
        </w:rPr>
      </w:pPr>
      <w:r>
        <w:rPr>
          <w:b/>
          <w:sz w:val="24"/>
        </w:rPr>
        <w:t>二、课程教学目标</w:t>
      </w:r>
    </w:p>
    <w:p>
      <w:pPr>
        <w:snapToGrid w:val="0"/>
        <w:spacing w:line="300" w:lineRule="auto"/>
        <w:ind w:firstLine="420" w:firstLineChars="200"/>
        <w:rPr>
          <w:szCs w:val="21"/>
        </w:rPr>
      </w:pPr>
      <w:r>
        <w:rPr>
          <w:szCs w:val="21"/>
        </w:rPr>
        <w:t>《FPGA与硬件描述语言》以提高实际工程设计能力为目的，通过系统地学习</w:t>
      </w:r>
      <w:r>
        <w:rPr>
          <w:rFonts w:hint="eastAsia"/>
          <w:szCs w:val="21"/>
        </w:rPr>
        <w:t>Verilog HDL</w:t>
      </w:r>
      <w:r>
        <w:rPr>
          <w:szCs w:val="21"/>
        </w:rPr>
        <w:t>编程技术及相关知识，以及在FPGA平台上的相关实践教学训练，帮助学生初步了解和掌握</w:t>
      </w:r>
      <w:r>
        <w:rPr>
          <w:rFonts w:hint="eastAsia"/>
          <w:szCs w:val="21"/>
        </w:rPr>
        <w:t>Verilog HDL</w:t>
      </w:r>
      <w:r>
        <w:rPr>
          <w:szCs w:val="21"/>
        </w:rPr>
        <w:t>编程的基本内容及实用技术。在讲授的过程中，通过FPGA在高端行业的应用以及我国FPGA技术发展窘境的介绍，激发学生的历史使命感与紧迫感；通过状态机的学习，帮助学生反思大学时间规划的合理性，树立积极人生观。本课程的具体教学目标如下：</w:t>
      </w:r>
    </w:p>
    <w:p>
      <w:pPr>
        <w:snapToGrid w:val="0"/>
        <w:spacing w:line="300" w:lineRule="auto"/>
        <w:ind w:firstLine="420" w:firstLineChars="200"/>
        <w:rPr>
          <w:szCs w:val="21"/>
        </w:rPr>
      </w:pPr>
      <w:r>
        <w:rPr>
          <w:szCs w:val="21"/>
        </w:rPr>
        <w:t>1</w:t>
      </w:r>
      <w:r>
        <w:rPr>
          <w:kern w:val="0"/>
          <w:szCs w:val="21"/>
        </w:rPr>
        <w:t>．</w:t>
      </w:r>
      <w:r>
        <w:rPr>
          <w:rFonts w:hint="eastAsia"/>
          <w:szCs w:val="21"/>
        </w:rPr>
        <w:t>Verilog HDL</w:t>
      </w:r>
      <w:r>
        <w:rPr>
          <w:szCs w:val="21"/>
        </w:rPr>
        <w:t>语言程序语法与编程设计知识点学习：理解</w:t>
      </w:r>
      <w:r>
        <w:rPr>
          <w:rFonts w:hint="eastAsia"/>
          <w:szCs w:val="21"/>
        </w:rPr>
        <w:t>Verilog HDL</w:t>
      </w:r>
      <w:r>
        <w:rPr>
          <w:szCs w:val="21"/>
        </w:rPr>
        <w:t>语言以及目标器件FPGA硬件平台等工程基础知识，能够进行简单电子逻辑电路的硬件设计。</w:t>
      </w:r>
    </w:p>
    <w:p>
      <w:pPr>
        <w:snapToGrid w:val="0"/>
        <w:spacing w:line="300" w:lineRule="auto"/>
        <w:ind w:firstLine="420" w:firstLineChars="200"/>
        <w:rPr>
          <w:szCs w:val="21"/>
        </w:rPr>
      </w:pPr>
      <w:r>
        <w:rPr>
          <w:szCs w:val="21"/>
        </w:rPr>
        <w:t>理解</w:t>
      </w:r>
      <w:r>
        <w:rPr>
          <w:rFonts w:hint="eastAsia"/>
          <w:szCs w:val="21"/>
        </w:rPr>
        <w:t>Verilog HDL</w:t>
      </w:r>
      <w:r>
        <w:rPr>
          <w:szCs w:val="21"/>
        </w:rPr>
        <w:t>语言的组合电路、时序电路、状态机、顺序语句、并行语句以及进程等基础概念与语法，能够区别描述各类编程方式的相似性与差异性，例如：</w:t>
      </w:r>
      <w:r>
        <w:rPr>
          <w:rFonts w:hint="eastAsia" w:ascii="宋体" w:hAnsi="宋体" w:cs="宋体"/>
          <w:szCs w:val="21"/>
        </w:rPr>
        <w:t>①</w:t>
      </w:r>
      <w:r>
        <w:rPr>
          <w:rFonts w:hint="eastAsia"/>
          <w:szCs w:val="21"/>
        </w:rPr>
        <w:t>Verilog HDL</w:t>
      </w:r>
      <w:r>
        <w:rPr>
          <w:szCs w:val="21"/>
        </w:rPr>
        <w:t>语言、V</w:t>
      </w:r>
      <w:r>
        <w:rPr>
          <w:rFonts w:hint="eastAsia"/>
          <w:szCs w:val="21"/>
        </w:rPr>
        <w:t>HDL</w:t>
      </w:r>
      <w:r>
        <w:rPr>
          <w:szCs w:val="21"/>
        </w:rPr>
        <w:t>语言、以及C语言；</w:t>
      </w:r>
      <w:r>
        <w:rPr>
          <w:rFonts w:hint="eastAsia" w:ascii="宋体" w:hAnsi="宋体" w:cs="宋体"/>
          <w:szCs w:val="21"/>
        </w:rPr>
        <w:t>②</w:t>
      </w:r>
      <w:r>
        <w:rPr>
          <w:szCs w:val="21"/>
        </w:rPr>
        <w:t>顺序语句与并行语句；</w:t>
      </w:r>
      <w:r>
        <w:rPr>
          <w:rFonts w:hint="eastAsia" w:ascii="宋体" w:hAnsi="宋体" w:cs="宋体"/>
          <w:szCs w:val="21"/>
        </w:rPr>
        <w:t>③</w:t>
      </w:r>
      <w:r>
        <w:rPr>
          <w:szCs w:val="21"/>
        </w:rPr>
        <w:t>组合逻辑电路与时序电路；</w:t>
      </w:r>
      <w:r>
        <w:rPr>
          <w:rFonts w:hint="eastAsia" w:ascii="宋体" w:hAnsi="宋体" w:cs="宋体"/>
          <w:szCs w:val="21"/>
        </w:rPr>
        <w:t>④</w:t>
      </w:r>
      <w:r>
        <w:rPr>
          <w:szCs w:val="21"/>
        </w:rPr>
        <w:t>结构设计与行为设计；</w:t>
      </w:r>
      <w:r>
        <w:rPr>
          <w:rFonts w:hint="eastAsia" w:ascii="宋体" w:hAnsi="宋体" w:cs="宋体"/>
          <w:szCs w:val="21"/>
        </w:rPr>
        <w:t>⑤</w:t>
      </w:r>
      <w:r>
        <w:rPr>
          <w:szCs w:val="21"/>
        </w:rPr>
        <w:t>同步状态机与异步状态机；</w:t>
      </w:r>
      <w:r>
        <w:rPr>
          <w:rFonts w:hint="eastAsia" w:ascii="宋体" w:hAnsi="宋体" w:cs="宋体"/>
          <w:szCs w:val="21"/>
        </w:rPr>
        <w:t>⑥</w:t>
      </w:r>
      <w:r>
        <w:rPr>
          <w:szCs w:val="21"/>
        </w:rPr>
        <w:t>结构设计与行为设计。</w:t>
      </w:r>
    </w:p>
    <w:p>
      <w:pPr>
        <w:snapToGrid w:val="0"/>
        <w:spacing w:line="300" w:lineRule="auto"/>
        <w:ind w:firstLine="420" w:firstLineChars="200"/>
        <w:rPr>
          <w:szCs w:val="21"/>
        </w:rPr>
      </w:pPr>
      <w:r>
        <w:rPr>
          <w:szCs w:val="21"/>
        </w:rPr>
        <w:t>能够针对电子产品现实需求问题利用</w:t>
      </w:r>
      <w:r>
        <w:rPr>
          <w:rFonts w:hint="eastAsia"/>
          <w:szCs w:val="21"/>
        </w:rPr>
        <w:t>Verilog HDL</w:t>
      </w:r>
      <w:r>
        <w:rPr>
          <w:szCs w:val="21"/>
        </w:rPr>
        <w:t>语言进行项目设计与项目实施，例如：</w:t>
      </w:r>
      <w:r>
        <w:rPr>
          <w:rFonts w:hint="eastAsia" w:ascii="宋体" w:hAnsi="宋体" w:cs="宋体"/>
          <w:szCs w:val="21"/>
        </w:rPr>
        <w:t>①</w:t>
      </w:r>
      <w:r>
        <w:rPr>
          <w:szCs w:val="21"/>
        </w:rPr>
        <w:t>首先，按照电子硬件系统外部接口的输入输出描述，基于自顶向下思维，采用结构设计方法搭建系统功能模块架构；</w:t>
      </w:r>
      <w:r>
        <w:rPr>
          <w:rFonts w:hint="eastAsia" w:ascii="宋体" w:hAnsi="宋体" w:cs="宋体"/>
          <w:szCs w:val="21"/>
        </w:rPr>
        <w:t>②</w:t>
      </w:r>
      <w:r>
        <w:rPr>
          <w:szCs w:val="21"/>
        </w:rPr>
        <w:t>接着，联合采用结构设计和行为设计实现中间层功能模块的详细设计；</w:t>
      </w:r>
      <w:r>
        <w:rPr>
          <w:rFonts w:hint="eastAsia" w:ascii="宋体" w:hAnsi="宋体" w:cs="宋体"/>
          <w:szCs w:val="21"/>
        </w:rPr>
        <w:t>③</w:t>
      </w:r>
      <w:r>
        <w:rPr>
          <w:szCs w:val="21"/>
        </w:rPr>
        <w:t>然后，基于真值表描述采用行为设计实现最底层功能模块的详细设计；</w:t>
      </w:r>
      <w:r>
        <w:rPr>
          <w:rFonts w:hint="eastAsia" w:ascii="宋体" w:hAnsi="宋体" w:cs="宋体"/>
          <w:szCs w:val="21"/>
        </w:rPr>
        <w:t>④</w:t>
      </w:r>
      <w:r>
        <w:rPr>
          <w:szCs w:val="21"/>
        </w:rPr>
        <w:t>最终，采用</w:t>
      </w:r>
      <w:r>
        <w:rPr>
          <w:rFonts w:hint="eastAsia"/>
          <w:szCs w:val="21"/>
        </w:rPr>
        <w:t>Verilog HDL</w:t>
      </w:r>
      <w:r>
        <w:rPr>
          <w:szCs w:val="21"/>
        </w:rPr>
        <w:t>语言编程实现所有功能模块的代码；</w:t>
      </w:r>
      <w:r>
        <w:rPr>
          <w:rFonts w:hint="eastAsia" w:ascii="宋体" w:hAnsi="宋体" w:cs="宋体"/>
          <w:szCs w:val="21"/>
        </w:rPr>
        <w:t>⑤</w:t>
      </w:r>
      <w:r>
        <w:rPr>
          <w:szCs w:val="21"/>
        </w:rPr>
        <w:t>基于EDA软件的调试与仿真；</w:t>
      </w:r>
      <w:r>
        <w:rPr>
          <w:rFonts w:hint="eastAsia" w:ascii="宋体" w:hAnsi="宋体" w:cs="宋体"/>
          <w:szCs w:val="21"/>
        </w:rPr>
        <w:t>⑥</w:t>
      </w:r>
      <w:r>
        <w:rPr>
          <w:szCs w:val="21"/>
        </w:rPr>
        <w:t>基于FPGA开发板的单元测试；</w:t>
      </w:r>
      <w:r>
        <w:rPr>
          <w:rFonts w:hint="eastAsia" w:ascii="宋体" w:hAnsi="宋体" w:cs="宋体"/>
          <w:szCs w:val="21"/>
        </w:rPr>
        <w:t>⑦</w:t>
      </w:r>
      <w:r>
        <w:rPr>
          <w:szCs w:val="21"/>
        </w:rPr>
        <w:t>基于FPGA开发板的系统测试；</w:t>
      </w:r>
      <w:r>
        <w:rPr>
          <w:rFonts w:hint="eastAsia" w:ascii="宋体" w:hAnsi="宋体" w:cs="宋体"/>
          <w:szCs w:val="21"/>
        </w:rPr>
        <w:t>⑧</w:t>
      </w:r>
      <w:r>
        <w:rPr>
          <w:szCs w:val="21"/>
        </w:rPr>
        <w:t>书写项目文档。[</w:t>
      </w:r>
      <w:r>
        <w:rPr>
          <w:rFonts w:hint="eastAsia"/>
          <w:szCs w:val="21"/>
        </w:rPr>
        <w:t>1.</w:t>
      </w:r>
      <w:r>
        <w:rPr>
          <w:szCs w:val="21"/>
        </w:rPr>
        <w:t>2]</w:t>
      </w:r>
    </w:p>
    <w:p>
      <w:pPr>
        <w:snapToGrid w:val="0"/>
        <w:spacing w:line="300" w:lineRule="auto"/>
        <w:ind w:firstLine="420" w:firstLineChars="200"/>
        <w:rPr>
          <w:szCs w:val="21"/>
        </w:rPr>
      </w:pPr>
      <w:r>
        <w:rPr>
          <w:rFonts w:hint="eastAsia"/>
          <w:szCs w:val="21"/>
        </w:rPr>
        <w:t>2</w:t>
      </w:r>
      <w:r>
        <w:rPr>
          <w:kern w:val="0"/>
          <w:szCs w:val="21"/>
        </w:rPr>
        <w:t>．</w:t>
      </w:r>
      <w:r>
        <w:rPr>
          <w:szCs w:val="21"/>
        </w:rPr>
        <w:t>基于FPGA平台与EDA工具的</w:t>
      </w:r>
      <w:r>
        <w:rPr>
          <w:rFonts w:hint="eastAsia"/>
          <w:szCs w:val="21"/>
        </w:rPr>
        <w:t>Verilog HDL</w:t>
      </w:r>
      <w:r>
        <w:rPr>
          <w:szCs w:val="21"/>
        </w:rPr>
        <w:t>软件开发以及硬件设计技能目标：训练FPGA硬件平台与EDA工具的使用技能，能够运用</w:t>
      </w:r>
      <w:r>
        <w:rPr>
          <w:rFonts w:hint="eastAsia"/>
          <w:szCs w:val="21"/>
        </w:rPr>
        <w:t>Verilog HDL</w:t>
      </w:r>
      <w:r>
        <w:rPr>
          <w:szCs w:val="21"/>
        </w:rPr>
        <w:t>在FPGA平台实现复杂电子逻辑电路的设计、仿真与测试。</w:t>
      </w:r>
    </w:p>
    <w:p>
      <w:pPr>
        <w:snapToGrid w:val="0"/>
        <w:spacing w:line="300" w:lineRule="auto"/>
        <w:ind w:firstLine="420" w:firstLineChars="200"/>
        <w:rPr>
          <w:szCs w:val="21"/>
        </w:rPr>
      </w:pPr>
      <w:r>
        <w:rPr>
          <w:szCs w:val="21"/>
        </w:rPr>
        <w:t>熟练使用QuartusII等常用EDA软件，掌握EDA软件的一系列辅助设计功能，例如：</w:t>
      </w:r>
      <w:r>
        <w:rPr>
          <w:rFonts w:hint="eastAsia" w:ascii="宋体" w:hAnsi="宋体" w:cs="宋体"/>
          <w:szCs w:val="21"/>
        </w:rPr>
        <w:t>①</w:t>
      </w:r>
      <w:r>
        <w:rPr>
          <w:szCs w:val="21"/>
        </w:rPr>
        <w:t>三种不同的</w:t>
      </w:r>
      <w:r>
        <w:rPr>
          <w:rFonts w:hint="eastAsia"/>
          <w:szCs w:val="21"/>
        </w:rPr>
        <w:t>Verilog HDL</w:t>
      </w:r>
      <w:r>
        <w:rPr>
          <w:szCs w:val="21"/>
        </w:rPr>
        <w:t>代码设计输入方法；</w:t>
      </w:r>
      <w:r>
        <w:rPr>
          <w:rFonts w:hint="eastAsia" w:ascii="宋体" w:hAnsi="宋体" w:cs="宋体"/>
          <w:szCs w:val="21"/>
        </w:rPr>
        <w:t>②</w:t>
      </w:r>
      <w:r>
        <w:rPr>
          <w:szCs w:val="21"/>
        </w:rPr>
        <w:t>将</w:t>
      </w:r>
      <w:r>
        <w:rPr>
          <w:rFonts w:hint="eastAsia"/>
          <w:szCs w:val="21"/>
        </w:rPr>
        <w:t>Verilog HDL</w:t>
      </w:r>
      <w:r>
        <w:rPr>
          <w:szCs w:val="21"/>
        </w:rPr>
        <w:t>代码综合生成网表文件;</w:t>
      </w:r>
      <w:r>
        <w:rPr>
          <w:rFonts w:hint="eastAsia" w:ascii="宋体" w:hAnsi="宋体" w:cs="宋体"/>
          <w:szCs w:val="21"/>
        </w:rPr>
        <w:t>③</w:t>
      </w:r>
      <w:r>
        <w:rPr>
          <w:szCs w:val="21"/>
        </w:rPr>
        <w:t>对网表文件进行引脚配置；</w:t>
      </w:r>
      <w:r>
        <w:rPr>
          <w:rFonts w:hint="eastAsia" w:ascii="宋体" w:hAnsi="宋体" w:cs="宋体"/>
          <w:szCs w:val="21"/>
        </w:rPr>
        <w:t>④</w:t>
      </w:r>
      <w:r>
        <w:rPr>
          <w:szCs w:val="21"/>
        </w:rPr>
        <w:t>对网表文件进行元件适配；</w:t>
      </w:r>
      <w:r>
        <w:rPr>
          <w:rFonts w:hint="eastAsia" w:ascii="宋体" w:hAnsi="宋体" w:cs="宋体"/>
          <w:szCs w:val="21"/>
        </w:rPr>
        <w:t>⑤</w:t>
      </w:r>
      <w:r>
        <w:rPr>
          <w:szCs w:val="21"/>
        </w:rPr>
        <w:t>将适配后的网表文件下载到FPGA或者CPLD；</w:t>
      </w:r>
      <w:r>
        <w:rPr>
          <w:rFonts w:hint="eastAsia" w:ascii="宋体" w:hAnsi="宋体" w:cs="宋体"/>
          <w:szCs w:val="21"/>
        </w:rPr>
        <w:t>⑥</w:t>
      </w:r>
      <w:r>
        <w:rPr>
          <w:szCs w:val="21"/>
        </w:rPr>
        <w:t>无硬件平台的波形仿真；</w:t>
      </w:r>
      <w:r>
        <w:rPr>
          <w:rFonts w:hint="eastAsia" w:ascii="宋体" w:hAnsi="宋体" w:cs="宋体"/>
          <w:szCs w:val="21"/>
        </w:rPr>
        <w:t>⑦</w:t>
      </w:r>
      <w:r>
        <w:rPr>
          <w:szCs w:val="21"/>
        </w:rPr>
        <w:t>基于FPGA或者CPLD的硬件测试。[5</w:t>
      </w:r>
      <w:r>
        <w:rPr>
          <w:rFonts w:hint="eastAsia"/>
          <w:szCs w:val="21"/>
        </w:rPr>
        <w:t>.</w:t>
      </w:r>
      <w:r>
        <w:rPr>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kern w:val="0"/>
          <w:sz w:val="18"/>
          <w:szCs w:val="18"/>
        </w:rPr>
      </w:pPr>
      <w:r>
        <w:rPr>
          <w:b/>
          <w:kern w:val="0"/>
          <w:sz w:val="18"/>
          <w:szCs w:val="18"/>
        </w:rPr>
        <w:t>表1毕业要求指标点实现矩阵</w:t>
      </w:r>
    </w:p>
    <w:tbl>
      <w:tblPr>
        <w:tblStyle w:val="22"/>
        <w:tblW w:w="4965" w:type="pct"/>
        <w:jc w:val="center"/>
        <w:shd w:val="clear" w:color="auto" w:fill="FEFEFF"/>
        <w:tblLayout w:type="autofit"/>
        <w:tblCellMar>
          <w:top w:w="0" w:type="dxa"/>
          <w:left w:w="0" w:type="dxa"/>
          <w:bottom w:w="0" w:type="dxa"/>
          <w:right w:w="0" w:type="dxa"/>
        </w:tblCellMar>
      </w:tblPr>
      <w:tblGrid>
        <w:gridCol w:w="1401"/>
        <w:gridCol w:w="5892"/>
        <w:gridCol w:w="522"/>
        <w:gridCol w:w="497"/>
      </w:tblGrid>
      <w:tr>
        <w:tblPrEx>
          <w:shd w:val="clear" w:color="auto" w:fill="FEFEFF"/>
          <w:tblCellMar>
            <w:top w:w="0" w:type="dxa"/>
            <w:left w:w="0" w:type="dxa"/>
            <w:bottom w:w="0" w:type="dxa"/>
            <w:right w:w="0" w:type="dxa"/>
          </w:tblCellMar>
        </w:tblPrEx>
        <w:trPr>
          <w:trHeight w:val="365" w:hRule="atLeast"/>
          <w:jc w:val="center"/>
        </w:trPr>
        <w:tc>
          <w:tcPr>
            <w:tcW w:w="8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b/>
                <w:bCs/>
                <w:sz w:val="18"/>
                <w:szCs w:val="18"/>
              </w:rPr>
            </w:pPr>
            <w:r>
              <w:rPr>
                <w:b/>
                <w:bCs/>
                <w:sz w:val="18"/>
                <w:szCs w:val="18"/>
              </w:rPr>
              <w:t>毕业要求</w:t>
            </w:r>
          </w:p>
        </w:tc>
        <w:tc>
          <w:tcPr>
            <w:tcW w:w="35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b/>
                <w:bCs/>
                <w:sz w:val="18"/>
                <w:szCs w:val="18"/>
              </w:rPr>
            </w:pPr>
            <w:r>
              <w:rPr>
                <w:b/>
                <w:bCs/>
                <w:sz w:val="18"/>
                <w:szCs w:val="18"/>
              </w:rPr>
              <w:t>毕业要求指标点</w:t>
            </w:r>
          </w:p>
        </w:tc>
        <w:tc>
          <w:tcPr>
            <w:tcW w:w="314"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b/>
                <w:bCs/>
                <w:sz w:val="18"/>
                <w:szCs w:val="18"/>
              </w:rPr>
            </w:pPr>
            <w:r>
              <w:rPr>
                <w:b/>
                <w:bCs/>
                <w:sz w:val="18"/>
                <w:szCs w:val="18"/>
              </w:rPr>
              <w:t>课程目标</w:t>
            </w:r>
          </w:p>
        </w:tc>
        <w:tc>
          <w:tcPr>
            <w:tcW w:w="299" w:type="pct"/>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rPr>
                <w:b/>
                <w:bCs/>
                <w:sz w:val="18"/>
                <w:szCs w:val="18"/>
              </w:rPr>
            </w:pPr>
            <w:r>
              <w:rPr>
                <w:b/>
                <w:bCs/>
                <w:sz w:val="18"/>
                <w:szCs w:val="18"/>
              </w:rPr>
              <w:t>权重</w:t>
            </w:r>
          </w:p>
        </w:tc>
      </w:tr>
      <w:tr>
        <w:tblPrEx>
          <w:shd w:val="clear" w:color="auto" w:fill="FEFEFF"/>
          <w:tblCellMar>
            <w:top w:w="0" w:type="dxa"/>
            <w:left w:w="0" w:type="dxa"/>
            <w:bottom w:w="0" w:type="dxa"/>
            <w:right w:w="0" w:type="dxa"/>
          </w:tblCellMar>
        </w:tblPrEx>
        <w:trPr>
          <w:jc w:val="center"/>
        </w:trPr>
        <w:tc>
          <w:tcPr>
            <w:tcW w:w="8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w:t>
            </w:r>
            <w:r>
              <w:rPr>
                <w:kern w:val="0"/>
                <w:szCs w:val="21"/>
              </w:rPr>
              <w:t>．</w:t>
            </w:r>
            <w:r>
              <w:rPr>
                <w:sz w:val="18"/>
                <w:szCs w:val="18"/>
              </w:rPr>
              <w:t>工程知识</w:t>
            </w:r>
          </w:p>
        </w:tc>
        <w:tc>
          <w:tcPr>
            <w:tcW w:w="35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w:t>
            </w:r>
            <w:r>
              <w:rPr>
                <w:rFonts w:hint="eastAsia"/>
                <w:sz w:val="18"/>
                <w:szCs w:val="18"/>
              </w:rPr>
              <w:t>.</w:t>
            </w:r>
            <w:r>
              <w:rPr>
                <w:sz w:val="18"/>
                <w:szCs w:val="18"/>
              </w:rPr>
              <w:t>2</w:t>
            </w:r>
            <w:r>
              <w:rPr>
                <w:rFonts w:hint="eastAsia"/>
                <w:sz w:val="18"/>
                <w:szCs w:val="18"/>
              </w:rPr>
              <w:t>掌握计算机、电子、信息、通信、测控及其它工程基础知识，并有效将其应用于电子信息领域工程问题（含海洋电子信息领域）的软硬件分析与设计</w:t>
            </w:r>
            <w:r>
              <w:rPr>
                <w:sz w:val="18"/>
                <w:szCs w:val="18"/>
              </w:rPr>
              <w:t>。</w:t>
            </w:r>
          </w:p>
        </w:tc>
        <w:tc>
          <w:tcPr>
            <w:tcW w:w="314"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sz w:val="18"/>
                <w:szCs w:val="18"/>
              </w:rPr>
            </w:pPr>
            <w:r>
              <w:rPr>
                <w:sz w:val="18"/>
                <w:szCs w:val="18"/>
              </w:rPr>
              <w:t>1</w:t>
            </w:r>
          </w:p>
        </w:tc>
        <w:tc>
          <w:tcPr>
            <w:tcW w:w="299" w:type="pct"/>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color w:val="000000"/>
                <w:sz w:val="18"/>
                <w:szCs w:val="18"/>
              </w:rPr>
            </w:pPr>
            <w:r>
              <w:rPr>
                <w:color w:val="000000"/>
                <w:sz w:val="18"/>
                <w:szCs w:val="18"/>
              </w:rPr>
              <w:t>0.40</w:t>
            </w:r>
          </w:p>
        </w:tc>
      </w:tr>
      <w:tr>
        <w:tblPrEx>
          <w:shd w:val="clear" w:color="auto" w:fill="FEFEFF"/>
          <w:tblCellMar>
            <w:top w:w="0" w:type="dxa"/>
            <w:left w:w="0" w:type="dxa"/>
            <w:bottom w:w="0" w:type="dxa"/>
            <w:right w:w="0" w:type="dxa"/>
          </w:tblCellMar>
        </w:tblPrEx>
        <w:trPr>
          <w:jc w:val="center"/>
        </w:trPr>
        <w:tc>
          <w:tcPr>
            <w:tcW w:w="8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5</w:t>
            </w:r>
            <w:r>
              <w:rPr>
                <w:kern w:val="0"/>
                <w:szCs w:val="21"/>
              </w:rPr>
              <w:t>．</w:t>
            </w:r>
            <w:r>
              <w:rPr>
                <w:sz w:val="18"/>
                <w:szCs w:val="18"/>
              </w:rPr>
              <w:t>现代工具使用</w:t>
            </w:r>
          </w:p>
        </w:tc>
        <w:tc>
          <w:tcPr>
            <w:tcW w:w="3542"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5</w:t>
            </w:r>
            <w:r>
              <w:rPr>
                <w:rFonts w:hint="eastAsia"/>
                <w:sz w:val="18"/>
                <w:szCs w:val="18"/>
              </w:rPr>
              <w:t>.</w:t>
            </w:r>
            <w:r>
              <w:rPr>
                <w:sz w:val="18"/>
                <w:szCs w:val="18"/>
              </w:rPr>
              <w:t>1</w:t>
            </w:r>
            <w:r>
              <w:rPr>
                <w:rFonts w:hint="eastAsia"/>
                <w:sz w:val="18"/>
                <w:szCs w:val="18"/>
              </w:rPr>
              <w:t>掌握电子信息工程专业仪器、仪表等现代工程工具的基本原理、操作方法，理解其局限性，并在复杂工程问题中合理选择并使用</w:t>
            </w:r>
            <w:r>
              <w:rPr>
                <w:sz w:val="18"/>
                <w:szCs w:val="18"/>
              </w:rPr>
              <w:t>。</w:t>
            </w:r>
          </w:p>
        </w:tc>
        <w:tc>
          <w:tcPr>
            <w:tcW w:w="314" w:type="pct"/>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sz w:val="18"/>
                <w:szCs w:val="18"/>
              </w:rPr>
            </w:pPr>
            <w:r>
              <w:rPr>
                <w:rFonts w:hint="eastAsia"/>
                <w:sz w:val="18"/>
                <w:szCs w:val="18"/>
              </w:rPr>
              <w:t>2</w:t>
            </w:r>
          </w:p>
        </w:tc>
        <w:tc>
          <w:tcPr>
            <w:tcW w:w="299" w:type="pct"/>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color w:val="000000"/>
                <w:sz w:val="18"/>
                <w:szCs w:val="18"/>
              </w:rPr>
            </w:pPr>
            <w:r>
              <w:rPr>
                <w:color w:val="000000"/>
                <w:sz w:val="18"/>
                <w:szCs w:val="18"/>
              </w:rPr>
              <w:t>0.60</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表2教学目标达成途径</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3"/>
        <w:gridCol w:w="1304"/>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课程教学目标</w:t>
            </w:r>
          </w:p>
        </w:tc>
        <w:tc>
          <w:tcPr>
            <w:tcW w:w="76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达成途径</w:t>
            </w:r>
          </w:p>
        </w:tc>
        <w:tc>
          <w:tcPr>
            <w:tcW w:w="62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7" w:hRule="atLeast"/>
          <w:jc w:val="center"/>
        </w:trPr>
        <w:tc>
          <w:tcPr>
            <w:tcW w:w="3605" w:type="pct"/>
            <w:tcBorders>
              <w:top w:val="single" w:color="auto" w:sz="4" w:space="0"/>
              <w:left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w:t>
            </w:r>
            <w:r>
              <w:rPr>
                <w:kern w:val="0"/>
                <w:szCs w:val="21"/>
              </w:rPr>
              <w:t>．</w:t>
            </w:r>
            <w:r>
              <w:rPr>
                <w:rFonts w:hint="eastAsia"/>
                <w:sz w:val="18"/>
                <w:szCs w:val="18"/>
                <w:shd w:val="clear" w:color="auto" w:fill="FEFEFF"/>
              </w:rPr>
              <w:t>Verilog HDL</w:t>
            </w:r>
            <w:r>
              <w:rPr>
                <w:sz w:val="18"/>
                <w:szCs w:val="18"/>
                <w:shd w:val="clear" w:color="auto" w:fill="FEFEFF"/>
              </w:rPr>
              <w:t>语言程序语法与编程设计知识点学习：理解</w:t>
            </w:r>
            <w:r>
              <w:rPr>
                <w:rFonts w:hint="eastAsia"/>
                <w:sz w:val="18"/>
                <w:szCs w:val="18"/>
                <w:shd w:val="clear" w:color="auto" w:fill="FEFEFF"/>
              </w:rPr>
              <w:t>Verilog HDL</w:t>
            </w:r>
            <w:r>
              <w:rPr>
                <w:sz w:val="18"/>
                <w:szCs w:val="18"/>
                <w:shd w:val="clear" w:color="auto" w:fill="FEFEFF"/>
              </w:rPr>
              <w:t>语言以及目标器件FPGA硬件平台等工程基础知识，能够进行简单电子逻辑电路的硬件设计。</w:t>
            </w:r>
          </w:p>
          <w:p>
            <w:pPr>
              <w:widowControl/>
              <w:snapToGrid w:val="0"/>
              <w:spacing w:line="300" w:lineRule="auto"/>
              <w:ind w:firstLine="360" w:firstLineChars="200"/>
              <w:jc w:val="left"/>
              <w:rPr>
                <w:sz w:val="18"/>
                <w:szCs w:val="18"/>
                <w:shd w:val="clear" w:color="auto" w:fill="FEFEFF"/>
              </w:rPr>
            </w:pPr>
            <w:r>
              <w:rPr>
                <w:sz w:val="18"/>
                <w:szCs w:val="18"/>
                <w:shd w:val="clear" w:color="auto" w:fill="FEFEFF"/>
              </w:rPr>
              <w:t>理解</w:t>
            </w:r>
            <w:r>
              <w:rPr>
                <w:rFonts w:hint="eastAsia"/>
                <w:sz w:val="18"/>
                <w:szCs w:val="18"/>
                <w:shd w:val="clear" w:color="auto" w:fill="FEFEFF"/>
              </w:rPr>
              <w:t>Verilog HDL</w:t>
            </w:r>
            <w:r>
              <w:rPr>
                <w:sz w:val="18"/>
                <w:szCs w:val="18"/>
                <w:shd w:val="clear" w:color="auto" w:fill="FEFEFF"/>
              </w:rPr>
              <w:t>语言的组合逻辑电路设计、时序电路设计、状态机设计、顺序语句、并行语句以及进程等基础概念与语法，能够区别描述各类编程方式的相似性与差异性，例如：</w:t>
            </w:r>
            <w:r>
              <w:rPr>
                <w:rFonts w:hint="eastAsia" w:ascii="宋体" w:hAnsi="宋体" w:cs="宋体"/>
                <w:sz w:val="18"/>
                <w:szCs w:val="18"/>
                <w:shd w:val="clear" w:color="auto" w:fill="FEFEFF"/>
              </w:rPr>
              <w:t>①</w:t>
            </w:r>
            <w:r>
              <w:rPr>
                <w:rFonts w:hint="eastAsia"/>
                <w:sz w:val="18"/>
                <w:szCs w:val="18"/>
                <w:shd w:val="clear" w:color="auto" w:fill="FEFEFF"/>
              </w:rPr>
              <w:t>Verilog HDL</w:t>
            </w:r>
            <w:r>
              <w:rPr>
                <w:sz w:val="18"/>
                <w:szCs w:val="18"/>
                <w:shd w:val="clear" w:color="auto" w:fill="FEFEFF"/>
              </w:rPr>
              <w:t>语言、V</w:t>
            </w:r>
            <w:r>
              <w:rPr>
                <w:rFonts w:hint="eastAsia"/>
                <w:sz w:val="18"/>
                <w:szCs w:val="18"/>
                <w:shd w:val="clear" w:color="auto" w:fill="FEFEFF"/>
              </w:rPr>
              <w:t>HDL</w:t>
            </w:r>
            <w:r>
              <w:rPr>
                <w:sz w:val="18"/>
                <w:szCs w:val="18"/>
                <w:shd w:val="clear" w:color="auto" w:fill="FEFEFF"/>
              </w:rPr>
              <w:t>语言、以及C语言；</w:t>
            </w:r>
            <w:r>
              <w:rPr>
                <w:rFonts w:hint="eastAsia" w:ascii="宋体" w:hAnsi="宋体" w:cs="宋体"/>
                <w:sz w:val="18"/>
                <w:szCs w:val="18"/>
                <w:shd w:val="clear" w:color="auto" w:fill="FEFEFF"/>
              </w:rPr>
              <w:t>②</w:t>
            </w:r>
            <w:r>
              <w:rPr>
                <w:sz w:val="18"/>
                <w:szCs w:val="18"/>
                <w:shd w:val="clear" w:color="auto" w:fill="FEFEFF"/>
              </w:rPr>
              <w:t>顺序语句与并行语句；</w:t>
            </w:r>
            <w:r>
              <w:rPr>
                <w:rFonts w:hint="eastAsia" w:ascii="宋体" w:hAnsi="宋体" w:cs="宋体"/>
                <w:sz w:val="18"/>
                <w:szCs w:val="18"/>
                <w:shd w:val="clear" w:color="auto" w:fill="FEFEFF"/>
              </w:rPr>
              <w:t>③</w:t>
            </w:r>
            <w:r>
              <w:rPr>
                <w:sz w:val="18"/>
                <w:szCs w:val="18"/>
                <w:shd w:val="clear" w:color="auto" w:fill="FEFEFF"/>
              </w:rPr>
              <w:t>组合逻辑电路与时序电路；</w:t>
            </w:r>
            <w:r>
              <w:rPr>
                <w:rFonts w:hint="eastAsia" w:ascii="宋体" w:hAnsi="宋体" w:cs="宋体"/>
                <w:sz w:val="18"/>
                <w:szCs w:val="18"/>
                <w:shd w:val="clear" w:color="auto" w:fill="FEFEFF"/>
              </w:rPr>
              <w:t>④</w:t>
            </w:r>
            <w:r>
              <w:rPr>
                <w:sz w:val="18"/>
                <w:szCs w:val="18"/>
                <w:shd w:val="clear" w:color="auto" w:fill="FEFEFF"/>
              </w:rPr>
              <w:t>结构设计与行为设计；</w:t>
            </w:r>
            <w:r>
              <w:rPr>
                <w:rFonts w:hint="eastAsia" w:ascii="宋体" w:hAnsi="宋体" w:cs="宋体"/>
                <w:sz w:val="18"/>
                <w:szCs w:val="18"/>
                <w:shd w:val="clear" w:color="auto" w:fill="FEFEFF"/>
              </w:rPr>
              <w:t>⑤</w:t>
            </w:r>
            <w:r>
              <w:rPr>
                <w:sz w:val="18"/>
                <w:szCs w:val="18"/>
                <w:shd w:val="clear" w:color="auto" w:fill="FEFEFF"/>
              </w:rPr>
              <w:t>同步状态机与异步状态机；</w:t>
            </w:r>
            <w:r>
              <w:rPr>
                <w:rFonts w:hint="eastAsia" w:ascii="宋体" w:hAnsi="宋体" w:cs="宋体"/>
                <w:sz w:val="18"/>
                <w:szCs w:val="18"/>
                <w:shd w:val="clear" w:color="auto" w:fill="FEFEFF"/>
              </w:rPr>
              <w:t>⑥</w:t>
            </w:r>
            <w:r>
              <w:rPr>
                <w:sz w:val="18"/>
                <w:szCs w:val="18"/>
                <w:shd w:val="clear" w:color="auto" w:fill="FEFEFF"/>
              </w:rPr>
              <w:t>结构设计与行为设计。</w:t>
            </w:r>
          </w:p>
          <w:p>
            <w:pPr>
              <w:widowControl/>
              <w:snapToGrid w:val="0"/>
              <w:spacing w:line="300" w:lineRule="auto"/>
              <w:ind w:firstLine="360" w:firstLineChars="200"/>
              <w:jc w:val="left"/>
              <w:rPr>
                <w:sz w:val="18"/>
                <w:szCs w:val="18"/>
                <w:shd w:val="clear" w:color="auto" w:fill="FEFEFF"/>
              </w:rPr>
            </w:pPr>
            <w:r>
              <w:rPr>
                <w:sz w:val="18"/>
                <w:szCs w:val="18"/>
                <w:shd w:val="clear" w:color="auto" w:fill="FEFEFF"/>
              </w:rPr>
              <w:t>能够针对电子产品现实需求问题利用</w:t>
            </w:r>
            <w:r>
              <w:rPr>
                <w:rFonts w:hint="eastAsia"/>
                <w:sz w:val="18"/>
                <w:szCs w:val="18"/>
                <w:shd w:val="clear" w:color="auto" w:fill="FEFEFF"/>
              </w:rPr>
              <w:t>Verilog HDL</w:t>
            </w:r>
            <w:r>
              <w:rPr>
                <w:sz w:val="18"/>
                <w:szCs w:val="18"/>
                <w:shd w:val="clear" w:color="auto" w:fill="FEFEFF"/>
              </w:rPr>
              <w:t>语言进行项目设计与项目实施，例如：</w:t>
            </w:r>
            <w:r>
              <w:rPr>
                <w:rFonts w:hint="eastAsia" w:ascii="宋体" w:hAnsi="宋体" w:cs="宋体"/>
                <w:sz w:val="18"/>
                <w:szCs w:val="18"/>
                <w:shd w:val="clear" w:color="auto" w:fill="FEFEFF"/>
              </w:rPr>
              <w:t>①</w:t>
            </w:r>
            <w:r>
              <w:rPr>
                <w:sz w:val="18"/>
                <w:szCs w:val="18"/>
                <w:shd w:val="clear" w:color="auto" w:fill="FEFEFF"/>
              </w:rPr>
              <w:t>首先，按照电子硬件系统外部接口的输入输出描述，基于自顶向下思维，采用结构设计方法搭建系统功能模块架构；</w:t>
            </w:r>
            <w:r>
              <w:rPr>
                <w:rFonts w:hint="eastAsia" w:ascii="宋体" w:hAnsi="宋体" w:cs="宋体"/>
                <w:sz w:val="18"/>
                <w:szCs w:val="18"/>
                <w:shd w:val="clear" w:color="auto" w:fill="FEFEFF"/>
              </w:rPr>
              <w:t>②</w:t>
            </w:r>
            <w:r>
              <w:rPr>
                <w:sz w:val="18"/>
                <w:szCs w:val="18"/>
                <w:shd w:val="clear" w:color="auto" w:fill="FEFEFF"/>
              </w:rPr>
              <w:t>接着，联合采用结构设计和行为设计实现中间层功能模块的详细设计；</w:t>
            </w:r>
            <w:r>
              <w:rPr>
                <w:rFonts w:hint="eastAsia" w:ascii="宋体" w:hAnsi="宋体" w:cs="宋体"/>
                <w:sz w:val="18"/>
                <w:szCs w:val="18"/>
                <w:shd w:val="clear" w:color="auto" w:fill="FEFEFF"/>
              </w:rPr>
              <w:t>③</w:t>
            </w:r>
            <w:r>
              <w:rPr>
                <w:sz w:val="18"/>
                <w:szCs w:val="18"/>
                <w:shd w:val="clear" w:color="auto" w:fill="FEFEFF"/>
              </w:rPr>
              <w:t>然后，基于真值表描述采用行为设计实现最底层功能模块的详细设计；</w:t>
            </w:r>
            <w:r>
              <w:rPr>
                <w:rFonts w:hint="eastAsia" w:ascii="宋体" w:hAnsi="宋体" w:cs="宋体"/>
                <w:sz w:val="18"/>
                <w:szCs w:val="18"/>
                <w:shd w:val="clear" w:color="auto" w:fill="FEFEFF"/>
              </w:rPr>
              <w:t>④</w:t>
            </w:r>
            <w:r>
              <w:rPr>
                <w:sz w:val="18"/>
                <w:szCs w:val="18"/>
                <w:shd w:val="clear" w:color="auto" w:fill="FEFEFF"/>
              </w:rPr>
              <w:t>最终，采用</w:t>
            </w:r>
            <w:r>
              <w:rPr>
                <w:rFonts w:hint="eastAsia"/>
                <w:sz w:val="18"/>
                <w:szCs w:val="18"/>
                <w:shd w:val="clear" w:color="auto" w:fill="FEFEFF"/>
              </w:rPr>
              <w:t>Verilog HDL</w:t>
            </w:r>
            <w:r>
              <w:rPr>
                <w:sz w:val="18"/>
                <w:szCs w:val="18"/>
                <w:shd w:val="clear" w:color="auto" w:fill="FEFEFF"/>
              </w:rPr>
              <w:t>语言编程实现所有功能模块的代码；</w:t>
            </w:r>
            <w:r>
              <w:rPr>
                <w:rFonts w:hint="eastAsia" w:ascii="宋体" w:hAnsi="宋体" w:cs="宋体"/>
                <w:sz w:val="18"/>
                <w:szCs w:val="18"/>
                <w:shd w:val="clear" w:color="auto" w:fill="FEFEFF"/>
              </w:rPr>
              <w:t>⑤</w:t>
            </w:r>
            <w:r>
              <w:rPr>
                <w:sz w:val="18"/>
                <w:szCs w:val="18"/>
                <w:shd w:val="clear" w:color="auto" w:fill="FEFEFF"/>
              </w:rPr>
              <w:t>基于EDA软件的调试与仿真；</w:t>
            </w:r>
            <w:r>
              <w:rPr>
                <w:rFonts w:hint="eastAsia" w:ascii="宋体" w:hAnsi="宋体" w:cs="宋体"/>
                <w:sz w:val="18"/>
                <w:szCs w:val="18"/>
                <w:shd w:val="clear" w:color="auto" w:fill="FEFEFF"/>
              </w:rPr>
              <w:t>⑥</w:t>
            </w:r>
            <w:r>
              <w:rPr>
                <w:sz w:val="18"/>
                <w:szCs w:val="18"/>
                <w:shd w:val="clear" w:color="auto" w:fill="FEFEFF"/>
              </w:rPr>
              <w:t>基于FPGA开发板的单元测试；</w:t>
            </w:r>
            <w:r>
              <w:rPr>
                <w:rFonts w:hint="eastAsia" w:ascii="宋体" w:hAnsi="宋体" w:cs="宋体"/>
                <w:sz w:val="18"/>
                <w:szCs w:val="18"/>
                <w:shd w:val="clear" w:color="auto" w:fill="FEFEFF"/>
              </w:rPr>
              <w:t>⑦</w:t>
            </w:r>
            <w:r>
              <w:rPr>
                <w:sz w:val="18"/>
                <w:szCs w:val="18"/>
                <w:shd w:val="clear" w:color="auto" w:fill="FEFEFF"/>
              </w:rPr>
              <w:t>基于FPGA开发板的系统测试；</w:t>
            </w:r>
            <w:r>
              <w:rPr>
                <w:rFonts w:hint="eastAsia" w:ascii="宋体" w:hAnsi="宋体" w:cs="宋体"/>
                <w:sz w:val="18"/>
                <w:szCs w:val="18"/>
                <w:shd w:val="clear" w:color="auto" w:fill="FEFEFF"/>
              </w:rPr>
              <w:t>⑧</w:t>
            </w:r>
            <w:r>
              <w:rPr>
                <w:sz w:val="18"/>
                <w:szCs w:val="18"/>
                <w:shd w:val="clear" w:color="auto" w:fill="FEFEFF"/>
              </w:rPr>
              <w:t>书写项目文档。</w:t>
            </w:r>
          </w:p>
        </w:tc>
        <w:tc>
          <w:tcPr>
            <w:tcW w:w="765" w:type="pct"/>
            <w:tcBorders>
              <w:top w:val="single" w:color="auto" w:sz="4" w:space="0"/>
              <w:left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通过课堂讲授与学生学习（</w:t>
            </w:r>
            <w:r>
              <w:rPr>
                <w:rFonts w:hint="eastAsia"/>
                <w:sz w:val="18"/>
                <w:szCs w:val="18"/>
                <w:shd w:val="clear" w:color="auto" w:fill="FEFEFF"/>
              </w:rPr>
              <w:t>作业、</w:t>
            </w:r>
            <w:r>
              <w:rPr>
                <w:sz w:val="18"/>
                <w:szCs w:val="18"/>
                <w:shd w:val="clear" w:color="auto" w:fill="FEFEFF"/>
              </w:rPr>
              <w:t>小组讨论、实验与案例研讨）等达成。</w:t>
            </w:r>
          </w:p>
        </w:tc>
        <w:tc>
          <w:tcPr>
            <w:tcW w:w="62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作业、</w:t>
            </w:r>
            <w:r>
              <w:rPr>
                <w:sz w:val="18"/>
                <w:szCs w:val="18"/>
                <w:shd w:val="clear" w:color="auto" w:fill="FEFEFF"/>
              </w:rPr>
              <w:t>实验与课程设计论文的课堂验收。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2</w:t>
            </w:r>
            <w:r>
              <w:rPr>
                <w:kern w:val="0"/>
                <w:szCs w:val="21"/>
              </w:rPr>
              <w:t>．</w:t>
            </w:r>
            <w:r>
              <w:rPr>
                <w:sz w:val="18"/>
                <w:szCs w:val="18"/>
                <w:shd w:val="clear" w:color="auto" w:fill="FEFEFF"/>
              </w:rPr>
              <w:t>基于FPGA平台与EDA工具的</w:t>
            </w:r>
            <w:r>
              <w:rPr>
                <w:rFonts w:hint="eastAsia"/>
                <w:sz w:val="18"/>
                <w:szCs w:val="18"/>
                <w:shd w:val="clear" w:color="auto" w:fill="FEFEFF"/>
              </w:rPr>
              <w:t>Verilog HDL</w:t>
            </w:r>
            <w:r>
              <w:rPr>
                <w:sz w:val="18"/>
                <w:szCs w:val="18"/>
                <w:shd w:val="clear" w:color="auto" w:fill="FEFEFF"/>
              </w:rPr>
              <w:t>软件开发以及硬件设计技能目标：训练FPGA硬件平台与EDA工具的使用技能，能够运用</w:t>
            </w:r>
            <w:r>
              <w:rPr>
                <w:rFonts w:hint="eastAsia"/>
                <w:sz w:val="18"/>
                <w:szCs w:val="18"/>
                <w:shd w:val="clear" w:color="auto" w:fill="FEFEFF"/>
              </w:rPr>
              <w:t>Verilog HDL</w:t>
            </w:r>
            <w:r>
              <w:rPr>
                <w:sz w:val="18"/>
                <w:szCs w:val="18"/>
                <w:shd w:val="clear" w:color="auto" w:fill="FEFEFF"/>
              </w:rPr>
              <w:t>在FPGA平台实现复杂电子逻辑电路的设计、仿真与测试。</w:t>
            </w:r>
          </w:p>
          <w:p>
            <w:pPr>
              <w:widowControl/>
              <w:snapToGrid w:val="0"/>
              <w:spacing w:line="300" w:lineRule="auto"/>
              <w:ind w:firstLine="360" w:firstLineChars="200"/>
              <w:jc w:val="left"/>
              <w:rPr>
                <w:sz w:val="18"/>
                <w:szCs w:val="18"/>
                <w:shd w:val="clear" w:color="auto" w:fill="FEFEFF"/>
              </w:rPr>
            </w:pPr>
            <w:r>
              <w:rPr>
                <w:sz w:val="18"/>
                <w:szCs w:val="18"/>
                <w:shd w:val="clear" w:color="auto" w:fill="FEFEFF"/>
              </w:rPr>
              <w:t>熟练使用QuartusII等常用EDA软件，掌握EDA软件的一系列辅助设计功能，例如：</w:t>
            </w:r>
            <w:r>
              <w:rPr>
                <w:rFonts w:hint="eastAsia" w:ascii="宋体" w:hAnsi="宋体" w:cs="宋体"/>
                <w:sz w:val="18"/>
                <w:szCs w:val="18"/>
                <w:shd w:val="clear" w:color="auto" w:fill="FEFEFF"/>
              </w:rPr>
              <w:t>①</w:t>
            </w:r>
            <w:r>
              <w:rPr>
                <w:sz w:val="18"/>
                <w:szCs w:val="18"/>
                <w:shd w:val="clear" w:color="auto" w:fill="FEFEFF"/>
              </w:rPr>
              <w:t>三种不同的</w:t>
            </w:r>
            <w:r>
              <w:rPr>
                <w:rFonts w:hint="eastAsia"/>
                <w:sz w:val="18"/>
                <w:szCs w:val="18"/>
                <w:shd w:val="clear" w:color="auto" w:fill="FEFEFF"/>
              </w:rPr>
              <w:t>Verilog HDL</w:t>
            </w:r>
            <w:r>
              <w:rPr>
                <w:sz w:val="18"/>
                <w:szCs w:val="18"/>
                <w:shd w:val="clear" w:color="auto" w:fill="FEFEFF"/>
              </w:rPr>
              <w:t>代码设计输入方法；</w:t>
            </w:r>
            <w:r>
              <w:rPr>
                <w:rFonts w:hint="eastAsia" w:ascii="宋体" w:hAnsi="宋体" w:cs="宋体"/>
                <w:sz w:val="18"/>
                <w:szCs w:val="18"/>
                <w:shd w:val="clear" w:color="auto" w:fill="FEFEFF"/>
              </w:rPr>
              <w:t>②</w:t>
            </w:r>
            <w:r>
              <w:rPr>
                <w:sz w:val="18"/>
                <w:szCs w:val="18"/>
                <w:shd w:val="clear" w:color="auto" w:fill="FEFEFF"/>
              </w:rPr>
              <w:t>将</w:t>
            </w:r>
            <w:r>
              <w:rPr>
                <w:rFonts w:hint="eastAsia"/>
                <w:sz w:val="18"/>
                <w:szCs w:val="18"/>
                <w:shd w:val="clear" w:color="auto" w:fill="FEFEFF"/>
              </w:rPr>
              <w:t>Verilog HDL</w:t>
            </w:r>
            <w:r>
              <w:rPr>
                <w:sz w:val="18"/>
                <w:szCs w:val="18"/>
                <w:shd w:val="clear" w:color="auto" w:fill="FEFEFF"/>
              </w:rPr>
              <w:t>代码综合生成网表文件;</w:t>
            </w:r>
            <w:r>
              <w:rPr>
                <w:rFonts w:hint="eastAsia" w:ascii="宋体" w:hAnsi="宋体" w:cs="宋体"/>
                <w:sz w:val="18"/>
                <w:szCs w:val="18"/>
                <w:shd w:val="clear" w:color="auto" w:fill="FEFEFF"/>
              </w:rPr>
              <w:t>③</w:t>
            </w:r>
            <w:r>
              <w:rPr>
                <w:sz w:val="18"/>
                <w:szCs w:val="18"/>
                <w:shd w:val="clear" w:color="auto" w:fill="FEFEFF"/>
              </w:rPr>
              <w:t>对网表文件进行引脚配置；</w:t>
            </w:r>
            <w:r>
              <w:rPr>
                <w:rFonts w:hint="eastAsia" w:ascii="宋体" w:hAnsi="宋体" w:cs="宋体"/>
                <w:sz w:val="18"/>
                <w:szCs w:val="18"/>
                <w:shd w:val="clear" w:color="auto" w:fill="FEFEFF"/>
              </w:rPr>
              <w:t>④</w:t>
            </w:r>
            <w:r>
              <w:rPr>
                <w:sz w:val="18"/>
                <w:szCs w:val="18"/>
                <w:shd w:val="clear" w:color="auto" w:fill="FEFEFF"/>
              </w:rPr>
              <w:t>对网表文件进行元件适配；</w:t>
            </w:r>
            <w:r>
              <w:rPr>
                <w:rFonts w:hint="eastAsia" w:ascii="宋体" w:hAnsi="宋体" w:cs="宋体"/>
                <w:sz w:val="18"/>
                <w:szCs w:val="18"/>
                <w:shd w:val="clear" w:color="auto" w:fill="FEFEFF"/>
              </w:rPr>
              <w:t>⑤</w:t>
            </w:r>
            <w:r>
              <w:rPr>
                <w:sz w:val="18"/>
                <w:szCs w:val="18"/>
                <w:shd w:val="clear" w:color="auto" w:fill="FEFEFF"/>
              </w:rPr>
              <w:t>将适配后的网表文件下载到FPGA或者CPLD；</w:t>
            </w:r>
            <w:r>
              <w:rPr>
                <w:rFonts w:hint="eastAsia" w:ascii="宋体" w:hAnsi="宋体" w:cs="宋体"/>
                <w:sz w:val="18"/>
                <w:szCs w:val="18"/>
                <w:shd w:val="clear" w:color="auto" w:fill="FEFEFF"/>
              </w:rPr>
              <w:t>⑥</w:t>
            </w:r>
            <w:r>
              <w:rPr>
                <w:sz w:val="18"/>
                <w:szCs w:val="18"/>
                <w:shd w:val="clear" w:color="auto" w:fill="FEFEFF"/>
              </w:rPr>
              <w:t>无硬件平台的波形仿真；</w:t>
            </w:r>
            <w:r>
              <w:rPr>
                <w:rFonts w:hint="eastAsia" w:ascii="宋体" w:hAnsi="宋体" w:cs="宋体"/>
                <w:sz w:val="18"/>
                <w:szCs w:val="18"/>
                <w:shd w:val="clear" w:color="auto" w:fill="FEFEFF"/>
              </w:rPr>
              <w:t>⑦</w:t>
            </w:r>
            <w:r>
              <w:rPr>
                <w:sz w:val="18"/>
                <w:szCs w:val="18"/>
                <w:shd w:val="clear" w:color="auto" w:fill="FEFEFF"/>
              </w:rPr>
              <w:t>基于FPGA或者CPLD的硬件测试。</w:t>
            </w:r>
          </w:p>
        </w:tc>
        <w:tc>
          <w:tcPr>
            <w:tcW w:w="76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通过课堂讲授与学生学习（小组讨论、实验与案例研讨）等达成。</w:t>
            </w:r>
          </w:p>
        </w:tc>
        <w:tc>
          <w:tcPr>
            <w:tcW w:w="62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实验与课程设计论文的课堂验收。</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理论教学环节紧密结合实践环节：本课程是一门偏重于实践教学的课程，目前理论教学和实践教学的比例确定为1:1，强调学生实际动手和解决问题能力的培养。课堂讲授注重案例教学，每周平均讲授与实验各2学时，其讲授内容与专业相关实践教学环节和场景相互呼应。</w:t>
      </w:r>
    </w:p>
    <w:p>
      <w:pPr>
        <w:snapToGrid w:val="0"/>
        <w:spacing w:line="300" w:lineRule="auto"/>
        <w:ind w:firstLine="420" w:firstLineChars="200"/>
        <w:rPr>
          <w:szCs w:val="21"/>
        </w:rPr>
      </w:pPr>
      <w:r>
        <w:rPr>
          <w:szCs w:val="21"/>
        </w:rPr>
        <w:t>2．提高实践教学环节的服务水平：</w:t>
      </w:r>
      <w:r>
        <w:rPr>
          <w:rFonts w:hint="eastAsia" w:ascii="宋体" w:hAnsi="宋体" w:cs="宋体"/>
          <w:szCs w:val="21"/>
        </w:rPr>
        <w:t>①</w:t>
      </w:r>
      <w:r>
        <w:rPr>
          <w:szCs w:val="21"/>
        </w:rPr>
        <w:t>注重学生兴趣的培养——设置从简单到复杂并且具有趣味性和实用性的实验项目，充分调动学生的学习积极性；</w:t>
      </w:r>
      <w:r>
        <w:rPr>
          <w:rFonts w:hint="eastAsia" w:ascii="宋体" w:hAnsi="宋体" w:cs="宋体"/>
          <w:szCs w:val="21"/>
        </w:rPr>
        <w:t>②</w:t>
      </w:r>
      <w:r>
        <w:rPr>
          <w:szCs w:val="21"/>
        </w:rPr>
        <w:t>提供实践能力培养的平台——为学生提供实验内容之外的大量案例，并且为每一组学生提供一套开发板带回宿舍，增加学生的实践学习内容和时间。</w:t>
      </w:r>
    </w:p>
    <w:p>
      <w:pPr>
        <w:snapToGrid w:val="0"/>
        <w:spacing w:line="300" w:lineRule="auto"/>
        <w:ind w:firstLine="420" w:firstLineChars="200"/>
        <w:rPr>
          <w:szCs w:val="21"/>
        </w:rPr>
      </w:pPr>
      <w:r>
        <w:rPr>
          <w:szCs w:val="21"/>
        </w:rPr>
        <w:t>3．确保实践教学环节的教学效果：以课堂提问验收为主，报告形式为辅。通过对每一组同学每个实验的课堂提问验收，以及期末课程设计论文的课堂提问验收，一方面在实验课堂辅导的基础上增加了与学生进行实践经验交流的环节，另一方面督促学生切实理解和掌握实践环节的每个知识点，确保实践教学的成效。</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Cs w:val="21"/>
        </w:rPr>
      </w:pPr>
      <w:r>
        <w:rPr>
          <w:b/>
          <w:bCs/>
          <w:sz w:val="18"/>
          <w:szCs w:val="18"/>
        </w:rPr>
        <w:t>表3教学要求</w:t>
      </w:r>
    </w:p>
    <w:tbl>
      <w:tblPr>
        <w:tblStyle w:val="22"/>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28"/>
        <w:gridCol w:w="5343"/>
        <w:gridCol w:w="506"/>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316"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984" w:type="pct"/>
            <w:vAlign w:val="center"/>
          </w:tcPr>
          <w:p>
            <w:pPr>
              <w:snapToGrid w:val="0"/>
              <w:spacing w:line="300" w:lineRule="auto"/>
              <w:jc w:val="center"/>
              <w:rPr>
                <w:b/>
                <w:bCs/>
                <w:sz w:val="18"/>
                <w:szCs w:val="18"/>
              </w:rPr>
            </w:pPr>
            <w:r>
              <w:rPr>
                <w:b/>
                <w:bCs/>
                <w:sz w:val="18"/>
                <w:szCs w:val="18"/>
              </w:rPr>
              <w:t>教学内容</w:t>
            </w:r>
          </w:p>
        </w:tc>
        <w:tc>
          <w:tcPr>
            <w:tcW w:w="3043" w:type="pct"/>
            <w:vAlign w:val="center"/>
          </w:tcPr>
          <w:p>
            <w:pPr>
              <w:snapToGrid w:val="0"/>
              <w:spacing w:line="300" w:lineRule="auto"/>
              <w:jc w:val="center"/>
              <w:rPr>
                <w:b/>
                <w:bCs/>
                <w:sz w:val="18"/>
                <w:szCs w:val="18"/>
              </w:rPr>
            </w:pPr>
            <w:r>
              <w:rPr>
                <w:b/>
                <w:bCs/>
                <w:sz w:val="18"/>
                <w:szCs w:val="18"/>
              </w:rPr>
              <w:t>教与学的要求</w:t>
            </w:r>
          </w:p>
        </w:tc>
        <w:tc>
          <w:tcPr>
            <w:tcW w:w="288" w:type="pct"/>
            <w:vAlign w:val="center"/>
          </w:tcPr>
          <w:p>
            <w:pPr>
              <w:snapToGrid w:val="0"/>
              <w:spacing w:line="300" w:lineRule="auto"/>
              <w:jc w:val="center"/>
              <w:rPr>
                <w:b/>
                <w:bCs/>
                <w:sz w:val="18"/>
                <w:szCs w:val="18"/>
              </w:rPr>
            </w:pPr>
            <w:r>
              <w:rPr>
                <w:b/>
                <w:bCs/>
                <w:sz w:val="18"/>
                <w:szCs w:val="18"/>
              </w:rPr>
              <w:t>学时</w:t>
            </w:r>
          </w:p>
        </w:tc>
        <w:tc>
          <w:tcPr>
            <w:tcW w:w="366" w:type="pct"/>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1</w:t>
            </w:r>
          </w:p>
        </w:tc>
        <w:tc>
          <w:tcPr>
            <w:tcW w:w="984" w:type="pct"/>
            <w:vAlign w:val="center"/>
          </w:tcPr>
          <w:p>
            <w:pPr>
              <w:snapToGrid w:val="0"/>
              <w:spacing w:line="300" w:lineRule="auto"/>
              <w:rPr>
                <w:sz w:val="18"/>
                <w:szCs w:val="18"/>
              </w:rPr>
            </w:pPr>
            <w:r>
              <w:rPr>
                <w:sz w:val="18"/>
                <w:szCs w:val="18"/>
              </w:rPr>
              <w:t>1 EDA 技术概述</w:t>
            </w:r>
          </w:p>
          <w:p>
            <w:pPr>
              <w:snapToGrid w:val="0"/>
              <w:spacing w:line="300" w:lineRule="auto"/>
              <w:rPr>
                <w:sz w:val="18"/>
                <w:szCs w:val="18"/>
              </w:rPr>
            </w:pPr>
            <w:r>
              <w:rPr>
                <w:sz w:val="18"/>
                <w:szCs w:val="18"/>
              </w:rPr>
              <w:t>1.1 EDA 技术及其发展</w:t>
            </w:r>
          </w:p>
          <w:p>
            <w:pPr>
              <w:snapToGrid w:val="0"/>
              <w:spacing w:line="300" w:lineRule="auto"/>
              <w:rPr>
                <w:sz w:val="18"/>
                <w:szCs w:val="18"/>
              </w:rPr>
            </w:pPr>
            <w:r>
              <w:rPr>
                <w:sz w:val="18"/>
                <w:szCs w:val="18"/>
              </w:rPr>
              <w:t>1.3 硬件描述语言</w:t>
            </w:r>
          </w:p>
          <w:p>
            <w:pPr>
              <w:snapToGrid w:val="0"/>
              <w:spacing w:line="300" w:lineRule="auto"/>
              <w:rPr>
                <w:sz w:val="18"/>
                <w:szCs w:val="18"/>
              </w:rPr>
            </w:pPr>
            <w:r>
              <w:rPr>
                <w:sz w:val="18"/>
                <w:szCs w:val="18"/>
              </w:rPr>
              <w:t>1.4 HDL 综合</w:t>
            </w:r>
          </w:p>
          <w:p>
            <w:pPr>
              <w:snapToGrid w:val="0"/>
              <w:spacing w:line="300" w:lineRule="auto"/>
              <w:rPr>
                <w:sz w:val="18"/>
                <w:szCs w:val="18"/>
              </w:rPr>
            </w:pPr>
            <w:r>
              <w:rPr>
                <w:sz w:val="18"/>
                <w:szCs w:val="18"/>
              </w:rPr>
              <w:t>1.5 自顶向下的设计技术</w:t>
            </w:r>
          </w:p>
          <w:p>
            <w:pPr>
              <w:snapToGrid w:val="0"/>
              <w:spacing w:line="300" w:lineRule="auto"/>
              <w:rPr>
                <w:sz w:val="18"/>
                <w:szCs w:val="18"/>
              </w:rPr>
            </w:pPr>
            <w:r>
              <w:rPr>
                <w:sz w:val="18"/>
                <w:szCs w:val="18"/>
              </w:rPr>
              <w:t>1.7 EDA 设计流程</w:t>
            </w:r>
          </w:p>
          <w:p>
            <w:pPr>
              <w:snapToGrid w:val="0"/>
              <w:spacing w:line="300" w:lineRule="auto"/>
              <w:rPr>
                <w:sz w:val="18"/>
                <w:szCs w:val="18"/>
              </w:rPr>
            </w:pPr>
            <w:r>
              <w:rPr>
                <w:sz w:val="18"/>
                <w:szCs w:val="18"/>
              </w:rPr>
              <w:t>1.10 Quartus II 概述</w:t>
            </w:r>
          </w:p>
          <w:p>
            <w:pPr>
              <w:snapToGrid w:val="0"/>
              <w:spacing w:line="300" w:lineRule="auto"/>
              <w:rPr>
                <w:sz w:val="18"/>
                <w:szCs w:val="18"/>
              </w:rPr>
            </w:pPr>
            <w:r>
              <w:rPr>
                <w:sz w:val="18"/>
                <w:szCs w:val="18"/>
              </w:rPr>
              <w:t xml:space="preserve">1.11 </w:t>
            </w:r>
            <w:r>
              <w:rPr>
                <w:rFonts w:hint="eastAsia"/>
                <w:b/>
                <w:bCs/>
                <w:sz w:val="18"/>
                <w:szCs w:val="18"/>
              </w:rPr>
              <w:t>课程思政</w:t>
            </w:r>
            <w:r>
              <w:rPr>
                <w:rFonts w:hint="eastAsia"/>
                <w:sz w:val="18"/>
                <w:szCs w:val="18"/>
              </w:rPr>
              <w:t>：介绍</w:t>
            </w:r>
            <w:r>
              <w:rPr>
                <w:sz w:val="18"/>
                <w:szCs w:val="18"/>
              </w:rPr>
              <w:t>FPGA的应用前景以及国际/国内技术领域发展</w:t>
            </w:r>
            <w:r>
              <w:rPr>
                <w:rFonts w:hint="eastAsia"/>
                <w:sz w:val="18"/>
                <w:szCs w:val="18"/>
              </w:rPr>
              <w:t>，阐述目前美国政府限制中国使用美国FGPA行业公司的EDA软件现况，激发学生自主创新与科技强国的信念</w:t>
            </w:r>
            <w:r>
              <w:rPr>
                <w:rFonts w:hint="eastAsia"/>
                <w:b/>
                <w:bCs/>
                <w:sz w:val="18"/>
                <w:szCs w:val="18"/>
              </w:rPr>
              <w:t>。</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（1）了解：现代EDA技术与</w:t>
            </w:r>
            <w:r>
              <w:rPr>
                <w:rFonts w:hint="eastAsia"/>
                <w:sz w:val="18"/>
                <w:szCs w:val="18"/>
              </w:rPr>
              <w:t>Verilog</w:t>
            </w:r>
            <w:r>
              <w:rPr>
                <w:sz w:val="18"/>
                <w:szCs w:val="18"/>
              </w:rPr>
              <w:t>概况。</w:t>
            </w:r>
          </w:p>
          <w:p>
            <w:pPr>
              <w:snapToGrid w:val="0"/>
              <w:spacing w:line="300" w:lineRule="auto"/>
              <w:rPr>
                <w:sz w:val="18"/>
                <w:szCs w:val="18"/>
              </w:rPr>
            </w:pPr>
            <w:r>
              <w:rPr>
                <w:sz w:val="18"/>
                <w:szCs w:val="18"/>
              </w:rPr>
              <w:t>（2）理解：现代EDA技术及实现工具的使用方法和发展情况。</w:t>
            </w:r>
          </w:p>
          <w:p>
            <w:pPr>
              <w:snapToGrid w:val="0"/>
              <w:spacing w:line="300" w:lineRule="auto"/>
              <w:rPr>
                <w:sz w:val="18"/>
                <w:szCs w:val="18"/>
              </w:rPr>
            </w:pPr>
            <w:r>
              <w:rPr>
                <w:sz w:val="18"/>
                <w:szCs w:val="18"/>
              </w:rPr>
              <w:t>（3）掌握：自顶向下的系统设计方法以及EDA 设计流程。</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（1）了解与安装</w:t>
            </w:r>
            <w:r>
              <w:rPr>
                <w:rFonts w:hint="eastAsia"/>
                <w:sz w:val="18"/>
                <w:szCs w:val="18"/>
              </w:rPr>
              <w:t>Verilog</w:t>
            </w:r>
            <w:r>
              <w:rPr>
                <w:sz w:val="18"/>
                <w:szCs w:val="18"/>
              </w:rPr>
              <w:t>语言的编辑与编译环境——Quartus，建议安装9.0及其以下的版本。</w:t>
            </w:r>
          </w:p>
          <w:p>
            <w:pPr>
              <w:snapToGrid w:val="0"/>
              <w:spacing w:line="300" w:lineRule="auto"/>
              <w:rPr>
                <w:sz w:val="18"/>
                <w:szCs w:val="18"/>
              </w:rPr>
            </w:pPr>
            <w:r>
              <w:rPr>
                <w:sz w:val="18"/>
                <w:szCs w:val="18"/>
              </w:rPr>
              <w:t>（2）</w:t>
            </w:r>
            <w:r>
              <w:rPr>
                <w:rFonts w:hint="eastAsia"/>
                <w:sz w:val="18"/>
                <w:szCs w:val="18"/>
              </w:rPr>
              <w:t xml:space="preserve"> 了解</w:t>
            </w:r>
            <w:r>
              <w:rPr>
                <w:sz w:val="18"/>
                <w:szCs w:val="18"/>
              </w:rPr>
              <w:t>HDL语言与C语言在编译过程</w:t>
            </w:r>
            <w:r>
              <w:rPr>
                <w:rFonts w:hint="eastAsia"/>
                <w:sz w:val="18"/>
                <w:szCs w:val="18"/>
              </w:rPr>
              <w:t>的</w:t>
            </w:r>
            <w:r>
              <w:rPr>
                <w:sz w:val="18"/>
                <w:szCs w:val="18"/>
              </w:rPr>
              <w:t>差异性</w:t>
            </w:r>
            <w:r>
              <w:rPr>
                <w:rFonts w:hint="eastAsia"/>
                <w:sz w:val="18"/>
                <w:szCs w:val="18"/>
              </w:rPr>
              <w:t>。</w:t>
            </w:r>
          </w:p>
          <w:p>
            <w:pPr>
              <w:snapToGrid w:val="0"/>
              <w:spacing w:line="300" w:lineRule="auto"/>
              <w:rPr>
                <w:sz w:val="18"/>
                <w:szCs w:val="18"/>
              </w:rPr>
            </w:pPr>
            <w:r>
              <w:rPr>
                <w:sz w:val="18"/>
                <w:szCs w:val="18"/>
              </w:rPr>
              <w:t>（3）</w:t>
            </w:r>
            <w:r>
              <w:rPr>
                <w:rFonts w:hint="eastAsia"/>
                <w:sz w:val="18"/>
                <w:szCs w:val="18"/>
              </w:rPr>
              <w:t>了解</w:t>
            </w:r>
            <w:r>
              <w:rPr>
                <w:sz w:val="18"/>
                <w:szCs w:val="18"/>
              </w:rPr>
              <w:t>自顶向下的设计技术</w:t>
            </w:r>
            <w:r>
              <w:rPr>
                <w:rFonts w:hint="eastAsia"/>
                <w:sz w:val="18"/>
                <w:szCs w:val="18"/>
              </w:rPr>
              <w:t>的</w:t>
            </w:r>
            <w:r>
              <w:rPr>
                <w:sz w:val="18"/>
                <w:szCs w:val="18"/>
              </w:rPr>
              <w:t>具体业务步骤</w:t>
            </w:r>
            <w:r>
              <w:rPr>
                <w:rFonts w:hint="eastAsia"/>
                <w:sz w:val="18"/>
                <w:szCs w:val="18"/>
              </w:rPr>
              <w:t>。</w:t>
            </w:r>
          </w:p>
          <w:p>
            <w:pPr>
              <w:snapToGrid w:val="0"/>
              <w:spacing w:line="300" w:lineRule="auto"/>
              <w:rPr>
                <w:sz w:val="18"/>
                <w:szCs w:val="18"/>
              </w:rPr>
            </w:pPr>
            <w:r>
              <w:rPr>
                <w:sz w:val="18"/>
                <w:szCs w:val="18"/>
              </w:rPr>
              <w:t>（4）网上查阅资料，了解</w:t>
            </w:r>
            <w:r>
              <w:rPr>
                <w:rFonts w:hint="eastAsia"/>
                <w:sz w:val="18"/>
                <w:szCs w:val="18"/>
              </w:rPr>
              <w:t>Verilog</w:t>
            </w:r>
            <w:r>
              <w:rPr>
                <w:sz w:val="18"/>
                <w:szCs w:val="18"/>
              </w:rPr>
              <w:t>语言的学习网站</w:t>
            </w:r>
            <w:r>
              <w:rPr>
                <w:rFonts w:hint="eastAsia"/>
                <w:sz w:val="18"/>
                <w:szCs w:val="18"/>
              </w:rPr>
              <w:t>。</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案例1：针对问题——</w:t>
            </w:r>
            <w:r>
              <w:rPr>
                <w:b/>
                <w:bCs/>
                <w:sz w:val="18"/>
                <w:szCs w:val="18"/>
              </w:rPr>
              <w:t>FPGA的最新应用场景，首先介绍FPGA的基本功能，然后通过大量举例展示FPGA在数控、图像处理、物联网、手机以及AI等领域的实际应用案例，强调FPGA在前沿领域的重要性，激发学生的学习兴趣。</w:t>
            </w:r>
          </w:p>
          <w:p>
            <w:pPr>
              <w:snapToGrid w:val="0"/>
              <w:spacing w:line="300" w:lineRule="auto"/>
              <w:rPr>
                <w:sz w:val="18"/>
                <w:szCs w:val="18"/>
              </w:rPr>
            </w:pPr>
            <w:r>
              <w:rPr>
                <w:sz w:val="18"/>
                <w:szCs w:val="18"/>
              </w:rPr>
              <w:t>案例2：针对问题——</w:t>
            </w:r>
            <w:r>
              <w:rPr>
                <w:rFonts w:hint="eastAsia"/>
                <w:sz w:val="18"/>
                <w:szCs w:val="18"/>
              </w:rPr>
              <w:t>Verilog</w:t>
            </w:r>
            <w:r>
              <w:rPr>
                <w:sz w:val="18"/>
                <w:szCs w:val="18"/>
              </w:rPr>
              <w:t>与V</w:t>
            </w:r>
            <w:r>
              <w:rPr>
                <w:rFonts w:hint="eastAsia"/>
                <w:sz w:val="18"/>
                <w:szCs w:val="18"/>
              </w:rPr>
              <w:t>HDL</w:t>
            </w:r>
            <w:r>
              <w:rPr>
                <w:sz w:val="18"/>
                <w:szCs w:val="18"/>
              </w:rPr>
              <w:t xml:space="preserve">的差异性，讲述目前流行的硬件描述语言Verilog </w:t>
            </w:r>
            <w:r>
              <w:rPr>
                <w:rFonts w:hint="eastAsia"/>
                <w:sz w:val="18"/>
                <w:szCs w:val="18"/>
              </w:rPr>
              <w:t>与VHDL</w:t>
            </w:r>
            <w:r>
              <w:rPr>
                <w:sz w:val="18"/>
                <w:szCs w:val="18"/>
              </w:rPr>
              <w:t>，简介其差异性和相似性、以及其市场应用场景，提升学生对</w:t>
            </w:r>
            <w:r>
              <w:rPr>
                <w:rFonts w:hint="eastAsia"/>
                <w:sz w:val="18"/>
                <w:szCs w:val="18"/>
              </w:rPr>
              <w:t>Verilog</w:t>
            </w:r>
            <w:r>
              <w:rPr>
                <w:sz w:val="18"/>
                <w:szCs w:val="18"/>
              </w:rPr>
              <w:t>语言学习的兴趣。</w:t>
            </w:r>
          </w:p>
        </w:tc>
        <w:tc>
          <w:tcPr>
            <w:tcW w:w="288" w:type="pct"/>
            <w:vAlign w:val="center"/>
          </w:tcPr>
          <w:p>
            <w:pPr>
              <w:widowControl/>
              <w:jc w:val="center"/>
              <w:rPr>
                <w:kern w:val="0"/>
                <w:sz w:val="18"/>
                <w:szCs w:val="18"/>
              </w:rPr>
            </w:pPr>
            <w:r>
              <w:rPr>
                <w:rFonts w:hint="eastAsia"/>
                <w:kern w:val="0"/>
                <w:sz w:val="18"/>
                <w:szCs w:val="18"/>
              </w:rPr>
              <w:t>1</w:t>
            </w:r>
          </w:p>
        </w:tc>
        <w:tc>
          <w:tcPr>
            <w:tcW w:w="366" w:type="pct"/>
            <w:vAlign w:val="center"/>
          </w:tcPr>
          <w:p>
            <w:pPr>
              <w:widowControl/>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2</w:t>
            </w:r>
          </w:p>
        </w:tc>
        <w:tc>
          <w:tcPr>
            <w:tcW w:w="984" w:type="pct"/>
            <w:vAlign w:val="center"/>
          </w:tcPr>
          <w:p>
            <w:pPr>
              <w:snapToGrid w:val="0"/>
              <w:spacing w:line="300" w:lineRule="auto"/>
              <w:rPr>
                <w:sz w:val="18"/>
                <w:szCs w:val="18"/>
              </w:rPr>
            </w:pPr>
            <w:r>
              <w:rPr>
                <w:sz w:val="18"/>
                <w:szCs w:val="18"/>
              </w:rPr>
              <w:t>2 FPGA与CPLD的结构原理</w:t>
            </w:r>
          </w:p>
          <w:p>
            <w:pPr>
              <w:snapToGrid w:val="0"/>
              <w:spacing w:line="300" w:lineRule="auto"/>
              <w:rPr>
                <w:sz w:val="18"/>
                <w:szCs w:val="18"/>
              </w:rPr>
            </w:pPr>
            <w:r>
              <w:rPr>
                <w:sz w:val="18"/>
                <w:szCs w:val="18"/>
              </w:rPr>
              <w:t>2.3 CPLD的结构原理</w:t>
            </w:r>
          </w:p>
          <w:p>
            <w:pPr>
              <w:snapToGrid w:val="0"/>
              <w:spacing w:line="300" w:lineRule="auto"/>
              <w:rPr>
                <w:sz w:val="18"/>
                <w:szCs w:val="18"/>
              </w:rPr>
            </w:pPr>
            <w:r>
              <w:rPr>
                <w:sz w:val="18"/>
                <w:szCs w:val="18"/>
              </w:rPr>
              <w:t>2.4 FPGA的结构原理</w:t>
            </w:r>
          </w:p>
          <w:p>
            <w:pPr>
              <w:snapToGrid w:val="0"/>
              <w:spacing w:line="300" w:lineRule="auto"/>
              <w:rPr>
                <w:sz w:val="18"/>
                <w:szCs w:val="18"/>
              </w:rPr>
            </w:pPr>
            <w:r>
              <w:rPr>
                <w:sz w:val="18"/>
                <w:szCs w:val="18"/>
              </w:rPr>
              <w:t>2.6 PLD产品概述</w:t>
            </w:r>
          </w:p>
          <w:p>
            <w:pPr>
              <w:snapToGrid w:val="0"/>
              <w:spacing w:line="300" w:lineRule="auto"/>
              <w:rPr>
                <w:sz w:val="18"/>
                <w:szCs w:val="18"/>
              </w:rPr>
            </w:pPr>
            <w:r>
              <w:rPr>
                <w:sz w:val="18"/>
                <w:szCs w:val="18"/>
              </w:rPr>
              <w:t>2.7 CPLD/FPGA的编程与配置</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（1）了解：几类常用的大规模可编程逻辑器件产品。</w:t>
            </w:r>
          </w:p>
          <w:p>
            <w:pPr>
              <w:snapToGrid w:val="0"/>
              <w:spacing w:line="300" w:lineRule="auto"/>
              <w:rPr>
                <w:sz w:val="18"/>
                <w:szCs w:val="18"/>
              </w:rPr>
            </w:pPr>
            <w:r>
              <w:rPr>
                <w:sz w:val="18"/>
                <w:szCs w:val="18"/>
              </w:rPr>
              <w:t>（2）理解：CPLD的乘积项和FPGA的查找表原理。</w:t>
            </w:r>
          </w:p>
          <w:p>
            <w:pPr>
              <w:snapToGrid w:val="0"/>
              <w:spacing w:line="300" w:lineRule="auto"/>
              <w:rPr>
                <w:sz w:val="18"/>
                <w:szCs w:val="18"/>
              </w:rPr>
            </w:pPr>
            <w:r>
              <w:rPr>
                <w:sz w:val="18"/>
                <w:szCs w:val="18"/>
              </w:rPr>
              <w:t>（3）掌握：CPLD/FPGA的编程和配置。</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（1）FPGA与CPLD的结构存在哪些差异性？</w:t>
            </w:r>
          </w:p>
          <w:p>
            <w:pPr>
              <w:snapToGrid w:val="0"/>
              <w:spacing w:line="300" w:lineRule="auto"/>
              <w:rPr>
                <w:sz w:val="18"/>
                <w:szCs w:val="18"/>
              </w:rPr>
            </w:pPr>
            <w:r>
              <w:rPr>
                <w:sz w:val="18"/>
                <w:szCs w:val="18"/>
              </w:rPr>
              <w:t>（2）编辑和编译一个案例代码，并配置引脚，通过Quartus软件完成下载。</w:t>
            </w:r>
          </w:p>
          <w:p>
            <w:pPr>
              <w:snapToGrid w:val="0"/>
              <w:spacing w:line="300" w:lineRule="auto"/>
              <w:rPr>
                <w:sz w:val="18"/>
                <w:szCs w:val="18"/>
              </w:rPr>
            </w:pPr>
            <w:r>
              <w:rPr>
                <w:sz w:val="18"/>
                <w:szCs w:val="18"/>
              </w:rPr>
              <w:t>（3）在FPGA开发板利用JTAG实现被动下载与主动下载，理解两种下载方式的差异性。</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3：针对问题——单片机与FPGA的差异性与相似性，讲述FPGA的编程、综合、适配、下载与单片机的编程、引脚定义、PCB制版、下载这两者之间的差异性和相似性，帮助学生将之前单片机课程的知识与经验迁移到本课程。</w:t>
            </w:r>
          </w:p>
        </w:tc>
        <w:tc>
          <w:tcPr>
            <w:tcW w:w="288" w:type="pct"/>
            <w:vAlign w:val="center"/>
          </w:tcPr>
          <w:p>
            <w:pPr>
              <w:widowControl/>
              <w:jc w:val="center"/>
              <w:rPr>
                <w:kern w:val="0"/>
                <w:sz w:val="18"/>
                <w:szCs w:val="18"/>
              </w:rPr>
            </w:pPr>
            <w:r>
              <w:rPr>
                <w:kern w:val="0"/>
                <w:sz w:val="18"/>
                <w:szCs w:val="18"/>
              </w:rPr>
              <w:t>1</w:t>
            </w:r>
          </w:p>
        </w:tc>
        <w:tc>
          <w:tcPr>
            <w:tcW w:w="366" w:type="pct"/>
            <w:vAlign w:val="center"/>
          </w:tcPr>
          <w:p>
            <w:pPr>
              <w:widowControl/>
              <w:jc w:val="left"/>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3</w:t>
            </w:r>
          </w:p>
        </w:tc>
        <w:tc>
          <w:tcPr>
            <w:tcW w:w="984" w:type="pct"/>
            <w:vAlign w:val="center"/>
          </w:tcPr>
          <w:p>
            <w:pPr>
              <w:snapToGrid w:val="0"/>
              <w:spacing w:line="300" w:lineRule="auto"/>
              <w:rPr>
                <w:sz w:val="18"/>
                <w:szCs w:val="18"/>
              </w:rPr>
            </w:pPr>
            <w:r>
              <w:rPr>
                <w:sz w:val="18"/>
                <w:szCs w:val="18"/>
              </w:rPr>
              <w:t>3 组合电路的</w:t>
            </w:r>
            <w:r>
              <w:rPr>
                <w:rFonts w:hint="eastAsia"/>
                <w:sz w:val="18"/>
                <w:szCs w:val="18"/>
              </w:rPr>
              <w:t xml:space="preserve">Verilog </w:t>
            </w:r>
            <w:r>
              <w:rPr>
                <w:sz w:val="18"/>
                <w:szCs w:val="18"/>
              </w:rPr>
              <w:t>设计</w:t>
            </w:r>
          </w:p>
          <w:p>
            <w:pPr>
              <w:snapToGrid w:val="0"/>
              <w:spacing w:line="300" w:lineRule="auto"/>
              <w:rPr>
                <w:sz w:val="18"/>
                <w:szCs w:val="18"/>
              </w:rPr>
            </w:pPr>
            <w:r>
              <w:rPr>
                <w:sz w:val="18"/>
                <w:szCs w:val="18"/>
              </w:rPr>
              <w:t>3.1 半加器</w:t>
            </w:r>
            <w:r>
              <w:rPr>
                <w:rFonts w:hint="eastAsia"/>
                <w:sz w:val="18"/>
                <w:szCs w:val="18"/>
              </w:rPr>
              <w:t>电路的Verilog</w:t>
            </w:r>
            <w:r>
              <w:rPr>
                <w:sz w:val="18"/>
                <w:szCs w:val="18"/>
              </w:rPr>
              <w:t>描述</w:t>
            </w:r>
          </w:p>
          <w:p>
            <w:pPr>
              <w:snapToGrid w:val="0"/>
              <w:spacing w:line="300" w:lineRule="auto"/>
              <w:rPr>
                <w:sz w:val="18"/>
                <w:szCs w:val="18"/>
              </w:rPr>
            </w:pPr>
            <w:r>
              <w:rPr>
                <w:sz w:val="18"/>
                <w:szCs w:val="18"/>
              </w:rPr>
              <w:t>3.2 多路选择器</w:t>
            </w:r>
            <w:r>
              <w:rPr>
                <w:rFonts w:hint="eastAsia"/>
                <w:sz w:val="18"/>
                <w:szCs w:val="18"/>
              </w:rPr>
              <w:t xml:space="preserve">的Verilog </w:t>
            </w:r>
            <w:r>
              <w:rPr>
                <w:sz w:val="18"/>
                <w:szCs w:val="18"/>
              </w:rPr>
              <w:t>描述</w:t>
            </w:r>
          </w:p>
          <w:p>
            <w:pPr>
              <w:snapToGrid w:val="0"/>
              <w:spacing w:line="300" w:lineRule="auto"/>
              <w:rPr>
                <w:sz w:val="18"/>
                <w:szCs w:val="18"/>
              </w:rPr>
            </w:pPr>
            <w:r>
              <w:rPr>
                <w:sz w:val="18"/>
                <w:szCs w:val="18"/>
              </w:rPr>
              <w:t xml:space="preserve">3.3 </w:t>
            </w:r>
            <w:r>
              <w:rPr>
                <w:rFonts w:hint="eastAsia"/>
                <w:sz w:val="18"/>
                <w:szCs w:val="18"/>
              </w:rPr>
              <w:t>Verilog加法</w:t>
            </w:r>
            <w:r>
              <w:rPr>
                <w:sz w:val="18"/>
                <w:szCs w:val="18"/>
              </w:rPr>
              <w:t>器</w:t>
            </w:r>
            <w:r>
              <w:rPr>
                <w:rFonts w:hint="eastAsia"/>
                <w:sz w:val="18"/>
                <w:szCs w:val="18"/>
              </w:rPr>
              <w:t>设计</w:t>
            </w:r>
          </w:p>
          <w:p>
            <w:pPr>
              <w:snapToGrid w:val="0"/>
              <w:spacing w:line="300" w:lineRule="auto"/>
              <w:rPr>
                <w:sz w:val="18"/>
                <w:szCs w:val="18"/>
              </w:rPr>
            </w:pPr>
            <w:r>
              <w:rPr>
                <w:sz w:val="18"/>
                <w:szCs w:val="18"/>
              </w:rPr>
              <w:t xml:space="preserve">3.4 </w:t>
            </w:r>
            <w:r>
              <w:rPr>
                <w:rFonts w:hint="eastAsia"/>
                <w:sz w:val="18"/>
                <w:szCs w:val="18"/>
              </w:rPr>
              <w:t>组合逻辑乘法器设计</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（1）了解：用</w:t>
            </w:r>
            <w:r>
              <w:rPr>
                <w:rFonts w:hint="eastAsia"/>
                <w:sz w:val="18"/>
                <w:szCs w:val="18"/>
              </w:rPr>
              <w:t xml:space="preserve">Verilog </w:t>
            </w:r>
            <w:r>
              <w:rPr>
                <w:sz w:val="18"/>
                <w:szCs w:val="18"/>
              </w:rPr>
              <w:t>表达和设计组合电路的方法。</w:t>
            </w:r>
          </w:p>
          <w:p>
            <w:pPr>
              <w:snapToGrid w:val="0"/>
              <w:spacing w:line="300" w:lineRule="auto"/>
              <w:rPr>
                <w:sz w:val="18"/>
                <w:szCs w:val="18"/>
              </w:rPr>
            </w:pPr>
            <w:r>
              <w:rPr>
                <w:sz w:val="18"/>
                <w:szCs w:val="18"/>
              </w:rPr>
              <w:t>（2）理解：</w:t>
            </w:r>
            <w:r>
              <w:rPr>
                <w:rFonts w:hint="eastAsia"/>
                <w:sz w:val="18"/>
                <w:szCs w:val="18"/>
              </w:rPr>
              <w:t xml:space="preserve">Verilog </w:t>
            </w:r>
            <w:r>
              <w:rPr>
                <w:sz w:val="18"/>
                <w:szCs w:val="18"/>
              </w:rPr>
              <w:t>语言现象和语句规则。</w:t>
            </w:r>
          </w:p>
          <w:p>
            <w:pPr>
              <w:snapToGrid w:val="0"/>
              <w:spacing w:line="300" w:lineRule="auto"/>
              <w:rPr>
                <w:sz w:val="18"/>
                <w:szCs w:val="18"/>
              </w:rPr>
            </w:pPr>
            <w:r>
              <w:rPr>
                <w:sz w:val="18"/>
                <w:szCs w:val="18"/>
              </w:rPr>
              <w:t>（3）掌握：</w:t>
            </w:r>
            <w:r>
              <w:rPr>
                <w:rFonts w:hint="eastAsia"/>
                <w:sz w:val="18"/>
                <w:szCs w:val="18"/>
              </w:rPr>
              <w:t xml:space="preserve">Verilog </w:t>
            </w:r>
            <w:r>
              <w:rPr>
                <w:sz w:val="18"/>
                <w:szCs w:val="18"/>
              </w:rPr>
              <w:t>的“搭积木”设计方法以及静态参数传递方法。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（1）如何利用“generic”实现参数传递？实现一个任意数量引脚的与门。</w:t>
            </w:r>
          </w:p>
          <w:p>
            <w:pPr>
              <w:snapToGrid w:val="0"/>
              <w:spacing w:line="300" w:lineRule="auto"/>
              <w:rPr>
                <w:sz w:val="18"/>
                <w:szCs w:val="18"/>
              </w:rPr>
            </w:pPr>
            <w:r>
              <w:rPr>
                <w:sz w:val="18"/>
                <w:szCs w:val="18"/>
              </w:rPr>
              <w:t>（2）如何利用元器件搭建模型？先实现半减器，然后利用两个半减器和一个或门，搭建一个全减器。</w:t>
            </w:r>
          </w:p>
          <w:p>
            <w:pPr>
              <w:snapToGrid w:val="0"/>
              <w:spacing w:line="300" w:lineRule="auto"/>
              <w:rPr>
                <w:sz w:val="18"/>
                <w:szCs w:val="18"/>
              </w:rPr>
            </w:pPr>
            <w:r>
              <w:rPr>
                <w:sz w:val="18"/>
                <w:szCs w:val="18"/>
              </w:rPr>
              <w:t>（3）如何用if...elsif...语句实现4选1电路？</w:t>
            </w:r>
          </w:p>
          <w:p>
            <w:pPr>
              <w:snapToGrid w:val="0"/>
              <w:spacing w:line="300" w:lineRule="auto"/>
              <w:rPr>
                <w:sz w:val="18"/>
                <w:szCs w:val="18"/>
              </w:rPr>
            </w:pPr>
            <w:r>
              <w:rPr>
                <w:sz w:val="18"/>
                <w:szCs w:val="18"/>
              </w:rPr>
              <w:t>（4）参考教材中的组合电路示例实现多路选择器，首先在Quartus软件中完成代码的编辑/综合适配，接着设置芯片与配置引脚，然后再次综合适配，最终下载FPGA开发板。</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案例4：针对问题——</w:t>
            </w:r>
            <w:r>
              <w:rPr>
                <w:rFonts w:hint="eastAsia"/>
                <w:sz w:val="18"/>
                <w:szCs w:val="18"/>
              </w:rPr>
              <w:t>Verilog 模块的</w:t>
            </w:r>
            <w:r>
              <w:rPr>
                <w:sz w:val="18"/>
                <w:szCs w:val="18"/>
              </w:rPr>
              <w:t>语法</w:t>
            </w:r>
            <w:r>
              <w:rPr>
                <w:rFonts w:hint="eastAsia"/>
                <w:sz w:val="18"/>
                <w:szCs w:val="18"/>
              </w:rPr>
              <w:t>结构</w:t>
            </w:r>
            <w:r>
              <w:rPr>
                <w:sz w:val="18"/>
                <w:szCs w:val="18"/>
              </w:rPr>
              <w:t>，通过多路选择器与半加器代码案例介绍实体的硬件描述的语法结构，帮助学生们理解</w:t>
            </w:r>
            <w:r>
              <w:rPr>
                <w:rFonts w:hint="eastAsia"/>
                <w:sz w:val="18"/>
                <w:szCs w:val="18"/>
              </w:rPr>
              <w:t>Verilog 模块</w:t>
            </w:r>
            <w:r>
              <w:rPr>
                <w:sz w:val="18"/>
                <w:szCs w:val="18"/>
              </w:rPr>
              <w:t>的</w:t>
            </w:r>
            <w:r>
              <w:rPr>
                <w:rFonts w:hint="eastAsia"/>
                <w:sz w:val="18"/>
                <w:szCs w:val="18"/>
              </w:rPr>
              <w:t>框架</w:t>
            </w:r>
            <w:r>
              <w:rPr>
                <w:sz w:val="18"/>
                <w:szCs w:val="18"/>
              </w:rPr>
              <w:t>。</w:t>
            </w:r>
          </w:p>
          <w:p>
            <w:pPr>
              <w:snapToGrid w:val="0"/>
              <w:spacing w:line="300" w:lineRule="auto"/>
              <w:rPr>
                <w:sz w:val="18"/>
                <w:szCs w:val="18"/>
              </w:rPr>
            </w:pPr>
            <w:r>
              <w:rPr>
                <w:sz w:val="18"/>
                <w:szCs w:val="18"/>
              </w:rPr>
              <w:t>案例5：针对问题——</w:t>
            </w:r>
            <w:r>
              <w:rPr>
                <w:rFonts w:hint="eastAsia"/>
                <w:sz w:val="18"/>
                <w:szCs w:val="18"/>
              </w:rPr>
              <w:t>Verilog</w:t>
            </w:r>
            <w:r>
              <w:rPr>
                <w:sz w:val="18"/>
                <w:szCs w:val="18"/>
              </w:rPr>
              <w:t>的结构描述与行为描述使用场景，讲述如何用小的元器件采用“搭积木”的方式构建复杂的电路，在“自顶向下”的设计模式中上层建议采用结构描述，底层建议采用行为描述，帮助学生们理解</w:t>
            </w:r>
            <w:r>
              <w:rPr>
                <w:rFonts w:hint="eastAsia"/>
                <w:sz w:val="18"/>
                <w:szCs w:val="18"/>
              </w:rPr>
              <w:t>Verilog</w:t>
            </w:r>
            <w:r>
              <w:rPr>
                <w:sz w:val="18"/>
                <w:szCs w:val="18"/>
              </w:rPr>
              <w:t>代码的设计过程。</w:t>
            </w:r>
          </w:p>
          <w:p>
            <w:pPr>
              <w:snapToGrid w:val="0"/>
              <w:spacing w:line="300" w:lineRule="auto"/>
              <w:rPr>
                <w:sz w:val="18"/>
                <w:szCs w:val="18"/>
              </w:rPr>
            </w:pPr>
            <w:r>
              <w:rPr>
                <w:sz w:val="18"/>
                <w:szCs w:val="18"/>
              </w:rPr>
              <w:t>案例6：针对问题——如何实现任意多引脚的与门元器件，依据乘法器的代码例子讲述顶层元器件与底层元器件的参数传递方式，帮助学生们掌握引脚任意扩展的实现方式。</w:t>
            </w:r>
          </w:p>
        </w:tc>
        <w:tc>
          <w:tcPr>
            <w:tcW w:w="288" w:type="pct"/>
            <w:vAlign w:val="center"/>
          </w:tcPr>
          <w:p>
            <w:pPr>
              <w:widowControl/>
              <w:jc w:val="center"/>
              <w:rPr>
                <w:kern w:val="0"/>
                <w:sz w:val="18"/>
                <w:szCs w:val="18"/>
              </w:rPr>
            </w:pPr>
            <w:r>
              <w:rPr>
                <w:rFonts w:hint="eastAsia"/>
                <w:kern w:val="0"/>
                <w:sz w:val="18"/>
                <w:szCs w:val="18"/>
              </w:rPr>
              <w:t>3</w:t>
            </w:r>
          </w:p>
        </w:tc>
        <w:tc>
          <w:tcPr>
            <w:tcW w:w="366" w:type="pct"/>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4</w:t>
            </w:r>
          </w:p>
        </w:tc>
        <w:tc>
          <w:tcPr>
            <w:tcW w:w="984" w:type="pct"/>
            <w:vAlign w:val="center"/>
          </w:tcPr>
          <w:p>
            <w:pPr>
              <w:snapToGrid w:val="0"/>
              <w:spacing w:line="300" w:lineRule="auto"/>
              <w:rPr>
                <w:sz w:val="18"/>
                <w:szCs w:val="18"/>
              </w:rPr>
            </w:pPr>
            <w:r>
              <w:rPr>
                <w:sz w:val="18"/>
                <w:szCs w:val="18"/>
              </w:rPr>
              <w:t>5 时序电路的</w:t>
            </w:r>
            <w:r>
              <w:rPr>
                <w:rFonts w:hint="eastAsia"/>
                <w:sz w:val="18"/>
                <w:szCs w:val="18"/>
              </w:rPr>
              <w:t xml:space="preserve">Verilog </w:t>
            </w:r>
            <w:r>
              <w:rPr>
                <w:sz w:val="18"/>
                <w:szCs w:val="18"/>
              </w:rPr>
              <w:t>设计</w:t>
            </w:r>
          </w:p>
          <w:p>
            <w:pPr>
              <w:snapToGrid w:val="0"/>
              <w:spacing w:line="300" w:lineRule="auto"/>
              <w:rPr>
                <w:sz w:val="18"/>
                <w:szCs w:val="18"/>
              </w:rPr>
            </w:pPr>
            <w:r>
              <w:rPr>
                <w:sz w:val="18"/>
                <w:szCs w:val="18"/>
              </w:rPr>
              <w:t>5.1 基本时序元件的</w:t>
            </w:r>
            <w:r>
              <w:rPr>
                <w:rFonts w:hint="eastAsia"/>
                <w:sz w:val="18"/>
                <w:szCs w:val="18"/>
              </w:rPr>
              <w:t>Verilog 表述</w:t>
            </w:r>
          </w:p>
          <w:p>
            <w:pPr>
              <w:snapToGrid w:val="0"/>
              <w:spacing w:line="300" w:lineRule="auto"/>
              <w:rPr>
                <w:sz w:val="18"/>
                <w:szCs w:val="18"/>
              </w:rPr>
            </w:pPr>
            <w:r>
              <w:rPr>
                <w:sz w:val="18"/>
                <w:szCs w:val="18"/>
              </w:rPr>
              <w:t xml:space="preserve">5.2 </w:t>
            </w:r>
            <w:r>
              <w:rPr>
                <w:rFonts w:hint="eastAsia"/>
                <w:sz w:val="18"/>
                <w:szCs w:val="18"/>
              </w:rPr>
              <w:t>二进制</w:t>
            </w:r>
            <w:r>
              <w:rPr>
                <w:sz w:val="18"/>
                <w:szCs w:val="18"/>
              </w:rPr>
              <w:t>计数器的</w:t>
            </w:r>
            <w:r>
              <w:rPr>
                <w:rFonts w:hint="eastAsia"/>
                <w:sz w:val="18"/>
                <w:szCs w:val="18"/>
              </w:rPr>
              <w:t>Verilog表述</w:t>
            </w:r>
          </w:p>
          <w:p>
            <w:pPr>
              <w:snapToGrid w:val="0"/>
              <w:spacing w:line="300" w:lineRule="auto"/>
              <w:rPr>
                <w:sz w:val="18"/>
                <w:szCs w:val="18"/>
              </w:rPr>
            </w:pPr>
            <w:r>
              <w:rPr>
                <w:sz w:val="18"/>
                <w:szCs w:val="18"/>
              </w:rPr>
              <w:t>5.3 移位寄存器的</w:t>
            </w:r>
            <w:r>
              <w:rPr>
                <w:rFonts w:hint="eastAsia"/>
                <w:sz w:val="18"/>
                <w:szCs w:val="18"/>
              </w:rPr>
              <w:t>Verilog表述与设计</w:t>
            </w:r>
          </w:p>
          <w:p>
            <w:pPr>
              <w:snapToGrid w:val="0"/>
              <w:spacing w:line="300" w:lineRule="auto"/>
              <w:rPr>
                <w:sz w:val="18"/>
                <w:szCs w:val="18"/>
              </w:rPr>
            </w:pPr>
            <w:r>
              <w:rPr>
                <w:sz w:val="18"/>
                <w:szCs w:val="18"/>
              </w:rPr>
              <w:t xml:space="preserve">5.4 </w:t>
            </w:r>
            <w:r>
              <w:rPr>
                <w:rFonts w:hint="eastAsia"/>
                <w:sz w:val="18"/>
                <w:szCs w:val="18"/>
              </w:rPr>
              <w:t>自动预置型计数器设计</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（1）了解：用</w:t>
            </w:r>
            <w:r>
              <w:rPr>
                <w:rFonts w:hint="eastAsia"/>
                <w:sz w:val="18"/>
                <w:szCs w:val="18"/>
              </w:rPr>
              <w:t>Verilog</w:t>
            </w:r>
            <w:r>
              <w:rPr>
                <w:sz w:val="18"/>
                <w:szCs w:val="18"/>
              </w:rPr>
              <w:t>表达和设计时序电路的方法。</w:t>
            </w:r>
          </w:p>
          <w:p>
            <w:pPr>
              <w:snapToGrid w:val="0"/>
              <w:spacing w:line="300" w:lineRule="auto"/>
              <w:rPr>
                <w:sz w:val="18"/>
                <w:szCs w:val="18"/>
              </w:rPr>
            </w:pPr>
            <w:r>
              <w:rPr>
                <w:sz w:val="18"/>
                <w:szCs w:val="18"/>
              </w:rPr>
              <w:t>（2）理解：D触发器的</w:t>
            </w:r>
            <w:r>
              <w:rPr>
                <w:rFonts w:hint="eastAsia"/>
                <w:sz w:val="18"/>
                <w:szCs w:val="18"/>
              </w:rPr>
              <w:t>Verilog</w:t>
            </w:r>
            <w:r>
              <w:rPr>
                <w:sz w:val="18"/>
                <w:szCs w:val="18"/>
              </w:rPr>
              <w:t>表达的多样性。</w:t>
            </w:r>
          </w:p>
          <w:p>
            <w:pPr>
              <w:snapToGrid w:val="0"/>
              <w:spacing w:line="300" w:lineRule="auto"/>
              <w:rPr>
                <w:sz w:val="18"/>
                <w:szCs w:val="18"/>
              </w:rPr>
            </w:pPr>
            <w:r>
              <w:rPr>
                <w:sz w:val="18"/>
                <w:szCs w:val="18"/>
              </w:rPr>
              <w:t>（3）掌握：</w:t>
            </w:r>
            <w:r>
              <w:rPr>
                <w:rFonts w:hint="eastAsia"/>
                <w:sz w:val="18"/>
                <w:szCs w:val="18"/>
              </w:rPr>
              <w:t>Verilog</w:t>
            </w:r>
            <w:r>
              <w:rPr>
                <w:sz w:val="18"/>
                <w:szCs w:val="18"/>
              </w:rPr>
              <w:t>设计时序电路的方法。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（1）在</w:t>
            </w:r>
            <w:r>
              <w:rPr>
                <w:rFonts w:hint="eastAsia"/>
                <w:sz w:val="18"/>
                <w:szCs w:val="18"/>
              </w:rPr>
              <w:t>always过程</w:t>
            </w:r>
            <w:r>
              <w:rPr>
                <w:sz w:val="18"/>
                <w:szCs w:val="18"/>
              </w:rPr>
              <w:t>分别用</w:t>
            </w:r>
            <w:r>
              <w:rPr>
                <w:rFonts w:hint="eastAsia"/>
                <w:sz w:val="18"/>
                <w:szCs w:val="18"/>
              </w:rPr>
              <w:t>阻塞</w:t>
            </w:r>
            <w:r>
              <w:rPr>
                <w:sz w:val="18"/>
                <w:szCs w:val="18"/>
              </w:rPr>
              <w:t>和</w:t>
            </w:r>
            <w:r>
              <w:rPr>
                <w:rFonts w:hint="eastAsia"/>
                <w:sz w:val="18"/>
                <w:szCs w:val="18"/>
              </w:rPr>
              <w:t>非阻塞</w:t>
            </w:r>
            <w:r>
              <w:rPr>
                <w:sz w:val="18"/>
                <w:szCs w:val="18"/>
              </w:rPr>
              <w:t>两种</w:t>
            </w:r>
            <w:r>
              <w:rPr>
                <w:rFonts w:hint="eastAsia"/>
                <w:sz w:val="18"/>
                <w:szCs w:val="18"/>
              </w:rPr>
              <w:t>赋值</w:t>
            </w:r>
            <w:r>
              <w:rPr>
                <w:sz w:val="18"/>
                <w:szCs w:val="18"/>
              </w:rPr>
              <w:t>方式实现加法计数器</w:t>
            </w:r>
            <w:r>
              <w:rPr>
                <w:rFonts w:hint="eastAsia"/>
                <w:sz w:val="18"/>
                <w:szCs w:val="18"/>
              </w:rPr>
              <w:t>以及添加</w:t>
            </w:r>
            <w:r>
              <w:rPr>
                <w:sz w:val="18"/>
                <w:szCs w:val="18"/>
              </w:rPr>
              <w:t>初值</w:t>
            </w:r>
            <w:r>
              <w:rPr>
                <w:rFonts w:hint="eastAsia"/>
                <w:sz w:val="18"/>
                <w:szCs w:val="18"/>
              </w:rPr>
              <w:t>设置语句</w:t>
            </w:r>
            <w:r>
              <w:rPr>
                <w:sz w:val="18"/>
                <w:szCs w:val="18"/>
              </w:rPr>
              <w:t>，理解其共性</w:t>
            </w:r>
            <w:r>
              <w:rPr>
                <w:rFonts w:hint="eastAsia"/>
                <w:sz w:val="18"/>
                <w:szCs w:val="18"/>
              </w:rPr>
              <w:t>与</w:t>
            </w:r>
            <w:r>
              <w:rPr>
                <w:sz w:val="18"/>
                <w:szCs w:val="18"/>
              </w:rPr>
              <w:t>差异性。</w:t>
            </w:r>
          </w:p>
          <w:p>
            <w:pPr>
              <w:snapToGrid w:val="0"/>
              <w:spacing w:line="300" w:lineRule="auto"/>
              <w:rPr>
                <w:sz w:val="18"/>
                <w:szCs w:val="18"/>
              </w:rPr>
            </w:pPr>
            <w:r>
              <w:rPr>
                <w:sz w:val="18"/>
                <w:szCs w:val="18"/>
              </w:rPr>
              <w:t>（2）参考教材中的时序电路示例实现双边沿加法计数器，首先在Quartus软件中完成代码的编辑/综合适配，接着设置芯片与配置引脚，然后再次综合适配，最终下载FPGA开发板。</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案例7：针对问题——硬件描述的不确定性与不唯一性，介绍D触发器的</w:t>
            </w:r>
            <w:r>
              <w:rPr>
                <w:rFonts w:hint="eastAsia"/>
                <w:sz w:val="18"/>
                <w:szCs w:val="18"/>
              </w:rPr>
              <w:t>多</w:t>
            </w:r>
            <w:r>
              <w:rPr>
                <w:sz w:val="18"/>
                <w:szCs w:val="18"/>
              </w:rPr>
              <w:t>种实现模式，以及锁存器的实现方式，理解D触发器与锁存器的代码差异性。</w:t>
            </w:r>
          </w:p>
          <w:p>
            <w:pPr>
              <w:snapToGrid w:val="0"/>
              <w:spacing w:line="300" w:lineRule="auto"/>
              <w:rPr>
                <w:sz w:val="18"/>
                <w:szCs w:val="18"/>
              </w:rPr>
            </w:pPr>
            <w:r>
              <w:rPr>
                <w:sz w:val="18"/>
                <w:szCs w:val="18"/>
              </w:rPr>
              <w:t>案例8：针对问题——元器件如何实现上升沿与下降沿都实现响应，讲述双边沿加法计数器的实现方式。</w:t>
            </w:r>
          </w:p>
          <w:p>
            <w:pPr>
              <w:snapToGrid w:val="0"/>
              <w:spacing w:line="300" w:lineRule="auto"/>
              <w:rPr>
                <w:sz w:val="18"/>
                <w:szCs w:val="18"/>
              </w:rPr>
            </w:pPr>
            <w:r>
              <w:rPr>
                <w:sz w:val="18"/>
                <w:szCs w:val="18"/>
              </w:rPr>
              <w:t>案例9：针对问题——流水灯如何实现，讲述移位寄存器的实现方式。</w:t>
            </w:r>
          </w:p>
        </w:tc>
        <w:tc>
          <w:tcPr>
            <w:tcW w:w="288" w:type="pct"/>
            <w:vAlign w:val="center"/>
          </w:tcPr>
          <w:p>
            <w:pPr>
              <w:widowControl/>
              <w:jc w:val="center"/>
              <w:rPr>
                <w:kern w:val="0"/>
                <w:sz w:val="18"/>
                <w:szCs w:val="18"/>
              </w:rPr>
            </w:pPr>
            <w:r>
              <w:rPr>
                <w:kern w:val="0"/>
                <w:sz w:val="18"/>
                <w:szCs w:val="18"/>
              </w:rPr>
              <w:t>3</w:t>
            </w:r>
          </w:p>
        </w:tc>
        <w:tc>
          <w:tcPr>
            <w:tcW w:w="366" w:type="pct"/>
            <w:vAlign w:val="center"/>
          </w:tcPr>
          <w:p>
            <w:pPr>
              <w:widowControl/>
              <w:jc w:val="left"/>
              <w:rPr>
                <w:kern w:val="0"/>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5</w:t>
            </w:r>
          </w:p>
        </w:tc>
        <w:tc>
          <w:tcPr>
            <w:tcW w:w="984" w:type="pct"/>
            <w:vAlign w:val="center"/>
          </w:tcPr>
          <w:p>
            <w:pPr>
              <w:snapToGrid w:val="0"/>
              <w:spacing w:line="300" w:lineRule="auto"/>
              <w:rPr>
                <w:sz w:val="18"/>
                <w:szCs w:val="18"/>
              </w:rPr>
            </w:pPr>
            <w:r>
              <w:rPr>
                <w:sz w:val="18"/>
                <w:szCs w:val="18"/>
              </w:rPr>
              <w:t xml:space="preserve">8 </w:t>
            </w:r>
            <w:r>
              <w:rPr>
                <w:rFonts w:hint="eastAsia"/>
                <w:sz w:val="18"/>
                <w:szCs w:val="18"/>
              </w:rPr>
              <w:t>Verilog</w:t>
            </w:r>
            <w:r>
              <w:rPr>
                <w:sz w:val="18"/>
                <w:szCs w:val="18"/>
              </w:rPr>
              <w:t xml:space="preserve"> </w:t>
            </w:r>
            <w:r>
              <w:rPr>
                <w:rFonts w:hint="eastAsia"/>
                <w:sz w:val="18"/>
                <w:szCs w:val="18"/>
              </w:rPr>
              <w:t>HDL</w:t>
            </w:r>
            <w:r>
              <w:rPr>
                <w:sz w:val="18"/>
                <w:szCs w:val="18"/>
              </w:rPr>
              <w:t>深入</w:t>
            </w:r>
          </w:p>
          <w:p>
            <w:pPr>
              <w:snapToGrid w:val="0"/>
              <w:spacing w:line="300" w:lineRule="auto"/>
              <w:rPr>
                <w:sz w:val="18"/>
                <w:szCs w:val="18"/>
              </w:rPr>
            </w:pPr>
            <w:r>
              <w:rPr>
                <w:sz w:val="18"/>
                <w:szCs w:val="18"/>
              </w:rPr>
              <w:t xml:space="preserve">8.1 </w:t>
            </w:r>
            <w:r>
              <w:rPr>
                <w:rFonts w:hint="eastAsia"/>
                <w:sz w:val="18"/>
                <w:szCs w:val="18"/>
              </w:rPr>
              <w:t>过程中的两类赋值语句</w:t>
            </w:r>
          </w:p>
          <w:p>
            <w:pPr>
              <w:snapToGrid w:val="0"/>
              <w:spacing w:line="300" w:lineRule="auto"/>
              <w:rPr>
                <w:sz w:val="18"/>
                <w:szCs w:val="18"/>
              </w:rPr>
            </w:pPr>
            <w:r>
              <w:rPr>
                <w:sz w:val="18"/>
                <w:szCs w:val="18"/>
              </w:rPr>
              <w:t xml:space="preserve">8.2 </w:t>
            </w:r>
            <w:r>
              <w:rPr>
                <w:rFonts w:hint="eastAsia"/>
                <w:sz w:val="18"/>
                <w:szCs w:val="18"/>
              </w:rPr>
              <w:t>过程语句归纳</w:t>
            </w:r>
          </w:p>
          <w:p>
            <w:pPr>
              <w:snapToGrid w:val="0"/>
              <w:spacing w:line="300" w:lineRule="auto"/>
              <w:rPr>
                <w:sz w:val="18"/>
                <w:szCs w:val="18"/>
              </w:rPr>
            </w:pPr>
            <w:r>
              <w:rPr>
                <w:sz w:val="18"/>
                <w:szCs w:val="18"/>
              </w:rPr>
              <w:t>8.</w:t>
            </w:r>
            <w:r>
              <w:rPr>
                <w:rFonts w:hint="eastAsia"/>
                <w:sz w:val="18"/>
                <w:szCs w:val="18"/>
              </w:rPr>
              <w:t>3</w:t>
            </w:r>
            <w:r>
              <w:rPr>
                <w:sz w:val="18"/>
                <w:szCs w:val="18"/>
              </w:rPr>
              <w:t xml:space="preserve"> </w:t>
            </w:r>
            <w:r>
              <w:rPr>
                <w:rFonts w:hint="eastAsia"/>
                <w:sz w:val="18"/>
                <w:szCs w:val="18"/>
              </w:rPr>
              <w:t>if语句归纳</w:t>
            </w:r>
          </w:p>
          <w:p>
            <w:pPr>
              <w:snapToGrid w:val="0"/>
              <w:spacing w:line="300" w:lineRule="auto"/>
              <w:rPr>
                <w:sz w:val="18"/>
                <w:szCs w:val="18"/>
              </w:rPr>
            </w:pPr>
            <w:r>
              <w:rPr>
                <w:rFonts w:hint="eastAsia"/>
                <w:sz w:val="18"/>
                <w:szCs w:val="18"/>
              </w:rPr>
              <w:t>8.4 三态与双向端口设计</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（1）了解：仿真延时与硬件的波形毛刺的产生原因。</w:t>
            </w:r>
          </w:p>
          <w:p>
            <w:pPr>
              <w:snapToGrid w:val="0"/>
              <w:spacing w:line="300" w:lineRule="auto"/>
              <w:rPr>
                <w:sz w:val="18"/>
                <w:szCs w:val="18"/>
              </w:rPr>
            </w:pPr>
            <w:r>
              <w:rPr>
                <w:sz w:val="18"/>
                <w:szCs w:val="18"/>
              </w:rPr>
              <w:t>（2）理解：三态门电路的实现方式。</w:t>
            </w:r>
          </w:p>
          <w:p>
            <w:pPr>
              <w:snapToGrid w:val="0"/>
              <w:spacing w:line="300" w:lineRule="auto"/>
              <w:rPr>
                <w:sz w:val="18"/>
                <w:szCs w:val="18"/>
              </w:rPr>
            </w:pPr>
            <w:r>
              <w:rPr>
                <w:sz w:val="18"/>
                <w:szCs w:val="18"/>
              </w:rPr>
              <w:t>（3）掌握：</w:t>
            </w:r>
            <w:r>
              <w:rPr>
                <w:rFonts w:hint="eastAsia"/>
                <w:sz w:val="18"/>
                <w:szCs w:val="18"/>
              </w:rPr>
              <w:t>阻塞</w:t>
            </w:r>
            <w:r>
              <w:rPr>
                <w:sz w:val="18"/>
                <w:szCs w:val="18"/>
              </w:rPr>
              <w:t>与</w:t>
            </w:r>
            <w:r>
              <w:rPr>
                <w:rFonts w:hint="eastAsia"/>
                <w:sz w:val="18"/>
                <w:szCs w:val="18"/>
              </w:rPr>
              <w:t>非阻塞</w:t>
            </w:r>
            <w:r>
              <w:rPr>
                <w:sz w:val="18"/>
                <w:szCs w:val="18"/>
              </w:rPr>
              <w:t>在</w:t>
            </w:r>
            <w:r>
              <w:rPr>
                <w:rFonts w:hint="eastAsia"/>
                <w:sz w:val="18"/>
                <w:szCs w:val="18"/>
              </w:rPr>
              <w:t>always过程</w:t>
            </w:r>
            <w:r>
              <w:rPr>
                <w:sz w:val="18"/>
                <w:szCs w:val="18"/>
              </w:rPr>
              <w:t>中的差异性。</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（1）分别用变量和信号实现4个串行级联D触发器的输出相与。</w:t>
            </w:r>
          </w:p>
          <w:p>
            <w:pPr>
              <w:snapToGrid w:val="0"/>
              <w:spacing w:line="300" w:lineRule="auto"/>
              <w:rPr>
                <w:sz w:val="18"/>
                <w:szCs w:val="18"/>
              </w:rPr>
            </w:pPr>
            <w:r>
              <w:rPr>
                <w:sz w:val="18"/>
                <w:szCs w:val="18"/>
              </w:rPr>
              <w:t>（2）参考教材中的时序电路示例实现4个串行级联D触发器的输出相与，首先在Quartus软件中完成代码的编辑/综合适配，接着设置芯片与配置引脚，然后再次综合适配，最终下载FPGA开发板。</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案例10：针对问题——不完整条件语句中</w:t>
            </w:r>
            <w:r>
              <w:rPr>
                <w:rFonts w:hint="eastAsia"/>
                <w:sz w:val="18"/>
                <w:szCs w:val="18"/>
              </w:rPr>
              <w:t>阻塞</w:t>
            </w:r>
            <w:r>
              <w:rPr>
                <w:sz w:val="18"/>
                <w:szCs w:val="18"/>
              </w:rPr>
              <w:t>与</w:t>
            </w:r>
            <w:r>
              <w:rPr>
                <w:rFonts w:hint="eastAsia"/>
                <w:sz w:val="18"/>
                <w:szCs w:val="18"/>
              </w:rPr>
              <w:t>非阻塞</w:t>
            </w:r>
            <w:r>
              <w:rPr>
                <w:sz w:val="18"/>
                <w:szCs w:val="18"/>
              </w:rPr>
              <w:t>的差异性，通过</w:t>
            </w:r>
            <w:r>
              <w:rPr>
                <w:rFonts w:hint="eastAsia"/>
                <w:sz w:val="18"/>
                <w:szCs w:val="18"/>
              </w:rPr>
              <w:t>组合电路的</w:t>
            </w:r>
            <w:r>
              <w:rPr>
                <w:sz w:val="18"/>
                <w:szCs w:val="18"/>
              </w:rPr>
              <w:t>例子</w:t>
            </w:r>
            <w:r>
              <w:rPr>
                <w:rFonts w:hint="eastAsia"/>
                <w:sz w:val="18"/>
                <w:szCs w:val="18"/>
              </w:rPr>
              <w:t>“</w:t>
            </w:r>
            <w:r>
              <w:rPr>
                <w:sz w:val="18"/>
                <w:szCs w:val="18"/>
              </w:rPr>
              <w:t>矢量</w:t>
            </w:r>
            <w:r>
              <w:rPr>
                <w:rFonts w:hint="eastAsia"/>
                <w:sz w:val="18"/>
                <w:szCs w:val="18"/>
              </w:rPr>
              <w:t>‘1’</w:t>
            </w:r>
            <w:r>
              <w:rPr>
                <w:sz w:val="18"/>
                <w:szCs w:val="18"/>
              </w:rPr>
              <w:t>个数统计</w:t>
            </w:r>
            <w:r>
              <w:rPr>
                <w:rFonts w:hint="eastAsia"/>
                <w:sz w:val="18"/>
                <w:szCs w:val="18"/>
              </w:rPr>
              <w:t>”</w:t>
            </w:r>
            <w:r>
              <w:rPr>
                <w:sz w:val="18"/>
                <w:szCs w:val="18"/>
              </w:rPr>
              <w:t>以及</w:t>
            </w:r>
            <w:r>
              <w:rPr>
                <w:rFonts w:hint="eastAsia"/>
                <w:sz w:val="18"/>
                <w:szCs w:val="18"/>
              </w:rPr>
              <w:t>时序电路的</w:t>
            </w:r>
            <w:r>
              <w:rPr>
                <w:sz w:val="18"/>
                <w:szCs w:val="18"/>
              </w:rPr>
              <w:t>例子</w:t>
            </w:r>
            <w:r>
              <w:rPr>
                <w:rFonts w:hint="eastAsia"/>
                <w:sz w:val="18"/>
                <w:szCs w:val="18"/>
              </w:rPr>
              <w:t>“</w:t>
            </w:r>
            <w:r>
              <w:rPr>
                <w:sz w:val="18"/>
                <w:szCs w:val="18"/>
              </w:rPr>
              <w:t>加法计数器</w:t>
            </w:r>
            <w:r>
              <w:rPr>
                <w:rFonts w:hint="eastAsia"/>
                <w:sz w:val="18"/>
                <w:szCs w:val="18"/>
              </w:rPr>
              <w:t>”</w:t>
            </w:r>
            <w:r>
              <w:rPr>
                <w:sz w:val="18"/>
                <w:szCs w:val="18"/>
              </w:rPr>
              <w:t>，介绍</w:t>
            </w:r>
            <w:r>
              <w:rPr>
                <w:rFonts w:hint="eastAsia"/>
                <w:sz w:val="18"/>
                <w:szCs w:val="18"/>
              </w:rPr>
              <w:t>阻塞</w:t>
            </w:r>
            <w:r>
              <w:rPr>
                <w:sz w:val="18"/>
                <w:szCs w:val="18"/>
              </w:rPr>
              <w:t>与</w:t>
            </w:r>
            <w:r>
              <w:rPr>
                <w:rFonts w:hint="eastAsia"/>
                <w:sz w:val="18"/>
                <w:szCs w:val="18"/>
              </w:rPr>
              <w:t>非阻塞</w:t>
            </w:r>
            <w:r>
              <w:rPr>
                <w:sz w:val="18"/>
                <w:szCs w:val="18"/>
              </w:rPr>
              <w:t>赋初值以及</w:t>
            </w:r>
            <w:r>
              <w:rPr>
                <w:rFonts w:hint="eastAsia"/>
                <w:sz w:val="18"/>
                <w:szCs w:val="18"/>
              </w:rPr>
              <w:t>语句</w:t>
            </w:r>
            <w:r>
              <w:rPr>
                <w:sz w:val="18"/>
                <w:szCs w:val="18"/>
              </w:rPr>
              <w:t>位置的特殊性。</w:t>
            </w:r>
          </w:p>
          <w:p>
            <w:pPr>
              <w:snapToGrid w:val="0"/>
              <w:spacing w:line="300" w:lineRule="auto"/>
              <w:rPr>
                <w:sz w:val="18"/>
                <w:szCs w:val="18"/>
              </w:rPr>
            </w:pPr>
            <w:r>
              <w:rPr>
                <w:sz w:val="18"/>
                <w:szCs w:val="18"/>
              </w:rPr>
              <w:t>案例11：针对问题——在边沿检测语句中</w:t>
            </w:r>
            <w:r>
              <w:rPr>
                <w:rFonts w:hint="eastAsia"/>
                <w:sz w:val="18"/>
                <w:szCs w:val="18"/>
              </w:rPr>
              <w:t>阻塞</w:t>
            </w:r>
            <w:r>
              <w:rPr>
                <w:sz w:val="18"/>
                <w:szCs w:val="18"/>
              </w:rPr>
              <w:t>与</w:t>
            </w:r>
            <w:r>
              <w:rPr>
                <w:rFonts w:hint="eastAsia"/>
                <w:sz w:val="18"/>
                <w:szCs w:val="18"/>
              </w:rPr>
              <w:t>非阻塞</w:t>
            </w:r>
            <w:r>
              <w:rPr>
                <w:sz w:val="18"/>
                <w:szCs w:val="18"/>
              </w:rPr>
              <w:t>多次值传递的差异性，通过</w:t>
            </w:r>
            <w:r>
              <w:rPr>
                <w:rFonts w:hint="eastAsia"/>
                <w:sz w:val="18"/>
                <w:szCs w:val="18"/>
              </w:rPr>
              <w:t>案例代码</w:t>
            </w:r>
            <w:r>
              <w:rPr>
                <w:sz w:val="18"/>
                <w:szCs w:val="18"/>
              </w:rPr>
              <w:t>的</w:t>
            </w:r>
            <w:r>
              <w:rPr>
                <w:rFonts w:hint="eastAsia"/>
                <w:sz w:val="18"/>
                <w:szCs w:val="18"/>
              </w:rPr>
              <w:t>Quartus</w:t>
            </w:r>
            <w:r>
              <w:rPr>
                <w:sz w:val="18"/>
                <w:szCs w:val="18"/>
              </w:rPr>
              <w:t>网表文件演示其差异性。</w:t>
            </w:r>
          </w:p>
          <w:p>
            <w:pPr>
              <w:snapToGrid w:val="0"/>
              <w:spacing w:line="300" w:lineRule="auto"/>
              <w:rPr>
                <w:sz w:val="18"/>
                <w:szCs w:val="18"/>
              </w:rPr>
            </w:pPr>
            <w:r>
              <w:rPr>
                <w:sz w:val="18"/>
                <w:szCs w:val="18"/>
              </w:rPr>
              <w:t>案例12：针对问题——在</w:t>
            </w:r>
            <w:r>
              <w:rPr>
                <w:rFonts w:hint="eastAsia"/>
                <w:sz w:val="18"/>
                <w:szCs w:val="18"/>
              </w:rPr>
              <w:t>always</w:t>
            </w:r>
            <w:r>
              <w:rPr>
                <w:sz w:val="18"/>
                <w:szCs w:val="18"/>
              </w:rPr>
              <w:t>的for循环语句中</w:t>
            </w:r>
            <w:r>
              <w:rPr>
                <w:rFonts w:hint="eastAsia"/>
                <w:sz w:val="18"/>
                <w:szCs w:val="18"/>
              </w:rPr>
              <w:t>阻塞</w:t>
            </w:r>
            <w:r>
              <w:rPr>
                <w:sz w:val="18"/>
                <w:szCs w:val="18"/>
              </w:rPr>
              <w:t>与</w:t>
            </w:r>
            <w:r>
              <w:rPr>
                <w:rFonts w:hint="eastAsia"/>
                <w:sz w:val="18"/>
                <w:szCs w:val="18"/>
              </w:rPr>
              <w:t>非阻塞</w:t>
            </w:r>
            <w:r>
              <w:rPr>
                <w:sz w:val="18"/>
                <w:szCs w:val="18"/>
              </w:rPr>
              <w:t>的差异性，通过修改例子</w:t>
            </w:r>
            <w:r>
              <w:rPr>
                <w:rFonts w:hint="eastAsia"/>
                <w:sz w:val="18"/>
                <w:szCs w:val="18"/>
              </w:rPr>
              <w:t>“</w:t>
            </w:r>
            <w:r>
              <w:rPr>
                <w:sz w:val="18"/>
                <w:szCs w:val="18"/>
              </w:rPr>
              <w:t>移位乘法器</w:t>
            </w:r>
            <w:r>
              <w:rPr>
                <w:rFonts w:hint="eastAsia"/>
                <w:sz w:val="18"/>
                <w:szCs w:val="18"/>
              </w:rPr>
              <w:t>”</w:t>
            </w:r>
            <w:r>
              <w:rPr>
                <w:sz w:val="18"/>
                <w:szCs w:val="18"/>
              </w:rPr>
              <w:t>的代码，观察其网表文件的变化演示其差异性。</w:t>
            </w:r>
          </w:p>
        </w:tc>
        <w:tc>
          <w:tcPr>
            <w:tcW w:w="288" w:type="pct"/>
            <w:vAlign w:val="center"/>
          </w:tcPr>
          <w:p>
            <w:pPr>
              <w:widowControl/>
              <w:jc w:val="center"/>
              <w:rPr>
                <w:kern w:val="0"/>
                <w:sz w:val="18"/>
                <w:szCs w:val="18"/>
              </w:rPr>
            </w:pPr>
            <w:r>
              <w:rPr>
                <w:rFonts w:hint="eastAsia"/>
                <w:kern w:val="0"/>
                <w:sz w:val="18"/>
                <w:szCs w:val="18"/>
              </w:rPr>
              <w:t>2</w:t>
            </w:r>
          </w:p>
        </w:tc>
        <w:tc>
          <w:tcPr>
            <w:tcW w:w="366" w:type="pct"/>
            <w:vAlign w:val="center"/>
          </w:tcPr>
          <w:p>
            <w:pPr>
              <w:widowControl/>
              <w:jc w:val="left"/>
              <w:rPr>
                <w:kern w:val="0"/>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6</w:t>
            </w:r>
          </w:p>
        </w:tc>
        <w:tc>
          <w:tcPr>
            <w:tcW w:w="984" w:type="pct"/>
            <w:vAlign w:val="center"/>
          </w:tcPr>
          <w:p>
            <w:pPr>
              <w:snapToGrid w:val="0"/>
              <w:spacing w:line="300" w:lineRule="auto"/>
              <w:rPr>
                <w:sz w:val="18"/>
                <w:szCs w:val="18"/>
              </w:rPr>
            </w:pPr>
            <w:r>
              <w:rPr>
                <w:sz w:val="18"/>
                <w:szCs w:val="18"/>
              </w:rPr>
              <w:t xml:space="preserve">10 </w:t>
            </w:r>
            <w:r>
              <w:rPr>
                <w:rFonts w:hint="eastAsia"/>
                <w:sz w:val="18"/>
                <w:szCs w:val="18"/>
              </w:rPr>
              <w:t>Verilog</w:t>
            </w:r>
            <w:r>
              <w:rPr>
                <w:sz w:val="18"/>
                <w:szCs w:val="18"/>
              </w:rPr>
              <w:t>状态机设计</w:t>
            </w:r>
            <w:r>
              <w:rPr>
                <w:rFonts w:hint="eastAsia"/>
                <w:sz w:val="18"/>
                <w:szCs w:val="18"/>
              </w:rPr>
              <w:t>技术</w:t>
            </w:r>
          </w:p>
          <w:p>
            <w:pPr>
              <w:snapToGrid w:val="0"/>
              <w:spacing w:line="300" w:lineRule="auto"/>
              <w:rPr>
                <w:sz w:val="18"/>
                <w:szCs w:val="18"/>
              </w:rPr>
            </w:pPr>
            <w:r>
              <w:rPr>
                <w:rFonts w:hint="eastAsia"/>
                <w:sz w:val="18"/>
                <w:szCs w:val="18"/>
              </w:rPr>
              <w:t>10.1 Verilog状态机的一般形式</w:t>
            </w:r>
          </w:p>
          <w:p>
            <w:pPr>
              <w:snapToGrid w:val="0"/>
              <w:spacing w:line="300" w:lineRule="auto"/>
              <w:rPr>
                <w:sz w:val="18"/>
                <w:szCs w:val="18"/>
              </w:rPr>
            </w:pPr>
            <w:r>
              <w:rPr>
                <w:sz w:val="18"/>
                <w:szCs w:val="18"/>
              </w:rPr>
              <w:t>10.2 Moore型状态机</w:t>
            </w:r>
            <w:r>
              <w:rPr>
                <w:rFonts w:hint="eastAsia"/>
                <w:sz w:val="18"/>
                <w:szCs w:val="18"/>
              </w:rPr>
              <w:t>及其</w:t>
            </w:r>
            <w:r>
              <w:rPr>
                <w:sz w:val="18"/>
                <w:szCs w:val="18"/>
              </w:rPr>
              <w:t>设计</w:t>
            </w:r>
          </w:p>
          <w:p>
            <w:pPr>
              <w:snapToGrid w:val="0"/>
              <w:spacing w:line="300" w:lineRule="auto"/>
              <w:rPr>
                <w:sz w:val="18"/>
                <w:szCs w:val="18"/>
              </w:rPr>
            </w:pPr>
            <w:r>
              <w:rPr>
                <w:sz w:val="18"/>
                <w:szCs w:val="18"/>
              </w:rPr>
              <w:t>10.3 Meal型状态机设计</w:t>
            </w:r>
          </w:p>
          <w:p>
            <w:pPr>
              <w:snapToGrid w:val="0"/>
              <w:spacing w:line="300" w:lineRule="auto"/>
              <w:rPr>
                <w:sz w:val="18"/>
                <w:szCs w:val="18"/>
              </w:rPr>
            </w:pPr>
            <w:r>
              <w:rPr>
                <w:sz w:val="18"/>
                <w:szCs w:val="18"/>
              </w:rPr>
              <w:t xml:space="preserve">10.4 </w:t>
            </w:r>
            <w:r>
              <w:rPr>
                <w:rFonts w:hint="eastAsia"/>
                <w:sz w:val="18"/>
                <w:szCs w:val="18"/>
              </w:rPr>
              <w:t>不同编码类型状态机</w:t>
            </w:r>
          </w:p>
          <w:p>
            <w:pPr>
              <w:snapToGrid w:val="0"/>
              <w:spacing w:line="300" w:lineRule="auto"/>
              <w:rPr>
                <w:sz w:val="18"/>
                <w:szCs w:val="18"/>
              </w:rPr>
            </w:pPr>
            <w:r>
              <w:rPr>
                <w:sz w:val="18"/>
                <w:szCs w:val="18"/>
              </w:rPr>
              <w:t>10.</w:t>
            </w:r>
            <w:r>
              <w:rPr>
                <w:rFonts w:hint="eastAsia"/>
                <w:sz w:val="18"/>
                <w:szCs w:val="18"/>
              </w:rPr>
              <w:t>7</w:t>
            </w:r>
            <w:r>
              <w:rPr>
                <w:sz w:val="18"/>
                <w:szCs w:val="18"/>
              </w:rPr>
              <w:t xml:space="preserve"> 硬件数字技术去毛刺</w:t>
            </w:r>
          </w:p>
          <w:p>
            <w:pPr>
              <w:snapToGrid w:val="0"/>
              <w:spacing w:line="300" w:lineRule="auto"/>
              <w:rPr>
                <w:sz w:val="18"/>
                <w:szCs w:val="18"/>
              </w:rPr>
            </w:pPr>
            <w:r>
              <w:rPr>
                <w:sz w:val="18"/>
                <w:szCs w:val="18"/>
              </w:rPr>
              <w:t>10.</w:t>
            </w:r>
            <w:r>
              <w:rPr>
                <w:rFonts w:hint="eastAsia"/>
                <w:sz w:val="18"/>
                <w:szCs w:val="18"/>
              </w:rPr>
              <w:t>8</w:t>
            </w:r>
            <w:r>
              <w:rPr>
                <w:rFonts w:hint="eastAsia"/>
                <w:b/>
                <w:bCs/>
                <w:sz w:val="18"/>
                <w:szCs w:val="18"/>
              </w:rPr>
              <w:t>课程思政</w:t>
            </w:r>
            <w:r>
              <w:rPr>
                <w:rFonts w:hint="eastAsia"/>
                <w:sz w:val="18"/>
                <w:szCs w:val="18"/>
              </w:rPr>
              <w:t>：</w:t>
            </w:r>
            <w:r>
              <w:rPr>
                <w:sz w:val="18"/>
                <w:szCs w:val="18"/>
              </w:rPr>
              <w:t xml:space="preserve">通过状态机规划良好学习作息表 </w:t>
            </w:r>
          </w:p>
          <w:p>
            <w:pPr>
              <w:snapToGrid w:val="0"/>
              <w:spacing w:line="300" w:lineRule="auto"/>
              <w:rPr>
                <w:sz w:val="18"/>
                <w:szCs w:val="18"/>
              </w:rPr>
            </w:pP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（1）了解：硬件去毛刺的方法。</w:t>
            </w:r>
          </w:p>
          <w:p>
            <w:pPr>
              <w:snapToGrid w:val="0"/>
              <w:spacing w:line="300" w:lineRule="auto"/>
              <w:rPr>
                <w:sz w:val="18"/>
                <w:szCs w:val="18"/>
              </w:rPr>
            </w:pPr>
            <w:r>
              <w:rPr>
                <w:sz w:val="18"/>
                <w:szCs w:val="18"/>
              </w:rPr>
              <w:t>（2）理解：直接输出型编码的实现方式。</w:t>
            </w:r>
          </w:p>
          <w:p>
            <w:pPr>
              <w:snapToGrid w:val="0"/>
              <w:spacing w:line="300" w:lineRule="auto"/>
              <w:rPr>
                <w:sz w:val="18"/>
                <w:szCs w:val="18"/>
              </w:rPr>
            </w:pPr>
            <w:r>
              <w:rPr>
                <w:sz w:val="18"/>
                <w:szCs w:val="18"/>
              </w:rPr>
              <w:t>（3）掌握：使用</w:t>
            </w:r>
            <w:r>
              <w:rPr>
                <w:rFonts w:hint="eastAsia"/>
                <w:sz w:val="18"/>
                <w:szCs w:val="18"/>
              </w:rPr>
              <w:t>Verilog</w:t>
            </w:r>
            <w:r>
              <w:rPr>
                <w:sz w:val="18"/>
                <w:szCs w:val="18"/>
              </w:rPr>
              <w:t>设计有限状态机一般性程序结构。</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（1）硬件数字技术去毛刺的多种方案中哪种最适合键盘输入？</w:t>
            </w:r>
          </w:p>
          <w:p>
            <w:pPr>
              <w:snapToGrid w:val="0"/>
              <w:spacing w:line="300" w:lineRule="auto"/>
              <w:rPr>
                <w:sz w:val="18"/>
                <w:szCs w:val="18"/>
              </w:rPr>
            </w:pPr>
            <w:r>
              <w:rPr>
                <w:sz w:val="18"/>
                <w:szCs w:val="18"/>
              </w:rPr>
              <w:t>（2）如何用状态机实现十进制加法计数器？</w:t>
            </w:r>
          </w:p>
          <w:p>
            <w:pPr>
              <w:snapToGrid w:val="0"/>
              <w:spacing w:line="300" w:lineRule="auto"/>
              <w:rPr>
                <w:sz w:val="18"/>
                <w:szCs w:val="18"/>
              </w:rPr>
            </w:pPr>
            <w:r>
              <w:rPr>
                <w:sz w:val="18"/>
                <w:szCs w:val="18"/>
              </w:rPr>
              <w:t>（3）参考教材中的序列检测示例实现基于状态机的去毛刺电路，首先在Quartus软件中完成代码的编辑/综合适配，接着设置芯片与配置引脚，然后再次综合适配，最终下载FPGA开发板。</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案例13：针对问题——状态机是什么，通过绘制状态机的状态转移图描述学生的日常生活，帮助理解“有限状态机”的概念；</w:t>
            </w:r>
            <w:r>
              <w:rPr>
                <w:b/>
                <w:bCs/>
                <w:sz w:val="18"/>
                <w:szCs w:val="18"/>
              </w:rPr>
              <w:t>此外，讲述良好的时间规划对人生的重要意义，激发学生的学习兴趣</w:t>
            </w:r>
            <w:r>
              <w:rPr>
                <w:sz w:val="18"/>
                <w:szCs w:val="18"/>
              </w:rPr>
              <w:t>。</w:t>
            </w:r>
          </w:p>
          <w:p>
            <w:pPr>
              <w:snapToGrid w:val="0"/>
              <w:spacing w:line="300" w:lineRule="auto"/>
              <w:rPr>
                <w:sz w:val="18"/>
                <w:szCs w:val="18"/>
              </w:rPr>
            </w:pPr>
            <w:r>
              <w:rPr>
                <w:sz w:val="18"/>
                <w:szCs w:val="18"/>
              </w:rPr>
              <w:t>案例14：针对问题——状态机的</w:t>
            </w:r>
            <w:r>
              <w:rPr>
                <w:rFonts w:hint="eastAsia"/>
                <w:sz w:val="18"/>
                <w:szCs w:val="18"/>
              </w:rPr>
              <w:t>Verilog</w:t>
            </w:r>
            <w:r>
              <w:rPr>
                <w:sz w:val="18"/>
                <w:szCs w:val="18"/>
              </w:rPr>
              <w:t>代码如何书写，用状态转移图和表格描述状态机的运行机制，然后将图表与状态机的代码进行对应讲解，帮助学生们理解状态机的实现方式。</w:t>
            </w:r>
          </w:p>
          <w:p>
            <w:pPr>
              <w:snapToGrid w:val="0"/>
              <w:spacing w:line="300" w:lineRule="auto"/>
              <w:rPr>
                <w:sz w:val="18"/>
                <w:szCs w:val="18"/>
              </w:rPr>
            </w:pPr>
            <w:r>
              <w:rPr>
                <w:sz w:val="18"/>
                <w:szCs w:val="18"/>
              </w:rPr>
              <w:t>案例15：针对问题——如何通过状态机自动生成</w:t>
            </w:r>
            <w:r>
              <w:rPr>
                <w:rFonts w:hint="eastAsia"/>
                <w:sz w:val="18"/>
                <w:szCs w:val="18"/>
              </w:rPr>
              <w:t>Verilog</w:t>
            </w:r>
            <w:r>
              <w:rPr>
                <w:sz w:val="18"/>
                <w:szCs w:val="18"/>
              </w:rPr>
              <w:t>代码，在Quartus软件中绘制状态图的方式，并描述其状态转移与状态输出，最终生成</w:t>
            </w:r>
            <w:r>
              <w:rPr>
                <w:rFonts w:hint="eastAsia"/>
                <w:sz w:val="18"/>
                <w:szCs w:val="18"/>
              </w:rPr>
              <w:t>Verilog</w:t>
            </w:r>
            <w:r>
              <w:rPr>
                <w:sz w:val="18"/>
                <w:szCs w:val="18"/>
              </w:rPr>
              <w:t>代码。</w:t>
            </w:r>
          </w:p>
        </w:tc>
        <w:tc>
          <w:tcPr>
            <w:tcW w:w="288" w:type="pct"/>
            <w:vAlign w:val="center"/>
          </w:tcPr>
          <w:p>
            <w:pPr>
              <w:widowControl/>
              <w:jc w:val="center"/>
              <w:rPr>
                <w:kern w:val="0"/>
                <w:sz w:val="18"/>
                <w:szCs w:val="18"/>
              </w:rPr>
            </w:pPr>
            <w:r>
              <w:rPr>
                <w:rFonts w:hint="eastAsia"/>
                <w:kern w:val="0"/>
                <w:sz w:val="18"/>
                <w:szCs w:val="18"/>
              </w:rPr>
              <w:t>2</w:t>
            </w:r>
          </w:p>
        </w:tc>
        <w:tc>
          <w:tcPr>
            <w:tcW w:w="366" w:type="pct"/>
            <w:vAlign w:val="center"/>
          </w:tcPr>
          <w:p>
            <w:pPr>
              <w:widowControl/>
              <w:jc w:val="left"/>
              <w:rPr>
                <w:kern w:val="0"/>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kern w:val="0"/>
                <w:sz w:val="18"/>
                <w:szCs w:val="18"/>
              </w:rPr>
              <w:t>7</w:t>
            </w:r>
          </w:p>
        </w:tc>
        <w:tc>
          <w:tcPr>
            <w:tcW w:w="984" w:type="pct"/>
            <w:vAlign w:val="center"/>
          </w:tcPr>
          <w:p>
            <w:pPr>
              <w:snapToGrid w:val="0"/>
              <w:spacing w:line="300" w:lineRule="auto"/>
              <w:rPr>
                <w:sz w:val="18"/>
                <w:szCs w:val="18"/>
              </w:rPr>
            </w:pPr>
            <w:r>
              <w:rPr>
                <w:sz w:val="18"/>
                <w:szCs w:val="18"/>
              </w:rPr>
              <w:t xml:space="preserve">12 </w:t>
            </w:r>
            <w:r>
              <w:rPr>
                <w:rFonts w:hint="eastAsia"/>
                <w:sz w:val="18"/>
                <w:szCs w:val="18"/>
              </w:rPr>
              <w:t>Verilog</w:t>
            </w:r>
            <w:r>
              <w:rPr>
                <w:sz w:val="18"/>
                <w:szCs w:val="18"/>
              </w:rPr>
              <w:t xml:space="preserve"> 知识拾遗</w:t>
            </w:r>
          </w:p>
          <w:p>
            <w:pPr>
              <w:snapToGrid w:val="0"/>
              <w:spacing w:line="300" w:lineRule="auto"/>
              <w:rPr>
                <w:sz w:val="18"/>
                <w:szCs w:val="18"/>
              </w:rPr>
            </w:pPr>
            <w:r>
              <w:rPr>
                <w:sz w:val="18"/>
                <w:szCs w:val="18"/>
              </w:rPr>
              <w:t xml:space="preserve">12.1 </w:t>
            </w:r>
            <w:r>
              <w:rPr>
                <w:rFonts w:hint="eastAsia"/>
                <w:sz w:val="18"/>
                <w:szCs w:val="18"/>
              </w:rPr>
              <w:t>Verilog文字规则</w:t>
            </w:r>
          </w:p>
          <w:p>
            <w:pPr>
              <w:snapToGrid w:val="0"/>
              <w:spacing w:line="300" w:lineRule="auto"/>
              <w:rPr>
                <w:sz w:val="18"/>
                <w:szCs w:val="18"/>
              </w:rPr>
            </w:pPr>
            <w:r>
              <w:rPr>
                <w:sz w:val="18"/>
                <w:szCs w:val="18"/>
              </w:rPr>
              <w:t xml:space="preserve">12.2 </w:t>
            </w:r>
            <w:r>
              <w:rPr>
                <w:rFonts w:hint="eastAsia"/>
                <w:sz w:val="18"/>
                <w:szCs w:val="18"/>
              </w:rPr>
              <w:t>数据类型</w:t>
            </w:r>
          </w:p>
          <w:p>
            <w:pPr>
              <w:snapToGrid w:val="0"/>
              <w:spacing w:line="300" w:lineRule="auto"/>
              <w:rPr>
                <w:sz w:val="18"/>
                <w:szCs w:val="18"/>
              </w:rPr>
            </w:pPr>
            <w:r>
              <w:rPr>
                <w:sz w:val="18"/>
                <w:szCs w:val="18"/>
              </w:rPr>
              <w:t xml:space="preserve">12.3 </w:t>
            </w:r>
            <w:r>
              <w:rPr>
                <w:rFonts w:hint="eastAsia"/>
                <w:sz w:val="18"/>
                <w:szCs w:val="18"/>
              </w:rPr>
              <w:t>操作符</w:t>
            </w:r>
          </w:p>
          <w:p>
            <w:pPr>
              <w:snapToGrid w:val="0"/>
              <w:spacing w:line="300" w:lineRule="auto"/>
              <w:rPr>
                <w:sz w:val="18"/>
                <w:szCs w:val="18"/>
              </w:rPr>
            </w:pPr>
            <w:r>
              <w:rPr>
                <w:sz w:val="18"/>
                <w:szCs w:val="18"/>
              </w:rPr>
              <w:t xml:space="preserve">12.4 </w:t>
            </w:r>
            <w:r>
              <w:rPr>
                <w:rFonts w:hint="eastAsia"/>
                <w:sz w:val="18"/>
                <w:szCs w:val="18"/>
              </w:rPr>
              <w:t>常用语句补充</w:t>
            </w:r>
          </w:p>
          <w:p>
            <w:pPr>
              <w:snapToGrid w:val="0"/>
              <w:spacing w:line="300" w:lineRule="auto"/>
              <w:rPr>
                <w:sz w:val="18"/>
                <w:szCs w:val="18"/>
              </w:rPr>
            </w:pPr>
            <w:r>
              <w:rPr>
                <w:rFonts w:hint="eastAsia"/>
                <w:sz w:val="18"/>
                <w:szCs w:val="18"/>
              </w:rPr>
              <w:t>12.5 库元件和UDP用法介绍</w:t>
            </w:r>
          </w:p>
          <w:p>
            <w:pPr>
              <w:snapToGrid w:val="0"/>
              <w:spacing w:line="300" w:lineRule="auto"/>
              <w:rPr>
                <w:sz w:val="18"/>
                <w:szCs w:val="18"/>
              </w:rPr>
            </w:pP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（1）了解：常用的标准程序包及所在库。</w:t>
            </w:r>
          </w:p>
          <w:p>
            <w:pPr>
              <w:snapToGrid w:val="0"/>
              <w:spacing w:line="300" w:lineRule="auto"/>
              <w:rPr>
                <w:sz w:val="18"/>
                <w:szCs w:val="18"/>
              </w:rPr>
            </w:pPr>
            <w:r>
              <w:rPr>
                <w:sz w:val="18"/>
                <w:szCs w:val="18"/>
              </w:rPr>
              <w:t>（2）理解：</w:t>
            </w:r>
            <w:r>
              <w:rPr>
                <w:rFonts w:hint="eastAsia"/>
                <w:sz w:val="18"/>
                <w:szCs w:val="18"/>
              </w:rPr>
              <w:t>任务、函数以及UDP</w:t>
            </w:r>
            <w:r>
              <w:rPr>
                <w:sz w:val="18"/>
                <w:szCs w:val="18"/>
              </w:rPr>
              <w:t>的应用方法。</w:t>
            </w:r>
          </w:p>
          <w:p>
            <w:pPr>
              <w:snapToGrid w:val="0"/>
              <w:spacing w:line="300" w:lineRule="auto"/>
              <w:rPr>
                <w:sz w:val="18"/>
                <w:szCs w:val="18"/>
              </w:rPr>
            </w:pPr>
            <w:r>
              <w:rPr>
                <w:sz w:val="18"/>
                <w:szCs w:val="18"/>
              </w:rPr>
              <w:t>（3）掌握：</w:t>
            </w:r>
            <w:r>
              <w:rPr>
                <w:rFonts w:hint="eastAsia"/>
                <w:sz w:val="18"/>
                <w:szCs w:val="18"/>
              </w:rPr>
              <w:t>Verilog</w:t>
            </w:r>
            <w:r>
              <w:rPr>
                <w:sz w:val="18"/>
                <w:szCs w:val="18"/>
              </w:rPr>
              <w:t xml:space="preserve"> 文字规则。</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（1）分别用函数</w:t>
            </w:r>
            <w:r>
              <w:rPr>
                <w:rFonts w:hint="eastAsia"/>
                <w:sz w:val="18"/>
                <w:szCs w:val="18"/>
              </w:rPr>
              <w:t>、任务以及UDP方式</w:t>
            </w:r>
            <w:r>
              <w:rPr>
                <w:sz w:val="18"/>
                <w:szCs w:val="18"/>
              </w:rPr>
              <w:t>实现4个串行级联D触发器的输出相与。</w:t>
            </w:r>
          </w:p>
          <w:p>
            <w:pPr>
              <w:snapToGrid w:val="0"/>
              <w:spacing w:line="300" w:lineRule="auto"/>
              <w:rPr>
                <w:sz w:val="18"/>
                <w:szCs w:val="18"/>
              </w:rPr>
            </w:pPr>
            <w:r>
              <w:rPr>
                <w:sz w:val="18"/>
                <w:szCs w:val="18"/>
              </w:rPr>
              <w:t>（2）参考教材中的时序电路示例实现基于4个串行级联D触发器的输出相或，构建一个去毛刺元器件，首先在Quartus软件中完成代码的编辑/综合适配，接着设置芯片与配置引脚，然后再次综合适配，最终下载FPGA开发板。</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案例16：针对问题——</w:t>
            </w:r>
            <w:r>
              <w:rPr>
                <w:rFonts w:hint="eastAsia"/>
                <w:sz w:val="18"/>
                <w:szCs w:val="18"/>
              </w:rPr>
              <w:t>Verilog</w:t>
            </w:r>
            <w:r>
              <w:rPr>
                <w:sz w:val="18"/>
                <w:szCs w:val="18"/>
              </w:rPr>
              <w:t>语法中</w:t>
            </w:r>
            <w:r>
              <w:rPr>
                <w:rFonts w:hint="eastAsia"/>
                <w:sz w:val="18"/>
                <w:szCs w:val="18"/>
              </w:rPr>
              <w:t>module与UDP</w:t>
            </w:r>
            <w:r>
              <w:rPr>
                <w:sz w:val="18"/>
                <w:szCs w:val="18"/>
              </w:rPr>
              <w:t>相似性与差异性，</w:t>
            </w:r>
            <w:r>
              <w:rPr>
                <w:rFonts w:hint="eastAsia"/>
                <w:sz w:val="18"/>
                <w:szCs w:val="18"/>
              </w:rPr>
              <w:t>以两种方式实现</w:t>
            </w:r>
            <w:r>
              <w:rPr>
                <w:sz w:val="18"/>
                <w:szCs w:val="18"/>
              </w:rPr>
              <w:t>加法计数器，并作出</w:t>
            </w:r>
            <w:r>
              <w:rPr>
                <w:rFonts w:hint="eastAsia"/>
                <w:sz w:val="18"/>
                <w:szCs w:val="18"/>
              </w:rPr>
              <w:t>对比分析</w:t>
            </w:r>
            <w:r>
              <w:rPr>
                <w:sz w:val="18"/>
                <w:szCs w:val="18"/>
              </w:rPr>
              <w:t>。</w:t>
            </w:r>
          </w:p>
          <w:p>
            <w:pPr>
              <w:snapToGrid w:val="0"/>
              <w:spacing w:line="300" w:lineRule="auto"/>
              <w:rPr>
                <w:sz w:val="18"/>
                <w:szCs w:val="18"/>
              </w:rPr>
            </w:pPr>
            <w:r>
              <w:rPr>
                <w:sz w:val="18"/>
                <w:szCs w:val="18"/>
              </w:rPr>
              <w:t>案例17：针对问题——</w:t>
            </w:r>
            <w:r>
              <w:rPr>
                <w:rFonts w:hint="eastAsia"/>
                <w:sz w:val="18"/>
                <w:szCs w:val="18"/>
              </w:rPr>
              <w:t>任务、</w:t>
            </w:r>
            <w:r>
              <w:rPr>
                <w:sz w:val="18"/>
                <w:szCs w:val="18"/>
              </w:rPr>
              <w:t>函数和过程的差异性，通过</w:t>
            </w:r>
            <w:r>
              <w:rPr>
                <w:rFonts w:hint="eastAsia"/>
                <w:sz w:val="18"/>
                <w:szCs w:val="18"/>
              </w:rPr>
              <w:t>任务和</w:t>
            </w:r>
            <w:r>
              <w:rPr>
                <w:sz w:val="18"/>
                <w:szCs w:val="18"/>
              </w:rPr>
              <w:t>函数两种方式构建1位加法器，然后在此基础上构建8位加法器，</w:t>
            </w:r>
            <w:r>
              <w:rPr>
                <w:rFonts w:hint="eastAsia"/>
                <w:sz w:val="18"/>
                <w:szCs w:val="18"/>
              </w:rPr>
              <w:t>对比</w:t>
            </w:r>
            <w:r>
              <w:rPr>
                <w:sz w:val="18"/>
                <w:szCs w:val="18"/>
              </w:rPr>
              <w:t>观察</w:t>
            </w:r>
            <w:r>
              <w:rPr>
                <w:rFonts w:hint="eastAsia"/>
                <w:sz w:val="18"/>
                <w:szCs w:val="18"/>
              </w:rPr>
              <w:t>三者</w:t>
            </w:r>
            <w:r>
              <w:rPr>
                <w:sz w:val="18"/>
                <w:szCs w:val="18"/>
              </w:rPr>
              <w:t>的差异性。</w:t>
            </w:r>
          </w:p>
        </w:tc>
        <w:tc>
          <w:tcPr>
            <w:tcW w:w="288" w:type="pct"/>
            <w:vAlign w:val="center"/>
          </w:tcPr>
          <w:p>
            <w:pPr>
              <w:widowControl/>
              <w:jc w:val="center"/>
              <w:rPr>
                <w:kern w:val="0"/>
                <w:sz w:val="18"/>
                <w:szCs w:val="18"/>
              </w:rPr>
            </w:pPr>
            <w:r>
              <w:rPr>
                <w:kern w:val="0"/>
                <w:sz w:val="18"/>
                <w:szCs w:val="18"/>
              </w:rPr>
              <w:t>2</w:t>
            </w:r>
          </w:p>
        </w:tc>
        <w:tc>
          <w:tcPr>
            <w:tcW w:w="366" w:type="pct"/>
            <w:vAlign w:val="center"/>
          </w:tcPr>
          <w:p>
            <w:pPr>
              <w:widowControl/>
              <w:jc w:val="left"/>
              <w:rPr>
                <w:kern w:val="0"/>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16" w:type="pct"/>
            <w:tcMar>
              <w:left w:w="57" w:type="dxa"/>
              <w:right w:w="57" w:type="dxa"/>
            </w:tcMar>
            <w:vAlign w:val="center"/>
          </w:tcPr>
          <w:p>
            <w:pPr>
              <w:widowControl/>
              <w:jc w:val="center"/>
              <w:rPr>
                <w:kern w:val="0"/>
                <w:sz w:val="18"/>
                <w:szCs w:val="18"/>
              </w:rPr>
            </w:pPr>
            <w:r>
              <w:rPr>
                <w:rFonts w:hint="eastAsia"/>
                <w:kern w:val="0"/>
                <w:sz w:val="18"/>
                <w:szCs w:val="18"/>
              </w:rPr>
              <w:t>8</w:t>
            </w:r>
          </w:p>
        </w:tc>
        <w:tc>
          <w:tcPr>
            <w:tcW w:w="984" w:type="pct"/>
            <w:vAlign w:val="center"/>
          </w:tcPr>
          <w:p>
            <w:pPr>
              <w:snapToGrid w:val="0"/>
              <w:spacing w:line="300" w:lineRule="auto"/>
              <w:rPr>
                <w:sz w:val="18"/>
                <w:szCs w:val="18"/>
              </w:rPr>
            </w:pPr>
            <w:r>
              <w:rPr>
                <w:rFonts w:hint="eastAsia"/>
                <w:sz w:val="18"/>
                <w:szCs w:val="18"/>
              </w:rPr>
              <w:t>13 课程知识扩展</w:t>
            </w:r>
          </w:p>
          <w:p>
            <w:pPr>
              <w:snapToGrid w:val="0"/>
              <w:spacing w:line="300" w:lineRule="auto"/>
              <w:rPr>
                <w:sz w:val="18"/>
                <w:szCs w:val="18"/>
              </w:rPr>
            </w:pPr>
            <w:r>
              <w:rPr>
                <w:rFonts w:hint="eastAsia"/>
                <w:sz w:val="18"/>
                <w:szCs w:val="18"/>
              </w:rPr>
              <w:t>13.1 VHDL介绍以及与Verilog比较</w:t>
            </w:r>
          </w:p>
          <w:p>
            <w:pPr>
              <w:snapToGrid w:val="0"/>
              <w:spacing w:line="300" w:lineRule="auto"/>
              <w:rPr>
                <w:sz w:val="18"/>
                <w:szCs w:val="18"/>
              </w:rPr>
            </w:pPr>
            <w:r>
              <w:rPr>
                <w:rFonts w:hint="eastAsia"/>
                <w:sz w:val="18"/>
                <w:szCs w:val="18"/>
              </w:rPr>
              <w:t>13.2 复杂电路设计案例介绍</w:t>
            </w:r>
          </w:p>
        </w:tc>
        <w:tc>
          <w:tcPr>
            <w:tcW w:w="3043"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w:t>
            </w:r>
            <w:r>
              <w:rPr>
                <w:rFonts w:hint="eastAsia"/>
                <w:sz w:val="18"/>
                <w:szCs w:val="18"/>
              </w:rPr>
              <w:t>VHDL语言与Verilog的相似性与差异性</w:t>
            </w:r>
            <w:r>
              <w:rPr>
                <w:sz w:val="18"/>
                <w:szCs w:val="18"/>
              </w:rPr>
              <w:t>。</w:t>
            </w:r>
          </w:p>
          <w:p>
            <w:pPr>
              <w:snapToGrid w:val="0"/>
              <w:spacing w:line="300" w:lineRule="auto"/>
              <w:rPr>
                <w:sz w:val="18"/>
                <w:szCs w:val="18"/>
              </w:rPr>
            </w:pPr>
            <w:r>
              <w:rPr>
                <w:sz w:val="18"/>
                <w:szCs w:val="18"/>
              </w:rPr>
              <w:t>（2）理解：</w:t>
            </w:r>
            <w:r>
              <w:rPr>
                <w:rFonts w:hint="eastAsia"/>
                <w:sz w:val="18"/>
                <w:szCs w:val="18"/>
              </w:rPr>
              <w:t>硬件描述语言的面向对象编程思想</w:t>
            </w:r>
            <w:r>
              <w:rPr>
                <w:sz w:val="18"/>
                <w:szCs w:val="18"/>
              </w:rPr>
              <w:t>。</w:t>
            </w:r>
          </w:p>
          <w:p>
            <w:pPr>
              <w:snapToGrid w:val="0"/>
              <w:spacing w:line="300" w:lineRule="auto"/>
              <w:rPr>
                <w:sz w:val="18"/>
                <w:szCs w:val="18"/>
              </w:rPr>
            </w:pPr>
            <w:r>
              <w:rPr>
                <w:sz w:val="18"/>
                <w:szCs w:val="18"/>
              </w:rPr>
              <w:t>（3）掌握：</w:t>
            </w:r>
            <w:r>
              <w:rPr>
                <w:rFonts w:hint="eastAsia"/>
                <w:sz w:val="18"/>
                <w:szCs w:val="18"/>
              </w:rPr>
              <w:t>Verilog</w:t>
            </w:r>
            <w:r>
              <w:rPr>
                <w:sz w:val="18"/>
                <w:szCs w:val="18"/>
              </w:rPr>
              <w:t xml:space="preserve"> </w:t>
            </w:r>
            <w:r>
              <w:rPr>
                <w:rFonts w:hint="eastAsia"/>
                <w:sz w:val="18"/>
                <w:szCs w:val="18"/>
              </w:rPr>
              <w:t>复杂电路自顶向下的设计方法</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rFonts w:hint="eastAsia"/>
                <w:sz w:val="18"/>
                <w:szCs w:val="18"/>
              </w:rPr>
              <w:t>（1）编写一位全加器的VHDL代码。</w:t>
            </w:r>
          </w:p>
          <w:p>
            <w:pPr>
              <w:snapToGrid w:val="0"/>
              <w:spacing w:line="300" w:lineRule="auto"/>
              <w:rPr>
                <w:sz w:val="18"/>
                <w:szCs w:val="18"/>
              </w:rPr>
            </w:pPr>
            <w:r>
              <w:rPr>
                <w:rFonts w:hint="eastAsia"/>
                <w:sz w:val="18"/>
                <w:szCs w:val="18"/>
              </w:rPr>
              <w:t>（2）绘制电子钟模块图以及书写Verilog代码</w:t>
            </w:r>
            <w:r>
              <w:rPr>
                <w:sz w:val="18"/>
                <w:szCs w:val="18"/>
              </w:rPr>
              <w:t>。</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w:t>
            </w:r>
            <w:r>
              <w:rPr>
                <w:rFonts w:hint="eastAsia"/>
                <w:sz w:val="18"/>
                <w:szCs w:val="18"/>
              </w:rPr>
              <w:t>8</w:t>
            </w:r>
            <w:r>
              <w:rPr>
                <w:sz w:val="18"/>
                <w:szCs w:val="18"/>
              </w:rPr>
              <w:t>：针对问题——</w:t>
            </w:r>
            <w:r>
              <w:rPr>
                <w:rFonts w:hint="eastAsia"/>
                <w:sz w:val="18"/>
                <w:szCs w:val="18"/>
              </w:rPr>
              <w:t>Verilog与VHDL</w:t>
            </w:r>
            <w:r>
              <w:rPr>
                <w:sz w:val="18"/>
                <w:szCs w:val="18"/>
              </w:rPr>
              <w:t>相似性与差异性，</w:t>
            </w:r>
            <w:r>
              <w:rPr>
                <w:rFonts w:hint="eastAsia"/>
                <w:sz w:val="18"/>
                <w:szCs w:val="18"/>
              </w:rPr>
              <w:t>通过前期教学中的组合电路设计代码、时序电路设计代码以及状态机设计代码的Verilog与VHDL两个版本进行对比分析，帮助学生理解</w:t>
            </w:r>
            <w:r>
              <w:rPr>
                <w:sz w:val="18"/>
                <w:szCs w:val="18"/>
              </w:rPr>
              <w:t>。</w:t>
            </w:r>
          </w:p>
          <w:p>
            <w:pPr>
              <w:snapToGrid w:val="0"/>
              <w:spacing w:line="300" w:lineRule="auto"/>
              <w:rPr>
                <w:sz w:val="18"/>
                <w:szCs w:val="18"/>
              </w:rPr>
            </w:pPr>
            <w:r>
              <w:rPr>
                <w:sz w:val="18"/>
                <w:szCs w:val="18"/>
              </w:rPr>
              <w:t>案例1</w:t>
            </w:r>
            <w:r>
              <w:rPr>
                <w:rFonts w:hint="eastAsia"/>
                <w:sz w:val="18"/>
                <w:szCs w:val="18"/>
              </w:rPr>
              <w:t>9</w:t>
            </w:r>
            <w:r>
              <w:rPr>
                <w:sz w:val="18"/>
                <w:szCs w:val="18"/>
              </w:rPr>
              <w:t>：针对问题——</w:t>
            </w:r>
            <w:r>
              <w:rPr>
                <w:rFonts w:hint="eastAsia"/>
                <w:sz w:val="18"/>
                <w:szCs w:val="18"/>
              </w:rPr>
              <w:t>复杂电路的设计方法</w:t>
            </w:r>
            <w:r>
              <w:rPr>
                <w:sz w:val="18"/>
                <w:szCs w:val="18"/>
              </w:rPr>
              <w:t>，</w:t>
            </w:r>
            <w:r>
              <w:rPr>
                <w:rFonts w:hint="eastAsia"/>
                <w:sz w:val="18"/>
                <w:szCs w:val="18"/>
              </w:rPr>
              <w:t>通过对流水灯、电子钟以及串口通信等案例进行架构绘图与代码分析，帮助学生理解复杂电路自顶向下的设计步骤</w:t>
            </w:r>
            <w:r>
              <w:rPr>
                <w:sz w:val="18"/>
                <w:szCs w:val="18"/>
              </w:rPr>
              <w:t>。</w:t>
            </w:r>
          </w:p>
        </w:tc>
        <w:tc>
          <w:tcPr>
            <w:tcW w:w="288" w:type="pct"/>
            <w:vAlign w:val="center"/>
          </w:tcPr>
          <w:p>
            <w:pPr>
              <w:widowControl/>
              <w:jc w:val="center"/>
              <w:rPr>
                <w:kern w:val="0"/>
                <w:sz w:val="18"/>
                <w:szCs w:val="18"/>
              </w:rPr>
            </w:pPr>
            <w:r>
              <w:rPr>
                <w:rFonts w:hint="eastAsia"/>
                <w:kern w:val="0"/>
                <w:sz w:val="18"/>
                <w:szCs w:val="18"/>
              </w:rPr>
              <w:t>2</w:t>
            </w:r>
          </w:p>
        </w:tc>
        <w:tc>
          <w:tcPr>
            <w:tcW w:w="366" w:type="pct"/>
            <w:vAlign w:val="center"/>
          </w:tcPr>
          <w:p>
            <w:pPr>
              <w:widowControl/>
              <w:jc w:val="left"/>
              <w:rPr>
                <w:sz w:val="18"/>
                <w:szCs w:val="18"/>
              </w:rPr>
            </w:pPr>
            <w:r>
              <w:rPr>
                <w:rFonts w:hint="eastAsia"/>
                <w:sz w:val="18"/>
                <w:szCs w:val="18"/>
              </w:rPr>
              <w:t>2</w:t>
            </w:r>
          </w:p>
        </w:tc>
      </w:tr>
    </w:tbl>
    <w:p>
      <w:pPr>
        <w:snapToGrid w:val="0"/>
        <w:spacing w:before="156" w:beforeLines="50"/>
        <w:ind w:firstLine="420" w:firstLineChars="200"/>
        <w:rPr>
          <w:szCs w:val="21"/>
        </w:rPr>
      </w:pPr>
      <w:r>
        <w:t>实验内容见表4所示。</w:t>
      </w:r>
    </w:p>
    <w:p>
      <w:pPr>
        <w:spacing w:before="156" w:beforeLines="50"/>
        <w:jc w:val="center"/>
      </w:pPr>
      <w:r>
        <w:rPr>
          <w:b/>
          <w:bCs/>
          <w:sz w:val="18"/>
          <w:szCs w:val="18"/>
        </w:rPr>
        <w:t>表4 实验安排表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441"/>
        <w:gridCol w:w="3229"/>
        <w:gridCol w:w="632"/>
        <w:gridCol w:w="723"/>
        <w:gridCol w:w="614"/>
        <w:gridCol w:w="675"/>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b/>
                <w:bCs/>
                <w:kern w:val="0"/>
                <w:sz w:val="18"/>
                <w:szCs w:val="18"/>
              </w:rPr>
            </w:pPr>
            <w:r>
              <w:rPr>
                <w:b/>
                <w:bCs/>
                <w:kern w:val="0"/>
                <w:sz w:val="18"/>
                <w:szCs w:val="18"/>
              </w:rPr>
              <w:t>序号</w:t>
            </w:r>
          </w:p>
        </w:tc>
        <w:tc>
          <w:tcPr>
            <w:tcW w:w="845" w:type="pct"/>
            <w:vAlign w:val="center"/>
          </w:tcPr>
          <w:p>
            <w:pPr>
              <w:snapToGrid w:val="0"/>
              <w:spacing w:line="300" w:lineRule="auto"/>
              <w:jc w:val="center"/>
              <w:rPr>
                <w:b/>
                <w:bCs/>
                <w:kern w:val="0"/>
                <w:sz w:val="18"/>
                <w:szCs w:val="18"/>
              </w:rPr>
            </w:pPr>
            <w:r>
              <w:rPr>
                <w:b/>
                <w:bCs/>
                <w:kern w:val="0"/>
                <w:sz w:val="18"/>
                <w:szCs w:val="18"/>
              </w:rPr>
              <w:t>实验项目名称</w:t>
            </w:r>
          </w:p>
        </w:tc>
        <w:tc>
          <w:tcPr>
            <w:tcW w:w="1894" w:type="pct"/>
            <w:vAlign w:val="center"/>
          </w:tcPr>
          <w:p>
            <w:pPr>
              <w:snapToGrid w:val="0"/>
              <w:spacing w:line="300" w:lineRule="auto"/>
              <w:jc w:val="center"/>
              <w:rPr>
                <w:b/>
                <w:bCs/>
                <w:kern w:val="0"/>
                <w:sz w:val="18"/>
                <w:szCs w:val="18"/>
              </w:rPr>
            </w:pPr>
            <w:r>
              <w:rPr>
                <w:b/>
                <w:bCs/>
                <w:kern w:val="0"/>
                <w:sz w:val="18"/>
                <w:szCs w:val="18"/>
              </w:rPr>
              <w:t>目的要求</w:t>
            </w:r>
          </w:p>
        </w:tc>
        <w:tc>
          <w:tcPr>
            <w:tcW w:w="371" w:type="pct"/>
            <w:vAlign w:val="center"/>
          </w:tcPr>
          <w:p>
            <w:pPr>
              <w:snapToGrid w:val="0"/>
              <w:spacing w:line="300" w:lineRule="auto"/>
              <w:jc w:val="center"/>
              <w:rPr>
                <w:b/>
                <w:bCs/>
                <w:kern w:val="0"/>
                <w:sz w:val="18"/>
                <w:szCs w:val="18"/>
              </w:rPr>
            </w:pPr>
            <w:r>
              <w:rPr>
                <w:b/>
                <w:bCs/>
                <w:kern w:val="0"/>
                <w:sz w:val="18"/>
                <w:szCs w:val="18"/>
              </w:rPr>
              <w:t>学时分配</w:t>
            </w:r>
          </w:p>
        </w:tc>
        <w:tc>
          <w:tcPr>
            <w:tcW w:w="424" w:type="pct"/>
            <w:vAlign w:val="center"/>
          </w:tcPr>
          <w:p>
            <w:pPr>
              <w:snapToGrid w:val="0"/>
              <w:spacing w:line="300" w:lineRule="auto"/>
              <w:jc w:val="center"/>
              <w:rPr>
                <w:b/>
                <w:bCs/>
                <w:kern w:val="0"/>
                <w:sz w:val="18"/>
                <w:szCs w:val="18"/>
              </w:rPr>
            </w:pPr>
            <w:r>
              <w:rPr>
                <w:b/>
                <w:bCs/>
                <w:kern w:val="0"/>
                <w:sz w:val="18"/>
                <w:szCs w:val="18"/>
              </w:rPr>
              <w:t>实验类型</w:t>
            </w:r>
          </w:p>
        </w:tc>
        <w:tc>
          <w:tcPr>
            <w:tcW w:w="360" w:type="pct"/>
            <w:vAlign w:val="center"/>
          </w:tcPr>
          <w:p>
            <w:pPr>
              <w:snapToGrid w:val="0"/>
              <w:spacing w:line="300" w:lineRule="auto"/>
              <w:jc w:val="center"/>
              <w:rPr>
                <w:b/>
                <w:bCs/>
                <w:kern w:val="0"/>
                <w:sz w:val="18"/>
                <w:szCs w:val="18"/>
              </w:rPr>
            </w:pPr>
            <w:r>
              <w:rPr>
                <w:b/>
                <w:bCs/>
                <w:kern w:val="0"/>
                <w:sz w:val="18"/>
                <w:szCs w:val="18"/>
              </w:rPr>
              <w:t>每组人数</w:t>
            </w:r>
          </w:p>
        </w:tc>
        <w:tc>
          <w:tcPr>
            <w:tcW w:w="396" w:type="pct"/>
            <w:vAlign w:val="center"/>
          </w:tcPr>
          <w:p>
            <w:pPr>
              <w:snapToGrid w:val="0"/>
              <w:spacing w:line="300" w:lineRule="auto"/>
              <w:jc w:val="center"/>
              <w:rPr>
                <w:b/>
                <w:bCs/>
                <w:kern w:val="0"/>
                <w:sz w:val="18"/>
                <w:szCs w:val="18"/>
              </w:rPr>
            </w:pPr>
            <w:r>
              <w:rPr>
                <w:b/>
                <w:bCs/>
                <w:kern w:val="0"/>
                <w:sz w:val="18"/>
                <w:szCs w:val="18"/>
              </w:rPr>
              <w:t>必开选开</w:t>
            </w:r>
          </w:p>
        </w:tc>
        <w:tc>
          <w:tcPr>
            <w:tcW w:w="360" w:type="pct"/>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1</w:t>
            </w:r>
          </w:p>
        </w:tc>
        <w:tc>
          <w:tcPr>
            <w:tcW w:w="845" w:type="pct"/>
            <w:vAlign w:val="center"/>
          </w:tcPr>
          <w:p>
            <w:pPr>
              <w:snapToGrid w:val="0"/>
              <w:spacing w:line="300" w:lineRule="auto"/>
              <w:rPr>
                <w:sz w:val="18"/>
                <w:szCs w:val="18"/>
              </w:rPr>
            </w:pPr>
            <w:r>
              <w:rPr>
                <w:sz w:val="18"/>
                <w:szCs w:val="18"/>
              </w:rPr>
              <w:t>实验一1位全加器</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掌握Quartus软件的使用、</w:t>
            </w:r>
            <w:r>
              <w:rPr>
                <w:rFonts w:hint="eastAsia"/>
                <w:sz w:val="18"/>
                <w:szCs w:val="18"/>
              </w:rPr>
              <w:t>Verilog</w:t>
            </w:r>
            <w:r>
              <w:rPr>
                <w:sz w:val="18"/>
                <w:szCs w:val="18"/>
              </w:rPr>
              <w:t>的文件结构、元件组合、波形仿真、综合适配、网表文件下载等知识点与使用技能，能够搭建简单组合电路。</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熟悉Quartus软件的使用；</w:t>
            </w:r>
            <w:r>
              <w:rPr>
                <w:rFonts w:hint="eastAsia" w:ascii="宋体" w:hAnsi="宋体" w:cs="宋体"/>
                <w:sz w:val="18"/>
                <w:szCs w:val="18"/>
              </w:rPr>
              <w:t>②</w:t>
            </w:r>
            <w:r>
              <w:rPr>
                <w:sz w:val="18"/>
                <w:szCs w:val="18"/>
              </w:rPr>
              <w:t>外部接口定义——用3个拨位开关作为输入，用2个LED作为输出；</w:t>
            </w:r>
            <w:r>
              <w:rPr>
                <w:rFonts w:hint="eastAsia" w:ascii="宋体" w:hAnsi="宋体" w:cs="宋体"/>
                <w:sz w:val="18"/>
                <w:szCs w:val="18"/>
              </w:rPr>
              <w:t>③</w:t>
            </w:r>
            <w:r>
              <w:rPr>
                <w:sz w:val="18"/>
                <w:szCs w:val="18"/>
              </w:rPr>
              <w:t>内部代码实现——用半加器搭建1位全加器；</w:t>
            </w:r>
            <w:r>
              <w:rPr>
                <w:rFonts w:hint="eastAsia" w:ascii="宋体" w:hAnsi="宋体" w:cs="宋体"/>
                <w:sz w:val="18"/>
                <w:szCs w:val="18"/>
              </w:rPr>
              <w:t>④</w:t>
            </w:r>
            <w:r>
              <w:rPr>
                <w:sz w:val="18"/>
                <w:szCs w:val="18"/>
              </w:rPr>
              <w:t>配置仿真波形文件，进行波形仿真验证；</w:t>
            </w:r>
            <w:r>
              <w:rPr>
                <w:rFonts w:hint="eastAsia"/>
                <w:sz w:val="18"/>
                <w:szCs w:val="18"/>
              </w:rPr>
              <w:t>⑤</w:t>
            </w:r>
            <w:r>
              <w:rPr>
                <w:sz w:val="18"/>
                <w:szCs w:val="18"/>
              </w:rPr>
              <w:t>配置芯片和引脚，在FPGA开发板上用拨位开关与LED进行实物演示；</w:t>
            </w:r>
          </w:p>
        </w:tc>
        <w:tc>
          <w:tcPr>
            <w:tcW w:w="371" w:type="pct"/>
            <w:vAlign w:val="center"/>
          </w:tcPr>
          <w:p>
            <w:pPr>
              <w:snapToGrid w:val="0"/>
              <w:spacing w:line="300" w:lineRule="auto"/>
              <w:jc w:val="center"/>
              <w:rPr>
                <w:sz w:val="18"/>
                <w:szCs w:val="18"/>
              </w:rPr>
            </w:pPr>
            <w:r>
              <w:rPr>
                <w:sz w:val="18"/>
                <w:szCs w:val="18"/>
              </w:rPr>
              <w:t>4</w:t>
            </w:r>
          </w:p>
        </w:tc>
        <w:tc>
          <w:tcPr>
            <w:tcW w:w="424" w:type="pct"/>
            <w:vAlign w:val="center"/>
          </w:tcPr>
          <w:p>
            <w:pPr>
              <w:snapToGrid w:val="0"/>
              <w:spacing w:line="300" w:lineRule="auto"/>
              <w:jc w:val="center"/>
              <w:rPr>
                <w:sz w:val="18"/>
                <w:szCs w:val="18"/>
              </w:rPr>
            </w:pPr>
            <w:r>
              <w:rPr>
                <w:sz w:val="18"/>
                <w:szCs w:val="18"/>
              </w:rPr>
              <w:t>验证</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必开</w:t>
            </w:r>
          </w:p>
        </w:tc>
        <w:tc>
          <w:tcPr>
            <w:tcW w:w="360" w:type="pct"/>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2</w:t>
            </w:r>
          </w:p>
        </w:tc>
        <w:tc>
          <w:tcPr>
            <w:tcW w:w="845" w:type="pct"/>
            <w:vAlign w:val="center"/>
          </w:tcPr>
          <w:p>
            <w:pPr>
              <w:snapToGrid w:val="0"/>
              <w:spacing w:line="300" w:lineRule="auto"/>
              <w:rPr>
                <w:sz w:val="18"/>
                <w:szCs w:val="18"/>
              </w:rPr>
            </w:pPr>
            <w:r>
              <w:rPr>
                <w:sz w:val="18"/>
                <w:szCs w:val="18"/>
              </w:rPr>
              <w:t>实验二 手动计数器</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掌握</w:t>
            </w:r>
            <w:r>
              <w:rPr>
                <w:rFonts w:hint="eastAsia"/>
                <w:sz w:val="18"/>
                <w:szCs w:val="18"/>
              </w:rPr>
              <w:t>Verilog</w:t>
            </w:r>
            <w:r>
              <w:rPr>
                <w:sz w:val="18"/>
                <w:szCs w:val="18"/>
              </w:rPr>
              <w:t>的时序电路设计方法、元件组合、综合适配、网表文件下载等知识点与使用技能，能够搭建简单时序电路。</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外部接口定义——用开发板上的按键作为外部时钟，用7段数码显示按键次数；</w:t>
            </w:r>
            <w:r>
              <w:rPr>
                <w:rFonts w:hint="eastAsia" w:ascii="宋体" w:hAnsi="宋体" w:cs="宋体"/>
                <w:sz w:val="18"/>
                <w:szCs w:val="18"/>
              </w:rPr>
              <w:t>②</w:t>
            </w:r>
            <w:r>
              <w:rPr>
                <w:sz w:val="18"/>
                <w:szCs w:val="18"/>
              </w:rPr>
              <w:t>内部代码实现——用加法计数器、BCD码转换器与七段数码管二进制转换器作为元件搭建系统；</w:t>
            </w:r>
            <w:r>
              <w:rPr>
                <w:rFonts w:hint="eastAsia" w:ascii="宋体" w:hAnsi="宋体" w:cs="宋体"/>
                <w:sz w:val="18"/>
                <w:szCs w:val="18"/>
              </w:rPr>
              <w:t>③</w:t>
            </w:r>
            <w:r>
              <w:rPr>
                <w:sz w:val="18"/>
                <w:szCs w:val="18"/>
              </w:rPr>
              <w:t>配置芯片和引脚，在FPGA开发板上进行实物演示。</w:t>
            </w:r>
          </w:p>
        </w:tc>
        <w:tc>
          <w:tcPr>
            <w:tcW w:w="371" w:type="pct"/>
            <w:vAlign w:val="center"/>
          </w:tcPr>
          <w:p>
            <w:pPr>
              <w:snapToGrid w:val="0"/>
              <w:spacing w:line="300" w:lineRule="auto"/>
              <w:jc w:val="center"/>
              <w:rPr>
                <w:sz w:val="18"/>
                <w:szCs w:val="18"/>
              </w:rPr>
            </w:pPr>
            <w:r>
              <w:rPr>
                <w:sz w:val="18"/>
                <w:szCs w:val="18"/>
              </w:rPr>
              <w:t>2</w:t>
            </w:r>
          </w:p>
        </w:tc>
        <w:tc>
          <w:tcPr>
            <w:tcW w:w="424" w:type="pct"/>
            <w:vAlign w:val="center"/>
          </w:tcPr>
          <w:p>
            <w:pPr>
              <w:snapToGrid w:val="0"/>
              <w:spacing w:line="300" w:lineRule="auto"/>
              <w:jc w:val="center"/>
              <w:rPr>
                <w:sz w:val="18"/>
                <w:szCs w:val="18"/>
              </w:rPr>
            </w:pPr>
            <w:r>
              <w:rPr>
                <w:sz w:val="18"/>
                <w:szCs w:val="18"/>
              </w:rPr>
              <w:t>设计</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必开</w:t>
            </w:r>
          </w:p>
        </w:tc>
        <w:tc>
          <w:tcPr>
            <w:tcW w:w="360" w:type="pct"/>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3</w:t>
            </w:r>
          </w:p>
        </w:tc>
        <w:tc>
          <w:tcPr>
            <w:tcW w:w="845" w:type="pct"/>
            <w:vAlign w:val="center"/>
          </w:tcPr>
          <w:p>
            <w:pPr>
              <w:snapToGrid w:val="0"/>
              <w:spacing w:line="300" w:lineRule="auto"/>
              <w:rPr>
                <w:sz w:val="18"/>
                <w:szCs w:val="18"/>
              </w:rPr>
            </w:pPr>
            <w:r>
              <w:rPr>
                <w:sz w:val="18"/>
                <w:szCs w:val="18"/>
              </w:rPr>
              <w:t>实验三 呼吸灯</w:t>
            </w:r>
          </w:p>
          <w:p>
            <w:pPr>
              <w:snapToGrid w:val="0"/>
              <w:spacing w:line="300" w:lineRule="auto"/>
              <w:rPr>
                <w:sz w:val="18"/>
                <w:szCs w:val="18"/>
              </w:rPr>
            </w:pPr>
            <w:r>
              <w:rPr>
                <w:sz w:val="18"/>
                <w:szCs w:val="18"/>
              </w:rPr>
              <w:t>（备注：实验三与实验四，二选一）</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掌握</w:t>
            </w:r>
            <w:r>
              <w:rPr>
                <w:rFonts w:hint="eastAsia"/>
                <w:sz w:val="18"/>
                <w:szCs w:val="18"/>
              </w:rPr>
              <w:t>Verilog</w:t>
            </w:r>
            <w:r>
              <w:rPr>
                <w:sz w:val="18"/>
                <w:szCs w:val="18"/>
              </w:rPr>
              <w:t>分频器的设计方法，能够依据现实需求设计简单电子产品。</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外部接口定义——用开发板上的晶振作为外部时钟，用1个LED灯作为呼吸灯显示；</w:t>
            </w:r>
            <w:r>
              <w:rPr>
                <w:rFonts w:hint="eastAsia" w:ascii="宋体" w:hAnsi="宋体" w:cs="宋体"/>
                <w:sz w:val="18"/>
                <w:szCs w:val="18"/>
              </w:rPr>
              <w:t>②</w:t>
            </w:r>
            <w:r>
              <w:rPr>
                <w:sz w:val="18"/>
                <w:szCs w:val="18"/>
              </w:rPr>
              <w:t>内部代码实现——用加法计数器构建分频器，用generic map参数方式实例化分频器，构建1次/每秒持续闪烁的LED；</w:t>
            </w:r>
            <w:r>
              <w:rPr>
                <w:rFonts w:hint="eastAsia" w:ascii="宋体" w:hAnsi="宋体" w:cs="宋体"/>
                <w:sz w:val="18"/>
                <w:szCs w:val="18"/>
              </w:rPr>
              <w:t>③</w:t>
            </w:r>
            <w:r>
              <w:rPr>
                <w:sz w:val="18"/>
                <w:szCs w:val="18"/>
              </w:rPr>
              <w:t>配置芯片和引脚，在FPGA开发板上进行实物演示。</w:t>
            </w:r>
          </w:p>
        </w:tc>
        <w:tc>
          <w:tcPr>
            <w:tcW w:w="371" w:type="pct"/>
            <w:vAlign w:val="center"/>
          </w:tcPr>
          <w:p>
            <w:pPr>
              <w:snapToGrid w:val="0"/>
              <w:spacing w:line="300" w:lineRule="auto"/>
              <w:jc w:val="center"/>
              <w:rPr>
                <w:sz w:val="18"/>
                <w:szCs w:val="18"/>
              </w:rPr>
            </w:pPr>
            <w:r>
              <w:rPr>
                <w:sz w:val="18"/>
                <w:szCs w:val="18"/>
              </w:rPr>
              <w:t>2</w:t>
            </w:r>
          </w:p>
        </w:tc>
        <w:tc>
          <w:tcPr>
            <w:tcW w:w="424" w:type="pct"/>
            <w:vAlign w:val="center"/>
          </w:tcPr>
          <w:p>
            <w:pPr>
              <w:snapToGrid w:val="0"/>
              <w:spacing w:line="300" w:lineRule="auto"/>
              <w:jc w:val="center"/>
              <w:rPr>
                <w:sz w:val="18"/>
                <w:szCs w:val="18"/>
              </w:rPr>
            </w:pPr>
            <w:r>
              <w:rPr>
                <w:sz w:val="18"/>
                <w:szCs w:val="18"/>
              </w:rPr>
              <w:t>设计</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选开</w:t>
            </w:r>
          </w:p>
        </w:tc>
        <w:tc>
          <w:tcPr>
            <w:tcW w:w="360" w:type="pct"/>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4</w:t>
            </w:r>
          </w:p>
        </w:tc>
        <w:tc>
          <w:tcPr>
            <w:tcW w:w="845" w:type="pct"/>
            <w:vAlign w:val="center"/>
          </w:tcPr>
          <w:p>
            <w:pPr>
              <w:snapToGrid w:val="0"/>
              <w:spacing w:line="300" w:lineRule="auto"/>
              <w:rPr>
                <w:sz w:val="18"/>
                <w:szCs w:val="18"/>
              </w:rPr>
            </w:pPr>
            <w:r>
              <w:rPr>
                <w:sz w:val="18"/>
                <w:szCs w:val="18"/>
              </w:rPr>
              <w:t>实验四 流水灯</w:t>
            </w:r>
          </w:p>
          <w:p>
            <w:pPr>
              <w:snapToGrid w:val="0"/>
              <w:spacing w:line="300" w:lineRule="auto"/>
              <w:rPr>
                <w:sz w:val="18"/>
                <w:szCs w:val="18"/>
              </w:rPr>
            </w:pPr>
            <w:r>
              <w:rPr>
                <w:sz w:val="18"/>
                <w:szCs w:val="18"/>
              </w:rPr>
              <w:t>（备注：实验三与实验四，二选一）</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掌握</w:t>
            </w:r>
            <w:r>
              <w:rPr>
                <w:rFonts w:hint="eastAsia"/>
                <w:sz w:val="18"/>
                <w:szCs w:val="18"/>
              </w:rPr>
              <w:t>Verilog</w:t>
            </w:r>
            <w:r>
              <w:rPr>
                <w:sz w:val="18"/>
                <w:szCs w:val="18"/>
              </w:rPr>
              <w:t>分频器的设计方法，能够依据现实需求，设计简单电子产品。</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外部接口定义——用开发板上的晶振作为外部时钟，用3个LED灯作为流水灯显示；</w:t>
            </w:r>
            <w:r>
              <w:rPr>
                <w:rFonts w:hint="eastAsia" w:ascii="宋体" w:hAnsi="宋体" w:cs="宋体"/>
                <w:sz w:val="18"/>
                <w:szCs w:val="18"/>
              </w:rPr>
              <w:t>②</w:t>
            </w:r>
            <w:r>
              <w:rPr>
                <w:sz w:val="18"/>
                <w:szCs w:val="18"/>
              </w:rPr>
              <w:t>内部代码实现——用加法计数器构建1秒分频器，组合移位寄存器，构建1次/每秒持续闪烁的LED灯组；</w:t>
            </w:r>
            <w:r>
              <w:rPr>
                <w:rFonts w:hint="eastAsia" w:ascii="宋体" w:hAnsi="宋体" w:cs="宋体"/>
                <w:sz w:val="18"/>
                <w:szCs w:val="18"/>
              </w:rPr>
              <w:t>③</w:t>
            </w:r>
            <w:r>
              <w:rPr>
                <w:sz w:val="18"/>
                <w:szCs w:val="18"/>
              </w:rPr>
              <w:t>配置芯片和引脚，在FPGA开发板上进行实物演示。</w:t>
            </w:r>
          </w:p>
        </w:tc>
        <w:tc>
          <w:tcPr>
            <w:tcW w:w="371" w:type="pct"/>
            <w:vAlign w:val="center"/>
          </w:tcPr>
          <w:p>
            <w:pPr>
              <w:snapToGrid w:val="0"/>
              <w:spacing w:line="300" w:lineRule="auto"/>
              <w:jc w:val="center"/>
              <w:rPr>
                <w:sz w:val="18"/>
                <w:szCs w:val="18"/>
              </w:rPr>
            </w:pPr>
            <w:r>
              <w:rPr>
                <w:sz w:val="18"/>
                <w:szCs w:val="18"/>
              </w:rPr>
              <w:t>2</w:t>
            </w:r>
          </w:p>
        </w:tc>
        <w:tc>
          <w:tcPr>
            <w:tcW w:w="424" w:type="pct"/>
            <w:vAlign w:val="center"/>
          </w:tcPr>
          <w:p>
            <w:pPr>
              <w:snapToGrid w:val="0"/>
              <w:spacing w:line="300" w:lineRule="auto"/>
              <w:jc w:val="center"/>
              <w:rPr>
                <w:sz w:val="18"/>
                <w:szCs w:val="18"/>
              </w:rPr>
            </w:pPr>
            <w:r>
              <w:rPr>
                <w:sz w:val="18"/>
                <w:szCs w:val="18"/>
              </w:rPr>
              <w:t>设计</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选开</w:t>
            </w:r>
          </w:p>
        </w:tc>
        <w:tc>
          <w:tcPr>
            <w:tcW w:w="360" w:type="pct"/>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5</w:t>
            </w:r>
          </w:p>
        </w:tc>
        <w:tc>
          <w:tcPr>
            <w:tcW w:w="845" w:type="pct"/>
            <w:vAlign w:val="center"/>
          </w:tcPr>
          <w:p>
            <w:pPr>
              <w:snapToGrid w:val="0"/>
              <w:spacing w:line="300" w:lineRule="auto"/>
              <w:rPr>
                <w:sz w:val="18"/>
                <w:szCs w:val="18"/>
              </w:rPr>
            </w:pPr>
            <w:r>
              <w:rPr>
                <w:sz w:val="18"/>
                <w:szCs w:val="18"/>
              </w:rPr>
              <w:t>实验五 基于状态机的计数器</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能够利用</w:t>
            </w:r>
            <w:r>
              <w:rPr>
                <w:rFonts w:hint="eastAsia"/>
                <w:sz w:val="18"/>
                <w:szCs w:val="18"/>
              </w:rPr>
              <w:t>Verilog</w:t>
            </w:r>
            <w:r>
              <w:rPr>
                <w:sz w:val="18"/>
                <w:szCs w:val="18"/>
              </w:rPr>
              <w:t>有限状态机的设计方法搭建各种时序电路。</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外部接口定义——用开发板上的晶振作为外部时钟，用7段数码显示0~99计数器结果；</w:t>
            </w:r>
            <w:r>
              <w:rPr>
                <w:rFonts w:hint="eastAsia" w:ascii="宋体" w:hAnsi="宋体" w:cs="宋体"/>
                <w:sz w:val="18"/>
                <w:szCs w:val="18"/>
              </w:rPr>
              <w:t>②</w:t>
            </w:r>
            <w:r>
              <w:rPr>
                <w:sz w:val="18"/>
                <w:szCs w:val="18"/>
              </w:rPr>
              <w:t>内部代码实现——用加法计数器构建1秒分频器，</w:t>
            </w:r>
            <w:r>
              <w:rPr>
                <w:rFonts w:hint="eastAsia"/>
                <w:sz w:val="18"/>
                <w:szCs w:val="18"/>
              </w:rPr>
              <w:t>用两个基于状态机的加法计数器分别实现0~9的个位与十位的计数，其中个位数的进位信号作为十位的输入时钟信号；用BCD码转换器实现二进制与十进制转换；用加法计数器、BCD码转换器与七段数码管二进制转换器作为元件搭建系统；</w:t>
            </w:r>
            <w:r>
              <w:rPr>
                <w:rFonts w:hint="eastAsia" w:ascii="宋体" w:hAnsi="宋体" w:cs="宋体"/>
                <w:sz w:val="18"/>
                <w:szCs w:val="18"/>
              </w:rPr>
              <w:t>③</w:t>
            </w:r>
            <w:r>
              <w:rPr>
                <w:sz w:val="18"/>
                <w:szCs w:val="18"/>
              </w:rPr>
              <w:t>配置芯片和引脚，在FPGA开发板上进行实物演示。</w:t>
            </w:r>
          </w:p>
        </w:tc>
        <w:tc>
          <w:tcPr>
            <w:tcW w:w="371" w:type="pct"/>
            <w:vAlign w:val="center"/>
          </w:tcPr>
          <w:p>
            <w:pPr>
              <w:snapToGrid w:val="0"/>
              <w:spacing w:line="300" w:lineRule="auto"/>
              <w:jc w:val="center"/>
              <w:rPr>
                <w:sz w:val="18"/>
                <w:szCs w:val="18"/>
              </w:rPr>
            </w:pPr>
            <w:r>
              <w:rPr>
                <w:sz w:val="18"/>
                <w:szCs w:val="18"/>
              </w:rPr>
              <w:t>4</w:t>
            </w:r>
          </w:p>
        </w:tc>
        <w:tc>
          <w:tcPr>
            <w:tcW w:w="424" w:type="pct"/>
            <w:vAlign w:val="center"/>
          </w:tcPr>
          <w:p>
            <w:pPr>
              <w:snapToGrid w:val="0"/>
              <w:spacing w:line="300" w:lineRule="auto"/>
              <w:jc w:val="center"/>
              <w:rPr>
                <w:sz w:val="18"/>
                <w:szCs w:val="18"/>
              </w:rPr>
            </w:pPr>
            <w:r>
              <w:rPr>
                <w:sz w:val="18"/>
                <w:szCs w:val="18"/>
              </w:rPr>
              <w:t>设计</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必开</w:t>
            </w:r>
          </w:p>
        </w:tc>
        <w:tc>
          <w:tcPr>
            <w:tcW w:w="360" w:type="pct"/>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6</w:t>
            </w:r>
          </w:p>
        </w:tc>
        <w:tc>
          <w:tcPr>
            <w:tcW w:w="845" w:type="pct"/>
            <w:vAlign w:val="center"/>
          </w:tcPr>
          <w:p>
            <w:pPr>
              <w:snapToGrid w:val="0"/>
              <w:spacing w:line="300" w:lineRule="auto"/>
              <w:rPr>
                <w:sz w:val="18"/>
                <w:szCs w:val="18"/>
              </w:rPr>
            </w:pPr>
            <w:r>
              <w:rPr>
                <w:sz w:val="18"/>
                <w:szCs w:val="18"/>
              </w:rPr>
              <w:t>实验六 老虎机（slot machine）</w:t>
            </w:r>
          </w:p>
          <w:p>
            <w:pPr>
              <w:snapToGrid w:val="0"/>
              <w:spacing w:line="300" w:lineRule="auto"/>
              <w:rPr>
                <w:sz w:val="18"/>
                <w:szCs w:val="18"/>
              </w:rPr>
            </w:pPr>
            <w:r>
              <w:rPr>
                <w:sz w:val="18"/>
                <w:szCs w:val="18"/>
              </w:rPr>
              <w:t>（备注：实验六、实验七与实验八，三选一）</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能够分析现实问题，完成中等复杂程度的电子产品。</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对现实问题进行需求分析；</w:t>
            </w:r>
            <w:r>
              <w:rPr>
                <w:rFonts w:hint="eastAsia" w:ascii="宋体" w:hAnsi="宋体" w:cs="宋体"/>
                <w:sz w:val="18"/>
                <w:szCs w:val="18"/>
              </w:rPr>
              <w:t>②</w:t>
            </w:r>
            <w:r>
              <w:rPr>
                <w:sz w:val="18"/>
                <w:szCs w:val="18"/>
              </w:rPr>
              <w:t>创建项目，并进行概要设计与详细设计；</w:t>
            </w:r>
            <w:r>
              <w:rPr>
                <w:rFonts w:hint="eastAsia" w:ascii="宋体" w:hAnsi="宋体" w:cs="宋体"/>
                <w:sz w:val="18"/>
                <w:szCs w:val="18"/>
              </w:rPr>
              <w:t>③</w:t>
            </w:r>
            <w:r>
              <w:rPr>
                <w:rFonts w:hint="eastAsia"/>
                <w:sz w:val="18"/>
                <w:szCs w:val="18"/>
              </w:rPr>
              <w:t>Verilog</w:t>
            </w:r>
            <w:r>
              <w:rPr>
                <w:sz w:val="18"/>
                <w:szCs w:val="18"/>
              </w:rPr>
              <w:t>编程</w:t>
            </w:r>
            <w:r>
              <w:rPr>
                <w:rFonts w:hint="eastAsia"/>
                <w:sz w:val="18"/>
                <w:szCs w:val="18"/>
              </w:rPr>
              <w:t>，至少选择一个模块采用UDP方式实现；</w:t>
            </w:r>
            <w:r>
              <w:rPr>
                <w:rFonts w:hint="eastAsia" w:ascii="宋体" w:hAnsi="宋体" w:cs="宋体"/>
                <w:sz w:val="18"/>
                <w:szCs w:val="18"/>
              </w:rPr>
              <w:t>④</w:t>
            </w:r>
            <w:r>
              <w:rPr>
                <w:sz w:val="18"/>
                <w:szCs w:val="18"/>
              </w:rPr>
              <w:t>测试与调试；</w:t>
            </w:r>
            <w:r>
              <w:rPr>
                <w:rFonts w:hint="eastAsia" w:ascii="宋体" w:hAnsi="宋体" w:cs="宋体"/>
                <w:sz w:val="18"/>
                <w:szCs w:val="18"/>
              </w:rPr>
              <w:t>⑤</w:t>
            </w:r>
            <w:r>
              <w:rPr>
                <w:sz w:val="18"/>
                <w:szCs w:val="18"/>
              </w:rPr>
              <w:t>代码注释与文档说明。</w:t>
            </w:r>
          </w:p>
        </w:tc>
        <w:tc>
          <w:tcPr>
            <w:tcW w:w="371" w:type="pct"/>
            <w:vAlign w:val="center"/>
          </w:tcPr>
          <w:p>
            <w:pPr>
              <w:snapToGrid w:val="0"/>
              <w:spacing w:line="300" w:lineRule="auto"/>
              <w:jc w:val="center"/>
              <w:rPr>
                <w:sz w:val="18"/>
                <w:szCs w:val="18"/>
              </w:rPr>
            </w:pPr>
            <w:r>
              <w:rPr>
                <w:sz w:val="18"/>
                <w:szCs w:val="18"/>
              </w:rPr>
              <w:t>4</w:t>
            </w:r>
          </w:p>
        </w:tc>
        <w:tc>
          <w:tcPr>
            <w:tcW w:w="424" w:type="pct"/>
            <w:vAlign w:val="center"/>
          </w:tcPr>
          <w:p>
            <w:pPr>
              <w:snapToGrid w:val="0"/>
              <w:spacing w:line="300" w:lineRule="auto"/>
              <w:jc w:val="center"/>
              <w:rPr>
                <w:sz w:val="18"/>
                <w:szCs w:val="18"/>
              </w:rPr>
            </w:pPr>
            <w:r>
              <w:rPr>
                <w:sz w:val="18"/>
                <w:szCs w:val="18"/>
              </w:rPr>
              <w:t>综合</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选开</w:t>
            </w:r>
          </w:p>
        </w:tc>
        <w:tc>
          <w:tcPr>
            <w:tcW w:w="360"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7</w:t>
            </w:r>
          </w:p>
        </w:tc>
        <w:tc>
          <w:tcPr>
            <w:tcW w:w="845" w:type="pct"/>
            <w:vAlign w:val="center"/>
          </w:tcPr>
          <w:p>
            <w:pPr>
              <w:snapToGrid w:val="0"/>
              <w:spacing w:line="300" w:lineRule="auto"/>
              <w:rPr>
                <w:sz w:val="18"/>
                <w:szCs w:val="18"/>
              </w:rPr>
            </w:pPr>
            <w:r>
              <w:rPr>
                <w:sz w:val="18"/>
                <w:szCs w:val="18"/>
              </w:rPr>
              <w:t>实验七 “心跳”点阵</w:t>
            </w:r>
          </w:p>
          <w:p>
            <w:pPr>
              <w:snapToGrid w:val="0"/>
              <w:spacing w:line="300" w:lineRule="auto"/>
              <w:rPr>
                <w:sz w:val="18"/>
                <w:szCs w:val="18"/>
              </w:rPr>
            </w:pPr>
            <w:r>
              <w:rPr>
                <w:sz w:val="18"/>
                <w:szCs w:val="18"/>
              </w:rPr>
              <w:t>（备注：实验六、实验七与实验八，三选一）</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能够分析现实问题，完成中等复杂程度的电子产品。</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对现实问题进行需求分析；</w:t>
            </w:r>
            <w:r>
              <w:rPr>
                <w:rFonts w:hint="eastAsia" w:ascii="宋体" w:hAnsi="宋体" w:cs="宋体"/>
                <w:sz w:val="18"/>
                <w:szCs w:val="18"/>
              </w:rPr>
              <w:t>②</w:t>
            </w:r>
            <w:r>
              <w:rPr>
                <w:sz w:val="18"/>
                <w:szCs w:val="18"/>
              </w:rPr>
              <w:t>创建项目，并进行概要设计与详细设计；</w:t>
            </w:r>
            <w:r>
              <w:rPr>
                <w:rFonts w:hint="eastAsia" w:ascii="宋体" w:hAnsi="宋体" w:cs="宋体"/>
                <w:sz w:val="18"/>
                <w:szCs w:val="18"/>
              </w:rPr>
              <w:t>③</w:t>
            </w:r>
            <w:r>
              <w:rPr>
                <w:rFonts w:hint="eastAsia"/>
                <w:sz w:val="18"/>
                <w:szCs w:val="18"/>
              </w:rPr>
              <w:t>Verilog</w:t>
            </w:r>
            <w:r>
              <w:rPr>
                <w:sz w:val="18"/>
                <w:szCs w:val="18"/>
              </w:rPr>
              <w:t>编程</w:t>
            </w:r>
            <w:r>
              <w:rPr>
                <w:rFonts w:hint="eastAsia"/>
                <w:sz w:val="18"/>
                <w:szCs w:val="18"/>
              </w:rPr>
              <w:t>，至少选择一个模块采用UDP方式实现</w:t>
            </w:r>
            <w:r>
              <w:rPr>
                <w:sz w:val="18"/>
                <w:szCs w:val="18"/>
              </w:rPr>
              <w:t>；</w:t>
            </w:r>
            <w:r>
              <w:rPr>
                <w:rFonts w:hint="eastAsia" w:ascii="宋体" w:hAnsi="宋体" w:cs="宋体"/>
                <w:sz w:val="18"/>
                <w:szCs w:val="18"/>
              </w:rPr>
              <w:t>④</w:t>
            </w:r>
            <w:r>
              <w:rPr>
                <w:sz w:val="18"/>
                <w:szCs w:val="18"/>
              </w:rPr>
              <w:t>测试与调试；</w:t>
            </w:r>
            <w:r>
              <w:rPr>
                <w:rFonts w:hint="eastAsia" w:ascii="宋体" w:hAnsi="宋体" w:cs="宋体"/>
                <w:sz w:val="18"/>
                <w:szCs w:val="18"/>
              </w:rPr>
              <w:t>⑤</w:t>
            </w:r>
            <w:r>
              <w:rPr>
                <w:sz w:val="18"/>
                <w:szCs w:val="18"/>
              </w:rPr>
              <w:t>代码注释与文档说明。</w:t>
            </w:r>
          </w:p>
        </w:tc>
        <w:tc>
          <w:tcPr>
            <w:tcW w:w="371" w:type="pct"/>
            <w:vAlign w:val="center"/>
          </w:tcPr>
          <w:p>
            <w:pPr>
              <w:snapToGrid w:val="0"/>
              <w:spacing w:line="300" w:lineRule="auto"/>
              <w:jc w:val="center"/>
              <w:rPr>
                <w:sz w:val="18"/>
                <w:szCs w:val="18"/>
              </w:rPr>
            </w:pPr>
            <w:r>
              <w:rPr>
                <w:sz w:val="18"/>
                <w:szCs w:val="18"/>
              </w:rPr>
              <w:t>4</w:t>
            </w:r>
          </w:p>
        </w:tc>
        <w:tc>
          <w:tcPr>
            <w:tcW w:w="424" w:type="pct"/>
            <w:vAlign w:val="center"/>
          </w:tcPr>
          <w:p>
            <w:pPr>
              <w:snapToGrid w:val="0"/>
              <w:spacing w:line="300" w:lineRule="auto"/>
              <w:jc w:val="center"/>
              <w:rPr>
                <w:sz w:val="18"/>
                <w:szCs w:val="18"/>
              </w:rPr>
            </w:pPr>
            <w:r>
              <w:rPr>
                <w:sz w:val="18"/>
                <w:szCs w:val="18"/>
              </w:rPr>
              <w:t>综合</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选开</w:t>
            </w:r>
          </w:p>
        </w:tc>
        <w:tc>
          <w:tcPr>
            <w:tcW w:w="360"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snapToGrid w:val="0"/>
              <w:spacing w:line="300" w:lineRule="auto"/>
              <w:jc w:val="center"/>
              <w:rPr>
                <w:sz w:val="18"/>
                <w:szCs w:val="18"/>
              </w:rPr>
            </w:pPr>
            <w:r>
              <w:rPr>
                <w:sz w:val="18"/>
                <w:szCs w:val="18"/>
              </w:rPr>
              <w:t>8</w:t>
            </w:r>
          </w:p>
        </w:tc>
        <w:tc>
          <w:tcPr>
            <w:tcW w:w="845" w:type="pct"/>
            <w:vAlign w:val="center"/>
          </w:tcPr>
          <w:p>
            <w:pPr>
              <w:snapToGrid w:val="0"/>
              <w:spacing w:line="300" w:lineRule="auto"/>
              <w:rPr>
                <w:sz w:val="18"/>
                <w:szCs w:val="18"/>
              </w:rPr>
            </w:pPr>
            <w:r>
              <w:rPr>
                <w:sz w:val="18"/>
                <w:szCs w:val="18"/>
              </w:rPr>
              <w:t>实验八 “两只老虎”歌曲演奏</w:t>
            </w:r>
          </w:p>
          <w:p>
            <w:pPr>
              <w:snapToGrid w:val="0"/>
              <w:spacing w:line="300" w:lineRule="auto"/>
              <w:rPr>
                <w:sz w:val="18"/>
                <w:szCs w:val="18"/>
              </w:rPr>
            </w:pPr>
            <w:r>
              <w:rPr>
                <w:sz w:val="18"/>
                <w:szCs w:val="18"/>
              </w:rPr>
              <w:t>（备注：实验六、实验七与实验八，三选一）</w:t>
            </w:r>
          </w:p>
        </w:tc>
        <w:tc>
          <w:tcPr>
            <w:tcW w:w="1894" w:type="pct"/>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能够分析现实问题，完成中等复杂程度的电子产品。</w:t>
            </w:r>
          </w:p>
          <w:p>
            <w:pPr>
              <w:snapToGrid w:val="0"/>
              <w:spacing w:line="300" w:lineRule="auto"/>
              <w:rPr>
                <w:sz w:val="18"/>
                <w:szCs w:val="18"/>
              </w:rPr>
            </w:pPr>
            <w:r>
              <w:rPr>
                <w:sz w:val="18"/>
                <w:szCs w:val="18"/>
              </w:rPr>
              <w:t>要求：</w:t>
            </w:r>
          </w:p>
          <w:p>
            <w:pPr>
              <w:snapToGrid w:val="0"/>
              <w:spacing w:line="300" w:lineRule="auto"/>
              <w:rPr>
                <w:sz w:val="18"/>
                <w:szCs w:val="18"/>
              </w:rPr>
            </w:pPr>
            <w:r>
              <w:rPr>
                <w:rFonts w:hint="eastAsia" w:ascii="宋体" w:hAnsi="宋体" w:cs="宋体"/>
                <w:sz w:val="18"/>
                <w:szCs w:val="18"/>
              </w:rPr>
              <w:t>①</w:t>
            </w:r>
            <w:r>
              <w:rPr>
                <w:sz w:val="18"/>
                <w:szCs w:val="18"/>
              </w:rPr>
              <w:t>对现实问题进行需求分析；</w:t>
            </w:r>
            <w:r>
              <w:rPr>
                <w:rFonts w:hint="eastAsia" w:ascii="宋体" w:hAnsi="宋体" w:cs="宋体"/>
                <w:sz w:val="18"/>
                <w:szCs w:val="18"/>
              </w:rPr>
              <w:t>②</w:t>
            </w:r>
            <w:r>
              <w:rPr>
                <w:sz w:val="18"/>
                <w:szCs w:val="18"/>
              </w:rPr>
              <w:t>创建项目，并进行概要设计与详细设计；</w:t>
            </w:r>
            <w:r>
              <w:rPr>
                <w:rFonts w:hint="eastAsia" w:ascii="宋体" w:hAnsi="宋体" w:cs="宋体"/>
                <w:sz w:val="18"/>
                <w:szCs w:val="18"/>
              </w:rPr>
              <w:t>③</w:t>
            </w:r>
            <w:r>
              <w:rPr>
                <w:rFonts w:hint="eastAsia"/>
                <w:sz w:val="18"/>
                <w:szCs w:val="18"/>
              </w:rPr>
              <w:t>Verilog</w:t>
            </w:r>
            <w:r>
              <w:rPr>
                <w:sz w:val="18"/>
                <w:szCs w:val="18"/>
              </w:rPr>
              <w:t>编程</w:t>
            </w:r>
            <w:r>
              <w:rPr>
                <w:rFonts w:hint="eastAsia"/>
                <w:sz w:val="18"/>
                <w:szCs w:val="18"/>
              </w:rPr>
              <w:t>，至少选择一个模块采用UDP方式实现</w:t>
            </w:r>
            <w:r>
              <w:rPr>
                <w:sz w:val="18"/>
                <w:szCs w:val="18"/>
              </w:rPr>
              <w:t>；</w:t>
            </w:r>
            <w:r>
              <w:rPr>
                <w:rFonts w:hint="eastAsia" w:ascii="宋体" w:hAnsi="宋体" w:cs="宋体"/>
                <w:sz w:val="18"/>
                <w:szCs w:val="18"/>
              </w:rPr>
              <w:t>④</w:t>
            </w:r>
            <w:r>
              <w:rPr>
                <w:sz w:val="18"/>
                <w:szCs w:val="18"/>
              </w:rPr>
              <w:t>测试与调试；</w:t>
            </w:r>
            <w:r>
              <w:rPr>
                <w:rFonts w:hint="eastAsia" w:ascii="宋体" w:hAnsi="宋体" w:cs="宋体"/>
                <w:sz w:val="18"/>
                <w:szCs w:val="18"/>
              </w:rPr>
              <w:t>⑤</w:t>
            </w:r>
            <w:r>
              <w:rPr>
                <w:sz w:val="18"/>
                <w:szCs w:val="18"/>
              </w:rPr>
              <w:t>代码注释与文档说明。</w:t>
            </w:r>
          </w:p>
        </w:tc>
        <w:tc>
          <w:tcPr>
            <w:tcW w:w="371" w:type="pct"/>
            <w:vAlign w:val="center"/>
          </w:tcPr>
          <w:p>
            <w:pPr>
              <w:snapToGrid w:val="0"/>
              <w:spacing w:line="300" w:lineRule="auto"/>
              <w:jc w:val="center"/>
              <w:rPr>
                <w:sz w:val="18"/>
                <w:szCs w:val="18"/>
              </w:rPr>
            </w:pPr>
            <w:r>
              <w:rPr>
                <w:sz w:val="18"/>
                <w:szCs w:val="18"/>
              </w:rPr>
              <w:t>4</w:t>
            </w:r>
          </w:p>
        </w:tc>
        <w:tc>
          <w:tcPr>
            <w:tcW w:w="424" w:type="pct"/>
            <w:vAlign w:val="center"/>
          </w:tcPr>
          <w:p>
            <w:pPr>
              <w:snapToGrid w:val="0"/>
              <w:spacing w:line="300" w:lineRule="auto"/>
              <w:jc w:val="center"/>
              <w:rPr>
                <w:sz w:val="18"/>
                <w:szCs w:val="18"/>
              </w:rPr>
            </w:pPr>
            <w:r>
              <w:rPr>
                <w:sz w:val="18"/>
                <w:szCs w:val="18"/>
              </w:rPr>
              <w:t>综合</w:t>
            </w:r>
          </w:p>
        </w:tc>
        <w:tc>
          <w:tcPr>
            <w:tcW w:w="360" w:type="pct"/>
            <w:vAlign w:val="center"/>
          </w:tcPr>
          <w:p>
            <w:pPr>
              <w:snapToGrid w:val="0"/>
              <w:spacing w:line="300" w:lineRule="auto"/>
              <w:jc w:val="center"/>
              <w:rPr>
                <w:sz w:val="18"/>
                <w:szCs w:val="18"/>
              </w:rPr>
            </w:pPr>
            <w:r>
              <w:rPr>
                <w:sz w:val="18"/>
                <w:szCs w:val="18"/>
              </w:rPr>
              <w:t>2</w:t>
            </w:r>
          </w:p>
        </w:tc>
        <w:tc>
          <w:tcPr>
            <w:tcW w:w="396" w:type="pct"/>
            <w:vAlign w:val="center"/>
          </w:tcPr>
          <w:p>
            <w:pPr>
              <w:snapToGrid w:val="0"/>
              <w:spacing w:line="300" w:lineRule="auto"/>
              <w:jc w:val="center"/>
              <w:rPr>
                <w:sz w:val="18"/>
                <w:szCs w:val="18"/>
              </w:rPr>
            </w:pPr>
            <w:r>
              <w:rPr>
                <w:sz w:val="18"/>
                <w:szCs w:val="18"/>
              </w:rPr>
              <w:t>选开</w:t>
            </w:r>
          </w:p>
        </w:tc>
        <w:tc>
          <w:tcPr>
            <w:tcW w:w="360" w:type="pct"/>
            <w:vAlign w:val="center"/>
          </w:tcPr>
          <w:p>
            <w:pPr>
              <w:snapToGrid w:val="0"/>
              <w:spacing w:line="300" w:lineRule="auto"/>
              <w:jc w:val="center"/>
              <w:rPr>
                <w:sz w:val="18"/>
                <w:szCs w:val="18"/>
              </w:rPr>
            </w:pPr>
            <w:r>
              <w:rPr>
                <w:sz w:val="18"/>
                <w:szCs w:val="18"/>
              </w:rPr>
              <w:t>2</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w:t>
      </w:r>
      <w:r>
        <w:rPr>
          <w:kern w:val="0"/>
          <w:szCs w:val="21"/>
        </w:rPr>
        <w:t>．</w:t>
      </w:r>
      <w:r>
        <w:t>考核方式：课程设计论文，作业，实验。</w:t>
      </w:r>
    </w:p>
    <w:p>
      <w:pPr>
        <w:snapToGrid w:val="0"/>
        <w:spacing w:line="300" w:lineRule="auto"/>
        <w:ind w:firstLine="420" w:firstLineChars="200"/>
      </w:pPr>
      <w:r>
        <w:t>2</w:t>
      </w:r>
      <w:r>
        <w:rPr>
          <w:kern w:val="0"/>
          <w:szCs w:val="21"/>
        </w:rPr>
        <w:t>．</w:t>
      </w:r>
      <w:r>
        <w:t>成绩评定：课程设计论文成绩60%，平时成绩40%（作业</w:t>
      </w:r>
      <w:r>
        <w:rPr>
          <w:rFonts w:hint="eastAsia"/>
        </w:rPr>
        <w:t>与</w:t>
      </w:r>
      <w:r>
        <w:t>实验）。</w:t>
      </w:r>
    </w:p>
    <w:p>
      <w:pPr>
        <w:snapToGrid w:val="0"/>
        <w:spacing w:line="300" w:lineRule="auto"/>
        <w:ind w:firstLine="420" w:firstLineChars="200"/>
      </w:pPr>
      <w:r>
        <w:t>3</w:t>
      </w:r>
      <w:r>
        <w:rPr>
          <w:kern w:val="0"/>
          <w:szCs w:val="21"/>
        </w:rPr>
        <w:t>．</w:t>
      </w:r>
      <w:r>
        <w:t>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578"/>
        <w:gridCol w:w="578"/>
        <w:gridCol w:w="682"/>
        <w:gridCol w:w="643"/>
        <w:gridCol w:w="4060"/>
        <w:gridCol w:w="668"/>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sz w:val="18"/>
                <w:szCs w:val="18"/>
              </w:rPr>
            </w:pPr>
            <w:r>
              <w:rPr>
                <w:b/>
                <w:bCs/>
                <w:sz w:val="18"/>
                <w:szCs w:val="18"/>
              </w:rPr>
              <w:t>类型</w:t>
            </w:r>
          </w:p>
        </w:tc>
        <w:tc>
          <w:tcPr>
            <w:tcW w:w="339" w:type="pct"/>
            <w:vAlign w:val="center"/>
          </w:tcPr>
          <w:p>
            <w:pPr>
              <w:snapToGrid w:val="0"/>
              <w:spacing w:line="300" w:lineRule="auto"/>
              <w:jc w:val="center"/>
              <w:rPr>
                <w:sz w:val="18"/>
                <w:szCs w:val="18"/>
              </w:rPr>
            </w:pPr>
            <w:r>
              <w:rPr>
                <w:b/>
                <w:bCs/>
                <w:sz w:val="18"/>
                <w:szCs w:val="18"/>
              </w:rPr>
              <w:t>分值</w:t>
            </w:r>
          </w:p>
        </w:tc>
        <w:tc>
          <w:tcPr>
            <w:tcW w:w="339" w:type="pct"/>
            <w:vAlign w:val="center"/>
          </w:tcPr>
          <w:p>
            <w:pPr>
              <w:snapToGrid w:val="0"/>
              <w:spacing w:line="300" w:lineRule="auto"/>
              <w:jc w:val="center"/>
              <w:rPr>
                <w:sz w:val="18"/>
                <w:szCs w:val="18"/>
              </w:rPr>
            </w:pPr>
            <w:r>
              <w:rPr>
                <w:b/>
                <w:bCs/>
                <w:sz w:val="18"/>
                <w:szCs w:val="18"/>
              </w:rPr>
              <w:t>权重</w:t>
            </w:r>
          </w:p>
        </w:tc>
        <w:tc>
          <w:tcPr>
            <w:tcW w:w="400" w:type="pct"/>
            <w:vAlign w:val="center"/>
          </w:tcPr>
          <w:p>
            <w:pPr>
              <w:snapToGrid w:val="0"/>
              <w:spacing w:line="300" w:lineRule="auto"/>
              <w:jc w:val="center"/>
              <w:rPr>
                <w:sz w:val="18"/>
                <w:szCs w:val="18"/>
              </w:rPr>
            </w:pPr>
            <w:r>
              <w:rPr>
                <w:b/>
                <w:bCs/>
                <w:sz w:val="18"/>
                <w:szCs w:val="18"/>
              </w:rPr>
              <w:t>类别</w:t>
            </w:r>
          </w:p>
        </w:tc>
        <w:tc>
          <w:tcPr>
            <w:tcW w:w="377" w:type="pct"/>
            <w:vAlign w:val="center"/>
          </w:tcPr>
          <w:p>
            <w:pPr>
              <w:snapToGrid w:val="0"/>
              <w:spacing w:line="300" w:lineRule="auto"/>
              <w:jc w:val="center"/>
              <w:rPr>
                <w:sz w:val="18"/>
                <w:szCs w:val="18"/>
              </w:rPr>
            </w:pPr>
            <w:r>
              <w:rPr>
                <w:b/>
                <w:bCs/>
                <w:sz w:val="18"/>
                <w:szCs w:val="18"/>
              </w:rPr>
              <w:t>权重</w:t>
            </w:r>
          </w:p>
        </w:tc>
        <w:tc>
          <w:tcPr>
            <w:tcW w:w="2381" w:type="pct"/>
            <w:vAlign w:val="center"/>
          </w:tcPr>
          <w:p>
            <w:pPr>
              <w:snapToGrid w:val="0"/>
              <w:spacing w:line="300" w:lineRule="auto"/>
              <w:jc w:val="center"/>
              <w:rPr>
                <w:sz w:val="18"/>
                <w:szCs w:val="18"/>
              </w:rPr>
            </w:pPr>
            <w:r>
              <w:rPr>
                <w:b/>
                <w:bCs/>
                <w:sz w:val="18"/>
                <w:szCs w:val="18"/>
              </w:rPr>
              <w:t>考核/评价细则</w:t>
            </w:r>
          </w:p>
        </w:tc>
        <w:tc>
          <w:tcPr>
            <w:tcW w:w="392" w:type="pct"/>
            <w:vAlign w:val="center"/>
          </w:tcPr>
          <w:p>
            <w:pPr>
              <w:snapToGrid w:val="0"/>
              <w:spacing w:line="300" w:lineRule="auto"/>
              <w:jc w:val="center"/>
              <w:rPr>
                <w:sz w:val="18"/>
                <w:szCs w:val="18"/>
              </w:rPr>
            </w:pPr>
            <w:r>
              <w:rPr>
                <w:b/>
                <w:bCs/>
                <w:sz w:val="18"/>
                <w:szCs w:val="18"/>
              </w:rPr>
              <w:t>课程目标</w:t>
            </w:r>
          </w:p>
        </w:tc>
        <w:tc>
          <w:tcPr>
            <w:tcW w:w="420" w:type="pct"/>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48" w:type="pct"/>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339" w:type="pct"/>
            <w:vMerge w:val="restart"/>
            <w:vAlign w:val="center"/>
          </w:tcPr>
          <w:p>
            <w:pPr>
              <w:snapToGrid w:val="0"/>
              <w:spacing w:line="300" w:lineRule="auto"/>
              <w:jc w:val="center"/>
              <w:rPr>
                <w:sz w:val="18"/>
                <w:szCs w:val="18"/>
              </w:rPr>
            </w:pPr>
            <w:r>
              <w:rPr>
                <w:sz w:val="18"/>
                <w:szCs w:val="18"/>
              </w:rPr>
              <w:t>100</w:t>
            </w:r>
          </w:p>
        </w:tc>
        <w:tc>
          <w:tcPr>
            <w:tcW w:w="339" w:type="pct"/>
            <w:vMerge w:val="restart"/>
            <w:vAlign w:val="center"/>
          </w:tcPr>
          <w:p>
            <w:pPr>
              <w:snapToGrid w:val="0"/>
              <w:spacing w:line="300" w:lineRule="auto"/>
              <w:jc w:val="center"/>
              <w:rPr>
                <w:sz w:val="18"/>
                <w:szCs w:val="18"/>
              </w:rPr>
            </w:pPr>
            <w:r>
              <w:rPr>
                <w:sz w:val="18"/>
                <w:szCs w:val="18"/>
              </w:rPr>
              <w:t>0.4</w:t>
            </w:r>
          </w:p>
        </w:tc>
        <w:tc>
          <w:tcPr>
            <w:tcW w:w="400" w:type="pct"/>
            <w:vAlign w:val="center"/>
          </w:tcPr>
          <w:p>
            <w:pPr>
              <w:snapToGrid w:val="0"/>
              <w:spacing w:line="300" w:lineRule="auto"/>
              <w:rPr>
                <w:sz w:val="18"/>
                <w:szCs w:val="18"/>
              </w:rPr>
            </w:pPr>
            <w:r>
              <w:rPr>
                <w:sz w:val="18"/>
                <w:szCs w:val="18"/>
              </w:rPr>
              <w:t>作业</w:t>
            </w:r>
          </w:p>
        </w:tc>
        <w:tc>
          <w:tcPr>
            <w:tcW w:w="377" w:type="pct"/>
            <w:vAlign w:val="center"/>
          </w:tcPr>
          <w:p>
            <w:pPr>
              <w:snapToGrid w:val="0"/>
              <w:spacing w:line="300" w:lineRule="auto"/>
              <w:jc w:val="center"/>
              <w:rPr>
                <w:sz w:val="18"/>
                <w:szCs w:val="18"/>
              </w:rPr>
            </w:pPr>
            <w:r>
              <w:rPr>
                <w:sz w:val="18"/>
                <w:szCs w:val="18"/>
              </w:rPr>
              <w:t>0.</w:t>
            </w:r>
            <w:r>
              <w:rPr>
                <w:rFonts w:hint="eastAsia"/>
                <w:sz w:val="18"/>
                <w:szCs w:val="18"/>
              </w:rPr>
              <w:t>25</w:t>
            </w:r>
          </w:p>
        </w:tc>
        <w:tc>
          <w:tcPr>
            <w:tcW w:w="2381" w:type="pct"/>
            <w:vAlign w:val="center"/>
          </w:tcPr>
          <w:p>
            <w:pPr>
              <w:snapToGrid w:val="0"/>
              <w:spacing w:line="300" w:lineRule="auto"/>
              <w:rPr>
                <w:sz w:val="18"/>
                <w:szCs w:val="18"/>
              </w:rPr>
            </w:pPr>
            <w:r>
              <w:rPr>
                <w:sz w:val="18"/>
                <w:szCs w:val="18"/>
              </w:rPr>
              <w:t>主要考核学生对每章节知识点的理解和掌握程度</w:t>
            </w:r>
            <w:r>
              <w:rPr>
                <w:rFonts w:hint="eastAsia"/>
                <w:sz w:val="18"/>
                <w:szCs w:val="18"/>
              </w:rPr>
              <w:t>，并通过Quartus软件编写与验证代码</w:t>
            </w:r>
            <w:r>
              <w:rPr>
                <w:sz w:val="18"/>
                <w:szCs w:val="18"/>
              </w:rPr>
              <w:t>，</w:t>
            </w:r>
            <w:r>
              <w:rPr>
                <w:rFonts w:hint="eastAsia"/>
                <w:sz w:val="18"/>
                <w:szCs w:val="18"/>
              </w:rPr>
              <w:t>占</w:t>
            </w:r>
            <w:r>
              <w:rPr>
                <w:sz w:val="18"/>
                <w:szCs w:val="18"/>
              </w:rPr>
              <w:t>课程总评成绩10分</w:t>
            </w:r>
          </w:p>
        </w:tc>
        <w:tc>
          <w:tcPr>
            <w:tcW w:w="392" w:type="pct"/>
            <w:vAlign w:val="center"/>
          </w:tcPr>
          <w:p>
            <w:pPr>
              <w:snapToGrid w:val="0"/>
              <w:spacing w:line="300" w:lineRule="auto"/>
              <w:jc w:val="center"/>
              <w:rPr>
                <w:sz w:val="18"/>
                <w:szCs w:val="18"/>
              </w:rPr>
            </w:pPr>
            <w:r>
              <w:rPr>
                <w:sz w:val="18"/>
                <w:szCs w:val="18"/>
              </w:rPr>
              <w:t>1</w:t>
            </w:r>
          </w:p>
        </w:tc>
        <w:tc>
          <w:tcPr>
            <w:tcW w:w="420" w:type="pct"/>
            <w:vAlign w:val="center"/>
          </w:tcPr>
          <w:p>
            <w:pPr>
              <w:snapToGrid w:val="0"/>
              <w:spacing w:line="300" w:lineRule="auto"/>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Merge w:val="continue"/>
            <w:vAlign w:val="center"/>
          </w:tcPr>
          <w:p>
            <w:pPr>
              <w:snapToGrid w:val="0"/>
              <w:spacing w:line="300" w:lineRule="auto"/>
              <w:rPr>
                <w:sz w:val="18"/>
                <w:szCs w:val="18"/>
              </w:rPr>
            </w:pPr>
          </w:p>
        </w:tc>
        <w:tc>
          <w:tcPr>
            <w:tcW w:w="339" w:type="pct"/>
            <w:vMerge w:val="continue"/>
            <w:vAlign w:val="center"/>
          </w:tcPr>
          <w:p>
            <w:pPr>
              <w:snapToGrid w:val="0"/>
              <w:spacing w:line="300" w:lineRule="auto"/>
              <w:jc w:val="center"/>
              <w:rPr>
                <w:sz w:val="18"/>
                <w:szCs w:val="18"/>
              </w:rPr>
            </w:pPr>
          </w:p>
        </w:tc>
        <w:tc>
          <w:tcPr>
            <w:tcW w:w="339" w:type="pct"/>
            <w:vMerge w:val="continue"/>
            <w:vAlign w:val="center"/>
          </w:tcPr>
          <w:p>
            <w:pPr>
              <w:snapToGrid w:val="0"/>
              <w:spacing w:line="300" w:lineRule="auto"/>
              <w:jc w:val="center"/>
              <w:rPr>
                <w:sz w:val="18"/>
                <w:szCs w:val="18"/>
              </w:rPr>
            </w:pPr>
          </w:p>
        </w:tc>
        <w:tc>
          <w:tcPr>
            <w:tcW w:w="400" w:type="pct"/>
            <w:vAlign w:val="center"/>
          </w:tcPr>
          <w:p>
            <w:pPr>
              <w:snapToGrid w:val="0"/>
              <w:spacing w:line="300" w:lineRule="auto"/>
              <w:rPr>
                <w:sz w:val="18"/>
                <w:szCs w:val="18"/>
              </w:rPr>
            </w:pPr>
            <w:r>
              <w:rPr>
                <w:sz w:val="18"/>
                <w:szCs w:val="18"/>
              </w:rPr>
              <w:t>实验</w:t>
            </w:r>
          </w:p>
        </w:tc>
        <w:tc>
          <w:tcPr>
            <w:tcW w:w="377" w:type="pct"/>
            <w:vAlign w:val="center"/>
          </w:tcPr>
          <w:p>
            <w:pPr>
              <w:snapToGrid w:val="0"/>
              <w:spacing w:line="300" w:lineRule="auto"/>
              <w:jc w:val="center"/>
              <w:rPr>
                <w:sz w:val="18"/>
                <w:szCs w:val="18"/>
              </w:rPr>
            </w:pPr>
            <w:r>
              <w:rPr>
                <w:sz w:val="18"/>
                <w:szCs w:val="18"/>
              </w:rPr>
              <w:t>0.</w:t>
            </w:r>
            <w:r>
              <w:rPr>
                <w:rFonts w:hint="eastAsia"/>
                <w:sz w:val="18"/>
                <w:szCs w:val="18"/>
              </w:rPr>
              <w:t>75</w:t>
            </w:r>
          </w:p>
        </w:tc>
        <w:tc>
          <w:tcPr>
            <w:tcW w:w="2381" w:type="pct"/>
            <w:vAlign w:val="center"/>
          </w:tcPr>
          <w:p>
            <w:pPr>
              <w:snapToGrid w:val="0"/>
              <w:spacing w:line="300" w:lineRule="auto"/>
              <w:rPr>
                <w:sz w:val="18"/>
                <w:szCs w:val="18"/>
              </w:rPr>
            </w:pPr>
            <w:r>
              <w:rPr>
                <w:sz w:val="18"/>
                <w:szCs w:val="18"/>
              </w:rPr>
              <w:t>依据</w:t>
            </w:r>
            <w:r>
              <w:rPr>
                <w:rFonts w:hint="eastAsia"/>
                <w:sz w:val="18"/>
                <w:szCs w:val="18"/>
              </w:rPr>
              <w:t>5次</w:t>
            </w:r>
            <w:r>
              <w:rPr>
                <w:sz w:val="18"/>
                <w:szCs w:val="18"/>
              </w:rPr>
              <w:t>实验课堂提问验收成绩（</w:t>
            </w:r>
            <w:r>
              <w:rPr>
                <w:rFonts w:hint="eastAsia"/>
                <w:sz w:val="18"/>
                <w:szCs w:val="18"/>
              </w:rPr>
              <w:t>5*5</w:t>
            </w:r>
            <w:r>
              <w:rPr>
                <w:sz w:val="18"/>
                <w:szCs w:val="18"/>
              </w:rPr>
              <w:t>分），以及实验报告评分（</w:t>
            </w:r>
            <w:r>
              <w:rPr>
                <w:rFonts w:hint="eastAsia"/>
                <w:sz w:val="18"/>
                <w:szCs w:val="18"/>
              </w:rPr>
              <w:t>5</w:t>
            </w:r>
            <w:r>
              <w:rPr>
                <w:sz w:val="18"/>
                <w:szCs w:val="18"/>
              </w:rPr>
              <w:t>分），</w:t>
            </w:r>
            <w:r>
              <w:rPr>
                <w:rFonts w:hint="eastAsia"/>
                <w:sz w:val="18"/>
                <w:szCs w:val="18"/>
              </w:rPr>
              <w:t>占</w:t>
            </w:r>
            <w:r>
              <w:rPr>
                <w:sz w:val="18"/>
                <w:szCs w:val="18"/>
              </w:rPr>
              <w:t>课程总评成绩</w:t>
            </w:r>
            <w:r>
              <w:rPr>
                <w:rFonts w:hint="eastAsia"/>
                <w:sz w:val="18"/>
                <w:szCs w:val="18"/>
              </w:rPr>
              <w:t>3</w:t>
            </w:r>
            <w:r>
              <w:rPr>
                <w:sz w:val="18"/>
                <w:szCs w:val="18"/>
              </w:rPr>
              <w:t>0分</w:t>
            </w:r>
          </w:p>
        </w:tc>
        <w:tc>
          <w:tcPr>
            <w:tcW w:w="392" w:type="pct"/>
            <w:vAlign w:val="center"/>
          </w:tcPr>
          <w:p>
            <w:pPr>
              <w:snapToGrid w:val="0"/>
              <w:spacing w:line="300" w:lineRule="auto"/>
              <w:jc w:val="center"/>
              <w:rPr>
                <w:sz w:val="18"/>
                <w:szCs w:val="18"/>
              </w:rPr>
            </w:pPr>
            <w:r>
              <w:rPr>
                <w:rFonts w:hint="eastAsia"/>
                <w:sz w:val="18"/>
                <w:szCs w:val="18"/>
              </w:rPr>
              <w:t>2</w:t>
            </w:r>
          </w:p>
        </w:tc>
        <w:tc>
          <w:tcPr>
            <w:tcW w:w="420" w:type="pct"/>
            <w:vAlign w:val="center"/>
          </w:tcPr>
          <w:p>
            <w:pPr>
              <w:snapToGrid w:val="0"/>
              <w:spacing w:line="300" w:lineRule="auto"/>
              <w:rPr>
                <w:sz w:val="18"/>
                <w:szCs w:val="18"/>
              </w:rPr>
            </w:pPr>
            <w:r>
              <w:rPr>
                <w:rFonts w:hint="eastAsia"/>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48" w:type="pct"/>
            <w:vAlign w:val="center"/>
          </w:tcPr>
          <w:p>
            <w:pPr>
              <w:snapToGrid w:val="0"/>
              <w:spacing w:line="300" w:lineRule="auto"/>
              <w:rPr>
                <w:sz w:val="18"/>
                <w:szCs w:val="18"/>
              </w:rPr>
            </w:pPr>
            <w:r>
              <w:rPr>
                <w:sz w:val="18"/>
                <w:szCs w:val="18"/>
              </w:rPr>
              <w:t>期末</w:t>
            </w:r>
          </w:p>
          <w:p>
            <w:pPr>
              <w:snapToGrid w:val="0"/>
              <w:spacing w:line="300" w:lineRule="auto"/>
              <w:rPr>
                <w:sz w:val="18"/>
                <w:szCs w:val="18"/>
              </w:rPr>
            </w:pPr>
            <w:r>
              <w:rPr>
                <w:sz w:val="18"/>
                <w:szCs w:val="18"/>
              </w:rPr>
              <w:t>成绩</w:t>
            </w:r>
          </w:p>
        </w:tc>
        <w:tc>
          <w:tcPr>
            <w:tcW w:w="339" w:type="pct"/>
            <w:vAlign w:val="center"/>
          </w:tcPr>
          <w:p>
            <w:pPr>
              <w:snapToGrid w:val="0"/>
              <w:spacing w:line="300" w:lineRule="auto"/>
              <w:jc w:val="center"/>
              <w:rPr>
                <w:sz w:val="18"/>
                <w:szCs w:val="18"/>
              </w:rPr>
            </w:pPr>
            <w:r>
              <w:rPr>
                <w:sz w:val="18"/>
                <w:szCs w:val="18"/>
              </w:rPr>
              <w:t>100</w:t>
            </w:r>
          </w:p>
        </w:tc>
        <w:tc>
          <w:tcPr>
            <w:tcW w:w="339" w:type="pct"/>
            <w:vAlign w:val="center"/>
          </w:tcPr>
          <w:p>
            <w:pPr>
              <w:snapToGrid w:val="0"/>
              <w:spacing w:line="300" w:lineRule="auto"/>
              <w:jc w:val="center"/>
              <w:rPr>
                <w:sz w:val="18"/>
                <w:szCs w:val="18"/>
              </w:rPr>
            </w:pPr>
            <w:r>
              <w:rPr>
                <w:sz w:val="18"/>
                <w:szCs w:val="18"/>
              </w:rPr>
              <w:t>0.6</w:t>
            </w:r>
          </w:p>
        </w:tc>
        <w:tc>
          <w:tcPr>
            <w:tcW w:w="400" w:type="pct"/>
            <w:vAlign w:val="center"/>
          </w:tcPr>
          <w:p>
            <w:pPr>
              <w:snapToGrid w:val="0"/>
              <w:spacing w:line="300" w:lineRule="auto"/>
              <w:rPr>
                <w:sz w:val="18"/>
                <w:szCs w:val="18"/>
              </w:rPr>
            </w:pPr>
            <w:r>
              <w:rPr>
                <w:sz w:val="18"/>
                <w:szCs w:val="18"/>
              </w:rPr>
              <w:t>课程设计论文</w:t>
            </w:r>
          </w:p>
        </w:tc>
        <w:tc>
          <w:tcPr>
            <w:tcW w:w="377" w:type="pct"/>
            <w:vAlign w:val="center"/>
          </w:tcPr>
          <w:p>
            <w:pPr>
              <w:snapToGrid w:val="0"/>
              <w:spacing w:line="300" w:lineRule="auto"/>
              <w:jc w:val="center"/>
              <w:rPr>
                <w:sz w:val="18"/>
                <w:szCs w:val="18"/>
              </w:rPr>
            </w:pPr>
            <w:r>
              <w:rPr>
                <w:sz w:val="18"/>
                <w:szCs w:val="18"/>
              </w:rPr>
              <w:t>1</w:t>
            </w:r>
          </w:p>
        </w:tc>
        <w:tc>
          <w:tcPr>
            <w:tcW w:w="2381" w:type="pct"/>
            <w:vAlign w:val="center"/>
          </w:tcPr>
          <w:p>
            <w:pPr>
              <w:snapToGrid w:val="0"/>
              <w:spacing w:line="300" w:lineRule="auto"/>
              <w:rPr>
                <w:sz w:val="18"/>
                <w:szCs w:val="18"/>
              </w:rPr>
            </w:pPr>
            <w:r>
              <w:rPr>
                <w:sz w:val="18"/>
                <w:szCs w:val="18"/>
              </w:rPr>
              <w:t>每组依据选定的实践题目，编写代码，并下载到FPGA开发板上，完成所选题目的所有要求，并提交论文和代码的纸质版和电子版。由课程设计小组的组长对课程论文进行现场答辩，运行代码、演示功能以及讲解文档。依据答辩效果和论文书写水平，给予课程设计论文成绩。课程设计论文满分100，</w:t>
            </w:r>
            <w:r>
              <w:rPr>
                <w:rFonts w:hint="eastAsia"/>
                <w:sz w:val="18"/>
                <w:szCs w:val="18"/>
              </w:rPr>
              <w:t>占</w:t>
            </w:r>
            <w:r>
              <w:rPr>
                <w:sz w:val="18"/>
                <w:szCs w:val="18"/>
              </w:rPr>
              <w:t>课程总评成绩</w:t>
            </w:r>
            <w:r>
              <w:rPr>
                <w:rFonts w:hint="eastAsia"/>
                <w:sz w:val="18"/>
                <w:szCs w:val="18"/>
              </w:rPr>
              <w:t>60分，</w:t>
            </w:r>
            <w:r>
              <w:rPr>
                <w:sz w:val="18"/>
                <w:szCs w:val="18"/>
              </w:rPr>
              <w:t>从以下5点进行考核：</w:t>
            </w:r>
            <w:r>
              <w:rPr>
                <w:rFonts w:hint="eastAsia" w:ascii="宋体" w:hAnsi="宋体" w:cs="宋体"/>
                <w:sz w:val="18"/>
                <w:szCs w:val="18"/>
              </w:rPr>
              <w:t>①</w:t>
            </w:r>
            <w:r>
              <w:rPr>
                <w:sz w:val="18"/>
                <w:szCs w:val="18"/>
              </w:rPr>
              <w:t>代码注释可读性是否良好；</w:t>
            </w:r>
            <w:r>
              <w:rPr>
                <w:rFonts w:hint="eastAsia" w:ascii="宋体" w:hAnsi="宋体" w:cs="宋体"/>
                <w:sz w:val="18"/>
                <w:szCs w:val="18"/>
              </w:rPr>
              <w:t>②</w:t>
            </w:r>
            <w:r>
              <w:rPr>
                <w:sz w:val="18"/>
                <w:szCs w:val="18"/>
              </w:rPr>
              <w:t>运行结果是否正确；</w:t>
            </w:r>
            <w:r>
              <w:rPr>
                <w:rFonts w:hint="eastAsia" w:ascii="宋体" w:hAnsi="宋体" w:cs="宋体"/>
                <w:sz w:val="18"/>
                <w:szCs w:val="18"/>
              </w:rPr>
              <w:t>③</w:t>
            </w:r>
            <w:r>
              <w:rPr>
                <w:sz w:val="18"/>
                <w:szCs w:val="18"/>
              </w:rPr>
              <w:t>文档的模块设计是否合理与内容详实；</w:t>
            </w:r>
            <w:r>
              <w:rPr>
                <w:rFonts w:hint="eastAsia" w:ascii="宋体" w:hAnsi="宋体" w:cs="宋体"/>
                <w:sz w:val="18"/>
                <w:szCs w:val="18"/>
              </w:rPr>
              <w:t>④</w:t>
            </w:r>
            <w:r>
              <w:rPr>
                <w:sz w:val="18"/>
                <w:szCs w:val="18"/>
              </w:rPr>
              <w:t>答辩过程代码理解正确；</w:t>
            </w:r>
            <w:r>
              <w:rPr>
                <w:rFonts w:hint="eastAsia" w:ascii="宋体" w:hAnsi="宋体" w:cs="宋体"/>
                <w:sz w:val="18"/>
                <w:szCs w:val="18"/>
              </w:rPr>
              <w:t>⑤</w:t>
            </w:r>
            <w:r>
              <w:rPr>
                <w:sz w:val="18"/>
                <w:szCs w:val="18"/>
              </w:rPr>
              <w:t>报告格式是否规范。</w:t>
            </w:r>
          </w:p>
        </w:tc>
        <w:tc>
          <w:tcPr>
            <w:tcW w:w="392" w:type="pct"/>
            <w:vAlign w:val="center"/>
          </w:tcPr>
          <w:p>
            <w:pPr>
              <w:snapToGrid w:val="0"/>
              <w:spacing w:line="300" w:lineRule="auto"/>
              <w:jc w:val="center"/>
              <w:rPr>
                <w:sz w:val="18"/>
                <w:szCs w:val="18"/>
              </w:rPr>
            </w:pPr>
            <w:r>
              <w:rPr>
                <w:sz w:val="18"/>
                <w:szCs w:val="18"/>
              </w:rPr>
              <w:t>1，</w:t>
            </w:r>
            <w:r>
              <w:rPr>
                <w:rFonts w:hint="eastAsia"/>
                <w:sz w:val="18"/>
                <w:szCs w:val="18"/>
              </w:rPr>
              <w:t>2</w:t>
            </w:r>
          </w:p>
        </w:tc>
        <w:tc>
          <w:tcPr>
            <w:tcW w:w="420" w:type="pct"/>
            <w:vAlign w:val="center"/>
          </w:tcPr>
          <w:p>
            <w:pPr>
              <w:snapToGrid w:val="0"/>
              <w:spacing w:line="300" w:lineRule="auto"/>
              <w:rPr>
                <w:sz w:val="18"/>
                <w:szCs w:val="18"/>
              </w:rPr>
            </w:pPr>
            <w:r>
              <w:rPr>
                <w:rFonts w:hint="eastAsia"/>
                <w:sz w:val="18"/>
                <w:szCs w:val="18"/>
              </w:rPr>
              <w:t>1.2，5.1</w:t>
            </w:r>
          </w:p>
        </w:tc>
      </w:tr>
    </w:tbl>
    <w:p>
      <w:pPr>
        <w:snapToGrid w:val="0"/>
        <w:spacing w:before="156" w:beforeLines="50" w:after="156" w:afterLines="50" w:line="300" w:lineRule="auto"/>
        <w:rPr>
          <w:b/>
          <w:sz w:val="24"/>
        </w:rPr>
      </w:pPr>
    </w:p>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48"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48" DrawAspect="Content" ObjectID="_1468075846" r:id="rId169">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149"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49" DrawAspect="Content" ObjectID="_1468075847" r:id="rId170">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560"/>
        <w:gridCol w:w="2707"/>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10" w:type="pct"/>
            <w:vAlign w:val="center"/>
          </w:tcPr>
          <w:p>
            <w:pPr>
              <w:snapToGrid w:val="0"/>
              <w:spacing w:line="300" w:lineRule="auto"/>
              <w:jc w:val="center"/>
              <w:rPr>
                <w:b/>
                <w:bCs/>
                <w:sz w:val="18"/>
                <w:szCs w:val="18"/>
              </w:rPr>
            </w:pPr>
            <w:r>
              <w:rPr>
                <w:b/>
                <w:bCs/>
                <w:sz w:val="18"/>
                <w:szCs w:val="18"/>
              </w:rPr>
              <w:t>课程目标</w:t>
            </w:r>
          </w:p>
        </w:tc>
        <w:tc>
          <w:tcPr>
            <w:tcW w:w="1597" w:type="pct"/>
            <w:vAlign w:val="center"/>
          </w:tcPr>
          <w:p>
            <w:pPr>
              <w:snapToGrid w:val="0"/>
              <w:spacing w:line="300" w:lineRule="auto"/>
              <w:jc w:val="center"/>
              <w:rPr>
                <w:sz w:val="18"/>
                <w:szCs w:val="18"/>
              </w:rPr>
            </w:pPr>
            <w:r>
              <w:rPr>
                <w:sz w:val="18"/>
                <w:szCs w:val="18"/>
              </w:rPr>
              <w:t>1</w:t>
            </w:r>
          </w:p>
        </w:tc>
        <w:tc>
          <w:tcPr>
            <w:tcW w:w="1892"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10" w:type="pct"/>
            <w:vAlign w:val="center"/>
          </w:tcPr>
          <w:p>
            <w:pPr>
              <w:snapToGrid w:val="0"/>
              <w:spacing w:line="300" w:lineRule="auto"/>
              <w:jc w:val="center"/>
              <w:rPr>
                <w:b/>
                <w:bCs/>
                <w:sz w:val="18"/>
                <w:szCs w:val="18"/>
              </w:rPr>
            </w:pPr>
            <w:r>
              <w:rPr>
                <w:b/>
                <w:bCs/>
                <w:sz w:val="18"/>
                <w:szCs w:val="18"/>
              </w:rPr>
              <w:t>权重系数</w:t>
            </w:r>
          </w:p>
        </w:tc>
        <w:tc>
          <w:tcPr>
            <w:tcW w:w="1597" w:type="pct"/>
            <w:vAlign w:val="center"/>
          </w:tcPr>
          <w:p>
            <w:pPr>
              <w:snapToGrid w:val="0"/>
              <w:spacing w:line="300" w:lineRule="auto"/>
              <w:jc w:val="center"/>
              <w:rPr>
                <w:sz w:val="18"/>
                <w:szCs w:val="18"/>
              </w:rPr>
            </w:pPr>
            <w:r>
              <w:rPr>
                <w:sz w:val="18"/>
                <w:szCs w:val="18"/>
              </w:rPr>
              <w:t>0.</w:t>
            </w:r>
            <w:r>
              <w:rPr>
                <w:rFonts w:hint="eastAsia"/>
                <w:sz w:val="18"/>
                <w:szCs w:val="18"/>
              </w:rPr>
              <w:t>4</w:t>
            </w:r>
          </w:p>
        </w:tc>
        <w:tc>
          <w:tcPr>
            <w:tcW w:w="1892" w:type="pct"/>
            <w:vAlign w:val="center"/>
          </w:tcPr>
          <w:p>
            <w:pPr>
              <w:snapToGrid w:val="0"/>
              <w:spacing w:line="300" w:lineRule="auto"/>
              <w:jc w:val="center"/>
              <w:rPr>
                <w:sz w:val="18"/>
                <w:szCs w:val="18"/>
              </w:rPr>
            </w:pPr>
            <w:r>
              <w:rPr>
                <w:sz w:val="18"/>
                <w:szCs w:val="18"/>
              </w:rPr>
              <w:t>0.</w:t>
            </w:r>
            <w:r>
              <w:rPr>
                <w:rFonts w:hint="eastAsia"/>
                <w:sz w:val="18"/>
                <w:szCs w:val="18"/>
              </w:rPr>
              <w:t>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50"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50" DrawAspect="Content" ObjectID="_1468075848" r:id="rId171">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snapToGrid w:val="0"/>
        <w:spacing w:before="156" w:beforeLines="50" w:after="156" w:afterLines="50" w:line="300" w:lineRule="auto"/>
        <w:rPr>
          <w:szCs w:val="21"/>
        </w:rPr>
      </w:pPr>
      <w:r>
        <w:rPr>
          <w:szCs w:val="21"/>
        </w:rPr>
        <w:t>依据达成度评价、教师自评、学生评价</w:t>
      </w:r>
      <w:r>
        <w:rPr>
          <w:rFonts w:hint="eastAsia"/>
          <w:szCs w:val="21"/>
        </w:rPr>
        <w:t>、</w:t>
      </w:r>
      <w:r>
        <w:rPr>
          <w:szCs w:val="21"/>
        </w:rPr>
        <w:t>课程教学情况以及考试情况，对课程进行有针对性的总结</w:t>
      </w:r>
      <w:r>
        <w:rPr>
          <w:rFonts w:hint="eastAsia"/>
          <w:szCs w:val="21"/>
        </w:rPr>
        <w:t>，</w:t>
      </w:r>
      <w:r>
        <w:rPr>
          <w:szCs w:val="21"/>
        </w:rPr>
        <w:t>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kern w:val="0"/>
          <w:szCs w:val="21"/>
        </w:rPr>
        <w:t>．</w:t>
      </w:r>
      <w:r>
        <w:rPr>
          <w:rFonts w:ascii="Times New Roman" w:hAnsi="Times New Roman" w:eastAsia="宋体" w:cs="Times New Roman"/>
        </w:rPr>
        <w:t>教材</w:t>
      </w:r>
    </w:p>
    <w:p>
      <w:pPr>
        <w:numPr>
          <w:ilvl w:val="0"/>
          <w:numId w:val="59"/>
        </w:numPr>
        <w:snapToGrid w:val="0"/>
        <w:spacing w:line="300" w:lineRule="auto"/>
        <w:rPr>
          <w:rFonts w:ascii="Times New Roman" w:hAnsi="Times New Roman" w:eastAsia="宋体" w:cs="Times New Roman"/>
        </w:rPr>
      </w:pPr>
      <w:r>
        <w:rPr>
          <w:rFonts w:ascii="Times New Roman" w:hAnsi="Times New Roman" w:eastAsia="宋体" w:cs="Times New Roman"/>
        </w:rPr>
        <w:t>黄继业</w:t>
      </w:r>
      <w:r>
        <w:rPr>
          <w:rFonts w:hint="eastAsia" w:ascii="Times New Roman" w:hAnsi="Times New Roman" w:eastAsia="宋体" w:cs="Times New Roman"/>
        </w:rPr>
        <w:t>、</w:t>
      </w:r>
      <w:r>
        <w:rPr>
          <w:rFonts w:ascii="Times New Roman" w:hAnsi="Times New Roman" w:eastAsia="宋体" w:cs="Times New Roman"/>
        </w:rPr>
        <w:t>潘松.EDA技术实用教程——</w:t>
      </w:r>
      <w:r>
        <w:rPr>
          <w:rFonts w:hint="eastAsia" w:ascii="Times New Roman" w:hAnsi="Times New Roman" w:eastAsia="宋体" w:cs="Times New Roman"/>
        </w:rPr>
        <w:t>Verilog HDL</w:t>
      </w:r>
      <w:r>
        <w:rPr>
          <w:rFonts w:ascii="Times New Roman" w:hAnsi="Times New Roman" w:eastAsia="宋体" w:cs="Times New Roman"/>
        </w:rPr>
        <w:t>版（第六版）[M]，北京：科学出版社，2018-06。</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kern w:val="0"/>
          <w:szCs w:val="21"/>
        </w:rPr>
        <w:t>．</w:t>
      </w:r>
      <w:r>
        <w:rPr>
          <w:rFonts w:ascii="Times New Roman" w:hAnsi="Times New Roman" w:eastAsia="宋体" w:cs="Times New Roman"/>
        </w:rPr>
        <w:t>参考书：</w:t>
      </w:r>
    </w:p>
    <w:p>
      <w:pPr>
        <w:numPr>
          <w:ilvl w:val="0"/>
          <w:numId w:val="60"/>
        </w:numPr>
        <w:snapToGrid w:val="0"/>
        <w:spacing w:line="300" w:lineRule="auto"/>
        <w:rPr>
          <w:rFonts w:ascii="Times New Roman" w:hAnsi="Times New Roman" w:eastAsia="宋体" w:cs="Times New Roman"/>
        </w:rPr>
      </w:pPr>
      <w:r>
        <w:rPr>
          <w:rFonts w:ascii="Times New Roman" w:hAnsi="Times New Roman" w:eastAsia="宋体" w:cs="Times New Roman"/>
        </w:rPr>
        <w:t>范秋华.EDA技术及实验教程[M]，北京：电子工业出版社，2015-01。</w:t>
      </w:r>
    </w:p>
    <w:p>
      <w:pPr>
        <w:numPr>
          <w:ilvl w:val="0"/>
          <w:numId w:val="60"/>
        </w:numPr>
        <w:snapToGrid w:val="0"/>
        <w:spacing w:line="300" w:lineRule="auto"/>
        <w:rPr>
          <w:rFonts w:ascii="Times New Roman" w:hAnsi="Times New Roman" w:eastAsia="宋体" w:cs="Times New Roman"/>
        </w:rPr>
      </w:pPr>
      <w:r>
        <w:rPr>
          <w:rFonts w:ascii="Times New Roman" w:hAnsi="Times New Roman" w:eastAsia="宋体" w:cs="Times New Roman"/>
        </w:rPr>
        <w:t>王振红.FPGA电子系统设计项目实战（</w:t>
      </w:r>
      <w:r>
        <w:rPr>
          <w:rFonts w:hint="eastAsia" w:ascii="Times New Roman" w:hAnsi="Times New Roman" w:eastAsia="宋体" w:cs="Times New Roman"/>
        </w:rPr>
        <w:t>VHDL</w:t>
      </w:r>
      <w:r>
        <w:rPr>
          <w:rFonts w:ascii="Times New Roman" w:hAnsi="Times New Roman" w:eastAsia="宋体" w:cs="Times New Roman"/>
        </w:rPr>
        <w:t>语言）第2版[M]，北京：清华大学出版社，2017-08。</w:t>
      </w:r>
    </w:p>
    <w:p>
      <w:pPr>
        <w:numPr>
          <w:ilvl w:val="0"/>
          <w:numId w:val="60"/>
        </w:numPr>
        <w:snapToGrid w:val="0"/>
        <w:spacing w:line="300" w:lineRule="auto"/>
        <w:rPr>
          <w:rFonts w:ascii="Times New Roman" w:hAnsi="Times New Roman" w:eastAsia="宋体" w:cs="Times New Roman"/>
        </w:rPr>
      </w:pPr>
      <w:r>
        <w:rPr>
          <w:rFonts w:ascii="Times New Roman" w:hAnsi="Times New Roman" w:eastAsia="宋体" w:cs="Times New Roman"/>
        </w:rPr>
        <w:t>夏宇闻.Verilog HDL入门（第3版）[M]，北京：北京航空航天大学出版社，2019-03。</w:t>
      </w:r>
    </w:p>
    <w:p>
      <w:pPr>
        <w:numPr>
          <w:ilvl w:val="0"/>
          <w:numId w:val="60"/>
        </w:numPr>
        <w:snapToGrid w:val="0"/>
        <w:spacing w:line="300" w:lineRule="auto"/>
        <w:rPr>
          <w:rFonts w:ascii="Times New Roman" w:hAnsi="Times New Roman" w:eastAsia="宋体" w:cs="Times New Roman"/>
        </w:rPr>
      </w:pPr>
      <w:r>
        <w:rPr>
          <w:rFonts w:ascii="Times New Roman" w:hAnsi="Times New Roman" w:eastAsia="宋体" w:cs="Times New Roman"/>
        </w:rPr>
        <w:t>吴厚航.FPGA/CPLD边学边练——快速入门Verilog/</w:t>
      </w:r>
      <w:r>
        <w:rPr>
          <w:rFonts w:hint="eastAsia" w:ascii="Times New Roman" w:hAnsi="Times New Roman" w:eastAsia="宋体" w:cs="Times New Roman"/>
        </w:rPr>
        <w:t>VHDL</w:t>
      </w:r>
      <w:r>
        <w:rPr>
          <w:rFonts w:ascii="Times New Roman" w:hAnsi="Times New Roman" w:eastAsia="宋体" w:cs="Times New Roman"/>
        </w:rPr>
        <w:t>第2版[M]，北京：北京航空航天大学出版社，2017-12。</w:t>
      </w:r>
    </w:p>
    <w:tbl>
      <w:tblPr>
        <w:tblStyle w:val="22"/>
        <w:tblW w:w="8217"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jc w:val="center"/>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jc w:val="center"/>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jc w:val="center"/>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tc>
      </w:tr>
    </w:tbl>
    <w:p/>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199"/>
    <w:bookmarkEnd w:id="200"/>
    <w:bookmarkEnd w:id="201"/>
    <w:p>
      <w:pPr>
        <w:keepNext/>
        <w:keepLines/>
        <w:spacing w:before="260" w:after="260" w:line="413" w:lineRule="auto"/>
        <w:jc w:val="center"/>
        <w:outlineLvl w:val="3"/>
        <w:rPr>
          <w:rFonts w:ascii="Times New Roman" w:hAnsi="Times New Roman" w:eastAsia="宋体" w:cs="Times New Roman"/>
          <w:b/>
          <w:bCs/>
          <w:sz w:val="28"/>
          <w:szCs w:val="32"/>
        </w:rPr>
      </w:pPr>
      <w:bookmarkStart w:id="202" w:name="_Toc23125"/>
      <w:bookmarkStart w:id="203" w:name="_Toc46489676"/>
      <w:bookmarkStart w:id="204" w:name="_Toc38126130"/>
      <w:r>
        <w:rPr>
          <w:rFonts w:ascii="Times New Roman" w:hAnsi="Times New Roman" w:eastAsia="宋体" w:cs="Times New Roman"/>
          <w:b/>
          <w:bCs/>
          <w:sz w:val="32"/>
          <w:szCs w:val="32"/>
        </w:rPr>
        <w:t>33462003</w:t>
      </w:r>
      <w:r>
        <w:rPr>
          <w:rFonts w:hint="eastAsia" w:ascii="Times New Roman" w:hAnsi="Times New Roman" w:eastAsia="宋体" w:cs="Times New Roman"/>
          <w:b/>
          <w:bCs/>
          <w:sz w:val="32"/>
          <w:szCs w:val="32"/>
        </w:rPr>
        <w:t>《语音信号处理技术与应用》课程教学大纲</w:t>
      </w:r>
      <w:bookmarkEnd w:id="202"/>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 w:val="20"/>
                <w:szCs w:val="21"/>
              </w:rPr>
            </w:pPr>
            <w:r>
              <w:rPr>
                <w:kern w:val="0"/>
                <w:sz w:val="20"/>
                <w:szCs w:val="21"/>
              </w:rPr>
              <w:t>课程编号</w:t>
            </w:r>
          </w:p>
        </w:tc>
        <w:tc>
          <w:tcPr>
            <w:tcW w:w="3441" w:type="dxa"/>
            <w:vAlign w:val="center"/>
          </w:tcPr>
          <w:p>
            <w:pPr>
              <w:jc w:val="center"/>
              <w:rPr>
                <w:kern w:val="0"/>
                <w:sz w:val="20"/>
                <w:szCs w:val="21"/>
              </w:rPr>
            </w:pPr>
            <w:r>
              <w:rPr>
                <w:kern w:val="0"/>
                <w:sz w:val="20"/>
                <w:szCs w:val="21"/>
              </w:rPr>
              <w:t>33462003</w:t>
            </w:r>
          </w:p>
        </w:tc>
        <w:tc>
          <w:tcPr>
            <w:tcW w:w="1198" w:type="dxa"/>
            <w:vAlign w:val="center"/>
          </w:tcPr>
          <w:p>
            <w:pPr>
              <w:jc w:val="center"/>
              <w:rPr>
                <w:kern w:val="0"/>
                <w:sz w:val="20"/>
                <w:szCs w:val="21"/>
              </w:rPr>
            </w:pPr>
            <w:r>
              <w:rPr>
                <w:kern w:val="0"/>
                <w:sz w:val="20"/>
                <w:szCs w:val="21"/>
              </w:rPr>
              <w:t>课程名称</w:t>
            </w:r>
          </w:p>
        </w:tc>
        <w:tc>
          <w:tcPr>
            <w:tcW w:w="2695" w:type="dxa"/>
            <w:vAlign w:val="center"/>
          </w:tcPr>
          <w:p>
            <w:pPr>
              <w:jc w:val="center"/>
              <w:rPr>
                <w:kern w:val="0"/>
                <w:sz w:val="20"/>
                <w:szCs w:val="21"/>
              </w:rPr>
            </w:pPr>
            <w:r>
              <w:rPr>
                <w:kern w:val="0"/>
                <w:sz w:val="20"/>
                <w:szCs w:val="21"/>
              </w:rPr>
              <w:t>语音信号处理技术与应用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 w:val="20"/>
                <w:szCs w:val="21"/>
              </w:rPr>
            </w:pPr>
            <w:r>
              <w:rPr>
                <w:kern w:val="0"/>
                <w:sz w:val="20"/>
                <w:szCs w:val="21"/>
              </w:rPr>
              <w:t>课程性质*</w:t>
            </w:r>
          </w:p>
        </w:tc>
        <w:tc>
          <w:tcPr>
            <w:tcW w:w="3441" w:type="dxa"/>
            <w:vAlign w:val="center"/>
          </w:tcPr>
          <w:p>
            <w:pPr>
              <w:jc w:val="center"/>
              <w:rPr>
                <w:kern w:val="0"/>
                <w:sz w:val="20"/>
                <w:szCs w:val="21"/>
              </w:rPr>
            </w:pPr>
            <w:r>
              <w:rPr>
                <w:rFonts w:hint="eastAsia"/>
                <w:kern w:val="0"/>
                <w:sz w:val="20"/>
                <w:szCs w:val="21"/>
              </w:rPr>
              <w:t>专业类</w:t>
            </w:r>
          </w:p>
        </w:tc>
        <w:tc>
          <w:tcPr>
            <w:tcW w:w="1198" w:type="dxa"/>
            <w:vAlign w:val="center"/>
          </w:tcPr>
          <w:p>
            <w:pPr>
              <w:jc w:val="center"/>
              <w:rPr>
                <w:kern w:val="0"/>
                <w:sz w:val="20"/>
                <w:szCs w:val="21"/>
              </w:rPr>
            </w:pPr>
            <w:r>
              <w:rPr>
                <w:kern w:val="0"/>
                <w:sz w:val="20"/>
                <w:szCs w:val="21"/>
              </w:rPr>
              <w:t>英文名称</w:t>
            </w:r>
          </w:p>
        </w:tc>
        <w:tc>
          <w:tcPr>
            <w:tcW w:w="2695" w:type="dxa"/>
            <w:vAlign w:val="center"/>
          </w:tcPr>
          <w:p>
            <w:pPr>
              <w:jc w:val="center"/>
              <w:rPr>
                <w:kern w:val="0"/>
                <w:sz w:val="20"/>
                <w:szCs w:val="21"/>
              </w:rPr>
            </w:pPr>
            <w:r>
              <w:rPr>
                <w:kern w:val="0"/>
                <w:sz w:val="20"/>
                <w:szCs w:val="21"/>
              </w:rPr>
              <w:t xml:space="preserve">Speech Signal Processing Technology and Applications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 w:val="20"/>
                <w:szCs w:val="21"/>
              </w:rPr>
            </w:pPr>
            <w:r>
              <w:rPr>
                <w:kern w:val="0"/>
                <w:sz w:val="20"/>
                <w:szCs w:val="21"/>
              </w:rPr>
              <w:t>学分学时</w:t>
            </w:r>
          </w:p>
        </w:tc>
        <w:tc>
          <w:tcPr>
            <w:tcW w:w="3441" w:type="dxa"/>
            <w:vAlign w:val="center"/>
          </w:tcPr>
          <w:p>
            <w:pPr>
              <w:jc w:val="center"/>
              <w:rPr>
                <w:kern w:val="0"/>
                <w:sz w:val="20"/>
                <w:szCs w:val="21"/>
              </w:rPr>
            </w:pPr>
            <w:r>
              <w:rPr>
                <w:kern w:val="0"/>
                <w:sz w:val="20"/>
                <w:szCs w:val="21"/>
              </w:rPr>
              <w:t>2</w:t>
            </w:r>
            <w:r>
              <w:rPr>
                <w:bCs/>
                <w:kern w:val="0"/>
                <w:sz w:val="20"/>
                <w:szCs w:val="21"/>
              </w:rPr>
              <w:t xml:space="preserve"> </w:t>
            </w:r>
            <w:r>
              <w:rPr>
                <w:kern w:val="0"/>
                <w:sz w:val="20"/>
                <w:szCs w:val="21"/>
              </w:rPr>
              <w:t>: 32（16）</w:t>
            </w:r>
          </w:p>
        </w:tc>
        <w:tc>
          <w:tcPr>
            <w:tcW w:w="1198" w:type="dxa"/>
            <w:vAlign w:val="center"/>
          </w:tcPr>
          <w:p>
            <w:pPr>
              <w:jc w:val="center"/>
              <w:rPr>
                <w:kern w:val="0"/>
                <w:sz w:val="20"/>
                <w:szCs w:val="21"/>
                <w:highlight w:val="yellow"/>
              </w:rPr>
            </w:pPr>
            <w:r>
              <w:rPr>
                <w:kern w:val="0"/>
                <w:sz w:val="20"/>
                <w:szCs w:val="21"/>
              </w:rPr>
              <w:t>任课教师</w:t>
            </w:r>
          </w:p>
        </w:tc>
        <w:tc>
          <w:tcPr>
            <w:tcW w:w="2695" w:type="dxa"/>
            <w:vAlign w:val="center"/>
          </w:tcPr>
          <w:p>
            <w:pPr>
              <w:jc w:val="center"/>
              <w:rPr>
                <w:kern w:val="0"/>
                <w:sz w:val="20"/>
                <w:szCs w:val="21"/>
                <w:highlight w:val="yellow"/>
              </w:rPr>
            </w:pPr>
            <w:r>
              <w:rPr>
                <w:kern w:val="0"/>
                <w:sz w:val="20"/>
                <w:szCs w:val="21"/>
              </w:rPr>
              <w:t>李颖、郭晓云、张培珍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kern w:val="0"/>
                <w:sz w:val="20"/>
                <w:szCs w:val="21"/>
              </w:rPr>
            </w:pPr>
            <w:r>
              <w:rPr>
                <w:kern w:val="0"/>
                <w:sz w:val="20"/>
                <w:szCs w:val="21"/>
              </w:rPr>
              <w:t>企业专家</w:t>
            </w:r>
          </w:p>
        </w:tc>
        <w:tc>
          <w:tcPr>
            <w:tcW w:w="3441" w:type="dxa"/>
            <w:vAlign w:val="center"/>
          </w:tcPr>
          <w:p>
            <w:pPr>
              <w:widowControl/>
              <w:jc w:val="center"/>
              <w:rPr>
                <w:kern w:val="0"/>
                <w:sz w:val="20"/>
                <w:szCs w:val="21"/>
              </w:rPr>
            </w:pPr>
            <w:r>
              <w:rPr>
                <w:kern w:val="0"/>
                <w:sz w:val="20"/>
                <w:szCs w:val="21"/>
              </w:rPr>
              <w:t>曾耿滨</w:t>
            </w:r>
          </w:p>
        </w:tc>
        <w:tc>
          <w:tcPr>
            <w:tcW w:w="1198" w:type="dxa"/>
            <w:vAlign w:val="center"/>
          </w:tcPr>
          <w:p>
            <w:pPr>
              <w:jc w:val="center"/>
              <w:rPr>
                <w:kern w:val="0"/>
                <w:sz w:val="20"/>
                <w:szCs w:val="21"/>
              </w:rPr>
            </w:pPr>
            <w:r>
              <w:rPr>
                <w:kern w:val="0"/>
                <w:sz w:val="20"/>
                <w:szCs w:val="21"/>
              </w:rPr>
              <w:t>行业专家</w:t>
            </w:r>
          </w:p>
        </w:tc>
        <w:tc>
          <w:tcPr>
            <w:tcW w:w="2695" w:type="dxa"/>
            <w:vAlign w:val="center"/>
          </w:tcPr>
          <w:p>
            <w:pPr>
              <w:widowControl/>
              <w:jc w:val="center"/>
              <w:rPr>
                <w:kern w:val="0"/>
                <w:sz w:val="20"/>
                <w:szCs w:val="21"/>
              </w:rPr>
            </w:pPr>
            <w:r>
              <w:rPr>
                <w:kern w:val="0"/>
                <w:sz w:val="2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kern w:val="0"/>
                <w:sz w:val="20"/>
                <w:szCs w:val="21"/>
              </w:rPr>
            </w:pPr>
            <w:r>
              <w:rPr>
                <w:kern w:val="0"/>
                <w:sz w:val="20"/>
                <w:szCs w:val="21"/>
              </w:rPr>
              <w:t>执笔教师</w:t>
            </w:r>
          </w:p>
        </w:tc>
        <w:tc>
          <w:tcPr>
            <w:tcW w:w="3441" w:type="dxa"/>
            <w:vAlign w:val="center"/>
          </w:tcPr>
          <w:p>
            <w:pPr>
              <w:widowControl/>
              <w:jc w:val="center"/>
              <w:rPr>
                <w:kern w:val="0"/>
                <w:sz w:val="20"/>
                <w:szCs w:val="21"/>
              </w:rPr>
            </w:pPr>
            <w:r>
              <w:rPr>
                <w:kern w:val="0"/>
                <w:sz w:val="20"/>
                <w:szCs w:val="21"/>
              </w:rPr>
              <w:t>李颖</w:t>
            </w:r>
          </w:p>
        </w:tc>
        <w:tc>
          <w:tcPr>
            <w:tcW w:w="1198" w:type="dxa"/>
            <w:vAlign w:val="center"/>
          </w:tcPr>
          <w:p>
            <w:pPr>
              <w:widowControl/>
              <w:jc w:val="center"/>
              <w:rPr>
                <w:kern w:val="0"/>
                <w:sz w:val="20"/>
                <w:szCs w:val="21"/>
              </w:rPr>
            </w:pPr>
            <w:r>
              <w:rPr>
                <w:kern w:val="0"/>
                <w:sz w:val="20"/>
                <w:szCs w:val="21"/>
              </w:rPr>
              <w:t>责任教授</w:t>
            </w:r>
          </w:p>
        </w:tc>
        <w:tc>
          <w:tcPr>
            <w:tcW w:w="2695" w:type="dxa"/>
            <w:vAlign w:val="center"/>
          </w:tcPr>
          <w:p>
            <w:pPr>
              <w:widowControl/>
              <w:jc w:val="center"/>
              <w:rPr>
                <w:kern w:val="0"/>
                <w:sz w:val="20"/>
                <w:szCs w:val="21"/>
              </w:rPr>
            </w:pPr>
            <w:r>
              <w:rPr>
                <w:kern w:val="0"/>
                <w:sz w:val="20"/>
                <w:szCs w:val="21"/>
              </w:rPr>
              <w:t>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kern w:val="0"/>
                <w:sz w:val="20"/>
                <w:szCs w:val="21"/>
              </w:rPr>
            </w:pPr>
            <w:r>
              <w:rPr>
                <w:kern w:val="0"/>
                <w:sz w:val="20"/>
                <w:szCs w:val="21"/>
              </w:rPr>
              <w:t>适用专业</w:t>
            </w:r>
          </w:p>
        </w:tc>
        <w:tc>
          <w:tcPr>
            <w:tcW w:w="3441" w:type="dxa"/>
            <w:vAlign w:val="center"/>
          </w:tcPr>
          <w:p>
            <w:pPr>
              <w:widowControl/>
              <w:jc w:val="center"/>
              <w:rPr>
                <w:kern w:val="0"/>
                <w:sz w:val="20"/>
                <w:szCs w:val="21"/>
              </w:rPr>
            </w:pPr>
            <w:r>
              <w:rPr>
                <w:kern w:val="0"/>
                <w:sz w:val="20"/>
                <w:szCs w:val="21"/>
              </w:rPr>
              <w:t>电子信息工程</w:t>
            </w:r>
          </w:p>
        </w:tc>
        <w:tc>
          <w:tcPr>
            <w:tcW w:w="1198" w:type="dxa"/>
            <w:vAlign w:val="center"/>
          </w:tcPr>
          <w:p>
            <w:pPr>
              <w:widowControl/>
              <w:jc w:val="center"/>
              <w:rPr>
                <w:kern w:val="0"/>
                <w:sz w:val="20"/>
                <w:szCs w:val="21"/>
              </w:rPr>
            </w:pPr>
            <w:r>
              <w:rPr>
                <w:kern w:val="0"/>
                <w:sz w:val="20"/>
                <w:szCs w:val="21"/>
              </w:rPr>
              <w:t>适用对象</w:t>
            </w:r>
          </w:p>
        </w:tc>
        <w:tc>
          <w:tcPr>
            <w:tcW w:w="2695" w:type="dxa"/>
            <w:vAlign w:val="center"/>
          </w:tcPr>
          <w:p>
            <w:pPr>
              <w:widowControl/>
              <w:jc w:val="center"/>
              <w:rPr>
                <w:kern w:val="0"/>
                <w:sz w:val="20"/>
                <w:szCs w:val="21"/>
              </w:rPr>
            </w:pPr>
            <w:r>
              <w:rPr>
                <w:kern w:val="0"/>
                <w:sz w:val="2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kern w:val="0"/>
                <w:sz w:val="20"/>
                <w:szCs w:val="21"/>
              </w:rPr>
            </w:pPr>
            <w:r>
              <w:rPr>
                <w:kern w:val="0"/>
                <w:sz w:val="20"/>
                <w:szCs w:val="21"/>
              </w:rPr>
              <w:t>先修课程</w:t>
            </w:r>
          </w:p>
        </w:tc>
        <w:tc>
          <w:tcPr>
            <w:tcW w:w="3441" w:type="dxa"/>
            <w:vAlign w:val="center"/>
          </w:tcPr>
          <w:p>
            <w:pPr>
              <w:widowControl/>
              <w:jc w:val="center"/>
              <w:rPr>
                <w:kern w:val="0"/>
                <w:sz w:val="20"/>
                <w:szCs w:val="21"/>
              </w:rPr>
            </w:pPr>
            <w:r>
              <w:rPr>
                <w:kern w:val="0"/>
                <w:sz w:val="20"/>
                <w:szCs w:val="21"/>
              </w:rPr>
              <w:t>信号与系统、数字信号处理</w:t>
            </w:r>
          </w:p>
        </w:tc>
        <w:tc>
          <w:tcPr>
            <w:tcW w:w="1198" w:type="dxa"/>
            <w:vAlign w:val="center"/>
          </w:tcPr>
          <w:p>
            <w:pPr>
              <w:snapToGrid w:val="0"/>
              <w:jc w:val="center"/>
              <w:rPr>
                <w:kern w:val="0"/>
                <w:sz w:val="20"/>
                <w:szCs w:val="21"/>
              </w:rPr>
            </w:pPr>
            <w:r>
              <w:rPr>
                <w:kern w:val="0"/>
                <w:sz w:val="20"/>
                <w:szCs w:val="21"/>
              </w:rPr>
              <w:t>同修课程</w:t>
            </w:r>
          </w:p>
        </w:tc>
        <w:tc>
          <w:tcPr>
            <w:tcW w:w="2695" w:type="dxa"/>
            <w:vAlign w:val="center"/>
          </w:tcPr>
          <w:p>
            <w:pPr>
              <w:widowControl/>
              <w:jc w:val="center"/>
              <w:rPr>
                <w:kern w:val="0"/>
                <w:sz w:val="20"/>
                <w:szCs w:val="21"/>
              </w:rPr>
            </w:pPr>
            <w:r>
              <w:rPr>
                <w:kern w:val="0"/>
                <w:sz w:val="20"/>
                <w:szCs w:val="21"/>
              </w:rPr>
              <w:t>语音与图像处理实习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 w:val="20"/>
                <w:szCs w:val="21"/>
              </w:rPr>
            </w:pPr>
            <w:r>
              <w:rPr>
                <w:kern w:val="0"/>
                <w:sz w:val="20"/>
                <w:szCs w:val="21"/>
              </w:rPr>
              <w:t>排斥课程</w:t>
            </w:r>
          </w:p>
        </w:tc>
        <w:tc>
          <w:tcPr>
            <w:tcW w:w="3441" w:type="dxa"/>
            <w:vAlign w:val="center"/>
          </w:tcPr>
          <w:p>
            <w:pPr>
              <w:widowControl/>
              <w:jc w:val="center"/>
              <w:rPr>
                <w:kern w:val="0"/>
                <w:sz w:val="20"/>
                <w:szCs w:val="21"/>
              </w:rPr>
            </w:pPr>
            <w:r>
              <w:rPr>
                <w:kern w:val="0"/>
                <w:sz w:val="20"/>
                <w:szCs w:val="21"/>
              </w:rPr>
              <w:t>无</w:t>
            </w:r>
          </w:p>
        </w:tc>
        <w:tc>
          <w:tcPr>
            <w:tcW w:w="1198" w:type="dxa"/>
            <w:vAlign w:val="center"/>
          </w:tcPr>
          <w:p>
            <w:pPr>
              <w:snapToGrid w:val="0"/>
              <w:jc w:val="center"/>
              <w:rPr>
                <w:kern w:val="0"/>
                <w:sz w:val="20"/>
                <w:szCs w:val="21"/>
              </w:rPr>
            </w:pPr>
            <w:r>
              <w:rPr>
                <w:kern w:val="0"/>
                <w:sz w:val="20"/>
                <w:szCs w:val="21"/>
              </w:rPr>
              <w:t>定稿日期</w:t>
            </w:r>
          </w:p>
        </w:tc>
        <w:tc>
          <w:tcPr>
            <w:tcW w:w="2695" w:type="dxa"/>
            <w:vAlign w:val="center"/>
          </w:tcPr>
          <w:p>
            <w:pPr>
              <w:widowControl/>
              <w:jc w:val="center"/>
              <w:rPr>
                <w:kern w:val="0"/>
                <w:sz w:val="2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语音信号处理技术与应用是电子信息工程专业本科生的一门学科专业拓展课。</w:t>
      </w:r>
      <w:r>
        <w:t>语音信号处理技术与应用是研究用数字信号处理技术对语音信号进行处理的一门学科。它是在多门学科基础上发展起来的综合性技术，涉及</w:t>
      </w:r>
      <w:bookmarkStart w:id="417" w:name="_GoBack"/>
      <w:bookmarkEnd w:id="417"/>
      <w:r>
        <w:t>语音学、语言学、生理学及认知科学、数字信号处理、模式识别和人工智能等许多学科领域。本课程的主要内容包括：语音信号处理的基础知识、语音信号的分析技术、语音信号的矢量量化、隐马尔可夫模型技术、神经网络在语音信号处理中的应用、语音编码、语音识别、语音增强等技术。本课程旨在让学生掌握语音信号处理的基础、原理、方法和应用，以及向学生介绍语音信号处理领域近年来取得的一些新成果、新进展及新技术。</w:t>
      </w:r>
    </w:p>
    <w:p>
      <w:pPr>
        <w:snapToGrid w:val="0"/>
        <w:spacing w:before="156" w:beforeLines="50" w:after="156" w:afterLines="50" w:line="300" w:lineRule="auto"/>
        <w:rPr>
          <w:b/>
          <w:sz w:val="24"/>
        </w:rPr>
      </w:pPr>
      <w:r>
        <w:rPr>
          <w:b/>
          <w:sz w:val="24"/>
        </w:rPr>
        <w:t>二、课程教学目标</w:t>
      </w:r>
    </w:p>
    <w:p>
      <w:pPr>
        <w:adjustRightInd w:val="0"/>
        <w:snapToGrid w:val="0"/>
        <w:spacing w:line="300" w:lineRule="auto"/>
        <w:ind w:firstLine="365" w:firstLineChars="174"/>
        <w:rPr>
          <w:szCs w:val="21"/>
        </w:rPr>
      </w:pPr>
      <w:r>
        <w:rPr>
          <w:szCs w:val="21"/>
        </w:rPr>
        <w:t>通过本课程的学习，使学生掌握语音信号处理基本知识；掌握语音信号处理技术的原理和方法；了解目前的学科发展趋势与方向及智能信息处理技术，现代信号处理技术及其它一些前沿和新兴技术在语音信号处理中的应用；了解学科前沿及最新研究成果与进展，培养学生的科研思维。本课程的具体教学目标如下：</w:t>
      </w:r>
    </w:p>
    <w:p>
      <w:pPr>
        <w:adjustRightInd w:val="0"/>
        <w:snapToGrid w:val="0"/>
        <w:spacing w:line="300" w:lineRule="auto"/>
        <w:ind w:firstLine="420" w:firstLineChars="200"/>
        <w:rPr>
          <w:szCs w:val="21"/>
        </w:rPr>
      </w:pPr>
      <w:r>
        <w:rPr>
          <w:szCs w:val="21"/>
        </w:rPr>
        <w:t>1．掌握语音信号的特点、语音信号的数学模型和语音信号的频谱特性、语谱图和统计特性，能使用数学、自然科学、工程基础和专业知识针对工程问题建立合适的数学模型。[1</w:t>
      </w:r>
      <w:r>
        <w:rPr>
          <w:rFonts w:hint="eastAsia"/>
          <w:szCs w:val="21"/>
        </w:rPr>
        <w:t>.</w:t>
      </w:r>
      <w:r>
        <w:rPr>
          <w:szCs w:val="21"/>
        </w:rPr>
        <w:t>1]</w:t>
      </w:r>
    </w:p>
    <w:p>
      <w:pPr>
        <w:adjustRightInd w:val="0"/>
        <w:snapToGrid w:val="0"/>
        <w:spacing w:line="300" w:lineRule="auto"/>
        <w:ind w:firstLine="420" w:firstLineChars="200"/>
        <w:rPr>
          <w:kern w:val="0"/>
          <w:szCs w:val="21"/>
        </w:rPr>
      </w:pPr>
      <w:r>
        <w:rPr>
          <w:szCs w:val="21"/>
        </w:rPr>
        <w:t>2</w:t>
      </w:r>
      <w:r>
        <w:rPr>
          <w:kern w:val="0"/>
          <w:szCs w:val="21"/>
        </w:rPr>
        <w:t>．</w:t>
      </w:r>
      <w:r>
        <w:rPr>
          <w:szCs w:val="21"/>
        </w:rPr>
        <w:t>掌握语音信号时域分析、频域分析、小波分析技术的原理和方法，能对实际语音问题进行识别、表达和分析，并得出有效结论。理解语音信号的编码和识别技术，能针对实际语音问题设计方案，并对实验结果进行解释。[2</w:t>
      </w:r>
      <w:r>
        <w:rPr>
          <w:rFonts w:hint="eastAsia"/>
          <w:szCs w:val="21"/>
        </w:rPr>
        <w:t>.</w:t>
      </w:r>
      <w:r>
        <w:rPr>
          <w:szCs w:val="21"/>
        </w:rPr>
        <w:t>2]</w:t>
      </w:r>
      <w:r>
        <w:rPr>
          <w:kern w:val="0"/>
          <w:szCs w:val="21"/>
        </w:rPr>
        <w:t xml:space="preserve"> </w:t>
      </w:r>
    </w:p>
    <w:p>
      <w:pPr>
        <w:widowControl/>
        <w:adjustRightInd w:val="0"/>
        <w:snapToGrid w:val="0"/>
        <w:spacing w:line="300" w:lineRule="auto"/>
        <w:ind w:firstLine="420" w:firstLineChars="200"/>
        <w:jc w:val="left"/>
        <w:rPr>
          <w:kern w:val="0"/>
          <w:szCs w:val="21"/>
        </w:rPr>
      </w:pPr>
      <w:r>
        <w:rPr>
          <w:kern w:val="0"/>
          <w:szCs w:val="21"/>
        </w:rPr>
        <w:t>3．掌握语音信号处理系统的设计方法和处理流程，具备语音信号综合处理技能，并能针对各种处理方法的不足提出改进意见，</w:t>
      </w:r>
      <w:r>
        <w:rPr>
          <w:szCs w:val="21"/>
        </w:rPr>
        <w:t>了解目前的学科发展趋势及智能信息处理技术，为在智能语音信号处理</w:t>
      </w:r>
      <w:r>
        <w:rPr>
          <w:kern w:val="0"/>
          <w:szCs w:val="21"/>
        </w:rPr>
        <w:t>等领域的研究与开发打下基础。[4</w:t>
      </w:r>
      <w:r>
        <w:rPr>
          <w:rFonts w:hint="eastAsia"/>
          <w:kern w:val="0"/>
          <w:szCs w:val="21"/>
        </w:rPr>
        <w:t>.</w:t>
      </w:r>
      <w:r>
        <w:rPr>
          <w:kern w:val="0"/>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4"/>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4"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5"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1</w:t>
            </w:r>
            <w:r>
              <w:rPr>
                <w:kern w:val="0"/>
                <w:szCs w:val="21"/>
              </w:rPr>
              <w:t>．</w:t>
            </w:r>
            <w:r>
              <w:rPr>
                <w:sz w:val="18"/>
                <w:szCs w:val="18"/>
              </w:rPr>
              <w:t>工程知识</w:t>
            </w:r>
          </w:p>
        </w:tc>
        <w:tc>
          <w:tcPr>
            <w:tcW w:w="6144" w:type="dxa"/>
            <w:vAlign w:val="center"/>
          </w:tcPr>
          <w:p>
            <w:pPr>
              <w:snapToGrid w:val="0"/>
              <w:spacing w:line="300" w:lineRule="auto"/>
              <w:rPr>
                <w:sz w:val="18"/>
                <w:szCs w:val="18"/>
              </w:rPr>
            </w:pPr>
            <w:r>
              <w:rPr>
                <w:sz w:val="18"/>
                <w:szCs w:val="18"/>
              </w:rPr>
              <w:t>1</w:t>
            </w:r>
            <w:r>
              <w:rPr>
                <w:rFonts w:hint="eastAsia"/>
                <w:sz w:val="18"/>
                <w:szCs w:val="18"/>
              </w:rPr>
              <w:t>.</w:t>
            </w:r>
            <w:r>
              <w:rPr>
                <w:sz w:val="18"/>
                <w:szCs w:val="18"/>
              </w:rPr>
              <w:t>1掌握电子信息工程专业理论和知识体系的数学和自然科学知识，将其应用于信息技术（IT）行业知识和专业知识的学习。</w:t>
            </w:r>
          </w:p>
        </w:tc>
        <w:tc>
          <w:tcPr>
            <w:tcW w:w="689" w:type="dxa"/>
            <w:vAlign w:val="center"/>
          </w:tcPr>
          <w:p>
            <w:pPr>
              <w:snapToGrid w:val="0"/>
              <w:spacing w:line="300" w:lineRule="auto"/>
              <w:jc w:val="center"/>
              <w:rPr>
                <w:sz w:val="18"/>
                <w:szCs w:val="18"/>
              </w:rPr>
            </w:pPr>
            <w:r>
              <w:rPr>
                <w:sz w:val="18"/>
                <w:szCs w:val="18"/>
              </w:rPr>
              <w:t>1</w:t>
            </w:r>
          </w:p>
        </w:tc>
        <w:tc>
          <w:tcPr>
            <w:tcW w:w="655" w:type="dxa"/>
            <w:vAlign w:val="center"/>
          </w:tcPr>
          <w:p>
            <w:pPr>
              <w:snapToGrid w:val="0"/>
              <w:spacing w:line="300" w:lineRule="auto"/>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snapToGrid w:val="0"/>
              <w:spacing w:line="300" w:lineRule="auto"/>
              <w:rPr>
                <w:sz w:val="18"/>
                <w:szCs w:val="18"/>
              </w:rPr>
            </w:pPr>
            <w:r>
              <w:rPr>
                <w:sz w:val="18"/>
                <w:szCs w:val="18"/>
              </w:rPr>
              <w:t>2</w:t>
            </w:r>
            <w:r>
              <w:rPr>
                <w:kern w:val="0"/>
                <w:szCs w:val="21"/>
              </w:rPr>
              <w:t>．</w:t>
            </w:r>
            <w:r>
              <w:rPr>
                <w:sz w:val="18"/>
                <w:szCs w:val="18"/>
              </w:rPr>
              <w:t>问题分析</w:t>
            </w:r>
          </w:p>
        </w:tc>
        <w:tc>
          <w:tcPr>
            <w:tcW w:w="6144" w:type="dxa"/>
            <w:vAlign w:val="center"/>
          </w:tcPr>
          <w:p>
            <w:pPr>
              <w:snapToGrid w:val="0"/>
              <w:spacing w:line="300" w:lineRule="auto"/>
              <w:rPr>
                <w:color w:val="FF0000"/>
                <w:sz w:val="18"/>
                <w:szCs w:val="18"/>
              </w:rPr>
            </w:pPr>
            <w:r>
              <w:rPr>
                <w:sz w:val="18"/>
                <w:szCs w:val="18"/>
              </w:rPr>
              <w:t>2</w:t>
            </w:r>
            <w:r>
              <w:rPr>
                <w:rFonts w:hint="eastAsia"/>
                <w:sz w:val="18"/>
                <w:szCs w:val="18"/>
              </w:rPr>
              <w:t>.</w:t>
            </w:r>
            <w:r>
              <w:rPr>
                <w:sz w:val="18"/>
                <w:szCs w:val="18"/>
              </w:rPr>
              <w:t>2</w:t>
            </w:r>
            <w:r>
              <w:rPr>
                <w:rFonts w:hint="eastAsia"/>
                <w:sz w:val="18"/>
                <w:szCs w:val="18"/>
              </w:rPr>
              <w:t>能运用电子信息工程专业基本原理和方法，综合考虑多种影响因素，分析电子信息工程（含海洋电子信息）领域复杂工程问题，选择和优化问题的解决方案。</w:t>
            </w:r>
          </w:p>
        </w:tc>
        <w:tc>
          <w:tcPr>
            <w:tcW w:w="689" w:type="dxa"/>
            <w:vAlign w:val="center"/>
          </w:tcPr>
          <w:p>
            <w:pPr>
              <w:snapToGrid w:val="0"/>
              <w:spacing w:line="300" w:lineRule="auto"/>
              <w:jc w:val="center"/>
              <w:rPr>
                <w:sz w:val="18"/>
                <w:szCs w:val="18"/>
              </w:rPr>
            </w:pPr>
            <w:r>
              <w:rPr>
                <w:sz w:val="18"/>
                <w:szCs w:val="18"/>
              </w:rPr>
              <w:t>2</w:t>
            </w:r>
          </w:p>
        </w:tc>
        <w:tc>
          <w:tcPr>
            <w:tcW w:w="655" w:type="dxa"/>
            <w:vAlign w:val="center"/>
          </w:tcPr>
          <w:p>
            <w:pPr>
              <w:widowControl/>
              <w:snapToGrid w:val="0"/>
              <w:spacing w:line="300" w:lineRule="auto"/>
              <w:jc w:val="center"/>
              <w:rPr>
                <w:sz w:val="18"/>
                <w:szCs w:val="18"/>
              </w:rPr>
            </w:pPr>
            <w:r>
              <w:rPr>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4</w:t>
            </w:r>
            <w:r>
              <w:rPr>
                <w:kern w:val="0"/>
                <w:szCs w:val="21"/>
              </w:rPr>
              <w:t>．</w:t>
            </w:r>
            <w:r>
              <w:rPr>
                <w:sz w:val="18"/>
                <w:szCs w:val="18"/>
              </w:rPr>
              <w:t>研究</w:t>
            </w:r>
          </w:p>
        </w:tc>
        <w:tc>
          <w:tcPr>
            <w:tcW w:w="6144" w:type="dxa"/>
            <w:vAlign w:val="center"/>
          </w:tcPr>
          <w:p>
            <w:pPr>
              <w:adjustRightInd w:val="0"/>
              <w:snapToGrid w:val="0"/>
              <w:spacing w:line="300" w:lineRule="auto"/>
              <w:rPr>
                <w:sz w:val="18"/>
                <w:szCs w:val="18"/>
              </w:rPr>
            </w:pPr>
            <w:r>
              <w:rPr>
                <w:sz w:val="18"/>
                <w:szCs w:val="18"/>
              </w:rPr>
              <w:t>4</w:t>
            </w:r>
            <w:r>
              <w:rPr>
                <w:rFonts w:hint="eastAsia"/>
                <w:sz w:val="18"/>
                <w:szCs w:val="18"/>
              </w:rPr>
              <w:t>.</w:t>
            </w:r>
            <w:r>
              <w:rPr>
                <w:sz w:val="18"/>
                <w:szCs w:val="18"/>
              </w:rPr>
              <w:t xml:space="preserve">1具备基于电子信息科学原理并采用科学方法对复杂工程问题的技术路线、实验方案、软/硬件模块和存在的问题进行研究的能力。 </w:t>
            </w:r>
          </w:p>
        </w:tc>
        <w:tc>
          <w:tcPr>
            <w:tcW w:w="689" w:type="dxa"/>
            <w:vAlign w:val="center"/>
          </w:tcPr>
          <w:p>
            <w:pPr>
              <w:snapToGrid w:val="0"/>
              <w:spacing w:line="300" w:lineRule="auto"/>
              <w:jc w:val="center"/>
              <w:rPr>
                <w:sz w:val="18"/>
                <w:szCs w:val="18"/>
              </w:rPr>
            </w:pPr>
            <w:r>
              <w:rPr>
                <w:sz w:val="18"/>
                <w:szCs w:val="18"/>
              </w:rPr>
              <w:t>3</w:t>
            </w:r>
          </w:p>
        </w:tc>
        <w:tc>
          <w:tcPr>
            <w:tcW w:w="655" w:type="dxa"/>
            <w:vAlign w:val="center"/>
          </w:tcPr>
          <w:p>
            <w:pPr>
              <w:snapToGrid w:val="0"/>
              <w:spacing w:line="300" w:lineRule="auto"/>
              <w:jc w:val="center"/>
              <w:rPr>
                <w:sz w:val="18"/>
                <w:szCs w:val="18"/>
              </w:rPr>
            </w:pPr>
            <w:r>
              <w:rPr>
                <w:sz w:val="18"/>
                <w:szCs w:val="18"/>
              </w:rPr>
              <w:t>0.2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6"/>
        <w:gridCol w:w="1928"/>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33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92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63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3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w:t>
            </w:r>
            <w:r>
              <w:rPr>
                <w:kern w:val="0"/>
                <w:szCs w:val="21"/>
              </w:rPr>
              <w:t>．</w:t>
            </w:r>
            <w:r>
              <w:rPr>
                <w:sz w:val="18"/>
                <w:szCs w:val="18"/>
                <w:shd w:val="clear" w:color="auto" w:fill="FEFEFF"/>
              </w:rPr>
              <w:t>掌握语音信号的特点、语音信号的数学模型和语音信号的频谱特性、语谱图和统计特性，能使用数学、自然科学、工程基础和专业知识针对工程问题建立合适的数学模型。</w:t>
            </w:r>
          </w:p>
        </w:tc>
        <w:tc>
          <w:tcPr>
            <w:tcW w:w="19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通过课堂讲授与学生实验，作业等达成。</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5336"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2</w:t>
            </w:r>
            <w:r>
              <w:rPr>
                <w:kern w:val="0"/>
                <w:szCs w:val="21"/>
              </w:rPr>
              <w:t>．</w:t>
            </w:r>
            <w:r>
              <w:rPr>
                <w:sz w:val="18"/>
                <w:szCs w:val="18"/>
                <w:shd w:val="clear" w:color="auto" w:fill="FEFEFF"/>
              </w:rPr>
              <w:t>掌握语音信号时域分析、频域分析、小波分析技术的原理和方法，能对实际语音问题进行识别、表达和分析，并得出有效结论。理解语音信号的编码和识别技术，能针对实际语音问题设计方案，并对实验结果进行解释。</w:t>
            </w:r>
          </w:p>
        </w:tc>
        <w:tc>
          <w:tcPr>
            <w:tcW w:w="19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通过课堂讲授与学生实验,作业等达成。</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课堂表现、习题作业、实验报告与考试。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1" w:hRule="atLeast"/>
          <w:jc w:val="center"/>
        </w:trPr>
        <w:tc>
          <w:tcPr>
            <w:tcW w:w="5336"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3</w:t>
            </w:r>
            <w:r>
              <w:rPr>
                <w:kern w:val="0"/>
                <w:szCs w:val="21"/>
              </w:rPr>
              <w:t>．</w:t>
            </w:r>
            <w:r>
              <w:rPr>
                <w:sz w:val="18"/>
                <w:szCs w:val="18"/>
                <w:shd w:val="clear" w:color="auto" w:fill="FEFEFF"/>
              </w:rPr>
              <w:t>掌握语音信号处理系统的设计方法和处理流程，具备语音信号综合处理技能，并能针对各种处理方法的不足提出改进意见，了解目前的学科发展趋势及智能信息处理技术，为在智能语音信号处理等领域的研究与开发打下基础。</w:t>
            </w:r>
          </w:p>
        </w:tc>
        <w:tc>
          <w:tcPr>
            <w:tcW w:w="19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通过课堂讲授与学生学习（小组讨论、案例研讨）等达成。</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实验报告、项目答辩。</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课堂以多媒体教学为主，辅以实例研究和课堂讨论。根据课程特点采用启发式教学、任务驱动教学、案例教学法。重视实验教学，采用“原理描述-设计要点分析-应用案例展示”相互呼应的教学模式。</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3306"/>
        <w:gridCol w:w="3858"/>
        <w:gridCol w:w="4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4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3306" w:type="dxa"/>
            <w:vAlign w:val="center"/>
          </w:tcPr>
          <w:p>
            <w:pPr>
              <w:snapToGrid w:val="0"/>
              <w:spacing w:line="300" w:lineRule="auto"/>
              <w:jc w:val="center"/>
              <w:rPr>
                <w:b/>
                <w:bCs/>
                <w:sz w:val="18"/>
                <w:szCs w:val="18"/>
              </w:rPr>
            </w:pPr>
            <w:r>
              <w:rPr>
                <w:b/>
                <w:bCs/>
                <w:sz w:val="18"/>
                <w:szCs w:val="18"/>
              </w:rPr>
              <w:t>教学内容</w:t>
            </w:r>
          </w:p>
        </w:tc>
        <w:tc>
          <w:tcPr>
            <w:tcW w:w="3858" w:type="dxa"/>
            <w:vAlign w:val="center"/>
          </w:tcPr>
          <w:p>
            <w:pPr>
              <w:snapToGrid w:val="0"/>
              <w:spacing w:line="300" w:lineRule="auto"/>
              <w:jc w:val="center"/>
              <w:rPr>
                <w:b/>
                <w:bCs/>
                <w:sz w:val="18"/>
                <w:szCs w:val="18"/>
              </w:rPr>
            </w:pPr>
            <w:r>
              <w:rPr>
                <w:b/>
                <w:bCs/>
                <w:sz w:val="18"/>
                <w:szCs w:val="18"/>
              </w:rPr>
              <w:t>教与学的要求</w:t>
            </w:r>
          </w:p>
        </w:tc>
        <w:tc>
          <w:tcPr>
            <w:tcW w:w="447" w:type="dxa"/>
            <w:vAlign w:val="center"/>
          </w:tcPr>
          <w:p>
            <w:pPr>
              <w:snapToGrid w:val="0"/>
              <w:spacing w:line="300" w:lineRule="auto"/>
              <w:jc w:val="center"/>
              <w:rPr>
                <w:b/>
                <w:bCs/>
                <w:sz w:val="18"/>
                <w:szCs w:val="18"/>
              </w:rPr>
            </w:pPr>
            <w:r>
              <w:rPr>
                <w:b/>
                <w:bCs/>
                <w:sz w:val="18"/>
                <w:szCs w:val="18"/>
              </w:rPr>
              <w:t>学时</w:t>
            </w:r>
          </w:p>
        </w:tc>
        <w:tc>
          <w:tcPr>
            <w:tcW w:w="890"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dxa"/>
            <w:tcMar>
              <w:left w:w="57" w:type="dxa"/>
              <w:right w:w="57" w:type="dxa"/>
            </w:tcMar>
            <w:vAlign w:val="center"/>
          </w:tcPr>
          <w:p>
            <w:pPr>
              <w:snapToGrid w:val="0"/>
              <w:spacing w:line="300" w:lineRule="auto"/>
              <w:jc w:val="center"/>
              <w:rPr>
                <w:sz w:val="18"/>
                <w:szCs w:val="18"/>
              </w:rPr>
            </w:pPr>
            <w:r>
              <w:rPr>
                <w:sz w:val="18"/>
                <w:szCs w:val="18"/>
              </w:rPr>
              <w:t>1</w:t>
            </w:r>
          </w:p>
        </w:tc>
        <w:tc>
          <w:tcPr>
            <w:tcW w:w="3306" w:type="dxa"/>
            <w:vAlign w:val="center"/>
          </w:tcPr>
          <w:p>
            <w:pPr>
              <w:snapToGrid w:val="0"/>
              <w:spacing w:line="300" w:lineRule="auto"/>
              <w:rPr>
                <w:sz w:val="18"/>
                <w:szCs w:val="18"/>
              </w:rPr>
            </w:pPr>
            <w:r>
              <w:rPr>
                <w:sz w:val="18"/>
                <w:szCs w:val="18"/>
              </w:rPr>
              <w:t>1 绪论</w:t>
            </w:r>
          </w:p>
          <w:p>
            <w:pPr>
              <w:snapToGrid w:val="0"/>
              <w:spacing w:line="300" w:lineRule="auto"/>
              <w:rPr>
                <w:sz w:val="18"/>
                <w:szCs w:val="18"/>
              </w:rPr>
            </w:pPr>
            <w:r>
              <w:rPr>
                <w:sz w:val="18"/>
                <w:szCs w:val="18"/>
              </w:rPr>
              <w:t>1.1语音信号处理的发展、语音信号处理背景及概念</w:t>
            </w:r>
          </w:p>
          <w:p>
            <w:pPr>
              <w:snapToGrid w:val="0"/>
              <w:spacing w:line="300" w:lineRule="auto"/>
              <w:rPr>
                <w:sz w:val="18"/>
                <w:szCs w:val="18"/>
              </w:rPr>
            </w:pPr>
            <w:r>
              <w:rPr>
                <w:b/>
                <w:bCs/>
                <w:sz w:val="18"/>
                <w:szCs w:val="18"/>
              </w:rPr>
              <w:t>1.2介绍在语音信号处理中的前沿和新兴技术——例如现代信号处理技术；介绍行业内语音信号应用前沿与进展，培养学生的科研思维。</w:t>
            </w:r>
          </w:p>
        </w:tc>
        <w:tc>
          <w:tcPr>
            <w:tcW w:w="3858" w:type="dxa"/>
            <w:vAlign w:val="center"/>
          </w:tcPr>
          <w:p>
            <w:pPr>
              <w:snapToGrid w:val="0"/>
              <w:spacing w:line="300" w:lineRule="auto"/>
              <w:rPr>
                <w:sz w:val="18"/>
                <w:szCs w:val="18"/>
              </w:rPr>
            </w:pPr>
            <w:r>
              <w:rPr>
                <w:sz w:val="18"/>
                <w:szCs w:val="18"/>
              </w:rPr>
              <w:t>1</w:t>
            </w:r>
            <w:r>
              <w:rPr>
                <w:kern w:val="0"/>
                <w:szCs w:val="21"/>
              </w:rPr>
              <w:t>．</w:t>
            </w:r>
            <w:r>
              <w:rPr>
                <w:sz w:val="18"/>
                <w:szCs w:val="18"/>
              </w:rPr>
              <w:t>要求</w:t>
            </w:r>
          </w:p>
          <w:p>
            <w:pPr>
              <w:snapToGrid w:val="0"/>
              <w:spacing w:line="300" w:lineRule="auto"/>
              <w:ind w:firstLine="180" w:firstLineChars="100"/>
              <w:rPr>
                <w:sz w:val="18"/>
                <w:szCs w:val="18"/>
              </w:rPr>
            </w:pPr>
            <w:r>
              <w:rPr>
                <w:sz w:val="18"/>
                <w:szCs w:val="18"/>
              </w:rPr>
              <w:t>了解：语音信号处理的发展概况。</w:t>
            </w:r>
          </w:p>
          <w:p>
            <w:pPr>
              <w:snapToGrid w:val="0"/>
              <w:spacing w:line="300" w:lineRule="auto"/>
              <w:rPr>
                <w:sz w:val="18"/>
                <w:szCs w:val="18"/>
              </w:rPr>
            </w:pPr>
            <w:r>
              <w:rPr>
                <w:sz w:val="18"/>
                <w:szCs w:val="18"/>
              </w:rPr>
              <w:t>2</w:t>
            </w:r>
            <w:r>
              <w:rPr>
                <w:kern w:val="0"/>
                <w:szCs w:val="21"/>
              </w:rPr>
              <w:t>．</w:t>
            </w:r>
            <w:r>
              <w:rPr>
                <w:sz w:val="18"/>
                <w:szCs w:val="18"/>
              </w:rPr>
              <w:t>作业内容</w:t>
            </w:r>
          </w:p>
          <w:p>
            <w:pPr>
              <w:snapToGrid w:val="0"/>
              <w:spacing w:line="300" w:lineRule="auto"/>
              <w:rPr>
                <w:sz w:val="18"/>
                <w:szCs w:val="18"/>
              </w:rPr>
            </w:pPr>
            <w:r>
              <w:rPr>
                <w:sz w:val="18"/>
                <w:szCs w:val="18"/>
              </w:rPr>
              <w:t>（1）复习第一章内容；</w:t>
            </w:r>
          </w:p>
          <w:p>
            <w:pPr>
              <w:snapToGrid w:val="0"/>
              <w:spacing w:line="300" w:lineRule="auto"/>
              <w:rPr>
                <w:sz w:val="18"/>
                <w:szCs w:val="18"/>
              </w:rPr>
            </w:pPr>
            <w:r>
              <w:rPr>
                <w:sz w:val="18"/>
                <w:szCs w:val="18"/>
              </w:rPr>
              <w:t>（2）完成教材第一章作业</w:t>
            </w:r>
          </w:p>
          <w:p>
            <w:pPr>
              <w:snapToGrid w:val="0"/>
              <w:spacing w:line="300" w:lineRule="auto"/>
              <w:rPr>
                <w:sz w:val="18"/>
                <w:szCs w:val="18"/>
              </w:rPr>
            </w:pPr>
            <w:r>
              <w:rPr>
                <w:sz w:val="18"/>
                <w:szCs w:val="18"/>
              </w:rPr>
              <w:t>3</w:t>
            </w:r>
            <w:r>
              <w:rPr>
                <w:kern w:val="0"/>
                <w:szCs w:val="21"/>
              </w:rPr>
              <w:t>．</w:t>
            </w:r>
            <w:r>
              <w:rPr>
                <w:sz w:val="18"/>
                <w:szCs w:val="18"/>
              </w:rPr>
              <w:t xml:space="preserve">教学方法 </w:t>
            </w:r>
          </w:p>
          <w:p>
            <w:pPr>
              <w:snapToGrid w:val="0"/>
              <w:spacing w:line="300" w:lineRule="auto"/>
              <w:rPr>
                <w:sz w:val="18"/>
                <w:szCs w:val="18"/>
              </w:rPr>
            </w:pPr>
            <w:r>
              <w:rPr>
                <w:sz w:val="18"/>
                <w:szCs w:val="18"/>
              </w:rPr>
              <w:t>讲授式、讨论式、案例式与启发式相结合。</w:t>
            </w:r>
          </w:p>
        </w:tc>
        <w:tc>
          <w:tcPr>
            <w:tcW w:w="447" w:type="dxa"/>
            <w:vAlign w:val="center"/>
          </w:tcPr>
          <w:p>
            <w:pPr>
              <w:snapToGrid w:val="0"/>
              <w:spacing w:line="300" w:lineRule="auto"/>
              <w:jc w:val="center"/>
              <w:rPr>
                <w:sz w:val="18"/>
                <w:szCs w:val="18"/>
              </w:rPr>
            </w:pPr>
            <w:r>
              <w:rPr>
                <w:sz w:val="18"/>
                <w:szCs w:val="18"/>
              </w:rPr>
              <w:t>2</w:t>
            </w:r>
          </w:p>
        </w:tc>
        <w:tc>
          <w:tcPr>
            <w:tcW w:w="890" w:type="dxa"/>
            <w:vAlign w:val="center"/>
          </w:tcPr>
          <w:p>
            <w:pPr>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543" w:type="dxa"/>
            <w:tcMar>
              <w:left w:w="57" w:type="dxa"/>
              <w:right w:w="57" w:type="dxa"/>
            </w:tcMar>
            <w:vAlign w:val="center"/>
          </w:tcPr>
          <w:p>
            <w:pPr>
              <w:snapToGrid w:val="0"/>
              <w:spacing w:line="300" w:lineRule="auto"/>
              <w:jc w:val="center"/>
              <w:rPr>
                <w:sz w:val="18"/>
                <w:szCs w:val="18"/>
              </w:rPr>
            </w:pPr>
            <w:r>
              <w:rPr>
                <w:sz w:val="18"/>
                <w:szCs w:val="18"/>
              </w:rPr>
              <w:t>2</w:t>
            </w:r>
          </w:p>
        </w:tc>
        <w:tc>
          <w:tcPr>
            <w:tcW w:w="3306" w:type="dxa"/>
            <w:vAlign w:val="center"/>
          </w:tcPr>
          <w:p>
            <w:pPr>
              <w:snapToGrid w:val="0"/>
              <w:spacing w:line="300" w:lineRule="auto"/>
              <w:rPr>
                <w:sz w:val="18"/>
                <w:szCs w:val="18"/>
              </w:rPr>
            </w:pPr>
            <w:r>
              <w:rPr>
                <w:sz w:val="18"/>
                <w:szCs w:val="18"/>
              </w:rPr>
              <w:t>2 语音信号处理的基础知识</w:t>
            </w:r>
          </w:p>
          <w:p>
            <w:pPr>
              <w:snapToGrid w:val="0"/>
              <w:spacing w:line="300" w:lineRule="auto"/>
              <w:rPr>
                <w:sz w:val="18"/>
                <w:szCs w:val="18"/>
              </w:rPr>
            </w:pPr>
            <w:r>
              <w:rPr>
                <w:sz w:val="18"/>
                <w:szCs w:val="18"/>
              </w:rPr>
              <w:t>2.1 语音和语言；语音信号生成的数学模型：</w:t>
            </w:r>
          </w:p>
          <w:p>
            <w:pPr>
              <w:snapToGrid w:val="0"/>
              <w:spacing w:line="300" w:lineRule="auto"/>
              <w:rPr>
                <w:sz w:val="18"/>
                <w:szCs w:val="18"/>
              </w:rPr>
            </w:pPr>
            <w:r>
              <w:rPr>
                <w:sz w:val="18"/>
                <w:szCs w:val="18"/>
              </w:rPr>
              <w:t>2.2 激励模型、声道模型、辐射模型；</w:t>
            </w:r>
          </w:p>
          <w:p>
            <w:pPr>
              <w:snapToGrid w:val="0"/>
              <w:spacing w:line="300" w:lineRule="auto"/>
              <w:rPr>
                <w:sz w:val="18"/>
                <w:szCs w:val="18"/>
              </w:rPr>
            </w:pPr>
            <w:r>
              <w:rPr>
                <w:sz w:val="18"/>
                <w:szCs w:val="18"/>
              </w:rPr>
              <w:t>2.3语音信号的特性分析：语音信号的时域波形和频谱特性、语音信号的语谱图、语音信号的统计特性。</w:t>
            </w:r>
          </w:p>
        </w:tc>
        <w:tc>
          <w:tcPr>
            <w:tcW w:w="3858" w:type="dxa"/>
            <w:vAlign w:val="center"/>
          </w:tcPr>
          <w:p>
            <w:pPr>
              <w:snapToGrid w:val="0"/>
              <w:spacing w:line="300" w:lineRule="auto"/>
              <w:rPr>
                <w:sz w:val="18"/>
                <w:szCs w:val="18"/>
              </w:rPr>
            </w:pPr>
            <w:r>
              <w:rPr>
                <w:sz w:val="18"/>
                <w:szCs w:val="18"/>
              </w:rPr>
              <w:t>1</w:t>
            </w:r>
            <w:r>
              <w:rPr>
                <w:kern w:val="0"/>
                <w:szCs w:val="21"/>
              </w:rPr>
              <w:t>．</w:t>
            </w:r>
            <w:r>
              <w:rPr>
                <w:sz w:val="18"/>
                <w:szCs w:val="18"/>
              </w:rPr>
              <w:t>要求</w:t>
            </w:r>
          </w:p>
          <w:p>
            <w:pPr>
              <w:snapToGrid w:val="0"/>
              <w:spacing w:line="300" w:lineRule="auto"/>
              <w:rPr>
                <w:sz w:val="18"/>
                <w:szCs w:val="18"/>
              </w:rPr>
            </w:pPr>
            <w:r>
              <w:rPr>
                <w:sz w:val="18"/>
                <w:szCs w:val="18"/>
              </w:rPr>
              <w:t xml:space="preserve">（1）了解：语言和语言特点、语音生成系统与语音感知系统； </w:t>
            </w:r>
          </w:p>
          <w:p>
            <w:pPr>
              <w:snapToGrid w:val="0"/>
              <w:spacing w:line="300" w:lineRule="auto"/>
              <w:rPr>
                <w:sz w:val="18"/>
                <w:szCs w:val="18"/>
              </w:rPr>
            </w:pPr>
            <w:r>
              <w:rPr>
                <w:sz w:val="18"/>
                <w:szCs w:val="18"/>
              </w:rPr>
              <w:t>（2）掌握：语音信号的数学模型；掌握时域波形和频域特性；掌握语音信号的语谱图。</w:t>
            </w:r>
          </w:p>
          <w:p>
            <w:pPr>
              <w:snapToGrid w:val="0"/>
              <w:spacing w:line="300" w:lineRule="auto"/>
              <w:rPr>
                <w:sz w:val="18"/>
                <w:szCs w:val="18"/>
              </w:rPr>
            </w:pPr>
            <w:r>
              <w:rPr>
                <w:sz w:val="18"/>
                <w:szCs w:val="18"/>
              </w:rPr>
              <w:t>2</w:t>
            </w:r>
            <w:r>
              <w:rPr>
                <w:kern w:val="0"/>
                <w:szCs w:val="21"/>
              </w:rPr>
              <w:t>．</w:t>
            </w:r>
            <w:r>
              <w:rPr>
                <w:sz w:val="18"/>
                <w:szCs w:val="18"/>
              </w:rPr>
              <w:t>作业内容</w:t>
            </w:r>
          </w:p>
          <w:p>
            <w:pPr>
              <w:snapToGrid w:val="0"/>
              <w:spacing w:line="300" w:lineRule="auto"/>
              <w:rPr>
                <w:sz w:val="18"/>
                <w:szCs w:val="18"/>
              </w:rPr>
            </w:pPr>
            <w:r>
              <w:rPr>
                <w:sz w:val="18"/>
                <w:szCs w:val="18"/>
              </w:rPr>
              <w:t>列出汉语所有的元音和辅音并按照唇形、舌位、开口度画出相应表格，录制一段语音信号，分析其中的两个元音、两个清音的时域波形、频谱、语谱图，并完成相应的报告，报告要对所分析的内容进行说明。</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tc>
        <w:tc>
          <w:tcPr>
            <w:tcW w:w="447" w:type="dxa"/>
            <w:vAlign w:val="center"/>
          </w:tcPr>
          <w:p>
            <w:pPr>
              <w:snapToGrid w:val="0"/>
              <w:spacing w:line="300" w:lineRule="auto"/>
              <w:jc w:val="center"/>
              <w:rPr>
                <w:sz w:val="18"/>
                <w:szCs w:val="18"/>
              </w:rPr>
            </w:pPr>
            <w:r>
              <w:rPr>
                <w:sz w:val="18"/>
                <w:szCs w:val="18"/>
              </w:rPr>
              <w:t>4</w:t>
            </w:r>
          </w:p>
        </w:tc>
        <w:tc>
          <w:tcPr>
            <w:tcW w:w="890"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43" w:type="dxa"/>
            <w:tcMar>
              <w:left w:w="57" w:type="dxa"/>
              <w:right w:w="57" w:type="dxa"/>
            </w:tcMar>
            <w:vAlign w:val="center"/>
          </w:tcPr>
          <w:p>
            <w:pPr>
              <w:snapToGrid w:val="0"/>
              <w:spacing w:line="300" w:lineRule="auto"/>
              <w:jc w:val="center"/>
              <w:rPr>
                <w:sz w:val="18"/>
                <w:szCs w:val="18"/>
              </w:rPr>
            </w:pPr>
            <w:r>
              <w:rPr>
                <w:sz w:val="18"/>
                <w:szCs w:val="18"/>
              </w:rPr>
              <w:t>3</w:t>
            </w:r>
          </w:p>
        </w:tc>
        <w:tc>
          <w:tcPr>
            <w:tcW w:w="3306" w:type="dxa"/>
            <w:vAlign w:val="center"/>
          </w:tcPr>
          <w:p>
            <w:pPr>
              <w:snapToGrid w:val="0"/>
              <w:spacing w:line="300" w:lineRule="auto"/>
              <w:rPr>
                <w:sz w:val="18"/>
                <w:szCs w:val="18"/>
              </w:rPr>
            </w:pPr>
            <w:r>
              <w:rPr>
                <w:sz w:val="18"/>
                <w:szCs w:val="18"/>
              </w:rPr>
              <w:t>3 语音信号分析</w:t>
            </w:r>
          </w:p>
          <w:p>
            <w:pPr>
              <w:snapToGrid w:val="0"/>
              <w:spacing w:line="300" w:lineRule="auto"/>
              <w:rPr>
                <w:sz w:val="18"/>
                <w:szCs w:val="18"/>
              </w:rPr>
            </w:pPr>
            <w:r>
              <w:rPr>
                <w:sz w:val="18"/>
                <w:szCs w:val="18"/>
              </w:rPr>
              <w:t>3.1语音信号的数字化和预处理：预滤波、采样、A/D变换、预处理；</w:t>
            </w:r>
          </w:p>
          <w:p>
            <w:pPr>
              <w:snapToGrid w:val="0"/>
              <w:spacing w:line="300" w:lineRule="auto"/>
              <w:rPr>
                <w:sz w:val="18"/>
                <w:szCs w:val="18"/>
              </w:rPr>
            </w:pPr>
            <w:r>
              <w:rPr>
                <w:sz w:val="18"/>
                <w:szCs w:val="18"/>
              </w:rPr>
              <w:t>3.2语音信号的时域分析：短时能量及短时平均幅度分析、短时过零率分析、短时相关分析、短时平均幅度差函数；</w:t>
            </w:r>
          </w:p>
          <w:p>
            <w:pPr>
              <w:snapToGrid w:val="0"/>
              <w:spacing w:line="300" w:lineRule="auto"/>
              <w:rPr>
                <w:sz w:val="18"/>
                <w:szCs w:val="18"/>
              </w:rPr>
            </w:pPr>
            <w:r>
              <w:rPr>
                <w:sz w:val="18"/>
                <w:szCs w:val="18"/>
              </w:rPr>
              <w:t>3.3语音信号的频域分析：利用短时傅里叶变换求语音的短时谱、语音的短时谱的临界带特征矢量；</w:t>
            </w:r>
          </w:p>
          <w:p>
            <w:pPr>
              <w:snapToGrid w:val="0"/>
              <w:spacing w:line="300" w:lineRule="auto"/>
              <w:rPr>
                <w:sz w:val="18"/>
                <w:szCs w:val="18"/>
              </w:rPr>
            </w:pPr>
            <w:r>
              <w:rPr>
                <w:sz w:val="18"/>
                <w:szCs w:val="18"/>
              </w:rPr>
              <w:t>3.4语音信号的线性预测分析：线性预测分析的基本原理、线性预测方程组的求解；</w:t>
            </w:r>
          </w:p>
          <w:p>
            <w:pPr>
              <w:snapToGrid w:val="0"/>
              <w:spacing w:line="300" w:lineRule="auto"/>
              <w:rPr>
                <w:sz w:val="18"/>
                <w:szCs w:val="18"/>
              </w:rPr>
            </w:pPr>
            <w:r>
              <w:rPr>
                <w:sz w:val="18"/>
                <w:szCs w:val="18"/>
              </w:rPr>
              <w:t>3.5基音周期估计：自相关法、平均幅度差函数法。</w:t>
            </w:r>
          </w:p>
        </w:tc>
        <w:tc>
          <w:tcPr>
            <w:tcW w:w="3858" w:type="dxa"/>
            <w:vAlign w:val="center"/>
          </w:tcPr>
          <w:p>
            <w:pPr>
              <w:snapToGrid w:val="0"/>
              <w:spacing w:line="300" w:lineRule="auto"/>
              <w:rPr>
                <w:sz w:val="18"/>
                <w:szCs w:val="18"/>
              </w:rPr>
            </w:pPr>
            <w:r>
              <w:rPr>
                <w:sz w:val="18"/>
                <w:szCs w:val="18"/>
              </w:rPr>
              <w:t>1</w:t>
            </w:r>
            <w:r>
              <w:rPr>
                <w:kern w:val="0"/>
                <w:szCs w:val="21"/>
              </w:rPr>
              <w:t>．</w:t>
            </w:r>
            <w:r>
              <w:rPr>
                <w:sz w:val="18"/>
                <w:szCs w:val="18"/>
              </w:rPr>
              <w:t>要求</w:t>
            </w:r>
          </w:p>
          <w:p>
            <w:pPr>
              <w:snapToGrid w:val="0"/>
              <w:spacing w:line="300" w:lineRule="auto"/>
              <w:rPr>
                <w:sz w:val="18"/>
                <w:szCs w:val="18"/>
              </w:rPr>
            </w:pPr>
            <w:r>
              <w:rPr>
                <w:sz w:val="18"/>
                <w:szCs w:val="18"/>
              </w:rPr>
              <w:t xml:space="preserve">（1）掌握：语音信号的数字化和预处理方法；语音信号的时域分析方法；语音信号的频域分析方法； </w:t>
            </w:r>
          </w:p>
          <w:p>
            <w:pPr>
              <w:snapToGrid w:val="0"/>
              <w:spacing w:line="300" w:lineRule="auto"/>
              <w:rPr>
                <w:sz w:val="18"/>
                <w:szCs w:val="18"/>
              </w:rPr>
            </w:pPr>
            <w:r>
              <w:rPr>
                <w:sz w:val="18"/>
                <w:szCs w:val="18"/>
              </w:rPr>
              <w:t>（2）理解: 语音信号的线性预测分析；理解基因周期估计。</w:t>
            </w:r>
          </w:p>
          <w:p>
            <w:pPr>
              <w:snapToGrid w:val="0"/>
              <w:spacing w:line="300" w:lineRule="auto"/>
              <w:rPr>
                <w:sz w:val="18"/>
                <w:szCs w:val="18"/>
              </w:rPr>
            </w:pPr>
            <w:r>
              <w:rPr>
                <w:sz w:val="18"/>
                <w:szCs w:val="18"/>
              </w:rPr>
              <w:t>2</w:t>
            </w:r>
            <w:r>
              <w:rPr>
                <w:kern w:val="0"/>
                <w:szCs w:val="21"/>
              </w:rPr>
              <w:t>．</w:t>
            </w:r>
            <w:r>
              <w:rPr>
                <w:sz w:val="18"/>
                <w:szCs w:val="18"/>
              </w:rPr>
              <w:t>作业内容</w:t>
            </w:r>
          </w:p>
          <w:p>
            <w:pPr>
              <w:snapToGrid w:val="0"/>
              <w:spacing w:line="300" w:lineRule="auto"/>
              <w:rPr>
                <w:sz w:val="18"/>
                <w:szCs w:val="18"/>
              </w:rPr>
            </w:pPr>
            <w:r>
              <w:rPr>
                <w:sz w:val="18"/>
                <w:szCs w:val="18"/>
              </w:rPr>
              <w:t xml:space="preserve">（1）Matlab编程利用自相关函数分析并提取基音周期； </w:t>
            </w:r>
          </w:p>
          <w:p>
            <w:pPr>
              <w:snapToGrid w:val="0"/>
              <w:spacing w:line="300" w:lineRule="auto"/>
              <w:rPr>
                <w:sz w:val="18"/>
                <w:szCs w:val="18"/>
              </w:rPr>
            </w:pPr>
            <w:r>
              <w:rPr>
                <w:sz w:val="18"/>
                <w:szCs w:val="18"/>
              </w:rPr>
              <w:t>（2）Matlab编程利用倒谱函数分析并提取基音周期。</w:t>
            </w:r>
          </w:p>
          <w:p>
            <w:pPr>
              <w:snapToGrid w:val="0"/>
              <w:spacing w:line="300" w:lineRule="auto"/>
              <w:rPr>
                <w:sz w:val="18"/>
                <w:szCs w:val="18"/>
              </w:rPr>
            </w:pPr>
            <w:r>
              <w:rPr>
                <w:sz w:val="18"/>
                <w:szCs w:val="18"/>
              </w:rPr>
              <w:t>（3）课外阅读资料：</w:t>
            </w:r>
          </w:p>
          <w:p>
            <w:pPr>
              <w:snapToGrid w:val="0"/>
              <w:spacing w:line="300" w:lineRule="auto"/>
              <w:rPr>
                <w:sz w:val="18"/>
                <w:szCs w:val="18"/>
              </w:rPr>
            </w:pPr>
            <w:r>
              <w:rPr>
                <w:sz w:val="18"/>
                <w:szCs w:val="18"/>
              </w:rPr>
              <w:t>http://kom.aau.dk/~zt/index.htm#Research%20interests</w:t>
            </w:r>
          </w:p>
          <w:p>
            <w:pPr>
              <w:snapToGrid w:val="0"/>
              <w:spacing w:line="300" w:lineRule="auto"/>
              <w:rPr>
                <w:sz w:val="18"/>
                <w:szCs w:val="18"/>
              </w:rPr>
            </w:pPr>
            <w:r>
              <w:rPr>
                <w:sz w:val="18"/>
                <w:szCs w:val="18"/>
              </w:rPr>
              <w:t>3</w:t>
            </w:r>
            <w:r>
              <w:rPr>
                <w:kern w:val="0"/>
                <w:szCs w:val="21"/>
              </w:rPr>
              <w:t>．</w:t>
            </w:r>
            <w:r>
              <w:rPr>
                <w:sz w:val="18"/>
                <w:szCs w:val="18"/>
              </w:rPr>
              <w:t xml:space="preserve">教学方法 </w:t>
            </w:r>
          </w:p>
          <w:p>
            <w:pPr>
              <w:snapToGrid w:val="0"/>
              <w:spacing w:line="300" w:lineRule="auto"/>
              <w:rPr>
                <w:sz w:val="18"/>
                <w:szCs w:val="18"/>
              </w:rPr>
            </w:pPr>
            <w:r>
              <w:rPr>
                <w:sz w:val="18"/>
                <w:szCs w:val="18"/>
              </w:rPr>
              <w:t>讲授式、讨论式、案例式与启发式相结合。</w:t>
            </w:r>
          </w:p>
        </w:tc>
        <w:tc>
          <w:tcPr>
            <w:tcW w:w="447" w:type="dxa"/>
            <w:vAlign w:val="center"/>
          </w:tcPr>
          <w:p>
            <w:pPr>
              <w:snapToGrid w:val="0"/>
              <w:spacing w:line="300" w:lineRule="auto"/>
              <w:jc w:val="center"/>
              <w:rPr>
                <w:sz w:val="18"/>
                <w:szCs w:val="18"/>
              </w:rPr>
            </w:pPr>
            <w:r>
              <w:rPr>
                <w:sz w:val="18"/>
                <w:szCs w:val="18"/>
              </w:rPr>
              <w:t>4</w:t>
            </w:r>
          </w:p>
        </w:tc>
        <w:tc>
          <w:tcPr>
            <w:tcW w:w="890" w:type="dxa"/>
            <w:vAlign w:val="center"/>
          </w:tcPr>
          <w:p>
            <w:pPr>
              <w:snapToGrid w:val="0"/>
              <w:spacing w:line="300" w:lineRule="auto"/>
              <w:jc w:val="left"/>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43" w:type="dxa"/>
            <w:tcMar>
              <w:left w:w="57" w:type="dxa"/>
              <w:right w:w="57" w:type="dxa"/>
            </w:tcMar>
            <w:vAlign w:val="center"/>
          </w:tcPr>
          <w:p>
            <w:pPr>
              <w:snapToGrid w:val="0"/>
              <w:spacing w:line="300" w:lineRule="auto"/>
              <w:jc w:val="center"/>
              <w:rPr>
                <w:sz w:val="18"/>
                <w:szCs w:val="18"/>
              </w:rPr>
            </w:pPr>
            <w:r>
              <w:rPr>
                <w:sz w:val="18"/>
                <w:szCs w:val="18"/>
              </w:rPr>
              <w:t>4</w:t>
            </w:r>
          </w:p>
        </w:tc>
        <w:tc>
          <w:tcPr>
            <w:tcW w:w="3306" w:type="dxa"/>
            <w:vAlign w:val="center"/>
          </w:tcPr>
          <w:p>
            <w:pPr>
              <w:snapToGrid w:val="0"/>
              <w:spacing w:line="300" w:lineRule="auto"/>
              <w:rPr>
                <w:sz w:val="18"/>
                <w:szCs w:val="18"/>
              </w:rPr>
            </w:pPr>
            <w:r>
              <w:rPr>
                <w:sz w:val="18"/>
                <w:szCs w:val="18"/>
              </w:rPr>
              <w:t>4 语音编码</w:t>
            </w:r>
          </w:p>
          <w:p>
            <w:pPr>
              <w:snapToGrid w:val="0"/>
              <w:spacing w:line="300" w:lineRule="auto"/>
              <w:rPr>
                <w:sz w:val="18"/>
                <w:szCs w:val="18"/>
              </w:rPr>
            </w:pPr>
            <w:r>
              <w:rPr>
                <w:sz w:val="18"/>
                <w:szCs w:val="18"/>
              </w:rPr>
              <w:t>4.1语音信号压缩编码的原理和压缩系统评价：语音压缩的基本原理、语音编码的关键技术、语音压缩系统的性能指标和评测方法；</w:t>
            </w:r>
          </w:p>
          <w:p>
            <w:pPr>
              <w:snapToGrid w:val="0"/>
              <w:spacing w:line="300" w:lineRule="auto"/>
              <w:rPr>
                <w:sz w:val="18"/>
                <w:szCs w:val="18"/>
              </w:rPr>
            </w:pPr>
            <w:r>
              <w:rPr>
                <w:sz w:val="18"/>
                <w:szCs w:val="18"/>
              </w:rPr>
              <w:t>4.2语音信号的波形编码：脉冲编码调制、自适应预测编码；</w:t>
            </w:r>
          </w:p>
          <w:p>
            <w:pPr>
              <w:snapToGrid w:val="0"/>
              <w:spacing w:line="300" w:lineRule="auto"/>
              <w:rPr>
                <w:sz w:val="18"/>
                <w:szCs w:val="18"/>
              </w:rPr>
            </w:pPr>
            <w:r>
              <w:rPr>
                <w:sz w:val="18"/>
                <w:szCs w:val="18"/>
              </w:rPr>
              <w:t>4.3语音信号的参数编码：线性预测声码器；</w:t>
            </w:r>
          </w:p>
          <w:p>
            <w:pPr>
              <w:snapToGrid w:val="0"/>
              <w:spacing w:line="300" w:lineRule="auto"/>
              <w:rPr>
                <w:sz w:val="18"/>
                <w:szCs w:val="18"/>
              </w:rPr>
            </w:pPr>
            <w:r>
              <w:rPr>
                <w:sz w:val="18"/>
                <w:szCs w:val="18"/>
              </w:rPr>
              <w:t>4.4语音信号的混合编码。</w:t>
            </w:r>
          </w:p>
        </w:tc>
        <w:tc>
          <w:tcPr>
            <w:tcW w:w="3858" w:type="dxa"/>
            <w:vAlign w:val="center"/>
          </w:tcPr>
          <w:p>
            <w:pPr>
              <w:snapToGrid w:val="0"/>
              <w:spacing w:line="300" w:lineRule="auto"/>
              <w:rPr>
                <w:sz w:val="18"/>
                <w:szCs w:val="18"/>
              </w:rPr>
            </w:pPr>
            <w:r>
              <w:rPr>
                <w:sz w:val="18"/>
                <w:szCs w:val="18"/>
              </w:rPr>
              <w:t>1</w:t>
            </w:r>
            <w:r>
              <w:rPr>
                <w:kern w:val="0"/>
                <w:szCs w:val="21"/>
              </w:rPr>
              <w:t>．</w:t>
            </w:r>
            <w:r>
              <w:rPr>
                <w:sz w:val="18"/>
                <w:szCs w:val="18"/>
              </w:rPr>
              <w:t>要求</w:t>
            </w:r>
          </w:p>
          <w:p>
            <w:pPr>
              <w:snapToGrid w:val="0"/>
              <w:spacing w:line="300" w:lineRule="auto"/>
              <w:rPr>
                <w:sz w:val="18"/>
                <w:szCs w:val="18"/>
              </w:rPr>
            </w:pPr>
            <w:r>
              <w:rPr>
                <w:sz w:val="18"/>
                <w:szCs w:val="18"/>
              </w:rPr>
              <w:t>（1）了解：语音信号的参数编码和混合编码；</w:t>
            </w:r>
          </w:p>
          <w:p>
            <w:pPr>
              <w:snapToGrid w:val="0"/>
              <w:spacing w:line="300" w:lineRule="auto"/>
              <w:rPr>
                <w:sz w:val="18"/>
                <w:szCs w:val="18"/>
              </w:rPr>
            </w:pPr>
            <w:r>
              <w:rPr>
                <w:sz w:val="18"/>
                <w:szCs w:val="18"/>
              </w:rPr>
              <w:t>（2）理解： 语音信号压缩编码的原理和压缩系统评价；语音信号的波形编码；。</w:t>
            </w:r>
          </w:p>
          <w:p>
            <w:pPr>
              <w:snapToGrid w:val="0"/>
              <w:spacing w:line="300" w:lineRule="auto"/>
              <w:rPr>
                <w:sz w:val="18"/>
                <w:szCs w:val="18"/>
              </w:rPr>
            </w:pPr>
            <w:r>
              <w:rPr>
                <w:sz w:val="18"/>
                <w:szCs w:val="18"/>
              </w:rPr>
              <w:t>2</w:t>
            </w:r>
            <w:r>
              <w:rPr>
                <w:kern w:val="0"/>
                <w:szCs w:val="21"/>
              </w:rPr>
              <w:t>．</w:t>
            </w:r>
            <w:r>
              <w:rPr>
                <w:sz w:val="18"/>
                <w:szCs w:val="18"/>
              </w:rPr>
              <w:t>作业内容</w:t>
            </w:r>
          </w:p>
          <w:p>
            <w:pPr>
              <w:snapToGrid w:val="0"/>
              <w:spacing w:line="300" w:lineRule="auto"/>
              <w:rPr>
                <w:sz w:val="18"/>
                <w:szCs w:val="18"/>
              </w:rPr>
            </w:pPr>
            <w:r>
              <w:rPr>
                <w:sz w:val="18"/>
                <w:szCs w:val="18"/>
              </w:rPr>
              <w:t>查找编码器的硬件电路，并对电路的性能和特点做出简要说明；查找并列出的波形与参数编码的算法，并对他们的特点作简要说明。</w:t>
            </w:r>
          </w:p>
          <w:p>
            <w:pPr>
              <w:snapToGrid w:val="0"/>
              <w:spacing w:line="300" w:lineRule="auto"/>
              <w:rPr>
                <w:sz w:val="18"/>
                <w:szCs w:val="18"/>
              </w:rPr>
            </w:pPr>
            <w:r>
              <w:rPr>
                <w:sz w:val="18"/>
                <w:szCs w:val="18"/>
              </w:rPr>
              <w:t>3</w:t>
            </w:r>
            <w:r>
              <w:rPr>
                <w:kern w:val="0"/>
                <w:szCs w:val="21"/>
              </w:rPr>
              <w:t>．</w:t>
            </w:r>
            <w:r>
              <w:rPr>
                <w:sz w:val="18"/>
                <w:szCs w:val="18"/>
              </w:rPr>
              <w:t xml:space="preserve">教学方法 </w:t>
            </w:r>
          </w:p>
          <w:p>
            <w:pPr>
              <w:snapToGrid w:val="0"/>
              <w:spacing w:line="300" w:lineRule="auto"/>
              <w:rPr>
                <w:sz w:val="18"/>
                <w:szCs w:val="18"/>
              </w:rPr>
            </w:pPr>
            <w:r>
              <w:rPr>
                <w:sz w:val="18"/>
                <w:szCs w:val="18"/>
              </w:rPr>
              <w:t>讲授式、讨论式与启发式相结合。</w:t>
            </w:r>
          </w:p>
        </w:tc>
        <w:tc>
          <w:tcPr>
            <w:tcW w:w="447" w:type="dxa"/>
            <w:vAlign w:val="center"/>
          </w:tcPr>
          <w:p>
            <w:pPr>
              <w:snapToGrid w:val="0"/>
              <w:spacing w:line="300" w:lineRule="auto"/>
              <w:jc w:val="center"/>
              <w:rPr>
                <w:sz w:val="18"/>
                <w:szCs w:val="18"/>
              </w:rPr>
            </w:pPr>
            <w:r>
              <w:rPr>
                <w:sz w:val="18"/>
                <w:szCs w:val="18"/>
              </w:rPr>
              <w:t>3</w:t>
            </w:r>
          </w:p>
        </w:tc>
        <w:tc>
          <w:tcPr>
            <w:tcW w:w="890" w:type="dxa"/>
            <w:vAlign w:val="center"/>
          </w:tcPr>
          <w:p>
            <w:pPr>
              <w:snapToGrid w:val="0"/>
              <w:spacing w:line="300" w:lineRule="auto"/>
              <w:jc w:val="left"/>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43" w:type="dxa"/>
            <w:tcMar>
              <w:left w:w="57" w:type="dxa"/>
              <w:right w:w="57" w:type="dxa"/>
            </w:tcMar>
            <w:vAlign w:val="center"/>
          </w:tcPr>
          <w:p>
            <w:pPr>
              <w:snapToGrid w:val="0"/>
              <w:spacing w:line="300" w:lineRule="auto"/>
              <w:jc w:val="center"/>
              <w:rPr>
                <w:sz w:val="18"/>
                <w:szCs w:val="18"/>
              </w:rPr>
            </w:pPr>
            <w:r>
              <w:rPr>
                <w:sz w:val="18"/>
                <w:szCs w:val="18"/>
              </w:rPr>
              <w:t>5</w:t>
            </w:r>
          </w:p>
        </w:tc>
        <w:tc>
          <w:tcPr>
            <w:tcW w:w="3306" w:type="dxa"/>
            <w:vAlign w:val="center"/>
          </w:tcPr>
          <w:p>
            <w:pPr>
              <w:snapToGrid w:val="0"/>
              <w:spacing w:line="300" w:lineRule="auto"/>
              <w:rPr>
                <w:sz w:val="18"/>
                <w:szCs w:val="18"/>
              </w:rPr>
            </w:pPr>
            <w:r>
              <w:rPr>
                <w:sz w:val="18"/>
                <w:szCs w:val="18"/>
              </w:rPr>
              <w:t>5 语音识别</w:t>
            </w:r>
          </w:p>
          <w:p>
            <w:pPr>
              <w:snapToGrid w:val="0"/>
              <w:spacing w:line="300" w:lineRule="auto"/>
              <w:rPr>
                <w:sz w:val="18"/>
                <w:szCs w:val="18"/>
              </w:rPr>
            </w:pPr>
            <w:r>
              <w:rPr>
                <w:sz w:val="18"/>
                <w:szCs w:val="18"/>
              </w:rPr>
              <w:t>5.1 语音识别原理和识别系统的组成：预处理和参数分析、语音识别、语音识别系统的基本数据库；</w:t>
            </w:r>
          </w:p>
          <w:p>
            <w:pPr>
              <w:snapToGrid w:val="0"/>
              <w:spacing w:line="300" w:lineRule="auto"/>
              <w:rPr>
                <w:sz w:val="18"/>
                <w:szCs w:val="18"/>
              </w:rPr>
            </w:pPr>
            <w:r>
              <w:rPr>
                <w:sz w:val="18"/>
                <w:szCs w:val="18"/>
              </w:rPr>
              <w:t>5.2 孤立字识别系统；</w:t>
            </w:r>
          </w:p>
          <w:p>
            <w:pPr>
              <w:snapToGrid w:val="0"/>
              <w:spacing w:line="300" w:lineRule="auto"/>
              <w:rPr>
                <w:sz w:val="18"/>
                <w:szCs w:val="18"/>
              </w:rPr>
            </w:pPr>
            <w:r>
              <w:rPr>
                <w:sz w:val="18"/>
                <w:szCs w:val="18"/>
              </w:rPr>
              <w:t>5.3 连续语音识别系统。</w:t>
            </w:r>
          </w:p>
        </w:tc>
        <w:tc>
          <w:tcPr>
            <w:tcW w:w="3858" w:type="dxa"/>
            <w:vAlign w:val="center"/>
          </w:tcPr>
          <w:p>
            <w:pPr>
              <w:snapToGrid w:val="0"/>
              <w:spacing w:line="300" w:lineRule="auto"/>
              <w:rPr>
                <w:sz w:val="18"/>
                <w:szCs w:val="18"/>
              </w:rPr>
            </w:pPr>
            <w:r>
              <w:rPr>
                <w:sz w:val="18"/>
                <w:szCs w:val="18"/>
              </w:rPr>
              <w:t>1</w:t>
            </w:r>
            <w:r>
              <w:rPr>
                <w:kern w:val="0"/>
                <w:szCs w:val="21"/>
              </w:rPr>
              <w:t>．</w:t>
            </w:r>
            <w:r>
              <w:rPr>
                <w:sz w:val="18"/>
                <w:szCs w:val="18"/>
              </w:rPr>
              <w:t>要求</w:t>
            </w:r>
          </w:p>
          <w:p>
            <w:pPr>
              <w:snapToGrid w:val="0"/>
              <w:spacing w:line="300" w:lineRule="auto"/>
              <w:rPr>
                <w:sz w:val="18"/>
                <w:szCs w:val="18"/>
              </w:rPr>
            </w:pPr>
            <w:r>
              <w:rPr>
                <w:sz w:val="18"/>
                <w:szCs w:val="18"/>
              </w:rPr>
              <w:t>（1）了解：孤立字识别系统，连续语音识别系统；</w:t>
            </w:r>
          </w:p>
          <w:p>
            <w:pPr>
              <w:snapToGrid w:val="0"/>
              <w:spacing w:line="300" w:lineRule="auto"/>
              <w:rPr>
                <w:sz w:val="18"/>
                <w:szCs w:val="18"/>
              </w:rPr>
            </w:pPr>
            <w:r>
              <w:rPr>
                <w:sz w:val="18"/>
                <w:szCs w:val="18"/>
              </w:rPr>
              <w:t>（2）理解：语音识别原理和识别系统的组成。</w:t>
            </w:r>
          </w:p>
          <w:p>
            <w:pPr>
              <w:snapToGrid w:val="0"/>
              <w:spacing w:line="300" w:lineRule="auto"/>
              <w:rPr>
                <w:sz w:val="18"/>
                <w:szCs w:val="18"/>
              </w:rPr>
            </w:pPr>
            <w:r>
              <w:rPr>
                <w:sz w:val="18"/>
                <w:szCs w:val="18"/>
              </w:rPr>
              <w:t>2</w:t>
            </w:r>
            <w:r>
              <w:rPr>
                <w:kern w:val="0"/>
                <w:szCs w:val="21"/>
              </w:rPr>
              <w:t>．</w:t>
            </w:r>
            <w:r>
              <w:rPr>
                <w:sz w:val="18"/>
                <w:szCs w:val="18"/>
              </w:rPr>
              <w:t>作业内容</w:t>
            </w:r>
          </w:p>
          <w:p>
            <w:pPr>
              <w:snapToGrid w:val="0"/>
              <w:spacing w:line="300" w:lineRule="auto"/>
              <w:rPr>
                <w:sz w:val="18"/>
                <w:szCs w:val="18"/>
              </w:rPr>
            </w:pPr>
            <w:r>
              <w:rPr>
                <w:sz w:val="18"/>
                <w:szCs w:val="18"/>
              </w:rPr>
              <w:t>改写出孤立字（词）识别的程序流程，将待识别语音改成自录语音；使用IBM viavoice 语音识别输入系统进行语音识别测试。</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tc>
        <w:tc>
          <w:tcPr>
            <w:tcW w:w="447" w:type="dxa"/>
            <w:vAlign w:val="center"/>
          </w:tcPr>
          <w:p>
            <w:pPr>
              <w:snapToGrid w:val="0"/>
              <w:spacing w:line="300" w:lineRule="auto"/>
              <w:jc w:val="center"/>
              <w:rPr>
                <w:sz w:val="18"/>
                <w:szCs w:val="18"/>
              </w:rPr>
            </w:pPr>
            <w:r>
              <w:rPr>
                <w:sz w:val="18"/>
                <w:szCs w:val="18"/>
              </w:rPr>
              <w:t>3</w:t>
            </w:r>
          </w:p>
        </w:tc>
        <w:tc>
          <w:tcPr>
            <w:tcW w:w="890" w:type="dxa"/>
            <w:vAlign w:val="center"/>
          </w:tcPr>
          <w:p>
            <w:pPr>
              <w:snapToGrid w:val="0"/>
              <w:spacing w:line="300" w:lineRule="auto"/>
              <w:jc w:val="left"/>
              <w:rPr>
                <w:sz w:val="18"/>
                <w:szCs w:val="18"/>
              </w:rPr>
            </w:pPr>
            <w:r>
              <w:rPr>
                <w:sz w:val="18"/>
                <w:szCs w:val="18"/>
              </w:rPr>
              <w:t>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44"/>
        <w:gridCol w:w="2361"/>
        <w:gridCol w:w="738"/>
        <w:gridCol w:w="738"/>
        <w:gridCol w:w="738"/>
        <w:gridCol w:w="738"/>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9" w:type="dxa"/>
            <w:vAlign w:val="center"/>
          </w:tcPr>
          <w:p>
            <w:pPr>
              <w:snapToGrid w:val="0"/>
              <w:spacing w:line="300" w:lineRule="auto"/>
              <w:jc w:val="center"/>
              <w:rPr>
                <w:b/>
                <w:bCs/>
                <w:sz w:val="18"/>
                <w:szCs w:val="18"/>
              </w:rPr>
            </w:pPr>
            <w:r>
              <w:rPr>
                <w:b/>
                <w:bCs/>
                <w:kern w:val="0"/>
                <w:sz w:val="18"/>
                <w:szCs w:val="18"/>
              </w:rPr>
              <w:t>序号</w:t>
            </w:r>
          </w:p>
        </w:tc>
        <w:tc>
          <w:tcPr>
            <w:tcW w:w="1944" w:type="dxa"/>
            <w:vAlign w:val="center"/>
          </w:tcPr>
          <w:p>
            <w:pPr>
              <w:snapToGrid w:val="0"/>
              <w:spacing w:line="300" w:lineRule="auto"/>
              <w:jc w:val="center"/>
              <w:rPr>
                <w:b/>
                <w:bCs/>
                <w:sz w:val="18"/>
                <w:szCs w:val="18"/>
              </w:rPr>
            </w:pPr>
            <w:r>
              <w:rPr>
                <w:b/>
                <w:bCs/>
                <w:kern w:val="0"/>
                <w:sz w:val="18"/>
                <w:szCs w:val="18"/>
              </w:rPr>
              <w:t>实验项目名称</w:t>
            </w:r>
          </w:p>
        </w:tc>
        <w:tc>
          <w:tcPr>
            <w:tcW w:w="2361" w:type="dxa"/>
            <w:vAlign w:val="center"/>
          </w:tcPr>
          <w:p>
            <w:pPr>
              <w:snapToGrid w:val="0"/>
              <w:spacing w:line="300" w:lineRule="auto"/>
              <w:jc w:val="center"/>
              <w:rPr>
                <w:b/>
                <w:bCs/>
                <w:sz w:val="18"/>
                <w:szCs w:val="18"/>
              </w:rPr>
            </w:pPr>
            <w:r>
              <w:rPr>
                <w:b/>
                <w:bCs/>
                <w:kern w:val="0"/>
                <w:sz w:val="18"/>
                <w:szCs w:val="18"/>
              </w:rPr>
              <w:t>目的要求</w:t>
            </w:r>
          </w:p>
        </w:tc>
        <w:tc>
          <w:tcPr>
            <w:tcW w:w="738" w:type="dxa"/>
            <w:vAlign w:val="center"/>
          </w:tcPr>
          <w:p>
            <w:pPr>
              <w:snapToGrid w:val="0"/>
              <w:spacing w:line="300" w:lineRule="auto"/>
              <w:jc w:val="center"/>
              <w:rPr>
                <w:b/>
                <w:bCs/>
                <w:sz w:val="18"/>
                <w:szCs w:val="18"/>
              </w:rPr>
            </w:pPr>
            <w:r>
              <w:rPr>
                <w:b/>
                <w:bCs/>
                <w:kern w:val="0"/>
                <w:sz w:val="18"/>
                <w:szCs w:val="18"/>
              </w:rPr>
              <w:t>学时分配</w:t>
            </w:r>
          </w:p>
        </w:tc>
        <w:tc>
          <w:tcPr>
            <w:tcW w:w="738" w:type="dxa"/>
            <w:vAlign w:val="center"/>
          </w:tcPr>
          <w:p>
            <w:pPr>
              <w:snapToGrid w:val="0"/>
              <w:spacing w:line="300" w:lineRule="auto"/>
              <w:jc w:val="center"/>
              <w:rPr>
                <w:b/>
                <w:bCs/>
                <w:kern w:val="0"/>
                <w:sz w:val="18"/>
                <w:szCs w:val="18"/>
              </w:rPr>
            </w:pPr>
            <w:r>
              <w:rPr>
                <w:b/>
                <w:bCs/>
                <w:kern w:val="0"/>
                <w:sz w:val="18"/>
                <w:szCs w:val="18"/>
              </w:rPr>
              <w:t>实验类型</w:t>
            </w:r>
          </w:p>
        </w:tc>
        <w:tc>
          <w:tcPr>
            <w:tcW w:w="738" w:type="dxa"/>
            <w:vAlign w:val="center"/>
          </w:tcPr>
          <w:p>
            <w:pPr>
              <w:snapToGrid w:val="0"/>
              <w:spacing w:line="300" w:lineRule="auto"/>
              <w:jc w:val="center"/>
              <w:rPr>
                <w:b/>
                <w:bCs/>
                <w:kern w:val="0"/>
                <w:sz w:val="18"/>
                <w:szCs w:val="18"/>
              </w:rPr>
            </w:pPr>
            <w:r>
              <w:rPr>
                <w:b/>
                <w:bCs/>
                <w:kern w:val="0"/>
                <w:sz w:val="18"/>
                <w:szCs w:val="18"/>
              </w:rPr>
              <w:t>每组人数</w:t>
            </w:r>
          </w:p>
        </w:tc>
        <w:tc>
          <w:tcPr>
            <w:tcW w:w="738"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15"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jc w:val="center"/>
              <w:rPr>
                <w:sz w:val="18"/>
                <w:szCs w:val="18"/>
              </w:rPr>
            </w:pPr>
            <w:r>
              <w:rPr>
                <w:sz w:val="18"/>
                <w:szCs w:val="18"/>
              </w:rPr>
              <w:t>1</w:t>
            </w:r>
          </w:p>
        </w:tc>
        <w:tc>
          <w:tcPr>
            <w:tcW w:w="1944" w:type="dxa"/>
            <w:vAlign w:val="center"/>
          </w:tcPr>
          <w:p>
            <w:pPr>
              <w:snapToGrid w:val="0"/>
              <w:spacing w:line="300" w:lineRule="auto"/>
              <w:rPr>
                <w:sz w:val="18"/>
                <w:szCs w:val="18"/>
              </w:rPr>
            </w:pPr>
            <w:r>
              <w:rPr>
                <w:sz w:val="18"/>
                <w:szCs w:val="18"/>
              </w:rPr>
              <w:t>语音信号的采集与时域分析</w:t>
            </w:r>
          </w:p>
        </w:tc>
        <w:tc>
          <w:tcPr>
            <w:tcW w:w="2361" w:type="dxa"/>
            <w:vAlign w:val="center"/>
          </w:tcPr>
          <w:p>
            <w:pPr>
              <w:snapToGrid w:val="0"/>
              <w:spacing w:line="300" w:lineRule="auto"/>
              <w:rPr>
                <w:sz w:val="18"/>
                <w:szCs w:val="18"/>
              </w:rPr>
            </w:pPr>
            <w:r>
              <w:rPr>
                <w:sz w:val="18"/>
                <w:szCs w:val="18"/>
              </w:rPr>
              <w:t>采集语音信号并进行时域分析</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验证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必开</w:t>
            </w:r>
          </w:p>
        </w:tc>
        <w:tc>
          <w:tcPr>
            <w:tcW w:w="715" w:type="dxa"/>
            <w:vAlign w:val="center"/>
          </w:tcPr>
          <w:p>
            <w:pPr>
              <w:snapToGrid w:val="0"/>
              <w:spacing w:line="300" w:lineRule="auto"/>
              <w:rPr>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9" w:type="dxa"/>
            <w:vAlign w:val="center"/>
          </w:tcPr>
          <w:p>
            <w:pPr>
              <w:snapToGrid w:val="0"/>
              <w:spacing w:line="300" w:lineRule="auto"/>
              <w:jc w:val="center"/>
              <w:rPr>
                <w:sz w:val="18"/>
                <w:szCs w:val="18"/>
              </w:rPr>
            </w:pPr>
            <w:r>
              <w:rPr>
                <w:sz w:val="18"/>
                <w:szCs w:val="18"/>
              </w:rPr>
              <w:t>2</w:t>
            </w:r>
          </w:p>
        </w:tc>
        <w:tc>
          <w:tcPr>
            <w:tcW w:w="1944" w:type="dxa"/>
            <w:vAlign w:val="center"/>
          </w:tcPr>
          <w:p>
            <w:pPr>
              <w:snapToGrid w:val="0"/>
              <w:spacing w:line="300" w:lineRule="auto"/>
              <w:rPr>
                <w:sz w:val="18"/>
                <w:szCs w:val="18"/>
              </w:rPr>
            </w:pPr>
            <w:r>
              <w:rPr>
                <w:sz w:val="18"/>
                <w:szCs w:val="18"/>
              </w:rPr>
              <w:t>语音信号的频域滤波</w:t>
            </w:r>
          </w:p>
        </w:tc>
        <w:tc>
          <w:tcPr>
            <w:tcW w:w="2361" w:type="dxa"/>
            <w:vAlign w:val="center"/>
          </w:tcPr>
          <w:p>
            <w:pPr>
              <w:snapToGrid w:val="0"/>
              <w:spacing w:line="300" w:lineRule="auto"/>
              <w:rPr>
                <w:sz w:val="18"/>
                <w:szCs w:val="18"/>
              </w:rPr>
            </w:pPr>
            <w:r>
              <w:rPr>
                <w:sz w:val="18"/>
                <w:szCs w:val="18"/>
              </w:rPr>
              <w:t>对语音信号进行频域滤波分析</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验证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必开</w:t>
            </w:r>
          </w:p>
        </w:tc>
        <w:tc>
          <w:tcPr>
            <w:tcW w:w="715" w:type="dxa"/>
            <w:vAlign w:val="center"/>
          </w:tcPr>
          <w:p>
            <w:pPr>
              <w:widowControl/>
              <w:snapToGrid w:val="0"/>
              <w:spacing w:line="300" w:lineRule="auto"/>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09" w:type="dxa"/>
            <w:vAlign w:val="center"/>
          </w:tcPr>
          <w:p>
            <w:pPr>
              <w:snapToGrid w:val="0"/>
              <w:spacing w:line="300" w:lineRule="auto"/>
              <w:jc w:val="center"/>
              <w:rPr>
                <w:sz w:val="18"/>
                <w:szCs w:val="18"/>
              </w:rPr>
            </w:pPr>
            <w:r>
              <w:rPr>
                <w:sz w:val="18"/>
                <w:szCs w:val="18"/>
              </w:rPr>
              <w:t>3</w:t>
            </w:r>
          </w:p>
        </w:tc>
        <w:tc>
          <w:tcPr>
            <w:tcW w:w="1944" w:type="dxa"/>
            <w:vAlign w:val="center"/>
          </w:tcPr>
          <w:p>
            <w:pPr>
              <w:snapToGrid w:val="0"/>
              <w:spacing w:line="300" w:lineRule="auto"/>
              <w:rPr>
                <w:sz w:val="18"/>
                <w:szCs w:val="18"/>
              </w:rPr>
            </w:pPr>
            <w:r>
              <w:rPr>
                <w:sz w:val="18"/>
                <w:szCs w:val="18"/>
              </w:rPr>
              <w:t>语音信号的短时分析</w:t>
            </w:r>
          </w:p>
        </w:tc>
        <w:tc>
          <w:tcPr>
            <w:tcW w:w="2361" w:type="dxa"/>
            <w:vAlign w:val="center"/>
          </w:tcPr>
          <w:p>
            <w:pPr>
              <w:snapToGrid w:val="0"/>
              <w:spacing w:line="300" w:lineRule="auto"/>
              <w:rPr>
                <w:sz w:val="18"/>
                <w:szCs w:val="18"/>
              </w:rPr>
            </w:pPr>
            <w:r>
              <w:rPr>
                <w:sz w:val="18"/>
                <w:szCs w:val="18"/>
              </w:rPr>
              <w:t>对语音信号进行短时分析</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验证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必开</w:t>
            </w:r>
          </w:p>
        </w:tc>
        <w:tc>
          <w:tcPr>
            <w:tcW w:w="715" w:type="dxa"/>
            <w:vAlign w:val="center"/>
          </w:tcPr>
          <w:p>
            <w:pPr>
              <w:snapToGrid w:val="0"/>
              <w:spacing w:line="300" w:lineRule="auto"/>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09" w:type="dxa"/>
            <w:vAlign w:val="center"/>
          </w:tcPr>
          <w:p>
            <w:pPr>
              <w:snapToGrid w:val="0"/>
              <w:spacing w:line="300" w:lineRule="auto"/>
              <w:jc w:val="center"/>
              <w:rPr>
                <w:sz w:val="18"/>
                <w:szCs w:val="18"/>
              </w:rPr>
            </w:pPr>
            <w:r>
              <w:rPr>
                <w:sz w:val="18"/>
                <w:szCs w:val="18"/>
              </w:rPr>
              <w:t>4</w:t>
            </w:r>
          </w:p>
        </w:tc>
        <w:tc>
          <w:tcPr>
            <w:tcW w:w="1944" w:type="dxa"/>
            <w:vAlign w:val="center"/>
          </w:tcPr>
          <w:p>
            <w:pPr>
              <w:snapToGrid w:val="0"/>
              <w:spacing w:line="300" w:lineRule="auto"/>
              <w:rPr>
                <w:sz w:val="18"/>
                <w:szCs w:val="18"/>
              </w:rPr>
            </w:pPr>
            <w:r>
              <w:rPr>
                <w:sz w:val="18"/>
                <w:szCs w:val="18"/>
              </w:rPr>
              <w:t>语音信号的小波分析</w:t>
            </w:r>
          </w:p>
        </w:tc>
        <w:tc>
          <w:tcPr>
            <w:tcW w:w="2361" w:type="dxa"/>
            <w:vAlign w:val="center"/>
          </w:tcPr>
          <w:p>
            <w:pPr>
              <w:snapToGrid w:val="0"/>
              <w:spacing w:line="300" w:lineRule="auto"/>
              <w:rPr>
                <w:sz w:val="18"/>
                <w:szCs w:val="18"/>
              </w:rPr>
            </w:pPr>
            <w:r>
              <w:rPr>
                <w:sz w:val="18"/>
                <w:szCs w:val="18"/>
              </w:rPr>
              <w:t>对语音信号进行小波分析</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验证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必开</w:t>
            </w:r>
          </w:p>
        </w:tc>
        <w:tc>
          <w:tcPr>
            <w:tcW w:w="715" w:type="dxa"/>
            <w:vAlign w:val="center"/>
          </w:tcPr>
          <w:p>
            <w:pPr>
              <w:snapToGrid w:val="0"/>
              <w:spacing w:line="300" w:lineRule="auto"/>
              <w:rPr>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jc w:val="center"/>
              <w:rPr>
                <w:sz w:val="18"/>
                <w:szCs w:val="18"/>
              </w:rPr>
            </w:pPr>
            <w:r>
              <w:rPr>
                <w:sz w:val="18"/>
                <w:szCs w:val="18"/>
              </w:rPr>
              <w:t>5</w:t>
            </w:r>
          </w:p>
        </w:tc>
        <w:tc>
          <w:tcPr>
            <w:tcW w:w="1944" w:type="dxa"/>
            <w:vAlign w:val="center"/>
          </w:tcPr>
          <w:p>
            <w:pPr>
              <w:snapToGrid w:val="0"/>
              <w:spacing w:line="300" w:lineRule="auto"/>
              <w:rPr>
                <w:sz w:val="18"/>
                <w:szCs w:val="18"/>
              </w:rPr>
            </w:pPr>
            <w:r>
              <w:rPr>
                <w:sz w:val="18"/>
                <w:szCs w:val="18"/>
              </w:rPr>
              <w:t>语音信号的编码1</w:t>
            </w:r>
          </w:p>
        </w:tc>
        <w:tc>
          <w:tcPr>
            <w:tcW w:w="2361" w:type="dxa"/>
            <w:vAlign w:val="center"/>
          </w:tcPr>
          <w:p>
            <w:pPr>
              <w:snapToGrid w:val="0"/>
              <w:spacing w:line="300" w:lineRule="auto"/>
              <w:rPr>
                <w:sz w:val="18"/>
                <w:szCs w:val="18"/>
              </w:rPr>
            </w:pPr>
            <w:r>
              <w:rPr>
                <w:sz w:val="18"/>
                <w:szCs w:val="18"/>
              </w:rPr>
              <w:t>对语音信号进行波形编码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验证</w:t>
            </w:r>
          </w:p>
        </w:tc>
        <w:tc>
          <w:tcPr>
            <w:tcW w:w="738" w:type="dxa"/>
            <w:vAlign w:val="center"/>
          </w:tcPr>
          <w:p>
            <w:pPr>
              <w:snapToGrid w:val="0"/>
              <w:spacing w:line="300" w:lineRule="auto"/>
              <w:jc w:val="center"/>
              <w:rPr>
                <w:sz w:val="18"/>
                <w:szCs w:val="18"/>
              </w:rPr>
            </w:pPr>
            <w:r>
              <w:rPr>
                <w:kern w:val="0"/>
                <w:sz w:val="18"/>
                <w:szCs w:val="18"/>
              </w:rPr>
              <w:t>2</w:t>
            </w:r>
          </w:p>
        </w:tc>
        <w:tc>
          <w:tcPr>
            <w:tcW w:w="738" w:type="dxa"/>
            <w:vAlign w:val="center"/>
          </w:tcPr>
          <w:p>
            <w:pPr>
              <w:snapToGrid w:val="0"/>
              <w:spacing w:line="300" w:lineRule="auto"/>
              <w:jc w:val="center"/>
              <w:rPr>
                <w:sz w:val="18"/>
                <w:szCs w:val="18"/>
              </w:rPr>
            </w:pPr>
            <w:r>
              <w:rPr>
                <w:kern w:val="0"/>
                <w:sz w:val="18"/>
                <w:szCs w:val="18"/>
              </w:rPr>
              <w:t>必开</w:t>
            </w:r>
          </w:p>
        </w:tc>
        <w:tc>
          <w:tcPr>
            <w:tcW w:w="715" w:type="dxa"/>
            <w:vAlign w:val="center"/>
          </w:tcPr>
          <w:p>
            <w:pPr>
              <w:snapToGrid w:val="0"/>
              <w:spacing w:line="300" w:lineRule="auto"/>
              <w:rPr>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jc w:val="center"/>
              <w:rPr>
                <w:sz w:val="18"/>
                <w:szCs w:val="18"/>
              </w:rPr>
            </w:pPr>
            <w:r>
              <w:rPr>
                <w:sz w:val="18"/>
                <w:szCs w:val="18"/>
              </w:rPr>
              <w:t>6</w:t>
            </w:r>
          </w:p>
        </w:tc>
        <w:tc>
          <w:tcPr>
            <w:tcW w:w="1944" w:type="dxa"/>
            <w:vAlign w:val="center"/>
          </w:tcPr>
          <w:p>
            <w:pPr>
              <w:snapToGrid w:val="0"/>
              <w:spacing w:line="300" w:lineRule="auto"/>
              <w:rPr>
                <w:sz w:val="18"/>
                <w:szCs w:val="18"/>
              </w:rPr>
            </w:pPr>
            <w:r>
              <w:rPr>
                <w:sz w:val="18"/>
                <w:szCs w:val="18"/>
              </w:rPr>
              <w:t>语音信号的编码2</w:t>
            </w:r>
          </w:p>
        </w:tc>
        <w:tc>
          <w:tcPr>
            <w:tcW w:w="2361" w:type="dxa"/>
            <w:vAlign w:val="center"/>
          </w:tcPr>
          <w:p>
            <w:pPr>
              <w:snapToGrid w:val="0"/>
              <w:spacing w:line="300" w:lineRule="auto"/>
              <w:rPr>
                <w:sz w:val="18"/>
                <w:szCs w:val="18"/>
              </w:rPr>
            </w:pPr>
            <w:r>
              <w:rPr>
                <w:sz w:val="18"/>
                <w:szCs w:val="18"/>
              </w:rPr>
              <w:t>对语音信号进行参数编码</w:t>
            </w:r>
          </w:p>
        </w:tc>
        <w:tc>
          <w:tcPr>
            <w:tcW w:w="738" w:type="dxa"/>
            <w:vAlign w:val="center"/>
          </w:tcPr>
          <w:p>
            <w:pPr>
              <w:snapToGrid w:val="0"/>
              <w:spacing w:line="300" w:lineRule="auto"/>
              <w:jc w:val="center"/>
              <w:rPr>
                <w:kern w:val="0"/>
                <w:sz w:val="18"/>
                <w:szCs w:val="18"/>
              </w:rPr>
            </w:pPr>
            <w:r>
              <w:rPr>
                <w:kern w:val="0"/>
                <w:sz w:val="18"/>
                <w:szCs w:val="18"/>
              </w:rPr>
              <w:t>2</w:t>
            </w:r>
          </w:p>
        </w:tc>
        <w:tc>
          <w:tcPr>
            <w:tcW w:w="738" w:type="dxa"/>
            <w:vAlign w:val="center"/>
          </w:tcPr>
          <w:p>
            <w:pPr>
              <w:snapToGrid w:val="0"/>
              <w:spacing w:line="300" w:lineRule="auto"/>
              <w:jc w:val="center"/>
              <w:rPr>
                <w:kern w:val="0"/>
                <w:sz w:val="18"/>
                <w:szCs w:val="18"/>
              </w:rPr>
            </w:pPr>
            <w:r>
              <w:rPr>
                <w:kern w:val="0"/>
                <w:sz w:val="18"/>
                <w:szCs w:val="18"/>
              </w:rPr>
              <w:t>验证</w:t>
            </w:r>
          </w:p>
        </w:tc>
        <w:tc>
          <w:tcPr>
            <w:tcW w:w="738" w:type="dxa"/>
            <w:vAlign w:val="center"/>
          </w:tcPr>
          <w:p>
            <w:pPr>
              <w:snapToGrid w:val="0"/>
              <w:spacing w:line="300" w:lineRule="auto"/>
              <w:jc w:val="center"/>
              <w:rPr>
                <w:kern w:val="0"/>
                <w:sz w:val="18"/>
                <w:szCs w:val="18"/>
              </w:rPr>
            </w:pPr>
            <w:r>
              <w:rPr>
                <w:kern w:val="0"/>
                <w:sz w:val="18"/>
                <w:szCs w:val="18"/>
              </w:rPr>
              <w:t>2</w:t>
            </w:r>
          </w:p>
        </w:tc>
        <w:tc>
          <w:tcPr>
            <w:tcW w:w="738" w:type="dxa"/>
            <w:vAlign w:val="center"/>
          </w:tcPr>
          <w:p>
            <w:pPr>
              <w:snapToGrid w:val="0"/>
              <w:spacing w:line="300" w:lineRule="auto"/>
              <w:jc w:val="center"/>
              <w:rPr>
                <w:kern w:val="0"/>
                <w:sz w:val="18"/>
                <w:szCs w:val="18"/>
              </w:rPr>
            </w:pPr>
            <w:r>
              <w:rPr>
                <w:kern w:val="0"/>
                <w:sz w:val="18"/>
                <w:szCs w:val="18"/>
              </w:rPr>
              <w:t>必开</w:t>
            </w:r>
          </w:p>
        </w:tc>
        <w:tc>
          <w:tcPr>
            <w:tcW w:w="715" w:type="dxa"/>
            <w:vAlign w:val="center"/>
          </w:tcPr>
          <w:p>
            <w:pPr>
              <w:snapToGrid w:val="0"/>
              <w:spacing w:line="300" w:lineRule="auto"/>
              <w:rPr>
                <w:kern w:val="0"/>
                <w:sz w:val="18"/>
                <w:szCs w:val="18"/>
              </w:rPr>
            </w:pPr>
            <w:r>
              <w:rPr>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napToGrid w:val="0"/>
              <w:spacing w:line="300" w:lineRule="auto"/>
              <w:jc w:val="center"/>
              <w:rPr>
                <w:sz w:val="18"/>
                <w:szCs w:val="18"/>
              </w:rPr>
            </w:pPr>
            <w:r>
              <w:rPr>
                <w:sz w:val="18"/>
                <w:szCs w:val="18"/>
              </w:rPr>
              <w:t>7</w:t>
            </w:r>
          </w:p>
        </w:tc>
        <w:tc>
          <w:tcPr>
            <w:tcW w:w="1944" w:type="dxa"/>
            <w:vAlign w:val="center"/>
          </w:tcPr>
          <w:p>
            <w:pPr>
              <w:snapToGrid w:val="0"/>
              <w:spacing w:line="300" w:lineRule="auto"/>
              <w:rPr>
                <w:sz w:val="18"/>
                <w:szCs w:val="18"/>
              </w:rPr>
            </w:pPr>
            <w:r>
              <w:rPr>
                <w:sz w:val="18"/>
                <w:szCs w:val="18"/>
              </w:rPr>
              <w:t>基于Matlab的语音信号处理系统实现</w:t>
            </w:r>
          </w:p>
        </w:tc>
        <w:tc>
          <w:tcPr>
            <w:tcW w:w="2361" w:type="dxa"/>
            <w:vAlign w:val="center"/>
          </w:tcPr>
          <w:p>
            <w:pPr>
              <w:snapToGrid w:val="0"/>
              <w:spacing w:line="300" w:lineRule="auto"/>
              <w:rPr>
                <w:sz w:val="18"/>
                <w:szCs w:val="18"/>
              </w:rPr>
            </w:pPr>
            <w:r>
              <w:rPr>
                <w:sz w:val="18"/>
                <w:szCs w:val="18"/>
              </w:rPr>
              <w:t>设计一个基于Matlab的语音处理系统</w:t>
            </w:r>
          </w:p>
        </w:tc>
        <w:tc>
          <w:tcPr>
            <w:tcW w:w="738" w:type="dxa"/>
            <w:vAlign w:val="center"/>
          </w:tcPr>
          <w:p>
            <w:pPr>
              <w:snapToGrid w:val="0"/>
              <w:spacing w:line="300" w:lineRule="auto"/>
              <w:jc w:val="center"/>
              <w:rPr>
                <w:kern w:val="0"/>
                <w:sz w:val="18"/>
                <w:szCs w:val="18"/>
              </w:rPr>
            </w:pPr>
            <w:r>
              <w:rPr>
                <w:kern w:val="0"/>
                <w:sz w:val="18"/>
                <w:szCs w:val="18"/>
              </w:rPr>
              <w:t>4</w:t>
            </w:r>
          </w:p>
        </w:tc>
        <w:tc>
          <w:tcPr>
            <w:tcW w:w="738" w:type="dxa"/>
            <w:vAlign w:val="center"/>
          </w:tcPr>
          <w:p>
            <w:pPr>
              <w:snapToGrid w:val="0"/>
              <w:spacing w:line="300" w:lineRule="auto"/>
              <w:jc w:val="center"/>
              <w:rPr>
                <w:kern w:val="0"/>
                <w:sz w:val="18"/>
                <w:szCs w:val="18"/>
              </w:rPr>
            </w:pPr>
            <w:r>
              <w:rPr>
                <w:kern w:val="0"/>
                <w:sz w:val="18"/>
                <w:szCs w:val="18"/>
              </w:rPr>
              <w:t>设计</w:t>
            </w:r>
          </w:p>
        </w:tc>
        <w:tc>
          <w:tcPr>
            <w:tcW w:w="738" w:type="dxa"/>
            <w:vAlign w:val="center"/>
          </w:tcPr>
          <w:p>
            <w:pPr>
              <w:snapToGrid w:val="0"/>
              <w:spacing w:line="300" w:lineRule="auto"/>
              <w:jc w:val="center"/>
              <w:rPr>
                <w:kern w:val="0"/>
                <w:sz w:val="18"/>
                <w:szCs w:val="18"/>
              </w:rPr>
            </w:pPr>
            <w:r>
              <w:rPr>
                <w:kern w:val="0"/>
                <w:sz w:val="18"/>
                <w:szCs w:val="18"/>
              </w:rPr>
              <w:t>2</w:t>
            </w:r>
          </w:p>
        </w:tc>
        <w:tc>
          <w:tcPr>
            <w:tcW w:w="738" w:type="dxa"/>
            <w:vAlign w:val="center"/>
          </w:tcPr>
          <w:p>
            <w:pPr>
              <w:snapToGrid w:val="0"/>
              <w:spacing w:line="300" w:lineRule="auto"/>
              <w:jc w:val="center"/>
              <w:rPr>
                <w:kern w:val="0"/>
                <w:sz w:val="18"/>
                <w:szCs w:val="18"/>
              </w:rPr>
            </w:pPr>
            <w:r>
              <w:rPr>
                <w:kern w:val="0"/>
                <w:sz w:val="18"/>
                <w:szCs w:val="18"/>
              </w:rPr>
              <w:t>必开</w:t>
            </w:r>
          </w:p>
        </w:tc>
        <w:tc>
          <w:tcPr>
            <w:tcW w:w="715" w:type="dxa"/>
            <w:vAlign w:val="center"/>
          </w:tcPr>
          <w:p>
            <w:pPr>
              <w:snapToGrid w:val="0"/>
              <w:spacing w:line="300" w:lineRule="auto"/>
              <w:rPr>
                <w:kern w:val="0"/>
                <w:sz w:val="18"/>
                <w:szCs w:val="18"/>
              </w:rPr>
            </w:pPr>
            <w:r>
              <w:rPr>
                <w:kern w:val="0"/>
                <w:sz w:val="18"/>
                <w:szCs w:val="18"/>
              </w:rPr>
              <w:t>3</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1．考核方式：闭卷笔试，平时测验及作业，实验报告。</w:t>
      </w:r>
    </w:p>
    <w:p>
      <w:pPr>
        <w:snapToGrid w:val="0"/>
        <w:spacing w:line="300" w:lineRule="auto"/>
        <w:ind w:firstLine="420" w:firstLineChars="200"/>
      </w:pPr>
      <w:r>
        <w:t>2．成绩构成：笔试成绩60%，平时成绩20%（课后作业、课堂表现），实验成绩20%（实验报告、项目答辩）。</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9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650"/>
        <w:gridCol w:w="635"/>
        <w:gridCol w:w="729"/>
        <w:gridCol w:w="616"/>
        <w:gridCol w:w="3836"/>
        <w:gridCol w:w="95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38"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650" w:type="dxa"/>
            <w:vAlign w:val="center"/>
          </w:tcPr>
          <w:p>
            <w:pPr>
              <w:snapToGrid w:val="0"/>
              <w:spacing w:line="300" w:lineRule="auto"/>
              <w:jc w:val="center"/>
              <w:rPr>
                <w:b/>
                <w:bCs/>
                <w:sz w:val="18"/>
                <w:szCs w:val="18"/>
              </w:rPr>
            </w:pPr>
            <w:r>
              <w:rPr>
                <w:b/>
                <w:bCs/>
                <w:sz w:val="18"/>
                <w:szCs w:val="18"/>
              </w:rPr>
              <w:t>分值</w:t>
            </w:r>
          </w:p>
        </w:tc>
        <w:tc>
          <w:tcPr>
            <w:tcW w:w="635" w:type="dxa"/>
            <w:vAlign w:val="center"/>
          </w:tcPr>
          <w:p>
            <w:pPr>
              <w:snapToGrid w:val="0"/>
              <w:spacing w:line="300" w:lineRule="auto"/>
              <w:jc w:val="center"/>
              <w:rPr>
                <w:b/>
                <w:bCs/>
                <w:sz w:val="18"/>
                <w:szCs w:val="18"/>
              </w:rPr>
            </w:pPr>
            <w:r>
              <w:rPr>
                <w:b/>
                <w:bCs/>
                <w:sz w:val="18"/>
                <w:szCs w:val="18"/>
              </w:rPr>
              <w:t>权重</w:t>
            </w:r>
          </w:p>
        </w:tc>
        <w:tc>
          <w:tcPr>
            <w:tcW w:w="729" w:type="dxa"/>
            <w:vAlign w:val="center"/>
          </w:tcPr>
          <w:p>
            <w:pPr>
              <w:snapToGrid w:val="0"/>
              <w:spacing w:line="300" w:lineRule="auto"/>
              <w:jc w:val="center"/>
              <w:rPr>
                <w:b/>
                <w:bCs/>
                <w:sz w:val="18"/>
                <w:szCs w:val="18"/>
              </w:rPr>
            </w:pPr>
            <w:r>
              <w:rPr>
                <w:b/>
                <w:bCs/>
                <w:sz w:val="18"/>
                <w:szCs w:val="18"/>
              </w:rPr>
              <w:t>类别</w:t>
            </w:r>
          </w:p>
        </w:tc>
        <w:tc>
          <w:tcPr>
            <w:tcW w:w="616" w:type="dxa"/>
            <w:vAlign w:val="center"/>
          </w:tcPr>
          <w:p>
            <w:pPr>
              <w:snapToGrid w:val="0"/>
              <w:spacing w:line="300" w:lineRule="auto"/>
              <w:jc w:val="center"/>
              <w:rPr>
                <w:b/>
                <w:bCs/>
                <w:sz w:val="18"/>
                <w:szCs w:val="18"/>
              </w:rPr>
            </w:pPr>
            <w:r>
              <w:rPr>
                <w:b/>
                <w:bCs/>
                <w:sz w:val="18"/>
                <w:szCs w:val="18"/>
              </w:rPr>
              <w:t>权重</w:t>
            </w:r>
          </w:p>
        </w:tc>
        <w:tc>
          <w:tcPr>
            <w:tcW w:w="3836" w:type="dxa"/>
            <w:vAlign w:val="center"/>
          </w:tcPr>
          <w:p>
            <w:pPr>
              <w:snapToGrid w:val="0"/>
              <w:spacing w:line="300" w:lineRule="auto"/>
              <w:jc w:val="center"/>
              <w:rPr>
                <w:b/>
                <w:bCs/>
                <w:sz w:val="18"/>
                <w:szCs w:val="18"/>
              </w:rPr>
            </w:pPr>
            <w:r>
              <w:rPr>
                <w:b/>
                <w:bCs/>
                <w:sz w:val="18"/>
                <w:szCs w:val="18"/>
              </w:rPr>
              <w:t>考核/评价细则</w:t>
            </w:r>
          </w:p>
        </w:tc>
        <w:tc>
          <w:tcPr>
            <w:tcW w:w="950" w:type="dxa"/>
            <w:vAlign w:val="center"/>
          </w:tcPr>
          <w:p>
            <w:pPr>
              <w:snapToGrid w:val="0"/>
              <w:spacing w:line="300" w:lineRule="auto"/>
              <w:jc w:val="center"/>
              <w:rPr>
                <w:b/>
                <w:bCs/>
                <w:sz w:val="18"/>
                <w:szCs w:val="18"/>
              </w:rPr>
            </w:pPr>
            <w:r>
              <w:rPr>
                <w:b/>
                <w:bCs/>
                <w:sz w:val="18"/>
                <w:szCs w:val="18"/>
              </w:rPr>
              <w:t>课程目标</w:t>
            </w:r>
          </w:p>
        </w:tc>
        <w:tc>
          <w:tcPr>
            <w:tcW w:w="1099" w:type="dxa"/>
            <w:vAlign w:val="center"/>
          </w:tcPr>
          <w:p>
            <w:pPr>
              <w:snapToGrid w:val="0"/>
              <w:spacing w:line="300" w:lineRule="auto"/>
              <w:jc w:val="center"/>
              <w:rPr>
                <w:b/>
                <w:bCs/>
                <w:sz w:val="18"/>
                <w:szCs w:val="18"/>
              </w:rPr>
            </w:pPr>
            <w:r>
              <w:rPr>
                <w:b/>
                <w:bCs/>
                <w:sz w:val="18"/>
                <w:szCs w:val="18"/>
              </w:rPr>
              <w:t>毕业要求</w:t>
            </w:r>
            <w:r>
              <w:rPr>
                <w:rFonts w:hint="eastAsia"/>
                <w:b/>
                <w:bCs/>
                <w:sz w:val="18"/>
                <w:szCs w:val="18"/>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vAlign w:val="center"/>
          </w:tcPr>
          <w:p>
            <w:pPr>
              <w:snapToGrid w:val="0"/>
              <w:spacing w:line="300" w:lineRule="auto"/>
              <w:jc w:val="left"/>
              <w:rPr>
                <w:sz w:val="18"/>
                <w:szCs w:val="18"/>
              </w:rPr>
            </w:pPr>
            <w:r>
              <w:rPr>
                <w:sz w:val="18"/>
                <w:szCs w:val="18"/>
              </w:rPr>
              <w:t>平时成绩</w:t>
            </w:r>
          </w:p>
        </w:tc>
        <w:tc>
          <w:tcPr>
            <w:tcW w:w="650" w:type="dxa"/>
            <w:vMerge w:val="restart"/>
            <w:vAlign w:val="center"/>
          </w:tcPr>
          <w:p>
            <w:pPr>
              <w:snapToGrid w:val="0"/>
              <w:spacing w:line="300" w:lineRule="auto"/>
              <w:jc w:val="center"/>
              <w:rPr>
                <w:sz w:val="18"/>
                <w:szCs w:val="18"/>
              </w:rPr>
            </w:pPr>
            <w:r>
              <w:rPr>
                <w:sz w:val="18"/>
                <w:szCs w:val="18"/>
              </w:rPr>
              <w:t>100</w:t>
            </w:r>
          </w:p>
        </w:tc>
        <w:tc>
          <w:tcPr>
            <w:tcW w:w="635" w:type="dxa"/>
            <w:vMerge w:val="restart"/>
            <w:vAlign w:val="center"/>
          </w:tcPr>
          <w:p>
            <w:pPr>
              <w:snapToGrid w:val="0"/>
              <w:spacing w:line="300" w:lineRule="auto"/>
              <w:jc w:val="center"/>
              <w:rPr>
                <w:sz w:val="18"/>
                <w:szCs w:val="18"/>
              </w:rPr>
            </w:pPr>
            <w:r>
              <w:rPr>
                <w:sz w:val="18"/>
                <w:szCs w:val="18"/>
              </w:rPr>
              <w:t>0.2</w:t>
            </w:r>
          </w:p>
        </w:tc>
        <w:tc>
          <w:tcPr>
            <w:tcW w:w="729" w:type="dxa"/>
            <w:vAlign w:val="center"/>
          </w:tcPr>
          <w:p>
            <w:pPr>
              <w:snapToGrid w:val="0"/>
              <w:spacing w:line="300" w:lineRule="auto"/>
              <w:jc w:val="center"/>
              <w:rPr>
                <w:sz w:val="18"/>
                <w:szCs w:val="18"/>
              </w:rPr>
            </w:pPr>
            <w:r>
              <w:rPr>
                <w:sz w:val="18"/>
                <w:szCs w:val="18"/>
              </w:rPr>
              <w:t>课堂表现</w:t>
            </w:r>
          </w:p>
        </w:tc>
        <w:tc>
          <w:tcPr>
            <w:tcW w:w="616" w:type="dxa"/>
            <w:vAlign w:val="center"/>
          </w:tcPr>
          <w:p>
            <w:pPr>
              <w:snapToGrid w:val="0"/>
              <w:spacing w:line="300" w:lineRule="auto"/>
              <w:jc w:val="center"/>
              <w:rPr>
                <w:sz w:val="18"/>
                <w:szCs w:val="18"/>
              </w:rPr>
            </w:pPr>
            <w:r>
              <w:rPr>
                <w:sz w:val="18"/>
                <w:szCs w:val="18"/>
              </w:rPr>
              <w:t>0.3</w:t>
            </w:r>
          </w:p>
        </w:tc>
        <w:tc>
          <w:tcPr>
            <w:tcW w:w="3836" w:type="dxa"/>
            <w:vAlign w:val="center"/>
          </w:tcPr>
          <w:p>
            <w:pPr>
              <w:snapToGrid w:val="0"/>
              <w:spacing w:line="300" w:lineRule="auto"/>
              <w:rPr>
                <w:sz w:val="18"/>
                <w:szCs w:val="18"/>
              </w:rPr>
            </w:pPr>
            <w:r>
              <w:rPr>
                <w:sz w:val="18"/>
                <w:szCs w:val="18"/>
              </w:rPr>
              <w:t>根据学生课堂表现打分，满分100。</w:t>
            </w:r>
          </w:p>
        </w:tc>
        <w:tc>
          <w:tcPr>
            <w:tcW w:w="950" w:type="dxa"/>
            <w:vAlign w:val="center"/>
          </w:tcPr>
          <w:p>
            <w:pPr>
              <w:snapToGrid w:val="0"/>
              <w:spacing w:line="300" w:lineRule="auto"/>
              <w:jc w:val="left"/>
              <w:rPr>
                <w:sz w:val="18"/>
                <w:szCs w:val="18"/>
              </w:rPr>
            </w:pPr>
            <w:r>
              <w:rPr>
                <w:sz w:val="18"/>
                <w:szCs w:val="18"/>
              </w:rPr>
              <w:t>1，2</w:t>
            </w:r>
          </w:p>
        </w:tc>
        <w:tc>
          <w:tcPr>
            <w:tcW w:w="1099" w:type="dxa"/>
            <w:vAlign w:val="center"/>
          </w:tcPr>
          <w:p>
            <w:pPr>
              <w:snapToGrid w:val="0"/>
              <w:spacing w:line="300" w:lineRule="auto"/>
              <w:jc w:val="center"/>
              <w:rPr>
                <w:sz w:val="18"/>
                <w:szCs w:val="18"/>
              </w:rPr>
            </w:pPr>
            <w:r>
              <w:rPr>
                <w:rFonts w:hint="eastAsia"/>
                <w:sz w:val="18"/>
                <w:szCs w:val="18"/>
              </w:rPr>
              <w:t>1.1，2.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38" w:type="dxa"/>
            <w:vMerge w:val="continue"/>
            <w:vAlign w:val="center"/>
          </w:tcPr>
          <w:p>
            <w:pPr>
              <w:snapToGrid w:val="0"/>
              <w:spacing w:line="300" w:lineRule="auto"/>
              <w:rPr>
                <w:sz w:val="18"/>
                <w:szCs w:val="18"/>
              </w:rPr>
            </w:pPr>
          </w:p>
        </w:tc>
        <w:tc>
          <w:tcPr>
            <w:tcW w:w="650" w:type="dxa"/>
            <w:vMerge w:val="continue"/>
            <w:vAlign w:val="center"/>
          </w:tcPr>
          <w:p>
            <w:pPr>
              <w:snapToGrid w:val="0"/>
              <w:spacing w:line="300" w:lineRule="auto"/>
              <w:jc w:val="center"/>
              <w:rPr>
                <w:sz w:val="18"/>
                <w:szCs w:val="18"/>
              </w:rPr>
            </w:pPr>
          </w:p>
        </w:tc>
        <w:tc>
          <w:tcPr>
            <w:tcW w:w="635"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作业</w:t>
            </w:r>
          </w:p>
        </w:tc>
        <w:tc>
          <w:tcPr>
            <w:tcW w:w="616" w:type="dxa"/>
            <w:vAlign w:val="center"/>
          </w:tcPr>
          <w:p>
            <w:pPr>
              <w:snapToGrid w:val="0"/>
              <w:spacing w:line="300" w:lineRule="auto"/>
              <w:jc w:val="center"/>
              <w:rPr>
                <w:sz w:val="18"/>
                <w:szCs w:val="18"/>
              </w:rPr>
            </w:pPr>
            <w:r>
              <w:rPr>
                <w:sz w:val="18"/>
                <w:szCs w:val="18"/>
              </w:rPr>
              <w:t>0.4</w:t>
            </w:r>
          </w:p>
        </w:tc>
        <w:tc>
          <w:tcPr>
            <w:tcW w:w="3836"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950" w:type="dxa"/>
            <w:vAlign w:val="center"/>
          </w:tcPr>
          <w:p>
            <w:pPr>
              <w:snapToGrid w:val="0"/>
              <w:spacing w:line="300" w:lineRule="auto"/>
              <w:jc w:val="left"/>
              <w:rPr>
                <w:sz w:val="18"/>
                <w:szCs w:val="18"/>
              </w:rPr>
            </w:pPr>
            <w:r>
              <w:rPr>
                <w:sz w:val="18"/>
                <w:szCs w:val="18"/>
              </w:rPr>
              <w:t>1，2</w:t>
            </w:r>
          </w:p>
        </w:tc>
        <w:tc>
          <w:tcPr>
            <w:tcW w:w="1099" w:type="dxa"/>
            <w:vAlign w:val="center"/>
          </w:tcPr>
          <w:p>
            <w:pPr>
              <w:snapToGrid w:val="0"/>
              <w:spacing w:line="300" w:lineRule="auto"/>
              <w:jc w:val="center"/>
              <w:rPr>
                <w:sz w:val="18"/>
                <w:szCs w:val="18"/>
              </w:rPr>
            </w:pPr>
            <w:r>
              <w:rPr>
                <w:rFonts w:hint="eastAsia"/>
                <w:sz w:val="18"/>
                <w:szCs w:val="18"/>
              </w:rPr>
              <w:t>1.1，2.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38" w:type="dxa"/>
            <w:vMerge w:val="restart"/>
            <w:vAlign w:val="center"/>
          </w:tcPr>
          <w:p>
            <w:pPr>
              <w:snapToGrid w:val="0"/>
              <w:spacing w:line="300" w:lineRule="auto"/>
              <w:jc w:val="left"/>
              <w:rPr>
                <w:sz w:val="18"/>
                <w:szCs w:val="18"/>
              </w:rPr>
            </w:pPr>
            <w:r>
              <w:rPr>
                <w:sz w:val="18"/>
                <w:szCs w:val="18"/>
              </w:rPr>
              <w:t>实验成绩</w:t>
            </w:r>
          </w:p>
        </w:tc>
        <w:tc>
          <w:tcPr>
            <w:tcW w:w="650" w:type="dxa"/>
            <w:vMerge w:val="restart"/>
            <w:vAlign w:val="center"/>
          </w:tcPr>
          <w:p>
            <w:pPr>
              <w:snapToGrid w:val="0"/>
              <w:spacing w:line="300" w:lineRule="auto"/>
              <w:jc w:val="center"/>
              <w:rPr>
                <w:sz w:val="18"/>
                <w:szCs w:val="18"/>
              </w:rPr>
            </w:pPr>
            <w:r>
              <w:rPr>
                <w:sz w:val="18"/>
                <w:szCs w:val="18"/>
              </w:rPr>
              <w:t>100</w:t>
            </w:r>
          </w:p>
        </w:tc>
        <w:tc>
          <w:tcPr>
            <w:tcW w:w="635" w:type="dxa"/>
            <w:vMerge w:val="restart"/>
            <w:vAlign w:val="center"/>
          </w:tcPr>
          <w:p>
            <w:pPr>
              <w:snapToGrid w:val="0"/>
              <w:spacing w:line="300" w:lineRule="auto"/>
              <w:jc w:val="center"/>
              <w:rPr>
                <w:sz w:val="18"/>
                <w:szCs w:val="18"/>
              </w:rPr>
            </w:pPr>
            <w:r>
              <w:rPr>
                <w:sz w:val="18"/>
                <w:szCs w:val="18"/>
              </w:rPr>
              <w:t>0.2</w:t>
            </w:r>
          </w:p>
        </w:tc>
        <w:tc>
          <w:tcPr>
            <w:tcW w:w="729" w:type="dxa"/>
            <w:vAlign w:val="center"/>
          </w:tcPr>
          <w:p>
            <w:pPr>
              <w:snapToGrid w:val="0"/>
              <w:spacing w:line="300" w:lineRule="auto"/>
              <w:jc w:val="center"/>
              <w:rPr>
                <w:sz w:val="18"/>
                <w:szCs w:val="18"/>
              </w:rPr>
            </w:pPr>
            <w:r>
              <w:rPr>
                <w:sz w:val="18"/>
                <w:szCs w:val="18"/>
              </w:rPr>
              <w:t>实验报告</w:t>
            </w:r>
          </w:p>
        </w:tc>
        <w:tc>
          <w:tcPr>
            <w:tcW w:w="616" w:type="dxa"/>
            <w:vAlign w:val="center"/>
          </w:tcPr>
          <w:p>
            <w:pPr>
              <w:snapToGrid w:val="0"/>
              <w:spacing w:line="300" w:lineRule="auto"/>
              <w:jc w:val="center"/>
              <w:rPr>
                <w:sz w:val="18"/>
                <w:szCs w:val="18"/>
              </w:rPr>
            </w:pPr>
            <w:r>
              <w:rPr>
                <w:sz w:val="18"/>
                <w:szCs w:val="18"/>
              </w:rPr>
              <w:t>0.5</w:t>
            </w:r>
          </w:p>
        </w:tc>
        <w:tc>
          <w:tcPr>
            <w:tcW w:w="3836" w:type="dxa"/>
            <w:vAlign w:val="center"/>
          </w:tcPr>
          <w:p>
            <w:pPr>
              <w:snapToGrid w:val="0"/>
              <w:spacing w:line="300" w:lineRule="auto"/>
              <w:jc w:val="left"/>
              <w:rPr>
                <w:sz w:val="18"/>
                <w:szCs w:val="18"/>
              </w:rPr>
            </w:pPr>
            <w:r>
              <w:rPr>
                <w:sz w:val="18"/>
                <w:szCs w:val="18"/>
              </w:rPr>
              <w:t>根据实验完成质量以及实验报告质量评分，每次实验按100分制单独评分，取各次实验成绩的平均值作为实验报告成绩，满分100分。</w:t>
            </w:r>
          </w:p>
        </w:tc>
        <w:tc>
          <w:tcPr>
            <w:tcW w:w="950" w:type="dxa"/>
            <w:vAlign w:val="center"/>
          </w:tcPr>
          <w:p>
            <w:pPr>
              <w:snapToGrid w:val="0"/>
              <w:spacing w:line="300" w:lineRule="auto"/>
              <w:jc w:val="left"/>
              <w:rPr>
                <w:sz w:val="18"/>
                <w:szCs w:val="18"/>
              </w:rPr>
            </w:pPr>
            <w:r>
              <w:rPr>
                <w:rFonts w:hint="eastAsia"/>
                <w:sz w:val="18"/>
                <w:szCs w:val="18"/>
              </w:rPr>
              <w:t>2，</w:t>
            </w:r>
            <w:r>
              <w:rPr>
                <w:sz w:val="18"/>
                <w:szCs w:val="18"/>
              </w:rPr>
              <w:t>3</w:t>
            </w:r>
          </w:p>
        </w:tc>
        <w:tc>
          <w:tcPr>
            <w:tcW w:w="1099" w:type="dxa"/>
            <w:vAlign w:val="center"/>
          </w:tcPr>
          <w:p>
            <w:pPr>
              <w:snapToGrid w:val="0"/>
              <w:spacing w:line="300" w:lineRule="auto"/>
              <w:jc w:val="center"/>
              <w:rPr>
                <w:sz w:val="18"/>
                <w:szCs w:val="18"/>
              </w:rPr>
            </w:pPr>
            <w:r>
              <w:rPr>
                <w:rFonts w:hint="eastAsia"/>
                <w:sz w:val="18"/>
                <w:szCs w:val="18"/>
              </w:rPr>
              <w:t>2.</w:t>
            </w:r>
            <w:r>
              <w:rPr>
                <w:sz w:val="18"/>
                <w:szCs w:val="18"/>
              </w:rPr>
              <w:t>2</w:t>
            </w:r>
            <w:r>
              <w:rPr>
                <w:rFonts w:hint="eastAsia"/>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38" w:type="dxa"/>
            <w:vMerge w:val="continue"/>
            <w:vAlign w:val="center"/>
          </w:tcPr>
          <w:p>
            <w:pPr>
              <w:snapToGrid w:val="0"/>
              <w:spacing w:line="300" w:lineRule="auto"/>
              <w:rPr>
                <w:sz w:val="18"/>
                <w:szCs w:val="18"/>
              </w:rPr>
            </w:pPr>
          </w:p>
        </w:tc>
        <w:tc>
          <w:tcPr>
            <w:tcW w:w="650" w:type="dxa"/>
            <w:vMerge w:val="continue"/>
            <w:vAlign w:val="center"/>
          </w:tcPr>
          <w:p>
            <w:pPr>
              <w:snapToGrid w:val="0"/>
              <w:spacing w:line="300" w:lineRule="auto"/>
              <w:jc w:val="center"/>
              <w:rPr>
                <w:sz w:val="18"/>
                <w:szCs w:val="18"/>
              </w:rPr>
            </w:pPr>
          </w:p>
        </w:tc>
        <w:tc>
          <w:tcPr>
            <w:tcW w:w="635"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项目答辩</w:t>
            </w:r>
          </w:p>
        </w:tc>
        <w:tc>
          <w:tcPr>
            <w:tcW w:w="616" w:type="dxa"/>
            <w:vAlign w:val="center"/>
          </w:tcPr>
          <w:p>
            <w:pPr>
              <w:snapToGrid w:val="0"/>
              <w:spacing w:line="300" w:lineRule="auto"/>
              <w:jc w:val="center"/>
              <w:rPr>
                <w:sz w:val="18"/>
                <w:szCs w:val="18"/>
              </w:rPr>
            </w:pPr>
            <w:r>
              <w:rPr>
                <w:sz w:val="18"/>
                <w:szCs w:val="18"/>
              </w:rPr>
              <w:t>0.5</w:t>
            </w:r>
          </w:p>
        </w:tc>
        <w:tc>
          <w:tcPr>
            <w:tcW w:w="3836" w:type="dxa"/>
            <w:vAlign w:val="center"/>
          </w:tcPr>
          <w:p>
            <w:pPr>
              <w:snapToGrid w:val="0"/>
              <w:spacing w:line="300" w:lineRule="auto"/>
              <w:jc w:val="left"/>
              <w:rPr>
                <w:sz w:val="18"/>
                <w:szCs w:val="18"/>
              </w:rPr>
            </w:pPr>
            <w:r>
              <w:rPr>
                <w:sz w:val="18"/>
                <w:szCs w:val="18"/>
              </w:rPr>
              <w:t>综合型实验按小组进行答辩，满分100分。</w:t>
            </w:r>
          </w:p>
        </w:tc>
        <w:tc>
          <w:tcPr>
            <w:tcW w:w="950" w:type="dxa"/>
            <w:vAlign w:val="center"/>
          </w:tcPr>
          <w:p>
            <w:pPr>
              <w:snapToGrid w:val="0"/>
              <w:spacing w:line="300" w:lineRule="auto"/>
              <w:jc w:val="left"/>
              <w:rPr>
                <w:sz w:val="18"/>
                <w:szCs w:val="18"/>
              </w:rPr>
            </w:pPr>
            <w:r>
              <w:rPr>
                <w:sz w:val="18"/>
                <w:szCs w:val="18"/>
              </w:rPr>
              <w:t>3</w:t>
            </w:r>
          </w:p>
        </w:tc>
        <w:tc>
          <w:tcPr>
            <w:tcW w:w="1099" w:type="dxa"/>
            <w:vAlign w:val="center"/>
          </w:tcPr>
          <w:p>
            <w:pPr>
              <w:snapToGrid w:val="0"/>
              <w:spacing w:line="300" w:lineRule="auto"/>
              <w:jc w:val="center"/>
              <w:rPr>
                <w:sz w:val="18"/>
                <w:szCs w:val="18"/>
              </w:rPr>
            </w:pPr>
            <w:r>
              <w:rPr>
                <w:rFonts w:hint="eastAsia"/>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638" w:type="dxa"/>
            <w:vAlign w:val="center"/>
          </w:tcPr>
          <w:p>
            <w:pPr>
              <w:snapToGrid w:val="0"/>
              <w:spacing w:line="300" w:lineRule="auto"/>
              <w:jc w:val="left"/>
              <w:rPr>
                <w:sz w:val="18"/>
                <w:szCs w:val="18"/>
              </w:rPr>
            </w:pPr>
            <w:r>
              <w:rPr>
                <w:sz w:val="18"/>
                <w:szCs w:val="18"/>
              </w:rPr>
              <w:t>期末考试成绩</w:t>
            </w:r>
          </w:p>
        </w:tc>
        <w:tc>
          <w:tcPr>
            <w:tcW w:w="650" w:type="dxa"/>
            <w:vAlign w:val="center"/>
          </w:tcPr>
          <w:p>
            <w:pPr>
              <w:snapToGrid w:val="0"/>
              <w:spacing w:line="300" w:lineRule="auto"/>
              <w:jc w:val="center"/>
              <w:rPr>
                <w:sz w:val="18"/>
                <w:szCs w:val="18"/>
              </w:rPr>
            </w:pPr>
            <w:r>
              <w:rPr>
                <w:sz w:val="18"/>
                <w:szCs w:val="18"/>
              </w:rPr>
              <w:t>100</w:t>
            </w:r>
          </w:p>
        </w:tc>
        <w:tc>
          <w:tcPr>
            <w:tcW w:w="635" w:type="dxa"/>
            <w:vAlign w:val="center"/>
          </w:tcPr>
          <w:p>
            <w:pPr>
              <w:snapToGrid w:val="0"/>
              <w:spacing w:line="300" w:lineRule="auto"/>
              <w:jc w:val="center"/>
              <w:rPr>
                <w:sz w:val="18"/>
                <w:szCs w:val="18"/>
              </w:rPr>
            </w:pPr>
            <w:r>
              <w:rPr>
                <w:sz w:val="18"/>
                <w:szCs w:val="18"/>
              </w:rPr>
              <w:t>0. 6</w:t>
            </w:r>
          </w:p>
        </w:tc>
        <w:tc>
          <w:tcPr>
            <w:tcW w:w="729" w:type="dxa"/>
            <w:vAlign w:val="center"/>
          </w:tcPr>
          <w:p>
            <w:pPr>
              <w:snapToGrid w:val="0"/>
              <w:spacing w:line="300" w:lineRule="auto"/>
              <w:jc w:val="left"/>
              <w:rPr>
                <w:sz w:val="18"/>
                <w:szCs w:val="18"/>
              </w:rPr>
            </w:pPr>
            <w:r>
              <w:rPr>
                <w:sz w:val="18"/>
                <w:szCs w:val="18"/>
              </w:rPr>
              <w:t>闭卷考试</w:t>
            </w:r>
          </w:p>
        </w:tc>
        <w:tc>
          <w:tcPr>
            <w:tcW w:w="616" w:type="dxa"/>
            <w:vAlign w:val="center"/>
          </w:tcPr>
          <w:p>
            <w:pPr>
              <w:snapToGrid w:val="0"/>
              <w:spacing w:line="300" w:lineRule="auto"/>
              <w:jc w:val="center"/>
              <w:rPr>
                <w:sz w:val="18"/>
                <w:szCs w:val="18"/>
              </w:rPr>
            </w:pPr>
            <w:r>
              <w:rPr>
                <w:sz w:val="18"/>
                <w:szCs w:val="18"/>
              </w:rPr>
              <w:t>1</w:t>
            </w:r>
          </w:p>
        </w:tc>
        <w:tc>
          <w:tcPr>
            <w:tcW w:w="3836"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(2)建议考试题型包括：选择题、填空题、分析判断、综合计算题、证明题等其中某几种题型。</w:t>
            </w:r>
          </w:p>
        </w:tc>
        <w:tc>
          <w:tcPr>
            <w:tcW w:w="950" w:type="dxa"/>
            <w:vAlign w:val="center"/>
          </w:tcPr>
          <w:p>
            <w:pPr>
              <w:snapToGrid w:val="0"/>
              <w:spacing w:line="300" w:lineRule="auto"/>
              <w:jc w:val="left"/>
              <w:rPr>
                <w:sz w:val="18"/>
                <w:szCs w:val="18"/>
              </w:rPr>
            </w:pPr>
            <w:r>
              <w:rPr>
                <w:sz w:val="18"/>
                <w:szCs w:val="18"/>
              </w:rPr>
              <w:t>1，2</w:t>
            </w:r>
          </w:p>
        </w:tc>
        <w:tc>
          <w:tcPr>
            <w:tcW w:w="1099" w:type="dxa"/>
            <w:vAlign w:val="center"/>
          </w:tcPr>
          <w:p>
            <w:pPr>
              <w:snapToGrid w:val="0"/>
              <w:spacing w:line="300" w:lineRule="auto"/>
              <w:jc w:val="center"/>
              <w:rPr>
                <w:sz w:val="18"/>
                <w:szCs w:val="18"/>
              </w:rPr>
            </w:pPr>
            <w:r>
              <w:rPr>
                <w:rFonts w:hint="eastAsia"/>
                <w:sz w:val="18"/>
                <w:szCs w:val="18"/>
              </w:rPr>
              <w:t>1.1，2.</w:t>
            </w:r>
            <w:r>
              <w:rPr>
                <w:sz w:val="18"/>
                <w:szCs w:val="18"/>
              </w:rPr>
              <w:t>2</w:t>
            </w:r>
          </w:p>
        </w:tc>
      </w:tr>
    </w:tbl>
    <w:p>
      <w:pPr>
        <w:snapToGrid w:val="0"/>
        <w:spacing w:before="156" w:beforeLines="50" w:after="156" w:after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szCs w:val="21"/>
        </w:rPr>
      </w:pPr>
      <w:r>
        <w:rPr>
          <w:szCs w:val="21"/>
        </w:rPr>
        <w:t>1</w:t>
      </w:r>
      <w:r>
        <w:t>．</w:t>
      </w:r>
      <w:r>
        <w:rPr>
          <w:rFonts w:hint="eastAsia"/>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rFonts w:hint="eastAsia"/>
          <w:position w:val="-16"/>
        </w:rPr>
        <w:object>
          <v:shape id="_x0000_i1151"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51" DrawAspect="Content" ObjectID="_1468075849" r:id="rId172">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t xml:space="preserve"> </w:t>
      </w:r>
      <w:r>
        <w:rPr>
          <w:rFonts w:hint="eastAsia"/>
          <w:position w:val="-10"/>
        </w:rPr>
        <w:object>
          <v:shape id="_x0000_i1152" o:spt="75" type="#_x0000_t75" style="height:24pt;width:246pt;" o:ole="t" filled="f" o:preferrelative="t" stroked="f" coordsize="21600,21600">
            <v:path/>
            <v:fill on="f" focussize="0,0"/>
            <v:stroke on="f" joinstyle="miter"/>
            <v:imagedata r:id="rId59" o:title=""/>
            <o:lock v:ext="edit" aspectratio="t"/>
            <w10:wrap type="none"/>
            <w10:anchorlock/>
          </v:shape>
          <o:OLEObject Type="Embed" ProgID="Equation.DSMT4" ShapeID="_x0000_i1152" DrawAspect="Content" ObjectID="_1468075850" r:id="rId173">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7"/>
        <w:gridCol w:w="2015"/>
        <w:gridCol w:w="2390"/>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07" w:type="dxa"/>
            <w:vAlign w:val="center"/>
          </w:tcPr>
          <w:p>
            <w:pPr>
              <w:snapToGrid w:val="0"/>
              <w:spacing w:line="300" w:lineRule="auto"/>
              <w:jc w:val="center"/>
              <w:rPr>
                <w:b/>
                <w:bCs/>
                <w:sz w:val="18"/>
                <w:szCs w:val="18"/>
              </w:rPr>
            </w:pPr>
            <w:r>
              <w:rPr>
                <w:b/>
                <w:bCs/>
                <w:sz w:val="18"/>
                <w:szCs w:val="18"/>
              </w:rPr>
              <w:t>课程目标</w:t>
            </w:r>
          </w:p>
        </w:tc>
        <w:tc>
          <w:tcPr>
            <w:tcW w:w="2015" w:type="dxa"/>
            <w:vAlign w:val="center"/>
          </w:tcPr>
          <w:p>
            <w:pPr>
              <w:snapToGrid w:val="0"/>
              <w:spacing w:line="300" w:lineRule="auto"/>
              <w:jc w:val="center"/>
              <w:rPr>
                <w:sz w:val="18"/>
                <w:szCs w:val="18"/>
              </w:rPr>
            </w:pPr>
            <w:r>
              <w:rPr>
                <w:sz w:val="18"/>
                <w:szCs w:val="18"/>
              </w:rPr>
              <w:t>1</w:t>
            </w:r>
          </w:p>
        </w:tc>
        <w:tc>
          <w:tcPr>
            <w:tcW w:w="2390" w:type="dxa"/>
            <w:vAlign w:val="center"/>
          </w:tcPr>
          <w:p>
            <w:pPr>
              <w:snapToGrid w:val="0"/>
              <w:spacing w:line="300" w:lineRule="auto"/>
              <w:jc w:val="center"/>
              <w:rPr>
                <w:sz w:val="18"/>
                <w:szCs w:val="18"/>
              </w:rPr>
            </w:pPr>
            <w:r>
              <w:rPr>
                <w:sz w:val="18"/>
                <w:szCs w:val="18"/>
              </w:rPr>
              <w:t>2</w:t>
            </w:r>
          </w:p>
        </w:tc>
        <w:tc>
          <w:tcPr>
            <w:tcW w:w="2366"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07" w:type="dxa"/>
            <w:vAlign w:val="center"/>
          </w:tcPr>
          <w:p>
            <w:pPr>
              <w:snapToGrid w:val="0"/>
              <w:spacing w:line="300" w:lineRule="auto"/>
              <w:jc w:val="center"/>
              <w:rPr>
                <w:b/>
                <w:bCs/>
                <w:sz w:val="18"/>
                <w:szCs w:val="18"/>
              </w:rPr>
            </w:pPr>
            <w:r>
              <w:rPr>
                <w:b/>
                <w:bCs/>
                <w:sz w:val="18"/>
                <w:szCs w:val="18"/>
              </w:rPr>
              <w:t>权重系数</w:t>
            </w:r>
          </w:p>
        </w:tc>
        <w:tc>
          <w:tcPr>
            <w:tcW w:w="2015" w:type="dxa"/>
            <w:vAlign w:val="center"/>
          </w:tcPr>
          <w:p>
            <w:pPr>
              <w:snapToGrid w:val="0"/>
              <w:spacing w:line="300" w:lineRule="auto"/>
              <w:jc w:val="center"/>
              <w:rPr>
                <w:sz w:val="18"/>
                <w:szCs w:val="18"/>
              </w:rPr>
            </w:pPr>
            <w:r>
              <w:rPr>
                <w:sz w:val="18"/>
                <w:szCs w:val="18"/>
              </w:rPr>
              <w:t>0.2</w:t>
            </w:r>
          </w:p>
        </w:tc>
        <w:tc>
          <w:tcPr>
            <w:tcW w:w="2390" w:type="dxa"/>
            <w:vAlign w:val="center"/>
          </w:tcPr>
          <w:p>
            <w:pPr>
              <w:snapToGrid w:val="0"/>
              <w:spacing w:line="300" w:lineRule="auto"/>
              <w:jc w:val="center"/>
              <w:rPr>
                <w:sz w:val="18"/>
                <w:szCs w:val="18"/>
              </w:rPr>
            </w:pPr>
            <w:r>
              <w:rPr>
                <w:sz w:val="18"/>
                <w:szCs w:val="18"/>
              </w:rPr>
              <w:t>0.6</w:t>
            </w:r>
          </w:p>
        </w:tc>
        <w:tc>
          <w:tcPr>
            <w:tcW w:w="2366" w:type="dxa"/>
            <w:vAlign w:val="center"/>
          </w:tcPr>
          <w:p>
            <w:pPr>
              <w:snapToGrid w:val="0"/>
              <w:spacing w:line="300" w:lineRule="auto"/>
              <w:jc w:val="center"/>
              <w:rPr>
                <w:sz w:val="18"/>
                <w:szCs w:val="18"/>
              </w:rPr>
            </w:pPr>
            <w:r>
              <w:rPr>
                <w:sz w:val="18"/>
                <w:szCs w:val="18"/>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rFonts w:hint="eastAsia"/>
          <w:position w:val="-10"/>
        </w:rPr>
        <w:object>
          <v:shape id="_x0000_i1153" o:spt="75" type="#_x0000_t75" style="height:24pt;width:285pt;" o:ole="t" filled="f" o:preferrelative="t" stroked="f" coordsize="21600,21600">
            <v:path/>
            <v:fill on="f" focussize="0,0"/>
            <v:stroke on="f" joinstyle="miter"/>
            <v:imagedata r:id="rId61" o:title=""/>
            <o:lock v:ext="edit" aspectratio="t"/>
            <w10:wrap type="none"/>
            <w10:anchorlock/>
          </v:shape>
          <o:OLEObject Type="Embed" ProgID="Equation.DSMT4" ShapeID="_x0000_i1153" DrawAspect="Content" ObjectID="_1468075851" r:id="rId174">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张雪英. 数字语音处理及MATLAB仿真（第二版）[M]. 北京：电子工业出版社，2016。</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61"/>
        </w:numPr>
        <w:snapToGrid w:val="0"/>
        <w:spacing w:line="300" w:lineRule="auto"/>
        <w:rPr>
          <w:rFonts w:ascii="Times New Roman" w:hAnsi="Times New Roman" w:eastAsia="宋体" w:cs="Times New Roman"/>
        </w:rPr>
      </w:pPr>
      <w:r>
        <w:rPr>
          <w:rFonts w:ascii="Times New Roman" w:hAnsi="Times New Roman" w:eastAsia="宋体" w:cs="Times New Roman"/>
        </w:rPr>
        <w:t>赵力，语音信号处理[M]，北京：机械工业出版社，2003。</w:t>
      </w:r>
    </w:p>
    <w:p>
      <w:pPr>
        <w:numPr>
          <w:ilvl w:val="0"/>
          <w:numId w:val="61"/>
        </w:numPr>
        <w:snapToGrid w:val="0"/>
        <w:spacing w:line="300" w:lineRule="auto"/>
        <w:rPr>
          <w:rFonts w:ascii="Times New Roman" w:hAnsi="Times New Roman" w:eastAsia="宋体" w:cs="Times New Roman"/>
        </w:rPr>
      </w:pPr>
      <w:r>
        <w:rPr>
          <w:rFonts w:ascii="Times New Roman" w:hAnsi="Times New Roman" w:eastAsia="宋体" w:cs="Times New Roman"/>
          <w:szCs w:val="21"/>
          <w:shd w:val="clear" w:color="auto" w:fill="FFFFFF"/>
        </w:rPr>
        <w:t>朱拉斯凯和马丁，</w:t>
      </w:r>
      <w:r>
        <w:rPr>
          <w:rFonts w:ascii="Times New Roman" w:hAnsi="Times New Roman" w:eastAsia="宋体" w:cs="Times New Roman"/>
          <w:szCs w:val="21"/>
        </w:rPr>
        <w:t>语音与语言处理[M]，北京：</w:t>
      </w:r>
      <w:r>
        <w:rPr>
          <w:rFonts w:ascii="Times New Roman" w:hAnsi="Times New Roman" w:eastAsia="宋体" w:cs="Times New Roman"/>
          <w:szCs w:val="21"/>
          <w:shd w:val="clear" w:color="auto" w:fill="FFFFFF"/>
        </w:rPr>
        <w:t>人民邮电出版社，2010</w:t>
      </w:r>
      <w:r>
        <w:rPr>
          <w:rFonts w:ascii="Times New Roman" w:hAnsi="Times New Roman" w:eastAsia="宋体" w:cs="Times New Roman"/>
          <w:szCs w:val="21"/>
        </w:rPr>
        <w:t>。</w:t>
      </w:r>
    </w:p>
    <w:p>
      <w:pPr>
        <w:numPr>
          <w:ilvl w:val="0"/>
          <w:numId w:val="61"/>
        </w:numPr>
        <w:snapToGrid w:val="0"/>
        <w:spacing w:line="300" w:lineRule="auto"/>
        <w:rPr>
          <w:rFonts w:ascii="Times New Roman" w:hAnsi="Times New Roman" w:eastAsia="宋体" w:cs="Times New Roman"/>
        </w:rPr>
      </w:pPr>
      <w:r>
        <w:fldChar w:fldCharType="begin"/>
      </w:r>
      <w:r>
        <w:instrText xml:space="preserve"> HYPERLINK "http://kom.aau.dk/~zt/index.htm" \l "Research%20interests" </w:instrText>
      </w:r>
      <w:r>
        <w:fldChar w:fldCharType="separate"/>
      </w:r>
      <w:r>
        <w:rPr>
          <w:rFonts w:ascii="Times New Roman" w:hAnsi="Times New Roman" w:eastAsia="宋体" w:cs="Times New Roman"/>
          <w:szCs w:val="21"/>
          <w:u w:val="single"/>
        </w:rPr>
        <w:t>http://kom.aau.dk/~zt/index.htm#Research%20interests</w:t>
      </w:r>
      <w:r>
        <w:rPr>
          <w:rFonts w:ascii="Times New Roman" w:hAnsi="Times New Roman" w:eastAsia="宋体" w:cs="Times New Roman"/>
          <w:szCs w:val="21"/>
          <w:u w:val="single"/>
        </w:rPr>
        <w:fldChar w:fldCharType="end"/>
      </w:r>
    </w:p>
    <w:p>
      <w:pPr>
        <w:numPr>
          <w:ilvl w:val="0"/>
          <w:numId w:val="61"/>
        </w:numPr>
        <w:snapToGrid w:val="0"/>
        <w:spacing w:line="300" w:lineRule="auto"/>
        <w:rPr>
          <w:rFonts w:ascii="Times New Roman" w:hAnsi="Times New Roman" w:eastAsia="宋体" w:cs="Times New Roman"/>
        </w:rPr>
      </w:pPr>
      <w:r>
        <w:fldChar w:fldCharType="begin"/>
      </w:r>
      <w:r>
        <w:instrText xml:space="preserve"> HYPERLINK "https://israelcohen.com/software/" </w:instrText>
      </w:r>
      <w:r>
        <w:fldChar w:fldCharType="separate"/>
      </w:r>
      <w:r>
        <w:rPr>
          <w:rFonts w:ascii="Times New Roman" w:hAnsi="Times New Roman" w:eastAsia="宋体" w:cs="Times New Roman"/>
          <w:szCs w:val="21"/>
          <w:u w:val="single"/>
        </w:rPr>
        <w:t>https://israelcohen.com/software/</w:t>
      </w:r>
      <w:r>
        <w:rPr>
          <w:rFonts w:ascii="Times New Roman" w:hAnsi="Times New Roman" w:eastAsia="宋体" w:cs="Times New Roman"/>
          <w:szCs w:val="21"/>
          <w:u w:val="single"/>
        </w:rPr>
        <w:fldChar w:fldCharType="end"/>
      </w:r>
    </w:p>
    <w:p>
      <w:pPr>
        <w:numPr>
          <w:ilvl w:val="0"/>
          <w:numId w:val="61"/>
        </w:numPr>
        <w:snapToGrid w:val="0"/>
        <w:spacing w:line="300" w:lineRule="auto"/>
        <w:rPr>
          <w:rFonts w:ascii="Times New Roman" w:hAnsi="Times New Roman" w:eastAsia="宋体" w:cs="Times New Roman"/>
        </w:rPr>
      </w:pPr>
      <w:r>
        <w:fldChar w:fldCharType="begin"/>
      </w:r>
      <w:r>
        <w:instrText xml:space="preserve"> HYPERLINK "https://www.ece.ucsb.edu/Faculty/Rabiner/ece259/" </w:instrText>
      </w:r>
      <w:r>
        <w:fldChar w:fldCharType="separate"/>
      </w:r>
      <w:r>
        <w:rPr>
          <w:rFonts w:ascii="Times New Roman" w:hAnsi="Times New Roman" w:eastAsia="宋体" w:cs="Times New Roman"/>
          <w:szCs w:val="21"/>
          <w:u w:val="single"/>
        </w:rPr>
        <w:t>https://www.ece.ucsb.edu/Faculty/Rabiner/ece259/</w:t>
      </w:r>
      <w:r>
        <w:rPr>
          <w:rFonts w:ascii="Times New Roman" w:hAnsi="Times New Roman" w:eastAsia="宋体" w:cs="Times New Roman"/>
          <w:szCs w:val="21"/>
          <w:u w:val="single"/>
        </w:rPr>
        <w:fldChar w:fldCharType="end"/>
      </w:r>
    </w:p>
    <w:p>
      <w:pPr>
        <w:numPr>
          <w:ilvl w:val="0"/>
          <w:numId w:val="61"/>
        </w:numPr>
        <w:snapToGrid w:val="0"/>
        <w:spacing w:line="300" w:lineRule="auto"/>
        <w:rPr>
          <w:rFonts w:ascii="Times New Roman" w:hAnsi="Times New Roman" w:eastAsia="宋体" w:cs="Times New Roman"/>
        </w:rPr>
      </w:pPr>
      <w:r>
        <w:rPr>
          <w:rFonts w:ascii="Times New Roman" w:hAnsi="Times New Roman" w:eastAsia="宋体" w:cs="Times New Roman"/>
          <w:szCs w:val="21"/>
        </w:rPr>
        <w:t>http://lxie.npu-aslp.org/intro2aslp.htm</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Calibri" w:hAnsi="Calibri" w:eastAsia="宋体" w:cs="Times New Roman"/>
                <w:szCs w:val="21"/>
              </w:rPr>
            </w:pPr>
            <w:r>
              <w:rPr>
                <w:rFonts w:ascii="Calibri" w:hAnsi="Calibri" w:eastAsia="宋体"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Calibri" w:hAnsi="Calibri" w:eastAsia="宋体" w:cs="Times New Roman"/>
                <w:szCs w:val="21"/>
              </w:rPr>
            </w:pPr>
            <w:r>
              <w:rPr>
                <w:rFonts w:ascii="Calibri" w:hAnsi="Calibri" w:eastAsia="宋体"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Calibri" w:hAnsi="Calibri" w:eastAsia="宋体" w:cs="Times New Roman"/>
                <w:szCs w:val="21"/>
              </w:rPr>
            </w:pPr>
            <w:r>
              <w:rPr>
                <w:rFonts w:ascii="Calibri" w:hAnsi="Calibri" w:eastAsia="宋体"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Calibri" w:hAnsi="Calibri" w:eastAsia="宋体" w:cs="Times New Roman"/>
                <w:szCs w:val="21"/>
              </w:rPr>
            </w:pPr>
          </w:p>
        </w:tc>
      </w:tr>
    </w:tbl>
    <w:p>
      <w:pPr>
        <w:rPr>
          <w:rFonts w:ascii="Times New Roman" w:hAnsi="Times New Roman" w:eastAsia="宋体" w:cs="Times New Roman"/>
          <w:b/>
          <w:bCs/>
          <w:sz w:val="32"/>
          <w:szCs w:val="32"/>
        </w:rPr>
      </w:pPr>
      <w:r>
        <w:rPr>
          <w:rFonts w:ascii="Times New Roman" w:hAnsi="Times New Roman" w:eastAsia="宋体" w:cs="Times New Roman"/>
          <w:b/>
          <w:bCs/>
          <w:sz w:val="32"/>
          <w:szCs w:val="32"/>
        </w:rPr>
        <w:br w:type="page"/>
      </w:r>
    </w:p>
    <w:bookmarkEnd w:id="203"/>
    <w:bookmarkEnd w:id="204"/>
    <w:p>
      <w:pPr>
        <w:keepNext/>
        <w:keepLines/>
        <w:numPr>
          <w:ilvl w:val="2"/>
          <w:numId w:val="0"/>
        </w:numPr>
        <w:tabs>
          <w:tab w:val="left" w:pos="420"/>
        </w:tabs>
        <w:spacing w:before="260" w:after="260" w:line="413" w:lineRule="auto"/>
        <w:jc w:val="center"/>
        <w:outlineLvl w:val="3"/>
        <w:rPr>
          <w:rFonts w:ascii="Times New Roman" w:hAnsi="Times New Roman" w:eastAsia="宋体" w:cs="Times New Roman"/>
          <w:b/>
          <w:sz w:val="32"/>
        </w:rPr>
      </w:pPr>
      <w:bookmarkStart w:id="205" w:name="_Toc6404"/>
      <w:bookmarkStart w:id="206" w:name="_Toc46489677"/>
      <w:bookmarkStart w:id="207" w:name="_Toc38126131"/>
      <w:bookmarkStart w:id="208" w:name="_Toc22323235"/>
      <w:r>
        <w:rPr>
          <w:rFonts w:ascii="Times New Roman" w:hAnsi="Times New Roman" w:eastAsia="宋体" w:cs="Times New Roman"/>
          <w:b/>
          <w:sz w:val="32"/>
        </w:rPr>
        <w:t>33462004《模式识别与人工智能》课程教学大纲</w:t>
      </w:r>
      <w:bookmarkEnd w:id="20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462"/>
        <w:gridCol w:w="1740"/>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vAlign w:val="center"/>
          </w:tcPr>
          <w:p>
            <w:pPr>
              <w:jc w:val="center"/>
              <w:rPr>
                <w:szCs w:val="21"/>
              </w:rPr>
            </w:pPr>
            <w:r>
              <w:rPr>
                <w:szCs w:val="21"/>
              </w:rPr>
              <w:t>课程编号</w:t>
            </w:r>
          </w:p>
        </w:tc>
        <w:tc>
          <w:tcPr>
            <w:tcW w:w="2462" w:type="dxa"/>
            <w:vAlign w:val="center"/>
          </w:tcPr>
          <w:p>
            <w:pPr>
              <w:jc w:val="center"/>
              <w:rPr>
                <w:szCs w:val="21"/>
              </w:rPr>
            </w:pPr>
            <w:r>
              <w:rPr>
                <w:szCs w:val="21"/>
              </w:rPr>
              <w:t>33462004</w:t>
            </w:r>
          </w:p>
        </w:tc>
        <w:tc>
          <w:tcPr>
            <w:tcW w:w="1740" w:type="dxa"/>
            <w:vAlign w:val="center"/>
          </w:tcPr>
          <w:p>
            <w:pPr>
              <w:jc w:val="center"/>
              <w:rPr>
                <w:szCs w:val="21"/>
              </w:rPr>
            </w:pPr>
            <w:r>
              <w:rPr>
                <w:szCs w:val="21"/>
              </w:rPr>
              <w:t>课程名称</w:t>
            </w:r>
          </w:p>
        </w:tc>
        <w:tc>
          <w:tcPr>
            <w:tcW w:w="2675" w:type="dxa"/>
            <w:vAlign w:val="center"/>
          </w:tcPr>
          <w:p>
            <w:pPr>
              <w:jc w:val="center"/>
              <w:rPr>
                <w:szCs w:val="21"/>
              </w:rPr>
            </w:pPr>
            <w:r>
              <w:rPr>
                <w:szCs w:val="21"/>
              </w:rPr>
              <w:t>模式识别与人工智能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vAlign w:val="center"/>
          </w:tcPr>
          <w:p>
            <w:pPr>
              <w:jc w:val="center"/>
              <w:rPr>
                <w:szCs w:val="21"/>
              </w:rPr>
            </w:pPr>
            <w:r>
              <w:rPr>
                <w:szCs w:val="21"/>
              </w:rPr>
              <w:t>课程性质*</w:t>
            </w:r>
          </w:p>
        </w:tc>
        <w:tc>
          <w:tcPr>
            <w:tcW w:w="2462" w:type="dxa"/>
            <w:vAlign w:val="center"/>
          </w:tcPr>
          <w:p>
            <w:pPr>
              <w:jc w:val="center"/>
              <w:rPr>
                <w:szCs w:val="21"/>
              </w:rPr>
            </w:pPr>
            <w:r>
              <w:rPr>
                <w:szCs w:val="21"/>
              </w:rPr>
              <w:t>学科专业拓展课</w:t>
            </w:r>
          </w:p>
        </w:tc>
        <w:tc>
          <w:tcPr>
            <w:tcW w:w="1740" w:type="dxa"/>
            <w:vAlign w:val="center"/>
          </w:tcPr>
          <w:p>
            <w:pPr>
              <w:jc w:val="center"/>
              <w:rPr>
                <w:szCs w:val="21"/>
              </w:rPr>
            </w:pPr>
            <w:r>
              <w:rPr>
                <w:szCs w:val="21"/>
              </w:rPr>
              <w:t>英文名称</w:t>
            </w:r>
          </w:p>
        </w:tc>
        <w:tc>
          <w:tcPr>
            <w:tcW w:w="2675" w:type="dxa"/>
            <w:vAlign w:val="center"/>
          </w:tcPr>
          <w:p>
            <w:pPr>
              <w:jc w:val="center"/>
              <w:rPr>
                <w:szCs w:val="21"/>
              </w:rPr>
            </w:pPr>
            <w:r>
              <w:rPr>
                <w:szCs w:val="21"/>
              </w:rPr>
              <w:t>Pattern Recognition and Artificial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vAlign w:val="center"/>
          </w:tcPr>
          <w:p>
            <w:pPr>
              <w:jc w:val="center"/>
              <w:rPr>
                <w:szCs w:val="21"/>
              </w:rPr>
            </w:pPr>
            <w:r>
              <w:rPr>
                <w:szCs w:val="21"/>
              </w:rPr>
              <w:t>学分学时</w:t>
            </w:r>
          </w:p>
        </w:tc>
        <w:tc>
          <w:tcPr>
            <w:tcW w:w="2462" w:type="dxa"/>
            <w:vAlign w:val="center"/>
          </w:tcPr>
          <w:p>
            <w:pPr>
              <w:jc w:val="center"/>
              <w:rPr>
                <w:szCs w:val="21"/>
              </w:rPr>
            </w:pPr>
            <w:r>
              <w:rPr>
                <w:szCs w:val="21"/>
              </w:rPr>
              <w:t>2</w:t>
            </w:r>
            <w:r>
              <w:rPr>
                <w:bCs/>
                <w:kern w:val="0"/>
                <w:szCs w:val="21"/>
              </w:rPr>
              <w:t xml:space="preserve"> </w:t>
            </w:r>
            <w:r>
              <w:rPr>
                <w:kern w:val="0"/>
                <w:szCs w:val="21"/>
              </w:rPr>
              <w:t xml:space="preserve">: </w:t>
            </w:r>
            <w:r>
              <w:rPr>
                <w:szCs w:val="21"/>
              </w:rPr>
              <w:t>32（8）</w:t>
            </w:r>
          </w:p>
        </w:tc>
        <w:tc>
          <w:tcPr>
            <w:tcW w:w="1740" w:type="dxa"/>
            <w:vAlign w:val="center"/>
          </w:tcPr>
          <w:p>
            <w:pPr>
              <w:jc w:val="center"/>
              <w:rPr>
                <w:szCs w:val="21"/>
              </w:rPr>
            </w:pPr>
            <w:r>
              <w:rPr>
                <w:szCs w:val="21"/>
              </w:rPr>
              <w:t>任课教师</w:t>
            </w:r>
          </w:p>
        </w:tc>
        <w:tc>
          <w:tcPr>
            <w:tcW w:w="2675" w:type="dxa"/>
            <w:vAlign w:val="center"/>
          </w:tcPr>
          <w:p>
            <w:pPr>
              <w:jc w:val="center"/>
              <w:rPr>
                <w:szCs w:val="21"/>
              </w:rPr>
            </w:pPr>
            <w:r>
              <w:rPr>
                <w:szCs w:val="21"/>
              </w:rPr>
              <w:t>邹阿金、</w:t>
            </w:r>
            <w:r>
              <w:rPr>
                <w:rFonts w:hint="eastAsia"/>
                <w:szCs w:val="21"/>
              </w:rPr>
              <w:t>李</w:t>
            </w:r>
            <w:r>
              <w:rPr>
                <w:szCs w:val="21"/>
              </w:rPr>
              <w:t>振华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04" w:type="dxa"/>
            <w:vAlign w:val="center"/>
          </w:tcPr>
          <w:p>
            <w:pPr>
              <w:jc w:val="center"/>
              <w:rPr>
                <w:szCs w:val="21"/>
              </w:rPr>
            </w:pPr>
            <w:r>
              <w:rPr>
                <w:szCs w:val="21"/>
              </w:rPr>
              <w:t>企业专家</w:t>
            </w:r>
          </w:p>
        </w:tc>
        <w:tc>
          <w:tcPr>
            <w:tcW w:w="2462" w:type="dxa"/>
            <w:vAlign w:val="center"/>
          </w:tcPr>
          <w:p>
            <w:pPr>
              <w:widowControl/>
              <w:jc w:val="center"/>
              <w:rPr>
                <w:szCs w:val="21"/>
              </w:rPr>
            </w:pPr>
            <w:r>
              <w:rPr>
                <w:szCs w:val="21"/>
              </w:rPr>
              <w:t>曾耿滨</w:t>
            </w:r>
          </w:p>
        </w:tc>
        <w:tc>
          <w:tcPr>
            <w:tcW w:w="1740" w:type="dxa"/>
            <w:vAlign w:val="center"/>
          </w:tcPr>
          <w:p>
            <w:pPr>
              <w:jc w:val="center"/>
              <w:rPr>
                <w:szCs w:val="21"/>
              </w:rPr>
            </w:pPr>
            <w:r>
              <w:rPr>
                <w:szCs w:val="21"/>
              </w:rPr>
              <w:t>行业专家</w:t>
            </w:r>
          </w:p>
        </w:tc>
        <w:tc>
          <w:tcPr>
            <w:tcW w:w="2675" w:type="dxa"/>
            <w:vAlign w:val="center"/>
          </w:tcPr>
          <w:p>
            <w:pPr>
              <w:widowControl/>
              <w:jc w:val="center"/>
              <w:rPr>
                <w:szCs w:val="21"/>
              </w:rPr>
            </w:pPr>
            <w:r>
              <w:rPr>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804" w:type="dxa"/>
            <w:vAlign w:val="center"/>
          </w:tcPr>
          <w:p>
            <w:pPr>
              <w:jc w:val="center"/>
              <w:rPr>
                <w:szCs w:val="21"/>
              </w:rPr>
            </w:pPr>
            <w:r>
              <w:rPr>
                <w:szCs w:val="21"/>
              </w:rPr>
              <w:t>执笔教师</w:t>
            </w:r>
          </w:p>
        </w:tc>
        <w:tc>
          <w:tcPr>
            <w:tcW w:w="2462" w:type="dxa"/>
            <w:vAlign w:val="center"/>
          </w:tcPr>
          <w:p>
            <w:pPr>
              <w:jc w:val="center"/>
              <w:rPr>
                <w:szCs w:val="21"/>
              </w:rPr>
            </w:pPr>
            <w:r>
              <w:rPr>
                <w:szCs w:val="21"/>
              </w:rPr>
              <w:t>邹阿金</w:t>
            </w:r>
          </w:p>
        </w:tc>
        <w:tc>
          <w:tcPr>
            <w:tcW w:w="1740" w:type="dxa"/>
            <w:vAlign w:val="center"/>
          </w:tcPr>
          <w:p>
            <w:pPr>
              <w:jc w:val="center"/>
              <w:rPr>
                <w:szCs w:val="21"/>
              </w:rPr>
            </w:pPr>
            <w:r>
              <w:rPr>
                <w:szCs w:val="21"/>
              </w:rPr>
              <w:t>责任教授</w:t>
            </w:r>
          </w:p>
        </w:tc>
        <w:tc>
          <w:tcPr>
            <w:tcW w:w="2675" w:type="dxa"/>
            <w:vAlign w:val="center"/>
          </w:tcPr>
          <w:p>
            <w:pPr>
              <w:widowControl/>
              <w:jc w:val="center"/>
              <w:rPr>
                <w:szCs w:val="21"/>
              </w:rPr>
            </w:pPr>
            <w:r>
              <w:rPr>
                <w:rFonts w:hint="eastAsia"/>
                <w:szCs w:val="21"/>
              </w:rPr>
              <w:t>王</w:t>
            </w:r>
            <w:r>
              <w:rPr>
                <w:szCs w:val="21"/>
              </w:rPr>
              <w:t>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04" w:type="dxa"/>
            <w:vAlign w:val="center"/>
          </w:tcPr>
          <w:p>
            <w:pPr>
              <w:jc w:val="center"/>
              <w:rPr>
                <w:szCs w:val="21"/>
              </w:rPr>
            </w:pPr>
            <w:r>
              <w:rPr>
                <w:szCs w:val="21"/>
              </w:rPr>
              <w:t>适用专业</w:t>
            </w:r>
          </w:p>
        </w:tc>
        <w:tc>
          <w:tcPr>
            <w:tcW w:w="2462" w:type="dxa"/>
            <w:vAlign w:val="center"/>
          </w:tcPr>
          <w:p>
            <w:pPr>
              <w:jc w:val="center"/>
              <w:rPr>
                <w:szCs w:val="21"/>
              </w:rPr>
            </w:pPr>
            <w:r>
              <w:rPr>
                <w:szCs w:val="21"/>
              </w:rPr>
              <w:t>电子信息工程</w:t>
            </w:r>
          </w:p>
        </w:tc>
        <w:tc>
          <w:tcPr>
            <w:tcW w:w="1740" w:type="dxa"/>
            <w:vAlign w:val="center"/>
          </w:tcPr>
          <w:p>
            <w:pPr>
              <w:jc w:val="center"/>
              <w:rPr>
                <w:szCs w:val="21"/>
              </w:rPr>
            </w:pPr>
            <w:r>
              <w:rPr>
                <w:szCs w:val="21"/>
              </w:rPr>
              <w:t>适用对象</w:t>
            </w:r>
          </w:p>
        </w:tc>
        <w:tc>
          <w:tcPr>
            <w:tcW w:w="2675" w:type="dxa"/>
            <w:vAlign w:val="center"/>
          </w:tcPr>
          <w:p>
            <w:pPr>
              <w:jc w:val="center"/>
              <w:rPr>
                <w:szCs w:val="21"/>
              </w:rPr>
            </w:pPr>
            <w:r>
              <w:rPr>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04" w:type="dxa"/>
            <w:vAlign w:val="center"/>
          </w:tcPr>
          <w:p>
            <w:pPr>
              <w:jc w:val="center"/>
              <w:rPr>
                <w:szCs w:val="21"/>
              </w:rPr>
            </w:pPr>
            <w:r>
              <w:rPr>
                <w:szCs w:val="21"/>
              </w:rPr>
              <w:t>先修课程</w:t>
            </w:r>
          </w:p>
        </w:tc>
        <w:tc>
          <w:tcPr>
            <w:tcW w:w="2462" w:type="dxa"/>
            <w:vAlign w:val="center"/>
          </w:tcPr>
          <w:p>
            <w:pPr>
              <w:jc w:val="center"/>
              <w:rPr>
                <w:szCs w:val="21"/>
              </w:rPr>
            </w:pPr>
            <w:r>
              <w:rPr>
                <w:szCs w:val="21"/>
              </w:rPr>
              <w:t>MATLAB语言与应用、算法与数据结构、</w:t>
            </w:r>
          </w:p>
          <w:p>
            <w:pPr>
              <w:jc w:val="center"/>
              <w:rPr>
                <w:szCs w:val="21"/>
              </w:rPr>
            </w:pPr>
            <w:r>
              <w:rPr>
                <w:szCs w:val="21"/>
              </w:rPr>
              <w:t>工程数学</w:t>
            </w:r>
          </w:p>
        </w:tc>
        <w:tc>
          <w:tcPr>
            <w:tcW w:w="1740" w:type="dxa"/>
            <w:vAlign w:val="center"/>
          </w:tcPr>
          <w:p>
            <w:pPr>
              <w:snapToGrid w:val="0"/>
              <w:spacing w:line="300" w:lineRule="auto"/>
              <w:jc w:val="center"/>
              <w:rPr>
                <w:szCs w:val="21"/>
              </w:rPr>
            </w:pPr>
            <w:r>
              <w:rPr>
                <w:szCs w:val="21"/>
              </w:rPr>
              <w:t>同修或后续课程</w:t>
            </w:r>
          </w:p>
        </w:tc>
        <w:tc>
          <w:tcPr>
            <w:tcW w:w="2675" w:type="dxa"/>
            <w:vAlign w:val="center"/>
          </w:tcPr>
          <w:p>
            <w:pPr>
              <w:widowControl/>
              <w:jc w:val="center"/>
              <w:rPr>
                <w:szCs w:val="21"/>
              </w:rPr>
            </w:pPr>
            <w:r>
              <w:rPr>
                <w:szCs w:val="21"/>
              </w:rPr>
              <w:t>毕业设计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804" w:type="dxa"/>
            <w:vAlign w:val="center"/>
          </w:tcPr>
          <w:p>
            <w:pPr>
              <w:jc w:val="center"/>
              <w:rPr>
                <w:szCs w:val="21"/>
              </w:rPr>
            </w:pPr>
            <w:r>
              <w:rPr>
                <w:szCs w:val="21"/>
              </w:rPr>
              <w:t>排斥课程</w:t>
            </w:r>
          </w:p>
        </w:tc>
        <w:tc>
          <w:tcPr>
            <w:tcW w:w="2462" w:type="dxa"/>
            <w:vAlign w:val="center"/>
          </w:tcPr>
          <w:p>
            <w:pPr>
              <w:widowControl/>
              <w:jc w:val="center"/>
              <w:rPr>
                <w:szCs w:val="21"/>
              </w:rPr>
            </w:pPr>
            <w:r>
              <w:rPr>
                <w:szCs w:val="21"/>
              </w:rPr>
              <w:t>无</w:t>
            </w:r>
          </w:p>
        </w:tc>
        <w:tc>
          <w:tcPr>
            <w:tcW w:w="1740" w:type="dxa"/>
            <w:vAlign w:val="center"/>
          </w:tcPr>
          <w:p>
            <w:pPr>
              <w:snapToGrid w:val="0"/>
              <w:spacing w:line="300" w:lineRule="auto"/>
              <w:jc w:val="center"/>
              <w:rPr>
                <w:szCs w:val="21"/>
              </w:rPr>
            </w:pPr>
            <w:r>
              <w:rPr>
                <w:szCs w:val="21"/>
              </w:rPr>
              <w:t>定稿日期</w:t>
            </w:r>
          </w:p>
        </w:tc>
        <w:tc>
          <w:tcPr>
            <w:tcW w:w="2675" w:type="dxa"/>
            <w:vAlign w:val="center"/>
          </w:tcPr>
          <w:p>
            <w:pPr>
              <w:widowControl/>
              <w:jc w:val="center"/>
              <w:rPr>
                <w:szCs w:val="21"/>
              </w:rPr>
            </w:pPr>
            <w:r>
              <w:rPr>
                <w:rFonts w:hint="eastAsia"/>
                <w:kern w:val="0"/>
                <w:szCs w:val="21"/>
              </w:rPr>
              <w:t>2022.5.10</w:t>
            </w:r>
          </w:p>
        </w:tc>
      </w:tr>
    </w:tbl>
    <w:p>
      <w:pPr>
        <w:snapToGrid w:val="0"/>
        <w:spacing w:line="300" w:lineRule="auto"/>
        <w:ind w:firstLine="480"/>
        <w:rPr>
          <w:b/>
          <w:sz w:val="24"/>
        </w:rPr>
      </w:pPr>
      <w:r>
        <w:rPr>
          <w:kern w:val="0"/>
          <w:szCs w:val="20"/>
        </w:rPr>
        <w:t>*</w:t>
      </w:r>
      <w:r>
        <w:rPr>
          <w:sz w:val="18"/>
          <w:szCs w:val="18"/>
        </w:rPr>
        <w:t>通识教育核心课、跨学科基础课、通识教育拓展课、专业教育核心课、学科专业拓展课、通识实践、专业综合实践；学分学时处（）内为实验学时。</w:t>
      </w:r>
    </w:p>
    <w:p>
      <w:pPr>
        <w:snapToGrid w:val="0"/>
        <w:spacing w:before="156" w:beforeLines="50" w:after="156" w:afterLines="50" w:line="300" w:lineRule="auto"/>
        <w:rPr>
          <w:b/>
          <w:sz w:val="24"/>
        </w:rPr>
      </w:pPr>
      <w:r>
        <w:rPr>
          <w:b/>
          <w:sz w:val="24"/>
        </w:rPr>
        <w:t>一、课程简介</w:t>
      </w:r>
    </w:p>
    <w:p>
      <w:pPr>
        <w:widowControl/>
        <w:snapToGrid w:val="0"/>
        <w:spacing w:line="300" w:lineRule="auto"/>
        <w:ind w:firstLine="420" w:firstLineChars="200"/>
        <w:rPr>
          <w:kern w:val="0"/>
          <w:szCs w:val="21"/>
        </w:rPr>
      </w:pPr>
      <w:r>
        <w:rPr>
          <w:kern w:val="0"/>
          <w:szCs w:val="21"/>
        </w:rPr>
        <w:t>《模式识别与人工智能》是电子信息工程专业本科教学中的一门重要的学科专业拓展课程，主要研究如何应用计算机技术来模拟人类某些智能行为的基本理论、方法和技术。随着模式识别技术的迅猛发展，目前该技术已经成为当代高科技研究的重要领域之一，不仅取得了丰富的理论成果，而且其应用范围越来越广泛，几乎遍及各个学科领域，如人工智能、机器人、系统控制、遥感数据分析、生物医学工程、军事目标识别等。由于其在国民经济、国防建设、社会发展的各个方面得到了广泛应用，其科技成果有着广阔的应用前景。</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本课程的目的和任务是将《模式识别和人工智能》理论与实际应用相结合，使学生了解模式识别与工智能研究的最新成果和发展方向，掌握模式识别与人工智能的基本概念、基本原理、相关开发方法和应用技术，培养学生从数学概念、物理概念及工程概念去分析问题和解决问题的能力。</w:t>
      </w:r>
    </w:p>
    <w:p>
      <w:pPr>
        <w:widowControl/>
        <w:snapToGrid w:val="0"/>
        <w:spacing w:line="300" w:lineRule="auto"/>
        <w:ind w:firstLine="420" w:firstLineChars="200"/>
        <w:rPr>
          <w:kern w:val="0"/>
          <w:szCs w:val="21"/>
        </w:rPr>
      </w:pPr>
      <w:r>
        <w:rPr>
          <w:kern w:val="0"/>
          <w:szCs w:val="21"/>
        </w:rPr>
        <w:t>1. 培养学生从数学概念、物理概念及工程概念去分析问题和解决问题的能力；掌握模式识别与人工智能的基本概念、分析方法和应用技术。[2.2]</w:t>
      </w:r>
    </w:p>
    <w:p>
      <w:pPr>
        <w:widowControl/>
        <w:snapToGrid w:val="0"/>
        <w:spacing w:line="300" w:lineRule="auto"/>
        <w:ind w:firstLine="420" w:firstLineChars="200"/>
        <w:rPr>
          <w:kern w:val="0"/>
          <w:szCs w:val="21"/>
        </w:rPr>
      </w:pPr>
      <w:r>
        <w:rPr>
          <w:kern w:val="0"/>
          <w:szCs w:val="21"/>
        </w:rPr>
        <w:t>2. 掌握贝叶斯分类器、SVM分类器和神经网络聚类设计</w:t>
      </w:r>
      <w:r>
        <w:rPr>
          <w:rFonts w:hint="eastAsia"/>
          <w:kern w:val="0"/>
          <w:szCs w:val="21"/>
        </w:rPr>
        <w:t>、卷积神经网络</w:t>
      </w:r>
      <w:r>
        <w:rPr>
          <w:kern w:val="0"/>
          <w:szCs w:val="21"/>
        </w:rPr>
        <w:t>等方法，使学生具有应用模式识别与人工智能解决实际问题的能力。[4.1]</w:t>
      </w:r>
    </w:p>
    <w:p>
      <w:pPr>
        <w:widowControl/>
        <w:snapToGrid w:val="0"/>
        <w:spacing w:line="300" w:lineRule="auto"/>
        <w:ind w:firstLine="420" w:firstLineChars="200"/>
        <w:rPr>
          <w:color w:val="FF0000"/>
          <w:kern w:val="0"/>
          <w:szCs w:val="21"/>
        </w:rPr>
      </w:pPr>
      <w:r>
        <w:rPr>
          <w:kern w:val="0"/>
          <w:szCs w:val="21"/>
        </w:rPr>
        <w:t>3. 了解模式识别与工智能研究的最新成果和发展方向，及其在电子信息行业的开发和应用，为学生以后在相应领域工作或研究奠定良好的基础。[4.1]</w:t>
      </w:r>
    </w:p>
    <w:p>
      <w:pPr>
        <w:widowControl/>
        <w:snapToGrid w:val="0"/>
        <w:spacing w:line="300" w:lineRule="auto"/>
        <w:ind w:firstLine="420" w:firstLineChars="200"/>
        <w:rPr>
          <w:kern w:val="0"/>
          <w:szCs w:val="21"/>
        </w:rPr>
      </w:pPr>
      <w:r>
        <w:rPr>
          <w:kern w:val="0"/>
          <w:szCs w:val="21"/>
        </w:rPr>
        <w:t>课程教学目标与毕业要求的对应关系如表1所示。</w:t>
      </w:r>
    </w:p>
    <w:p>
      <w:pPr>
        <w:widowControl/>
        <w:snapToGrid w:val="0"/>
        <w:spacing w:before="156" w:beforeLines="50" w:line="300" w:lineRule="auto"/>
        <w:jc w:val="center"/>
        <w:rPr>
          <w:b/>
          <w:sz w:val="18"/>
          <w:szCs w:val="18"/>
        </w:rPr>
      </w:pPr>
      <w:r>
        <w:rPr>
          <w:b/>
          <w:sz w:val="18"/>
          <w:szCs w:val="18"/>
        </w:rPr>
        <w:t>表1毕业要求指标点实现矩阵</w:t>
      </w:r>
    </w:p>
    <w:tbl>
      <w:tblPr>
        <w:tblStyle w:val="22"/>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418"/>
        <w:gridCol w:w="557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18" w:type="dxa"/>
            <w:shd w:val="clear" w:color="auto" w:fill="FFFFFF"/>
            <w:vAlign w:val="center"/>
          </w:tcPr>
          <w:p>
            <w:pPr>
              <w:snapToGrid w:val="0"/>
              <w:spacing w:line="300" w:lineRule="auto"/>
              <w:jc w:val="center"/>
              <w:rPr>
                <w:b/>
                <w:bCs/>
                <w:sz w:val="18"/>
                <w:szCs w:val="18"/>
              </w:rPr>
            </w:pPr>
            <w:r>
              <w:rPr>
                <w:b/>
                <w:bCs/>
                <w:sz w:val="18"/>
                <w:szCs w:val="18"/>
              </w:rPr>
              <w:t>毕业要求</w:t>
            </w:r>
          </w:p>
        </w:tc>
        <w:tc>
          <w:tcPr>
            <w:tcW w:w="5575" w:type="dxa"/>
            <w:shd w:val="clear" w:color="auto" w:fill="FFFFFF"/>
            <w:vAlign w:val="center"/>
          </w:tcPr>
          <w:p>
            <w:pPr>
              <w:snapToGrid w:val="0"/>
              <w:spacing w:line="300" w:lineRule="auto"/>
              <w:jc w:val="center"/>
              <w:rPr>
                <w:b/>
                <w:bCs/>
                <w:sz w:val="18"/>
                <w:szCs w:val="18"/>
              </w:rPr>
            </w:pPr>
            <w:r>
              <w:rPr>
                <w:b/>
                <w:bCs/>
                <w:sz w:val="18"/>
                <w:szCs w:val="18"/>
              </w:rPr>
              <w:t>毕业要求指标点</w:t>
            </w:r>
          </w:p>
        </w:tc>
        <w:tc>
          <w:tcPr>
            <w:tcW w:w="1195" w:type="dxa"/>
            <w:shd w:val="clear" w:color="auto" w:fill="FFFFFF"/>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5" w:hRule="atLeast"/>
          <w:jc w:val="center"/>
        </w:trPr>
        <w:tc>
          <w:tcPr>
            <w:tcW w:w="1418" w:type="dxa"/>
            <w:shd w:val="clear" w:color="auto" w:fill="FFFFFF"/>
            <w:vAlign w:val="center"/>
          </w:tcPr>
          <w:p>
            <w:pPr>
              <w:widowControl/>
              <w:adjustRightInd w:val="0"/>
              <w:snapToGrid w:val="0"/>
              <w:spacing w:line="300" w:lineRule="auto"/>
              <w:jc w:val="left"/>
              <w:rPr>
                <w:sz w:val="18"/>
                <w:szCs w:val="18"/>
              </w:rPr>
            </w:pPr>
            <w:r>
              <w:rPr>
                <w:sz w:val="18"/>
                <w:szCs w:val="18"/>
              </w:rPr>
              <w:t>2．问题分析</w:t>
            </w:r>
          </w:p>
        </w:tc>
        <w:tc>
          <w:tcPr>
            <w:tcW w:w="5575" w:type="dxa"/>
            <w:shd w:val="clear" w:color="auto" w:fill="FFFFFF"/>
            <w:vAlign w:val="center"/>
          </w:tcPr>
          <w:p>
            <w:pPr>
              <w:widowControl/>
              <w:adjustRightInd w:val="0"/>
              <w:snapToGrid w:val="0"/>
              <w:spacing w:line="300" w:lineRule="auto"/>
              <w:jc w:val="left"/>
              <w:rPr>
                <w:kern w:val="0"/>
                <w:sz w:val="18"/>
                <w:szCs w:val="18"/>
              </w:rPr>
            </w:pPr>
            <w:r>
              <w:rPr>
                <w:sz w:val="18"/>
                <w:szCs w:val="18"/>
              </w:rPr>
              <w:t>2-2</w:t>
            </w:r>
            <w:r>
              <w:rPr>
                <w:rFonts w:hint="eastAsia"/>
                <w:sz w:val="18"/>
                <w:szCs w:val="18"/>
              </w:rPr>
              <w:t>能运用电子信息工程专业基本原理和方法，综合考虑多种影响因素，分析电子信息工程（含海洋电子信息）领域复杂工程问题，选择和优化问题的解决方案。</w:t>
            </w:r>
          </w:p>
        </w:tc>
        <w:tc>
          <w:tcPr>
            <w:tcW w:w="1195"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1，</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18" w:type="dxa"/>
            <w:shd w:val="clear" w:color="auto" w:fill="FFFFFF"/>
            <w:vAlign w:val="center"/>
          </w:tcPr>
          <w:p>
            <w:pPr>
              <w:widowControl/>
              <w:adjustRightInd w:val="0"/>
              <w:snapToGrid w:val="0"/>
              <w:spacing w:line="300" w:lineRule="auto"/>
              <w:jc w:val="left"/>
              <w:rPr>
                <w:sz w:val="18"/>
                <w:szCs w:val="18"/>
              </w:rPr>
            </w:pPr>
            <w:r>
              <w:rPr>
                <w:sz w:val="18"/>
                <w:szCs w:val="18"/>
              </w:rPr>
              <w:t>4．问题研究</w:t>
            </w:r>
          </w:p>
        </w:tc>
        <w:tc>
          <w:tcPr>
            <w:tcW w:w="5575" w:type="dxa"/>
            <w:shd w:val="clear" w:color="auto" w:fill="FFFFFF"/>
            <w:vAlign w:val="center"/>
          </w:tcPr>
          <w:p>
            <w:pPr>
              <w:widowControl/>
              <w:adjustRightInd w:val="0"/>
              <w:snapToGrid w:val="0"/>
              <w:spacing w:line="300" w:lineRule="auto"/>
              <w:jc w:val="left"/>
              <w:rPr>
                <w:sz w:val="18"/>
                <w:szCs w:val="18"/>
              </w:rPr>
            </w:pPr>
            <w:r>
              <w:rPr>
                <w:sz w:val="18"/>
                <w:szCs w:val="18"/>
              </w:rPr>
              <w:t>4-1具备基于电子信息科学原理并采用科学方法对复杂工程问题的技术路线，实验方案、软/硬件模块和存在的问题进行研究的能力。</w:t>
            </w:r>
          </w:p>
        </w:tc>
        <w:tc>
          <w:tcPr>
            <w:tcW w:w="1195" w:type="dxa"/>
            <w:shd w:val="clear" w:color="auto" w:fill="FFFFFF"/>
            <w:vAlign w:val="center"/>
          </w:tcPr>
          <w:p>
            <w:pPr>
              <w:widowControl/>
              <w:adjustRightInd w:val="0"/>
              <w:snapToGrid w:val="0"/>
              <w:spacing w:line="300" w:lineRule="auto"/>
              <w:jc w:val="center"/>
              <w:rPr>
                <w:sz w:val="18"/>
                <w:szCs w:val="18"/>
              </w:rPr>
            </w:pPr>
            <w:r>
              <w:rPr>
                <w:sz w:val="18"/>
                <w:szCs w:val="18"/>
              </w:rPr>
              <w:t>2，</w:t>
            </w:r>
            <w:r>
              <w:rPr>
                <w:rFonts w:hint="eastAsia"/>
                <w:sz w:val="18"/>
                <w:szCs w:val="18"/>
              </w:rPr>
              <w:t>3</w:t>
            </w:r>
          </w:p>
        </w:tc>
      </w:tr>
    </w:tbl>
    <w:p>
      <w:pPr>
        <w:snapToGrid w:val="0"/>
        <w:spacing w:before="156" w:beforeLines="50" w:after="156" w:afterLines="50" w:line="300" w:lineRule="auto"/>
        <w:rPr>
          <w:b/>
          <w:sz w:val="24"/>
        </w:rPr>
      </w:pPr>
      <w:r>
        <w:rPr>
          <w:b/>
          <w:sz w:val="24"/>
        </w:rPr>
        <w:t>三、课程教学目标达成途径（或教学设计）</w:t>
      </w:r>
    </w:p>
    <w:p>
      <w:pPr>
        <w:widowControl/>
        <w:tabs>
          <w:tab w:val="left" w:pos="426"/>
          <w:tab w:val="left" w:pos="5245"/>
          <w:tab w:val="left" w:pos="5387"/>
        </w:tabs>
        <w:spacing w:line="300" w:lineRule="auto"/>
        <w:jc w:val="center"/>
        <w:rPr>
          <w:b/>
          <w:kern w:val="0"/>
          <w:sz w:val="18"/>
          <w:szCs w:val="18"/>
        </w:rPr>
      </w:pPr>
      <w:r>
        <w:rPr>
          <w:b/>
          <w:kern w:val="0"/>
          <w:sz w:val="18"/>
          <w:szCs w:val="18"/>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440"/>
        <w:gridCol w:w="253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课程教学目标</w:t>
            </w:r>
          </w:p>
        </w:tc>
        <w:tc>
          <w:tcPr>
            <w:tcW w:w="2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达成途径</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1. 培养学生从数学概念、物理概念及工程概念去分析问题和解决问题的能力；掌握模式识别与人工智能的基本概念、分析方法和应用技术。</w:t>
            </w:r>
          </w:p>
        </w:tc>
        <w:tc>
          <w:tcPr>
            <w:tcW w:w="2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多媒体授课、提问、讨论、案例分析、实验</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2. 掌握贝叶斯分类器、SVM分类器和神经网络聚类设计</w:t>
            </w:r>
            <w:r>
              <w:rPr>
                <w:rFonts w:hint="eastAsia"/>
                <w:kern w:val="0"/>
                <w:szCs w:val="21"/>
              </w:rPr>
              <w:t>、卷积神经网络</w:t>
            </w:r>
            <w:r>
              <w:rPr>
                <w:sz w:val="18"/>
                <w:szCs w:val="18"/>
              </w:rPr>
              <w:t>等方法，使学生具有应用模式识别与人工智能解决实际问题的能力。</w:t>
            </w:r>
          </w:p>
        </w:tc>
        <w:tc>
          <w:tcPr>
            <w:tcW w:w="2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多媒体授课、提问、讨论、案例分析、实验</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3. 了解模式识别与工智能研究的最新成果和发展方向，及其在电子信息行业的开发和应用，为学生以后在相应领域工作或研究奠定良好的基础。</w:t>
            </w:r>
          </w:p>
        </w:tc>
        <w:tc>
          <w:tcPr>
            <w:tcW w:w="253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多媒体授课、提问、讨论、案例分析</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课堂表现、期末考试</w:t>
            </w:r>
          </w:p>
        </w:tc>
      </w:tr>
    </w:tbl>
    <w:p>
      <w:pPr>
        <w:snapToGrid w:val="0"/>
        <w:spacing w:before="156" w:beforeLines="50" w:after="156" w:afterLines="50" w:line="300" w:lineRule="auto"/>
        <w:rPr>
          <w:b/>
          <w:sz w:val="24"/>
        </w:rPr>
      </w:pPr>
      <w:r>
        <w:rPr>
          <w:b/>
          <w:sz w:val="24"/>
        </w:rPr>
        <w:t>四、课程教学内容、教与学的要求</w:t>
      </w:r>
    </w:p>
    <w:p>
      <w:pPr>
        <w:widowControl/>
        <w:snapToGrid w:val="0"/>
        <w:spacing w:line="300" w:lineRule="auto"/>
        <w:ind w:firstLine="420" w:firstLineChars="200"/>
        <w:rPr>
          <w:kern w:val="0"/>
          <w:szCs w:val="21"/>
        </w:rPr>
      </w:pPr>
      <w:r>
        <w:rPr>
          <w:kern w:val="0"/>
          <w:szCs w:val="21"/>
        </w:rPr>
        <w:t>1. 课堂讲授为主，多媒体教学、自学与课程网站学习为辅，侧重案例教学，每周平均讲授2学时，与专业相关实践教学环节和场景配合呼应。</w:t>
      </w:r>
    </w:p>
    <w:p>
      <w:pPr>
        <w:widowControl/>
        <w:snapToGrid w:val="0"/>
        <w:spacing w:line="300" w:lineRule="auto"/>
        <w:ind w:firstLine="420" w:firstLineChars="200"/>
        <w:rPr>
          <w:kern w:val="0"/>
          <w:szCs w:val="21"/>
        </w:rPr>
      </w:pPr>
      <w:r>
        <w:rPr>
          <w:kern w:val="0"/>
          <w:szCs w:val="21"/>
        </w:rPr>
        <w:t>2. 基于电子信息系统信息处理与传输工作流程构建课程教学体系；根据课程特点采用启发式教学、任务驱动教学、案例教学法进行教学方法创新；核心能力知识点采用“原理描述-设计要点分析-应用案例展示”相互呼应的教学模式。</w:t>
      </w:r>
    </w:p>
    <w:p>
      <w:pPr>
        <w:widowControl/>
        <w:snapToGrid w:val="0"/>
        <w:spacing w:line="300" w:lineRule="auto"/>
        <w:ind w:firstLine="420" w:firstLineChars="200"/>
        <w:rPr>
          <w:kern w:val="0"/>
          <w:szCs w:val="21"/>
        </w:rPr>
      </w:pPr>
      <w:r>
        <w:rPr>
          <w:kern w:val="0"/>
          <w:szCs w:val="21"/>
        </w:rPr>
        <w:t>本课程理论教学内容与教学要求见表3。</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表3教学要求</w:t>
      </w:r>
    </w:p>
    <w:tbl>
      <w:tblPr>
        <w:tblStyle w:val="22"/>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3"/>
        <w:gridCol w:w="2821"/>
        <w:gridCol w:w="3264"/>
        <w:gridCol w:w="743"/>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atLeast"/>
          <w:tblHeader/>
          <w:jc w:val="center"/>
        </w:trPr>
        <w:tc>
          <w:tcPr>
            <w:tcW w:w="733" w:type="dxa"/>
            <w:shd w:val="clear" w:color="auto" w:fill="FFFFFF"/>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2821" w:type="dxa"/>
            <w:shd w:val="clear" w:color="auto" w:fill="FFFFFF"/>
            <w:vAlign w:val="center"/>
          </w:tcPr>
          <w:p>
            <w:pPr>
              <w:widowControl/>
              <w:snapToGrid w:val="0"/>
              <w:jc w:val="center"/>
              <w:rPr>
                <w:b/>
                <w:kern w:val="0"/>
                <w:sz w:val="18"/>
                <w:szCs w:val="18"/>
              </w:rPr>
            </w:pPr>
            <w:r>
              <w:rPr>
                <w:b/>
                <w:kern w:val="0"/>
                <w:sz w:val="18"/>
                <w:szCs w:val="18"/>
              </w:rPr>
              <w:t>教学内容</w:t>
            </w:r>
          </w:p>
        </w:tc>
        <w:tc>
          <w:tcPr>
            <w:tcW w:w="3264" w:type="dxa"/>
            <w:shd w:val="clear" w:color="auto" w:fill="FFFFFF"/>
            <w:vAlign w:val="center"/>
          </w:tcPr>
          <w:p>
            <w:pPr>
              <w:widowControl/>
              <w:snapToGrid w:val="0"/>
              <w:jc w:val="center"/>
              <w:rPr>
                <w:b/>
                <w:kern w:val="0"/>
                <w:sz w:val="18"/>
                <w:szCs w:val="18"/>
              </w:rPr>
            </w:pPr>
            <w:r>
              <w:rPr>
                <w:b/>
                <w:kern w:val="0"/>
                <w:sz w:val="18"/>
                <w:szCs w:val="18"/>
              </w:rPr>
              <w:t>教与学的要求</w:t>
            </w:r>
          </w:p>
        </w:tc>
        <w:tc>
          <w:tcPr>
            <w:tcW w:w="743" w:type="dxa"/>
            <w:shd w:val="clear" w:color="auto" w:fill="FFFFFF"/>
            <w:vAlign w:val="center"/>
          </w:tcPr>
          <w:p>
            <w:pPr>
              <w:widowControl/>
              <w:snapToGrid w:val="0"/>
              <w:jc w:val="center"/>
              <w:rPr>
                <w:b/>
                <w:kern w:val="0"/>
                <w:sz w:val="18"/>
                <w:szCs w:val="18"/>
              </w:rPr>
            </w:pPr>
            <w:r>
              <w:rPr>
                <w:b/>
                <w:kern w:val="0"/>
                <w:sz w:val="18"/>
                <w:szCs w:val="18"/>
              </w:rPr>
              <w:t>学时</w:t>
            </w:r>
          </w:p>
        </w:tc>
        <w:tc>
          <w:tcPr>
            <w:tcW w:w="991" w:type="dxa"/>
            <w:shd w:val="clear" w:color="auto" w:fill="FFFFFF"/>
            <w:vAlign w:val="center"/>
          </w:tcPr>
          <w:p>
            <w:pPr>
              <w:widowControl/>
              <w:snapToGrid w:val="0"/>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2821" w:type="dxa"/>
            <w:shd w:val="clear" w:color="auto" w:fill="FFFFFF"/>
            <w:vAlign w:val="center"/>
          </w:tcPr>
          <w:p>
            <w:pPr>
              <w:adjustRightInd w:val="0"/>
              <w:snapToGrid w:val="0"/>
              <w:spacing w:line="300" w:lineRule="auto"/>
              <w:rPr>
                <w:sz w:val="18"/>
                <w:szCs w:val="18"/>
              </w:rPr>
            </w:pPr>
            <w:r>
              <w:rPr>
                <w:sz w:val="18"/>
                <w:szCs w:val="18"/>
              </w:rPr>
              <w:t>1．绪论</w:t>
            </w:r>
          </w:p>
          <w:p>
            <w:pPr>
              <w:adjustRightInd w:val="0"/>
              <w:snapToGrid w:val="0"/>
              <w:spacing w:line="300" w:lineRule="auto"/>
              <w:rPr>
                <w:sz w:val="18"/>
                <w:szCs w:val="18"/>
              </w:rPr>
            </w:pPr>
            <w:r>
              <w:rPr>
                <w:sz w:val="18"/>
                <w:szCs w:val="18"/>
              </w:rPr>
              <w:t>1.1模式识别与人工智能基本概念</w:t>
            </w:r>
          </w:p>
          <w:p>
            <w:pPr>
              <w:adjustRightInd w:val="0"/>
              <w:snapToGrid w:val="0"/>
              <w:spacing w:line="300" w:lineRule="auto"/>
              <w:rPr>
                <w:sz w:val="18"/>
                <w:szCs w:val="18"/>
              </w:rPr>
            </w:pPr>
            <w:r>
              <w:rPr>
                <w:sz w:val="18"/>
                <w:szCs w:val="18"/>
              </w:rPr>
              <w:t>1.2模式识别与人工智能方法</w:t>
            </w:r>
          </w:p>
          <w:p>
            <w:pPr>
              <w:adjustRightInd w:val="0"/>
              <w:snapToGrid w:val="0"/>
              <w:spacing w:line="300" w:lineRule="auto"/>
              <w:rPr>
                <w:sz w:val="18"/>
                <w:szCs w:val="18"/>
              </w:rPr>
            </w:pPr>
            <w:r>
              <w:rPr>
                <w:sz w:val="18"/>
                <w:szCs w:val="18"/>
              </w:rPr>
              <w:t>1.3模式识别与人工智能应用领域</w:t>
            </w:r>
          </w:p>
          <w:p>
            <w:pPr>
              <w:adjustRightInd w:val="0"/>
              <w:snapToGrid w:val="0"/>
              <w:spacing w:line="300" w:lineRule="auto"/>
              <w:rPr>
                <w:sz w:val="18"/>
                <w:szCs w:val="18"/>
              </w:rPr>
            </w:pPr>
            <w:r>
              <w:rPr>
                <w:sz w:val="18"/>
                <w:szCs w:val="18"/>
              </w:rPr>
              <w:t>1.4 模式识别系统及样本</w:t>
            </w:r>
          </w:p>
          <w:p>
            <w:pPr>
              <w:adjustRightInd w:val="0"/>
              <w:snapToGrid w:val="0"/>
              <w:spacing w:line="300" w:lineRule="auto"/>
              <w:rPr>
                <w:bCs/>
                <w:sz w:val="18"/>
                <w:szCs w:val="18"/>
              </w:rPr>
            </w:pPr>
            <w:r>
              <w:rPr>
                <w:bCs/>
                <w:sz w:val="18"/>
                <w:szCs w:val="18"/>
              </w:rPr>
              <w:t xml:space="preserve">1.5 </w:t>
            </w:r>
            <w:r>
              <w:rPr>
                <w:rFonts w:hint="eastAsia"/>
                <w:bCs/>
                <w:sz w:val="18"/>
                <w:szCs w:val="18"/>
              </w:rPr>
              <w:t>介绍模式识别与人工智能领域的丰富理论成果、广泛应用范围与交叉学科等。</w:t>
            </w:r>
          </w:p>
          <w:p>
            <w:pPr>
              <w:adjustRightInd w:val="0"/>
              <w:snapToGrid w:val="0"/>
              <w:spacing w:line="300" w:lineRule="auto"/>
              <w:rPr>
                <w:sz w:val="18"/>
                <w:szCs w:val="18"/>
              </w:rPr>
            </w:pPr>
            <w:r>
              <w:rPr>
                <w:sz w:val="18"/>
                <w:szCs w:val="18"/>
              </w:rPr>
              <w:t>课程思政主题：讲述西方国家目前对我国的技术封锁</w:t>
            </w:r>
            <w:r>
              <w:rPr>
                <w:rFonts w:hint="eastAsia"/>
                <w:bCs/>
                <w:sz w:val="18"/>
                <w:szCs w:val="18"/>
              </w:rPr>
              <w:t>，激发学生的爱国热情与科技报国信念。</w:t>
            </w: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（1）了解模式识别与人工智能应用领域、发展方向、最新成果；</w:t>
            </w:r>
          </w:p>
          <w:p>
            <w:pPr>
              <w:adjustRightInd w:val="0"/>
              <w:snapToGrid w:val="0"/>
              <w:spacing w:line="300" w:lineRule="auto"/>
              <w:rPr>
                <w:sz w:val="18"/>
                <w:szCs w:val="18"/>
              </w:rPr>
            </w:pPr>
            <w:r>
              <w:rPr>
                <w:sz w:val="18"/>
                <w:szCs w:val="18"/>
              </w:rPr>
              <w:t>（2）理解模式识别与人工智能相关理论与方法；</w:t>
            </w:r>
          </w:p>
          <w:p>
            <w:pPr>
              <w:adjustRightInd w:val="0"/>
              <w:snapToGrid w:val="0"/>
              <w:spacing w:line="300" w:lineRule="auto"/>
              <w:rPr>
                <w:sz w:val="18"/>
                <w:szCs w:val="18"/>
              </w:rPr>
            </w:pPr>
            <w:r>
              <w:rPr>
                <w:sz w:val="18"/>
                <w:szCs w:val="18"/>
              </w:rPr>
              <w:t>（3）掌握模式识别与人工智能基本概念。</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2.作业内容：复习本章内容；</w:t>
            </w:r>
          </w:p>
          <w:p>
            <w:pPr>
              <w:adjustRightInd w:val="0"/>
              <w:snapToGrid w:val="0"/>
              <w:spacing w:line="300" w:lineRule="auto"/>
              <w:rPr>
                <w:sz w:val="18"/>
                <w:szCs w:val="18"/>
              </w:rPr>
            </w:pPr>
            <w:r>
              <w:rPr>
                <w:kern w:val="0"/>
                <w:sz w:val="18"/>
                <w:szCs w:val="18"/>
              </w:rPr>
              <w:t>3.教学方法：启发式授课、提问、讨论。</w:t>
            </w:r>
          </w:p>
        </w:tc>
        <w:tc>
          <w:tcPr>
            <w:tcW w:w="743" w:type="dxa"/>
            <w:shd w:val="clear" w:color="auto" w:fill="FFFFFF"/>
            <w:vAlign w:val="center"/>
          </w:tcPr>
          <w:p>
            <w:pPr>
              <w:adjustRightInd w:val="0"/>
              <w:snapToGrid w:val="0"/>
              <w:spacing w:line="300" w:lineRule="auto"/>
              <w:jc w:val="center"/>
              <w:rPr>
                <w:sz w:val="18"/>
                <w:szCs w:val="18"/>
              </w:rPr>
            </w:pPr>
            <w:r>
              <w:rPr>
                <w:sz w:val="18"/>
                <w:szCs w:val="18"/>
              </w:rPr>
              <w:t>2</w:t>
            </w:r>
          </w:p>
        </w:tc>
        <w:tc>
          <w:tcPr>
            <w:tcW w:w="991" w:type="dxa"/>
            <w:shd w:val="clear" w:color="auto" w:fill="FFFFFF"/>
            <w:vAlign w:val="center"/>
          </w:tcPr>
          <w:p>
            <w:pPr>
              <w:adjustRightInd w:val="0"/>
              <w:snapToGrid w:val="0"/>
              <w:spacing w:line="30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2821" w:type="dxa"/>
            <w:shd w:val="clear" w:color="auto" w:fill="FFFFFF"/>
            <w:vAlign w:val="center"/>
          </w:tcPr>
          <w:p>
            <w:pPr>
              <w:adjustRightInd w:val="0"/>
              <w:snapToGrid w:val="0"/>
              <w:spacing w:line="300" w:lineRule="auto"/>
              <w:rPr>
                <w:sz w:val="18"/>
                <w:szCs w:val="18"/>
              </w:rPr>
            </w:pPr>
            <w:r>
              <w:rPr>
                <w:sz w:val="18"/>
                <w:szCs w:val="18"/>
              </w:rPr>
              <w:t>2．贝叶斯分类器的设计</w:t>
            </w:r>
          </w:p>
          <w:p>
            <w:pPr>
              <w:adjustRightInd w:val="0"/>
              <w:snapToGrid w:val="0"/>
              <w:spacing w:line="300" w:lineRule="auto"/>
              <w:rPr>
                <w:sz w:val="18"/>
                <w:szCs w:val="18"/>
              </w:rPr>
            </w:pPr>
            <w:r>
              <w:rPr>
                <w:sz w:val="18"/>
                <w:szCs w:val="18"/>
              </w:rPr>
              <w:t xml:space="preserve">2.1贝叶斯定理 </w:t>
            </w:r>
          </w:p>
          <w:p>
            <w:pPr>
              <w:adjustRightInd w:val="0"/>
              <w:snapToGrid w:val="0"/>
              <w:spacing w:line="300" w:lineRule="auto"/>
              <w:rPr>
                <w:sz w:val="18"/>
                <w:szCs w:val="18"/>
              </w:rPr>
            </w:pPr>
            <w:r>
              <w:rPr>
                <w:sz w:val="18"/>
                <w:szCs w:val="18"/>
              </w:rPr>
              <w:t xml:space="preserve">2.2贝叶斯决策理论 </w:t>
            </w:r>
          </w:p>
          <w:p>
            <w:pPr>
              <w:adjustRightInd w:val="0"/>
              <w:snapToGrid w:val="0"/>
              <w:spacing w:line="300" w:lineRule="auto"/>
              <w:rPr>
                <w:sz w:val="18"/>
                <w:szCs w:val="18"/>
              </w:rPr>
            </w:pPr>
            <w:r>
              <w:rPr>
                <w:sz w:val="18"/>
                <w:szCs w:val="18"/>
              </w:rPr>
              <w:t>2.3最小错误贝叶斯决策方法</w:t>
            </w:r>
          </w:p>
          <w:p>
            <w:pPr>
              <w:adjustRightInd w:val="0"/>
              <w:snapToGrid w:val="0"/>
              <w:spacing w:line="300" w:lineRule="auto"/>
              <w:rPr>
                <w:sz w:val="18"/>
                <w:szCs w:val="18"/>
              </w:rPr>
            </w:pPr>
            <w:r>
              <w:rPr>
                <w:sz w:val="18"/>
                <w:szCs w:val="18"/>
              </w:rPr>
              <w:t>2.4最小错误贝叶斯分类的计算过程</w:t>
            </w:r>
          </w:p>
          <w:p>
            <w:pPr>
              <w:adjustRightInd w:val="0"/>
              <w:snapToGrid w:val="0"/>
              <w:spacing w:line="300" w:lineRule="auto"/>
              <w:rPr>
                <w:sz w:val="18"/>
                <w:szCs w:val="18"/>
              </w:rPr>
            </w:pPr>
            <w:r>
              <w:rPr>
                <w:sz w:val="18"/>
                <w:szCs w:val="18"/>
              </w:rPr>
              <w:t>2.5最小错误贝叶斯分类的Matlab实现</w:t>
            </w:r>
          </w:p>
          <w:p>
            <w:pPr>
              <w:adjustRightInd w:val="0"/>
              <w:snapToGrid w:val="0"/>
              <w:spacing w:line="300" w:lineRule="auto"/>
              <w:rPr>
                <w:sz w:val="18"/>
                <w:szCs w:val="18"/>
              </w:rPr>
            </w:pPr>
            <w:r>
              <w:rPr>
                <w:sz w:val="18"/>
                <w:szCs w:val="18"/>
              </w:rPr>
              <w:t>2.6最小风险贝叶斯决策方法</w:t>
            </w:r>
          </w:p>
          <w:p>
            <w:pPr>
              <w:adjustRightInd w:val="0"/>
              <w:snapToGrid w:val="0"/>
              <w:spacing w:line="300" w:lineRule="auto"/>
              <w:rPr>
                <w:sz w:val="18"/>
                <w:szCs w:val="18"/>
              </w:rPr>
            </w:pPr>
            <w:r>
              <w:rPr>
                <w:sz w:val="18"/>
                <w:szCs w:val="18"/>
              </w:rPr>
              <w:t>2.7最小风险贝叶斯分类的计算过程</w:t>
            </w:r>
          </w:p>
          <w:p>
            <w:pPr>
              <w:adjustRightInd w:val="0"/>
              <w:snapToGrid w:val="0"/>
              <w:spacing w:line="300" w:lineRule="auto"/>
              <w:rPr>
                <w:sz w:val="18"/>
                <w:szCs w:val="18"/>
              </w:rPr>
            </w:pPr>
            <w:r>
              <w:rPr>
                <w:sz w:val="18"/>
                <w:szCs w:val="18"/>
              </w:rPr>
              <w:t xml:space="preserve">2.8最小风险贝叶斯分类的Matlab实现 </w:t>
            </w: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（1）了解贝叶斯决策理论；</w:t>
            </w:r>
          </w:p>
          <w:p>
            <w:pPr>
              <w:adjustRightInd w:val="0"/>
              <w:snapToGrid w:val="0"/>
              <w:spacing w:line="300" w:lineRule="auto"/>
              <w:rPr>
                <w:sz w:val="18"/>
                <w:szCs w:val="18"/>
              </w:rPr>
            </w:pPr>
            <w:r>
              <w:rPr>
                <w:sz w:val="18"/>
                <w:szCs w:val="18"/>
              </w:rPr>
              <w:t>（2）理解贝叶斯定理；</w:t>
            </w:r>
          </w:p>
          <w:p>
            <w:pPr>
              <w:adjustRightInd w:val="0"/>
              <w:snapToGrid w:val="0"/>
              <w:spacing w:line="300" w:lineRule="auto"/>
              <w:rPr>
                <w:sz w:val="18"/>
                <w:szCs w:val="18"/>
              </w:rPr>
            </w:pPr>
            <w:r>
              <w:rPr>
                <w:sz w:val="18"/>
                <w:szCs w:val="18"/>
              </w:rPr>
              <w:t>（3）掌握最小错误贝叶斯决策方法。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（2）完成相关实验。</w:t>
            </w:r>
          </w:p>
          <w:p>
            <w:pPr>
              <w:adjustRightInd w:val="0"/>
              <w:snapToGrid w:val="0"/>
              <w:spacing w:line="300" w:lineRule="auto"/>
              <w:rPr>
                <w:sz w:val="18"/>
                <w:szCs w:val="18"/>
              </w:rPr>
            </w:pPr>
            <w:r>
              <w:rPr>
                <w:kern w:val="0"/>
                <w:sz w:val="18"/>
                <w:szCs w:val="18"/>
              </w:rPr>
              <w:t>3.教学方法：启发式授课、案例教学、提问、讨论。</w:t>
            </w:r>
          </w:p>
        </w:tc>
        <w:tc>
          <w:tcPr>
            <w:tcW w:w="743" w:type="dxa"/>
            <w:shd w:val="clear" w:color="auto" w:fill="FFFFFF"/>
            <w:vAlign w:val="center"/>
          </w:tcPr>
          <w:p>
            <w:pPr>
              <w:adjustRightInd w:val="0"/>
              <w:snapToGrid w:val="0"/>
              <w:spacing w:line="300" w:lineRule="auto"/>
              <w:jc w:val="center"/>
              <w:rPr>
                <w:sz w:val="18"/>
                <w:szCs w:val="18"/>
              </w:rPr>
            </w:pPr>
            <w:r>
              <w:rPr>
                <w:sz w:val="18"/>
                <w:szCs w:val="18"/>
              </w:rPr>
              <w:t>4</w:t>
            </w:r>
          </w:p>
        </w:tc>
        <w:tc>
          <w:tcPr>
            <w:tcW w:w="991" w:type="dxa"/>
            <w:shd w:val="clear" w:color="auto" w:fill="FFFFFF"/>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2821" w:type="dxa"/>
            <w:shd w:val="clear" w:color="auto" w:fill="FFFFFF"/>
            <w:vAlign w:val="center"/>
          </w:tcPr>
          <w:p>
            <w:pPr>
              <w:adjustRightInd w:val="0"/>
              <w:snapToGrid w:val="0"/>
              <w:spacing w:line="300" w:lineRule="auto"/>
              <w:rPr>
                <w:sz w:val="18"/>
                <w:szCs w:val="18"/>
              </w:rPr>
            </w:pPr>
            <w:r>
              <w:rPr>
                <w:sz w:val="18"/>
                <w:szCs w:val="18"/>
              </w:rPr>
              <w:t>3．基于支持向量机的分类法</w:t>
            </w:r>
          </w:p>
          <w:p>
            <w:pPr>
              <w:adjustRightInd w:val="0"/>
              <w:snapToGrid w:val="0"/>
              <w:spacing w:line="300" w:lineRule="auto"/>
              <w:rPr>
                <w:sz w:val="18"/>
                <w:szCs w:val="18"/>
              </w:rPr>
            </w:pPr>
            <w:r>
              <w:rPr>
                <w:sz w:val="18"/>
                <w:szCs w:val="18"/>
              </w:rPr>
              <w:t xml:space="preserve">3.1支持向量机简介 </w:t>
            </w:r>
          </w:p>
          <w:p>
            <w:pPr>
              <w:adjustRightInd w:val="0"/>
              <w:snapToGrid w:val="0"/>
              <w:spacing w:line="300" w:lineRule="auto"/>
              <w:rPr>
                <w:sz w:val="18"/>
                <w:szCs w:val="18"/>
              </w:rPr>
            </w:pPr>
            <w:r>
              <w:rPr>
                <w:sz w:val="18"/>
                <w:szCs w:val="18"/>
              </w:rPr>
              <w:t xml:space="preserve">3.2支持向量机基本思想 </w:t>
            </w:r>
          </w:p>
          <w:p>
            <w:pPr>
              <w:adjustRightInd w:val="0"/>
              <w:snapToGrid w:val="0"/>
              <w:spacing w:line="300" w:lineRule="auto"/>
              <w:rPr>
                <w:sz w:val="18"/>
                <w:szCs w:val="18"/>
              </w:rPr>
            </w:pPr>
            <w:r>
              <w:rPr>
                <w:sz w:val="18"/>
                <w:szCs w:val="18"/>
              </w:rPr>
              <w:t xml:space="preserve">3.3支持向量机主要优点 </w:t>
            </w:r>
          </w:p>
          <w:p>
            <w:pPr>
              <w:adjustRightInd w:val="0"/>
              <w:snapToGrid w:val="0"/>
              <w:spacing w:line="300" w:lineRule="auto"/>
              <w:rPr>
                <w:sz w:val="18"/>
                <w:szCs w:val="18"/>
              </w:rPr>
            </w:pPr>
            <w:r>
              <w:rPr>
                <w:sz w:val="18"/>
                <w:szCs w:val="18"/>
              </w:rPr>
              <w:t>3.4 多类分类问题</w:t>
            </w:r>
          </w:p>
          <w:p>
            <w:pPr>
              <w:adjustRightInd w:val="0"/>
              <w:snapToGrid w:val="0"/>
              <w:spacing w:line="300" w:lineRule="auto"/>
              <w:rPr>
                <w:sz w:val="18"/>
                <w:szCs w:val="18"/>
              </w:rPr>
            </w:pPr>
            <w:r>
              <w:rPr>
                <w:sz w:val="18"/>
                <w:szCs w:val="18"/>
              </w:rPr>
              <w:t>3.5 MATLAB实现方法</w:t>
            </w:r>
          </w:p>
          <w:p>
            <w:pPr>
              <w:adjustRightInd w:val="0"/>
              <w:snapToGrid w:val="0"/>
              <w:spacing w:line="300" w:lineRule="auto"/>
              <w:rPr>
                <w:sz w:val="18"/>
                <w:szCs w:val="18"/>
              </w:rPr>
            </w:pPr>
            <w:r>
              <w:rPr>
                <w:sz w:val="18"/>
                <w:szCs w:val="18"/>
              </w:rPr>
              <w:t>3.6 LMSE、Fisher算法简介</w:t>
            </w:r>
          </w:p>
          <w:p>
            <w:pPr>
              <w:adjustRightInd w:val="0"/>
              <w:snapToGrid w:val="0"/>
              <w:spacing w:line="300" w:lineRule="auto"/>
              <w:rPr>
                <w:sz w:val="18"/>
                <w:szCs w:val="18"/>
              </w:rPr>
            </w:pPr>
            <w:r>
              <w:rPr>
                <w:sz w:val="18"/>
                <w:szCs w:val="18"/>
              </w:rPr>
              <w:t>3.7算法的原理</w:t>
            </w:r>
          </w:p>
          <w:p>
            <w:pPr>
              <w:adjustRightInd w:val="0"/>
              <w:snapToGrid w:val="0"/>
              <w:spacing w:line="300" w:lineRule="auto"/>
              <w:rPr>
                <w:sz w:val="18"/>
                <w:szCs w:val="18"/>
              </w:rPr>
            </w:pPr>
            <w:r>
              <w:rPr>
                <w:sz w:val="18"/>
                <w:szCs w:val="18"/>
              </w:rPr>
              <w:t>3.8算法的实现步骤</w:t>
            </w: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（1）了解支持向量机主要优点；</w:t>
            </w:r>
          </w:p>
          <w:p>
            <w:pPr>
              <w:adjustRightInd w:val="0"/>
              <w:snapToGrid w:val="0"/>
              <w:spacing w:line="300" w:lineRule="auto"/>
              <w:rPr>
                <w:sz w:val="18"/>
                <w:szCs w:val="18"/>
              </w:rPr>
            </w:pPr>
            <w:r>
              <w:rPr>
                <w:sz w:val="18"/>
                <w:szCs w:val="18"/>
              </w:rPr>
              <w:t>（2）理解支持向量机基本思想；</w:t>
            </w:r>
          </w:p>
          <w:p>
            <w:pPr>
              <w:adjustRightInd w:val="0"/>
              <w:snapToGrid w:val="0"/>
              <w:spacing w:line="300" w:lineRule="auto"/>
              <w:rPr>
                <w:sz w:val="18"/>
                <w:szCs w:val="18"/>
              </w:rPr>
            </w:pPr>
            <w:r>
              <w:rPr>
                <w:sz w:val="18"/>
                <w:szCs w:val="18"/>
              </w:rPr>
              <w:t>（3）掌握多类分类实现方法。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（2）完成相关实验。</w:t>
            </w:r>
          </w:p>
          <w:p>
            <w:pPr>
              <w:adjustRightInd w:val="0"/>
              <w:snapToGrid w:val="0"/>
              <w:spacing w:line="300" w:lineRule="auto"/>
              <w:rPr>
                <w:sz w:val="18"/>
                <w:szCs w:val="18"/>
              </w:rPr>
            </w:pPr>
            <w:r>
              <w:rPr>
                <w:kern w:val="0"/>
                <w:sz w:val="18"/>
                <w:szCs w:val="18"/>
              </w:rPr>
              <w:t>3.教学方法：启发式授课、案例教学、提问、讨论。</w:t>
            </w:r>
          </w:p>
        </w:tc>
        <w:tc>
          <w:tcPr>
            <w:tcW w:w="743" w:type="dxa"/>
            <w:shd w:val="clear" w:color="auto" w:fill="FFFFFF"/>
            <w:vAlign w:val="center"/>
          </w:tcPr>
          <w:p>
            <w:pPr>
              <w:adjustRightInd w:val="0"/>
              <w:snapToGrid w:val="0"/>
              <w:spacing w:line="300" w:lineRule="auto"/>
              <w:jc w:val="center"/>
              <w:rPr>
                <w:sz w:val="18"/>
                <w:szCs w:val="18"/>
              </w:rPr>
            </w:pPr>
            <w:r>
              <w:rPr>
                <w:sz w:val="18"/>
                <w:szCs w:val="18"/>
              </w:rPr>
              <w:t>4</w:t>
            </w:r>
          </w:p>
        </w:tc>
        <w:tc>
          <w:tcPr>
            <w:tcW w:w="991" w:type="dxa"/>
            <w:shd w:val="clear" w:color="auto" w:fill="FFFFFF"/>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2821" w:type="dxa"/>
            <w:shd w:val="clear" w:color="auto" w:fill="FFFFFF"/>
            <w:vAlign w:val="center"/>
          </w:tcPr>
          <w:p>
            <w:pPr>
              <w:adjustRightInd w:val="0"/>
              <w:snapToGrid w:val="0"/>
              <w:spacing w:line="300" w:lineRule="auto"/>
              <w:rPr>
                <w:sz w:val="18"/>
                <w:szCs w:val="18"/>
              </w:rPr>
            </w:pPr>
            <w:r>
              <w:rPr>
                <w:sz w:val="18"/>
                <w:szCs w:val="18"/>
              </w:rPr>
              <w:t>4．神经网络聚类设计</w:t>
            </w:r>
          </w:p>
          <w:p>
            <w:pPr>
              <w:adjustRightInd w:val="0"/>
              <w:snapToGrid w:val="0"/>
              <w:spacing w:line="300" w:lineRule="auto"/>
              <w:rPr>
                <w:sz w:val="18"/>
                <w:szCs w:val="18"/>
              </w:rPr>
            </w:pPr>
            <w:r>
              <w:rPr>
                <w:sz w:val="18"/>
                <w:szCs w:val="18"/>
              </w:rPr>
              <w:t xml:space="preserve">4.1前馈神经网络简介 </w:t>
            </w:r>
          </w:p>
          <w:p>
            <w:pPr>
              <w:adjustRightInd w:val="0"/>
              <w:snapToGrid w:val="0"/>
              <w:spacing w:line="300" w:lineRule="auto"/>
              <w:rPr>
                <w:sz w:val="18"/>
                <w:szCs w:val="18"/>
              </w:rPr>
            </w:pPr>
            <w:r>
              <w:rPr>
                <w:sz w:val="18"/>
                <w:szCs w:val="18"/>
              </w:rPr>
              <w:t xml:space="preserve">4.2 BP网络简介 </w:t>
            </w:r>
          </w:p>
          <w:p>
            <w:pPr>
              <w:adjustRightInd w:val="0"/>
              <w:snapToGrid w:val="0"/>
              <w:spacing w:line="300" w:lineRule="auto"/>
              <w:rPr>
                <w:sz w:val="18"/>
                <w:szCs w:val="18"/>
              </w:rPr>
            </w:pPr>
            <w:r>
              <w:rPr>
                <w:sz w:val="18"/>
                <w:szCs w:val="18"/>
              </w:rPr>
              <w:t>4.3 BP神经网络的工作原理</w:t>
            </w:r>
          </w:p>
          <w:p>
            <w:pPr>
              <w:adjustRightInd w:val="0"/>
              <w:snapToGrid w:val="0"/>
              <w:spacing w:line="300" w:lineRule="auto"/>
              <w:rPr>
                <w:sz w:val="18"/>
                <w:szCs w:val="18"/>
              </w:rPr>
            </w:pPr>
            <w:r>
              <w:rPr>
                <w:sz w:val="18"/>
                <w:szCs w:val="18"/>
              </w:rPr>
              <w:t>4.4 BP网络的特点</w:t>
            </w:r>
          </w:p>
          <w:p>
            <w:pPr>
              <w:adjustRightInd w:val="0"/>
              <w:snapToGrid w:val="0"/>
              <w:spacing w:line="300" w:lineRule="auto"/>
              <w:rPr>
                <w:sz w:val="18"/>
                <w:szCs w:val="18"/>
              </w:rPr>
            </w:pPr>
            <w:r>
              <w:rPr>
                <w:sz w:val="18"/>
                <w:szCs w:val="18"/>
              </w:rPr>
              <w:t xml:space="preserve">4.5 BP网络的建立及执行 </w:t>
            </w:r>
          </w:p>
          <w:p>
            <w:pPr>
              <w:adjustRightInd w:val="0"/>
              <w:snapToGrid w:val="0"/>
              <w:spacing w:line="300" w:lineRule="auto"/>
              <w:rPr>
                <w:sz w:val="18"/>
                <w:szCs w:val="18"/>
              </w:rPr>
            </w:pPr>
            <w:r>
              <w:rPr>
                <w:sz w:val="18"/>
                <w:szCs w:val="18"/>
              </w:rPr>
              <w:t>4.6 BP网络应用于模式分类</w:t>
            </w:r>
          </w:p>
          <w:p>
            <w:pPr>
              <w:adjustRightInd w:val="0"/>
              <w:snapToGrid w:val="0"/>
              <w:spacing w:line="300" w:lineRule="auto"/>
              <w:rPr>
                <w:sz w:val="18"/>
                <w:szCs w:val="18"/>
              </w:rPr>
            </w:pPr>
            <w:r>
              <w:rPr>
                <w:sz w:val="18"/>
                <w:szCs w:val="18"/>
              </w:rPr>
              <w:t>4.7 BP网络的其他学习算法的应用</w:t>
            </w:r>
          </w:p>
          <w:p>
            <w:pPr>
              <w:adjustRightInd w:val="0"/>
              <w:snapToGrid w:val="0"/>
              <w:spacing w:line="300" w:lineRule="auto"/>
              <w:rPr>
                <w:sz w:val="18"/>
                <w:szCs w:val="18"/>
              </w:rPr>
            </w:pPr>
            <w:r>
              <w:rPr>
                <w:sz w:val="18"/>
                <w:szCs w:val="18"/>
              </w:rPr>
              <w:t xml:space="preserve">4.8 Hopfield神经网络简介 </w:t>
            </w:r>
          </w:p>
          <w:p>
            <w:pPr>
              <w:adjustRightInd w:val="0"/>
              <w:snapToGrid w:val="0"/>
              <w:spacing w:line="300" w:lineRule="auto"/>
              <w:rPr>
                <w:sz w:val="18"/>
                <w:szCs w:val="18"/>
              </w:rPr>
            </w:pPr>
            <w:r>
              <w:rPr>
                <w:sz w:val="18"/>
                <w:szCs w:val="18"/>
              </w:rPr>
              <w:t>4.9离散Hopfield网络的结构</w:t>
            </w:r>
          </w:p>
          <w:p>
            <w:pPr>
              <w:adjustRightInd w:val="0"/>
              <w:snapToGrid w:val="0"/>
              <w:spacing w:line="300" w:lineRule="auto"/>
              <w:rPr>
                <w:sz w:val="18"/>
                <w:szCs w:val="18"/>
              </w:rPr>
            </w:pPr>
            <w:r>
              <w:rPr>
                <w:sz w:val="18"/>
                <w:szCs w:val="18"/>
              </w:rPr>
              <w:t>4.10离散Hopfield神经网络算法</w:t>
            </w:r>
          </w:p>
          <w:p>
            <w:pPr>
              <w:adjustRightInd w:val="0"/>
              <w:snapToGrid w:val="0"/>
              <w:spacing w:line="300" w:lineRule="auto"/>
              <w:rPr>
                <w:sz w:val="18"/>
                <w:szCs w:val="18"/>
              </w:rPr>
            </w:pPr>
            <w:r>
              <w:rPr>
                <w:sz w:val="18"/>
                <w:szCs w:val="18"/>
              </w:rPr>
              <w:t>4.11 Hopfield网络应用于模式分类</w:t>
            </w: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（1）了解神经网络的工作原理；</w:t>
            </w:r>
          </w:p>
          <w:p>
            <w:pPr>
              <w:adjustRightInd w:val="0"/>
              <w:snapToGrid w:val="0"/>
              <w:spacing w:line="300" w:lineRule="auto"/>
              <w:rPr>
                <w:sz w:val="18"/>
                <w:szCs w:val="18"/>
              </w:rPr>
            </w:pPr>
            <w:r>
              <w:rPr>
                <w:sz w:val="18"/>
                <w:szCs w:val="18"/>
              </w:rPr>
              <w:t>（2）</w:t>
            </w:r>
            <w:r>
              <w:rPr>
                <w:rFonts w:hint="eastAsia"/>
                <w:sz w:val="18"/>
                <w:szCs w:val="18"/>
              </w:rPr>
              <w:t xml:space="preserve"> </w:t>
            </w:r>
            <w:r>
              <w:rPr>
                <w:sz w:val="18"/>
                <w:szCs w:val="18"/>
              </w:rPr>
              <w:t>理解BP网络和应用于模式分类的基本思想；</w:t>
            </w:r>
          </w:p>
          <w:p>
            <w:pPr>
              <w:adjustRightInd w:val="0"/>
              <w:snapToGrid w:val="0"/>
              <w:spacing w:line="300" w:lineRule="auto"/>
              <w:rPr>
                <w:sz w:val="18"/>
                <w:szCs w:val="18"/>
              </w:rPr>
            </w:pPr>
            <w:r>
              <w:rPr>
                <w:sz w:val="18"/>
                <w:szCs w:val="18"/>
              </w:rPr>
              <w:t>（3）掌握BP网络和Hopfield网络的学习算法。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（2）完成相关实验。</w:t>
            </w:r>
          </w:p>
          <w:p>
            <w:pPr>
              <w:adjustRightInd w:val="0"/>
              <w:snapToGrid w:val="0"/>
              <w:spacing w:line="300" w:lineRule="auto"/>
              <w:rPr>
                <w:sz w:val="18"/>
                <w:szCs w:val="18"/>
              </w:rPr>
            </w:pPr>
            <w:r>
              <w:rPr>
                <w:kern w:val="0"/>
                <w:sz w:val="18"/>
                <w:szCs w:val="18"/>
              </w:rPr>
              <w:t>3.教学方法：启发式授课、案例教学、提问、讨论。</w:t>
            </w:r>
          </w:p>
        </w:tc>
        <w:tc>
          <w:tcPr>
            <w:tcW w:w="743" w:type="dxa"/>
            <w:shd w:val="clear" w:color="auto" w:fill="FFFFFF"/>
            <w:vAlign w:val="center"/>
          </w:tcPr>
          <w:p>
            <w:pPr>
              <w:adjustRightInd w:val="0"/>
              <w:snapToGrid w:val="0"/>
              <w:spacing w:line="300" w:lineRule="auto"/>
              <w:jc w:val="center"/>
              <w:rPr>
                <w:sz w:val="18"/>
                <w:szCs w:val="18"/>
              </w:rPr>
            </w:pPr>
            <w:r>
              <w:rPr>
                <w:sz w:val="18"/>
                <w:szCs w:val="18"/>
              </w:rPr>
              <w:t>6</w:t>
            </w:r>
          </w:p>
        </w:tc>
        <w:tc>
          <w:tcPr>
            <w:tcW w:w="991" w:type="dxa"/>
            <w:shd w:val="clear" w:color="auto" w:fill="FFFFFF"/>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rFonts w:hint="eastAsia"/>
                <w:sz w:val="18"/>
                <w:szCs w:val="18"/>
              </w:rPr>
              <w:t>5</w:t>
            </w:r>
          </w:p>
        </w:tc>
        <w:tc>
          <w:tcPr>
            <w:tcW w:w="2821" w:type="dxa"/>
            <w:shd w:val="clear" w:color="auto" w:fill="FFFFFF"/>
            <w:vAlign w:val="center"/>
          </w:tcPr>
          <w:p>
            <w:pPr>
              <w:numPr>
                <w:ilvl w:val="0"/>
                <w:numId w:val="62"/>
              </w:numPr>
              <w:adjustRightInd w:val="0"/>
              <w:snapToGrid w:val="0"/>
              <w:spacing w:line="300" w:lineRule="auto"/>
              <w:rPr>
                <w:sz w:val="18"/>
                <w:szCs w:val="18"/>
              </w:rPr>
            </w:pPr>
            <w:r>
              <w:rPr>
                <w:rFonts w:hint="eastAsia"/>
                <w:sz w:val="18"/>
                <w:szCs w:val="18"/>
              </w:rPr>
              <w:t>卷积神经网络</w:t>
            </w:r>
          </w:p>
          <w:p>
            <w:pPr>
              <w:numPr>
                <w:ilvl w:val="1"/>
                <w:numId w:val="62"/>
              </w:numPr>
              <w:adjustRightInd w:val="0"/>
              <w:snapToGrid w:val="0"/>
              <w:spacing w:line="300" w:lineRule="auto"/>
              <w:rPr>
                <w:sz w:val="18"/>
                <w:szCs w:val="18"/>
              </w:rPr>
            </w:pPr>
            <w:r>
              <w:rPr>
                <w:rFonts w:hint="eastAsia"/>
                <w:sz w:val="18"/>
                <w:szCs w:val="18"/>
              </w:rPr>
              <w:t>从全连接层到卷积层</w:t>
            </w:r>
          </w:p>
          <w:p>
            <w:pPr>
              <w:numPr>
                <w:ilvl w:val="1"/>
                <w:numId w:val="62"/>
              </w:numPr>
              <w:adjustRightInd w:val="0"/>
              <w:snapToGrid w:val="0"/>
              <w:spacing w:line="300" w:lineRule="auto"/>
              <w:rPr>
                <w:sz w:val="18"/>
                <w:szCs w:val="18"/>
              </w:rPr>
            </w:pPr>
            <w:r>
              <w:rPr>
                <w:rFonts w:hint="eastAsia"/>
                <w:sz w:val="18"/>
                <w:szCs w:val="18"/>
              </w:rPr>
              <w:t>图像卷积</w:t>
            </w:r>
          </w:p>
          <w:p>
            <w:pPr>
              <w:numPr>
                <w:ilvl w:val="1"/>
                <w:numId w:val="62"/>
              </w:numPr>
              <w:adjustRightInd w:val="0"/>
              <w:snapToGrid w:val="0"/>
              <w:spacing w:line="300" w:lineRule="auto"/>
              <w:rPr>
                <w:sz w:val="18"/>
                <w:szCs w:val="18"/>
              </w:rPr>
            </w:pPr>
            <w:r>
              <w:rPr>
                <w:rFonts w:hint="eastAsia"/>
                <w:sz w:val="18"/>
                <w:szCs w:val="18"/>
              </w:rPr>
              <w:t>填充和步幅</w:t>
            </w:r>
          </w:p>
          <w:p>
            <w:pPr>
              <w:numPr>
                <w:ilvl w:val="1"/>
                <w:numId w:val="62"/>
              </w:numPr>
              <w:adjustRightInd w:val="0"/>
              <w:snapToGrid w:val="0"/>
              <w:spacing w:line="300" w:lineRule="auto"/>
              <w:rPr>
                <w:sz w:val="18"/>
                <w:szCs w:val="18"/>
              </w:rPr>
            </w:pPr>
            <w:r>
              <w:rPr>
                <w:rFonts w:hint="eastAsia"/>
                <w:sz w:val="18"/>
                <w:szCs w:val="18"/>
              </w:rPr>
              <w:t>多输入多输出通道</w:t>
            </w:r>
          </w:p>
          <w:p>
            <w:pPr>
              <w:numPr>
                <w:ilvl w:val="1"/>
                <w:numId w:val="62"/>
              </w:numPr>
              <w:adjustRightInd w:val="0"/>
              <w:snapToGrid w:val="0"/>
              <w:spacing w:line="300" w:lineRule="auto"/>
              <w:rPr>
                <w:sz w:val="18"/>
                <w:szCs w:val="18"/>
              </w:rPr>
            </w:pPr>
            <w:r>
              <w:rPr>
                <w:rFonts w:hint="eastAsia"/>
                <w:sz w:val="18"/>
                <w:szCs w:val="18"/>
              </w:rPr>
              <w:t>卷积神经网络（LeNet）</w:t>
            </w: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w:t>
            </w:r>
            <w:r>
              <w:rPr>
                <w:rFonts w:hint="eastAsia"/>
                <w:sz w:val="18"/>
                <w:szCs w:val="18"/>
              </w:rPr>
              <w:t>卷积</w:t>
            </w:r>
            <w:r>
              <w:rPr>
                <w:sz w:val="18"/>
                <w:szCs w:val="18"/>
              </w:rPr>
              <w:t>神经网络的工作原理；</w:t>
            </w:r>
          </w:p>
          <w:p>
            <w:pPr>
              <w:adjustRightInd w:val="0"/>
              <w:snapToGrid w:val="0"/>
              <w:spacing w:line="300" w:lineRule="auto"/>
              <w:rPr>
                <w:sz w:val="18"/>
                <w:szCs w:val="18"/>
              </w:rPr>
            </w:pPr>
            <w:r>
              <w:rPr>
                <w:sz w:val="18"/>
                <w:szCs w:val="18"/>
              </w:rPr>
              <w:t>（2）</w:t>
            </w:r>
            <w:r>
              <w:rPr>
                <w:rFonts w:hint="eastAsia"/>
                <w:sz w:val="18"/>
                <w:szCs w:val="18"/>
              </w:rPr>
              <w:t xml:space="preserve"> </w:t>
            </w:r>
            <w:r>
              <w:rPr>
                <w:sz w:val="18"/>
                <w:szCs w:val="18"/>
              </w:rPr>
              <w:t>理解</w:t>
            </w:r>
            <w:r>
              <w:rPr>
                <w:rFonts w:hint="eastAsia"/>
                <w:sz w:val="18"/>
                <w:szCs w:val="18"/>
              </w:rPr>
              <w:t>卷积</w:t>
            </w:r>
            <w:r>
              <w:rPr>
                <w:sz w:val="18"/>
                <w:szCs w:val="18"/>
              </w:rPr>
              <w:t>神经网络和应用于模式分类</w:t>
            </w:r>
            <w:r>
              <w:rPr>
                <w:rFonts w:hint="eastAsia"/>
                <w:sz w:val="18"/>
                <w:szCs w:val="18"/>
              </w:rPr>
              <w:t>、目标检测等任务</w:t>
            </w:r>
            <w:r>
              <w:rPr>
                <w:sz w:val="18"/>
                <w:szCs w:val="18"/>
              </w:rPr>
              <w:t>的基本思想；</w:t>
            </w:r>
          </w:p>
          <w:p>
            <w:pPr>
              <w:adjustRightInd w:val="0"/>
              <w:snapToGrid w:val="0"/>
              <w:spacing w:line="300" w:lineRule="auto"/>
              <w:rPr>
                <w:sz w:val="18"/>
                <w:szCs w:val="18"/>
              </w:rPr>
            </w:pPr>
            <w:r>
              <w:rPr>
                <w:sz w:val="18"/>
                <w:szCs w:val="18"/>
              </w:rPr>
              <w:t>（3）掌握</w:t>
            </w:r>
            <w:r>
              <w:rPr>
                <w:rFonts w:hint="eastAsia"/>
                <w:sz w:val="18"/>
                <w:szCs w:val="18"/>
              </w:rPr>
              <w:t>卷积神经网络的设计方法</w:t>
            </w:r>
            <w:r>
              <w:rPr>
                <w:sz w:val="18"/>
                <w:szCs w:val="18"/>
              </w:rPr>
              <w:t>。</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（2）完成相关实验。</w:t>
            </w:r>
          </w:p>
          <w:p>
            <w:pPr>
              <w:adjustRightInd w:val="0"/>
              <w:snapToGrid w:val="0"/>
              <w:spacing w:line="300" w:lineRule="auto"/>
              <w:rPr>
                <w:kern w:val="0"/>
                <w:sz w:val="18"/>
                <w:szCs w:val="18"/>
              </w:rPr>
            </w:pPr>
            <w:r>
              <w:rPr>
                <w:kern w:val="0"/>
                <w:sz w:val="18"/>
                <w:szCs w:val="18"/>
              </w:rPr>
              <w:t>3.教学方法：启发式授课、案例教学、提问、讨论。</w:t>
            </w:r>
          </w:p>
        </w:tc>
        <w:tc>
          <w:tcPr>
            <w:tcW w:w="743" w:type="dxa"/>
            <w:shd w:val="clear" w:color="auto" w:fill="FFFFFF"/>
            <w:vAlign w:val="center"/>
          </w:tcPr>
          <w:p>
            <w:pPr>
              <w:adjustRightInd w:val="0"/>
              <w:snapToGrid w:val="0"/>
              <w:spacing w:line="300" w:lineRule="auto"/>
              <w:jc w:val="center"/>
              <w:rPr>
                <w:sz w:val="18"/>
                <w:szCs w:val="18"/>
              </w:rPr>
            </w:pPr>
            <w:r>
              <w:rPr>
                <w:rFonts w:hint="eastAsia"/>
                <w:sz w:val="18"/>
                <w:szCs w:val="18"/>
              </w:rPr>
              <w:t>4</w:t>
            </w:r>
          </w:p>
        </w:tc>
        <w:tc>
          <w:tcPr>
            <w:tcW w:w="991" w:type="dxa"/>
            <w:shd w:val="clear" w:color="auto" w:fill="FFFFFF"/>
            <w:vAlign w:val="center"/>
          </w:tcPr>
          <w:p>
            <w:pPr>
              <w:adjustRightInd w:val="0"/>
              <w:snapToGrid w:val="0"/>
              <w:spacing w:line="300" w:lineRule="auto"/>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733" w:type="dxa"/>
            <w:shd w:val="clear" w:color="auto" w:fill="FFFFFF"/>
            <w:tcMar>
              <w:left w:w="57" w:type="dxa"/>
              <w:right w:w="57" w:type="dxa"/>
            </w:tcMar>
            <w:vAlign w:val="center"/>
          </w:tcPr>
          <w:p>
            <w:pPr>
              <w:adjustRightInd w:val="0"/>
              <w:snapToGrid w:val="0"/>
              <w:spacing w:line="300" w:lineRule="auto"/>
              <w:jc w:val="center"/>
              <w:rPr>
                <w:sz w:val="18"/>
                <w:szCs w:val="18"/>
              </w:rPr>
            </w:pPr>
            <w:r>
              <w:rPr>
                <w:rFonts w:hint="eastAsia"/>
                <w:sz w:val="18"/>
                <w:szCs w:val="18"/>
              </w:rPr>
              <w:t>6</w:t>
            </w:r>
          </w:p>
        </w:tc>
        <w:tc>
          <w:tcPr>
            <w:tcW w:w="2821" w:type="dxa"/>
            <w:shd w:val="clear" w:color="auto" w:fill="FFFFFF"/>
            <w:vAlign w:val="center"/>
          </w:tcPr>
          <w:p>
            <w:pPr>
              <w:numPr>
                <w:ilvl w:val="0"/>
                <w:numId w:val="62"/>
              </w:numPr>
              <w:adjustRightInd w:val="0"/>
              <w:snapToGrid w:val="0"/>
              <w:spacing w:line="300" w:lineRule="auto"/>
              <w:rPr>
                <w:sz w:val="18"/>
                <w:szCs w:val="18"/>
              </w:rPr>
            </w:pPr>
            <w:r>
              <w:rPr>
                <w:rFonts w:hint="eastAsia"/>
                <w:sz w:val="18"/>
                <w:szCs w:val="18"/>
              </w:rPr>
              <w:t>现代卷积神经网络</w:t>
            </w:r>
          </w:p>
          <w:p>
            <w:pPr>
              <w:numPr>
                <w:ilvl w:val="1"/>
                <w:numId w:val="62"/>
              </w:numPr>
              <w:adjustRightInd w:val="0"/>
              <w:snapToGrid w:val="0"/>
              <w:spacing w:line="300" w:lineRule="auto"/>
              <w:rPr>
                <w:sz w:val="18"/>
                <w:szCs w:val="18"/>
              </w:rPr>
            </w:pPr>
            <w:r>
              <w:rPr>
                <w:rFonts w:hint="eastAsia"/>
                <w:sz w:val="18"/>
                <w:szCs w:val="18"/>
              </w:rPr>
              <w:t>深度卷积神经网络（AlexNet）</w:t>
            </w:r>
          </w:p>
          <w:p>
            <w:pPr>
              <w:numPr>
                <w:ilvl w:val="1"/>
                <w:numId w:val="62"/>
              </w:numPr>
              <w:adjustRightInd w:val="0"/>
              <w:snapToGrid w:val="0"/>
              <w:spacing w:line="300" w:lineRule="auto"/>
              <w:rPr>
                <w:sz w:val="18"/>
                <w:szCs w:val="18"/>
              </w:rPr>
            </w:pPr>
            <w:r>
              <w:rPr>
                <w:rFonts w:hint="eastAsia"/>
                <w:sz w:val="18"/>
                <w:szCs w:val="18"/>
              </w:rPr>
              <w:t>使用块的网络（VGG）</w:t>
            </w:r>
          </w:p>
          <w:p>
            <w:pPr>
              <w:numPr>
                <w:ilvl w:val="1"/>
                <w:numId w:val="62"/>
              </w:numPr>
              <w:adjustRightInd w:val="0"/>
              <w:snapToGrid w:val="0"/>
              <w:spacing w:line="300" w:lineRule="auto"/>
              <w:rPr>
                <w:sz w:val="18"/>
                <w:szCs w:val="18"/>
              </w:rPr>
            </w:pPr>
            <w:r>
              <w:rPr>
                <w:rFonts w:hint="eastAsia"/>
                <w:sz w:val="18"/>
                <w:szCs w:val="18"/>
              </w:rPr>
              <w:t>残差网络（ResNet）</w:t>
            </w:r>
          </w:p>
          <w:p>
            <w:pPr>
              <w:numPr>
                <w:ilvl w:val="1"/>
                <w:numId w:val="62"/>
              </w:numPr>
              <w:adjustRightInd w:val="0"/>
              <w:snapToGrid w:val="0"/>
              <w:spacing w:line="300" w:lineRule="auto"/>
              <w:rPr>
                <w:sz w:val="18"/>
                <w:szCs w:val="18"/>
              </w:rPr>
            </w:pPr>
            <w:r>
              <w:rPr>
                <w:rFonts w:hint="eastAsia"/>
                <w:sz w:val="18"/>
                <w:szCs w:val="18"/>
              </w:rPr>
              <w:t>稠密连接网络（DenseNet）</w:t>
            </w:r>
          </w:p>
          <w:p>
            <w:pPr>
              <w:adjustRightInd w:val="0"/>
              <w:snapToGrid w:val="0"/>
              <w:spacing w:line="300" w:lineRule="auto"/>
              <w:rPr>
                <w:sz w:val="18"/>
                <w:szCs w:val="18"/>
              </w:rPr>
            </w:pPr>
          </w:p>
        </w:tc>
        <w:tc>
          <w:tcPr>
            <w:tcW w:w="3264"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1.要求：</w:t>
            </w:r>
          </w:p>
          <w:p>
            <w:pPr>
              <w:adjustRightInd w:val="0"/>
              <w:snapToGrid w:val="0"/>
              <w:spacing w:line="300" w:lineRule="auto"/>
              <w:rPr>
                <w:sz w:val="18"/>
                <w:szCs w:val="18"/>
              </w:rPr>
            </w:pPr>
            <w:r>
              <w:rPr>
                <w:sz w:val="18"/>
                <w:szCs w:val="18"/>
              </w:rPr>
              <w:t>（1）了解</w:t>
            </w:r>
            <w:r>
              <w:rPr>
                <w:rFonts w:hint="eastAsia"/>
                <w:sz w:val="18"/>
                <w:szCs w:val="18"/>
              </w:rPr>
              <w:t>几类经典卷积</w:t>
            </w:r>
            <w:r>
              <w:rPr>
                <w:sz w:val="18"/>
                <w:szCs w:val="18"/>
              </w:rPr>
              <w:t>神经网络</w:t>
            </w:r>
            <w:r>
              <w:rPr>
                <w:rFonts w:hint="eastAsia"/>
                <w:sz w:val="18"/>
                <w:szCs w:val="18"/>
              </w:rPr>
              <w:t>模型（包括AlexNet、VGG、ResNet、DenseNet）设计的</w:t>
            </w:r>
            <w:r>
              <w:rPr>
                <w:sz w:val="18"/>
                <w:szCs w:val="18"/>
              </w:rPr>
              <w:t>基本思想；</w:t>
            </w:r>
          </w:p>
          <w:p>
            <w:pPr>
              <w:adjustRightInd w:val="0"/>
              <w:snapToGrid w:val="0"/>
              <w:spacing w:line="300" w:lineRule="auto"/>
              <w:rPr>
                <w:sz w:val="18"/>
                <w:szCs w:val="18"/>
              </w:rPr>
            </w:pPr>
            <w:r>
              <w:rPr>
                <w:sz w:val="18"/>
                <w:szCs w:val="18"/>
              </w:rPr>
              <w:t>（3）掌握</w:t>
            </w:r>
            <w:r>
              <w:rPr>
                <w:rFonts w:hint="eastAsia"/>
                <w:sz w:val="18"/>
                <w:szCs w:val="18"/>
              </w:rPr>
              <w:t>在设计和训练深度神经网络过程中如何选择合适的模型、模型调参等方法。</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（2）完成相关实验。</w:t>
            </w:r>
          </w:p>
          <w:p>
            <w:pPr>
              <w:adjustRightInd w:val="0"/>
              <w:snapToGrid w:val="0"/>
              <w:spacing w:line="300" w:lineRule="auto"/>
              <w:rPr>
                <w:kern w:val="0"/>
                <w:sz w:val="18"/>
                <w:szCs w:val="18"/>
              </w:rPr>
            </w:pPr>
            <w:r>
              <w:rPr>
                <w:kern w:val="0"/>
                <w:sz w:val="18"/>
                <w:szCs w:val="18"/>
              </w:rPr>
              <w:t>3.教学方法：启发式授课、案例教学、提问、讨论。</w:t>
            </w:r>
          </w:p>
        </w:tc>
        <w:tc>
          <w:tcPr>
            <w:tcW w:w="743" w:type="dxa"/>
            <w:shd w:val="clear" w:color="auto" w:fill="FFFFFF"/>
            <w:vAlign w:val="center"/>
          </w:tcPr>
          <w:p>
            <w:pPr>
              <w:adjustRightInd w:val="0"/>
              <w:snapToGrid w:val="0"/>
              <w:spacing w:line="300" w:lineRule="auto"/>
              <w:jc w:val="center"/>
              <w:rPr>
                <w:sz w:val="18"/>
                <w:szCs w:val="18"/>
              </w:rPr>
            </w:pPr>
            <w:r>
              <w:rPr>
                <w:rFonts w:hint="eastAsia"/>
                <w:sz w:val="18"/>
                <w:szCs w:val="18"/>
              </w:rPr>
              <w:t>4</w:t>
            </w:r>
          </w:p>
        </w:tc>
        <w:tc>
          <w:tcPr>
            <w:tcW w:w="991" w:type="dxa"/>
            <w:shd w:val="clear" w:color="auto" w:fill="FFFFFF"/>
            <w:vAlign w:val="center"/>
          </w:tcPr>
          <w:p>
            <w:pPr>
              <w:adjustRightInd w:val="0"/>
              <w:snapToGrid w:val="0"/>
              <w:spacing w:line="300" w:lineRule="auto"/>
              <w:jc w:val="center"/>
              <w:rPr>
                <w:sz w:val="18"/>
                <w:szCs w:val="18"/>
              </w:rPr>
            </w:pPr>
            <w:r>
              <w:rPr>
                <w:rFonts w:hint="eastAsia"/>
                <w:sz w:val="18"/>
                <w:szCs w:val="18"/>
              </w:rPr>
              <w:t>1，2</w:t>
            </w:r>
          </w:p>
        </w:tc>
      </w:tr>
    </w:tbl>
    <w:p>
      <w:pPr>
        <w:snapToGrid w:val="0"/>
        <w:spacing w:before="156" w:beforeLines="50" w:line="300" w:lineRule="auto"/>
        <w:ind w:firstLine="420" w:firstLineChars="200"/>
      </w:pPr>
      <w:r>
        <w:t>实验内容见表4。</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表4 实验安排表</w:t>
      </w:r>
    </w:p>
    <w:tbl>
      <w:tblPr>
        <w:tblStyle w:val="2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559"/>
        <w:gridCol w:w="3059"/>
        <w:gridCol w:w="626"/>
        <w:gridCol w:w="709"/>
        <w:gridCol w:w="709"/>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序号</w:t>
            </w:r>
          </w:p>
        </w:tc>
        <w:tc>
          <w:tcPr>
            <w:tcW w:w="1559"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实验项目名称</w:t>
            </w:r>
          </w:p>
        </w:tc>
        <w:tc>
          <w:tcPr>
            <w:tcW w:w="3059"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目的要求</w:t>
            </w:r>
          </w:p>
        </w:tc>
        <w:tc>
          <w:tcPr>
            <w:tcW w:w="626"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学时分配</w:t>
            </w:r>
          </w:p>
        </w:tc>
        <w:tc>
          <w:tcPr>
            <w:tcW w:w="709"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实验类型</w:t>
            </w:r>
          </w:p>
        </w:tc>
        <w:tc>
          <w:tcPr>
            <w:tcW w:w="709"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每组人数</w:t>
            </w:r>
          </w:p>
        </w:tc>
        <w:tc>
          <w:tcPr>
            <w:tcW w:w="709" w:type="dxa"/>
            <w:vAlign w:val="center"/>
          </w:tcPr>
          <w:p>
            <w:pPr>
              <w:widowControl/>
              <w:tabs>
                <w:tab w:val="left" w:pos="426"/>
                <w:tab w:val="left" w:pos="5245"/>
                <w:tab w:val="left" w:pos="5387"/>
              </w:tabs>
              <w:spacing w:line="300" w:lineRule="auto"/>
              <w:jc w:val="center"/>
              <w:rPr>
                <w:b/>
                <w:bCs/>
                <w:kern w:val="0"/>
                <w:sz w:val="18"/>
                <w:szCs w:val="18"/>
              </w:rPr>
            </w:pPr>
            <w:r>
              <w:rPr>
                <w:b/>
                <w:bCs/>
                <w:kern w:val="0"/>
                <w:sz w:val="18"/>
                <w:szCs w:val="18"/>
              </w:rPr>
              <w:t>必开选开</w:t>
            </w:r>
          </w:p>
        </w:tc>
        <w:tc>
          <w:tcPr>
            <w:tcW w:w="708" w:type="dxa"/>
          </w:tcPr>
          <w:p>
            <w:pPr>
              <w:widowControl/>
              <w:tabs>
                <w:tab w:val="left" w:pos="426"/>
                <w:tab w:val="left" w:pos="5245"/>
                <w:tab w:val="left" w:pos="5387"/>
              </w:tabs>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1559" w:type="dxa"/>
          </w:tcPr>
          <w:p>
            <w:pPr>
              <w:widowControl/>
              <w:adjustRightInd w:val="0"/>
              <w:snapToGrid w:val="0"/>
              <w:spacing w:line="300" w:lineRule="auto"/>
              <w:rPr>
                <w:kern w:val="0"/>
                <w:sz w:val="18"/>
                <w:szCs w:val="18"/>
              </w:rPr>
            </w:pPr>
            <w:r>
              <w:rPr>
                <w:kern w:val="0"/>
                <w:sz w:val="18"/>
                <w:szCs w:val="18"/>
              </w:rPr>
              <w:t>贝叶斯分类器设计</w:t>
            </w:r>
          </w:p>
        </w:tc>
        <w:tc>
          <w:tcPr>
            <w:tcW w:w="3059" w:type="dxa"/>
          </w:tcPr>
          <w:p>
            <w:pPr>
              <w:widowControl/>
              <w:adjustRightInd w:val="0"/>
              <w:snapToGrid w:val="0"/>
              <w:spacing w:line="300" w:lineRule="auto"/>
              <w:ind w:left="-105" w:leftChars="-50" w:right="-105" w:rightChars="-50"/>
              <w:rPr>
                <w:kern w:val="0"/>
                <w:sz w:val="18"/>
                <w:szCs w:val="18"/>
              </w:rPr>
            </w:pPr>
            <w:r>
              <w:rPr>
                <w:kern w:val="0"/>
                <w:sz w:val="18"/>
                <w:szCs w:val="18"/>
              </w:rPr>
              <w:t>掌握最小错误贝叶斯决策</w:t>
            </w:r>
            <w:r>
              <w:rPr>
                <w:rFonts w:hint="eastAsia"/>
                <w:kern w:val="0"/>
                <w:sz w:val="18"/>
                <w:szCs w:val="18"/>
              </w:rPr>
              <w:t>和</w:t>
            </w:r>
            <w:r>
              <w:rPr>
                <w:kern w:val="0"/>
                <w:sz w:val="18"/>
                <w:szCs w:val="18"/>
              </w:rPr>
              <w:t>最小风险贝叶斯决策算法与设计方法</w:t>
            </w:r>
          </w:p>
        </w:tc>
        <w:tc>
          <w:tcPr>
            <w:tcW w:w="62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708"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rFonts w:hint="eastAsia"/>
                <w:kern w:val="0"/>
                <w:sz w:val="18"/>
                <w:szCs w:val="18"/>
              </w:rPr>
              <w:t>2</w:t>
            </w:r>
          </w:p>
        </w:tc>
        <w:tc>
          <w:tcPr>
            <w:tcW w:w="1559" w:type="dxa"/>
          </w:tcPr>
          <w:p>
            <w:pPr>
              <w:widowControl/>
              <w:adjustRightInd w:val="0"/>
              <w:snapToGrid w:val="0"/>
              <w:spacing w:line="300" w:lineRule="auto"/>
              <w:rPr>
                <w:kern w:val="0"/>
                <w:sz w:val="18"/>
                <w:szCs w:val="18"/>
              </w:rPr>
            </w:pPr>
            <w:r>
              <w:rPr>
                <w:kern w:val="0"/>
                <w:sz w:val="18"/>
                <w:szCs w:val="18"/>
              </w:rPr>
              <w:t>LMSE分类器设计</w:t>
            </w:r>
          </w:p>
        </w:tc>
        <w:tc>
          <w:tcPr>
            <w:tcW w:w="3059" w:type="dxa"/>
          </w:tcPr>
          <w:p>
            <w:pPr>
              <w:widowControl/>
              <w:adjustRightInd w:val="0"/>
              <w:snapToGrid w:val="0"/>
              <w:spacing w:line="300" w:lineRule="auto"/>
              <w:ind w:left="-105" w:leftChars="-50" w:right="-105" w:rightChars="-50"/>
              <w:rPr>
                <w:kern w:val="0"/>
                <w:sz w:val="18"/>
                <w:szCs w:val="18"/>
              </w:rPr>
            </w:pPr>
            <w:r>
              <w:rPr>
                <w:kern w:val="0"/>
                <w:sz w:val="18"/>
                <w:szCs w:val="18"/>
              </w:rPr>
              <w:t>掌握最小均方差算法与设计方法</w:t>
            </w:r>
          </w:p>
        </w:tc>
        <w:tc>
          <w:tcPr>
            <w:tcW w:w="62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708" w:type="dxa"/>
            <w:vAlign w:val="center"/>
          </w:tcPr>
          <w:p>
            <w:pPr>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rFonts w:hint="eastAsia"/>
                <w:kern w:val="0"/>
                <w:sz w:val="18"/>
                <w:szCs w:val="18"/>
              </w:rPr>
              <w:t>3</w:t>
            </w:r>
          </w:p>
        </w:tc>
        <w:tc>
          <w:tcPr>
            <w:tcW w:w="1559" w:type="dxa"/>
          </w:tcPr>
          <w:p>
            <w:pPr>
              <w:widowControl/>
              <w:adjustRightInd w:val="0"/>
              <w:snapToGrid w:val="0"/>
              <w:spacing w:line="300" w:lineRule="auto"/>
              <w:rPr>
                <w:kern w:val="0"/>
                <w:sz w:val="18"/>
                <w:szCs w:val="18"/>
              </w:rPr>
            </w:pPr>
            <w:r>
              <w:rPr>
                <w:kern w:val="0"/>
                <w:sz w:val="18"/>
                <w:szCs w:val="18"/>
              </w:rPr>
              <w:t>支持向量机分类器的设计</w:t>
            </w:r>
          </w:p>
        </w:tc>
        <w:tc>
          <w:tcPr>
            <w:tcW w:w="3059" w:type="dxa"/>
          </w:tcPr>
          <w:p>
            <w:pPr>
              <w:widowControl/>
              <w:adjustRightInd w:val="0"/>
              <w:snapToGrid w:val="0"/>
              <w:spacing w:line="300" w:lineRule="auto"/>
              <w:ind w:left="-105" w:leftChars="-50" w:right="-105" w:rightChars="-50"/>
              <w:rPr>
                <w:kern w:val="0"/>
                <w:sz w:val="18"/>
                <w:szCs w:val="18"/>
              </w:rPr>
            </w:pPr>
            <w:r>
              <w:rPr>
                <w:kern w:val="0"/>
                <w:sz w:val="18"/>
                <w:szCs w:val="18"/>
              </w:rPr>
              <w:t>掌握特征空间构造与超平面分类算法与设计方法</w:t>
            </w:r>
          </w:p>
        </w:tc>
        <w:tc>
          <w:tcPr>
            <w:tcW w:w="62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2</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验证</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708" w:type="dxa"/>
            <w:vAlign w:val="center"/>
          </w:tcPr>
          <w:p>
            <w:pPr>
              <w:adjustRightInd w:val="0"/>
              <w:snapToGrid w:val="0"/>
              <w:spacing w:line="300" w:lineRule="auto"/>
              <w:jc w:val="cente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rFonts w:hint="eastAsia"/>
                <w:kern w:val="0"/>
                <w:sz w:val="18"/>
                <w:szCs w:val="18"/>
              </w:rPr>
              <w:t>4</w:t>
            </w:r>
          </w:p>
        </w:tc>
        <w:tc>
          <w:tcPr>
            <w:tcW w:w="1559" w:type="dxa"/>
          </w:tcPr>
          <w:p>
            <w:pPr>
              <w:widowControl/>
              <w:adjustRightInd w:val="0"/>
              <w:snapToGrid w:val="0"/>
              <w:spacing w:line="300" w:lineRule="auto"/>
              <w:rPr>
                <w:kern w:val="0"/>
                <w:sz w:val="18"/>
                <w:szCs w:val="18"/>
              </w:rPr>
            </w:pPr>
            <w:r>
              <w:rPr>
                <w:kern w:val="0"/>
                <w:sz w:val="18"/>
                <w:szCs w:val="18"/>
              </w:rPr>
              <w:t>BP网络</w:t>
            </w:r>
            <w:r>
              <w:rPr>
                <w:rFonts w:hint="eastAsia"/>
                <w:kern w:val="0"/>
                <w:sz w:val="18"/>
                <w:szCs w:val="18"/>
              </w:rPr>
              <w:t>及</w:t>
            </w:r>
            <w:r>
              <w:rPr>
                <w:kern w:val="0"/>
                <w:sz w:val="18"/>
                <w:szCs w:val="18"/>
              </w:rPr>
              <w:t>Hopfield</w:t>
            </w:r>
            <w:r>
              <w:rPr>
                <w:rFonts w:hint="eastAsia"/>
                <w:kern w:val="0"/>
                <w:sz w:val="18"/>
                <w:szCs w:val="18"/>
              </w:rPr>
              <w:t>网络</w:t>
            </w:r>
            <w:r>
              <w:rPr>
                <w:kern w:val="0"/>
                <w:sz w:val="18"/>
                <w:szCs w:val="18"/>
              </w:rPr>
              <w:t>模式分类</w:t>
            </w:r>
          </w:p>
        </w:tc>
        <w:tc>
          <w:tcPr>
            <w:tcW w:w="3059" w:type="dxa"/>
          </w:tcPr>
          <w:p>
            <w:pPr>
              <w:widowControl/>
              <w:adjustRightInd w:val="0"/>
              <w:snapToGrid w:val="0"/>
              <w:spacing w:line="300" w:lineRule="auto"/>
              <w:ind w:left="-105" w:leftChars="-50" w:right="-105" w:rightChars="-50"/>
              <w:rPr>
                <w:kern w:val="0"/>
                <w:sz w:val="18"/>
                <w:szCs w:val="18"/>
              </w:rPr>
            </w:pPr>
            <w:r>
              <w:rPr>
                <w:kern w:val="0"/>
                <w:sz w:val="18"/>
                <w:szCs w:val="18"/>
              </w:rPr>
              <w:t>掌握BP网络</w:t>
            </w:r>
            <w:r>
              <w:rPr>
                <w:rFonts w:hint="eastAsia"/>
                <w:kern w:val="0"/>
                <w:sz w:val="18"/>
                <w:szCs w:val="18"/>
              </w:rPr>
              <w:t>和</w:t>
            </w:r>
            <w:r>
              <w:rPr>
                <w:kern w:val="0"/>
                <w:sz w:val="18"/>
                <w:szCs w:val="18"/>
              </w:rPr>
              <w:t>Hopfield</w:t>
            </w:r>
            <w:r>
              <w:rPr>
                <w:rFonts w:hint="eastAsia"/>
                <w:kern w:val="0"/>
                <w:sz w:val="18"/>
                <w:szCs w:val="18"/>
              </w:rPr>
              <w:t>网络的构建</w:t>
            </w:r>
            <w:r>
              <w:rPr>
                <w:kern w:val="0"/>
                <w:sz w:val="18"/>
                <w:szCs w:val="18"/>
              </w:rPr>
              <w:t>、确定网络权值与设计方法</w:t>
            </w:r>
          </w:p>
        </w:tc>
        <w:tc>
          <w:tcPr>
            <w:tcW w:w="626"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rFonts w:hint="eastAsia"/>
                <w:kern w:val="0"/>
                <w:sz w:val="18"/>
                <w:szCs w:val="18"/>
              </w:rPr>
              <w:t>2</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综合</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tabs>
                <w:tab w:val="left" w:pos="426"/>
                <w:tab w:val="left" w:pos="5245"/>
                <w:tab w:val="left" w:pos="5387"/>
              </w:tabs>
              <w:adjustRightInd w:val="0"/>
              <w:snapToGrid w:val="0"/>
              <w:spacing w:line="300" w:lineRule="auto"/>
              <w:jc w:val="center"/>
              <w:rPr>
                <w:kern w:val="0"/>
                <w:sz w:val="18"/>
                <w:szCs w:val="18"/>
              </w:rPr>
            </w:pPr>
            <w:r>
              <w:rPr>
                <w:kern w:val="0"/>
                <w:sz w:val="18"/>
                <w:szCs w:val="18"/>
              </w:rPr>
              <w:t>必开</w:t>
            </w:r>
          </w:p>
        </w:tc>
        <w:tc>
          <w:tcPr>
            <w:tcW w:w="708" w:type="dxa"/>
            <w:vAlign w:val="center"/>
          </w:tcPr>
          <w:p>
            <w:pPr>
              <w:adjustRightInd w:val="0"/>
              <w:snapToGrid w:val="0"/>
              <w:spacing w:line="300" w:lineRule="auto"/>
              <w:jc w:val="center"/>
            </w:pPr>
            <w:r>
              <w:rPr>
                <w:kern w:val="0"/>
                <w:sz w:val="18"/>
                <w:szCs w:val="18"/>
              </w:rPr>
              <w:t>1，2</w:t>
            </w:r>
          </w:p>
        </w:tc>
      </w:tr>
    </w:tbl>
    <w:p>
      <w:pPr>
        <w:snapToGrid w:val="0"/>
        <w:spacing w:before="156" w:beforeLines="50" w:line="300" w:lineRule="auto"/>
        <w:ind w:firstLine="420" w:firstLineChars="200"/>
        <w:rPr>
          <w:szCs w:val="21"/>
        </w:rPr>
      </w:pPr>
      <w:r>
        <w:t>实验</w:t>
      </w:r>
      <w:r>
        <w:rPr>
          <w:szCs w:val="21"/>
        </w:rPr>
        <w:t>报告撰写要求：</w:t>
      </w:r>
    </w:p>
    <w:p>
      <w:pPr>
        <w:widowControl/>
        <w:snapToGrid w:val="0"/>
        <w:spacing w:line="300" w:lineRule="auto"/>
        <w:ind w:firstLine="420" w:firstLineChars="200"/>
        <w:rPr>
          <w:kern w:val="0"/>
          <w:szCs w:val="21"/>
        </w:rPr>
      </w:pPr>
      <w:r>
        <w:rPr>
          <w:kern w:val="0"/>
          <w:szCs w:val="21"/>
        </w:rPr>
        <w:t>学生要提交的实验报告包括纸质版和电子版，纸质版A4打印。实验报告包括原理说明、实验记录和实验总结三项内容：</w:t>
      </w:r>
    </w:p>
    <w:p>
      <w:pPr>
        <w:widowControl/>
        <w:snapToGrid w:val="0"/>
        <w:spacing w:line="300" w:lineRule="auto"/>
        <w:ind w:firstLine="420" w:firstLineChars="200"/>
        <w:rPr>
          <w:kern w:val="0"/>
          <w:szCs w:val="21"/>
        </w:rPr>
      </w:pPr>
      <w:r>
        <w:rPr>
          <w:kern w:val="0"/>
          <w:szCs w:val="21"/>
        </w:rPr>
        <w:t>（1）实验原理要写明实验目的、要求、实验步骤等提纲；</w:t>
      </w:r>
    </w:p>
    <w:p>
      <w:pPr>
        <w:widowControl/>
        <w:snapToGrid w:val="0"/>
        <w:spacing w:line="300" w:lineRule="auto"/>
        <w:ind w:firstLine="420" w:firstLineChars="200"/>
        <w:rPr>
          <w:kern w:val="0"/>
          <w:szCs w:val="21"/>
        </w:rPr>
      </w:pPr>
      <w:r>
        <w:rPr>
          <w:kern w:val="0"/>
          <w:szCs w:val="21"/>
        </w:rPr>
        <w:t>（2）实验记录包括实验结果和实验过程中出现的问题和解决方案；</w:t>
      </w:r>
    </w:p>
    <w:p>
      <w:pPr>
        <w:widowControl/>
        <w:snapToGrid w:val="0"/>
        <w:spacing w:line="300" w:lineRule="auto"/>
        <w:ind w:firstLine="420" w:firstLineChars="200"/>
        <w:rPr>
          <w:kern w:val="0"/>
          <w:szCs w:val="21"/>
        </w:rPr>
      </w:pPr>
      <w:r>
        <w:rPr>
          <w:kern w:val="0"/>
          <w:szCs w:val="21"/>
        </w:rPr>
        <w:t>（3）实验报告对实验数据、结果、实验过程中出现的问题等进行解释、分析、总结，根据实验结论提出对实验改进的途径和方案。</w:t>
      </w:r>
    </w:p>
    <w:p>
      <w:pPr>
        <w:snapToGrid w:val="0"/>
        <w:spacing w:before="156" w:beforeLines="50" w:after="156" w:afterLines="50" w:line="300" w:lineRule="auto"/>
        <w:rPr>
          <w:b/>
          <w:sz w:val="24"/>
        </w:rPr>
      </w:pPr>
      <w:r>
        <w:rPr>
          <w:b/>
          <w:sz w:val="24"/>
        </w:rPr>
        <w:t>五、课程考核及成绩评定</w:t>
      </w:r>
    </w:p>
    <w:p>
      <w:pPr>
        <w:widowControl/>
        <w:snapToGrid w:val="0"/>
        <w:spacing w:line="300" w:lineRule="auto"/>
        <w:ind w:firstLine="420" w:firstLineChars="200"/>
        <w:rPr>
          <w:kern w:val="0"/>
          <w:szCs w:val="21"/>
        </w:rPr>
      </w:pPr>
      <w:r>
        <w:rPr>
          <w:kern w:val="0"/>
          <w:szCs w:val="21"/>
        </w:rPr>
        <w:t>1．考核方式：课堂表现（考勤、回答问题等）、实验和</w:t>
      </w:r>
      <w:r>
        <w:rPr>
          <w:rFonts w:hint="eastAsia"/>
          <w:kern w:val="0"/>
          <w:szCs w:val="21"/>
        </w:rPr>
        <w:t>研究</w:t>
      </w:r>
      <w:r>
        <w:rPr>
          <w:kern w:val="0"/>
          <w:szCs w:val="21"/>
        </w:rPr>
        <w:t>报告。</w:t>
      </w:r>
    </w:p>
    <w:p>
      <w:pPr>
        <w:widowControl/>
        <w:snapToGrid w:val="0"/>
        <w:spacing w:line="300" w:lineRule="auto"/>
        <w:ind w:firstLine="420" w:firstLineChars="200"/>
        <w:rPr>
          <w:kern w:val="0"/>
          <w:szCs w:val="21"/>
        </w:rPr>
      </w:pPr>
      <w:r>
        <w:rPr>
          <w:kern w:val="0"/>
          <w:szCs w:val="21"/>
        </w:rPr>
        <w:t>2．考核成绩组成：平时成绩</w:t>
      </w:r>
      <w:r>
        <w:rPr>
          <w:rFonts w:hint="eastAsia"/>
          <w:kern w:val="0"/>
          <w:szCs w:val="21"/>
        </w:rPr>
        <w:t>60%</w:t>
      </w:r>
      <w:r>
        <w:rPr>
          <w:kern w:val="0"/>
          <w:szCs w:val="21"/>
        </w:rPr>
        <w:t>（课堂表现+实验成绩）+</w:t>
      </w:r>
      <w:r>
        <w:rPr>
          <w:rFonts w:hint="eastAsia"/>
          <w:kern w:val="0"/>
          <w:szCs w:val="21"/>
        </w:rPr>
        <w:t>研究</w:t>
      </w:r>
      <w:r>
        <w:rPr>
          <w:kern w:val="0"/>
          <w:szCs w:val="21"/>
        </w:rPr>
        <w:t>报告40</w:t>
      </w:r>
      <w:r>
        <w:rPr>
          <w:rFonts w:hint="eastAsia"/>
          <w:kern w:val="0"/>
          <w:szCs w:val="21"/>
        </w:rPr>
        <w:t>%</w:t>
      </w:r>
      <w:r>
        <w:rPr>
          <w:kern w:val="0"/>
          <w:szCs w:val="21"/>
        </w:rPr>
        <w:t>。</w:t>
      </w:r>
    </w:p>
    <w:p>
      <w:pPr>
        <w:widowControl/>
        <w:snapToGrid w:val="0"/>
        <w:spacing w:line="300" w:lineRule="auto"/>
        <w:ind w:firstLine="420" w:firstLineChars="200"/>
        <w:rPr>
          <w:kern w:val="0"/>
          <w:szCs w:val="21"/>
        </w:rPr>
      </w:pPr>
      <w:r>
        <w:rPr>
          <w:kern w:val="0"/>
          <w:szCs w:val="21"/>
        </w:rPr>
        <w:t>3．考核评价标准如表5所示：</w:t>
      </w:r>
    </w:p>
    <w:p>
      <w:pPr>
        <w:widowControl/>
        <w:tabs>
          <w:tab w:val="left" w:pos="426"/>
          <w:tab w:val="left" w:pos="5245"/>
          <w:tab w:val="left" w:pos="5387"/>
        </w:tabs>
        <w:spacing w:before="156" w:beforeLines="50" w:line="300" w:lineRule="auto"/>
        <w:jc w:val="center"/>
        <w:rPr>
          <w:b/>
          <w:kern w:val="0"/>
          <w:szCs w:val="20"/>
        </w:rPr>
      </w:pPr>
      <w:r>
        <w:rPr>
          <w:b/>
          <w:kern w:val="0"/>
          <w:sz w:val="18"/>
          <w:szCs w:val="18"/>
        </w:rPr>
        <w:t>表5教学目标评价标准</w:t>
      </w:r>
    </w:p>
    <w:tbl>
      <w:tblPr>
        <w:tblStyle w:val="22"/>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599"/>
        <w:gridCol w:w="567"/>
        <w:gridCol w:w="709"/>
        <w:gridCol w:w="567"/>
        <w:gridCol w:w="340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43" w:type="dxa"/>
            <w:vAlign w:val="center"/>
          </w:tcPr>
          <w:p>
            <w:pPr>
              <w:rPr>
                <w:b/>
                <w:sz w:val="18"/>
                <w:szCs w:val="18"/>
              </w:rPr>
            </w:pPr>
            <w:r>
              <w:rPr>
                <w:b/>
                <w:sz w:val="18"/>
                <w:szCs w:val="18"/>
              </w:rPr>
              <w:t>成绩</w:t>
            </w:r>
          </w:p>
          <w:p>
            <w:pPr>
              <w:rPr>
                <w:b/>
                <w:bCs/>
                <w:sz w:val="18"/>
                <w:szCs w:val="18"/>
              </w:rPr>
            </w:pPr>
            <w:r>
              <w:rPr>
                <w:b/>
                <w:sz w:val="18"/>
                <w:szCs w:val="18"/>
              </w:rPr>
              <w:t>类型</w:t>
            </w:r>
          </w:p>
        </w:tc>
        <w:tc>
          <w:tcPr>
            <w:tcW w:w="599" w:type="dxa"/>
            <w:vAlign w:val="center"/>
          </w:tcPr>
          <w:p>
            <w:pPr>
              <w:rPr>
                <w:b/>
                <w:bCs/>
                <w:sz w:val="18"/>
                <w:szCs w:val="18"/>
              </w:rPr>
            </w:pPr>
            <w:r>
              <w:rPr>
                <w:b/>
                <w:sz w:val="18"/>
                <w:szCs w:val="18"/>
              </w:rPr>
              <w:t>分值</w:t>
            </w:r>
          </w:p>
        </w:tc>
        <w:tc>
          <w:tcPr>
            <w:tcW w:w="567" w:type="dxa"/>
            <w:vAlign w:val="center"/>
          </w:tcPr>
          <w:p>
            <w:pPr>
              <w:rPr>
                <w:b/>
                <w:bCs/>
                <w:sz w:val="18"/>
                <w:szCs w:val="18"/>
              </w:rPr>
            </w:pPr>
            <w:r>
              <w:rPr>
                <w:b/>
                <w:sz w:val="18"/>
                <w:szCs w:val="18"/>
              </w:rPr>
              <w:t>权重</w:t>
            </w:r>
          </w:p>
        </w:tc>
        <w:tc>
          <w:tcPr>
            <w:tcW w:w="709" w:type="dxa"/>
            <w:vAlign w:val="center"/>
          </w:tcPr>
          <w:p>
            <w:pPr>
              <w:jc w:val="center"/>
              <w:rPr>
                <w:b/>
                <w:bCs/>
                <w:sz w:val="18"/>
                <w:szCs w:val="18"/>
              </w:rPr>
            </w:pPr>
            <w:r>
              <w:rPr>
                <w:b/>
                <w:sz w:val="18"/>
                <w:szCs w:val="18"/>
              </w:rPr>
              <w:t>类别</w:t>
            </w:r>
          </w:p>
        </w:tc>
        <w:tc>
          <w:tcPr>
            <w:tcW w:w="567" w:type="dxa"/>
            <w:vAlign w:val="center"/>
          </w:tcPr>
          <w:p>
            <w:pPr>
              <w:jc w:val="center"/>
              <w:rPr>
                <w:b/>
                <w:bCs/>
                <w:sz w:val="18"/>
                <w:szCs w:val="18"/>
              </w:rPr>
            </w:pPr>
            <w:r>
              <w:rPr>
                <w:b/>
                <w:bCs/>
                <w:sz w:val="18"/>
                <w:szCs w:val="18"/>
              </w:rPr>
              <w:t>权重</w:t>
            </w:r>
          </w:p>
        </w:tc>
        <w:tc>
          <w:tcPr>
            <w:tcW w:w="3402" w:type="dxa"/>
            <w:vAlign w:val="center"/>
          </w:tcPr>
          <w:p>
            <w:pPr>
              <w:jc w:val="center"/>
              <w:rPr>
                <w:b/>
                <w:bCs/>
                <w:sz w:val="18"/>
                <w:szCs w:val="18"/>
              </w:rPr>
            </w:pPr>
            <w:r>
              <w:rPr>
                <w:b/>
                <w:bCs/>
                <w:sz w:val="18"/>
                <w:szCs w:val="18"/>
              </w:rPr>
              <w:t>考核/评价细则</w:t>
            </w:r>
          </w:p>
        </w:tc>
        <w:tc>
          <w:tcPr>
            <w:tcW w:w="992" w:type="dxa"/>
            <w:vAlign w:val="center"/>
          </w:tcPr>
          <w:p>
            <w:pPr>
              <w:jc w:val="center"/>
              <w:rPr>
                <w:b/>
                <w:bCs/>
                <w:sz w:val="18"/>
                <w:szCs w:val="18"/>
              </w:rPr>
            </w:pPr>
            <w:r>
              <w:rPr>
                <w:b/>
                <w:bCs/>
                <w:sz w:val="18"/>
                <w:szCs w:val="18"/>
              </w:rPr>
              <w:t>课程目标</w:t>
            </w:r>
          </w:p>
        </w:tc>
        <w:tc>
          <w:tcPr>
            <w:tcW w:w="993" w:type="dxa"/>
            <w:vAlign w:val="center"/>
          </w:tcPr>
          <w:p>
            <w:pPr>
              <w:jc w:val="center"/>
              <w:rPr>
                <w:b/>
                <w:bCs/>
                <w:sz w:val="18"/>
                <w:szCs w:val="18"/>
              </w:rPr>
            </w:pPr>
            <w:r>
              <w:rPr>
                <w:b/>
                <w:bCs/>
                <w:sz w:val="18"/>
                <w:szCs w:val="18"/>
              </w:rPr>
              <w:t>毕业</w:t>
            </w:r>
            <w:r>
              <w:rPr>
                <w:rFonts w:hint="eastAsia"/>
                <w:b/>
                <w:bCs/>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43" w:type="dxa"/>
            <w:vMerge w:val="restart"/>
            <w:vAlign w:val="center"/>
          </w:tcPr>
          <w:p>
            <w:pPr>
              <w:rPr>
                <w:sz w:val="18"/>
                <w:szCs w:val="18"/>
              </w:rPr>
            </w:pPr>
            <w:r>
              <w:rPr>
                <w:sz w:val="18"/>
                <w:szCs w:val="18"/>
              </w:rPr>
              <w:t>平时</w:t>
            </w:r>
          </w:p>
          <w:p>
            <w:pPr>
              <w:rPr>
                <w:sz w:val="18"/>
                <w:szCs w:val="18"/>
              </w:rPr>
            </w:pPr>
            <w:r>
              <w:rPr>
                <w:sz w:val="18"/>
                <w:szCs w:val="18"/>
              </w:rPr>
              <w:t>成绩</w:t>
            </w:r>
          </w:p>
        </w:tc>
        <w:tc>
          <w:tcPr>
            <w:tcW w:w="599"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0.6</w:t>
            </w:r>
          </w:p>
        </w:tc>
        <w:tc>
          <w:tcPr>
            <w:tcW w:w="709" w:type="dxa"/>
            <w:vAlign w:val="center"/>
          </w:tcPr>
          <w:p>
            <w:pPr>
              <w:jc w:val="center"/>
              <w:rPr>
                <w:sz w:val="18"/>
                <w:szCs w:val="18"/>
              </w:rPr>
            </w:pPr>
            <w:r>
              <w:rPr>
                <w:sz w:val="18"/>
                <w:szCs w:val="18"/>
              </w:rPr>
              <w:t>课堂表现</w:t>
            </w:r>
          </w:p>
        </w:tc>
        <w:tc>
          <w:tcPr>
            <w:tcW w:w="567" w:type="dxa"/>
            <w:vAlign w:val="center"/>
          </w:tcPr>
          <w:p>
            <w:pPr>
              <w:jc w:val="center"/>
              <w:rPr>
                <w:sz w:val="18"/>
                <w:szCs w:val="18"/>
              </w:rPr>
            </w:pPr>
            <w:r>
              <w:rPr>
                <w:sz w:val="18"/>
                <w:szCs w:val="18"/>
              </w:rPr>
              <w:t>0.3</w:t>
            </w:r>
          </w:p>
        </w:tc>
        <w:tc>
          <w:tcPr>
            <w:tcW w:w="3402" w:type="dxa"/>
            <w:vAlign w:val="center"/>
          </w:tcPr>
          <w:p>
            <w:pPr>
              <w:jc w:val="left"/>
              <w:rPr>
                <w:sz w:val="18"/>
                <w:szCs w:val="18"/>
              </w:rPr>
            </w:pPr>
            <w:r>
              <w:rPr>
                <w:sz w:val="18"/>
                <w:szCs w:val="18"/>
              </w:rPr>
              <w:t>课堂考勤与提问</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p>
        </w:tc>
        <w:tc>
          <w:tcPr>
            <w:tcW w:w="992" w:type="dxa"/>
            <w:vAlign w:val="center"/>
          </w:tcPr>
          <w:p>
            <w:pPr>
              <w:jc w:val="left"/>
              <w:rPr>
                <w:sz w:val="18"/>
                <w:szCs w:val="18"/>
              </w:rPr>
            </w:pPr>
            <w:r>
              <w:rPr>
                <w:sz w:val="18"/>
                <w:szCs w:val="18"/>
              </w:rPr>
              <w:t>1，2，3</w:t>
            </w:r>
          </w:p>
        </w:tc>
        <w:tc>
          <w:tcPr>
            <w:tcW w:w="993" w:type="dxa"/>
            <w:vAlign w:val="center"/>
          </w:tcPr>
          <w:p>
            <w:pPr>
              <w:jc w:val="left"/>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3" w:type="dxa"/>
            <w:vMerge w:val="continue"/>
            <w:vAlign w:val="center"/>
          </w:tcPr>
          <w:p>
            <w:pPr>
              <w:rPr>
                <w:sz w:val="18"/>
                <w:szCs w:val="18"/>
              </w:rPr>
            </w:pPr>
          </w:p>
        </w:tc>
        <w:tc>
          <w:tcPr>
            <w:tcW w:w="599"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709" w:type="dxa"/>
            <w:vAlign w:val="center"/>
          </w:tcPr>
          <w:p>
            <w:pPr>
              <w:jc w:val="center"/>
              <w:rPr>
                <w:sz w:val="18"/>
                <w:szCs w:val="18"/>
              </w:rPr>
            </w:pPr>
            <w:r>
              <w:rPr>
                <w:sz w:val="18"/>
                <w:szCs w:val="18"/>
              </w:rPr>
              <w:t>实验</w:t>
            </w:r>
          </w:p>
        </w:tc>
        <w:tc>
          <w:tcPr>
            <w:tcW w:w="567" w:type="dxa"/>
            <w:vAlign w:val="center"/>
          </w:tcPr>
          <w:p>
            <w:pPr>
              <w:jc w:val="center"/>
              <w:rPr>
                <w:sz w:val="18"/>
                <w:szCs w:val="18"/>
              </w:rPr>
            </w:pPr>
            <w:r>
              <w:rPr>
                <w:sz w:val="18"/>
                <w:szCs w:val="18"/>
              </w:rPr>
              <w:t>0.7</w:t>
            </w:r>
          </w:p>
        </w:tc>
        <w:tc>
          <w:tcPr>
            <w:tcW w:w="3402" w:type="dxa"/>
            <w:vAlign w:val="center"/>
          </w:tcPr>
          <w:p>
            <w:pPr>
              <w:jc w:val="left"/>
              <w:rPr>
                <w:sz w:val="18"/>
                <w:szCs w:val="18"/>
              </w:rPr>
            </w:pPr>
            <w:r>
              <w:rPr>
                <w:sz w:val="18"/>
                <w:szCs w:val="18"/>
              </w:rPr>
              <w:t>实验</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分，按比例计入课程总评成绩；主要考核学生的实验完成</w:t>
            </w:r>
            <w:r>
              <w:rPr>
                <w:rFonts w:hint="eastAsia"/>
                <w:sz w:val="18"/>
                <w:szCs w:val="18"/>
              </w:rPr>
              <w:t>结果</w:t>
            </w:r>
            <w:r>
              <w:rPr>
                <w:sz w:val="18"/>
                <w:szCs w:val="18"/>
              </w:rPr>
              <w:t>及实验报告质量。</w:t>
            </w:r>
          </w:p>
        </w:tc>
        <w:tc>
          <w:tcPr>
            <w:tcW w:w="992" w:type="dxa"/>
            <w:vAlign w:val="center"/>
          </w:tcPr>
          <w:p>
            <w:pPr>
              <w:jc w:val="left"/>
              <w:rPr>
                <w:sz w:val="18"/>
                <w:szCs w:val="18"/>
              </w:rPr>
            </w:pPr>
            <w:r>
              <w:rPr>
                <w:sz w:val="18"/>
                <w:szCs w:val="18"/>
              </w:rPr>
              <w:t>1，2</w:t>
            </w:r>
          </w:p>
        </w:tc>
        <w:tc>
          <w:tcPr>
            <w:tcW w:w="993" w:type="dxa"/>
            <w:vAlign w:val="center"/>
          </w:tcPr>
          <w:p>
            <w:pPr>
              <w:jc w:val="left"/>
              <w:rPr>
                <w:sz w:val="18"/>
                <w:szCs w:val="18"/>
              </w:rPr>
            </w:pPr>
            <w:r>
              <w:rPr>
                <w:rFonts w:hint="eastAsia"/>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643" w:type="dxa"/>
            <w:vAlign w:val="center"/>
          </w:tcPr>
          <w:p>
            <w:pPr>
              <w:rPr>
                <w:sz w:val="18"/>
                <w:szCs w:val="18"/>
              </w:rPr>
            </w:pPr>
            <w:r>
              <w:rPr>
                <w:sz w:val="18"/>
                <w:szCs w:val="18"/>
              </w:rPr>
              <w:t>期末</w:t>
            </w:r>
          </w:p>
          <w:p>
            <w:pPr>
              <w:rPr>
                <w:sz w:val="18"/>
                <w:szCs w:val="18"/>
              </w:rPr>
            </w:pPr>
            <w:r>
              <w:rPr>
                <w:sz w:val="18"/>
                <w:szCs w:val="18"/>
              </w:rPr>
              <w:t>考试</w:t>
            </w:r>
          </w:p>
          <w:p>
            <w:pPr>
              <w:rPr>
                <w:sz w:val="18"/>
                <w:szCs w:val="18"/>
              </w:rPr>
            </w:pPr>
            <w:r>
              <w:rPr>
                <w:sz w:val="18"/>
                <w:szCs w:val="18"/>
              </w:rPr>
              <w:t>成绩</w:t>
            </w:r>
          </w:p>
        </w:tc>
        <w:tc>
          <w:tcPr>
            <w:tcW w:w="599"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0.4</w:t>
            </w:r>
          </w:p>
        </w:tc>
        <w:tc>
          <w:tcPr>
            <w:tcW w:w="709" w:type="dxa"/>
            <w:vAlign w:val="center"/>
          </w:tcPr>
          <w:p>
            <w:pPr>
              <w:jc w:val="center"/>
              <w:rPr>
                <w:sz w:val="18"/>
                <w:szCs w:val="18"/>
              </w:rPr>
            </w:pPr>
            <w:r>
              <w:rPr>
                <w:rFonts w:hint="eastAsia"/>
                <w:sz w:val="18"/>
                <w:szCs w:val="18"/>
              </w:rPr>
              <w:t>研究</w:t>
            </w:r>
            <w:r>
              <w:rPr>
                <w:sz w:val="18"/>
                <w:szCs w:val="18"/>
              </w:rPr>
              <w:t>报告</w:t>
            </w:r>
          </w:p>
        </w:tc>
        <w:tc>
          <w:tcPr>
            <w:tcW w:w="567" w:type="dxa"/>
            <w:vAlign w:val="center"/>
          </w:tcPr>
          <w:p>
            <w:pPr>
              <w:jc w:val="center"/>
              <w:rPr>
                <w:sz w:val="18"/>
                <w:szCs w:val="18"/>
              </w:rPr>
            </w:pPr>
            <w:r>
              <w:rPr>
                <w:sz w:val="18"/>
                <w:szCs w:val="18"/>
              </w:rPr>
              <w:t>1</w:t>
            </w:r>
          </w:p>
        </w:tc>
        <w:tc>
          <w:tcPr>
            <w:tcW w:w="3402" w:type="dxa"/>
            <w:vAlign w:val="center"/>
          </w:tcPr>
          <w:p>
            <w:pPr>
              <w:jc w:val="left"/>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w:t>
            </w:r>
            <w:r>
              <w:rPr>
                <w:rFonts w:hint="eastAsia"/>
                <w:sz w:val="18"/>
                <w:szCs w:val="18"/>
              </w:rPr>
              <w:t>研究</w:t>
            </w:r>
            <w:r>
              <w:rPr>
                <w:sz w:val="18"/>
                <w:szCs w:val="18"/>
              </w:rPr>
              <w:t>报告完成质量：包括选题是否合适</w:t>
            </w:r>
            <w:r>
              <w:rPr>
                <w:rFonts w:hint="eastAsia"/>
                <w:sz w:val="18"/>
                <w:szCs w:val="18"/>
              </w:rPr>
              <w:t>、</w:t>
            </w:r>
            <w:r>
              <w:rPr>
                <w:sz w:val="18"/>
                <w:szCs w:val="18"/>
              </w:rPr>
              <w:t>内容是否详实</w:t>
            </w:r>
            <w:r>
              <w:rPr>
                <w:rFonts w:hint="eastAsia"/>
                <w:sz w:val="18"/>
                <w:szCs w:val="18"/>
              </w:rPr>
              <w:t>和</w:t>
            </w:r>
            <w:r>
              <w:rPr>
                <w:sz w:val="18"/>
                <w:szCs w:val="18"/>
              </w:rPr>
              <w:t>格式是否规范等。</w:t>
            </w:r>
          </w:p>
        </w:tc>
        <w:tc>
          <w:tcPr>
            <w:tcW w:w="992" w:type="dxa"/>
            <w:vAlign w:val="center"/>
          </w:tcPr>
          <w:p>
            <w:pPr>
              <w:jc w:val="left"/>
              <w:rPr>
                <w:sz w:val="18"/>
                <w:szCs w:val="18"/>
              </w:rPr>
            </w:pPr>
            <w:r>
              <w:rPr>
                <w:sz w:val="18"/>
                <w:szCs w:val="18"/>
              </w:rPr>
              <w:t>1，2，3</w:t>
            </w:r>
          </w:p>
        </w:tc>
        <w:tc>
          <w:tcPr>
            <w:tcW w:w="993" w:type="dxa"/>
            <w:vAlign w:val="center"/>
          </w:tcPr>
          <w:p>
            <w:pPr>
              <w:jc w:val="left"/>
              <w:rPr>
                <w:sz w:val="18"/>
                <w:szCs w:val="18"/>
              </w:rPr>
            </w:pPr>
            <w:r>
              <w:rPr>
                <w:rFonts w:hint="eastAsia"/>
                <w:sz w:val="18"/>
                <w:szCs w:val="18"/>
              </w:rPr>
              <w:t>2，4</w:t>
            </w:r>
          </w:p>
        </w:tc>
      </w:tr>
    </w:tbl>
    <w:p>
      <w:pPr>
        <w:snapToGrid w:val="0"/>
        <w:spacing w:before="156" w:beforeLines="50" w:after="156" w:afterLines="50" w:line="300" w:lineRule="auto"/>
        <w:rPr>
          <w:b/>
          <w:sz w:val="24"/>
        </w:rPr>
      </w:pPr>
      <w:r>
        <w:rPr>
          <w:b/>
          <w:sz w:val="24"/>
        </w:rPr>
        <w:t>六、课程教学目标达成度评价</w:t>
      </w:r>
    </w:p>
    <w:p>
      <w:pPr>
        <w:snapToGrid w:val="0"/>
        <w:spacing w:before="6" w:line="300" w:lineRule="auto"/>
        <w:ind w:right="270" w:firstLine="420" w:firstLineChars="200"/>
        <w:rPr>
          <w:szCs w:val="21"/>
        </w:rPr>
      </w:pPr>
      <w:r>
        <w:rPr>
          <w:szCs w:val="21"/>
        </w:rPr>
        <w:t>1</w:t>
      </w:r>
      <w:r>
        <w:rPr>
          <w:kern w:val="0"/>
          <w:szCs w:val="21"/>
        </w:rPr>
        <w:t>．</w:t>
      </w:r>
      <w:r>
        <w:rPr>
          <w:szCs w:val="21"/>
        </w:rPr>
        <w:t>达成度评价依据和方法：</w:t>
      </w:r>
    </w:p>
    <w:p>
      <w:pPr>
        <w:snapToGrid w:val="0"/>
        <w:spacing w:before="6" w:line="300" w:lineRule="auto"/>
        <w:ind w:right="270" w:firstLine="420" w:firstLineChars="200"/>
        <w:rPr>
          <w:szCs w:val="21"/>
        </w:rPr>
      </w:pPr>
      <w:r>
        <w:rPr>
          <w:szCs w:val="21"/>
        </w:rPr>
        <w:t>课程目标评价方式：课程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公式如</w:t>
      </w:r>
      <w:r>
        <w:rPr>
          <w:szCs w:val="21"/>
        </w:rPr>
        <w:t>下：</w:t>
      </w:r>
    </w:p>
    <w:p>
      <w:pPr>
        <w:snapToGrid w:val="0"/>
        <w:spacing w:line="300" w:lineRule="auto"/>
        <w:jc w:val="center"/>
      </w:pPr>
      <w:r>
        <w:rPr>
          <w:position w:val="-26"/>
        </w:rPr>
        <w:object>
          <v:shape id="_x0000_i1154" o:spt="75" type="#_x0000_t75" style="height:29.25pt;width:361.5pt;" o:ole="t" filled="f" o:preferrelative="t" stroked="f" coordsize="21600,21600">
            <v:path/>
            <v:fill on="f" focussize="0,0"/>
            <v:stroke on="f" joinstyle="miter"/>
            <v:imagedata r:id="rId36" o:title=""/>
            <o:lock v:ext="edit" aspectratio="t"/>
            <w10:wrap type="none"/>
            <w10:anchorlock/>
          </v:shape>
          <o:OLEObject Type="Embed" ProgID="Equation.3" ShapeID="_x0000_i1154" DrawAspect="Content" ObjectID="_1468075852" r:id="rId175">
            <o:LockedField>false</o:LockedField>
          </o:OLEObject>
        </w:object>
      </w:r>
    </w:p>
    <w:p>
      <w:pPr>
        <w:snapToGrid w:val="0"/>
        <w:spacing w:before="70" w:line="300"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为3</w:t>
      </w:r>
      <w:r>
        <w:rPr>
          <w:spacing w:val="-2"/>
          <w:position w:val="-1"/>
          <w:szCs w:val="21"/>
        </w:rPr>
        <w:t>个</w:t>
      </w:r>
      <w:r>
        <w:rPr>
          <w:position w:val="-1"/>
          <w:szCs w:val="21"/>
        </w:rPr>
        <w:t>课程分</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napToGrid w:val="0"/>
        <w:spacing w:before="72" w:line="300" w:lineRule="auto"/>
        <w:ind w:right="-20"/>
        <w:jc w:val="center"/>
        <w:rPr>
          <w:szCs w:val="21"/>
        </w:rPr>
      </w:pPr>
      <w:r>
        <w:object>
          <v:shape id="_x0000_i1155" o:spt="75" type="#_x0000_t75" style="height:18pt;width:300pt;" o:ole="t" filled="f" o:preferrelative="t" stroked="f" coordsize="21600,21600">
            <v:path/>
            <v:fill on="f" focussize="0,0"/>
            <v:stroke on="f" joinstyle="miter"/>
            <v:imagedata r:id="rId38" o:title=""/>
            <o:lock v:ext="edit" aspectratio="t"/>
            <w10:wrap type="none"/>
            <w10:anchorlock/>
          </v:shape>
          <o:OLEObject Type="Embed" ProgID="Equation.DSMT4" ShapeID="_x0000_i1155" DrawAspect="Content" ObjectID="_1468075853" r:id="rId176">
            <o:LockedField>false</o:LockedField>
          </o:OLEObject>
        </w:object>
      </w:r>
    </w:p>
    <w:p>
      <w:pPr>
        <w:snapToGrid w:val="0"/>
        <w:spacing w:before="156" w:line="300" w:lineRule="auto"/>
        <w:rPr>
          <w:b/>
          <w:kern w:val="0"/>
          <w:sz w:val="18"/>
          <w:szCs w:val="18"/>
        </w:rPr>
      </w:pPr>
      <w:r>
        <w:t>其中权重系数按照表6设定。</w:t>
      </w:r>
    </w:p>
    <w:p>
      <w:pPr>
        <w:widowControl/>
        <w:tabs>
          <w:tab w:val="left" w:pos="426"/>
          <w:tab w:val="left" w:pos="5245"/>
          <w:tab w:val="left" w:pos="5387"/>
        </w:tabs>
        <w:spacing w:before="156" w:beforeLines="50" w:line="300" w:lineRule="auto"/>
        <w:jc w:val="center"/>
        <w:rPr>
          <w:b/>
          <w:kern w:val="0"/>
          <w:sz w:val="18"/>
          <w:szCs w:val="18"/>
        </w:rPr>
      </w:pPr>
      <w:r>
        <w:rPr>
          <w:b/>
          <w:kern w:val="0"/>
          <w:sz w:val="18"/>
          <w:szCs w:val="18"/>
        </w:rPr>
        <w:t>表6 课程目标权重系数</w:t>
      </w:r>
    </w:p>
    <w:tbl>
      <w:tblPr>
        <w:tblStyle w:val="22"/>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2082"/>
        <w:gridCol w:w="2083"/>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1" w:type="dxa"/>
          </w:tcPr>
          <w:p>
            <w:pPr>
              <w:spacing w:line="288" w:lineRule="exact"/>
              <w:ind w:right="-20"/>
              <w:jc w:val="center"/>
              <w:rPr>
                <w:b/>
                <w:szCs w:val="21"/>
              </w:rPr>
            </w:pPr>
            <w:r>
              <w:rPr>
                <w:b/>
                <w:szCs w:val="21"/>
              </w:rPr>
              <w:t>课程目标</w:t>
            </w:r>
          </w:p>
        </w:tc>
        <w:tc>
          <w:tcPr>
            <w:tcW w:w="2082" w:type="dxa"/>
          </w:tcPr>
          <w:p>
            <w:pPr>
              <w:spacing w:line="288" w:lineRule="exact"/>
              <w:ind w:right="-20"/>
              <w:jc w:val="center"/>
              <w:rPr>
                <w:szCs w:val="21"/>
              </w:rPr>
            </w:pPr>
            <w:r>
              <w:rPr>
                <w:szCs w:val="21"/>
              </w:rPr>
              <w:t>1</w:t>
            </w:r>
          </w:p>
        </w:tc>
        <w:tc>
          <w:tcPr>
            <w:tcW w:w="2083" w:type="dxa"/>
          </w:tcPr>
          <w:p>
            <w:pPr>
              <w:spacing w:line="288" w:lineRule="exact"/>
              <w:ind w:right="-20"/>
              <w:jc w:val="center"/>
              <w:rPr>
                <w:szCs w:val="21"/>
              </w:rPr>
            </w:pPr>
            <w:r>
              <w:rPr>
                <w:szCs w:val="21"/>
              </w:rPr>
              <w:t>2</w:t>
            </w:r>
          </w:p>
        </w:tc>
        <w:tc>
          <w:tcPr>
            <w:tcW w:w="1955" w:type="dxa"/>
          </w:tcPr>
          <w:p>
            <w:pPr>
              <w:spacing w:line="288" w:lineRule="exact"/>
              <w:ind w:right="-2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tcPr>
          <w:p>
            <w:pPr>
              <w:spacing w:line="288" w:lineRule="exact"/>
              <w:ind w:right="-20"/>
              <w:jc w:val="center"/>
              <w:rPr>
                <w:b/>
                <w:szCs w:val="21"/>
              </w:rPr>
            </w:pPr>
            <w:r>
              <w:rPr>
                <w:b/>
                <w:szCs w:val="21"/>
              </w:rPr>
              <w:t>权重系数</w:t>
            </w:r>
          </w:p>
        </w:tc>
        <w:tc>
          <w:tcPr>
            <w:tcW w:w="2082" w:type="dxa"/>
          </w:tcPr>
          <w:p>
            <w:pPr>
              <w:spacing w:line="288" w:lineRule="exact"/>
              <w:ind w:right="-20"/>
              <w:jc w:val="center"/>
              <w:rPr>
                <w:szCs w:val="21"/>
              </w:rPr>
            </w:pPr>
            <w:r>
              <w:rPr>
                <w:szCs w:val="21"/>
              </w:rPr>
              <w:t>0.4</w:t>
            </w:r>
          </w:p>
        </w:tc>
        <w:tc>
          <w:tcPr>
            <w:tcW w:w="2083" w:type="dxa"/>
          </w:tcPr>
          <w:p>
            <w:pPr>
              <w:spacing w:line="288" w:lineRule="exact"/>
              <w:ind w:right="-20"/>
              <w:jc w:val="center"/>
              <w:rPr>
                <w:szCs w:val="21"/>
              </w:rPr>
            </w:pPr>
            <w:r>
              <w:rPr>
                <w:szCs w:val="21"/>
              </w:rPr>
              <w:t>0.4</w:t>
            </w:r>
          </w:p>
        </w:tc>
        <w:tc>
          <w:tcPr>
            <w:tcW w:w="1955" w:type="dxa"/>
          </w:tcPr>
          <w:p>
            <w:pPr>
              <w:spacing w:line="288" w:lineRule="exact"/>
              <w:ind w:right="-20"/>
              <w:jc w:val="center"/>
              <w:rPr>
                <w:szCs w:val="21"/>
              </w:rPr>
            </w:pPr>
            <w:r>
              <w:rPr>
                <w:szCs w:val="21"/>
              </w:rPr>
              <w:t>0.2</w:t>
            </w:r>
          </w:p>
        </w:tc>
      </w:tr>
    </w:tbl>
    <w:p>
      <w:pPr>
        <w:spacing w:before="9" w:line="40" w:lineRule="exact"/>
        <w:rPr>
          <w:sz w:val="4"/>
          <w:szCs w:val="4"/>
          <w:highlight w:val="yellow"/>
        </w:rPr>
      </w:pPr>
    </w:p>
    <w:p>
      <w:pPr>
        <w:widowControl/>
        <w:snapToGrid w:val="0"/>
        <w:spacing w:line="300" w:lineRule="auto"/>
        <w:ind w:firstLine="420" w:firstLineChars="200"/>
        <w:rPr>
          <w:kern w:val="0"/>
          <w:szCs w:val="21"/>
        </w:rPr>
      </w:pPr>
      <w:r>
        <w:rPr>
          <w:kern w:val="0"/>
          <w:szCs w:val="21"/>
        </w:rPr>
        <w:t>课程毕业要求指标点达成情况评价：</w:t>
      </w:r>
    </w:p>
    <w:p>
      <w:pPr>
        <w:widowControl/>
        <w:snapToGrid w:val="0"/>
        <w:spacing w:line="300" w:lineRule="auto"/>
        <w:ind w:firstLine="420" w:firstLineChars="200"/>
        <w:rPr>
          <w:kern w:val="0"/>
          <w:szCs w:val="21"/>
        </w:rPr>
      </w:pPr>
      <w:r>
        <w:rPr>
          <w:kern w:val="0"/>
          <w:szCs w:val="21"/>
        </w:rPr>
        <w:t>课程支撑毕业要求指标点的达成情况为对应的课程目标达成情况的加权值，其计算公式为：</w:t>
      </w:r>
    </w:p>
    <w:p>
      <w:pPr>
        <w:widowControl/>
        <w:snapToGrid w:val="0"/>
        <w:spacing w:line="300" w:lineRule="auto"/>
        <w:ind w:firstLine="420" w:firstLineChars="200"/>
        <w:rPr>
          <w:kern w:val="0"/>
          <w:szCs w:val="21"/>
        </w:rPr>
      </w:pPr>
      <w:r>
        <w:rPr>
          <w:kern w:val="0"/>
          <w:szCs w:val="21"/>
        </w:rPr>
        <w:object>
          <v:shape id="_x0000_i1156"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56" DrawAspect="Content" ObjectID="_1468075854" r:id="rId177">
            <o:LockedField>false</o:LockedField>
          </o:OLEObject>
        </w:object>
      </w:r>
    </w:p>
    <w:p>
      <w:pPr>
        <w:widowControl/>
        <w:snapToGrid w:val="0"/>
        <w:spacing w:line="300" w:lineRule="auto"/>
        <w:ind w:firstLine="420" w:firstLineChars="200"/>
        <w:rPr>
          <w:kern w:val="0"/>
          <w:szCs w:val="21"/>
        </w:rPr>
      </w:pPr>
      <w:r>
        <w:rPr>
          <w:kern w:val="0"/>
          <w:szCs w:val="21"/>
        </w:rPr>
        <w:t>2．课程总结要求：</w:t>
      </w:r>
    </w:p>
    <w:p>
      <w:pPr>
        <w:widowControl/>
        <w:snapToGrid w:val="0"/>
        <w:spacing w:line="300" w:lineRule="auto"/>
        <w:ind w:firstLine="420" w:firstLineChars="200"/>
        <w:rPr>
          <w:rFonts w:ascii="Times New Roman" w:hAnsi="Times New Roman" w:eastAsia="宋体" w:cs="Times New Roman"/>
          <w:kern w:val="0"/>
          <w:szCs w:val="21"/>
        </w:rPr>
      </w:pPr>
      <w:r>
        <w:rPr>
          <w:kern w:val="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bCs/>
          <w:sz w:val="24"/>
        </w:rPr>
      </w:pPr>
      <w:r>
        <w:rPr>
          <w:rFonts w:ascii="Times New Roman" w:hAnsi="Times New Roman" w:eastAsia="宋体" w:cs="Times New Roman"/>
          <w:b/>
          <w:bCs/>
          <w:sz w:val="24"/>
        </w:rPr>
        <w:t>七、</w:t>
      </w:r>
      <w:r>
        <w:rPr>
          <w:rFonts w:ascii="Times New Roman" w:hAnsi="Times New Roman" w:eastAsia="宋体" w:cs="Times New Roman"/>
          <w:b/>
          <w:sz w:val="24"/>
        </w:rPr>
        <w:t>教材及参考资料</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 教材</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 周润景，模式识别与人工智能（基于MATLAB）[M]，北京：清华大学出版社，2018.7</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 参考资料</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 董爱美，模式识别研究及应用[M]，北京：清华大学出版社，2014.12</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 尚文倩，人工智能[M]，北京：清华大学出版社，2017.7</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 邹阿金，张雨浓，基函数神经网络及应用[M]，广州：中山大学出版社，2009.04</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 网站</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r>
        <w:fldChar w:fldCharType="begin"/>
      </w:r>
      <w:r>
        <w:instrText xml:space="preserve"> HYPERLINK "http://www.tup.tsinghua.edu.cn/bookscenter/book_07680201.html" </w:instrText>
      </w:r>
      <w:r>
        <w:fldChar w:fldCharType="separate"/>
      </w:r>
      <w:r>
        <w:rPr>
          <w:rFonts w:ascii="Times New Roman" w:hAnsi="Times New Roman" w:eastAsia="宋体" w:cs="Times New Roman"/>
          <w:kern w:val="0"/>
          <w:szCs w:val="21"/>
          <w:u w:val="single"/>
        </w:rPr>
        <w:t>http://www.tup.tsinghua.edu.cn/bookscenter/book_07680201.html#</w:t>
      </w:r>
      <w:r>
        <w:rPr>
          <w:rFonts w:ascii="Times New Roman" w:hAnsi="Times New Roman" w:eastAsia="宋体" w:cs="Times New Roman"/>
          <w:kern w:val="0"/>
          <w:szCs w:val="21"/>
          <w:u w:val="single"/>
        </w:rPr>
        <w:fldChar w:fldCharType="end"/>
      </w:r>
    </w:p>
    <w:tbl>
      <w:tblPr>
        <w:tblStyle w:val="22"/>
        <w:tblpPr w:leftFromText="180" w:rightFromText="180" w:vertAnchor="text" w:horzAnchor="margin" w:tblpX="-39" w:tblpY="266"/>
        <w:tblW w:w="8472" w:type="dxa"/>
        <w:tblInd w:w="0" w:type="dxa"/>
        <w:tblLayout w:type="fixed"/>
        <w:tblCellMar>
          <w:top w:w="0" w:type="dxa"/>
          <w:left w:w="108" w:type="dxa"/>
          <w:bottom w:w="0" w:type="dxa"/>
          <w:right w:w="108" w:type="dxa"/>
        </w:tblCellMar>
      </w:tblPr>
      <w:tblGrid>
        <w:gridCol w:w="8472"/>
      </w:tblGrid>
      <w:tr>
        <w:trPr>
          <w:trHeight w:val="283" w:hRule="atLeast"/>
        </w:trPr>
        <w:tc>
          <w:tcPr>
            <w:tcW w:w="8472" w:type="dxa"/>
          </w:tcPr>
          <w:p>
            <w:pPr>
              <w:snapToGrid w:val="0"/>
              <w:spacing w:line="300" w:lineRule="auto"/>
              <w:ind w:right="630" w:firstLine="424" w:firstLineChars="202"/>
              <w:jc w:val="right"/>
              <w:rPr>
                <w:rFonts w:ascii="Times New Roman" w:hAnsi="Times New Roman" w:eastAsia="宋体" w:cs="Times New Roman"/>
                <w:szCs w:val="21"/>
              </w:rPr>
            </w:pPr>
            <w:r>
              <w:rPr>
                <w:rFonts w:ascii="Times New Roman" w:hAnsi="Times New Roman" w:eastAsia="宋体" w:cs="Times New Roman"/>
                <w:szCs w:val="21"/>
              </w:rPr>
              <w:t>审定人：王骥</w:t>
            </w:r>
          </w:p>
        </w:tc>
      </w:tr>
      <w:tr>
        <w:tblPrEx>
          <w:tblCellMar>
            <w:top w:w="0" w:type="dxa"/>
            <w:left w:w="108" w:type="dxa"/>
            <w:bottom w:w="0" w:type="dxa"/>
            <w:right w:w="108" w:type="dxa"/>
          </w:tblCellMar>
        </w:tblPrEx>
        <w:trPr>
          <w:trHeight w:val="401" w:hRule="atLeast"/>
        </w:trPr>
        <w:tc>
          <w:tcPr>
            <w:tcW w:w="8472" w:type="dxa"/>
          </w:tcPr>
          <w:p>
            <w:pPr>
              <w:snapToGrid w:val="0"/>
              <w:spacing w:line="300" w:lineRule="auto"/>
              <w:ind w:right="420"/>
              <w:jc w:val="right"/>
              <w:rPr>
                <w:rFonts w:ascii="Times New Roman" w:hAnsi="Times New Roman" w:eastAsia="宋体" w:cs="Times New Roman"/>
                <w:szCs w:val="21"/>
              </w:rPr>
            </w:pPr>
            <w:r>
              <w:rPr>
                <w:rFonts w:ascii="Times New Roman" w:hAnsi="Times New Roman" w:eastAsia="宋体" w:cs="Times New Roman"/>
                <w:szCs w:val="21"/>
              </w:rPr>
              <w:t>批准人：张炎生</w:t>
            </w:r>
          </w:p>
        </w:tc>
      </w:tr>
      <w:tr>
        <w:trPr>
          <w:trHeight w:val="658" w:hRule="atLeast"/>
        </w:trPr>
        <w:tc>
          <w:tcPr>
            <w:tcW w:w="8472" w:type="dxa"/>
          </w:tcPr>
          <w:p>
            <w:pPr>
              <w:wordWrap w:val="0"/>
              <w:snapToGrid w:val="0"/>
              <w:spacing w:line="300" w:lineRule="auto"/>
              <w:ind w:right="210"/>
              <w:jc w:val="right"/>
              <w:rPr>
                <w:rFonts w:ascii="Times New Roman" w:hAnsi="Times New Roman" w:eastAsia="宋体" w:cs="Times New Roman"/>
                <w:szCs w:val="21"/>
              </w:rPr>
            </w:pPr>
            <w:r>
              <w:rPr>
                <w:rFonts w:ascii="Times New Roman" w:hAnsi="Times New Roman" w:eastAsia="宋体"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 xml:space="preserve">      </w:t>
            </w:r>
          </w:p>
        </w:tc>
      </w:tr>
    </w:tbl>
    <w:p/>
    <w:p/>
    <w:p/>
    <w:p>
      <w:pPr>
        <w:keepNext/>
        <w:keepLines/>
        <w:spacing w:before="260" w:after="260" w:line="413" w:lineRule="auto"/>
        <w:jc w:val="center"/>
        <w:outlineLvl w:val="3"/>
        <w:rPr>
          <w:rFonts w:ascii="Times New Roman" w:hAnsi="Times New Roman" w:cs="Times New Roman" w:eastAsiaTheme="majorEastAsia"/>
          <w:b/>
          <w:bCs/>
          <w:sz w:val="32"/>
          <w:szCs w:val="32"/>
        </w:rPr>
      </w:pPr>
      <w:r>
        <w:br w:type="page"/>
      </w:r>
      <w:bookmarkEnd w:id="206"/>
      <w:bookmarkEnd w:id="207"/>
      <w:bookmarkStart w:id="209" w:name="_Toc18174"/>
      <w:bookmarkStart w:id="210" w:name="_Toc47718808"/>
      <w:bookmarkStart w:id="211" w:name="_Toc38126132"/>
      <w:bookmarkStart w:id="212" w:name="_Toc47774735"/>
      <w:bookmarkStart w:id="213" w:name="_Toc46489678"/>
      <w:bookmarkStart w:id="214" w:name="_Toc47719779"/>
      <w:r>
        <w:rPr>
          <w:rFonts w:ascii="Times New Roman" w:hAnsi="Times New Roman" w:cs="Times New Roman" w:eastAsiaTheme="majorEastAsia"/>
          <w:b/>
          <w:bCs/>
          <w:sz w:val="32"/>
          <w:szCs w:val="32"/>
        </w:rPr>
        <w:t>33452003《MATLAB语言与应用》课程教学大纲</w:t>
      </w:r>
      <w:bookmarkEnd w:id="209"/>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442"/>
        <w:gridCol w:w="1196"/>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2"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33452003</w:t>
            </w:r>
          </w:p>
        </w:tc>
        <w:tc>
          <w:tcPr>
            <w:tcW w:w="1196"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MATLAB语言与应用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2"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专业类</w:t>
            </w:r>
          </w:p>
        </w:tc>
        <w:tc>
          <w:tcPr>
            <w:tcW w:w="1196"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szCs w:val="21"/>
              </w:rPr>
              <w:t>MATLAB Language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2"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bCs/>
                <w:kern w:val="0"/>
                <w:szCs w:val="21"/>
              </w:rPr>
              <w:t>2</w:t>
            </w:r>
            <w:r>
              <w:rPr>
                <w:rFonts w:ascii="Times New Roman" w:hAnsi="Times New Roman" w:eastAsia="宋体" w:cs="Times New Roman"/>
                <w:bCs/>
                <w:kern w:val="0"/>
                <w:szCs w:val="21"/>
              </w:rPr>
              <w:t xml:space="preserve">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32</w:t>
            </w:r>
            <w:r>
              <w:rPr>
                <w:rFonts w:ascii="Times New Roman" w:hAnsi="Times New Roman" w:eastAsia="宋体" w:cs="Times New Roman"/>
                <w:kern w:val="0"/>
                <w:szCs w:val="21"/>
              </w:rPr>
              <w:t>（16）</w:t>
            </w:r>
          </w:p>
        </w:tc>
        <w:tc>
          <w:tcPr>
            <w:tcW w:w="1196" w:type="dxa"/>
            <w:tcBorders>
              <w:tl2br w:val="nil"/>
              <w:tr2bl w:val="nil"/>
            </w:tcBorders>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tcBorders>
              <w:tl2br w:val="nil"/>
              <w:tr2bl w:val="nil"/>
            </w:tcBorders>
            <w:shd w:val="clear" w:color="auto" w:fill="auto"/>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邓锐、刘雯景、邹阿金等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2"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196" w:type="dxa"/>
            <w:tcBorders>
              <w:tl2br w:val="nil"/>
              <w:tr2bl w:val="nil"/>
            </w:tcBorders>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8"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2"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刘雯景</w:t>
            </w:r>
          </w:p>
        </w:tc>
        <w:tc>
          <w:tcPr>
            <w:tcW w:w="1196"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8"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2"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6" w:type="dxa"/>
            <w:tcBorders>
              <w:tl2br w:val="nil"/>
              <w:tr2bl w:val="nil"/>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2" w:type="dxa"/>
            <w:tcBorders>
              <w:tl2br w:val="nil"/>
              <w:tr2bl w:val="nil"/>
            </w:tcBorders>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高等数学、线性代数</w:t>
            </w:r>
          </w:p>
          <w:p>
            <w:pPr>
              <w:widowControl/>
              <w:jc w:val="center"/>
              <w:rPr>
                <w:rFonts w:ascii="Times New Roman" w:hAnsi="Times New Roman" w:eastAsia="宋体" w:cs="Times New Roman"/>
                <w:bCs/>
                <w:kern w:val="0"/>
                <w:szCs w:val="21"/>
              </w:rPr>
            </w:pPr>
            <w:r>
              <w:rPr>
                <w:rFonts w:ascii="Times New Roman" w:hAnsi="Times New Roman" w:eastAsia="宋体" w:cs="Times New Roman"/>
                <w:szCs w:val="21"/>
              </w:rPr>
              <w:t>C语言程序设计</w:t>
            </w:r>
          </w:p>
        </w:tc>
        <w:tc>
          <w:tcPr>
            <w:tcW w:w="1196" w:type="dxa"/>
            <w:tcBorders>
              <w:tl2br w:val="nil"/>
              <w:tr2bl w:val="nil"/>
            </w:tcBorders>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8" w:type="dxa"/>
            <w:tcBorders>
              <w:tl2br w:val="nil"/>
              <w:tr2bl w:val="nil"/>
            </w:tcBorders>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2"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6" w:type="dxa"/>
            <w:tcBorders>
              <w:tl2br w:val="nil"/>
              <w:tr2bl w:val="nil"/>
            </w:tcBorders>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tcBorders>
              <w:tl2br w:val="nil"/>
              <w:tr2bl w:val="nil"/>
            </w:tcBorders>
            <w:shd w:val="clear" w:color="auto" w:fill="auto"/>
            <w:vAlign w:val="center"/>
          </w:tcPr>
          <w:p>
            <w:pPr>
              <w:widowControl/>
              <w:jc w:val="center"/>
              <w:rPr>
                <w:rFonts w:ascii="Times New Roman" w:hAnsi="Times New Roman" w:eastAsia="宋体" w:cs="Times New Roman"/>
                <w:kern w:val="0"/>
                <w:szCs w:val="21"/>
              </w:rPr>
            </w:pPr>
            <w:r>
              <w:rPr>
                <w:rFonts w:hint="eastAsia"/>
                <w:kern w:val="0"/>
                <w:szCs w:val="21"/>
              </w:rPr>
              <w:t>2022.5.10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MATLAB语言及应用是电子与信息工程学院电类各个专业的专业</w:t>
      </w:r>
      <w:r>
        <w:rPr>
          <w:rFonts w:hint="eastAsia" w:ascii="Times New Roman" w:hAnsi="Times New Roman" w:eastAsia="宋体" w:cs="Times New Roman"/>
          <w:szCs w:val="21"/>
        </w:rPr>
        <w:t>限选</w:t>
      </w:r>
      <w:r>
        <w:rPr>
          <w:rFonts w:ascii="Times New Roman" w:hAnsi="Times New Roman" w:eastAsia="宋体" w:cs="Times New Roman"/>
          <w:szCs w:val="21"/>
        </w:rPr>
        <w:t>课，是一种基于矩阵运算、数值分析、绘图、以及模拟仿真的高级计算机语言，具有极强大的计算功能和极高的编程效率，特别适合于科学计算、数值分析、系统仿真和信号处理等任务。本课程主要</w:t>
      </w:r>
      <w:r>
        <w:rPr>
          <w:rFonts w:hint="eastAsia" w:ascii="Times New Roman" w:hAnsi="Times New Roman" w:eastAsia="宋体" w:cs="Times New Roman"/>
          <w:szCs w:val="21"/>
        </w:rPr>
        <w:t>介绍</w:t>
      </w:r>
      <w:r>
        <w:rPr>
          <w:rFonts w:ascii="Times New Roman" w:hAnsi="Times New Roman" w:eastAsia="宋体" w:cs="Times New Roman"/>
          <w:szCs w:val="21"/>
        </w:rPr>
        <w:t>矩阵运算、符号运算、程序设计方法、图形功能和理工科实际应用等内容，</w:t>
      </w:r>
      <w:r>
        <w:rPr>
          <w:rFonts w:hint="eastAsia" w:ascii="Times New Roman" w:hAnsi="Times New Roman" w:eastAsia="宋体" w:cs="Times New Roman"/>
          <w:szCs w:val="21"/>
        </w:rPr>
        <w:t>以上机实验为主，使学生通过编程实例掌握MATLAB语言的编程基础和技巧。MATLAB</w:t>
      </w:r>
      <w:r>
        <w:rPr>
          <w:rFonts w:ascii="Times New Roman" w:hAnsi="Times New Roman" w:eastAsia="宋体" w:cs="Times New Roman"/>
          <w:szCs w:val="21"/>
        </w:rPr>
        <w:t>已逐渐成为线性代数、信号与系统、数字信号处理、数字图像处理等课程的基本教学工具</w:t>
      </w:r>
      <w:r>
        <w:rPr>
          <w:rFonts w:ascii="Times New Roman" w:hAnsi="Times New Roman" w:eastAsia="宋体" w:cs="Times New Roman"/>
        </w:rPr>
        <w:t>。</w:t>
      </w:r>
      <w:r>
        <w:rPr>
          <w:rFonts w:ascii="Times New Roman" w:hAnsi="Times New Roman" w:eastAsia="宋体" w:cs="Times New Roman"/>
          <w:szCs w:val="21"/>
        </w:rPr>
        <w:t>通过本课程的学习，</w:t>
      </w:r>
      <w:r>
        <w:rPr>
          <w:rFonts w:hint="eastAsia" w:ascii="Times New Roman" w:hAnsi="Times New Roman" w:eastAsia="宋体" w:cs="Times New Roman"/>
          <w:szCs w:val="21"/>
        </w:rPr>
        <w:t>可以使得本专业学生掌握MATLAB这一现代的科学计算和系统仿真语言的基本编程思想和方法，并利用MATLAB对所学基础课程进行上机模拟实验和数值计算，从而通过MATLAB编程实验来验证和巩固所学的数学和工程理论</w:t>
      </w:r>
      <w:r>
        <w:rPr>
          <w:rFonts w:ascii="Times New Roman" w:hAnsi="Times New Roman" w:eastAsia="宋体" w:cs="Times New Roman"/>
          <w:szCs w:val="21"/>
        </w:rPr>
        <w:t>，为后续课程的学习、工程设计和科学研究打下基础。</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课程要求学生掌握MATLAB的矩阵运算、程序结构、脚本文件、函数文件、符号运算、数据可视化等基本知识。并能够熟练地将MATLAB应用于学习中，解决相关课程中的复杂的数学计算问题的目标，培养学生的学习能力，思维能力和创新能力，掌握专业技能和应用技能、具备专业素质和创新素质。上机操作是本课程重要的教学环节，学生只有通过上机实习，才能领会MATLAB中众多功能，才能达到熟练应用的程度。本课程将</w:t>
      </w:r>
      <w:r>
        <w:rPr>
          <w:rFonts w:hint="eastAsia" w:ascii="Times New Roman" w:hAnsi="Times New Roman" w:eastAsia="宋体" w:cs="Times New Roman"/>
          <w:kern w:val="0"/>
          <w:szCs w:val="21"/>
        </w:rPr>
        <w:t>绝大部分</w:t>
      </w:r>
      <w:r>
        <w:rPr>
          <w:rFonts w:ascii="Times New Roman" w:hAnsi="Times New Roman" w:eastAsia="宋体" w:cs="Times New Roman"/>
          <w:kern w:val="0"/>
          <w:szCs w:val="21"/>
        </w:rPr>
        <w:t>课时用于安排学生上机，在讲授课程的同时，学生可以边学习边上机实习。</w:t>
      </w:r>
      <w:r>
        <w:rPr>
          <w:rFonts w:hint="eastAsia" w:ascii="Times New Roman" w:hAnsi="Times New Roman" w:eastAsia="宋体" w:cs="Times New Roman"/>
          <w:b/>
          <w:kern w:val="0"/>
          <w:szCs w:val="21"/>
        </w:rPr>
        <w:t>讲授绪论时，介绍</w:t>
      </w:r>
      <w:r>
        <w:rPr>
          <w:rFonts w:ascii="Times New Roman" w:hAnsi="Times New Roman" w:eastAsia="宋体" w:cs="Times New Roman"/>
          <w:b/>
          <w:kern w:val="0"/>
          <w:szCs w:val="21"/>
        </w:rPr>
        <w:t>MATLAB</w:t>
      </w:r>
      <w:r>
        <w:rPr>
          <w:rFonts w:hint="eastAsia" w:ascii="Times New Roman" w:hAnsi="Times New Roman" w:eastAsia="宋体" w:cs="Times New Roman"/>
          <w:b/>
          <w:kern w:val="0"/>
          <w:szCs w:val="21"/>
        </w:rPr>
        <w:t>历史，学习科学家的工匠精神，植入国内著名软件公司的介绍，培养学生的爱国与担当精神。旨在培育学生创新精神，使学生的学习能力提升的同时，精神层面也得到升华。</w:t>
      </w:r>
      <w:r>
        <w:rPr>
          <w:rFonts w:ascii="Times New Roman" w:hAnsi="Times New Roman" w:eastAsia="宋体" w:cs="Times New Roman"/>
          <w:kern w:val="0"/>
          <w:szCs w:val="21"/>
        </w:rPr>
        <w:t xml:space="preserve">本课程的具体教学目标如下： </w:t>
      </w:r>
    </w:p>
    <w:p>
      <w:pPr>
        <w:widowControl/>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1．掌握MATLAB的数据类型、矩阵创建、矩阵运算、矩阵分析、三种程序结构、脚本文件、函数文件、MATLAB数值计算（包括多项式及运算、数据插值、数据拟合、数据统计和数值计算）、符号运算、数据可视化（包括二维曲线的绘制、二维特殊图形的绘制和三维曲线和曲面的绘制）等基本知识；[1</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p>
      <w:pPr>
        <w:widowControl/>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2. 掌握熟练的MATLAB程序编程技能，具有对实验数据进行分析，具有阐述对复杂工程问题的技术路线，实验方案、软件模块和存在的问题进行研究的能力； [4</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3]</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3．利用MATLAB软件，具备简单案例的独立编程能力，对于复杂工程问题进行数学模型分析、架构设计、数据结构设计、程序模块设计、采用M语言完成程序的编写，完成模拟或仿真的能力。[5</w:t>
      </w:r>
      <w:r>
        <w:rPr>
          <w:rFonts w:hint="eastAsia" w:ascii="Times New Roman" w:hAnsi="Times New Roman" w:eastAsia="宋体" w:cs="Times New Roman"/>
          <w:szCs w:val="21"/>
        </w:rPr>
        <w:t>.</w:t>
      </w:r>
      <w:r>
        <w:rPr>
          <w:rFonts w:ascii="Times New Roman" w:hAnsi="Times New Roman" w:eastAsia="宋体" w:cs="Times New Roman"/>
          <w:szCs w:val="21"/>
        </w:rPr>
        <w:t>2]</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6143"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5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1．工程知识</w:t>
            </w:r>
          </w:p>
        </w:tc>
        <w:tc>
          <w:tcPr>
            <w:tcW w:w="6143" w:type="dxa"/>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2掌握计算机、电子、信息、通信、测控及其它工程基础知识，并有效将其应用于电子信息领域工程问题的软硬件分析与设计</w:t>
            </w:r>
            <w:r>
              <w:rPr>
                <w:rFonts w:ascii="Times New Roman" w:hAnsi="Times New Roman" w:eastAsia="宋体" w:cs="Times New Roman"/>
                <w:szCs w:val="21"/>
              </w:rPr>
              <w:t>。</w:t>
            </w:r>
          </w:p>
        </w:tc>
        <w:tc>
          <w:tcPr>
            <w:tcW w:w="6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93"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4．研究</w:t>
            </w:r>
          </w:p>
        </w:tc>
        <w:tc>
          <w:tcPr>
            <w:tcW w:w="6143"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sz w:val="18"/>
                <w:szCs w:val="18"/>
              </w:rPr>
              <w:t>.</w:t>
            </w:r>
            <w:r>
              <w:rPr>
                <w:rFonts w:ascii="Times New Roman" w:hAnsi="Times New Roman" w:eastAsia="宋体" w:cs="Times New Roman"/>
                <w:sz w:val="18"/>
                <w:szCs w:val="18"/>
              </w:rPr>
              <w:t>3具有对实验数据进行分析、解释，并通过信息综合得到合理有效的结论的研究能力</w:t>
            </w:r>
          </w:p>
        </w:tc>
        <w:tc>
          <w:tcPr>
            <w:tcW w:w="6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93"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5．现代工具使用</w:t>
            </w:r>
          </w:p>
        </w:tc>
        <w:tc>
          <w:tcPr>
            <w:tcW w:w="6143"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Times New Roman" w:eastAsia="宋体" w:cs="Times New Roman"/>
                <w:sz w:val="18"/>
                <w:szCs w:val="18"/>
              </w:rPr>
              <w:t>.</w:t>
            </w:r>
            <w:r>
              <w:rPr>
                <w:rFonts w:ascii="Times New Roman" w:hAnsi="Times New Roman" w:eastAsia="宋体" w:cs="Times New Roman"/>
                <w:sz w:val="18"/>
                <w:szCs w:val="18"/>
              </w:rPr>
              <w:t>2具备使用实验设备、软件和现代工程工具对复杂工程问题进行模拟或仿真的能力，并能够理解其局限性。</w:t>
            </w:r>
          </w:p>
        </w:tc>
        <w:tc>
          <w:tcPr>
            <w:tcW w:w="6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199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199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掌握MATLAB的数据类型、矩阵创建、矩阵运算、矩阵分析、三种程序结构、脚本文件、函数文件、MATLAB数值计算（包括多项式及运算、数据插值、数据拟合、数据统计和数值计算）、符号运算、数据可视化（包括二维曲线的绘制、二维特殊图形的绘制和三维曲线和曲面的绘制）等基本知识。</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2.掌握熟练的MATLAB程序编程技能，具有对实验数据进行分析，具有阐述对复杂工程问题的技术路线，实验方案、软件模块和存在的问题进行研究的能力。</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3．利用MATLAB软件，具备简单案例的独立编程能力，对于复杂工程问题进行数学模型分析、架构设计、数据结构设计、程序模块设计、采用M语言完成程序的编写，完成模拟或仿真的能力。</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通过课堂讲授与学生学习（实验与仿真）等达成。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课堂讲授为主，网络多媒体教学、课程独立网站（含教学视频）以及“雨课堂”同步学习为辅，注重工程案例教学，与专业相关实践教学环节和场景配合呼应。</w:t>
      </w:r>
      <w:r>
        <w:rPr>
          <w:rFonts w:ascii="Times New Roman" w:hAnsi="Times New Roman" w:eastAsia="宋体" w:cs="Times New Roman"/>
          <w:szCs w:val="21"/>
        </w:rPr>
        <w:t>案例见教学内容部分。</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2．根据课程特点采用启发式教学、任务驱动教学、案例教学法进行教学方法创新；核心能力知识点采用“语法描述-编程分析-应用案例展示”相互呼应的教学模式。</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line="300" w:lineRule="auto"/>
        <w:ind w:firstLine="420" w:firstLineChars="200"/>
        <w:rPr>
          <w:rFonts w:ascii="Times New Roman" w:hAnsi="Times New Roman" w:eastAsia="宋体" w:cs="Times New Roman"/>
          <w:szCs w:val="21"/>
        </w:rPr>
      </w:pP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24"/>
        <w:gridCol w:w="4103"/>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90" w:type="dxa"/>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224" w:type="dxa"/>
            <w:vAlign w:val="center"/>
          </w:tcPr>
          <w:p>
            <w:pPr>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103"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224" w:type="dxa"/>
            <w:vAlign w:val="center"/>
          </w:tcPr>
          <w:p>
            <w:pPr>
              <w:tabs>
                <w:tab w:val="left" w:pos="0"/>
              </w:tabs>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0.绪论，</w:t>
            </w:r>
            <w:r>
              <w:rPr>
                <w:rFonts w:ascii="Times New Roman" w:hAnsi="Times New Roman" w:eastAsia="宋体" w:cs="Times New Roman"/>
                <w:b/>
                <w:sz w:val="18"/>
                <w:szCs w:val="18"/>
              </w:rPr>
              <w:t>课程思政：介绍MATLAB历史，学习科学家的工匠精神</w:t>
            </w:r>
          </w:p>
          <w:p>
            <w:pPr>
              <w:tabs>
                <w:tab w:val="left" w:pos="0"/>
              </w:tabs>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 MATLAB语言概述</w:t>
            </w:r>
          </w:p>
          <w:p>
            <w:pPr>
              <w:adjustRightInd w:val="0"/>
              <w:snapToGrid w:val="0"/>
              <w:spacing w:line="300" w:lineRule="auto"/>
              <w:ind w:firstLine="25"/>
              <w:rPr>
                <w:rFonts w:ascii="Times New Roman" w:hAnsi="Times New Roman" w:eastAsia="宋体" w:cs="Times New Roman"/>
                <w:bCs/>
                <w:sz w:val="18"/>
                <w:szCs w:val="18"/>
              </w:rPr>
            </w:pPr>
            <w:r>
              <w:rPr>
                <w:rFonts w:ascii="Times New Roman" w:hAnsi="Times New Roman" w:eastAsia="宋体" w:cs="Times New Roman"/>
                <w:bCs/>
                <w:sz w:val="18"/>
                <w:szCs w:val="18"/>
              </w:rPr>
              <w:t>1.1 MATLAB语言的发展</w:t>
            </w:r>
          </w:p>
          <w:p>
            <w:pPr>
              <w:adjustRightInd w:val="0"/>
              <w:snapToGrid w:val="0"/>
              <w:spacing w:line="300" w:lineRule="auto"/>
              <w:ind w:firstLine="25"/>
              <w:rPr>
                <w:rFonts w:ascii="Times New Roman" w:hAnsi="Times New Roman" w:eastAsia="宋体" w:cs="Times New Roman"/>
                <w:bCs/>
                <w:sz w:val="18"/>
                <w:szCs w:val="18"/>
              </w:rPr>
            </w:pPr>
            <w:r>
              <w:rPr>
                <w:rFonts w:ascii="Times New Roman" w:hAnsi="Times New Roman" w:eastAsia="宋体" w:cs="Times New Roman"/>
                <w:bCs/>
                <w:sz w:val="18"/>
                <w:szCs w:val="18"/>
              </w:rPr>
              <w:t>1.2 MATLAB语言的特点</w:t>
            </w:r>
          </w:p>
          <w:p>
            <w:pPr>
              <w:adjustRightInd w:val="0"/>
              <w:snapToGrid w:val="0"/>
              <w:spacing w:line="300" w:lineRule="auto"/>
              <w:ind w:firstLine="25"/>
              <w:rPr>
                <w:rFonts w:ascii="Times New Roman" w:hAnsi="Times New Roman" w:eastAsia="宋体" w:cs="Times New Roman"/>
                <w:bCs/>
                <w:sz w:val="18"/>
                <w:szCs w:val="18"/>
              </w:rPr>
            </w:pPr>
            <w:r>
              <w:rPr>
                <w:rFonts w:ascii="Times New Roman" w:hAnsi="Times New Roman" w:eastAsia="宋体" w:cs="Times New Roman"/>
                <w:bCs/>
                <w:sz w:val="18"/>
                <w:szCs w:val="18"/>
              </w:rPr>
              <w:t>1.3 MATLAB语言的环境</w:t>
            </w:r>
          </w:p>
          <w:p>
            <w:pPr>
              <w:adjustRightInd w:val="0"/>
              <w:snapToGrid w:val="0"/>
              <w:spacing w:line="300" w:lineRule="auto"/>
              <w:ind w:firstLine="25"/>
              <w:rPr>
                <w:rFonts w:ascii="Times New Roman" w:hAnsi="Times New Roman" w:eastAsia="宋体" w:cs="Times New Roman"/>
                <w:bCs/>
                <w:sz w:val="18"/>
                <w:szCs w:val="18"/>
              </w:rPr>
            </w:pPr>
            <w:r>
              <w:rPr>
                <w:rFonts w:ascii="Times New Roman" w:hAnsi="Times New Roman" w:eastAsia="宋体" w:cs="Times New Roman"/>
                <w:bCs/>
                <w:sz w:val="18"/>
                <w:szCs w:val="18"/>
              </w:rPr>
              <w:t>1.4 MATLAB的帮助系统</w:t>
            </w:r>
          </w:p>
          <w:p>
            <w:pPr>
              <w:adjustRightInd w:val="0"/>
              <w:snapToGrid w:val="0"/>
              <w:spacing w:line="300" w:lineRule="auto"/>
              <w:ind w:firstLine="25"/>
              <w:rPr>
                <w:rFonts w:ascii="Times New Roman" w:hAnsi="Times New Roman" w:eastAsia="宋体" w:cs="Times New Roman"/>
                <w:bCs/>
                <w:sz w:val="18"/>
                <w:szCs w:val="18"/>
              </w:rPr>
            </w:pPr>
            <w:r>
              <w:rPr>
                <w:rFonts w:ascii="Times New Roman" w:hAnsi="Times New Roman" w:eastAsia="宋体" w:cs="Times New Roman"/>
                <w:bCs/>
                <w:sz w:val="18"/>
                <w:szCs w:val="18"/>
              </w:rPr>
              <w:t>1.5 MATLAB的数据类型</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1.6 MATLAB的运算符</w:t>
            </w:r>
          </w:p>
        </w:tc>
        <w:tc>
          <w:tcPr>
            <w:tcW w:w="4103"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1.要求</w:t>
            </w:r>
          </w:p>
          <w:p>
            <w:pPr>
              <w:adjustRightInd w:val="0"/>
              <w:snapToGrid w:val="0"/>
              <w:spacing w:line="300" w:lineRule="auto"/>
              <w:ind w:right="-31" w:rightChars="-15"/>
              <w:rPr>
                <w:rFonts w:ascii="Times New Roman" w:hAnsi="Times New Roman" w:eastAsia="宋体" w:cs="Times New Roman"/>
                <w:bCs/>
                <w:sz w:val="18"/>
                <w:szCs w:val="18"/>
              </w:rPr>
            </w:pPr>
            <w:r>
              <w:rPr>
                <w:rFonts w:ascii="Times New Roman" w:hAnsi="Times New Roman" w:eastAsia="宋体" w:cs="Times New Roman"/>
                <w:bCs/>
                <w:sz w:val="18"/>
                <w:szCs w:val="18"/>
              </w:rPr>
              <w:t>（1）了解：MATLAB的发展、MATLAB的特点和MATLAB的环境，</w:t>
            </w:r>
          </w:p>
          <w:p>
            <w:pPr>
              <w:adjustRightInd w:val="0"/>
              <w:snapToGrid w:val="0"/>
              <w:spacing w:line="300" w:lineRule="auto"/>
              <w:ind w:right="-31" w:rightChars="-15"/>
              <w:rPr>
                <w:rFonts w:ascii="Times New Roman" w:hAnsi="Times New Roman" w:eastAsia="宋体" w:cs="Times New Roman"/>
                <w:bCs/>
                <w:sz w:val="18"/>
                <w:szCs w:val="18"/>
              </w:rPr>
            </w:pPr>
            <w:r>
              <w:rPr>
                <w:rFonts w:ascii="Times New Roman" w:hAnsi="Times New Roman" w:eastAsia="宋体" w:cs="Times New Roman"/>
                <w:bCs/>
                <w:sz w:val="18"/>
                <w:szCs w:val="18"/>
              </w:rPr>
              <w:t>（2）掌握：MATLAB的帮助系统、数据类型、运算符和初步使用</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（1）在自己电脑上安装MATLAB软件；</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（2）复习第一章内容；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（3）完成教材第一章作业。</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讲授式、操作式、案例式和实验室课堂教学并实践。</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案例1：用MATLAB绘制削顶全波整流波形。</w:t>
            </w:r>
          </w:p>
        </w:tc>
        <w:tc>
          <w:tcPr>
            <w:tcW w:w="734" w:type="dxa"/>
            <w:vAlign w:val="center"/>
          </w:tcPr>
          <w:p>
            <w:pPr>
              <w:adjustRightInd w:val="0"/>
              <w:snapToGrid w:val="0"/>
              <w:spacing w:line="300" w:lineRule="auto"/>
              <w:jc w:val="center"/>
              <w:rPr>
                <w:rFonts w:ascii="Times New Roman" w:hAnsi="Times New Roman" w:eastAsia="宋体" w:cs="Times New Roman"/>
                <w:bCs/>
                <w:sz w:val="18"/>
                <w:szCs w:val="18"/>
              </w:rPr>
            </w:pPr>
            <w:r>
              <w:rPr>
                <w:rFonts w:hint="eastAsia" w:ascii="Times New Roman" w:hAnsi="Times New Roman" w:eastAsia="宋体" w:cs="Times New Roman"/>
                <w:bCs/>
                <w:kern w:val="0"/>
                <w:sz w:val="18"/>
                <w:szCs w:val="18"/>
              </w:rPr>
              <w:t>1</w:t>
            </w:r>
          </w:p>
        </w:tc>
        <w:tc>
          <w:tcPr>
            <w:tcW w:w="1030"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2</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 MATLAB矩阵及其运算</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2.1 矩阵的创建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2.2 矩阵的修改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2.3 矩阵的基本运算</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2.4 矩阵的分析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2.5 字符串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2.6 结构数组和元胞数组</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课程思政：</w:t>
            </w:r>
            <w:r>
              <w:rPr>
                <w:rFonts w:ascii="Times New Roman" w:hAnsi="Times New Roman" w:eastAsia="宋体" w:cs="Times New Roman"/>
                <w:b/>
                <w:bCs/>
                <w:sz w:val="18"/>
                <w:szCs w:val="18"/>
              </w:rPr>
              <w:t>介绍国内著名软件公司的介绍，培养学生的爱国与担当精神</w:t>
            </w:r>
          </w:p>
        </w:tc>
        <w:tc>
          <w:tcPr>
            <w:tcW w:w="410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1.要求</w:t>
            </w:r>
          </w:p>
          <w:p>
            <w:pPr>
              <w:adjustRightInd w:val="0"/>
              <w:snapToGrid w:val="0"/>
              <w:spacing w:line="300" w:lineRule="auto"/>
              <w:ind w:right="-31" w:rightChars="-15"/>
              <w:rPr>
                <w:rFonts w:ascii="Times New Roman" w:hAnsi="Times New Roman" w:eastAsia="宋体" w:cs="Times New Roman"/>
                <w:sz w:val="18"/>
                <w:szCs w:val="18"/>
              </w:rPr>
            </w:pPr>
            <w:r>
              <w:rPr>
                <w:rFonts w:ascii="Times New Roman" w:hAnsi="Times New Roman" w:eastAsia="宋体" w:cs="Times New Roman"/>
                <w:sz w:val="18"/>
                <w:szCs w:val="18"/>
              </w:rPr>
              <w:t>（1）了解：MATLAB的矩阵的修改、矩阵的分析、结构数组和元胞数组；</w:t>
            </w:r>
          </w:p>
          <w:p>
            <w:pPr>
              <w:adjustRightInd w:val="0"/>
              <w:snapToGrid w:val="0"/>
              <w:spacing w:line="300" w:lineRule="auto"/>
              <w:ind w:right="-31" w:rightChars="-15"/>
              <w:rPr>
                <w:rFonts w:ascii="Times New Roman" w:hAnsi="Times New Roman" w:eastAsia="宋体" w:cs="Times New Roman"/>
                <w:sz w:val="18"/>
                <w:szCs w:val="18"/>
              </w:rPr>
            </w:pPr>
            <w:r>
              <w:rPr>
                <w:rFonts w:ascii="Times New Roman" w:hAnsi="Times New Roman" w:eastAsia="宋体" w:cs="Times New Roman"/>
                <w:sz w:val="18"/>
                <w:szCs w:val="18"/>
              </w:rPr>
              <w:t>（2）掌握：MATLAB的矩阵的创建、矩阵的基本运算，字符串的创建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（1）用自己电脑上的MATLAB软件复习第二章内容；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（2）完成教材第二章作业。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讲授式、操作式、案例式和实验室课堂教学并实践。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案例2：MATLAB分析彩色图像的三色</w:t>
            </w:r>
            <w:r>
              <w:rPr>
                <w:rFonts w:ascii="Times New Roman" w:hAnsi="Times New Roman" w:eastAsia="宋体" w:cs="Times New Roman"/>
                <w:sz w:val="18"/>
                <w:szCs w:val="18"/>
              </w:rPr>
              <w:t>。</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第3章 MATLAB字符串和数组</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3.1 字符串</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3.2 多维数组</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3.3 结构数组</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3.4元胞数组</w:t>
            </w:r>
          </w:p>
        </w:tc>
        <w:tc>
          <w:tcPr>
            <w:tcW w:w="4103" w:type="dxa"/>
            <w:vAlign w:val="center"/>
          </w:tcPr>
          <w:p>
            <w:pPr>
              <w:numPr>
                <w:ilvl w:val="0"/>
                <w:numId w:val="63"/>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要求</w:t>
            </w:r>
          </w:p>
          <w:p>
            <w:pPr>
              <w:numPr>
                <w:ilvl w:val="0"/>
                <w:numId w:val="64"/>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掌握：字符串的创建方法、字符串操作和转换常用函数；</w:t>
            </w:r>
          </w:p>
          <w:p>
            <w:pPr>
              <w:numPr>
                <w:ilvl w:val="0"/>
                <w:numId w:val="64"/>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了解：多维数组、结构数组和元胞数组的创建和使用方法。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（1）用自己电脑上的MATLAB软件复习第</w:t>
            </w:r>
            <w:r>
              <w:rPr>
                <w:rFonts w:hint="eastAsia" w:ascii="Times New Roman" w:hAnsi="Times New Roman" w:eastAsia="宋体" w:cs="Times New Roman"/>
                <w:sz w:val="18"/>
                <w:szCs w:val="18"/>
              </w:rPr>
              <w:t>三</w:t>
            </w:r>
            <w:r>
              <w:rPr>
                <w:rFonts w:ascii="Times New Roman" w:hAnsi="Times New Roman" w:eastAsia="宋体" w:cs="Times New Roman"/>
                <w:sz w:val="18"/>
                <w:szCs w:val="18"/>
              </w:rPr>
              <w:t>章内容；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（2）完成教材第</w:t>
            </w:r>
            <w:r>
              <w:rPr>
                <w:rFonts w:hint="eastAsia" w:ascii="Times New Roman" w:hAnsi="Times New Roman" w:eastAsia="宋体" w:cs="Times New Roman"/>
                <w:sz w:val="18"/>
                <w:szCs w:val="18"/>
              </w:rPr>
              <w:t>三</w:t>
            </w:r>
            <w:r>
              <w:rPr>
                <w:rFonts w:ascii="Times New Roman" w:hAnsi="Times New Roman" w:eastAsia="宋体" w:cs="Times New Roman"/>
                <w:sz w:val="18"/>
                <w:szCs w:val="18"/>
              </w:rPr>
              <w:t>章作业。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讲授式、操作式、案例式和实验室课堂教学并实践。</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w:t>
            </w:r>
          </w:p>
        </w:tc>
        <w:tc>
          <w:tcPr>
            <w:tcW w:w="2224" w:type="dxa"/>
            <w:vAlign w:val="center"/>
          </w:tcPr>
          <w:p>
            <w:pPr>
              <w:numPr>
                <w:ilvl w:val="0"/>
                <w:numId w:val="65"/>
              </w:num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MATLAB程序结构和M文件</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4.1程序结构</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4.2  M文件</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4.3  M函数文件</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4.4 程序调试</w:t>
            </w:r>
            <w:r>
              <w:rPr>
                <w:rFonts w:hint="eastAsia" w:ascii="Times New Roman" w:hAnsi="Times New Roman" w:eastAsia="宋体" w:cs="Times New Roman"/>
                <w:sz w:val="18"/>
                <w:szCs w:val="18"/>
              </w:rPr>
              <w:tab/>
            </w:r>
          </w:p>
        </w:tc>
        <w:tc>
          <w:tcPr>
            <w:tcW w:w="4103" w:type="dxa"/>
            <w:vAlign w:val="center"/>
          </w:tcPr>
          <w:p>
            <w:pPr>
              <w:numPr>
                <w:ilvl w:val="0"/>
                <w:numId w:val="66"/>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要求</w:t>
            </w:r>
          </w:p>
          <w:p>
            <w:pPr>
              <w:numPr>
                <w:ilvl w:val="0"/>
                <w:numId w:val="67"/>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了解：M文件的分类和特点、创建和打开；程序调试方法；</w:t>
            </w:r>
          </w:p>
          <w:p>
            <w:pPr>
              <w:numPr>
                <w:ilvl w:val="0"/>
                <w:numId w:val="67"/>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掌握：三种常用的程序控制结构：顺序结构、选择结构和循环结构；M函数文件的调用；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（1）用自己电脑上的MATLAB软件复习第</w:t>
            </w:r>
            <w:r>
              <w:rPr>
                <w:rFonts w:hint="eastAsia" w:ascii="Times New Roman" w:hAnsi="Times New Roman" w:eastAsia="宋体" w:cs="Times New Roman"/>
                <w:sz w:val="18"/>
                <w:szCs w:val="18"/>
              </w:rPr>
              <w:t>四</w:t>
            </w:r>
            <w:r>
              <w:rPr>
                <w:rFonts w:ascii="Times New Roman" w:hAnsi="Times New Roman" w:eastAsia="宋体" w:cs="Times New Roman"/>
                <w:sz w:val="18"/>
                <w:szCs w:val="18"/>
              </w:rPr>
              <w:t>章内容；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（2）完成教材第</w:t>
            </w:r>
            <w:r>
              <w:rPr>
                <w:rFonts w:hint="eastAsia" w:ascii="Times New Roman" w:hAnsi="Times New Roman" w:eastAsia="宋体" w:cs="Times New Roman"/>
                <w:sz w:val="18"/>
                <w:szCs w:val="18"/>
              </w:rPr>
              <w:t>四</w:t>
            </w:r>
            <w:r>
              <w:rPr>
                <w:rFonts w:ascii="Times New Roman" w:hAnsi="Times New Roman" w:eastAsia="宋体" w:cs="Times New Roman"/>
                <w:sz w:val="18"/>
                <w:szCs w:val="18"/>
              </w:rPr>
              <w:t>章作业。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讲授式、操作式、案例式和实验室课堂教学并实践。</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案例</w:t>
            </w:r>
            <w:r>
              <w:rPr>
                <w:rFonts w:hint="eastAsia" w:ascii="Times New Roman" w:hAnsi="Times New Roman" w:eastAsia="宋体" w:cs="Times New Roman"/>
                <w:bCs/>
                <w:sz w:val="18"/>
                <w:szCs w:val="18"/>
              </w:rPr>
              <w:t>3</w:t>
            </w:r>
            <w:r>
              <w:rPr>
                <w:rFonts w:ascii="Times New Roman" w:hAnsi="Times New Roman" w:eastAsia="宋体" w:cs="Times New Roman"/>
                <w:bCs/>
                <w:sz w:val="18"/>
                <w:szCs w:val="18"/>
              </w:rPr>
              <w:t>：</w:t>
            </w:r>
            <w:r>
              <w:rPr>
                <w:rFonts w:hint="eastAsia" w:ascii="Times New Roman" w:hAnsi="Times New Roman" w:eastAsia="宋体" w:cs="Times New Roman"/>
                <w:bCs/>
                <w:sz w:val="18"/>
                <w:szCs w:val="18"/>
              </w:rPr>
              <w:t>用MATLAB编程求解[1,10000]之间的所有完数</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第5章MATLAB数值计算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5.1 多项式</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5.2 数据插值</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5.3 数据拟合</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5.4 数据统计</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5.5 数值计算</w:t>
            </w:r>
          </w:p>
        </w:tc>
        <w:tc>
          <w:tcPr>
            <w:tcW w:w="4103" w:type="dxa"/>
            <w:vAlign w:val="center"/>
          </w:tcPr>
          <w:p>
            <w:pPr>
              <w:numPr>
                <w:ilvl w:val="0"/>
                <w:numId w:val="68"/>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要求</w:t>
            </w:r>
          </w:p>
          <w:p>
            <w:pPr>
              <w:numPr>
                <w:ilvl w:val="0"/>
                <w:numId w:val="69"/>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了解：数据的插值、拟合和计算；</w:t>
            </w:r>
          </w:p>
          <w:p>
            <w:pPr>
              <w:numPr>
                <w:ilvl w:val="0"/>
                <w:numId w:val="69"/>
              </w:num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掌握：多项式的创建以及各种多项式的运算方法；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（1）用自己电脑上的MATLAB软件复习第</w:t>
            </w:r>
            <w:r>
              <w:rPr>
                <w:rFonts w:hint="eastAsia" w:ascii="Times New Roman" w:hAnsi="Times New Roman" w:eastAsia="宋体" w:cs="Times New Roman"/>
                <w:sz w:val="18"/>
                <w:szCs w:val="18"/>
              </w:rPr>
              <w:t>五</w:t>
            </w:r>
            <w:r>
              <w:rPr>
                <w:rFonts w:ascii="Times New Roman" w:hAnsi="Times New Roman" w:eastAsia="宋体" w:cs="Times New Roman"/>
                <w:sz w:val="18"/>
                <w:szCs w:val="18"/>
              </w:rPr>
              <w:t>章内容；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（2）完成教材第</w:t>
            </w:r>
            <w:r>
              <w:rPr>
                <w:rFonts w:hint="eastAsia" w:ascii="Times New Roman" w:hAnsi="Times New Roman" w:eastAsia="宋体" w:cs="Times New Roman"/>
                <w:sz w:val="18"/>
                <w:szCs w:val="18"/>
              </w:rPr>
              <w:t>五</w:t>
            </w:r>
            <w:r>
              <w:rPr>
                <w:rFonts w:ascii="Times New Roman" w:hAnsi="Times New Roman" w:eastAsia="宋体" w:cs="Times New Roman"/>
                <w:sz w:val="18"/>
                <w:szCs w:val="18"/>
              </w:rPr>
              <w:t>章作业。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讲授式、操作式、案例式和实验室课堂教学并实践。</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第6章 MATLAB符号运算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6.1</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MATLAB符号运算的特点</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6.2</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MATLAB符号对象的创建和使用</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6.3</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符号多项式函数运算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6.4</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符号微积分运算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6.5</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符号方程求解</w:t>
            </w:r>
          </w:p>
        </w:tc>
        <w:tc>
          <w:tcPr>
            <w:tcW w:w="4103" w:type="dxa"/>
            <w:vAlign w:val="center"/>
          </w:tcPr>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sz w:val="18"/>
                <w:szCs w:val="18"/>
              </w:rPr>
              <w:t>（1）了解：</w:t>
            </w:r>
            <w:r>
              <w:rPr>
                <w:rFonts w:hint="eastAsia" w:ascii="Times New Roman" w:hAnsi="Times New Roman" w:eastAsia="宋体" w:cs="Times New Roman"/>
                <w:sz w:val="18"/>
                <w:szCs w:val="18"/>
              </w:rPr>
              <w:t>MATLAB符号运算的特点、符号微积分运算以及符号方程求解</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（2）掌握：</w:t>
            </w:r>
            <w:r>
              <w:rPr>
                <w:rFonts w:hint="eastAsia" w:ascii="Times New Roman" w:hAnsi="Times New Roman" w:eastAsia="宋体" w:cs="Times New Roman"/>
                <w:sz w:val="18"/>
                <w:szCs w:val="18"/>
              </w:rPr>
              <w:t>MATLAB符号对象的创建和使用、符号多项式函数运算；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（1）用自己电脑上的MATLAB软件复习第六章内容；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（2）完成教材第六章作业。</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讲授式、操作式、案例式和实验室课堂教学并实践。</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7</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第7章 MATLAB数据可视化</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7.1 概述</w:t>
            </w:r>
            <w:r>
              <w:rPr>
                <w:rFonts w:hint="eastAsia" w:ascii="Times New Roman" w:hAnsi="Times New Roman" w:eastAsia="宋体" w:cs="Times New Roman"/>
                <w:sz w:val="18"/>
                <w:szCs w:val="18"/>
              </w:rPr>
              <w:tab/>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7.2 二维曲线的绘制</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7.3 二维特殊图形的绘制</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7.4三维曲线和曲面的绘制</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7.5  MATLAB图形窗口</w:t>
            </w:r>
          </w:p>
        </w:tc>
        <w:tc>
          <w:tcPr>
            <w:tcW w:w="4103" w:type="dxa"/>
            <w:vAlign w:val="center"/>
          </w:tcPr>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sz w:val="18"/>
                <w:szCs w:val="18"/>
              </w:rPr>
              <w:t>（1）了解：</w:t>
            </w:r>
            <w:r>
              <w:rPr>
                <w:rFonts w:hint="eastAsia" w:ascii="Times New Roman" w:hAnsi="Times New Roman" w:eastAsia="宋体" w:cs="Times New Roman"/>
                <w:sz w:val="18"/>
                <w:szCs w:val="18"/>
              </w:rPr>
              <w:t>二维特殊图形的绘制、三维曲线和曲面的绘制；</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（2）掌握：二维曲线的绘制</w:t>
            </w:r>
            <w:r>
              <w:rPr>
                <w:rFonts w:hint="eastAsia" w:ascii="Times New Roman" w:hAnsi="Times New Roman" w:eastAsia="宋体" w:cs="Times New Roman"/>
                <w:sz w:val="18"/>
                <w:szCs w:val="18"/>
              </w:rPr>
              <w:t>；</w:t>
            </w:r>
            <w:r>
              <w:rPr>
                <w:rFonts w:hint="eastAsia" w:ascii="Times New Roman" w:hAnsi="Times New Roman" w:eastAsia="宋体" w:cs="Times New Roman"/>
                <w:sz w:val="18"/>
                <w:szCs w:val="18"/>
              </w:rPr>
              <w:br w:type="textWrapping"/>
            </w:r>
            <w:r>
              <w:rPr>
                <w:rFonts w:hint="eastAsia"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（1）用自己电脑上的MATLAB软件复习第七章内容；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（2）完成教材第七章作业。</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讲授式、操作式、案例式和实验室课堂教学并实践。</w:t>
            </w:r>
            <w:r>
              <w:rPr>
                <w:rFonts w:hint="eastAsia" w:ascii="Times New Roman" w:hAnsi="Times New Roman" w:eastAsia="宋体" w:cs="Times New Roman"/>
                <w:bCs/>
                <w:sz w:val="18"/>
                <w:szCs w:val="18"/>
              </w:rPr>
              <w:br w:type="textWrapping"/>
            </w:r>
            <w:r>
              <w:rPr>
                <w:rFonts w:hint="eastAsia" w:ascii="Times New Roman" w:hAnsi="Times New Roman" w:eastAsia="宋体" w:cs="Times New Roman"/>
                <w:bCs/>
                <w:sz w:val="18"/>
                <w:szCs w:val="18"/>
              </w:rPr>
              <w:t>案例4：实现动画的制作</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r>
              <w:rPr>
                <w:rFonts w:ascii="Times New Roman" w:hAnsi="Times New Roman" w:eastAsia="宋体" w:cs="Times New Roman"/>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第8章 MATLAB图形用户界面</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8.1图形用户界面简介</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8.2控制框常用对象及功能</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8.3 GUI菜单的设计</w:t>
            </w:r>
          </w:p>
        </w:tc>
        <w:tc>
          <w:tcPr>
            <w:tcW w:w="4103" w:type="dxa"/>
            <w:vAlign w:val="center"/>
          </w:tcPr>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sz w:val="18"/>
                <w:szCs w:val="18"/>
              </w:rPr>
              <w:t>（1）了解：</w:t>
            </w:r>
            <w:r>
              <w:rPr>
                <w:rFonts w:hint="eastAsia" w:ascii="Times New Roman" w:hAnsi="Times New Roman" w:eastAsia="宋体" w:cs="Times New Roman"/>
                <w:sz w:val="18"/>
                <w:szCs w:val="18"/>
              </w:rPr>
              <w:t>控制框常用对象及功能</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（2）掌握：</w:t>
            </w:r>
            <w:r>
              <w:rPr>
                <w:rFonts w:hint="eastAsia" w:ascii="Times New Roman" w:hAnsi="Times New Roman" w:eastAsia="宋体" w:cs="Times New Roman"/>
                <w:sz w:val="18"/>
                <w:szCs w:val="18"/>
              </w:rPr>
              <w:t>GUI菜单的设计；</w:t>
            </w:r>
            <w:r>
              <w:rPr>
                <w:rFonts w:hint="eastAsia" w:ascii="Times New Roman" w:hAnsi="Times New Roman" w:eastAsia="宋体" w:cs="Times New Roman"/>
                <w:sz w:val="18"/>
                <w:szCs w:val="18"/>
              </w:rPr>
              <w:br w:type="textWrapping"/>
            </w:r>
            <w:r>
              <w:rPr>
                <w:rFonts w:hint="eastAsia"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（1）用自己电脑上的MATLAB软件复习第八章内容；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（2）完成教材第八章作业。</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讲授式、操作式、案例式和实验室课堂教学并实践。</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2，</w:t>
            </w:r>
            <w:r>
              <w:rPr>
                <w:rFonts w:ascii="Times New Roman" w:hAnsi="Times New Roman" w:eastAsia="宋体" w:cs="Times New Roman"/>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9</w:t>
            </w:r>
          </w:p>
        </w:tc>
        <w:tc>
          <w:tcPr>
            <w:tcW w:w="2224"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第9章</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Simulink仿真基础</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9.1</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Simulink概述</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9.2</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Simulink的使用</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9.3</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Simulink的模块库及模块</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9.4</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Simulink模块操作及建模</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9.5</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Simulink模块及仿真参数设置</w:t>
            </w:r>
            <w:r>
              <w:rPr>
                <w:rFonts w:hint="eastAsia" w:ascii="Times New Roman" w:hAnsi="Times New Roman" w:eastAsia="宋体" w:cs="Times New Roman"/>
                <w:sz w:val="18"/>
                <w:szCs w:val="18"/>
              </w:rPr>
              <w:br w:type="textWrapping"/>
            </w:r>
            <w:r>
              <w:rPr>
                <w:rFonts w:hint="eastAsia" w:ascii="Times New Roman" w:hAnsi="Times New Roman" w:eastAsia="宋体" w:cs="Times New Roman"/>
                <w:sz w:val="18"/>
                <w:szCs w:val="18"/>
              </w:rPr>
              <w:t>9.6</w:t>
            </w:r>
            <w:r>
              <w:rPr>
                <w:rFonts w:hint="eastAsia" w:ascii="Times New Roman" w:hAnsi="Times New Roman" w:eastAsia="宋体" w:cs="Times New Roman"/>
                <w:sz w:val="18"/>
                <w:szCs w:val="18"/>
              </w:rPr>
              <w:tab/>
            </w:r>
            <w:r>
              <w:rPr>
                <w:rFonts w:hint="eastAsia" w:ascii="Times New Roman" w:hAnsi="Times New Roman" w:eastAsia="宋体" w:cs="Times New Roman"/>
                <w:sz w:val="18"/>
                <w:szCs w:val="18"/>
              </w:rPr>
              <w:t>过零检测和代数环</w:t>
            </w:r>
          </w:p>
        </w:tc>
        <w:tc>
          <w:tcPr>
            <w:tcW w:w="4103" w:type="dxa"/>
            <w:vAlign w:val="center"/>
          </w:tcPr>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sz w:val="18"/>
                <w:szCs w:val="18"/>
              </w:rPr>
              <w:t>（1）了解：</w:t>
            </w:r>
            <w:r>
              <w:rPr>
                <w:rFonts w:hint="eastAsia" w:ascii="Times New Roman" w:hAnsi="Times New Roman" w:eastAsia="宋体" w:cs="Times New Roman"/>
                <w:sz w:val="18"/>
                <w:szCs w:val="18"/>
              </w:rPr>
              <w:t>Simulink的模块库及模块、Simulink模块及仿真参数设置</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（2）掌握：</w:t>
            </w:r>
            <w:r>
              <w:rPr>
                <w:rFonts w:hint="eastAsia" w:ascii="Times New Roman" w:hAnsi="Times New Roman" w:eastAsia="宋体" w:cs="Times New Roman"/>
                <w:sz w:val="18"/>
                <w:szCs w:val="18"/>
              </w:rPr>
              <w:t>Simulink的使用、Simulink模块操作及建模；</w:t>
            </w:r>
            <w:r>
              <w:rPr>
                <w:rFonts w:hint="eastAsia" w:ascii="Times New Roman" w:hAnsi="Times New Roman" w:eastAsia="宋体" w:cs="Times New Roman"/>
                <w:sz w:val="18"/>
                <w:szCs w:val="18"/>
              </w:rPr>
              <w:br w:type="textWrapping"/>
            </w:r>
            <w:r>
              <w:rPr>
                <w:rFonts w:hint="eastAsia"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（1）用自己电脑上的MATLAB软件复习第九章内容；</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（2）完成教材第九章作业。</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hint="eastAsia" w:ascii="Times New Roman" w:hAnsi="Times New Roman" w:eastAsia="宋体" w:cs="Times New Roman"/>
                <w:bCs/>
                <w:sz w:val="18"/>
                <w:szCs w:val="18"/>
              </w:rPr>
              <w:t>讲授式、操作式、案例式和实验室课堂教学并实践。</w:t>
            </w:r>
            <w:r>
              <w:rPr>
                <w:rFonts w:hint="eastAsia" w:ascii="Times New Roman" w:hAnsi="Times New Roman" w:eastAsia="宋体" w:cs="Times New Roman"/>
                <w:bCs/>
                <w:sz w:val="18"/>
                <w:szCs w:val="18"/>
              </w:rPr>
              <w:br w:type="textWrapping"/>
            </w:r>
            <w:r>
              <w:rPr>
                <w:rFonts w:hint="eastAsia" w:ascii="Times New Roman" w:hAnsi="Times New Roman" w:eastAsia="宋体" w:cs="Times New Roman"/>
                <w:bCs/>
                <w:sz w:val="18"/>
                <w:szCs w:val="18"/>
              </w:rPr>
              <w:t>案例4：构建一个Simulink模型实现三-八译码器电路</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2，</w:t>
            </w:r>
            <w:r>
              <w:rPr>
                <w:rFonts w:ascii="Times New Roman" w:hAnsi="Times New Roman" w:eastAsia="宋体" w:cs="Times New Roman"/>
                <w:kern w:val="0"/>
                <w:sz w:val="18"/>
                <w:szCs w:val="18"/>
              </w:rPr>
              <w:t>3</w:t>
            </w:r>
          </w:p>
        </w:tc>
      </w:tr>
    </w:tbl>
    <w:p>
      <w:pPr>
        <w:snapToGrid w:val="0"/>
        <w:spacing w:before="156" w:beforeLines="50" w:line="300" w:lineRule="auto"/>
        <w:ind w:firstLine="420" w:firstLineChars="200"/>
        <w:rPr>
          <w:rFonts w:ascii="Times New Roman" w:hAnsi="Times New Roman" w:eastAsia="宋体" w:cs="Times New Roman"/>
        </w:rPr>
      </w:pPr>
      <w:r>
        <w:rPr>
          <w:rFonts w:ascii="Times New Roman" w:hAnsi="Times New Roman" w:eastAsia="宋体" w:cs="Times New Roman"/>
        </w:rPr>
        <w:t>实验内容见表4所示。</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04"/>
        <w:gridCol w:w="2976"/>
        <w:gridCol w:w="696"/>
        <w:gridCol w:w="698"/>
        <w:gridCol w:w="698"/>
        <w:gridCol w:w="62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1" w:type="dxa"/>
            <w:vAlign w:val="center"/>
          </w:tcPr>
          <w:p>
            <w:pPr>
              <w:snapToGrid w:val="0"/>
              <w:spacing w:line="300" w:lineRule="auto"/>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序号</w:t>
            </w:r>
          </w:p>
        </w:tc>
        <w:tc>
          <w:tcPr>
            <w:tcW w:w="160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实验项目名称</w:t>
            </w:r>
          </w:p>
        </w:tc>
        <w:tc>
          <w:tcPr>
            <w:tcW w:w="297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目的要求</w:t>
            </w:r>
          </w:p>
        </w:tc>
        <w:tc>
          <w:tcPr>
            <w:tcW w:w="69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学时分配</w:t>
            </w:r>
          </w:p>
        </w:tc>
        <w:tc>
          <w:tcPr>
            <w:tcW w:w="698"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实验类型</w:t>
            </w:r>
          </w:p>
        </w:tc>
        <w:tc>
          <w:tcPr>
            <w:tcW w:w="698"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每组人数</w:t>
            </w:r>
          </w:p>
        </w:tc>
        <w:tc>
          <w:tcPr>
            <w:tcW w:w="623" w:type="dxa"/>
            <w:vAlign w:val="center"/>
          </w:tcPr>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必开</w:t>
            </w:r>
          </w:p>
          <w:p>
            <w:pPr>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选开</w:t>
            </w:r>
          </w:p>
        </w:tc>
        <w:tc>
          <w:tcPr>
            <w:tcW w:w="675" w:type="dxa"/>
            <w:vAlign w:val="center"/>
          </w:tcPr>
          <w:p>
            <w:pPr>
              <w:snapToGrid w:val="0"/>
              <w:spacing w:line="300" w:lineRule="auto"/>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60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实验一MATLAB运算基础</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认识MATLAB基本用户窗口</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学习使用常见函数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熟悉常见数学函数</w:t>
            </w:r>
          </w:p>
        </w:tc>
        <w:tc>
          <w:tcPr>
            <w:tcW w:w="69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60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实验二向量和矩阵的运算</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向量和矩阵的创建</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矩阵的修改</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特殊矩阵创建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矩阵的基本运算</w:t>
            </w:r>
          </w:p>
        </w:tc>
        <w:tc>
          <w:tcPr>
            <w:tcW w:w="69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必开</w:t>
            </w:r>
          </w:p>
        </w:tc>
        <w:tc>
          <w:tcPr>
            <w:tcW w:w="675" w:type="dxa"/>
            <w:vAlign w:val="center"/>
          </w:tcPr>
          <w:p>
            <w:pPr>
              <w:widowControl/>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60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实验三字符串及矩阵分析</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字符串的创建和运算</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矩阵分析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线性方程组求解</w:t>
            </w:r>
          </w:p>
        </w:tc>
        <w:tc>
          <w:tcPr>
            <w:tcW w:w="69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60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实验四M脚本文件和函数文件</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编写M脚本文件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编写函数文件</w:t>
            </w:r>
          </w:p>
        </w:tc>
        <w:tc>
          <w:tcPr>
            <w:tcW w:w="69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实验五 程序结构设计</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顺序结构编程</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选择结构编程</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循环结构编程</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实验六 多项式运算，插值和拟合</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多项式的基本运算</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数据插值</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多项式拟合</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实验七 数据统计和数值计算</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数据统计</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数值计算</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实验八 符号计算</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符号对象创建</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符号计算</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操作</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实验九 MATLAB绘图</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二维曲线和图形绘制</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二维特殊绘图</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三维曲线和图形绘制</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rPr>
              <w:t>图形修饰和控制</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综合</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实验十</w:t>
            </w:r>
            <w:r>
              <w:rPr>
                <w:rFonts w:ascii="Times New Roman" w:hAnsi="Times New Roman" w:eastAsia="宋体" w:cs="Times New Roman"/>
                <w:kern w:val="0"/>
                <w:sz w:val="18"/>
                <w:szCs w:val="18"/>
              </w:rPr>
              <w:t xml:space="preserve"> Simulink</w:t>
            </w:r>
            <w:r>
              <w:rPr>
                <w:rFonts w:hint="eastAsia" w:ascii="Times New Roman" w:hAnsi="Times New Roman" w:eastAsia="宋体" w:cs="Times New Roman"/>
                <w:kern w:val="0"/>
                <w:sz w:val="18"/>
                <w:szCs w:val="18"/>
              </w:rPr>
              <w:t>仿真</w:t>
            </w:r>
          </w:p>
        </w:tc>
        <w:tc>
          <w:tcPr>
            <w:tcW w:w="2976"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仿真工具箱的各系统模型库</w:t>
            </w:r>
          </w:p>
          <w:p>
            <w:pPr>
              <w:widowControl/>
              <w:adjustRightInd w:val="0"/>
              <w:snapToGrid w:val="0"/>
              <w:spacing w:line="300" w:lineRule="auto"/>
              <w:jc w:val="lef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仿真模型的建立、调试、运行以及仿真结果分析</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综合</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11</w:t>
            </w:r>
          </w:p>
        </w:tc>
        <w:tc>
          <w:tcPr>
            <w:tcW w:w="1604" w:type="dxa"/>
            <w:vAlign w:val="center"/>
          </w:tcPr>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实验十一</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图形用户界面</w:t>
            </w:r>
          </w:p>
        </w:tc>
        <w:tc>
          <w:tcPr>
            <w:tcW w:w="2976" w:type="dxa"/>
            <w:vAlign w:val="center"/>
          </w:tcPr>
          <w:p>
            <w:pPr>
              <w:tabs>
                <w:tab w:val="left" w:pos="136"/>
                <w:tab w:val="left" w:pos="851"/>
              </w:tabs>
              <w:adjustRightInd w:val="0"/>
              <w:snapToGrid w:val="0"/>
              <w:spacing w:line="312"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熟悉图形用户界面控制框常用对象及功能</w:t>
            </w:r>
          </w:p>
          <w:p>
            <w:pPr>
              <w:widowControl/>
              <w:adjustRightInd w:val="0"/>
              <w:snapToGrid w:val="0"/>
              <w:spacing w:line="300" w:lineRule="auto"/>
              <w:jc w:val="lef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掌握根据用户体验和用户需求来设计的用户界面。</w:t>
            </w:r>
          </w:p>
        </w:tc>
        <w:tc>
          <w:tcPr>
            <w:tcW w:w="696"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综合</w:t>
            </w:r>
          </w:p>
        </w:tc>
        <w:tc>
          <w:tcPr>
            <w:tcW w:w="698" w:type="dxa"/>
            <w:vAlign w:val="center"/>
          </w:tcPr>
          <w:p>
            <w:pPr>
              <w:snapToGrid w:val="0"/>
              <w:spacing w:line="300" w:lineRule="auto"/>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623" w:type="dxa"/>
            <w:vAlign w:val="center"/>
          </w:tcPr>
          <w:p>
            <w:pPr>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675" w:type="dxa"/>
            <w:vAlign w:val="center"/>
          </w:tcPr>
          <w:p>
            <w:pPr>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bl>
    <w:p>
      <w:pPr>
        <w:snapToGrid w:val="0"/>
        <w:spacing w:before="156" w:beforeLines="50" w:after="156" w:afterLines="50" w:line="300" w:lineRule="auto"/>
        <w:rPr>
          <w:b/>
          <w:sz w:val="24"/>
        </w:rPr>
      </w:pPr>
      <w:r>
        <w:rPr>
          <w:b/>
          <w:sz w:val="24"/>
        </w:rPr>
        <w:t>五、课程考核及成绩评定</w:t>
      </w:r>
    </w:p>
    <w:p>
      <w:pPr>
        <w:ind w:firstLine="420" w:firstLineChars="200"/>
        <w:rPr>
          <w:rFonts w:ascii="Times New Roman" w:hAnsi="Times New Roman" w:eastAsia="宋体" w:cs="Times New Roman"/>
        </w:rPr>
      </w:pPr>
      <w:r>
        <w:rPr>
          <w:rFonts w:ascii="Times New Roman" w:hAnsi="Times New Roman" w:eastAsia="宋体" w:cs="Times New Roman"/>
        </w:rPr>
        <w:t>1．考核方式：期末编写程序写论文，平时测验及作业，实验报告。</w:t>
      </w:r>
    </w:p>
    <w:p>
      <w:pPr>
        <w:ind w:firstLine="420" w:firstLineChars="200"/>
        <w:rPr>
          <w:rFonts w:ascii="Times New Roman" w:hAnsi="Times New Roman" w:eastAsia="宋体" w:cs="Times New Roman"/>
        </w:rPr>
      </w:pPr>
      <w:r>
        <w:rPr>
          <w:rFonts w:ascii="Times New Roman" w:hAnsi="Times New Roman" w:eastAsia="宋体" w:cs="Times New Roman"/>
        </w:rPr>
        <w:t>2．成绩构成：期末编写程序写论文70%，平时成绩20%（课后作业、课堂表现、随堂测验、口头报告等），实验成绩10%。</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w:t>
      </w:r>
      <w:r>
        <w:rPr>
          <w:rFonts w:ascii="Times New Roman" w:hAnsi="Times New Roman" w:eastAsia="宋体" w:cs="Times New Roman"/>
          <w:kern w:val="0"/>
          <w:szCs w:val="21"/>
        </w:rPr>
        <w:t>．</w:t>
      </w:r>
      <w:r>
        <w:rPr>
          <w:rFonts w:ascii="Times New Roman" w:hAnsi="Times New Roman" w:eastAsia="宋体" w:cs="Times New Roman"/>
        </w:rPr>
        <w:t>考核评价标准见表5所示：</w:t>
      </w:r>
    </w:p>
    <w:p>
      <w:pPr>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0"/>
        <w:gridCol w:w="748"/>
        <w:gridCol w:w="729"/>
        <w:gridCol w:w="616"/>
        <w:gridCol w:w="4037"/>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5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75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74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72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61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403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105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50" w:type="dxa"/>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751" w:type="dxa"/>
            <w:vMerge w:val="restart"/>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平时成绩</w:t>
            </w:r>
          </w:p>
        </w:tc>
        <w:tc>
          <w:tcPr>
            <w:tcW w:w="750"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748"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72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4037"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根据学生课堂表现打分，满分100分</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jc w:val="center"/>
        </w:trPr>
        <w:tc>
          <w:tcPr>
            <w:tcW w:w="751" w:type="dxa"/>
            <w:vMerge w:val="continue"/>
            <w:vAlign w:val="center"/>
          </w:tcPr>
          <w:p>
            <w:pPr>
              <w:snapToGrid w:val="0"/>
              <w:spacing w:line="300" w:lineRule="auto"/>
              <w:rPr>
                <w:rFonts w:ascii="Times New Roman" w:hAnsi="Times New Roman" w:eastAsia="宋体" w:cs="Times New Roman"/>
                <w:sz w:val="18"/>
                <w:szCs w:val="18"/>
              </w:rPr>
            </w:pPr>
          </w:p>
        </w:tc>
        <w:tc>
          <w:tcPr>
            <w:tcW w:w="750"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4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4037"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主要考核学生对每章节知识点的理解和掌握程度；每次作业按100分制单独评分，取各次成绩的平均值作为书面作业成绩</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pPr>
              <w:snapToGrid w:val="0"/>
              <w:spacing w:line="300" w:lineRule="auto"/>
              <w:rPr>
                <w:rFonts w:ascii="Times New Roman" w:hAnsi="Times New Roman" w:eastAsia="宋体" w:cs="Times New Roman"/>
                <w:sz w:val="18"/>
                <w:szCs w:val="18"/>
              </w:rPr>
            </w:pPr>
          </w:p>
        </w:tc>
        <w:tc>
          <w:tcPr>
            <w:tcW w:w="750"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4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实验</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4037"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根据实验完成质量，以及实验报告质量评分，满分100分</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4.3，5.2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1" w:type="dxa"/>
            <w:vMerge w:val="continue"/>
            <w:vAlign w:val="center"/>
          </w:tcPr>
          <w:p>
            <w:pPr>
              <w:snapToGrid w:val="0"/>
              <w:spacing w:line="300" w:lineRule="auto"/>
              <w:rPr>
                <w:rFonts w:ascii="Times New Roman" w:hAnsi="Times New Roman" w:eastAsia="宋体" w:cs="Times New Roman"/>
                <w:sz w:val="18"/>
                <w:szCs w:val="18"/>
              </w:rPr>
            </w:pPr>
          </w:p>
        </w:tc>
        <w:tc>
          <w:tcPr>
            <w:tcW w:w="750"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4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平时测验</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4037"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做两次平时测验，每次100分计</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51" w:type="dxa"/>
            <w:vMerge w:val="continue"/>
            <w:vAlign w:val="center"/>
          </w:tcPr>
          <w:p>
            <w:pPr>
              <w:snapToGrid w:val="0"/>
              <w:spacing w:line="300" w:lineRule="auto"/>
              <w:rPr>
                <w:rFonts w:ascii="Times New Roman" w:hAnsi="Times New Roman" w:eastAsia="宋体" w:cs="Times New Roman"/>
                <w:sz w:val="18"/>
                <w:szCs w:val="18"/>
              </w:rPr>
            </w:pPr>
          </w:p>
        </w:tc>
        <w:tc>
          <w:tcPr>
            <w:tcW w:w="750"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4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项目研究</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4037"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以小组为单位选题，并撰写报告，设计PPT，最高分100分。</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1" w:hRule="atLeast"/>
          <w:jc w:val="center"/>
        </w:trPr>
        <w:tc>
          <w:tcPr>
            <w:tcW w:w="751"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期末编程写论文</w:t>
            </w:r>
          </w:p>
        </w:tc>
        <w:tc>
          <w:tcPr>
            <w:tcW w:w="75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74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729"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期末编写程序写论文</w:t>
            </w:r>
          </w:p>
        </w:tc>
        <w:tc>
          <w:tcPr>
            <w:tcW w:w="6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037"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rPr>
                <w:rFonts w:ascii="Times New Roman" w:hAnsi="Times New Roman" w:eastAsia="宋体" w:cs="Times New Roman"/>
                <w:sz w:val="18"/>
                <w:szCs w:val="18"/>
              </w:rPr>
            </w:pPr>
            <w:r>
              <w:rPr>
                <w:rFonts w:ascii="Times New Roman" w:hAnsi="Times New Roman" w:eastAsia="宋体" w:cs="Times New Roman"/>
                <w:sz w:val="18"/>
                <w:szCs w:val="18"/>
              </w:rPr>
              <w:t>(2)考核内容包括： 第1-6章</w:t>
            </w:r>
          </w:p>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(3)利用所学的MATLAB软件解决课程问题，专业问题，题目不限，要求有问题描述，理论分析，编程，程序结果及分析，总结体会和建议，参考文献等部分</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050" w:type="dxa"/>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1.2，4.3，5.2</w:t>
            </w:r>
          </w:p>
        </w:tc>
      </w:tr>
    </w:tbl>
    <w:p>
      <w:pPr>
        <w:snapToGrid w:val="0"/>
        <w:spacing w:before="156" w:beforeLines="50" w:after="156" w:afterLines="50" w:line="300" w:lineRule="auto"/>
        <w:rPr>
          <w:b/>
          <w:sz w:val="24"/>
        </w:rPr>
      </w:pPr>
      <w:r>
        <w:rPr>
          <w:b/>
          <w:sz w:val="24"/>
        </w:rPr>
        <w:t>六、</w:t>
      </w:r>
      <w:r>
        <w:rPr>
          <w:rFonts w:hint="eastAsia"/>
          <w:b/>
          <w:sz w:val="24"/>
        </w:rPr>
        <w:t>课程教学目标达成情况评价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157" o:spt="75" type="#_x0000_t75" style="height:32.25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157" DrawAspect="Content" ObjectID="_1468075855" r:id="rId178">
            <o:LockedField>false</o:LockedField>
          </o:OLEObject>
        </w:objec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课程总目标达成情况为3个课程目标的加权得分率，其计算公式为：</w:t>
      </w:r>
    </w:p>
    <w:p>
      <w:pPr>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158" o:spt="75" type="#_x0000_t75" style="height:24pt;width:246pt;" o:ole="t" filled="f" o:preferrelative="t" stroked="f" coordsize="21600,21600">
            <v:path/>
            <v:fill on="f" focussize="0,0"/>
            <v:stroke on="f" joinstyle="miter"/>
            <v:imagedata r:id="rId59" o:title=""/>
            <o:lock v:ext="edit" aspectratio="t"/>
            <w10:wrap type="none"/>
            <w10:anchorlock/>
          </v:shape>
          <o:OLEObject Type="Embed" ProgID="Equation.DSMT4" ShapeID="_x0000_i1158" DrawAspect="Content" ObjectID="_1468075856" r:id="rId179">
            <o:LockedField>false</o:LockedField>
          </o:OLEObject>
        </w:object>
      </w:r>
    </w:p>
    <w:p>
      <w:pPr>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其中权重系数按照表6设定。</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表6课程目标权重系数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0"/>
        <w:gridCol w:w="2016"/>
        <w:gridCol w:w="2389"/>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1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20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3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36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1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201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23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236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r>
    </w:tbl>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课程毕业要求指标点达成情况评价：</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159" o:spt="75" type="#_x0000_t75" style="height:24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159" DrawAspect="Content" ObjectID="_1468075857" r:id="rId180">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snapToGrid w:val="0"/>
        <w:spacing w:before="156" w:beforeLines="50" w:after="156" w:afterLines="50" w:line="300" w:lineRule="auto"/>
        <w:rPr>
          <w:b/>
          <w:sz w:val="24"/>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r>
        <w:rPr>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70"/>
        </w:numPr>
        <w:snapToGrid w:val="0"/>
        <w:spacing w:line="300" w:lineRule="auto"/>
        <w:rPr>
          <w:rFonts w:ascii="Times New Roman" w:hAnsi="Times New Roman" w:eastAsia="宋体" w:cs="Times New Roman"/>
        </w:rPr>
      </w:pPr>
      <w:r>
        <w:rPr>
          <w:rFonts w:ascii="Times New Roman" w:hAnsi="Times New Roman" w:eastAsia="宋体" w:cs="Times New Roman"/>
        </w:rPr>
        <w:t>徐国保，赵黎明，吴凡，郭磊.MATLAB/Simulink实用教程：编程、仿真及电子信息学科应用[M].北京：清华大学出版社，2017.8</w:t>
      </w:r>
      <w:r>
        <w:rPr>
          <w:rFonts w:ascii="Times New Roman" w:hAnsi="Times New Roman" w:eastAsia="宋体" w:cs="Times New Roman"/>
          <w:szCs w:val="21"/>
        </w:rPr>
        <w:t>。</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71"/>
        </w:numPr>
        <w:snapToGrid w:val="0"/>
        <w:spacing w:line="300" w:lineRule="auto"/>
        <w:rPr>
          <w:rFonts w:ascii="Times New Roman" w:hAnsi="Times New Roman" w:eastAsia="宋体" w:cs="Times New Roman"/>
        </w:rPr>
      </w:pPr>
      <w:r>
        <w:rPr>
          <w:rFonts w:ascii="Times New Roman" w:hAnsi="Times New Roman" w:eastAsia="宋体" w:cs="Times New Roman"/>
        </w:rPr>
        <w:t>刘卫国. MATLAB程序设计与应用（第二版）.北京：等教育出版社，2006.7。</w:t>
      </w:r>
    </w:p>
    <w:p>
      <w:pPr>
        <w:numPr>
          <w:ilvl w:val="0"/>
          <w:numId w:val="71"/>
        </w:numPr>
        <w:snapToGrid w:val="0"/>
        <w:spacing w:line="300" w:lineRule="auto"/>
        <w:rPr>
          <w:rFonts w:ascii="Times New Roman" w:hAnsi="Times New Roman" w:eastAsia="宋体" w:cs="Times New Roman"/>
        </w:rPr>
      </w:pPr>
      <w:r>
        <w:rPr>
          <w:rFonts w:ascii="Times New Roman" w:hAnsi="Times New Roman" w:eastAsia="宋体" w:cs="Times New Roman"/>
        </w:rPr>
        <w:t>课程</w:t>
      </w:r>
      <w:r>
        <w:rPr>
          <w:rFonts w:ascii="Times New Roman" w:hAnsi="Times New Roman" w:eastAsia="宋体" w:cs="Times New Roman"/>
          <w:szCs w:val="21"/>
        </w:rPr>
        <w:t>学习网站：</w:t>
      </w:r>
      <w:r>
        <w:fldChar w:fldCharType="begin"/>
      </w:r>
      <w:r>
        <w:instrText xml:space="preserve"> HYPERLINK "http://210.38.137.11:10086/MatlabCourse/" </w:instrText>
      </w:r>
      <w:r>
        <w:fldChar w:fldCharType="separate"/>
      </w:r>
      <w:r>
        <w:rPr>
          <w:rFonts w:ascii="Times New Roman" w:hAnsi="Times New Roman" w:eastAsia="宋体" w:cs="Times New Roman"/>
          <w:szCs w:val="21"/>
          <w:u w:val="single"/>
        </w:rPr>
        <w:t>http://210.38.137.11:10086/MatlabCourse</w:t>
      </w:r>
      <w:r>
        <w:rPr>
          <w:rFonts w:ascii="Times New Roman" w:hAnsi="Times New Roman" w:eastAsia="宋体" w:cs="Times New Roman"/>
          <w:szCs w:val="21"/>
          <w:u w:val="single"/>
        </w:rPr>
        <w:fldChar w:fldCharType="end"/>
      </w:r>
      <w:r>
        <w:rPr>
          <w:rFonts w:ascii="Times New Roman" w:hAnsi="Times New Roman" w:eastAsia="宋体" w:cs="Times New Roman"/>
          <w:szCs w:val="21"/>
        </w:rPr>
        <w:t>。</w:t>
      </w:r>
      <w:r>
        <w:rPr>
          <w:rFonts w:ascii="Times New Roman" w:hAnsi="Times New Roman" w:eastAsia="宋体" w:cs="Times New Roman"/>
        </w:rPr>
        <w:t xml:space="preserve"> </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审定人 王骥</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批准人 张炎生</w:t>
      </w:r>
    </w:p>
    <w:p>
      <w:pPr>
        <w:snapToGrid w:val="0"/>
        <w:spacing w:line="300" w:lineRule="auto"/>
        <w:ind w:left="840"/>
        <w:jc w:val="right"/>
        <w:rPr>
          <w:rFonts w:ascii="Times New Roman" w:hAnsi="Times New Roman" w:eastAsia="宋体" w:cs="Times New Roman"/>
        </w:rPr>
      </w:pPr>
      <w:r>
        <w:rPr>
          <w:rFonts w:hint="eastAsia" w:ascii="Times New Roman" w:hAnsi="Times New Roman" w:eastAsia="宋体" w:cs="Times New Roman"/>
        </w:rPr>
        <w:t xml:space="preserve">日期 </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bookmarkEnd w:id="208"/>
    <w:bookmarkEnd w:id="210"/>
    <w:bookmarkEnd w:id="211"/>
    <w:bookmarkEnd w:id="212"/>
    <w:bookmarkEnd w:id="213"/>
    <w:bookmarkEnd w:id="214"/>
    <w:p>
      <w:pPr>
        <w:widowControl/>
        <w:jc w:val="left"/>
        <w:rPr>
          <w:rFonts w:ascii="Times New Roman" w:hAnsi="Times New Roman" w:cs="Times New Roman" w:eastAsiaTheme="majorEastAsia"/>
          <w:b/>
          <w:bCs/>
          <w:sz w:val="32"/>
          <w:szCs w:val="32"/>
        </w:rPr>
      </w:pPr>
      <w:bookmarkStart w:id="215" w:name="_Toc38126133"/>
      <w:bookmarkStart w:id="216" w:name="_Toc46489679"/>
      <w:r>
        <w:rPr>
          <w:rFonts w:ascii="Times New Roman" w:hAnsi="Times New Roman" w:cs="Times New Roman" w:eastAsiaTheme="majorEastAsia"/>
          <w:b/>
          <w:bCs/>
          <w:sz w:val="32"/>
          <w:szCs w:val="32"/>
        </w:rPr>
        <w:br w:type="page"/>
      </w:r>
    </w:p>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217" w:name="_Toc31980"/>
      <w:r>
        <w:rPr>
          <w:rFonts w:ascii="Times New Roman" w:hAnsi="Times New Roman" w:cs="Times New Roman" w:eastAsiaTheme="majorEastAsia"/>
          <w:b/>
          <w:bCs/>
          <w:sz w:val="32"/>
          <w:szCs w:val="32"/>
        </w:rPr>
        <w:t>33462006</w:t>
      </w:r>
      <w:r>
        <w:rPr>
          <w:rFonts w:hint="eastAsia" w:ascii="Times New Roman" w:hAnsi="Times New Roman" w:cs="Times New Roman" w:eastAsiaTheme="majorEastAsia"/>
          <w:b/>
          <w:bCs/>
          <w:sz w:val="32"/>
          <w:szCs w:val="32"/>
        </w:rPr>
        <w:t>《图像与音频编码技术》课程教学大纲</w:t>
      </w:r>
      <w:bookmarkEnd w:id="217"/>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bCs/>
                <w:kern w:val="0"/>
                <w:szCs w:val="21"/>
              </w:rPr>
              <w:t>33462006</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bCs/>
                <w:kern w:val="0"/>
                <w:szCs w:val="21"/>
              </w:rPr>
              <w:t>图像与音频编码技术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jc w:val="center"/>
              <w:rPr>
                <w:bCs/>
                <w:kern w:val="0"/>
                <w:szCs w:val="21"/>
              </w:rPr>
            </w:pPr>
            <w:r>
              <w:rPr>
                <w:bCs/>
                <w:kern w:val="0"/>
                <w:szCs w:val="21"/>
              </w:rPr>
              <w:t>Image and Audio Coding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32（8）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kern w:val="0"/>
                <w:szCs w:val="21"/>
              </w:rPr>
              <w:t>郭晓云，王峰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郭晓云</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bCs/>
                <w:kern w:val="0"/>
                <w:szCs w:val="21"/>
              </w:rPr>
            </w:pPr>
            <w:r>
              <w:rPr>
                <w:bCs/>
                <w:kern w:val="0"/>
                <w:szCs w:val="21"/>
              </w:rPr>
              <w:t>C语言程序设计、</w:t>
            </w:r>
          </w:p>
          <w:p>
            <w:pPr>
              <w:widowControl/>
              <w:jc w:val="center"/>
              <w:rPr>
                <w:bCs/>
                <w:kern w:val="0"/>
                <w:szCs w:val="21"/>
              </w:rPr>
            </w:pPr>
            <w:r>
              <w:rPr>
                <w:bCs/>
                <w:kern w:val="0"/>
                <w:szCs w:val="21"/>
              </w:rPr>
              <w:t>MATLAB语言与应用、</w:t>
            </w:r>
          </w:p>
          <w:p>
            <w:pPr>
              <w:widowControl/>
              <w:jc w:val="center"/>
              <w:rPr>
                <w:bCs/>
                <w:kern w:val="0"/>
                <w:szCs w:val="21"/>
              </w:rPr>
            </w:pPr>
            <w:r>
              <w:rPr>
                <w:bCs/>
                <w:kern w:val="0"/>
                <w:szCs w:val="21"/>
              </w:rPr>
              <w:t>信息论与编码</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图像与音频编码技术》是针对大学三年级本科生的通识教育拓展课，适用于电子与信息工程学院的电子信息工程专业，是《信息论与编码》的后续延伸知识。其教学目的在于了解图像、视频与音频编码的普遍原理、定制化的技术原理与算法，引导学生理解图像、视频与音频压缩文件所采用的核心技术，为后续开展与图像、视频与音频相关的理论研究和应用开发提供参考。其主要内容是沿着技术与标准发展的主线介绍各种数据、图像与音视频编码压缩的技术和原理，讨论最常见编解码器的特征和性能等等。作为一门理论性较强的课程，由浅至深逐步升级，在学习过程中先从浅显的视觉与听觉感知入手，接着从常用的数据压缩编码过渡到音频编码，然后介绍图像编码，最后介绍最复杂的视频数据压缩编码；此外，结合一些样本数据进行编码压缩演示以及开展实验，通过理论猜想与编程验证，培养学生的理论分析与科学研究能力。</w:t>
      </w:r>
    </w:p>
    <w:p>
      <w:pPr>
        <w:snapToGrid w:val="0"/>
        <w:spacing w:before="156" w:beforeLines="50" w:after="156" w:afterLines="50" w:line="300" w:lineRule="auto"/>
        <w:rPr>
          <w:b/>
          <w:sz w:val="24"/>
        </w:rPr>
      </w:pPr>
      <w:r>
        <w:rPr>
          <w:b/>
          <w:sz w:val="24"/>
        </w:rPr>
        <w:t>二、课程教学目标</w:t>
      </w:r>
    </w:p>
    <w:p>
      <w:pPr>
        <w:snapToGrid w:val="0"/>
        <w:spacing w:line="300" w:lineRule="auto"/>
        <w:ind w:firstLine="420" w:firstLineChars="200"/>
        <w:rPr>
          <w:szCs w:val="21"/>
        </w:rPr>
      </w:pPr>
      <w:r>
        <w:rPr>
          <w:szCs w:val="21"/>
        </w:rPr>
        <w:t>《图像与音频编码技术》，通过系统地学习数据、音频、图像与视频压缩编码的基本原理与技术，以及利用Matlab或者Python语言进行理论猜想与科学验证等相关实验教学活动，帮助学生初步了解和掌握音频、图像与视频文件所采用的基本技术。在讲授过程中介绍音视频编码技术在我国信息化产业的重要地位、音视频编码专利使用费的巨额外汇支出，以及不同应用场景的视频压缩编码需求及其技术研究发展，强调音视频编解码技术研发的重要性，激发学生的科学研究热情与爱国情怀。本课程的具体教学目标如下：</w:t>
      </w:r>
    </w:p>
    <w:p>
      <w:pPr>
        <w:snapToGrid w:val="0"/>
        <w:spacing w:line="300" w:lineRule="auto"/>
        <w:ind w:firstLine="420" w:firstLineChars="200"/>
        <w:rPr>
          <w:szCs w:val="21"/>
        </w:rPr>
      </w:pPr>
      <w:r>
        <w:rPr>
          <w:szCs w:val="21"/>
        </w:rPr>
        <w:t>1．图像与音视频编码的</w:t>
      </w:r>
      <w:r>
        <w:rPr>
          <w:rFonts w:hint="eastAsia"/>
          <w:szCs w:val="21"/>
        </w:rPr>
        <w:t>知识点</w:t>
      </w:r>
      <w:r>
        <w:rPr>
          <w:szCs w:val="21"/>
        </w:rPr>
        <w:t>学习：理解图像、音视频数据格式与信息关联性，以及通用的数据编码算法。</w:t>
      </w:r>
    </w:p>
    <w:p>
      <w:pPr>
        <w:snapToGrid w:val="0"/>
        <w:spacing w:line="300" w:lineRule="auto"/>
        <w:ind w:firstLine="420" w:firstLineChars="200"/>
        <w:rPr>
          <w:szCs w:val="21"/>
        </w:rPr>
      </w:pPr>
      <w:r>
        <w:rPr>
          <w:szCs w:val="21"/>
        </w:rPr>
        <w:t>理解图像与音频编码的基础概念与原理，能够以区别、解释或者举例的方式进行阐述以下知识点，例如：①能够列举图像、音频、以及视频的各种数据形式；②掌握常用霍夫曼、算数、LZW等通用数据压缩方法，能够将其运用于图像与音视频数据的压缩编码，并且进一步理解其缺陷；③了解音视频编解码算法的发展历程，理解其算法复杂度增长与计算机性能以及人工智能算法的关联性；④理解常用的音频、图像与视频的压缩原理，例如DPCM、MP3、JPEG、H261、MPEG-4以及VC-1等。[1</w:t>
      </w:r>
      <w:r>
        <w:rPr>
          <w:rFonts w:hint="eastAsia"/>
          <w:szCs w:val="21"/>
        </w:rPr>
        <w:t>.</w:t>
      </w:r>
      <w:r>
        <w:rPr>
          <w:szCs w:val="21"/>
        </w:rPr>
        <w:t>1]</w:t>
      </w:r>
    </w:p>
    <w:p>
      <w:pPr>
        <w:snapToGrid w:val="0"/>
        <w:spacing w:line="300" w:lineRule="auto"/>
        <w:ind w:firstLine="420" w:firstLineChars="200"/>
        <w:rPr>
          <w:szCs w:val="21"/>
        </w:rPr>
      </w:pPr>
      <w:r>
        <w:rPr>
          <w:szCs w:val="21"/>
        </w:rPr>
        <w:t>2．理论分析与算法性能验证技能目标：理解图像与音频编码的基本原理，对图像与音频编码</w:t>
      </w:r>
      <w:r>
        <w:rPr>
          <w:rFonts w:hint="eastAsia"/>
          <w:szCs w:val="21"/>
        </w:rPr>
        <w:t>过程利用</w:t>
      </w:r>
      <w:r>
        <w:rPr>
          <w:szCs w:val="21"/>
        </w:rPr>
        <w:t>Matlab或者Python代码进行</w:t>
      </w:r>
      <w:r>
        <w:rPr>
          <w:rFonts w:hint="eastAsia"/>
          <w:szCs w:val="21"/>
        </w:rPr>
        <w:t>算法建模</w:t>
      </w:r>
      <w:r>
        <w:rPr>
          <w:szCs w:val="21"/>
        </w:rPr>
        <w:t>分析</w:t>
      </w:r>
      <w:r>
        <w:rPr>
          <w:rFonts w:hint="eastAsia"/>
          <w:szCs w:val="21"/>
        </w:rPr>
        <w:t>与实现</w:t>
      </w:r>
      <w:r>
        <w:rPr>
          <w:szCs w:val="21"/>
        </w:rPr>
        <w:t>，并验证其算法的优缺点，以及提出优化与改进算法。</w:t>
      </w:r>
    </w:p>
    <w:p>
      <w:pPr>
        <w:snapToGrid w:val="0"/>
        <w:spacing w:line="300" w:lineRule="auto"/>
        <w:ind w:firstLine="420" w:firstLineChars="200"/>
        <w:rPr>
          <w:szCs w:val="21"/>
        </w:rPr>
      </w:pPr>
      <w:r>
        <w:rPr>
          <w:rFonts w:hint="eastAsia"/>
          <w:szCs w:val="21"/>
        </w:rPr>
        <w:t>依据通用数据</w:t>
      </w:r>
      <w:r>
        <w:rPr>
          <w:szCs w:val="21"/>
        </w:rPr>
        <w:t>编码</w:t>
      </w:r>
      <w:r>
        <w:rPr>
          <w:rFonts w:hint="eastAsia"/>
          <w:szCs w:val="21"/>
        </w:rPr>
        <w:t>算法的数学模型，</w:t>
      </w:r>
      <w:r>
        <w:rPr>
          <w:szCs w:val="21"/>
        </w:rPr>
        <w:t>运用Matlab或者Python语言编写代码，编写GUI</w:t>
      </w:r>
      <w:r>
        <w:rPr>
          <w:rFonts w:hint="eastAsia"/>
          <w:szCs w:val="21"/>
        </w:rPr>
        <w:t>、</w:t>
      </w:r>
      <w:r>
        <w:rPr>
          <w:szCs w:val="21"/>
        </w:rPr>
        <w:t>可变长的参数接口解析函数以及运行结果的图像与曲线，验证其压缩编码性能</w:t>
      </w:r>
      <w:r>
        <w:rPr>
          <w:rFonts w:hint="eastAsia"/>
          <w:szCs w:val="21"/>
        </w:rPr>
        <w:t>；</w:t>
      </w:r>
      <w:r>
        <w:rPr>
          <w:szCs w:val="21"/>
        </w:rPr>
        <w:t>进一步理解</w:t>
      </w:r>
      <w:r>
        <w:rPr>
          <w:rFonts w:hint="eastAsia"/>
          <w:szCs w:val="21"/>
        </w:rPr>
        <w:t>通用数据</w:t>
      </w:r>
      <w:r>
        <w:rPr>
          <w:szCs w:val="21"/>
        </w:rPr>
        <w:t>编码</w:t>
      </w:r>
      <w:r>
        <w:rPr>
          <w:rFonts w:hint="eastAsia"/>
          <w:szCs w:val="21"/>
        </w:rPr>
        <w:t>算法在</w:t>
      </w:r>
      <w:r>
        <w:rPr>
          <w:szCs w:val="21"/>
        </w:rPr>
        <w:t>图像与音视频编码</w:t>
      </w:r>
      <w:r>
        <w:rPr>
          <w:rFonts w:hint="eastAsia"/>
          <w:szCs w:val="21"/>
        </w:rPr>
        <w:t>领域的应用升级。</w:t>
      </w:r>
      <w:r>
        <w:rPr>
          <w:szCs w:val="21"/>
        </w:rPr>
        <w:t>[2</w:t>
      </w:r>
      <w:r>
        <w:rPr>
          <w:rFonts w:hint="eastAsia"/>
          <w:szCs w:val="21"/>
        </w:rPr>
        <w:t>.</w:t>
      </w:r>
      <w:r>
        <w:rPr>
          <w:szCs w:val="21"/>
        </w:rPr>
        <w:t>2]</w:t>
      </w:r>
    </w:p>
    <w:p>
      <w:pPr>
        <w:snapToGrid w:val="0"/>
        <w:spacing w:line="300" w:lineRule="auto"/>
        <w:ind w:firstLine="420" w:firstLineChars="200"/>
        <w:rPr>
          <w:szCs w:val="21"/>
        </w:rPr>
      </w:pPr>
      <w:r>
        <w:rPr>
          <w:szCs w:val="21"/>
        </w:rPr>
        <w:t>3．</w:t>
      </w:r>
      <w:r>
        <w:rPr>
          <w:rFonts w:hint="eastAsia"/>
          <w:szCs w:val="21"/>
        </w:rPr>
        <w:t>编码算法研究</w:t>
      </w:r>
      <w:r>
        <w:rPr>
          <w:szCs w:val="21"/>
        </w:rPr>
        <w:t>技能目标：具备基于图像与音频编码原理并采用科学方法对复杂图像与音频编码工程问题的技术路线，实验方案、软/硬件模块和存在的问题进行研究的能力。</w:t>
      </w:r>
    </w:p>
    <w:p>
      <w:pPr>
        <w:snapToGrid w:val="0"/>
        <w:spacing w:line="300" w:lineRule="auto"/>
        <w:ind w:firstLine="420" w:firstLineChars="200"/>
        <w:rPr>
          <w:szCs w:val="21"/>
        </w:rPr>
      </w:pPr>
      <w:r>
        <w:rPr>
          <w:szCs w:val="21"/>
        </w:rPr>
        <w:t>通过期刊网站、搜索引擎、专业论坛以及交流群，检索多个时期与多个理论深度的文献，了解数据/音频/图像/视频的编码压缩理论的发展过程以及研究前沿，</w:t>
      </w:r>
      <w:r>
        <w:rPr>
          <w:rFonts w:hint="eastAsia"/>
          <w:szCs w:val="21"/>
        </w:rPr>
        <w:t>掌握</w:t>
      </w:r>
      <w:r>
        <w:rPr>
          <w:szCs w:val="21"/>
        </w:rPr>
        <w:t>图像与音频编码</w:t>
      </w:r>
      <w:r>
        <w:rPr>
          <w:rFonts w:hint="eastAsia"/>
          <w:szCs w:val="21"/>
        </w:rPr>
        <w:t>的完整过程与参数含义</w:t>
      </w:r>
      <w:r>
        <w:rPr>
          <w:szCs w:val="21"/>
        </w:rPr>
        <w:t>，并</w:t>
      </w:r>
      <w:r>
        <w:rPr>
          <w:rFonts w:hint="eastAsia"/>
          <w:szCs w:val="21"/>
        </w:rPr>
        <w:t>产生理论猜想。</w:t>
      </w:r>
      <w:r>
        <w:rPr>
          <w:szCs w:val="21"/>
        </w:rPr>
        <w:t>通过Matlab或者Python编程</w:t>
      </w:r>
      <w:r>
        <w:rPr>
          <w:rFonts w:hint="eastAsia"/>
          <w:szCs w:val="21"/>
        </w:rPr>
        <w:t>构建完整的图像与音视频编码软件</w:t>
      </w:r>
      <w:r>
        <w:rPr>
          <w:szCs w:val="21"/>
        </w:rPr>
        <w:t>，通过</w:t>
      </w:r>
      <w:r>
        <w:rPr>
          <w:rFonts w:hint="eastAsia"/>
          <w:szCs w:val="21"/>
        </w:rPr>
        <w:t>调整参数与编码算法模块，</w:t>
      </w:r>
      <w:r>
        <w:rPr>
          <w:szCs w:val="21"/>
        </w:rPr>
        <w:t>对比验证其猜想的合理性、普适性、局限性与先进性。[4</w:t>
      </w:r>
      <w:r>
        <w:rPr>
          <w:rFonts w:hint="eastAsia"/>
          <w:szCs w:val="21"/>
        </w:rPr>
        <w:t>.</w:t>
      </w:r>
      <w:r>
        <w:rPr>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kern w:val="0"/>
          <w:sz w:val="18"/>
          <w:szCs w:val="18"/>
        </w:rPr>
      </w:pPr>
      <w:r>
        <w:rPr>
          <w:b/>
          <w:kern w:val="0"/>
          <w:sz w:val="18"/>
          <w:szCs w:val="18"/>
        </w:rPr>
        <w:t>表1毕业要求指标点实现矩阵</w:t>
      </w:r>
    </w:p>
    <w:tbl>
      <w:tblPr>
        <w:tblStyle w:val="22"/>
        <w:tblW w:w="8681" w:type="dxa"/>
        <w:tblInd w:w="0" w:type="dxa"/>
        <w:shd w:val="clear" w:color="auto" w:fill="FEFEFF"/>
        <w:tblLayout w:type="fixed"/>
        <w:tblCellMar>
          <w:top w:w="0" w:type="dxa"/>
          <w:left w:w="0" w:type="dxa"/>
          <w:bottom w:w="0" w:type="dxa"/>
          <w:right w:w="0" w:type="dxa"/>
        </w:tblCellMar>
      </w:tblPr>
      <w:tblGrid>
        <w:gridCol w:w="1271"/>
        <w:gridCol w:w="5967"/>
        <w:gridCol w:w="875"/>
        <w:gridCol w:w="568"/>
      </w:tblGrid>
      <w:tr>
        <w:tblPrEx>
          <w:shd w:val="clear" w:color="auto" w:fill="FEFEFF"/>
          <w:tblCellMar>
            <w:top w:w="0" w:type="dxa"/>
            <w:left w:w="0" w:type="dxa"/>
            <w:bottom w:w="0" w:type="dxa"/>
            <w:right w:w="0" w:type="dxa"/>
          </w:tblCellMar>
        </w:tblPrEx>
        <w:trPr>
          <w:trHeight w:val="514" w:hRule="atLeast"/>
        </w:trPr>
        <w:tc>
          <w:tcPr>
            <w:tcW w:w="1271"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bCs/>
                <w:kern w:val="0"/>
                <w:sz w:val="18"/>
                <w:szCs w:val="18"/>
              </w:rPr>
            </w:pPr>
            <w:r>
              <w:rPr>
                <w:b/>
                <w:bCs/>
                <w:sz w:val="18"/>
                <w:szCs w:val="18"/>
              </w:rPr>
              <w:t>毕业要求</w:t>
            </w:r>
          </w:p>
        </w:tc>
        <w:tc>
          <w:tcPr>
            <w:tcW w:w="5967"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bCs/>
                <w:kern w:val="0"/>
                <w:sz w:val="18"/>
                <w:szCs w:val="18"/>
              </w:rPr>
            </w:pPr>
            <w:r>
              <w:rPr>
                <w:b/>
                <w:bCs/>
                <w:sz w:val="18"/>
                <w:szCs w:val="18"/>
              </w:rPr>
              <w:t>毕业要求指标点</w:t>
            </w:r>
          </w:p>
        </w:tc>
        <w:tc>
          <w:tcPr>
            <w:tcW w:w="875"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bCs/>
                <w:kern w:val="0"/>
                <w:sz w:val="18"/>
                <w:szCs w:val="18"/>
              </w:rPr>
            </w:pPr>
            <w:r>
              <w:rPr>
                <w:b/>
                <w:bCs/>
                <w:sz w:val="18"/>
                <w:szCs w:val="18"/>
              </w:rPr>
              <w:t>课程目标</w:t>
            </w:r>
          </w:p>
        </w:tc>
        <w:tc>
          <w:tcPr>
            <w:tcW w:w="568" w:type="dxa"/>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bCs/>
                <w:kern w:val="0"/>
                <w:sz w:val="18"/>
                <w:szCs w:val="18"/>
              </w:rPr>
            </w:pPr>
            <w:r>
              <w:rPr>
                <w:b/>
                <w:bCs/>
                <w:sz w:val="18"/>
                <w:szCs w:val="18"/>
              </w:rPr>
              <w:t>权重</w:t>
            </w:r>
          </w:p>
        </w:tc>
      </w:tr>
      <w:tr>
        <w:tblPrEx>
          <w:shd w:val="clear" w:color="auto" w:fill="FEFEFF"/>
          <w:tblCellMar>
            <w:top w:w="0" w:type="dxa"/>
            <w:left w:w="0" w:type="dxa"/>
            <w:bottom w:w="0" w:type="dxa"/>
            <w:right w:w="0" w:type="dxa"/>
          </w:tblCellMar>
        </w:tblPrEx>
        <w:tc>
          <w:tcPr>
            <w:tcW w:w="1271"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1．工程知识</w:t>
            </w:r>
          </w:p>
        </w:tc>
        <w:tc>
          <w:tcPr>
            <w:tcW w:w="5967"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w:t>
            </w:r>
            <w:r>
              <w:rPr>
                <w:rFonts w:hint="eastAsia"/>
                <w:sz w:val="18"/>
                <w:szCs w:val="18"/>
              </w:rPr>
              <w:t>.</w:t>
            </w:r>
            <w:r>
              <w:rPr>
                <w:sz w:val="18"/>
                <w:szCs w:val="18"/>
              </w:rPr>
              <w:t>1</w:t>
            </w:r>
            <w:r>
              <w:rPr>
                <w:rFonts w:hint="eastAsia"/>
                <w:sz w:val="18"/>
                <w:szCs w:val="18"/>
              </w:rPr>
              <w:t>掌握电子信息工程专业理论和知识体系的数学和自然科学知识，将其应用于信息技术（IT）行业知识和专业知识的学习</w:t>
            </w:r>
            <w:r>
              <w:rPr>
                <w:sz w:val="18"/>
                <w:szCs w:val="18"/>
              </w:rPr>
              <w:t>。</w:t>
            </w:r>
          </w:p>
        </w:tc>
        <w:tc>
          <w:tcPr>
            <w:tcW w:w="875"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sz w:val="18"/>
                <w:szCs w:val="18"/>
              </w:rPr>
            </w:pPr>
            <w:r>
              <w:rPr>
                <w:sz w:val="18"/>
                <w:szCs w:val="18"/>
              </w:rPr>
              <w:t>1</w:t>
            </w:r>
          </w:p>
        </w:tc>
        <w:tc>
          <w:tcPr>
            <w:tcW w:w="568" w:type="dxa"/>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color w:val="FF0000"/>
                <w:sz w:val="18"/>
                <w:szCs w:val="18"/>
              </w:rPr>
            </w:pPr>
            <w:r>
              <w:rPr>
                <w:color w:val="FF0000"/>
                <w:sz w:val="18"/>
                <w:szCs w:val="18"/>
              </w:rPr>
              <w:t>0.4</w:t>
            </w:r>
          </w:p>
        </w:tc>
      </w:tr>
      <w:tr>
        <w:tblPrEx>
          <w:shd w:val="clear" w:color="auto" w:fill="FEFEFF"/>
          <w:tblCellMar>
            <w:top w:w="0" w:type="dxa"/>
            <w:left w:w="0" w:type="dxa"/>
            <w:bottom w:w="0" w:type="dxa"/>
            <w:right w:w="0" w:type="dxa"/>
          </w:tblCellMar>
        </w:tblPrEx>
        <w:tc>
          <w:tcPr>
            <w:tcW w:w="1271"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2．问题分析</w:t>
            </w:r>
          </w:p>
        </w:tc>
        <w:tc>
          <w:tcPr>
            <w:tcW w:w="5967"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2</w:t>
            </w:r>
            <w:r>
              <w:rPr>
                <w:rFonts w:hint="eastAsia"/>
                <w:sz w:val="18"/>
                <w:szCs w:val="18"/>
              </w:rPr>
              <w:t>.</w:t>
            </w:r>
            <w:r>
              <w:rPr>
                <w:sz w:val="18"/>
                <w:szCs w:val="18"/>
              </w:rPr>
              <w:t>2</w:t>
            </w:r>
            <w:r>
              <w:rPr>
                <w:rFonts w:hint="eastAsia"/>
                <w:sz w:val="18"/>
                <w:szCs w:val="18"/>
              </w:rPr>
              <w:t>能运用电子信息工程专业基本原理和方法，综合考虑多种影响因素，分析电子信息工程（含海洋电子信息）领域复杂工程问题，选择和优化问题的解决方案。</w:t>
            </w:r>
          </w:p>
        </w:tc>
        <w:tc>
          <w:tcPr>
            <w:tcW w:w="875"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sz w:val="18"/>
                <w:szCs w:val="18"/>
              </w:rPr>
            </w:pPr>
            <w:r>
              <w:rPr>
                <w:sz w:val="18"/>
                <w:szCs w:val="18"/>
              </w:rPr>
              <w:t>2</w:t>
            </w:r>
          </w:p>
        </w:tc>
        <w:tc>
          <w:tcPr>
            <w:tcW w:w="568" w:type="dxa"/>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color w:val="FF0000"/>
                <w:sz w:val="18"/>
                <w:szCs w:val="18"/>
              </w:rPr>
            </w:pPr>
            <w:r>
              <w:rPr>
                <w:color w:val="FF0000"/>
                <w:sz w:val="18"/>
                <w:szCs w:val="18"/>
              </w:rPr>
              <w:t>0.4</w:t>
            </w:r>
          </w:p>
        </w:tc>
      </w:tr>
      <w:tr>
        <w:tblPrEx>
          <w:shd w:val="clear" w:color="auto" w:fill="FEFEFF"/>
          <w:tblCellMar>
            <w:top w:w="0" w:type="dxa"/>
            <w:left w:w="0" w:type="dxa"/>
            <w:bottom w:w="0" w:type="dxa"/>
            <w:right w:w="0" w:type="dxa"/>
          </w:tblCellMar>
        </w:tblPrEx>
        <w:tc>
          <w:tcPr>
            <w:tcW w:w="1271"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4．研究</w:t>
            </w:r>
          </w:p>
        </w:tc>
        <w:tc>
          <w:tcPr>
            <w:tcW w:w="5967"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4</w:t>
            </w:r>
            <w:r>
              <w:rPr>
                <w:rFonts w:hint="eastAsia"/>
                <w:sz w:val="18"/>
                <w:szCs w:val="18"/>
              </w:rPr>
              <w:t>.</w:t>
            </w:r>
            <w:r>
              <w:rPr>
                <w:sz w:val="18"/>
                <w:szCs w:val="18"/>
              </w:rPr>
              <w:t>1</w:t>
            </w:r>
            <w:r>
              <w:rPr>
                <w:rFonts w:hint="eastAsia"/>
                <w:sz w:val="18"/>
                <w:szCs w:val="18"/>
              </w:rPr>
              <w:t>具备基于电子信息科学原理并采用科学方法对复杂工程问题的技术路线、实验方案、软/硬件模块和存在的问题进行研究的能力</w:t>
            </w:r>
            <w:r>
              <w:rPr>
                <w:sz w:val="18"/>
                <w:szCs w:val="18"/>
              </w:rPr>
              <w:t>。</w:t>
            </w:r>
          </w:p>
        </w:tc>
        <w:tc>
          <w:tcPr>
            <w:tcW w:w="875"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jc w:val="center"/>
              <w:rPr>
                <w:sz w:val="18"/>
                <w:szCs w:val="18"/>
              </w:rPr>
            </w:pPr>
            <w:r>
              <w:rPr>
                <w:sz w:val="18"/>
                <w:szCs w:val="18"/>
              </w:rPr>
              <w:t>3</w:t>
            </w:r>
          </w:p>
        </w:tc>
        <w:tc>
          <w:tcPr>
            <w:tcW w:w="568" w:type="dxa"/>
            <w:tcBorders>
              <w:top w:val="single" w:color="auto" w:sz="4" w:space="0"/>
              <w:left w:val="single" w:color="auto" w:sz="4" w:space="0"/>
              <w:bottom w:val="single" w:color="auto" w:sz="4" w:space="0"/>
              <w:right w:val="single" w:color="auto" w:sz="4" w:space="0"/>
            </w:tcBorders>
            <w:shd w:val="clear" w:color="auto" w:fill="FEFEFF"/>
            <w:vAlign w:val="center"/>
          </w:tcPr>
          <w:p>
            <w:pPr>
              <w:snapToGrid w:val="0"/>
              <w:spacing w:line="300" w:lineRule="auto"/>
              <w:jc w:val="center"/>
              <w:rPr>
                <w:color w:val="FF0000"/>
                <w:sz w:val="18"/>
                <w:szCs w:val="18"/>
              </w:rPr>
            </w:pPr>
            <w:r>
              <w:rPr>
                <w:color w:val="FF0000"/>
                <w:sz w:val="18"/>
                <w:szCs w:val="18"/>
              </w:rPr>
              <w:t>0.2</w:t>
            </w:r>
          </w:p>
        </w:tc>
      </w:tr>
    </w:tbl>
    <w:p>
      <w:pPr>
        <w:snapToGrid w:val="0"/>
        <w:spacing w:line="300" w:lineRule="auto"/>
        <w:rPr>
          <w:sz w:val="18"/>
          <w:szCs w:val="18"/>
        </w:rPr>
      </w:pPr>
    </w:p>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2"/>
        <w:gridCol w:w="1395"/>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02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6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1．图像与音视频的编码原理学习目标：理解图像、音视频数据格式与信息关联性，以及通用的数据编码算法。</w:t>
            </w:r>
          </w:p>
          <w:p>
            <w:pPr>
              <w:snapToGrid w:val="0"/>
              <w:spacing w:line="300" w:lineRule="auto"/>
              <w:ind w:firstLine="360" w:firstLineChars="200"/>
              <w:rPr>
                <w:sz w:val="18"/>
                <w:szCs w:val="18"/>
                <w:shd w:val="clear" w:color="auto" w:fill="FEFEFF"/>
              </w:rPr>
            </w:pPr>
            <w:r>
              <w:rPr>
                <w:sz w:val="18"/>
                <w:szCs w:val="18"/>
                <w:shd w:val="clear" w:color="auto" w:fill="FEFEFF"/>
              </w:rPr>
              <w:t>理解图像与音频编码的基础概念与原理，能够以区别、解释或者举例的方式进行阐述以下知识点，例如：①能够列举图像、音频、以及视频的各种数据形式；②掌握常用霍夫曼、算数、LZW等通用数据压缩方法，能够将其运用于图像与音视频数据的压缩编码，并且进一步理解其缺陷；③了解音视频编解码算法的发展历程，理解其算法复杂度增长与计算机性能以及人工智能算法的关联性；④理解常用的音频、图像与视频的压缩原理，例如DPCM、MP3、JPEG、H261、MPEG-4以及VC-1等。</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通过课堂讲授与学生学习（小组讨论、实验与案例研讨）等达成。</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课堂表现与习题作业</w:t>
            </w:r>
            <w:r>
              <w:rPr>
                <w:rFonts w:hint="eastAsia"/>
                <w:sz w:val="18"/>
                <w:szCs w:val="18"/>
                <w:shd w:val="clear" w:color="auto" w:fill="FEFEFF"/>
              </w:rPr>
              <w:t>、以及</w:t>
            </w:r>
            <w:r>
              <w:rPr>
                <w:sz w:val="18"/>
                <w:szCs w:val="18"/>
                <w:shd w:val="clear" w:color="auto" w:fill="FEFEFF"/>
              </w:rPr>
              <w: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2</w:t>
            </w:r>
            <w:r>
              <w:rPr>
                <w:kern w:val="0"/>
                <w:szCs w:val="21"/>
              </w:rPr>
              <w:t>．</w:t>
            </w:r>
            <w:r>
              <w:rPr>
                <w:rFonts w:hint="eastAsia"/>
                <w:sz w:val="18"/>
                <w:szCs w:val="18"/>
                <w:shd w:val="clear" w:color="auto" w:fill="FEFEFF"/>
              </w:rPr>
              <w:t>理论分析与算法性能验证技能目标：理解图像与音频编码的基本原理，对图像与音频编码过程利用Matlab或者Python代码进行算法建模分析与实现，并验证其算法的优缺点，以及提出优化与改进算法。</w:t>
            </w:r>
          </w:p>
          <w:p>
            <w:pPr>
              <w:snapToGrid w:val="0"/>
              <w:spacing w:line="300" w:lineRule="auto"/>
              <w:ind w:firstLine="360" w:firstLineChars="200"/>
              <w:rPr>
                <w:sz w:val="18"/>
                <w:szCs w:val="18"/>
                <w:shd w:val="clear" w:color="auto" w:fill="FEFEFF"/>
              </w:rPr>
            </w:pPr>
            <w:r>
              <w:rPr>
                <w:rFonts w:hint="eastAsia"/>
                <w:sz w:val="18"/>
                <w:szCs w:val="18"/>
                <w:shd w:val="clear" w:color="auto" w:fill="FEFEFF"/>
              </w:rPr>
              <w:t>依据通用数据编码算法的数学模型，运用Matlab或者Python语言编写代码，编写GUI、可变长的参数接口解析函数以及运行结果的图像与曲线，验证其压缩编码性能；进一步理解通用数据编码算法在图像与音视频编码领域的应用升级</w:t>
            </w:r>
            <w:r>
              <w:rPr>
                <w:sz w:val="18"/>
                <w:szCs w:val="18"/>
                <w:shd w:val="clear" w:color="auto" w:fill="FEFEFF"/>
              </w:rPr>
              <w:t>。</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通过课堂讲授与学生学习（小组讨论、实验与案例研讨）等达成。</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p>
          <w:p>
            <w:pPr>
              <w:snapToGrid w:val="0"/>
              <w:spacing w:line="300" w:lineRule="auto"/>
              <w:rPr>
                <w:sz w:val="18"/>
                <w:szCs w:val="18"/>
                <w:shd w:val="clear" w:color="auto" w:fill="FEFEFF"/>
              </w:rPr>
            </w:pPr>
            <w:r>
              <w:rPr>
                <w:sz w:val="18"/>
                <w:szCs w:val="18"/>
                <w:shd w:val="clear" w:color="auto" w:fill="FEFEFF"/>
              </w:rPr>
              <w:t>实验与课程设计论文的课堂验收。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3．</w:t>
            </w:r>
            <w:r>
              <w:rPr>
                <w:rFonts w:hint="eastAsia"/>
                <w:sz w:val="18"/>
                <w:szCs w:val="18"/>
                <w:shd w:val="clear" w:color="auto" w:fill="FEFEFF"/>
              </w:rPr>
              <w:t>编码算法研究技能目标：具备基于图像与音频编码原理并采用科学方法对复杂图像与音频编码工程问题的技术路线，实验方案、软/硬件模块和存在的问题进行研究的能力。</w:t>
            </w:r>
          </w:p>
          <w:p>
            <w:pPr>
              <w:snapToGrid w:val="0"/>
              <w:spacing w:line="300" w:lineRule="auto"/>
              <w:ind w:firstLine="360" w:firstLineChars="200"/>
              <w:rPr>
                <w:sz w:val="18"/>
                <w:szCs w:val="18"/>
                <w:shd w:val="clear" w:color="auto" w:fill="FEFEFF"/>
              </w:rPr>
            </w:pPr>
            <w:r>
              <w:rPr>
                <w:rFonts w:hint="eastAsia"/>
                <w:sz w:val="18"/>
                <w:szCs w:val="18"/>
                <w:shd w:val="clear" w:color="auto" w:fill="FEFEFF"/>
              </w:rPr>
              <w:t>通过期刊网站、搜索引擎、专业论坛以及交流群，检索多个时期与多个理论深度的文献，了解数据/音频/图像/视频的编码压缩理论的发展过程以及研究前沿，掌握图像与音频编码的完整过程与参数含义，并产生理论猜想。通过Matlab或者Python编程构建完整的图像与音视频编码软件，通过调整参数与编码算法模块，对比验证其猜想的合理性、普适性、局限性与先进性</w:t>
            </w:r>
            <w:r>
              <w:rPr>
                <w:sz w:val="18"/>
                <w:szCs w:val="18"/>
                <w:shd w:val="clear" w:color="auto" w:fill="FEFEFF"/>
              </w:rPr>
              <w:t>。</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p>
          <w:p>
            <w:pPr>
              <w:snapToGrid w:val="0"/>
              <w:spacing w:line="300" w:lineRule="auto"/>
              <w:rPr>
                <w:sz w:val="18"/>
                <w:szCs w:val="18"/>
                <w:shd w:val="clear" w:color="auto" w:fill="FEFEFF"/>
              </w:rPr>
            </w:pPr>
            <w:r>
              <w:rPr>
                <w:sz w:val="18"/>
                <w:szCs w:val="18"/>
                <w:shd w:val="clear" w:color="auto" w:fill="FEFEFF"/>
              </w:rPr>
              <w:t>通过课堂讲授与学生学习（小组讨论、实验与案例研讨）等达成。</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p>
          <w:p>
            <w:pPr>
              <w:snapToGrid w:val="0"/>
              <w:spacing w:line="300" w:lineRule="auto"/>
              <w:rPr>
                <w:sz w:val="18"/>
                <w:szCs w:val="18"/>
                <w:shd w:val="clear" w:color="auto" w:fill="FEFEFF"/>
              </w:rPr>
            </w:pPr>
            <w:r>
              <w:rPr>
                <w:sz w:val="18"/>
                <w:szCs w:val="18"/>
                <w:shd w:val="clear" w:color="auto" w:fill="FEFEFF"/>
              </w:rPr>
              <w:t>课程设计论文的课堂验收。</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1．理论教学环节紧密结合实践环节：本课程是一门偏重于理论教学的课程，目前理论教学和实践教学的比例确定为</w:t>
      </w:r>
      <w:r>
        <w:rPr>
          <w:rFonts w:hint="eastAsia"/>
          <w:szCs w:val="21"/>
        </w:rPr>
        <w:t>3</w:t>
      </w:r>
      <w:r>
        <w:rPr>
          <w:szCs w:val="21"/>
        </w:rPr>
        <w:t>:1，强调学生通过实践深入理论研究能力的培养。课堂讲授注重原理剖析与算法性能演示，其讲授内容与专业相关实践教学环节和场景相互呼应。</w:t>
      </w:r>
    </w:p>
    <w:p>
      <w:pPr>
        <w:snapToGrid w:val="0"/>
        <w:spacing w:line="300" w:lineRule="auto"/>
        <w:ind w:firstLine="420" w:firstLineChars="200"/>
        <w:rPr>
          <w:szCs w:val="21"/>
        </w:rPr>
      </w:pPr>
      <w:r>
        <w:rPr>
          <w:szCs w:val="21"/>
        </w:rPr>
        <w:t>2．提高学生参与理论与实践教学环节的兴趣：①从浅显的视觉与听觉感知入手，利用错觉案例帮助学生理解信息与数据之间的关联性与差异性；②利用算法对每个小组自行采样的数据进行压缩，体验其算法性能。</w:t>
      </w:r>
    </w:p>
    <w:p>
      <w:pPr>
        <w:snapToGrid w:val="0"/>
        <w:spacing w:line="300" w:lineRule="auto"/>
        <w:ind w:firstLine="420" w:firstLineChars="200"/>
        <w:rPr>
          <w:szCs w:val="21"/>
        </w:rPr>
      </w:pPr>
      <w:r>
        <w:rPr>
          <w:szCs w:val="21"/>
        </w:rPr>
        <w:t>3．实践教学环节落实教学效果：以课堂提问验收为主，报告形式为辅。通过对每一组同学每个实验的课堂提问验收，以及期末课程设计论文的课堂提问验收，一方面在实验课堂辅导的基础上增加了与学生进行实践经验交流的环节，另一方面督促学生切实理解和掌握实践环节的每个知识点，确保实践教学的成效。</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b/>
          <w:bCs/>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392"/>
        <w:gridCol w:w="5207"/>
        <w:gridCol w:w="589"/>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531" w:type="dxa"/>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1392" w:type="dxa"/>
            <w:vAlign w:val="center"/>
          </w:tcPr>
          <w:p>
            <w:pPr>
              <w:widowControl/>
              <w:snapToGrid w:val="0"/>
              <w:jc w:val="center"/>
              <w:rPr>
                <w:b/>
                <w:kern w:val="0"/>
                <w:sz w:val="18"/>
                <w:szCs w:val="18"/>
              </w:rPr>
            </w:pPr>
            <w:r>
              <w:rPr>
                <w:b/>
                <w:kern w:val="0"/>
                <w:sz w:val="18"/>
                <w:szCs w:val="18"/>
              </w:rPr>
              <w:t>教学内容</w:t>
            </w:r>
          </w:p>
        </w:tc>
        <w:tc>
          <w:tcPr>
            <w:tcW w:w="5207" w:type="dxa"/>
            <w:vAlign w:val="center"/>
          </w:tcPr>
          <w:p>
            <w:pPr>
              <w:widowControl/>
              <w:snapToGrid w:val="0"/>
              <w:jc w:val="center"/>
              <w:rPr>
                <w:b/>
                <w:kern w:val="0"/>
                <w:sz w:val="18"/>
                <w:szCs w:val="18"/>
              </w:rPr>
            </w:pPr>
            <w:r>
              <w:rPr>
                <w:b/>
                <w:kern w:val="0"/>
                <w:sz w:val="18"/>
                <w:szCs w:val="18"/>
              </w:rPr>
              <w:t>教与学的要求</w:t>
            </w:r>
          </w:p>
        </w:tc>
        <w:tc>
          <w:tcPr>
            <w:tcW w:w="589" w:type="dxa"/>
            <w:vAlign w:val="center"/>
          </w:tcPr>
          <w:p>
            <w:pPr>
              <w:widowControl/>
              <w:snapToGrid w:val="0"/>
              <w:jc w:val="center"/>
              <w:rPr>
                <w:b/>
                <w:kern w:val="0"/>
                <w:sz w:val="18"/>
                <w:szCs w:val="18"/>
              </w:rPr>
            </w:pPr>
            <w:r>
              <w:rPr>
                <w:b/>
                <w:kern w:val="0"/>
                <w:sz w:val="18"/>
                <w:szCs w:val="18"/>
              </w:rPr>
              <w:t>学时</w:t>
            </w:r>
          </w:p>
        </w:tc>
        <w:tc>
          <w:tcPr>
            <w:tcW w:w="962" w:type="dxa"/>
            <w:vAlign w:val="center"/>
          </w:tcPr>
          <w:p>
            <w:pPr>
              <w:widowControl/>
              <w:snapToGrid w:val="0"/>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1" w:type="dxa"/>
            <w:tcMar>
              <w:left w:w="57" w:type="dxa"/>
              <w:right w:w="57" w:type="dxa"/>
            </w:tcMar>
            <w:vAlign w:val="center"/>
          </w:tcPr>
          <w:p>
            <w:pPr>
              <w:snapToGrid w:val="0"/>
              <w:spacing w:line="300" w:lineRule="auto"/>
              <w:jc w:val="center"/>
              <w:rPr>
                <w:sz w:val="18"/>
                <w:szCs w:val="18"/>
              </w:rPr>
            </w:pPr>
            <w:r>
              <w:rPr>
                <w:sz w:val="18"/>
                <w:szCs w:val="18"/>
              </w:rPr>
              <w:t>1</w:t>
            </w:r>
          </w:p>
        </w:tc>
        <w:tc>
          <w:tcPr>
            <w:tcW w:w="1392" w:type="dxa"/>
            <w:vAlign w:val="center"/>
          </w:tcPr>
          <w:p>
            <w:pPr>
              <w:snapToGrid w:val="0"/>
              <w:spacing w:line="300" w:lineRule="auto"/>
              <w:rPr>
                <w:sz w:val="18"/>
                <w:szCs w:val="18"/>
              </w:rPr>
            </w:pPr>
            <w:r>
              <w:rPr>
                <w:sz w:val="18"/>
                <w:szCs w:val="18"/>
              </w:rPr>
              <w:t>1 感知</w:t>
            </w:r>
          </w:p>
          <w:p>
            <w:pPr>
              <w:snapToGrid w:val="0"/>
              <w:spacing w:line="300" w:lineRule="auto"/>
              <w:rPr>
                <w:sz w:val="18"/>
                <w:szCs w:val="18"/>
              </w:rPr>
            </w:pPr>
            <w:r>
              <w:rPr>
                <w:sz w:val="18"/>
                <w:szCs w:val="18"/>
              </w:rPr>
              <w:t>1.1视觉感知与信息提取</w:t>
            </w:r>
          </w:p>
          <w:p>
            <w:pPr>
              <w:snapToGrid w:val="0"/>
              <w:spacing w:line="300" w:lineRule="auto"/>
              <w:rPr>
                <w:sz w:val="18"/>
                <w:szCs w:val="18"/>
              </w:rPr>
            </w:pPr>
            <w:r>
              <w:rPr>
                <w:sz w:val="18"/>
                <w:szCs w:val="18"/>
              </w:rPr>
              <w:t>1.2听觉感知与信息提取</w:t>
            </w:r>
          </w:p>
          <w:p>
            <w:pPr>
              <w:snapToGrid w:val="0"/>
              <w:spacing w:line="300" w:lineRule="auto"/>
              <w:rPr>
                <w:sz w:val="18"/>
                <w:szCs w:val="18"/>
              </w:rPr>
            </w:pPr>
            <w:r>
              <w:rPr>
                <w:sz w:val="18"/>
                <w:szCs w:val="18"/>
              </w:rPr>
              <w:t>1.3</w:t>
            </w:r>
            <w:r>
              <w:rPr>
                <w:rFonts w:hint="eastAsia"/>
                <w:b/>
                <w:bCs/>
                <w:sz w:val="18"/>
                <w:szCs w:val="18"/>
              </w:rPr>
              <w:t>课程思政</w:t>
            </w:r>
            <w:r>
              <w:rPr>
                <w:rFonts w:hint="eastAsia"/>
                <w:sz w:val="18"/>
                <w:szCs w:val="18"/>
              </w:rPr>
              <w:t>：</w:t>
            </w:r>
            <w:r>
              <w:rPr>
                <w:sz w:val="18"/>
                <w:szCs w:val="18"/>
              </w:rPr>
              <w:t>音视频压缩算法的科技前沿以及我国自主研发的AVS标准</w:t>
            </w:r>
          </w:p>
        </w:tc>
        <w:tc>
          <w:tcPr>
            <w:tcW w:w="52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 xml:space="preserve">（1）了解：感知的过程; </w:t>
            </w:r>
          </w:p>
          <w:p>
            <w:pPr>
              <w:snapToGrid w:val="0"/>
              <w:spacing w:line="300" w:lineRule="auto"/>
              <w:rPr>
                <w:sz w:val="18"/>
                <w:szCs w:val="18"/>
              </w:rPr>
            </w:pPr>
            <w:r>
              <w:rPr>
                <w:sz w:val="18"/>
                <w:szCs w:val="18"/>
              </w:rPr>
              <w:t>（2）理解：感知的信息提取过程</w:t>
            </w:r>
          </w:p>
          <w:p>
            <w:pPr>
              <w:snapToGrid w:val="0"/>
              <w:spacing w:line="300" w:lineRule="auto"/>
              <w:rPr>
                <w:sz w:val="18"/>
                <w:szCs w:val="18"/>
              </w:rPr>
            </w:pPr>
            <w:r>
              <w:rPr>
                <w:sz w:val="18"/>
                <w:szCs w:val="18"/>
              </w:rPr>
              <w:t>（3）掌握：感知相对于信息的冗余。</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（1）通过网上搜索，下载一些音视频研究的标准测试样本数据。</w:t>
            </w:r>
          </w:p>
          <w:p>
            <w:pPr>
              <w:snapToGrid w:val="0"/>
              <w:spacing w:line="300" w:lineRule="auto"/>
              <w:rPr>
                <w:sz w:val="18"/>
                <w:szCs w:val="18"/>
              </w:rPr>
            </w:pPr>
            <w:r>
              <w:rPr>
                <w:sz w:val="18"/>
                <w:szCs w:val="18"/>
              </w:rPr>
              <w:t>（2）在网上查阅资料，理解人类感知的生理特性。</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案例1：针对问题——“看”的过程是什么，通过视觉感知的生理构造以及视觉错觉的案例，帮助学生理解视觉的生理感知、心理感知与信息加工的过程。</w:t>
            </w:r>
          </w:p>
          <w:p>
            <w:pPr>
              <w:snapToGrid w:val="0"/>
              <w:spacing w:line="300" w:lineRule="auto"/>
              <w:rPr>
                <w:sz w:val="18"/>
                <w:szCs w:val="18"/>
              </w:rPr>
            </w:pPr>
            <w:r>
              <w:rPr>
                <w:sz w:val="18"/>
                <w:szCs w:val="18"/>
              </w:rPr>
              <w:t>案例2：针对问题——“听”的过程是什么，通过听觉感知的生理构造以及听觉错觉的案例，介绍听觉的生理感知、心理感知与信息加工的过程。</w:t>
            </w:r>
          </w:p>
          <w:p>
            <w:pPr>
              <w:snapToGrid w:val="0"/>
              <w:spacing w:line="300" w:lineRule="auto"/>
              <w:rPr>
                <w:sz w:val="18"/>
                <w:szCs w:val="18"/>
              </w:rPr>
            </w:pPr>
            <w:r>
              <w:rPr>
                <w:sz w:val="18"/>
                <w:szCs w:val="18"/>
              </w:rPr>
              <w:t>案例3：</w:t>
            </w:r>
            <w:r>
              <w:rPr>
                <w:rFonts w:hint="eastAsia"/>
                <w:b/>
                <w:bCs/>
                <w:sz w:val="18"/>
                <w:szCs w:val="18"/>
              </w:rPr>
              <w:t>课程思政</w:t>
            </w:r>
            <w:r>
              <w:rPr>
                <w:rFonts w:hint="eastAsia"/>
                <w:sz w:val="18"/>
                <w:szCs w:val="18"/>
              </w:rPr>
              <w:t>，</w:t>
            </w:r>
            <w:r>
              <w:rPr>
                <w:sz w:val="18"/>
                <w:szCs w:val="18"/>
              </w:rPr>
              <w:t>针对问题——为什么需要交音视频编解码专利，通过介绍HEVC 推出专利使用费标准（例如，4K 电视每台1.5美元的专利使用费）、我国每年大约通过外汇支出2.3亿人民币支付音视频编解码专利使用费、以及我国通过自主研发的AVS标准减少专利费的支出，强调音视频编解码技术研发的重要性，是一项需要持续研发的重要技术领域，激发学生的学习热情与爱国情怀</w:t>
            </w:r>
            <w:r>
              <w:rPr>
                <w:b/>
                <w:bCs/>
                <w:sz w:val="18"/>
                <w:szCs w:val="18"/>
              </w:rPr>
              <w:t>。</w:t>
            </w:r>
          </w:p>
        </w:tc>
        <w:tc>
          <w:tcPr>
            <w:tcW w:w="589" w:type="dxa"/>
            <w:vAlign w:val="center"/>
          </w:tcPr>
          <w:p>
            <w:pPr>
              <w:snapToGrid w:val="0"/>
              <w:spacing w:line="300" w:lineRule="auto"/>
              <w:jc w:val="center"/>
              <w:rPr>
                <w:sz w:val="18"/>
                <w:szCs w:val="18"/>
              </w:rPr>
            </w:pPr>
            <w:r>
              <w:rPr>
                <w:sz w:val="18"/>
                <w:szCs w:val="18"/>
              </w:rPr>
              <w:t>2</w:t>
            </w:r>
          </w:p>
        </w:tc>
        <w:tc>
          <w:tcPr>
            <w:tcW w:w="962"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1" w:type="dxa"/>
            <w:tcMar>
              <w:left w:w="57" w:type="dxa"/>
              <w:right w:w="57" w:type="dxa"/>
            </w:tcMar>
            <w:vAlign w:val="center"/>
          </w:tcPr>
          <w:p>
            <w:pPr>
              <w:snapToGrid w:val="0"/>
              <w:spacing w:line="300" w:lineRule="auto"/>
              <w:jc w:val="center"/>
              <w:rPr>
                <w:sz w:val="18"/>
                <w:szCs w:val="18"/>
              </w:rPr>
            </w:pPr>
            <w:r>
              <w:rPr>
                <w:sz w:val="18"/>
                <w:szCs w:val="18"/>
              </w:rPr>
              <w:t>2</w:t>
            </w:r>
          </w:p>
        </w:tc>
        <w:tc>
          <w:tcPr>
            <w:tcW w:w="1392" w:type="dxa"/>
            <w:vAlign w:val="center"/>
          </w:tcPr>
          <w:p>
            <w:pPr>
              <w:snapToGrid w:val="0"/>
              <w:spacing w:line="300" w:lineRule="auto"/>
              <w:rPr>
                <w:sz w:val="18"/>
                <w:szCs w:val="18"/>
              </w:rPr>
            </w:pPr>
            <w:r>
              <w:rPr>
                <w:sz w:val="18"/>
                <w:szCs w:val="18"/>
              </w:rPr>
              <w:t>2 未压缩的音视频</w:t>
            </w:r>
          </w:p>
          <w:p>
            <w:pPr>
              <w:snapToGrid w:val="0"/>
              <w:spacing w:line="300" w:lineRule="auto"/>
              <w:rPr>
                <w:sz w:val="18"/>
                <w:szCs w:val="18"/>
              </w:rPr>
            </w:pPr>
            <w:r>
              <w:rPr>
                <w:sz w:val="18"/>
                <w:szCs w:val="18"/>
              </w:rPr>
              <w:t>2.1 采样与量化</w:t>
            </w:r>
          </w:p>
          <w:p>
            <w:pPr>
              <w:snapToGrid w:val="0"/>
              <w:spacing w:line="300" w:lineRule="auto"/>
              <w:rPr>
                <w:sz w:val="18"/>
                <w:szCs w:val="18"/>
              </w:rPr>
            </w:pPr>
            <w:r>
              <w:rPr>
                <w:sz w:val="18"/>
                <w:szCs w:val="18"/>
              </w:rPr>
              <w:t>2.2 颜色空间</w:t>
            </w:r>
          </w:p>
          <w:p>
            <w:pPr>
              <w:snapToGrid w:val="0"/>
              <w:spacing w:line="300" w:lineRule="auto"/>
              <w:rPr>
                <w:sz w:val="18"/>
                <w:szCs w:val="18"/>
              </w:rPr>
            </w:pPr>
            <w:r>
              <w:rPr>
                <w:sz w:val="18"/>
                <w:szCs w:val="18"/>
              </w:rPr>
              <w:t>2.3 量化误差</w:t>
            </w:r>
          </w:p>
        </w:tc>
        <w:tc>
          <w:tcPr>
            <w:tcW w:w="52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（1）了解：采样、量化的概念；</w:t>
            </w:r>
          </w:p>
          <w:p>
            <w:pPr>
              <w:snapToGrid w:val="0"/>
              <w:spacing w:line="300" w:lineRule="auto"/>
              <w:rPr>
                <w:sz w:val="18"/>
                <w:szCs w:val="18"/>
              </w:rPr>
            </w:pPr>
            <w:r>
              <w:rPr>
                <w:sz w:val="18"/>
                <w:szCs w:val="18"/>
              </w:rPr>
              <w:t>（2）理解：采样、量化的误差；</w:t>
            </w:r>
          </w:p>
          <w:p>
            <w:pPr>
              <w:snapToGrid w:val="0"/>
              <w:spacing w:line="300" w:lineRule="auto"/>
              <w:rPr>
                <w:sz w:val="18"/>
                <w:szCs w:val="18"/>
              </w:rPr>
            </w:pPr>
            <w:r>
              <w:rPr>
                <w:sz w:val="18"/>
                <w:szCs w:val="18"/>
              </w:rPr>
              <w:t>（3）掌握：颜色空间转换的方法。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（1）安装的Matlab或者Python软件，并编程实现数据加载与显示的GUI界面。</w:t>
            </w:r>
          </w:p>
          <w:p>
            <w:pPr>
              <w:snapToGrid w:val="0"/>
              <w:spacing w:line="300" w:lineRule="auto"/>
              <w:rPr>
                <w:sz w:val="18"/>
                <w:szCs w:val="18"/>
              </w:rPr>
            </w:pPr>
            <w:r>
              <w:rPr>
                <w:sz w:val="18"/>
                <w:szCs w:val="18"/>
              </w:rPr>
              <w:t>（2）对标准测试样本图像，利用Matlab或者Python编程分别实现下采样和量化，观察图像细节的丢失程度。</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案例4：针对问题——奈奎斯特频率对于音视频数据采集的参考意义，通过不同的下采样图像的案例演示奈奎斯特频率对主观感受的影响。</w:t>
            </w:r>
          </w:p>
          <w:p>
            <w:pPr>
              <w:snapToGrid w:val="0"/>
              <w:spacing w:line="300" w:lineRule="auto"/>
              <w:rPr>
                <w:sz w:val="18"/>
                <w:szCs w:val="18"/>
              </w:rPr>
            </w:pPr>
            <w:r>
              <w:rPr>
                <w:sz w:val="18"/>
                <w:szCs w:val="18"/>
              </w:rPr>
              <w:t>案例5：针对问题——量化对音视频压缩的作用与代价，通过调整量化系数，演示采用不同的量化系数后的音视频的数据压缩程度以及音视频主观感受的变化。</w:t>
            </w:r>
          </w:p>
          <w:p>
            <w:pPr>
              <w:snapToGrid w:val="0"/>
              <w:spacing w:line="300" w:lineRule="auto"/>
              <w:rPr>
                <w:sz w:val="18"/>
                <w:szCs w:val="18"/>
              </w:rPr>
            </w:pPr>
            <w:r>
              <w:rPr>
                <w:sz w:val="18"/>
                <w:szCs w:val="18"/>
              </w:rPr>
              <w:t>案例6：针对问题——颜色空间转换对于数据压缩的意义，通过演示不同色度空间的不同色度分量空间，了解人类对不同颜色的主观感受差异，理解客观色度与主观色度的区别。</w:t>
            </w:r>
          </w:p>
        </w:tc>
        <w:tc>
          <w:tcPr>
            <w:tcW w:w="589" w:type="dxa"/>
            <w:vAlign w:val="center"/>
          </w:tcPr>
          <w:p>
            <w:pPr>
              <w:snapToGrid w:val="0"/>
              <w:spacing w:line="300" w:lineRule="auto"/>
              <w:jc w:val="center"/>
              <w:rPr>
                <w:sz w:val="18"/>
                <w:szCs w:val="18"/>
              </w:rPr>
            </w:pPr>
            <w:r>
              <w:rPr>
                <w:sz w:val="18"/>
                <w:szCs w:val="18"/>
              </w:rPr>
              <w:t>2</w:t>
            </w:r>
          </w:p>
        </w:tc>
        <w:tc>
          <w:tcPr>
            <w:tcW w:w="962"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1" w:type="dxa"/>
            <w:tcMar>
              <w:left w:w="57" w:type="dxa"/>
              <w:right w:w="57" w:type="dxa"/>
            </w:tcMar>
            <w:vAlign w:val="center"/>
          </w:tcPr>
          <w:p>
            <w:pPr>
              <w:snapToGrid w:val="0"/>
              <w:spacing w:line="300" w:lineRule="auto"/>
              <w:jc w:val="center"/>
              <w:rPr>
                <w:sz w:val="18"/>
                <w:szCs w:val="18"/>
              </w:rPr>
            </w:pPr>
            <w:r>
              <w:rPr>
                <w:sz w:val="18"/>
                <w:szCs w:val="18"/>
              </w:rPr>
              <w:t>3</w:t>
            </w:r>
          </w:p>
        </w:tc>
        <w:tc>
          <w:tcPr>
            <w:tcW w:w="1392" w:type="dxa"/>
            <w:vAlign w:val="center"/>
          </w:tcPr>
          <w:p>
            <w:pPr>
              <w:snapToGrid w:val="0"/>
              <w:spacing w:line="300" w:lineRule="auto"/>
              <w:rPr>
                <w:sz w:val="18"/>
                <w:szCs w:val="18"/>
              </w:rPr>
            </w:pPr>
            <w:r>
              <w:rPr>
                <w:sz w:val="18"/>
                <w:szCs w:val="18"/>
              </w:rPr>
              <w:t>3 压缩编码基础</w:t>
            </w:r>
          </w:p>
          <w:p>
            <w:pPr>
              <w:snapToGrid w:val="0"/>
              <w:spacing w:line="300" w:lineRule="auto"/>
              <w:rPr>
                <w:sz w:val="18"/>
                <w:szCs w:val="18"/>
              </w:rPr>
            </w:pPr>
            <w:r>
              <w:rPr>
                <w:sz w:val="18"/>
                <w:szCs w:val="18"/>
              </w:rPr>
              <w:t>3.1 信息论基础</w:t>
            </w:r>
          </w:p>
          <w:p>
            <w:pPr>
              <w:snapToGrid w:val="0"/>
              <w:spacing w:line="300" w:lineRule="auto"/>
              <w:rPr>
                <w:sz w:val="18"/>
                <w:szCs w:val="18"/>
              </w:rPr>
            </w:pPr>
            <w:r>
              <w:rPr>
                <w:sz w:val="18"/>
                <w:szCs w:val="18"/>
              </w:rPr>
              <w:t>3.2 香农编码定理</w:t>
            </w:r>
          </w:p>
          <w:p>
            <w:pPr>
              <w:snapToGrid w:val="0"/>
              <w:spacing w:line="300" w:lineRule="auto"/>
              <w:rPr>
                <w:sz w:val="18"/>
                <w:szCs w:val="18"/>
              </w:rPr>
            </w:pPr>
            <w:r>
              <w:rPr>
                <w:sz w:val="18"/>
                <w:szCs w:val="18"/>
              </w:rPr>
              <w:t>3.3 HUFFMAN编码</w:t>
            </w:r>
          </w:p>
          <w:p>
            <w:pPr>
              <w:snapToGrid w:val="0"/>
              <w:spacing w:line="300" w:lineRule="auto"/>
              <w:rPr>
                <w:sz w:val="18"/>
                <w:szCs w:val="18"/>
              </w:rPr>
            </w:pPr>
            <w:r>
              <w:rPr>
                <w:sz w:val="18"/>
                <w:szCs w:val="18"/>
              </w:rPr>
              <w:t>3.4 算数编码</w:t>
            </w:r>
          </w:p>
          <w:p>
            <w:pPr>
              <w:snapToGrid w:val="0"/>
              <w:spacing w:line="300" w:lineRule="auto"/>
              <w:rPr>
                <w:sz w:val="18"/>
                <w:szCs w:val="18"/>
              </w:rPr>
            </w:pPr>
            <w:r>
              <w:rPr>
                <w:sz w:val="18"/>
                <w:szCs w:val="18"/>
              </w:rPr>
              <w:t>3.5 LZW 编码</w:t>
            </w:r>
          </w:p>
          <w:p>
            <w:pPr>
              <w:snapToGrid w:val="0"/>
              <w:spacing w:line="300" w:lineRule="auto"/>
              <w:rPr>
                <w:sz w:val="18"/>
                <w:szCs w:val="18"/>
              </w:rPr>
            </w:pPr>
            <w:r>
              <w:rPr>
                <w:sz w:val="18"/>
                <w:szCs w:val="18"/>
              </w:rPr>
              <w:t>3.6 游程编码</w:t>
            </w:r>
          </w:p>
        </w:tc>
        <w:tc>
          <w:tcPr>
            <w:tcW w:w="52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（1）了解：熵对于压缩的意义；</w:t>
            </w:r>
          </w:p>
          <w:p>
            <w:pPr>
              <w:snapToGrid w:val="0"/>
              <w:spacing w:line="300" w:lineRule="auto"/>
              <w:rPr>
                <w:sz w:val="18"/>
                <w:szCs w:val="18"/>
              </w:rPr>
            </w:pPr>
            <w:r>
              <w:rPr>
                <w:sz w:val="18"/>
                <w:szCs w:val="18"/>
              </w:rPr>
              <w:t>（2）理解：压缩算法策略的分类；</w:t>
            </w:r>
          </w:p>
          <w:p>
            <w:pPr>
              <w:snapToGrid w:val="0"/>
              <w:spacing w:line="300" w:lineRule="auto"/>
              <w:rPr>
                <w:sz w:val="18"/>
                <w:szCs w:val="18"/>
              </w:rPr>
            </w:pPr>
            <w:r>
              <w:rPr>
                <w:sz w:val="18"/>
                <w:szCs w:val="18"/>
              </w:rPr>
              <w:t>（3）掌握：数据压缩的常用方法。</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（1）通过Matlab或者Python语言编程实现GUI界面，实现文本的输入及其压缩数据的内容显示、压缩性能计算等。</w:t>
            </w:r>
          </w:p>
          <w:p>
            <w:pPr>
              <w:snapToGrid w:val="0"/>
              <w:spacing w:line="300" w:lineRule="auto"/>
              <w:rPr>
                <w:sz w:val="18"/>
                <w:szCs w:val="18"/>
              </w:rPr>
            </w:pPr>
            <w:r>
              <w:rPr>
                <w:sz w:val="18"/>
                <w:szCs w:val="18"/>
              </w:rPr>
              <w:t>（2）利用Matlab或者Python编程，采用HUFFMAN 编码、算数编码、LZW 编码以及游程编码等其中一种算法，对一段重复度较高的字符串进行压缩编码，观察其压缩程度的差异性。</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案例7：针对问题——HUFFMAN与算术编码的差异性与相似性，采用相同的一段字符串HUFFMAN 编码与算数编码的相似性。</w:t>
            </w:r>
          </w:p>
          <w:p>
            <w:pPr>
              <w:snapToGrid w:val="0"/>
              <w:spacing w:line="300" w:lineRule="auto"/>
              <w:rPr>
                <w:sz w:val="18"/>
                <w:szCs w:val="18"/>
              </w:rPr>
            </w:pPr>
            <w:r>
              <w:rPr>
                <w:sz w:val="18"/>
                <w:szCs w:val="18"/>
              </w:rPr>
              <w:t>案例8：针对问题——LZW与游程编码的差异性与相似性，采用相同的一段字符串LZW编码与游程编码的相似性。</w:t>
            </w:r>
          </w:p>
        </w:tc>
        <w:tc>
          <w:tcPr>
            <w:tcW w:w="589" w:type="dxa"/>
            <w:vAlign w:val="center"/>
          </w:tcPr>
          <w:p>
            <w:pPr>
              <w:snapToGrid w:val="0"/>
              <w:spacing w:line="300" w:lineRule="auto"/>
              <w:jc w:val="center"/>
              <w:rPr>
                <w:sz w:val="18"/>
                <w:szCs w:val="18"/>
              </w:rPr>
            </w:pPr>
            <w:r>
              <w:rPr>
                <w:rFonts w:hint="eastAsia"/>
                <w:sz w:val="18"/>
                <w:szCs w:val="18"/>
              </w:rPr>
              <w:t>6</w:t>
            </w:r>
          </w:p>
        </w:tc>
        <w:tc>
          <w:tcPr>
            <w:tcW w:w="962"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1" w:type="dxa"/>
            <w:tcMar>
              <w:left w:w="57" w:type="dxa"/>
              <w:right w:w="57" w:type="dxa"/>
            </w:tcMar>
            <w:vAlign w:val="center"/>
          </w:tcPr>
          <w:p>
            <w:pPr>
              <w:snapToGrid w:val="0"/>
              <w:spacing w:line="300" w:lineRule="auto"/>
              <w:jc w:val="center"/>
              <w:rPr>
                <w:sz w:val="18"/>
                <w:szCs w:val="18"/>
              </w:rPr>
            </w:pPr>
            <w:r>
              <w:rPr>
                <w:sz w:val="18"/>
                <w:szCs w:val="18"/>
              </w:rPr>
              <w:t>4</w:t>
            </w:r>
          </w:p>
        </w:tc>
        <w:tc>
          <w:tcPr>
            <w:tcW w:w="1392" w:type="dxa"/>
            <w:vAlign w:val="center"/>
          </w:tcPr>
          <w:p>
            <w:pPr>
              <w:snapToGrid w:val="0"/>
              <w:spacing w:line="300" w:lineRule="auto"/>
              <w:rPr>
                <w:sz w:val="18"/>
                <w:szCs w:val="18"/>
              </w:rPr>
            </w:pPr>
            <w:r>
              <w:rPr>
                <w:sz w:val="18"/>
                <w:szCs w:val="18"/>
              </w:rPr>
              <w:t>4 音频压缩</w:t>
            </w:r>
          </w:p>
          <w:p>
            <w:pPr>
              <w:snapToGrid w:val="0"/>
              <w:spacing w:line="300" w:lineRule="auto"/>
              <w:rPr>
                <w:sz w:val="18"/>
                <w:szCs w:val="18"/>
              </w:rPr>
            </w:pPr>
            <w:r>
              <w:rPr>
                <w:sz w:val="18"/>
                <w:szCs w:val="18"/>
              </w:rPr>
              <w:t>4.1音频的冗余与预处理</w:t>
            </w:r>
          </w:p>
          <w:p>
            <w:pPr>
              <w:snapToGrid w:val="0"/>
              <w:spacing w:line="300" w:lineRule="auto"/>
              <w:rPr>
                <w:sz w:val="18"/>
                <w:szCs w:val="18"/>
              </w:rPr>
            </w:pPr>
            <w:r>
              <w:rPr>
                <w:sz w:val="18"/>
                <w:szCs w:val="18"/>
              </w:rPr>
              <w:t>4.2 波形压缩编码</w:t>
            </w:r>
          </w:p>
          <w:p>
            <w:pPr>
              <w:snapToGrid w:val="0"/>
              <w:spacing w:line="300" w:lineRule="auto"/>
              <w:rPr>
                <w:sz w:val="18"/>
                <w:szCs w:val="18"/>
              </w:rPr>
            </w:pPr>
            <w:r>
              <w:rPr>
                <w:sz w:val="18"/>
                <w:szCs w:val="18"/>
              </w:rPr>
              <w:t>4.3 常见的音频格式及其压缩算法</w:t>
            </w:r>
          </w:p>
          <w:p>
            <w:pPr>
              <w:snapToGrid w:val="0"/>
              <w:spacing w:line="300" w:lineRule="auto"/>
              <w:rPr>
                <w:sz w:val="18"/>
                <w:szCs w:val="18"/>
              </w:rPr>
            </w:pPr>
          </w:p>
        </w:tc>
        <w:tc>
          <w:tcPr>
            <w:tcW w:w="52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（1）了解：音频数据的特性；</w:t>
            </w:r>
          </w:p>
          <w:p>
            <w:pPr>
              <w:snapToGrid w:val="0"/>
              <w:spacing w:line="300" w:lineRule="auto"/>
              <w:rPr>
                <w:sz w:val="18"/>
                <w:szCs w:val="18"/>
              </w:rPr>
            </w:pPr>
            <w:r>
              <w:rPr>
                <w:sz w:val="18"/>
                <w:szCs w:val="18"/>
              </w:rPr>
              <w:t>（2）理解：音频编码压缩算法策略的分类；</w:t>
            </w:r>
          </w:p>
          <w:p>
            <w:pPr>
              <w:snapToGrid w:val="0"/>
              <w:spacing w:line="300" w:lineRule="auto"/>
              <w:rPr>
                <w:sz w:val="18"/>
                <w:szCs w:val="18"/>
              </w:rPr>
            </w:pPr>
            <w:r>
              <w:rPr>
                <w:sz w:val="18"/>
                <w:szCs w:val="18"/>
              </w:rPr>
              <w:t>（3）掌握：音频数据压缩的常用方法。</w:t>
            </w:r>
          </w:p>
          <w:p>
            <w:pPr>
              <w:snapToGrid w:val="0"/>
              <w:spacing w:line="300" w:lineRule="auto"/>
              <w:rPr>
                <w:sz w:val="18"/>
                <w:szCs w:val="18"/>
              </w:rPr>
            </w:pPr>
            <w:r>
              <w:rPr>
                <w:sz w:val="18"/>
                <w:szCs w:val="18"/>
              </w:rPr>
              <w:t>（</w:t>
            </w:r>
            <w:r>
              <w:rPr>
                <w:rFonts w:hint="eastAsia"/>
                <w:sz w:val="18"/>
                <w:szCs w:val="18"/>
              </w:rPr>
              <w:t>4</w:t>
            </w:r>
            <w:r>
              <w:rPr>
                <w:sz w:val="18"/>
                <w:szCs w:val="18"/>
              </w:rPr>
              <w:t>）</w:t>
            </w:r>
            <w:r>
              <w:rPr>
                <w:rFonts w:hint="eastAsia"/>
                <w:sz w:val="18"/>
                <w:szCs w:val="18"/>
              </w:rPr>
              <w:t>了解</w:t>
            </w:r>
            <w:r>
              <w:rPr>
                <w:sz w:val="18"/>
                <w:szCs w:val="18"/>
              </w:rPr>
              <w:t>：音频数据压缩的</w:t>
            </w:r>
            <w:r>
              <w:rPr>
                <w:rFonts w:hint="eastAsia"/>
                <w:sz w:val="18"/>
                <w:szCs w:val="18"/>
              </w:rPr>
              <w:t>码率控制策略</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（1）通过Matlab或者Python语言编程实现GUI界面，实现音频文件的读入及其压缩音频的数据显示、压缩性能计算等。</w:t>
            </w:r>
          </w:p>
          <w:p>
            <w:pPr>
              <w:snapToGrid w:val="0"/>
              <w:spacing w:line="300" w:lineRule="auto"/>
              <w:rPr>
                <w:sz w:val="18"/>
                <w:szCs w:val="18"/>
              </w:rPr>
            </w:pPr>
            <w:r>
              <w:rPr>
                <w:sz w:val="18"/>
                <w:szCs w:val="18"/>
              </w:rPr>
              <w:t>（2）利用Matlab或者Python编程，读取一段音频文件数据，采用子带滤波，分解后再合成，观察其数据之间的均方差以及主观感受差异性。</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案例9：针对问题——波形压缩编码算法的差异性与相似性，采用相同的波形数据，分别采用PCM、ADPCM与△M等算法，演示与比较其性能差异。</w:t>
            </w:r>
          </w:p>
          <w:p>
            <w:pPr>
              <w:snapToGrid w:val="0"/>
              <w:spacing w:line="300" w:lineRule="auto"/>
              <w:rPr>
                <w:sz w:val="18"/>
                <w:szCs w:val="18"/>
              </w:rPr>
            </w:pPr>
            <w:r>
              <w:rPr>
                <w:sz w:val="18"/>
                <w:szCs w:val="18"/>
              </w:rPr>
              <w:t>案例10：针对问题——子带压缩编码算法的差异性与相似性，采用相同的音频格式wav文件，分别采用mp3与aac等算法，演示与比较其性能差异。</w:t>
            </w:r>
          </w:p>
        </w:tc>
        <w:tc>
          <w:tcPr>
            <w:tcW w:w="589" w:type="dxa"/>
            <w:vAlign w:val="center"/>
          </w:tcPr>
          <w:p>
            <w:pPr>
              <w:snapToGrid w:val="0"/>
              <w:spacing w:line="300" w:lineRule="auto"/>
              <w:jc w:val="center"/>
              <w:rPr>
                <w:sz w:val="18"/>
                <w:szCs w:val="18"/>
              </w:rPr>
            </w:pPr>
            <w:r>
              <w:rPr>
                <w:rFonts w:hint="eastAsia"/>
                <w:sz w:val="18"/>
                <w:szCs w:val="18"/>
              </w:rPr>
              <w:t>6</w:t>
            </w:r>
          </w:p>
        </w:tc>
        <w:tc>
          <w:tcPr>
            <w:tcW w:w="962"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31" w:type="dxa"/>
            <w:tcMar>
              <w:left w:w="57" w:type="dxa"/>
              <w:right w:w="57" w:type="dxa"/>
            </w:tcMar>
            <w:vAlign w:val="center"/>
          </w:tcPr>
          <w:p>
            <w:pPr>
              <w:snapToGrid w:val="0"/>
              <w:spacing w:line="300" w:lineRule="auto"/>
              <w:jc w:val="center"/>
              <w:rPr>
                <w:sz w:val="18"/>
                <w:szCs w:val="18"/>
              </w:rPr>
            </w:pPr>
            <w:r>
              <w:rPr>
                <w:sz w:val="18"/>
                <w:szCs w:val="18"/>
              </w:rPr>
              <w:t>5</w:t>
            </w:r>
          </w:p>
        </w:tc>
        <w:tc>
          <w:tcPr>
            <w:tcW w:w="1392" w:type="dxa"/>
            <w:vAlign w:val="center"/>
          </w:tcPr>
          <w:p>
            <w:pPr>
              <w:snapToGrid w:val="0"/>
              <w:spacing w:line="300" w:lineRule="auto"/>
              <w:rPr>
                <w:sz w:val="18"/>
                <w:szCs w:val="18"/>
              </w:rPr>
            </w:pPr>
            <w:r>
              <w:rPr>
                <w:sz w:val="18"/>
                <w:szCs w:val="18"/>
              </w:rPr>
              <w:t>5 图像与视频压缩</w:t>
            </w:r>
          </w:p>
          <w:p>
            <w:pPr>
              <w:snapToGrid w:val="0"/>
              <w:spacing w:line="300" w:lineRule="auto"/>
              <w:rPr>
                <w:sz w:val="18"/>
                <w:szCs w:val="18"/>
              </w:rPr>
            </w:pPr>
            <w:r>
              <w:rPr>
                <w:sz w:val="18"/>
                <w:szCs w:val="18"/>
              </w:rPr>
              <w:t>5.1 图像编码与帧内编码</w:t>
            </w:r>
          </w:p>
          <w:p>
            <w:pPr>
              <w:snapToGrid w:val="0"/>
              <w:spacing w:line="300" w:lineRule="auto"/>
              <w:rPr>
                <w:sz w:val="18"/>
                <w:szCs w:val="18"/>
              </w:rPr>
            </w:pPr>
            <w:r>
              <w:rPr>
                <w:sz w:val="18"/>
                <w:szCs w:val="18"/>
              </w:rPr>
              <w:t>5.2 预测编码</w:t>
            </w:r>
          </w:p>
          <w:p>
            <w:pPr>
              <w:snapToGrid w:val="0"/>
              <w:spacing w:line="300" w:lineRule="auto"/>
              <w:rPr>
                <w:sz w:val="18"/>
                <w:szCs w:val="18"/>
              </w:rPr>
            </w:pPr>
            <w:r>
              <w:rPr>
                <w:sz w:val="18"/>
                <w:szCs w:val="18"/>
              </w:rPr>
              <w:t>5.3 帧间编码</w:t>
            </w:r>
          </w:p>
          <w:p>
            <w:pPr>
              <w:snapToGrid w:val="0"/>
              <w:spacing w:line="300" w:lineRule="auto"/>
              <w:rPr>
                <w:sz w:val="18"/>
                <w:szCs w:val="18"/>
              </w:rPr>
            </w:pPr>
            <w:r>
              <w:rPr>
                <w:sz w:val="18"/>
                <w:szCs w:val="18"/>
              </w:rPr>
              <w:t>5.4 运动的表达及估计</w:t>
            </w:r>
          </w:p>
          <w:p>
            <w:pPr>
              <w:snapToGrid w:val="0"/>
              <w:spacing w:line="300" w:lineRule="auto"/>
              <w:rPr>
                <w:sz w:val="18"/>
                <w:szCs w:val="18"/>
              </w:rPr>
            </w:pPr>
            <w:r>
              <w:rPr>
                <w:sz w:val="18"/>
                <w:szCs w:val="18"/>
              </w:rPr>
              <w:t>5.5 常见的视频频格式及其压缩算法</w:t>
            </w:r>
          </w:p>
          <w:p>
            <w:pPr>
              <w:snapToGrid w:val="0"/>
              <w:spacing w:line="300" w:lineRule="auto"/>
              <w:rPr>
                <w:sz w:val="18"/>
                <w:szCs w:val="18"/>
              </w:rPr>
            </w:pPr>
            <w:r>
              <w:rPr>
                <w:sz w:val="18"/>
                <w:szCs w:val="18"/>
              </w:rPr>
              <w:t>5.6</w:t>
            </w:r>
            <w:r>
              <w:rPr>
                <w:rFonts w:hint="eastAsia"/>
                <w:b/>
                <w:bCs/>
                <w:sz w:val="18"/>
                <w:szCs w:val="18"/>
              </w:rPr>
              <w:t>课程思政</w:t>
            </w:r>
            <w:r>
              <w:rPr>
                <w:rFonts w:hint="eastAsia"/>
                <w:sz w:val="18"/>
                <w:szCs w:val="18"/>
              </w:rPr>
              <w:t>：</w:t>
            </w:r>
            <w:r>
              <w:rPr>
                <w:sz w:val="18"/>
                <w:szCs w:val="18"/>
              </w:rPr>
              <w:t>视频压缩算法的技术研究边缘</w:t>
            </w:r>
            <w:r>
              <w:rPr>
                <w:rFonts w:hint="eastAsia"/>
                <w:sz w:val="18"/>
                <w:szCs w:val="18"/>
              </w:rPr>
              <w:t>领域及其对应用市场的推动作用</w:t>
            </w:r>
          </w:p>
          <w:p>
            <w:pPr>
              <w:snapToGrid w:val="0"/>
              <w:spacing w:line="300" w:lineRule="auto"/>
              <w:rPr>
                <w:sz w:val="18"/>
                <w:szCs w:val="18"/>
              </w:rPr>
            </w:pPr>
          </w:p>
        </w:tc>
        <w:tc>
          <w:tcPr>
            <w:tcW w:w="5207" w:type="dxa"/>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（1）了解：采用帧内编码与帧间编码的决策依据；</w:t>
            </w:r>
          </w:p>
          <w:p>
            <w:pPr>
              <w:snapToGrid w:val="0"/>
              <w:spacing w:line="300" w:lineRule="auto"/>
              <w:rPr>
                <w:sz w:val="18"/>
                <w:szCs w:val="18"/>
              </w:rPr>
            </w:pPr>
            <w:r>
              <w:rPr>
                <w:sz w:val="18"/>
                <w:szCs w:val="18"/>
              </w:rPr>
              <w:t>（2）理解：帧内编码与帧间编码的实现方式；</w:t>
            </w:r>
          </w:p>
          <w:p>
            <w:pPr>
              <w:snapToGrid w:val="0"/>
              <w:spacing w:line="300" w:lineRule="auto"/>
              <w:rPr>
                <w:sz w:val="18"/>
                <w:szCs w:val="18"/>
              </w:rPr>
            </w:pPr>
            <w:r>
              <w:rPr>
                <w:sz w:val="18"/>
                <w:szCs w:val="18"/>
              </w:rPr>
              <w:t>（3）掌握：运动补偿的实现过程。</w:t>
            </w:r>
          </w:p>
          <w:p>
            <w:pPr>
              <w:snapToGrid w:val="0"/>
              <w:spacing w:line="300" w:lineRule="auto"/>
              <w:rPr>
                <w:sz w:val="18"/>
                <w:szCs w:val="18"/>
              </w:rPr>
            </w:pPr>
            <w:r>
              <w:rPr>
                <w:sz w:val="18"/>
                <w:szCs w:val="18"/>
              </w:rPr>
              <w:t>（</w:t>
            </w:r>
            <w:r>
              <w:rPr>
                <w:rFonts w:hint="eastAsia"/>
                <w:sz w:val="18"/>
                <w:szCs w:val="18"/>
              </w:rPr>
              <w:t>4</w:t>
            </w:r>
            <w:r>
              <w:rPr>
                <w:sz w:val="18"/>
                <w:szCs w:val="18"/>
              </w:rPr>
              <w:t>）</w:t>
            </w:r>
            <w:r>
              <w:rPr>
                <w:rFonts w:hint="eastAsia"/>
                <w:sz w:val="18"/>
                <w:szCs w:val="18"/>
              </w:rPr>
              <w:t>了解</w:t>
            </w:r>
            <w:r>
              <w:rPr>
                <w:sz w:val="18"/>
                <w:szCs w:val="18"/>
              </w:rPr>
              <w:t>：</w:t>
            </w:r>
            <w:r>
              <w:rPr>
                <w:rFonts w:hint="eastAsia"/>
                <w:sz w:val="18"/>
                <w:szCs w:val="18"/>
              </w:rPr>
              <w:t>视</w:t>
            </w:r>
            <w:r>
              <w:rPr>
                <w:sz w:val="18"/>
                <w:szCs w:val="18"/>
              </w:rPr>
              <w:t>频数据压缩的</w:t>
            </w:r>
            <w:r>
              <w:rPr>
                <w:rFonts w:hint="eastAsia"/>
                <w:sz w:val="18"/>
                <w:szCs w:val="18"/>
              </w:rPr>
              <w:t>码率控制策略</w:t>
            </w:r>
            <w:r>
              <w:rPr>
                <w:sz w:val="18"/>
                <w:szCs w:val="18"/>
              </w:rPr>
              <w:t>。</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（1）利用Matlab或者Python编程，改写JPEG编码算法，修改参数或者策略，观察其压缩性能的变化。</w:t>
            </w:r>
          </w:p>
          <w:p>
            <w:pPr>
              <w:snapToGrid w:val="0"/>
              <w:spacing w:line="300" w:lineRule="auto"/>
              <w:rPr>
                <w:sz w:val="18"/>
                <w:szCs w:val="18"/>
              </w:rPr>
            </w:pPr>
            <w:r>
              <w:rPr>
                <w:sz w:val="18"/>
                <w:szCs w:val="18"/>
              </w:rPr>
              <w:t>（2）利用Matlab或者Python编程，读取一段视频样本文件数据，计算与显示帧间差值，观察相邻视频帧间相似性。</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讲授式、讨论式、案例式与启发式相结合。</w:t>
            </w:r>
          </w:p>
          <w:p>
            <w:pPr>
              <w:snapToGrid w:val="0"/>
              <w:spacing w:line="300" w:lineRule="auto"/>
              <w:rPr>
                <w:sz w:val="18"/>
                <w:szCs w:val="18"/>
              </w:rPr>
            </w:pPr>
            <w:r>
              <w:rPr>
                <w:sz w:val="18"/>
                <w:szCs w:val="18"/>
              </w:rPr>
              <w:t>案例11：针对问题——帧内预测算法的技术发展，介绍H261、H263、H264以及H265等经典算法的实现方案，演绎帧内预测算法的发展历程及其性能差异。</w:t>
            </w:r>
          </w:p>
          <w:p>
            <w:pPr>
              <w:snapToGrid w:val="0"/>
              <w:spacing w:line="300" w:lineRule="auto"/>
              <w:rPr>
                <w:sz w:val="18"/>
                <w:szCs w:val="18"/>
              </w:rPr>
            </w:pPr>
            <w:r>
              <w:rPr>
                <w:sz w:val="18"/>
                <w:szCs w:val="18"/>
              </w:rPr>
              <w:t>案例12：针对问题——帧间预测算法的技术发展，介绍H261、H263、H264以及H265等经典算法的实现方案，演绎帧间预测算法的发展历程及其性能差异</w:t>
            </w:r>
          </w:p>
          <w:p>
            <w:pPr>
              <w:snapToGrid w:val="0"/>
              <w:spacing w:line="300" w:lineRule="auto"/>
              <w:rPr>
                <w:sz w:val="18"/>
                <w:szCs w:val="18"/>
              </w:rPr>
            </w:pPr>
            <w:r>
              <w:rPr>
                <w:sz w:val="18"/>
                <w:szCs w:val="18"/>
              </w:rPr>
              <w:t>案例13：针对问题——运动补偿算法的技术发展，介绍H261、H263、H264以及H265等经典算法的实现方案，演绎运动补偿算法的发展历程及其性能差异</w:t>
            </w:r>
          </w:p>
          <w:p>
            <w:pPr>
              <w:snapToGrid w:val="0"/>
              <w:spacing w:line="300" w:lineRule="auto"/>
              <w:rPr>
                <w:sz w:val="18"/>
                <w:szCs w:val="18"/>
              </w:rPr>
            </w:pPr>
            <w:r>
              <w:rPr>
                <w:sz w:val="18"/>
                <w:szCs w:val="18"/>
              </w:rPr>
              <w:t>案例14：</w:t>
            </w:r>
            <w:r>
              <w:rPr>
                <w:rFonts w:hint="eastAsia"/>
                <w:b/>
                <w:bCs/>
                <w:sz w:val="18"/>
                <w:szCs w:val="18"/>
              </w:rPr>
              <w:t>课程思政</w:t>
            </w:r>
            <w:r>
              <w:rPr>
                <w:rFonts w:hint="eastAsia"/>
                <w:sz w:val="18"/>
                <w:szCs w:val="18"/>
              </w:rPr>
              <w:t>，</w:t>
            </w:r>
            <w:r>
              <w:rPr>
                <w:sz w:val="18"/>
                <w:szCs w:val="18"/>
              </w:rPr>
              <w:t>针对问题——最新视频压缩研究的技术前沿，分别介绍不同应用场景的视频压缩编码需求及其技术研究发展，例如用于资料存储的无损视频编码及其索引、用于网络实时播放的流媒体有损视频编码、以及基于视觉感知模型的有损视频编码等等，帮助学生建立科学研究细分领域的认知，提升学生投身国家科学研究的积极性。</w:t>
            </w:r>
          </w:p>
        </w:tc>
        <w:tc>
          <w:tcPr>
            <w:tcW w:w="589" w:type="dxa"/>
            <w:vAlign w:val="center"/>
          </w:tcPr>
          <w:p>
            <w:pPr>
              <w:snapToGrid w:val="0"/>
              <w:spacing w:line="300" w:lineRule="auto"/>
              <w:jc w:val="center"/>
              <w:rPr>
                <w:sz w:val="18"/>
                <w:szCs w:val="18"/>
              </w:rPr>
            </w:pPr>
            <w:r>
              <w:rPr>
                <w:rFonts w:hint="eastAsia"/>
                <w:sz w:val="18"/>
                <w:szCs w:val="18"/>
              </w:rPr>
              <w:t>8</w:t>
            </w:r>
          </w:p>
        </w:tc>
        <w:tc>
          <w:tcPr>
            <w:tcW w:w="962" w:type="dxa"/>
            <w:vAlign w:val="center"/>
          </w:tcPr>
          <w:p>
            <w:pPr>
              <w:snapToGrid w:val="0"/>
              <w:spacing w:line="300" w:lineRule="auto"/>
              <w:jc w:val="center"/>
              <w:rPr>
                <w:sz w:val="18"/>
                <w:szCs w:val="18"/>
              </w:rPr>
            </w:pPr>
            <w:r>
              <w:rPr>
                <w:sz w:val="18"/>
                <w:szCs w:val="18"/>
              </w:rPr>
              <w:t>1，2</w:t>
            </w:r>
          </w:p>
        </w:tc>
      </w:tr>
    </w:tbl>
    <w:p>
      <w:pPr>
        <w:snapToGrid w:val="0"/>
        <w:spacing w:before="156" w:beforeLines="50" w:line="300" w:lineRule="auto"/>
        <w:ind w:firstLine="420" w:firstLineChars="200"/>
        <w:rPr>
          <w:b/>
        </w:rPr>
      </w:pPr>
      <w:r>
        <w:t>实验内容见表4所示。</w:t>
      </w:r>
    </w:p>
    <w:p>
      <w:pPr>
        <w:snapToGrid w:val="0"/>
        <w:spacing w:before="156" w:beforeLines="50" w:line="300" w:lineRule="auto"/>
        <w:jc w:val="center"/>
        <w:rPr>
          <w:b/>
          <w:bCs/>
          <w:sz w:val="18"/>
          <w:szCs w:val="18"/>
        </w:rPr>
      </w:pPr>
    </w:p>
    <w:p>
      <w:pPr>
        <w:snapToGrid w:val="0"/>
        <w:spacing w:before="156" w:beforeLines="50" w:line="300" w:lineRule="auto"/>
        <w:jc w:val="center"/>
        <w:rPr>
          <w:b/>
          <w:bCs/>
          <w:sz w:val="18"/>
          <w:szCs w:val="18"/>
        </w:rPr>
      </w:pPr>
    </w:p>
    <w:p>
      <w:pPr>
        <w:snapToGrid w:val="0"/>
        <w:spacing w:before="156" w:beforeLines="50" w:line="300" w:lineRule="auto"/>
        <w:jc w:val="center"/>
        <w:rPr>
          <w:b/>
          <w:bCs/>
          <w:sz w:val="18"/>
          <w:szCs w:val="18"/>
        </w:rPr>
      </w:pPr>
      <w:r>
        <w:rPr>
          <w:b/>
          <w:bCs/>
          <w:sz w:val="18"/>
          <w:szCs w:val="18"/>
        </w:rPr>
        <w:t>表4 实验安排表</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2"/>
        <w:gridCol w:w="890"/>
        <w:gridCol w:w="3857"/>
        <w:gridCol w:w="741"/>
        <w:gridCol w:w="628"/>
        <w:gridCol w:w="713"/>
        <w:gridCol w:w="73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2" w:type="dxa"/>
            <w:vAlign w:val="center"/>
          </w:tcPr>
          <w:p>
            <w:pPr>
              <w:snapToGrid w:val="0"/>
              <w:spacing w:line="300" w:lineRule="auto"/>
              <w:jc w:val="center"/>
              <w:rPr>
                <w:b/>
                <w:bCs/>
                <w:kern w:val="0"/>
                <w:sz w:val="18"/>
                <w:szCs w:val="18"/>
              </w:rPr>
            </w:pPr>
            <w:r>
              <w:rPr>
                <w:b/>
                <w:bCs/>
                <w:kern w:val="0"/>
                <w:sz w:val="18"/>
                <w:szCs w:val="18"/>
              </w:rPr>
              <w:t>序号</w:t>
            </w:r>
          </w:p>
        </w:tc>
        <w:tc>
          <w:tcPr>
            <w:tcW w:w="890" w:type="dxa"/>
            <w:vAlign w:val="center"/>
          </w:tcPr>
          <w:p>
            <w:pPr>
              <w:snapToGrid w:val="0"/>
              <w:spacing w:line="300" w:lineRule="auto"/>
              <w:jc w:val="center"/>
              <w:rPr>
                <w:b/>
                <w:bCs/>
                <w:kern w:val="0"/>
                <w:sz w:val="18"/>
                <w:szCs w:val="18"/>
              </w:rPr>
            </w:pPr>
            <w:r>
              <w:rPr>
                <w:b/>
                <w:bCs/>
                <w:kern w:val="0"/>
                <w:sz w:val="18"/>
                <w:szCs w:val="18"/>
              </w:rPr>
              <w:t>实验项目名称</w:t>
            </w:r>
          </w:p>
        </w:tc>
        <w:tc>
          <w:tcPr>
            <w:tcW w:w="3857" w:type="dxa"/>
            <w:vAlign w:val="center"/>
          </w:tcPr>
          <w:p>
            <w:pPr>
              <w:snapToGrid w:val="0"/>
              <w:spacing w:line="300" w:lineRule="auto"/>
              <w:jc w:val="center"/>
              <w:rPr>
                <w:b/>
                <w:bCs/>
                <w:kern w:val="0"/>
                <w:sz w:val="18"/>
                <w:szCs w:val="18"/>
              </w:rPr>
            </w:pPr>
            <w:r>
              <w:rPr>
                <w:b/>
                <w:bCs/>
                <w:kern w:val="0"/>
                <w:sz w:val="18"/>
                <w:szCs w:val="18"/>
              </w:rPr>
              <w:t>目的要求</w:t>
            </w:r>
          </w:p>
        </w:tc>
        <w:tc>
          <w:tcPr>
            <w:tcW w:w="741" w:type="dxa"/>
            <w:vAlign w:val="center"/>
          </w:tcPr>
          <w:p>
            <w:pPr>
              <w:snapToGrid w:val="0"/>
              <w:spacing w:line="300" w:lineRule="auto"/>
              <w:jc w:val="center"/>
              <w:rPr>
                <w:b/>
                <w:bCs/>
                <w:kern w:val="0"/>
                <w:sz w:val="18"/>
                <w:szCs w:val="18"/>
              </w:rPr>
            </w:pPr>
            <w:r>
              <w:rPr>
                <w:b/>
                <w:bCs/>
                <w:kern w:val="0"/>
                <w:sz w:val="18"/>
                <w:szCs w:val="18"/>
              </w:rPr>
              <w:t>学时分配</w:t>
            </w:r>
          </w:p>
        </w:tc>
        <w:tc>
          <w:tcPr>
            <w:tcW w:w="628" w:type="dxa"/>
            <w:vAlign w:val="center"/>
          </w:tcPr>
          <w:p>
            <w:pPr>
              <w:snapToGrid w:val="0"/>
              <w:spacing w:line="300" w:lineRule="auto"/>
              <w:jc w:val="center"/>
              <w:rPr>
                <w:b/>
                <w:bCs/>
                <w:kern w:val="0"/>
                <w:sz w:val="18"/>
                <w:szCs w:val="18"/>
              </w:rPr>
            </w:pPr>
            <w:r>
              <w:rPr>
                <w:b/>
                <w:bCs/>
                <w:kern w:val="0"/>
                <w:sz w:val="18"/>
                <w:szCs w:val="18"/>
              </w:rPr>
              <w:t>实验类型</w:t>
            </w:r>
          </w:p>
        </w:tc>
        <w:tc>
          <w:tcPr>
            <w:tcW w:w="713" w:type="dxa"/>
            <w:vAlign w:val="center"/>
          </w:tcPr>
          <w:p>
            <w:pPr>
              <w:snapToGrid w:val="0"/>
              <w:spacing w:line="300" w:lineRule="auto"/>
              <w:jc w:val="center"/>
              <w:rPr>
                <w:b/>
                <w:bCs/>
                <w:kern w:val="0"/>
                <w:sz w:val="18"/>
                <w:szCs w:val="18"/>
              </w:rPr>
            </w:pPr>
            <w:r>
              <w:rPr>
                <w:b/>
                <w:bCs/>
                <w:kern w:val="0"/>
                <w:sz w:val="18"/>
                <w:szCs w:val="18"/>
              </w:rPr>
              <w:t>每组人数</w:t>
            </w:r>
          </w:p>
        </w:tc>
        <w:tc>
          <w:tcPr>
            <w:tcW w:w="734" w:type="dxa"/>
            <w:vAlign w:val="center"/>
          </w:tcPr>
          <w:p>
            <w:pPr>
              <w:snapToGrid w:val="0"/>
              <w:spacing w:line="300" w:lineRule="auto"/>
              <w:jc w:val="center"/>
              <w:rPr>
                <w:b/>
                <w:bCs/>
                <w:kern w:val="0"/>
                <w:sz w:val="18"/>
                <w:szCs w:val="18"/>
              </w:rPr>
            </w:pPr>
            <w:r>
              <w:rPr>
                <w:b/>
                <w:bCs/>
                <w:kern w:val="0"/>
                <w:sz w:val="18"/>
                <w:szCs w:val="18"/>
              </w:rPr>
              <w:t>必开选开</w:t>
            </w:r>
          </w:p>
        </w:tc>
        <w:tc>
          <w:tcPr>
            <w:tcW w:w="673" w:type="dxa"/>
            <w:vAlign w:val="center"/>
          </w:tcPr>
          <w:p>
            <w:pPr>
              <w:snapToGrid w:val="0"/>
              <w:spacing w:line="300" w:lineRule="auto"/>
              <w:jc w:val="center"/>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2" w:type="dxa"/>
            <w:vAlign w:val="center"/>
          </w:tcPr>
          <w:p>
            <w:pPr>
              <w:snapToGrid w:val="0"/>
              <w:spacing w:line="300" w:lineRule="auto"/>
              <w:jc w:val="center"/>
              <w:rPr>
                <w:sz w:val="18"/>
                <w:szCs w:val="18"/>
              </w:rPr>
            </w:pPr>
            <w:r>
              <w:rPr>
                <w:sz w:val="18"/>
                <w:szCs w:val="18"/>
              </w:rPr>
              <w:t>1</w:t>
            </w:r>
          </w:p>
        </w:tc>
        <w:tc>
          <w:tcPr>
            <w:tcW w:w="890" w:type="dxa"/>
            <w:vAlign w:val="center"/>
          </w:tcPr>
          <w:p>
            <w:pPr>
              <w:snapToGrid w:val="0"/>
              <w:spacing w:line="300" w:lineRule="auto"/>
              <w:rPr>
                <w:sz w:val="18"/>
                <w:szCs w:val="18"/>
              </w:rPr>
            </w:pPr>
            <w:r>
              <w:rPr>
                <w:sz w:val="18"/>
                <w:szCs w:val="18"/>
              </w:rPr>
              <w:t>常见数据压缩算法</w:t>
            </w:r>
          </w:p>
        </w:tc>
        <w:tc>
          <w:tcPr>
            <w:tcW w:w="3857" w:type="dxa"/>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（1）掌握Matlab或者python语言的GUI编程；</w:t>
            </w:r>
          </w:p>
          <w:p>
            <w:pPr>
              <w:snapToGrid w:val="0"/>
              <w:spacing w:line="300" w:lineRule="auto"/>
              <w:rPr>
                <w:sz w:val="18"/>
                <w:szCs w:val="18"/>
              </w:rPr>
            </w:pPr>
            <w:r>
              <w:rPr>
                <w:sz w:val="18"/>
                <w:szCs w:val="18"/>
              </w:rPr>
              <w:t>（2）理解各种常见数据压缩算法的实现流程；</w:t>
            </w:r>
          </w:p>
          <w:p>
            <w:pPr>
              <w:snapToGrid w:val="0"/>
              <w:spacing w:line="300" w:lineRule="auto"/>
              <w:rPr>
                <w:sz w:val="18"/>
                <w:szCs w:val="18"/>
              </w:rPr>
            </w:pPr>
            <w:r>
              <w:rPr>
                <w:sz w:val="18"/>
                <w:szCs w:val="18"/>
              </w:rPr>
              <w:t>（3）理解各种常见数据压缩算法的应用差异性。</w:t>
            </w:r>
          </w:p>
          <w:p>
            <w:pPr>
              <w:snapToGrid w:val="0"/>
              <w:spacing w:line="300" w:lineRule="auto"/>
              <w:rPr>
                <w:sz w:val="18"/>
                <w:szCs w:val="18"/>
              </w:rPr>
            </w:pPr>
            <w:r>
              <w:rPr>
                <w:sz w:val="18"/>
                <w:szCs w:val="18"/>
              </w:rPr>
              <w:t>要求：</w:t>
            </w:r>
          </w:p>
          <w:p>
            <w:pPr>
              <w:snapToGrid w:val="0"/>
              <w:spacing w:line="300" w:lineRule="auto"/>
              <w:rPr>
                <w:sz w:val="18"/>
                <w:szCs w:val="18"/>
              </w:rPr>
            </w:pPr>
            <w:r>
              <w:rPr>
                <w:sz w:val="18"/>
                <w:szCs w:val="18"/>
              </w:rPr>
              <w:t>①编码实现霍夫曼编码、算数编码、以及lzw编码这三种算法，并实现数据输入、压缩效果展示以及性能计算的GUI界面；②比较与分析各种数据压缩算法的性能。</w:t>
            </w:r>
          </w:p>
        </w:tc>
        <w:tc>
          <w:tcPr>
            <w:tcW w:w="741" w:type="dxa"/>
            <w:vAlign w:val="center"/>
          </w:tcPr>
          <w:p>
            <w:pPr>
              <w:snapToGrid w:val="0"/>
              <w:spacing w:line="300" w:lineRule="auto"/>
              <w:jc w:val="center"/>
              <w:rPr>
                <w:sz w:val="18"/>
                <w:szCs w:val="18"/>
              </w:rPr>
            </w:pPr>
            <w:r>
              <w:rPr>
                <w:rFonts w:hint="eastAsia"/>
                <w:sz w:val="18"/>
                <w:szCs w:val="18"/>
              </w:rPr>
              <w:t>2</w:t>
            </w:r>
          </w:p>
        </w:tc>
        <w:tc>
          <w:tcPr>
            <w:tcW w:w="628" w:type="dxa"/>
            <w:vAlign w:val="center"/>
          </w:tcPr>
          <w:p>
            <w:pPr>
              <w:snapToGrid w:val="0"/>
              <w:spacing w:line="300" w:lineRule="auto"/>
              <w:jc w:val="center"/>
              <w:rPr>
                <w:sz w:val="18"/>
                <w:szCs w:val="18"/>
              </w:rPr>
            </w:pPr>
            <w:r>
              <w:rPr>
                <w:sz w:val="18"/>
                <w:szCs w:val="18"/>
              </w:rPr>
              <w:t>设计</w:t>
            </w:r>
          </w:p>
        </w:tc>
        <w:tc>
          <w:tcPr>
            <w:tcW w:w="713" w:type="dxa"/>
            <w:vAlign w:val="center"/>
          </w:tcPr>
          <w:p>
            <w:pPr>
              <w:snapToGrid w:val="0"/>
              <w:spacing w:line="300" w:lineRule="auto"/>
              <w:jc w:val="center"/>
              <w:rPr>
                <w:sz w:val="18"/>
                <w:szCs w:val="18"/>
              </w:rPr>
            </w:pPr>
            <w:r>
              <w:rPr>
                <w:sz w:val="18"/>
                <w:szCs w:val="18"/>
              </w:rPr>
              <w:t>2</w:t>
            </w:r>
          </w:p>
        </w:tc>
        <w:tc>
          <w:tcPr>
            <w:tcW w:w="734" w:type="dxa"/>
            <w:vAlign w:val="center"/>
          </w:tcPr>
          <w:p>
            <w:pPr>
              <w:snapToGrid w:val="0"/>
              <w:spacing w:line="300" w:lineRule="auto"/>
              <w:jc w:val="center"/>
              <w:rPr>
                <w:sz w:val="18"/>
                <w:szCs w:val="18"/>
              </w:rPr>
            </w:pPr>
            <w:r>
              <w:rPr>
                <w:sz w:val="18"/>
                <w:szCs w:val="18"/>
              </w:rPr>
              <w:t>必开</w:t>
            </w:r>
          </w:p>
        </w:tc>
        <w:tc>
          <w:tcPr>
            <w:tcW w:w="673" w:type="dxa"/>
            <w:vAlign w:val="center"/>
          </w:tcPr>
          <w:p>
            <w:pPr>
              <w:snapToGrid w:val="0"/>
              <w:spacing w:line="300" w:lineRule="auto"/>
              <w:jc w:val="center"/>
              <w:rPr>
                <w:sz w:val="18"/>
                <w:szCs w:val="18"/>
              </w:rPr>
            </w:pPr>
            <w:r>
              <w:rPr>
                <w:rFonts w:hint="eastAsia"/>
                <w:kern w:val="0"/>
                <w:sz w:val="18"/>
                <w:szCs w:val="18"/>
              </w:rPr>
              <w:t>1</w:t>
            </w:r>
            <w:r>
              <w:rPr>
                <w:kern w:val="0"/>
                <w:sz w:val="18"/>
                <w:szCs w:val="18"/>
              </w:rPr>
              <w:t>、</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2" w:type="dxa"/>
            <w:vAlign w:val="center"/>
          </w:tcPr>
          <w:p>
            <w:pPr>
              <w:snapToGrid w:val="0"/>
              <w:spacing w:line="300" w:lineRule="auto"/>
              <w:jc w:val="center"/>
              <w:rPr>
                <w:sz w:val="18"/>
                <w:szCs w:val="18"/>
              </w:rPr>
            </w:pPr>
            <w:r>
              <w:rPr>
                <w:sz w:val="18"/>
                <w:szCs w:val="18"/>
              </w:rPr>
              <w:t>2</w:t>
            </w:r>
          </w:p>
        </w:tc>
        <w:tc>
          <w:tcPr>
            <w:tcW w:w="890" w:type="dxa"/>
            <w:vAlign w:val="center"/>
          </w:tcPr>
          <w:p>
            <w:pPr>
              <w:snapToGrid w:val="0"/>
              <w:spacing w:line="300" w:lineRule="auto"/>
              <w:rPr>
                <w:sz w:val="18"/>
                <w:szCs w:val="18"/>
              </w:rPr>
            </w:pPr>
            <w:r>
              <w:rPr>
                <w:sz w:val="18"/>
                <w:szCs w:val="18"/>
              </w:rPr>
              <w:t>常见音频压缩算法</w:t>
            </w:r>
          </w:p>
        </w:tc>
        <w:tc>
          <w:tcPr>
            <w:tcW w:w="3857" w:type="dxa"/>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（1）掌握Matlab或者python语言的GUI编程；</w:t>
            </w:r>
          </w:p>
          <w:p>
            <w:pPr>
              <w:snapToGrid w:val="0"/>
              <w:spacing w:line="300" w:lineRule="auto"/>
              <w:rPr>
                <w:sz w:val="18"/>
                <w:szCs w:val="18"/>
              </w:rPr>
            </w:pPr>
            <w:r>
              <w:rPr>
                <w:sz w:val="18"/>
                <w:szCs w:val="18"/>
              </w:rPr>
              <w:t>（2）理解各种常见音频压缩算法的实现流程；</w:t>
            </w:r>
          </w:p>
          <w:p>
            <w:pPr>
              <w:snapToGrid w:val="0"/>
              <w:spacing w:line="300" w:lineRule="auto"/>
              <w:rPr>
                <w:sz w:val="18"/>
                <w:szCs w:val="18"/>
              </w:rPr>
            </w:pPr>
            <w:r>
              <w:rPr>
                <w:sz w:val="18"/>
                <w:szCs w:val="18"/>
              </w:rPr>
              <w:t>（3）理解各种常见音频压缩算法的应用差异性。</w:t>
            </w:r>
          </w:p>
          <w:p>
            <w:pPr>
              <w:snapToGrid w:val="0"/>
              <w:spacing w:line="300" w:lineRule="auto"/>
              <w:rPr>
                <w:sz w:val="18"/>
                <w:szCs w:val="18"/>
              </w:rPr>
            </w:pPr>
            <w:r>
              <w:rPr>
                <w:sz w:val="18"/>
                <w:szCs w:val="18"/>
              </w:rPr>
              <w:t>要求：</w:t>
            </w:r>
          </w:p>
          <w:p>
            <w:pPr>
              <w:snapToGrid w:val="0"/>
              <w:spacing w:line="300" w:lineRule="auto"/>
              <w:rPr>
                <w:sz w:val="18"/>
                <w:szCs w:val="18"/>
              </w:rPr>
            </w:pPr>
            <w:r>
              <w:rPr>
                <w:sz w:val="18"/>
                <w:szCs w:val="18"/>
              </w:rPr>
              <w:t>①编码实现PCM、ADPCM、△M，比较与分析各种编码算法的性能，并实现音频文件的读取与播放、压缩效果展示以及性能计算的GUI界面；②比较与分析各种视频压缩算法的性能。</w:t>
            </w:r>
          </w:p>
        </w:tc>
        <w:tc>
          <w:tcPr>
            <w:tcW w:w="741" w:type="dxa"/>
            <w:vAlign w:val="center"/>
          </w:tcPr>
          <w:p>
            <w:pPr>
              <w:snapToGrid w:val="0"/>
              <w:spacing w:line="300" w:lineRule="auto"/>
              <w:jc w:val="center"/>
              <w:rPr>
                <w:sz w:val="18"/>
                <w:szCs w:val="18"/>
              </w:rPr>
            </w:pPr>
            <w:r>
              <w:rPr>
                <w:rFonts w:hint="eastAsia"/>
                <w:sz w:val="18"/>
                <w:szCs w:val="18"/>
              </w:rPr>
              <w:t>2</w:t>
            </w:r>
          </w:p>
        </w:tc>
        <w:tc>
          <w:tcPr>
            <w:tcW w:w="628" w:type="dxa"/>
            <w:vAlign w:val="center"/>
          </w:tcPr>
          <w:p>
            <w:pPr>
              <w:snapToGrid w:val="0"/>
              <w:spacing w:line="300" w:lineRule="auto"/>
              <w:jc w:val="center"/>
              <w:rPr>
                <w:sz w:val="18"/>
                <w:szCs w:val="18"/>
              </w:rPr>
            </w:pPr>
            <w:r>
              <w:rPr>
                <w:sz w:val="18"/>
                <w:szCs w:val="18"/>
              </w:rPr>
              <w:t>设计</w:t>
            </w:r>
          </w:p>
        </w:tc>
        <w:tc>
          <w:tcPr>
            <w:tcW w:w="713" w:type="dxa"/>
            <w:vAlign w:val="center"/>
          </w:tcPr>
          <w:p>
            <w:pPr>
              <w:snapToGrid w:val="0"/>
              <w:spacing w:line="300" w:lineRule="auto"/>
              <w:jc w:val="center"/>
              <w:rPr>
                <w:sz w:val="18"/>
                <w:szCs w:val="18"/>
              </w:rPr>
            </w:pPr>
            <w:r>
              <w:rPr>
                <w:sz w:val="18"/>
                <w:szCs w:val="18"/>
              </w:rPr>
              <w:t>2</w:t>
            </w:r>
          </w:p>
        </w:tc>
        <w:tc>
          <w:tcPr>
            <w:tcW w:w="734" w:type="dxa"/>
            <w:vAlign w:val="center"/>
          </w:tcPr>
          <w:p>
            <w:pPr>
              <w:snapToGrid w:val="0"/>
              <w:spacing w:line="300" w:lineRule="auto"/>
              <w:jc w:val="center"/>
              <w:rPr>
                <w:sz w:val="18"/>
                <w:szCs w:val="18"/>
              </w:rPr>
            </w:pPr>
            <w:r>
              <w:rPr>
                <w:sz w:val="18"/>
                <w:szCs w:val="18"/>
              </w:rPr>
              <w:t>必开</w:t>
            </w:r>
          </w:p>
        </w:tc>
        <w:tc>
          <w:tcPr>
            <w:tcW w:w="673" w:type="dxa"/>
            <w:vAlign w:val="center"/>
          </w:tcPr>
          <w:p>
            <w:pPr>
              <w:snapToGrid w:val="0"/>
              <w:spacing w:line="300" w:lineRule="auto"/>
              <w:jc w:val="center"/>
              <w:rPr>
                <w:sz w:val="18"/>
                <w:szCs w:val="18"/>
              </w:rPr>
            </w:pPr>
            <w:r>
              <w:rPr>
                <w:rFonts w:hint="eastAsia"/>
                <w:kern w:val="0"/>
                <w:sz w:val="18"/>
                <w:szCs w:val="18"/>
              </w:rPr>
              <w:t>1</w:t>
            </w:r>
            <w:r>
              <w:rPr>
                <w:kern w:val="0"/>
                <w:sz w:val="18"/>
                <w:szCs w:val="18"/>
              </w:rPr>
              <w:t>、</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2" w:type="dxa"/>
            <w:vAlign w:val="center"/>
          </w:tcPr>
          <w:p>
            <w:pPr>
              <w:snapToGrid w:val="0"/>
              <w:spacing w:line="300" w:lineRule="auto"/>
              <w:jc w:val="center"/>
              <w:rPr>
                <w:sz w:val="18"/>
                <w:szCs w:val="18"/>
              </w:rPr>
            </w:pPr>
            <w:r>
              <w:rPr>
                <w:sz w:val="18"/>
                <w:szCs w:val="18"/>
              </w:rPr>
              <w:t>3</w:t>
            </w:r>
          </w:p>
        </w:tc>
        <w:tc>
          <w:tcPr>
            <w:tcW w:w="890" w:type="dxa"/>
            <w:vAlign w:val="center"/>
          </w:tcPr>
          <w:p>
            <w:pPr>
              <w:snapToGrid w:val="0"/>
              <w:spacing w:line="300" w:lineRule="auto"/>
              <w:rPr>
                <w:sz w:val="18"/>
                <w:szCs w:val="18"/>
              </w:rPr>
            </w:pPr>
            <w:r>
              <w:rPr>
                <w:sz w:val="18"/>
                <w:szCs w:val="18"/>
              </w:rPr>
              <w:t>JPEG图像压缩算法</w:t>
            </w:r>
          </w:p>
        </w:tc>
        <w:tc>
          <w:tcPr>
            <w:tcW w:w="3857" w:type="dxa"/>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（1）掌握Matlab或者python语言的GUI编程；</w:t>
            </w:r>
          </w:p>
          <w:p>
            <w:pPr>
              <w:snapToGrid w:val="0"/>
              <w:spacing w:line="300" w:lineRule="auto"/>
              <w:rPr>
                <w:sz w:val="18"/>
                <w:szCs w:val="18"/>
              </w:rPr>
            </w:pPr>
            <w:r>
              <w:rPr>
                <w:sz w:val="18"/>
                <w:szCs w:val="18"/>
              </w:rPr>
              <w:t>（2）理解JPEG图像压缩算法的实现流程；</w:t>
            </w:r>
          </w:p>
          <w:p>
            <w:pPr>
              <w:snapToGrid w:val="0"/>
              <w:spacing w:line="300" w:lineRule="auto"/>
              <w:rPr>
                <w:sz w:val="18"/>
                <w:szCs w:val="18"/>
              </w:rPr>
            </w:pPr>
            <w:r>
              <w:rPr>
                <w:sz w:val="18"/>
                <w:szCs w:val="18"/>
              </w:rPr>
              <w:t>（3）比对不同类型图像的原始图像BMP与压缩后JPEG图像，理解JPEG算法对于不同类型图像所体现的差异性，理解各种参数对于图像压缩效果的影响。</w:t>
            </w:r>
          </w:p>
          <w:p>
            <w:pPr>
              <w:snapToGrid w:val="0"/>
              <w:spacing w:line="300" w:lineRule="auto"/>
              <w:rPr>
                <w:sz w:val="18"/>
                <w:szCs w:val="18"/>
              </w:rPr>
            </w:pPr>
            <w:r>
              <w:rPr>
                <w:sz w:val="18"/>
                <w:szCs w:val="18"/>
              </w:rPr>
              <w:t>要求：</w:t>
            </w:r>
          </w:p>
          <w:p>
            <w:pPr>
              <w:snapToGrid w:val="0"/>
              <w:spacing w:line="300" w:lineRule="auto"/>
              <w:rPr>
                <w:sz w:val="18"/>
                <w:szCs w:val="18"/>
              </w:rPr>
            </w:pPr>
            <w:r>
              <w:rPr>
                <w:sz w:val="18"/>
                <w:szCs w:val="18"/>
              </w:rPr>
              <w:t>①编码实现JPEG压缩，理解DCT对图像压缩的意义，并实现图像文件的读取与显示、压缩效果展示以及性能计算的GUI界面；②调整量化系数，理解量化系数对图像压缩后显示效果的影响；③改变DCT系数的Zig-Zig读取路线，理解DCT系数读取顺序对图像压缩性能的影响。</w:t>
            </w:r>
          </w:p>
        </w:tc>
        <w:tc>
          <w:tcPr>
            <w:tcW w:w="741" w:type="dxa"/>
            <w:vAlign w:val="center"/>
          </w:tcPr>
          <w:p>
            <w:pPr>
              <w:snapToGrid w:val="0"/>
              <w:spacing w:line="300" w:lineRule="auto"/>
              <w:jc w:val="center"/>
              <w:rPr>
                <w:sz w:val="18"/>
                <w:szCs w:val="18"/>
              </w:rPr>
            </w:pPr>
            <w:r>
              <w:rPr>
                <w:sz w:val="18"/>
                <w:szCs w:val="18"/>
              </w:rPr>
              <w:t>2</w:t>
            </w:r>
          </w:p>
        </w:tc>
        <w:tc>
          <w:tcPr>
            <w:tcW w:w="628" w:type="dxa"/>
            <w:vAlign w:val="center"/>
          </w:tcPr>
          <w:p>
            <w:pPr>
              <w:snapToGrid w:val="0"/>
              <w:spacing w:line="300" w:lineRule="auto"/>
              <w:jc w:val="center"/>
              <w:rPr>
                <w:sz w:val="18"/>
                <w:szCs w:val="18"/>
              </w:rPr>
            </w:pPr>
            <w:r>
              <w:rPr>
                <w:sz w:val="18"/>
                <w:szCs w:val="18"/>
              </w:rPr>
              <w:t>设计</w:t>
            </w:r>
          </w:p>
        </w:tc>
        <w:tc>
          <w:tcPr>
            <w:tcW w:w="713" w:type="dxa"/>
            <w:vAlign w:val="center"/>
          </w:tcPr>
          <w:p>
            <w:pPr>
              <w:snapToGrid w:val="0"/>
              <w:spacing w:line="300" w:lineRule="auto"/>
              <w:jc w:val="center"/>
              <w:rPr>
                <w:sz w:val="18"/>
                <w:szCs w:val="18"/>
              </w:rPr>
            </w:pPr>
            <w:r>
              <w:rPr>
                <w:sz w:val="18"/>
                <w:szCs w:val="18"/>
              </w:rPr>
              <w:t>2</w:t>
            </w:r>
          </w:p>
        </w:tc>
        <w:tc>
          <w:tcPr>
            <w:tcW w:w="734" w:type="dxa"/>
            <w:vAlign w:val="center"/>
          </w:tcPr>
          <w:p>
            <w:pPr>
              <w:snapToGrid w:val="0"/>
              <w:spacing w:line="300" w:lineRule="auto"/>
              <w:jc w:val="center"/>
              <w:rPr>
                <w:sz w:val="18"/>
                <w:szCs w:val="18"/>
              </w:rPr>
            </w:pPr>
            <w:r>
              <w:rPr>
                <w:sz w:val="18"/>
                <w:szCs w:val="18"/>
              </w:rPr>
              <w:t>必开</w:t>
            </w:r>
          </w:p>
        </w:tc>
        <w:tc>
          <w:tcPr>
            <w:tcW w:w="673" w:type="dxa"/>
            <w:vAlign w:val="center"/>
          </w:tcPr>
          <w:p>
            <w:pPr>
              <w:snapToGrid w:val="0"/>
              <w:spacing w:line="300" w:lineRule="auto"/>
              <w:jc w:val="center"/>
              <w:rPr>
                <w:sz w:val="18"/>
                <w:szCs w:val="18"/>
              </w:rPr>
            </w:pPr>
            <w:r>
              <w:rPr>
                <w:rFonts w:hint="eastAsia"/>
                <w:kern w:val="0"/>
                <w:sz w:val="18"/>
                <w:szCs w:val="18"/>
              </w:rPr>
              <w:t>1</w:t>
            </w:r>
            <w:r>
              <w:rPr>
                <w:kern w:val="0"/>
                <w:sz w:val="18"/>
                <w:szCs w:val="18"/>
              </w:rPr>
              <w:t>、</w:t>
            </w:r>
            <w:r>
              <w:rPr>
                <w:rFonts w:hint="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2" w:type="dxa"/>
            <w:vAlign w:val="center"/>
          </w:tcPr>
          <w:p>
            <w:pPr>
              <w:snapToGrid w:val="0"/>
              <w:spacing w:line="300" w:lineRule="auto"/>
              <w:jc w:val="center"/>
              <w:rPr>
                <w:sz w:val="18"/>
                <w:szCs w:val="18"/>
              </w:rPr>
            </w:pPr>
            <w:r>
              <w:rPr>
                <w:sz w:val="18"/>
                <w:szCs w:val="18"/>
              </w:rPr>
              <w:t>4</w:t>
            </w:r>
          </w:p>
        </w:tc>
        <w:tc>
          <w:tcPr>
            <w:tcW w:w="890" w:type="dxa"/>
            <w:vAlign w:val="center"/>
          </w:tcPr>
          <w:p>
            <w:pPr>
              <w:snapToGrid w:val="0"/>
              <w:spacing w:line="300" w:lineRule="auto"/>
              <w:rPr>
                <w:sz w:val="18"/>
                <w:szCs w:val="18"/>
              </w:rPr>
            </w:pPr>
            <w:r>
              <w:rPr>
                <w:sz w:val="18"/>
                <w:szCs w:val="18"/>
              </w:rPr>
              <w:t>H.263视频压缩算法</w:t>
            </w:r>
          </w:p>
        </w:tc>
        <w:tc>
          <w:tcPr>
            <w:tcW w:w="3857" w:type="dxa"/>
            <w:vAlign w:val="center"/>
          </w:tcPr>
          <w:p>
            <w:pPr>
              <w:snapToGrid w:val="0"/>
              <w:spacing w:line="300" w:lineRule="auto"/>
              <w:rPr>
                <w:sz w:val="18"/>
                <w:szCs w:val="18"/>
              </w:rPr>
            </w:pPr>
            <w:r>
              <w:rPr>
                <w:sz w:val="18"/>
                <w:szCs w:val="18"/>
              </w:rPr>
              <w:t>目的：</w:t>
            </w:r>
          </w:p>
          <w:p>
            <w:pPr>
              <w:snapToGrid w:val="0"/>
              <w:spacing w:line="300" w:lineRule="auto"/>
              <w:rPr>
                <w:sz w:val="18"/>
                <w:szCs w:val="18"/>
              </w:rPr>
            </w:pPr>
            <w:r>
              <w:rPr>
                <w:sz w:val="18"/>
                <w:szCs w:val="18"/>
              </w:rPr>
              <w:t>（1）掌握Matlab或者python语言的GUI编程；</w:t>
            </w:r>
          </w:p>
          <w:p>
            <w:pPr>
              <w:snapToGrid w:val="0"/>
              <w:spacing w:line="300" w:lineRule="auto"/>
              <w:rPr>
                <w:sz w:val="18"/>
                <w:szCs w:val="18"/>
              </w:rPr>
            </w:pPr>
            <w:r>
              <w:rPr>
                <w:sz w:val="18"/>
                <w:szCs w:val="18"/>
              </w:rPr>
              <w:t>（2）理解H.263视频压缩算法的实现流程；</w:t>
            </w:r>
          </w:p>
          <w:p>
            <w:pPr>
              <w:snapToGrid w:val="0"/>
              <w:spacing w:line="300" w:lineRule="auto"/>
              <w:rPr>
                <w:sz w:val="18"/>
                <w:szCs w:val="18"/>
              </w:rPr>
            </w:pPr>
            <w:r>
              <w:rPr>
                <w:sz w:val="18"/>
                <w:szCs w:val="18"/>
              </w:rPr>
              <w:t>（3）理解帧内编码与帧间编码、以及运动补偿，掌握其实现过程；</w:t>
            </w:r>
          </w:p>
          <w:p>
            <w:pPr>
              <w:snapToGrid w:val="0"/>
              <w:spacing w:line="300" w:lineRule="auto"/>
              <w:rPr>
                <w:sz w:val="18"/>
                <w:szCs w:val="18"/>
              </w:rPr>
            </w:pPr>
            <w:r>
              <w:rPr>
                <w:sz w:val="18"/>
                <w:szCs w:val="18"/>
              </w:rPr>
              <w:t>（4）比对不同类型视频的原始文件YUV与压缩后H263视频文件，理解H263算法对于不同类型视频所体现的差异性，理解各种参数对于视频压缩效果的影响。</w:t>
            </w:r>
          </w:p>
          <w:p>
            <w:pPr>
              <w:snapToGrid w:val="0"/>
              <w:spacing w:line="300" w:lineRule="auto"/>
              <w:rPr>
                <w:sz w:val="18"/>
                <w:szCs w:val="18"/>
              </w:rPr>
            </w:pPr>
            <w:r>
              <w:rPr>
                <w:sz w:val="18"/>
                <w:szCs w:val="18"/>
              </w:rPr>
              <w:t>要求：</w:t>
            </w:r>
          </w:p>
          <w:p>
            <w:pPr>
              <w:snapToGrid w:val="0"/>
              <w:spacing w:line="300" w:lineRule="auto"/>
              <w:rPr>
                <w:sz w:val="18"/>
                <w:szCs w:val="18"/>
              </w:rPr>
            </w:pPr>
            <w:r>
              <w:rPr>
                <w:sz w:val="18"/>
                <w:szCs w:val="18"/>
              </w:rPr>
              <w:t>①编码实现H.263压缩，并实现视频YUV文件的读取与显示、压缩效果展示以及性能计算的GUI界面；②调整量化系数，观察量化系数对视频压缩后显示效果的影响；③改变帧内编码与帧间编码的决策方式，观察帧间编码对视频压缩性能的影响。</w:t>
            </w:r>
          </w:p>
        </w:tc>
        <w:tc>
          <w:tcPr>
            <w:tcW w:w="741" w:type="dxa"/>
            <w:vAlign w:val="center"/>
          </w:tcPr>
          <w:p>
            <w:pPr>
              <w:snapToGrid w:val="0"/>
              <w:spacing w:line="300" w:lineRule="auto"/>
              <w:jc w:val="center"/>
              <w:rPr>
                <w:sz w:val="18"/>
                <w:szCs w:val="18"/>
              </w:rPr>
            </w:pPr>
            <w:r>
              <w:rPr>
                <w:rFonts w:hint="eastAsia"/>
                <w:sz w:val="18"/>
                <w:szCs w:val="18"/>
              </w:rPr>
              <w:t>2</w:t>
            </w:r>
          </w:p>
        </w:tc>
        <w:tc>
          <w:tcPr>
            <w:tcW w:w="628" w:type="dxa"/>
            <w:vAlign w:val="center"/>
          </w:tcPr>
          <w:p>
            <w:pPr>
              <w:snapToGrid w:val="0"/>
              <w:spacing w:line="300" w:lineRule="auto"/>
              <w:jc w:val="center"/>
              <w:rPr>
                <w:sz w:val="18"/>
                <w:szCs w:val="18"/>
              </w:rPr>
            </w:pPr>
            <w:r>
              <w:rPr>
                <w:sz w:val="18"/>
                <w:szCs w:val="18"/>
              </w:rPr>
              <w:t>设计</w:t>
            </w:r>
          </w:p>
        </w:tc>
        <w:tc>
          <w:tcPr>
            <w:tcW w:w="713" w:type="dxa"/>
            <w:vAlign w:val="center"/>
          </w:tcPr>
          <w:p>
            <w:pPr>
              <w:snapToGrid w:val="0"/>
              <w:spacing w:line="300" w:lineRule="auto"/>
              <w:jc w:val="center"/>
              <w:rPr>
                <w:sz w:val="18"/>
                <w:szCs w:val="18"/>
              </w:rPr>
            </w:pPr>
            <w:r>
              <w:rPr>
                <w:sz w:val="18"/>
                <w:szCs w:val="18"/>
              </w:rPr>
              <w:t>2</w:t>
            </w:r>
          </w:p>
        </w:tc>
        <w:tc>
          <w:tcPr>
            <w:tcW w:w="734" w:type="dxa"/>
            <w:vAlign w:val="center"/>
          </w:tcPr>
          <w:p>
            <w:pPr>
              <w:snapToGrid w:val="0"/>
              <w:spacing w:line="300" w:lineRule="auto"/>
              <w:jc w:val="center"/>
              <w:rPr>
                <w:sz w:val="18"/>
                <w:szCs w:val="18"/>
              </w:rPr>
            </w:pPr>
            <w:r>
              <w:rPr>
                <w:sz w:val="18"/>
                <w:szCs w:val="18"/>
              </w:rPr>
              <w:t>必开</w:t>
            </w:r>
          </w:p>
        </w:tc>
        <w:tc>
          <w:tcPr>
            <w:tcW w:w="673" w:type="dxa"/>
            <w:vAlign w:val="center"/>
          </w:tcPr>
          <w:p>
            <w:pPr>
              <w:snapToGrid w:val="0"/>
              <w:spacing w:line="300" w:lineRule="auto"/>
              <w:jc w:val="center"/>
              <w:rPr>
                <w:sz w:val="18"/>
                <w:szCs w:val="18"/>
              </w:rPr>
            </w:pPr>
            <w:r>
              <w:rPr>
                <w:rFonts w:hint="eastAsia"/>
                <w:kern w:val="0"/>
                <w:sz w:val="18"/>
                <w:szCs w:val="18"/>
              </w:rPr>
              <w:t>2</w:t>
            </w:r>
            <w:r>
              <w:rPr>
                <w:kern w:val="0"/>
                <w:sz w:val="18"/>
                <w:szCs w:val="18"/>
              </w:rPr>
              <w:t>、</w:t>
            </w:r>
            <w:r>
              <w:rPr>
                <w:rFonts w:hint="eastAsia"/>
                <w:kern w:val="0"/>
                <w:sz w:val="18"/>
                <w:szCs w:val="18"/>
              </w:rPr>
              <w:t>3</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w:t>
      </w:r>
      <w:r>
        <w:rPr>
          <w:kern w:val="0"/>
          <w:szCs w:val="21"/>
        </w:rPr>
        <w:t>．</w:t>
      </w:r>
      <w:r>
        <w:t>考核方式：课程设计论文，课堂表现，课后作业，实验。</w:t>
      </w:r>
    </w:p>
    <w:p>
      <w:pPr>
        <w:snapToGrid w:val="0"/>
        <w:spacing w:line="300" w:lineRule="auto"/>
        <w:ind w:firstLine="420" w:firstLineChars="200"/>
      </w:pPr>
      <w:r>
        <w:t>2</w:t>
      </w:r>
      <w:r>
        <w:rPr>
          <w:kern w:val="0"/>
          <w:szCs w:val="21"/>
        </w:rPr>
        <w:t>．</w:t>
      </w:r>
      <w:r>
        <w:t>成绩评定：课程设计论文成绩60%，平时成绩40%（作业</w:t>
      </w:r>
      <w:r>
        <w:rPr>
          <w:rFonts w:hint="eastAsia"/>
        </w:rPr>
        <w:t>与</w:t>
      </w:r>
      <w:r>
        <w:t>实验）。</w:t>
      </w:r>
    </w:p>
    <w:p>
      <w:pPr>
        <w:snapToGrid w:val="0"/>
        <w:spacing w:line="300" w:lineRule="auto"/>
        <w:ind w:firstLine="420" w:firstLineChars="200"/>
      </w:pPr>
      <w:r>
        <w:t>3</w:t>
      </w:r>
      <w:r>
        <w:rPr>
          <w:kern w:val="0"/>
          <w:szCs w:val="21"/>
        </w:rPr>
        <w:t>．</w:t>
      </w:r>
      <w:r>
        <w:t>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581"/>
        <w:gridCol w:w="578"/>
        <w:gridCol w:w="605"/>
        <w:gridCol w:w="624"/>
        <w:gridCol w:w="3596"/>
        <w:gridCol w:w="989"/>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sz w:val="18"/>
                <w:szCs w:val="18"/>
              </w:rPr>
            </w:pPr>
            <w:r>
              <w:rPr>
                <w:b/>
                <w:bCs/>
                <w:sz w:val="18"/>
                <w:szCs w:val="18"/>
              </w:rPr>
              <w:t>类型</w:t>
            </w:r>
          </w:p>
        </w:tc>
        <w:tc>
          <w:tcPr>
            <w:tcW w:w="341" w:type="pct"/>
            <w:vAlign w:val="center"/>
          </w:tcPr>
          <w:p>
            <w:pPr>
              <w:snapToGrid w:val="0"/>
              <w:spacing w:line="300" w:lineRule="auto"/>
              <w:jc w:val="center"/>
              <w:rPr>
                <w:sz w:val="18"/>
                <w:szCs w:val="18"/>
              </w:rPr>
            </w:pPr>
            <w:r>
              <w:rPr>
                <w:b/>
                <w:bCs/>
                <w:sz w:val="18"/>
                <w:szCs w:val="18"/>
              </w:rPr>
              <w:t>分值</w:t>
            </w:r>
          </w:p>
        </w:tc>
        <w:tc>
          <w:tcPr>
            <w:tcW w:w="339" w:type="pct"/>
            <w:vAlign w:val="center"/>
          </w:tcPr>
          <w:p>
            <w:pPr>
              <w:snapToGrid w:val="0"/>
              <w:spacing w:line="300" w:lineRule="auto"/>
              <w:jc w:val="center"/>
              <w:rPr>
                <w:sz w:val="18"/>
                <w:szCs w:val="18"/>
              </w:rPr>
            </w:pPr>
            <w:r>
              <w:rPr>
                <w:b/>
                <w:bCs/>
                <w:sz w:val="18"/>
                <w:szCs w:val="18"/>
              </w:rPr>
              <w:t>权重</w:t>
            </w:r>
          </w:p>
        </w:tc>
        <w:tc>
          <w:tcPr>
            <w:tcW w:w="355" w:type="pct"/>
            <w:vAlign w:val="center"/>
          </w:tcPr>
          <w:p>
            <w:pPr>
              <w:snapToGrid w:val="0"/>
              <w:spacing w:line="300" w:lineRule="auto"/>
              <w:jc w:val="center"/>
              <w:rPr>
                <w:sz w:val="18"/>
                <w:szCs w:val="18"/>
              </w:rPr>
            </w:pPr>
            <w:r>
              <w:rPr>
                <w:b/>
                <w:bCs/>
                <w:sz w:val="18"/>
                <w:szCs w:val="18"/>
              </w:rPr>
              <w:t>类别</w:t>
            </w:r>
          </w:p>
        </w:tc>
        <w:tc>
          <w:tcPr>
            <w:tcW w:w="366" w:type="pct"/>
            <w:vAlign w:val="center"/>
          </w:tcPr>
          <w:p>
            <w:pPr>
              <w:snapToGrid w:val="0"/>
              <w:spacing w:line="300" w:lineRule="auto"/>
              <w:jc w:val="center"/>
              <w:rPr>
                <w:sz w:val="18"/>
                <w:szCs w:val="18"/>
              </w:rPr>
            </w:pPr>
            <w:r>
              <w:rPr>
                <w:b/>
                <w:bCs/>
                <w:sz w:val="18"/>
                <w:szCs w:val="18"/>
              </w:rPr>
              <w:t>权重</w:t>
            </w:r>
          </w:p>
        </w:tc>
        <w:tc>
          <w:tcPr>
            <w:tcW w:w="2110" w:type="pct"/>
            <w:vAlign w:val="center"/>
          </w:tcPr>
          <w:p>
            <w:pPr>
              <w:snapToGrid w:val="0"/>
              <w:spacing w:line="300" w:lineRule="auto"/>
              <w:jc w:val="center"/>
              <w:rPr>
                <w:sz w:val="18"/>
                <w:szCs w:val="18"/>
              </w:rPr>
            </w:pPr>
            <w:r>
              <w:rPr>
                <w:b/>
                <w:bCs/>
                <w:sz w:val="18"/>
                <w:szCs w:val="18"/>
              </w:rPr>
              <w:t>考核/评价细则</w:t>
            </w:r>
          </w:p>
        </w:tc>
        <w:tc>
          <w:tcPr>
            <w:tcW w:w="580" w:type="pct"/>
            <w:vAlign w:val="center"/>
          </w:tcPr>
          <w:p>
            <w:pPr>
              <w:snapToGrid w:val="0"/>
              <w:spacing w:line="300" w:lineRule="auto"/>
              <w:jc w:val="center"/>
              <w:rPr>
                <w:sz w:val="18"/>
                <w:szCs w:val="18"/>
              </w:rPr>
            </w:pPr>
            <w:r>
              <w:rPr>
                <w:b/>
                <w:bCs/>
                <w:sz w:val="18"/>
                <w:szCs w:val="18"/>
              </w:rPr>
              <w:t>课程目标</w:t>
            </w:r>
          </w:p>
        </w:tc>
        <w:tc>
          <w:tcPr>
            <w:tcW w:w="559" w:type="pct"/>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47" w:type="pct"/>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341" w:type="pct"/>
            <w:vMerge w:val="restart"/>
            <w:vAlign w:val="center"/>
          </w:tcPr>
          <w:p>
            <w:pPr>
              <w:snapToGrid w:val="0"/>
              <w:spacing w:line="300" w:lineRule="auto"/>
              <w:jc w:val="center"/>
              <w:rPr>
                <w:sz w:val="18"/>
                <w:szCs w:val="18"/>
              </w:rPr>
            </w:pPr>
            <w:r>
              <w:rPr>
                <w:sz w:val="18"/>
                <w:szCs w:val="18"/>
              </w:rPr>
              <w:t>100</w:t>
            </w:r>
          </w:p>
        </w:tc>
        <w:tc>
          <w:tcPr>
            <w:tcW w:w="339" w:type="pct"/>
            <w:vMerge w:val="restart"/>
            <w:vAlign w:val="center"/>
          </w:tcPr>
          <w:p>
            <w:pPr>
              <w:snapToGrid w:val="0"/>
              <w:spacing w:line="300" w:lineRule="auto"/>
              <w:jc w:val="center"/>
              <w:rPr>
                <w:sz w:val="18"/>
                <w:szCs w:val="18"/>
              </w:rPr>
            </w:pPr>
            <w:r>
              <w:rPr>
                <w:sz w:val="18"/>
                <w:szCs w:val="18"/>
              </w:rPr>
              <w:t>0.4</w:t>
            </w:r>
          </w:p>
        </w:tc>
        <w:tc>
          <w:tcPr>
            <w:tcW w:w="355" w:type="pct"/>
            <w:vAlign w:val="center"/>
          </w:tcPr>
          <w:p>
            <w:pPr>
              <w:snapToGrid w:val="0"/>
              <w:spacing w:line="300" w:lineRule="auto"/>
              <w:jc w:val="left"/>
              <w:rPr>
                <w:sz w:val="18"/>
                <w:szCs w:val="18"/>
              </w:rPr>
            </w:pPr>
            <w:r>
              <w:rPr>
                <w:sz w:val="18"/>
                <w:szCs w:val="18"/>
              </w:rPr>
              <w:t>作业</w:t>
            </w:r>
          </w:p>
        </w:tc>
        <w:tc>
          <w:tcPr>
            <w:tcW w:w="366" w:type="pct"/>
            <w:vAlign w:val="center"/>
          </w:tcPr>
          <w:p>
            <w:pPr>
              <w:snapToGrid w:val="0"/>
              <w:spacing w:line="300" w:lineRule="auto"/>
              <w:jc w:val="center"/>
              <w:rPr>
                <w:sz w:val="18"/>
                <w:szCs w:val="18"/>
              </w:rPr>
            </w:pPr>
            <w:r>
              <w:rPr>
                <w:sz w:val="18"/>
                <w:szCs w:val="18"/>
              </w:rPr>
              <w:t>0.</w:t>
            </w:r>
            <w:r>
              <w:rPr>
                <w:rFonts w:hint="eastAsia"/>
                <w:sz w:val="18"/>
                <w:szCs w:val="18"/>
              </w:rPr>
              <w:t>25</w:t>
            </w:r>
          </w:p>
        </w:tc>
        <w:tc>
          <w:tcPr>
            <w:tcW w:w="2110" w:type="pct"/>
            <w:vAlign w:val="center"/>
          </w:tcPr>
          <w:p>
            <w:pPr>
              <w:snapToGrid w:val="0"/>
              <w:spacing w:line="300" w:lineRule="auto"/>
              <w:rPr>
                <w:sz w:val="18"/>
                <w:szCs w:val="18"/>
              </w:rPr>
            </w:pPr>
            <w:r>
              <w:rPr>
                <w:sz w:val="18"/>
                <w:szCs w:val="18"/>
              </w:rPr>
              <w:t>考核学生对每章节知识点</w:t>
            </w:r>
            <w:r>
              <w:rPr>
                <w:rFonts w:hint="eastAsia"/>
                <w:sz w:val="18"/>
                <w:szCs w:val="18"/>
              </w:rPr>
              <w:t>与算法数学模型</w:t>
            </w:r>
            <w:r>
              <w:rPr>
                <w:sz w:val="18"/>
                <w:szCs w:val="18"/>
              </w:rPr>
              <w:t>的理解和掌握程度，</w:t>
            </w:r>
            <w:r>
              <w:rPr>
                <w:rFonts w:hint="eastAsia"/>
                <w:sz w:val="18"/>
                <w:szCs w:val="18"/>
              </w:rPr>
              <w:t>占</w:t>
            </w:r>
            <w:r>
              <w:rPr>
                <w:sz w:val="18"/>
                <w:szCs w:val="18"/>
              </w:rPr>
              <w:t>课程总评成绩10分</w:t>
            </w:r>
          </w:p>
        </w:tc>
        <w:tc>
          <w:tcPr>
            <w:tcW w:w="580" w:type="pct"/>
            <w:vAlign w:val="center"/>
          </w:tcPr>
          <w:p>
            <w:pPr>
              <w:snapToGrid w:val="0"/>
              <w:spacing w:line="300" w:lineRule="auto"/>
              <w:jc w:val="center"/>
              <w:rPr>
                <w:sz w:val="18"/>
                <w:szCs w:val="18"/>
              </w:rPr>
            </w:pPr>
            <w:r>
              <w:rPr>
                <w:sz w:val="18"/>
                <w:szCs w:val="18"/>
              </w:rPr>
              <w:t>1</w:t>
            </w:r>
          </w:p>
        </w:tc>
        <w:tc>
          <w:tcPr>
            <w:tcW w:w="559" w:type="pct"/>
            <w:vAlign w:val="center"/>
          </w:tcPr>
          <w:p>
            <w:pPr>
              <w:snapToGrid w:val="0"/>
              <w:spacing w:line="300" w:lineRule="auto"/>
              <w:rPr>
                <w:sz w:val="18"/>
                <w:szCs w:val="18"/>
              </w:rPr>
            </w:pPr>
            <w:r>
              <w:rPr>
                <w:rFonts w:hint="eastAsia"/>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Merge w:val="continue"/>
            <w:vAlign w:val="center"/>
          </w:tcPr>
          <w:p>
            <w:pPr>
              <w:snapToGrid w:val="0"/>
              <w:spacing w:line="300" w:lineRule="auto"/>
              <w:rPr>
                <w:sz w:val="18"/>
                <w:szCs w:val="18"/>
              </w:rPr>
            </w:pPr>
          </w:p>
        </w:tc>
        <w:tc>
          <w:tcPr>
            <w:tcW w:w="341" w:type="pct"/>
            <w:vMerge w:val="continue"/>
            <w:vAlign w:val="center"/>
          </w:tcPr>
          <w:p>
            <w:pPr>
              <w:snapToGrid w:val="0"/>
              <w:spacing w:line="300" w:lineRule="auto"/>
              <w:jc w:val="center"/>
              <w:rPr>
                <w:sz w:val="18"/>
                <w:szCs w:val="18"/>
              </w:rPr>
            </w:pPr>
          </w:p>
        </w:tc>
        <w:tc>
          <w:tcPr>
            <w:tcW w:w="339" w:type="pct"/>
            <w:vMerge w:val="continue"/>
            <w:vAlign w:val="center"/>
          </w:tcPr>
          <w:p>
            <w:pPr>
              <w:snapToGrid w:val="0"/>
              <w:spacing w:line="300" w:lineRule="auto"/>
              <w:jc w:val="center"/>
              <w:rPr>
                <w:sz w:val="18"/>
                <w:szCs w:val="18"/>
              </w:rPr>
            </w:pPr>
          </w:p>
        </w:tc>
        <w:tc>
          <w:tcPr>
            <w:tcW w:w="355" w:type="pct"/>
            <w:vAlign w:val="center"/>
          </w:tcPr>
          <w:p>
            <w:pPr>
              <w:snapToGrid w:val="0"/>
              <w:spacing w:line="300" w:lineRule="auto"/>
              <w:jc w:val="left"/>
              <w:rPr>
                <w:sz w:val="18"/>
                <w:szCs w:val="18"/>
              </w:rPr>
            </w:pPr>
            <w:r>
              <w:rPr>
                <w:sz w:val="18"/>
                <w:szCs w:val="18"/>
              </w:rPr>
              <w:t>实验</w:t>
            </w:r>
          </w:p>
        </w:tc>
        <w:tc>
          <w:tcPr>
            <w:tcW w:w="366" w:type="pct"/>
            <w:vAlign w:val="center"/>
          </w:tcPr>
          <w:p>
            <w:pPr>
              <w:snapToGrid w:val="0"/>
              <w:spacing w:line="300" w:lineRule="auto"/>
              <w:jc w:val="center"/>
              <w:rPr>
                <w:sz w:val="18"/>
                <w:szCs w:val="18"/>
              </w:rPr>
            </w:pPr>
            <w:r>
              <w:rPr>
                <w:sz w:val="18"/>
                <w:szCs w:val="18"/>
              </w:rPr>
              <w:t>0.</w:t>
            </w:r>
            <w:r>
              <w:rPr>
                <w:rFonts w:hint="eastAsia"/>
                <w:sz w:val="18"/>
                <w:szCs w:val="18"/>
              </w:rPr>
              <w:t>75</w:t>
            </w:r>
          </w:p>
        </w:tc>
        <w:tc>
          <w:tcPr>
            <w:tcW w:w="2110" w:type="pct"/>
            <w:vAlign w:val="center"/>
          </w:tcPr>
          <w:p>
            <w:pPr>
              <w:snapToGrid w:val="0"/>
              <w:spacing w:line="300" w:lineRule="auto"/>
              <w:rPr>
                <w:sz w:val="18"/>
                <w:szCs w:val="18"/>
              </w:rPr>
            </w:pPr>
            <w:r>
              <w:rPr>
                <w:sz w:val="18"/>
                <w:szCs w:val="18"/>
              </w:rPr>
              <w:t>依据实验课堂提问验收成绩（</w:t>
            </w:r>
            <w:r>
              <w:rPr>
                <w:rFonts w:hint="eastAsia"/>
                <w:sz w:val="18"/>
                <w:szCs w:val="18"/>
              </w:rPr>
              <w:t>4*6</w:t>
            </w:r>
            <w:r>
              <w:rPr>
                <w:sz w:val="18"/>
                <w:szCs w:val="18"/>
              </w:rPr>
              <w:t>分），以及实验报告质量评分（</w:t>
            </w:r>
            <w:r>
              <w:rPr>
                <w:rFonts w:hint="eastAsia"/>
                <w:sz w:val="18"/>
                <w:szCs w:val="18"/>
              </w:rPr>
              <w:t>6</w:t>
            </w:r>
            <w:r>
              <w:rPr>
                <w:sz w:val="18"/>
                <w:szCs w:val="18"/>
              </w:rPr>
              <w:t>分），</w:t>
            </w:r>
            <w:r>
              <w:rPr>
                <w:rFonts w:hint="eastAsia"/>
                <w:sz w:val="18"/>
                <w:szCs w:val="18"/>
              </w:rPr>
              <w:t>占</w:t>
            </w:r>
            <w:r>
              <w:rPr>
                <w:sz w:val="18"/>
                <w:szCs w:val="18"/>
              </w:rPr>
              <w:t>课程总评成绩</w:t>
            </w:r>
            <w:r>
              <w:rPr>
                <w:rFonts w:hint="eastAsia"/>
                <w:sz w:val="18"/>
                <w:szCs w:val="18"/>
              </w:rPr>
              <w:t>3</w:t>
            </w:r>
            <w:r>
              <w:rPr>
                <w:sz w:val="18"/>
                <w:szCs w:val="18"/>
              </w:rPr>
              <w:t>0分</w:t>
            </w:r>
          </w:p>
        </w:tc>
        <w:tc>
          <w:tcPr>
            <w:tcW w:w="580" w:type="pct"/>
            <w:vAlign w:val="center"/>
          </w:tcPr>
          <w:p>
            <w:pPr>
              <w:snapToGrid w:val="0"/>
              <w:spacing w:line="300" w:lineRule="auto"/>
              <w:jc w:val="center"/>
              <w:rPr>
                <w:sz w:val="18"/>
                <w:szCs w:val="18"/>
              </w:rPr>
            </w:pPr>
            <w:r>
              <w:rPr>
                <w:rFonts w:hint="eastAsia"/>
                <w:sz w:val="18"/>
                <w:szCs w:val="18"/>
              </w:rPr>
              <w:t>2</w:t>
            </w:r>
          </w:p>
        </w:tc>
        <w:tc>
          <w:tcPr>
            <w:tcW w:w="559" w:type="pct"/>
            <w:vAlign w:val="center"/>
          </w:tcPr>
          <w:p>
            <w:pPr>
              <w:snapToGrid w:val="0"/>
              <w:spacing w:line="300" w:lineRule="auto"/>
              <w:rPr>
                <w:sz w:val="18"/>
                <w:szCs w:val="18"/>
              </w:rPr>
            </w:pPr>
            <w:r>
              <w:rPr>
                <w:rFonts w:hint="eastAsia"/>
                <w:sz w:val="18"/>
                <w:szCs w:val="18"/>
              </w:rPr>
              <w:t>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347" w:type="pct"/>
            <w:vAlign w:val="center"/>
          </w:tcPr>
          <w:p>
            <w:pPr>
              <w:snapToGrid w:val="0"/>
              <w:spacing w:line="300" w:lineRule="auto"/>
              <w:rPr>
                <w:sz w:val="18"/>
                <w:szCs w:val="18"/>
              </w:rPr>
            </w:pPr>
            <w:r>
              <w:rPr>
                <w:sz w:val="18"/>
                <w:szCs w:val="18"/>
              </w:rPr>
              <w:t>期末</w:t>
            </w:r>
          </w:p>
          <w:p>
            <w:pPr>
              <w:snapToGrid w:val="0"/>
              <w:spacing w:line="300" w:lineRule="auto"/>
              <w:rPr>
                <w:sz w:val="18"/>
                <w:szCs w:val="18"/>
              </w:rPr>
            </w:pPr>
            <w:r>
              <w:rPr>
                <w:sz w:val="18"/>
                <w:szCs w:val="18"/>
              </w:rPr>
              <w:t>成绩</w:t>
            </w:r>
          </w:p>
        </w:tc>
        <w:tc>
          <w:tcPr>
            <w:tcW w:w="341" w:type="pct"/>
            <w:vAlign w:val="center"/>
          </w:tcPr>
          <w:p>
            <w:pPr>
              <w:snapToGrid w:val="0"/>
              <w:spacing w:line="300" w:lineRule="auto"/>
              <w:jc w:val="center"/>
              <w:rPr>
                <w:sz w:val="18"/>
                <w:szCs w:val="18"/>
              </w:rPr>
            </w:pPr>
            <w:r>
              <w:rPr>
                <w:sz w:val="18"/>
                <w:szCs w:val="18"/>
              </w:rPr>
              <w:t>100</w:t>
            </w:r>
          </w:p>
        </w:tc>
        <w:tc>
          <w:tcPr>
            <w:tcW w:w="339" w:type="pct"/>
            <w:vAlign w:val="center"/>
          </w:tcPr>
          <w:p>
            <w:pPr>
              <w:snapToGrid w:val="0"/>
              <w:spacing w:line="300" w:lineRule="auto"/>
              <w:jc w:val="center"/>
              <w:rPr>
                <w:sz w:val="18"/>
                <w:szCs w:val="18"/>
              </w:rPr>
            </w:pPr>
            <w:r>
              <w:rPr>
                <w:sz w:val="18"/>
                <w:szCs w:val="18"/>
              </w:rPr>
              <w:t>0.6</w:t>
            </w:r>
          </w:p>
        </w:tc>
        <w:tc>
          <w:tcPr>
            <w:tcW w:w="355" w:type="pct"/>
            <w:vAlign w:val="center"/>
          </w:tcPr>
          <w:p>
            <w:pPr>
              <w:snapToGrid w:val="0"/>
              <w:spacing w:line="300" w:lineRule="auto"/>
              <w:jc w:val="left"/>
              <w:rPr>
                <w:sz w:val="18"/>
                <w:szCs w:val="18"/>
              </w:rPr>
            </w:pPr>
            <w:r>
              <w:rPr>
                <w:sz w:val="18"/>
                <w:szCs w:val="18"/>
              </w:rPr>
              <w:t>课程设计论文</w:t>
            </w:r>
          </w:p>
        </w:tc>
        <w:tc>
          <w:tcPr>
            <w:tcW w:w="366" w:type="pct"/>
            <w:vAlign w:val="center"/>
          </w:tcPr>
          <w:p>
            <w:pPr>
              <w:snapToGrid w:val="0"/>
              <w:spacing w:line="300" w:lineRule="auto"/>
              <w:jc w:val="center"/>
              <w:rPr>
                <w:sz w:val="18"/>
                <w:szCs w:val="18"/>
              </w:rPr>
            </w:pPr>
            <w:r>
              <w:rPr>
                <w:rFonts w:hint="eastAsia"/>
                <w:sz w:val="18"/>
                <w:szCs w:val="18"/>
              </w:rPr>
              <w:t>1</w:t>
            </w:r>
          </w:p>
        </w:tc>
        <w:tc>
          <w:tcPr>
            <w:tcW w:w="2110" w:type="pct"/>
            <w:vAlign w:val="center"/>
          </w:tcPr>
          <w:p>
            <w:pPr>
              <w:snapToGrid w:val="0"/>
              <w:spacing w:line="300" w:lineRule="auto"/>
              <w:rPr>
                <w:sz w:val="18"/>
                <w:szCs w:val="18"/>
              </w:rPr>
            </w:pPr>
            <w:r>
              <w:rPr>
                <w:sz w:val="18"/>
                <w:szCs w:val="18"/>
              </w:rPr>
              <w:t>每组依据选定的实践题目，绘制代码架构图与流程图，编写matlab或者python代码，实现GUI交互窗口，依据参数调整测试分析参数对性能的影响，完成所选题目的所有要求，并提交论文和代码的纸质版和电子版。由课程设计小组的组长对课程论文进行现场答辩，运行代码、演示功能以及讲解文档。依据答辩效果和论文书写水平，给予课程设计论文成绩。</w:t>
            </w:r>
          </w:p>
          <w:p>
            <w:pPr>
              <w:snapToGrid w:val="0"/>
              <w:spacing w:line="300" w:lineRule="auto"/>
              <w:rPr>
                <w:sz w:val="18"/>
                <w:szCs w:val="18"/>
              </w:rPr>
            </w:pPr>
            <w:r>
              <w:rPr>
                <w:sz w:val="18"/>
                <w:szCs w:val="18"/>
              </w:rPr>
              <w:t>课程设计满分100，</w:t>
            </w:r>
            <w:r>
              <w:rPr>
                <w:rFonts w:hint="eastAsia"/>
                <w:sz w:val="18"/>
                <w:szCs w:val="18"/>
              </w:rPr>
              <w:t>占</w:t>
            </w:r>
            <w:r>
              <w:rPr>
                <w:sz w:val="18"/>
                <w:szCs w:val="18"/>
              </w:rPr>
              <w:t>课程总评成绩</w:t>
            </w:r>
            <w:r>
              <w:rPr>
                <w:rFonts w:hint="eastAsia"/>
                <w:sz w:val="18"/>
                <w:szCs w:val="18"/>
              </w:rPr>
              <w:t>60分，</w:t>
            </w:r>
            <w:r>
              <w:rPr>
                <w:sz w:val="18"/>
                <w:szCs w:val="18"/>
              </w:rPr>
              <w:t>从以下5点进行考核：①代码注释可读性是否良好；②运行结果是否正确；③文档的模块设计是否合理与内容详实；④答辩过程代码理解正确；⑤报告格式是否规范。</w:t>
            </w:r>
          </w:p>
        </w:tc>
        <w:tc>
          <w:tcPr>
            <w:tcW w:w="580" w:type="pct"/>
            <w:vAlign w:val="center"/>
          </w:tcPr>
          <w:p>
            <w:pPr>
              <w:snapToGrid w:val="0"/>
              <w:spacing w:line="300" w:lineRule="auto"/>
              <w:jc w:val="center"/>
              <w:rPr>
                <w:sz w:val="18"/>
                <w:szCs w:val="18"/>
              </w:rPr>
            </w:pPr>
            <w:r>
              <w:rPr>
                <w:sz w:val="18"/>
                <w:szCs w:val="18"/>
              </w:rPr>
              <w:t>1，</w:t>
            </w:r>
            <w:r>
              <w:rPr>
                <w:rFonts w:hint="eastAsia"/>
                <w:sz w:val="18"/>
                <w:szCs w:val="18"/>
              </w:rPr>
              <w:t>2，</w:t>
            </w:r>
            <w:r>
              <w:rPr>
                <w:sz w:val="18"/>
                <w:szCs w:val="18"/>
              </w:rPr>
              <w:t>3</w:t>
            </w:r>
          </w:p>
        </w:tc>
        <w:tc>
          <w:tcPr>
            <w:tcW w:w="559" w:type="pct"/>
            <w:vAlign w:val="center"/>
          </w:tcPr>
          <w:p>
            <w:pPr>
              <w:snapToGrid w:val="0"/>
              <w:spacing w:line="300" w:lineRule="auto"/>
              <w:rPr>
                <w:sz w:val="18"/>
                <w:szCs w:val="18"/>
              </w:rPr>
            </w:pPr>
            <w:r>
              <w:rPr>
                <w:rFonts w:hint="eastAsia"/>
                <w:sz w:val="18"/>
                <w:szCs w:val="18"/>
              </w:rPr>
              <w:t>1.1</w:t>
            </w:r>
            <w:r>
              <w:rPr>
                <w:sz w:val="18"/>
                <w:szCs w:val="18"/>
              </w:rPr>
              <w:t>，</w:t>
            </w:r>
            <w:r>
              <w:rPr>
                <w:rFonts w:hint="eastAsia"/>
                <w:sz w:val="18"/>
                <w:szCs w:val="18"/>
              </w:rPr>
              <w:t>2.</w:t>
            </w:r>
            <w:r>
              <w:rPr>
                <w:sz w:val="18"/>
                <w:szCs w:val="18"/>
              </w:rPr>
              <w:t>2，</w:t>
            </w:r>
            <w:r>
              <w:rPr>
                <w:rFonts w:hint="eastAsia"/>
                <w:sz w:val="18"/>
                <w:szCs w:val="18"/>
              </w:rPr>
              <w:t>4.1</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60"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60" DrawAspect="Content" ObjectID="_1468075858" r:id="rId181">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161"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61" DrawAspect="Content" ObjectID="_1468075859" r:id="rId182">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3"/>
        <w:gridCol w:w="2013"/>
        <w:gridCol w:w="2381"/>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03" w:type="dxa"/>
            <w:vAlign w:val="center"/>
          </w:tcPr>
          <w:p>
            <w:pPr>
              <w:snapToGrid w:val="0"/>
              <w:spacing w:line="300" w:lineRule="auto"/>
              <w:jc w:val="center"/>
              <w:rPr>
                <w:b/>
                <w:bCs/>
                <w:sz w:val="18"/>
                <w:szCs w:val="18"/>
              </w:rPr>
            </w:pPr>
            <w:r>
              <w:rPr>
                <w:b/>
                <w:bCs/>
                <w:sz w:val="18"/>
                <w:szCs w:val="18"/>
              </w:rPr>
              <w:t>课程目标</w:t>
            </w:r>
          </w:p>
        </w:tc>
        <w:tc>
          <w:tcPr>
            <w:tcW w:w="2013" w:type="dxa"/>
            <w:vAlign w:val="center"/>
          </w:tcPr>
          <w:p>
            <w:pPr>
              <w:snapToGrid w:val="0"/>
              <w:spacing w:line="300" w:lineRule="auto"/>
              <w:jc w:val="center"/>
              <w:rPr>
                <w:sz w:val="18"/>
                <w:szCs w:val="18"/>
              </w:rPr>
            </w:pPr>
            <w:r>
              <w:rPr>
                <w:sz w:val="18"/>
                <w:szCs w:val="18"/>
              </w:rPr>
              <w:t>1</w:t>
            </w:r>
          </w:p>
        </w:tc>
        <w:tc>
          <w:tcPr>
            <w:tcW w:w="2381" w:type="dxa"/>
            <w:vAlign w:val="center"/>
          </w:tcPr>
          <w:p>
            <w:pPr>
              <w:snapToGrid w:val="0"/>
              <w:spacing w:line="300" w:lineRule="auto"/>
              <w:jc w:val="center"/>
              <w:rPr>
                <w:sz w:val="18"/>
                <w:szCs w:val="18"/>
              </w:rPr>
            </w:pPr>
            <w:r>
              <w:rPr>
                <w:sz w:val="18"/>
                <w:szCs w:val="18"/>
              </w:rPr>
              <w:t>2</w:t>
            </w:r>
          </w:p>
        </w:tc>
        <w:tc>
          <w:tcPr>
            <w:tcW w:w="2381"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03" w:type="dxa"/>
            <w:vAlign w:val="center"/>
          </w:tcPr>
          <w:p>
            <w:pPr>
              <w:snapToGrid w:val="0"/>
              <w:spacing w:line="300" w:lineRule="auto"/>
              <w:jc w:val="center"/>
              <w:rPr>
                <w:b/>
                <w:bCs/>
                <w:sz w:val="18"/>
                <w:szCs w:val="18"/>
              </w:rPr>
            </w:pPr>
            <w:r>
              <w:rPr>
                <w:b/>
                <w:bCs/>
                <w:sz w:val="18"/>
                <w:szCs w:val="18"/>
              </w:rPr>
              <w:t>权重系数</w:t>
            </w:r>
          </w:p>
        </w:tc>
        <w:tc>
          <w:tcPr>
            <w:tcW w:w="2013"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c>
          <w:tcPr>
            <w:tcW w:w="2381"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w:t>
            </w:r>
          </w:p>
        </w:tc>
        <w:tc>
          <w:tcPr>
            <w:tcW w:w="2381" w:type="dxa"/>
            <w:vAlign w:val="center"/>
          </w:tcPr>
          <w:p>
            <w:pPr>
              <w:snapToGrid w:val="0"/>
              <w:spacing w:line="300" w:lineRule="auto"/>
              <w:jc w:val="center"/>
              <w:rPr>
                <w:sz w:val="18"/>
                <w:szCs w:val="18"/>
              </w:rPr>
            </w:pPr>
            <w:r>
              <w:rPr>
                <w:sz w:val="18"/>
                <w:szCs w:val="18"/>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62"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62" DrawAspect="Content" ObjectID="_1468075860" r:id="rId183">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72"/>
        </w:numPr>
        <w:snapToGrid w:val="0"/>
        <w:spacing w:line="300" w:lineRule="auto"/>
        <w:rPr>
          <w:rFonts w:ascii="Times New Roman" w:hAnsi="Times New Roman" w:eastAsia="宋体" w:cs="Times New Roman"/>
        </w:rPr>
      </w:pPr>
      <w:r>
        <w:rPr>
          <w:rFonts w:ascii="Times New Roman" w:hAnsi="Times New Roman" w:eastAsia="宋体" w:cs="Times New Roman"/>
          <w:szCs w:val="21"/>
        </w:rPr>
        <w:t>Ben Waggoner.音视频压缩实用手册（第2版）[M]，北京：人民邮电出版社，2013-07.</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kern w:val="0"/>
          <w:szCs w:val="21"/>
        </w:rPr>
        <w:t>．</w:t>
      </w:r>
      <w:r>
        <w:rPr>
          <w:rFonts w:ascii="Times New Roman" w:hAnsi="Times New Roman" w:eastAsia="宋体" w:cs="Times New Roman"/>
          <w:szCs w:val="21"/>
        </w:rPr>
        <w:t>参考书：</w:t>
      </w:r>
    </w:p>
    <w:p>
      <w:pPr>
        <w:numPr>
          <w:ilvl w:val="0"/>
          <w:numId w:val="73"/>
        </w:numPr>
        <w:snapToGrid w:val="0"/>
        <w:spacing w:line="300" w:lineRule="auto"/>
        <w:rPr>
          <w:rFonts w:ascii="Times New Roman" w:hAnsi="Times New Roman" w:eastAsia="宋体" w:cs="Times New Roman"/>
        </w:rPr>
      </w:pPr>
      <w:r>
        <w:rPr>
          <w:rFonts w:ascii="Times New Roman" w:hAnsi="Times New Roman" w:eastAsia="宋体" w:cs="Times New Roman"/>
          <w:szCs w:val="21"/>
        </w:rPr>
        <w:t>吴乐南.数据压缩（第三版）[M]，北京：电子工业出版社，2012-08.</w:t>
      </w:r>
    </w:p>
    <w:p>
      <w:pPr>
        <w:numPr>
          <w:ilvl w:val="0"/>
          <w:numId w:val="73"/>
        </w:numPr>
        <w:snapToGrid w:val="0"/>
        <w:spacing w:line="300" w:lineRule="auto"/>
        <w:rPr>
          <w:rFonts w:ascii="Times New Roman" w:hAnsi="Times New Roman" w:eastAsia="宋体" w:cs="Times New Roman"/>
        </w:rPr>
      </w:pPr>
      <w:r>
        <w:rPr>
          <w:rFonts w:ascii="Times New Roman" w:hAnsi="Times New Roman" w:eastAsia="宋体" w:cs="Times New Roman"/>
          <w:szCs w:val="21"/>
        </w:rPr>
        <w:t>卓力.新一代高效视频编码技术[M]，北京：人民邮电大学出版社，2013-11.</w:t>
      </w:r>
    </w:p>
    <w:p>
      <w:pPr>
        <w:numPr>
          <w:ilvl w:val="0"/>
          <w:numId w:val="73"/>
        </w:numPr>
        <w:snapToGrid w:val="0"/>
        <w:spacing w:line="300" w:lineRule="auto"/>
        <w:rPr>
          <w:rFonts w:ascii="Times New Roman" w:hAnsi="Times New Roman" w:eastAsia="宋体" w:cs="Times New Roman"/>
        </w:rPr>
      </w:pPr>
      <w:r>
        <w:rPr>
          <w:rFonts w:ascii="Times New Roman" w:hAnsi="Times New Roman" w:eastAsia="宋体" w:cs="Times New Roman"/>
          <w:szCs w:val="21"/>
        </w:rPr>
        <w:t>高文.数字视频编码技术原理[M]，北京：科学出版社，2010-11.</w:t>
      </w:r>
    </w:p>
    <w:p>
      <w:pPr>
        <w:numPr>
          <w:ilvl w:val="0"/>
          <w:numId w:val="73"/>
        </w:numPr>
        <w:snapToGrid w:val="0"/>
        <w:spacing w:line="300" w:lineRule="auto"/>
        <w:rPr>
          <w:rFonts w:ascii="Times New Roman" w:hAnsi="Times New Roman" w:eastAsia="宋体" w:cs="Times New Roman"/>
        </w:rPr>
      </w:pPr>
      <w:r>
        <w:rPr>
          <w:rFonts w:ascii="Times New Roman" w:hAnsi="Times New Roman" w:eastAsia="宋体" w:cs="Times New Roman"/>
          <w:szCs w:val="21"/>
        </w:rPr>
        <w:t>K.R. Rao.视频编码全角度详解：AVS China、H.264/MPEG-4 PART10、HEVC、VP6、DIRAC、VC-1[M]，北京：机械工业出版社，2017-08.</w:t>
      </w:r>
    </w:p>
    <w:p>
      <w:pPr>
        <w:numPr>
          <w:ilvl w:val="0"/>
          <w:numId w:val="73"/>
        </w:numPr>
        <w:snapToGrid w:val="0"/>
        <w:spacing w:line="300" w:lineRule="auto"/>
        <w:rPr>
          <w:rFonts w:ascii="Times New Roman" w:hAnsi="Times New Roman" w:eastAsia="宋体" w:cs="Times New Roman"/>
        </w:rPr>
      </w:pPr>
      <w:r>
        <w:rPr>
          <w:rFonts w:ascii="Times New Roman" w:hAnsi="Times New Roman" w:eastAsia="宋体" w:cs="Times New Roman"/>
          <w:szCs w:val="21"/>
        </w:rPr>
        <w:t>朱秀昌.H.265/HEVC——视频编码新标准及其扩展[M]，电子工业出版社，北京：2016-07.</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bookmarkEnd w:id="215"/>
    <w:bookmarkEnd w:id="216"/>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218" w:name="_Toc25022"/>
      <w:r>
        <w:rPr>
          <w:rFonts w:ascii="Times New Roman" w:hAnsi="Times New Roman" w:cs="Times New Roman" w:eastAsiaTheme="majorEastAsia"/>
          <w:b/>
          <w:bCs/>
          <w:sz w:val="32"/>
          <w:szCs w:val="32"/>
        </w:rPr>
        <w:t>3344</w:t>
      </w:r>
      <w:r>
        <w:rPr>
          <w:rFonts w:hint="eastAsia" w:ascii="Times New Roman" w:hAnsi="Times New Roman" w:cs="Times New Roman" w:eastAsiaTheme="majorEastAsia"/>
          <w:b/>
          <w:bCs/>
          <w:sz w:val="32"/>
          <w:szCs w:val="32"/>
        </w:rPr>
        <w:t>1602《移动互联网技术》课程教学大纲</w:t>
      </w:r>
      <w:bookmarkEnd w:id="21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widowControl/>
              <w:jc w:val="center"/>
              <w:rPr>
                <w:kern w:val="0"/>
                <w:szCs w:val="21"/>
              </w:rPr>
            </w:pPr>
            <w:r>
              <w:rPr>
                <w:kern w:val="0"/>
                <w:szCs w:val="21"/>
              </w:rPr>
              <w:t>课程编号</w:t>
            </w:r>
          </w:p>
        </w:tc>
        <w:tc>
          <w:tcPr>
            <w:tcW w:w="3441" w:type="dxa"/>
            <w:vAlign w:val="center"/>
          </w:tcPr>
          <w:p>
            <w:pPr>
              <w:widowControl/>
              <w:jc w:val="center"/>
              <w:rPr>
                <w:kern w:val="0"/>
                <w:szCs w:val="21"/>
              </w:rPr>
            </w:pPr>
            <w:r>
              <w:rPr>
                <w:kern w:val="0"/>
                <w:szCs w:val="21"/>
              </w:rPr>
              <w:t>33442001</w:t>
            </w:r>
          </w:p>
        </w:tc>
        <w:tc>
          <w:tcPr>
            <w:tcW w:w="1198" w:type="dxa"/>
            <w:vAlign w:val="center"/>
          </w:tcPr>
          <w:p>
            <w:pPr>
              <w:widowControl/>
              <w:jc w:val="center"/>
              <w:rPr>
                <w:kern w:val="0"/>
                <w:szCs w:val="21"/>
              </w:rPr>
            </w:pPr>
            <w:r>
              <w:rPr>
                <w:kern w:val="0"/>
                <w:szCs w:val="21"/>
              </w:rPr>
              <w:t>课程名称</w:t>
            </w:r>
          </w:p>
        </w:tc>
        <w:tc>
          <w:tcPr>
            <w:tcW w:w="2695" w:type="dxa"/>
            <w:vAlign w:val="center"/>
          </w:tcPr>
          <w:p>
            <w:pPr>
              <w:widowControl/>
              <w:jc w:val="center"/>
              <w:rPr>
                <w:kern w:val="0"/>
                <w:szCs w:val="21"/>
              </w:rPr>
            </w:pPr>
            <w:r>
              <w:rPr>
                <w:kern w:val="0"/>
                <w:szCs w:val="21"/>
              </w:rPr>
              <w:t>移动互联网技术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widowControl/>
              <w:jc w:val="center"/>
              <w:rPr>
                <w:kern w:val="0"/>
                <w:szCs w:val="21"/>
              </w:rPr>
            </w:pPr>
            <w:r>
              <w:rPr>
                <w:kern w:val="0"/>
                <w:szCs w:val="21"/>
              </w:rPr>
              <w:t>课程性质*</w:t>
            </w:r>
          </w:p>
        </w:tc>
        <w:tc>
          <w:tcPr>
            <w:tcW w:w="3441" w:type="dxa"/>
            <w:vAlign w:val="center"/>
          </w:tcPr>
          <w:p>
            <w:pPr>
              <w:widowControl/>
              <w:jc w:val="center"/>
              <w:rPr>
                <w:kern w:val="0"/>
                <w:szCs w:val="21"/>
              </w:rPr>
            </w:pPr>
            <w:r>
              <w:rPr>
                <w:rFonts w:hint="eastAsia"/>
                <w:szCs w:val="21"/>
              </w:rPr>
              <w:t>专业类</w:t>
            </w:r>
          </w:p>
        </w:tc>
        <w:tc>
          <w:tcPr>
            <w:tcW w:w="1198" w:type="dxa"/>
            <w:vAlign w:val="center"/>
          </w:tcPr>
          <w:p>
            <w:pPr>
              <w:widowControl/>
              <w:jc w:val="center"/>
              <w:rPr>
                <w:kern w:val="0"/>
                <w:szCs w:val="21"/>
              </w:rPr>
            </w:pPr>
            <w:r>
              <w:rPr>
                <w:kern w:val="0"/>
                <w:szCs w:val="21"/>
              </w:rPr>
              <w:t>英文名称</w:t>
            </w:r>
          </w:p>
        </w:tc>
        <w:tc>
          <w:tcPr>
            <w:tcW w:w="2695" w:type="dxa"/>
            <w:vAlign w:val="center"/>
          </w:tcPr>
          <w:p>
            <w:pPr>
              <w:widowControl/>
              <w:jc w:val="center"/>
              <w:rPr>
                <w:kern w:val="0"/>
                <w:szCs w:val="21"/>
              </w:rPr>
            </w:pPr>
            <w:r>
              <w:rPr>
                <w:szCs w:val="21"/>
              </w:rPr>
              <w:t>Mobile Internet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widowControl/>
              <w:jc w:val="center"/>
              <w:rPr>
                <w:kern w:val="0"/>
                <w:szCs w:val="21"/>
              </w:rPr>
            </w:pPr>
            <w:r>
              <w:rPr>
                <w:kern w:val="0"/>
                <w:szCs w:val="21"/>
              </w:rPr>
              <w:t>学分学时</w:t>
            </w:r>
          </w:p>
        </w:tc>
        <w:tc>
          <w:tcPr>
            <w:tcW w:w="3441" w:type="dxa"/>
            <w:vAlign w:val="center"/>
          </w:tcPr>
          <w:p>
            <w:pPr>
              <w:widowControl/>
              <w:jc w:val="center"/>
              <w:rPr>
                <w:kern w:val="0"/>
                <w:szCs w:val="21"/>
              </w:rPr>
            </w:pPr>
            <w:r>
              <w:rPr>
                <w:kern w:val="0"/>
                <w:szCs w:val="21"/>
              </w:rPr>
              <w:t>2</w:t>
            </w:r>
            <w:r>
              <w:rPr>
                <w:bCs/>
                <w:kern w:val="0"/>
                <w:szCs w:val="21"/>
              </w:rPr>
              <w:t xml:space="preserve"> </w:t>
            </w:r>
            <w:r>
              <w:rPr>
                <w:kern w:val="0"/>
                <w:szCs w:val="21"/>
              </w:rPr>
              <w:t>: 32（6）</w:t>
            </w:r>
          </w:p>
        </w:tc>
        <w:tc>
          <w:tcPr>
            <w:tcW w:w="1198" w:type="dxa"/>
            <w:vAlign w:val="center"/>
          </w:tcPr>
          <w:p>
            <w:pPr>
              <w:widowControl/>
              <w:jc w:val="center"/>
              <w:rPr>
                <w:kern w:val="0"/>
                <w:szCs w:val="21"/>
              </w:rPr>
            </w:pPr>
            <w:r>
              <w:rPr>
                <w:kern w:val="0"/>
                <w:szCs w:val="21"/>
              </w:rPr>
              <w:t>任课教师</w:t>
            </w:r>
          </w:p>
        </w:tc>
        <w:tc>
          <w:tcPr>
            <w:tcW w:w="2695" w:type="dxa"/>
            <w:vAlign w:val="center"/>
          </w:tcPr>
          <w:p>
            <w:pPr>
              <w:widowControl/>
              <w:jc w:val="center"/>
              <w:rPr>
                <w:kern w:val="0"/>
                <w:szCs w:val="21"/>
              </w:rPr>
            </w:pPr>
            <w:r>
              <w:rPr>
                <w:kern w:val="0"/>
                <w:szCs w:val="21"/>
              </w:rPr>
              <w:t>冯青、王峰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widowControl/>
              <w:jc w:val="center"/>
              <w:rPr>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widowControl/>
              <w:jc w:val="center"/>
              <w:rPr>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kern w:val="0"/>
                <w:szCs w:val="21"/>
              </w:rPr>
            </w:pPr>
            <w:r>
              <w:rPr>
                <w:kern w:val="0"/>
                <w:szCs w:val="21"/>
              </w:rPr>
              <w:t>执笔教师</w:t>
            </w:r>
          </w:p>
        </w:tc>
        <w:tc>
          <w:tcPr>
            <w:tcW w:w="3441" w:type="dxa"/>
            <w:vAlign w:val="center"/>
          </w:tcPr>
          <w:p>
            <w:pPr>
              <w:widowControl/>
              <w:jc w:val="center"/>
              <w:rPr>
                <w:kern w:val="0"/>
                <w:szCs w:val="21"/>
              </w:rPr>
            </w:pPr>
            <w:r>
              <w:rPr>
                <w:kern w:val="0"/>
                <w:szCs w:val="21"/>
              </w:rPr>
              <w:t>冯青</w:t>
            </w:r>
          </w:p>
        </w:tc>
        <w:tc>
          <w:tcPr>
            <w:tcW w:w="1198" w:type="dxa"/>
            <w:vAlign w:val="center"/>
          </w:tcPr>
          <w:p>
            <w:pPr>
              <w:widowControl/>
              <w:jc w:val="center"/>
              <w:rPr>
                <w:kern w:val="0"/>
                <w:szCs w:val="21"/>
              </w:rPr>
            </w:pPr>
            <w:r>
              <w:rPr>
                <w:kern w:val="0"/>
                <w:szCs w:val="21"/>
              </w:rPr>
              <w:t>责任教授</w:t>
            </w:r>
          </w:p>
        </w:tc>
        <w:tc>
          <w:tcPr>
            <w:tcW w:w="2695"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kern w:val="0"/>
                <w:szCs w:val="21"/>
              </w:rPr>
            </w:pPr>
            <w:r>
              <w:rPr>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kern w:val="0"/>
                <w:szCs w:val="21"/>
              </w:rPr>
            </w:pPr>
            <w:r>
              <w:rPr>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widowControl/>
              <w:jc w:val="center"/>
              <w:rPr>
                <w:kern w:val="0"/>
                <w:szCs w:val="21"/>
              </w:rPr>
            </w:pPr>
            <w:r>
              <w:rPr>
                <w:kern w:val="0"/>
                <w:szCs w:val="21"/>
              </w:rPr>
              <w:t>先修课程</w:t>
            </w:r>
          </w:p>
        </w:tc>
        <w:tc>
          <w:tcPr>
            <w:tcW w:w="3441" w:type="dxa"/>
            <w:vAlign w:val="center"/>
          </w:tcPr>
          <w:p>
            <w:pPr>
              <w:widowControl/>
              <w:jc w:val="center"/>
              <w:rPr>
                <w:kern w:val="0"/>
                <w:szCs w:val="21"/>
              </w:rPr>
            </w:pPr>
            <w:r>
              <w:rPr>
                <w:kern w:val="0"/>
                <w:szCs w:val="21"/>
              </w:rPr>
              <w:t>计算机网络、通信原理、嵌入式操作系统、面向对象的高级语言程序设计</w:t>
            </w:r>
          </w:p>
        </w:tc>
        <w:tc>
          <w:tcPr>
            <w:tcW w:w="1198" w:type="dxa"/>
            <w:vAlign w:val="center"/>
          </w:tcPr>
          <w:p>
            <w:pPr>
              <w:widowControl/>
              <w:jc w:val="center"/>
              <w:rPr>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widowControl/>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widowControl/>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widowControl/>
        <w:adjustRightInd w:val="0"/>
        <w:snapToGrid w:val="0"/>
        <w:spacing w:line="300" w:lineRule="auto"/>
        <w:ind w:firstLine="420" w:firstLineChars="200"/>
        <w:rPr>
          <w:szCs w:val="21"/>
        </w:rPr>
      </w:pPr>
      <w:r>
        <w:rPr>
          <w:szCs w:val="21"/>
        </w:rPr>
        <w:t>本课程在介绍移动互联网基本理论的基础上，对移动互联网的关键技术，包括移动IPv4、移动IPv6、移动子网、移动互联网安全和多播以及切换管理等的工作机理、设计思路及实现方案，并对移动终端的应用程序设计作了全面而系统的讲解。</w:t>
      </w:r>
    </w:p>
    <w:p>
      <w:pPr>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szCs w:val="21"/>
        </w:rPr>
      </w:pPr>
      <w:r>
        <w:rPr>
          <w:szCs w:val="21"/>
        </w:rPr>
        <w:t>通过本课程的学习掌握移动互联网理论技术与开发实例，了解移动互联网基本特征和产业链，拥有移动互联网终端、网络、平台相关技术深入分析能力。在我国以华为中兴等公司为代表的企业积极拼博，不断进取，在5G的移动互联网大潮中，取得了世界领先的成果，鼓励我们的学生积极进取。</w:t>
      </w:r>
    </w:p>
    <w:p>
      <w:pPr>
        <w:widowControl/>
        <w:adjustRightInd w:val="0"/>
        <w:snapToGrid w:val="0"/>
        <w:spacing w:line="300" w:lineRule="auto"/>
        <w:ind w:firstLine="420" w:firstLineChars="200"/>
        <w:rPr>
          <w:szCs w:val="21"/>
        </w:rPr>
      </w:pPr>
      <w:r>
        <w:rPr>
          <w:szCs w:val="21"/>
        </w:rPr>
        <w:t xml:space="preserve">本课程的具体教学目标如下： </w:t>
      </w:r>
    </w:p>
    <w:p>
      <w:pPr>
        <w:adjustRightInd w:val="0"/>
        <w:snapToGrid w:val="0"/>
        <w:spacing w:line="300" w:lineRule="auto"/>
        <w:ind w:firstLine="410"/>
        <w:rPr>
          <w:szCs w:val="21"/>
        </w:rPr>
      </w:pPr>
      <w:r>
        <w:rPr>
          <w:szCs w:val="21"/>
        </w:rPr>
        <w:t>1．了解移动互联网的概念、组成。及移动端应用程序开发。掌握移动端产品开发的基础理论及其实现方法；理解移动IPv4、IPv6的工作原理及总体方案的设计；[1.3]</w:t>
      </w:r>
    </w:p>
    <w:p>
      <w:pPr>
        <w:widowControl/>
        <w:adjustRightInd w:val="0"/>
        <w:snapToGrid w:val="0"/>
        <w:spacing w:line="300" w:lineRule="auto"/>
        <w:ind w:firstLine="420" w:firstLineChars="200"/>
        <w:jc w:val="left"/>
        <w:rPr>
          <w:szCs w:val="21"/>
        </w:rPr>
      </w:pPr>
      <w:r>
        <w:rPr>
          <w:szCs w:val="21"/>
        </w:rPr>
        <w:t>2．理解移动子网、多播技术及移动安全技术基本概念，了解移动性管理和移动IPv4扩展协议及移动安全技术；在设计中综合利用电子信息工程的专业知识和新技术，体现创新意识。[3.2]</w:t>
      </w:r>
    </w:p>
    <w:p>
      <w:pPr>
        <w:adjustRightInd w:val="0"/>
        <w:snapToGrid w:val="0"/>
        <w:spacing w:line="300" w:lineRule="auto"/>
        <w:ind w:firstLine="420" w:firstLineChars="200"/>
        <w:rPr>
          <w:szCs w:val="21"/>
        </w:rPr>
      </w:pPr>
      <w:r>
        <w:rPr>
          <w:szCs w:val="21"/>
        </w:rPr>
        <w:t>3．了解移动性管理的概念和移动IPv4扩展协议；理解基于IOS平台的APP开发，基于ANDROID的APP开发。[4.2]</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4"/>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4"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5"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1．工程知识</w:t>
            </w:r>
          </w:p>
        </w:tc>
        <w:tc>
          <w:tcPr>
            <w:tcW w:w="6144" w:type="dxa"/>
          </w:tcPr>
          <w:p>
            <w:pPr>
              <w:snapToGrid w:val="0"/>
              <w:spacing w:line="300" w:lineRule="auto"/>
              <w:rPr>
                <w:sz w:val="18"/>
                <w:szCs w:val="18"/>
              </w:rPr>
            </w:pPr>
            <w:r>
              <w:rPr>
                <w:sz w:val="18"/>
                <w:szCs w:val="18"/>
              </w:rPr>
              <w:t>1.3综合运用数学、自然科学、工程基础和专业知识，用于电子信息工程领域复杂工程问题的建模和求解及解决方案的评价。</w:t>
            </w:r>
          </w:p>
        </w:tc>
        <w:tc>
          <w:tcPr>
            <w:tcW w:w="689" w:type="dxa"/>
            <w:vAlign w:val="center"/>
          </w:tcPr>
          <w:p>
            <w:pPr>
              <w:snapToGrid w:val="0"/>
              <w:spacing w:line="300" w:lineRule="auto"/>
              <w:jc w:val="center"/>
              <w:rPr>
                <w:sz w:val="18"/>
                <w:szCs w:val="18"/>
              </w:rPr>
            </w:pPr>
            <w:r>
              <w:rPr>
                <w:sz w:val="18"/>
                <w:szCs w:val="18"/>
              </w:rPr>
              <w:t>1</w:t>
            </w:r>
          </w:p>
        </w:tc>
        <w:tc>
          <w:tcPr>
            <w:tcW w:w="655" w:type="dxa"/>
            <w:vAlign w:val="center"/>
          </w:tcPr>
          <w:p>
            <w:pPr>
              <w:snapToGrid w:val="0"/>
              <w:spacing w:line="300" w:lineRule="auto"/>
              <w:jc w:val="center"/>
              <w:rPr>
                <w:sz w:val="18"/>
                <w:szCs w:val="18"/>
              </w:rPr>
            </w:pPr>
            <w:r>
              <w:rPr>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93" w:type="dxa"/>
            <w:vAlign w:val="center"/>
          </w:tcPr>
          <w:p>
            <w:pPr>
              <w:snapToGrid w:val="0"/>
              <w:spacing w:line="300" w:lineRule="auto"/>
              <w:rPr>
                <w:sz w:val="18"/>
                <w:szCs w:val="18"/>
              </w:rPr>
            </w:pPr>
            <w:r>
              <w:rPr>
                <w:sz w:val="18"/>
                <w:szCs w:val="18"/>
              </w:rPr>
              <w:t>3．设计/开发解决方案</w:t>
            </w:r>
          </w:p>
        </w:tc>
        <w:tc>
          <w:tcPr>
            <w:tcW w:w="6144" w:type="dxa"/>
            <w:vAlign w:val="center"/>
          </w:tcPr>
          <w:p>
            <w:pPr>
              <w:snapToGrid w:val="0"/>
              <w:spacing w:line="300" w:lineRule="auto"/>
              <w:ind w:right="-334"/>
              <w:rPr>
                <w:sz w:val="18"/>
                <w:szCs w:val="18"/>
              </w:rPr>
            </w:pPr>
            <w:r>
              <w:rPr>
                <w:sz w:val="18"/>
                <w:szCs w:val="18"/>
              </w:rPr>
              <w:t>3.2</w:t>
            </w:r>
            <w:r>
              <w:rPr>
                <w:rFonts w:hint="eastAsia"/>
                <w:sz w:val="18"/>
                <w:szCs w:val="18"/>
              </w:rPr>
              <w:t>能够</w:t>
            </w:r>
            <w:r>
              <w:rPr>
                <w:sz w:val="18"/>
                <w:szCs w:val="18"/>
              </w:rPr>
              <w:t>在设计中综合利用电子信息工程的专业知识和新技术，体现创新意识。</w:t>
            </w:r>
          </w:p>
        </w:tc>
        <w:tc>
          <w:tcPr>
            <w:tcW w:w="689" w:type="dxa"/>
            <w:vAlign w:val="center"/>
          </w:tcPr>
          <w:p>
            <w:pPr>
              <w:snapToGrid w:val="0"/>
              <w:spacing w:line="300" w:lineRule="auto"/>
              <w:jc w:val="center"/>
              <w:rPr>
                <w:sz w:val="18"/>
                <w:szCs w:val="18"/>
              </w:rPr>
            </w:pPr>
            <w:r>
              <w:rPr>
                <w:sz w:val="18"/>
                <w:szCs w:val="18"/>
              </w:rPr>
              <w:t>2</w:t>
            </w:r>
          </w:p>
        </w:tc>
        <w:tc>
          <w:tcPr>
            <w:tcW w:w="655" w:type="dxa"/>
            <w:vAlign w:val="center"/>
          </w:tcPr>
          <w:p>
            <w:pPr>
              <w:snapToGrid w:val="0"/>
              <w:spacing w:line="300" w:lineRule="auto"/>
              <w:jc w:val="center"/>
              <w:rPr>
                <w:sz w:val="18"/>
                <w:szCs w:val="18"/>
              </w:rPr>
            </w:pPr>
            <w:r>
              <w:rPr>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4．研究</w:t>
            </w:r>
          </w:p>
        </w:tc>
        <w:tc>
          <w:tcPr>
            <w:tcW w:w="6144" w:type="dxa"/>
            <w:vAlign w:val="center"/>
          </w:tcPr>
          <w:p>
            <w:pPr>
              <w:snapToGrid w:val="0"/>
              <w:spacing w:line="300" w:lineRule="auto"/>
              <w:rPr>
                <w:sz w:val="18"/>
                <w:szCs w:val="18"/>
              </w:rPr>
            </w:pPr>
            <w:r>
              <w:rPr>
                <w:sz w:val="18"/>
                <w:szCs w:val="18"/>
              </w:rPr>
              <w:t>4.2针对电子信息工程的复杂工程问题，具备选择技术路线、设计实验方案的能力，并获取准确的实验数据。</w:t>
            </w:r>
          </w:p>
        </w:tc>
        <w:tc>
          <w:tcPr>
            <w:tcW w:w="689" w:type="dxa"/>
            <w:vAlign w:val="center"/>
          </w:tcPr>
          <w:p>
            <w:pPr>
              <w:snapToGrid w:val="0"/>
              <w:spacing w:line="300" w:lineRule="auto"/>
              <w:jc w:val="center"/>
              <w:rPr>
                <w:sz w:val="18"/>
                <w:szCs w:val="18"/>
              </w:rPr>
            </w:pPr>
            <w:r>
              <w:rPr>
                <w:sz w:val="18"/>
                <w:szCs w:val="18"/>
              </w:rPr>
              <w:t>3</w:t>
            </w:r>
          </w:p>
        </w:tc>
        <w:tc>
          <w:tcPr>
            <w:tcW w:w="655" w:type="dxa"/>
            <w:vAlign w:val="center"/>
          </w:tcPr>
          <w:p>
            <w:pPr>
              <w:snapToGrid w:val="0"/>
              <w:spacing w:line="300" w:lineRule="auto"/>
              <w:jc w:val="center"/>
              <w:rPr>
                <w:sz w:val="18"/>
                <w:szCs w:val="18"/>
              </w:rPr>
            </w:pPr>
            <w:r>
              <w:rPr>
                <w:sz w:val="18"/>
                <w:szCs w:val="18"/>
              </w:rPr>
              <w:t>0.2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9"/>
        <w:gridCol w:w="215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15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729" w:type="dxa"/>
            <w:tcBorders>
              <w:top w:val="single" w:color="auto" w:sz="4" w:space="0"/>
              <w:left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1．了解移动互联网的概念、组成。及移动端应用程序开发。掌握移动端产品开发的基础理论及其实现方法；</w:t>
            </w:r>
          </w:p>
          <w:p>
            <w:pPr>
              <w:widowControl/>
              <w:snapToGrid w:val="0"/>
              <w:spacing w:line="300" w:lineRule="auto"/>
              <w:jc w:val="left"/>
              <w:rPr>
                <w:sz w:val="18"/>
                <w:szCs w:val="18"/>
                <w:shd w:val="clear" w:color="auto" w:fill="FEFEFF"/>
              </w:rPr>
            </w:pPr>
            <w:r>
              <w:rPr>
                <w:sz w:val="18"/>
                <w:szCs w:val="18"/>
                <w:shd w:val="clear" w:color="auto" w:fill="FEFEFF"/>
              </w:rPr>
              <w:t>理解移动IPv4、IPv6的工作原理及总体方案的设计。</w:t>
            </w:r>
          </w:p>
        </w:tc>
        <w:tc>
          <w:tcPr>
            <w:tcW w:w="2153" w:type="dxa"/>
            <w:tcBorders>
              <w:top w:val="single" w:color="auto" w:sz="4" w:space="0"/>
              <w:left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7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2．理解移动子网、多播技术及移动安全技术基本概念，了解移动性管理和移动IPv4扩展协议及移动安全技术；在设计中综合利用电子信息工程的专业知识和新技术，体现创新意识。</w:t>
            </w:r>
          </w:p>
        </w:tc>
        <w:tc>
          <w:tcPr>
            <w:tcW w:w="215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讲授、实验、作业等达成。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4" w:hRule="atLeast"/>
          <w:jc w:val="center"/>
        </w:trPr>
        <w:tc>
          <w:tcPr>
            <w:tcW w:w="4729" w:type="dxa"/>
            <w:tcBorders>
              <w:top w:val="single" w:color="auto" w:sz="4" w:space="0"/>
              <w:left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3．了解移动性管理的概念和移动IPv4扩展协议；</w:t>
            </w:r>
          </w:p>
          <w:p>
            <w:pPr>
              <w:widowControl/>
              <w:snapToGrid w:val="0"/>
              <w:spacing w:line="300" w:lineRule="auto"/>
              <w:jc w:val="left"/>
              <w:rPr>
                <w:sz w:val="18"/>
                <w:szCs w:val="18"/>
                <w:shd w:val="clear" w:color="auto" w:fill="FEFEFF"/>
              </w:rPr>
            </w:pPr>
            <w:r>
              <w:rPr>
                <w:sz w:val="18"/>
                <w:szCs w:val="18"/>
                <w:shd w:val="clear" w:color="auto" w:fill="FEFEFF"/>
              </w:rPr>
              <w:t>理解基于IOS平台的APP开发，基于ANDROID的APP开发；</w:t>
            </w:r>
          </w:p>
        </w:tc>
        <w:tc>
          <w:tcPr>
            <w:tcW w:w="2153" w:type="dxa"/>
            <w:tcBorders>
              <w:top w:val="single" w:color="auto" w:sz="4" w:space="0"/>
              <w:left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通过课堂讲授与学生学习（小组讨论、案例研讨与实验与仿真）等达成。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widowControl/>
        <w:adjustRightInd w:val="0"/>
        <w:snapToGrid w:val="0"/>
        <w:spacing w:line="300" w:lineRule="auto"/>
        <w:ind w:firstLine="420" w:firstLineChars="200"/>
        <w:rPr>
          <w:szCs w:val="21"/>
        </w:rPr>
      </w:pPr>
      <w:r>
        <w:rPr>
          <w:szCs w:val="21"/>
        </w:rPr>
        <w:t>1．课堂讲授为主，网络多媒体教学、课程独立网站（含教学视频）以及“雨课堂”同步学习为辅，注重与专业相关工程实践教学环节和场景配合的案例教学，搜集《电路分析》相关内容在实际工程中的案例，案例由浅入深，结合课程中的相应知识点进行分析，培养学生对复杂工程问题的应用能力。案例见教学内容部分。</w:t>
      </w:r>
    </w:p>
    <w:p>
      <w:pPr>
        <w:widowControl/>
        <w:adjustRightInd w:val="0"/>
        <w:snapToGrid w:val="0"/>
        <w:spacing w:line="300" w:lineRule="auto"/>
        <w:ind w:firstLine="420" w:firstLineChars="200"/>
        <w:rPr>
          <w:szCs w:val="21"/>
        </w:rPr>
      </w:pPr>
      <w:r>
        <w:rPr>
          <w:szCs w:val="21"/>
        </w:rPr>
        <w:t>2．根据课程特点采用启发式教学、任务驱动教学、案例教学法进行教学方法创新；核心能力知识点采用“原理描述-方法分析-应用案例展示”相互呼应的教学模式。</w:t>
      </w:r>
    </w:p>
    <w:p>
      <w:pPr>
        <w:widowControl/>
        <w:adjustRightInd w:val="0"/>
        <w:snapToGrid w:val="0"/>
        <w:spacing w:line="300" w:lineRule="auto"/>
        <w:ind w:firstLine="420" w:firstLineChars="200"/>
        <w:rPr>
          <w:szCs w:val="21"/>
        </w:rPr>
      </w:pPr>
      <w:r>
        <w:rPr>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widowControl/>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803"/>
        <w:gridCol w:w="3567"/>
        <w:gridCol w:w="739"/>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8"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803" w:type="dxa"/>
            <w:vAlign w:val="center"/>
          </w:tcPr>
          <w:p>
            <w:pPr>
              <w:snapToGrid w:val="0"/>
              <w:spacing w:line="300" w:lineRule="auto"/>
              <w:ind w:firstLine="361" w:firstLineChars="200"/>
              <w:rPr>
                <w:b/>
                <w:bCs/>
                <w:sz w:val="18"/>
                <w:szCs w:val="18"/>
              </w:rPr>
            </w:pPr>
            <w:r>
              <w:rPr>
                <w:b/>
                <w:bCs/>
                <w:sz w:val="18"/>
                <w:szCs w:val="18"/>
              </w:rPr>
              <w:t>教学内容</w:t>
            </w:r>
          </w:p>
        </w:tc>
        <w:tc>
          <w:tcPr>
            <w:tcW w:w="3567"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39" w:type="dxa"/>
            <w:vAlign w:val="center"/>
          </w:tcPr>
          <w:p>
            <w:pPr>
              <w:snapToGrid w:val="0"/>
              <w:spacing w:line="300" w:lineRule="auto"/>
              <w:jc w:val="center"/>
              <w:rPr>
                <w:b/>
                <w:bCs/>
                <w:sz w:val="18"/>
                <w:szCs w:val="18"/>
              </w:rPr>
            </w:pPr>
            <w:r>
              <w:rPr>
                <w:b/>
                <w:bCs/>
                <w:sz w:val="18"/>
                <w:szCs w:val="18"/>
              </w:rPr>
              <w:t>学时</w:t>
            </w:r>
          </w:p>
        </w:tc>
        <w:tc>
          <w:tcPr>
            <w:tcW w:w="1036"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2803" w:type="dxa"/>
            <w:vAlign w:val="center"/>
          </w:tcPr>
          <w:p>
            <w:pPr>
              <w:adjustRightInd w:val="0"/>
              <w:snapToGrid w:val="0"/>
              <w:spacing w:line="300" w:lineRule="auto"/>
              <w:rPr>
                <w:sz w:val="18"/>
                <w:szCs w:val="18"/>
              </w:rPr>
            </w:pPr>
            <w:r>
              <w:rPr>
                <w:sz w:val="18"/>
                <w:szCs w:val="18"/>
              </w:rPr>
              <w:t>1导论</w:t>
            </w:r>
          </w:p>
          <w:p>
            <w:pPr>
              <w:adjustRightInd w:val="0"/>
              <w:snapToGrid w:val="0"/>
              <w:spacing w:line="300" w:lineRule="auto"/>
              <w:rPr>
                <w:sz w:val="18"/>
                <w:szCs w:val="18"/>
              </w:rPr>
            </w:pPr>
            <w:r>
              <w:rPr>
                <w:sz w:val="18"/>
                <w:szCs w:val="18"/>
              </w:rPr>
              <w:t>1.1移动互联网的基本概念</w:t>
            </w:r>
          </w:p>
          <w:p>
            <w:pPr>
              <w:adjustRightInd w:val="0"/>
              <w:snapToGrid w:val="0"/>
              <w:spacing w:line="300" w:lineRule="auto"/>
              <w:rPr>
                <w:sz w:val="18"/>
                <w:szCs w:val="18"/>
              </w:rPr>
            </w:pPr>
            <w:r>
              <w:rPr>
                <w:sz w:val="18"/>
                <w:szCs w:val="18"/>
              </w:rPr>
              <w:t>1.2.移动互联网的发展历史</w:t>
            </w:r>
          </w:p>
          <w:p>
            <w:pPr>
              <w:adjustRightInd w:val="0"/>
              <w:snapToGrid w:val="0"/>
              <w:spacing w:line="300" w:lineRule="auto"/>
              <w:rPr>
                <w:sz w:val="18"/>
                <w:szCs w:val="18"/>
              </w:rPr>
            </w:pPr>
            <w:r>
              <w:rPr>
                <w:sz w:val="18"/>
                <w:szCs w:val="18"/>
              </w:rPr>
              <w:t>1.3移动互联网的未来趋势</w:t>
            </w:r>
          </w:p>
          <w:p>
            <w:pPr>
              <w:adjustRightInd w:val="0"/>
              <w:snapToGrid w:val="0"/>
              <w:spacing w:line="300" w:lineRule="auto"/>
              <w:rPr>
                <w:sz w:val="18"/>
                <w:szCs w:val="18"/>
              </w:rPr>
            </w:pPr>
            <w:r>
              <w:rPr>
                <w:b/>
                <w:bCs/>
                <w:sz w:val="18"/>
                <w:szCs w:val="18"/>
              </w:rPr>
              <w:t>1.4在5G的移动互联网大潮中，华为等公司取得了世界领先的成果，鼓励我们的学生积极进取。</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（1）了解：移动互联网的发展历史</w:t>
            </w:r>
          </w:p>
          <w:p>
            <w:pPr>
              <w:adjustRightInd w:val="0"/>
              <w:snapToGrid w:val="0"/>
              <w:spacing w:line="300" w:lineRule="auto"/>
              <w:rPr>
                <w:sz w:val="18"/>
                <w:szCs w:val="18"/>
              </w:rPr>
            </w:pPr>
            <w:r>
              <w:rPr>
                <w:sz w:val="18"/>
                <w:szCs w:val="18"/>
              </w:rPr>
              <w:t>（2）理解：移动互联网的基本概念及当前科技前沿应用发展的趋势</w:t>
            </w:r>
          </w:p>
          <w:p>
            <w:pPr>
              <w:adjustRightInd w:val="0"/>
              <w:snapToGrid w:val="0"/>
              <w:spacing w:line="300" w:lineRule="auto"/>
              <w:rPr>
                <w:sz w:val="18"/>
                <w:szCs w:val="18"/>
              </w:rPr>
            </w:pPr>
            <w:r>
              <w:rPr>
                <w:sz w:val="18"/>
                <w:szCs w:val="18"/>
              </w:rPr>
              <w:t>（3）掌握：基本概念</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（1）学习和了解移动互联网的发展历程；</w:t>
            </w:r>
          </w:p>
          <w:p>
            <w:pPr>
              <w:adjustRightInd w:val="0"/>
              <w:snapToGrid w:val="0"/>
              <w:spacing w:line="300" w:lineRule="auto"/>
              <w:rPr>
                <w:sz w:val="18"/>
                <w:szCs w:val="18"/>
              </w:rPr>
            </w:pPr>
            <w:r>
              <w:rPr>
                <w:sz w:val="18"/>
                <w:szCs w:val="18"/>
              </w:rPr>
              <w:t>（2）复习第一章内容；</w:t>
            </w:r>
          </w:p>
          <w:p>
            <w:pPr>
              <w:adjustRightInd w:val="0"/>
              <w:snapToGrid w:val="0"/>
              <w:spacing w:line="300" w:lineRule="auto"/>
              <w:rPr>
                <w:sz w:val="18"/>
                <w:szCs w:val="18"/>
              </w:rPr>
            </w:pPr>
            <w:r>
              <w:rPr>
                <w:sz w:val="18"/>
                <w:szCs w:val="18"/>
              </w:rPr>
              <w:t>（3）完成教材第一章作业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讲授式、讨论式、与启发式相结合。</w:t>
            </w:r>
          </w:p>
        </w:tc>
        <w:tc>
          <w:tcPr>
            <w:tcW w:w="739" w:type="dxa"/>
            <w:vAlign w:val="center"/>
          </w:tcPr>
          <w:p>
            <w:pPr>
              <w:adjustRightInd w:val="0"/>
              <w:snapToGrid w:val="0"/>
              <w:spacing w:line="300" w:lineRule="auto"/>
              <w:jc w:val="center"/>
              <w:rPr>
                <w:sz w:val="18"/>
                <w:szCs w:val="18"/>
              </w:rPr>
            </w:pPr>
            <w:r>
              <w:rPr>
                <w:sz w:val="18"/>
                <w:szCs w:val="18"/>
              </w:rPr>
              <w:t>2</w:t>
            </w:r>
          </w:p>
        </w:tc>
        <w:tc>
          <w:tcPr>
            <w:tcW w:w="1036"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2803" w:type="dxa"/>
            <w:vAlign w:val="center"/>
          </w:tcPr>
          <w:p>
            <w:pPr>
              <w:adjustRightInd w:val="0"/>
              <w:snapToGrid w:val="0"/>
              <w:spacing w:line="300" w:lineRule="auto"/>
              <w:rPr>
                <w:sz w:val="18"/>
                <w:szCs w:val="18"/>
              </w:rPr>
            </w:pPr>
            <w:r>
              <w:rPr>
                <w:sz w:val="18"/>
                <w:szCs w:val="18"/>
              </w:rPr>
              <w:t>2移动IPv4技术</w:t>
            </w:r>
          </w:p>
          <w:p>
            <w:pPr>
              <w:adjustRightInd w:val="0"/>
              <w:snapToGrid w:val="0"/>
              <w:spacing w:line="300" w:lineRule="auto"/>
              <w:rPr>
                <w:sz w:val="18"/>
                <w:szCs w:val="18"/>
              </w:rPr>
            </w:pPr>
            <w:r>
              <w:rPr>
                <w:sz w:val="18"/>
                <w:szCs w:val="18"/>
              </w:rPr>
              <w:t>2.1 移动IPv4技术概述</w:t>
            </w:r>
          </w:p>
          <w:p>
            <w:pPr>
              <w:adjustRightInd w:val="0"/>
              <w:snapToGrid w:val="0"/>
              <w:spacing w:line="300" w:lineRule="auto"/>
              <w:rPr>
                <w:sz w:val="18"/>
                <w:szCs w:val="18"/>
              </w:rPr>
            </w:pPr>
            <w:r>
              <w:rPr>
                <w:sz w:val="18"/>
                <w:szCs w:val="18"/>
              </w:rPr>
              <w:t>2.1.1移动IPv4的基本概念</w:t>
            </w:r>
          </w:p>
          <w:p>
            <w:pPr>
              <w:adjustRightInd w:val="0"/>
              <w:snapToGrid w:val="0"/>
              <w:spacing w:line="300" w:lineRule="auto"/>
              <w:rPr>
                <w:sz w:val="18"/>
                <w:szCs w:val="18"/>
              </w:rPr>
            </w:pPr>
            <w:r>
              <w:rPr>
                <w:sz w:val="18"/>
                <w:szCs w:val="18"/>
              </w:rPr>
              <w:t>2.2移动IPv4的工作原理</w:t>
            </w:r>
          </w:p>
          <w:p>
            <w:pPr>
              <w:adjustRightInd w:val="0"/>
              <w:snapToGrid w:val="0"/>
              <w:spacing w:line="300" w:lineRule="auto"/>
              <w:rPr>
                <w:sz w:val="18"/>
                <w:szCs w:val="18"/>
              </w:rPr>
            </w:pPr>
            <w:r>
              <w:rPr>
                <w:sz w:val="18"/>
                <w:szCs w:val="18"/>
              </w:rPr>
              <w:t>2.2.1移动IPV4工作过程</w:t>
            </w:r>
          </w:p>
          <w:p>
            <w:pPr>
              <w:adjustRightInd w:val="0"/>
              <w:snapToGrid w:val="0"/>
              <w:spacing w:line="300" w:lineRule="auto"/>
              <w:rPr>
                <w:sz w:val="18"/>
                <w:szCs w:val="18"/>
              </w:rPr>
            </w:pPr>
            <w:r>
              <w:rPr>
                <w:sz w:val="18"/>
                <w:szCs w:val="18"/>
              </w:rPr>
              <w:t>2.2.2移动IPv4协议的设计与实现</w:t>
            </w:r>
          </w:p>
          <w:p>
            <w:pPr>
              <w:adjustRightInd w:val="0"/>
              <w:snapToGrid w:val="0"/>
              <w:spacing w:line="300" w:lineRule="auto"/>
              <w:rPr>
                <w:sz w:val="18"/>
                <w:szCs w:val="18"/>
              </w:rPr>
            </w:pPr>
            <w:r>
              <w:rPr>
                <w:sz w:val="18"/>
                <w:szCs w:val="18"/>
              </w:rPr>
              <w:t>2.3总体设计方案</w:t>
            </w:r>
          </w:p>
          <w:p>
            <w:pPr>
              <w:adjustRightInd w:val="0"/>
              <w:snapToGrid w:val="0"/>
              <w:spacing w:line="300" w:lineRule="auto"/>
              <w:rPr>
                <w:sz w:val="18"/>
                <w:szCs w:val="18"/>
              </w:rPr>
            </w:pPr>
            <w:r>
              <w:rPr>
                <w:sz w:val="18"/>
                <w:szCs w:val="18"/>
              </w:rPr>
              <w:t>2.3.1移动节点(MN)的设计</w:t>
            </w:r>
          </w:p>
          <w:p>
            <w:pPr>
              <w:adjustRightInd w:val="0"/>
              <w:snapToGrid w:val="0"/>
              <w:spacing w:line="300" w:lineRule="auto"/>
              <w:rPr>
                <w:sz w:val="18"/>
                <w:szCs w:val="18"/>
              </w:rPr>
            </w:pPr>
            <w:r>
              <w:rPr>
                <w:sz w:val="18"/>
                <w:szCs w:val="18"/>
              </w:rPr>
              <w:t>2.3.2外地代理(FA)的设计</w:t>
            </w:r>
          </w:p>
          <w:p>
            <w:pPr>
              <w:adjustRightInd w:val="0"/>
              <w:snapToGrid w:val="0"/>
              <w:spacing w:line="300" w:lineRule="auto"/>
              <w:rPr>
                <w:sz w:val="18"/>
                <w:szCs w:val="18"/>
              </w:rPr>
            </w:pPr>
            <w:r>
              <w:rPr>
                <w:sz w:val="18"/>
                <w:szCs w:val="18"/>
              </w:rPr>
              <w:t>2.3.3家乡代理(HA)的设计</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（1）了解：移动IPv4的基本概念</w:t>
            </w:r>
          </w:p>
          <w:p>
            <w:pPr>
              <w:adjustRightInd w:val="0"/>
              <w:snapToGrid w:val="0"/>
              <w:spacing w:line="300" w:lineRule="auto"/>
              <w:rPr>
                <w:sz w:val="18"/>
                <w:szCs w:val="18"/>
              </w:rPr>
            </w:pPr>
            <w:r>
              <w:rPr>
                <w:sz w:val="18"/>
                <w:szCs w:val="18"/>
              </w:rPr>
              <w:t>（2）理解：移动IPv4的工作原理</w:t>
            </w:r>
          </w:p>
          <w:p>
            <w:pPr>
              <w:adjustRightInd w:val="0"/>
              <w:snapToGrid w:val="0"/>
              <w:spacing w:line="300" w:lineRule="auto"/>
              <w:rPr>
                <w:sz w:val="18"/>
                <w:szCs w:val="18"/>
              </w:rPr>
            </w:pPr>
            <w:r>
              <w:rPr>
                <w:sz w:val="18"/>
                <w:szCs w:val="18"/>
              </w:rPr>
              <w:t>（3）掌握：总体设计方案</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（1）复习第二章内容；</w:t>
            </w:r>
          </w:p>
          <w:p>
            <w:pPr>
              <w:adjustRightInd w:val="0"/>
              <w:snapToGrid w:val="0"/>
              <w:spacing w:line="300" w:lineRule="auto"/>
              <w:rPr>
                <w:sz w:val="18"/>
                <w:szCs w:val="18"/>
              </w:rPr>
            </w:pPr>
            <w:r>
              <w:rPr>
                <w:sz w:val="18"/>
                <w:szCs w:val="18"/>
              </w:rPr>
              <w:t>（2）完成教材第二章作业。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讲授式、讨论式、启发式相结合。</w:t>
            </w:r>
          </w:p>
          <w:p>
            <w:pPr>
              <w:adjustRightInd w:val="0"/>
              <w:snapToGrid w:val="0"/>
              <w:spacing w:line="300" w:lineRule="auto"/>
              <w:rPr>
                <w:sz w:val="18"/>
                <w:szCs w:val="18"/>
              </w:rPr>
            </w:pPr>
          </w:p>
        </w:tc>
        <w:tc>
          <w:tcPr>
            <w:tcW w:w="739" w:type="dxa"/>
            <w:vAlign w:val="center"/>
          </w:tcPr>
          <w:p>
            <w:pPr>
              <w:adjustRightInd w:val="0"/>
              <w:snapToGrid w:val="0"/>
              <w:spacing w:line="300" w:lineRule="auto"/>
              <w:jc w:val="center"/>
              <w:rPr>
                <w:sz w:val="18"/>
                <w:szCs w:val="18"/>
              </w:rPr>
            </w:pPr>
            <w:r>
              <w:rPr>
                <w:sz w:val="18"/>
                <w:szCs w:val="18"/>
              </w:rPr>
              <w:t>4</w:t>
            </w:r>
          </w:p>
        </w:tc>
        <w:tc>
          <w:tcPr>
            <w:tcW w:w="1036"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2803" w:type="dxa"/>
            <w:vAlign w:val="center"/>
          </w:tcPr>
          <w:p>
            <w:pPr>
              <w:adjustRightInd w:val="0"/>
              <w:snapToGrid w:val="0"/>
              <w:spacing w:line="300" w:lineRule="auto"/>
              <w:rPr>
                <w:sz w:val="18"/>
                <w:szCs w:val="18"/>
              </w:rPr>
            </w:pPr>
            <w:r>
              <w:rPr>
                <w:sz w:val="18"/>
                <w:szCs w:val="18"/>
              </w:rPr>
              <w:t>3 移动IPv6技术</w:t>
            </w:r>
          </w:p>
          <w:p>
            <w:pPr>
              <w:adjustRightInd w:val="0"/>
              <w:snapToGrid w:val="0"/>
              <w:spacing w:line="300" w:lineRule="auto"/>
              <w:rPr>
                <w:sz w:val="18"/>
                <w:szCs w:val="18"/>
              </w:rPr>
            </w:pPr>
            <w:r>
              <w:rPr>
                <w:sz w:val="18"/>
                <w:szCs w:val="18"/>
              </w:rPr>
              <w:t>3.1移动IPv6技术概述</w:t>
            </w:r>
          </w:p>
          <w:p>
            <w:pPr>
              <w:adjustRightInd w:val="0"/>
              <w:snapToGrid w:val="0"/>
              <w:spacing w:line="300" w:lineRule="auto"/>
              <w:rPr>
                <w:sz w:val="18"/>
                <w:szCs w:val="18"/>
              </w:rPr>
            </w:pPr>
            <w:r>
              <w:rPr>
                <w:sz w:val="18"/>
                <w:szCs w:val="18"/>
              </w:rPr>
              <w:t>3.2移动IPv6的工作过程</w:t>
            </w:r>
          </w:p>
          <w:p>
            <w:pPr>
              <w:adjustRightInd w:val="0"/>
              <w:snapToGrid w:val="0"/>
              <w:spacing w:line="300" w:lineRule="auto"/>
              <w:rPr>
                <w:sz w:val="18"/>
                <w:szCs w:val="18"/>
              </w:rPr>
            </w:pPr>
            <w:r>
              <w:rPr>
                <w:sz w:val="18"/>
                <w:szCs w:val="18"/>
              </w:rPr>
              <w:t>3.2.1移动IPv6的基本工作原理</w:t>
            </w:r>
          </w:p>
          <w:p>
            <w:pPr>
              <w:adjustRightInd w:val="0"/>
              <w:snapToGrid w:val="0"/>
              <w:spacing w:line="300" w:lineRule="auto"/>
              <w:rPr>
                <w:sz w:val="18"/>
                <w:szCs w:val="18"/>
              </w:rPr>
            </w:pPr>
            <w:r>
              <w:rPr>
                <w:sz w:val="18"/>
                <w:szCs w:val="18"/>
              </w:rPr>
              <w:t>3.2.2移动IPv6中的数据结构</w:t>
            </w:r>
          </w:p>
          <w:p>
            <w:pPr>
              <w:adjustRightInd w:val="0"/>
              <w:snapToGrid w:val="0"/>
              <w:spacing w:line="300" w:lineRule="auto"/>
              <w:rPr>
                <w:sz w:val="18"/>
                <w:szCs w:val="18"/>
              </w:rPr>
            </w:pPr>
            <w:r>
              <w:rPr>
                <w:sz w:val="18"/>
                <w:szCs w:val="18"/>
              </w:rPr>
              <w:t>3.3移动IPv6协议的设计与实现</w:t>
            </w:r>
          </w:p>
          <w:p>
            <w:pPr>
              <w:adjustRightInd w:val="0"/>
              <w:snapToGrid w:val="0"/>
              <w:spacing w:line="300" w:lineRule="auto"/>
              <w:rPr>
                <w:sz w:val="18"/>
                <w:szCs w:val="18"/>
              </w:rPr>
            </w:pPr>
            <w:r>
              <w:rPr>
                <w:sz w:val="18"/>
                <w:szCs w:val="18"/>
              </w:rPr>
              <w:t>3.3.1移动IPv6协议的总体设计方案</w:t>
            </w:r>
          </w:p>
          <w:p>
            <w:pPr>
              <w:adjustRightInd w:val="0"/>
              <w:snapToGrid w:val="0"/>
              <w:spacing w:line="300" w:lineRule="auto"/>
              <w:rPr>
                <w:sz w:val="18"/>
                <w:szCs w:val="18"/>
              </w:rPr>
            </w:pPr>
            <w:r>
              <w:rPr>
                <w:sz w:val="18"/>
                <w:szCs w:val="18"/>
              </w:rPr>
              <w:t>3.3.2接口信息和路由表更新模块设计</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（1）了解移动IPV6技术的工作过程</w:t>
            </w:r>
          </w:p>
          <w:p>
            <w:pPr>
              <w:adjustRightInd w:val="0"/>
              <w:snapToGrid w:val="0"/>
              <w:spacing w:line="300" w:lineRule="auto"/>
              <w:rPr>
                <w:sz w:val="18"/>
                <w:szCs w:val="18"/>
              </w:rPr>
            </w:pPr>
            <w:r>
              <w:rPr>
                <w:sz w:val="18"/>
                <w:szCs w:val="18"/>
              </w:rPr>
              <w:t>（2）理解移动IPV6的基本工作原理</w:t>
            </w:r>
          </w:p>
          <w:p>
            <w:pPr>
              <w:adjustRightInd w:val="0"/>
              <w:snapToGrid w:val="0"/>
              <w:spacing w:line="300" w:lineRule="auto"/>
              <w:rPr>
                <w:sz w:val="18"/>
                <w:szCs w:val="18"/>
              </w:rPr>
            </w:pPr>
            <w:r>
              <w:rPr>
                <w:sz w:val="18"/>
                <w:szCs w:val="18"/>
              </w:rPr>
              <w:t>（3）掌握移动IPv6协议的总体设计方案</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（1）复习第三章内容；</w:t>
            </w:r>
          </w:p>
          <w:p>
            <w:pPr>
              <w:adjustRightInd w:val="0"/>
              <w:snapToGrid w:val="0"/>
              <w:spacing w:line="300" w:lineRule="auto"/>
              <w:rPr>
                <w:sz w:val="18"/>
                <w:szCs w:val="18"/>
              </w:rPr>
            </w:pPr>
            <w:r>
              <w:rPr>
                <w:sz w:val="18"/>
                <w:szCs w:val="18"/>
              </w:rPr>
              <w:t>（2）完成教材第三章作业。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讲授式、讨论式、与启发式相结合。</w:t>
            </w:r>
          </w:p>
        </w:tc>
        <w:tc>
          <w:tcPr>
            <w:tcW w:w="739" w:type="dxa"/>
            <w:vAlign w:val="center"/>
          </w:tcPr>
          <w:p>
            <w:pPr>
              <w:adjustRightInd w:val="0"/>
              <w:snapToGrid w:val="0"/>
              <w:spacing w:line="300" w:lineRule="auto"/>
              <w:jc w:val="center"/>
              <w:rPr>
                <w:sz w:val="18"/>
                <w:szCs w:val="18"/>
              </w:rPr>
            </w:pPr>
            <w:r>
              <w:rPr>
                <w:sz w:val="18"/>
                <w:szCs w:val="18"/>
              </w:rPr>
              <w:t>4</w:t>
            </w:r>
          </w:p>
        </w:tc>
        <w:tc>
          <w:tcPr>
            <w:tcW w:w="1036" w:type="dxa"/>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2803" w:type="dxa"/>
            <w:vAlign w:val="center"/>
          </w:tcPr>
          <w:p>
            <w:pPr>
              <w:adjustRightInd w:val="0"/>
              <w:snapToGrid w:val="0"/>
              <w:spacing w:line="300" w:lineRule="auto"/>
              <w:rPr>
                <w:sz w:val="18"/>
                <w:szCs w:val="18"/>
              </w:rPr>
            </w:pPr>
            <w:r>
              <w:rPr>
                <w:sz w:val="18"/>
                <w:szCs w:val="18"/>
              </w:rPr>
              <w:t>4 移动子网技术</w:t>
            </w:r>
          </w:p>
          <w:p>
            <w:pPr>
              <w:adjustRightInd w:val="0"/>
              <w:snapToGrid w:val="0"/>
              <w:spacing w:line="300" w:lineRule="auto"/>
              <w:rPr>
                <w:sz w:val="18"/>
                <w:szCs w:val="18"/>
              </w:rPr>
            </w:pPr>
            <w:r>
              <w:rPr>
                <w:sz w:val="18"/>
                <w:szCs w:val="18"/>
              </w:rPr>
              <w:t xml:space="preserve">4.1移动子网技术概述移动子网的工作原理 </w:t>
            </w:r>
          </w:p>
          <w:p>
            <w:pPr>
              <w:adjustRightInd w:val="0"/>
              <w:snapToGrid w:val="0"/>
              <w:spacing w:line="300" w:lineRule="auto"/>
              <w:rPr>
                <w:sz w:val="18"/>
                <w:szCs w:val="18"/>
              </w:rPr>
            </w:pPr>
            <w:r>
              <w:rPr>
                <w:sz w:val="18"/>
                <w:szCs w:val="18"/>
              </w:rPr>
              <w:t>4.1.1移动子网的结构和术语</w:t>
            </w:r>
          </w:p>
          <w:p>
            <w:pPr>
              <w:adjustRightInd w:val="0"/>
              <w:snapToGrid w:val="0"/>
              <w:spacing w:line="300" w:lineRule="auto"/>
              <w:rPr>
                <w:sz w:val="18"/>
                <w:szCs w:val="18"/>
              </w:rPr>
            </w:pPr>
            <w:r>
              <w:rPr>
                <w:sz w:val="18"/>
                <w:szCs w:val="18"/>
              </w:rPr>
              <w:t>4.2移动子网的基本工作原理</w:t>
            </w:r>
          </w:p>
          <w:p>
            <w:pPr>
              <w:adjustRightInd w:val="0"/>
              <w:snapToGrid w:val="0"/>
              <w:spacing w:line="300" w:lineRule="auto"/>
              <w:rPr>
                <w:sz w:val="18"/>
                <w:szCs w:val="18"/>
              </w:rPr>
            </w:pPr>
            <w:r>
              <w:rPr>
                <w:sz w:val="18"/>
                <w:szCs w:val="18"/>
              </w:rPr>
              <w:t>4.2.1移动子网中的数据结构</w:t>
            </w:r>
          </w:p>
          <w:p>
            <w:pPr>
              <w:adjustRightInd w:val="0"/>
              <w:snapToGrid w:val="0"/>
              <w:spacing w:line="300" w:lineRule="auto"/>
              <w:rPr>
                <w:sz w:val="18"/>
                <w:szCs w:val="18"/>
              </w:rPr>
            </w:pPr>
            <w:r>
              <w:rPr>
                <w:sz w:val="18"/>
                <w:szCs w:val="18"/>
              </w:rPr>
              <w:t>4.2.2移动路由器的工作过程，家乡代理的工作过程</w:t>
            </w:r>
          </w:p>
          <w:p>
            <w:pPr>
              <w:adjustRightInd w:val="0"/>
              <w:snapToGrid w:val="0"/>
              <w:spacing w:line="300" w:lineRule="auto"/>
              <w:rPr>
                <w:sz w:val="18"/>
                <w:szCs w:val="18"/>
              </w:rPr>
            </w:pPr>
            <w:r>
              <w:rPr>
                <w:sz w:val="18"/>
                <w:szCs w:val="18"/>
              </w:rPr>
              <w:t>4.3移动子网的设计与实现</w:t>
            </w:r>
          </w:p>
          <w:p>
            <w:pPr>
              <w:adjustRightInd w:val="0"/>
              <w:snapToGrid w:val="0"/>
              <w:spacing w:line="300" w:lineRule="auto"/>
              <w:rPr>
                <w:sz w:val="18"/>
                <w:szCs w:val="18"/>
              </w:rPr>
            </w:pPr>
            <w:r>
              <w:rPr>
                <w:sz w:val="18"/>
                <w:szCs w:val="18"/>
              </w:rPr>
              <w:t>4.3.1移动子网的总体设计方案</w:t>
            </w:r>
          </w:p>
          <w:p>
            <w:pPr>
              <w:adjustRightInd w:val="0"/>
              <w:snapToGrid w:val="0"/>
              <w:spacing w:line="300" w:lineRule="auto"/>
              <w:rPr>
                <w:sz w:val="18"/>
                <w:szCs w:val="18"/>
              </w:rPr>
            </w:pPr>
            <w:r>
              <w:rPr>
                <w:sz w:val="18"/>
                <w:szCs w:val="18"/>
              </w:rPr>
              <w:t>移动子网的设计与实现</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（1）了解：移动子网技术概述移动子网的工作原理和移动子网的总体设计方案</w:t>
            </w:r>
          </w:p>
          <w:p>
            <w:pPr>
              <w:adjustRightInd w:val="0"/>
              <w:snapToGrid w:val="0"/>
              <w:spacing w:line="300" w:lineRule="auto"/>
              <w:rPr>
                <w:sz w:val="18"/>
                <w:szCs w:val="18"/>
              </w:rPr>
            </w:pPr>
            <w:r>
              <w:rPr>
                <w:sz w:val="18"/>
                <w:szCs w:val="18"/>
              </w:rPr>
              <w:t>（2）理解：移动子网的工作原理</w:t>
            </w:r>
          </w:p>
          <w:p>
            <w:pPr>
              <w:adjustRightInd w:val="0"/>
              <w:snapToGrid w:val="0"/>
              <w:spacing w:line="300" w:lineRule="auto"/>
              <w:rPr>
                <w:sz w:val="18"/>
                <w:szCs w:val="18"/>
              </w:rPr>
            </w:pPr>
            <w:r>
              <w:rPr>
                <w:sz w:val="18"/>
                <w:szCs w:val="18"/>
              </w:rPr>
              <w:t>（3）掌握：移动子网中的数据结构，移动子网的总体设计方案</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（1）复习第四章内容；</w:t>
            </w:r>
          </w:p>
          <w:p>
            <w:pPr>
              <w:adjustRightInd w:val="0"/>
              <w:snapToGrid w:val="0"/>
              <w:spacing w:line="300" w:lineRule="auto"/>
              <w:rPr>
                <w:sz w:val="18"/>
                <w:szCs w:val="18"/>
              </w:rPr>
            </w:pPr>
            <w:r>
              <w:rPr>
                <w:sz w:val="18"/>
                <w:szCs w:val="18"/>
              </w:rPr>
              <w:t>（2）完成教材第四章作业。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讲授式、讨论式与启发式相结合。</w:t>
            </w:r>
          </w:p>
        </w:tc>
        <w:tc>
          <w:tcPr>
            <w:tcW w:w="739" w:type="dxa"/>
            <w:vAlign w:val="center"/>
          </w:tcPr>
          <w:p>
            <w:pPr>
              <w:adjustRightInd w:val="0"/>
              <w:snapToGrid w:val="0"/>
              <w:spacing w:line="300" w:lineRule="auto"/>
              <w:jc w:val="center"/>
              <w:rPr>
                <w:sz w:val="18"/>
                <w:szCs w:val="18"/>
              </w:rPr>
            </w:pPr>
            <w:r>
              <w:rPr>
                <w:sz w:val="18"/>
                <w:szCs w:val="18"/>
              </w:rPr>
              <w:t>4</w:t>
            </w:r>
          </w:p>
        </w:tc>
        <w:tc>
          <w:tcPr>
            <w:tcW w:w="1036" w:type="dxa"/>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5</w:t>
            </w:r>
          </w:p>
        </w:tc>
        <w:tc>
          <w:tcPr>
            <w:tcW w:w="2803" w:type="dxa"/>
            <w:vAlign w:val="center"/>
          </w:tcPr>
          <w:p>
            <w:pPr>
              <w:adjustRightInd w:val="0"/>
              <w:snapToGrid w:val="0"/>
              <w:spacing w:line="300" w:lineRule="auto"/>
              <w:rPr>
                <w:sz w:val="18"/>
                <w:szCs w:val="18"/>
              </w:rPr>
            </w:pPr>
            <w:r>
              <w:rPr>
                <w:sz w:val="18"/>
                <w:szCs w:val="18"/>
              </w:rPr>
              <w:t>5移动互联网安全技术概述</w:t>
            </w:r>
          </w:p>
          <w:p>
            <w:pPr>
              <w:adjustRightInd w:val="0"/>
              <w:snapToGrid w:val="0"/>
              <w:spacing w:line="300" w:lineRule="auto"/>
              <w:rPr>
                <w:sz w:val="18"/>
                <w:szCs w:val="18"/>
              </w:rPr>
            </w:pPr>
            <w:r>
              <w:rPr>
                <w:sz w:val="18"/>
                <w:szCs w:val="18"/>
              </w:rPr>
              <w:t>5.1IPSec技术</w:t>
            </w:r>
          </w:p>
          <w:p>
            <w:pPr>
              <w:adjustRightInd w:val="0"/>
              <w:snapToGrid w:val="0"/>
              <w:spacing w:line="300" w:lineRule="auto"/>
              <w:rPr>
                <w:sz w:val="18"/>
                <w:szCs w:val="18"/>
              </w:rPr>
            </w:pPr>
            <w:r>
              <w:rPr>
                <w:sz w:val="18"/>
                <w:szCs w:val="18"/>
              </w:rPr>
              <w:t>5.1.1AAA技术</w:t>
            </w:r>
          </w:p>
          <w:p>
            <w:pPr>
              <w:adjustRightInd w:val="0"/>
              <w:snapToGrid w:val="0"/>
              <w:spacing w:line="300" w:lineRule="auto"/>
              <w:rPr>
                <w:sz w:val="18"/>
                <w:szCs w:val="18"/>
              </w:rPr>
            </w:pPr>
            <w:r>
              <w:rPr>
                <w:sz w:val="18"/>
                <w:szCs w:val="18"/>
              </w:rPr>
              <w:t>5.2移动IPv6安全技术</w:t>
            </w:r>
          </w:p>
          <w:p>
            <w:pPr>
              <w:adjustRightInd w:val="0"/>
              <w:snapToGrid w:val="0"/>
              <w:spacing w:line="300" w:lineRule="auto"/>
              <w:rPr>
                <w:sz w:val="18"/>
                <w:szCs w:val="18"/>
              </w:rPr>
            </w:pPr>
            <w:r>
              <w:rPr>
                <w:sz w:val="18"/>
                <w:szCs w:val="18"/>
              </w:rPr>
              <w:t>5.3移动IPv6安全认证系统设计</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（1）了解：IPSec技术，AAA技术</w:t>
            </w:r>
          </w:p>
          <w:p>
            <w:pPr>
              <w:adjustRightInd w:val="0"/>
              <w:snapToGrid w:val="0"/>
              <w:spacing w:line="300" w:lineRule="auto"/>
              <w:rPr>
                <w:sz w:val="18"/>
                <w:szCs w:val="18"/>
              </w:rPr>
            </w:pPr>
            <w:r>
              <w:rPr>
                <w:sz w:val="18"/>
                <w:szCs w:val="18"/>
              </w:rPr>
              <w:t>（2）理解：移动IPv6安全技术</w:t>
            </w:r>
          </w:p>
          <w:p>
            <w:pPr>
              <w:adjustRightInd w:val="0"/>
              <w:snapToGrid w:val="0"/>
              <w:spacing w:line="300" w:lineRule="auto"/>
              <w:rPr>
                <w:sz w:val="18"/>
                <w:szCs w:val="18"/>
              </w:rPr>
            </w:pPr>
            <w:r>
              <w:rPr>
                <w:sz w:val="18"/>
                <w:szCs w:val="18"/>
              </w:rPr>
              <w:t>（3）掌握：IPv6安全认证系统设计方法</w:t>
            </w:r>
          </w:p>
          <w:p>
            <w:pPr>
              <w:adjustRightInd w:val="0"/>
              <w:snapToGrid w:val="0"/>
              <w:spacing w:line="300" w:lineRule="auto"/>
              <w:rPr>
                <w:sz w:val="18"/>
                <w:szCs w:val="18"/>
              </w:rPr>
            </w:pP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（1）复习第五章内容；</w:t>
            </w:r>
          </w:p>
          <w:p>
            <w:pPr>
              <w:adjustRightInd w:val="0"/>
              <w:snapToGrid w:val="0"/>
              <w:spacing w:line="300" w:lineRule="auto"/>
              <w:rPr>
                <w:sz w:val="18"/>
                <w:szCs w:val="18"/>
              </w:rPr>
            </w:pPr>
            <w:r>
              <w:rPr>
                <w:sz w:val="18"/>
                <w:szCs w:val="18"/>
              </w:rPr>
              <w:t>（2）完成教材第五章作业。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讲授式、讨论式、启发式相结合。</w:t>
            </w:r>
          </w:p>
        </w:tc>
        <w:tc>
          <w:tcPr>
            <w:tcW w:w="739" w:type="dxa"/>
            <w:vAlign w:val="center"/>
          </w:tcPr>
          <w:p>
            <w:pPr>
              <w:adjustRightInd w:val="0"/>
              <w:snapToGrid w:val="0"/>
              <w:spacing w:line="300" w:lineRule="auto"/>
              <w:jc w:val="center"/>
              <w:rPr>
                <w:sz w:val="18"/>
                <w:szCs w:val="18"/>
              </w:rPr>
            </w:pPr>
            <w:r>
              <w:rPr>
                <w:sz w:val="18"/>
                <w:szCs w:val="18"/>
              </w:rPr>
              <w:t>2</w:t>
            </w:r>
          </w:p>
        </w:tc>
        <w:tc>
          <w:tcPr>
            <w:tcW w:w="1036"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6</w:t>
            </w:r>
          </w:p>
        </w:tc>
        <w:tc>
          <w:tcPr>
            <w:tcW w:w="2803" w:type="dxa"/>
            <w:vAlign w:val="center"/>
          </w:tcPr>
          <w:p>
            <w:pPr>
              <w:adjustRightInd w:val="0"/>
              <w:snapToGrid w:val="0"/>
              <w:spacing w:line="300" w:lineRule="auto"/>
              <w:rPr>
                <w:sz w:val="18"/>
                <w:szCs w:val="18"/>
              </w:rPr>
            </w:pPr>
            <w:r>
              <w:rPr>
                <w:sz w:val="18"/>
                <w:szCs w:val="18"/>
              </w:rPr>
              <w:t>6移动多播技术</w:t>
            </w:r>
          </w:p>
          <w:p>
            <w:pPr>
              <w:adjustRightInd w:val="0"/>
              <w:snapToGrid w:val="0"/>
              <w:spacing w:line="300" w:lineRule="auto"/>
              <w:rPr>
                <w:sz w:val="18"/>
                <w:szCs w:val="18"/>
              </w:rPr>
            </w:pPr>
            <w:r>
              <w:rPr>
                <w:sz w:val="18"/>
                <w:szCs w:val="18"/>
              </w:rPr>
              <w:t>6.1移动多播技术概述</w:t>
            </w:r>
          </w:p>
          <w:p>
            <w:pPr>
              <w:adjustRightInd w:val="0"/>
              <w:snapToGrid w:val="0"/>
              <w:spacing w:line="300" w:lineRule="auto"/>
              <w:rPr>
                <w:sz w:val="18"/>
                <w:szCs w:val="18"/>
              </w:rPr>
            </w:pPr>
            <w:r>
              <w:rPr>
                <w:sz w:val="18"/>
                <w:szCs w:val="18"/>
              </w:rPr>
              <w:t>6.2移动多播解决方案</w:t>
            </w:r>
          </w:p>
          <w:p>
            <w:pPr>
              <w:adjustRightInd w:val="0"/>
              <w:snapToGrid w:val="0"/>
              <w:spacing w:line="300" w:lineRule="auto"/>
              <w:rPr>
                <w:sz w:val="18"/>
                <w:szCs w:val="18"/>
              </w:rPr>
            </w:pPr>
            <w:r>
              <w:rPr>
                <w:sz w:val="18"/>
                <w:szCs w:val="18"/>
              </w:rPr>
              <w:t>6.3基于MLD代理的移动多播设计方案</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（1）了解移动多播技术的基本概念与术语</w:t>
            </w:r>
          </w:p>
          <w:p>
            <w:pPr>
              <w:adjustRightInd w:val="0"/>
              <w:snapToGrid w:val="0"/>
              <w:spacing w:line="300" w:lineRule="auto"/>
              <w:rPr>
                <w:sz w:val="18"/>
                <w:szCs w:val="18"/>
              </w:rPr>
            </w:pPr>
            <w:r>
              <w:rPr>
                <w:sz w:val="18"/>
                <w:szCs w:val="18"/>
              </w:rPr>
              <w:t>（2）理解移动多播技术的基本概念</w:t>
            </w:r>
          </w:p>
          <w:p>
            <w:pPr>
              <w:adjustRightInd w:val="0"/>
              <w:snapToGrid w:val="0"/>
              <w:spacing w:line="300" w:lineRule="auto"/>
              <w:rPr>
                <w:sz w:val="18"/>
                <w:szCs w:val="18"/>
              </w:rPr>
            </w:pPr>
            <w:r>
              <w:rPr>
                <w:sz w:val="18"/>
                <w:szCs w:val="18"/>
              </w:rPr>
              <w:t>（3）掌握移非常多播的解决方案与设计</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（1）复习第六章内容；</w:t>
            </w:r>
          </w:p>
          <w:p>
            <w:pPr>
              <w:adjustRightInd w:val="0"/>
              <w:snapToGrid w:val="0"/>
              <w:spacing w:line="300" w:lineRule="auto"/>
              <w:rPr>
                <w:sz w:val="18"/>
                <w:szCs w:val="18"/>
              </w:rPr>
            </w:pPr>
            <w:r>
              <w:rPr>
                <w:sz w:val="18"/>
                <w:szCs w:val="18"/>
              </w:rPr>
              <w:t>（2）完成教材第六章作业。</w:t>
            </w:r>
          </w:p>
          <w:p>
            <w:pPr>
              <w:adjustRightInd w:val="0"/>
              <w:snapToGrid w:val="0"/>
              <w:spacing w:line="300" w:lineRule="auto"/>
              <w:rPr>
                <w:sz w:val="18"/>
                <w:szCs w:val="18"/>
              </w:rPr>
            </w:pPr>
            <w:r>
              <w:rPr>
                <w:sz w:val="18"/>
                <w:szCs w:val="18"/>
              </w:rPr>
              <w:t>3</w:t>
            </w:r>
            <w:r>
              <w:rPr>
                <w:szCs w:val="21"/>
              </w:rPr>
              <w:t>．</w:t>
            </w:r>
            <w:r>
              <w:rPr>
                <w:sz w:val="18"/>
                <w:szCs w:val="18"/>
              </w:rPr>
              <w:t xml:space="preserve">教学方法 </w:t>
            </w:r>
          </w:p>
          <w:p>
            <w:pPr>
              <w:adjustRightInd w:val="0"/>
              <w:snapToGrid w:val="0"/>
              <w:spacing w:line="300" w:lineRule="auto"/>
              <w:rPr>
                <w:sz w:val="18"/>
                <w:szCs w:val="18"/>
              </w:rPr>
            </w:pPr>
            <w:r>
              <w:rPr>
                <w:sz w:val="18"/>
                <w:szCs w:val="18"/>
              </w:rPr>
              <w:t>讲授式、讨论式启发式相结合。</w:t>
            </w:r>
          </w:p>
        </w:tc>
        <w:tc>
          <w:tcPr>
            <w:tcW w:w="739" w:type="dxa"/>
            <w:vAlign w:val="center"/>
          </w:tcPr>
          <w:p>
            <w:pPr>
              <w:adjustRightInd w:val="0"/>
              <w:snapToGrid w:val="0"/>
              <w:spacing w:line="300" w:lineRule="auto"/>
              <w:jc w:val="center"/>
              <w:rPr>
                <w:sz w:val="18"/>
                <w:szCs w:val="18"/>
              </w:rPr>
            </w:pPr>
            <w:r>
              <w:rPr>
                <w:sz w:val="18"/>
                <w:szCs w:val="18"/>
              </w:rPr>
              <w:t>4</w:t>
            </w:r>
          </w:p>
        </w:tc>
        <w:tc>
          <w:tcPr>
            <w:tcW w:w="1036"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7</w:t>
            </w:r>
          </w:p>
        </w:tc>
        <w:tc>
          <w:tcPr>
            <w:tcW w:w="2803" w:type="dxa"/>
            <w:vAlign w:val="center"/>
          </w:tcPr>
          <w:p>
            <w:pPr>
              <w:adjustRightInd w:val="0"/>
              <w:snapToGrid w:val="0"/>
              <w:spacing w:line="300" w:lineRule="auto"/>
              <w:rPr>
                <w:sz w:val="18"/>
                <w:szCs w:val="18"/>
              </w:rPr>
            </w:pPr>
            <w:r>
              <w:rPr>
                <w:sz w:val="18"/>
                <w:szCs w:val="18"/>
              </w:rPr>
              <w:t>7移动互联网的切换管理机制</w:t>
            </w:r>
          </w:p>
          <w:p>
            <w:pPr>
              <w:adjustRightInd w:val="0"/>
              <w:snapToGrid w:val="0"/>
              <w:spacing w:line="300" w:lineRule="auto"/>
              <w:rPr>
                <w:sz w:val="18"/>
                <w:szCs w:val="18"/>
              </w:rPr>
            </w:pPr>
            <w:r>
              <w:rPr>
                <w:sz w:val="18"/>
                <w:szCs w:val="18"/>
              </w:rPr>
              <w:t>7.1移动性管理概述</w:t>
            </w:r>
          </w:p>
          <w:p>
            <w:pPr>
              <w:adjustRightInd w:val="0"/>
              <w:snapToGrid w:val="0"/>
              <w:spacing w:line="300" w:lineRule="auto"/>
              <w:rPr>
                <w:sz w:val="18"/>
                <w:szCs w:val="18"/>
              </w:rPr>
            </w:pPr>
            <w:r>
              <w:rPr>
                <w:sz w:val="18"/>
                <w:szCs w:val="18"/>
              </w:rPr>
              <w:t>7.2移动IPv4扩展协议</w:t>
            </w:r>
          </w:p>
          <w:p>
            <w:pPr>
              <w:adjustRightInd w:val="0"/>
              <w:snapToGrid w:val="0"/>
              <w:spacing w:line="300" w:lineRule="auto"/>
              <w:rPr>
                <w:sz w:val="18"/>
                <w:szCs w:val="18"/>
              </w:rPr>
            </w:pPr>
            <w:r>
              <w:rPr>
                <w:sz w:val="18"/>
                <w:szCs w:val="18"/>
              </w:rPr>
              <w:t>7.2.1快速移动IPv4层</w:t>
            </w:r>
          </w:p>
          <w:p>
            <w:pPr>
              <w:adjustRightInd w:val="0"/>
              <w:snapToGrid w:val="0"/>
              <w:spacing w:line="300" w:lineRule="auto"/>
              <w:rPr>
                <w:sz w:val="18"/>
                <w:szCs w:val="18"/>
              </w:rPr>
            </w:pPr>
            <w:r>
              <w:rPr>
                <w:sz w:val="18"/>
                <w:szCs w:val="18"/>
              </w:rPr>
              <w:t>7.2.2次移动IPv4</w:t>
            </w:r>
          </w:p>
          <w:p>
            <w:pPr>
              <w:adjustRightInd w:val="0"/>
              <w:snapToGrid w:val="0"/>
              <w:spacing w:line="300" w:lineRule="auto"/>
              <w:rPr>
                <w:sz w:val="18"/>
                <w:szCs w:val="18"/>
              </w:rPr>
            </w:pPr>
            <w:r>
              <w:rPr>
                <w:sz w:val="18"/>
                <w:szCs w:val="18"/>
              </w:rPr>
              <w:t>7.3移动IPv6的改进方案</w:t>
            </w:r>
          </w:p>
          <w:p>
            <w:pPr>
              <w:adjustRightInd w:val="0"/>
              <w:snapToGrid w:val="0"/>
              <w:spacing w:line="300" w:lineRule="auto"/>
              <w:rPr>
                <w:sz w:val="18"/>
                <w:szCs w:val="18"/>
              </w:rPr>
            </w:pPr>
            <w:r>
              <w:rPr>
                <w:sz w:val="18"/>
                <w:szCs w:val="18"/>
              </w:rPr>
              <w:t>7.3.1快速移动IPv6</w:t>
            </w:r>
          </w:p>
          <w:p>
            <w:pPr>
              <w:adjustRightInd w:val="0"/>
              <w:snapToGrid w:val="0"/>
              <w:spacing w:line="300" w:lineRule="auto"/>
              <w:rPr>
                <w:sz w:val="18"/>
                <w:szCs w:val="18"/>
              </w:rPr>
            </w:pPr>
            <w:r>
              <w:rPr>
                <w:sz w:val="18"/>
                <w:szCs w:val="18"/>
              </w:rPr>
              <w:t>7.3.2层次移动IPv6</w:t>
            </w:r>
          </w:p>
          <w:p>
            <w:pPr>
              <w:adjustRightInd w:val="0"/>
              <w:snapToGrid w:val="0"/>
              <w:spacing w:line="300" w:lineRule="auto"/>
              <w:rPr>
                <w:sz w:val="18"/>
                <w:szCs w:val="18"/>
              </w:rPr>
            </w:pPr>
            <w:r>
              <w:rPr>
                <w:sz w:val="18"/>
                <w:szCs w:val="18"/>
              </w:rPr>
              <w:t>7.5 二阶电路的零输入响应；</w:t>
            </w:r>
          </w:p>
          <w:p>
            <w:pPr>
              <w:adjustRightInd w:val="0"/>
              <w:snapToGrid w:val="0"/>
              <w:spacing w:line="300" w:lineRule="auto"/>
              <w:rPr>
                <w:sz w:val="18"/>
                <w:szCs w:val="18"/>
              </w:rPr>
            </w:pPr>
            <w:r>
              <w:rPr>
                <w:sz w:val="18"/>
                <w:szCs w:val="18"/>
              </w:rPr>
              <w:t>7.6 二阶电路的零状态响应和全响应。</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（1）了解移动性管理的概念和移动IPv4扩展协议（2）理解如何改进移动IPv6</w:t>
            </w:r>
          </w:p>
          <w:p>
            <w:pPr>
              <w:adjustRightInd w:val="0"/>
              <w:snapToGrid w:val="0"/>
              <w:spacing w:line="300" w:lineRule="auto"/>
              <w:rPr>
                <w:sz w:val="18"/>
                <w:szCs w:val="18"/>
              </w:rPr>
            </w:pPr>
            <w:r>
              <w:rPr>
                <w:sz w:val="18"/>
                <w:szCs w:val="18"/>
              </w:rPr>
              <w:t>（3）掌握移动IPv4扩展协议，移动IPv6的改进方案</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（1）复习第七章内容；</w:t>
            </w:r>
          </w:p>
          <w:p>
            <w:pPr>
              <w:adjustRightInd w:val="0"/>
              <w:snapToGrid w:val="0"/>
              <w:spacing w:line="300" w:lineRule="auto"/>
              <w:rPr>
                <w:sz w:val="18"/>
                <w:szCs w:val="18"/>
              </w:rPr>
            </w:pPr>
            <w:r>
              <w:rPr>
                <w:sz w:val="18"/>
                <w:szCs w:val="18"/>
              </w:rPr>
              <w:t>（2）完成教材第七章作业。</w:t>
            </w:r>
          </w:p>
          <w:p>
            <w:pPr>
              <w:adjustRightInd w:val="0"/>
              <w:snapToGrid w:val="0"/>
              <w:spacing w:line="300" w:lineRule="auto"/>
              <w:rPr>
                <w:sz w:val="18"/>
                <w:szCs w:val="18"/>
              </w:rPr>
            </w:pPr>
            <w:r>
              <w:rPr>
                <w:sz w:val="18"/>
                <w:szCs w:val="18"/>
              </w:rPr>
              <w:t>3</w:t>
            </w:r>
            <w:r>
              <w:rPr>
                <w:szCs w:val="21"/>
              </w:rPr>
              <w:t>．</w:t>
            </w:r>
            <w:r>
              <w:rPr>
                <w:sz w:val="18"/>
                <w:szCs w:val="18"/>
              </w:rPr>
              <w:t>教学方法：</w:t>
            </w:r>
          </w:p>
          <w:p>
            <w:pPr>
              <w:adjustRightInd w:val="0"/>
              <w:snapToGrid w:val="0"/>
              <w:spacing w:line="300" w:lineRule="auto"/>
              <w:rPr>
                <w:sz w:val="18"/>
                <w:szCs w:val="18"/>
              </w:rPr>
            </w:pPr>
            <w:r>
              <w:rPr>
                <w:sz w:val="18"/>
                <w:szCs w:val="18"/>
              </w:rPr>
              <w:t>讲授式、讨论式、启发式相结合。</w:t>
            </w:r>
          </w:p>
        </w:tc>
        <w:tc>
          <w:tcPr>
            <w:tcW w:w="739" w:type="dxa"/>
            <w:vAlign w:val="center"/>
          </w:tcPr>
          <w:p>
            <w:pPr>
              <w:adjustRightInd w:val="0"/>
              <w:snapToGrid w:val="0"/>
              <w:spacing w:line="300" w:lineRule="auto"/>
              <w:jc w:val="center"/>
              <w:rPr>
                <w:sz w:val="18"/>
                <w:szCs w:val="18"/>
              </w:rPr>
            </w:pPr>
            <w:r>
              <w:rPr>
                <w:sz w:val="18"/>
                <w:szCs w:val="18"/>
              </w:rPr>
              <w:t>2</w:t>
            </w:r>
          </w:p>
        </w:tc>
        <w:tc>
          <w:tcPr>
            <w:tcW w:w="1036" w:type="dxa"/>
            <w:vAlign w:val="center"/>
          </w:tcPr>
          <w:p>
            <w:pPr>
              <w:adjustRightInd w:val="0"/>
              <w:snapToGrid w:val="0"/>
              <w:spacing w:line="300" w:lineRule="auto"/>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88" w:type="dxa"/>
            <w:tcMar>
              <w:left w:w="57" w:type="dxa"/>
              <w:right w:w="57" w:type="dxa"/>
            </w:tcMar>
            <w:vAlign w:val="center"/>
          </w:tcPr>
          <w:p>
            <w:pPr>
              <w:adjustRightInd w:val="0"/>
              <w:snapToGrid w:val="0"/>
              <w:spacing w:line="300" w:lineRule="auto"/>
              <w:jc w:val="center"/>
              <w:rPr>
                <w:sz w:val="18"/>
                <w:szCs w:val="18"/>
              </w:rPr>
            </w:pPr>
            <w:r>
              <w:rPr>
                <w:sz w:val="18"/>
                <w:szCs w:val="18"/>
              </w:rPr>
              <w:t>8</w:t>
            </w:r>
          </w:p>
        </w:tc>
        <w:tc>
          <w:tcPr>
            <w:tcW w:w="2803" w:type="dxa"/>
            <w:vAlign w:val="center"/>
          </w:tcPr>
          <w:p>
            <w:pPr>
              <w:adjustRightInd w:val="0"/>
              <w:snapToGrid w:val="0"/>
              <w:spacing w:line="300" w:lineRule="auto"/>
              <w:rPr>
                <w:sz w:val="18"/>
                <w:szCs w:val="18"/>
              </w:rPr>
            </w:pPr>
            <w:r>
              <w:rPr>
                <w:sz w:val="18"/>
                <w:szCs w:val="18"/>
              </w:rPr>
              <w:t>8移动互联网开发</w:t>
            </w:r>
          </w:p>
          <w:p>
            <w:pPr>
              <w:adjustRightInd w:val="0"/>
              <w:snapToGrid w:val="0"/>
              <w:spacing w:line="300" w:lineRule="auto"/>
              <w:rPr>
                <w:sz w:val="18"/>
                <w:szCs w:val="18"/>
              </w:rPr>
            </w:pPr>
            <w:r>
              <w:rPr>
                <w:sz w:val="18"/>
                <w:szCs w:val="18"/>
              </w:rPr>
              <w:t>8.1移动端开发技术概述</w:t>
            </w:r>
          </w:p>
          <w:p>
            <w:pPr>
              <w:adjustRightInd w:val="0"/>
              <w:snapToGrid w:val="0"/>
              <w:spacing w:line="300" w:lineRule="auto"/>
              <w:rPr>
                <w:sz w:val="18"/>
                <w:szCs w:val="18"/>
              </w:rPr>
            </w:pPr>
            <w:r>
              <w:rPr>
                <w:sz w:val="18"/>
                <w:szCs w:val="18"/>
              </w:rPr>
              <w:t>8.1.1移动端操作系统概述</w:t>
            </w:r>
          </w:p>
          <w:p>
            <w:pPr>
              <w:adjustRightInd w:val="0"/>
              <w:snapToGrid w:val="0"/>
              <w:spacing w:line="300" w:lineRule="auto"/>
              <w:rPr>
                <w:sz w:val="18"/>
                <w:szCs w:val="18"/>
              </w:rPr>
            </w:pPr>
            <w:r>
              <w:rPr>
                <w:sz w:val="18"/>
                <w:szCs w:val="18"/>
              </w:rPr>
              <w:t>8.1.1IOS及ANDROID简介</w:t>
            </w:r>
          </w:p>
          <w:p>
            <w:pPr>
              <w:adjustRightInd w:val="0"/>
              <w:snapToGrid w:val="0"/>
              <w:spacing w:line="300" w:lineRule="auto"/>
              <w:rPr>
                <w:sz w:val="18"/>
                <w:szCs w:val="18"/>
              </w:rPr>
            </w:pPr>
            <w:r>
              <w:rPr>
                <w:sz w:val="18"/>
                <w:szCs w:val="18"/>
              </w:rPr>
              <w:t>8.2基于当前互联网环境下的大前端设计</w:t>
            </w:r>
          </w:p>
          <w:p>
            <w:pPr>
              <w:adjustRightInd w:val="0"/>
              <w:snapToGrid w:val="0"/>
              <w:spacing w:line="300" w:lineRule="auto"/>
              <w:rPr>
                <w:sz w:val="18"/>
                <w:szCs w:val="18"/>
              </w:rPr>
            </w:pPr>
            <w:r>
              <w:rPr>
                <w:sz w:val="18"/>
                <w:szCs w:val="18"/>
              </w:rPr>
              <w:t>8.2.1前端设计概述</w:t>
            </w:r>
          </w:p>
          <w:p>
            <w:pPr>
              <w:adjustRightInd w:val="0"/>
              <w:snapToGrid w:val="0"/>
              <w:spacing w:line="300" w:lineRule="auto"/>
              <w:rPr>
                <w:sz w:val="18"/>
                <w:szCs w:val="18"/>
              </w:rPr>
            </w:pPr>
            <w:r>
              <w:rPr>
                <w:sz w:val="18"/>
                <w:szCs w:val="18"/>
              </w:rPr>
              <w:t>8.2.2基于IOS的APP设计</w:t>
            </w:r>
          </w:p>
          <w:p>
            <w:pPr>
              <w:adjustRightInd w:val="0"/>
              <w:snapToGrid w:val="0"/>
              <w:spacing w:line="300" w:lineRule="auto"/>
              <w:rPr>
                <w:sz w:val="18"/>
                <w:szCs w:val="18"/>
              </w:rPr>
            </w:pPr>
            <w:r>
              <w:rPr>
                <w:sz w:val="18"/>
                <w:szCs w:val="18"/>
              </w:rPr>
              <w:t>8.2.3基于ANDROID的APP设计</w:t>
            </w:r>
          </w:p>
          <w:p>
            <w:pPr>
              <w:adjustRightInd w:val="0"/>
              <w:snapToGrid w:val="0"/>
              <w:spacing w:line="300" w:lineRule="auto"/>
              <w:rPr>
                <w:sz w:val="18"/>
                <w:szCs w:val="18"/>
              </w:rPr>
            </w:pPr>
            <w:r>
              <w:rPr>
                <w:sz w:val="18"/>
                <w:szCs w:val="18"/>
              </w:rPr>
              <w:t>8.3基于互联网的整体应用设计</w:t>
            </w:r>
          </w:p>
          <w:p>
            <w:pPr>
              <w:adjustRightInd w:val="0"/>
              <w:snapToGrid w:val="0"/>
              <w:spacing w:line="300" w:lineRule="auto"/>
              <w:rPr>
                <w:sz w:val="18"/>
                <w:szCs w:val="18"/>
              </w:rPr>
            </w:pPr>
            <w:r>
              <w:rPr>
                <w:sz w:val="18"/>
                <w:szCs w:val="18"/>
              </w:rPr>
              <w:t>8.3.1服务器端技术</w:t>
            </w:r>
          </w:p>
          <w:p>
            <w:pPr>
              <w:adjustRightInd w:val="0"/>
              <w:snapToGrid w:val="0"/>
              <w:spacing w:line="300" w:lineRule="auto"/>
              <w:rPr>
                <w:sz w:val="18"/>
                <w:szCs w:val="18"/>
              </w:rPr>
            </w:pPr>
            <w:r>
              <w:rPr>
                <w:sz w:val="18"/>
                <w:szCs w:val="18"/>
              </w:rPr>
              <w:t>8.3.2WEB开发技术简介</w:t>
            </w:r>
          </w:p>
          <w:p>
            <w:pPr>
              <w:adjustRightInd w:val="0"/>
              <w:snapToGrid w:val="0"/>
              <w:spacing w:line="300" w:lineRule="auto"/>
              <w:rPr>
                <w:sz w:val="18"/>
                <w:szCs w:val="18"/>
              </w:rPr>
            </w:pPr>
            <w:r>
              <w:rPr>
                <w:sz w:val="18"/>
                <w:szCs w:val="18"/>
              </w:rPr>
              <w:t>8.3.3移动端APP总体框架及案例</w:t>
            </w:r>
          </w:p>
          <w:p>
            <w:pPr>
              <w:adjustRightInd w:val="0"/>
              <w:snapToGrid w:val="0"/>
              <w:spacing w:line="300" w:lineRule="auto"/>
              <w:rPr>
                <w:sz w:val="18"/>
                <w:szCs w:val="18"/>
              </w:rPr>
            </w:pPr>
            <w:r>
              <w:rPr>
                <w:sz w:val="18"/>
                <w:szCs w:val="18"/>
              </w:rPr>
              <w:t>2.作业与思考题的要求</w:t>
            </w:r>
          </w:p>
          <w:p>
            <w:pPr>
              <w:adjustRightInd w:val="0"/>
              <w:snapToGrid w:val="0"/>
              <w:spacing w:line="300" w:lineRule="auto"/>
              <w:rPr>
                <w:sz w:val="18"/>
                <w:szCs w:val="18"/>
              </w:rPr>
            </w:pPr>
            <w:r>
              <w:rPr>
                <w:sz w:val="18"/>
                <w:szCs w:val="18"/>
              </w:rPr>
              <w:t>课外作业内容：</w:t>
            </w:r>
          </w:p>
        </w:tc>
        <w:tc>
          <w:tcPr>
            <w:tcW w:w="3567" w:type="dxa"/>
            <w:vAlign w:val="center"/>
          </w:tcPr>
          <w:p>
            <w:pPr>
              <w:adjustRightInd w:val="0"/>
              <w:snapToGrid w:val="0"/>
              <w:spacing w:line="300" w:lineRule="auto"/>
              <w:rPr>
                <w:sz w:val="18"/>
                <w:szCs w:val="18"/>
              </w:rPr>
            </w:pPr>
            <w:r>
              <w:rPr>
                <w:sz w:val="18"/>
                <w:szCs w:val="18"/>
              </w:rPr>
              <w:t>1</w:t>
            </w:r>
            <w:r>
              <w:rPr>
                <w:szCs w:val="21"/>
              </w:rPr>
              <w:t>．</w:t>
            </w:r>
            <w:r>
              <w:rPr>
                <w:sz w:val="18"/>
                <w:szCs w:val="18"/>
              </w:rPr>
              <w:t>要求</w:t>
            </w:r>
          </w:p>
          <w:p>
            <w:pPr>
              <w:adjustRightInd w:val="0"/>
              <w:snapToGrid w:val="0"/>
              <w:spacing w:line="300" w:lineRule="auto"/>
              <w:rPr>
                <w:sz w:val="18"/>
                <w:szCs w:val="18"/>
              </w:rPr>
            </w:pPr>
            <w:r>
              <w:rPr>
                <w:sz w:val="18"/>
                <w:szCs w:val="18"/>
              </w:rPr>
              <w:t>（1）了解移动互联网开发技术</w:t>
            </w:r>
          </w:p>
          <w:p>
            <w:pPr>
              <w:adjustRightInd w:val="0"/>
              <w:snapToGrid w:val="0"/>
              <w:spacing w:line="300" w:lineRule="auto"/>
              <w:rPr>
                <w:sz w:val="18"/>
                <w:szCs w:val="18"/>
              </w:rPr>
            </w:pPr>
            <w:r>
              <w:rPr>
                <w:sz w:val="18"/>
                <w:szCs w:val="18"/>
              </w:rPr>
              <w:t>（2）理解基于IOS平台的APP开发，基于ANDROID的APP开发</w:t>
            </w:r>
          </w:p>
          <w:p>
            <w:pPr>
              <w:adjustRightInd w:val="0"/>
              <w:snapToGrid w:val="0"/>
              <w:spacing w:line="300" w:lineRule="auto"/>
              <w:rPr>
                <w:sz w:val="18"/>
                <w:szCs w:val="18"/>
              </w:rPr>
            </w:pPr>
            <w:r>
              <w:rPr>
                <w:sz w:val="18"/>
                <w:szCs w:val="18"/>
              </w:rPr>
              <w:t>（3）掌握基于ANDROID的APP开发</w:t>
            </w:r>
          </w:p>
          <w:p>
            <w:pPr>
              <w:adjustRightInd w:val="0"/>
              <w:snapToGrid w:val="0"/>
              <w:spacing w:line="300" w:lineRule="auto"/>
              <w:rPr>
                <w:sz w:val="18"/>
                <w:szCs w:val="18"/>
              </w:rPr>
            </w:pPr>
            <w:r>
              <w:rPr>
                <w:sz w:val="18"/>
                <w:szCs w:val="18"/>
              </w:rPr>
              <w:t>2</w:t>
            </w:r>
            <w:r>
              <w:rPr>
                <w:szCs w:val="21"/>
              </w:rPr>
              <w:t>．</w:t>
            </w:r>
            <w:r>
              <w:rPr>
                <w:sz w:val="18"/>
                <w:szCs w:val="18"/>
              </w:rPr>
              <w:t>作业内容</w:t>
            </w:r>
          </w:p>
          <w:p>
            <w:pPr>
              <w:adjustRightInd w:val="0"/>
              <w:snapToGrid w:val="0"/>
              <w:spacing w:line="300" w:lineRule="auto"/>
              <w:rPr>
                <w:sz w:val="18"/>
                <w:szCs w:val="18"/>
              </w:rPr>
            </w:pPr>
            <w:r>
              <w:rPr>
                <w:sz w:val="18"/>
                <w:szCs w:val="18"/>
              </w:rPr>
              <w:t>（1）复习第八章内容；</w:t>
            </w:r>
          </w:p>
          <w:p>
            <w:pPr>
              <w:adjustRightInd w:val="0"/>
              <w:snapToGrid w:val="0"/>
              <w:spacing w:line="300" w:lineRule="auto"/>
              <w:rPr>
                <w:sz w:val="18"/>
                <w:szCs w:val="18"/>
              </w:rPr>
            </w:pPr>
            <w:r>
              <w:rPr>
                <w:sz w:val="18"/>
                <w:szCs w:val="18"/>
              </w:rPr>
              <w:t>（2）完成教材第八章作业。</w:t>
            </w:r>
          </w:p>
          <w:p>
            <w:pPr>
              <w:adjustRightInd w:val="0"/>
              <w:snapToGrid w:val="0"/>
              <w:spacing w:line="300" w:lineRule="auto"/>
              <w:rPr>
                <w:sz w:val="18"/>
                <w:szCs w:val="18"/>
              </w:rPr>
            </w:pPr>
            <w:r>
              <w:rPr>
                <w:sz w:val="18"/>
                <w:szCs w:val="18"/>
              </w:rPr>
              <w:t>3</w:t>
            </w:r>
            <w:r>
              <w:rPr>
                <w:szCs w:val="21"/>
              </w:rPr>
              <w:t>．</w:t>
            </w:r>
            <w:r>
              <w:rPr>
                <w:sz w:val="18"/>
                <w:szCs w:val="18"/>
              </w:rPr>
              <w:t>教学方法</w:t>
            </w:r>
          </w:p>
          <w:p>
            <w:pPr>
              <w:adjustRightInd w:val="0"/>
              <w:snapToGrid w:val="0"/>
              <w:spacing w:line="300" w:lineRule="auto"/>
              <w:rPr>
                <w:sz w:val="18"/>
                <w:szCs w:val="18"/>
              </w:rPr>
            </w:pPr>
            <w:r>
              <w:rPr>
                <w:sz w:val="18"/>
                <w:szCs w:val="18"/>
              </w:rPr>
              <w:t>讲授式、讨论式、启发式相结合。</w:t>
            </w:r>
          </w:p>
        </w:tc>
        <w:tc>
          <w:tcPr>
            <w:tcW w:w="739" w:type="dxa"/>
            <w:vAlign w:val="center"/>
          </w:tcPr>
          <w:p>
            <w:pPr>
              <w:adjustRightInd w:val="0"/>
              <w:snapToGrid w:val="0"/>
              <w:spacing w:line="300" w:lineRule="auto"/>
              <w:jc w:val="center"/>
              <w:rPr>
                <w:sz w:val="18"/>
                <w:szCs w:val="18"/>
              </w:rPr>
            </w:pPr>
            <w:r>
              <w:rPr>
                <w:sz w:val="18"/>
                <w:szCs w:val="18"/>
              </w:rPr>
              <w:t>4</w:t>
            </w:r>
          </w:p>
        </w:tc>
        <w:tc>
          <w:tcPr>
            <w:tcW w:w="1036" w:type="dxa"/>
            <w:vAlign w:val="center"/>
          </w:tcPr>
          <w:p>
            <w:pPr>
              <w:adjustRightInd w:val="0"/>
              <w:snapToGrid w:val="0"/>
              <w:spacing w:line="300" w:lineRule="auto"/>
              <w:jc w:val="center"/>
              <w:rPr>
                <w:sz w:val="18"/>
                <w:szCs w:val="18"/>
              </w:rPr>
            </w:pPr>
            <w:r>
              <w:rPr>
                <w:sz w:val="18"/>
                <w:szCs w:val="18"/>
              </w:rPr>
              <w:t>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742"/>
        <w:gridCol w:w="3016"/>
        <w:gridCol w:w="606"/>
        <w:gridCol w:w="696"/>
        <w:gridCol w:w="696"/>
        <w:gridCol w:w="62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28" w:type="dxa"/>
            <w:vAlign w:val="center"/>
          </w:tcPr>
          <w:p>
            <w:pPr>
              <w:snapToGrid w:val="0"/>
              <w:spacing w:line="300" w:lineRule="auto"/>
              <w:jc w:val="center"/>
              <w:rPr>
                <w:b/>
                <w:bCs/>
                <w:sz w:val="18"/>
                <w:szCs w:val="18"/>
              </w:rPr>
            </w:pPr>
            <w:r>
              <w:rPr>
                <w:b/>
                <w:bCs/>
                <w:kern w:val="0"/>
                <w:sz w:val="18"/>
                <w:szCs w:val="18"/>
              </w:rPr>
              <w:t>序号</w:t>
            </w:r>
          </w:p>
        </w:tc>
        <w:tc>
          <w:tcPr>
            <w:tcW w:w="1742" w:type="dxa"/>
            <w:vAlign w:val="center"/>
          </w:tcPr>
          <w:p>
            <w:pPr>
              <w:snapToGrid w:val="0"/>
              <w:spacing w:line="300" w:lineRule="auto"/>
              <w:jc w:val="center"/>
              <w:rPr>
                <w:b/>
                <w:bCs/>
                <w:sz w:val="18"/>
                <w:szCs w:val="18"/>
              </w:rPr>
            </w:pPr>
            <w:r>
              <w:rPr>
                <w:b/>
                <w:bCs/>
                <w:kern w:val="0"/>
                <w:sz w:val="18"/>
                <w:szCs w:val="18"/>
              </w:rPr>
              <w:t>实验项目名称</w:t>
            </w:r>
          </w:p>
        </w:tc>
        <w:tc>
          <w:tcPr>
            <w:tcW w:w="3016" w:type="dxa"/>
            <w:vAlign w:val="center"/>
          </w:tcPr>
          <w:p>
            <w:pPr>
              <w:snapToGrid w:val="0"/>
              <w:spacing w:line="300" w:lineRule="auto"/>
              <w:jc w:val="center"/>
              <w:rPr>
                <w:b/>
                <w:bCs/>
                <w:sz w:val="18"/>
                <w:szCs w:val="18"/>
              </w:rPr>
            </w:pPr>
            <w:r>
              <w:rPr>
                <w:b/>
                <w:bCs/>
                <w:kern w:val="0"/>
                <w:sz w:val="18"/>
                <w:szCs w:val="18"/>
              </w:rPr>
              <w:t>目的要求</w:t>
            </w:r>
          </w:p>
        </w:tc>
        <w:tc>
          <w:tcPr>
            <w:tcW w:w="606" w:type="dxa"/>
            <w:vAlign w:val="center"/>
          </w:tcPr>
          <w:p>
            <w:pPr>
              <w:snapToGrid w:val="0"/>
              <w:spacing w:line="300" w:lineRule="auto"/>
              <w:jc w:val="center"/>
              <w:rPr>
                <w:b/>
                <w:bCs/>
                <w:sz w:val="18"/>
                <w:szCs w:val="18"/>
              </w:rPr>
            </w:pPr>
            <w:r>
              <w:rPr>
                <w:b/>
                <w:bCs/>
                <w:kern w:val="0"/>
                <w:sz w:val="18"/>
                <w:szCs w:val="18"/>
              </w:rPr>
              <w:t>学时分配</w:t>
            </w:r>
          </w:p>
        </w:tc>
        <w:tc>
          <w:tcPr>
            <w:tcW w:w="696" w:type="dxa"/>
            <w:vAlign w:val="center"/>
          </w:tcPr>
          <w:p>
            <w:pPr>
              <w:snapToGrid w:val="0"/>
              <w:spacing w:line="300" w:lineRule="auto"/>
              <w:jc w:val="center"/>
              <w:rPr>
                <w:b/>
                <w:bCs/>
                <w:kern w:val="0"/>
                <w:sz w:val="18"/>
                <w:szCs w:val="18"/>
              </w:rPr>
            </w:pPr>
            <w:r>
              <w:rPr>
                <w:b/>
                <w:bCs/>
                <w:kern w:val="0"/>
                <w:sz w:val="18"/>
                <w:szCs w:val="18"/>
              </w:rPr>
              <w:t>实验类型</w:t>
            </w:r>
          </w:p>
        </w:tc>
        <w:tc>
          <w:tcPr>
            <w:tcW w:w="696"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4"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vAlign w:val="center"/>
          </w:tcPr>
          <w:p>
            <w:pPr>
              <w:snapToGrid w:val="0"/>
              <w:spacing w:line="300" w:lineRule="auto"/>
              <w:jc w:val="center"/>
              <w:rPr>
                <w:kern w:val="0"/>
                <w:sz w:val="18"/>
                <w:szCs w:val="18"/>
              </w:rPr>
            </w:pPr>
            <w:r>
              <w:rPr>
                <w:kern w:val="0"/>
                <w:sz w:val="18"/>
                <w:szCs w:val="18"/>
              </w:rPr>
              <w:t>1</w:t>
            </w:r>
          </w:p>
        </w:tc>
        <w:tc>
          <w:tcPr>
            <w:tcW w:w="1742" w:type="dxa"/>
            <w:vAlign w:val="center"/>
          </w:tcPr>
          <w:p>
            <w:pPr>
              <w:snapToGrid w:val="0"/>
              <w:spacing w:line="300" w:lineRule="auto"/>
              <w:rPr>
                <w:kern w:val="0"/>
                <w:sz w:val="18"/>
                <w:szCs w:val="18"/>
              </w:rPr>
            </w:pPr>
            <w:r>
              <w:rPr>
                <w:kern w:val="0"/>
                <w:sz w:val="18"/>
                <w:szCs w:val="18"/>
              </w:rPr>
              <w:t>移动IPV4、IPV6</w:t>
            </w:r>
          </w:p>
        </w:tc>
        <w:tc>
          <w:tcPr>
            <w:tcW w:w="3016" w:type="dxa"/>
            <w:vAlign w:val="center"/>
          </w:tcPr>
          <w:p>
            <w:pPr>
              <w:snapToGrid w:val="0"/>
              <w:spacing w:line="300" w:lineRule="auto"/>
              <w:rPr>
                <w:kern w:val="0"/>
                <w:sz w:val="18"/>
                <w:szCs w:val="18"/>
              </w:rPr>
            </w:pPr>
            <w:r>
              <w:rPr>
                <w:kern w:val="0"/>
                <w:sz w:val="18"/>
                <w:szCs w:val="18"/>
              </w:rPr>
              <w:t>移动IPV4/IPV6的配置与验证</w:t>
            </w:r>
          </w:p>
        </w:tc>
        <w:tc>
          <w:tcPr>
            <w:tcW w:w="606" w:type="dxa"/>
            <w:vAlign w:val="center"/>
          </w:tcPr>
          <w:p>
            <w:pPr>
              <w:snapToGrid w:val="0"/>
              <w:spacing w:line="300" w:lineRule="auto"/>
              <w:jc w:val="center"/>
              <w:rPr>
                <w:kern w:val="0"/>
                <w:sz w:val="18"/>
                <w:szCs w:val="18"/>
              </w:rPr>
            </w:pPr>
            <w:r>
              <w:rPr>
                <w:kern w:val="0"/>
                <w:sz w:val="18"/>
                <w:szCs w:val="18"/>
              </w:rPr>
              <w:t>2</w:t>
            </w:r>
          </w:p>
        </w:tc>
        <w:tc>
          <w:tcPr>
            <w:tcW w:w="696" w:type="dxa"/>
            <w:vAlign w:val="center"/>
          </w:tcPr>
          <w:p>
            <w:pPr>
              <w:snapToGrid w:val="0"/>
              <w:spacing w:line="300" w:lineRule="auto"/>
              <w:rPr>
                <w:kern w:val="0"/>
                <w:sz w:val="18"/>
                <w:szCs w:val="18"/>
              </w:rPr>
            </w:pPr>
            <w:r>
              <w:rPr>
                <w:kern w:val="0"/>
                <w:sz w:val="18"/>
                <w:szCs w:val="18"/>
              </w:rPr>
              <w:t>验证</w:t>
            </w:r>
          </w:p>
        </w:tc>
        <w:tc>
          <w:tcPr>
            <w:tcW w:w="696" w:type="dxa"/>
            <w:vAlign w:val="center"/>
          </w:tcPr>
          <w:p>
            <w:pPr>
              <w:snapToGrid w:val="0"/>
              <w:spacing w:line="300" w:lineRule="auto"/>
              <w:jc w:val="center"/>
              <w:rPr>
                <w:kern w:val="0"/>
                <w:sz w:val="18"/>
                <w:szCs w:val="18"/>
              </w:rPr>
            </w:pPr>
            <w:r>
              <w:rPr>
                <w:kern w:val="0"/>
                <w:sz w:val="18"/>
                <w:szCs w:val="18"/>
              </w:rPr>
              <w:t>2</w:t>
            </w:r>
          </w:p>
        </w:tc>
        <w:tc>
          <w:tcPr>
            <w:tcW w:w="623" w:type="dxa"/>
            <w:vAlign w:val="center"/>
          </w:tcPr>
          <w:p>
            <w:pPr>
              <w:snapToGrid w:val="0"/>
              <w:spacing w:line="300" w:lineRule="auto"/>
              <w:rPr>
                <w:kern w:val="0"/>
                <w:sz w:val="18"/>
                <w:szCs w:val="18"/>
              </w:rPr>
            </w:pPr>
            <w:r>
              <w:rPr>
                <w:kern w:val="0"/>
                <w:sz w:val="18"/>
                <w:szCs w:val="18"/>
              </w:rPr>
              <w:t>必开</w:t>
            </w:r>
          </w:p>
        </w:tc>
        <w:tc>
          <w:tcPr>
            <w:tcW w:w="674" w:type="dxa"/>
            <w:vAlign w:val="center"/>
          </w:tcPr>
          <w:p>
            <w:pPr>
              <w:snapToGrid w:val="0"/>
              <w:spacing w:line="300" w:lineRule="auto"/>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8" w:type="dxa"/>
            <w:vAlign w:val="center"/>
          </w:tcPr>
          <w:p>
            <w:pPr>
              <w:snapToGrid w:val="0"/>
              <w:spacing w:line="300" w:lineRule="auto"/>
              <w:jc w:val="center"/>
              <w:rPr>
                <w:kern w:val="0"/>
                <w:sz w:val="18"/>
                <w:szCs w:val="18"/>
              </w:rPr>
            </w:pPr>
            <w:r>
              <w:rPr>
                <w:kern w:val="0"/>
                <w:sz w:val="18"/>
                <w:szCs w:val="18"/>
              </w:rPr>
              <w:t>2</w:t>
            </w:r>
          </w:p>
        </w:tc>
        <w:tc>
          <w:tcPr>
            <w:tcW w:w="1742" w:type="dxa"/>
            <w:vAlign w:val="center"/>
          </w:tcPr>
          <w:p>
            <w:pPr>
              <w:snapToGrid w:val="0"/>
              <w:spacing w:line="300" w:lineRule="auto"/>
              <w:rPr>
                <w:kern w:val="0"/>
                <w:sz w:val="18"/>
                <w:szCs w:val="18"/>
              </w:rPr>
            </w:pPr>
            <w:r>
              <w:rPr>
                <w:kern w:val="0"/>
                <w:sz w:val="18"/>
                <w:szCs w:val="18"/>
              </w:rPr>
              <w:t>移动端开发框架</w:t>
            </w:r>
          </w:p>
        </w:tc>
        <w:tc>
          <w:tcPr>
            <w:tcW w:w="3016" w:type="dxa"/>
            <w:vAlign w:val="center"/>
          </w:tcPr>
          <w:p>
            <w:pPr>
              <w:snapToGrid w:val="0"/>
              <w:spacing w:line="300" w:lineRule="auto"/>
              <w:rPr>
                <w:kern w:val="0"/>
                <w:sz w:val="18"/>
                <w:szCs w:val="18"/>
              </w:rPr>
            </w:pPr>
            <w:r>
              <w:rPr>
                <w:kern w:val="0"/>
                <w:sz w:val="18"/>
                <w:szCs w:val="18"/>
              </w:rPr>
              <w:t>移动端开发框架的搭建</w:t>
            </w:r>
          </w:p>
        </w:tc>
        <w:tc>
          <w:tcPr>
            <w:tcW w:w="606" w:type="dxa"/>
            <w:vAlign w:val="center"/>
          </w:tcPr>
          <w:p>
            <w:pPr>
              <w:snapToGrid w:val="0"/>
              <w:spacing w:line="300" w:lineRule="auto"/>
              <w:jc w:val="center"/>
              <w:rPr>
                <w:kern w:val="0"/>
                <w:sz w:val="18"/>
                <w:szCs w:val="18"/>
              </w:rPr>
            </w:pPr>
            <w:r>
              <w:rPr>
                <w:kern w:val="0"/>
                <w:sz w:val="18"/>
                <w:szCs w:val="18"/>
              </w:rPr>
              <w:t>2</w:t>
            </w:r>
          </w:p>
        </w:tc>
        <w:tc>
          <w:tcPr>
            <w:tcW w:w="696" w:type="dxa"/>
            <w:vAlign w:val="center"/>
          </w:tcPr>
          <w:p>
            <w:pPr>
              <w:snapToGrid w:val="0"/>
              <w:spacing w:line="300" w:lineRule="auto"/>
              <w:rPr>
                <w:kern w:val="0"/>
                <w:sz w:val="18"/>
                <w:szCs w:val="18"/>
              </w:rPr>
            </w:pPr>
            <w:r>
              <w:rPr>
                <w:kern w:val="0"/>
                <w:sz w:val="18"/>
                <w:szCs w:val="18"/>
              </w:rPr>
              <w:t>验证</w:t>
            </w:r>
          </w:p>
        </w:tc>
        <w:tc>
          <w:tcPr>
            <w:tcW w:w="696" w:type="dxa"/>
            <w:vAlign w:val="center"/>
          </w:tcPr>
          <w:p>
            <w:pPr>
              <w:snapToGrid w:val="0"/>
              <w:spacing w:line="300" w:lineRule="auto"/>
              <w:jc w:val="center"/>
              <w:rPr>
                <w:kern w:val="0"/>
                <w:sz w:val="18"/>
                <w:szCs w:val="18"/>
              </w:rPr>
            </w:pPr>
            <w:r>
              <w:rPr>
                <w:kern w:val="0"/>
                <w:sz w:val="18"/>
                <w:szCs w:val="18"/>
              </w:rPr>
              <w:t>2</w:t>
            </w:r>
          </w:p>
        </w:tc>
        <w:tc>
          <w:tcPr>
            <w:tcW w:w="623" w:type="dxa"/>
            <w:vAlign w:val="center"/>
          </w:tcPr>
          <w:p>
            <w:pPr>
              <w:snapToGrid w:val="0"/>
              <w:spacing w:line="300" w:lineRule="auto"/>
              <w:rPr>
                <w:kern w:val="0"/>
                <w:sz w:val="18"/>
                <w:szCs w:val="18"/>
              </w:rPr>
            </w:pPr>
            <w:r>
              <w:rPr>
                <w:kern w:val="0"/>
                <w:sz w:val="18"/>
                <w:szCs w:val="18"/>
              </w:rPr>
              <w:t>必开</w:t>
            </w:r>
          </w:p>
        </w:tc>
        <w:tc>
          <w:tcPr>
            <w:tcW w:w="674" w:type="dxa"/>
            <w:vAlign w:val="center"/>
          </w:tcPr>
          <w:p>
            <w:pPr>
              <w:snapToGrid w:val="0"/>
              <w:spacing w:line="300" w:lineRule="auto"/>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28" w:type="dxa"/>
            <w:vAlign w:val="center"/>
          </w:tcPr>
          <w:p>
            <w:pPr>
              <w:snapToGrid w:val="0"/>
              <w:spacing w:line="300" w:lineRule="auto"/>
              <w:jc w:val="center"/>
              <w:rPr>
                <w:kern w:val="0"/>
                <w:sz w:val="18"/>
                <w:szCs w:val="18"/>
              </w:rPr>
            </w:pPr>
            <w:r>
              <w:rPr>
                <w:kern w:val="0"/>
                <w:sz w:val="18"/>
                <w:szCs w:val="18"/>
              </w:rPr>
              <w:t>3</w:t>
            </w:r>
          </w:p>
        </w:tc>
        <w:tc>
          <w:tcPr>
            <w:tcW w:w="1742" w:type="dxa"/>
            <w:vAlign w:val="center"/>
          </w:tcPr>
          <w:p>
            <w:pPr>
              <w:snapToGrid w:val="0"/>
              <w:spacing w:line="300" w:lineRule="auto"/>
              <w:rPr>
                <w:kern w:val="0"/>
                <w:sz w:val="18"/>
                <w:szCs w:val="18"/>
              </w:rPr>
            </w:pPr>
            <w:r>
              <w:rPr>
                <w:kern w:val="0"/>
                <w:sz w:val="18"/>
                <w:szCs w:val="18"/>
              </w:rPr>
              <w:t>移动端APP的开发</w:t>
            </w:r>
          </w:p>
        </w:tc>
        <w:tc>
          <w:tcPr>
            <w:tcW w:w="3016" w:type="dxa"/>
            <w:vAlign w:val="center"/>
          </w:tcPr>
          <w:p>
            <w:pPr>
              <w:snapToGrid w:val="0"/>
              <w:spacing w:line="300" w:lineRule="auto"/>
              <w:rPr>
                <w:kern w:val="0"/>
                <w:sz w:val="18"/>
                <w:szCs w:val="18"/>
              </w:rPr>
            </w:pPr>
            <w:r>
              <w:rPr>
                <w:kern w:val="0"/>
                <w:sz w:val="18"/>
                <w:szCs w:val="18"/>
              </w:rPr>
              <w:t>基于移动开发框架的APP程序设计</w:t>
            </w:r>
          </w:p>
        </w:tc>
        <w:tc>
          <w:tcPr>
            <w:tcW w:w="606" w:type="dxa"/>
            <w:vAlign w:val="center"/>
          </w:tcPr>
          <w:p>
            <w:pPr>
              <w:snapToGrid w:val="0"/>
              <w:spacing w:line="300" w:lineRule="auto"/>
              <w:jc w:val="center"/>
              <w:rPr>
                <w:kern w:val="0"/>
                <w:sz w:val="18"/>
                <w:szCs w:val="18"/>
              </w:rPr>
            </w:pPr>
            <w:r>
              <w:rPr>
                <w:kern w:val="0"/>
                <w:sz w:val="18"/>
                <w:szCs w:val="18"/>
              </w:rPr>
              <w:t>2</w:t>
            </w:r>
          </w:p>
        </w:tc>
        <w:tc>
          <w:tcPr>
            <w:tcW w:w="696" w:type="dxa"/>
            <w:vAlign w:val="center"/>
          </w:tcPr>
          <w:p>
            <w:pPr>
              <w:snapToGrid w:val="0"/>
              <w:spacing w:line="300" w:lineRule="auto"/>
              <w:rPr>
                <w:kern w:val="0"/>
                <w:sz w:val="18"/>
                <w:szCs w:val="18"/>
              </w:rPr>
            </w:pPr>
            <w:r>
              <w:rPr>
                <w:kern w:val="0"/>
                <w:sz w:val="18"/>
                <w:szCs w:val="18"/>
              </w:rPr>
              <w:t>设计</w:t>
            </w:r>
          </w:p>
        </w:tc>
        <w:tc>
          <w:tcPr>
            <w:tcW w:w="696" w:type="dxa"/>
            <w:vAlign w:val="center"/>
          </w:tcPr>
          <w:p>
            <w:pPr>
              <w:snapToGrid w:val="0"/>
              <w:spacing w:line="300" w:lineRule="auto"/>
              <w:jc w:val="center"/>
              <w:rPr>
                <w:kern w:val="0"/>
                <w:sz w:val="18"/>
                <w:szCs w:val="18"/>
              </w:rPr>
            </w:pPr>
            <w:r>
              <w:rPr>
                <w:kern w:val="0"/>
                <w:sz w:val="18"/>
                <w:szCs w:val="18"/>
              </w:rPr>
              <w:t>2</w:t>
            </w:r>
          </w:p>
        </w:tc>
        <w:tc>
          <w:tcPr>
            <w:tcW w:w="623" w:type="dxa"/>
            <w:vAlign w:val="center"/>
          </w:tcPr>
          <w:p>
            <w:pPr>
              <w:snapToGrid w:val="0"/>
              <w:spacing w:line="300" w:lineRule="auto"/>
              <w:rPr>
                <w:kern w:val="0"/>
                <w:sz w:val="18"/>
                <w:szCs w:val="18"/>
              </w:rPr>
            </w:pPr>
            <w:r>
              <w:rPr>
                <w:kern w:val="0"/>
                <w:sz w:val="18"/>
                <w:szCs w:val="18"/>
              </w:rPr>
              <w:t>必开</w:t>
            </w:r>
          </w:p>
        </w:tc>
        <w:tc>
          <w:tcPr>
            <w:tcW w:w="674" w:type="dxa"/>
            <w:vAlign w:val="center"/>
          </w:tcPr>
          <w:p>
            <w:pPr>
              <w:snapToGrid w:val="0"/>
              <w:spacing w:line="300" w:lineRule="auto"/>
              <w:rPr>
                <w:kern w:val="0"/>
                <w:sz w:val="18"/>
                <w:szCs w:val="18"/>
              </w:rPr>
            </w:pPr>
            <w:r>
              <w:rPr>
                <w:kern w:val="0"/>
                <w:sz w:val="18"/>
                <w:szCs w:val="18"/>
              </w:rPr>
              <w:t>2，3</w:t>
            </w:r>
          </w:p>
        </w:tc>
      </w:tr>
    </w:tbl>
    <w:p>
      <w:pPr>
        <w:snapToGrid w:val="0"/>
        <w:spacing w:before="156" w:beforeLines="50" w:after="156" w:afterLines="50" w:line="300" w:lineRule="auto"/>
        <w:rPr>
          <w:b/>
          <w:sz w:val="24"/>
        </w:rPr>
      </w:pPr>
      <w:r>
        <w:rPr>
          <w:b/>
          <w:sz w:val="24"/>
        </w:rPr>
        <w:t>五、课程考核及成绩评定</w:t>
      </w:r>
    </w:p>
    <w:p>
      <w:pPr>
        <w:widowControl/>
        <w:adjustRightInd w:val="0"/>
        <w:snapToGrid w:val="0"/>
        <w:spacing w:line="300" w:lineRule="auto"/>
        <w:ind w:firstLine="420" w:firstLineChars="200"/>
        <w:rPr>
          <w:szCs w:val="21"/>
        </w:rPr>
      </w:pPr>
      <w:r>
        <w:rPr>
          <w:szCs w:val="21"/>
        </w:rPr>
        <w:t>1．考核方式：开卷笔试、平时测验及作业，实验报告。</w:t>
      </w:r>
    </w:p>
    <w:p>
      <w:pPr>
        <w:widowControl/>
        <w:adjustRightInd w:val="0"/>
        <w:snapToGrid w:val="0"/>
        <w:spacing w:line="300" w:lineRule="auto"/>
        <w:ind w:firstLine="420" w:firstLineChars="200"/>
        <w:rPr>
          <w:szCs w:val="21"/>
        </w:rPr>
      </w:pPr>
      <w:r>
        <w:rPr>
          <w:szCs w:val="21"/>
        </w:rPr>
        <w:t>2．成绩构成：开卷笔试成绩50%，平时成绩20%（课后作业、课堂表现、随堂测验、口头报告等），实验成绩30%。</w:t>
      </w:r>
    </w:p>
    <w:p>
      <w:pPr>
        <w:widowControl/>
        <w:adjustRightInd w:val="0"/>
        <w:snapToGrid w:val="0"/>
        <w:spacing w:line="300" w:lineRule="auto"/>
        <w:ind w:firstLine="420" w:firstLineChars="200"/>
        <w:rPr>
          <w:szCs w:val="21"/>
        </w:rPr>
      </w:pPr>
      <w:r>
        <w:rPr>
          <w:szCs w:val="21"/>
        </w:rPr>
        <w:t>3．考核评价标准见表5所示。</w:t>
      </w:r>
    </w:p>
    <w:p>
      <w:pPr>
        <w:snapToGrid w:val="0"/>
        <w:spacing w:before="156" w:beforeLines="50" w:line="300" w:lineRule="auto"/>
        <w:jc w:val="center"/>
        <w:rPr>
          <w:b/>
          <w:bCs/>
          <w:sz w:val="18"/>
          <w:szCs w:val="18"/>
        </w:rPr>
      </w:pPr>
      <w:r>
        <w:rPr>
          <w:b/>
          <w:bCs/>
          <w:sz w:val="18"/>
          <w:szCs w:val="18"/>
        </w:rPr>
        <w:t>表5教学目标评价标准</w:t>
      </w:r>
    </w:p>
    <w:tbl>
      <w:tblPr>
        <w:tblStyle w:val="22"/>
        <w:tblW w:w="868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49"/>
        <w:gridCol w:w="749"/>
        <w:gridCol w:w="729"/>
        <w:gridCol w:w="616"/>
        <w:gridCol w:w="403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749"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749" w:type="dxa"/>
            <w:vAlign w:val="center"/>
          </w:tcPr>
          <w:p>
            <w:pPr>
              <w:snapToGrid w:val="0"/>
              <w:spacing w:line="300" w:lineRule="auto"/>
              <w:jc w:val="center"/>
              <w:rPr>
                <w:b/>
                <w:bCs/>
                <w:sz w:val="18"/>
                <w:szCs w:val="18"/>
              </w:rPr>
            </w:pPr>
            <w:r>
              <w:rPr>
                <w:b/>
                <w:bCs/>
                <w:sz w:val="18"/>
                <w:szCs w:val="18"/>
              </w:rPr>
              <w:t>分值</w:t>
            </w:r>
          </w:p>
        </w:tc>
        <w:tc>
          <w:tcPr>
            <w:tcW w:w="749" w:type="dxa"/>
            <w:vAlign w:val="center"/>
          </w:tcPr>
          <w:p>
            <w:pPr>
              <w:snapToGrid w:val="0"/>
              <w:spacing w:line="300" w:lineRule="auto"/>
              <w:jc w:val="center"/>
              <w:rPr>
                <w:b/>
                <w:bCs/>
                <w:sz w:val="18"/>
                <w:szCs w:val="18"/>
              </w:rPr>
            </w:pPr>
            <w:r>
              <w:rPr>
                <w:b/>
                <w:bCs/>
                <w:sz w:val="18"/>
                <w:szCs w:val="18"/>
              </w:rPr>
              <w:t>权重</w:t>
            </w:r>
          </w:p>
        </w:tc>
        <w:tc>
          <w:tcPr>
            <w:tcW w:w="729" w:type="dxa"/>
            <w:vAlign w:val="center"/>
          </w:tcPr>
          <w:p>
            <w:pPr>
              <w:snapToGrid w:val="0"/>
              <w:spacing w:line="300" w:lineRule="auto"/>
              <w:jc w:val="center"/>
              <w:rPr>
                <w:b/>
                <w:bCs/>
                <w:sz w:val="18"/>
                <w:szCs w:val="18"/>
              </w:rPr>
            </w:pPr>
            <w:r>
              <w:rPr>
                <w:b/>
                <w:bCs/>
                <w:sz w:val="18"/>
                <w:szCs w:val="18"/>
              </w:rPr>
              <w:t>类别</w:t>
            </w:r>
          </w:p>
        </w:tc>
        <w:tc>
          <w:tcPr>
            <w:tcW w:w="616" w:type="dxa"/>
            <w:vAlign w:val="center"/>
          </w:tcPr>
          <w:p>
            <w:pPr>
              <w:snapToGrid w:val="0"/>
              <w:spacing w:line="300" w:lineRule="auto"/>
              <w:jc w:val="center"/>
              <w:rPr>
                <w:b/>
                <w:bCs/>
                <w:sz w:val="18"/>
                <w:szCs w:val="18"/>
              </w:rPr>
            </w:pPr>
            <w:r>
              <w:rPr>
                <w:b/>
                <w:bCs/>
                <w:sz w:val="18"/>
                <w:szCs w:val="18"/>
              </w:rPr>
              <w:t>权重</w:t>
            </w:r>
          </w:p>
        </w:tc>
        <w:tc>
          <w:tcPr>
            <w:tcW w:w="4037" w:type="dxa"/>
            <w:vAlign w:val="center"/>
          </w:tcPr>
          <w:p>
            <w:pPr>
              <w:snapToGrid w:val="0"/>
              <w:spacing w:line="300" w:lineRule="auto"/>
              <w:jc w:val="center"/>
              <w:rPr>
                <w:b/>
                <w:bCs/>
                <w:sz w:val="18"/>
                <w:szCs w:val="18"/>
              </w:rPr>
            </w:pPr>
            <w:r>
              <w:rPr>
                <w:b/>
                <w:bCs/>
                <w:sz w:val="18"/>
                <w:szCs w:val="18"/>
              </w:rPr>
              <w:t>考核/评价细则</w:t>
            </w:r>
          </w:p>
        </w:tc>
        <w:tc>
          <w:tcPr>
            <w:tcW w:w="1052" w:type="dxa"/>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9" w:type="dxa"/>
            <w:vMerge w:val="restart"/>
            <w:vAlign w:val="center"/>
          </w:tcPr>
          <w:p>
            <w:pPr>
              <w:snapToGrid w:val="0"/>
              <w:spacing w:line="300" w:lineRule="auto"/>
              <w:rPr>
                <w:sz w:val="18"/>
                <w:szCs w:val="18"/>
              </w:rPr>
            </w:pPr>
            <w:r>
              <w:rPr>
                <w:sz w:val="18"/>
                <w:szCs w:val="18"/>
              </w:rPr>
              <w:t>平时</w:t>
            </w:r>
          </w:p>
          <w:p>
            <w:pPr>
              <w:snapToGrid w:val="0"/>
              <w:spacing w:line="300" w:lineRule="auto"/>
              <w:rPr>
                <w:sz w:val="18"/>
                <w:szCs w:val="18"/>
              </w:rPr>
            </w:pPr>
            <w:r>
              <w:rPr>
                <w:sz w:val="18"/>
                <w:szCs w:val="18"/>
              </w:rPr>
              <w:t>成绩</w:t>
            </w:r>
          </w:p>
        </w:tc>
        <w:tc>
          <w:tcPr>
            <w:tcW w:w="749" w:type="dxa"/>
            <w:vMerge w:val="restart"/>
            <w:vAlign w:val="center"/>
          </w:tcPr>
          <w:p>
            <w:pPr>
              <w:snapToGrid w:val="0"/>
              <w:spacing w:line="300" w:lineRule="auto"/>
              <w:jc w:val="center"/>
              <w:rPr>
                <w:sz w:val="18"/>
                <w:szCs w:val="18"/>
              </w:rPr>
            </w:pPr>
            <w:r>
              <w:rPr>
                <w:sz w:val="18"/>
                <w:szCs w:val="18"/>
              </w:rPr>
              <w:t>100</w:t>
            </w:r>
          </w:p>
        </w:tc>
        <w:tc>
          <w:tcPr>
            <w:tcW w:w="749" w:type="dxa"/>
            <w:vMerge w:val="restart"/>
            <w:vAlign w:val="center"/>
          </w:tcPr>
          <w:p>
            <w:pPr>
              <w:snapToGrid w:val="0"/>
              <w:spacing w:line="300" w:lineRule="auto"/>
              <w:jc w:val="center"/>
              <w:rPr>
                <w:sz w:val="18"/>
                <w:szCs w:val="18"/>
              </w:rPr>
            </w:pPr>
            <w:r>
              <w:rPr>
                <w:sz w:val="18"/>
                <w:szCs w:val="18"/>
              </w:rPr>
              <w:t>0.3</w:t>
            </w:r>
          </w:p>
        </w:tc>
        <w:tc>
          <w:tcPr>
            <w:tcW w:w="729" w:type="dxa"/>
            <w:vAlign w:val="center"/>
          </w:tcPr>
          <w:p>
            <w:pPr>
              <w:snapToGrid w:val="0"/>
              <w:spacing w:line="300" w:lineRule="auto"/>
              <w:jc w:val="center"/>
              <w:rPr>
                <w:sz w:val="18"/>
                <w:szCs w:val="18"/>
              </w:rPr>
            </w:pPr>
            <w:r>
              <w:rPr>
                <w:sz w:val="18"/>
                <w:szCs w:val="18"/>
              </w:rPr>
              <w:t>课堂表现</w:t>
            </w:r>
          </w:p>
        </w:tc>
        <w:tc>
          <w:tcPr>
            <w:tcW w:w="616" w:type="dxa"/>
            <w:vAlign w:val="center"/>
          </w:tcPr>
          <w:p>
            <w:pPr>
              <w:snapToGrid w:val="0"/>
              <w:spacing w:line="300" w:lineRule="auto"/>
              <w:jc w:val="center"/>
              <w:rPr>
                <w:sz w:val="18"/>
                <w:szCs w:val="18"/>
              </w:rPr>
            </w:pPr>
            <w:r>
              <w:rPr>
                <w:sz w:val="18"/>
                <w:szCs w:val="18"/>
              </w:rPr>
              <w:t>0.1</w:t>
            </w:r>
          </w:p>
        </w:tc>
        <w:tc>
          <w:tcPr>
            <w:tcW w:w="4037" w:type="dxa"/>
            <w:vAlign w:val="center"/>
          </w:tcPr>
          <w:p>
            <w:pPr>
              <w:snapToGrid w:val="0"/>
              <w:spacing w:line="300" w:lineRule="auto"/>
              <w:rPr>
                <w:sz w:val="18"/>
                <w:szCs w:val="18"/>
              </w:rPr>
            </w:pPr>
            <w:r>
              <w:rPr>
                <w:sz w:val="18"/>
                <w:szCs w:val="18"/>
              </w:rPr>
              <w:t>根据学生课堂表现打分，满分100。</w:t>
            </w:r>
          </w:p>
        </w:tc>
        <w:tc>
          <w:tcPr>
            <w:tcW w:w="1052" w:type="dxa"/>
            <w:vAlign w:val="center"/>
          </w:tcPr>
          <w:p>
            <w:pPr>
              <w:snapToGrid w:val="0"/>
              <w:spacing w:line="300" w:lineRule="auto"/>
              <w:jc w:val="left"/>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作业</w:t>
            </w:r>
          </w:p>
        </w:tc>
        <w:tc>
          <w:tcPr>
            <w:tcW w:w="616" w:type="dxa"/>
            <w:vAlign w:val="center"/>
          </w:tcPr>
          <w:p>
            <w:pPr>
              <w:snapToGrid w:val="0"/>
              <w:spacing w:line="300" w:lineRule="auto"/>
              <w:jc w:val="center"/>
              <w:rPr>
                <w:sz w:val="18"/>
                <w:szCs w:val="18"/>
              </w:rPr>
            </w:pPr>
            <w:r>
              <w:rPr>
                <w:sz w:val="18"/>
                <w:szCs w:val="18"/>
              </w:rPr>
              <w:t>0.3</w:t>
            </w:r>
          </w:p>
        </w:tc>
        <w:tc>
          <w:tcPr>
            <w:tcW w:w="4037"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1052" w:type="dxa"/>
            <w:vAlign w:val="center"/>
          </w:tcPr>
          <w:p>
            <w:pPr>
              <w:snapToGrid w:val="0"/>
              <w:spacing w:line="300" w:lineRule="auto"/>
              <w:jc w:val="left"/>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实验</w:t>
            </w:r>
          </w:p>
        </w:tc>
        <w:tc>
          <w:tcPr>
            <w:tcW w:w="616" w:type="dxa"/>
            <w:vAlign w:val="center"/>
          </w:tcPr>
          <w:p>
            <w:pPr>
              <w:snapToGrid w:val="0"/>
              <w:spacing w:line="300" w:lineRule="auto"/>
              <w:jc w:val="center"/>
              <w:rPr>
                <w:sz w:val="18"/>
                <w:szCs w:val="18"/>
              </w:rPr>
            </w:pPr>
            <w:r>
              <w:rPr>
                <w:sz w:val="18"/>
                <w:szCs w:val="18"/>
              </w:rPr>
              <w:t>0.3</w:t>
            </w:r>
          </w:p>
        </w:tc>
        <w:tc>
          <w:tcPr>
            <w:tcW w:w="4037"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1052" w:type="dxa"/>
            <w:vAlign w:val="center"/>
          </w:tcPr>
          <w:p>
            <w:pPr>
              <w:snapToGrid w:val="0"/>
              <w:spacing w:line="300" w:lineRule="auto"/>
              <w:jc w:val="left"/>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right"/>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平时测验</w:t>
            </w:r>
          </w:p>
        </w:tc>
        <w:tc>
          <w:tcPr>
            <w:tcW w:w="616" w:type="dxa"/>
            <w:vAlign w:val="center"/>
          </w:tcPr>
          <w:p>
            <w:pPr>
              <w:snapToGrid w:val="0"/>
              <w:spacing w:line="300" w:lineRule="auto"/>
              <w:jc w:val="center"/>
              <w:rPr>
                <w:sz w:val="18"/>
                <w:szCs w:val="18"/>
              </w:rPr>
            </w:pPr>
            <w:r>
              <w:rPr>
                <w:sz w:val="18"/>
                <w:szCs w:val="18"/>
              </w:rPr>
              <w:t>0.2</w:t>
            </w:r>
          </w:p>
        </w:tc>
        <w:tc>
          <w:tcPr>
            <w:tcW w:w="4037" w:type="dxa"/>
            <w:vAlign w:val="center"/>
          </w:tcPr>
          <w:p>
            <w:pPr>
              <w:snapToGrid w:val="0"/>
              <w:spacing w:line="300" w:lineRule="auto"/>
              <w:jc w:val="left"/>
              <w:rPr>
                <w:sz w:val="18"/>
                <w:szCs w:val="18"/>
              </w:rPr>
            </w:pPr>
            <w:r>
              <w:rPr>
                <w:sz w:val="18"/>
                <w:szCs w:val="18"/>
              </w:rPr>
              <w:t>做两三次平时测验，每次满分100分。</w:t>
            </w:r>
          </w:p>
        </w:tc>
        <w:tc>
          <w:tcPr>
            <w:tcW w:w="1052" w:type="dxa"/>
            <w:vAlign w:val="center"/>
          </w:tcPr>
          <w:p>
            <w:pPr>
              <w:snapToGrid w:val="0"/>
              <w:spacing w:line="300" w:lineRule="auto"/>
              <w:jc w:val="left"/>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right"/>
        </w:trPr>
        <w:tc>
          <w:tcPr>
            <w:tcW w:w="749" w:type="dxa"/>
            <w:vMerge w:val="continue"/>
            <w:vAlign w:val="center"/>
          </w:tcPr>
          <w:p>
            <w:pPr>
              <w:snapToGrid w:val="0"/>
              <w:spacing w:line="300" w:lineRule="auto"/>
              <w:rPr>
                <w:sz w:val="18"/>
                <w:szCs w:val="18"/>
              </w:rPr>
            </w:pPr>
          </w:p>
        </w:tc>
        <w:tc>
          <w:tcPr>
            <w:tcW w:w="749" w:type="dxa"/>
            <w:vMerge w:val="continue"/>
            <w:vAlign w:val="center"/>
          </w:tcPr>
          <w:p>
            <w:pPr>
              <w:snapToGrid w:val="0"/>
              <w:spacing w:line="300" w:lineRule="auto"/>
              <w:jc w:val="center"/>
              <w:rPr>
                <w:sz w:val="18"/>
                <w:szCs w:val="18"/>
              </w:rPr>
            </w:pPr>
          </w:p>
        </w:tc>
        <w:tc>
          <w:tcPr>
            <w:tcW w:w="749"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项目研究</w:t>
            </w:r>
          </w:p>
        </w:tc>
        <w:tc>
          <w:tcPr>
            <w:tcW w:w="616" w:type="dxa"/>
            <w:vAlign w:val="center"/>
          </w:tcPr>
          <w:p>
            <w:pPr>
              <w:snapToGrid w:val="0"/>
              <w:spacing w:line="300" w:lineRule="auto"/>
              <w:jc w:val="center"/>
              <w:rPr>
                <w:sz w:val="18"/>
                <w:szCs w:val="18"/>
              </w:rPr>
            </w:pPr>
            <w:r>
              <w:rPr>
                <w:sz w:val="18"/>
                <w:szCs w:val="18"/>
              </w:rPr>
              <w:t>0.1</w:t>
            </w:r>
          </w:p>
        </w:tc>
        <w:tc>
          <w:tcPr>
            <w:tcW w:w="4037" w:type="dxa"/>
            <w:vAlign w:val="center"/>
          </w:tcPr>
          <w:p>
            <w:pPr>
              <w:snapToGrid w:val="0"/>
              <w:spacing w:line="300" w:lineRule="auto"/>
              <w:jc w:val="left"/>
              <w:rPr>
                <w:sz w:val="18"/>
                <w:szCs w:val="18"/>
              </w:rPr>
            </w:pPr>
            <w:r>
              <w:rPr>
                <w:sz w:val="18"/>
                <w:szCs w:val="18"/>
              </w:rPr>
              <w:t>以小组为单位选题，并撰写报告，设计PPT，最高分100分。</w:t>
            </w:r>
          </w:p>
        </w:tc>
        <w:tc>
          <w:tcPr>
            <w:tcW w:w="1052" w:type="dxa"/>
            <w:vAlign w:val="center"/>
          </w:tcPr>
          <w:p>
            <w:pPr>
              <w:snapToGrid w:val="0"/>
              <w:spacing w:line="300" w:lineRule="auto"/>
              <w:jc w:val="left"/>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right"/>
        </w:trPr>
        <w:tc>
          <w:tcPr>
            <w:tcW w:w="749" w:type="dxa"/>
            <w:vAlign w:val="center"/>
          </w:tcPr>
          <w:p>
            <w:pPr>
              <w:snapToGrid w:val="0"/>
              <w:spacing w:line="300" w:lineRule="auto"/>
              <w:jc w:val="left"/>
              <w:rPr>
                <w:sz w:val="18"/>
                <w:szCs w:val="18"/>
              </w:rPr>
            </w:pPr>
            <w:r>
              <w:rPr>
                <w:sz w:val="18"/>
                <w:szCs w:val="18"/>
              </w:rPr>
              <w:t>期末考试成绩</w:t>
            </w:r>
          </w:p>
        </w:tc>
        <w:tc>
          <w:tcPr>
            <w:tcW w:w="749" w:type="dxa"/>
            <w:vAlign w:val="center"/>
          </w:tcPr>
          <w:p>
            <w:pPr>
              <w:snapToGrid w:val="0"/>
              <w:spacing w:line="300" w:lineRule="auto"/>
              <w:jc w:val="center"/>
              <w:rPr>
                <w:sz w:val="18"/>
                <w:szCs w:val="18"/>
              </w:rPr>
            </w:pPr>
            <w:r>
              <w:rPr>
                <w:sz w:val="18"/>
                <w:szCs w:val="18"/>
              </w:rPr>
              <w:t>100</w:t>
            </w:r>
          </w:p>
        </w:tc>
        <w:tc>
          <w:tcPr>
            <w:tcW w:w="749" w:type="dxa"/>
            <w:vAlign w:val="center"/>
          </w:tcPr>
          <w:p>
            <w:pPr>
              <w:snapToGrid w:val="0"/>
              <w:spacing w:line="300" w:lineRule="auto"/>
              <w:jc w:val="center"/>
              <w:rPr>
                <w:sz w:val="18"/>
                <w:szCs w:val="18"/>
              </w:rPr>
            </w:pPr>
            <w:r>
              <w:rPr>
                <w:sz w:val="18"/>
                <w:szCs w:val="18"/>
              </w:rPr>
              <w:t>0.7</w:t>
            </w:r>
          </w:p>
        </w:tc>
        <w:tc>
          <w:tcPr>
            <w:tcW w:w="729" w:type="dxa"/>
            <w:vAlign w:val="center"/>
          </w:tcPr>
          <w:p>
            <w:pPr>
              <w:snapToGrid w:val="0"/>
              <w:spacing w:line="300" w:lineRule="auto"/>
              <w:jc w:val="left"/>
              <w:rPr>
                <w:sz w:val="18"/>
                <w:szCs w:val="18"/>
              </w:rPr>
            </w:pPr>
            <w:r>
              <w:rPr>
                <w:sz w:val="18"/>
                <w:szCs w:val="18"/>
              </w:rPr>
              <w:t>闭卷考试</w:t>
            </w:r>
          </w:p>
        </w:tc>
        <w:tc>
          <w:tcPr>
            <w:tcW w:w="616" w:type="dxa"/>
            <w:vAlign w:val="center"/>
          </w:tcPr>
          <w:p>
            <w:pPr>
              <w:snapToGrid w:val="0"/>
              <w:spacing w:line="300" w:lineRule="auto"/>
              <w:jc w:val="center"/>
              <w:rPr>
                <w:sz w:val="18"/>
                <w:szCs w:val="18"/>
              </w:rPr>
            </w:pPr>
            <w:r>
              <w:rPr>
                <w:sz w:val="18"/>
                <w:szCs w:val="18"/>
              </w:rPr>
              <w:t>1</w:t>
            </w:r>
          </w:p>
        </w:tc>
        <w:tc>
          <w:tcPr>
            <w:tcW w:w="4037" w:type="dxa"/>
            <w:vAlign w:val="center"/>
          </w:tcPr>
          <w:p>
            <w:pPr>
              <w:snapToGrid w:val="0"/>
              <w:spacing w:line="300" w:lineRule="auto"/>
              <w:rPr>
                <w:sz w:val="18"/>
                <w:szCs w:val="18"/>
              </w:rPr>
            </w:pPr>
            <w:r>
              <w:rPr>
                <w:sz w:val="18"/>
                <w:szCs w:val="18"/>
              </w:rPr>
              <w:t>(1)卷面成绩100分。卷面成绩按比例计入课程总评成绩。</w:t>
            </w:r>
          </w:p>
          <w:p>
            <w:pPr>
              <w:snapToGrid w:val="0"/>
              <w:spacing w:line="300" w:lineRule="auto"/>
              <w:rPr>
                <w:sz w:val="18"/>
                <w:szCs w:val="18"/>
              </w:rPr>
            </w:pPr>
            <w:r>
              <w:rPr>
                <w:sz w:val="18"/>
                <w:szCs w:val="18"/>
              </w:rPr>
              <w:t>(2)考核内容包括： 第1-12章，第16章。</w:t>
            </w:r>
          </w:p>
          <w:p>
            <w:pPr>
              <w:snapToGrid w:val="0"/>
              <w:spacing w:line="300" w:lineRule="auto"/>
              <w:rPr>
                <w:sz w:val="18"/>
                <w:szCs w:val="18"/>
              </w:rPr>
            </w:pPr>
            <w:r>
              <w:rPr>
                <w:sz w:val="18"/>
                <w:szCs w:val="18"/>
              </w:rPr>
              <w:t>(3)建议考试题型包括：选择题、填空题、分析判断、综合计算题、证明题等其中某几种题型。</w:t>
            </w:r>
          </w:p>
        </w:tc>
        <w:tc>
          <w:tcPr>
            <w:tcW w:w="1052" w:type="dxa"/>
            <w:vAlign w:val="center"/>
          </w:tcPr>
          <w:p>
            <w:pPr>
              <w:snapToGrid w:val="0"/>
              <w:spacing w:line="300" w:lineRule="auto"/>
              <w:jc w:val="left"/>
              <w:rPr>
                <w:sz w:val="18"/>
                <w:szCs w:val="18"/>
              </w:rPr>
            </w:pPr>
            <w:r>
              <w:rPr>
                <w:sz w:val="18"/>
                <w:szCs w:val="18"/>
              </w:rPr>
              <w:t>1，2，3</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63"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63" DrawAspect="Content" ObjectID="_1468075861" r:id="rId184">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164"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64" DrawAspect="Content" ObjectID="_1468075862" r:id="rId185">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3"/>
        <w:gridCol w:w="2013"/>
        <w:gridCol w:w="2381"/>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03" w:type="dxa"/>
            <w:vAlign w:val="center"/>
          </w:tcPr>
          <w:p>
            <w:pPr>
              <w:snapToGrid w:val="0"/>
              <w:spacing w:line="300" w:lineRule="auto"/>
              <w:jc w:val="center"/>
              <w:rPr>
                <w:b/>
                <w:bCs/>
                <w:sz w:val="18"/>
                <w:szCs w:val="18"/>
              </w:rPr>
            </w:pPr>
            <w:r>
              <w:rPr>
                <w:b/>
                <w:bCs/>
                <w:sz w:val="18"/>
                <w:szCs w:val="18"/>
              </w:rPr>
              <w:t>课程目标</w:t>
            </w:r>
          </w:p>
        </w:tc>
        <w:tc>
          <w:tcPr>
            <w:tcW w:w="2013" w:type="dxa"/>
            <w:vAlign w:val="center"/>
          </w:tcPr>
          <w:p>
            <w:pPr>
              <w:snapToGrid w:val="0"/>
              <w:spacing w:line="300" w:lineRule="auto"/>
              <w:jc w:val="center"/>
              <w:rPr>
                <w:sz w:val="18"/>
                <w:szCs w:val="18"/>
              </w:rPr>
            </w:pPr>
            <w:r>
              <w:rPr>
                <w:sz w:val="18"/>
                <w:szCs w:val="18"/>
              </w:rPr>
              <w:t>1</w:t>
            </w:r>
          </w:p>
        </w:tc>
        <w:tc>
          <w:tcPr>
            <w:tcW w:w="2381" w:type="dxa"/>
            <w:vAlign w:val="center"/>
          </w:tcPr>
          <w:p>
            <w:pPr>
              <w:snapToGrid w:val="0"/>
              <w:spacing w:line="300" w:lineRule="auto"/>
              <w:jc w:val="center"/>
              <w:rPr>
                <w:sz w:val="18"/>
                <w:szCs w:val="18"/>
              </w:rPr>
            </w:pPr>
            <w:r>
              <w:rPr>
                <w:sz w:val="18"/>
                <w:szCs w:val="18"/>
              </w:rPr>
              <w:t>2</w:t>
            </w:r>
          </w:p>
        </w:tc>
        <w:tc>
          <w:tcPr>
            <w:tcW w:w="2381"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03" w:type="dxa"/>
            <w:vAlign w:val="center"/>
          </w:tcPr>
          <w:p>
            <w:pPr>
              <w:snapToGrid w:val="0"/>
              <w:spacing w:line="300" w:lineRule="auto"/>
              <w:jc w:val="center"/>
              <w:rPr>
                <w:b/>
                <w:bCs/>
                <w:sz w:val="18"/>
                <w:szCs w:val="18"/>
              </w:rPr>
            </w:pPr>
            <w:r>
              <w:rPr>
                <w:b/>
                <w:bCs/>
                <w:sz w:val="18"/>
                <w:szCs w:val="18"/>
              </w:rPr>
              <w:t>权重系数</w:t>
            </w:r>
          </w:p>
        </w:tc>
        <w:tc>
          <w:tcPr>
            <w:tcW w:w="2013" w:type="dxa"/>
            <w:vAlign w:val="center"/>
          </w:tcPr>
          <w:p>
            <w:pPr>
              <w:snapToGrid w:val="0"/>
              <w:spacing w:line="300" w:lineRule="auto"/>
              <w:jc w:val="center"/>
              <w:rPr>
                <w:color w:val="000000"/>
                <w:sz w:val="18"/>
                <w:szCs w:val="18"/>
              </w:rPr>
            </w:pPr>
            <w:r>
              <w:rPr>
                <w:color w:val="000000"/>
                <w:sz w:val="18"/>
                <w:szCs w:val="18"/>
              </w:rPr>
              <w:t>0.4</w:t>
            </w:r>
          </w:p>
        </w:tc>
        <w:tc>
          <w:tcPr>
            <w:tcW w:w="2381" w:type="dxa"/>
            <w:vAlign w:val="center"/>
          </w:tcPr>
          <w:p>
            <w:pPr>
              <w:snapToGrid w:val="0"/>
              <w:spacing w:line="300" w:lineRule="auto"/>
              <w:jc w:val="center"/>
              <w:rPr>
                <w:color w:val="000000"/>
                <w:sz w:val="18"/>
                <w:szCs w:val="18"/>
              </w:rPr>
            </w:pPr>
            <w:r>
              <w:rPr>
                <w:color w:val="000000"/>
                <w:sz w:val="18"/>
                <w:szCs w:val="18"/>
              </w:rPr>
              <w:t>0.4</w:t>
            </w:r>
          </w:p>
        </w:tc>
        <w:tc>
          <w:tcPr>
            <w:tcW w:w="2381" w:type="dxa"/>
            <w:vAlign w:val="center"/>
          </w:tcPr>
          <w:p>
            <w:pPr>
              <w:snapToGrid w:val="0"/>
              <w:spacing w:line="300" w:lineRule="auto"/>
              <w:jc w:val="center"/>
              <w:rPr>
                <w:color w:val="000000"/>
                <w:sz w:val="18"/>
                <w:szCs w:val="18"/>
              </w:rPr>
            </w:pPr>
            <w:r>
              <w:rPr>
                <w:color w:val="000000"/>
                <w:sz w:val="18"/>
                <w:szCs w:val="18"/>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65"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65" DrawAspect="Content" ObjectID="_1468075863" r:id="rId186">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widowControl/>
        <w:adjustRightInd w:val="0"/>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74"/>
        </w:numPr>
        <w:snapToGrid w:val="0"/>
        <w:spacing w:line="300" w:lineRule="auto"/>
        <w:rPr>
          <w:rFonts w:ascii="Times New Roman" w:hAnsi="Times New Roman" w:eastAsia="宋体" w:cs="Times New Roman"/>
        </w:rPr>
      </w:pPr>
      <w:r>
        <w:rPr>
          <w:rFonts w:ascii="Times New Roman" w:hAnsi="Times New Roman" w:eastAsia="宋体" w:cs="Times New Roman"/>
          <w:szCs w:val="21"/>
        </w:rPr>
        <w:t>张宏科. 移动互联网技术[M]. 北京：人民邮电出版社.2010年。</w:t>
      </w:r>
    </w:p>
    <w:p>
      <w:pPr>
        <w:widowControl/>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2．参考资料</w:t>
      </w:r>
    </w:p>
    <w:p>
      <w:pPr>
        <w:numPr>
          <w:ilvl w:val="0"/>
          <w:numId w:val="75"/>
        </w:numPr>
        <w:snapToGrid w:val="0"/>
        <w:spacing w:line="300" w:lineRule="auto"/>
        <w:rPr>
          <w:rFonts w:ascii="Times New Roman" w:hAnsi="Times New Roman" w:eastAsia="宋体" w:cs="Times New Roman"/>
        </w:rPr>
      </w:pPr>
      <w:r>
        <w:rPr>
          <w:rFonts w:ascii="Times New Roman" w:hAnsi="Times New Roman" w:eastAsia="宋体" w:cs="Times New Roman"/>
          <w:szCs w:val="21"/>
        </w:rPr>
        <w:t>管西京. 移动Web开发实战[M]. 北京：高等教育出版社。</w:t>
      </w:r>
    </w:p>
    <w:p>
      <w:pPr>
        <w:numPr>
          <w:ilvl w:val="0"/>
          <w:numId w:val="75"/>
        </w:numPr>
        <w:snapToGrid w:val="0"/>
        <w:spacing w:line="300" w:lineRule="auto"/>
        <w:rPr>
          <w:rFonts w:ascii="Times New Roman" w:hAnsi="Times New Roman" w:eastAsia="宋体" w:cs="Times New Roman"/>
        </w:rPr>
      </w:pPr>
      <w:r>
        <w:rPr>
          <w:rFonts w:ascii="Times New Roman" w:hAnsi="Times New Roman" w:eastAsia="宋体" w:cs="Times New Roman"/>
          <w:szCs w:val="21"/>
        </w:rPr>
        <w:t>刘崇新, 罗先觉编. 电路学习指导与习题分析[M]. 上海：上海交通大学出版社，2010年。</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sz w:val="32"/>
          <w:szCs w:val="32"/>
        </w:rPr>
      </w:pPr>
      <w:r>
        <w:rPr>
          <w:rFonts w:ascii="Times New Roman" w:hAnsi="Times New Roman" w:eastAsia="宋体" w:cs="Times New Roman"/>
          <w:b/>
          <w:sz w:val="32"/>
          <w:szCs w:val="32"/>
        </w:rPr>
        <w:br w:type="page"/>
      </w:r>
    </w:p>
    <w:p>
      <w:pPr>
        <w:keepNext/>
        <w:keepLines/>
        <w:spacing w:before="260" w:after="260" w:line="413" w:lineRule="auto"/>
        <w:jc w:val="center"/>
        <w:outlineLvl w:val="3"/>
        <w:rPr>
          <w:rFonts w:ascii="Times New Roman" w:hAnsi="Times New Roman" w:cs="Times New Roman" w:eastAsiaTheme="majorEastAsia"/>
          <w:b/>
          <w:bCs/>
          <w:sz w:val="28"/>
          <w:szCs w:val="32"/>
        </w:rPr>
      </w:pPr>
      <w:bookmarkStart w:id="219" w:name="_Toc3300"/>
      <w:r>
        <w:rPr>
          <w:rFonts w:ascii="Times New Roman" w:hAnsi="Times New Roman" w:cs="Times New Roman" w:eastAsiaTheme="majorEastAsia"/>
          <w:b/>
          <w:bCs/>
          <w:sz w:val="32"/>
          <w:szCs w:val="32"/>
        </w:rPr>
        <w:t>33462008</w:t>
      </w:r>
      <w:r>
        <w:rPr>
          <w:rFonts w:hint="eastAsia" w:ascii="Times New Roman" w:hAnsi="Times New Roman" w:cs="Times New Roman" w:eastAsiaTheme="majorEastAsia"/>
          <w:b/>
          <w:bCs/>
          <w:sz w:val="32"/>
          <w:szCs w:val="32"/>
        </w:rPr>
        <w:t>《</w:t>
      </w:r>
      <w:r>
        <w:rPr>
          <w:rFonts w:ascii="Times New Roman" w:hAnsi="Times New Roman" w:cs="Times New Roman" w:eastAsiaTheme="majorEastAsia"/>
          <w:b/>
          <w:bCs/>
          <w:sz w:val="32"/>
          <w:szCs w:val="32"/>
        </w:rPr>
        <w:t>WEB</w:t>
      </w:r>
      <w:r>
        <w:rPr>
          <w:rFonts w:hint="eastAsia" w:ascii="Times New Roman" w:hAnsi="Times New Roman" w:cs="Times New Roman" w:eastAsiaTheme="majorEastAsia"/>
          <w:b/>
          <w:bCs/>
          <w:sz w:val="32"/>
          <w:szCs w:val="32"/>
        </w:rPr>
        <w:t>编程》课程教学大纲</w:t>
      </w:r>
      <w:bookmarkEnd w:id="219"/>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widowControl/>
              <w:jc w:val="center"/>
              <w:rPr>
                <w:kern w:val="0"/>
                <w:szCs w:val="21"/>
              </w:rPr>
            </w:pPr>
            <w:r>
              <w:rPr>
                <w:kern w:val="0"/>
                <w:szCs w:val="21"/>
              </w:rPr>
              <w:t>33462008</w:t>
            </w:r>
          </w:p>
        </w:tc>
        <w:tc>
          <w:tcPr>
            <w:tcW w:w="1198" w:type="dxa"/>
            <w:vAlign w:val="center"/>
          </w:tcPr>
          <w:p>
            <w:pPr>
              <w:jc w:val="center"/>
              <w:rPr>
                <w:kern w:val="0"/>
                <w:szCs w:val="21"/>
              </w:rPr>
            </w:pPr>
            <w:r>
              <w:rPr>
                <w:kern w:val="0"/>
                <w:szCs w:val="21"/>
              </w:rPr>
              <w:t>课程名称</w:t>
            </w:r>
          </w:p>
        </w:tc>
        <w:tc>
          <w:tcPr>
            <w:tcW w:w="2695" w:type="dxa"/>
            <w:vAlign w:val="center"/>
          </w:tcPr>
          <w:p>
            <w:pPr>
              <w:widowControl/>
              <w:jc w:val="center"/>
              <w:rPr>
                <w:kern w:val="0"/>
                <w:szCs w:val="21"/>
              </w:rPr>
            </w:pPr>
            <w:r>
              <w:rPr>
                <w:kern w:val="0"/>
                <w:szCs w:val="21"/>
              </w:rPr>
              <w:t>WEB编程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p>
        </w:tc>
        <w:tc>
          <w:tcPr>
            <w:tcW w:w="3441" w:type="dxa"/>
            <w:vAlign w:val="center"/>
          </w:tcPr>
          <w:p>
            <w:pPr>
              <w:widowControl/>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widowControl/>
              <w:jc w:val="center"/>
              <w:rPr>
                <w:kern w:val="0"/>
                <w:szCs w:val="21"/>
              </w:rPr>
            </w:pPr>
            <w:r>
              <w:rPr>
                <w:kern w:val="0"/>
                <w:szCs w:val="21"/>
              </w:rPr>
              <w:t>WEB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widowControl/>
              <w:jc w:val="center"/>
              <w:rPr>
                <w:kern w:val="0"/>
                <w:szCs w:val="21"/>
              </w:rPr>
            </w:pPr>
            <w:r>
              <w:rPr>
                <w:kern w:val="0"/>
                <w:szCs w:val="21"/>
              </w:rPr>
              <w:t>2</w:t>
            </w:r>
            <w:r>
              <w:rPr>
                <w:bCs/>
                <w:kern w:val="0"/>
                <w:szCs w:val="21"/>
              </w:rPr>
              <w:t xml:space="preserve"> </w:t>
            </w:r>
            <w:r>
              <w:rPr>
                <w:kern w:val="0"/>
                <w:szCs w:val="21"/>
              </w:rPr>
              <w:t>: 32（8）</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widowControl/>
              <w:jc w:val="center"/>
              <w:rPr>
                <w:kern w:val="0"/>
                <w:szCs w:val="21"/>
              </w:rPr>
            </w:pPr>
            <w:r>
              <w:rPr>
                <w:kern w:val="0"/>
                <w:szCs w:val="21"/>
              </w:rPr>
              <w:t>彭银桥、郭晓云、王峰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kern w:val="0"/>
                <w:szCs w:val="21"/>
              </w:rPr>
              <w:t>彭银桥</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kern w:val="0"/>
                <w:szCs w:val="21"/>
              </w:rPr>
              <w:t>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szCs w:val="21"/>
              </w:rPr>
            </w:pPr>
            <w:r>
              <w:rPr>
                <w:szCs w:val="21"/>
              </w:rPr>
              <w:t>C语言程序设计、</w:t>
            </w:r>
          </w:p>
          <w:p>
            <w:pPr>
              <w:widowControl/>
              <w:jc w:val="center"/>
              <w:rPr>
                <w:szCs w:val="21"/>
              </w:rPr>
            </w:pPr>
            <w:r>
              <w:rPr>
                <w:szCs w:val="21"/>
              </w:rPr>
              <w:t>算法与数据结构、</w:t>
            </w:r>
          </w:p>
          <w:p>
            <w:pPr>
              <w:widowControl/>
              <w:jc w:val="center"/>
              <w:rPr>
                <w:kern w:val="0"/>
                <w:szCs w:val="21"/>
              </w:rPr>
            </w:pPr>
            <w:r>
              <w:rPr>
                <w:szCs w:val="21"/>
              </w:rPr>
              <w:t>面向对象的高级语言程序设计</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rPr>
          <w:b/>
          <w:szCs w:val="21"/>
        </w:rPr>
      </w:pPr>
      <w:r>
        <w:rPr>
          <w:szCs w:val="21"/>
        </w:rPr>
        <w:t>《WEB编程》是电子信息工程专业的学科专业拓展课，是一门理论与实践相结合的课程，具有一定的理论深度与实践难度。通过本课程学习使学生掌握html、css、javascript动态网页设计基础、JSP基本语法、内置对象、servlet基础、JavaBean和表单处理及应用数据库开发技术等WEB编程的基本概念与特性，掌握开发B/S结构的WEB应用程序需要具备的动态网站设计基础技能，为今后的应用软件开发打好基础。</w:t>
      </w:r>
    </w:p>
    <w:p>
      <w:pPr>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rPr>
          <w:kern w:val="0"/>
          <w:sz w:val="24"/>
          <w:szCs w:val="21"/>
        </w:rPr>
      </w:pPr>
      <w:r>
        <w:rPr>
          <w:kern w:val="0"/>
          <w:szCs w:val="21"/>
        </w:rPr>
        <w:t>通过本课程学习，使学生了解交互式网站的原理和作用</w:t>
      </w:r>
      <w:r>
        <w:rPr>
          <w:bCs/>
          <w:kern w:val="0"/>
          <w:szCs w:val="21"/>
        </w:rPr>
        <w:t>，使学生对web网站建设的全过程有比较全面和清晰的了解，对当前的WEB技术有较清晰的理解；</w:t>
      </w:r>
      <w:r>
        <w:rPr>
          <w:kern w:val="0"/>
          <w:szCs w:val="21"/>
        </w:rPr>
        <w:t>掌握B/S结构的WEB应用程序的开发，培养学生对WEB程序设计技术的综合应用能力；熟练使用Myeclipse等IDE开发WEB应用程序，解决工程问题；学会良好的编程习惯，养成良好的编程风格。讲授JSP概述时，讲述国内软件发展的历程，学习科学家的工匠精神，培养学生的爱国与担当精神。</w:t>
      </w:r>
    </w:p>
    <w:p>
      <w:pPr>
        <w:adjustRightInd w:val="0"/>
        <w:snapToGrid w:val="0"/>
        <w:spacing w:line="300" w:lineRule="auto"/>
        <w:ind w:firstLine="420" w:firstLineChars="200"/>
        <w:rPr>
          <w:szCs w:val="21"/>
        </w:rPr>
      </w:pPr>
      <w:r>
        <w:rPr>
          <w:szCs w:val="21"/>
        </w:rPr>
        <w:t>本课程的具体教学目标如下：</w:t>
      </w:r>
    </w:p>
    <w:p>
      <w:pPr>
        <w:adjustRightInd w:val="0"/>
        <w:snapToGrid w:val="0"/>
        <w:spacing w:line="300" w:lineRule="auto"/>
        <w:ind w:firstLine="420" w:firstLineChars="200"/>
        <w:rPr>
          <w:szCs w:val="21"/>
        </w:rPr>
      </w:pPr>
      <w:r>
        <w:rPr>
          <w:szCs w:val="21"/>
        </w:rPr>
        <w:t>1</w:t>
      </w:r>
      <w:r>
        <w:rPr>
          <w:kern w:val="0"/>
          <w:szCs w:val="21"/>
        </w:rPr>
        <w:t>．</w:t>
      </w:r>
      <w:r>
        <w:rPr>
          <w:szCs w:val="21"/>
        </w:rPr>
        <w:t>理解交互式网站的原理和作用</w:t>
      </w:r>
      <w:r>
        <w:rPr>
          <w:bCs/>
          <w:szCs w:val="21"/>
        </w:rPr>
        <w:t>，掌握web开发技术</w:t>
      </w:r>
      <w:r>
        <w:rPr>
          <w:szCs w:val="21"/>
        </w:rPr>
        <w:t>，能够利用web编程技术针对给定需求，设计出满足要求的软件系统。[3</w:t>
      </w:r>
      <w:r>
        <w:rPr>
          <w:rFonts w:hint="eastAsia"/>
          <w:szCs w:val="21"/>
        </w:rPr>
        <w:t>.</w:t>
      </w:r>
      <w:r>
        <w:rPr>
          <w:szCs w:val="21"/>
        </w:rPr>
        <w:t>1]</w:t>
      </w:r>
    </w:p>
    <w:p>
      <w:pPr>
        <w:adjustRightInd w:val="0"/>
        <w:snapToGrid w:val="0"/>
        <w:spacing w:line="30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培养学生动手能力和知识运用能力，能够使用现代软件工具及编程技术对复杂工程问题进行模拟或仿真的能力。[5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p>
    <w:p>
      <w:pPr>
        <w:adjustRightInd w:val="0"/>
        <w:snapToGrid w:val="0"/>
        <w:spacing w:line="300" w:lineRule="auto"/>
        <w:ind w:firstLine="420" w:firstLineChars="200"/>
        <w:rPr>
          <w:szCs w:val="21"/>
        </w:rPr>
      </w:pPr>
      <w:r>
        <w:rPr>
          <w:szCs w:val="21"/>
        </w:rPr>
        <w:t>3</w:t>
      </w:r>
      <w:r>
        <w:rPr>
          <w:kern w:val="0"/>
          <w:szCs w:val="21"/>
        </w:rPr>
        <w:t>．</w:t>
      </w:r>
      <w:r>
        <w:rPr>
          <w:szCs w:val="21"/>
        </w:rPr>
        <w:t>在利用WEB编程技术设计和开发过程中，能够理解开发过程中软件工程管理的基本原理与方法，以及软件成本管理与核算。[11</w:t>
      </w:r>
      <w:r>
        <w:rPr>
          <w:rFonts w:hint="eastAsia"/>
          <w:szCs w:val="21"/>
        </w:rPr>
        <w:t>.</w:t>
      </w:r>
      <w:r>
        <w:rPr>
          <w:szCs w:val="21"/>
        </w:rPr>
        <w:t>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jc w:val="center"/>
        <w:rPr>
          <w:b/>
          <w:kern w:val="0"/>
          <w:sz w:val="18"/>
          <w:szCs w:val="18"/>
        </w:rPr>
      </w:pPr>
    </w:p>
    <w:p>
      <w:pPr>
        <w:widowControl/>
        <w:tabs>
          <w:tab w:val="left" w:pos="426"/>
          <w:tab w:val="left" w:pos="5245"/>
          <w:tab w:val="left" w:pos="5387"/>
        </w:tabs>
        <w:snapToGrid w:val="0"/>
        <w:spacing w:before="156" w:beforeLines="50" w:line="300" w:lineRule="auto"/>
        <w:jc w:val="center"/>
        <w:rPr>
          <w:b/>
          <w:kern w:val="0"/>
          <w:sz w:val="18"/>
          <w:szCs w:val="18"/>
        </w:rPr>
      </w:pPr>
    </w:p>
    <w:p>
      <w:pPr>
        <w:widowControl/>
        <w:tabs>
          <w:tab w:val="left" w:pos="426"/>
          <w:tab w:val="left" w:pos="5245"/>
          <w:tab w:val="left" w:pos="5387"/>
        </w:tabs>
        <w:snapToGrid w:val="0"/>
        <w:spacing w:before="156" w:beforeLines="50" w:line="300" w:lineRule="auto"/>
        <w:jc w:val="center"/>
        <w:rPr>
          <w:b/>
          <w:kern w:val="0"/>
          <w:sz w:val="18"/>
          <w:szCs w:val="18"/>
        </w:rPr>
      </w:pPr>
    </w:p>
    <w:p>
      <w:pPr>
        <w:widowControl/>
        <w:tabs>
          <w:tab w:val="left" w:pos="426"/>
          <w:tab w:val="left" w:pos="5245"/>
          <w:tab w:val="left" w:pos="5387"/>
        </w:tabs>
        <w:snapToGrid w:val="0"/>
        <w:spacing w:before="156" w:beforeLines="50" w:line="300" w:lineRule="auto"/>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5783"/>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554" w:type="dxa"/>
            <w:vAlign w:val="center"/>
          </w:tcPr>
          <w:p>
            <w:pPr>
              <w:snapToGrid w:val="0"/>
              <w:spacing w:line="300" w:lineRule="auto"/>
              <w:jc w:val="center"/>
              <w:rPr>
                <w:b/>
                <w:bCs/>
                <w:sz w:val="18"/>
                <w:szCs w:val="18"/>
              </w:rPr>
            </w:pPr>
            <w:r>
              <w:rPr>
                <w:b/>
                <w:bCs/>
                <w:sz w:val="18"/>
                <w:szCs w:val="18"/>
              </w:rPr>
              <w:t>毕业要求</w:t>
            </w:r>
          </w:p>
        </w:tc>
        <w:tc>
          <w:tcPr>
            <w:tcW w:w="578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5"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54" w:type="dxa"/>
            <w:vAlign w:val="center"/>
          </w:tcPr>
          <w:p>
            <w:pPr>
              <w:adjustRightInd w:val="0"/>
              <w:snapToGrid w:val="0"/>
              <w:spacing w:line="300" w:lineRule="auto"/>
              <w:rPr>
                <w:sz w:val="18"/>
                <w:szCs w:val="18"/>
              </w:rPr>
            </w:pPr>
            <w:r>
              <w:rPr>
                <w:sz w:val="18"/>
                <w:szCs w:val="18"/>
              </w:rPr>
              <w:t>3．设计/开发解决方案</w:t>
            </w:r>
          </w:p>
        </w:tc>
        <w:tc>
          <w:tcPr>
            <w:tcW w:w="5783" w:type="dxa"/>
            <w:vAlign w:val="center"/>
          </w:tcPr>
          <w:p>
            <w:pPr>
              <w:adjustRightInd w:val="0"/>
              <w:snapToGrid w:val="0"/>
              <w:spacing w:line="300" w:lineRule="auto"/>
              <w:rPr>
                <w:sz w:val="18"/>
                <w:szCs w:val="18"/>
              </w:rPr>
            </w:pPr>
            <w:r>
              <w:rPr>
                <w:sz w:val="18"/>
                <w:szCs w:val="18"/>
              </w:rPr>
              <w:t>3</w:t>
            </w:r>
            <w:r>
              <w:rPr>
                <w:rFonts w:hint="eastAsia"/>
                <w:sz w:val="18"/>
                <w:szCs w:val="18"/>
              </w:rPr>
              <w:t>.</w:t>
            </w:r>
            <w:r>
              <w:rPr>
                <w:sz w:val="18"/>
                <w:szCs w:val="18"/>
              </w:rPr>
              <w:t>1能够利用专业知识，针对给定需求，设计出满足要求的系统总体方案与系统拓扑图、单元子系统（或单元电路）、软硬件模块或工艺。</w:t>
            </w:r>
          </w:p>
        </w:tc>
        <w:tc>
          <w:tcPr>
            <w:tcW w:w="689" w:type="dxa"/>
            <w:vAlign w:val="center"/>
          </w:tcPr>
          <w:p>
            <w:pPr>
              <w:adjustRightInd w:val="0"/>
              <w:snapToGrid w:val="0"/>
              <w:spacing w:line="300" w:lineRule="auto"/>
              <w:jc w:val="center"/>
              <w:rPr>
                <w:sz w:val="18"/>
                <w:szCs w:val="18"/>
              </w:rPr>
            </w:pPr>
            <w:r>
              <w:rPr>
                <w:sz w:val="18"/>
                <w:szCs w:val="18"/>
              </w:rPr>
              <w:t>1</w:t>
            </w:r>
          </w:p>
        </w:tc>
        <w:tc>
          <w:tcPr>
            <w:tcW w:w="655" w:type="dxa"/>
            <w:vAlign w:val="center"/>
          </w:tcPr>
          <w:p>
            <w:pPr>
              <w:widowControl/>
              <w:adjustRightInd w:val="0"/>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1554" w:type="dxa"/>
            <w:vAlign w:val="center"/>
          </w:tcPr>
          <w:p>
            <w:pPr>
              <w:adjustRightInd w:val="0"/>
              <w:snapToGrid w:val="0"/>
              <w:spacing w:line="300" w:lineRule="auto"/>
              <w:rPr>
                <w:sz w:val="18"/>
                <w:szCs w:val="18"/>
              </w:rPr>
            </w:pPr>
            <w:r>
              <w:rPr>
                <w:sz w:val="18"/>
                <w:szCs w:val="18"/>
              </w:rPr>
              <w:t>5．现代工具使用</w:t>
            </w:r>
          </w:p>
        </w:tc>
        <w:tc>
          <w:tcPr>
            <w:tcW w:w="5783" w:type="dxa"/>
            <w:vAlign w:val="center"/>
          </w:tcPr>
          <w:p>
            <w:pPr>
              <w:adjustRightInd w:val="0"/>
              <w:snapToGrid w:val="0"/>
              <w:spacing w:line="300" w:lineRule="auto"/>
              <w:rPr>
                <w:sz w:val="18"/>
                <w:szCs w:val="18"/>
              </w:rPr>
            </w:pPr>
            <w:r>
              <w:rPr>
                <w:sz w:val="18"/>
                <w:szCs w:val="18"/>
              </w:rPr>
              <w:t>5</w:t>
            </w:r>
            <w:r>
              <w:rPr>
                <w:rFonts w:hint="eastAsia"/>
                <w:sz w:val="18"/>
                <w:szCs w:val="18"/>
              </w:rPr>
              <w:t>.</w:t>
            </w:r>
            <w:r>
              <w:rPr>
                <w:sz w:val="18"/>
                <w:szCs w:val="18"/>
              </w:rPr>
              <w:t>2具备使用实验设备、软件和现代工程工具对复杂工程问题进行模拟或仿真的能力，并能够理解其局限性。</w:t>
            </w:r>
          </w:p>
        </w:tc>
        <w:tc>
          <w:tcPr>
            <w:tcW w:w="689" w:type="dxa"/>
            <w:vAlign w:val="center"/>
          </w:tcPr>
          <w:p>
            <w:pPr>
              <w:adjustRightInd w:val="0"/>
              <w:snapToGrid w:val="0"/>
              <w:spacing w:line="300" w:lineRule="auto"/>
              <w:jc w:val="center"/>
              <w:rPr>
                <w:sz w:val="18"/>
                <w:szCs w:val="18"/>
              </w:rPr>
            </w:pPr>
            <w:r>
              <w:rPr>
                <w:sz w:val="18"/>
                <w:szCs w:val="18"/>
              </w:rPr>
              <w:t>2</w:t>
            </w:r>
          </w:p>
        </w:tc>
        <w:tc>
          <w:tcPr>
            <w:tcW w:w="655" w:type="dxa"/>
            <w:vAlign w:val="center"/>
          </w:tcPr>
          <w:p>
            <w:pPr>
              <w:adjustRightInd w:val="0"/>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jc w:val="center"/>
        </w:trPr>
        <w:tc>
          <w:tcPr>
            <w:tcW w:w="1554" w:type="dxa"/>
            <w:vAlign w:val="center"/>
          </w:tcPr>
          <w:p>
            <w:pPr>
              <w:adjustRightInd w:val="0"/>
              <w:snapToGrid w:val="0"/>
              <w:spacing w:line="300" w:lineRule="auto"/>
              <w:rPr>
                <w:sz w:val="18"/>
                <w:szCs w:val="18"/>
              </w:rPr>
            </w:pPr>
            <w:r>
              <w:rPr>
                <w:sz w:val="18"/>
                <w:szCs w:val="18"/>
              </w:rPr>
              <w:t>11．项目管理</w:t>
            </w:r>
          </w:p>
        </w:tc>
        <w:tc>
          <w:tcPr>
            <w:tcW w:w="5783" w:type="dxa"/>
            <w:vAlign w:val="center"/>
          </w:tcPr>
          <w:p>
            <w:pPr>
              <w:adjustRightInd w:val="0"/>
              <w:snapToGrid w:val="0"/>
              <w:spacing w:line="300" w:lineRule="auto"/>
              <w:rPr>
                <w:sz w:val="18"/>
                <w:szCs w:val="18"/>
              </w:rPr>
            </w:pPr>
            <w:r>
              <w:rPr>
                <w:sz w:val="18"/>
                <w:szCs w:val="18"/>
              </w:rPr>
              <w:t>11</w:t>
            </w:r>
            <w:r>
              <w:rPr>
                <w:rFonts w:hint="eastAsia"/>
                <w:sz w:val="18"/>
                <w:szCs w:val="18"/>
              </w:rPr>
              <w:t>.</w:t>
            </w:r>
            <w:r>
              <w:rPr>
                <w:sz w:val="18"/>
                <w:szCs w:val="18"/>
              </w:rPr>
              <w:t>1理解工程实践中工程管理的基本原理与经济决策方法。</w:t>
            </w:r>
          </w:p>
        </w:tc>
        <w:tc>
          <w:tcPr>
            <w:tcW w:w="689" w:type="dxa"/>
            <w:vAlign w:val="center"/>
          </w:tcPr>
          <w:p>
            <w:pPr>
              <w:adjustRightInd w:val="0"/>
              <w:snapToGrid w:val="0"/>
              <w:spacing w:line="300" w:lineRule="auto"/>
              <w:jc w:val="center"/>
              <w:rPr>
                <w:sz w:val="18"/>
                <w:szCs w:val="18"/>
              </w:rPr>
            </w:pPr>
            <w:r>
              <w:rPr>
                <w:sz w:val="18"/>
                <w:szCs w:val="18"/>
              </w:rPr>
              <w:t>3</w:t>
            </w:r>
          </w:p>
        </w:tc>
        <w:tc>
          <w:tcPr>
            <w:tcW w:w="655" w:type="dxa"/>
            <w:vAlign w:val="center"/>
          </w:tcPr>
          <w:p>
            <w:pPr>
              <w:adjustRightInd w:val="0"/>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w:t>
            </w:r>
            <w:r>
              <w:rPr>
                <w:kern w:val="0"/>
                <w:szCs w:val="21"/>
              </w:rPr>
              <w:t>．</w:t>
            </w:r>
            <w:r>
              <w:rPr>
                <w:sz w:val="18"/>
                <w:szCs w:val="18"/>
                <w:shd w:val="clear" w:color="auto" w:fill="FEFEFF"/>
              </w:rPr>
              <w:t>理解交互式网站的原理和作用，掌握web开发技术，能够利用web编程技术针对给定需求，设计出满足要求的软件系统。</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2</w:t>
            </w:r>
            <w:r>
              <w:rPr>
                <w:kern w:val="0"/>
                <w:szCs w:val="21"/>
              </w:rPr>
              <w:t>．</w:t>
            </w:r>
            <w:r>
              <w:rPr>
                <w:sz w:val="18"/>
                <w:szCs w:val="18"/>
                <w:shd w:val="clear" w:color="auto" w:fill="FEFEFF"/>
              </w:rPr>
              <w:t>培养学生动手能力和知识运用能力，能够使用现代软件工具及编程技术对复杂工程问题进行模拟或仿真的能力。</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课堂表现、实验、作业与考试。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6" w:hRule="atLeast"/>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3</w:t>
            </w:r>
            <w:r>
              <w:rPr>
                <w:kern w:val="0"/>
                <w:szCs w:val="21"/>
              </w:rPr>
              <w:t>．</w:t>
            </w:r>
            <w:r>
              <w:rPr>
                <w:sz w:val="18"/>
                <w:szCs w:val="18"/>
                <w:shd w:val="clear" w:color="auto" w:fill="FEFEFF"/>
              </w:rPr>
              <w:t>在利用WEB编程技术设计和开发过程中，能够理解开发过程中软件工程管理的基本原理与方法，以及软件成本管理与核算。</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作业与实验</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szCs w:val="21"/>
        </w:rPr>
        <w:t>1．</w:t>
      </w:r>
      <w:r>
        <w:t>课堂讲授为主，网络多媒体教学为辅，注重工程案例教学</w:t>
      </w:r>
      <w:r>
        <w:rPr>
          <w:szCs w:val="21"/>
        </w:rPr>
        <w:t>。</w:t>
      </w:r>
    </w:p>
    <w:p>
      <w:pPr>
        <w:adjustRightInd w:val="0"/>
        <w:snapToGrid w:val="0"/>
        <w:spacing w:line="300" w:lineRule="auto"/>
        <w:ind w:firstLine="420" w:firstLineChars="200"/>
        <w:rPr>
          <w:szCs w:val="21"/>
        </w:rPr>
      </w:pPr>
      <w:r>
        <w:rPr>
          <w:szCs w:val="21"/>
        </w:rPr>
        <w:t>2．根据课程特点采用启发式教学、任务驱动教学、案例教学法进行教学方法创新。</w:t>
      </w:r>
    </w:p>
    <w:p>
      <w:pPr>
        <w:adjustRightInd w:val="0"/>
        <w:snapToGrid w:val="0"/>
        <w:spacing w:line="300" w:lineRule="auto"/>
        <w:ind w:firstLine="420" w:firstLineChars="200"/>
        <w:rPr>
          <w:szCs w:val="21"/>
        </w:rPr>
      </w:pPr>
      <w:r>
        <w:rPr>
          <w:szCs w:val="21"/>
        </w:rPr>
        <w:t>3．</w:t>
      </w:r>
      <w:r>
        <w:t>采用项目为载体、任务驱动的教学模式，以专业岗位能力为培养目标，选择项目构建合适的学习载体，项目源于复杂电子信息工程问题，教学目标定位为阶段性单项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060"/>
        <w:gridCol w:w="4271"/>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6"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060" w:type="dxa"/>
            <w:vAlign w:val="center"/>
          </w:tcPr>
          <w:p>
            <w:pPr>
              <w:snapToGrid w:val="0"/>
              <w:spacing w:line="300" w:lineRule="auto"/>
              <w:ind w:firstLine="361" w:firstLineChars="200"/>
              <w:rPr>
                <w:b/>
                <w:bCs/>
                <w:sz w:val="18"/>
                <w:szCs w:val="18"/>
              </w:rPr>
            </w:pPr>
            <w:r>
              <w:rPr>
                <w:b/>
                <w:bCs/>
                <w:sz w:val="18"/>
                <w:szCs w:val="18"/>
              </w:rPr>
              <w:t>教学内容</w:t>
            </w:r>
          </w:p>
        </w:tc>
        <w:tc>
          <w:tcPr>
            <w:tcW w:w="4271"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34" w:type="dxa"/>
            <w:vAlign w:val="center"/>
          </w:tcPr>
          <w:p>
            <w:pPr>
              <w:snapToGrid w:val="0"/>
              <w:spacing w:line="300" w:lineRule="auto"/>
              <w:jc w:val="center"/>
              <w:rPr>
                <w:b/>
                <w:bCs/>
                <w:sz w:val="18"/>
                <w:szCs w:val="18"/>
              </w:rPr>
            </w:pPr>
            <w:r>
              <w:rPr>
                <w:b/>
                <w:bCs/>
                <w:sz w:val="18"/>
                <w:szCs w:val="18"/>
              </w:rPr>
              <w:t>学时</w:t>
            </w:r>
          </w:p>
        </w:tc>
        <w:tc>
          <w:tcPr>
            <w:tcW w:w="1030"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1</w:t>
            </w:r>
          </w:p>
        </w:tc>
        <w:tc>
          <w:tcPr>
            <w:tcW w:w="2060" w:type="dxa"/>
            <w:vAlign w:val="center"/>
          </w:tcPr>
          <w:p>
            <w:pPr>
              <w:adjustRightInd w:val="0"/>
              <w:snapToGrid w:val="0"/>
              <w:spacing w:line="300" w:lineRule="auto"/>
              <w:rPr>
                <w:sz w:val="18"/>
                <w:szCs w:val="18"/>
              </w:rPr>
            </w:pPr>
            <w:r>
              <w:rPr>
                <w:sz w:val="18"/>
                <w:szCs w:val="18"/>
              </w:rPr>
              <w:t>1 JSP概述</w:t>
            </w:r>
          </w:p>
          <w:p>
            <w:pPr>
              <w:adjustRightInd w:val="0"/>
              <w:snapToGrid w:val="0"/>
              <w:spacing w:line="300" w:lineRule="auto"/>
              <w:ind w:right="-31" w:rightChars="-15" w:firstLine="2"/>
              <w:rPr>
                <w:sz w:val="18"/>
                <w:szCs w:val="18"/>
              </w:rPr>
            </w:pPr>
            <w:r>
              <w:rPr>
                <w:sz w:val="18"/>
                <w:szCs w:val="18"/>
              </w:rPr>
              <w:t>1.1 软件编程体系简介</w:t>
            </w:r>
          </w:p>
          <w:p>
            <w:pPr>
              <w:adjustRightInd w:val="0"/>
              <w:snapToGrid w:val="0"/>
              <w:spacing w:line="300" w:lineRule="auto"/>
              <w:ind w:right="-31" w:rightChars="-15" w:firstLine="2"/>
              <w:rPr>
                <w:sz w:val="18"/>
                <w:szCs w:val="18"/>
              </w:rPr>
            </w:pPr>
            <w:r>
              <w:rPr>
                <w:sz w:val="18"/>
                <w:szCs w:val="18"/>
              </w:rPr>
              <w:t>1.2 企业应用开发架构</w:t>
            </w:r>
          </w:p>
          <w:p>
            <w:pPr>
              <w:adjustRightInd w:val="0"/>
              <w:snapToGrid w:val="0"/>
              <w:spacing w:line="300" w:lineRule="auto"/>
              <w:ind w:right="-31" w:rightChars="-15" w:firstLine="2"/>
              <w:rPr>
                <w:sz w:val="18"/>
                <w:szCs w:val="18"/>
              </w:rPr>
            </w:pPr>
            <w:r>
              <w:rPr>
                <w:sz w:val="18"/>
                <w:szCs w:val="18"/>
              </w:rPr>
              <w:t>1.3 软件工程管理及成本核算</w:t>
            </w:r>
          </w:p>
          <w:p>
            <w:pPr>
              <w:adjustRightInd w:val="0"/>
              <w:snapToGrid w:val="0"/>
              <w:spacing w:line="300" w:lineRule="auto"/>
              <w:ind w:right="-31" w:rightChars="-15" w:firstLine="2"/>
              <w:rPr>
                <w:sz w:val="18"/>
                <w:szCs w:val="18"/>
              </w:rPr>
            </w:pPr>
            <w:r>
              <w:rPr>
                <w:sz w:val="18"/>
                <w:szCs w:val="18"/>
              </w:rPr>
              <w:t>1.4 JSP概述</w:t>
            </w:r>
            <w:r>
              <w:rPr>
                <w:sz w:val="18"/>
                <w:szCs w:val="18"/>
              </w:rPr>
              <w:tab/>
            </w:r>
          </w:p>
          <w:p>
            <w:pPr>
              <w:adjustRightInd w:val="0"/>
              <w:snapToGrid w:val="0"/>
              <w:spacing w:line="300" w:lineRule="auto"/>
              <w:ind w:right="-31" w:rightChars="-15" w:firstLine="2"/>
              <w:rPr>
                <w:kern w:val="0"/>
                <w:sz w:val="18"/>
                <w:szCs w:val="18"/>
              </w:rPr>
            </w:pPr>
            <w:r>
              <w:rPr>
                <w:b/>
                <w:bCs/>
                <w:sz w:val="18"/>
                <w:szCs w:val="18"/>
              </w:rPr>
              <w:t>1.5 讲述国内外web软件发展的历程以及技术前沿，学习科学家的工匠精神，培养学生的爱国与担当精神。</w:t>
            </w:r>
          </w:p>
        </w:tc>
        <w:tc>
          <w:tcPr>
            <w:tcW w:w="4271" w:type="dxa"/>
            <w:vAlign w:val="center"/>
          </w:tcPr>
          <w:p>
            <w:pPr>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adjustRightInd w:val="0"/>
              <w:snapToGrid w:val="0"/>
              <w:spacing w:line="300" w:lineRule="auto"/>
              <w:rPr>
                <w:sz w:val="18"/>
                <w:szCs w:val="18"/>
              </w:rPr>
            </w:pPr>
            <w:r>
              <w:rPr>
                <w:sz w:val="18"/>
                <w:szCs w:val="18"/>
              </w:rPr>
              <w:t>（1）了解软件编程体系。</w:t>
            </w:r>
          </w:p>
          <w:p>
            <w:pPr>
              <w:adjustRightInd w:val="0"/>
              <w:snapToGrid w:val="0"/>
              <w:spacing w:line="300" w:lineRule="auto"/>
              <w:rPr>
                <w:sz w:val="18"/>
                <w:szCs w:val="18"/>
              </w:rPr>
            </w:pPr>
            <w:r>
              <w:rPr>
                <w:sz w:val="18"/>
                <w:szCs w:val="18"/>
              </w:rPr>
              <w:t>（2）理解企业应用开发架构。</w:t>
            </w:r>
          </w:p>
          <w:p>
            <w:pPr>
              <w:adjustRightInd w:val="0"/>
              <w:snapToGrid w:val="0"/>
              <w:spacing w:line="300" w:lineRule="auto"/>
              <w:rPr>
                <w:sz w:val="18"/>
                <w:szCs w:val="18"/>
              </w:rPr>
            </w:pPr>
            <w:r>
              <w:rPr>
                <w:sz w:val="18"/>
                <w:szCs w:val="18"/>
              </w:rPr>
              <w:t>（3）重点掌握JSP技术原理。</w:t>
            </w:r>
          </w:p>
          <w:p>
            <w:pPr>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adjustRightInd w:val="0"/>
              <w:snapToGrid w:val="0"/>
              <w:spacing w:line="300" w:lineRule="auto"/>
              <w:rPr>
                <w:sz w:val="18"/>
                <w:szCs w:val="18"/>
              </w:rPr>
            </w:pPr>
            <w:r>
              <w:rPr>
                <w:kern w:val="0"/>
                <w:sz w:val="18"/>
                <w:szCs w:val="18"/>
              </w:rPr>
              <w:t>（1）</w:t>
            </w:r>
            <w:r>
              <w:rPr>
                <w:sz w:val="18"/>
                <w:szCs w:val="18"/>
              </w:rPr>
              <w:t>阅读参考书目的相应章节。</w:t>
            </w:r>
          </w:p>
          <w:p>
            <w:pPr>
              <w:adjustRightInd w:val="0"/>
              <w:snapToGrid w:val="0"/>
              <w:spacing w:line="300" w:lineRule="auto"/>
              <w:rPr>
                <w:sz w:val="18"/>
                <w:szCs w:val="18"/>
              </w:rPr>
            </w:pPr>
            <w:r>
              <w:rPr>
                <w:sz w:val="18"/>
                <w:szCs w:val="18"/>
              </w:rPr>
              <w:t>（2）</w:t>
            </w:r>
            <w:r>
              <w:rPr>
                <w:kern w:val="0"/>
                <w:sz w:val="18"/>
                <w:szCs w:val="18"/>
              </w:rPr>
              <w:t>完成教材第1章作业。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734" w:type="dxa"/>
            <w:vAlign w:val="center"/>
          </w:tcPr>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rPr>
                <w:kern w:val="0"/>
                <w:sz w:val="18"/>
                <w:szCs w:val="18"/>
              </w:rPr>
            </w:pPr>
          </w:p>
          <w:p>
            <w:pPr>
              <w:adjustRightInd w:val="0"/>
              <w:snapToGrid w:val="0"/>
              <w:spacing w:line="300" w:lineRule="auto"/>
              <w:ind w:firstLine="180" w:firstLineChars="100"/>
              <w:rPr>
                <w:kern w:val="0"/>
                <w:sz w:val="18"/>
                <w:szCs w:val="18"/>
              </w:rPr>
            </w:pPr>
            <w:r>
              <w:rPr>
                <w:kern w:val="0"/>
                <w:sz w:val="18"/>
                <w:szCs w:val="18"/>
              </w:rPr>
              <w:t>1</w:t>
            </w:r>
          </w:p>
          <w:p>
            <w:pPr>
              <w:adjustRightInd w:val="0"/>
              <w:snapToGrid w:val="0"/>
              <w:spacing w:line="300" w:lineRule="auto"/>
              <w:rPr>
                <w:kern w:val="0"/>
                <w:sz w:val="18"/>
                <w:szCs w:val="18"/>
              </w:rPr>
            </w:pPr>
          </w:p>
          <w:p>
            <w:pPr>
              <w:adjustRightInd w:val="0"/>
              <w:snapToGrid w:val="0"/>
              <w:spacing w:line="300" w:lineRule="auto"/>
              <w:rPr>
                <w:kern w:val="0"/>
                <w:sz w:val="18"/>
                <w:szCs w:val="18"/>
              </w:rPr>
            </w:pPr>
          </w:p>
        </w:tc>
        <w:tc>
          <w:tcPr>
            <w:tcW w:w="1030" w:type="dxa"/>
            <w:vAlign w:val="center"/>
          </w:tcPr>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r>
              <w:rPr>
                <w:kern w:val="0"/>
                <w:sz w:val="18"/>
                <w:szCs w:val="18"/>
              </w:rPr>
              <w:t>1，3</w:t>
            </w: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p>
            <w:pPr>
              <w:adjustRightInd w:val="0"/>
              <w:snapToGrid w:val="0"/>
              <w:spacing w:line="300" w:lineRule="auto"/>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2060" w:type="dxa"/>
            <w:vAlign w:val="center"/>
          </w:tcPr>
          <w:p>
            <w:pPr>
              <w:adjustRightInd w:val="0"/>
              <w:snapToGrid w:val="0"/>
              <w:spacing w:line="300" w:lineRule="auto"/>
              <w:rPr>
                <w:sz w:val="18"/>
                <w:szCs w:val="18"/>
              </w:rPr>
            </w:pPr>
            <w:r>
              <w:rPr>
                <w:sz w:val="18"/>
                <w:szCs w:val="18"/>
              </w:rPr>
              <w:t>2 JSP动态网页设计基础</w:t>
            </w:r>
          </w:p>
          <w:p>
            <w:pPr>
              <w:adjustRightInd w:val="0"/>
              <w:snapToGrid w:val="0"/>
              <w:spacing w:line="300" w:lineRule="auto"/>
              <w:ind w:right="-31" w:rightChars="-15" w:firstLine="2"/>
              <w:rPr>
                <w:sz w:val="18"/>
                <w:szCs w:val="18"/>
              </w:rPr>
            </w:pPr>
            <w:r>
              <w:rPr>
                <w:sz w:val="18"/>
                <w:szCs w:val="18"/>
              </w:rPr>
              <w:t>2.1 HTML技术</w:t>
            </w:r>
          </w:p>
          <w:p>
            <w:pPr>
              <w:adjustRightInd w:val="0"/>
              <w:snapToGrid w:val="0"/>
              <w:spacing w:line="300" w:lineRule="auto"/>
              <w:ind w:right="-31" w:rightChars="-15" w:firstLine="2"/>
              <w:rPr>
                <w:sz w:val="18"/>
                <w:szCs w:val="18"/>
              </w:rPr>
            </w:pPr>
            <w:r>
              <w:rPr>
                <w:sz w:val="18"/>
                <w:szCs w:val="18"/>
              </w:rPr>
              <w:t>2.2 CSS技术</w:t>
            </w:r>
            <w:r>
              <w:rPr>
                <w:sz w:val="18"/>
                <w:szCs w:val="18"/>
              </w:rPr>
              <w:tab/>
            </w:r>
          </w:p>
          <w:p>
            <w:pPr>
              <w:adjustRightInd w:val="0"/>
              <w:snapToGrid w:val="0"/>
              <w:spacing w:line="300" w:lineRule="auto"/>
              <w:ind w:right="-31" w:rightChars="-15" w:firstLine="2"/>
              <w:rPr>
                <w:sz w:val="18"/>
                <w:szCs w:val="18"/>
              </w:rPr>
            </w:pPr>
            <w:r>
              <w:rPr>
                <w:sz w:val="18"/>
                <w:szCs w:val="18"/>
              </w:rPr>
              <w:t>2.3 JavaScript技术</w:t>
            </w:r>
          </w:p>
          <w:p>
            <w:pPr>
              <w:adjustRightInd w:val="0"/>
              <w:snapToGrid w:val="0"/>
              <w:spacing w:line="300" w:lineRule="auto"/>
              <w:rPr>
                <w:kern w:val="0"/>
                <w:sz w:val="18"/>
                <w:szCs w:val="18"/>
              </w:rPr>
            </w:pP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rPr>
                <w:sz w:val="18"/>
                <w:szCs w:val="18"/>
              </w:rPr>
            </w:pPr>
            <w:r>
              <w:rPr>
                <w:sz w:val="18"/>
                <w:szCs w:val="18"/>
              </w:rPr>
              <w:t>（1）理解HTML5基本结构，CSS基本语法，JavaScript语法。</w:t>
            </w:r>
          </w:p>
          <w:p>
            <w:pPr>
              <w:adjustRightInd w:val="0"/>
              <w:snapToGrid w:val="0"/>
              <w:spacing w:line="300" w:lineRule="auto"/>
              <w:rPr>
                <w:sz w:val="18"/>
                <w:szCs w:val="18"/>
              </w:rPr>
            </w:pPr>
            <w:r>
              <w:rPr>
                <w:sz w:val="18"/>
                <w:szCs w:val="18"/>
              </w:rPr>
              <w:t>（2）掌握HTML常用标签， CSS的使用方法，常用CSS属性，JavaScript。</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（1）简单的HTML编程。</w:t>
            </w:r>
          </w:p>
          <w:p>
            <w:pPr>
              <w:adjustRightInd w:val="0"/>
              <w:snapToGrid w:val="0"/>
              <w:spacing w:line="300" w:lineRule="auto"/>
              <w:rPr>
                <w:sz w:val="18"/>
                <w:szCs w:val="18"/>
              </w:rPr>
            </w:pPr>
            <w:r>
              <w:rPr>
                <w:sz w:val="18"/>
                <w:szCs w:val="18"/>
              </w:rPr>
              <w:t>（2）</w:t>
            </w:r>
            <w:r>
              <w:rPr>
                <w:kern w:val="0"/>
                <w:sz w:val="18"/>
                <w:szCs w:val="18"/>
              </w:rPr>
              <w:t>完成教材第2章作业。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3</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2060" w:type="dxa"/>
            <w:vAlign w:val="center"/>
          </w:tcPr>
          <w:p>
            <w:pPr>
              <w:adjustRightInd w:val="0"/>
              <w:snapToGrid w:val="0"/>
              <w:spacing w:line="300" w:lineRule="auto"/>
              <w:rPr>
                <w:sz w:val="18"/>
                <w:szCs w:val="18"/>
              </w:rPr>
            </w:pPr>
            <w:r>
              <w:rPr>
                <w:sz w:val="18"/>
                <w:szCs w:val="18"/>
              </w:rPr>
              <w:t>3 JSP的开发和运行环境</w:t>
            </w:r>
          </w:p>
          <w:p>
            <w:pPr>
              <w:adjustRightInd w:val="0"/>
              <w:snapToGrid w:val="0"/>
              <w:spacing w:line="300" w:lineRule="auto"/>
              <w:ind w:right="-31" w:rightChars="-15" w:firstLine="2"/>
              <w:rPr>
                <w:sz w:val="18"/>
                <w:szCs w:val="18"/>
              </w:rPr>
            </w:pPr>
            <w:r>
              <w:rPr>
                <w:sz w:val="18"/>
                <w:szCs w:val="18"/>
              </w:rPr>
              <w:t>3.1 JSP的开发和应用平台介绍3.2 Eclipse Java EE集成开发环境</w:t>
            </w:r>
          </w:p>
          <w:p>
            <w:pPr>
              <w:adjustRightInd w:val="0"/>
              <w:snapToGrid w:val="0"/>
              <w:spacing w:line="300" w:lineRule="auto"/>
              <w:ind w:right="-31" w:rightChars="-15" w:firstLine="2"/>
              <w:rPr>
                <w:sz w:val="18"/>
                <w:szCs w:val="18"/>
              </w:rPr>
            </w:pPr>
            <w:r>
              <w:rPr>
                <w:sz w:val="18"/>
                <w:szCs w:val="18"/>
              </w:rPr>
              <w:t>3.3 Eclipse集成开发环境配置</w:t>
            </w:r>
          </w:p>
          <w:p>
            <w:pPr>
              <w:adjustRightInd w:val="0"/>
              <w:snapToGrid w:val="0"/>
              <w:spacing w:line="300" w:lineRule="auto"/>
              <w:ind w:right="-31" w:rightChars="-15" w:firstLine="2"/>
              <w:rPr>
                <w:sz w:val="18"/>
                <w:szCs w:val="18"/>
              </w:rPr>
            </w:pPr>
            <w:r>
              <w:rPr>
                <w:sz w:val="18"/>
                <w:szCs w:val="18"/>
              </w:rPr>
              <w:t>3.4 MyEclipse开发环境</w:t>
            </w:r>
          </w:p>
          <w:p>
            <w:pPr>
              <w:adjustRightInd w:val="0"/>
              <w:snapToGrid w:val="0"/>
              <w:spacing w:line="300" w:lineRule="auto"/>
              <w:rPr>
                <w:kern w:val="0"/>
                <w:sz w:val="18"/>
                <w:szCs w:val="18"/>
              </w:rPr>
            </w:pP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rPr>
                <w:sz w:val="18"/>
                <w:szCs w:val="18"/>
              </w:rPr>
            </w:pPr>
            <w:r>
              <w:rPr>
                <w:sz w:val="18"/>
                <w:szCs w:val="18"/>
              </w:rPr>
              <w:t>（1）了解JSP的开发和应用平台。</w:t>
            </w:r>
          </w:p>
          <w:p>
            <w:pPr>
              <w:adjustRightInd w:val="0"/>
              <w:snapToGrid w:val="0"/>
              <w:spacing w:line="300" w:lineRule="auto"/>
              <w:rPr>
                <w:sz w:val="18"/>
                <w:szCs w:val="18"/>
              </w:rPr>
            </w:pPr>
            <w:r>
              <w:rPr>
                <w:sz w:val="18"/>
                <w:szCs w:val="18"/>
              </w:rPr>
              <w:t>（2）理解Eclipse Java EE集成开发环境。</w:t>
            </w:r>
          </w:p>
          <w:p>
            <w:pPr>
              <w:adjustRightInd w:val="0"/>
              <w:snapToGrid w:val="0"/>
              <w:spacing w:line="300" w:lineRule="auto"/>
              <w:rPr>
                <w:sz w:val="18"/>
                <w:szCs w:val="18"/>
              </w:rPr>
            </w:pPr>
            <w:r>
              <w:rPr>
                <w:sz w:val="18"/>
                <w:szCs w:val="18"/>
              </w:rPr>
              <w:t>（3）重点掌握安装和配置JDK、Tomcat服务器，Eclipse和MyEclipse开发环境配置。</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（1）安装和配置JDK、Tomcat服务器，Eclipse和MyEclipse开发环境配置。</w:t>
            </w:r>
          </w:p>
          <w:p>
            <w:pPr>
              <w:adjustRightInd w:val="0"/>
              <w:snapToGrid w:val="0"/>
              <w:spacing w:line="300" w:lineRule="auto"/>
              <w:rPr>
                <w:sz w:val="18"/>
                <w:szCs w:val="18"/>
              </w:rPr>
            </w:pPr>
            <w:r>
              <w:rPr>
                <w:sz w:val="18"/>
                <w:szCs w:val="18"/>
              </w:rPr>
              <w:t>（2）</w:t>
            </w:r>
            <w:r>
              <w:rPr>
                <w:kern w:val="0"/>
                <w:sz w:val="18"/>
                <w:szCs w:val="18"/>
              </w:rPr>
              <w:t>完成教材第3章作业。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2060" w:type="dxa"/>
            <w:vAlign w:val="center"/>
          </w:tcPr>
          <w:p>
            <w:pPr>
              <w:adjustRightInd w:val="0"/>
              <w:snapToGrid w:val="0"/>
              <w:spacing w:line="300" w:lineRule="auto"/>
              <w:ind w:right="-31" w:rightChars="-15"/>
              <w:rPr>
                <w:sz w:val="18"/>
                <w:szCs w:val="18"/>
              </w:rPr>
            </w:pPr>
            <w:r>
              <w:rPr>
                <w:sz w:val="18"/>
                <w:szCs w:val="18"/>
              </w:rPr>
              <w:t>4  JSP基本语法</w:t>
            </w:r>
          </w:p>
          <w:p>
            <w:pPr>
              <w:adjustRightInd w:val="0"/>
              <w:snapToGrid w:val="0"/>
              <w:spacing w:line="300" w:lineRule="auto"/>
              <w:ind w:right="-31" w:rightChars="-15" w:firstLine="2"/>
              <w:rPr>
                <w:sz w:val="18"/>
                <w:szCs w:val="18"/>
              </w:rPr>
            </w:pPr>
            <w:r>
              <w:rPr>
                <w:sz w:val="18"/>
                <w:szCs w:val="18"/>
              </w:rPr>
              <w:t>4.1 JSP文件的结构</w:t>
            </w:r>
          </w:p>
          <w:p>
            <w:pPr>
              <w:adjustRightInd w:val="0"/>
              <w:snapToGrid w:val="0"/>
              <w:spacing w:line="300" w:lineRule="auto"/>
              <w:ind w:right="-31" w:rightChars="-15" w:firstLine="2"/>
              <w:rPr>
                <w:sz w:val="18"/>
                <w:szCs w:val="18"/>
              </w:rPr>
            </w:pPr>
            <w:r>
              <w:rPr>
                <w:sz w:val="18"/>
                <w:szCs w:val="18"/>
              </w:rPr>
              <w:t>4.2 JSP的脚本元素</w:t>
            </w:r>
          </w:p>
          <w:p>
            <w:pPr>
              <w:adjustRightInd w:val="0"/>
              <w:snapToGrid w:val="0"/>
              <w:spacing w:line="300" w:lineRule="auto"/>
              <w:ind w:right="-31" w:rightChars="-15" w:firstLine="2"/>
              <w:rPr>
                <w:sz w:val="18"/>
                <w:szCs w:val="18"/>
              </w:rPr>
            </w:pPr>
            <w:r>
              <w:rPr>
                <w:sz w:val="18"/>
                <w:szCs w:val="18"/>
              </w:rPr>
              <w:t>4.3 JSP指令元素</w:t>
            </w:r>
          </w:p>
          <w:p>
            <w:pPr>
              <w:adjustRightInd w:val="0"/>
              <w:snapToGrid w:val="0"/>
              <w:spacing w:line="300" w:lineRule="auto"/>
              <w:ind w:right="-31" w:rightChars="-15" w:firstLine="2"/>
              <w:rPr>
                <w:sz w:val="18"/>
                <w:szCs w:val="18"/>
              </w:rPr>
            </w:pPr>
            <w:r>
              <w:rPr>
                <w:sz w:val="18"/>
                <w:szCs w:val="18"/>
              </w:rPr>
              <w:t>4.4 JSP动作元素</w:t>
            </w:r>
          </w:p>
          <w:p>
            <w:pPr>
              <w:adjustRightInd w:val="0"/>
              <w:snapToGrid w:val="0"/>
              <w:spacing w:line="300" w:lineRule="auto"/>
              <w:rPr>
                <w:kern w:val="0"/>
                <w:sz w:val="18"/>
                <w:szCs w:val="18"/>
              </w:rPr>
            </w:pP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（1）了解JSP文件的结构。</w:t>
            </w:r>
          </w:p>
          <w:p>
            <w:pPr>
              <w:adjustRightInd w:val="0"/>
              <w:snapToGrid w:val="0"/>
              <w:spacing w:line="300" w:lineRule="auto"/>
              <w:ind w:right="-31" w:rightChars="-15"/>
              <w:rPr>
                <w:sz w:val="18"/>
                <w:szCs w:val="18"/>
              </w:rPr>
            </w:pPr>
            <w:r>
              <w:rPr>
                <w:sz w:val="18"/>
                <w:szCs w:val="18"/>
              </w:rPr>
              <w:t>（2）理解JSP的脚本元素。</w:t>
            </w:r>
          </w:p>
          <w:p>
            <w:pPr>
              <w:adjustRightInd w:val="0"/>
              <w:snapToGrid w:val="0"/>
              <w:spacing w:line="300" w:lineRule="auto"/>
              <w:rPr>
                <w:sz w:val="18"/>
                <w:szCs w:val="18"/>
              </w:rPr>
            </w:pPr>
            <w:r>
              <w:rPr>
                <w:sz w:val="18"/>
                <w:szCs w:val="18"/>
              </w:rPr>
              <w:t>（3）重点掌握JSP指令元素，JSP动作元素。</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（1）JSP指令元素，JSP动作元素编程。</w:t>
            </w:r>
          </w:p>
          <w:p>
            <w:pPr>
              <w:adjustRightInd w:val="0"/>
              <w:snapToGrid w:val="0"/>
              <w:spacing w:line="300" w:lineRule="auto"/>
              <w:rPr>
                <w:sz w:val="18"/>
                <w:szCs w:val="18"/>
              </w:rPr>
            </w:pPr>
            <w:r>
              <w:rPr>
                <w:sz w:val="18"/>
                <w:szCs w:val="18"/>
              </w:rPr>
              <w:t>（2）</w:t>
            </w:r>
            <w:r>
              <w:rPr>
                <w:kern w:val="0"/>
                <w:sz w:val="18"/>
                <w:szCs w:val="18"/>
              </w:rPr>
              <w:t>完成教材第4章作业。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3</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5</w:t>
            </w:r>
          </w:p>
        </w:tc>
        <w:tc>
          <w:tcPr>
            <w:tcW w:w="2060" w:type="dxa"/>
            <w:vAlign w:val="center"/>
          </w:tcPr>
          <w:p>
            <w:pPr>
              <w:adjustRightInd w:val="0"/>
              <w:snapToGrid w:val="0"/>
              <w:spacing w:line="300" w:lineRule="auto"/>
              <w:ind w:right="-31" w:rightChars="-15"/>
              <w:rPr>
                <w:sz w:val="18"/>
                <w:szCs w:val="18"/>
              </w:rPr>
            </w:pPr>
            <w:r>
              <w:rPr>
                <w:sz w:val="18"/>
                <w:szCs w:val="18"/>
              </w:rPr>
              <w:t>5  JSP内置对象</w:t>
            </w:r>
          </w:p>
          <w:p>
            <w:pPr>
              <w:adjustRightInd w:val="0"/>
              <w:snapToGrid w:val="0"/>
              <w:spacing w:line="300" w:lineRule="auto"/>
              <w:ind w:right="-31" w:rightChars="-15" w:firstLine="2"/>
              <w:rPr>
                <w:sz w:val="18"/>
                <w:szCs w:val="18"/>
              </w:rPr>
            </w:pPr>
            <w:r>
              <w:rPr>
                <w:sz w:val="18"/>
                <w:szCs w:val="18"/>
              </w:rPr>
              <w:t>5.1 JSP内置对象概述</w:t>
            </w:r>
          </w:p>
          <w:p>
            <w:pPr>
              <w:adjustRightInd w:val="0"/>
              <w:snapToGrid w:val="0"/>
              <w:spacing w:line="300" w:lineRule="auto"/>
              <w:ind w:right="-31" w:rightChars="-15" w:firstLine="2"/>
              <w:rPr>
                <w:sz w:val="18"/>
                <w:szCs w:val="18"/>
              </w:rPr>
            </w:pPr>
            <w:r>
              <w:rPr>
                <w:sz w:val="18"/>
                <w:szCs w:val="18"/>
              </w:rPr>
              <w:t>5.2 request对象</w:t>
            </w:r>
          </w:p>
          <w:p>
            <w:pPr>
              <w:adjustRightInd w:val="0"/>
              <w:snapToGrid w:val="0"/>
              <w:spacing w:line="300" w:lineRule="auto"/>
              <w:ind w:right="-31" w:rightChars="-15" w:firstLine="2"/>
              <w:rPr>
                <w:sz w:val="18"/>
                <w:szCs w:val="18"/>
              </w:rPr>
            </w:pPr>
            <w:r>
              <w:rPr>
                <w:sz w:val="18"/>
                <w:szCs w:val="18"/>
              </w:rPr>
              <w:t>5.3 response对象</w:t>
            </w:r>
          </w:p>
          <w:p>
            <w:pPr>
              <w:adjustRightInd w:val="0"/>
              <w:snapToGrid w:val="0"/>
              <w:spacing w:line="300" w:lineRule="auto"/>
              <w:ind w:right="-31" w:rightChars="-15" w:firstLine="2"/>
              <w:rPr>
                <w:sz w:val="18"/>
                <w:szCs w:val="18"/>
              </w:rPr>
            </w:pPr>
            <w:r>
              <w:rPr>
                <w:sz w:val="18"/>
                <w:szCs w:val="18"/>
              </w:rPr>
              <w:t>5.4 out对象</w:t>
            </w:r>
          </w:p>
          <w:p>
            <w:pPr>
              <w:adjustRightInd w:val="0"/>
              <w:snapToGrid w:val="0"/>
              <w:spacing w:line="300" w:lineRule="auto"/>
              <w:ind w:right="-31" w:rightChars="-15" w:firstLine="2"/>
              <w:rPr>
                <w:sz w:val="18"/>
                <w:szCs w:val="18"/>
              </w:rPr>
            </w:pPr>
            <w:r>
              <w:rPr>
                <w:sz w:val="18"/>
                <w:szCs w:val="18"/>
              </w:rPr>
              <w:t>5.5 session对象</w:t>
            </w:r>
          </w:p>
          <w:p>
            <w:pPr>
              <w:adjustRightInd w:val="0"/>
              <w:snapToGrid w:val="0"/>
              <w:spacing w:line="300" w:lineRule="auto"/>
              <w:ind w:right="-31" w:rightChars="-15" w:firstLine="2"/>
              <w:rPr>
                <w:sz w:val="18"/>
                <w:szCs w:val="18"/>
              </w:rPr>
            </w:pPr>
            <w:r>
              <w:rPr>
                <w:sz w:val="18"/>
                <w:szCs w:val="18"/>
              </w:rPr>
              <w:t>5.6 application内置对象</w:t>
            </w:r>
          </w:p>
          <w:p>
            <w:pPr>
              <w:adjustRightInd w:val="0"/>
              <w:snapToGrid w:val="0"/>
              <w:spacing w:line="300" w:lineRule="auto"/>
              <w:rPr>
                <w:kern w:val="0"/>
                <w:sz w:val="18"/>
                <w:szCs w:val="18"/>
              </w:rPr>
            </w:pPr>
            <w:r>
              <w:rPr>
                <w:sz w:val="18"/>
                <w:szCs w:val="18"/>
              </w:rPr>
              <w:t>5.7 其他JSP内置对象</w:t>
            </w: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（1）了解JSP内置对象概述。</w:t>
            </w:r>
          </w:p>
          <w:p>
            <w:pPr>
              <w:adjustRightInd w:val="0"/>
              <w:snapToGrid w:val="0"/>
              <w:spacing w:line="300" w:lineRule="auto"/>
              <w:ind w:right="-31" w:rightChars="-15"/>
              <w:rPr>
                <w:sz w:val="18"/>
                <w:szCs w:val="18"/>
              </w:rPr>
            </w:pPr>
            <w:r>
              <w:rPr>
                <w:sz w:val="18"/>
                <w:szCs w:val="18"/>
              </w:rPr>
              <w:t>（2）理解out对象。</w:t>
            </w:r>
          </w:p>
          <w:p>
            <w:pPr>
              <w:adjustRightInd w:val="0"/>
              <w:snapToGrid w:val="0"/>
              <w:spacing w:line="300" w:lineRule="auto"/>
              <w:rPr>
                <w:sz w:val="18"/>
                <w:szCs w:val="18"/>
              </w:rPr>
            </w:pPr>
            <w:r>
              <w:rPr>
                <w:sz w:val="18"/>
                <w:szCs w:val="18"/>
              </w:rPr>
              <w:t>（3）重点掌握request对象，response对象， session对象, application内置对象。</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（1）内置对象编程。</w:t>
            </w:r>
          </w:p>
          <w:p>
            <w:pPr>
              <w:adjustRightInd w:val="0"/>
              <w:snapToGrid w:val="0"/>
              <w:spacing w:line="300" w:lineRule="auto"/>
              <w:rPr>
                <w:sz w:val="18"/>
                <w:szCs w:val="18"/>
              </w:rPr>
            </w:pPr>
            <w:r>
              <w:rPr>
                <w:sz w:val="18"/>
                <w:szCs w:val="18"/>
              </w:rPr>
              <w:t>（2）</w:t>
            </w:r>
            <w:r>
              <w:rPr>
                <w:kern w:val="0"/>
                <w:sz w:val="18"/>
                <w:szCs w:val="18"/>
              </w:rPr>
              <w:t>完成教材第5章作业。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6</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6</w:t>
            </w:r>
          </w:p>
        </w:tc>
        <w:tc>
          <w:tcPr>
            <w:tcW w:w="2060" w:type="dxa"/>
            <w:vAlign w:val="center"/>
          </w:tcPr>
          <w:p>
            <w:pPr>
              <w:adjustRightInd w:val="0"/>
              <w:snapToGrid w:val="0"/>
              <w:spacing w:line="300" w:lineRule="auto"/>
              <w:ind w:right="-31" w:rightChars="-15"/>
              <w:rPr>
                <w:sz w:val="18"/>
                <w:szCs w:val="18"/>
              </w:rPr>
            </w:pPr>
            <w:r>
              <w:rPr>
                <w:sz w:val="18"/>
                <w:szCs w:val="18"/>
              </w:rPr>
              <w:t>6  Servlet基础</w:t>
            </w:r>
          </w:p>
          <w:p>
            <w:pPr>
              <w:adjustRightInd w:val="0"/>
              <w:snapToGrid w:val="0"/>
              <w:spacing w:line="300" w:lineRule="auto"/>
              <w:ind w:right="-31" w:rightChars="-15" w:firstLine="2"/>
              <w:rPr>
                <w:sz w:val="18"/>
                <w:szCs w:val="18"/>
              </w:rPr>
            </w:pPr>
            <w:r>
              <w:rPr>
                <w:sz w:val="18"/>
                <w:szCs w:val="18"/>
              </w:rPr>
              <w:t>6.1 Servlet介绍</w:t>
            </w:r>
          </w:p>
          <w:p>
            <w:pPr>
              <w:adjustRightInd w:val="0"/>
              <w:snapToGrid w:val="0"/>
              <w:spacing w:line="300" w:lineRule="auto"/>
              <w:ind w:right="-31" w:rightChars="-15" w:firstLine="2"/>
              <w:rPr>
                <w:sz w:val="18"/>
                <w:szCs w:val="18"/>
              </w:rPr>
            </w:pPr>
            <w:r>
              <w:rPr>
                <w:sz w:val="18"/>
                <w:szCs w:val="18"/>
              </w:rPr>
              <w:t>6.2 开发部署一个简单的Servlet</w:t>
            </w:r>
          </w:p>
          <w:p>
            <w:pPr>
              <w:adjustRightInd w:val="0"/>
              <w:snapToGrid w:val="0"/>
              <w:spacing w:line="300" w:lineRule="auto"/>
              <w:ind w:right="-31" w:rightChars="-15" w:firstLine="2"/>
              <w:rPr>
                <w:sz w:val="18"/>
                <w:szCs w:val="18"/>
              </w:rPr>
            </w:pPr>
            <w:r>
              <w:rPr>
                <w:sz w:val="18"/>
                <w:szCs w:val="18"/>
              </w:rPr>
              <w:t>6.3 Servlet实现相关的接口和类</w:t>
            </w:r>
          </w:p>
          <w:p>
            <w:pPr>
              <w:adjustRightInd w:val="0"/>
              <w:snapToGrid w:val="0"/>
              <w:spacing w:line="300" w:lineRule="auto"/>
              <w:ind w:right="-31" w:rightChars="-15" w:firstLine="2"/>
              <w:rPr>
                <w:sz w:val="18"/>
                <w:szCs w:val="18"/>
              </w:rPr>
            </w:pPr>
            <w:r>
              <w:rPr>
                <w:sz w:val="18"/>
                <w:szCs w:val="18"/>
              </w:rPr>
              <w:t>6.4 Servlet请求和响应</w:t>
            </w:r>
          </w:p>
          <w:p>
            <w:pPr>
              <w:adjustRightInd w:val="0"/>
              <w:snapToGrid w:val="0"/>
              <w:spacing w:line="300" w:lineRule="auto"/>
              <w:ind w:right="-31" w:rightChars="-15" w:firstLine="2"/>
              <w:rPr>
                <w:sz w:val="18"/>
                <w:szCs w:val="18"/>
              </w:rPr>
            </w:pPr>
            <w:r>
              <w:rPr>
                <w:sz w:val="18"/>
                <w:szCs w:val="18"/>
              </w:rPr>
              <w:t>6.5 Servlet配置</w:t>
            </w:r>
          </w:p>
          <w:p>
            <w:pPr>
              <w:adjustRightInd w:val="0"/>
              <w:snapToGrid w:val="0"/>
              <w:spacing w:line="300" w:lineRule="auto"/>
              <w:ind w:right="-31" w:rightChars="-15" w:firstLine="2"/>
              <w:rPr>
                <w:sz w:val="18"/>
                <w:szCs w:val="18"/>
              </w:rPr>
            </w:pPr>
            <w:r>
              <w:rPr>
                <w:sz w:val="18"/>
                <w:szCs w:val="18"/>
              </w:rPr>
              <w:t>6.6 Servlet中的会话追踪</w:t>
            </w:r>
          </w:p>
          <w:p>
            <w:pPr>
              <w:adjustRightInd w:val="0"/>
              <w:snapToGrid w:val="0"/>
              <w:spacing w:line="300" w:lineRule="auto"/>
              <w:ind w:right="-31" w:rightChars="-15" w:firstLine="2"/>
              <w:rPr>
                <w:sz w:val="18"/>
                <w:szCs w:val="18"/>
              </w:rPr>
            </w:pPr>
            <w:r>
              <w:rPr>
                <w:sz w:val="18"/>
                <w:szCs w:val="18"/>
              </w:rPr>
              <w:t>6.7 Servlet上下文</w:t>
            </w:r>
          </w:p>
          <w:p>
            <w:pPr>
              <w:adjustRightInd w:val="0"/>
              <w:snapToGrid w:val="0"/>
              <w:spacing w:line="300" w:lineRule="auto"/>
              <w:ind w:right="-31" w:rightChars="-15" w:firstLine="2"/>
              <w:rPr>
                <w:sz w:val="18"/>
                <w:szCs w:val="18"/>
              </w:rPr>
            </w:pPr>
            <w:r>
              <w:rPr>
                <w:sz w:val="18"/>
                <w:szCs w:val="18"/>
              </w:rPr>
              <w:t>6.8 Servlet协作</w:t>
            </w:r>
          </w:p>
          <w:p>
            <w:pPr>
              <w:adjustRightInd w:val="0"/>
              <w:snapToGrid w:val="0"/>
              <w:spacing w:line="300" w:lineRule="auto"/>
              <w:rPr>
                <w:kern w:val="0"/>
                <w:sz w:val="18"/>
                <w:szCs w:val="18"/>
              </w:rPr>
            </w:pPr>
            <w:r>
              <w:rPr>
                <w:sz w:val="18"/>
                <w:szCs w:val="18"/>
              </w:rPr>
              <w:t>6.9 Servlet异常处理</w:t>
            </w: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（1）了解Servlet协作。</w:t>
            </w:r>
          </w:p>
          <w:p>
            <w:pPr>
              <w:adjustRightInd w:val="0"/>
              <w:snapToGrid w:val="0"/>
              <w:spacing w:line="300" w:lineRule="auto"/>
              <w:ind w:right="-31" w:rightChars="-15"/>
              <w:rPr>
                <w:sz w:val="18"/>
                <w:szCs w:val="18"/>
              </w:rPr>
            </w:pPr>
            <w:r>
              <w:rPr>
                <w:sz w:val="18"/>
                <w:szCs w:val="18"/>
              </w:rPr>
              <w:t>（2）理解Servlet上下文，Servlet异常处理。</w:t>
            </w:r>
          </w:p>
          <w:p>
            <w:pPr>
              <w:adjustRightInd w:val="0"/>
              <w:snapToGrid w:val="0"/>
              <w:spacing w:line="300" w:lineRule="auto"/>
              <w:rPr>
                <w:sz w:val="18"/>
                <w:szCs w:val="18"/>
              </w:rPr>
            </w:pPr>
            <w:r>
              <w:rPr>
                <w:sz w:val="18"/>
                <w:szCs w:val="18"/>
              </w:rPr>
              <w:t>（3）重点掌握Servlet配置、Servlet接口和类。</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（1）开发部署一个简单的Servlet。</w:t>
            </w:r>
          </w:p>
          <w:p>
            <w:pPr>
              <w:adjustRightInd w:val="0"/>
              <w:snapToGrid w:val="0"/>
              <w:spacing w:line="300" w:lineRule="auto"/>
              <w:rPr>
                <w:sz w:val="18"/>
                <w:szCs w:val="18"/>
              </w:rPr>
            </w:pPr>
            <w:r>
              <w:rPr>
                <w:sz w:val="18"/>
                <w:szCs w:val="18"/>
              </w:rPr>
              <w:t>（2）</w:t>
            </w:r>
            <w:r>
              <w:rPr>
                <w:kern w:val="0"/>
                <w:sz w:val="18"/>
                <w:szCs w:val="18"/>
              </w:rPr>
              <w:t>完成教材第6章作业。</w:t>
            </w:r>
            <w:r>
              <w:rPr>
                <w:sz w:val="18"/>
                <w:szCs w:val="18"/>
              </w:rPr>
              <w:t xml:space="preserve"> </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3</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7</w:t>
            </w:r>
          </w:p>
        </w:tc>
        <w:tc>
          <w:tcPr>
            <w:tcW w:w="2060" w:type="dxa"/>
            <w:vAlign w:val="center"/>
          </w:tcPr>
          <w:p>
            <w:pPr>
              <w:adjustRightInd w:val="0"/>
              <w:snapToGrid w:val="0"/>
              <w:spacing w:line="300" w:lineRule="auto"/>
              <w:ind w:right="-31" w:rightChars="-15"/>
              <w:rPr>
                <w:sz w:val="18"/>
                <w:szCs w:val="18"/>
              </w:rPr>
            </w:pPr>
            <w:r>
              <w:rPr>
                <w:sz w:val="18"/>
                <w:szCs w:val="18"/>
              </w:rPr>
              <w:t>7  JavaBean 和表单处理</w:t>
            </w:r>
          </w:p>
          <w:p>
            <w:pPr>
              <w:adjustRightInd w:val="0"/>
              <w:snapToGrid w:val="0"/>
              <w:spacing w:line="300" w:lineRule="auto"/>
              <w:ind w:right="-31" w:rightChars="-15" w:firstLine="2"/>
              <w:rPr>
                <w:sz w:val="18"/>
                <w:szCs w:val="18"/>
              </w:rPr>
            </w:pPr>
            <w:r>
              <w:rPr>
                <w:sz w:val="18"/>
                <w:szCs w:val="18"/>
              </w:rPr>
              <w:t>7.1 非MVC模式(Model1)</w:t>
            </w:r>
          </w:p>
          <w:p>
            <w:pPr>
              <w:adjustRightInd w:val="0"/>
              <w:snapToGrid w:val="0"/>
              <w:spacing w:line="300" w:lineRule="auto"/>
              <w:ind w:right="-31" w:rightChars="-15" w:firstLine="2"/>
              <w:rPr>
                <w:sz w:val="18"/>
                <w:szCs w:val="18"/>
              </w:rPr>
            </w:pPr>
            <w:r>
              <w:rPr>
                <w:sz w:val="18"/>
                <w:szCs w:val="18"/>
              </w:rPr>
              <w:t>7.2 MVC编程模式(Model2)</w:t>
            </w:r>
          </w:p>
          <w:p>
            <w:pPr>
              <w:adjustRightInd w:val="0"/>
              <w:snapToGrid w:val="0"/>
              <w:spacing w:line="300" w:lineRule="auto"/>
              <w:ind w:right="-31" w:rightChars="-15" w:firstLine="2"/>
              <w:rPr>
                <w:sz w:val="18"/>
                <w:szCs w:val="18"/>
              </w:rPr>
            </w:pPr>
            <w:r>
              <w:rPr>
                <w:sz w:val="18"/>
                <w:szCs w:val="18"/>
              </w:rPr>
              <w:t>7.3 剖析JavaBean</w:t>
            </w:r>
          </w:p>
          <w:p>
            <w:pPr>
              <w:adjustRightInd w:val="0"/>
              <w:snapToGrid w:val="0"/>
              <w:spacing w:line="300" w:lineRule="auto"/>
              <w:ind w:right="-31" w:rightChars="-15" w:firstLine="2"/>
              <w:rPr>
                <w:sz w:val="18"/>
                <w:szCs w:val="18"/>
              </w:rPr>
            </w:pPr>
            <w:r>
              <w:rPr>
                <w:sz w:val="18"/>
                <w:szCs w:val="18"/>
              </w:rPr>
              <w:t>7.4 在JSP中使用JavaBean</w:t>
            </w:r>
          </w:p>
          <w:p>
            <w:pPr>
              <w:adjustRightInd w:val="0"/>
              <w:snapToGrid w:val="0"/>
              <w:spacing w:line="300" w:lineRule="auto"/>
              <w:ind w:right="-31" w:rightChars="-15" w:firstLine="2"/>
              <w:rPr>
                <w:sz w:val="18"/>
                <w:szCs w:val="18"/>
              </w:rPr>
            </w:pPr>
            <w:r>
              <w:rPr>
                <w:sz w:val="18"/>
                <w:szCs w:val="18"/>
              </w:rPr>
              <w:t>7.5 使用JavaBean处理表单数据</w:t>
            </w:r>
          </w:p>
          <w:p>
            <w:pPr>
              <w:adjustRightInd w:val="0"/>
              <w:snapToGrid w:val="0"/>
              <w:spacing w:line="300" w:lineRule="auto"/>
              <w:rPr>
                <w:kern w:val="0"/>
                <w:sz w:val="18"/>
                <w:szCs w:val="18"/>
              </w:rPr>
            </w:pP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（1）理解非MVC模式，JavaBean。</w:t>
            </w:r>
          </w:p>
          <w:p>
            <w:pPr>
              <w:adjustRightInd w:val="0"/>
              <w:snapToGrid w:val="0"/>
              <w:spacing w:line="300" w:lineRule="auto"/>
              <w:rPr>
                <w:sz w:val="18"/>
                <w:szCs w:val="18"/>
              </w:rPr>
            </w:pPr>
            <w:r>
              <w:rPr>
                <w:sz w:val="18"/>
                <w:szCs w:val="18"/>
              </w:rPr>
              <w:t>（1）重点掌握MVC编程模式(Model2)，使用JavaBean处理表单数据。</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（1）MVC模式编程。</w:t>
            </w:r>
          </w:p>
          <w:p>
            <w:pPr>
              <w:adjustRightInd w:val="0"/>
              <w:snapToGrid w:val="0"/>
              <w:spacing w:line="300" w:lineRule="auto"/>
              <w:rPr>
                <w:sz w:val="18"/>
                <w:szCs w:val="18"/>
              </w:rPr>
            </w:pPr>
            <w:r>
              <w:rPr>
                <w:sz w:val="18"/>
                <w:szCs w:val="18"/>
              </w:rPr>
              <w:t>（2）</w:t>
            </w:r>
            <w:r>
              <w:rPr>
                <w:kern w:val="0"/>
                <w:sz w:val="18"/>
                <w:szCs w:val="18"/>
              </w:rPr>
              <w:t>完成教材第7章作业。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4</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86" w:type="dxa"/>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8</w:t>
            </w:r>
          </w:p>
        </w:tc>
        <w:tc>
          <w:tcPr>
            <w:tcW w:w="2060" w:type="dxa"/>
            <w:vAlign w:val="center"/>
          </w:tcPr>
          <w:p>
            <w:pPr>
              <w:adjustRightInd w:val="0"/>
              <w:snapToGrid w:val="0"/>
              <w:spacing w:line="300" w:lineRule="auto"/>
              <w:ind w:right="-31" w:rightChars="-15"/>
              <w:rPr>
                <w:sz w:val="18"/>
                <w:szCs w:val="18"/>
              </w:rPr>
            </w:pPr>
            <w:r>
              <w:rPr>
                <w:sz w:val="18"/>
                <w:szCs w:val="18"/>
              </w:rPr>
              <w:t>8 应用JDBC进行数据库开发</w:t>
            </w:r>
          </w:p>
          <w:p>
            <w:pPr>
              <w:adjustRightInd w:val="0"/>
              <w:snapToGrid w:val="0"/>
              <w:spacing w:line="300" w:lineRule="auto"/>
              <w:ind w:right="-31" w:rightChars="-15" w:firstLine="2"/>
              <w:rPr>
                <w:sz w:val="18"/>
                <w:szCs w:val="18"/>
              </w:rPr>
            </w:pPr>
            <w:r>
              <w:rPr>
                <w:sz w:val="18"/>
                <w:szCs w:val="18"/>
              </w:rPr>
              <w:t>8.1 JDBC概述</w:t>
            </w:r>
          </w:p>
          <w:p>
            <w:pPr>
              <w:adjustRightInd w:val="0"/>
              <w:snapToGrid w:val="0"/>
              <w:spacing w:line="300" w:lineRule="auto"/>
              <w:ind w:right="-31" w:rightChars="-15" w:firstLine="2"/>
              <w:rPr>
                <w:sz w:val="18"/>
                <w:szCs w:val="18"/>
              </w:rPr>
            </w:pPr>
            <w:r>
              <w:rPr>
                <w:sz w:val="18"/>
                <w:szCs w:val="18"/>
              </w:rPr>
              <w:t>8.2 JDBC连接数据库的方法</w:t>
            </w:r>
          </w:p>
          <w:p>
            <w:pPr>
              <w:adjustRightInd w:val="0"/>
              <w:snapToGrid w:val="0"/>
              <w:spacing w:line="300" w:lineRule="auto"/>
              <w:ind w:right="-31" w:rightChars="-15" w:firstLine="2"/>
              <w:rPr>
                <w:sz w:val="18"/>
                <w:szCs w:val="18"/>
              </w:rPr>
            </w:pPr>
            <w:r>
              <w:rPr>
                <w:sz w:val="18"/>
                <w:szCs w:val="18"/>
              </w:rPr>
              <w:t>8.3 使用JDBC操作数据库</w:t>
            </w:r>
          </w:p>
          <w:p>
            <w:pPr>
              <w:adjustRightInd w:val="0"/>
              <w:snapToGrid w:val="0"/>
              <w:spacing w:line="300" w:lineRule="auto"/>
              <w:ind w:right="-31" w:rightChars="-15" w:firstLine="2"/>
              <w:rPr>
                <w:sz w:val="18"/>
                <w:szCs w:val="18"/>
              </w:rPr>
            </w:pPr>
            <w:r>
              <w:rPr>
                <w:sz w:val="18"/>
                <w:szCs w:val="18"/>
              </w:rPr>
              <w:t>8.4 Java与SQL的数据类型转换</w:t>
            </w:r>
          </w:p>
          <w:p>
            <w:pPr>
              <w:adjustRightInd w:val="0"/>
              <w:snapToGrid w:val="0"/>
              <w:spacing w:line="300" w:lineRule="auto"/>
              <w:ind w:right="-31" w:rightChars="-15" w:firstLine="2"/>
              <w:rPr>
                <w:kern w:val="0"/>
                <w:sz w:val="18"/>
                <w:szCs w:val="18"/>
              </w:rPr>
            </w:pPr>
            <w:r>
              <w:rPr>
                <w:sz w:val="18"/>
                <w:szCs w:val="18"/>
              </w:rPr>
              <w:t>8.5 使用JDBC连接不同的数据库</w:t>
            </w:r>
          </w:p>
        </w:tc>
        <w:tc>
          <w:tcPr>
            <w:tcW w:w="4271" w:type="dxa"/>
            <w:vAlign w:val="center"/>
          </w:tcPr>
          <w:p>
            <w:pPr>
              <w:widowControl/>
              <w:tabs>
                <w:tab w:val="left" w:pos="426"/>
                <w:tab w:val="left" w:pos="5245"/>
                <w:tab w:val="left" w:pos="5387"/>
              </w:tabs>
              <w:adjustRightInd w:val="0"/>
              <w:snapToGrid w:val="0"/>
              <w:spacing w:line="300" w:lineRule="auto"/>
              <w:rPr>
                <w:kern w:val="0"/>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（1）了解JDBC体系结构。</w:t>
            </w:r>
          </w:p>
          <w:p>
            <w:pPr>
              <w:adjustRightInd w:val="0"/>
              <w:snapToGrid w:val="0"/>
              <w:spacing w:line="300" w:lineRule="auto"/>
              <w:ind w:right="-31" w:rightChars="-15"/>
              <w:rPr>
                <w:sz w:val="18"/>
                <w:szCs w:val="18"/>
              </w:rPr>
            </w:pPr>
            <w:r>
              <w:rPr>
                <w:sz w:val="18"/>
                <w:szCs w:val="18"/>
              </w:rPr>
              <w:t>（2）理解JDBC的典型用法。</w:t>
            </w:r>
          </w:p>
          <w:p>
            <w:pPr>
              <w:adjustRightInd w:val="0"/>
              <w:snapToGrid w:val="0"/>
              <w:spacing w:line="300" w:lineRule="auto"/>
              <w:ind w:right="-31" w:rightChars="-15"/>
              <w:rPr>
                <w:sz w:val="18"/>
                <w:szCs w:val="18"/>
              </w:rPr>
            </w:pPr>
            <w:r>
              <w:rPr>
                <w:sz w:val="18"/>
                <w:szCs w:val="18"/>
              </w:rPr>
              <w:t>（3）重点掌握JDBC连接数据库的方法，使用JDBC操作数据库。</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rPr>
                <w:sz w:val="18"/>
                <w:szCs w:val="18"/>
              </w:rPr>
            </w:pPr>
            <w:r>
              <w:rPr>
                <w:sz w:val="18"/>
                <w:szCs w:val="18"/>
              </w:rPr>
              <w:t>（1）JDBC连接数据库编程。</w:t>
            </w:r>
          </w:p>
          <w:p>
            <w:pPr>
              <w:adjustRightInd w:val="0"/>
              <w:snapToGrid w:val="0"/>
              <w:spacing w:line="300" w:lineRule="auto"/>
              <w:rPr>
                <w:sz w:val="18"/>
                <w:szCs w:val="18"/>
              </w:rPr>
            </w:pPr>
            <w:r>
              <w:rPr>
                <w:sz w:val="18"/>
                <w:szCs w:val="18"/>
              </w:rPr>
              <w:t>（2）</w:t>
            </w:r>
            <w:r>
              <w:rPr>
                <w:kern w:val="0"/>
                <w:sz w:val="18"/>
                <w:szCs w:val="18"/>
              </w:rPr>
              <w:t>完成教材第8章作业。</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 xml:space="preserve">教学方法 </w:t>
            </w:r>
          </w:p>
          <w:p>
            <w:pPr>
              <w:adjustRightInd w:val="0"/>
              <w:snapToGrid w:val="0"/>
              <w:spacing w:line="300" w:lineRule="auto"/>
              <w:ind w:right="-31" w:rightChars="-15"/>
              <w:rPr>
                <w:kern w:val="0"/>
                <w:sz w:val="18"/>
                <w:szCs w:val="18"/>
              </w:rPr>
            </w:pPr>
            <w:r>
              <w:rPr>
                <w:kern w:val="0"/>
                <w:sz w:val="18"/>
                <w:szCs w:val="18"/>
              </w:rPr>
              <w:t>讲授式、讨论式、案例式与启发式相结合。</w:t>
            </w:r>
          </w:p>
        </w:tc>
        <w:tc>
          <w:tcPr>
            <w:tcW w:w="734" w:type="dxa"/>
            <w:vAlign w:val="center"/>
          </w:tcPr>
          <w:p>
            <w:pPr>
              <w:widowControl/>
              <w:adjustRightInd w:val="0"/>
              <w:snapToGrid w:val="0"/>
              <w:spacing w:line="300" w:lineRule="auto"/>
              <w:jc w:val="center"/>
              <w:rPr>
                <w:kern w:val="0"/>
                <w:sz w:val="18"/>
                <w:szCs w:val="18"/>
              </w:rPr>
            </w:pPr>
            <w:r>
              <w:rPr>
                <w:kern w:val="0"/>
                <w:sz w:val="18"/>
                <w:szCs w:val="18"/>
              </w:rPr>
              <w:t>2</w:t>
            </w:r>
          </w:p>
        </w:tc>
        <w:tc>
          <w:tcPr>
            <w:tcW w:w="1030" w:type="dxa"/>
            <w:vAlign w:val="center"/>
          </w:tcPr>
          <w:p>
            <w:pPr>
              <w:widowControl/>
              <w:adjustRightInd w:val="0"/>
              <w:snapToGrid w:val="0"/>
              <w:spacing w:line="300" w:lineRule="auto"/>
              <w:jc w:val="center"/>
              <w:rPr>
                <w:kern w:val="0"/>
                <w:sz w:val="18"/>
                <w:szCs w:val="18"/>
              </w:rPr>
            </w:pPr>
            <w:r>
              <w:rPr>
                <w:kern w:val="0"/>
                <w:sz w:val="18"/>
                <w:szCs w:val="18"/>
              </w:rPr>
              <w:t>1，2，3</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741"/>
        <w:gridCol w:w="2839"/>
        <w:gridCol w:w="696"/>
        <w:gridCol w:w="698"/>
        <w:gridCol w:w="698"/>
        <w:gridCol w:w="62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1" w:type="dxa"/>
            <w:vAlign w:val="center"/>
          </w:tcPr>
          <w:p>
            <w:pPr>
              <w:snapToGrid w:val="0"/>
              <w:spacing w:line="300" w:lineRule="auto"/>
              <w:jc w:val="center"/>
              <w:rPr>
                <w:b/>
                <w:bCs/>
                <w:sz w:val="18"/>
                <w:szCs w:val="18"/>
              </w:rPr>
            </w:pPr>
            <w:r>
              <w:rPr>
                <w:b/>
                <w:bCs/>
                <w:kern w:val="0"/>
                <w:sz w:val="18"/>
                <w:szCs w:val="18"/>
              </w:rPr>
              <w:t>序号</w:t>
            </w:r>
          </w:p>
        </w:tc>
        <w:tc>
          <w:tcPr>
            <w:tcW w:w="1741" w:type="dxa"/>
            <w:vAlign w:val="center"/>
          </w:tcPr>
          <w:p>
            <w:pPr>
              <w:snapToGrid w:val="0"/>
              <w:spacing w:line="300" w:lineRule="auto"/>
              <w:jc w:val="center"/>
              <w:rPr>
                <w:b/>
                <w:bCs/>
                <w:sz w:val="18"/>
                <w:szCs w:val="18"/>
              </w:rPr>
            </w:pPr>
            <w:r>
              <w:rPr>
                <w:b/>
                <w:bCs/>
                <w:kern w:val="0"/>
                <w:sz w:val="18"/>
                <w:szCs w:val="18"/>
              </w:rPr>
              <w:t>实验项目名称</w:t>
            </w:r>
          </w:p>
        </w:tc>
        <w:tc>
          <w:tcPr>
            <w:tcW w:w="2839" w:type="dxa"/>
            <w:vAlign w:val="center"/>
          </w:tcPr>
          <w:p>
            <w:pPr>
              <w:snapToGrid w:val="0"/>
              <w:spacing w:line="300" w:lineRule="auto"/>
              <w:jc w:val="center"/>
              <w:rPr>
                <w:b/>
                <w:bCs/>
                <w:sz w:val="18"/>
                <w:szCs w:val="18"/>
              </w:rPr>
            </w:pPr>
            <w:r>
              <w:rPr>
                <w:b/>
                <w:bCs/>
                <w:kern w:val="0"/>
                <w:sz w:val="18"/>
                <w:szCs w:val="18"/>
              </w:rPr>
              <w:t>目的要求</w:t>
            </w:r>
          </w:p>
        </w:tc>
        <w:tc>
          <w:tcPr>
            <w:tcW w:w="696" w:type="dxa"/>
            <w:vAlign w:val="center"/>
          </w:tcPr>
          <w:p>
            <w:pPr>
              <w:snapToGrid w:val="0"/>
              <w:spacing w:line="300" w:lineRule="auto"/>
              <w:jc w:val="center"/>
              <w:rPr>
                <w:b/>
                <w:bCs/>
                <w:sz w:val="18"/>
                <w:szCs w:val="18"/>
              </w:rPr>
            </w:pPr>
            <w:r>
              <w:rPr>
                <w:b/>
                <w:bCs/>
                <w:kern w:val="0"/>
                <w:sz w:val="18"/>
                <w:szCs w:val="18"/>
              </w:rPr>
              <w:t>学时分配</w:t>
            </w:r>
          </w:p>
        </w:tc>
        <w:tc>
          <w:tcPr>
            <w:tcW w:w="698" w:type="dxa"/>
            <w:vAlign w:val="center"/>
          </w:tcPr>
          <w:p>
            <w:pPr>
              <w:snapToGrid w:val="0"/>
              <w:spacing w:line="300" w:lineRule="auto"/>
              <w:jc w:val="center"/>
              <w:rPr>
                <w:b/>
                <w:bCs/>
                <w:kern w:val="0"/>
                <w:sz w:val="18"/>
                <w:szCs w:val="18"/>
              </w:rPr>
            </w:pPr>
            <w:r>
              <w:rPr>
                <w:b/>
                <w:bCs/>
                <w:kern w:val="0"/>
                <w:sz w:val="18"/>
                <w:szCs w:val="18"/>
              </w:rPr>
              <w:t>实验类型</w:t>
            </w:r>
          </w:p>
        </w:tc>
        <w:tc>
          <w:tcPr>
            <w:tcW w:w="698"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5"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adjustRightInd w:val="0"/>
              <w:snapToGrid w:val="0"/>
              <w:spacing w:line="300" w:lineRule="auto"/>
              <w:jc w:val="center"/>
              <w:rPr>
                <w:kern w:val="0"/>
                <w:sz w:val="18"/>
                <w:szCs w:val="18"/>
              </w:rPr>
            </w:pPr>
            <w:r>
              <w:rPr>
                <w:kern w:val="0"/>
                <w:sz w:val="18"/>
                <w:szCs w:val="18"/>
              </w:rPr>
              <w:t>1</w:t>
            </w:r>
          </w:p>
        </w:tc>
        <w:tc>
          <w:tcPr>
            <w:tcW w:w="1741" w:type="dxa"/>
            <w:vAlign w:val="center"/>
          </w:tcPr>
          <w:p>
            <w:pPr>
              <w:adjustRightInd w:val="0"/>
              <w:snapToGrid w:val="0"/>
              <w:spacing w:line="300" w:lineRule="auto"/>
              <w:rPr>
                <w:kern w:val="0"/>
                <w:sz w:val="18"/>
                <w:szCs w:val="18"/>
              </w:rPr>
            </w:pPr>
            <w:r>
              <w:rPr>
                <w:kern w:val="0"/>
                <w:sz w:val="18"/>
                <w:szCs w:val="18"/>
              </w:rPr>
              <w:t>JSP基础实验</w:t>
            </w:r>
          </w:p>
        </w:tc>
        <w:tc>
          <w:tcPr>
            <w:tcW w:w="2839" w:type="dxa"/>
            <w:vAlign w:val="center"/>
          </w:tcPr>
          <w:p>
            <w:pPr>
              <w:adjustRightInd w:val="0"/>
              <w:snapToGrid w:val="0"/>
              <w:spacing w:line="300" w:lineRule="auto"/>
              <w:rPr>
                <w:kern w:val="0"/>
                <w:sz w:val="18"/>
                <w:szCs w:val="18"/>
              </w:rPr>
            </w:pPr>
            <w:r>
              <w:rPr>
                <w:kern w:val="0"/>
                <w:sz w:val="18"/>
                <w:szCs w:val="18"/>
              </w:rPr>
              <w:t>JDK、tomcat的安装与配； Myeclipse的安装与配置； JSP程序的部署运行</w:t>
            </w:r>
          </w:p>
        </w:tc>
        <w:tc>
          <w:tcPr>
            <w:tcW w:w="696" w:type="dxa"/>
            <w:vAlign w:val="center"/>
          </w:tcPr>
          <w:p>
            <w:pPr>
              <w:adjustRightInd w:val="0"/>
              <w:snapToGrid w:val="0"/>
              <w:spacing w:line="300" w:lineRule="auto"/>
              <w:jc w:val="center"/>
              <w:rPr>
                <w:kern w:val="0"/>
                <w:sz w:val="18"/>
                <w:szCs w:val="18"/>
              </w:rPr>
            </w:pPr>
            <w:r>
              <w:rPr>
                <w:kern w:val="0"/>
                <w:sz w:val="18"/>
                <w:szCs w:val="18"/>
              </w:rPr>
              <w:t>2</w:t>
            </w:r>
          </w:p>
        </w:tc>
        <w:tc>
          <w:tcPr>
            <w:tcW w:w="698" w:type="dxa"/>
            <w:vAlign w:val="center"/>
          </w:tcPr>
          <w:p>
            <w:pPr>
              <w:adjustRightInd w:val="0"/>
              <w:snapToGrid w:val="0"/>
              <w:spacing w:line="300" w:lineRule="auto"/>
              <w:jc w:val="center"/>
              <w:rPr>
                <w:kern w:val="0"/>
                <w:sz w:val="18"/>
                <w:szCs w:val="18"/>
              </w:rPr>
            </w:pPr>
            <w:r>
              <w:rPr>
                <w:kern w:val="0"/>
                <w:sz w:val="18"/>
                <w:szCs w:val="18"/>
              </w:rPr>
              <w:t>验证</w:t>
            </w:r>
          </w:p>
        </w:tc>
        <w:tc>
          <w:tcPr>
            <w:tcW w:w="698" w:type="dxa"/>
            <w:vAlign w:val="center"/>
          </w:tcPr>
          <w:p>
            <w:pPr>
              <w:adjustRightInd w:val="0"/>
              <w:snapToGrid w:val="0"/>
              <w:spacing w:line="300" w:lineRule="auto"/>
              <w:jc w:val="center"/>
              <w:rPr>
                <w:kern w:val="0"/>
                <w:sz w:val="18"/>
                <w:szCs w:val="18"/>
              </w:rPr>
            </w:pPr>
            <w:r>
              <w:rPr>
                <w:kern w:val="0"/>
                <w:sz w:val="18"/>
                <w:szCs w:val="18"/>
              </w:rPr>
              <w:t>1</w:t>
            </w:r>
          </w:p>
        </w:tc>
        <w:tc>
          <w:tcPr>
            <w:tcW w:w="62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1" w:type="dxa"/>
            <w:vAlign w:val="center"/>
          </w:tcPr>
          <w:p>
            <w:pPr>
              <w:adjustRightInd w:val="0"/>
              <w:snapToGrid w:val="0"/>
              <w:spacing w:line="300" w:lineRule="auto"/>
              <w:jc w:val="center"/>
              <w:rPr>
                <w:kern w:val="0"/>
                <w:sz w:val="18"/>
                <w:szCs w:val="18"/>
              </w:rPr>
            </w:pPr>
            <w:r>
              <w:rPr>
                <w:kern w:val="0"/>
                <w:sz w:val="18"/>
                <w:szCs w:val="18"/>
              </w:rPr>
              <w:t>2</w:t>
            </w:r>
          </w:p>
        </w:tc>
        <w:tc>
          <w:tcPr>
            <w:tcW w:w="1741" w:type="dxa"/>
            <w:vAlign w:val="center"/>
          </w:tcPr>
          <w:p>
            <w:pPr>
              <w:adjustRightInd w:val="0"/>
              <w:snapToGrid w:val="0"/>
              <w:spacing w:line="300" w:lineRule="auto"/>
              <w:rPr>
                <w:kern w:val="0"/>
                <w:sz w:val="18"/>
                <w:szCs w:val="18"/>
              </w:rPr>
            </w:pPr>
            <w:r>
              <w:rPr>
                <w:kern w:val="0"/>
                <w:sz w:val="18"/>
                <w:szCs w:val="18"/>
              </w:rPr>
              <w:t>JSP指令编程</w:t>
            </w:r>
          </w:p>
        </w:tc>
        <w:tc>
          <w:tcPr>
            <w:tcW w:w="2839" w:type="dxa"/>
            <w:vAlign w:val="center"/>
          </w:tcPr>
          <w:p>
            <w:pPr>
              <w:adjustRightInd w:val="0"/>
              <w:snapToGrid w:val="0"/>
              <w:spacing w:line="300" w:lineRule="auto"/>
              <w:rPr>
                <w:kern w:val="0"/>
                <w:sz w:val="18"/>
                <w:szCs w:val="18"/>
              </w:rPr>
            </w:pPr>
            <w:r>
              <w:rPr>
                <w:kern w:val="0"/>
                <w:sz w:val="18"/>
                <w:szCs w:val="18"/>
              </w:rPr>
              <w:t>JSP指令、JSP脚本元素应用</w:t>
            </w:r>
          </w:p>
        </w:tc>
        <w:tc>
          <w:tcPr>
            <w:tcW w:w="696" w:type="dxa"/>
            <w:vAlign w:val="center"/>
          </w:tcPr>
          <w:p>
            <w:pPr>
              <w:adjustRightInd w:val="0"/>
              <w:snapToGrid w:val="0"/>
              <w:spacing w:line="300" w:lineRule="auto"/>
              <w:jc w:val="center"/>
              <w:rPr>
                <w:kern w:val="0"/>
                <w:sz w:val="18"/>
                <w:szCs w:val="18"/>
              </w:rPr>
            </w:pPr>
            <w:r>
              <w:rPr>
                <w:kern w:val="0"/>
                <w:sz w:val="18"/>
                <w:szCs w:val="18"/>
              </w:rPr>
              <w:t>2</w:t>
            </w:r>
          </w:p>
        </w:tc>
        <w:tc>
          <w:tcPr>
            <w:tcW w:w="698" w:type="dxa"/>
            <w:vAlign w:val="center"/>
          </w:tcPr>
          <w:p>
            <w:pPr>
              <w:adjustRightInd w:val="0"/>
              <w:snapToGrid w:val="0"/>
              <w:spacing w:line="300" w:lineRule="auto"/>
              <w:jc w:val="center"/>
              <w:rPr>
                <w:kern w:val="0"/>
                <w:sz w:val="18"/>
                <w:szCs w:val="18"/>
              </w:rPr>
            </w:pPr>
            <w:r>
              <w:rPr>
                <w:kern w:val="0"/>
                <w:sz w:val="18"/>
                <w:szCs w:val="18"/>
              </w:rPr>
              <w:t>验证</w:t>
            </w:r>
          </w:p>
        </w:tc>
        <w:tc>
          <w:tcPr>
            <w:tcW w:w="698" w:type="dxa"/>
            <w:vAlign w:val="center"/>
          </w:tcPr>
          <w:p>
            <w:pPr>
              <w:adjustRightInd w:val="0"/>
              <w:snapToGrid w:val="0"/>
              <w:spacing w:line="300" w:lineRule="auto"/>
              <w:jc w:val="center"/>
              <w:rPr>
                <w:kern w:val="0"/>
                <w:sz w:val="18"/>
                <w:szCs w:val="18"/>
              </w:rPr>
            </w:pPr>
            <w:r>
              <w:rPr>
                <w:kern w:val="0"/>
                <w:sz w:val="18"/>
                <w:szCs w:val="18"/>
              </w:rPr>
              <w:t>1</w:t>
            </w:r>
          </w:p>
        </w:tc>
        <w:tc>
          <w:tcPr>
            <w:tcW w:w="62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1" w:type="dxa"/>
            <w:vAlign w:val="center"/>
          </w:tcPr>
          <w:p>
            <w:pPr>
              <w:adjustRightInd w:val="0"/>
              <w:snapToGrid w:val="0"/>
              <w:spacing w:line="300" w:lineRule="auto"/>
              <w:jc w:val="center"/>
              <w:rPr>
                <w:kern w:val="0"/>
                <w:sz w:val="18"/>
                <w:szCs w:val="18"/>
              </w:rPr>
            </w:pPr>
            <w:r>
              <w:rPr>
                <w:kern w:val="0"/>
                <w:sz w:val="18"/>
                <w:szCs w:val="18"/>
              </w:rPr>
              <w:t>3</w:t>
            </w:r>
          </w:p>
        </w:tc>
        <w:tc>
          <w:tcPr>
            <w:tcW w:w="1741" w:type="dxa"/>
            <w:vAlign w:val="center"/>
          </w:tcPr>
          <w:p>
            <w:pPr>
              <w:adjustRightInd w:val="0"/>
              <w:snapToGrid w:val="0"/>
              <w:spacing w:line="300" w:lineRule="auto"/>
              <w:rPr>
                <w:kern w:val="0"/>
                <w:sz w:val="18"/>
                <w:szCs w:val="18"/>
              </w:rPr>
            </w:pPr>
            <w:r>
              <w:rPr>
                <w:kern w:val="0"/>
                <w:sz w:val="18"/>
                <w:szCs w:val="18"/>
              </w:rPr>
              <w:t>JSP内置对象编程</w:t>
            </w:r>
          </w:p>
        </w:tc>
        <w:tc>
          <w:tcPr>
            <w:tcW w:w="2839" w:type="dxa"/>
            <w:vAlign w:val="center"/>
          </w:tcPr>
          <w:p>
            <w:pPr>
              <w:adjustRightInd w:val="0"/>
              <w:snapToGrid w:val="0"/>
              <w:spacing w:line="300" w:lineRule="auto"/>
              <w:rPr>
                <w:kern w:val="0"/>
                <w:sz w:val="18"/>
                <w:szCs w:val="18"/>
              </w:rPr>
            </w:pPr>
            <w:r>
              <w:rPr>
                <w:kern w:val="0"/>
                <w:sz w:val="18"/>
                <w:szCs w:val="18"/>
              </w:rPr>
              <w:t>request对象、response对象</w:t>
            </w:r>
          </w:p>
          <w:p>
            <w:pPr>
              <w:adjustRightInd w:val="0"/>
              <w:snapToGrid w:val="0"/>
              <w:spacing w:line="300" w:lineRule="auto"/>
              <w:rPr>
                <w:kern w:val="0"/>
                <w:sz w:val="18"/>
                <w:szCs w:val="18"/>
              </w:rPr>
            </w:pPr>
            <w:r>
              <w:rPr>
                <w:kern w:val="0"/>
                <w:sz w:val="18"/>
                <w:szCs w:val="18"/>
              </w:rPr>
              <w:t>和session对象的应用</w:t>
            </w:r>
          </w:p>
        </w:tc>
        <w:tc>
          <w:tcPr>
            <w:tcW w:w="696" w:type="dxa"/>
            <w:vAlign w:val="center"/>
          </w:tcPr>
          <w:p>
            <w:pPr>
              <w:adjustRightInd w:val="0"/>
              <w:snapToGrid w:val="0"/>
              <w:spacing w:line="300" w:lineRule="auto"/>
              <w:jc w:val="center"/>
              <w:rPr>
                <w:kern w:val="0"/>
                <w:sz w:val="18"/>
                <w:szCs w:val="18"/>
              </w:rPr>
            </w:pPr>
            <w:r>
              <w:rPr>
                <w:kern w:val="0"/>
                <w:sz w:val="18"/>
                <w:szCs w:val="18"/>
              </w:rPr>
              <w:t>2</w:t>
            </w:r>
          </w:p>
        </w:tc>
        <w:tc>
          <w:tcPr>
            <w:tcW w:w="698" w:type="dxa"/>
            <w:vAlign w:val="center"/>
          </w:tcPr>
          <w:p>
            <w:pPr>
              <w:adjustRightInd w:val="0"/>
              <w:snapToGrid w:val="0"/>
              <w:spacing w:line="300" w:lineRule="auto"/>
              <w:jc w:val="center"/>
              <w:rPr>
                <w:kern w:val="0"/>
                <w:sz w:val="18"/>
                <w:szCs w:val="18"/>
              </w:rPr>
            </w:pPr>
            <w:r>
              <w:rPr>
                <w:kern w:val="0"/>
                <w:sz w:val="18"/>
                <w:szCs w:val="18"/>
              </w:rPr>
              <w:t>验证</w:t>
            </w:r>
          </w:p>
        </w:tc>
        <w:tc>
          <w:tcPr>
            <w:tcW w:w="698" w:type="dxa"/>
            <w:vAlign w:val="center"/>
          </w:tcPr>
          <w:p>
            <w:pPr>
              <w:adjustRightInd w:val="0"/>
              <w:snapToGrid w:val="0"/>
              <w:spacing w:line="300" w:lineRule="auto"/>
              <w:jc w:val="center"/>
              <w:rPr>
                <w:kern w:val="0"/>
                <w:sz w:val="18"/>
                <w:szCs w:val="18"/>
              </w:rPr>
            </w:pPr>
            <w:r>
              <w:rPr>
                <w:kern w:val="0"/>
                <w:sz w:val="18"/>
                <w:szCs w:val="18"/>
              </w:rPr>
              <w:t>1</w:t>
            </w:r>
          </w:p>
        </w:tc>
        <w:tc>
          <w:tcPr>
            <w:tcW w:w="623" w:type="dxa"/>
            <w:vAlign w:val="center"/>
          </w:tcPr>
          <w:p>
            <w:pPr>
              <w:adjustRightInd w:val="0"/>
              <w:snapToGrid w:val="0"/>
              <w:spacing w:line="300" w:lineRule="auto"/>
              <w:jc w:val="center"/>
              <w:rPr>
                <w:kern w:val="0"/>
                <w:sz w:val="18"/>
                <w:szCs w:val="18"/>
              </w:rPr>
            </w:pPr>
            <w:r>
              <w:rPr>
                <w:kern w:val="0"/>
                <w:sz w:val="18"/>
                <w:szCs w:val="18"/>
              </w:rPr>
              <w:t>必开</w:t>
            </w:r>
          </w:p>
        </w:tc>
        <w:tc>
          <w:tcPr>
            <w:tcW w:w="675" w:type="dxa"/>
            <w:vAlign w:val="center"/>
          </w:tcPr>
          <w:p>
            <w:pPr>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11" w:type="dxa"/>
            <w:vAlign w:val="center"/>
          </w:tcPr>
          <w:p>
            <w:pPr>
              <w:adjustRightInd w:val="0"/>
              <w:snapToGrid w:val="0"/>
              <w:spacing w:line="300" w:lineRule="auto"/>
              <w:jc w:val="center"/>
              <w:rPr>
                <w:kern w:val="0"/>
                <w:sz w:val="18"/>
                <w:szCs w:val="18"/>
              </w:rPr>
            </w:pPr>
            <w:r>
              <w:rPr>
                <w:kern w:val="0"/>
                <w:sz w:val="18"/>
                <w:szCs w:val="18"/>
              </w:rPr>
              <w:t>4</w:t>
            </w:r>
          </w:p>
        </w:tc>
        <w:tc>
          <w:tcPr>
            <w:tcW w:w="1741" w:type="dxa"/>
            <w:vAlign w:val="center"/>
          </w:tcPr>
          <w:p>
            <w:pPr>
              <w:adjustRightInd w:val="0"/>
              <w:snapToGrid w:val="0"/>
              <w:spacing w:line="300" w:lineRule="auto"/>
              <w:rPr>
                <w:kern w:val="0"/>
                <w:sz w:val="18"/>
                <w:szCs w:val="18"/>
              </w:rPr>
            </w:pPr>
            <w:r>
              <w:rPr>
                <w:kern w:val="0"/>
                <w:sz w:val="18"/>
                <w:szCs w:val="18"/>
              </w:rPr>
              <w:t>Servlet编程</w:t>
            </w:r>
          </w:p>
        </w:tc>
        <w:tc>
          <w:tcPr>
            <w:tcW w:w="2839" w:type="dxa"/>
            <w:vAlign w:val="center"/>
          </w:tcPr>
          <w:p>
            <w:pPr>
              <w:adjustRightInd w:val="0"/>
              <w:snapToGrid w:val="0"/>
              <w:spacing w:line="300" w:lineRule="auto"/>
              <w:rPr>
                <w:kern w:val="0"/>
                <w:sz w:val="18"/>
                <w:szCs w:val="18"/>
              </w:rPr>
            </w:pPr>
            <w:r>
              <w:rPr>
                <w:kern w:val="0"/>
                <w:sz w:val="18"/>
                <w:szCs w:val="18"/>
              </w:rPr>
              <w:t>Servlet对客户端请求的响应；表单向servlet的数据提交</w:t>
            </w:r>
          </w:p>
        </w:tc>
        <w:tc>
          <w:tcPr>
            <w:tcW w:w="696" w:type="dxa"/>
            <w:vAlign w:val="center"/>
          </w:tcPr>
          <w:p>
            <w:pPr>
              <w:adjustRightInd w:val="0"/>
              <w:snapToGrid w:val="0"/>
              <w:spacing w:line="300" w:lineRule="auto"/>
              <w:jc w:val="center"/>
              <w:rPr>
                <w:kern w:val="0"/>
                <w:sz w:val="18"/>
                <w:szCs w:val="18"/>
              </w:rPr>
            </w:pPr>
            <w:r>
              <w:rPr>
                <w:kern w:val="0"/>
                <w:sz w:val="18"/>
                <w:szCs w:val="18"/>
              </w:rPr>
              <w:t>2</w:t>
            </w:r>
          </w:p>
        </w:tc>
        <w:tc>
          <w:tcPr>
            <w:tcW w:w="698" w:type="dxa"/>
            <w:vAlign w:val="center"/>
          </w:tcPr>
          <w:p>
            <w:pPr>
              <w:adjustRightInd w:val="0"/>
              <w:snapToGrid w:val="0"/>
              <w:spacing w:line="300" w:lineRule="auto"/>
              <w:jc w:val="center"/>
              <w:rPr>
                <w:kern w:val="0"/>
                <w:sz w:val="18"/>
                <w:szCs w:val="18"/>
              </w:rPr>
            </w:pPr>
            <w:r>
              <w:rPr>
                <w:kern w:val="0"/>
                <w:sz w:val="18"/>
                <w:szCs w:val="18"/>
              </w:rPr>
              <w:t>验证</w:t>
            </w:r>
          </w:p>
        </w:tc>
        <w:tc>
          <w:tcPr>
            <w:tcW w:w="698" w:type="dxa"/>
            <w:vAlign w:val="center"/>
          </w:tcPr>
          <w:p>
            <w:pPr>
              <w:adjustRightInd w:val="0"/>
              <w:snapToGrid w:val="0"/>
              <w:spacing w:line="300" w:lineRule="auto"/>
              <w:jc w:val="center"/>
              <w:rPr>
                <w:kern w:val="0"/>
                <w:sz w:val="18"/>
                <w:szCs w:val="18"/>
              </w:rPr>
            </w:pPr>
            <w:r>
              <w:rPr>
                <w:kern w:val="0"/>
                <w:sz w:val="18"/>
                <w:szCs w:val="18"/>
              </w:rPr>
              <w:t>1</w:t>
            </w:r>
          </w:p>
        </w:tc>
        <w:tc>
          <w:tcPr>
            <w:tcW w:w="623" w:type="dxa"/>
            <w:vAlign w:val="center"/>
          </w:tcPr>
          <w:p>
            <w:pPr>
              <w:adjustRightInd w:val="0"/>
              <w:snapToGrid w:val="0"/>
              <w:spacing w:line="300" w:lineRule="auto"/>
              <w:jc w:val="center"/>
              <w:rPr>
                <w:kern w:val="0"/>
                <w:sz w:val="18"/>
                <w:szCs w:val="18"/>
              </w:rPr>
            </w:pPr>
            <w:r>
              <w:rPr>
                <w:kern w:val="0"/>
                <w:sz w:val="18"/>
                <w:szCs w:val="18"/>
              </w:rPr>
              <w:t>比作</w:t>
            </w:r>
          </w:p>
        </w:tc>
        <w:tc>
          <w:tcPr>
            <w:tcW w:w="675" w:type="dxa"/>
            <w:vAlign w:val="center"/>
          </w:tcPr>
          <w:p>
            <w:pPr>
              <w:adjustRightInd w:val="0"/>
              <w:snapToGrid w:val="0"/>
              <w:spacing w:line="300" w:lineRule="auto"/>
              <w:jc w:val="center"/>
              <w:rPr>
                <w:kern w:val="0"/>
                <w:sz w:val="18"/>
                <w:szCs w:val="18"/>
              </w:rPr>
            </w:pPr>
            <w:r>
              <w:rPr>
                <w:kern w:val="0"/>
                <w:sz w:val="18"/>
                <w:szCs w:val="18"/>
              </w:rPr>
              <w:t>1，2</w:t>
            </w:r>
          </w:p>
        </w:tc>
      </w:tr>
    </w:tbl>
    <w:p>
      <w:pPr>
        <w:rPr>
          <w:vanish/>
        </w:rPr>
      </w:pPr>
    </w:p>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1．考核方式：闭卷笔试课堂表现及作业，实验报告。</w:t>
      </w:r>
    </w:p>
    <w:p>
      <w:pPr>
        <w:spacing w:line="300" w:lineRule="auto"/>
        <w:ind w:firstLine="420" w:firstLineChars="200"/>
      </w:pPr>
      <w:r>
        <w:t>2．成绩构成：笔试成绩60%，平时成绩40%（课后作业、课堂表现、随堂测验、实验等）。</w:t>
      </w:r>
    </w:p>
    <w:p>
      <w:pPr>
        <w:snapToGrid w:val="0"/>
        <w:spacing w:line="300" w:lineRule="auto"/>
        <w:ind w:firstLine="420" w:firstLineChars="200"/>
      </w:pPr>
      <w:r>
        <w:t>3．考核评价标准见表5所示。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630"/>
        <w:gridCol w:w="600"/>
        <w:gridCol w:w="665"/>
        <w:gridCol w:w="615"/>
        <w:gridCol w:w="3810"/>
        <w:gridCol w:w="1060"/>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20"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630" w:type="dxa"/>
            <w:vAlign w:val="center"/>
          </w:tcPr>
          <w:p>
            <w:pPr>
              <w:snapToGrid w:val="0"/>
              <w:spacing w:line="300" w:lineRule="auto"/>
              <w:jc w:val="center"/>
              <w:rPr>
                <w:b/>
                <w:bCs/>
                <w:sz w:val="18"/>
                <w:szCs w:val="18"/>
              </w:rPr>
            </w:pPr>
            <w:r>
              <w:rPr>
                <w:b/>
                <w:bCs/>
                <w:sz w:val="18"/>
                <w:szCs w:val="18"/>
              </w:rPr>
              <w:t>分值</w:t>
            </w:r>
          </w:p>
        </w:tc>
        <w:tc>
          <w:tcPr>
            <w:tcW w:w="600" w:type="dxa"/>
            <w:vAlign w:val="center"/>
          </w:tcPr>
          <w:p>
            <w:pPr>
              <w:snapToGrid w:val="0"/>
              <w:spacing w:line="300" w:lineRule="auto"/>
              <w:jc w:val="center"/>
              <w:rPr>
                <w:b/>
                <w:bCs/>
                <w:sz w:val="18"/>
                <w:szCs w:val="18"/>
              </w:rPr>
            </w:pPr>
            <w:r>
              <w:rPr>
                <w:b/>
                <w:bCs/>
                <w:sz w:val="18"/>
                <w:szCs w:val="18"/>
              </w:rPr>
              <w:t>权重</w:t>
            </w:r>
          </w:p>
        </w:tc>
        <w:tc>
          <w:tcPr>
            <w:tcW w:w="665" w:type="dxa"/>
            <w:vAlign w:val="center"/>
          </w:tcPr>
          <w:p>
            <w:pPr>
              <w:snapToGrid w:val="0"/>
              <w:spacing w:line="300" w:lineRule="auto"/>
              <w:jc w:val="center"/>
              <w:rPr>
                <w:b/>
                <w:bCs/>
                <w:sz w:val="18"/>
                <w:szCs w:val="18"/>
              </w:rPr>
            </w:pPr>
            <w:r>
              <w:rPr>
                <w:b/>
                <w:bCs/>
                <w:sz w:val="18"/>
                <w:szCs w:val="18"/>
              </w:rPr>
              <w:t>类别</w:t>
            </w:r>
          </w:p>
        </w:tc>
        <w:tc>
          <w:tcPr>
            <w:tcW w:w="615" w:type="dxa"/>
            <w:vAlign w:val="center"/>
          </w:tcPr>
          <w:p>
            <w:pPr>
              <w:snapToGrid w:val="0"/>
              <w:spacing w:line="300" w:lineRule="auto"/>
              <w:jc w:val="center"/>
              <w:rPr>
                <w:b/>
                <w:bCs/>
                <w:sz w:val="18"/>
                <w:szCs w:val="18"/>
              </w:rPr>
            </w:pPr>
            <w:r>
              <w:rPr>
                <w:b/>
                <w:bCs/>
                <w:sz w:val="18"/>
                <w:szCs w:val="18"/>
              </w:rPr>
              <w:t>权重</w:t>
            </w:r>
          </w:p>
        </w:tc>
        <w:tc>
          <w:tcPr>
            <w:tcW w:w="3810" w:type="dxa"/>
            <w:vAlign w:val="center"/>
          </w:tcPr>
          <w:p>
            <w:pPr>
              <w:snapToGrid w:val="0"/>
              <w:spacing w:line="300" w:lineRule="auto"/>
              <w:jc w:val="center"/>
              <w:rPr>
                <w:b/>
                <w:bCs/>
                <w:sz w:val="18"/>
                <w:szCs w:val="18"/>
              </w:rPr>
            </w:pPr>
            <w:r>
              <w:rPr>
                <w:b/>
                <w:bCs/>
                <w:sz w:val="18"/>
                <w:szCs w:val="18"/>
              </w:rPr>
              <w:t>考核/评价细则</w:t>
            </w:r>
          </w:p>
        </w:tc>
        <w:tc>
          <w:tcPr>
            <w:tcW w:w="1060" w:type="dxa"/>
            <w:vAlign w:val="center"/>
          </w:tcPr>
          <w:p>
            <w:pPr>
              <w:snapToGrid w:val="0"/>
              <w:spacing w:line="300" w:lineRule="auto"/>
              <w:jc w:val="center"/>
              <w:rPr>
                <w:b/>
                <w:bCs/>
                <w:sz w:val="18"/>
                <w:szCs w:val="18"/>
              </w:rPr>
            </w:pPr>
            <w:r>
              <w:rPr>
                <w:b/>
                <w:bCs/>
                <w:sz w:val="18"/>
                <w:szCs w:val="18"/>
              </w:rPr>
              <w:t>课程目标</w:t>
            </w:r>
          </w:p>
        </w:tc>
        <w:tc>
          <w:tcPr>
            <w:tcW w:w="994" w:type="dxa"/>
            <w:vAlign w:val="center"/>
          </w:tcPr>
          <w:p>
            <w:pPr>
              <w:snapToGrid w:val="0"/>
              <w:spacing w:line="300" w:lineRule="auto"/>
              <w:jc w:val="center"/>
              <w:rPr>
                <w:b/>
                <w:bCs/>
                <w:sz w:val="18"/>
                <w:szCs w:val="18"/>
              </w:rPr>
            </w:pPr>
            <w:r>
              <w:rPr>
                <w:b/>
                <w:bCs/>
                <w:sz w:val="18"/>
                <w:szCs w:val="18"/>
              </w:rPr>
              <w:t>毕业要求</w:t>
            </w:r>
            <w:r>
              <w:rPr>
                <w:rFonts w:hint="eastAsia"/>
                <w:b/>
                <w:bCs/>
                <w:sz w:val="18"/>
                <w:szCs w:val="18"/>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restart"/>
            <w:vAlign w:val="center"/>
          </w:tcPr>
          <w:p>
            <w:pPr>
              <w:adjustRightInd w:val="0"/>
              <w:snapToGrid w:val="0"/>
              <w:spacing w:line="300" w:lineRule="auto"/>
              <w:rPr>
                <w:sz w:val="18"/>
                <w:szCs w:val="18"/>
              </w:rPr>
            </w:pPr>
            <w:r>
              <w:rPr>
                <w:sz w:val="18"/>
                <w:szCs w:val="18"/>
              </w:rPr>
              <w:t>平时</w:t>
            </w:r>
          </w:p>
          <w:p>
            <w:pPr>
              <w:adjustRightInd w:val="0"/>
              <w:snapToGrid w:val="0"/>
              <w:spacing w:line="300" w:lineRule="auto"/>
              <w:rPr>
                <w:sz w:val="18"/>
                <w:szCs w:val="18"/>
              </w:rPr>
            </w:pPr>
            <w:r>
              <w:rPr>
                <w:sz w:val="18"/>
                <w:szCs w:val="18"/>
              </w:rPr>
              <w:t>成绩</w:t>
            </w:r>
          </w:p>
        </w:tc>
        <w:tc>
          <w:tcPr>
            <w:tcW w:w="630" w:type="dxa"/>
            <w:vMerge w:val="restart"/>
            <w:vAlign w:val="center"/>
          </w:tcPr>
          <w:p>
            <w:pPr>
              <w:adjustRightInd w:val="0"/>
              <w:snapToGrid w:val="0"/>
              <w:spacing w:line="300" w:lineRule="auto"/>
              <w:jc w:val="center"/>
              <w:rPr>
                <w:sz w:val="18"/>
                <w:szCs w:val="18"/>
              </w:rPr>
            </w:pPr>
            <w:r>
              <w:rPr>
                <w:sz w:val="18"/>
                <w:szCs w:val="18"/>
              </w:rPr>
              <w:t>100</w:t>
            </w:r>
          </w:p>
        </w:tc>
        <w:tc>
          <w:tcPr>
            <w:tcW w:w="600" w:type="dxa"/>
            <w:vMerge w:val="restart"/>
            <w:vAlign w:val="center"/>
          </w:tcPr>
          <w:p>
            <w:pPr>
              <w:adjustRightInd w:val="0"/>
              <w:snapToGrid w:val="0"/>
              <w:spacing w:line="300" w:lineRule="auto"/>
              <w:jc w:val="center"/>
              <w:rPr>
                <w:sz w:val="18"/>
                <w:szCs w:val="18"/>
              </w:rPr>
            </w:pPr>
            <w:r>
              <w:rPr>
                <w:sz w:val="18"/>
                <w:szCs w:val="18"/>
              </w:rPr>
              <w:t>0.4</w:t>
            </w:r>
          </w:p>
        </w:tc>
        <w:tc>
          <w:tcPr>
            <w:tcW w:w="665" w:type="dxa"/>
            <w:vAlign w:val="center"/>
          </w:tcPr>
          <w:p>
            <w:pPr>
              <w:adjustRightInd w:val="0"/>
              <w:snapToGrid w:val="0"/>
              <w:spacing w:line="300" w:lineRule="auto"/>
              <w:jc w:val="center"/>
              <w:rPr>
                <w:sz w:val="18"/>
                <w:szCs w:val="18"/>
              </w:rPr>
            </w:pPr>
            <w:r>
              <w:rPr>
                <w:sz w:val="18"/>
                <w:szCs w:val="18"/>
              </w:rPr>
              <w:t>课堂表现与作业</w:t>
            </w:r>
          </w:p>
        </w:tc>
        <w:tc>
          <w:tcPr>
            <w:tcW w:w="615" w:type="dxa"/>
            <w:vAlign w:val="center"/>
          </w:tcPr>
          <w:p>
            <w:pPr>
              <w:adjustRightInd w:val="0"/>
              <w:snapToGrid w:val="0"/>
              <w:spacing w:line="300" w:lineRule="auto"/>
              <w:jc w:val="center"/>
              <w:rPr>
                <w:sz w:val="18"/>
                <w:szCs w:val="18"/>
              </w:rPr>
            </w:pPr>
            <w:r>
              <w:rPr>
                <w:sz w:val="18"/>
                <w:szCs w:val="18"/>
              </w:rPr>
              <w:t>0.5</w:t>
            </w:r>
          </w:p>
        </w:tc>
        <w:tc>
          <w:tcPr>
            <w:tcW w:w="3810" w:type="dxa"/>
            <w:vAlign w:val="center"/>
          </w:tcPr>
          <w:p>
            <w:pPr>
              <w:adjustRightInd w:val="0"/>
              <w:snapToGrid w:val="0"/>
              <w:spacing w:line="300" w:lineRule="auto"/>
              <w:rPr>
                <w:sz w:val="18"/>
                <w:szCs w:val="18"/>
              </w:rPr>
            </w:pPr>
            <w:r>
              <w:rPr>
                <w:sz w:val="18"/>
                <w:szCs w:val="18"/>
              </w:rPr>
              <w:t>根据学生课堂发言与</w:t>
            </w:r>
            <w:r>
              <w:rPr>
                <w:rFonts w:hint="eastAsia"/>
                <w:sz w:val="18"/>
                <w:szCs w:val="18"/>
              </w:rPr>
              <w:t>讨论，以及作业完成质量</w:t>
            </w:r>
            <w:r>
              <w:rPr>
                <w:sz w:val="18"/>
                <w:szCs w:val="18"/>
              </w:rPr>
              <w:t>。</w:t>
            </w:r>
          </w:p>
        </w:tc>
        <w:tc>
          <w:tcPr>
            <w:tcW w:w="1060" w:type="dxa"/>
            <w:vAlign w:val="center"/>
          </w:tcPr>
          <w:p>
            <w:pPr>
              <w:adjustRightInd w:val="0"/>
              <w:snapToGrid w:val="0"/>
              <w:spacing w:line="300" w:lineRule="auto"/>
              <w:jc w:val="left"/>
              <w:rPr>
                <w:sz w:val="18"/>
                <w:szCs w:val="18"/>
              </w:rPr>
            </w:pPr>
            <w:r>
              <w:rPr>
                <w:sz w:val="18"/>
                <w:szCs w:val="18"/>
              </w:rPr>
              <w:t>1，2，3</w:t>
            </w:r>
          </w:p>
        </w:tc>
        <w:tc>
          <w:tcPr>
            <w:tcW w:w="994" w:type="dxa"/>
            <w:vAlign w:val="center"/>
          </w:tcPr>
          <w:p>
            <w:pPr>
              <w:adjustRightInd w:val="0"/>
              <w:snapToGrid w:val="0"/>
              <w:spacing w:line="300" w:lineRule="auto"/>
              <w:jc w:val="left"/>
              <w:rPr>
                <w:sz w:val="18"/>
                <w:szCs w:val="18"/>
              </w:rPr>
            </w:pPr>
            <w:r>
              <w:rPr>
                <w:rFonts w:hint="eastAsia"/>
                <w:sz w:val="18"/>
                <w:szCs w:val="18"/>
              </w:rPr>
              <w:t>3.1，5.2，1</w:t>
            </w:r>
            <w:r>
              <w:rPr>
                <w:sz w:val="18"/>
                <w:szCs w:val="18"/>
              </w:rPr>
              <w:t>1</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vMerge w:val="continue"/>
            <w:vAlign w:val="center"/>
          </w:tcPr>
          <w:p>
            <w:pPr>
              <w:adjustRightInd w:val="0"/>
              <w:snapToGrid w:val="0"/>
              <w:spacing w:line="300" w:lineRule="auto"/>
              <w:rPr>
                <w:sz w:val="18"/>
                <w:szCs w:val="18"/>
              </w:rPr>
            </w:pPr>
          </w:p>
        </w:tc>
        <w:tc>
          <w:tcPr>
            <w:tcW w:w="630" w:type="dxa"/>
            <w:vMerge w:val="continue"/>
            <w:vAlign w:val="center"/>
          </w:tcPr>
          <w:p>
            <w:pPr>
              <w:adjustRightInd w:val="0"/>
              <w:snapToGrid w:val="0"/>
              <w:spacing w:line="300" w:lineRule="auto"/>
              <w:jc w:val="center"/>
              <w:rPr>
                <w:sz w:val="18"/>
                <w:szCs w:val="18"/>
              </w:rPr>
            </w:pPr>
          </w:p>
        </w:tc>
        <w:tc>
          <w:tcPr>
            <w:tcW w:w="600" w:type="dxa"/>
            <w:vMerge w:val="continue"/>
            <w:vAlign w:val="center"/>
          </w:tcPr>
          <w:p>
            <w:pPr>
              <w:adjustRightInd w:val="0"/>
              <w:snapToGrid w:val="0"/>
              <w:spacing w:line="300" w:lineRule="auto"/>
              <w:jc w:val="center"/>
              <w:rPr>
                <w:sz w:val="18"/>
                <w:szCs w:val="18"/>
              </w:rPr>
            </w:pPr>
          </w:p>
        </w:tc>
        <w:tc>
          <w:tcPr>
            <w:tcW w:w="665" w:type="dxa"/>
            <w:vAlign w:val="center"/>
          </w:tcPr>
          <w:p>
            <w:pPr>
              <w:adjustRightInd w:val="0"/>
              <w:snapToGrid w:val="0"/>
              <w:spacing w:line="300" w:lineRule="auto"/>
              <w:jc w:val="center"/>
              <w:rPr>
                <w:sz w:val="18"/>
                <w:szCs w:val="18"/>
              </w:rPr>
            </w:pPr>
            <w:r>
              <w:rPr>
                <w:sz w:val="18"/>
                <w:szCs w:val="18"/>
              </w:rPr>
              <w:t>实验</w:t>
            </w:r>
          </w:p>
        </w:tc>
        <w:tc>
          <w:tcPr>
            <w:tcW w:w="615" w:type="dxa"/>
            <w:vAlign w:val="center"/>
          </w:tcPr>
          <w:p>
            <w:pPr>
              <w:adjustRightInd w:val="0"/>
              <w:snapToGrid w:val="0"/>
              <w:spacing w:line="300" w:lineRule="auto"/>
              <w:jc w:val="center"/>
              <w:rPr>
                <w:sz w:val="18"/>
                <w:szCs w:val="18"/>
              </w:rPr>
            </w:pPr>
            <w:r>
              <w:rPr>
                <w:sz w:val="18"/>
                <w:szCs w:val="18"/>
              </w:rPr>
              <w:t>0.5</w:t>
            </w:r>
          </w:p>
        </w:tc>
        <w:tc>
          <w:tcPr>
            <w:tcW w:w="3810" w:type="dxa"/>
            <w:vAlign w:val="center"/>
          </w:tcPr>
          <w:p>
            <w:pPr>
              <w:adjustRightInd w:val="0"/>
              <w:snapToGrid w:val="0"/>
              <w:spacing w:line="300" w:lineRule="auto"/>
              <w:jc w:val="left"/>
              <w:rPr>
                <w:sz w:val="18"/>
                <w:szCs w:val="18"/>
              </w:rPr>
            </w:pPr>
            <w:r>
              <w:rPr>
                <w:sz w:val="18"/>
                <w:szCs w:val="18"/>
              </w:rPr>
              <w:t>根据实验完成质量，以及实验报告质量</w:t>
            </w:r>
            <w:r>
              <w:rPr>
                <w:rFonts w:hint="eastAsia"/>
                <w:sz w:val="18"/>
                <w:szCs w:val="18"/>
              </w:rPr>
              <w:t>。</w:t>
            </w:r>
          </w:p>
        </w:tc>
        <w:tc>
          <w:tcPr>
            <w:tcW w:w="1060" w:type="dxa"/>
            <w:vAlign w:val="center"/>
          </w:tcPr>
          <w:p>
            <w:pPr>
              <w:adjustRightInd w:val="0"/>
              <w:snapToGrid w:val="0"/>
              <w:spacing w:line="300" w:lineRule="auto"/>
              <w:jc w:val="left"/>
              <w:rPr>
                <w:sz w:val="18"/>
                <w:szCs w:val="18"/>
              </w:rPr>
            </w:pPr>
            <w:r>
              <w:rPr>
                <w:sz w:val="18"/>
                <w:szCs w:val="18"/>
              </w:rPr>
              <w:t>1，2，3</w:t>
            </w:r>
          </w:p>
        </w:tc>
        <w:tc>
          <w:tcPr>
            <w:tcW w:w="994" w:type="dxa"/>
            <w:vAlign w:val="center"/>
          </w:tcPr>
          <w:p>
            <w:pPr>
              <w:adjustRightInd w:val="0"/>
              <w:snapToGrid w:val="0"/>
              <w:spacing w:line="300" w:lineRule="auto"/>
              <w:jc w:val="left"/>
              <w:rPr>
                <w:sz w:val="18"/>
                <w:szCs w:val="18"/>
              </w:rPr>
            </w:pPr>
            <w:r>
              <w:rPr>
                <w:rFonts w:hint="eastAsia"/>
                <w:sz w:val="18"/>
                <w:szCs w:val="18"/>
              </w:rPr>
              <w:t>3.1，5.2，1</w:t>
            </w:r>
            <w:r>
              <w:rPr>
                <w:sz w:val="18"/>
                <w:szCs w:val="18"/>
              </w:rPr>
              <w:t>1</w:t>
            </w: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20" w:type="dxa"/>
            <w:vAlign w:val="center"/>
          </w:tcPr>
          <w:p>
            <w:pPr>
              <w:adjustRightInd w:val="0"/>
              <w:snapToGrid w:val="0"/>
              <w:spacing w:line="300" w:lineRule="auto"/>
              <w:jc w:val="left"/>
              <w:rPr>
                <w:sz w:val="18"/>
                <w:szCs w:val="18"/>
              </w:rPr>
            </w:pPr>
            <w:r>
              <w:rPr>
                <w:sz w:val="18"/>
                <w:szCs w:val="18"/>
              </w:rPr>
              <w:t>期末考试成绩</w:t>
            </w:r>
          </w:p>
        </w:tc>
        <w:tc>
          <w:tcPr>
            <w:tcW w:w="630" w:type="dxa"/>
            <w:vAlign w:val="center"/>
          </w:tcPr>
          <w:p>
            <w:pPr>
              <w:adjustRightInd w:val="0"/>
              <w:snapToGrid w:val="0"/>
              <w:spacing w:line="300" w:lineRule="auto"/>
              <w:jc w:val="center"/>
              <w:rPr>
                <w:sz w:val="18"/>
                <w:szCs w:val="18"/>
              </w:rPr>
            </w:pPr>
            <w:r>
              <w:rPr>
                <w:sz w:val="18"/>
                <w:szCs w:val="18"/>
              </w:rPr>
              <w:t>100</w:t>
            </w:r>
          </w:p>
        </w:tc>
        <w:tc>
          <w:tcPr>
            <w:tcW w:w="600" w:type="dxa"/>
            <w:vAlign w:val="center"/>
          </w:tcPr>
          <w:p>
            <w:pPr>
              <w:adjustRightInd w:val="0"/>
              <w:snapToGrid w:val="0"/>
              <w:spacing w:line="300" w:lineRule="auto"/>
              <w:jc w:val="center"/>
              <w:rPr>
                <w:sz w:val="18"/>
                <w:szCs w:val="18"/>
              </w:rPr>
            </w:pPr>
            <w:r>
              <w:rPr>
                <w:sz w:val="18"/>
                <w:szCs w:val="18"/>
              </w:rPr>
              <w:t>0.6</w:t>
            </w:r>
          </w:p>
        </w:tc>
        <w:tc>
          <w:tcPr>
            <w:tcW w:w="665" w:type="dxa"/>
            <w:vAlign w:val="center"/>
          </w:tcPr>
          <w:p>
            <w:pPr>
              <w:adjustRightInd w:val="0"/>
              <w:snapToGrid w:val="0"/>
              <w:spacing w:line="300" w:lineRule="auto"/>
              <w:jc w:val="left"/>
              <w:rPr>
                <w:sz w:val="18"/>
                <w:szCs w:val="18"/>
              </w:rPr>
            </w:pPr>
            <w:r>
              <w:rPr>
                <w:sz w:val="18"/>
                <w:szCs w:val="18"/>
              </w:rPr>
              <w:t>闭卷考试</w:t>
            </w:r>
          </w:p>
        </w:tc>
        <w:tc>
          <w:tcPr>
            <w:tcW w:w="615" w:type="dxa"/>
            <w:vAlign w:val="center"/>
          </w:tcPr>
          <w:p>
            <w:pPr>
              <w:adjustRightInd w:val="0"/>
              <w:snapToGrid w:val="0"/>
              <w:spacing w:line="300" w:lineRule="auto"/>
              <w:jc w:val="center"/>
              <w:rPr>
                <w:sz w:val="18"/>
                <w:szCs w:val="18"/>
              </w:rPr>
            </w:pPr>
            <w:r>
              <w:rPr>
                <w:sz w:val="18"/>
                <w:szCs w:val="18"/>
              </w:rPr>
              <w:t>1</w:t>
            </w:r>
          </w:p>
        </w:tc>
        <w:tc>
          <w:tcPr>
            <w:tcW w:w="3810" w:type="dxa"/>
            <w:vAlign w:val="center"/>
          </w:tcPr>
          <w:p>
            <w:pPr>
              <w:adjustRightInd w:val="0"/>
              <w:snapToGrid w:val="0"/>
              <w:spacing w:line="300" w:lineRule="auto"/>
              <w:rPr>
                <w:sz w:val="18"/>
                <w:szCs w:val="18"/>
              </w:rPr>
            </w:pPr>
            <w:r>
              <w:rPr>
                <w:sz w:val="18"/>
                <w:szCs w:val="18"/>
              </w:rPr>
              <w:t>考核内容包括： 第1-7章。</w:t>
            </w:r>
          </w:p>
          <w:p>
            <w:pPr>
              <w:adjustRightInd w:val="0"/>
              <w:snapToGrid w:val="0"/>
              <w:spacing w:line="300" w:lineRule="auto"/>
              <w:rPr>
                <w:sz w:val="18"/>
                <w:szCs w:val="18"/>
              </w:rPr>
            </w:pPr>
            <w:r>
              <w:rPr>
                <w:sz w:val="18"/>
                <w:szCs w:val="18"/>
              </w:rPr>
              <w:t>建议考试题型包括：填空题、选择填空题、程序填空题、编程题等其中某几种题型。</w:t>
            </w:r>
          </w:p>
        </w:tc>
        <w:tc>
          <w:tcPr>
            <w:tcW w:w="1060" w:type="dxa"/>
            <w:vAlign w:val="center"/>
          </w:tcPr>
          <w:p>
            <w:pPr>
              <w:adjustRightInd w:val="0"/>
              <w:snapToGrid w:val="0"/>
              <w:spacing w:line="300" w:lineRule="auto"/>
              <w:jc w:val="left"/>
              <w:rPr>
                <w:sz w:val="18"/>
                <w:szCs w:val="18"/>
              </w:rPr>
            </w:pPr>
            <w:r>
              <w:rPr>
                <w:sz w:val="18"/>
                <w:szCs w:val="18"/>
              </w:rPr>
              <w:t>1，2</w:t>
            </w:r>
          </w:p>
        </w:tc>
        <w:tc>
          <w:tcPr>
            <w:tcW w:w="994" w:type="dxa"/>
            <w:vAlign w:val="center"/>
          </w:tcPr>
          <w:p>
            <w:pPr>
              <w:adjustRightInd w:val="0"/>
              <w:snapToGrid w:val="0"/>
              <w:spacing w:line="300" w:lineRule="auto"/>
              <w:jc w:val="left"/>
              <w:rPr>
                <w:sz w:val="18"/>
                <w:szCs w:val="18"/>
              </w:rPr>
            </w:pPr>
            <w:r>
              <w:rPr>
                <w:rFonts w:hint="eastAsia"/>
                <w:sz w:val="18"/>
                <w:szCs w:val="18"/>
              </w:rPr>
              <w:t>3.1，5.2</w:t>
            </w:r>
          </w:p>
        </w:tc>
      </w:tr>
    </w:tbl>
    <w:p>
      <w:pPr>
        <w:snapToGrid w:val="0"/>
        <w:spacing w:before="156" w:beforeLines="50" w:after="156" w:afterLines="50" w:line="300" w:lineRule="auto"/>
        <w:rPr>
          <w:b/>
          <w:sz w:val="24"/>
        </w:rPr>
      </w:pPr>
      <w:r>
        <w:rPr>
          <w:b/>
          <w:sz w:val="24"/>
        </w:rPr>
        <w:t>六、</w:t>
      </w:r>
      <w:r>
        <w:rPr>
          <w:rFonts w:hint="eastAsia"/>
          <w:b/>
          <w:sz w:val="24"/>
        </w:rPr>
        <w:t>课程教学目标达成情况评价</w:t>
      </w:r>
    </w:p>
    <w:p>
      <w:pPr>
        <w:adjustRightInd w:val="0"/>
        <w:snapToGrid w:val="0"/>
        <w:spacing w:line="300" w:lineRule="auto"/>
        <w:ind w:firstLine="420" w:firstLineChars="200"/>
        <w:rPr>
          <w:szCs w:val="21"/>
        </w:rPr>
      </w:pPr>
      <w:r>
        <w:rPr>
          <w:szCs w:val="21"/>
        </w:rPr>
        <w:t>1</w:t>
      </w:r>
      <w:r>
        <w:t>．</w:t>
      </w:r>
      <w:r>
        <w:rPr>
          <w:rFonts w:hint="eastAsia"/>
          <w:szCs w:val="21"/>
        </w:rPr>
        <w:t>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rFonts w:hint="eastAsia"/>
          <w:position w:val="-16"/>
        </w:rPr>
        <w:object>
          <v:shape id="_x0000_i1166" o:spt="75" type="#_x0000_t75" style="height:32.25pt;width:370.5pt;" o:ole="t" filled="f" o:preferrelative="t" stroked="f" coordsize="21600,21600">
            <v:path/>
            <v:fill on="f" focussize="0,0"/>
            <v:stroke on="f" joinstyle="miter"/>
            <v:imagedata r:id="rId57" o:title=""/>
            <o:lock v:ext="edit" aspectratio="t"/>
            <w10:wrap type="none"/>
            <w10:anchorlock/>
          </v:shape>
          <o:OLEObject Type="Embed" ProgID="Equation.DSMT4" ShapeID="_x0000_i1166" DrawAspect="Content" ObjectID="_1468075864" r:id="rId187">
            <o:LockedField>false</o:LockedField>
          </o:OLEObject>
        </w:object>
      </w:r>
    </w:p>
    <w:p>
      <w:pPr>
        <w:adjustRightInd w:val="0"/>
        <w:snapToGrid w:val="0"/>
        <w:spacing w:line="300" w:lineRule="auto"/>
        <w:ind w:firstLine="420" w:firstLineChars="200"/>
      </w:pPr>
      <w:r>
        <w:t>课程总目标达成情况为3个课程目标的加权得分率，其计算公式为：</w:t>
      </w:r>
    </w:p>
    <w:p>
      <w:pPr>
        <w:adjustRightInd w:val="0"/>
        <w:snapToGrid w:val="0"/>
        <w:spacing w:line="300" w:lineRule="auto"/>
        <w:jc w:val="center"/>
      </w:pPr>
      <w:r>
        <w:t xml:space="preserve"> </w:t>
      </w:r>
      <w:r>
        <w:rPr>
          <w:rFonts w:hint="eastAsia"/>
          <w:position w:val="-10"/>
        </w:rPr>
        <w:object>
          <v:shape id="_x0000_i1167" o:spt="75" type="#_x0000_t75" style="height:24pt;width:245.25pt;" o:ole="t" filled="f" o:preferrelative="t" stroked="f" coordsize="21600,21600">
            <v:path/>
            <v:fill on="f" focussize="0,0"/>
            <v:stroke on="f" joinstyle="miter"/>
            <v:imagedata r:id="rId59" o:title=""/>
            <o:lock v:ext="edit" aspectratio="t"/>
            <w10:wrap type="none"/>
            <w10:anchorlock/>
          </v:shape>
          <o:OLEObject Type="Embed" ProgID="Equation.DSMT4" ShapeID="_x0000_i1167" DrawAspect="Content" ObjectID="_1468075865" r:id="rId188">
            <o:LockedField>false</o:LockedField>
          </o:OLEObject>
        </w:object>
      </w:r>
    </w:p>
    <w:p>
      <w:pPr>
        <w:adjustRightInd w:val="0"/>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6"/>
        <w:gridCol w:w="2016"/>
        <w:gridCol w:w="2391"/>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06" w:type="dxa"/>
            <w:vAlign w:val="center"/>
          </w:tcPr>
          <w:p>
            <w:pPr>
              <w:snapToGrid w:val="0"/>
              <w:spacing w:line="300" w:lineRule="auto"/>
              <w:jc w:val="center"/>
              <w:rPr>
                <w:b/>
                <w:bCs/>
                <w:sz w:val="18"/>
                <w:szCs w:val="18"/>
              </w:rPr>
            </w:pPr>
            <w:r>
              <w:rPr>
                <w:b/>
                <w:bCs/>
                <w:sz w:val="18"/>
                <w:szCs w:val="18"/>
              </w:rPr>
              <w:t>课程目标</w:t>
            </w:r>
          </w:p>
        </w:tc>
        <w:tc>
          <w:tcPr>
            <w:tcW w:w="2016" w:type="dxa"/>
            <w:vAlign w:val="center"/>
          </w:tcPr>
          <w:p>
            <w:pPr>
              <w:snapToGrid w:val="0"/>
              <w:spacing w:line="300" w:lineRule="auto"/>
              <w:jc w:val="center"/>
              <w:rPr>
                <w:sz w:val="18"/>
                <w:szCs w:val="18"/>
              </w:rPr>
            </w:pPr>
            <w:r>
              <w:rPr>
                <w:sz w:val="18"/>
                <w:szCs w:val="18"/>
              </w:rPr>
              <w:t>1</w:t>
            </w:r>
          </w:p>
        </w:tc>
        <w:tc>
          <w:tcPr>
            <w:tcW w:w="2391" w:type="dxa"/>
            <w:vAlign w:val="center"/>
          </w:tcPr>
          <w:p>
            <w:pPr>
              <w:snapToGrid w:val="0"/>
              <w:spacing w:line="300" w:lineRule="auto"/>
              <w:jc w:val="center"/>
              <w:rPr>
                <w:sz w:val="18"/>
                <w:szCs w:val="18"/>
              </w:rPr>
            </w:pPr>
            <w:r>
              <w:rPr>
                <w:sz w:val="18"/>
                <w:szCs w:val="18"/>
              </w:rPr>
              <w:t>2</w:t>
            </w:r>
          </w:p>
        </w:tc>
        <w:tc>
          <w:tcPr>
            <w:tcW w:w="2368"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35" w:hRule="atLeast"/>
          <w:jc w:val="center"/>
        </w:trPr>
        <w:tc>
          <w:tcPr>
            <w:tcW w:w="1906" w:type="dxa"/>
            <w:vAlign w:val="center"/>
          </w:tcPr>
          <w:p>
            <w:pPr>
              <w:snapToGrid w:val="0"/>
              <w:spacing w:line="300" w:lineRule="auto"/>
              <w:jc w:val="center"/>
              <w:rPr>
                <w:b/>
                <w:bCs/>
                <w:sz w:val="18"/>
                <w:szCs w:val="18"/>
              </w:rPr>
            </w:pPr>
            <w:r>
              <w:rPr>
                <w:b/>
                <w:bCs/>
                <w:sz w:val="18"/>
                <w:szCs w:val="18"/>
              </w:rPr>
              <w:t>权重系数</w:t>
            </w:r>
          </w:p>
        </w:tc>
        <w:tc>
          <w:tcPr>
            <w:tcW w:w="2016"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w:t>
            </w:r>
          </w:p>
        </w:tc>
        <w:tc>
          <w:tcPr>
            <w:tcW w:w="2391"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w:t>
            </w:r>
          </w:p>
        </w:tc>
        <w:tc>
          <w:tcPr>
            <w:tcW w:w="2368" w:type="dxa"/>
            <w:vAlign w:val="center"/>
          </w:tcPr>
          <w:p>
            <w:pPr>
              <w:snapToGrid w:val="0"/>
              <w:spacing w:line="30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rPr>
          <w:rFonts w:hint="eastAsia"/>
          <w:position w:val="-10"/>
        </w:rPr>
        <w:object>
          <v:shape id="_x0000_i1168" o:spt="75" type="#_x0000_t75" style="height:24pt;width:284.25pt;" o:ole="t" filled="f" o:preferrelative="t" stroked="f" coordsize="21600,21600">
            <v:path/>
            <v:fill on="f" focussize="0,0"/>
            <v:stroke on="f" joinstyle="miter"/>
            <v:imagedata r:id="rId61" o:title=""/>
            <o:lock v:ext="edit" aspectratio="t"/>
            <w10:wrap type="none"/>
            <w10:anchorlock/>
          </v:shape>
          <o:OLEObject Type="Embed" ProgID="Equation.DSMT4" ShapeID="_x0000_i1168" DrawAspect="Content" ObjectID="_1468075866" r:id="rId189">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szCs w:val="21"/>
        </w:rPr>
        <w:t>依据达成情况评价</w:t>
      </w:r>
      <w:r>
        <w:rPr>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76"/>
        </w:numPr>
        <w:snapToGrid w:val="0"/>
        <w:spacing w:line="300" w:lineRule="auto"/>
        <w:rPr>
          <w:rFonts w:ascii="Times New Roman" w:hAnsi="Times New Roman" w:eastAsia="宋体" w:cs="Times New Roman"/>
        </w:rPr>
      </w:pPr>
      <w:r>
        <w:rPr>
          <w:rFonts w:ascii="Times New Roman" w:hAnsi="Times New Roman" w:eastAsia="宋体" w:cs="Times New Roman"/>
          <w:szCs w:val="21"/>
        </w:rPr>
        <w:t>马建红，李占波等. JSP应用与开发技术（第2版），清华大学出版社，2014。</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77"/>
        </w:numPr>
        <w:snapToGrid w:val="0"/>
        <w:spacing w:line="300" w:lineRule="auto"/>
        <w:rPr>
          <w:rFonts w:ascii="Times New Roman" w:hAnsi="Times New Roman" w:eastAsia="宋体" w:cs="Times New Roman"/>
        </w:rPr>
      </w:pPr>
      <w:r>
        <w:rPr>
          <w:rFonts w:ascii="Times New Roman" w:hAnsi="Times New Roman" w:eastAsia="宋体" w:cs="Times New Roman"/>
          <w:szCs w:val="21"/>
        </w:rPr>
        <w:t>耿祥义，张跃平. JSP程序设计（第2版），清华大学出版社，2015。</w:t>
      </w:r>
    </w:p>
    <w:p>
      <w:pPr>
        <w:numPr>
          <w:ilvl w:val="0"/>
          <w:numId w:val="77"/>
        </w:numPr>
        <w:snapToGrid w:val="0"/>
        <w:spacing w:line="300" w:lineRule="auto"/>
        <w:rPr>
          <w:rFonts w:ascii="Times New Roman" w:hAnsi="Times New Roman" w:eastAsia="宋体" w:cs="Times New Roman"/>
        </w:rPr>
      </w:pPr>
      <w:r>
        <w:rPr>
          <w:rFonts w:ascii="Times New Roman" w:hAnsi="Times New Roman" w:eastAsia="宋体" w:cs="Times New Roman"/>
          <w:szCs w:val="21"/>
        </w:rPr>
        <w:t>耿祥义，张跃平. JSP程序设计（第2版）上机实验与综合实训，清华大学出版社，2015。</w:t>
      </w:r>
    </w:p>
    <w:p>
      <w:pPr>
        <w:numPr>
          <w:ilvl w:val="0"/>
          <w:numId w:val="77"/>
        </w:numPr>
        <w:snapToGrid w:val="0"/>
        <w:spacing w:line="300" w:lineRule="auto"/>
        <w:rPr>
          <w:rFonts w:ascii="Times New Roman" w:hAnsi="Times New Roman" w:eastAsia="宋体" w:cs="Times New Roman"/>
        </w:rPr>
      </w:pPr>
      <w:r>
        <w:rPr>
          <w:rFonts w:ascii="Times New Roman" w:hAnsi="Times New Roman" w:eastAsia="宋体" w:cs="Times New Roman"/>
          <w:szCs w:val="21"/>
        </w:rPr>
        <w:t>高翔，李志浩. Java Web开发与实践，人民邮电出版社，2014。</w:t>
      </w:r>
    </w:p>
    <w:p>
      <w:pPr>
        <w:numPr>
          <w:ilvl w:val="0"/>
          <w:numId w:val="77"/>
        </w:numPr>
        <w:snapToGrid w:val="0"/>
        <w:spacing w:line="300" w:lineRule="auto"/>
        <w:rPr>
          <w:rFonts w:ascii="Times New Roman" w:hAnsi="Times New Roman" w:eastAsia="宋体" w:cs="Times New Roman"/>
        </w:rPr>
      </w:pPr>
      <w:r>
        <w:rPr>
          <w:rFonts w:ascii="Times New Roman" w:hAnsi="Times New Roman" w:eastAsia="宋体" w:cs="Times New Roman"/>
          <w:szCs w:val="21"/>
        </w:rPr>
        <w:t>李刚. 疯狂J2EE，电子工业出版社，2008。</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ind w:right="200"/>
              <w:jc w:val="right"/>
              <w:rPr>
                <w:rFonts w:ascii="Times New Roman" w:hAnsi="Times New Roman" w:eastAsia="宋体" w:cs="Times New Roman"/>
                <w:kern w:val="0"/>
                <w:sz w:val="20"/>
                <w:szCs w:val="21"/>
              </w:rPr>
            </w:pPr>
          </w:p>
        </w:tc>
      </w:tr>
    </w:tbl>
    <w:p>
      <w:pPr>
        <w:rPr>
          <w:rFonts w:ascii="Times New Roman" w:hAnsi="Times New Roman" w:eastAsia="宋体" w:cs="Times New Roman"/>
          <w:b/>
          <w:bCs/>
          <w:sz w:val="32"/>
          <w:szCs w:val="32"/>
        </w:rPr>
      </w:pPr>
      <w:r>
        <w:rPr>
          <w:rFonts w:ascii="Times New Roman" w:hAnsi="Times New Roman" w:eastAsia="宋体" w:cs="Times New Roman"/>
          <w:b/>
          <w:bCs/>
          <w:sz w:val="32"/>
          <w:szCs w:val="32"/>
        </w:rPr>
        <w:br w:type="page"/>
      </w:r>
    </w:p>
    <w:p>
      <w:pPr>
        <w:keepNext/>
        <w:keepLines/>
        <w:numPr>
          <w:ilvl w:val="2"/>
          <w:numId w:val="0"/>
        </w:numPr>
        <w:tabs>
          <w:tab w:val="left" w:pos="420"/>
        </w:tabs>
        <w:spacing w:before="260" w:after="260" w:line="413" w:lineRule="auto"/>
        <w:jc w:val="center"/>
        <w:outlineLvl w:val="3"/>
        <w:rPr>
          <w:rFonts w:ascii="Times New Roman" w:hAnsi="Times New Roman" w:eastAsia="宋体" w:cs="Times New Roman"/>
          <w:b/>
          <w:sz w:val="32"/>
        </w:rPr>
      </w:pPr>
      <w:bookmarkStart w:id="220" w:name="_Toc30291"/>
      <w:r>
        <w:rPr>
          <w:rFonts w:ascii="Times New Roman" w:hAnsi="Times New Roman" w:eastAsia="宋体" w:cs="Times New Roman"/>
          <w:b/>
          <w:sz w:val="32"/>
        </w:rPr>
        <w:t>33462009《数据库原理与应用》课程教学大纲</w:t>
      </w:r>
      <w:bookmarkEnd w:id="220"/>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042"/>
        <w:gridCol w:w="1778"/>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jc w:val="center"/>
              <w:rPr>
                <w:kern w:val="0"/>
                <w:szCs w:val="21"/>
              </w:rPr>
            </w:pPr>
            <w:r>
              <w:rPr>
                <w:kern w:val="0"/>
                <w:szCs w:val="21"/>
              </w:rPr>
              <w:t>课程编号</w:t>
            </w:r>
          </w:p>
        </w:tc>
        <w:tc>
          <w:tcPr>
            <w:tcW w:w="2042" w:type="dxa"/>
            <w:vAlign w:val="center"/>
          </w:tcPr>
          <w:p>
            <w:pPr>
              <w:jc w:val="center"/>
              <w:rPr>
                <w:kern w:val="0"/>
                <w:szCs w:val="21"/>
              </w:rPr>
            </w:pPr>
            <w:r>
              <w:rPr>
                <w:kern w:val="0"/>
                <w:szCs w:val="21"/>
              </w:rPr>
              <w:t>33462009</w:t>
            </w:r>
          </w:p>
        </w:tc>
        <w:tc>
          <w:tcPr>
            <w:tcW w:w="1778" w:type="dxa"/>
            <w:vAlign w:val="center"/>
          </w:tcPr>
          <w:p>
            <w:pPr>
              <w:jc w:val="center"/>
              <w:rPr>
                <w:kern w:val="0"/>
                <w:szCs w:val="21"/>
              </w:rPr>
            </w:pPr>
            <w:r>
              <w:rPr>
                <w:kern w:val="0"/>
                <w:szCs w:val="21"/>
              </w:rPr>
              <w:t>课程名称</w:t>
            </w:r>
          </w:p>
        </w:tc>
        <w:tc>
          <w:tcPr>
            <w:tcW w:w="3379" w:type="dxa"/>
            <w:vAlign w:val="center"/>
          </w:tcPr>
          <w:p>
            <w:pPr>
              <w:jc w:val="center"/>
              <w:rPr>
                <w:kern w:val="0"/>
                <w:szCs w:val="21"/>
              </w:rPr>
            </w:pPr>
            <w:r>
              <w:rPr>
                <w:kern w:val="0"/>
                <w:szCs w:val="21"/>
              </w:rPr>
              <w:t>数据库原理与应用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jc w:val="center"/>
              <w:rPr>
                <w:kern w:val="0"/>
                <w:szCs w:val="21"/>
              </w:rPr>
            </w:pPr>
            <w:r>
              <w:rPr>
                <w:kern w:val="0"/>
                <w:szCs w:val="21"/>
              </w:rPr>
              <w:t>课程性质*</w:t>
            </w:r>
          </w:p>
        </w:tc>
        <w:tc>
          <w:tcPr>
            <w:tcW w:w="2042" w:type="dxa"/>
            <w:vAlign w:val="center"/>
          </w:tcPr>
          <w:p>
            <w:pPr>
              <w:jc w:val="center"/>
              <w:rPr>
                <w:kern w:val="0"/>
                <w:szCs w:val="21"/>
              </w:rPr>
            </w:pPr>
            <w:r>
              <w:rPr>
                <w:kern w:val="0"/>
                <w:szCs w:val="21"/>
              </w:rPr>
              <w:t>学科专业拓展课</w:t>
            </w:r>
          </w:p>
        </w:tc>
        <w:tc>
          <w:tcPr>
            <w:tcW w:w="1778" w:type="dxa"/>
            <w:vAlign w:val="center"/>
          </w:tcPr>
          <w:p>
            <w:pPr>
              <w:jc w:val="center"/>
              <w:rPr>
                <w:kern w:val="0"/>
                <w:szCs w:val="21"/>
              </w:rPr>
            </w:pPr>
            <w:r>
              <w:rPr>
                <w:kern w:val="0"/>
                <w:szCs w:val="21"/>
              </w:rPr>
              <w:t>英文名称</w:t>
            </w:r>
          </w:p>
        </w:tc>
        <w:tc>
          <w:tcPr>
            <w:tcW w:w="3379" w:type="dxa"/>
            <w:vAlign w:val="center"/>
          </w:tcPr>
          <w:p>
            <w:pPr>
              <w:jc w:val="center"/>
              <w:rPr>
                <w:kern w:val="0"/>
                <w:szCs w:val="21"/>
              </w:rPr>
            </w:pPr>
            <w:r>
              <w:rPr>
                <w:szCs w:val="21"/>
              </w:rPr>
              <w:t>Database Principles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jc w:val="center"/>
              <w:rPr>
                <w:kern w:val="0"/>
                <w:szCs w:val="21"/>
              </w:rPr>
            </w:pPr>
            <w:r>
              <w:rPr>
                <w:kern w:val="0"/>
                <w:szCs w:val="21"/>
              </w:rPr>
              <w:t>学分学时</w:t>
            </w:r>
          </w:p>
        </w:tc>
        <w:tc>
          <w:tcPr>
            <w:tcW w:w="2042" w:type="dxa"/>
            <w:vAlign w:val="center"/>
          </w:tcPr>
          <w:p>
            <w:pPr>
              <w:jc w:val="center"/>
              <w:rPr>
                <w:kern w:val="0"/>
                <w:szCs w:val="21"/>
              </w:rPr>
            </w:pPr>
            <w:r>
              <w:rPr>
                <w:kern w:val="0"/>
                <w:szCs w:val="21"/>
              </w:rPr>
              <w:t>2</w:t>
            </w:r>
            <w:r>
              <w:rPr>
                <w:bCs/>
                <w:kern w:val="0"/>
                <w:szCs w:val="21"/>
              </w:rPr>
              <w:t xml:space="preserve"> </w:t>
            </w:r>
            <w:r>
              <w:rPr>
                <w:kern w:val="0"/>
                <w:szCs w:val="21"/>
              </w:rPr>
              <w:t>: 32（8）</w:t>
            </w:r>
          </w:p>
        </w:tc>
        <w:tc>
          <w:tcPr>
            <w:tcW w:w="1778" w:type="dxa"/>
            <w:vAlign w:val="center"/>
          </w:tcPr>
          <w:p>
            <w:pPr>
              <w:jc w:val="center"/>
              <w:rPr>
                <w:kern w:val="0"/>
                <w:szCs w:val="21"/>
              </w:rPr>
            </w:pPr>
            <w:r>
              <w:rPr>
                <w:kern w:val="0"/>
                <w:szCs w:val="21"/>
              </w:rPr>
              <w:t>任课教师</w:t>
            </w:r>
          </w:p>
        </w:tc>
        <w:tc>
          <w:tcPr>
            <w:tcW w:w="3379" w:type="dxa"/>
            <w:vAlign w:val="center"/>
          </w:tcPr>
          <w:p>
            <w:pPr>
              <w:jc w:val="center"/>
              <w:rPr>
                <w:kern w:val="0"/>
                <w:szCs w:val="21"/>
              </w:rPr>
            </w:pPr>
            <w:r>
              <w:rPr>
                <w:kern w:val="0"/>
                <w:szCs w:val="21"/>
              </w:rPr>
              <w:t>邹阿金、彭银桥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82" w:type="dxa"/>
            <w:vAlign w:val="center"/>
          </w:tcPr>
          <w:p>
            <w:pPr>
              <w:jc w:val="center"/>
              <w:rPr>
                <w:kern w:val="0"/>
                <w:szCs w:val="21"/>
              </w:rPr>
            </w:pPr>
            <w:r>
              <w:rPr>
                <w:kern w:val="0"/>
                <w:szCs w:val="21"/>
              </w:rPr>
              <w:t>企业专家</w:t>
            </w:r>
          </w:p>
        </w:tc>
        <w:tc>
          <w:tcPr>
            <w:tcW w:w="2042" w:type="dxa"/>
            <w:vAlign w:val="center"/>
          </w:tcPr>
          <w:p>
            <w:pPr>
              <w:widowControl/>
              <w:jc w:val="center"/>
              <w:rPr>
                <w:kern w:val="0"/>
                <w:szCs w:val="21"/>
              </w:rPr>
            </w:pPr>
            <w:r>
              <w:rPr>
                <w:kern w:val="0"/>
                <w:szCs w:val="21"/>
              </w:rPr>
              <w:t>曾耿滨</w:t>
            </w:r>
          </w:p>
        </w:tc>
        <w:tc>
          <w:tcPr>
            <w:tcW w:w="1778" w:type="dxa"/>
            <w:vAlign w:val="center"/>
          </w:tcPr>
          <w:p>
            <w:pPr>
              <w:jc w:val="center"/>
              <w:rPr>
                <w:kern w:val="0"/>
                <w:szCs w:val="21"/>
              </w:rPr>
            </w:pPr>
            <w:r>
              <w:rPr>
                <w:kern w:val="0"/>
                <w:szCs w:val="21"/>
              </w:rPr>
              <w:t>行业专家</w:t>
            </w:r>
          </w:p>
        </w:tc>
        <w:tc>
          <w:tcPr>
            <w:tcW w:w="3379"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482" w:type="dxa"/>
            <w:vAlign w:val="center"/>
          </w:tcPr>
          <w:p>
            <w:pPr>
              <w:jc w:val="center"/>
              <w:rPr>
                <w:kern w:val="0"/>
                <w:szCs w:val="21"/>
              </w:rPr>
            </w:pPr>
            <w:r>
              <w:rPr>
                <w:kern w:val="0"/>
                <w:szCs w:val="21"/>
              </w:rPr>
              <w:t>执笔教师</w:t>
            </w:r>
          </w:p>
        </w:tc>
        <w:tc>
          <w:tcPr>
            <w:tcW w:w="2042" w:type="dxa"/>
            <w:vAlign w:val="center"/>
          </w:tcPr>
          <w:p>
            <w:pPr>
              <w:jc w:val="center"/>
              <w:rPr>
                <w:kern w:val="0"/>
                <w:szCs w:val="21"/>
              </w:rPr>
            </w:pPr>
            <w:r>
              <w:rPr>
                <w:kern w:val="0"/>
                <w:szCs w:val="21"/>
              </w:rPr>
              <w:t>邹阿金</w:t>
            </w:r>
          </w:p>
        </w:tc>
        <w:tc>
          <w:tcPr>
            <w:tcW w:w="1778" w:type="dxa"/>
            <w:vAlign w:val="center"/>
          </w:tcPr>
          <w:p>
            <w:pPr>
              <w:jc w:val="center"/>
              <w:rPr>
                <w:kern w:val="0"/>
                <w:szCs w:val="21"/>
              </w:rPr>
            </w:pPr>
            <w:r>
              <w:rPr>
                <w:kern w:val="0"/>
                <w:szCs w:val="21"/>
              </w:rPr>
              <w:t>责任教授</w:t>
            </w:r>
          </w:p>
        </w:tc>
        <w:tc>
          <w:tcPr>
            <w:tcW w:w="3379" w:type="dxa"/>
            <w:vAlign w:val="center"/>
          </w:tcPr>
          <w:p>
            <w:pPr>
              <w:jc w:val="center"/>
              <w:rPr>
                <w:kern w:val="0"/>
                <w:szCs w:val="21"/>
              </w:rPr>
            </w:pPr>
            <w:r>
              <w:rPr>
                <w:szCs w:val="21"/>
              </w:rPr>
              <w:t>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82" w:type="dxa"/>
            <w:vAlign w:val="center"/>
          </w:tcPr>
          <w:p>
            <w:pPr>
              <w:jc w:val="center"/>
              <w:rPr>
                <w:kern w:val="0"/>
                <w:szCs w:val="21"/>
              </w:rPr>
            </w:pPr>
            <w:r>
              <w:rPr>
                <w:kern w:val="0"/>
                <w:szCs w:val="21"/>
              </w:rPr>
              <w:t>适用专业</w:t>
            </w:r>
          </w:p>
        </w:tc>
        <w:tc>
          <w:tcPr>
            <w:tcW w:w="2042" w:type="dxa"/>
            <w:vAlign w:val="center"/>
          </w:tcPr>
          <w:p>
            <w:pPr>
              <w:jc w:val="center"/>
              <w:rPr>
                <w:kern w:val="0"/>
                <w:szCs w:val="21"/>
              </w:rPr>
            </w:pPr>
            <w:r>
              <w:rPr>
                <w:kern w:val="0"/>
                <w:szCs w:val="21"/>
              </w:rPr>
              <w:t>电子信息工程</w:t>
            </w:r>
          </w:p>
        </w:tc>
        <w:tc>
          <w:tcPr>
            <w:tcW w:w="1778" w:type="dxa"/>
            <w:vAlign w:val="center"/>
          </w:tcPr>
          <w:p>
            <w:pPr>
              <w:jc w:val="center"/>
              <w:rPr>
                <w:kern w:val="0"/>
                <w:szCs w:val="21"/>
              </w:rPr>
            </w:pPr>
            <w:r>
              <w:rPr>
                <w:kern w:val="0"/>
                <w:szCs w:val="21"/>
              </w:rPr>
              <w:t>适用对象</w:t>
            </w:r>
          </w:p>
        </w:tc>
        <w:tc>
          <w:tcPr>
            <w:tcW w:w="3379"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82" w:type="dxa"/>
            <w:vAlign w:val="center"/>
          </w:tcPr>
          <w:p>
            <w:pPr>
              <w:jc w:val="center"/>
              <w:rPr>
                <w:kern w:val="0"/>
                <w:szCs w:val="21"/>
              </w:rPr>
            </w:pPr>
            <w:r>
              <w:rPr>
                <w:kern w:val="0"/>
                <w:szCs w:val="21"/>
              </w:rPr>
              <w:t>先修课程</w:t>
            </w:r>
          </w:p>
        </w:tc>
        <w:tc>
          <w:tcPr>
            <w:tcW w:w="2042" w:type="dxa"/>
            <w:vAlign w:val="center"/>
          </w:tcPr>
          <w:p>
            <w:pPr>
              <w:jc w:val="center"/>
              <w:rPr>
                <w:kern w:val="0"/>
                <w:szCs w:val="21"/>
              </w:rPr>
            </w:pPr>
            <w:r>
              <w:rPr>
                <w:kern w:val="0"/>
                <w:szCs w:val="21"/>
              </w:rPr>
              <w:t>算法与数据结构</w:t>
            </w:r>
            <w:r>
              <w:rPr>
                <w:rFonts w:hint="eastAsia"/>
                <w:kern w:val="0"/>
                <w:szCs w:val="21"/>
              </w:rPr>
              <w:t>、工程数学</w:t>
            </w:r>
          </w:p>
        </w:tc>
        <w:tc>
          <w:tcPr>
            <w:tcW w:w="1778" w:type="dxa"/>
            <w:vAlign w:val="center"/>
          </w:tcPr>
          <w:p>
            <w:pPr>
              <w:snapToGrid w:val="0"/>
              <w:spacing w:line="300" w:lineRule="auto"/>
              <w:jc w:val="center"/>
              <w:rPr>
                <w:kern w:val="0"/>
                <w:szCs w:val="21"/>
              </w:rPr>
            </w:pPr>
            <w:r>
              <w:rPr>
                <w:kern w:val="0"/>
                <w:szCs w:val="21"/>
              </w:rPr>
              <w:t>同修或后续课程</w:t>
            </w:r>
          </w:p>
        </w:tc>
        <w:tc>
          <w:tcPr>
            <w:tcW w:w="3379" w:type="dxa"/>
            <w:vAlign w:val="center"/>
          </w:tcPr>
          <w:p>
            <w:pPr>
              <w:widowControl/>
              <w:jc w:val="center"/>
              <w:rPr>
                <w:kern w:val="0"/>
                <w:szCs w:val="21"/>
              </w:rPr>
            </w:pPr>
            <w:r>
              <w:rPr>
                <w:kern w:val="0"/>
                <w:szCs w:val="21"/>
              </w:rPr>
              <w:t>毕业设计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482" w:type="dxa"/>
            <w:vAlign w:val="center"/>
          </w:tcPr>
          <w:p>
            <w:pPr>
              <w:jc w:val="center"/>
              <w:rPr>
                <w:kern w:val="0"/>
                <w:szCs w:val="21"/>
              </w:rPr>
            </w:pPr>
            <w:r>
              <w:rPr>
                <w:kern w:val="0"/>
                <w:szCs w:val="21"/>
              </w:rPr>
              <w:t>排斥课程</w:t>
            </w:r>
          </w:p>
        </w:tc>
        <w:tc>
          <w:tcPr>
            <w:tcW w:w="2042" w:type="dxa"/>
            <w:vAlign w:val="center"/>
          </w:tcPr>
          <w:p>
            <w:pPr>
              <w:widowControl/>
              <w:jc w:val="center"/>
              <w:rPr>
                <w:kern w:val="0"/>
                <w:szCs w:val="21"/>
              </w:rPr>
            </w:pPr>
            <w:r>
              <w:rPr>
                <w:kern w:val="0"/>
                <w:szCs w:val="21"/>
              </w:rPr>
              <w:t>无</w:t>
            </w:r>
          </w:p>
        </w:tc>
        <w:tc>
          <w:tcPr>
            <w:tcW w:w="1778" w:type="dxa"/>
            <w:vAlign w:val="center"/>
          </w:tcPr>
          <w:p>
            <w:pPr>
              <w:snapToGrid w:val="0"/>
              <w:spacing w:line="300" w:lineRule="auto"/>
              <w:jc w:val="center"/>
              <w:rPr>
                <w:kern w:val="0"/>
                <w:szCs w:val="21"/>
              </w:rPr>
            </w:pPr>
            <w:r>
              <w:rPr>
                <w:kern w:val="0"/>
                <w:szCs w:val="21"/>
              </w:rPr>
              <w:t>定稿日期</w:t>
            </w:r>
          </w:p>
        </w:tc>
        <w:tc>
          <w:tcPr>
            <w:tcW w:w="3379"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b/>
          <w:sz w:val="24"/>
        </w:rPr>
      </w:pPr>
      <w:r>
        <w:rPr>
          <w:kern w:val="0"/>
          <w:szCs w:val="20"/>
        </w:rPr>
        <w:t>*</w:t>
      </w:r>
      <w:r>
        <w:rPr>
          <w:sz w:val="18"/>
          <w:szCs w:val="18"/>
        </w:rPr>
        <w:t>通识教育核心课、跨学科基础课、通识教育拓展课、专业教育核心课、学科专业拓展课、通识实践、专业综合实践；学分学时处（）内为实验学时。</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数据库原理与应用》是电子信息工程专业一门重要的学科专业拓展课程，主要讲授数据库系统的基本概念、基本原理和理论、DBMS体系结构和基本实现技术、数据库应用系统设计方法和步骤等，使学生掌握数据库基本理论及应用设计，了解典型数据库系统的体系结构，培养学生构建数据库应用系统的数据库能力。</w:t>
      </w:r>
    </w:p>
    <w:p>
      <w:pPr>
        <w:snapToGrid w:val="0"/>
        <w:spacing w:before="156" w:beforeLines="50" w:after="156" w:afterLines="50" w:line="300" w:lineRule="auto"/>
        <w:rPr>
          <w:b/>
          <w:sz w:val="24"/>
        </w:rPr>
      </w:pPr>
      <w:r>
        <w:rPr>
          <w:b/>
          <w:sz w:val="24"/>
        </w:rPr>
        <w:t>二、课程教学目标</w:t>
      </w:r>
    </w:p>
    <w:p>
      <w:pPr>
        <w:snapToGrid w:val="0"/>
        <w:spacing w:line="300" w:lineRule="auto"/>
        <w:ind w:firstLine="420" w:firstLineChars="200"/>
        <w:rPr>
          <w:szCs w:val="21"/>
        </w:rPr>
      </w:pPr>
      <w:r>
        <w:rPr>
          <w:szCs w:val="21"/>
        </w:rPr>
        <w:t>本课程的目的和任务是使学生全面掌握关系型数据库的基本理论、技术和设计方法，为以后从事管理信息系统应用软件开发奠定良好的基础，提高学生解决实际问题的能力。</w:t>
      </w:r>
    </w:p>
    <w:p>
      <w:pPr>
        <w:snapToGrid w:val="0"/>
        <w:spacing w:line="300" w:lineRule="auto"/>
        <w:ind w:firstLine="420" w:firstLineChars="200"/>
        <w:rPr>
          <w:szCs w:val="21"/>
        </w:rPr>
      </w:pPr>
      <w:r>
        <w:rPr>
          <w:szCs w:val="21"/>
        </w:rPr>
        <w:t>1</w:t>
      </w:r>
      <w:r>
        <w:rPr>
          <w:kern w:val="0"/>
          <w:szCs w:val="21"/>
        </w:rPr>
        <w:t>．</w:t>
      </w:r>
      <w:r>
        <w:rPr>
          <w:szCs w:val="21"/>
        </w:rPr>
        <w:t>了解数据库的发展历史和趋势；掌握数据库管理系统的基本原理和基本设计方法；掌握一种流行数据库系统的基本操作方法和编程技术；[3.2]</w:t>
      </w:r>
    </w:p>
    <w:p>
      <w:pPr>
        <w:snapToGrid w:val="0"/>
        <w:spacing w:line="300" w:lineRule="auto"/>
        <w:ind w:firstLine="420" w:firstLineChars="200"/>
        <w:rPr>
          <w:color w:val="FF0000"/>
          <w:szCs w:val="21"/>
        </w:rPr>
      </w:pPr>
      <w:r>
        <w:rPr>
          <w:szCs w:val="21"/>
        </w:rPr>
        <w:t>2</w:t>
      </w:r>
      <w:r>
        <w:rPr>
          <w:kern w:val="0"/>
          <w:szCs w:val="21"/>
        </w:rPr>
        <w:t>．</w:t>
      </w:r>
      <w:r>
        <w:rPr>
          <w:szCs w:val="21"/>
        </w:rPr>
        <w:t>系统地掌握开发、研制、管理各类数据库应用系统时所必需的数据库基础知识，具有一定的开发和设计数据库的能力；[3.2]</w:t>
      </w:r>
    </w:p>
    <w:p>
      <w:pPr>
        <w:snapToGrid w:val="0"/>
        <w:spacing w:line="300" w:lineRule="auto"/>
        <w:ind w:firstLine="420" w:firstLineChars="200"/>
        <w:rPr>
          <w:szCs w:val="21"/>
        </w:rPr>
      </w:pPr>
      <w:r>
        <w:rPr>
          <w:szCs w:val="21"/>
        </w:rPr>
        <w:t>3</w:t>
      </w:r>
      <w:r>
        <w:rPr>
          <w:kern w:val="0"/>
          <w:szCs w:val="21"/>
        </w:rPr>
        <w:t>．</w:t>
      </w:r>
      <w:r>
        <w:rPr>
          <w:szCs w:val="21"/>
        </w:rPr>
        <w:t>通过本课程的学习，培养学生</w:t>
      </w:r>
      <w:r>
        <w:rPr>
          <w:rFonts w:hint="eastAsia"/>
          <w:szCs w:val="21"/>
        </w:rPr>
        <w:t>应用</w:t>
      </w:r>
      <w:r>
        <w:rPr>
          <w:szCs w:val="21"/>
        </w:rPr>
        <w:t>数据库原理解决实际问题的能力和创新意识。[3.2]</w:t>
      </w:r>
      <w:r>
        <w:rPr>
          <w:color w:val="FF0000"/>
          <w:szCs w:val="21"/>
        </w:rPr>
        <w:t xml:space="preserve"> </w:t>
      </w:r>
    </w:p>
    <w:p>
      <w:pPr>
        <w:snapToGrid w:val="0"/>
        <w:spacing w:line="300" w:lineRule="auto"/>
        <w:ind w:firstLine="420" w:firstLineChars="200"/>
        <w:rPr>
          <w:szCs w:val="21"/>
        </w:rPr>
      </w:pPr>
      <w:r>
        <w:rPr>
          <w:szCs w:val="21"/>
        </w:rPr>
        <w:t>课程教学目标与毕业要求的对应关系如表</w:t>
      </w:r>
      <w:r>
        <w:rPr>
          <w:rFonts w:hint="eastAsia"/>
          <w:szCs w:val="21"/>
        </w:rPr>
        <w:t>1</w:t>
      </w:r>
      <w:r>
        <w:rPr>
          <w:szCs w:val="21"/>
        </w:rPr>
        <w:t>所示。</w:t>
      </w:r>
    </w:p>
    <w:p>
      <w:pPr>
        <w:widowControl/>
        <w:tabs>
          <w:tab w:val="left" w:pos="426"/>
          <w:tab w:val="left" w:pos="5245"/>
          <w:tab w:val="left" w:pos="5387"/>
        </w:tabs>
        <w:spacing w:line="300" w:lineRule="auto"/>
        <w:jc w:val="center"/>
        <w:rPr>
          <w:b/>
          <w:kern w:val="0"/>
          <w:sz w:val="18"/>
          <w:szCs w:val="18"/>
        </w:rPr>
      </w:pPr>
      <w:r>
        <w:rPr>
          <w:b/>
          <w:kern w:val="0"/>
          <w:sz w:val="18"/>
          <w:szCs w:val="18"/>
        </w:rPr>
        <w:t>表1毕业要求指标点实现矩阵</w:t>
      </w:r>
    </w:p>
    <w:tbl>
      <w:tblPr>
        <w:tblStyle w:val="22"/>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588"/>
        <w:gridCol w:w="51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28" w:lineRule="auto"/>
              <w:jc w:val="center"/>
              <w:rPr>
                <w:b/>
                <w:sz w:val="18"/>
                <w:szCs w:val="18"/>
              </w:rPr>
            </w:pPr>
            <w:r>
              <w:rPr>
                <w:b/>
                <w:sz w:val="18"/>
                <w:szCs w:val="18"/>
              </w:rPr>
              <w:t>毕业要求</w:t>
            </w:r>
          </w:p>
        </w:tc>
        <w:tc>
          <w:tcPr>
            <w:tcW w:w="512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毕业要求指标点</w:t>
            </w:r>
          </w:p>
        </w:tc>
        <w:tc>
          <w:tcPr>
            <w:tcW w:w="13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jc w:val="center"/>
        </w:trPr>
        <w:tc>
          <w:tcPr>
            <w:tcW w:w="1588" w:type="dxa"/>
            <w:tcBorders>
              <w:left w:val="single" w:color="auto" w:sz="4" w:space="0"/>
              <w:right w:val="single" w:color="auto" w:sz="4" w:space="0"/>
            </w:tcBorders>
            <w:shd w:val="clear" w:color="auto" w:fill="FFFFFF"/>
            <w:vAlign w:val="center"/>
          </w:tcPr>
          <w:p>
            <w:pPr>
              <w:widowControl/>
              <w:spacing w:line="228" w:lineRule="auto"/>
              <w:jc w:val="left"/>
              <w:rPr>
                <w:sz w:val="18"/>
                <w:szCs w:val="18"/>
              </w:rPr>
            </w:pPr>
            <w:r>
              <w:rPr>
                <w:sz w:val="18"/>
                <w:szCs w:val="18"/>
              </w:rPr>
              <w:t>3．设计/开发</w:t>
            </w:r>
          </w:p>
        </w:tc>
        <w:tc>
          <w:tcPr>
            <w:tcW w:w="5122" w:type="dxa"/>
            <w:tcBorders>
              <w:left w:val="single" w:color="auto" w:sz="4" w:space="0"/>
              <w:right w:val="single" w:color="auto" w:sz="4" w:space="0"/>
            </w:tcBorders>
            <w:shd w:val="clear" w:color="auto" w:fill="FFFFFF"/>
            <w:vAlign w:val="center"/>
          </w:tcPr>
          <w:p>
            <w:pPr>
              <w:widowControl/>
              <w:spacing w:line="360" w:lineRule="exact"/>
              <w:jc w:val="left"/>
              <w:rPr>
                <w:kern w:val="0"/>
                <w:sz w:val="18"/>
                <w:szCs w:val="18"/>
              </w:rPr>
            </w:pPr>
            <w:r>
              <w:rPr>
                <w:kern w:val="0"/>
                <w:sz w:val="18"/>
                <w:szCs w:val="18"/>
              </w:rPr>
              <w:t>3.2在设计中综合利用电子信息工程的专业知识和新技术，体现创新意识。</w:t>
            </w:r>
          </w:p>
        </w:tc>
        <w:tc>
          <w:tcPr>
            <w:tcW w:w="1336" w:type="dxa"/>
            <w:tcBorders>
              <w:left w:val="single" w:color="auto" w:sz="4" w:space="0"/>
              <w:right w:val="single" w:color="auto" w:sz="4" w:space="0"/>
            </w:tcBorders>
            <w:shd w:val="clear" w:color="auto" w:fill="FFFFFF"/>
            <w:vAlign w:val="center"/>
          </w:tcPr>
          <w:p>
            <w:pPr>
              <w:widowControl/>
              <w:spacing w:line="360" w:lineRule="exact"/>
              <w:jc w:val="center"/>
              <w:rPr>
                <w:kern w:val="0"/>
                <w:szCs w:val="21"/>
              </w:rPr>
            </w:pPr>
            <w:r>
              <w:rPr>
                <w:kern w:val="0"/>
                <w:szCs w:val="21"/>
              </w:rPr>
              <w:t>1，</w:t>
            </w:r>
            <w:r>
              <w:rPr>
                <w:rFonts w:hint="eastAsia"/>
                <w:kern w:val="0"/>
                <w:szCs w:val="21"/>
              </w:rPr>
              <w:t>2，3</w:t>
            </w:r>
          </w:p>
        </w:tc>
      </w:tr>
    </w:tbl>
    <w:p>
      <w:pPr>
        <w:snapToGrid w:val="0"/>
        <w:spacing w:before="156" w:beforeLines="50" w:after="156" w:afterLines="50" w:line="300" w:lineRule="auto"/>
        <w:rPr>
          <w:b/>
          <w:sz w:val="24"/>
        </w:rPr>
      </w:pPr>
      <w:r>
        <w:rPr>
          <w:b/>
          <w:sz w:val="24"/>
        </w:rPr>
        <w:t>三、课程教学目标达成途径（或教学设计）</w:t>
      </w:r>
    </w:p>
    <w:p>
      <w:pPr>
        <w:widowControl/>
        <w:tabs>
          <w:tab w:val="left" w:pos="426"/>
          <w:tab w:val="left" w:pos="5245"/>
          <w:tab w:val="left" w:pos="5387"/>
        </w:tabs>
        <w:spacing w:line="300" w:lineRule="auto"/>
        <w:jc w:val="center"/>
        <w:rPr>
          <w:b/>
          <w:kern w:val="0"/>
          <w:szCs w:val="20"/>
        </w:rPr>
      </w:pPr>
      <w:r>
        <w:rPr>
          <w:b/>
          <w:kern w:val="0"/>
          <w:sz w:val="18"/>
          <w:szCs w:val="18"/>
        </w:rPr>
        <w:t>表2教学目标达成途径</w:t>
      </w:r>
    </w:p>
    <w:tbl>
      <w:tblPr>
        <w:tblStyle w:val="22"/>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158"/>
        <w:gridCol w:w="240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课程教学目标</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达成途径</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1．了解数据库的发展历史和趋势；掌握数据库管理系统的基本原理和基本设计方法；掌握一种流行数据库系统的基本操作方法和编程技术。</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多媒体授课、提问、讨论、实验</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2．系统地掌握开发、研制、管理各类数据库应用系统时所必需的数据库基础知识，具有一定的开发和设计数据库的能力。</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多媒体授课、提问、讨论、案例分析、实验</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课堂表现、习题作业、实验报告、期末考试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5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3．通过本课程的学习，培养学生</w:t>
            </w:r>
            <w:r>
              <w:rPr>
                <w:rFonts w:hint="eastAsia"/>
                <w:sz w:val="18"/>
                <w:szCs w:val="18"/>
              </w:rPr>
              <w:t>应用</w:t>
            </w:r>
            <w:r>
              <w:rPr>
                <w:sz w:val="18"/>
                <w:szCs w:val="18"/>
              </w:rPr>
              <w:t>数据库原理解决实际问题的能力和创新意识。</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多媒体授课、提问、讨论、案例分析</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rPr>
            </w:pPr>
            <w:r>
              <w:rPr>
                <w:sz w:val="18"/>
                <w:szCs w:val="18"/>
              </w:rPr>
              <w:t>课堂表现、习题作业、期末考试</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1</w:t>
      </w:r>
      <w:r>
        <w:rPr>
          <w:kern w:val="0"/>
          <w:szCs w:val="21"/>
        </w:rPr>
        <w:t>．</w:t>
      </w:r>
      <w:r>
        <w:rPr>
          <w:szCs w:val="21"/>
        </w:rPr>
        <w:t>课堂讲授为主，课程自学为辅，注重工程案例教学，每周平均讲授4学时，与专业相关实践教学环节和场景配合呼应。</w:t>
      </w:r>
    </w:p>
    <w:p>
      <w:pPr>
        <w:snapToGrid w:val="0"/>
        <w:spacing w:line="300" w:lineRule="auto"/>
        <w:ind w:firstLine="420" w:firstLineChars="200"/>
        <w:rPr>
          <w:szCs w:val="21"/>
        </w:rPr>
      </w:pPr>
      <w:r>
        <w:rPr>
          <w:szCs w:val="21"/>
        </w:rPr>
        <w:t>2</w:t>
      </w:r>
      <w:r>
        <w:rPr>
          <w:kern w:val="0"/>
          <w:szCs w:val="21"/>
        </w:rPr>
        <w:t>．</w:t>
      </w:r>
      <w:r>
        <w:rPr>
          <w:szCs w:val="21"/>
        </w:rPr>
        <w:t>基于电子信息系统信息处理与传输工作流程构建课程教学体系；根据课程特点采用启发式教学、任务驱动教学、案例教学法进行教学方法创新；核心能力知识点采用“原理描述-设计要点分析-应用案例展示”相互呼应的教学模式。</w:t>
      </w:r>
    </w:p>
    <w:p>
      <w:pPr>
        <w:snapToGrid w:val="0"/>
        <w:spacing w:line="300" w:lineRule="auto"/>
        <w:ind w:firstLine="420" w:firstLineChars="200"/>
        <w:rPr>
          <w:szCs w:val="21"/>
        </w:rPr>
      </w:pPr>
      <w:r>
        <w:rPr>
          <w:szCs w:val="21"/>
        </w:rPr>
        <w:t>本课程理论教学内容与教学要求见表3。</w:t>
      </w:r>
    </w:p>
    <w:p>
      <w:pPr>
        <w:widowControl/>
        <w:tabs>
          <w:tab w:val="left" w:pos="426"/>
          <w:tab w:val="left" w:pos="5245"/>
          <w:tab w:val="left" w:pos="5387"/>
        </w:tabs>
        <w:spacing w:before="156" w:beforeLines="50" w:line="300" w:lineRule="auto"/>
        <w:jc w:val="center"/>
        <w:rPr>
          <w:b/>
          <w:kern w:val="0"/>
          <w:sz w:val="18"/>
          <w:szCs w:val="18"/>
        </w:rPr>
      </w:pPr>
      <w:r>
        <w:rPr>
          <w:b/>
          <w:kern w:val="0"/>
          <w:sz w:val="18"/>
          <w:szCs w:val="18"/>
        </w:rPr>
        <w:t>表3教学要求</w:t>
      </w:r>
    </w:p>
    <w:tbl>
      <w:tblPr>
        <w:tblStyle w:val="22"/>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88"/>
        <w:gridCol w:w="1868"/>
        <w:gridCol w:w="4395"/>
        <w:gridCol w:w="70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atLeast"/>
          <w:tblHeader/>
          <w:jc w:val="center"/>
        </w:trPr>
        <w:tc>
          <w:tcPr>
            <w:tcW w:w="588" w:type="dxa"/>
            <w:shd w:val="clear" w:color="auto" w:fill="FFFFFF"/>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1868" w:type="dxa"/>
            <w:shd w:val="clear" w:color="auto" w:fill="FFFFFF"/>
            <w:vAlign w:val="center"/>
          </w:tcPr>
          <w:p>
            <w:pPr>
              <w:widowControl/>
              <w:snapToGrid w:val="0"/>
              <w:jc w:val="center"/>
              <w:rPr>
                <w:b/>
                <w:kern w:val="0"/>
                <w:sz w:val="18"/>
                <w:szCs w:val="18"/>
              </w:rPr>
            </w:pPr>
            <w:r>
              <w:rPr>
                <w:b/>
                <w:kern w:val="0"/>
                <w:sz w:val="18"/>
                <w:szCs w:val="18"/>
              </w:rPr>
              <w:t>教学内容</w:t>
            </w:r>
          </w:p>
        </w:tc>
        <w:tc>
          <w:tcPr>
            <w:tcW w:w="4395" w:type="dxa"/>
            <w:shd w:val="clear" w:color="auto" w:fill="FFFFFF"/>
            <w:vAlign w:val="center"/>
          </w:tcPr>
          <w:p>
            <w:pPr>
              <w:widowControl/>
              <w:snapToGrid w:val="0"/>
              <w:jc w:val="center"/>
              <w:rPr>
                <w:b/>
                <w:kern w:val="0"/>
                <w:sz w:val="18"/>
                <w:szCs w:val="18"/>
              </w:rPr>
            </w:pPr>
            <w:r>
              <w:rPr>
                <w:b/>
                <w:kern w:val="0"/>
                <w:sz w:val="18"/>
                <w:szCs w:val="18"/>
              </w:rPr>
              <w:t>教与学的要求</w:t>
            </w:r>
          </w:p>
        </w:tc>
        <w:tc>
          <w:tcPr>
            <w:tcW w:w="708" w:type="dxa"/>
            <w:shd w:val="clear" w:color="auto" w:fill="FFFFFF"/>
            <w:vAlign w:val="center"/>
          </w:tcPr>
          <w:p>
            <w:pPr>
              <w:widowControl/>
              <w:snapToGrid w:val="0"/>
              <w:jc w:val="center"/>
              <w:rPr>
                <w:b/>
                <w:kern w:val="0"/>
                <w:sz w:val="18"/>
                <w:szCs w:val="18"/>
              </w:rPr>
            </w:pPr>
            <w:r>
              <w:rPr>
                <w:b/>
                <w:kern w:val="0"/>
                <w:sz w:val="18"/>
                <w:szCs w:val="18"/>
              </w:rPr>
              <w:t>学时</w:t>
            </w:r>
          </w:p>
        </w:tc>
        <w:tc>
          <w:tcPr>
            <w:tcW w:w="993" w:type="dxa"/>
            <w:shd w:val="clear" w:color="auto" w:fill="FFFFFF"/>
            <w:vAlign w:val="center"/>
          </w:tcPr>
          <w:p>
            <w:pPr>
              <w:widowControl/>
              <w:snapToGrid w:val="0"/>
              <w:jc w:val="center"/>
              <w:rPr>
                <w:b/>
                <w:kern w:val="0"/>
                <w:sz w:val="18"/>
                <w:szCs w:val="18"/>
              </w:rPr>
            </w:pPr>
            <w:r>
              <w:rPr>
                <w:b/>
                <w:kern w:val="0"/>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58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1</w:t>
            </w:r>
          </w:p>
        </w:tc>
        <w:tc>
          <w:tcPr>
            <w:tcW w:w="1868"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1.1 数据库系统概述</w:t>
            </w:r>
          </w:p>
          <w:p>
            <w:pPr>
              <w:widowControl/>
              <w:adjustRightInd w:val="0"/>
              <w:snapToGrid w:val="0"/>
              <w:spacing w:line="300" w:lineRule="auto"/>
              <w:jc w:val="left"/>
              <w:textAlignment w:val="baseline"/>
              <w:rPr>
                <w:kern w:val="0"/>
                <w:sz w:val="18"/>
                <w:szCs w:val="18"/>
              </w:rPr>
            </w:pPr>
            <w:r>
              <w:rPr>
                <w:kern w:val="0"/>
                <w:sz w:val="18"/>
                <w:szCs w:val="18"/>
              </w:rPr>
              <w:t>1.2 数据模型</w:t>
            </w:r>
          </w:p>
          <w:p>
            <w:pPr>
              <w:widowControl/>
              <w:adjustRightInd w:val="0"/>
              <w:snapToGrid w:val="0"/>
              <w:spacing w:line="300" w:lineRule="auto"/>
              <w:jc w:val="left"/>
              <w:textAlignment w:val="baseline"/>
              <w:rPr>
                <w:kern w:val="0"/>
                <w:sz w:val="18"/>
                <w:szCs w:val="18"/>
              </w:rPr>
            </w:pPr>
            <w:r>
              <w:rPr>
                <w:kern w:val="0"/>
                <w:sz w:val="18"/>
                <w:szCs w:val="18"/>
              </w:rPr>
              <w:t>1.3 数据库系统的结构</w:t>
            </w:r>
          </w:p>
          <w:p>
            <w:pPr>
              <w:widowControl/>
              <w:adjustRightInd w:val="0"/>
              <w:snapToGrid w:val="0"/>
              <w:spacing w:line="300" w:lineRule="auto"/>
              <w:jc w:val="left"/>
              <w:textAlignment w:val="baseline"/>
              <w:rPr>
                <w:kern w:val="0"/>
                <w:sz w:val="18"/>
                <w:szCs w:val="18"/>
              </w:rPr>
            </w:pPr>
            <w:r>
              <w:rPr>
                <w:kern w:val="0"/>
                <w:sz w:val="18"/>
                <w:szCs w:val="18"/>
              </w:rPr>
              <w:t>1.4 数据库系统的组成</w:t>
            </w:r>
          </w:p>
          <w:p>
            <w:pPr>
              <w:widowControl/>
              <w:adjustRightInd w:val="0"/>
              <w:snapToGrid w:val="0"/>
              <w:spacing w:line="300" w:lineRule="auto"/>
              <w:jc w:val="left"/>
              <w:textAlignment w:val="baseline"/>
              <w:rPr>
                <w:kern w:val="0"/>
                <w:sz w:val="18"/>
                <w:szCs w:val="18"/>
              </w:rPr>
            </w:pPr>
            <w:r>
              <w:rPr>
                <w:sz w:val="18"/>
                <w:szCs w:val="18"/>
              </w:rPr>
              <w:t>课程思政主题：讲述西方国家目前对我国的技术封锁</w:t>
            </w:r>
            <w:r>
              <w:rPr>
                <w:rFonts w:hint="eastAsia"/>
                <w:bCs/>
                <w:sz w:val="18"/>
                <w:szCs w:val="18"/>
              </w:rPr>
              <w:t>，激发学生的爱国热情与科技报国信念。</w:t>
            </w:r>
          </w:p>
        </w:tc>
        <w:tc>
          <w:tcPr>
            <w:tcW w:w="4395"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widowControl/>
              <w:adjustRightInd w:val="0"/>
              <w:snapToGrid w:val="0"/>
              <w:spacing w:line="300" w:lineRule="auto"/>
              <w:jc w:val="left"/>
              <w:textAlignment w:val="baseline"/>
              <w:rPr>
                <w:kern w:val="0"/>
                <w:sz w:val="18"/>
                <w:szCs w:val="18"/>
              </w:rPr>
            </w:pPr>
            <w:r>
              <w:rPr>
                <w:kern w:val="0"/>
                <w:sz w:val="18"/>
                <w:szCs w:val="18"/>
              </w:rPr>
              <w:t>（1）了解：数据库管理技术产生和发展、数据库系统的优点和好处、层次数据模型及网状数据模型的基本概念、数据库系统的组成、DBA的职责、数据库技术的主要研究领域；</w:t>
            </w:r>
          </w:p>
          <w:p>
            <w:pPr>
              <w:widowControl/>
              <w:adjustRightInd w:val="0"/>
              <w:snapToGrid w:val="0"/>
              <w:spacing w:line="300" w:lineRule="auto"/>
              <w:jc w:val="left"/>
              <w:textAlignment w:val="baseline"/>
              <w:rPr>
                <w:kern w:val="0"/>
                <w:sz w:val="18"/>
                <w:szCs w:val="18"/>
              </w:rPr>
            </w:pPr>
            <w:r>
              <w:rPr>
                <w:kern w:val="0"/>
                <w:sz w:val="18"/>
                <w:szCs w:val="18"/>
              </w:rPr>
              <w:t>（2）理解： 数据库、数据库管理系统、数据库系统、模型相关概念；</w:t>
            </w:r>
          </w:p>
          <w:p>
            <w:pPr>
              <w:widowControl/>
              <w:adjustRightInd w:val="0"/>
              <w:snapToGrid w:val="0"/>
              <w:spacing w:line="300" w:lineRule="auto"/>
              <w:jc w:val="left"/>
              <w:textAlignment w:val="baseline"/>
              <w:rPr>
                <w:kern w:val="0"/>
                <w:sz w:val="18"/>
                <w:szCs w:val="18"/>
              </w:rPr>
            </w:pPr>
            <w:r>
              <w:rPr>
                <w:kern w:val="0"/>
                <w:sz w:val="18"/>
                <w:szCs w:val="18"/>
              </w:rPr>
              <w:t>（3）掌握：概念模型的基本概念及其主要建模方法——E-R方法；通过E-R方法描述现实世界的概念模型；关系数据模型的相关概念；数据库系统三级模式和两级映像的体系结构。</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（1）复习本章内容；</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（2）完成相关作业。</w:t>
            </w:r>
          </w:p>
          <w:p>
            <w:pPr>
              <w:widowControl/>
              <w:adjustRightInd w:val="0"/>
              <w:snapToGrid w:val="0"/>
              <w:spacing w:line="300" w:lineRule="auto"/>
              <w:jc w:val="left"/>
              <w:textAlignment w:val="baseline"/>
              <w:rPr>
                <w:kern w:val="0"/>
                <w:sz w:val="18"/>
                <w:szCs w:val="18"/>
              </w:rPr>
            </w:pPr>
            <w:r>
              <w:rPr>
                <w:kern w:val="0"/>
                <w:sz w:val="18"/>
                <w:szCs w:val="18"/>
              </w:rPr>
              <w:t>3.教学方法：启发式授课、提问、讨论。</w:t>
            </w:r>
          </w:p>
        </w:tc>
        <w:tc>
          <w:tcPr>
            <w:tcW w:w="708"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993"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58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2</w:t>
            </w:r>
          </w:p>
        </w:tc>
        <w:tc>
          <w:tcPr>
            <w:tcW w:w="1868"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2.1 关系数据结构及形式化定义</w:t>
            </w:r>
          </w:p>
          <w:p>
            <w:pPr>
              <w:widowControl/>
              <w:adjustRightInd w:val="0"/>
              <w:snapToGrid w:val="0"/>
              <w:spacing w:line="300" w:lineRule="auto"/>
              <w:jc w:val="left"/>
              <w:textAlignment w:val="baseline"/>
              <w:rPr>
                <w:kern w:val="0"/>
                <w:sz w:val="18"/>
                <w:szCs w:val="18"/>
              </w:rPr>
            </w:pPr>
            <w:r>
              <w:rPr>
                <w:kern w:val="0"/>
                <w:sz w:val="18"/>
                <w:szCs w:val="18"/>
              </w:rPr>
              <w:t>2.2 关系操作</w:t>
            </w:r>
          </w:p>
          <w:p>
            <w:pPr>
              <w:widowControl/>
              <w:adjustRightInd w:val="0"/>
              <w:snapToGrid w:val="0"/>
              <w:spacing w:line="300" w:lineRule="auto"/>
              <w:jc w:val="left"/>
              <w:textAlignment w:val="baseline"/>
              <w:rPr>
                <w:kern w:val="0"/>
                <w:sz w:val="18"/>
                <w:szCs w:val="18"/>
              </w:rPr>
            </w:pPr>
            <w:r>
              <w:rPr>
                <w:kern w:val="0"/>
                <w:sz w:val="18"/>
                <w:szCs w:val="18"/>
              </w:rPr>
              <w:t>2.3 关系的完整性</w:t>
            </w:r>
          </w:p>
          <w:p>
            <w:pPr>
              <w:widowControl/>
              <w:adjustRightInd w:val="0"/>
              <w:snapToGrid w:val="0"/>
              <w:spacing w:line="300" w:lineRule="auto"/>
              <w:jc w:val="left"/>
              <w:textAlignment w:val="baseline"/>
              <w:rPr>
                <w:kern w:val="0"/>
                <w:sz w:val="18"/>
                <w:szCs w:val="18"/>
              </w:rPr>
            </w:pPr>
            <w:r>
              <w:rPr>
                <w:kern w:val="0"/>
                <w:sz w:val="18"/>
                <w:szCs w:val="18"/>
              </w:rPr>
              <w:t>2.4 关系代数</w:t>
            </w:r>
          </w:p>
          <w:p>
            <w:pPr>
              <w:widowControl/>
              <w:adjustRightInd w:val="0"/>
              <w:snapToGrid w:val="0"/>
              <w:spacing w:line="300" w:lineRule="auto"/>
              <w:jc w:val="left"/>
              <w:textAlignment w:val="baseline"/>
              <w:rPr>
                <w:kern w:val="0"/>
                <w:sz w:val="18"/>
                <w:szCs w:val="18"/>
              </w:rPr>
            </w:pPr>
            <w:r>
              <w:rPr>
                <w:kern w:val="0"/>
                <w:sz w:val="18"/>
                <w:szCs w:val="18"/>
              </w:rPr>
              <w:t>2.5 关系演算</w:t>
            </w:r>
          </w:p>
          <w:p>
            <w:pPr>
              <w:widowControl/>
              <w:adjustRightInd w:val="0"/>
              <w:snapToGrid w:val="0"/>
              <w:spacing w:line="300" w:lineRule="auto"/>
              <w:jc w:val="left"/>
              <w:textAlignment w:val="baseline"/>
              <w:rPr>
                <w:kern w:val="0"/>
                <w:sz w:val="18"/>
                <w:szCs w:val="18"/>
              </w:rPr>
            </w:pPr>
            <w:r>
              <w:rPr>
                <w:kern w:val="0"/>
                <w:sz w:val="18"/>
                <w:szCs w:val="18"/>
              </w:rPr>
              <w:t>2.6 规范化</w:t>
            </w:r>
          </w:p>
          <w:p>
            <w:pPr>
              <w:widowControl/>
              <w:adjustRightInd w:val="0"/>
              <w:snapToGrid w:val="0"/>
              <w:spacing w:line="300" w:lineRule="auto"/>
              <w:jc w:val="left"/>
              <w:textAlignment w:val="baseline"/>
              <w:rPr>
                <w:kern w:val="0"/>
                <w:sz w:val="18"/>
                <w:szCs w:val="18"/>
              </w:rPr>
            </w:pPr>
            <w:r>
              <w:rPr>
                <w:kern w:val="0"/>
                <w:sz w:val="18"/>
                <w:szCs w:val="18"/>
              </w:rPr>
              <w:t>2.7 数据依赖的公理系统</w:t>
            </w:r>
          </w:p>
          <w:p>
            <w:pPr>
              <w:widowControl/>
              <w:adjustRightInd w:val="0"/>
              <w:snapToGrid w:val="0"/>
              <w:spacing w:line="300" w:lineRule="auto"/>
              <w:jc w:val="left"/>
              <w:textAlignment w:val="baseline"/>
              <w:rPr>
                <w:kern w:val="0"/>
                <w:sz w:val="18"/>
                <w:szCs w:val="18"/>
              </w:rPr>
            </w:pPr>
            <w:r>
              <w:rPr>
                <w:kern w:val="0"/>
                <w:sz w:val="18"/>
                <w:szCs w:val="18"/>
              </w:rPr>
              <w:t>2.8 模式分解</w:t>
            </w:r>
          </w:p>
        </w:tc>
        <w:tc>
          <w:tcPr>
            <w:tcW w:w="4395"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adjustRightInd w:val="0"/>
              <w:snapToGrid w:val="0"/>
              <w:spacing w:line="300" w:lineRule="auto"/>
              <w:rPr>
                <w:sz w:val="18"/>
                <w:szCs w:val="18"/>
              </w:rPr>
            </w:pPr>
            <w:r>
              <w:rPr>
                <w:sz w:val="18"/>
                <w:szCs w:val="18"/>
              </w:rPr>
              <w:t>（1）了解：</w:t>
            </w:r>
            <w:r>
              <w:rPr>
                <w:kern w:val="0"/>
                <w:sz w:val="18"/>
                <w:szCs w:val="18"/>
              </w:rPr>
              <w:t>关系数据库理论产生和发展过程；关系数据库产品的发展及沿革；关系演算的概念；域关系演算语言；</w:t>
            </w:r>
          </w:p>
          <w:p>
            <w:pPr>
              <w:adjustRightInd w:val="0"/>
              <w:snapToGrid w:val="0"/>
              <w:spacing w:line="300" w:lineRule="auto"/>
              <w:rPr>
                <w:sz w:val="18"/>
                <w:szCs w:val="18"/>
              </w:rPr>
            </w:pPr>
            <w:r>
              <w:rPr>
                <w:sz w:val="18"/>
                <w:szCs w:val="18"/>
              </w:rPr>
              <w:t>（2）理解：关系数据库的基本概念，包括关系模型的数据结构、关系的完整性以及关系操作；</w:t>
            </w:r>
          </w:p>
          <w:p>
            <w:pPr>
              <w:adjustRightInd w:val="0"/>
              <w:snapToGrid w:val="0"/>
              <w:spacing w:line="300" w:lineRule="auto"/>
              <w:rPr>
                <w:kern w:val="0"/>
                <w:sz w:val="18"/>
                <w:szCs w:val="18"/>
              </w:rPr>
            </w:pPr>
            <w:r>
              <w:rPr>
                <w:sz w:val="18"/>
                <w:szCs w:val="18"/>
              </w:rPr>
              <w:t>（3）掌握：</w:t>
            </w:r>
            <w:r>
              <w:rPr>
                <w:kern w:val="0"/>
                <w:sz w:val="18"/>
                <w:szCs w:val="18"/>
              </w:rPr>
              <w:t>关系模型的三个组成部分及各部分所包括的主要内容；关系数据结构及其形式化定义；关系的三类完整性约束的概念；关系代数运算。</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（2）完成相关作业和实验。</w:t>
            </w:r>
          </w:p>
          <w:p>
            <w:pPr>
              <w:adjustRightInd w:val="0"/>
              <w:snapToGrid w:val="0"/>
              <w:spacing w:line="300" w:lineRule="auto"/>
              <w:rPr>
                <w:kern w:val="0"/>
                <w:sz w:val="18"/>
                <w:szCs w:val="18"/>
              </w:rPr>
            </w:pPr>
            <w:r>
              <w:rPr>
                <w:kern w:val="0"/>
                <w:sz w:val="18"/>
                <w:szCs w:val="18"/>
              </w:rPr>
              <w:t>3.教学方法：启发式授课、案例教学、提问、讨论。</w:t>
            </w:r>
          </w:p>
        </w:tc>
        <w:tc>
          <w:tcPr>
            <w:tcW w:w="708"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993" w:type="dxa"/>
            <w:shd w:val="clear" w:color="auto" w:fill="FFFFFF"/>
            <w:vAlign w:val="center"/>
          </w:tcPr>
          <w:p>
            <w:pPr>
              <w:widowControl/>
              <w:adjustRightInd w:val="0"/>
              <w:snapToGrid w:val="0"/>
              <w:spacing w:line="300" w:lineRule="auto"/>
              <w:jc w:val="center"/>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58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3</w:t>
            </w:r>
          </w:p>
        </w:tc>
        <w:tc>
          <w:tcPr>
            <w:tcW w:w="1868"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3.1 SQL.概述</w:t>
            </w:r>
          </w:p>
          <w:p>
            <w:pPr>
              <w:widowControl/>
              <w:adjustRightInd w:val="0"/>
              <w:snapToGrid w:val="0"/>
              <w:spacing w:line="300" w:lineRule="auto"/>
              <w:jc w:val="left"/>
              <w:textAlignment w:val="baseline"/>
              <w:rPr>
                <w:kern w:val="0"/>
                <w:sz w:val="18"/>
                <w:szCs w:val="18"/>
              </w:rPr>
            </w:pPr>
            <w:r>
              <w:rPr>
                <w:kern w:val="0"/>
                <w:sz w:val="18"/>
                <w:szCs w:val="18"/>
              </w:rPr>
              <w:t>3.2 数据定义</w:t>
            </w:r>
          </w:p>
          <w:p>
            <w:pPr>
              <w:widowControl/>
              <w:adjustRightInd w:val="0"/>
              <w:snapToGrid w:val="0"/>
              <w:spacing w:line="300" w:lineRule="auto"/>
              <w:jc w:val="left"/>
              <w:textAlignment w:val="baseline"/>
              <w:rPr>
                <w:kern w:val="0"/>
                <w:sz w:val="18"/>
                <w:szCs w:val="18"/>
              </w:rPr>
            </w:pPr>
            <w:r>
              <w:rPr>
                <w:kern w:val="0"/>
                <w:sz w:val="18"/>
                <w:szCs w:val="18"/>
              </w:rPr>
              <w:t>3.3 数据查询</w:t>
            </w:r>
          </w:p>
          <w:p>
            <w:pPr>
              <w:widowControl/>
              <w:adjustRightInd w:val="0"/>
              <w:snapToGrid w:val="0"/>
              <w:spacing w:line="300" w:lineRule="auto"/>
              <w:jc w:val="left"/>
              <w:textAlignment w:val="baseline"/>
              <w:rPr>
                <w:kern w:val="0"/>
                <w:sz w:val="18"/>
                <w:szCs w:val="18"/>
              </w:rPr>
            </w:pPr>
            <w:r>
              <w:rPr>
                <w:kern w:val="0"/>
                <w:sz w:val="18"/>
                <w:szCs w:val="18"/>
              </w:rPr>
              <w:t>3.4 数据更新</w:t>
            </w:r>
          </w:p>
          <w:p>
            <w:pPr>
              <w:widowControl/>
              <w:adjustRightInd w:val="0"/>
              <w:snapToGrid w:val="0"/>
              <w:spacing w:line="300" w:lineRule="auto"/>
              <w:jc w:val="left"/>
              <w:textAlignment w:val="baseline"/>
              <w:rPr>
                <w:kern w:val="0"/>
                <w:sz w:val="18"/>
                <w:szCs w:val="18"/>
              </w:rPr>
            </w:pPr>
            <w:r>
              <w:rPr>
                <w:kern w:val="0"/>
                <w:sz w:val="18"/>
                <w:szCs w:val="18"/>
              </w:rPr>
              <w:t>3.5 视图</w:t>
            </w:r>
          </w:p>
        </w:tc>
        <w:tc>
          <w:tcPr>
            <w:tcW w:w="4395"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adjustRightInd w:val="0"/>
              <w:snapToGrid w:val="0"/>
              <w:spacing w:line="300" w:lineRule="auto"/>
              <w:rPr>
                <w:sz w:val="18"/>
                <w:szCs w:val="18"/>
              </w:rPr>
            </w:pPr>
            <w:r>
              <w:rPr>
                <w:sz w:val="18"/>
                <w:szCs w:val="18"/>
              </w:rPr>
              <w:t>（1）了解：</w:t>
            </w:r>
            <w:r>
              <w:rPr>
                <w:kern w:val="0"/>
                <w:sz w:val="18"/>
                <w:szCs w:val="18"/>
              </w:rPr>
              <w:t>SQL产生和发展过程；SQL的特点；</w:t>
            </w:r>
          </w:p>
          <w:p>
            <w:pPr>
              <w:adjustRightInd w:val="0"/>
              <w:snapToGrid w:val="0"/>
              <w:spacing w:line="300" w:lineRule="auto"/>
              <w:rPr>
                <w:sz w:val="18"/>
                <w:szCs w:val="18"/>
              </w:rPr>
            </w:pPr>
            <w:r>
              <w:rPr>
                <w:sz w:val="18"/>
                <w:szCs w:val="18"/>
              </w:rPr>
              <w:t>（2）理解：理解SQL语言的同时进一步理解关系数据库系统的基本概念，使这些概念更加具体、更加丰富；</w:t>
            </w:r>
          </w:p>
          <w:p>
            <w:pPr>
              <w:adjustRightInd w:val="0"/>
              <w:snapToGrid w:val="0"/>
              <w:spacing w:line="300" w:lineRule="auto"/>
              <w:rPr>
                <w:kern w:val="0"/>
                <w:sz w:val="18"/>
                <w:szCs w:val="18"/>
              </w:rPr>
            </w:pPr>
            <w:r>
              <w:rPr>
                <w:sz w:val="18"/>
                <w:szCs w:val="18"/>
              </w:rPr>
              <w:t>（3）掌握：</w:t>
            </w:r>
            <w:r>
              <w:rPr>
                <w:kern w:val="0"/>
                <w:sz w:val="18"/>
                <w:szCs w:val="18"/>
              </w:rPr>
              <w:t>SQL语言完成对数据库的查询、插入、删除、更新操作。</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（2）完成相关作业和实验。</w:t>
            </w:r>
          </w:p>
          <w:p>
            <w:pPr>
              <w:adjustRightInd w:val="0"/>
              <w:snapToGrid w:val="0"/>
              <w:spacing w:line="300" w:lineRule="auto"/>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708"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6</w:t>
            </w:r>
          </w:p>
        </w:tc>
        <w:tc>
          <w:tcPr>
            <w:tcW w:w="993" w:type="dxa"/>
            <w:shd w:val="clear" w:color="auto" w:fill="FFFFFF"/>
            <w:vAlign w:val="center"/>
          </w:tcPr>
          <w:p>
            <w:pPr>
              <w:widowControl/>
              <w:adjustRightInd w:val="0"/>
              <w:snapToGrid w:val="0"/>
              <w:spacing w:line="300" w:lineRule="auto"/>
              <w:jc w:val="center"/>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58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kern w:val="0"/>
                <w:sz w:val="18"/>
                <w:szCs w:val="18"/>
              </w:rPr>
              <w:t>4</w:t>
            </w:r>
          </w:p>
        </w:tc>
        <w:tc>
          <w:tcPr>
            <w:tcW w:w="1868"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4.1数据库设计概述</w:t>
            </w:r>
          </w:p>
          <w:p>
            <w:pPr>
              <w:widowControl/>
              <w:adjustRightInd w:val="0"/>
              <w:snapToGrid w:val="0"/>
              <w:spacing w:line="300" w:lineRule="auto"/>
              <w:jc w:val="left"/>
              <w:textAlignment w:val="baseline"/>
              <w:rPr>
                <w:kern w:val="0"/>
                <w:sz w:val="18"/>
                <w:szCs w:val="18"/>
              </w:rPr>
            </w:pPr>
            <w:r>
              <w:rPr>
                <w:kern w:val="0"/>
                <w:sz w:val="18"/>
                <w:szCs w:val="18"/>
              </w:rPr>
              <w:t>4.2 需求分析</w:t>
            </w:r>
          </w:p>
          <w:p>
            <w:pPr>
              <w:widowControl/>
              <w:adjustRightInd w:val="0"/>
              <w:snapToGrid w:val="0"/>
              <w:spacing w:line="300" w:lineRule="auto"/>
              <w:jc w:val="left"/>
              <w:textAlignment w:val="baseline"/>
              <w:rPr>
                <w:kern w:val="0"/>
                <w:sz w:val="18"/>
                <w:szCs w:val="18"/>
              </w:rPr>
            </w:pPr>
            <w:r>
              <w:rPr>
                <w:kern w:val="0"/>
                <w:sz w:val="18"/>
                <w:szCs w:val="18"/>
              </w:rPr>
              <w:t>4.3 概念结构设计</w:t>
            </w:r>
          </w:p>
          <w:p>
            <w:pPr>
              <w:widowControl/>
              <w:adjustRightInd w:val="0"/>
              <w:snapToGrid w:val="0"/>
              <w:spacing w:line="300" w:lineRule="auto"/>
              <w:jc w:val="left"/>
              <w:textAlignment w:val="baseline"/>
              <w:rPr>
                <w:kern w:val="0"/>
                <w:sz w:val="18"/>
                <w:szCs w:val="18"/>
              </w:rPr>
            </w:pPr>
            <w:r>
              <w:rPr>
                <w:kern w:val="0"/>
                <w:sz w:val="18"/>
                <w:szCs w:val="18"/>
              </w:rPr>
              <w:t>4.4 逻辑结构设计</w:t>
            </w:r>
          </w:p>
          <w:p>
            <w:pPr>
              <w:widowControl/>
              <w:adjustRightInd w:val="0"/>
              <w:snapToGrid w:val="0"/>
              <w:spacing w:line="300" w:lineRule="auto"/>
              <w:jc w:val="left"/>
              <w:textAlignment w:val="baseline"/>
              <w:rPr>
                <w:kern w:val="0"/>
                <w:sz w:val="18"/>
                <w:szCs w:val="18"/>
              </w:rPr>
            </w:pPr>
            <w:r>
              <w:rPr>
                <w:kern w:val="0"/>
                <w:sz w:val="18"/>
                <w:szCs w:val="18"/>
              </w:rPr>
              <w:t>4.5 物理结构设计</w:t>
            </w:r>
          </w:p>
          <w:p>
            <w:pPr>
              <w:widowControl/>
              <w:adjustRightInd w:val="0"/>
              <w:snapToGrid w:val="0"/>
              <w:spacing w:line="300" w:lineRule="auto"/>
              <w:jc w:val="left"/>
              <w:textAlignment w:val="baseline"/>
              <w:rPr>
                <w:kern w:val="0"/>
                <w:sz w:val="18"/>
                <w:szCs w:val="18"/>
              </w:rPr>
            </w:pPr>
            <w:r>
              <w:rPr>
                <w:kern w:val="0"/>
                <w:sz w:val="18"/>
                <w:szCs w:val="18"/>
              </w:rPr>
              <w:t>4.6 数据库的实施和维护</w:t>
            </w:r>
          </w:p>
        </w:tc>
        <w:tc>
          <w:tcPr>
            <w:tcW w:w="4395" w:type="dxa"/>
            <w:shd w:val="clear" w:color="auto" w:fill="FFFFFF"/>
            <w:vAlign w:val="center"/>
          </w:tcPr>
          <w:p>
            <w:pPr>
              <w:widowControl/>
              <w:tabs>
                <w:tab w:val="left" w:pos="426"/>
                <w:tab w:val="left" w:pos="5245"/>
                <w:tab w:val="left" w:pos="5387"/>
              </w:tabs>
              <w:adjustRightInd w:val="0"/>
              <w:snapToGrid w:val="0"/>
              <w:spacing w:line="300" w:lineRule="auto"/>
              <w:rPr>
                <w:kern w:val="0"/>
                <w:sz w:val="18"/>
                <w:szCs w:val="18"/>
              </w:rPr>
            </w:pPr>
            <w:r>
              <w:rPr>
                <w:kern w:val="0"/>
                <w:sz w:val="18"/>
                <w:szCs w:val="18"/>
              </w:rPr>
              <w:t>1</w:t>
            </w:r>
            <w:r>
              <w:rPr>
                <w:kern w:val="0"/>
                <w:szCs w:val="21"/>
              </w:rPr>
              <w:t>．</w:t>
            </w:r>
            <w:r>
              <w:rPr>
                <w:kern w:val="0"/>
                <w:sz w:val="18"/>
                <w:szCs w:val="18"/>
              </w:rPr>
              <w:t>要求：</w:t>
            </w:r>
          </w:p>
          <w:p>
            <w:pPr>
              <w:adjustRightInd w:val="0"/>
              <w:snapToGrid w:val="0"/>
              <w:spacing w:line="300" w:lineRule="auto"/>
              <w:rPr>
                <w:sz w:val="18"/>
                <w:szCs w:val="18"/>
              </w:rPr>
            </w:pPr>
            <w:r>
              <w:rPr>
                <w:sz w:val="18"/>
                <w:szCs w:val="18"/>
              </w:rPr>
              <w:t>（1）了解：数据库设计的特点；数据库物理设计的内容与评价；数据库的实施和维护；</w:t>
            </w:r>
          </w:p>
          <w:p>
            <w:pPr>
              <w:adjustRightInd w:val="0"/>
              <w:snapToGrid w:val="0"/>
              <w:spacing w:line="300" w:lineRule="auto"/>
              <w:rPr>
                <w:sz w:val="18"/>
                <w:szCs w:val="18"/>
              </w:rPr>
            </w:pPr>
            <w:r>
              <w:rPr>
                <w:sz w:val="18"/>
                <w:szCs w:val="18"/>
              </w:rPr>
              <w:t>（2）理解：数据库设计的概念、特点、方法及其基本步骤；</w:t>
            </w:r>
          </w:p>
          <w:p>
            <w:pPr>
              <w:adjustRightInd w:val="0"/>
              <w:snapToGrid w:val="0"/>
              <w:spacing w:line="300" w:lineRule="auto"/>
              <w:rPr>
                <w:sz w:val="18"/>
                <w:szCs w:val="18"/>
              </w:rPr>
            </w:pPr>
            <w:r>
              <w:rPr>
                <w:sz w:val="18"/>
                <w:szCs w:val="18"/>
              </w:rPr>
              <w:t>（3）掌握：数据库设计的特点；数据库物理设计的内容与评价；数据库的实施和维护。</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2</w:t>
            </w:r>
            <w:r>
              <w:rPr>
                <w:kern w:val="0"/>
                <w:szCs w:val="21"/>
              </w:rPr>
              <w:t>．</w:t>
            </w:r>
            <w:r>
              <w:rPr>
                <w:kern w:val="0"/>
                <w:sz w:val="18"/>
                <w:szCs w:val="18"/>
              </w:rPr>
              <w:t>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（2）完成相关作业和实验。</w:t>
            </w:r>
          </w:p>
          <w:p>
            <w:pPr>
              <w:adjustRightInd w:val="0"/>
              <w:snapToGrid w:val="0"/>
              <w:spacing w:line="300" w:lineRule="auto"/>
              <w:rPr>
                <w:sz w:val="18"/>
                <w:szCs w:val="18"/>
              </w:rPr>
            </w:pPr>
            <w:r>
              <w:rPr>
                <w:kern w:val="0"/>
                <w:sz w:val="18"/>
                <w:szCs w:val="18"/>
              </w:rPr>
              <w:t>3</w:t>
            </w:r>
            <w:r>
              <w:rPr>
                <w:kern w:val="0"/>
                <w:szCs w:val="21"/>
              </w:rPr>
              <w:t>．</w:t>
            </w:r>
            <w:r>
              <w:rPr>
                <w:kern w:val="0"/>
                <w:sz w:val="18"/>
                <w:szCs w:val="18"/>
              </w:rPr>
              <w:t>教学方法：启发式授课、案例教学、提问、讨论。</w:t>
            </w:r>
          </w:p>
        </w:tc>
        <w:tc>
          <w:tcPr>
            <w:tcW w:w="708"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993" w:type="dxa"/>
            <w:shd w:val="clear" w:color="auto" w:fill="FFFFFF"/>
            <w:vAlign w:val="center"/>
          </w:tcPr>
          <w:p>
            <w:pPr>
              <w:widowControl/>
              <w:adjustRightInd w:val="0"/>
              <w:snapToGrid w:val="0"/>
              <w:spacing w:line="300" w:lineRule="auto"/>
              <w:jc w:val="center"/>
              <w:rPr>
                <w:kern w:val="0"/>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588" w:type="dxa"/>
            <w:shd w:val="clear" w:color="auto" w:fill="FFFFFF"/>
            <w:tcMar>
              <w:left w:w="57" w:type="dxa"/>
              <w:right w:w="57" w:type="dxa"/>
            </w:tcMar>
            <w:vAlign w:val="center"/>
          </w:tcPr>
          <w:p>
            <w:pPr>
              <w:widowControl/>
              <w:adjustRightInd w:val="0"/>
              <w:snapToGrid w:val="0"/>
              <w:spacing w:line="300" w:lineRule="auto"/>
              <w:jc w:val="center"/>
              <w:rPr>
                <w:kern w:val="0"/>
                <w:sz w:val="18"/>
                <w:szCs w:val="18"/>
              </w:rPr>
            </w:pPr>
            <w:r>
              <w:rPr>
                <w:rFonts w:hint="eastAsia"/>
                <w:kern w:val="0"/>
                <w:sz w:val="18"/>
                <w:szCs w:val="18"/>
              </w:rPr>
              <w:t>5</w:t>
            </w:r>
          </w:p>
        </w:tc>
        <w:tc>
          <w:tcPr>
            <w:tcW w:w="1868" w:type="dxa"/>
            <w:shd w:val="clear" w:color="auto" w:fill="FFFFFF"/>
            <w:vAlign w:val="center"/>
          </w:tcPr>
          <w:p>
            <w:pPr>
              <w:widowControl/>
              <w:adjustRightInd w:val="0"/>
              <w:snapToGrid w:val="0"/>
              <w:spacing w:line="300" w:lineRule="auto"/>
              <w:jc w:val="left"/>
              <w:textAlignment w:val="baseline"/>
              <w:rPr>
                <w:kern w:val="0"/>
                <w:sz w:val="18"/>
                <w:szCs w:val="18"/>
              </w:rPr>
            </w:pPr>
            <w:r>
              <w:rPr>
                <w:kern w:val="0"/>
                <w:sz w:val="18"/>
                <w:szCs w:val="18"/>
              </w:rPr>
              <w:t>5.1</w:t>
            </w:r>
            <w:r>
              <w:rPr>
                <w:rFonts w:hint="eastAsia"/>
                <w:kern w:val="0"/>
                <w:sz w:val="18"/>
                <w:szCs w:val="18"/>
              </w:rPr>
              <w:t>数据库</w:t>
            </w:r>
            <w:r>
              <w:rPr>
                <w:kern w:val="0"/>
                <w:sz w:val="18"/>
                <w:szCs w:val="18"/>
              </w:rPr>
              <w:t>安全概述</w:t>
            </w:r>
          </w:p>
          <w:p>
            <w:pPr>
              <w:widowControl/>
              <w:adjustRightInd w:val="0"/>
              <w:snapToGrid w:val="0"/>
              <w:spacing w:line="300" w:lineRule="auto"/>
              <w:jc w:val="left"/>
              <w:textAlignment w:val="baseline"/>
              <w:rPr>
                <w:kern w:val="0"/>
                <w:sz w:val="18"/>
                <w:szCs w:val="18"/>
              </w:rPr>
            </w:pPr>
            <w:r>
              <w:rPr>
                <w:kern w:val="0"/>
                <w:sz w:val="18"/>
                <w:szCs w:val="18"/>
              </w:rPr>
              <w:t>5.2 sqlserver的安全性</w:t>
            </w:r>
          </w:p>
          <w:p>
            <w:pPr>
              <w:widowControl/>
              <w:adjustRightInd w:val="0"/>
              <w:snapToGrid w:val="0"/>
              <w:spacing w:line="300" w:lineRule="auto"/>
              <w:jc w:val="left"/>
              <w:textAlignment w:val="baseline"/>
              <w:rPr>
                <w:kern w:val="0"/>
                <w:sz w:val="18"/>
                <w:szCs w:val="18"/>
              </w:rPr>
            </w:pPr>
            <w:r>
              <w:rPr>
                <w:kern w:val="0"/>
                <w:sz w:val="18"/>
                <w:szCs w:val="18"/>
              </w:rPr>
              <w:t xml:space="preserve">5.3 </w:t>
            </w:r>
            <w:r>
              <w:rPr>
                <w:rFonts w:hint="eastAsia"/>
                <w:kern w:val="0"/>
                <w:sz w:val="18"/>
                <w:szCs w:val="18"/>
              </w:rPr>
              <w:t>用户管理和</w:t>
            </w:r>
            <w:r>
              <w:rPr>
                <w:kern w:val="0"/>
                <w:sz w:val="18"/>
                <w:szCs w:val="18"/>
              </w:rPr>
              <w:t>角色管理</w:t>
            </w:r>
          </w:p>
          <w:p>
            <w:pPr>
              <w:widowControl/>
              <w:adjustRightInd w:val="0"/>
              <w:snapToGrid w:val="0"/>
              <w:spacing w:line="300" w:lineRule="auto"/>
              <w:jc w:val="left"/>
              <w:textAlignment w:val="baseline"/>
              <w:rPr>
                <w:kern w:val="0"/>
                <w:sz w:val="18"/>
                <w:szCs w:val="18"/>
              </w:rPr>
            </w:pPr>
            <w:r>
              <w:rPr>
                <w:kern w:val="0"/>
                <w:sz w:val="18"/>
                <w:szCs w:val="18"/>
              </w:rPr>
              <w:t xml:space="preserve">5.4 </w:t>
            </w:r>
            <w:r>
              <w:rPr>
                <w:rFonts w:hint="eastAsia"/>
                <w:kern w:val="0"/>
                <w:sz w:val="18"/>
                <w:szCs w:val="18"/>
              </w:rPr>
              <w:t>权限管理</w:t>
            </w:r>
          </w:p>
          <w:p>
            <w:pPr>
              <w:widowControl/>
              <w:adjustRightInd w:val="0"/>
              <w:snapToGrid w:val="0"/>
              <w:spacing w:line="300" w:lineRule="auto"/>
              <w:jc w:val="left"/>
              <w:textAlignment w:val="baseline"/>
              <w:rPr>
                <w:kern w:val="0"/>
                <w:sz w:val="18"/>
                <w:szCs w:val="18"/>
              </w:rPr>
            </w:pPr>
            <w:r>
              <w:rPr>
                <w:kern w:val="0"/>
                <w:sz w:val="18"/>
                <w:szCs w:val="18"/>
              </w:rPr>
              <w:t>5.5数据库的</w:t>
            </w:r>
            <w:r>
              <w:rPr>
                <w:rFonts w:hint="eastAsia"/>
                <w:kern w:val="0"/>
                <w:sz w:val="18"/>
                <w:szCs w:val="18"/>
              </w:rPr>
              <w:t>架构</w:t>
            </w:r>
          </w:p>
        </w:tc>
        <w:tc>
          <w:tcPr>
            <w:tcW w:w="4395" w:type="dxa"/>
            <w:shd w:val="clear" w:color="auto" w:fill="FFFFFF"/>
            <w:vAlign w:val="center"/>
          </w:tcPr>
          <w:p>
            <w:pPr>
              <w:adjustRightInd w:val="0"/>
              <w:snapToGrid w:val="0"/>
              <w:spacing w:line="300" w:lineRule="auto"/>
              <w:rPr>
                <w:sz w:val="18"/>
                <w:szCs w:val="18"/>
              </w:rPr>
            </w:pPr>
            <w:r>
              <w:rPr>
                <w:kern w:val="0"/>
                <w:sz w:val="18"/>
                <w:szCs w:val="18"/>
              </w:rPr>
              <w:t>1</w:t>
            </w:r>
            <w:r>
              <w:rPr>
                <w:rFonts w:hint="eastAsia"/>
                <w:sz w:val="18"/>
                <w:szCs w:val="18"/>
              </w:rPr>
              <w:t>．要求：</w:t>
            </w:r>
          </w:p>
          <w:p>
            <w:pPr>
              <w:adjustRightInd w:val="0"/>
              <w:snapToGrid w:val="0"/>
              <w:spacing w:line="300" w:lineRule="auto"/>
              <w:rPr>
                <w:sz w:val="18"/>
                <w:szCs w:val="18"/>
              </w:rPr>
            </w:pPr>
            <w:r>
              <w:rPr>
                <w:sz w:val="18"/>
                <w:szCs w:val="18"/>
              </w:rPr>
              <w:t>（1</w:t>
            </w:r>
            <w:r>
              <w:rPr>
                <w:rFonts w:hint="eastAsia"/>
                <w:sz w:val="18"/>
                <w:szCs w:val="18"/>
              </w:rPr>
              <w:t>）了解：数据库安全性的概念；数据库安全机制；用户</w:t>
            </w:r>
            <w:r>
              <w:rPr>
                <w:sz w:val="18"/>
                <w:szCs w:val="18"/>
              </w:rPr>
              <w:t>管理和角色管理的概念与方法</w:t>
            </w:r>
            <w:r>
              <w:rPr>
                <w:rFonts w:hint="eastAsia"/>
                <w:sz w:val="18"/>
                <w:szCs w:val="18"/>
              </w:rPr>
              <w:t>；</w:t>
            </w:r>
          </w:p>
          <w:p>
            <w:pPr>
              <w:adjustRightInd w:val="0"/>
              <w:snapToGrid w:val="0"/>
              <w:spacing w:line="300" w:lineRule="auto"/>
              <w:rPr>
                <w:sz w:val="18"/>
                <w:szCs w:val="18"/>
              </w:rPr>
            </w:pPr>
            <w:r>
              <w:rPr>
                <w:rFonts w:hint="eastAsia"/>
                <w:sz w:val="18"/>
                <w:szCs w:val="18"/>
              </w:rPr>
              <w:t>（</w:t>
            </w:r>
            <w:r>
              <w:rPr>
                <w:sz w:val="18"/>
                <w:szCs w:val="18"/>
              </w:rPr>
              <w:t>2</w:t>
            </w:r>
            <w:r>
              <w:rPr>
                <w:rFonts w:hint="eastAsia"/>
                <w:sz w:val="18"/>
                <w:szCs w:val="18"/>
              </w:rPr>
              <w:t>）理解：数据库安全设置的主要方法及其基本步骤；</w:t>
            </w:r>
          </w:p>
          <w:p>
            <w:pPr>
              <w:adjustRightInd w:val="0"/>
              <w:snapToGrid w:val="0"/>
              <w:spacing w:line="300" w:lineRule="auto"/>
              <w:rPr>
                <w:sz w:val="18"/>
                <w:szCs w:val="18"/>
              </w:rPr>
            </w:pPr>
            <w:r>
              <w:rPr>
                <w:rFonts w:hint="eastAsia"/>
                <w:sz w:val="18"/>
                <w:szCs w:val="18"/>
              </w:rPr>
              <w:t>（</w:t>
            </w:r>
            <w:r>
              <w:rPr>
                <w:sz w:val="18"/>
                <w:szCs w:val="18"/>
              </w:rPr>
              <w:t>3</w:t>
            </w:r>
            <w:r>
              <w:rPr>
                <w:rFonts w:hint="eastAsia"/>
                <w:sz w:val="18"/>
                <w:szCs w:val="18"/>
              </w:rPr>
              <w:t>）掌握：数据库安全及权限管理的主要方法及架构。</w:t>
            </w:r>
          </w:p>
          <w:p>
            <w:pPr>
              <w:adjustRightInd w:val="0"/>
              <w:snapToGrid w:val="0"/>
              <w:spacing w:line="300" w:lineRule="auto"/>
              <w:rPr>
                <w:sz w:val="18"/>
                <w:szCs w:val="18"/>
              </w:rPr>
            </w:pPr>
            <w:r>
              <w:rPr>
                <w:sz w:val="18"/>
                <w:szCs w:val="18"/>
              </w:rPr>
              <w:t>2</w:t>
            </w:r>
            <w:r>
              <w:rPr>
                <w:rFonts w:hint="eastAsia"/>
                <w:sz w:val="18"/>
                <w:szCs w:val="18"/>
              </w:rPr>
              <w:t>．作业内容：</w:t>
            </w:r>
          </w:p>
          <w:p>
            <w:pPr>
              <w:tabs>
                <w:tab w:val="left" w:pos="426"/>
                <w:tab w:val="left" w:pos="5245"/>
                <w:tab w:val="left" w:pos="5387"/>
              </w:tabs>
              <w:adjustRightInd w:val="0"/>
              <w:snapToGrid w:val="0"/>
              <w:spacing w:line="300" w:lineRule="auto"/>
              <w:rPr>
                <w:sz w:val="18"/>
                <w:szCs w:val="18"/>
              </w:rPr>
            </w:pPr>
            <w:r>
              <w:rPr>
                <w:sz w:val="18"/>
                <w:szCs w:val="18"/>
              </w:rPr>
              <w:t>（1）复习本章内容；</w:t>
            </w:r>
          </w:p>
          <w:p>
            <w:pPr>
              <w:tabs>
                <w:tab w:val="left" w:pos="426"/>
                <w:tab w:val="left" w:pos="5245"/>
                <w:tab w:val="left" w:pos="5387"/>
              </w:tabs>
              <w:adjustRightInd w:val="0"/>
              <w:snapToGrid w:val="0"/>
              <w:spacing w:line="300" w:lineRule="auto"/>
              <w:rPr>
                <w:sz w:val="18"/>
                <w:szCs w:val="18"/>
              </w:rPr>
            </w:pPr>
            <w:r>
              <w:rPr>
                <w:sz w:val="18"/>
                <w:szCs w:val="18"/>
              </w:rPr>
              <w:t>（2）完成相关作业和实验。</w:t>
            </w:r>
          </w:p>
          <w:p>
            <w:pPr>
              <w:widowControl/>
              <w:tabs>
                <w:tab w:val="left" w:pos="426"/>
                <w:tab w:val="left" w:pos="5245"/>
                <w:tab w:val="left" w:pos="5387"/>
              </w:tabs>
              <w:adjustRightInd w:val="0"/>
              <w:snapToGrid w:val="0"/>
              <w:spacing w:line="300" w:lineRule="auto"/>
              <w:rPr>
                <w:kern w:val="0"/>
                <w:sz w:val="18"/>
                <w:szCs w:val="18"/>
              </w:rPr>
            </w:pPr>
            <w:r>
              <w:rPr>
                <w:kern w:val="0"/>
                <w:sz w:val="18"/>
                <w:szCs w:val="18"/>
              </w:rPr>
              <w:t>3</w:t>
            </w:r>
            <w:r>
              <w:rPr>
                <w:kern w:val="0"/>
                <w:szCs w:val="21"/>
              </w:rPr>
              <w:t>．</w:t>
            </w:r>
            <w:r>
              <w:rPr>
                <w:kern w:val="0"/>
                <w:sz w:val="18"/>
                <w:szCs w:val="18"/>
              </w:rPr>
              <w:t>教学方法：启发式授课、案例教学、提问、讨论。</w:t>
            </w:r>
          </w:p>
        </w:tc>
        <w:tc>
          <w:tcPr>
            <w:tcW w:w="708" w:type="dxa"/>
            <w:shd w:val="clear" w:color="auto" w:fill="FFFFFF"/>
            <w:vAlign w:val="center"/>
          </w:tcPr>
          <w:p>
            <w:pPr>
              <w:widowControl/>
              <w:adjustRightInd w:val="0"/>
              <w:snapToGrid w:val="0"/>
              <w:spacing w:line="300" w:lineRule="auto"/>
              <w:jc w:val="center"/>
              <w:rPr>
                <w:kern w:val="0"/>
                <w:sz w:val="18"/>
                <w:szCs w:val="18"/>
              </w:rPr>
            </w:pPr>
            <w:r>
              <w:rPr>
                <w:kern w:val="0"/>
                <w:sz w:val="18"/>
                <w:szCs w:val="18"/>
              </w:rPr>
              <w:t>4</w:t>
            </w:r>
          </w:p>
        </w:tc>
        <w:tc>
          <w:tcPr>
            <w:tcW w:w="993" w:type="dxa"/>
            <w:shd w:val="clear" w:color="auto" w:fill="FFFFFF"/>
            <w:vAlign w:val="center"/>
          </w:tcPr>
          <w:p>
            <w:pPr>
              <w:widowControl/>
              <w:adjustRightInd w:val="0"/>
              <w:snapToGrid w:val="0"/>
              <w:spacing w:line="300" w:lineRule="auto"/>
              <w:jc w:val="center"/>
              <w:rPr>
                <w:sz w:val="18"/>
                <w:szCs w:val="18"/>
              </w:rPr>
            </w:pPr>
            <w:r>
              <w:rPr>
                <w:sz w:val="18"/>
                <w:szCs w:val="18"/>
              </w:rPr>
              <w:t>1，2，3</w:t>
            </w:r>
          </w:p>
        </w:tc>
      </w:tr>
    </w:tbl>
    <w:p>
      <w:pPr>
        <w:snapToGrid w:val="0"/>
        <w:spacing w:line="300" w:lineRule="auto"/>
        <w:ind w:firstLine="420" w:firstLineChars="200"/>
        <w:rPr>
          <w:szCs w:val="21"/>
        </w:rPr>
      </w:pPr>
      <w:r>
        <w:rPr>
          <w:szCs w:val="21"/>
        </w:rPr>
        <w:t>实验内容见表4。</w:t>
      </w:r>
    </w:p>
    <w:p>
      <w:pPr>
        <w:widowControl/>
        <w:tabs>
          <w:tab w:val="left" w:pos="426"/>
          <w:tab w:val="left" w:pos="5245"/>
          <w:tab w:val="left" w:pos="5387"/>
        </w:tabs>
        <w:spacing w:before="156" w:beforeLines="50" w:line="300" w:lineRule="auto"/>
        <w:jc w:val="center"/>
        <w:rPr>
          <w:b/>
          <w:kern w:val="0"/>
          <w:sz w:val="18"/>
          <w:szCs w:val="18"/>
        </w:rPr>
      </w:pPr>
      <w:r>
        <w:rPr>
          <w:b/>
          <w:kern w:val="0"/>
          <w:sz w:val="18"/>
          <w:szCs w:val="18"/>
        </w:rPr>
        <w:t>表4 实验安排表</w:t>
      </w:r>
    </w:p>
    <w:tbl>
      <w:tblPr>
        <w:tblStyle w:val="22"/>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42"/>
        <w:gridCol w:w="2552"/>
        <w:gridCol w:w="709"/>
        <w:gridCol w:w="708"/>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widowControl/>
              <w:spacing w:line="360" w:lineRule="exact"/>
              <w:jc w:val="center"/>
              <w:rPr>
                <w:b/>
                <w:kern w:val="0"/>
                <w:sz w:val="18"/>
                <w:szCs w:val="18"/>
              </w:rPr>
            </w:pPr>
            <w:r>
              <w:rPr>
                <w:b/>
                <w:kern w:val="0"/>
                <w:sz w:val="18"/>
                <w:szCs w:val="18"/>
              </w:rPr>
              <w:t>序号</w:t>
            </w:r>
          </w:p>
        </w:tc>
        <w:tc>
          <w:tcPr>
            <w:tcW w:w="1842" w:type="dxa"/>
            <w:vAlign w:val="center"/>
          </w:tcPr>
          <w:p>
            <w:pPr>
              <w:widowControl/>
              <w:spacing w:line="360" w:lineRule="exact"/>
              <w:jc w:val="center"/>
              <w:rPr>
                <w:b/>
                <w:kern w:val="0"/>
                <w:sz w:val="18"/>
                <w:szCs w:val="18"/>
              </w:rPr>
            </w:pPr>
            <w:r>
              <w:rPr>
                <w:b/>
                <w:kern w:val="0"/>
                <w:sz w:val="18"/>
                <w:szCs w:val="18"/>
              </w:rPr>
              <w:t>实验项目名称</w:t>
            </w:r>
          </w:p>
        </w:tc>
        <w:tc>
          <w:tcPr>
            <w:tcW w:w="2552" w:type="dxa"/>
            <w:vAlign w:val="center"/>
          </w:tcPr>
          <w:p>
            <w:pPr>
              <w:widowControl/>
              <w:spacing w:line="360" w:lineRule="exact"/>
              <w:jc w:val="center"/>
              <w:rPr>
                <w:b/>
                <w:kern w:val="0"/>
                <w:sz w:val="18"/>
                <w:szCs w:val="18"/>
              </w:rPr>
            </w:pPr>
            <w:r>
              <w:rPr>
                <w:b/>
                <w:kern w:val="0"/>
                <w:sz w:val="18"/>
                <w:szCs w:val="18"/>
              </w:rPr>
              <w:t>目的要求</w:t>
            </w:r>
          </w:p>
        </w:tc>
        <w:tc>
          <w:tcPr>
            <w:tcW w:w="709" w:type="dxa"/>
            <w:vAlign w:val="center"/>
          </w:tcPr>
          <w:p>
            <w:pPr>
              <w:widowControl/>
              <w:spacing w:line="360" w:lineRule="exact"/>
              <w:jc w:val="center"/>
              <w:rPr>
                <w:b/>
                <w:kern w:val="0"/>
                <w:sz w:val="18"/>
                <w:szCs w:val="18"/>
              </w:rPr>
            </w:pPr>
            <w:r>
              <w:rPr>
                <w:b/>
                <w:kern w:val="0"/>
                <w:sz w:val="18"/>
                <w:szCs w:val="18"/>
              </w:rPr>
              <w:t>学时分配</w:t>
            </w:r>
          </w:p>
        </w:tc>
        <w:tc>
          <w:tcPr>
            <w:tcW w:w="708" w:type="dxa"/>
            <w:vAlign w:val="center"/>
          </w:tcPr>
          <w:p>
            <w:pPr>
              <w:widowControl/>
              <w:spacing w:line="360" w:lineRule="exact"/>
              <w:jc w:val="center"/>
              <w:rPr>
                <w:b/>
                <w:kern w:val="0"/>
                <w:sz w:val="18"/>
                <w:szCs w:val="18"/>
              </w:rPr>
            </w:pPr>
            <w:r>
              <w:rPr>
                <w:b/>
                <w:kern w:val="0"/>
                <w:sz w:val="18"/>
                <w:szCs w:val="18"/>
              </w:rPr>
              <w:t>实验类型</w:t>
            </w:r>
          </w:p>
        </w:tc>
        <w:tc>
          <w:tcPr>
            <w:tcW w:w="709" w:type="dxa"/>
            <w:vAlign w:val="center"/>
          </w:tcPr>
          <w:p>
            <w:pPr>
              <w:widowControl/>
              <w:spacing w:line="360" w:lineRule="exact"/>
              <w:jc w:val="center"/>
              <w:rPr>
                <w:b/>
                <w:kern w:val="0"/>
                <w:sz w:val="18"/>
                <w:szCs w:val="18"/>
              </w:rPr>
            </w:pPr>
            <w:r>
              <w:rPr>
                <w:b/>
                <w:kern w:val="0"/>
                <w:sz w:val="18"/>
                <w:szCs w:val="18"/>
              </w:rPr>
              <w:t>每组人数</w:t>
            </w:r>
          </w:p>
        </w:tc>
        <w:tc>
          <w:tcPr>
            <w:tcW w:w="709" w:type="dxa"/>
            <w:vAlign w:val="center"/>
          </w:tcPr>
          <w:p>
            <w:pPr>
              <w:widowControl/>
              <w:spacing w:line="360" w:lineRule="exact"/>
              <w:jc w:val="center"/>
              <w:rPr>
                <w:b/>
                <w:kern w:val="0"/>
                <w:sz w:val="18"/>
                <w:szCs w:val="18"/>
              </w:rPr>
            </w:pPr>
            <w:r>
              <w:rPr>
                <w:b/>
                <w:kern w:val="0"/>
                <w:sz w:val="18"/>
                <w:szCs w:val="18"/>
              </w:rPr>
              <w:t>必开选开</w:t>
            </w:r>
          </w:p>
        </w:tc>
        <w:tc>
          <w:tcPr>
            <w:tcW w:w="709" w:type="dxa"/>
          </w:tcPr>
          <w:p>
            <w:pPr>
              <w:widowControl/>
              <w:spacing w:line="360" w:lineRule="exact"/>
              <w:jc w:val="center"/>
              <w:rPr>
                <w:b/>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4" w:type="dxa"/>
            <w:vAlign w:val="center"/>
          </w:tcPr>
          <w:p>
            <w:pPr>
              <w:widowControl/>
              <w:adjustRightInd w:val="0"/>
              <w:snapToGrid w:val="0"/>
              <w:spacing w:line="300" w:lineRule="auto"/>
              <w:jc w:val="center"/>
              <w:rPr>
                <w:kern w:val="0"/>
                <w:sz w:val="18"/>
                <w:szCs w:val="18"/>
              </w:rPr>
            </w:pPr>
            <w:r>
              <w:rPr>
                <w:kern w:val="0"/>
                <w:sz w:val="18"/>
                <w:szCs w:val="18"/>
              </w:rPr>
              <w:t>1</w:t>
            </w:r>
          </w:p>
        </w:tc>
        <w:tc>
          <w:tcPr>
            <w:tcW w:w="1842" w:type="dxa"/>
            <w:vAlign w:val="center"/>
          </w:tcPr>
          <w:p>
            <w:pPr>
              <w:widowControl/>
              <w:adjustRightInd w:val="0"/>
              <w:snapToGrid w:val="0"/>
              <w:spacing w:line="300" w:lineRule="auto"/>
              <w:rPr>
                <w:kern w:val="0"/>
                <w:sz w:val="18"/>
                <w:szCs w:val="18"/>
              </w:rPr>
            </w:pPr>
            <w:r>
              <w:rPr>
                <w:kern w:val="0"/>
                <w:sz w:val="18"/>
                <w:szCs w:val="18"/>
              </w:rPr>
              <w:t>建立数据库及其对象</w:t>
            </w:r>
          </w:p>
        </w:tc>
        <w:tc>
          <w:tcPr>
            <w:tcW w:w="2552" w:type="dxa"/>
            <w:vAlign w:val="center"/>
          </w:tcPr>
          <w:p>
            <w:pPr>
              <w:widowControl/>
              <w:adjustRightInd w:val="0"/>
              <w:snapToGrid w:val="0"/>
              <w:spacing w:line="300" w:lineRule="auto"/>
              <w:rPr>
                <w:kern w:val="0"/>
                <w:sz w:val="18"/>
                <w:szCs w:val="18"/>
              </w:rPr>
            </w:pPr>
            <w:r>
              <w:rPr>
                <w:kern w:val="0"/>
                <w:sz w:val="18"/>
                <w:szCs w:val="18"/>
              </w:rPr>
              <w:t>1</w:t>
            </w:r>
            <w:r>
              <w:rPr>
                <w:kern w:val="0"/>
                <w:szCs w:val="21"/>
              </w:rPr>
              <w:t>．</w:t>
            </w:r>
            <w:r>
              <w:rPr>
                <w:kern w:val="0"/>
                <w:sz w:val="18"/>
                <w:szCs w:val="18"/>
              </w:rPr>
              <w:t>掌握创建、修改、删除、分离附加、备份恢复数据库方法</w:t>
            </w:r>
          </w:p>
          <w:p>
            <w:pPr>
              <w:widowControl/>
              <w:adjustRightInd w:val="0"/>
              <w:snapToGrid w:val="0"/>
              <w:spacing w:line="300" w:lineRule="auto"/>
              <w:rPr>
                <w:kern w:val="0"/>
                <w:sz w:val="18"/>
                <w:szCs w:val="18"/>
              </w:rPr>
            </w:pPr>
            <w:r>
              <w:rPr>
                <w:kern w:val="0"/>
                <w:sz w:val="18"/>
                <w:szCs w:val="18"/>
              </w:rPr>
              <w:t>2</w:t>
            </w:r>
            <w:r>
              <w:rPr>
                <w:kern w:val="0"/>
                <w:szCs w:val="21"/>
              </w:rPr>
              <w:t>．</w:t>
            </w:r>
            <w:r>
              <w:rPr>
                <w:kern w:val="0"/>
                <w:sz w:val="18"/>
                <w:szCs w:val="18"/>
              </w:rPr>
              <w:t>掌握创建、修改、删除表的方法</w:t>
            </w:r>
          </w:p>
        </w:tc>
        <w:tc>
          <w:tcPr>
            <w:tcW w:w="709" w:type="dxa"/>
            <w:vAlign w:val="center"/>
          </w:tcPr>
          <w:p>
            <w:pPr>
              <w:widowControl/>
              <w:adjustRightInd w:val="0"/>
              <w:snapToGrid w:val="0"/>
              <w:spacing w:line="300" w:lineRule="auto"/>
              <w:jc w:val="center"/>
              <w:rPr>
                <w:kern w:val="0"/>
                <w:sz w:val="18"/>
                <w:szCs w:val="18"/>
              </w:rPr>
            </w:pPr>
            <w:r>
              <w:rPr>
                <w:kern w:val="0"/>
                <w:sz w:val="18"/>
                <w:szCs w:val="18"/>
              </w:rPr>
              <w:t>2</w:t>
            </w:r>
          </w:p>
        </w:tc>
        <w:tc>
          <w:tcPr>
            <w:tcW w:w="708" w:type="dxa"/>
            <w:vAlign w:val="center"/>
          </w:tcPr>
          <w:p>
            <w:pPr>
              <w:widowControl/>
              <w:adjustRightInd w:val="0"/>
              <w:snapToGrid w:val="0"/>
              <w:spacing w:line="300" w:lineRule="auto"/>
              <w:jc w:val="center"/>
              <w:rPr>
                <w:kern w:val="0"/>
                <w:sz w:val="18"/>
                <w:szCs w:val="18"/>
              </w:rPr>
            </w:pPr>
            <w:r>
              <w:rPr>
                <w:kern w:val="0"/>
                <w:sz w:val="18"/>
                <w:szCs w:val="18"/>
              </w:rPr>
              <w:t>验证</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adjustRightInd w:val="0"/>
              <w:snapToGrid w:val="0"/>
              <w:spacing w:line="300" w:lineRule="auto"/>
              <w:jc w:val="center"/>
              <w:rPr>
                <w:kern w:val="0"/>
                <w:sz w:val="18"/>
                <w:szCs w:val="18"/>
              </w:rPr>
            </w:pPr>
            <w:r>
              <w:rPr>
                <w:kern w:val="0"/>
                <w:sz w:val="18"/>
                <w:szCs w:val="18"/>
              </w:rPr>
              <w:t>必开</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4" w:type="dxa"/>
            <w:vAlign w:val="center"/>
          </w:tcPr>
          <w:p>
            <w:pPr>
              <w:widowControl/>
              <w:adjustRightInd w:val="0"/>
              <w:snapToGrid w:val="0"/>
              <w:spacing w:line="300" w:lineRule="auto"/>
              <w:jc w:val="center"/>
              <w:rPr>
                <w:kern w:val="0"/>
                <w:sz w:val="18"/>
                <w:szCs w:val="18"/>
              </w:rPr>
            </w:pPr>
            <w:r>
              <w:rPr>
                <w:kern w:val="0"/>
                <w:sz w:val="18"/>
                <w:szCs w:val="18"/>
              </w:rPr>
              <w:t>2</w:t>
            </w:r>
          </w:p>
        </w:tc>
        <w:tc>
          <w:tcPr>
            <w:tcW w:w="1842" w:type="dxa"/>
            <w:vAlign w:val="center"/>
          </w:tcPr>
          <w:p>
            <w:pPr>
              <w:widowControl/>
              <w:adjustRightInd w:val="0"/>
              <w:snapToGrid w:val="0"/>
              <w:spacing w:line="300" w:lineRule="auto"/>
              <w:rPr>
                <w:kern w:val="0"/>
                <w:sz w:val="18"/>
                <w:szCs w:val="18"/>
              </w:rPr>
            </w:pPr>
            <w:r>
              <w:rPr>
                <w:kern w:val="0"/>
                <w:sz w:val="18"/>
                <w:szCs w:val="18"/>
              </w:rPr>
              <w:t>数据查询、更新</w:t>
            </w:r>
          </w:p>
        </w:tc>
        <w:tc>
          <w:tcPr>
            <w:tcW w:w="2552" w:type="dxa"/>
            <w:vAlign w:val="center"/>
          </w:tcPr>
          <w:p>
            <w:pPr>
              <w:widowControl/>
              <w:adjustRightInd w:val="0"/>
              <w:snapToGrid w:val="0"/>
              <w:spacing w:line="300" w:lineRule="auto"/>
              <w:rPr>
                <w:kern w:val="0"/>
                <w:sz w:val="18"/>
                <w:szCs w:val="18"/>
              </w:rPr>
            </w:pPr>
            <w:r>
              <w:rPr>
                <w:kern w:val="0"/>
                <w:sz w:val="18"/>
                <w:szCs w:val="18"/>
              </w:rPr>
              <w:t>1</w:t>
            </w:r>
            <w:r>
              <w:rPr>
                <w:kern w:val="0"/>
                <w:szCs w:val="21"/>
              </w:rPr>
              <w:t>．</w:t>
            </w:r>
            <w:r>
              <w:rPr>
                <w:kern w:val="0"/>
                <w:sz w:val="18"/>
                <w:szCs w:val="18"/>
              </w:rPr>
              <w:t>掌握插入、修改、删除数据方法</w:t>
            </w:r>
          </w:p>
          <w:p>
            <w:pPr>
              <w:widowControl/>
              <w:adjustRightInd w:val="0"/>
              <w:snapToGrid w:val="0"/>
              <w:spacing w:line="300" w:lineRule="auto"/>
              <w:rPr>
                <w:kern w:val="0"/>
                <w:sz w:val="18"/>
                <w:szCs w:val="18"/>
              </w:rPr>
            </w:pPr>
            <w:r>
              <w:rPr>
                <w:kern w:val="0"/>
                <w:sz w:val="18"/>
                <w:szCs w:val="18"/>
              </w:rPr>
              <w:t>2</w:t>
            </w:r>
            <w:r>
              <w:rPr>
                <w:kern w:val="0"/>
                <w:szCs w:val="21"/>
              </w:rPr>
              <w:t>．</w:t>
            </w:r>
            <w:r>
              <w:rPr>
                <w:kern w:val="0"/>
                <w:sz w:val="18"/>
                <w:szCs w:val="18"/>
              </w:rPr>
              <w:t>掌握单表、链接、嵌套、集合各种查询</w:t>
            </w:r>
          </w:p>
        </w:tc>
        <w:tc>
          <w:tcPr>
            <w:tcW w:w="709" w:type="dxa"/>
            <w:vAlign w:val="center"/>
          </w:tcPr>
          <w:p>
            <w:pPr>
              <w:widowControl/>
              <w:adjustRightInd w:val="0"/>
              <w:snapToGrid w:val="0"/>
              <w:spacing w:line="300" w:lineRule="auto"/>
              <w:jc w:val="center"/>
              <w:rPr>
                <w:kern w:val="0"/>
                <w:sz w:val="18"/>
                <w:szCs w:val="18"/>
              </w:rPr>
            </w:pPr>
            <w:r>
              <w:rPr>
                <w:kern w:val="0"/>
                <w:sz w:val="18"/>
                <w:szCs w:val="18"/>
              </w:rPr>
              <w:t>2</w:t>
            </w:r>
          </w:p>
        </w:tc>
        <w:tc>
          <w:tcPr>
            <w:tcW w:w="708" w:type="dxa"/>
            <w:vAlign w:val="center"/>
          </w:tcPr>
          <w:p>
            <w:pPr>
              <w:widowControl/>
              <w:adjustRightInd w:val="0"/>
              <w:snapToGrid w:val="0"/>
              <w:spacing w:line="300" w:lineRule="auto"/>
              <w:jc w:val="center"/>
              <w:rPr>
                <w:kern w:val="0"/>
                <w:sz w:val="18"/>
                <w:szCs w:val="18"/>
              </w:rPr>
            </w:pPr>
            <w:r>
              <w:rPr>
                <w:kern w:val="0"/>
                <w:sz w:val="18"/>
                <w:szCs w:val="18"/>
              </w:rPr>
              <w:t>验证</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adjustRightInd w:val="0"/>
              <w:snapToGrid w:val="0"/>
              <w:spacing w:line="300" w:lineRule="auto"/>
              <w:jc w:val="center"/>
              <w:rPr>
                <w:kern w:val="0"/>
                <w:sz w:val="18"/>
                <w:szCs w:val="18"/>
              </w:rPr>
            </w:pPr>
            <w:r>
              <w:rPr>
                <w:kern w:val="0"/>
                <w:sz w:val="18"/>
                <w:szCs w:val="18"/>
              </w:rPr>
              <w:t>必开</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4" w:type="dxa"/>
            <w:vAlign w:val="center"/>
          </w:tcPr>
          <w:p>
            <w:pPr>
              <w:widowControl/>
              <w:adjustRightInd w:val="0"/>
              <w:snapToGrid w:val="0"/>
              <w:spacing w:line="300" w:lineRule="auto"/>
              <w:jc w:val="center"/>
              <w:rPr>
                <w:kern w:val="0"/>
                <w:sz w:val="18"/>
                <w:szCs w:val="18"/>
              </w:rPr>
            </w:pPr>
            <w:r>
              <w:rPr>
                <w:kern w:val="0"/>
                <w:sz w:val="18"/>
                <w:szCs w:val="18"/>
              </w:rPr>
              <w:t>3</w:t>
            </w:r>
          </w:p>
        </w:tc>
        <w:tc>
          <w:tcPr>
            <w:tcW w:w="1842" w:type="dxa"/>
            <w:vAlign w:val="center"/>
          </w:tcPr>
          <w:p>
            <w:pPr>
              <w:widowControl/>
              <w:adjustRightInd w:val="0"/>
              <w:snapToGrid w:val="0"/>
              <w:spacing w:line="300" w:lineRule="auto"/>
              <w:rPr>
                <w:kern w:val="0"/>
                <w:sz w:val="18"/>
                <w:szCs w:val="18"/>
              </w:rPr>
            </w:pPr>
            <w:r>
              <w:rPr>
                <w:kern w:val="0"/>
                <w:sz w:val="18"/>
                <w:szCs w:val="18"/>
              </w:rPr>
              <w:t>索引和视图</w:t>
            </w:r>
          </w:p>
        </w:tc>
        <w:tc>
          <w:tcPr>
            <w:tcW w:w="2552" w:type="dxa"/>
            <w:vAlign w:val="center"/>
          </w:tcPr>
          <w:p>
            <w:pPr>
              <w:widowControl/>
              <w:adjustRightInd w:val="0"/>
              <w:snapToGrid w:val="0"/>
              <w:spacing w:line="300" w:lineRule="auto"/>
              <w:rPr>
                <w:kern w:val="0"/>
                <w:sz w:val="18"/>
                <w:szCs w:val="18"/>
              </w:rPr>
            </w:pPr>
            <w:r>
              <w:rPr>
                <w:kern w:val="0"/>
                <w:sz w:val="18"/>
                <w:szCs w:val="18"/>
              </w:rPr>
              <w:t>1</w:t>
            </w:r>
            <w:r>
              <w:rPr>
                <w:kern w:val="0"/>
                <w:szCs w:val="21"/>
              </w:rPr>
              <w:t>．</w:t>
            </w:r>
            <w:r>
              <w:rPr>
                <w:kern w:val="0"/>
                <w:sz w:val="18"/>
                <w:szCs w:val="18"/>
              </w:rPr>
              <w:t>掌握创建、删除索引方法</w:t>
            </w:r>
          </w:p>
          <w:p>
            <w:pPr>
              <w:widowControl/>
              <w:adjustRightInd w:val="0"/>
              <w:snapToGrid w:val="0"/>
              <w:spacing w:line="300" w:lineRule="auto"/>
              <w:rPr>
                <w:kern w:val="0"/>
                <w:sz w:val="18"/>
                <w:szCs w:val="18"/>
              </w:rPr>
            </w:pPr>
            <w:r>
              <w:rPr>
                <w:kern w:val="0"/>
                <w:sz w:val="18"/>
                <w:szCs w:val="18"/>
              </w:rPr>
              <w:t>2</w:t>
            </w:r>
            <w:r>
              <w:rPr>
                <w:kern w:val="0"/>
                <w:szCs w:val="21"/>
              </w:rPr>
              <w:t>．</w:t>
            </w:r>
            <w:r>
              <w:rPr>
                <w:kern w:val="0"/>
                <w:sz w:val="18"/>
                <w:szCs w:val="18"/>
              </w:rPr>
              <w:t>掌握创建、修改、删除、查询、更新视图的方法</w:t>
            </w:r>
          </w:p>
        </w:tc>
        <w:tc>
          <w:tcPr>
            <w:tcW w:w="709" w:type="dxa"/>
            <w:vAlign w:val="center"/>
          </w:tcPr>
          <w:p>
            <w:pPr>
              <w:widowControl/>
              <w:adjustRightInd w:val="0"/>
              <w:snapToGrid w:val="0"/>
              <w:spacing w:line="300" w:lineRule="auto"/>
              <w:jc w:val="center"/>
              <w:rPr>
                <w:kern w:val="0"/>
                <w:sz w:val="18"/>
                <w:szCs w:val="18"/>
              </w:rPr>
            </w:pPr>
            <w:r>
              <w:rPr>
                <w:kern w:val="0"/>
                <w:sz w:val="18"/>
                <w:szCs w:val="18"/>
              </w:rPr>
              <w:t>4</w:t>
            </w:r>
          </w:p>
        </w:tc>
        <w:tc>
          <w:tcPr>
            <w:tcW w:w="708" w:type="dxa"/>
            <w:vAlign w:val="center"/>
          </w:tcPr>
          <w:p>
            <w:pPr>
              <w:widowControl/>
              <w:adjustRightInd w:val="0"/>
              <w:snapToGrid w:val="0"/>
              <w:spacing w:line="300" w:lineRule="auto"/>
              <w:jc w:val="center"/>
              <w:rPr>
                <w:kern w:val="0"/>
                <w:sz w:val="18"/>
                <w:szCs w:val="18"/>
              </w:rPr>
            </w:pPr>
            <w:r>
              <w:rPr>
                <w:kern w:val="0"/>
                <w:sz w:val="18"/>
                <w:szCs w:val="18"/>
              </w:rPr>
              <w:t>综合</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w:t>
            </w:r>
          </w:p>
        </w:tc>
        <w:tc>
          <w:tcPr>
            <w:tcW w:w="709" w:type="dxa"/>
            <w:vAlign w:val="center"/>
          </w:tcPr>
          <w:p>
            <w:pPr>
              <w:widowControl/>
              <w:adjustRightInd w:val="0"/>
              <w:snapToGrid w:val="0"/>
              <w:spacing w:line="300" w:lineRule="auto"/>
              <w:jc w:val="center"/>
              <w:rPr>
                <w:kern w:val="0"/>
                <w:sz w:val="18"/>
                <w:szCs w:val="18"/>
              </w:rPr>
            </w:pPr>
            <w:r>
              <w:rPr>
                <w:kern w:val="0"/>
                <w:sz w:val="18"/>
                <w:szCs w:val="18"/>
              </w:rPr>
              <w:t>必开</w:t>
            </w:r>
          </w:p>
        </w:tc>
        <w:tc>
          <w:tcPr>
            <w:tcW w:w="709" w:type="dxa"/>
            <w:vAlign w:val="center"/>
          </w:tcPr>
          <w:p>
            <w:pPr>
              <w:widowControl/>
              <w:adjustRightInd w:val="0"/>
              <w:snapToGrid w:val="0"/>
              <w:spacing w:line="300" w:lineRule="auto"/>
              <w:jc w:val="center"/>
              <w:rPr>
                <w:kern w:val="0"/>
                <w:sz w:val="18"/>
                <w:szCs w:val="18"/>
              </w:rPr>
            </w:pPr>
            <w:r>
              <w:rPr>
                <w:kern w:val="0"/>
                <w:sz w:val="18"/>
                <w:szCs w:val="18"/>
              </w:rPr>
              <w:t>1，2</w:t>
            </w:r>
          </w:p>
        </w:tc>
      </w:tr>
    </w:tbl>
    <w:p>
      <w:pPr>
        <w:snapToGrid w:val="0"/>
        <w:spacing w:line="300" w:lineRule="auto"/>
        <w:ind w:firstLine="420" w:firstLineChars="200"/>
        <w:rPr>
          <w:szCs w:val="21"/>
        </w:rPr>
      </w:pPr>
      <w:r>
        <w:rPr>
          <w:szCs w:val="21"/>
        </w:rPr>
        <w:t>实验报告撰写要求</w:t>
      </w:r>
    </w:p>
    <w:p>
      <w:pPr>
        <w:snapToGrid w:val="0"/>
        <w:spacing w:line="300" w:lineRule="auto"/>
        <w:ind w:firstLine="420" w:firstLineChars="200"/>
        <w:rPr>
          <w:szCs w:val="21"/>
        </w:rPr>
      </w:pPr>
      <w:r>
        <w:rPr>
          <w:szCs w:val="21"/>
        </w:rPr>
        <w:t>学生要提交的实验报告包括纸质版和电子版，纸质版A4打印。实验报告包括原理说明、实验记录和实验总结三项内容：</w:t>
      </w:r>
    </w:p>
    <w:p>
      <w:pPr>
        <w:snapToGrid w:val="0"/>
        <w:spacing w:line="300" w:lineRule="auto"/>
        <w:ind w:firstLine="420" w:firstLineChars="200"/>
        <w:rPr>
          <w:szCs w:val="21"/>
        </w:rPr>
      </w:pPr>
      <w:r>
        <w:rPr>
          <w:szCs w:val="21"/>
        </w:rPr>
        <w:t>（1）实验原理要写明实验目的、要求、实验步骤等提纲；</w:t>
      </w:r>
    </w:p>
    <w:p>
      <w:pPr>
        <w:snapToGrid w:val="0"/>
        <w:spacing w:line="300" w:lineRule="auto"/>
        <w:ind w:firstLine="420" w:firstLineChars="200"/>
        <w:rPr>
          <w:szCs w:val="21"/>
        </w:rPr>
      </w:pPr>
      <w:r>
        <w:rPr>
          <w:szCs w:val="21"/>
        </w:rPr>
        <w:t>（2）实验记录包括实验结果和实验过程中出现的问题和解决方案；</w:t>
      </w:r>
    </w:p>
    <w:p>
      <w:pPr>
        <w:snapToGrid w:val="0"/>
        <w:spacing w:line="300" w:lineRule="auto"/>
        <w:ind w:firstLine="420" w:firstLineChars="200"/>
        <w:rPr>
          <w:szCs w:val="21"/>
        </w:rPr>
      </w:pPr>
      <w:r>
        <w:rPr>
          <w:szCs w:val="21"/>
        </w:rPr>
        <w:t>（3）实验报告对实验数据、结果、实验过程中出现的问题等进行解释、分析、总结，根据实验结论提出对实验改进的途径和方案。</w:t>
      </w:r>
    </w:p>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w:t>
      </w:r>
      <w:r>
        <w:rPr>
          <w:kern w:val="0"/>
          <w:szCs w:val="21"/>
        </w:rPr>
        <w:t>．</w:t>
      </w:r>
      <w:r>
        <w:rPr>
          <w:szCs w:val="21"/>
        </w:rPr>
        <w:t>考核方式：课堂表现（考勤、回答问题等）、习题作业、实验和考试。</w:t>
      </w:r>
    </w:p>
    <w:p>
      <w:pPr>
        <w:snapToGrid w:val="0"/>
        <w:spacing w:line="300" w:lineRule="auto"/>
        <w:ind w:firstLine="420" w:firstLineChars="200"/>
        <w:rPr>
          <w:szCs w:val="21"/>
        </w:rPr>
      </w:pPr>
      <w:r>
        <w:rPr>
          <w:szCs w:val="21"/>
        </w:rPr>
        <w:t>2</w:t>
      </w:r>
      <w:r>
        <w:rPr>
          <w:kern w:val="0"/>
          <w:szCs w:val="21"/>
        </w:rPr>
        <w:t>．</w:t>
      </w:r>
      <w:r>
        <w:rPr>
          <w:szCs w:val="21"/>
        </w:rPr>
        <w:t>考核成绩组成：平时成绩</w:t>
      </w:r>
      <w:r>
        <w:rPr>
          <w:rFonts w:hint="eastAsia"/>
          <w:szCs w:val="21"/>
        </w:rPr>
        <w:t>30%（</w:t>
      </w:r>
      <w:r>
        <w:rPr>
          <w:szCs w:val="21"/>
        </w:rPr>
        <w:t>课堂表现</w:t>
      </w:r>
      <w:r>
        <w:rPr>
          <w:rFonts w:hint="eastAsia"/>
          <w:szCs w:val="21"/>
        </w:rPr>
        <w:t>、</w:t>
      </w:r>
      <w:r>
        <w:rPr>
          <w:szCs w:val="21"/>
        </w:rPr>
        <w:t>作业成绩</w:t>
      </w:r>
      <w:r>
        <w:rPr>
          <w:rFonts w:hint="eastAsia"/>
          <w:szCs w:val="21"/>
        </w:rPr>
        <w:t>、</w:t>
      </w:r>
      <w:r>
        <w:rPr>
          <w:szCs w:val="21"/>
        </w:rPr>
        <w:t>实验成绩）+期末成绩70 %。</w:t>
      </w:r>
    </w:p>
    <w:p>
      <w:pPr>
        <w:snapToGrid w:val="0"/>
        <w:spacing w:line="300" w:lineRule="auto"/>
        <w:ind w:firstLine="420" w:firstLineChars="200"/>
        <w:rPr>
          <w:szCs w:val="21"/>
        </w:rPr>
      </w:pPr>
      <w:r>
        <w:rPr>
          <w:szCs w:val="21"/>
        </w:rPr>
        <w:t>3</w:t>
      </w:r>
      <w:r>
        <w:rPr>
          <w:kern w:val="0"/>
          <w:szCs w:val="21"/>
        </w:rPr>
        <w:t>．</w:t>
      </w:r>
      <w:r>
        <w:rPr>
          <w:szCs w:val="21"/>
        </w:rPr>
        <w:t>考核评价标准如表5所示：</w:t>
      </w:r>
    </w:p>
    <w:p>
      <w:pPr>
        <w:snapToGrid w:val="0"/>
        <w:spacing w:before="156" w:beforeLines="50" w:line="300" w:lineRule="auto"/>
        <w:jc w:val="center"/>
        <w:rPr>
          <w:b/>
          <w:sz w:val="18"/>
          <w:szCs w:val="18"/>
        </w:rPr>
      </w:pPr>
      <w:r>
        <w:rPr>
          <w:b/>
          <w:sz w:val="18"/>
          <w:szCs w:val="18"/>
        </w:rPr>
        <w:t>表5教学目标评价标准</w:t>
      </w:r>
    </w:p>
    <w:tbl>
      <w:tblPr>
        <w:tblStyle w:val="22"/>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567"/>
        <w:gridCol w:w="709"/>
        <w:gridCol w:w="567"/>
        <w:gridCol w:w="3402"/>
        <w:gridCol w:w="99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5" w:type="dxa"/>
            <w:vAlign w:val="center"/>
          </w:tcPr>
          <w:p>
            <w:pPr>
              <w:jc w:val="center"/>
              <w:rPr>
                <w:b/>
                <w:sz w:val="18"/>
                <w:szCs w:val="18"/>
              </w:rPr>
            </w:pPr>
            <w:r>
              <w:rPr>
                <w:b/>
                <w:sz w:val="18"/>
                <w:szCs w:val="18"/>
              </w:rPr>
              <w:t>成绩</w:t>
            </w:r>
          </w:p>
          <w:p>
            <w:pPr>
              <w:jc w:val="center"/>
              <w:rPr>
                <w:b/>
                <w:bCs/>
                <w:sz w:val="18"/>
                <w:szCs w:val="18"/>
              </w:rPr>
            </w:pPr>
            <w:r>
              <w:rPr>
                <w:b/>
                <w:sz w:val="18"/>
                <w:szCs w:val="18"/>
              </w:rPr>
              <w:t>类型</w:t>
            </w:r>
          </w:p>
        </w:tc>
        <w:tc>
          <w:tcPr>
            <w:tcW w:w="567" w:type="dxa"/>
            <w:vAlign w:val="center"/>
          </w:tcPr>
          <w:p>
            <w:pPr>
              <w:jc w:val="center"/>
              <w:rPr>
                <w:b/>
                <w:bCs/>
                <w:sz w:val="18"/>
                <w:szCs w:val="18"/>
              </w:rPr>
            </w:pPr>
            <w:r>
              <w:rPr>
                <w:b/>
                <w:sz w:val="18"/>
                <w:szCs w:val="18"/>
              </w:rPr>
              <w:t>分值</w:t>
            </w:r>
          </w:p>
        </w:tc>
        <w:tc>
          <w:tcPr>
            <w:tcW w:w="567" w:type="dxa"/>
            <w:vAlign w:val="center"/>
          </w:tcPr>
          <w:p>
            <w:pPr>
              <w:jc w:val="center"/>
              <w:rPr>
                <w:b/>
                <w:bCs/>
                <w:sz w:val="18"/>
                <w:szCs w:val="18"/>
              </w:rPr>
            </w:pPr>
            <w:r>
              <w:rPr>
                <w:b/>
                <w:sz w:val="18"/>
                <w:szCs w:val="18"/>
              </w:rPr>
              <w:t>权重</w:t>
            </w:r>
          </w:p>
        </w:tc>
        <w:tc>
          <w:tcPr>
            <w:tcW w:w="709" w:type="dxa"/>
            <w:vAlign w:val="center"/>
          </w:tcPr>
          <w:p>
            <w:pPr>
              <w:jc w:val="center"/>
              <w:rPr>
                <w:b/>
                <w:bCs/>
                <w:sz w:val="18"/>
                <w:szCs w:val="18"/>
              </w:rPr>
            </w:pPr>
            <w:r>
              <w:rPr>
                <w:b/>
                <w:sz w:val="18"/>
                <w:szCs w:val="18"/>
              </w:rPr>
              <w:t>类别</w:t>
            </w:r>
          </w:p>
        </w:tc>
        <w:tc>
          <w:tcPr>
            <w:tcW w:w="567" w:type="dxa"/>
            <w:vAlign w:val="center"/>
          </w:tcPr>
          <w:p>
            <w:pPr>
              <w:jc w:val="center"/>
              <w:rPr>
                <w:b/>
                <w:bCs/>
                <w:sz w:val="18"/>
                <w:szCs w:val="18"/>
              </w:rPr>
            </w:pPr>
            <w:r>
              <w:rPr>
                <w:b/>
                <w:bCs/>
                <w:sz w:val="18"/>
                <w:szCs w:val="18"/>
              </w:rPr>
              <w:t>权重</w:t>
            </w:r>
          </w:p>
        </w:tc>
        <w:tc>
          <w:tcPr>
            <w:tcW w:w="3402" w:type="dxa"/>
            <w:vAlign w:val="center"/>
          </w:tcPr>
          <w:p>
            <w:pPr>
              <w:jc w:val="center"/>
              <w:rPr>
                <w:b/>
                <w:bCs/>
                <w:sz w:val="18"/>
                <w:szCs w:val="18"/>
              </w:rPr>
            </w:pPr>
            <w:r>
              <w:rPr>
                <w:b/>
                <w:bCs/>
                <w:sz w:val="18"/>
                <w:szCs w:val="18"/>
              </w:rPr>
              <w:t>考核/评价细则</w:t>
            </w:r>
          </w:p>
        </w:tc>
        <w:tc>
          <w:tcPr>
            <w:tcW w:w="992" w:type="dxa"/>
            <w:vAlign w:val="center"/>
          </w:tcPr>
          <w:p>
            <w:pPr>
              <w:jc w:val="center"/>
              <w:rPr>
                <w:b/>
                <w:bCs/>
                <w:sz w:val="18"/>
                <w:szCs w:val="18"/>
              </w:rPr>
            </w:pPr>
            <w:r>
              <w:rPr>
                <w:b/>
                <w:bCs/>
                <w:sz w:val="18"/>
                <w:szCs w:val="18"/>
              </w:rPr>
              <w:t>课程目标</w:t>
            </w:r>
          </w:p>
        </w:tc>
        <w:tc>
          <w:tcPr>
            <w:tcW w:w="1072" w:type="dxa"/>
            <w:vAlign w:val="center"/>
          </w:tcPr>
          <w:p>
            <w:pPr>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5" w:type="dxa"/>
            <w:vMerge w:val="restart"/>
            <w:vAlign w:val="center"/>
          </w:tcPr>
          <w:p>
            <w:pPr>
              <w:jc w:val="center"/>
              <w:rPr>
                <w:sz w:val="18"/>
                <w:szCs w:val="18"/>
              </w:rPr>
            </w:pPr>
            <w:r>
              <w:rPr>
                <w:sz w:val="18"/>
                <w:szCs w:val="18"/>
              </w:rPr>
              <w:t>平时</w:t>
            </w:r>
          </w:p>
          <w:p>
            <w:pPr>
              <w:jc w:val="center"/>
              <w:rPr>
                <w:sz w:val="18"/>
                <w:szCs w:val="18"/>
              </w:rPr>
            </w:pPr>
            <w:r>
              <w:rPr>
                <w:sz w:val="18"/>
                <w:szCs w:val="18"/>
              </w:rPr>
              <w:t>成绩</w:t>
            </w:r>
          </w:p>
        </w:tc>
        <w:tc>
          <w:tcPr>
            <w:tcW w:w="567"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0.3</w:t>
            </w:r>
          </w:p>
        </w:tc>
        <w:tc>
          <w:tcPr>
            <w:tcW w:w="709" w:type="dxa"/>
            <w:vAlign w:val="center"/>
          </w:tcPr>
          <w:p>
            <w:pPr>
              <w:jc w:val="center"/>
              <w:rPr>
                <w:sz w:val="18"/>
                <w:szCs w:val="18"/>
              </w:rPr>
            </w:pPr>
            <w:r>
              <w:rPr>
                <w:sz w:val="18"/>
                <w:szCs w:val="18"/>
              </w:rPr>
              <w:t>课堂表现</w:t>
            </w:r>
          </w:p>
        </w:tc>
        <w:tc>
          <w:tcPr>
            <w:tcW w:w="567" w:type="dxa"/>
            <w:vAlign w:val="center"/>
          </w:tcPr>
          <w:p>
            <w:pPr>
              <w:jc w:val="center"/>
              <w:rPr>
                <w:sz w:val="18"/>
                <w:szCs w:val="18"/>
              </w:rPr>
            </w:pPr>
            <w:r>
              <w:rPr>
                <w:sz w:val="18"/>
                <w:szCs w:val="18"/>
              </w:rPr>
              <w:t>0.2</w:t>
            </w:r>
          </w:p>
        </w:tc>
        <w:tc>
          <w:tcPr>
            <w:tcW w:w="3402" w:type="dxa"/>
            <w:vAlign w:val="center"/>
          </w:tcPr>
          <w:p>
            <w:pPr>
              <w:rPr>
                <w:sz w:val="18"/>
                <w:szCs w:val="18"/>
              </w:rPr>
            </w:pPr>
            <w:r>
              <w:rPr>
                <w:sz w:val="18"/>
                <w:szCs w:val="18"/>
              </w:rPr>
              <w:t>课堂考勤与提问</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分，按比例计入课程总评成绩；主要考核学生回答问题的准确性。</w:t>
            </w:r>
          </w:p>
        </w:tc>
        <w:tc>
          <w:tcPr>
            <w:tcW w:w="992" w:type="dxa"/>
            <w:vAlign w:val="center"/>
          </w:tcPr>
          <w:p>
            <w:pPr>
              <w:jc w:val="left"/>
              <w:rPr>
                <w:sz w:val="18"/>
                <w:szCs w:val="18"/>
              </w:rPr>
            </w:pPr>
            <w:r>
              <w:rPr>
                <w:sz w:val="18"/>
                <w:szCs w:val="18"/>
              </w:rPr>
              <w:t>1，2，3</w:t>
            </w:r>
          </w:p>
        </w:tc>
        <w:tc>
          <w:tcPr>
            <w:tcW w:w="1072" w:type="dxa"/>
            <w:vAlign w:val="center"/>
          </w:tcPr>
          <w:p>
            <w:pPr>
              <w:jc w:val="left"/>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709" w:type="dxa"/>
            <w:vAlign w:val="center"/>
          </w:tcPr>
          <w:p>
            <w:pPr>
              <w:jc w:val="center"/>
              <w:rPr>
                <w:sz w:val="18"/>
                <w:szCs w:val="18"/>
              </w:rPr>
            </w:pPr>
            <w:r>
              <w:rPr>
                <w:sz w:val="18"/>
                <w:szCs w:val="18"/>
              </w:rPr>
              <w:t>作业</w:t>
            </w:r>
          </w:p>
        </w:tc>
        <w:tc>
          <w:tcPr>
            <w:tcW w:w="567" w:type="dxa"/>
            <w:vAlign w:val="center"/>
          </w:tcPr>
          <w:p>
            <w:pPr>
              <w:jc w:val="center"/>
              <w:rPr>
                <w:sz w:val="18"/>
                <w:szCs w:val="18"/>
              </w:rPr>
            </w:pPr>
            <w:r>
              <w:rPr>
                <w:sz w:val="18"/>
                <w:szCs w:val="18"/>
              </w:rPr>
              <w:t>0.4</w:t>
            </w:r>
          </w:p>
        </w:tc>
        <w:tc>
          <w:tcPr>
            <w:tcW w:w="3402" w:type="dxa"/>
            <w:vAlign w:val="center"/>
          </w:tcPr>
          <w:p>
            <w:pPr>
              <w:rPr>
                <w:sz w:val="18"/>
                <w:szCs w:val="18"/>
              </w:rPr>
            </w:pPr>
            <w:r>
              <w:rPr>
                <w:sz w:val="18"/>
                <w:szCs w:val="18"/>
              </w:rPr>
              <w:t>作业</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分，按比例计入课程总评成绩；主要考核学生对每章节知识点的理解和掌握程度</w:t>
            </w:r>
            <w:r>
              <w:rPr>
                <w:rFonts w:hint="eastAsia"/>
                <w:sz w:val="18"/>
                <w:szCs w:val="18"/>
              </w:rPr>
              <w:t>。</w:t>
            </w:r>
          </w:p>
        </w:tc>
        <w:tc>
          <w:tcPr>
            <w:tcW w:w="992" w:type="dxa"/>
            <w:vAlign w:val="center"/>
          </w:tcPr>
          <w:p>
            <w:pPr>
              <w:jc w:val="left"/>
              <w:rPr>
                <w:sz w:val="18"/>
                <w:szCs w:val="18"/>
              </w:rPr>
            </w:pPr>
            <w:r>
              <w:rPr>
                <w:sz w:val="18"/>
                <w:szCs w:val="18"/>
              </w:rPr>
              <w:t>1，2，3</w:t>
            </w:r>
          </w:p>
        </w:tc>
        <w:tc>
          <w:tcPr>
            <w:tcW w:w="1072" w:type="dxa"/>
            <w:vAlign w:val="center"/>
          </w:tcPr>
          <w:p>
            <w:pPr>
              <w:jc w:val="left"/>
              <w:rPr>
                <w:sz w:val="18"/>
                <w:szCs w:val="18"/>
              </w:rPr>
            </w:pPr>
            <w:r>
              <w:rPr>
                <w:rFonts w:hint="eastAsia"/>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75"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709" w:type="dxa"/>
            <w:vAlign w:val="center"/>
          </w:tcPr>
          <w:p>
            <w:pPr>
              <w:jc w:val="center"/>
              <w:rPr>
                <w:sz w:val="18"/>
                <w:szCs w:val="18"/>
              </w:rPr>
            </w:pPr>
            <w:r>
              <w:rPr>
                <w:sz w:val="18"/>
                <w:szCs w:val="18"/>
              </w:rPr>
              <w:t>实验</w:t>
            </w:r>
          </w:p>
        </w:tc>
        <w:tc>
          <w:tcPr>
            <w:tcW w:w="567" w:type="dxa"/>
            <w:vAlign w:val="center"/>
          </w:tcPr>
          <w:p>
            <w:pPr>
              <w:jc w:val="center"/>
              <w:rPr>
                <w:sz w:val="18"/>
                <w:szCs w:val="18"/>
              </w:rPr>
            </w:pPr>
            <w:r>
              <w:rPr>
                <w:sz w:val="18"/>
                <w:szCs w:val="18"/>
              </w:rPr>
              <w:t>0.4</w:t>
            </w:r>
          </w:p>
        </w:tc>
        <w:tc>
          <w:tcPr>
            <w:tcW w:w="3402" w:type="dxa"/>
            <w:vAlign w:val="center"/>
          </w:tcPr>
          <w:p>
            <w:pPr>
              <w:rPr>
                <w:sz w:val="18"/>
                <w:szCs w:val="18"/>
              </w:rPr>
            </w:pPr>
            <w:r>
              <w:rPr>
                <w:sz w:val="18"/>
                <w:szCs w:val="18"/>
              </w:rPr>
              <w:t>实验</w:t>
            </w: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分，按比例计入课程总评成绩；主要考核学生的实验完成</w:t>
            </w:r>
            <w:r>
              <w:rPr>
                <w:rFonts w:hint="eastAsia"/>
                <w:sz w:val="18"/>
                <w:szCs w:val="18"/>
              </w:rPr>
              <w:t>结果</w:t>
            </w:r>
            <w:r>
              <w:rPr>
                <w:sz w:val="18"/>
                <w:szCs w:val="18"/>
              </w:rPr>
              <w:t>及实验报告质量。</w:t>
            </w:r>
          </w:p>
        </w:tc>
        <w:tc>
          <w:tcPr>
            <w:tcW w:w="992" w:type="dxa"/>
            <w:vAlign w:val="center"/>
          </w:tcPr>
          <w:p>
            <w:pPr>
              <w:jc w:val="left"/>
              <w:rPr>
                <w:sz w:val="18"/>
                <w:szCs w:val="18"/>
              </w:rPr>
            </w:pPr>
            <w:r>
              <w:rPr>
                <w:sz w:val="18"/>
                <w:szCs w:val="18"/>
              </w:rPr>
              <w:t>1，2</w:t>
            </w:r>
          </w:p>
        </w:tc>
        <w:tc>
          <w:tcPr>
            <w:tcW w:w="1072" w:type="dxa"/>
            <w:vAlign w:val="center"/>
          </w:tcPr>
          <w:p>
            <w:pPr>
              <w:jc w:val="left"/>
              <w:rPr>
                <w:sz w:val="18"/>
                <w:szCs w:val="18"/>
              </w:rPr>
            </w:pPr>
            <w:r>
              <w:rPr>
                <w:rFonts w:hint="eastAsia"/>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75" w:type="dxa"/>
            <w:vAlign w:val="center"/>
          </w:tcPr>
          <w:p>
            <w:pPr>
              <w:jc w:val="center"/>
              <w:rPr>
                <w:sz w:val="18"/>
                <w:szCs w:val="18"/>
              </w:rPr>
            </w:pPr>
            <w:r>
              <w:rPr>
                <w:sz w:val="18"/>
                <w:szCs w:val="18"/>
              </w:rPr>
              <w:t>期末</w:t>
            </w:r>
          </w:p>
          <w:p>
            <w:pPr>
              <w:jc w:val="center"/>
              <w:rPr>
                <w:sz w:val="18"/>
                <w:szCs w:val="18"/>
              </w:rPr>
            </w:pPr>
            <w:r>
              <w:rPr>
                <w:sz w:val="18"/>
                <w:szCs w:val="18"/>
              </w:rPr>
              <w:t>考试</w:t>
            </w:r>
          </w:p>
          <w:p>
            <w:pPr>
              <w:jc w:val="center"/>
              <w:rPr>
                <w:sz w:val="18"/>
                <w:szCs w:val="18"/>
              </w:rPr>
            </w:pPr>
            <w:r>
              <w:rPr>
                <w:sz w:val="18"/>
                <w:szCs w:val="18"/>
              </w:rPr>
              <w:t>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0.7</w:t>
            </w:r>
          </w:p>
        </w:tc>
        <w:tc>
          <w:tcPr>
            <w:tcW w:w="709" w:type="dxa"/>
            <w:vAlign w:val="center"/>
          </w:tcPr>
          <w:p>
            <w:pPr>
              <w:jc w:val="center"/>
              <w:rPr>
                <w:sz w:val="18"/>
                <w:szCs w:val="18"/>
              </w:rPr>
            </w:pPr>
            <w:r>
              <w:rPr>
                <w:sz w:val="18"/>
                <w:szCs w:val="18"/>
              </w:rPr>
              <w:t>闭卷考试</w:t>
            </w:r>
          </w:p>
        </w:tc>
        <w:tc>
          <w:tcPr>
            <w:tcW w:w="567" w:type="dxa"/>
            <w:vAlign w:val="center"/>
          </w:tcPr>
          <w:p>
            <w:pPr>
              <w:jc w:val="center"/>
              <w:rPr>
                <w:sz w:val="18"/>
                <w:szCs w:val="18"/>
              </w:rPr>
            </w:pPr>
            <w:r>
              <w:rPr>
                <w:sz w:val="18"/>
                <w:szCs w:val="18"/>
              </w:rPr>
              <w:t>1</w:t>
            </w:r>
          </w:p>
        </w:tc>
        <w:tc>
          <w:tcPr>
            <w:tcW w:w="3402" w:type="dxa"/>
            <w:vAlign w:val="center"/>
          </w:tcPr>
          <w:p>
            <w:pPr>
              <w:rPr>
                <w:sz w:val="18"/>
                <w:szCs w:val="18"/>
              </w:rPr>
            </w:pPr>
            <w:r>
              <w:rPr>
                <w:sz w:val="18"/>
                <w:szCs w:val="18"/>
              </w:rPr>
              <w:t>卷面成绩100分，按比例计入课程总评成绩；主要考核学生的基</w:t>
            </w:r>
            <w:r>
              <w:rPr>
                <w:rFonts w:hint="eastAsia"/>
                <w:sz w:val="18"/>
                <w:szCs w:val="18"/>
              </w:rPr>
              <w:t>础</w:t>
            </w:r>
            <w:r>
              <w:rPr>
                <w:sz w:val="18"/>
                <w:szCs w:val="18"/>
              </w:rPr>
              <w:t>知识、应用能力和逻辑分析能力。</w:t>
            </w:r>
          </w:p>
        </w:tc>
        <w:tc>
          <w:tcPr>
            <w:tcW w:w="992" w:type="dxa"/>
            <w:vAlign w:val="center"/>
          </w:tcPr>
          <w:p>
            <w:pPr>
              <w:jc w:val="left"/>
              <w:rPr>
                <w:sz w:val="18"/>
                <w:szCs w:val="18"/>
              </w:rPr>
            </w:pPr>
            <w:r>
              <w:rPr>
                <w:sz w:val="18"/>
                <w:szCs w:val="18"/>
              </w:rPr>
              <w:t>1，2，3</w:t>
            </w:r>
          </w:p>
        </w:tc>
        <w:tc>
          <w:tcPr>
            <w:tcW w:w="1072" w:type="dxa"/>
            <w:vAlign w:val="center"/>
          </w:tcPr>
          <w:p>
            <w:pPr>
              <w:jc w:val="left"/>
              <w:rPr>
                <w:sz w:val="18"/>
                <w:szCs w:val="18"/>
              </w:rPr>
            </w:pPr>
            <w:r>
              <w:rPr>
                <w:rFonts w:hint="eastAsia"/>
                <w:sz w:val="18"/>
                <w:szCs w:val="18"/>
              </w:rPr>
              <w:t>2，3</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rPr>
          <w:kern w:val="0"/>
          <w:szCs w:val="21"/>
        </w:rPr>
        <w:t>．</w:t>
      </w:r>
      <w:r>
        <w:rPr>
          <w:szCs w:val="21"/>
        </w:rPr>
        <w:t>达成度评价依据和方法：</w:t>
      </w:r>
    </w:p>
    <w:p>
      <w:pPr>
        <w:snapToGrid w:val="0"/>
        <w:spacing w:line="300" w:lineRule="auto"/>
        <w:ind w:firstLine="420" w:firstLineChars="200"/>
        <w:rPr>
          <w:szCs w:val="21"/>
        </w:rPr>
      </w:pPr>
      <w:r>
        <w:rPr>
          <w:szCs w:val="21"/>
        </w:rPr>
        <w:t>课程目标评价方式：课程目标达成度评价包括课程分目标达成度评价，以及课程总目标达成度评价，具体计算公式如下：</w:t>
      </w:r>
    </w:p>
    <w:p>
      <w:pPr>
        <w:snapToGrid w:val="0"/>
        <w:spacing w:line="300" w:lineRule="auto"/>
        <w:jc w:val="center"/>
        <w:rPr>
          <w:szCs w:val="21"/>
        </w:rPr>
      </w:pPr>
      <w:r>
        <w:rPr>
          <w:position w:val="-26"/>
        </w:rPr>
        <w:object>
          <v:shape id="_x0000_i1169"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69" DrawAspect="Content" ObjectID="_1468075867" r:id="rId190">
            <o:LockedField>false</o:LockedField>
          </o:OLEObject>
        </w:object>
      </w:r>
    </w:p>
    <w:p>
      <w:pPr>
        <w:snapToGrid w:val="0"/>
        <w:spacing w:line="300" w:lineRule="auto"/>
        <w:ind w:firstLine="420" w:firstLineChars="200"/>
        <w:rPr>
          <w:szCs w:val="21"/>
        </w:rPr>
      </w:pPr>
      <w:r>
        <w:rPr>
          <w:szCs w:val="21"/>
        </w:rPr>
        <w:t>课程总目标达成度为3个课程分目标的加权得分率，其计算公式为：</w:t>
      </w:r>
    </w:p>
    <w:p>
      <w:pPr>
        <w:snapToGrid w:val="0"/>
        <w:spacing w:line="300" w:lineRule="auto"/>
        <w:ind w:firstLine="420" w:firstLineChars="200"/>
        <w:jc w:val="center"/>
        <w:rPr>
          <w:szCs w:val="21"/>
        </w:rPr>
      </w:pPr>
      <w:r>
        <w:rPr>
          <w:szCs w:val="21"/>
        </w:rPr>
        <w:t>课程总目标达成度= ∑课程教学分目标达成度*权重系数</w:t>
      </w:r>
    </w:p>
    <w:p>
      <w:pPr>
        <w:snapToGrid w:val="0"/>
        <w:spacing w:line="300" w:lineRule="auto"/>
        <w:rPr>
          <w:szCs w:val="21"/>
        </w:rPr>
      </w:pPr>
      <w:r>
        <w:rPr>
          <w:szCs w:val="21"/>
        </w:rPr>
        <w:t>其中权重系数按照表6设定。</w:t>
      </w:r>
    </w:p>
    <w:p>
      <w:pPr>
        <w:snapToGrid w:val="0"/>
        <w:spacing w:line="300" w:lineRule="auto"/>
        <w:jc w:val="center"/>
        <w:rPr>
          <w:b/>
          <w:sz w:val="18"/>
          <w:szCs w:val="18"/>
        </w:rPr>
      </w:pPr>
      <w:r>
        <w:rPr>
          <w:b/>
          <w:sz w:val="18"/>
          <w:szCs w:val="18"/>
        </w:rPr>
        <w:t>表6、课程目标权重系数</w:t>
      </w:r>
    </w:p>
    <w:tbl>
      <w:tblPr>
        <w:tblStyle w:val="22"/>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2083"/>
        <w:gridCol w:w="2083"/>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3" w:type="dxa"/>
          </w:tcPr>
          <w:p>
            <w:pPr>
              <w:spacing w:line="288" w:lineRule="exact"/>
              <w:ind w:right="-20"/>
              <w:jc w:val="center"/>
              <w:rPr>
                <w:b/>
                <w:bCs/>
                <w:sz w:val="18"/>
                <w:szCs w:val="18"/>
              </w:rPr>
            </w:pPr>
            <w:r>
              <w:rPr>
                <w:b/>
                <w:bCs/>
                <w:sz w:val="18"/>
                <w:szCs w:val="18"/>
              </w:rPr>
              <w:t>教学目标</w:t>
            </w:r>
          </w:p>
        </w:tc>
        <w:tc>
          <w:tcPr>
            <w:tcW w:w="2083" w:type="dxa"/>
          </w:tcPr>
          <w:p>
            <w:pPr>
              <w:spacing w:line="288" w:lineRule="exact"/>
              <w:ind w:right="-20"/>
              <w:jc w:val="center"/>
              <w:rPr>
                <w:sz w:val="18"/>
                <w:szCs w:val="18"/>
              </w:rPr>
            </w:pPr>
            <w:r>
              <w:rPr>
                <w:sz w:val="18"/>
                <w:szCs w:val="18"/>
              </w:rPr>
              <w:t>1</w:t>
            </w:r>
          </w:p>
        </w:tc>
        <w:tc>
          <w:tcPr>
            <w:tcW w:w="2083" w:type="dxa"/>
          </w:tcPr>
          <w:p>
            <w:pPr>
              <w:spacing w:line="288" w:lineRule="exact"/>
              <w:ind w:right="-20"/>
              <w:jc w:val="center"/>
              <w:rPr>
                <w:sz w:val="18"/>
                <w:szCs w:val="18"/>
              </w:rPr>
            </w:pPr>
            <w:r>
              <w:rPr>
                <w:sz w:val="18"/>
                <w:szCs w:val="18"/>
              </w:rPr>
              <w:t>2</w:t>
            </w:r>
          </w:p>
        </w:tc>
        <w:tc>
          <w:tcPr>
            <w:tcW w:w="1873" w:type="dxa"/>
          </w:tcPr>
          <w:p>
            <w:pPr>
              <w:spacing w:line="288" w:lineRule="exact"/>
              <w:ind w:right="-2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tcPr>
          <w:p>
            <w:pPr>
              <w:spacing w:line="288" w:lineRule="exact"/>
              <w:ind w:right="-20"/>
              <w:jc w:val="center"/>
              <w:rPr>
                <w:b/>
                <w:bCs/>
                <w:sz w:val="18"/>
                <w:szCs w:val="18"/>
              </w:rPr>
            </w:pPr>
            <w:r>
              <w:rPr>
                <w:b/>
                <w:bCs/>
                <w:sz w:val="18"/>
                <w:szCs w:val="18"/>
              </w:rPr>
              <w:t>考核权重系数</w:t>
            </w:r>
          </w:p>
        </w:tc>
        <w:tc>
          <w:tcPr>
            <w:tcW w:w="2083" w:type="dxa"/>
          </w:tcPr>
          <w:p>
            <w:pPr>
              <w:spacing w:line="288" w:lineRule="exact"/>
              <w:ind w:right="-20"/>
              <w:jc w:val="center"/>
              <w:rPr>
                <w:sz w:val="18"/>
                <w:szCs w:val="18"/>
              </w:rPr>
            </w:pPr>
            <w:r>
              <w:rPr>
                <w:sz w:val="18"/>
                <w:szCs w:val="18"/>
              </w:rPr>
              <w:t>0.5</w:t>
            </w:r>
          </w:p>
        </w:tc>
        <w:tc>
          <w:tcPr>
            <w:tcW w:w="2083" w:type="dxa"/>
          </w:tcPr>
          <w:p>
            <w:pPr>
              <w:spacing w:line="288" w:lineRule="exact"/>
              <w:ind w:right="-20"/>
              <w:jc w:val="center"/>
              <w:rPr>
                <w:sz w:val="18"/>
                <w:szCs w:val="18"/>
              </w:rPr>
            </w:pPr>
            <w:r>
              <w:rPr>
                <w:sz w:val="18"/>
                <w:szCs w:val="18"/>
              </w:rPr>
              <w:t>0.4</w:t>
            </w:r>
          </w:p>
        </w:tc>
        <w:tc>
          <w:tcPr>
            <w:tcW w:w="1873" w:type="dxa"/>
          </w:tcPr>
          <w:p>
            <w:pPr>
              <w:spacing w:line="288" w:lineRule="exact"/>
              <w:ind w:right="-20"/>
              <w:jc w:val="center"/>
              <w:rPr>
                <w:sz w:val="18"/>
                <w:szCs w:val="18"/>
              </w:rPr>
            </w:pPr>
            <w:r>
              <w:rPr>
                <w:sz w:val="18"/>
                <w:szCs w:val="18"/>
              </w:rPr>
              <w:t>0.1</w:t>
            </w:r>
          </w:p>
        </w:tc>
      </w:tr>
    </w:tbl>
    <w:p>
      <w:pPr>
        <w:spacing w:before="9" w:line="40" w:lineRule="exact"/>
        <w:rPr>
          <w:sz w:val="4"/>
          <w:szCs w:val="4"/>
          <w:highlight w:val="yellow"/>
        </w:rPr>
      </w:pPr>
    </w:p>
    <w:p>
      <w:pPr>
        <w:snapToGrid w:val="0"/>
        <w:spacing w:line="300" w:lineRule="auto"/>
        <w:ind w:firstLine="420" w:firstLineChars="200"/>
        <w:rPr>
          <w:szCs w:val="21"/>
        </w:rPr>
      </w:pPr>
      <w:r>
        <w:rPr>
          <w:szCs w:val="21"/>
        </w:rPr>
        <w:t>课程毕业要求指标点达成情况评价：</w:t>
      </w:r>
    </w:p>
    <w:p>
      <w:pPr>
        <w:snapToGrid w:val="0"/>
        <w:spacing w:line="300" w:lineRule="auto"/>
        <w:ind w:firstLine="420" w:firstLineChars="200"/>
        <w:rPr>
          <w:szCs w:val="21"/>
        </w:rPr>
      </w:pPr>
      <w:r>
        <w:rPr>
          <w:szCs w:val="21"/>
        </w:rPr>
        <w:t>课程支撑毕业要求指标点的达成情况为对应的课程目标达成情况的加权值，其计算公式为：</w:t>
      </w:r>
    </w:p>
    <w:p>
      <w:pPr>
        <w:snapToGrid w:val="0"/>
        <w:spacing w:line="300" w:lineRule="auto"/>
        <w:ind w:firstLine="420" w:firstLineChars="200"/>
        <w:rPr>
          <w:szCs w:val="21"/>
        </w:rPr>
      </w:pPr>
      <w:r>
        <w:rPr>
          <w:szCs w:val="21"/>
        </w:rPr>
        <w:object>
          <v:shape id="_x0000_i1170"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170" DrawAspect="Content" ObjectID="_1468075868" r:id="rId191">
            <o:LockedField>false</o:LockedField>
          </o:OLEObject>
        </w:object>
      </w:r>
    </w:p>
    <w:p>
      <w:pPr>
        <w:snapToGrid w:val="0"/>
        <w:spacing w:line="300" w:lineRule="auto"/>
        <w:ind w:firstLine="420" w:firstLineChars="200"/>
        <w:rPr>
          <w:szCs w:val="21"/>
        </w:rPr>
      </w:pPr>
      <w:r>
        <w:rPr>
          <w:szCs w:val="21"/>
        </w:rPr>
        <w:t>2</w:t>
      </w:r>
      <w:r>
        <w:rPr>
          <w:kern w:val="0"/>
          <w:szCs w:val="21"/>
        </w:rP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 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bCs/>
          <w:sz w:val="24"/>
        </w:rPr>
      </w:pPr>
      <w:r>
        <w:rPr>
          <w:rFonts w:ascii="Times New Roman" w:hAnsi="Times New Roman" w:eastAsia="宋体" w:cs="Times New Roman"/>
          <w:b/>
          <w:bCs/>
          <w:sz w:val="24"/>
        </w:rPr>
        <w:t>七、</w:t>
      </w:r>
      <w:r>
        <w:rPr>
          <w:rFonts w:ascii="Times New Roman" w:hAnsi="Times New Roman" w:eastAsia="宋体" w:cs="Times New Roman"/>
          <w:b/>
          <w:sz w:val="24"/>
        </w:rPr>
        <w:t>教材及参考资料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教材</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王珊，萨师煊。数据库系统概论 [M]，高等教育出版社，2014.9</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2．参考资料</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钱雪忠，李京编著。数据库原理及应用[M]，北京邮电大学出版社，2010.6</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施伯乐，丁宝康，汪卫。数据库系统教程[M]，高等教育出版社，2008.7</w:t>
      </w:r>
    </w:p>
    <w:tbl>
      <w:tblPr>
        <w:tblStyle w:val="22"/>
        <w:tblpPr w:leftFromText="180" w:rightFromText="180" w:vertAnchor="text" w:horzAnchor="margin" w:tblpX="-39" w:tblpY="266"/>
        <w:tblW w:w="9209" w:type="dxa"/>
        <w:tblInd w:w="0" w:type="dxa"/>
        <w:tblLayout w:type="fixed"/>
        <w:tblCellMar>
          <w:top w:w="0" w:type="dxa"/>
          <w:left w:w="108" w:type="dxa"/>
          <w:bottom w:w="0" w:type="dxa"/>
          <w:right w:w="108" w:type="dxa"/>
        </w:tblCellMar>
      </w:tblPr>
      <w:tblGrid>
        <w:gridCol w:w="9209"/>
      </w:tblGrid>
      <w:tr>
        <w:trPr>
          <w:trHeight w:val="283" w:hRule="atLeast"/>
        </w:trPr>
        <w:tc>
          <w:tcPr>
            <w:tcW w:w="9209" w:type="dxa"/>
            <w:shd w:val="clear" w:color="auto" w:fill="auto"/>
          </w:tcPr>
          <w:p>
            <w:pPr>
              <w:snapToGrid w:val="0"/>
              <w:spacing w:line="300" w:lineRule="auto"/>
              <w:ind w:right="12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CellMar>
            <w:top w:w="0" w:type="dxa"/>
            <w:left w:w="108" w:type="dxa"/>
            <w:bottom w:w="0" w:type="dxa"/>
            <w:right w:w="108" w:type="dxa"/>
          </w:tblCellMar>
        </w:tblPrEx>
        <w:trPr>
          <w:trHeight w:val="401" w:hRule="atLeast"/>
        </w:trPr>
        <w:tc>
          <w:tcPr>
            <w:tcW w:w="9209" w:type="dxa"/>
            <w:shd w:val="clear" w:color="auto" w:fill="auto"/>
          </w:tcPr>
          <w:p>
            <w:pPr>
              <w:snapToGrid w:val="0"/>
              <w:spacing w:line="300" w:lineRule="auto"/>
              <w:ind w:right="10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rPr>
          <w:trHeight w:val="658" w:hRule="atLeast"/>
        </w:trPr>
        <w:tc>
          <w:tcPr>
            <w:tcW w:w="9209" w:type="dxa"/>
            <w:shd w:val="clear" w:color="auto" w:fill="auto"/>
          </w:tcPr>
          <w:p>
            <w:pPr>
              <w:wordWrap w:val="0"/>
              <w:snapToGrid w:val="0"/>
              <w:spacing w:line="300" w:lineRule="auto"/>
              <w:ind w:right="8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snapToGrid w:val="0"/>
              <w:spacing w:line="300" w:lineRule="auto"/>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 xml:space="preserve">       </w:t>
            </w:r>
          </w:p>
        </w:tc>
      </w:tr>
    </w:tbl>
    <w:p>
      <w:pPr>
        <w:rPr>
          <w:rFonts w:ascii="Times New Roman" w:hAnsi="Times New Roman" w:eastAsia="宋体" w:cs="Times New Roman"/>
          <w:b/>
          <w:bCs/>
          <w:sz w:val="32"/>
          <w:szCs w:val="32"/>
        </w:rPr>
      </w:pPr>
      <w:r>
        <w:rPr>
          <w:rFonts w:ascii="Times New Roman" w:hAnsi="Times New Roman" w:eastAsia="宋体" w:cs="Times New Roman"/>
          <w:b/>
          <w:bCs/>
          <w:sz w:val="32"/>
          <w:szCs w:val="32"/>
        </w:rPr>
        <w:br w:type="page"/>
      </w:r>
    </w:p>
    <w:p>
      <w:pPr>
        <w:pStyle w:val="5"/>
        <w:spacing w:before="260" w:after="260" w:line="413" w:lineRule="auto"/>
        <w:ind w:firstLine="643" w:firstLineChars="200"/>
        <w:rPr>
          <w:rFonts w:ascii="Times New Roman" w:hAnsi="Times New Roman" w:cs="Times New Roman"/>
          <w:sz w:val="32"/>
          <w:szCs w:val="32"/>
        </w:rPr>
      </w:pPr>
      <w:bookmarkStart w:id="221" w:name="_Toc21072"/>
      <w:r>
        <w:rPr>
          <w:rFonts w:ascii="Times New Roman" w:hAnsi="Times New Roman" w:cs="Times New Roman"/>
          <w:sz w:val="32"/>
          <w:szCs w:val="32"/>
        </w:rPr>
        <w:t>33441603《海洋遥感与电子技术》课程教学大纲</w:t>
      </w:r>
      <w:bookmarkEnd w:id="221"/>
    </w:p>
    <w:tbl>
      <w:tblPr>
        <w:tblStyle w:val="22"/>
        <w:tblW w:w="8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6"/>
        <w:gridCol w:w="3285"/>
        <w:gridCol w:w="1143"/>
        <w:gridCol w:w="2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286" w:type="dxa"/>
          </w:tcPr>
          <w:p>
            <w:pPr>
              <w:jc w:val="center"/>
              <w:rPr>
                <w:kern w:val="0"/>
                <w:szCs w:val="21"/>
              </w:rPr>
            </w:pPr>
            <w:r>
              <w:rPr>
                <w:kern w:val="0"/>
                <w:szCs w:val="21"/>
              </w:rPr>
              <w:t>课程编号</w:t>
            </w:r>
          </w:p>
        </w:tc>
        <w:tc>
          <w:tcPr>
            <w:tcW w:w="3285" w:type="dxa"/>
          </w:tcPr>
          <w:p>
            <w:pPr>
              <w:jc w:val="center"/>
              <w:rPr>
                <w:kern w:val="0"/>
                <w:szCs w:val="21"/>
              </w:rPr>
            </w:pPr>
            <w:r>
              <w:rPr>
                <w:szCs w:val="21"/>
              </w:rPr>
              <w:t>334</w:t>
            </w:r>
            <w:r>
              <w:rPr>
                <w:rFonts w:hint="eastAsia"/>
                <w:szCs w:val="21"/>
              </w:rPr>
              <w:t>41603</w:t>
            </w:r>
          </w:p>
        </w:tc>
        <w:tc>
          <w:tcPr>
            <w:tcW w:w="1143" w:type="dxa"/>
          </w:tcPr>
          <w:p>
            <w:pPr>
              <w:jc w:val="center"/>
              <w:rPr>
                <w:kern w:val="0"/>
                <w:szCs w:val="21"/>
              </w:rPr>
            </w:pPr>
            <w:r>
              <w:rPr>
                <w:kern w:val="0"/>
                <w:szCs w:val="21"/>
              </w:rPr>
              <w:t>课程名称</w:t>
            </w:r>
          </w:p>
        </w:tc>
        <w:tc>
          <w:tcPr>
            <w:tcW w:w="2572" w:type="dxa"/>
          </w:tcPr>
          <w:p>
            <w:pPr>
              <w:jc w:val="center"/>
              <w:rPr>
                <w:kern w:val="0"/>
                <w:szCs w:val="21"/>
              </w:rPr>
            </w:pPr>
            <w:r>
              <w:rPr>
                <w:szCs w:val="21"/>
              </w:rPr>
              <w:t>海洋遥感与电子技术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86" w:type="dxa"/>
          </w:tcPr>
          <w:p>
            <w:pPr>
              <w:jc w:val="center"/>
              <w:rPr>
                <w:kern w:val="0"/>
                <w:szCs w:val="21"/>
              </w:rPr>
            </w:pPr>
            <w:r>
              <w:rPr>
                <w:kern w:val="0"/>
                <w:szCs w:val="21"/>
              </w:rPr>
              <w:t>课程性质</w:t>
            </w:r>
            <w:r>
              <w:rPr>
                <w:kern w:val="0"/>
                <w:sz w:val="20"/>
                <w:szCs w:val="20"/>
              </w:rPr>
              <w:t>*</w:t>
            </w:r>
          </w:p>
        </w:tc>
        <w:tc>
          <w:tcPr>
            <w:tcW w:w="3285" w:type="dxa"/>
          </w:tcPr>
          <w:p>
            <w:pPr>
              <w:jc w:val="center"/>
              <w:rPr>
                <w:kern w:val="0"/>
                <w:szCs w:val="21"/>
              </w:rPr>
            </w:pPr>
            <w:r>
              <w:rPr>
                <w:rFonts w:hint="eastAsia"/>
                <w:szCs w:val="21"/>
              </w:rPr>
              <w:t>专业类</w:t>
            </w:r>
          </w:p>
        </w:tc>
        <w:tc>
          <w:tcPr>
            <w:tcW w:w="1143" w:type="dxa"/>
          </w:tcPr>
          <w:p>
            <w:pPr>
              <w:jc w:val="center"/>
              <w:rPr>
                <w:kern w:val="0"/>
                <w:szCs w:val="21"/>
              </w:rPr>
            </w:pPr>
            <w:r>
              <w:rPr>
                <w:kern w:val="0"/>
                <w:szCs w:val="21"/>
              </w:rPr>
              <w:t>英文名称</w:t>
            </w:r>
          </w:p>
        </w:tc>
        <w:tc>
          <w:tcPr>
            <w:tcW w:w="2572" w:type="dxa"/>
            <w:vAlign w:val="center"/>
          </w:tcPr>
          <w:p>
            <w:pPr>
              <w:jc w:val="center"/>
              <w:rPr>
                <w:bCs/>
                <w:kern w:val="0"/>
                <w:szCs w:val="21"/>
              </w:rPr>
            </w:pPr>
            <w:r>
              <w:rPr>
                <w:szCs w:val="21"/>
              </w:rPr>
              <w:t>Marine Remote Sensing and Electronic Technology</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286" w:type="dxa"/>
          </w:tcPr>
          <w:p>
            <w:pPr>
              <w:jc w:val="center"/>
              <w:rPr>
                <w:kern w:val="0"/>
                <w:szCs w:val="21"/>
              </w:rPr>
            </w:pPr>
            <w:r>
              <w:rPr>
                <w:kern w:val="0"/>
                <w:szCs w:val="21"/>
              </w:rPr>
              <w:t>学分学时</w:t>
            </w:r>
          </w:p>
        </w:tc>
        <w:tc>
          <w:tcPr>
            <w:tcW w:w="3285" w:type="dxa"/>
          </w:tcPr>
          <w:p>
            <w:pPr>
              <w:jc w:val="center"/>
              <w:rPr>
                <w:kern w:val="0"/>
                <w:szCs w:val="21"/>
              </w:rPr>
            </w:pPr>
            <w:r>
              <w:rPr>
                <w:rFonts w:hint="eastAsia"/>
                <w:bCs/>
                <w:kern w:val="0"/>
                <w:szCs w:val="21"/>
              </w:rPr>
              <w:t>2</w:t>
            </w:r>
            <w:r>
              <w:rPr>
                <w:bCs/>
                <w:color w:val="FF0000"/>
                <w:kern w:val="0"/>
                <w:szCs w:val="21"/>
              </w:rPr>
              <w:t xml:space="preserve"> </w:t>
            </w:r>
            <w:r>
              <w:rPr>
                <w:rFonts w:hint="eastAsia"/>
                <w:kern w:val="0"/>
                <w:szCs w:val="21"/>
              </w:rPr>
              <w:t>:</w:t>
            </w:r>
            <w:r>
              <w:rPr>
                <w:kern w:val="0"/>
                <w:szCs w:val="21"/>
              </w:rPr>
              <w:t xml:space="preserve"> </w:t>
            </w:r>
            <w:r>
              <w:rPr>
                <w:rFonts w:hint="eastAsia"/>
                <w:kern w:val="0"/>
                <w:szCs w:val="21"/>
              </w:rPr>
              <w:t>32（4）</w:t>
            </w:r>
          </w:p>
        </w:tc>
        <w:tc>
          <w:tcPr>
            <w:tcW w:w="1143" w:type="dxa"/>
          </w:tcPr>
          <w:p>
            <w:pPr>
              <w:jc w:val="center"/>
              <w:rPr>
                <w:kern w:val="0"/>
                <w:szCs w:val="21"/>
                <w:highlight w:val="yellow"/>
              </w:rPr>
            </w:pPr>
            <w:r>
              <w:rPr>
                <w:kern w:val="0"/>
                <w:szCs w:val="21"/>
              </w:rPr>
              <w:t>任课教师</w:t>
            </w:r>
          </w:p>
        </w:tc>
        <w:tc>
          <w:tcPr>
            <w:tcW w:w="2572" w:type="dxa"/>
          </w:tcPr>
          <w:p>
            <w:pPr>
              <w:jc w:val="center"/>
              <w:rPr>
                <w:kern w:val="0"/>
                <w:szCs w:val="21"/>
                <w:highlight w:val="yellow"/>
              </w:rPr>
            </w:pPr>
            <w:r>
              <w:rPr>
                <w:kern w:val="0"/>
                <w:szCs w:val="21"/>
              </w:rPr>
              <w:t>刘雯景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286" w:type="dxa"/>
          </w:tcPr>
          <w:p>
            <w:pPr>
              <w:jc w:val="center"/>
              <w:rPr>
                <w:bCs/>
                <w:kern w:val="0"/>
                <w:szCs w:val="21"/>
              </w:rPr>
            </w:pPr>
            <w:r>
              <w:rPr>
                <w:bCs/>
                <w:kern w:val="0"/>
                <w:szCs w:val="21"/>
              </w:rPr>
              <w:t>企业专家</w:t>
            </w:r>
          </w:p>
        </w:tc>
        <w:tc>
          <w:tcPr>
            <w:tcW w:w="3285" w:type="dxa"/>
          </w:tcPr>
          <w:p>
            <w:pPr>
              <w:widowControl/>
              <w:jc w:val="center"/>
              <w:rPr>
                <w:kern w:val="0"/>
                <w:szCs w:val="21"/>
              </w:rPr>
            </w:pPr>
            <w:r>
              <w:rPr>
                <w:kern w:val="0"/>
                <w:szCs w:val="21"/>
              </w:rPr>
              <w:t>曾耿滨</w:t>
            </w:r>
          </w:p>
        </w:tc>
        <w:tc>
          <w:tcPr>
            <w:tcW w:w="1143" w:type="dxa"/>
          </w:tcPr>
          <w:p>
            <w:pPr>
              <w:jc w:val="center"/>
              <w:rPr>
                <w:bCs/>
                <w:kern w:val="0"/>
                <w:szCs w:val="21"/>
              </w:rPr>
            </w:pPr>
            <w:r>
              <w:rPr>
                <w:bCs/>
                <w:kern w:val="0"/>
                <w:szCs w:val="21"/>
              </w:rPr>
              <w:t>行业专家</w:t>
            </w:r>
          </w:p>
        </w:tc>
        <w:tc>
          <w:tcPr>
            <w:tcW w:w="2572" w:type="dxa"/>
          </w:tcPr>
          <w:p>
            <w:pPr>
              <w:widowControl/>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1286" w:type="dxa"/>
          </w:tcPr>
          <w:p>
            <w:pPr>
              <w:widowControl/>
              <w:jc w:val="center"/>
              <w:rPr>
                <w:bCs/>
                <w:kern w:val="0"/>
                <w:szCs w:val="21"/>
              </w:rPr>
            </w:pPr>
            <w:r>
              <w:rPr>
                <w:bCs/>
                <w:kern w:val="0"/>
                <w:szCs w:val="21"/>
              </w:rPr>
              <w:t>执笔教师</w:t>
            </w:r>
          </w:p>
        </w:tc>
        <w:tc>
          <w:tcPr>
            <w:tcW w:w="3285" w:type="dxa"/>
          </w:tcPr>
          <w:p>
            <w:pPr>
              <w:widowControl/>
              <w:jc w:val="center"/>
              <w:rPr>
                <w:kern w:val="0"/>
                <w:szCs w:val="21"/>
              </w:rPr>
            </w:pPr>
            <w:r>
              <w:rPr>
                <w:kern w:val="0"/>
                <w:szCs w:val="21"/>
              </w:rPr>
              <w:t>刘雯景</w:t>
            </w:r>
          </w:p>
        </w:tc>
        <w:tc>
          <w:tcPr>
            <w:tcW w:w="1143" w:type="dxa"/>
          </w:tcPr>
          <w:p>
            <w:pPr>
              <w:widowControl/>
              <w:jc w:val="center"/>
              <w:rPr>
                <w:bCs/>
                <w:kern w:val="0"/>
                <w:szCs w:val="21"/>
              </w:rPr>
            </w:pPr>
            <w:r>
              <w:rPr>
                <w:bCs/>
                <w:kern w:val="0"/>
                <w:szCs w:val="21"/>
              </w:rPr>
              <w:t>责任教授</w:t>
            </w:r>
          </w:p>
        </w:tc>
        <w:tc>
          <w:tcPr>
            <w:tcW w:w="2572" w:type="dxa"/>
          </w:tcPr>
          <w:p>
            <w:pPr>
              <w:widowControl/>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86" w:type="dxa"/>
            <w:tcBorders>
              <w:bottom w:val="single" w:color="auto" w:sz="4" w:space="0"/>
            </w:tcBorders>
          </w:tcPr>
          <w:p>
            <w:pPr>
              <w:widowControl/>
              <w:jc w:val="center"/>
              <w:rPr>
                <w:bCs/>
                <w:kern w:val="0"/>
                <w:szCs w:val="21"/>
              </w:rPr>
            </w:pPr>
            <w:r>
              <w:rPr>
                <w:bCs/>
                <w:kern w:val="0"/>
                <w:szCs w:val="21"/>
              </w:rPr>
              <w:t>适用专业</w:t>
            </w:r>
          </w:p>
        </w:tc>
        <w:tc>
          <w:tcPr>
            <w:tcW w:w="3285" w:type="dxa"/>
            <w:tcBorders>
              <w:bottom w:val="single" w:color="auto" w:sz="4" w:space="0"/>
            </w:tcBorders>
          </w:tcPr>
          <w:p>
            <w:pPr>
              <w:widowControl/>
              <w:jc w:val="center"/>
              <w:rPr>
                <w:kern w:val="0"/>
                <w:szCs w:val="21"/>
              </w:rPr>
            </w:pPr>
            <w:r>
              <w:rPr>
                <w:kern w:val="0"/>
                <w:szCs w:val="21"/>
              </w:rPr>
              <w:t>电子信息工程</w:t>
            </w:r>
          </w:p>
        </w:tc>
        <w:tc>
          <w:tcPr>
            <w:tcW w:w="1143" w:type="dxa"/>
            <w:tcBorders>
              <w:bottom w:val="single" w:color="auto" w:sz="4" w:space="0"/>
            </w:tcBorders>
          </w:tcPr>
          <w:p>
            <w:pPr>
              <w:widowControl/>
              <w:jc w:val="center"/>
              <w:rPr>
                <w:bCs/>
                <w:kern w:val="0"/>
                <w:szCs w:val="21"/>
              </w:rPr>
            </w:pPr>
            <w:r>
              <w:rPr>
                <w:bCs/>
                <w:kern w:val="0"/>
                <w:szCs w:val="21"/>
              </w:rPr>
              <w:t>适用对象</w:t>
            </w:r>
          </w:p>
        </w:tc>
        <w:tc>
          <w:tcPr>
            <w:tcW w:w="2572" w:type="dxa"/>
            <w:tcBorders>
              <w:bottom w:val="single" w:color="auto" w:sz="4" w:space="0"/>
            </w:tcBorders>
          </w:tcPr>
          <w:p>
            <w:pPr>
              <w:widowControl/>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286" w:type="dxa"/>
            <w:tcBorders>
              <w:top w:val="single" w:color="auto" w:sz="4" w:space="0"/>
              <w:bottom w:val="single" w:color="auto" w:sz="4" w:space="0"/>
            </w:tcBorders>
          </w:tcPr>
          <w:p>
            <w:pPr>
              <w:jc w:val="center"/>
              <w:rPr>
                <w:b/>
                <w:kern w:val="0"/>
                <w:szCs w:val="21"/>
              </w:rPr>
            </w:pPr>
            <w:r>
              <w:rPr>
                <w:kern w:val="0"/>
                <w:szCs w:val="21"/>
              </w:rPr>
              <w:t>先修课程</w:t>
            </w:r>
          </w:p>
        </w:tc>
        <w:tc>
          <w:tcPr>
            <w:tcW w:w="3285" w:type="dxa"/>
            <w:tcBorders>
              <w:top w:val="single" w:color="auto" w:sz="4" w:space="0"/>
              <w:bottom w:val="single" w:color="auto" w:sz="4" w:space="0"/>
            </w:tcBorders>
            <w:vAlign w:val="center"/>
          </w:tcPr>
          <w:p>
            <w:pPr>
              <w:widowControl/>
              <w:jc w:val="center"/>
              <w:rPr>
                <w:bCs/>
                <w:kern w:val="0"/>
                <w:szCs w:val="21"/>
              </w:rPr>
            </w:pPr>
            <w:r>
              <w:rPr>
                <w:szCs w:val="21"/>
              </w:rPr>
              <w:t>《电磁场与电磁波》、《Matlab语言与应用》和《数字图像处理》</w:t>
            </w:r>
          </w:p>
        </w:tc>
        <w:tc>
          <w:tcPr>
            <w:tcW w:w="1143" w:type="dxa"/>
            <w:tcBorders>
              <w:top w:val="single" w:color="auto" w:sz="4" w:space="0"/>
              <w:bottom w:val="single" w:color="auto" w:sz="4" w:space="0"/>
            </w:tcBorders>
          </w:tcPr>
          <w:p>
            <w:pPr>
              <w:snapToGrid w:val="0"/>
              <w:jc w:val="center"/>
              <w:rPr>
                <w:b/>
                <w:kern w:val="0"/>
                <w:szCs w:val="21"/>
              </w:rPr>
            </w:pPr>
            <w:r>
              <w:rPr>
                <w:kern w:val="0"/>
                <w:szCs w:val="21"/>
              </w:rPr>
              <w:t>同修课程</w:t>
            </w:r>
          </w:p>
        </w:tc>
        <w:tc>
          <w:tcPr>
            <w:tcW w:w="2572" w:type="dxa"/>
            <w:tcBorders>
              <w:top w:val="single" w:color="auto" w:sz="4" w:space="0"/>
              <w:bottom w:val="single" w:color="auto" w:sz="4" w:space="0"/>
            </w:tcBorders>
          </w:tcPr>
          <w:p>
            <w:pPr>
              <w:widowControl/>
              <w:jc w:val="center"/>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286" w:type="dxa"/>
            <w:tcBorders>
              <w:top w:val="single" w:color="auto" w:sz="4" w:space="0"/>
            </w:tcBorders>
          </w:tcPr>
          <w:p>
            <w:pPr>
              <w:jc w:val="center"/>
              <w:rPr>
                <w:kern w:val="0"/>
                <w:szCs w:val="21"/>
              </w:rPr>
            </w:pPr>
            <w:r>
              <w:rPr>
                <w:kern w:val="0"/>
                <w:szCs w:val="21"/>
              </w:rPr>
              <w:t>排斥课程</w:t>
            </w:r>
          </w:p>
        </w:tc>
        <w:tc>
          <w:tcPr>
            <w:tcW w:w="3285" w:type="dxa"/>
            <w:tcBorders>
              <w:top w:val="single" w:color="auto" w:sz="4" w:space="0"/>
            </w:tcBorders>
          </w:tcPr>
          <w:p>
            <w:pPr>
              <w:widowControl/>
              <w:jc w:val="center"/>
              <w:rPr>
                <w:kern w:val="0"/>
                <w:szCs w:val="21"/>
              </w:rPr>
            </w:pPr>
            <w:r>
              <w:rPr>
                <w:kern w:val="0"/>
                <w:szCs w:val="21"/>
              </w:rPr>
              <w:t>无</w:t>
            </w:r>
          </w:p>
        </w:tc>
        <w:tc>
          <w:tcPr>
            <w:tcW w:w="1143" w:type="dxa"/>
            <w:tcBorders>
              <w:top w:val="single" w:color="auto" w:sz="4" w:space="0"/>
            </w:tcBorders>
          </w:tcPr>
          <w:p>
            <w:pPr>
              <w:snapToGrid w:val="0"/>
              <w:jc w:val="center"/>
              <w:rPr>
                <w:kern w:val="0"/>
                <w:szCs w:val="21"/>
              </w:rPr>
            </w:pPr>
            <w:r>
              <w:rPr>
                <w:kern w:val="0"/>
                <w:szCs w:val="21"/>
              </w:rPr>
              <w:t>定稿日期</w:t>
            </w:r>
          </w:p>
        </w:tc>
        <w:tc>
          <w:tcPr>
            <w:tcW w:w="2572" w:type="dxa"/>
            <w:tcBorders>
              <w:top w:val="single" w:color="auto" w:sz="4" w:space="0"/>
            </w:tcBorders>
          </w:tcPr>
          <w:p>
            <w:pPr>
              <w:widowControl/>
              <w:jc w:val="center"/>
              <w:rPr>
                <w:kern w:val="0"/>
                <w:szCs w:val="21"/>
              </w:rPr>
            </w:pPr>
            <w:r>
              <w:rPr>
                <w:rFonts w:hint="eastAsia"/>
                <w:kern w:val="0"/>
                <w:szCs w:val="21"/>
              </w:rPr>
              <w:t>2022.5.10</w:t>
            </w:r>
          </w:p>
        </w:tc>
      </w:tr>
    </w:tbl>
    <w:p>
      <w:pPr>
        <w:snapToGrid w:val="0"/>
        <w:ind w:firstLine="480"/>
        <w:rPr>
          <w:szCs w:val="21"/>
        </w:rPr>
      </w:pPr>
      <w:r>
        <w:rPr>
          <w:kern w:val="0"/>
          <w:szCs w:val="20"/>
        </w:rPr>
        <w:t>*</w:t>
      </w:r>
      <w:r>
        <w:rPr>
          <w:rFonts w:hint="eastAsia"/>
          <w:sz w:val="18"/>
          <w:szCs w:val="18"/>
          <w:lang w:bidi="ar"/>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color w:val="FF0000"/>
          <w:szCs w:val="21"/>
        </w:rPr>
      </w:pPr>
      <w:r>
        <w:rPr>
          <w:rFonts w:hint="eastAsia"/>
          <w:szCs w:val="21"/>
        </w:rPr>
        <w:t>《海洋遥感与电子技术》属电子信息工程专业本科生专业任选课，先修课程为《电磁场与电磁波》、《Matlab语言与应用》和《数字图像处理》等。作为海洋大学的信息类专业，贯彻落实学校的办学方针，凸显学校的海洋特色，开设海洋遥感与电子技术课程是非常必要的。本课程主要讲授海洋遥感基础、海洋遥感卫星与传感器、海洋参数的遥感反演、海洋遥感数字图像处理技术等方面的知识，最后对广东海洋大学海洋遥感与电子技术实验室作简单介绍，使学生了解高新技术在海洋领域的应用。</w:t>
      </w:r>
    </w:p>
    <w:p>
      <w:pPr>
        <w:snapToGrid w:val="0"/>
        <w:spacing w:before="156" w:beforeLines="50" w:after="156" w:afterLines="50" w:line="300" w:lineRule="auto"/>
        <w:rPr>
          <w:b/>
          <w:sz w:val="24"/>
        </w:rPr>
      </w:pPr>
      <w:r>
        <w:rPr>
          <w:b/>
          <w:sz w:val="24"/>
        </w:rPr>
        <w:t>二、课程教学目标</w:t>
      </w:r>
    </w:p>
    <w:p>
      <w:pPr>
        <w:pStyle w:val="20"/>
        <w:snapToGrid w:val="0"/>
        <w:spacing w:before="0" w:beforeAutospacing="0" w:after="0" w:afterAutospacing="0" w:line="300" w:lineRule="auto"/>
        <w:ind w:firstLine="420" w:firstLineChars="200"/>
        <w:jc w:val="both"/>
        <w:rPr>
          <w:rFonts w:ascii="Times New Roman" w:hAnsi="Times New Roman"/>
          <w:sz w:val="21"/>
          <w:szCs w:val="21"/>
        </w:rPr>
      </w:pPr>
      <w:r>
        <w:rPr>
          <w:rFonts w:hint="eastAsia" w:ascii="Times New Roman" w:hAnsi="Times New Roman"/>
          <w:sz w:val="21"/>
          <w:szCs w:val="21"/>
        </w:rPr>
        <w:t>通过本课程的学习，使学生了解海洋遥感的基本概念，实现海洋遥感的方法和手段，海洋参数的遥感反演方法、以及遥感数字图像处理的基本原理和方法。同时了解利用遥感技术监测海洋的基本知识和方法，以及信息技术在遥感技术中的作用。为从事与海洋遥感与电子技术的研究和应用打下一个坚实的基础。同时也为学生将来从事遥感与电子相关工作打下必备的专业理论基础及掌握必要的专业基本知识和技能。在讲授过程中通过介绍在海洋遥感探测领域有杰出贡献的科学家的科研经历以及我国在海洋遥感领域取得的突破性成就来激励学生的创新创造意识，使学生的学习能力提升的同时，精神层面也得到升华。本具体课程教学目标如下：</w:t>
      </w:r>
    </w:p>
    <w:p>
      <w:pPr>
        <w:adjustRightInd w:val="0"/>
        <w:snapToGrid w:val="0"/>
        <w:spacing w:line="300" w:lineRule="auto"/>
        <w:ind w:firstLine="420" w:firstLineChars="200"/>
        <w:rPr>
          <w:szCs w:val="21"/>
        </w:rPr>
      </w:pPr>
      <w:r>
        <w:rPr>
          <w:rFonts w:hint="eastAsia"/>
          <w:szCs w:val="21"/>
        </w:rPr>
        <w:t>1、基础知识目标：了解海洋遥感的基本概念、实现海洋遥感的方法和手段，海洋参数的遥感反演方法等基本知识；为学生将来从事遥感与电子相关工作打下必备的专业理论基础。[1.3]</w:t>
      </w:r>
    </w:p>
    <w:p>
      <w:pPr>
        <w:adjustRightInd w:val="0"/>
        <w:snapToGrid w:val="0"/>
        <w:spacing w:line="300" w:lineRule="auto"/>
        <w:ind w:firstLine="420" w:firstLineChars="200"/>
        <w:rPr>
          <w:szCs w:val="21"/>
        </w:rPr>
      </w:pPr>
      <w:r>
        <w:rPr>
          <w:rFonts w:hint="eastAsia"/>
          <w:szCs w:val="21"/>
        </w:rPr>
        <w:t>2、分析、解决问题能力：了解利用遥感技术监测海洋的基本知识和方法，以及信息技术在遥感技术中的作用；运用Matlab软件编程实现对遥感数据的读取，并进行简单的画图分析。[2.</w:t>
      </w:r>
      <w:r>
        <w:rPr>
          <w:szCs w:val="21"/>
        </w:rPr>
        <w:t>2</w:t>
      </w:r>
      <w:r>
        <w:rPr>
          <w:rFonts w:hint="eastAsia"/>
          <w:szCs w:val="21"/>
        </w:rPr>
        <w:t>]</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color w:val="FF0000"/>
          <w:sz w:val="18"/>
          <w:szCs w:val="18"/>
        </w:rPr>
      </w:pPr>
      <w:r>
        <w:rPr>
          <w:b/>
          <w:kern w:val="0"/>
          <w:sz w:val="18"/>
          <w:szCs w:val="18"/>
        </w:rPr>
        <w:t>表1 毕业要求指标点实现矩阵</w:t>
      </w:r>
    </w:p>
    <w:tbl>
      <w:tblPr>
        <w:tblStyle w:val="22"/>
        <w:tblW w:w="7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587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40" w:type="dxa"/>
            <w:vAlign w:val="center"/>
          </w:tcPr>
          <w:p>
            <w:pPr>
              <w:snapToGrid w:val="0"/>
              <w:spacing w:line="300" w:lineRule="auto"/>
              <w:rPr>
                <w:b/>
                <w:bCs/>
                <w:color w:val="000000"/>
                <w:sz w:val="18"/>
                <w:szCs w:val="18"/>
              </w:rPr>
            </w:pPr>
            <w:r>
              <w:rPr>
                <w:b/>
                <w:bCs/>
                <w:color w:val="000000"/>
                <w:sz w:val="18"/>
                <w:szCs w:val="18"/>
              </w:rPr>
              <w:t>毕业要求</w:t>
            </w:r>
          </w:p>
        </w:tc>
        <w:tc>
          <w:tcPr>
            <w:tcW w:w="5870" w:type="dxa"/>
            <w:vAlign w:val="center"/>
          </w:tcPr>
          <w:p>
            <w:pPr>
              <w:snapToGrid w:val="0"/>
              <w:spacing w:line="300" w:lineRule="auto"/>
              <w:jc w:val="center"/>
              <w:rPr>
                <w:b/>
                <w:bCs/>
                <w:color w:val="000000"/>
                <w:sz w:val="18"/>
                <w:szCs w:val="18"/>
              </w:rPr>
            </w:pPr>
            <w:r>
              <w:rPr>
                <w:b/>
                <w:bCs/>
                <w:color w:val="000000"/>
                <w:sz w:val="18"/>
                <w:szCs w:val="18"/>
              </w:rPr>
              <w:t>毕业要求指标点</w:t>
            </w:r>
          </w:p>
        </w:tc>
        <w:tc>
          <w:tcPr>
            <w:tcW w:w="659" w:type="dxa"/>
            <w:vAlign w:val="center"/>
          </w:tcPr>
          <w:p>
            <w:pPr>
              <w:snapToGrid w:val="0"/>
              <w:spacing w:line="300" w:lineRule="auto"/>
              <w:jc w:val="left"/>
              <w:rPr>
                <w:b/>
                <w:bCs/>
                <w:color w:val="000000"/>
                <w:sz w:val="18"/>
                <w:szCs w:val="18"/>
              </w:rPr>
            </w:pPr>
            <w:r>
              <w:rPr>
                <w:b/>
                <w:bCs/>
                <w:color w:val="00000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0" w:type="dxa"/>
            <w:vAlign w:val="center"/>
          </w:tcPr>
          <w:p>
            <w:pPr>
              <w:widowControl/>
              <w:jc w:val="left"/>
              <w:rPr>
                <w:sz w:val="18"/>
                <w:szCs w:val="18"/>
              </w:rPr>
            </w:pPr>
            <w:r>
              <w:rPr>
                <w:color w:val="000000"/>
                <w:sz w:val="18"/>
                <w:szCs w:val="18"/>
              </w:rPr>
              <w:t>1.工程知识</w:t>
            </w:r>
          </w:p>
        </w:tc>
        <w:tc>
          <w:tcPr>
            <w:tcW w:w="5870" w:type="dxa"/>
            <w:vAlign w:val="center"/>
          </w:tcPr>
          <w:p>
            <w:pPr>
              <w:widowControl/>
              <w:jc w:val="left"/>
              <w:rPr>
                <w:sz w:val="18"/>
                <w:szCs w:val="18"/>
              </w:rPr>
            </w:pPr>
            <w:r>
              <w:rPr>
                <w:sz w:val="18"/>
                <w:szCs w:val="18"/>
              </w:rPr>
              <w:t>1</w:t>
            </w:r>
            <w:r>
              <w:rPr>
                <w:rFonts w:hint="eastAsia"/>
                <w:sz w:val="18"/>
                <w:szCs w:val="18"/>
              </w:rPr>
              <w:t>.</w:t>
            </w:r>
            <w:r>
              <w:rPr>
                <w:sz w:val="18"/>
                <w:szCs w:val="18"/>
              </w:rPr>
              <w:t>3综合运用数学、自然科学、工程基础和专业知识，用于电子信息工程领域复杂工程问题（含海洋电子信息领域）的建模和求解及解决方案的评价。</w:t>
            </w:r>
          </w:p>
        </w:tc>
        <w:tc>
          <w:tcPr>
            <w:tcW w:w="659" w:type="dxa"/>
            <w:vAlign w:val="center"/>
          </w:tcPr>
          <w:p>
            <w:pPr>
              <w:widowControl/>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40" w:type="dxa"/>
            <w:vAlign w:val="center"/>
          </w:tcPr>
          <w:p>
            <w:pPr>
              <w:widowControl/>
              <w:rPr>
                <w:sz w:val="18"/>
                <w:szCs w:val="18"/>
              </w:rPr>
            </w:pPr>
            <w:r>
              <w:rPr>
                <w:color w:val="000000"/>
                <w:sz w:val="18"/>
                <w:szCs w:val="18"/>
              </w:rPr>
              <w:t>2.问题分析</w:t>
            </w:r>
          </w:p>
        </w:tc>
        <w:tc>
          <w:tcPr>
            <w:tcW w:w="5870" w:type="dxa"/>
            <w:vAlign w:val="center"/>
          </w:tcPr>
          <w:p>
            <w:pPr>
              <w:widowControl/>
              <w:jc w:val="left"/>
              <w:rPr>
                <w:sz w:val="18"/>
                <w:szCs w:val="18"/>
              </w:rPr>
            </w:pPr>
            <w:r>
              <w:rPr>
                <w:rFonts w:hint="eastAsia"/>
                <w:sz w:val="18"/>
                <w:szCs w:val="18"/>
              </w:rPr>
              <w:t>2.</w:t>
            </w:r>
            <w:r>
              <w:rPr>
                <w:sz w:val="18"/>
                <w:szCs w:val="18"/>
              </w:rPr>
              <w:t>2</w:t>
            </w:r>
            <w:r>
              <w:rPr>
                <w:rFonts w:hint="eastAsia"/>
                <w:sz w:val="18"/>
                <w:szCs w:val="18"/>
              </w:rPr>
              <w:t>能运用电子信息工程专业基本原理和方法，综合考虑多种影响因素，分析电子信息工程（含海洋电子信息）领域复杂工程问题，选择和优化问题的解决方案。</w:t>
            </w:r>
          </w:p>
        </w:tc>
        <w:tc>
          <w:tcPr>
            <w:tcW w:w="659" w:type="dxa"/>
            <w:vAlign w:val="center"/>
          </w:tcPr>
          <w:p>
            <w:pPr>
              <w:widowControl/>
              <w:jc w:val="center"/>
              <w:rPr>
                <w:sz w:val="18"/>
                <w:szCs w:val="18"/>
              </w:rPr>
            </w:pPr>
            <w:r>
              <w:rPr>
                <w:sz w:val="18"/>
                <w:szCs w:val="18"/>
              </w:rPr>
              <w:t>2</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color w:val="333333"/>
          <w:sz w:val="18"/>
          <w:szCs w:val="18"/>
          <w:shd w:val="clear" w:color="auto" w:fill="FEFEFF"/>
        </w:rPr>
      </w:pPr>
      <w:r>
        <w:rPr>
          <w:b/>
          <w:bCs/>
          <w:color w:val="333333"/>
          <w:sz w:val="18"/>
          <w:szCs w:val="18"/>
          <w:shd w:val="clear" w:color="auto" w:fill="FEFEFF"/>
        </w:rPr>
        <w:t>表2 教学目标达成途径</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2288"/>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达成途径</w:t>
            </w:r>
          </w:p>
        </w:tc>
        <w:tc>
          <w:tcPr>
            <w:tcW w:w="171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color w:val="000000"/>
                <w:sz w:val="18"/>
                <w:szCs w:val="18"/>
              </w:rPr>
            </w:pPr>
            <w:r>
              <w:rPr>
                <w:b/>
                <w:color w:val="00000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color w:val="333333"/>
                <w:sz w:val="18"/>
                <w:szCs w:val="18"/>
                <w:shd w:val="clear" w:color="auto" w:fill="FEFEFF"/>
              </w:rPr>
            </w:pPr>
            <w:r>
              <w:rPr>
                <w:sz w:val="18"/>
                <w:szCs w:val="18"/>
                <w:shd w:val="clear" w:color="auto" w:fill="FFFFFF"/>
              </w:rPr>
              <w:t>1、基础知识目标：</w:t>
            </w:r>
            <w:r>
              <w:rPr>
                <w:rFonts w:hint="eastAsia"/>
                <w:szCs w:val="21"/>
              </w:rPr>
              <w:t>了解海洋遥感的基本概念、实现海洋遥感的方法和手段，海洋参数的遥感反演方法等基本知识；为学生将来从事遥感与电子相关工作打下必备的专业理论基础</w:t>
            </w:r>
            <w:r>
              <w:rPr>
                <w:rFonts w:hint="eastAsia"/>
                <w:sz w:val="18"/>
                <w:szCs w:val="18"/>
                <w:shd w:val="clear" w:color="auto" w:fill="FFFFFF"/>
              </w:rPr>
              <w:t>。</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课堂讲授、指定阅读、网络学习</w:t>
            </w:r>
            <w:r>
              <w:rPr>
                <w:rFonts w:hint="eastAsia"/>
                <w:sz w:val="18"/>
                <w:szCs w:val="18"/>
              </w:rPr>
              <w:t>、专题研讨</w:t>
            </w:r>
            <w:r>
              <w:rPr>
                <w:sz w:val="18"/>
                <w:szCs w:val="18"/>
              </w:rPr>
              <w:t>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color w:val="333333"/>
                <w:sz w:val="18"/>
                <w:szCs w:val="18"/>
                <w:shd w:val="clear" w:color="auto" w:fill="FEFEFF"/>
              </w:rPr>
            </w:pPr>
            <w:r>
              <w:rPr>
                <w:bCs/>
                <w:color w:val="000000"/>
                <w:sz w:val="18"/>
                <w:szCs w:val="18"/>
              </w:rPr>
              <w:t>抽查提问、课程论文、期末考试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color w:val="333333"/>
                <w:sz w:val="18"/>
                <w:szCs w:val="18"/>
                <w:shd w:val="clear" w:color="auto" w:fill="FEFEFF"/>
              </w:rPr>
            </w:pPr>
            <w:r>
              <w:rPr>
                <w:sz w:val="18"/>
                <w:szCs w:val="18"/>
                <w:shd w:val="clear" w:color="auto" w:fill="FFFFFF"/>
              </w:rPr>
              <w:t>2、分析、解决问题能力：</w:t>
            </w:r>
            <w:r>
              <w:rPr>
                <w:rFonts w:hint="eastAsia"/>
                <w:szCs w:val="21"/>
              </w:rPr>
              <w:t>了解利用遥感技术监测海洋的基本知识和方法，以及信息技术在遥感技术中的作用；运用Matlab软件编程实现对遥感数据的读取，并进行简单的画图分析。</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color w:val="333333"/>
                <w:sz w:val="18"/>
                <w:szCs w:val="18"/>
                <w:shd w:val="clear" w:color="auto" w:fill="FEFEFF"/>
              </w:rPr>
            </w:pPr>
            <w:r>
              <w:rPr>
                <w:sz w:val="18"/>
                <w:szCs w:val="18"/>
              </w:rPr>
              <w:t>课堂讲授、指定阅读、网络学习</w:t>
            </w:r>
            <w:r>
              <w:rPr>
                <w:rFonts w:hint="eastAsia"/>
                <w:sz w:val="18"/>
                <w:szCs w:val="18"/>
              </w:rPr>
              <w:t>、小组讨论、遥感实验室参观、上机编程</w:t>
            </w:r>
            <w:r>
              <w:rPr>
                <w:sz w:val="18"/>
                <w:szCs w:val="18"/>
              </w:rPr>
              <w:t>等</w:t>
            </w: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color w:val="333333"/>
                <w:sz w:val="18"/>
                <w:szCs w:val="18"/>
                <w:shd w:val="clear" w:color="auto" w:fill="FEFEFF"/>
              </w:rPr>
            </w:pPr>
            <w:r>
              <w:rPr>
                <w:bCs/>
                <w:color w:val="000000"/>
                <w:sz w:val="18"/>
                <w:szCs w:val="18"/>
              </w:rPr>
              <w:t>抽查提问、课程论文、</w:t>
            </w:r>
            <w:r>
              <w:rPr>
                <w:rFonts w:hint="eastAsia"/>
                <w:bCs/>
                <w:color w:val="000000"/>
                <w:sz w:val="18"/>
                <w:szCs w:val="18"/>
              </w:rPr>
              <w:t>实验验收、实验报告、</w:t>
            </w:r>
            <w:r>
              <w:rPr>
                <w:bCs/>
                <w:color w:val="000000"/>
                <w:sz w:val="18"/>
                <w:szCs w:val="18"/>
              </w:rPr>
              <w:t>期末考试</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rPr>
          <w:szCs w:val="21"/>
        </w:rPr>
      </w:pPr>
      <w:r>
        <w:rPr>
          <w:rFonts w:hint="eastAsia"/>
          <w:szCs w:val="21"/>
        </w:rPr>
        <w:t>该课程涉及知识点繁多，并且随着科技的进步和发展，相关知识领域更新速度很快；因此该课程除了以课堂讲授为主外，还鼓励学生通过网络学习，丰富和拓宽知识面，并以课堂讨论和课程论文的形式来进行考核。</w:t>
      </w:r>
    </w:p>
    <w:p>
      <w:pPr>
        <w:adjustRightInd w:val="0"/>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969"/>
        <w:gridCol w:w="4078"/>
        <w:gridCol w:w="702"/>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63"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969" w:type="dxa"/>
            <w:vAlign w:val="center"/>
          </w:tcPr>
          <w:p>
            <w:pPr>
              <w:snapToGrid w:val="0"/>
              <w:spacing w:line="300" w:lineRule="auto"/>
              <w:ind w:firstLine="361" w:firstLineChars="200"/>
              <w:rPr>
                <w:b/>
                <w:bCs/>
                <w:sz w:val="18"/>
                <w:szCs w:val="18"/>
              </w:rPr>
            </w:pPr>
            <w:r>
              <w:rPr>
                <w:b/>
                <w:bCs/>
                <w:sz w:val="18"/>
                <w:szCs w:val="18"/>
              </w:rPr>
              <w:t>教学内容</w:t>
            </w:r>
          </w:p>
        </w:tc>
        <w:tc>
          <w:tcPr>
            <w:tcW w:w="4078"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02" w:type="dxa"/>
            <w:vAlign w:val="center"/>
          </w:tcPr>
          <w:p>
            <w:pPr>
              <w:snapToGrid w:val="0"/>
              <w:spacing w:line="300" w:lineRule="auto"/>
              <w:jc w:val="center"/>
              <w:rPr>
                <w:b/>
                <w:bCs/>
                <w:sz w:val="18"/>
                <w:szCs w:val="18"/>
              </w:rPr>
            </w:pPr>
            <w:r>
              <w:rPr>
                <w:b/>
                <w:bCs/>
                <w:sz w:val="18"/>
                <w:szCs w:val="18"/>
              </w:rPr>
              <w:t>学时</w:t>
            </w:r>
          </w:p>
        </w:tc>
        <w:tc>
          <w:tcPr>
            <w:tcW w:w="984"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3" w:type="dxa"/>
            <w:tcMar>
              <w:left w:w="57" w:type="dxa"/>
              <w:right w:w="57" w:type="dxa"/>
            </w:tcMar>
            <w:vAlign w:val="center"/>
          </w:tcPr>
          <w:p>
            <w:pPr>
              <w:widowControl/>
              <w:jc w:val="center"/>
              <w:rPr>
                <w:sz w:val="18"/>
                <w:szCs w:val="18"/>
              </w:rPr>
            </w:pPr>
            <w:r>
              <w:rPr>
                <w:kern w:val="0"/>
                <w:sz w:val="18"/>
                <w:szCs w:val="18"/>
              </w:rPr>
              <w:t>1</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第一章 遥感及海洋遥感概述</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 xml:space="preserve">1.1 遥感技术概述                   </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1.2 海洋遥感的意义</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1.3 海洋遥感的概念</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1.4 海洋遥感的特点</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1.5 海洋遥感的应用与发展</w:t>
            </w:r>
          </w:p>
        </w:tc>
        <w:tc>
          <w:tcPr>
            <w:tcW w:w="4078" w:type="dxa"/>
            <w:vAlign w:val="center"/>
          </w:tcPr>
          <w:p>
            <w:pPr>
              <w:widowControl/>
              <w:ind w:right="-31" w:rightChars="-15"/>
              <w:rPr>
                <w:kern w:val="0"/>
                <w:sz w:val="18"/>
                <w:szCs w:val="18"/>
              </w:rPr>
            </w:pPr>
            <w:r>
              <w:rPr>
                <w:kern w:val="0"/>
                <w:sz w:val="18"/>
                <w:szCs w:val="18"/>
              </w:rPr>
              <w:t>1、目标及要求：</w:t>
            </w:r>
          </w:p>
          <w:p>
            <w:pPr>
              <w:ind w:right="-31" w:rightChars="-15"/>
              <w:rPr>
                <w:sz w:val="18"/>
                <w:szCs w:val="18"/>
              </w:rPr>
            </w:pPr>
            <w:r>
              <w:rPr>
                <w:rFonts w:hint="eastAsia"/>
                <w:sz w:val="18"/>
                <w:szCs w:val="18"/>
              </w:rPr>
              <w:t>1）了解遥感的概念、遥感技术系统、遥感的分类及遥感的应用。</w:t>
            </w:r>
          </w:p>
          <w:p>
            <w:pPr>
              <w:ind w:right="-31" w:rightChars="-15"/>
              <w:rPr>
                <w:sz w:val="18"/>
                <w:szCs w:val="18"/>
              </w:rPr>
            </w:pPr>
            <w:r>
              <w:rPr>
                <w:rFonts w:hint="eastAsia"/>
                <w:sz w:val="18"/>
                <w:szCs w:val="18"/>
              </w:rPr>
              <w:t>2）理解海洋遥感的概念、海洋遥感的意义以及海洋遥感的特点。</w:t>
            </w:r>
          </w:p>
          <w:p>
            <w:pPr>
              <w:ind w:right="-31" w:rightChars="-15"/>
              <w:rPr>
                <w:sz w:val="18"/>
                <w:szCs w:val="18"/>
              </w:rPr>
            </w:pPr>
            <w:r>
              <w:rPr>
                <w:rFonts w:hint="eastAsia"/>
                <w:sz w:val="18"/>
                <w:szCs w:val="18"/>
              </w:rPr>
              <w:t>3）了解海洋遥感的发展阶段及海洋遥感的应用。</w:t>
            </w:r>
          </w:p>
          <w:p>
            <w:pPr>
              <w:ind w:right="-31" w:rightChars="-15"/>
              <w:rPr>
                <w:sz w:val="18"/>
                <w:szCs w:val="18"/>
              </w:rPr>
            </w:pPr>
            <w:r>
              <w:rPr>
                <w:sz w:val="18"/>
                <w:szCs w:val="18"/>
              </w:rPr>
              <w:t>2、作业内容：</w:t>
            </w:r>
            <w:r>
              <w:rPr>
                <w:rFonts w:hint="eastAsia"/>
                <w:sz w:val="18"/>
                <w:szCs w:val="18"/>
              </w:rPr>
              <w:t>提交课程论文，详述海洋遥感的在某一领域的具体应用和发展</w:t>
            </w:r>
          </w:p>
          <w:p>
            <w:pPr>
              <w:ind w:right="-31" w:rightChars="-15"/>
              <w:rPr>
                <w:sz w:val="18"/>
                <w:szCs w:val="18"/>
              </w:rPr>
            </w:pPr>
            <w:r>
              <w:rPr>
                <w:sz w:val="18"/>
                <w:szCs w:val="18"/>
              </w:rPr>
              <w:t>讨论内容：</w:t>
            </w:r>
            <w:r>
              <w:rPr>
                <w:rFonts w:hint="eastAsia"/>
                <w:sz w:val="18"/>
                <w:szCs w:val="18"/>
              </w:rPr>
              <w:t>国内外海洋遥感领域最新研究进展</w:t>
            </w:r>
          </w:p>
          <w:p>
            <w:pPr>
              <w:ind w:right="-31" w:rightChars="-15"/>
              <w:rPr>
                <w:sz w:val="18"/>
                <w:szCs w:val="18"/>
              </w:rPr>
            </w:pPr>
            <w:r>
              <w:rPr>
                <w:sz w:val="18"/>
                <w:szCs w:val="18"/>
              </w:rPr>
              <w:t>4、自学拓展：</w:t>
            </w:r>
            <w:r>
              <w:rPr>
                <w:rFonts w:hint="eastAsia"/>
                <w:sz w:val="18"/>
                <w:szCs w:val="18"/>
              </w:rPr>
              <w:t>搜集资料，了解海洋遥感的具体应用</w:t>
            </w:r>
          </w:p>
        </w:tc>
        <w:tc>
          <w:tcPr>
            <w:tcW w:w="702" w:type="dxa"/>
            <w:vAlign w:val="center"/>
          </w:tcPr>
          <w:p>
            <w:pPr>
              <w:widowControl/>
              <w:jc w:val="center"/>
              <w:rPr>
                <w:sz w:val="18"/>
                <w:szCs w:val="18"/>
              </w:rPr>
            </w:pPr>
            <w:r>
              <w:rPr>
                <w:kern w:val="0"/>
                <w:sz w:val="18"/>
                <w:szCs w:val="18"/>
              </w:rPr>
              <w:t>4</w:t>
            </w:r>
          </w:p>
        </w:tc>
        <w:tc>
          <w:tcPr>
            <w:tcW w:w="984" w:type="dxa"/>
            <w:vAlign w:val="center"/>
          </w:tcPr>
          <w:p>
            <w:pPr>
              <w:widowControl/>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tcMar>
              <w:left w:w="57" w:type="dxa"/>
              <w:right w:w="57" w:type="dxa"/>
            </w:tcMar>
            <w:vAlign w:val="center"/>
          </w:tcPr>
          <w:p>
            <w:pPr>
              <w:widowControl/>
              <w:jc w:val="center"/>
              <w:rPr>
                <w:sz w:val="18"/>
                <w:szCs w:val="18"/>
              </w:rPr>
            </w:pPr>
            <w:r>
              <w:rPr>
                <w:kern w:val="0"/>
                <w:sz w:val="18"/>
                <w:szCs w:val="18"/>
              </w:rPr>
              <w:t>2</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第二章 海洋遥感基础</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 xml:space="preserve">2.1遥感的电磁辐射基础  </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2.2海洋遥感原理与基础</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2.3光学处理技术在海洋探测、监测中的应用</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rPr>
                <w:sz w:val="18"/>
                <w:szCs w:val="18"/>
              </w:rPr>
            </w:pPr>
            <w:r>
              <w:rPr>
                <w:rFonts w:hint="eastAsia"/>
                <w:sz w:val="18"/>
                <w:szCs w:val="18"/>
              </w:rPr>
              <w:t>1）了解电磁场与电磁波的反射特性和散射特性、电磁波谱与电磁辐射、太阳辐射及大气对辐射的影响。</w:t>
            </w:r>
          </w:p>
          <w:p>
            <w:pPr>
              <w:rPr>
                <w:sz w:val="18"/>
                <w:szCs w:val="18"/>
              </w:rPr>
            </w:pPr>
            <w:r>
              <w:rPr>
                <w:rFonts w:hint="eastAsia"/>
                <w:sz w:val="18"/>
                <w:szCs w:val="18"/>
              </w:rPr>
              <w:t>2）了解海洋学上的一些专用名词以及海洋遥感中常用的基本概念。</w:t>
            </w:r>
            <w:r>
              <w:rPr>
                <w:rFonts w:hint="eastAsia"/>
                <w:sz w:val="18"/>
                <w:szCs w:val="18"/>
              </w:rPr>
              <w:br w:type="textWrapping"/>
            </w:r>
            <w:r>
              <w:rPr>
                <w:rFonts w:hint="eastAsia"/>
                <w:sz w:val="18"/>
                <w:szCs w:val="18"/>
              </w:rPr>
              <w:t>3）掌握可见光与近红外(VIS-NIR)（反射）波段与海水的相互作用机制、热红外波段(TIR)与海水的相互作用机制。</w:t>
            </w:r>
            <w:r>
              <w:rPr>
                <w:rFonts w:hint="eastAsia"/>
                <w:sz w:val="18"/>
                <w:szCs w:val="18"/>
              </w:rPr>
              <w:br w:type="textWrapping"/>
            </w:r>
            <w:r>
              <w:rPr>
                <w:rFonts w:hint="eastAsia"/>
                <w:sz w:val="18"/>
                <w:szCs w:val="18"/>
              </w:rPr>
              <w:t>4）掌握正常海水的反射波谱特征，以及不同因素对海水反射波谱特征的影响。</w:t>
            </w:r>
          </w:p>
          <w:p>
            <w:pPr>
              <w:rPr>
                <w:sz w:val="18"/>
                <w:szCs w:val="18"/>
              </w:rPr>
            </w:pPr>
            <w:r>
              <w:rPr>
                <w:rFonts w:hint="eastAsia"/>
                <w:sz w:val="18"/>
                <w:szCs w:val="18"/>
              </w:rPr>
              <w:t>5）了解固有光学量的定义、固有光学量的测量、固有光学特性的研究内容。</w:t>
            </w:r>
          </w:p>
          <w:p>
            <w:pPr>
              <w:rPr>
                <w:sz w:val="18"/>
                <w:szCs w:val="18"/>
              </w:rPr>
            </w:pPr>
            <w:r>
              <w:rPr>
                <w:rFonts w:hint="eastAsia"/>
                <w:sz w:val="18"/>
                <w:szCs w:val="18"/>
              </w:rPr>
              <w:t>6）了解摄影成像和扫描成像相关概念。</w:t>
            </w:r>
            <w:r>
              <w:rPr>
                <w:rFonts w:hint="eastAsia"/>
                <w:sz w:val="18"/>
                <w:szCs w:val="18"/>
              </w:rPr>
              <w:br w:type="textWrapping"/>
            </w:r>
            <w:r>
              <w:rPr>
                <w:rFonts w:hint="eastAsia"/>
                <w:sz w:val="18"/>
                <w:szCs w:val="18"/>
              </w:rPr>
              <w:t>7）掌握微波遥感的特点及微波遥感方式和传感器。</w:t>
            </w:r>
            <w:r>
              <w:rPr>
                <w:rFonts w:hint="eastAsia"/>
                <w:sz w:val="18"/>
                <w:szCs w:val="18"/>
              </w:rPr>
              <w:br w:type="textWrapping"/>
            </w:r>
            <w:r>
              <w:rPr>
                <w:rFonts w:hint="eastAsia"/>
                <w:sz w:val="18"/>
                <w:szCs w:val="18"/>
              </w:rPr>
              <w:t>8）了解激光声遥感技术的探测原理，了解</w:t>
            </w:r>
            <w:r>
              <w:rPr>
                <w:sz w:val="18"/>
                <w:szCs w:val="18"/>
              </w:rPr>
              <w:t>激光雷达在海洋监测中的应用</w:t>
            </w:r>
            <w:r>
              <w:rPr>
                <w:rFonts w:hint="eastAsia"/>
                <w:sz w:val="18"/>
                <w:szCs w:val="18"/>
              </w:rPr>
              <w:t>。</w:t>
            </w:r>
          </w:p>
          <w:p>
            <w:pPr>
              <w:ind w:right="-31" w:rightChars="-15"/>
              <w:rPr>
                <w:sz w:val="18"/>
                <w:szCs w:val="18"/>
              </w:rPr>
            </w:pPr>
            <w:r>
              <w:rPr>
                <w:sz w:val="18"/>
                <w:szCs w:val="18"/>
              </w:rPr>
              <w:t>2、作业内容：</w:t>
            </w:r>
            <w:r>
              <w:rPr>
                <w:rFonts w:hint="eastAsia"/>
                <w:sz w:val="18"/>
                <w:szCs w:val="18"/>
              </w:rPr>
              <w:t>无</w:t>
            </w:r>
          </w:p>
          <w:p>
            <w:pPr>
              <w:ind w:right="-31" w:rightChars="-15"/>
              <w:rPr>
                <w:sz w:val="18"/>
                <w:szCs w:val="18"/>
              </w:rPr>
            </w:pPr>
            <w:r>
              <w:rPr>
                <w:sz w:val="18"/>
                <w:szCs w:val="18"/>
              </w:rPr>
              <w:t>3、讨论内容：</w:t>
            </w:r>
            <w:r>
              <w:rPr>
                <w:rFonts w:hint="eastAsia"/>
                <w:sz w:val="18"/>
                <w:szCs w:val="18"/>
              </w:rPr>
              <w:t>无</w:t>
            </w:r>
          </w:p>
          <w:p>
            <w:pPr>
              <w:ind w:right="-31" w:rightChars="-15"/>
              <w:rPr>
                <w:sz w:val="18"/>
                <w:szCs w:val="18"/>
              </w:rPr>
            </w:pPr>
            <w:r>
              <w:rPr>
                <w:sz w:val="18"/>
                <w:szCs w:val="18"/>
              </w:rPr>
              <w:t>4、自学拓展：查阅与海洋遥感理论相关的研究论文</w:t>
            </w:r>
          </w:p>
        </w:tc>
        <w:tc>
          <w:tcPr>
            <w:tcW w:w="702" w:type="dxa"/>
            <w:vAlign w:val="center"/>
          </w:tcPr>
          <w:p>
            <w:pPr>
              <w:widowControl/>
              <w:jc w:val="center"/>
              <w:rPr>
                <w:sz w:val="18"/>
                <w:szCs w:val="18"/>
              </w:rPr>
            </w:pPr>
            <w:r>
              <w:rPr>
                <w:rFonts w:hint="eastAsia"/>
                <w:kern w:val="0"/>
                <w:sz w:val="18"/>
                <w:szCs w:val="18"/>
              </w:rPr>
              <w:t>6</w:t>
            </w:r>
          </w:p>
        </w:tc>
        <w:tc>
          <w:tcPr>
            <w:tcW w:w="984" w:type="dxa"/>
            <w:vAlign w:val="center"/>
          </w:tcPr>
          <w:p>
            <w:pPr>
              <w:widowControl/>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63" w:type="dxa"/>
            <w:tcMar>
              <w:left w:w="57" w:type="dxa"/>
              <w:right w:w="57" w:type="dxa"/>
            </w:tcMar>
            <w:vAlign w:val="center"/>
          </w:tcPr>
          <w:p>
            <w:pPr>
              <w:widowControl/>
              <w:jc w:val="center"/>
              <w:rPr>
                <w:sz w:val="18"/>
                <w:szCs w:val="18"/>
              </w:rPr>
            </w:pPr>
            <w:r>
              <w:rPr>
                <w:kern w:val="0"/>
                <w:sz w:val="18"/>
                <w:szCs w:val="18"/>
              </w:rPr>
              <w:t>3</w:t>
            </w:r>
          </w:p>
        </w:tc>
        <w:tc>
          <w:tcPr>
            <w:tcW w:w="1969" w:type="dxa"/>
            <w:vAlign w:val="center"/>
          </w:tcPr>
          <w:p>
            <w:pPr>
              <w:pStyle w:val="20"/>
              <w:numPr>
                <w:ilvl w:val="0"/>
                <w:numId w:val="78"/>
              </w:numPr>
              <w:shd w:val="clear" w:color="auto" w:fill="FFFFFF"/>
              <w:spacing w:before="0" w:beforeAutospacing="0" w:after="0" w:afterAutospacing="0"/>
              <w:ind w:left="720" w:hanging="720"/>
              <w:rPr>
                <w:rFonts w:ascii="Times New Roman" w:hAnsi="Times New Roman"/>
                <w:sz w:val="18"/>
                <w:szCs w:val="18"/>
              </w:rPr>
            </w:pPr>
            <w:r>
              <w:rPr>
                <w:rFonts w:ascii="Times New Roman" w:hAnsi="Times New Roman"/>
                <w:sz w:val="18"/>
                <w:szCs w:val="18"/>
              </w:rPr>
              <w:t>海洋遥感卫星与传感器</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3.1海洋遥感卫星</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3.2海洋遥感传感器</w:t>
            </w:r>
          </w:p>
          <w:p>
            <w:pPr>
              <w:pStyle w:val="20"/>
              <w:shd w:val="clear" w:color="auto" w:fill="FFFFFF"/>
              <w:spacing w:before="0" w:beforeAutospacing="0" w:after="0" w:afterAutospacing="0"/>
              <w:rPr>
                <w:rFonts w:ascii="Times New Roman" w:hAnsi="Times New Roman"/>
                <w:sz w:val="18"/>
                <w:szCs w:val="18"/>
              </w:rPr>
            </w:pP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rPr>
                <w:sz w:val="18"/>
                <w:szCs w:val="18"/>
              </w:rPr>
            </w:pPr>
            <w:r>
              <w:rPr>
                <w:rFonts w:hint="eastAsia"/>
                <w:sz w:val="18"/>
                <w:szCs w:val="18"/>
              </w:rPr>
              <w:t>1）了解国外几颗典型的海遥感卫星的相关轨道参数和搭载的传感器等。</w:t>
            </w:r>
          </w:p>
          <w:p>
            <w:pPr>
              <w:rPr>
                <w:sz w:val="18"/>
                <w:szCs w:val="18"/>
              </w:rPr>
            </w:pPr>
            <w:r>
              <w:rPr>
                <w:rFonts w:hint="eastAsia"/>
                <w:sz w:val="18"/>
                <w:szCs w:val="18"/>
              </w:rPr>
              <w:t>2）掌握我国海洋遥感卫星的种类和特点。</w:t>
            </w:r>
          </w:p>
          <w:p>
            <w:pPr>
              <w:rPr>
                <w:sz w:val="18"/>
                <w:szCs w:val="18"/>
              </w:rPr>
            </w:pPr>
            <w:r>
              <w:rPr>
                <w:rFonts w:hint="eastAsia"/>
                <w:sz w:val="18"/>
                <w:szCs w:val="18"/>
              </w:rPr>
              <w:t>3）了解几种典型的光学传感器的参数和用途。</w:t>
            </w:r>
          </w:p>
          <w:p>
            <w:pPr>
              <w:rPr>
                <w:sz w:val="18"/>
                <w:szCs w:val="18"/>
              </w:rPr>
            </w:pPr>
            <w:r>
              <w:rPr>
                <w:rFonts w:hint="eastAsia"/>
                <w:sz w:val="18"/>
                <w:szCs w:val="18"/>
              </w:rPr>
              <w:t>4）了解几种典型的微波传感器的参数和用途。</w:t>
            </w:r>
          </w:p>
          <w:p>
            <w:pPr>
              <w:ind w:right="-31" w:rightChars="-15"/>
              <w:rPr>
                <w:sz w:val="18"/>
                <w:szCs w:val="18"/>
              </w:rPr>
            </w:pPr>
            <w:r>
              <w:rPr>
                <w:sz w:val="18"/>
                <w:szCs w:val="18"/>
              </w:rPr>
              <w:t>2、作业内容：</w:t>
            </w:r>
            <w:r>
              <w:rPr>
                <w:rFonts w:hint="eastAsia"/>
                <w:sz w:val="18"/>
                <w:szCs w:val="18"/>
              </w:rPr>
              <w:t>提交课程论文，综述海洋遥感卫星发展历程与趋势展望</w:t>
            </w:r>
          </w:p>
          <w:p>
            <w:pPr>
              <w:ind w:right="-31" w:rightChars="-15"/>
              <w:rPr>
                <w:sz w:val="18"/>
                <w:szCs w:val="18"/>
              </w:rPr>
            </w:pPr>
            <w:r>
              <w:rPr>
                <w:sz w:val="18"/>
                <w:szCs w:val="18"/>
              </w:rPr>
              <w:t>3、讨论内容：</w:t>
            </w:r>
            <w:r>
              <w:rPr>
                <w:rFonts w:hint="eastAsia"/>
                <w:sz w:val="18"/>
                <w:szCs w:val="18"/>
              </w:rPr>
              <w:t>海洋遥感卫星的发展趋势展望</w:t>
            </w:r>
          </w:p>
          <w:p>
            <w:pPr>
              <w:ind w:right="-31" w:rightChars="-15"/>
              <w:rPr>
                <w:sz w:val="18"/>
                <w:szCs w:val="18"/>
              </w:rPr>
            </w:pPr>
            <w:r>
              <w:rPr>
                <w:sz w:val="18"/>
                <w:szCs w:val="18"/>
              </w:rPr>
              <w:t>4、自学拓展：查阅与国内外海洋遥感卫星相关资料；</w:t>
            </w:r>
          </w:p>
        </w:tc>
        <w:tc>
          <w:tcPr>
            <w:tcW w:w="702" w:type="dxa"/>
            <w:vAlign w:val="center"/>
          </w:tcPr>
          <w:p>
            <w:pPr>
              <w:widowControl/>
              <w:jc w:val="center"/>
              <w:rPr>
                <w:sz w:val="18"/>
                <w:szCs w:val="18"/>
              </w:rPr>
            </w:pPr>
            <w:r>
              <w:rPr>
                <w:rFonts w:hint="eastAsia"/>
                <w:kern w:val="0"/>
                <w:sz w:val="18"/>
                <w:szCs w:val="18"/>
              </w:rPr>
              <w:t>6</w:t>
            </w:r>
          </w:p>
        </w:tc>
        <w:tc>
          <w:tcPr>
            <w:tcW w:w="984" w:type="dxa"/>
            <w:vAlign w:val="center"/>
          </w:tcPr>
          <w:p>
            <w:pPr>
              <w:widowControl/>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63" w:type="dxa"/>
            <w:tcMar>
              <w:left w:w="57" w:type="dxa"/>
              <w:right w:w="57" w:type="dxa"/>
            </w:tcMar>
            <w:vAlign w:val="center"/>
          </w:tcPr>
          <w:p>
            <w:pPr>
              <w:widowControl/>
              <w:jc w:val="center"/>
              <w:rPr>
                <w:sz w:val="18"/>
                <w:szCs w:val="18"/>
              </w:rPr>
            </w:pPr>
            <w:r>
              <w:rPr>
                <w:kern w:val="0"/>
                <w:sz w:val="18"/>
                <w:szCs w:val="18"/>
              </w:rPr>
              <w:t>4</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第四章 海洋参数的遥感反演</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4.1海洋表面温度遥感</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4.2海洋水色遥感</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4.3海面风场遥感</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4.4卫星海洋盐度测量</w:t>
            </w: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rPr>
                <w:rFonts w:ascii="宋体" w:hAnsi="宋体" w:cs="宋体"/>
                <w:sz w:val="18"/>
                <w:szCs w:val="18"/>
              </w:rPr>
            </w:pPr>
            <w:r>
              <w:rPr>
                <w:rFonts w:hint="eastAsia" w:ascii="宋体" w:hAnsi="宋体" w:cs="宋体"/>
                <w:sz w:val="18"/>
                <w:szCs w:val="18"/>
              </w:rPr>
              <w:t>1）掌握海洋表面温度遥感的方法和各自优缺点；</w:t>
            </w:r>
          </w:p>
          <w:p>
            <w:pPr>
              <w:rPr>
                <w:rFonts w:ascii="宋体" w:hAnsi="宋体" w:cs="宋体"/>
                <w:sz w:val="18"/>
                <w:szCs w:val="18"/>
              </w:rPr>
            </w:pPr>
            <w:r>
              <w:rPr>
                <w:rFonts w:hint="eastAsia" w:ascii="宋体" w:hAnsi="宋体" w:cs="宋体"/>
                <w:sz w:val="18"/>
                <w:szCs w:val="18"/>
              </w:rPr>
              <w:t>2）理解海洋水色遥感机理，了解海洋水色要素浓度反演的方法，了解赤潮现象的遥感监测与反演。</w:t>
            </w:r>
          </w:p>
          <w:p>
            <w:pPr>
              <w:rPr>
                <w:rFonts w:ascii="宋体" w:hAnsi="宋体" w:cs="宋体"/>
                <w:sz w:val="18"/>
                <w:szCs w:val="18"/>
              </w:rPr>
            </w:pPr>
            <w:r>
              <w:rPr>
                <w:rFonts w:hint="eastAsia" w:ascii="宋体" w:hAnsi="宋体" w:cs="宋体"/>
                <w:sz w:val="18"/>
                <w:szCs w:val="18"/>
              </w:rPr>
              <w:t>3）理解海面风场遥感机理。</w:t>
            </w:r>
          </w:p>
          <w:p>
            <w:pPr>
              <w:rPr>
                <w:sz w:val="18"/>
                <w:szCs w:val="18"/>
              </w:rPr>
            </w:pPr>
            <w:r>
              <w:rPr>
                <w:rFonts w:hint="eastAsia" w:ascii="宋体" w:hAnsi="宋体" w:cs="宋体"/>
                <w:sz w:val="18"/>
                <w:szCs w:val="18"/>
              </w:rPr>
              <w:t>4）理解卫星海洋盐度测量原理。</w:t>
            </w:r>
            <w:r>
              <w:rPr>
                <w:sz w:val="18"/>
                <w:szCs w:val="18"/>
              </w:rPr>
              <w:tab/>
            </w:r>
          </w:p>
          <w:p>
            <w:pPr>
              <w:ind w:right="-31" w:rightChars="-15"/>
              <w:rPr>
                <w:sz w:val="18"/>
                <w:szCs w:val="18"/>
              </w:rPr>
            </w:pPr>
            <w:r>
              <w:rPr>
                <w:sz w:val="18"/>
                <w:szCs w:val="18"/>
              </w:rPr>
              <w:t>2、作业内容：</w:t>
            </w:r>
            <w:r>
              <w:rPr>
                <w:rFonts w:hint="eastAsia"/>
                <w:sz w:val="18"/>
                <w:szCs w:val="18"/>
              </w:rPr>
              <w:t>提交课程论文，浅谈某一种海洋遥感参数的反演算法或模型</w:t>
            </w:r>
          </w:p>
          <w:p>
            <w:pPr>
              <w:ind w:right="-31" w:rightChars="-15"/>
              <w:rPr>
                <w:sz w:val="18"/>
                <w:szCs w:val="18"/>
              </w:rPr>
            </w:pPr>
            <w:r>
              <w:rPr>
                <w:sz w:val="18"/>
                <w:szCs w:val="18"/>
              </w:rPr>
              <w:t>3、讨论内容：</w:t>
            </w:r>
            <w:r>
              <w:rPr>
                <w:rFonts w:hint="eastAsia"/>
                <w:sz w:val="18"/>
                <w:szCs w:val="18"/>
              </w:rPr>
              <w:t>无</w:t>
            </w:r>
          </w:p>
          <w:p>
            <w:pPr>
              <w:ind w:right="-31" w:rightChars="-15"/>
              <w:rPr>
                <w:sz w:val="18"/>
                <w:szCs w:val="18"/>
              </w:rPr>
            </w:pPr>
            <w:r>
              <w:rPr>
                <w:sz w:val="18"/>
                <w:szCs w:val="18"/>
              </w:rPr>
              <w:t>4、自学拓展：</w:t>
            </w:r>
            <w:r>
              <w:rPr>
                <w:rFonts w:hint="eastAsia"/>
                <w:sz w:val="18"/>
                <w:szCs w:val="18"/>
              </w:rPr>
              <w:t>查阅资料，了解最新的关于海洋参数遥感反演算法或模型</w:t>
            </w:r>
            <w:r>
              <w:rPr>
                <w:sz w:val="18"/>
                <w:szCs w:val="18"/>
              </w:rPr>
              <w:t>；</w:t>
            </w:r>
          </w:p>
        </w:tc>
        <w:tc>
          <w:tcPr>
            <w:tcW w:w="702" w:type="dxa"/>
            <w:vAlign w:val="center"/>
          </w:tcPr>
          <w:p>
            <w:pPr>
              <w:widowControl/>
              <w:jc w:val="center"/>
              <w:rPr>
                <w:sz w:val="18"/>
                <w:szCs w:val="18"/>
              </w:rPr>
            </w:pPr>
            <w:r>
              <w:rPr>
                <w:rFonts w:hint="eastAsia"/>
                <w:kern w:val="0"/>
                <w:sz w:val="18"/>
                <w:szCs w:val="18"/>
              </w:rPr>
              <w:t>6</w:t>
            </w:r>
          </w:p>
        </w:tc>
        <w:tc>
          <w:tcPr>
            <w:tcW w:w="984" w:type="dxa"/>
            <w:vAlign w:val="center"/>
          </w:tcPr>
          <w:p>
            <w:pPr>
              <w:widowControl/>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3" w:type="dxa"/>
            <w:tcMar>
              <w:left w:w="57" w:type="dxa"/>
              <w:right w:w="57" w:type="dxa"/>
            </w:tcMar>
            <w:vAlign w:val="center"/>
          </w:tcPr>
          <w:p>
            <w:pPr>
              <w:widowControl/>
              <w:jc w:val="center"/>
              <w:rPr>
                <w:sz w:val="18"/>
                <w:szCs w:val="18"/>
              </w:rPr>
            </w:pPr>
            <w:r>
              <w:rPr>
                <w:kern w:val="0"/>
                <w:sz w:val="18"/>
                <w:szCs w:val="18"/>
              </w:rPr>
              <w:t>5</w:t>
            </w:r>
          </w:p>
        </w:tc>
        <w:tc>
          <w:tcPr>
            <w:tcW w:w="1969" w:type="dxa"/>
            <w:vAlign w:val="center"/>
          </w:tcPr>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第五章 海洋遥感图像处理技术</w:t>
            </w:r>
            <w:r>
              <w:rPr>
                <w:rFonts w:ascii="Times New Roman" w:hAnsi="Times New Roman"/>
                <w:sz w:val="18"/>
                <w:szCs w:val="18"/>
              </w:rPr>
              <w:br w:type="textWrapping"/>
            </w:r>
            <w:r>
              <w:rPr>
                <w:rFonts w:ascii="Times New Roman" w:hAnsi="Times New Roman"/>
                <w:sz w:val="18"/>
                <w:szCs w:val="18"/>
              </w:rPr>
              <w:t>5.1 遥感图像的光学处理技术</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5.2 数字图像的校正、增强</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5.3 多源信息复合</w:t>
            </w:r>
          </w:p>
          <w:p>
            <w:pPr>
              <w:pStyle w:val="20"/>
              <w:shd w:val="clear" w:color="auto" w:fill="FFFFFF"/>
              <w:spacing w:before="0" w:beforeAutospacing="0" w:after="0" w:afterAutospacing="0"/>
              <w:rPr>
                <w:rFonts w:ascii="Times New Roman" w:hAnsi="Times New Roman"/>
                <w:sz w:val="18"/>
                <w:szCs w:val="18"/>
              </w:rPr>
            </w:pPr>
            <w:r>
              <w:rPr>
                <w:rFonts w:ascii="Times New Roman" w:hAnsi="Times New Roman"/>
                <w:sz w:val="18"/>
                <w:szCs w:val="18"/>
              </w:rPr>
              <w:t>5.4 遥感数字图像的计算机解译</w:t>
            </w:r>
          </w:p>
          <w:p>
            <w:pPr>
              <w:pStyle w:val="20"/>
              <w:shd w:val="clear" w:color="auto" w:fill="FFFFFF"/>
              <w:spacing w:before="0" w:beforeAutospacing="0" w:after="0" w:afterAutospacing="0"/>
              <w:rPr>
                <w:rFonts w:ascii="Times New Roman" w:hAnsi="Times New Roman"/>
                <w:sz w:val="18"/>
                <w:szCs w:val="18"/>
              </w:rPr>
            </w:pPr>
          </w:p>
        </w:tc>
        <w:tc>
          <w:tcPr>
            <w:tcW w:w="4078" w:type="dxa"/>
            <w:vAlign w:val="center"/>
          </w:tcPr>
          <w:p>
            <w:pPr>
              <w:widowControl/>
              <w:tabs>
                <w:tab w:val="left" w:pos="426"/>
                <w:tab w:val="left" w:pos="5245"/>
                <w:tab w:val="left" w:pos="5387"/>
              </w:tabs>
              <w:rPr>
                <w:kern w:val="0"/>
                <w:sz w:val="18"/>
                <w:szCs w:val="18"/>
              </w:rPr>
            </w:pPr>
            <w:r>
              <w:rPr>
                <w:kern w:val="0"/>
                <w:sz w:val="18"/>
                <w:szCs w:val="18"/>
              </w:rPr>
              <w:t>1、目标及要求：</w:t>
            </w:r>
          </w:p>
          <w:p>
            <w:pPr>
              <w:rPr>
                <w:sz w:val="18"/>
                <w:szCs w:val="18"/>
              </w:rPr>
            </w:pPr>
            <w:r>
              <w:rPr>
                <w:sz w:val="18"/>
                <w:szCs w:val="18"/>
              </w:rPr>
              <w:t>1</w:t>
            </w:r>
            <w:r>
              <w:rPr>
                <w:rFonts w:hint="eastAsia"/>
                <w:sz w:val="18"/>
                <w:szCs w:val="18"/>
              </w:rPr>
              <w:t>）</w:t>
            </w:r>
            <w:r>
              <w:rPr>
                <w:sz w:val="18"/>
                <w:szCs w:val="18"/>
              </w:rPr>
              <w:t>了解遥感图像的光学处理技术。</w:t>
            </w:r>
            <w:r>
              <w:rPr>
                <w:sz w:val="18"/>
                <w:szCs w:val="18"/>
              </w:rPr>
              <w:br w:type="textWrapping"/>
            </w:r>
            <w:r>
              <w:rPr>
                <w:sz w:val="18"/>
                <w:szCs w:val="18"/>
              </w:rPr>
              <w:t>2</w:t>
            </w:r>
            <w:r>
              <w:rPr>
                <w:rFonts w:hint="eastAsia"/>
                <w:sz w:val="18"/>
                <w:szCs w:val="18"/>
              </w:rPr>
              <w:t>）</w:t>
            </w:r>
            <w:r>
              <w:rPr>
                <w:sz w:val="18"/>
                <w:szCs w:val="18"/>
              </w:rPr>
              <w:t>掌握数字图像的校正、增强方法。</w:t>
            </w:r>
            <w:r>
              <w:rPr>
                <w:sz w:val="18"/>
                <w:szCs w:val="18"/>
              </w:rPr>
              <w:br w:type="textWrapping"/>
            </w:r>
            <w:r>
              <w:rPr>
                <w:sz w:val="18"/>
                <w:szCs w:val="18"/>
              </w:rPr>
              <w:t>3</w:t>
            </w:r>
            <w:r>
              <w:rPr>
                <w:rFonts w:hint="eastAsia"/>
                <w:sz w:val="18"/>
                <w:szCs w:val="18"/>
              </w:rPr>
              <w:t>）</w:t>
            </w:r>
            <w:r>
              <w:rPr>
                <w:sz w:val="18"/>
                <w:szCs w:val="18"/>
              </w:rPr>
              <w:t>了解多源信息复合方法。</w:t>
            </w:r>
          </w:p>
          <w:p>
            <w:pPr>
              <w:rPr>
                <w:sz w:val="18"/>
                <w:szCs w:val="18"/>
              </w:rPr>
            </w:pPr>
            <w:r>
              <w:rPr>
                <w:sz w:val="18"/>
                <w:szCs w:val="18"/>
              </w:rPr>
              <w:t>4</w:t>
            </w:r>
            <w:r>
              <w:rPr>
                <w:rFonts w:hint="eastAsia"/>
                <w:sz w:val="18"/>
                <w:szCs w:val="18"/>
              </w:rPr>
              <w:t>）</w:t>
            </w:r>
            <w:r>
              <w:rPr>
                <w:sz w:val="18"/>
                <w:szCs w:val="18"/>
              </w:rPr>
              <w:t>掌握遥感数字图像性质与特点，了解遥感数字图像的分类原理和分类方法，了解遥感图像的多种特征的抽取，了解遥感图像专家解译系统的发展趋势。</w:t>
            </w:r>
          </w:p>
          <w:p>
            <w:pPr>
              <w:ind w:right="-31" w:rightChars="-15"/>
              <w:rPr>
                <w:sz w:val="18"/>
                <w:szCs w:val="18"/>
              </w:rPr>
            </w:pPr>
            <w:r>
              <w:rPr>
                <w:sz w:val="18"/>
                <w:szCs w:val="18"/>
              </w:rPr>
              <w:t>2、作业内容：</w:t>
            </w:r>
            <w:r>
              <w:rPr>
                <w:rFonts w:hint="eastAsia"/>
                <w:sz w:val="18"/>
                <w:szCs w:val="18"/>
              </w:rPr>
              <w:t>无</w:t>
            </w:r>
          </w:p>
          <w:p>
            <w:pPr>
              <w:ind w:right="-31" w:rightChars="-15"/>
              <w:rPr>
                <w:sz w:val="18"/>
                <w:szCs w:val="18"/>
              </w:rPr>
            </w:pPr>
            <w:r>
              <w:rPr>
                <w:sz w:val="18"/>
                <w:szCs w:val="18"/>
              </w:rPr>
              <w:t>3、讨论内容</w:t>
            </w:r>
            <w:r>
              <w:rPr>
                <w:rFonts w:hint="eastAsia"/>
                <w:sz w:val="18"/>
                <w:szCs w:val="18"/>
              </w:rPr>
              <w:t>：无</w:t>
            </w:r>
          </w:p>
          <w:p>
            <w:pPr>
              <w:ind w:right="-31" w:rightChars="-15"/>
              <w:rPr>
                <w:sz w:val="18"/>
                <w:szCs w:val="18"/>
              </w:rPr>
            </w:pPr>
            <w:r>
              <w:rPr>
                <w:sz w:val="18"/>
                <w:szCs w:val="18"/>
              </w:rPr>
              <w:t>4、自学拓展：</w:t>
            </w:r>
            <w:r>
              <w:rPr>
                <w:rFonts w:hint="eastAsia"/>
                <w:sz w:val="18"/>
                <w:szCs w:val="18"/>
              </w:rPr>
              <w:t>无</w:t>
            </w:r>
          </w:p>
        </w:tc>
        <w:tc>
          <w:tcPr>
            <w:tcW w:w="702" w:type="dxa"/>
            <w:vAlign w:val="center"/>
          </w:tcPr>
          <w:p>
            <w:pPr>
              <w:widowControl/>
              <w:jc w:val="center"/>
              <w:rPr>
                <w:sz w:val="18"/>
                <w:szCs w:val="18"/>
              </w:rPr>
            </w:pPr>
            <w:r>
              <w:rPr>
                <w:rFonts w:hint="eastAsia"/>
                <w:kern w:val="0"/>
                <w:sz w:val="18"/>
                <w:szCs w:val="18"/>
              </w:rPr>
              <w:t>6</w:t>
            </w:r>
          </w:p>
        </w:tc>
        <w:tc>
          <w:tcPr>
            <w:tcW w:w="984" w:type="dxa"/>
            <w:vAlign w:val="center"/>
          </w:tcPr>
          <w:p>
            <w:pPr>
              <w:widowControl/>
              <w:jc w:val="center"/>
              <w:rPr>
                <w:sz w:val="18"/>
                <w:szCs w:val="18"/>
              </w:rPr>
            </w:pPr>
            <w:r>
              <w:rPr>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73"/>
        <w:gridCol w:w="2370"/>
        <w:gridCol w:w="722"/>
        <w:gridCol w:w="723"/>
        <w:gridCol w:w="722"/>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1" w:type="dxa"/>
            <w:vAlign w:val="center"/>
          </w:tcPr>
          <w:p>
            <w:pPr>
              <w:snapToGrid w:val="0"/>
              <w:spacing w:line="300" w:lineRule="auto"/>
              <w:rPr>
                <w:b/>
                <w:bCs/>
                <w:color w:val="000000"/>
                <w:sz w:val="18"/>
                <w:szCs w:val="18"/>
              </w:rPr>
            </w:pPr>
            <w:r>
              <w:rPr>
                <w:b/>
                <w:bCs/>
                <w:kern w:val="0"/>
                <w:sz w:val="18"/>
                <w:szCs w:val="18"/>
              </w:rPr>
              <w:t>序号</w:t>
            </w:r>
          </w:p>
        </w:tc>
        <w:tc>
          <w:tcPr>
            <w:tcW w:w="1673" w:type="dxa"/>
            <w:vAlign w:val="center"/>
          </w:tcPr>
          <w:p>
            <w:pPr>
              <w:snapToGrid w:val="0"/>
              <w:spacing w:line="300" w:lineRule="auto"/>
              <w:jc w:val="center"/>
              <w:rPr>
                <w:b/>
                <w:bCs/>
                <w:color w:val="000000"/>
                <w:sz w:val="18"/>
                <w:szCs w:val="18"/>
              </w:rPr>
            </w:pPr>
            <w:r>
              <w:rPr>
                <w:b/>
                <w:bCs/>
                <w:kern w:val="0"/>
                <w:sz w:val="18"/>
                <w:szCs w:val="18"/>
              </w:rPr>
              <w:t>实验项目名称</w:t>
            </w:r>
          </w:p>
        </w:tc>
        <w:tc>
          <w:tcPr>
            <w:tcW w:w="2370" w:type="dxa"/>
            <w:vAlign w:val="center"/>
          </w:tcPr>
          <w:p>
            <w:pPr>
              <w:snapToGrid w:val="0"/>
              <w:spacing w:line="300" w:lineRule="auto"/>
              <w:jc w:val="center"/>
              <w:rPr>
                <w:b/>
                <w:bCs/>
                <w:color w:val="000000"/>
                <w:sz w:val="18"/>
                <w:szCs w:val="18"/>
              </w:rPr>
            </w:pPr>
            <w:r>
              <w:rPr>
                <w:b/>
                <w:bCs/>
                <w:kern w:val="0"/>
                <w:sz w:val="18"/>
                <w:szCs w:val="18"/>
              </w:rPr>
              <w:t>目的要求</w:t>
            </w:r>
          </w:p>
        </w:tc>
        <w:tc>
          <w:tcPr>
            <w:tcW w:w="722" w:type="dxa"/>
            <w:vAlign w:val="center"/>
          </w:tcPr>
          <w:p>
            <w:pPr>
              <w:snapToGrid w:val="0"/>
              <w:spacing w:line="300" w:lineRule="auto"/>
              <w:jc w:val="center"/>
              <w:rPr>
                <w:b/>
                <w:bCs/>
                <w:color w:val="000000"/>
                <w:sz w:val="18"/>
                <w:szCs w:val="18"/>
              </w:rPr>
            </w:pPr>
            <w:r>
              <w:rPr>
                <w:b/>
                <w:bCs/>
                <w:kern w:val="0"/>
                <w:sz w:val="18"/>
                <w:szCs w:val="18"/>
              </w:rPr>
              <w:t>学时分配</w:t>
            </w:r>
          </w:p>
        </w:tc>
        <w:tc>
          <w:tcPr>
            <w:tcW w:w="723" w:type="dxa"/>
            <w:vAlign w:val="center"/>
          </w:tcPr>
          <w:p>
            <w:pPr>
              <w:snapToGrid w:val="0"/>
              <w:spacing w:line="300" w:lineRule="auto"/>
              <w:jc w:val="center"/>
              <w:rPr>
                <w:b/>
                <w:bCs/>
                <w:kern w:val="0"/>
                <w:sz w:val="18"/>
                <w:szCs w:val="18"/>
              </w:rPr>
            </w:pPr>
            <w:r>
              <w:rPr>
                <w:b/>
                <w:bCs/>
                <w:kern w:val="0"/>
                <w:sz w:val="18"/>
                <w:szCs w:val="18"/>
              </w:rPr>
              <w:t>实验类型</w:t>
            </w:r>
          </w:p>
        </w:tc>
        <w:tc>
          <w:tcPr>
            <w:tcW w:w="722" w:type="dxa"/>
            <w:vAlign w:val="center"/>
          </w:tcPr>
          <w:p>
            <w:pPr>
              <w:snapToGrid w:val="0"/>
              <w:spacing w:line="300" w:lineRule="auto"/>
              <w:jc w:val="center"/>
              <w:rPr>
                <w:b/>
                <w:bCs/>
                <w:kern w:val="0"/>
                <w:sz w:val="18"/>
                <w:szCs w:val="18"/>
              </w:rPr>
            </w:pPr>
            <w:r>
              <w:rPr>
                <w:b/>
                <w:bCs/>
                <w:kern w:val="0"/>
                <w:sz w:val="18"/>
                <w:szCs w:val="18"/>
              </w:rPr>
              <w:t>每组人数</w:t>
            </w:r>
          </w:p>
        </w:tc>
        <w:tc>
          <w:tcPr>
            <w:tcW w:w="7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723" w:type="dxa"/>
            <w:vAlign w:val="center"/>
          </w:tcPr>
          <w:p>
            <w:pPr>
              <w:snapToGrid w:val="0"/>
              <w:spacing w:line="300" w:lineRule="auto"/>
              <w:jc w:val="left"/>
              <w:rPr>
                <w:b/>
                <w:bCs/>
                <w:kern w:val="0"/>
                <w:sz w:val="18"/>
                <w:szCs w:val="18"/>
              </w:rPr>
            </w:pPr>
            <w:r>
              <w:rPr>
                <w:rFonts w:hint="eastAsia"/>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681" w:type="dxa"/>
            <w:vAlign w:val="center"/>
          </w:tcPr>
          <w:p>
            <w:pPr>
              <w:pStyle w:val="8"/>
              <w:spacing w:after="0"/>
              <w:ind w:left="5250" w:right="-105" w:rightChars="-50"/>
              <w:jc w:val="center"/>
              <w:rPr>
                <w:sz w:val="18"/>
                <w:szCs w:val="18"/>
              </w:rPr>
            </w:pPr>
            <w:r>
              <w:rPr>
                <w:sz w:val="18"/>
                <w:szCs w:val="18"/>
              </w:rPr>
              <w:t>1</w:t>
            </w:r>
          </w:p>
        </w:tc>
        <w:tc>
          <w:tcPr>
            <w:tcW w:w="1673" w:type="dxa"/>
            <w:vAlign w:val="center"/>
          </w:tcPr>
          <w:p>
            <w:pPr>
              <w:rPr>
                <w:sz w:val="18"/>
                <w:szCs w:val="18"/>
              </w:rPr>
            </w:pPr>
            <w:r>
              <w:rPr>
                <w:sz w:val="18"/>
                <w:szCs w:val="18"/>
              </w:rPr>
              <w:t>海洋遥感平台介绍与参观</w:t>
            </w:r>
          </w:p>
        </w:tc>
        <w:tc>
          <w:tcPr>
            <w:tcW w:w="2370" w:type="dxa"/>
            <w:vAlign w:val="center"/>
          </w:tcPr>
          <w:p>
            <w:pPr>
              <w:tabs>
                <w:tab w:val="left" w:pos="232"/>
                <w:tab w:val="right" w:leader="dot" w:pos="9174"/>
              </w:tabs>
              <w:ind w:left="-105" w:leftChars="-50" w:firstLine="106" w:firstLineChars="59"/>
              <w:rPr>
                <w:sz w:val="18"/>
                <w:szCs w:val="18"/>
              </w:rPr>
            </w:pPr>
            <w:r>
              <w:rPr>
                <w:bCs/>
                <w:sz w:val="18"/>
                <w:szCs w:val="18"/>
              </w:rPr>
              <w:t>以广东海洋大学海洋遥感与电子技术实验室为例，介绍海洋遥感平台。</w:t>
            </w:r>
          </w:p>
        </w:tc>
        <w:tc>
          <w:tcPr>
            <w:tcW w:w="722" w:type="dxa"/>
          </w:tcPr>
          <w:p>
            <w:pPr>
              <w:jc w:val="center"/>
              <w:rPr>
                <w:sz w:val="18"/>
                <w:szCs w:val="18"/>
              </w:rPr>
            </w:pPr>
          </w:p>
          <w:p>
            <w:pPr>
              <w:jc w:val="center"/>
              <w:rPr>
                <w:sz w:val="18"/>
                <w:szCs w:val="18"/>
              </w:rPr>
            </w:pPr>
            <w:r>
              <w:rPr>
                <w:sz w:val="18"/>
                <w:szCs w:val="18"/>
              </w:rPr>
              <w:t>2</w:t>
            </w:r>
          </w:p>
        </w:tc>
        <w:tc>
          <w:tcPr>
            <w:tcW w:w="723" w:type="dxa"/>
          </w:tcPr>
          <w:p>
            <w:pPr>
              <w:jc w:val="center"/>
              <w:rPr>
                <w:sz w:val="18"/>
                <w:szCs w:val="18"/>
              </w:rPr>
            </w:pPr>
          </w:p>
          <w:p>
            <w:pPr>
              <w:jc w:val="center"/>
              <w:rPr>
                <w:sz w:val="18"/>
                <w:szCs w:val="18"/>
              </w:rPr>
            </w:pPr>
            <w:r>
              <w:rPr>
                <w:sz w:val="18"/>
                <w:szCs w:val="18"/>
              </w:rPr>
              <w:t>演示</w:t>
            </w:r>
          </w:p>
        </w:tc>
        <w:tc>
          <w:tcPr>
            <w:tcW w:w="722" w:type="dxa"/>
          </w:tcPr>
          <w:p>
            <w:pPr>
              <w:jc w:val="center"/>
              <w:rPr>
                <w:sz w:val="18"/>
                <w:szCs w:val="18"/>
              </w:rPr>
            </w:pPr>
          </w:p>
          <w:p>
            <w:pPr>
              <w:jc w:val="center"/>
              <w:rPr>
                <w:sz w:val="18"/>
                <w:szCs w:val="18"/>
              </w:rPr>
            </w:pPr>
            <w:r>
              <w:rPr>
                <w:sz w:val="18"/>
                <w:szCs w:val="18"/>
              </w:rPr>
              <w:t>1</w:t>
            </w:r>
          </w:p>
        </w:tc>
        <w:tc>
          <w:tcPr>
            <w:tcW w:w="723" w:type="dxa"/>
          </w:tcPr>
          <w:p>
            <w:pPr>
              <w:jc w:val="center"/>
              <w:rPr>
                <w:sz w:val="18"/>
                <w:szCs w:val="18"/>
              </w:rPr>
            </w:pPr>
          </w:p>
          <w:p>
            <w:pPr>
              <w:jc w:val="center"/>
              <w:rPr>
                <w:sz w:val="18"/>
                <w:szCs w:val="18"/>
              </w:rPr>
            </w:pPr>
            <w:r>
              <w:rPr>
                <w:sz w:val="18"/>
                <w:szCs w:val="18"/>
              </w:rPr>
              <w:t>必开</w:t>
            </w:r>
          </w:p>
        </w:tc>
        <w:tc>
          <w:tcPr>
            <w:tcW w:w="723" w:type="dxa"/>
            <w:vAlign w:val="center"/>
          </w:tcPr>
          <w:p>
            <w:pPr>
              <w:adjustRightInd w:val="0"/>
              <w:snapToGrid w:val="0"/>
              <w:ind w:right="-105" w:rightChars="-50" w:firstLine="180" w:firstLineChars="100"/>
              <w:rPr>
                <w:color w:val="FF0000"/>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81" w:type="dxa"/>
            <w:vAlign w:val="center"/>
          </w:tcPr>
          <w:p>
            <w:pPr>
              <w:pStyle w:val="8"/>
              <w:spacing w:after="0"/>
              <w:ind w:left="-105" w:leftChars="-50" w:right="-105" w:rightChars="-50"/>
              <w:jc w:val="center"/>
              <w:rPr>
                <w:sz w:val="18"/>
                <w:szCs w:val="18"/>
              </w:rPr>
            </w:pPr>
            <w:r>
              <w:rPr>
                <w:sz w:val="18"/>
                <w:szCs w:val="18"/>
              </w:rPr>
              <w:t>2</w:t>
            </w:r>
          </w:p>
        </w:tc>
        <w:tc>
          <w:tcPr>
            <w:tcW w:w="1673" w:type="dxa"/>
            <w:vAlign w:val="center"/>
          </w:tcPr>
          <w:p>
            <w:pPr>
              <w:rPr>
                <w:sz w:val="18"/>
                <w:szCs w:val="18"/>
              </w:rPr>
            </w:pPr>
            <w:r>
              <w:rPr>
                <w:bCs/>
                <w:sz w:val="18"/>
                <w:szCs w:val="18"/>
              </w:rPr>
              <w:t>利用Matlab读取并显示遥感L3A数据</w:t>
            </w:r>
          </w:p>
        </w:tc>
        <w:tc>
          <w:tcPr>
            <w:tcW w:w="2370" w:type="dxa"/>
            <w:vAlign w:val="center"/>
          </w:tcPr>
          <w:p>
            <w:pPr>
              <w:tabs>
                <w:tab w:val="left" w:pos="232"/>
              </w:tabs>
              <w:ind w:firstLine="16" w:firstLineChars="9"/>
              <w:rPr>
                <w:sz w:val="18"/>
                <w:szCs w:val="18"/>
              </w:rPr>
            </w:pPr>
            <w:r>
              <w:rPr>
                <w:sz w:val="18"/>
                <w:szCs w:val="18"/>
              </w:rPr>
              <w:t>了解遥感L3A产品数据；运用MATLAB读取遥感L3A数据，并显示。</w:t>
            </w:r>
          </w:p>
        </w:tc>
        <w:tc>
          <w:tcPr>
            <w:tcW w:w="722" w:type="dxa"/>
          </w:tcPr>
          <w:p>
            <w:pPr>
              <w:jc w:val="center"/>
              <w:rPr>
                <w:sz w:val="18"/>
                <w:szCs w:val="18"/>
              </w:rPr>
            </w:pPr>
          </w:p>
          <w:p>
            <w:pPr>
              <w:jc w:val="center"/>
              <w:rPr>
                <w:sz w:val="18"/>
                <w:szCs w:val="18"/>
              </w:rPr>
            </w:pPr>
            <w:r>
              <w:rPr>
                <w:sz w:val="18"/>
                <w:szCs w:val="18"/>
              </w:rPr>
              <w:t>2</w:t>
            </w:r>
          </w:p>
        </w:tc>
        <w:tc>
          <w:tcPr>
            <w:tcW w:w="723" w:type="dxa"/>
          </w:tcPr>
          <w:p>
            <w:pPr>
              <w:jc w:val="center"/>
              <w:rPr>
                <w:sz w:val="18"/>
                <w:szCs w:val="18"/>
              </w:rPr>
            </w:pPr>
            <w:r>
              <w:rPr>
                <w:sz w:val="18"/>
                <w:szCs w:val="18"/>
              </w:rPr>
              <w:t>验证与设计性</w:t>
            </w:r>
          </w:p>
        </w:tc>
        <w:tc>
          <w:tcPr>
            <w:tcW w:w="722" w:type="dxa"/>
          </w:tcPr>
          <w:p>
            <w:pPr>
              <w:jc w:val="center"/>
              <w:rPr>
                <w:sz w:val="18"/>
                <w:szCs w:val="18"/>
              </w:rPr>
            </w:pPr>
          </w:p>
          <w:p>
            <w:pPr>
              <w:jc w:val="center"/>
              <w:rPr>
                <w:sz w:val="18"/>
                <w:szCs w:val="18"/>
              </w:rPr>
            </w:pPr>
            <w:r>
              <w:rPr>
                <w:sz w:val="18"/>
                <w:szCs w:val="18"/>
              </w:rPr>
              <w:t>1</w:t>
            </w:r>
          </w:p>
        </w:tc>
        <w:tc>
          <w:tcPr>
            <w:tcW w:w="723" w:type="dxa"/>
          </w:tcPr>
          <w:p>
            <w:pPr>
              <w:jc w:val="center"/>
              <w:rPr>
                <w:sz w:val="18"/>
                <w:szCs w:val="18"/>
              </w:rPr>
            </w:pPr>
          </w:p>
          <w:p>
            <w:pPr>
              <w:jc w:val="center"/>
              <w:rPr>
                <w:sz w:val="18"/>
                <w:szCs w:val="18"/>
              </w:rPr>
            </w:pPr>
            <w:r>
              <w:rPr>
                <w:sz w:val="18"/>
                <w:szCs w:val="18"/>
              </w:rPr>
              <w:t>必开</w:t>
            </w:r>
          </w:p>
        </w:tc>
        <w:tc>
          <w:tcPr>
            <w:tcW w:w="723" w:type="dxa"/>
            <w:vAlign w:val="center"/>
          </w:tcPr>
          <w:p>
            <w:pPr>
              <w:adjustRightInd w:val="0"/>
              <w:snapToGrid w:val="0"/>
              <w:ind w:right="-105" w:rightChars="-50" w:firstLine="180" w:firstLineChars="100"/>
              <w:rPr>
                <w:color w:val="FF0000"/>
                <w:sz w:val="18"/>
                <w:szCs w:val="18"/>
              </w:rPr>
            </w:pPr>
            <w:r>
              <w:rPr>
                <w:sz w:val="18"/>
                <w:szCs w:val="18"/>
              </w:rPr>
              <w:t>2</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rPr>
          <w:rFonts w:hint="eastAsia"/>
        </w:rPr>
        <w:t>1.考核方式：采取开卷笔试和平时成绩（包括课堂表现、课程报告及实验）相结合，最后60分以上为合格</w:t>
      </w:r>
    </w:p>
    <w:p>
      <w:pPr>
        <w:adjustRightInd w:val="0"/>
        <w:snapToGrid w:val="0"/>
        <w:spacing w:line="300" w:lineRule="auto"/>
        <w:ind w:firstLine="420" w:firstLineChars="200"/>
      </w:pPr>
      <w:r>
        <w:rPr>
          <w:rFonts w:hint="eastAsia"/>
        </w:rPr>
        <w:t>2.成绩构成：平时成绩40%+期末成绩60 %。</w:t>
      </w:r>
    </w:p>
    <w:p>
      <w:pPr>
        <w:adjustRightInd w:val="0"/>
        <w:snapToGrid w:val="0"/>
        <w:spacing w:line="300" w:lineRule="auto"/>
        <w:ind w:firstLine="420" w:firstLineChars="200"/>
      </w:pPr>
      <w:r>
        <w:rPr>
          <w:rFonts w:hint="eastAsia"/>
        </w:rPr>
        <w:t>3.考核评价标准见表5所示：</w:t>
      </w:r>
    </w:p>
    <w:p>
      <w:pPr>
        <w:snapToGrid w:val="0"/>
        <w:spacing w:before="156" w:beforeLines="50" w:line="300" w:lineRule="auto"/>
        <w:ind w:firstLine="361" w:firstLineChars="200"/>
        <w:jc w:val="center"/>
        <w:rPr>
          <w:b/>
          <w:bCs/>
          <w:color w:val="000000"/>
          <w:sz w:val="18"/>
          <w:szCs w:val="18"/>
        </w:rPr>
      </w:pPr>
      <w:r>
        <w:rPr>
          <w:b/>
          <w:bCs/>
          <w:color w:val="000000"/>
          <w:sz w:val="18"/>
          <w:szCs w:val="18"/>
        </w:rPr>
        <w:t>表5教学目标评价标准</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6"/>
        <w:gridCol w:w="656"/>
        <w:gridCol w:w="639"/>
        <w:gridCol w:w="754"/>
        <w:gridCol w:w="3323"/>
        <w:gridCol w:w="921"/>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6" w:type="dxa"/>
            <w:vAlign w:val="center"/>
          </w:tcPr>
          <w:p>
            <w:pPr>
              <w:snapToGrid w:val="0"/>
              <w:spacing w:line="300" w:lineRule="auto"/>
              <w:jc w:val="center"/>
              <w:rPr>
                <w:b/>
                <w:bCs/>
                <w:sz w:val="18"/>
                <w:szCs w:val="18"/>
              </w:rPr>
            </w:pPr>
            <w:r>
              <w:rPr>
                <w:b/>
                <w:bCs/>
                <w:sz w:val="18"/>
                <w:szCs w:val="18"/>
              </w:rPr>
              <w:t>成绩</w:t>
            </w:r>
          </w:p>
        </w:tc>
        <w:tc>
          <w:tcPr>
            <w:tcW w:w="656" w:type="dxa"/>
            <w:vAlign w:val="center"/>
          </w:tcPr>
          <w:p>
            <w:pPr>
              <w:snapToGrid w:val="0"/>
              <w:spacing w:line="300" w:lineRule="auto"/>
              <w:jc w:val="center"/>
              <w:rPr>
                <w:b/>
                <w:bCs/>
                <w:sz w:val="18"/>
                <w:szCs w:val="18"/>
              </w:rPr>
            </w:pPr>
            <w:r>
              <w:rPr>
                <w:b/>
                <w:bCs/>
                <w:sz w:val="18"/>
                <w:szCs w:val="18"/>
              </w:rPr>
              <w:t>分值</w:t>
            </w:r>
          </w:p>
        </w:tc>
        <w:tc>
          <w:tcPr>
            <w:tcW w:w="656" w:type="dxa"/>
            <w:vAlign w:val="center"/>
          </w:tcPr>
          <w:p>
            <w:pPr>
              <w:snapToGrid w:val="0"/>
              <w:spacing w:line="300" w:lineRule="auto"/>
              <w:jc w:val="center"/>
              <w:rPr>
                <w:b/>
                <w:bCs/>
                <w:sz w:val="18"/>
                <w:szCs w:val="18"/>
              </w:rPr>
            </w:pPr>
            <w:r>
              <w:rPr>
                <w:b/>
                <w:bCs/>
                <w:sz w:val="18"/>
                <w:szCs w:val="18"/>
              </w:rPr>
              <w:t>权重</w:t>
            </w:r>
          </w:p>
        </w:tc>
        <w:tc>
          <w:tcPr>
            <w:tcW w:w="639" w:type="dxa"/>
            <w:vAlign w:val="center"/>
          </w:tcPr>
          <w:p>
            <w:pPr>
              <w:snapToGrid w:val="0"/>
              <w:spacing w:line="300" w:lineRule="auto"/>
              <w:jc w:val="center"/>
              <w:rPr>
                <w:b/>
                <w:bCs/>
                <w:sz w:val="18"/>
                <w:szCs w:val="18"/>
              </w:rPr>
            </w:pPr>
            <w:r>
              <w:rPr>
                <w:b/>
                <w:bCs/>
                <w:sz w:val="18"/>
                <w:szCs w:val="18"/>
              </w:rPr>
              <w:t>类别</w:t>
            </w:r>
          </w:p>
        </w:tc>
        <w:tc>
          <w:tcPr>
            <w:tcW w:w="754" w:type="dxa"/>
            <w:vAlign w:val="center"/>
          </w:tcPr>
          <w:p>
            <w:pPr>
              <w:snapToGrid w:val="0"/>
              <w:spacing w:line="300" w:lineRule="auto"/>
              <w:jc w:val="center"/>
              <w:rPr>
                <w:b/>
                <w:bCs/>
                <w:sz w:val="18"/>
                <w:szCs w:val="18"/>
              </w:rPr>
            </w:pPr>
            <w:r>
              <w:rPr>
                <w:b/>
                <w:bCs/>
                <w:sz w:val="18"/>
                <w:szCs w:val="18"/>
              </w:rPr>
              <w:t>权重</w:t>
            </w:r>
          </w:p>
        </w:tc>
        <w:tc>
          <w:tcPr>
            <w:tcW w:w="3323" w:type="dxa"/>
            <w:vAlign w:val="center"/>
          </w:tcPr>
          <w:p>
            <w:pPr>
              <w:snapToGrid w:val="0"/>
              <w:spacing w:line="300" w:lineRule="auto"/>
              <w:jc w:val="center"/>
              <w:rPr>
                <w:b/>
                <w:bCs/>
                <w:sz w:val="18"/>
                <w:szCs w:val="18"/>
              </w:rPr>
            </w:pPr>
            <w:r>
              <w:rPr>
                <w:b/>
                <w:bCs/>
                <w:sz w:val="18"/>
                <w:szCs w:val="18"/>
              </w:rPr>
              <w:t>考核/评价细则</w:t>
            </w:r>
          </w:p>
        </w:tc>
        <w:tc>
          <w:tcPr>
            <w:tcW w:w="921" w:type="dxa"/>
            <w:vAlign w:val="center"/>
          </w:tcPr>
          <w:p>
            <w:pPr>
              <w:snapToGrid w:val="0"/>
              <w:spacing w:line="300" w:lineRule="auto"/>
              <w:jc w:val="center"/>
              <w:rPr>
                <w:b/>
                <w:bCs/>
                <w:sz w:val="18"/>
                <w:szCs w:val="18"/>
              </w:rPr>
            </w:pPr>
            <w:r>
              <w:rPr>
                <w:b/>
                <w:bCs/>
                <w:sz w:val="18"/>
                <w:szCs w:val="18"/>
              </w:rPr>
              <w:t>课程目标</w:t>
            </w:r>
          </w:p>
        </w:tc>
        <w:tc>
          <w:tcPr>
            <w:tcW w:w="917" w:type="dxa"/>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6" w:type="dxa"/>
            <w:vMerge w:val="restart"/>
            <w:vAlign w:val="center"/>
          </w:tcPr>
          <w:p>
            <w:pPr>
              <w:snapToGrid w:val="0"/>
              <w:spacing w:line="300" w:lineRule="auto"/>
              <w:rPr>
                <w:sz w:val="18"/>
                <w:szCs w:val="18"/>
              </w:rPr>
            </w:pPr>
          </w:p>
          <w:p>
            <w:pPr>
              <w:snapToGrid w:val="0"/>
              <w:spacing w:line="300" w:lineRule="auto"/>
              <w:jc w:val="left"/>
              <w:rPr>
                <w:sz w:val="18"/>
                <w:szCs w:val="18"/>
              </w:rPr>
            </w:pPr>
            <w:r>
              <w:rPr>
                <w:sz w:val="18"/>
                <w:szCs w:val="18"/>
              </w:rPr>
              <w:t>平时成绩</w:t>
            </w:r>
          </w:p>
        </w:tc>
        <w:tc>
          <w:tcPr>
            <w:tcW w:w="656" w:type="dxa"/>
            <w:vMerge w:val="restart"/>
            <w:vAlign w:val="center"/>
          </w:tcPr>
          <w:p>
            <w:pPr>
              <w:snapToGrid w:val="0"/>
              <w:spacing w:line="300" w:lineRule="auto"/>
              <w:rPr>
                <w:sz w:val="18"/>
                <w:szCs w:val="18"/>
              </w:rPr>
            </w:pPr>
            <w:r>
              <w:rPr>
                <w:sz w:val="18"/>
                <w:szCs w:val="18"/>
              </w:rPr>
              <w:t>100</w:t>
            </w:r>
          </w:p>
        </w:tc>
        <w:tc>
          <w:tcPr>
            <w:tcW w:w="656" w:type="dxa"/>
            <w:vMerge w:val="restart"/>
            <w:vAlign w:val="center"/>
          </w:tcPr>
          <w:p>
            <w:pPr>
              <w:snapToGrid w:val="0"/>
              <w:spacing w:line="300" w:lineRule="auto"/>
              <w:rPr>
                <w:sz w:val="18"/>
                <w:szCs w:val="18"/>
              </w:rPr>
            </w:pPr>
            <w:r>
              <w:rPr>
                <w:sz w:val="18"/>
                <w:szCs w:val="18"/>
              </w:rPr>
              <w:t>0.</w:t>
            </w:r>
            <w:r>
              <w:rPr>
                <w:rFonts w:hint="eastAsia"/>
                <w:sz w:val="18"/>
                <w:szCs w:val="18"/>
              </w:rPr>
              <w:t>4</w:t>
            </w:r>
          </w:p>
        </w:tc>
        <w:tc>
          <w:tcPr>
            <w:tcW w:w="639" w:type="dxa"/>
            <w:vMerge w:val="restart"/>
            <w:vAlign w:val="center"/>
          </w:tcPr>
          <w:p>
            <w:pPr>
              <w:snapToGrid w:val="0"/>
              <w:spacing w:line="300" w:lineRule="auto"/>
              <w:jc w:val="center"/>
              <w:rPr>
                <w:sz w:val="18"/>
                <w:szCs w:val="18"/>
              </w:rPr>
            </w:pPr>
            <w:r>
              <w:rPr>
                <w:sz w:val="18"/>
                <w:szCs w:val="18"/>
              </w:rPr>
              <w:t>课堂表现</w:t>
            </w:r>
          </w:p>
        </w:tc>
        <w:tc>
          <w:tcPr>
            <w:tcW w:w="754" w:type="dxa"/>
            <w:vAlign w:val="center"/>
          </w:tcPr>
          <w:p>
            <w:pPr>
              <w:snapToGrid w:val="0"/>
              <w:jc w:val="center"/>
              <w:rPr>
                <w:sz w:val="18"/>
                <w:szCs w:val="18"/>
              </w:rPr>
            </w:pPr>
            <w:r>
              <w:rPr>
                <w:rFonts w:hint="eastAsia"/>
                <w:sz w:val="18"/>
                <w:szCs w:val="18"/>
              </w:rPr>
              <w:t>0.06</w:t>
            </w:r>
          </w:p>
        </w:tc>
        <w:tc>
          <w:tcPr>
            <w:tcW w:w="3323" w:type="dxa"/>
            <w:vMerge w:val="restart"/>
            <w:vAlign w:val="center"/>
          </w:tcPr>
          <w:p>
            <w:pPr>
              <w:rPr>
                <w:sz w:val="18"/>
                <w:szCs w:val="18"/>
              </w:rPr>
            </w:pPr>
            <w:r>
              <w:rPr>
                <w:sz w:val="18"/>
                <w:szCs w:val="18"/>
              </w:rPr>
              <w:t>根据学生</w:t>
            </w:r>
            <w:r>
              <w:rPr>
                <w:rFonts w:hint="eastAsia"/>
                <w:sz w:val="18"/>
                <w:szCs w:val="18"/>
              </w:rPr>
              <w:t>考勤、</w:t>
            </w:r>
            <w:r>
              <w:rPr>
                <w:sz w:val="18"/>
                <w:szCs w:val="18"/>
              </w:rPr>
              <w:t>课堂回答</w:t>
            </w:r>
            <w:r>
              <w:rPr>
                <w:rFonts w:hint="eastAsia"/>
                <w:sz w:val="18"/>
                <w:szCs w:val="18"/>
              </w:rPr>
              <w:t>老师提问</w:t>
            </w:r>
            <w:r>
              <w:rPr>
                <w:sz w:val="18"/>
                <w:szCs w:val="18"/>
              </w:rPr>
              <w:t>时积极性和准确性</w:t>
            </w:r>
            <w:r>
              <w:rPr>
                <w:rFonts w:hint="eastAsia"/>
                <w:sz w:val="18"/>
                <w:szCs w:val="18"/>
              </w:rPr>
              <w:t>；</w:t>
            </w:r>
            <w:r>
              <w:rPr>
                <w:sz w:val="18"/>
                <w:szCs w:val="18"/>
              </w:rPr>
              <w:t>小组讨论时的团队合作能力和沟通能力</w:t>
            </w:r>
            <w:r>
              <w:rPr>
                <w:rFonts w:hint="eastAsia"/>
                <w:sz w:val="18"/>
                <w:szCs w:val="18"/>
              </w:rPr>
              <w:t>；</w:t>
            </w:r>
            <w:r>
              <w:rPr>
                <w:sz w:val="18"/>
                <w:szCs w:val="18"/>
              </w:rPr>
              <w:t>专题研讨时的参与程度打分</w:t>
            </w:r>
            <w:r>
              <w:rPr>
                <w:rFonts w:hint="eastAsia"/>
                <w:sz w:val="18"/>
                <w:szCs w:val="18"/>
              </w:rPr>
              <w:t>；</w:t>
            </w:r>
            <w:r>
              <w:rPr>
                <w:sz w:val="18"/>
                <w:szCs w:val="18"/>
              </w:rPr>
              <w:t>（满分</w:t>
            </w:r>
            <w:r>
              <w:rPr>
                <w:rFonts w:hint="eastAsia"/>
                <w:sz w:val="18"/>
                <w:szCs w:val="18"/>
              </w:rPr>
              <w:t>10</w:t>
            </w:r>
            <w:r>
              <w:rPr>
                <w:sz w:val="18"/>
                <w:szCs w:val="18"/>
              </w:rPr>
              <w:t>0分 ）</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39" w:type="dxa"/>
            <w:vMerge w:val="continue"/>
            <w:vAlign w:val="center"/>
          </w:tcPr>
          <w:p>
            <w:pPr>
              <w:snapToGrid w:val="0"/>
              <w:spacing w:line="300" w:lineRule="auto"/>
              <w:jc w:val="center"/>
            </w:pPr>
          </w:p>
        </w:tc>
        <w:tc>
          <w:tcPr>
            <w:tcW w:w="754" w:type="dxa"/>
            <w:vAlign w:val="center"/>
          </w:tcPr>
          <w:p>
            <w:pPr>
              <w:snapToGrid w:val="0"/>
              <w:jc w:val="center"/>
              <w:rPr>
                <w:sz w:val="18"/>
                <w:szCs w:val="18"/>
              </w:rPr>
            </w:pPr>
            <w:r>
              <w:rPr>
                <w:rFonts w:hint="eastAsia"/>
                <w:sz w:val="18"/>
                <w:szCs w:val="18"/>
              </w:rPr>
              <w:t>0.06</w:t>
            </w:r>
          </w:p>
        </w:tc>
        <w:tc>
          <w:tcPr>
            <w:tcW w:w="3323" w:type="dxa"/>
            <w:vMerge w:val="continue"/>
            <w:vAlign w:val="center"/>
          </w:tcPr>
          <w:p>
            <w:pPr>
              <w:snapToGrid w:val="0"/>
              <w:spacing w:line="300" w:lineRule="auto"/>
              <w:jc w:val="center"/>
              <w:rPr>
                <w:sz w:val="18"/>
                <w:szCs w:val="18"/>
              </w:rPr>
            </w:pPr>
          </w:p>
        </w:tc>
        <w:tc>
          <w:tcPr>
            <w:tcW w:w="921" w:type="dxa"/>
            <w:vAlign w:val="center"/>
          </w:tcPr>
          <w:p>
            <w:pPr>
              <w:snapToGrid w:val="0"/>
              <w:spacing w:line="300" w:lineRule="auto"/>
              <w:jc w:val="center"/>
              <w:rPr>
                <w:sz w:val="18"/>
                <w:szCs w:val="18"/>
              </w:rPr>
            </w:pPr>
            <w:r>
              <w:rPr>
                <w:rFonts w:hint="eastAsia"/>
                <w:sz w:val="18"/>
                <w:szCs w:val="18"/>
              </w:rPr>
              <w:t>2</w:t>
            </w:r>
          </w:p>
        </w:tc>
        <w:tc>
          <w:tcPr>
            <w:tcW w:w="917" w:type="dxa"/>
            <w:vAlign w:val="center"/>
          </w:tcPr>
          <w:p>
            <w:pPr>
              <w:snapToGrid w:val="0"/>
              <w:spacing w:line="300" w:lineRule="auto"/>
              <w:jc w:val="center"/>
              <w:rPr>
                <w:sz w:val="18"/>
                <w:szCs w:val="18"/>
              </w:rPr>
            </w:pPr>
            <w:r>
              <w:rPr>
                <w:rFonts w:hint="eastAsia"/>
                <w:sz w:val="18"/>
                <w:szCs w:val="18"/>
              </w:rPr>
              <w:t>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56"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39" w:type="dxa"/>
            <w:vMerge w:val="restart"/>
            <w:vAlign w:val="center"/>
          </w:tcPr>
          <w:p>
            <w:pPr>
              <w:snapToGrid w:val="0"/>
              <w:spacing w:line="300" w:lineRule="auto"/>
              <w:jc w:val="center"/>
              <w:rPr>
                <w:sz w:val="18"/>
                <w:szCs w:val="18"/>
              </w:rPr>
            </w:pPr>
            <w:r>
              <w:rPr>
                <w:rFonts w:hint="eastAsia"/>
                <w:sz w:val="18"/>
                <w:szCs w:val="18"/>
              </w:rPr>
              <w:t>作业（课程报告）</w:t>
            </w:r>
          </w:p>
        </w:tc>
        <w:tc>
          <w:tcPr>
            <w:tcW w:w="754" w:type="dxa"/>
            <w:vAlign w:val="center"/>
          </w:tcPr>
          <w:p>
            <w:pPr>
              <w:snapToGrid w:val="0"/>
              <w:jc w:val="center"/>
              <w:rPr>
                <w:sz w:val="18"/>
                <w:szCs w:val="18"/>
              </w:rPr>
            </w:pPr>
            <w:r>
              <w:rPr>
                <w:rFonts w:hint="eastAsia"/>
                <w:sz w:val="18"/>
                <w:szCs w:val="18"/>
              </w:rPr>
              <w:t>0.06</w:t>
            </w:r>
          </w:p>
        </w:tc>
        <w:tc>
          <w:tcPr>
            <w:tcW w:w="3323" w:type="dxa"/>
            <w:vMerge w:val="restart"/>
            <w:vAlign w:val="center"/>
          </w:tcPr>
          <w:p>
            <w:pPr>
              <w:jc w:val="left"/>
              <w:rPr>
                <w:sz w:val="18"/>
                <w:szCs w:val="18"/>
              </w:rPr>
            </w:pPr>
            <w:r>
              <w:rPr>
                <w:sz w:val="18"/>
                <w:szCs w:val="18"/>
              </w:rPr>
              <w:t>根据是否按时提交</w:t>
            </w:r>
            <w:r>
              <w:rPr>
                <w:rFonts w:hint="eastAsia"/>
                <w:sz w:val="18"/>
                <w:szCs w:val="18"/>
              </w:rPr>
              <w:t>课程论文</w:t>
            </w:r>
            <w:r>
              <w:rPr>
                <w:sz w:val="18"/>
                <w:szCs w:val="18"/>
              </w:rPr>
              <w:t>，是否</w:t>
            </w:r>
            <w:r>
              <w:rPr>
                <w:rFonts w:hint="eastAsia"/>
                <w:sz w:val="18"/>
                <w:szCs w:val="18"/>
              </w:rPr>
              <w:t>充分调研和查阅资料、以及课程论文的完成度和质量</w:t>
            </w:r>
            <w:r>
              <w:rPr>
                <w:sz w:val="18"/>
                <w:szCs w:val="18"/>
              </w:rPr>
              <w:t>给分。每次作业按百分制单独评分，取各次成绩的平均值作为书面作业成绩（满分100分）</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39" w:type="dxa"/>
            <w:vMerge w:val="continue"/>
            <w:vAlign w:val="center"/>
          </w:tcPr>
          <w:p>
            <w:pPr>
              <w:snapToGrid w:val="0"/>
              <w:spacing w:line="300" w:lineRule="auto"/>
              <w:jc w:val="center"/>
            </w:pPr>
          </w:p>
        </w:tc>
        <w:tc>
          <w:tcPr>
            <w:tcW w:w="754" w:type="dxa"/>
            <w:vAlign w:val="center"/>
          </w:tcPr>
          <w:p>
            <w:pPr>
              <w:snapToGrid w:val="0"/>
              <w:jc w:val="center"/>
              <w:rPr>
                <w:sz w:val="18"/>
                <w:szCs w:val="18"/>
              </w:rPr>
            </w:pPr>
            <w:r>
              <w:rPr>
                <w:rFonts w:hint="eastAsia"/>
                <w:sz w:val="18"/>
                <w:szCs w:val="18"/>
              </w:rPr>
              <w:t>0.06</w:t>
            </w:r>
          </w:p>
        </w:tc>
        <w:tc>
          <w:tcPr>
            <w:tcW w:w="3323" w:type="dxa"/>
            <w:vMerge w:val="continue"/>
            <w:vAlign w:val="center"/>
          </w:tcPr>
          <w:p>
            <w:pPr>
              <w:snapToGrid w:val="0"/>
              <w:spacing w:line="300" w:lineRule="auto"/>
              <w:jc w:val="center"/>
              <w:rPr>
                <w:sz w:val="18"/>
                <w:szCs w:val="18"/>
              </w:rPr>
            </w:pPr>
          </w:p>
        </w:tc>
        <w:tc>
          <w:tcPr>
            <w:tcW w:w="921" w:type="dxa"/>
            <w:vAlign w:val="center"/>
          </w:tcPr>
          <w:p>
            <w:pPr>
              <w:snapToGrid w:val="0"/>
              <w:spacing w:line="300" w:lineRule="auto"/>
              <w:jc w:val="center"/>
              <w:rPr>
                <w:sz w:val="18"/>
                <w:szCs w:val="18"/>
              </w:rPr>
            </w:pPr>
            <w:r>
              <w:rPr>
                <w:rFonts w:hint="eastAsia"/>
                <w:sz w:val="18"/>
                <w:szCs w:val="18"/>
              </w:rPr>
              <w:t>2</w:t>
            </w:r>
          </w:p>
        </w:tc>
        <w:tc>
          <w:tcPr>
            <w:tcW w:w="917" w:type="dxa"/>
            <w:vAlign w:val="center"/>
          </w:tcPr>
          <w:p>
            <w:pPr>
              <w:snapToGrid w:val="0"/>
              <w:spacing w:line="300" w:lineRule="auto"/>
              <w:jc w:val="center"/>
              <w:rPr>
                <w:sz w:val="18"/>
                <w:szCs w:val="18"/>
              </w:rPr>
            </w:pPr>
            <w:r>
              <w:rPr>
                <w:rFonts w:hint="eastAsia"/>
                <w:sz w:val="18"/>
                <w:szCs w:val="18"/>
              </w:rPr>
              <w:t>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6"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56" w:type="dxa"/>
            <w:vMerge w:val="continue"/>
            <w:vAlign w:val="center"/>
          </w:tcPr>
          <w:p>
            <w:pPr>
              <w:snapToGrid w:val="0"/>
              <w:spacing w:line="300" w:lineRule="auto"/>
              <w:rPr>
                <w:sz w:val="18"/>
                <w:szCs w:val="18"/>
              </w:rPr>
            </w:pPr>
          </w:p>
        </w:tc>
        <w:tc>
          <w:tcPr>
            <w:tcW w:w="639" w:type="dxa"/>
            <w:vMerge w:val="restart"/>
            <w:vAlign w:val="center"/>
          </w:tcPr>
          <w:p>
            <w:pPr>
              <w:snapToGrid w:val="0"/>
              <w:spacing w:line="300" w:lineRule="auto"/>
              <w:jc w:val="center"/>
              <w:rPr>
                <w:sz w:val="18"/>
                <w:szCs w:val="18"/>
              </w:rPr>
            </w:pPr>
            <w:r>
              <w:rPr>
                <w:rFonts w:hint="eastAsia"/>
                <w:sz w:val="18"/>
                <w:szCs w:val="18"/>
              </w:rPr>
              <w:t>实验</w:t>
            </w:r>
          </w:p>
        </w:tc>
        <w:tc>
          <w:tcPr>
            <w:tcW w:w="754" w:type="dxa"/>
            <w:vAlign w:val="center"/>
          </w:tcPr>
          <w:p>
            <w:pPr>
              <w:snapToGrid w:val="0"/>
              <w:jc w:val="center"/>
              <w:rPr>
                <w:sz w:val="18"/>
                <w:szCs w:val="18"/>
              </w:rPr>
            </w:pPr>
            <w:r>
              <w:rPr>
                <w:rFonts w:hint="eastAsia"/>
                <w:sz w:val="18"/>
                <w:szCs w:val="18"/>
              </w:rPr>
              <w:t>0.08</w:t>
            </w:r>
          </w:p>
        </w:tc>
        <w:tc>
          <w:tcPr>
            <w:tcW w:w="3323" w:type="dxa"/>
            <w:vMerge w:val="restart"/>
            <w:vAlign w:val="center"/>
          </w:tcPr>
          <w:p>
            <w:pPr>
              <w:jc w:val="left"/>
              <w:rPr>
                <w:sz w:val="18"/>
                <w:szCs w:val="18"/>
              </w:rPr>
            </w:pPr>
            <w:r>
              <w:rPr>
                <w:sz w:val="18"/>
                <w:szCs w:val="18"/>
              </w:rPr>
              <w:t>根据实验完成质量，以及实验报告质量评分</w:t>
            </w:r>
            <w:r>
              <w:rPr>
                <w:rFonts w:hint="eastAsia"/>
                <w:sz w:val="18"/>
                <w:szCs w:val="18"/>
              </w:rPr>
              <w:t>（</w:t>
            </w:r>
            <w:r>
              <w:rPr>
                <w:sz w:val="18"/>
                <w:szCs w:val="18"/>
              </w:rPr>
              <w:t>满分100分</w:t>
            </w:r>
            <w:r>
              <w:rPr>
                <w:rFonts w:hint="eastAsia"/>
                <w:sz w:val="18"/>
                <w:szCs w:val="18"/>
              </w:rPr>
              <w:t>）</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56" w:type="dxa"/>
            <w:vMerge w:val="continue"/>
            <w:vAlign w:val="center"/>
          </w:tcPr>
          <w:p>
            <w:pPr>
              <w:snapToGrid w:val="0"/>
              <w:spacing w:line="300" w:lineRule="auto"/>
              <w:jc w:val="center"/>
            </w:pPr>
          </w:p>
        </w:tc>
        <w:tc>
          <w:tcPr>
            <w:tcW w:w="639" w:type="dxa"/>
            <w:vMerge w:val="continue"/>
            <w:vAlign w:val="center"/>
          </w:tcPr>
          <w:p>
            <w:pPr>
              <w:snapToGrid w:val="0"/>
              <w:spacing w:line="300" w:lineRule="auto"/>
              <w:jc w:val="center"/>
            </w:pPr>
          </w:p>
        </w:tc>
        <w:tc>
          <w:tcPr>
            <w:tcW w:w="754" w:type="dxa"/>
            <w:vAlign w:val="center"/>
          </w:tcPr>
          <w:p>
            <w:pPr>
              <w:snapToGrid w:val="0"/>
              <w:jc w:val="center"/>
              <w:rPr>
                <w:sz w:val="18"/>
                <w:szCs w:val="18"/>
              </w:rPr>
            </w:pPr>
            <w:r>
              <w:rPr>
                <w:rFonts w:hint="eastAsia"/>
                <w:sz w:val="18"/>
                <w:szCs w:val="18"/>
              </w:rPr>
              <w:t>0.08</w:t>
            </w:r>
          </w:p>
        </w:tc>
        <w:tc>
          <w:tcPr>
            <w:tcW w:w="3323" w:type="dxa"/>
            <w:vMerge w:val="continue"/>
            <w:vAlign w:val="center"/>
          </w:tcPr>
          <w:p>
            <w:pPr>
              <w:snapToGrid w:val="0"/>
              <w:spacing w:line="300" w:lineRule="auto"/>
              <w:jc w:val="center"/>
              <w:rPr>
                <w:sz w:val="18"/>
                <w:szCs w:val="18"/>
              </w:rPr>
            </w:pPr>
          </w:p>
        </w:tc>
        <w:tc>
          <w:tcPr>
            <w:tcW w:w="921" w:type="dxa"/>
            <w:vAlign w:val="center"/>
          </w:tcPr>
          <w:p>
            <w:pPr>
              <w:snapToGrid w:val="0"/>
              <w:spacing w:line="300" w:lineRule="auto"/>
              <w:jc w:val="center"/>
              <w:rPr>
                <w:sz w:val="18"/>
                <w:szCs w:val="18"/>
              </w:rPr>
            </w:pPr>
            <w:r>
              <w:rPr>
                <w:rFonts w:hint="eastAsia"/>
                <w:sz w:val="18"/>
                <w:szCs w:val="18"/>
              </w:rPr>
              <w:t>2</w:t>
            </w:r>
          </w:p>
        </w:tc>
        <w:tc>
          <w:tcPr>
            <w:tcW w:w="917" w:type="dxa"/>
            <w:vAlign w:val="center"/>
          </w:tcPr>
          <w:p>
            <w:pPr>
              <w:snapToGrid w:val="0"/>
              <w:spacing w:line="300" w:lineRule="auto"/>
              <w:jc w:val="center"/>
              <w:rPr>
                <w:sz w:val="18"/>
                <w:szCs w:val="18"/>
              </w:rPr>
            </w:pPr>
            <w:r>
              <w:rPr>
                <w:rFonts w:hint="eastAsia"/>
                <w:sz w:val="18"/>
                <w:szCs w:val="18"/>
              </w:rPr>
              <w:t>2.</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56" w:type="dxa"/>
            <w:vMerge w:val="restart"/>
            <w:vAlign w:val="center"/>
          </w:tcPr>
          <w:p>
            <w:pPr>
              <w:snapToGrid w:val="0"/>
              <w:spacing w:line="300" w:lineRule="auto"/>
              <w:jc w:val="left"/>
              <w:rPr>
                <w:sz w:val="18"/>
                <w:szCs w:val="18"/>
              </w:rPr>
            </w:pPr>
            <w:r>
              <w:rPr>
                <w:sz w:val="18"/>
                <w:szCs w:val="18"/>
              </w:rPr>
              <w:t>期末考试成绩</w:t>
            </w:r>
          </w:p>
        </w:tc>
        <w:tc>
          <w:tcPr>
            <w:tcW w:w="656" w:type="dxa"/>
            <w:vMerge w:val="restart"/>
            <w:vAlign w:val="center"/>
          </w:tcPr>
          <w:p>
            <w:pPr>
              <w:snapToGrid w:val="0"/>
              <w:spacing w:line="300" w:lineRule="auto"/>
              <w:rPr>
                <w:sz w:val="18"/>
                <w:szCs w:val="18"/>
              </w:rPr>
            </w:pPr>
            <w:r>
              <w:rPr>
                <w:sz w:val="18"/>
                <w:szCs w:val="18"/>
              </w:rPr>
              <w:t>100</w:t>
            </w:r>
          </w:p>
        </w:tc>
        <w:tc>
          <w:tcPr>
            <w:tcW w:w="656" w:type="dxa"/>
            <w:vMerge w:val="restart"/>
            <w:vAlign w:val="center"/>
          </w:tcPr>
          <w:p>
            <w:pPr>
              <w:snapToGrid w:val="0"/>
              <w:spacing w:line="300" w:lineRule="auto"/>
              <w:rPr>
                <w:sz w:val="18"/>
                <w:szCs w:val="18"/>
              </w:rPr>
            </w:pPr>
            <w:r>
              <w:rPr>
                <w:sz w:val="18"/>
                <w:szCs w:val="18"/>
              </w:rPr>
              <w:t>0.</w:t>
            </w:r>
            <w:r>
              <w:rPr>
                <w:rFonts w:hint="eastAsia"/>
                <w:sz w:val="18"/>
                <w:szCs w:val="18"/>
              </w:rPr>
              <w:t>6</w:t>
            </w:r>
          </w:p>
        </w:tc>
        <w:tc>
          <w:tcPr>
            <w:tcW w:w="639" w:type="dxa"/>
            <w:vMerge w:val="restart"/>
            <w:vAlign w:val="center"/>
          </w:tcPr>
          <w:p>
            <w:pPr>
              <w:snapToGrid w:val="0"/>
              <w:spacing w:line="300" w:lineRule="auto"/>
              <w:jc w:val="left"/>
              <w:rPr>
                <w:sz w:val="18"/>
                <w:szCs w:val="18"/>
              </w:rPr>
            </w:pPr>
            <w:r>
              <w:rPr>
                <w:rFonts w:hint="eastAsia"/>
                <w:sz w:val="18"/>
                <w:szCs w:val="18"/>
              </w:rPr>
              <w:t>开</w:t>
            </w:r>
            <w:r>
              <w:rPr>
                <w:sz w:val="18"/>
                <w:szCs w:val="18"/>
              </w:rPr>
              <w:t>卷考试</w:t>
            </w:r>
          </w:p>
        </w:tc>
        <w:tc>
          <w:tcPr>
            <w:tcW w:w="754" w:type="dxa"/>
            <w:vAlign w:val="center"/>
          </w:tcPr>
          <w:p>
            <w:pPr>
              <w:snapToGrid w:val="0"/>
              <w:jc w:val="center"/>
              <w:rPr>
                <w:sz w:val="18"/>
                <w:szCs w:val="18"/>
              </w:rPr>
            </w:pPr>
            <w:r>
              <w:rPr>
                <w:rFonts w:hint="eastAsia"/>
                <w:sz w:val="18"/>
                <w:szCs w:val="18"/>
              </w:rPr>
              <w:t>0.3</w:t>
            </w:r>
          </w:p>
        </w:tc>
        <w:tc>
          <w:tcPr>
            <w:tcW w:w="3323" w:type="dxa"/>
            <w:vMerge w:val="restart"/>
            <w:vAlign w:val="center"/>
          </w:tcPr>
          <w:p>
            <w:pPr>
              <w:numPr>
                <w:ilvl w:val="0"/>
                <w:numId w:val="56"/>
              </w:numPr>
              <w:rPr>
                <w:sz w:val="18"/>
                <w:szCs w:val="18"/>
              </w:rPr>
            </w:pPr>
            <w:r>
              <w:rPr>
                <w:sz w:val="18"/>
                <w:szCs w:val="18"/>
              </w:rPr>
              <w:t>卷面成绩100分。根据回答问题的准确性评分</w:t>
            </w:r>
            <w:r>
              <w:rPr>
                <w:rFonts w:hint="eastAsia"/>
                <w:sz w:val="18"/>
                <w:szCs w:val="18"/>
              </w:rPr>
              <w:t>；</w:t>
            </w:r>
          </w:p>
          <w:p>
            <w:pPr>
              <w:numPr>
                <w:ilvl w:val="0"/>
                <w:numId w:val="56"/>
              </w:numPr>
              <w:rPr>
                <w:sz w:val="18"/>
                <w:szCs w:val="18"/>
              </w:rPr>
            </w:pPr>
            <w:r>
              <w:rPr>
                <w:sz w:val="18"/>
                <w:szCs w:val="18"/>
              </w:rPr>
              <w:t>考核依据： 课程考核以教学大纲为依据，能重视考核学生对基本概念、基本理论和基本技能的掌握程度，也能注重考核学生综合应用所学知识、解决问题的能力</w:t>
            </w:r>
            <w:r>
              <w:rPr>
                <w:rFonts w:hint="eastAsia"/>
                <w:sz w:val="18"/>
                <w:szCs w:val="18"/>
              </w:rPr>
              <w:t>；</w:t>
            </w:r>
          </w:p>
          <w:p>
            <w:pPr>
              <w:numPr>
                <w:ilvl w:val="0"/>
                <w:numId w:val="56"/>
              </w:numPr>
              <w:rPr>
                <w:sz w:val="18"/>
                <w:szCs w:val="18"/>
              </w:rPr>
            </w:pPr>
            <w:r>
              <w:rPr>
                <w:sz w:val="18"/>
                <w:szCs w:val="18"/>
              </w:rPr>
              <w:t>建议考试题型包括：选择题、判断题、简述题</w:t>
            </w:r>
            <w:r>
              <w:rPr>
                <w:rFonts w:hint="eastAsia"/>
                <w:sz w:val="18"/>
                <w:szCs w:val="18"/>
              </w:rPr>
              <w:t>。</w:t>
            </w:r>
          </w:p>
        </w:tc>
        <w:tc>
          <w:tcPr>
            <w:tcW w:w="921" w:type="dxa"/>
            <w:vAlign w:val="center"/>
          </w:tcPr>
          <w:p>
            <w:pPr>
              <w:jc w:val="center"/>
              <w:rPr>
                <w:sz w:val="18"/>
                <w:szCs w:val="18"/>
              </w:rPr>
            </w:pPr>
            <w:r>
              <w:rPr>
                <w:rFonts w:hint="eastAsia"/>
                <w:sz w:val="18"/>
                <w:szCs w:val="18"/>
              </w:rPr>
              <w:t>1</w:t>
            </w:r>
          </w:p>
        </w:tc>
        <w:tc>
          <w:tcPr>
            <w:tcW w:w="917" w:type="dxa"/>
            <w:vAlign w:val="center"/>
          </w:tcPr>
          <w:p>
            <w:pPr>
              <w:jc w:val="center"/>
              <w:rPr>
                <w:sz w:val="18"/>
                <w:szCs w:val="18"/>
              </w:rPr>
            </w:pPr>
            <w:r>
              <w:rPr>
                <w:rFonts w:hint="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56" w:type="dxa"/>
            <w:vMerge w:val="continue"/>
            <w:vAlign w:val="center"/>
          </w:tcPr>
          <w:p>
            <w:pPr>
              <w:snapToGrid w:val="0"/>
              <w:spacing w:line="300" w:lineRule="auto"/>
            </w:pPr>
          </w:p>
        </w:tc>
        <w:tc>
          <w:tcPr>
            <w:tcW w:w="656" w:type="dxa"/>
            <w:vMerge w:val="continue"/>
            <w:vAlign w:val="center"/>
          </w:tcPr>
          <w:p>
            <w:pPr>
              <w:snapToGrid w:val="0"/>
              <w:spacing w:line="300" w:lineRule="auto"/>
            </w:pPr>
          </w:p>
        </w:tc>
        <w:tc>
          <w:tcPr>
            <w:tcW w:w="656" w:type="dxa"/>
            <w:vMerge w:val="continue"/>
            <w:vAlign w:val="center"/>
          </w:tcPr>
          <w:p>
            <w:pPr>
              <w:snapToGrid w:val="0"/>
              <w:spacing w:line="300" w:lineRule="auto"/>
            </w:pPr>
          </w:p>
        </w:tc>
        <w:tc>
          <w:tcPr>
            <w:tcW w:w="639" w:type="dxa"/>
            <w:vMerge w:val="continue"/>
            <w:vAlign w:val="center"/>
          </w:tcPr>
          <w:p>
            <w:pPr>
              <w:snapToGrid w:val="0"/>
              <w:spacing w:line="300" w:lineRule="auto"/>
            </w:pPr>
          </w:p>
        </w:tc>
        <w:tc>
          <w:tcPr>
            <w:tcW w:w="754" w:type="dxa"/>
            <w:vAlign w:val="center"/>
          </w:tcPr>
          <w:p>
            <w:pPr>
              <w:snapToGrid w:val="0"/>
              <w:jc w:val="center"/>
              <w:rPr>
                <w:sz w:val="18"/>
                <w:szCs w:val="18"/>
              </w:rPr>
            </w:pPr>
            <w:r>
              <w:rPr>
                <w:rFonts w:hint="eastAsia"/>
                <w:sz w:val="18"/>
                <w:szCs w:val="18"/>
              </w:rPr>
              <w:t>0.3</w:t>
            </w:r>
          </w:p>
        </w:tc>
        <w:tc>
          <w:tcPr>
            <w:tcW w:w="3323" w:type="dxa"/>
            <w:vMerge w:val="continue"/>
            <w:vAlign w:val="center"/>
          </w:tcPr>
          <w:p>
            <w:pPr>
              <w:snapToGrid w:val="0"/>
              <w:spacing w:line="300" w:lineRule="auto"/>
              <w:rPr>
                <w:sz w:val="18"/>
                <w:szCs w:val="18"/>
              </w:rPr>
            </w:pPr>
          </w:p>
        </w:tc>
        <w:tc>
          <w:tcPr>
            <w:tcW w:w="921" w:type="dxa"/>
            <w:vAlign w:val="center"/>
          </w:tcPr>
          <w:p>
            <w:pPr>
              <w:snapToGrid w:val="0"/>
              <w:spacing w:line="300" w:lineRule="auto"/>
              <w:jc w:val="center"/>
              <w:rPr>
                <w:sz w:val="18"/>
                <w:szCs w:val="18"/>
              </w:rPr>
            </w:pPr>
            <w:r>
              <w:rPr>
                <w:rFonts w:hint="eastAsia"/>
                <w:sz w:val="18"/>
                <w:szCs w:val="18"/>
              </w:rPr>
              <w:t>2</w:t>
            </w:r>
          </w:p>
        </w:tc>
        <w:tc>
          <w:tcPr>
            <w:tcW w:w="917" w:type="dxa"/>
            <w:vAlign w:val="center"/>
          </w:tcPr>
          <w:p>
            <w:pPr>
              <w:snapToGrid w:val="0"/>
              <w:spacing w:line="300" w:lineRule="auto"/>
              <w:jc w:val="center"/>
              <w:rPr>
                <w:sz w:val="18"/>
                <w:szCs w:val="18"/>
              </w:rPr>
            </w:pPr>
            <w:r>
              <w:rPr>
                <w:rFonts w:hint="eastAsia"/>
                <w:sz w:val="18"/>
                <w:szCs w:val="18"/>
              </w:rPr>
              <w:t>2.</w:t>
            </w:r>
            <w:r>
              <w:rPr>
                <w:sz w:val="18"/>
                <w:szCs w:val="18"/>
              </w:rPr>
              <w:t>2</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color w:val="FF0000"/>
          <w:szCs w:val="21"/>
        </w:rPr>
      </w:pPr>
      <w:r>
        <w:rPr>
          <w:color w:val="000000"/>
          <w:szCs w:val="21"/>
        </w:rPr>
        <w:t>1</w:t>
      </w:r>
      <w:r>
        <w:t>．</w:t>
      </w:r>
      <w:r>
        <w:rPr>
          <w:color w:val="000000"/>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71" o:spt="75" type="#_x0000_t75" style="height:30pt;width:361.5pt;" o:ole="t" filled="f" o:preferrelative="t" stroked="f" coordsize="21600,21600">
            <v:path/>
            <v:fill on="f" focussize="0,0"/>
            <v:stroke on="f" joinstyle="miter"/>
            <v:imagedata r:id="rId36" o:title=""/>
            <o:lock v:ext="edit" aspectratio="t"/>
            <w10:wrap type="none"/>
            <w10:anchorlock/>
          </v:shape>
          <o:OLEObject Type="Embed" ProgID="Equation.3" ShapeID="_x0000_i1171" DrawAspect="Content" ObjectID="_1468075869" r:id="rId192">
            <o:LockedField>false</o:LockedField>
          </o:OLEObject>
        </w:object>
      </w:r>
    </w:p>
    <w:p>
      <w:pPr>
        <w:snapToGrid w:val="0"/>
        <w:spacing w:line="300" w:lineRule="auto"/>
        <w:ind w:firstLine="420" w:firstLineChars="200"/>
      </w:pPr>
      <w:r>
        <w:t>课程总目标达成情况为</w:t>
      </w:r>
      <w:r>
        <w:rPr>
          <w:rFonts w:hint="eastAsia"/>
        </w:rPr>
        <w:t>各</w:t>
      </w:r>
      <w:r>
        <w:t>个课程目标的加权得分率，其计算公式为：</w:t>
      </w:r>
    </w:p>
    <w:p>
      <w:pPr>
        <w:snapToGrid w:val="0"/>
        <w:spacing w:line="300" w:lineRule="auto"/>
        <w:jc w:val="center"/>
      </w:pPr>
      <w:r>
        <w:t xml:space="preserve"> </w:t>
      </w:r>
      <w:r>
        <w:object>
          <v:shape id="_x0000_i1172" o:spt="75" type="#_x0000_t75" style="height:20.25pt;width:276pt;" o:ole="t" filled="f" o:preferrelative="t" stroked="f" coordsize="21600,21600">
            <v:path/>
            <v:fill on="f" focussize="0,0"/>
            <v:stroke on="f" joinstyle="miter"/>
            <v:imagedata r:id="rId38" o:title=""/>
            <o:lock v:ext="edit" aspectratio="t"/>
            <w10:wrap type="none"/>
            <w10:anchorlock/>
          </v:shape>
          <o:OLEObject Type="Embed" ProgID="Equation.DSMT4" ShapeID="_x0000_i1172" DrawAspect="Content" ObjectID="_1468075870" r:id="rId193">
            <o:LockedField>false</o:LockedField>
          </o:OLEObject>
        </w:object>
      </w:r>
    </w:p>
    <w:p>
      <w:pPr>
        <w:snapToGrid w:val="0"/>
        <w:spacing w:line="300" w:lineRule="auto"/>
      </w:pPr>
      <w:r>
        <w:t>其中权重系数按照表6设定。</w:t>
      </w:r>
    </w:p>
    <w:p>
      <w:pPr>
        <w:snapToGrid w:val="0"/>
        <w:spacing w:line="300" w:lineRule="auto"/>
        <w:jc w:val="center"/>
        <w:rPr>
          <w:b/>
          <w:bCs/>
          <w:color w:val="000000"/>
          <w:sz w:val="18"/>
          <w:szCs w:val="18"/>
        </w:rPr>
      </w:pPr>
      <w:r>
        <w:rPr>
          <w:b/>
          <w:bCs/>
          <w:color w:val="000000"/>
          <w:sz w:val="18"/>
          <w:szCs w:val="18"/>
        </w:rPr>
        <w:t>表6课程目标权重系数</w:t>
      </w:r>
    </w:p>
    <w:tbl>
      <w:tblPr>
        <w:tblStyle w:val="22"/>
        <w:tblW w:w="6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864"/>
        <w:gridCol w:w="1968"/>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864" w:type="dxa"/>
            <w:vAlign w:val="center"/>
          </w:tcPr>
          <w:p>
            <w:pPr>
              <w:snapToGrid w:val="0"/>
              <w:spacing w:line="300" w:lineRule="auto"/>
              <w:jc w:val="center"/>
              <w:rPr>
                <w:b/>
                <w:bCs/>
                <w:sz w:val="18"/>
                <w:szCs w:val="18"/>
              </w:rPr>
            </w:pPr>
            <w:r>
              <w:rPr>
                <w:b/>
                <w:bCs/>
                <w:sz w:val="18"/>
                <w:szCs w:val="18"/>
              </w:rPr>
              <w:t>课程目标</w:t>
            </w:r>
          </w:p>
        </w:tc>
        <w:tc>
          <w:tcPr>
            <w:tcW w:w="1968" w:type="dxa"/>
            <w:vAlign w:val="center"/>
          </w:tcPr>
          <w:p>
            <w:pPr>
              <w:snapToGrid w:val="0"/>
              <w:spacing w:line="300" w:lineRule="auto"/>
              <w:jc w:val="center"/>
              <w:rPr>
                <w:sz w:val="18"/>
                <w:szCs w:val="18"/>
              </w:rPr>
            </w:pPr>
            <w:r>
              <w:rPr>
                <w:sz w:val="18"/>
                <w:szCs w:val="18"/>
              </w:rPr>
              <w:t>1</w:t>
            </w:r>
          </w:p>
        </w:tc>
        <w:tc>
          <w:tcPr>
            <w:tcW w:w="2333"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864" w:type="dxa"/>
            <w:vAlign w:val="center"/>
          </w:tcPr>
          <w:p>
            <w:pPr>
              <w:snapToGrid w:val="0"/>
              <w:spacing w:line="300" w:lineRule="auto"/>
              <w:jc w:val="center"/>
              <w:rPr>
                <w:b/>
                <w:bCs/>
                <w:sz w:val="18"/>
                <w:szCs w:val="18"/>
              </w:rPr>
            </w:pPr>
            <w:r>
              <w:rPr>
                <w:b/>
                <w:bCs/>
                <w:sz w:val="18"/>
                <w:szCs w:val="18"/>
              </w:rPr>
              <w:t>权重系数</w:t>
            </w:r>
          </w:p>
        </w:tc>
        <w:tc>
          <w:tcPr>
            <w:tcW w:w="1968" w:type="dxa"/>
            <w:vAlign w:val="center"/>
          </w:tcPr>
          <w:p>
            <w:pPr>
              <w:snapToGrid w:val="0"/>
              <w:spacing w:line="300" w:lineRule="auto"/>
              <w:jc w:val="center"/>
              <w:rPr>
                <w:sz w:val="18"/>
                <w:szCs w:val="18"/>
              </w:rPr>
            </w:pPr>
            <w:r>
              <w:rPr>
                <w:sz w:val="18"/>
                <w:szCs w:val="18"/>
              </w:rPr>
              <w:t>0.</w:t>
            </w:r>
            <w:r>
              <w:rPr>
                <w:rFonts w:hint="eastAsia"/>
                <w:sz w:val="18"/>
                <w:szCs w:val="18"/>
              </w:rPr>
              <w:t>5</w:t>
            </w:r>
          </w:p>
        </w:tc>
        <w:tc>
          <w:tcPr>
            <w:tcW w:w="2333" w:type="dxa"/>
            <w:vAlign w:val="center"/>
          </w:tcPr>
          <w:p>
            <w:pPr>
              <w:snapToGrid w:val="0"/>
              <w:spacing w:line="300" w:lineRule="auto"/>
              <w:jc w:val="center"/>
              <w:rPr>
                <w:sz w:val="18"/>
                <w:szCs w:val="18"/>
              </w:rPr>
            </w:pPr>
            <w:r>
              <w:rPr>
                <w:sz w:val="18"/>
                <w:szCs w:val="18"/>
              </w:rPr>
              <w:t>0.</w:t>
            </w:r>
            <w:r>
              <w:rPr>
                <w:rFonts w:hint="eastAsia"/>
                <w:sz w:val="18"/>
                <w:szCs w:val="18"/>
              </w:rPr>
              <w:t>5</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73"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173" DrawAspect="Content" ObjectID="_1468075871" r:id="rId194">
            <o:LockedField>false</o:LockedField>
          </o:OLEObject>
        </w:object>
      </w:r>
    </w:p>
    <w:p>
      <w:pPr>
        <w:snapToGrid w:val="0"/>
        <w:spacing w:line="300" w:lineRule="auto"/>
        <w:ind w:firstLine="420" w:firstLineChars="200"/>
        <w:rPr>
          <w:color w:val="000000"/>
          <w:szCs w:val="21"/>
        </w:rPr>
      </w:pPr>
      <w:r>
        <w:rPr>
          <w:color w:val="000000"/>
          <w:szCs w:val="21"/>
        </w:rPr>
        <w:t>2</w:t>
      </w:r>
      <w:r>
        <w:t>．</w:t>
      </w:r>
      <w:r>
        <w:rPr>
          <w:color w:val="000000"/>
          <w:szCs w:val="21"/>
        </w:rPr>
        <w:t>课程总结要求</w:t>
      </w:r>
    </w:p>
    <w:p>
      <w:pPr>
        <w:snapToGrid w:val="0"/>
        <w:spacing w:line="300" w:lineRule="auto"/>
        <w:ind w:firstLine="420" w:firstLineChars="200"/>
        <w:rPr>
          <w:rFonts w:ascii="Times New Roman" w:hAnsi="Times New Roman" w:eastAsia="宋体" w:cs="Times New Roman"/>
          <w:color w:val="000000"/>
          <w:szCs w:val="21"/>
        </w:rPr>
      </w:pPr>
      <w:r>
        <w:rPr>
          <w:color w:val="000000"/>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教材：无指定教材</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参考资料：</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[1] 刘良明主编，卫星海洋遥感导论[M]，武汉：武汉大学出版社，2005。</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[2] 梅安新，彭望碌等编著，遥感导论[M]，北京：高等教育出版社，2004。</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[3] 王家礼、朱满座等编著，电磁场与电磁波[M]，西安：西安电子科技大学出版社，2009。</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[4] 张永生著，天基多源遥感信息融合：理论，算法与应用系统[M]，北京：科学出版社，2005。</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[5] 李荣福，崔桂华等编著，激光声遥感技术[M]，北京：国防工业出版社，2003。</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rPr>
        <w:t>[6] 尚志远编著，检测声学原理及应用[M]，西安：西北大学出版社，2003。</w:t>
      </w:r>
    </w:p>
    <w:tbl>
      <w:tblPr>
        <w:tblStyle w:val="83"/>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eastAsia="等线" w:cs="Times New Roman"/>
                <w:kern w:val="0"/>
                <w:sz w:val="20"/>
                <w:szCs w:val="21"/>
              </w:rPr>
            </w:pPr>
            <w:r>
              <w:rPr>
                <w:rFonts w:ascii="Times New Roman" w:hAnsi="Times New Roman" w:eastAsia="等线" w:cs="Times New Roman"/>
                <w:kern w:val="0"/>
                <w:sz w:val="20"/>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tc>
      </w:tr>
    </w:tbl>
    <w:p>
      <w:pPr>
        <w:widowControl/>
        <w:jc w:val="left"/>
        <w:rPr>
          <w:rFonts w:ascii="Times New Roman" w:hAnsi="Times New Roman" w:cs="Times New Roman"/>
        </w:rPr>
      </w:pPr>
      <w:r>
        <w:rPr>
          <w:rFonts w:ascii="Times New Roman" w:hAnsi="Times New Roman" w:cs="Times New Roman"/>
        </w:rPr>
        <w:br w:type="page"/>
      </w:r>
    </w:p>
    <w:p>
      <w:pPr>
        <w:pStyle w:val="5"/>
        <w:spacing w:before="260" w:after="260" w:line="413" w:lineRule="auto"/>
        <w:jc w:val="center"/>
        <w:rPr>
          <w:rFonts w:ascii="Times New Roman" w:hAnsi="Times New Roman" w:cs="Times New Roman"/>
          <w:szCs w:val="32"/>
        </w:rPr>
      </w:pPr>
      <w:bookmarkStart w:id="222" w:name="_Toc47718812"/>
      <w:bookmarkStart w:id="223" w:name="_Toc10920"/>
      <w:bookmarkStart w:id="224" w:name="_Toc47719783"/>
      <w:bookmarkStart w:id="225" w:name="_Toc47774739"/>
      <w:r>
        <w:rPr>
          <w:rFonts w:ascii="Times New Roman" w:hAnsi="Times New Roman" w:cs="Times New Roman"/>
          <w:sz w:val="32"/>
          <w:szCs w:val="32"/>
        </w:rPr>
        <w:t>16152101</w:t>
      </w:r>
      <w:r>
        <w:rPr>
          <w:rFonts w:hint="eastAsia" w:ascii="Times New Roman" w:hAnsi="Times New Roman" w:cs="Times New Roman"/>
          <w:sz w:val="32"/>
          <w:szCs w:val="32"/>
        </w:rPr>
        <w:t>《水声通信及信号处理技术》课程教学大纲</w:t>
      </w:r>
      <w:bookmarkEnd w:id="222"/>
      <w:bookmarkEnd w:id="223"/>
      <w:bookmarkEnd w:id="224"/>
      <w:bookmarkEnd w:id="22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vAlign w:val="center"/>
          </w:tcPr>
          <w:p>
            <w:pPr>
              <w:jc w:val="center"/>
              <w:rPr>
                <w:kern w:val="0"/>
                <w:szCs w:val="21"/>
              </w:rPr>
            </w:pPr>
            <w:r>
              <w:rPr>
                <w:kern w:val="0"/>
                <w:szCs w:val="21"/>
              </w:rPr>
              <w:t>课程编号</w:t>
            </w:r>
          </w:p>
        </w:tc>
        <w:tc>
          <w:tcPr>
            <w:tcW w:w="3441" w:type="dxa"/>
            <w:vAlign w:val="center"/>
          </w:tcPr>
          <w:p>
            <w:pPr>
              <w:jc w:val="center"/>
              <w:rPr>
                <w:kern w:val="0"/>
                <w:szCs w:val="21"/>
              </w:rPr>
            </w:pPr>
            <w:r>
              <w:rPr>
                <w:szCs w:val="21"/>
              </w:rPr>
              <w:t>16152101</w:t>
            </w:r>
          </w:p>
        </w:tc>
        <w:tc>
          <w:tcPr>
            <w:tcW w:w="1198" w:type="dxa"/>
            <w:vAlign w:val="center"/>
          </w:tcPr>
          <w:p>
            <w:pPr>
              <w:jc w:val="center"/>
              <w:rPr>
                <w:kern w:val="0"/>
                <w:szCs w:val="21"/>
              </w:rPr>
            </w:pPr>
            <w:r>
              <w:rPr>
                <w:kern w:val="0"/>
                <w:szCs w:val="21"/>
              </w:rPr>
              <w:t>课程名称</w:t>
            </w:r>
          </w:p>
        </w:tc>
        <w:tc>
          <w:tcPr>
            <w:tcW w:w="2695" w:type="dxa"/>
            <w:vAlign w:val="center"/>
          </w:tcPr>
          <w:p>
            <w:pPr>
              <w:jc w:val="center"/>
              <w:rPr>
                <w:kern w:val="0"/>
                <w:szCs w:val="21"/>
              </w:rPr>
            </w:pPr>
            <w:r>
              <w:rPr>
                <w:szCs w:val="21"/>
              </w:rPr>
              <w:t>水声通信及信号处理技术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7" w:type="dxa"/>
            <w:vAlign w:val="center"/>
          </w:tcPr>
          <w:p>
            <w:pPr>
              <w:jc w:val="center"/>
              <w:rPr>
                <w:kern w:val="0"/>
                <w:szCs w:val="21"/>
              </w:rPr>
            </w:pPr>
            <w:r>
              <w:rPr>
                <w:kern w:val="0"/>
                <w:szCs w:val="21"/>
              </w:rPr>
              <w:t>课程性质</w:t>
            </w:r>
            <w:r>
              <w:rPr>
                <w:kern w:val="0"/>
                <w:sz w:val="20"/>
                <w:szCs w:val="20"/>
              </w:rPr>
              <w:t>*</w:t>
            </w:r>
          </w:p>
        </w:tc>
        <w:tc>
          <w:tcPr>
            <w:tcW w:w="3441" w:type="dxa"/>
            <w:vAlign w:val="center"/>
          </w:tcPr>
          <w:p>
            <w:pPr>
              <w:jc w:val="center"/>
              <w:rPr>
                <w:kern w:val="0"/>
                <w:szCs w:val="21"/>
              </w:rPr>
            </w:pPr>
            <w:r>
              <w:rPr>
                <w:rFonts w:hint="eastAsia"/>
                <w:szCs w:val="21"/>
              </w:rPr>
              <w:t>专业类</w:t>
            </w:r>
          </w:p>
        </w:tc>
        <w:tc>
          <w:tcPr>
            <w:tcW w:w="1198" w:type="dxa"/>
            <w:vAlign w:val="center"/>
          </w:tcPr>
          <w:p>
            <w:pPr>
              <w:jc w:val="center"/>
              <w:rPr>
                <w:kern w:val="0"/>
                <w:szCs w:val="21"/>
              </w:rPr>
            </w:pPr>
            <w:r>
              <w:rPr>
                <w:kern w:val="0"/>
                <w:szCs w:val="21"/>
              </w:rPr>
              <w:t>英文名称</w:t>
            </w:r>
          </w:p>
        </w:tc>
        <w:tc>
          <w:tcPr>
            <w:tcW w:w="2695" w:type="dxa"/>
            <w:vAlign w:val="center"/>
          </w:tcPr>
          <w:p>
            <w:pPr>
              <w:adjustRightInd w:val="0"/>
              <w:snapToGrid w:val="0"/>
              <w:spacing w:line="300" w:lineRule="auto"/>
              <w:jc w:val="center"/>
              <w:rPr>
                <w:bCs/>
                <w:kern w:val="0"/>
                <w:szCs w:val="21"/>
              </w:rPr>
            </w:pPr>
            <w:r>
              <w:rPr>
                <w:szCs w:val="21"/>
              </w:rPr>
              <w:t>Underwater Acoustic Communication and Signal Processing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7" w:type="dxa"/>
            <w:vAlign w:val="center"/>
          </w:tcPr>
          <w:p>
            <w:pPr>
              <w:jc w:val="center"/>
              <w:rPr>
                <w:kern w:val="0"/>
                <w:szCs w:val="21"/>
              </w:rPr>
            </w:pPr>
            <w:r>
              <w:rPr>
                <w:kern w:val="0"/>
                <w:szCs w:val="21"/>
              </w:rPr>
              <w:t>学分学时</w:t>
            </w:r>
          </w:p>
        </w:tc>
        <w:tc>
          <w:tcPr>
            <w:tcW w:w="3441" w:type="dxa"/>
            <w:vAlign w:val="center"/>
          </w:tcPr>
          <w:p>
            <w:pPr>
              <w:jc w:val="center"/>
              <w:rPr>
                <w:kern w:val="0"/>
                <w:szCs w:val="21"/>
              </w:rPr>
            </w:pPr>
            <w:r>
              <w:rPr>
                <w:bCs/>
                <w:kern w:val="0"/>
                <w:szCs w:val="21"/>
              </w:rPr>
              <w:t xml:space="preserve">2 </w:t>
            </w:r>
            <w:r>
              <w:rPr>
                <w:kern w:val="0"/>
                <w:szCs w:val="21"/>
              </w:rPr>
              <w:t>: 32（6）</w:t>
            </w:r>
          </w:p>
        </w:tc>
        <w:tc>
          <w:tcPr>
            <w:tcW w:w="1198" w:type="dxa"/>
            <w:vAlign w:val="center"/>
          </w:tcPr>
          <w:p>
            <w:pPr>
              <w:jc w:val="center"/>
              <w:rPr>
                <w:kern w:val="0"/>
                <w:szCs w:val="21"/>
                <w:highlight w:val="yellow"/>
              </w:rPr>
            </w:pPr>
            <w:r>
              <w:rPr>
                <w:kern w:val="0"/>
                <w:szCs w:val="21"/>
              </w:rPr>
              <w:t>任课教师</w:t>
            </w:r>
          </w:p>
        </w:tc>
        <w:tc>
          <w:tcPr>
            <w:tcW w:w="2695" w:type="dxa"/>
            <w:vAlign w:val="center"/>
          </w:tcPr>
          <w:p>
            <w:pPr>
              <w:jc w:val="center"/>
              <w:rPr>
                <w:kern w:val="0"/>
                <w:szCs w:val="21"/>
                <w:highlight w:val="yellow"/>
              </w:rPr>
            </w:pPr>
            <w:r>
              <w:rPr>
                <w:szCs w:val="21"/>
              </w:rPr>
              <w:t>张培珍</w:t>
            </w:r>
            <w:r>
              <w:rPr>
                <w:kern w:val="0"/>
                <w:szCs w:val="20"/>
              </w:rPr>
              <w:t>，刘畅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vAlign w:val="center"/>
          </w:tcPr>
          <w:p>
            <w:pPr>
              <w:jc w:val="center"/>
              <w:rPr>
                <w:bCs/>
                <w:kern w:val="0"/>
                <w:szCs w:val="21"/>
              </w:rPr>
            </w:pPr>
            <w:r>
              <w:rPr>
                <w:bCs/>
                <w:kern w:val="0"/>
                <w:szCs w:val="21"/>
              </w:rPr>
              <w:t>企业专家</w:t>
            </w:r>
          </w:p>
        </w:tc>
        <w:tc>
          <w:tcPr>
            <w:tcW w:w="3441" w:type="dxa"/>
            <w:vAlign w:val="center"/>
          </w:tcPr>
          <w:p>
            <w:pPr>
              <w:widowControl/>
              <w:jc w:val="center"/>
              <w:rPr>
                <w:kern w:val="0"/>
                <w:szCs w:val="21"/>
              </w:rPr>
            </w:pPr>
            <w:r>
              <w:rPr>
                <w:kern w:val="0"/>
                <w:szCs w:val="21"/>
              </w:rPr>
              <w:t>曾耿滨</w:t>
            </w:r>
          </w:p>
        </w:tc>
        <w:tc>
          <w:tcPr>
            <w:tcW w:w="1198" w:type="dxa"/>
            <w:vAlign w:val="center"/>
          </w:tcPr>
          <w:p>
            <w:pPr>
              <w:jc w:val="center"/>
              <w:rPr>
                <w:bCs/>
                <w:kern w:val="0"/>
                <w:szCs w:val="21"/>
              </w:rPr>
            </w:pPr>
            <w:r>
              <w:rPr>
                <w:bCs/>
                <w:kern w:val="0"/>
                <w:szCs w:val="21"/>
              </w:rPr>
              <w:t>行业专家</w:t>
            </w:r>
          </w:p>
        </w:tc>
        <w:tc>
          <w:tcPr>
            <w:tcW w:w="2695"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vAlign w:val="center"/>
          </w:tcPr>
          <w:p>
            <w:pPr>
              <w:widowControl/>
              <w:jc w:val="center"/>
              <w:rPr>
                <w:bCs/>
                <w:kern w:val="0"/>
                <w:szCs w:val="21"/>
              </w:rPr>
            </w:pPr>
            <w:r>
              <w:rPr>
                <w:bCs/>
                <w:kern w:val="0"/>
                <w:szCs w:val="21"/>
              </w:rPr>
              <w:t>执笔教师</w:t>
            </w:r>
          </w:p>
        </w:tc>
        <w:tc>
          <w:tcPr>
            <w:tcW w:w="3441" w:type="dxa"/>
            <w:vAlign w:val="center"/>
          </w:tcPr>
          <w:p>
            <w:pPr>
              <w:widowControl/>
              <w:jc w:val="center"/>
              <w:rPr>
                <w:kern w:val="0"/>
                <w:szCs w:val="21"/>
              </w:rPr>
            </w:pPr>
            <w:r>
              <w:rPr>
                <w:szCs w:val="21"/>
              </w:rPr>
              <w:t>张培珍</w:t>
            </w:r>
          </w:p>
        </w:tc>
        <w:tc>
          <w:tcPr>
            <w:tcW w:w="1198" w:type="dxa"/>
            <w:vAlign w:val="center"/>
          </w:tcPr>
          <w:p>
            <w:pPr>
              <w:widowControl/>
              <w:jc w:val="center"/>
              <w:rPr>
                <w:bCs/>
                <w:kern w:val="0"/>
                <w:szCs w:val="21"/>
              </w:rPr>
            </w:pPr>
            <w:r>
              <w:rPr>
                <w:bCs/>
                <w:kern w:val="0"/>
                <w:szCs w:val="21"/>
              </w:rPr>
              <w:t>责任教授</w:t>
            </w:r>
          </w:p>
        </w:tc>
        <w:tc>
          <w:tcPr>
            <w:tcW w:w="2695" w:type="dxa"/>
            <w:vAlign w:val="center"/>
          </w:tcPr>
          <w:p>
            <w:pPr>
              <w:widowControl/>
              <w:jc w:val="center"/>
              <w:rPr>
                <w:kern w:val="0"/>
                <w:szCs w:val="21"/>
              </w:rPr>
            </w:pPr>
            <w:r>
              <w:rPr>
                <w:szCs w:val="21"/>
              </w:rPr>
              <w:t>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vAlign w:val="center"/>
          </w:tcPr>
          <w:p>
            <w:pPr>
              <w:widowControl/>
              <w:jc w:val="center"/>
              <w:rPr>
                <w:bCs/>
                <w:kern w:val="0"/>
                <w:szCs w:val="21"/>
              </w:rPr>
            </w:pPr>
            <w:r>
              <w:rPr>
                <w:bCs/>
                <w:kern w:val="0"/>
                <w:szCs w:val="21"/>
              </w:rPr>
              <w:t>适用专业</w:t>
            </w:r>
          </w:p>
        </w:tc>
        <w:tc>
          <w:tcPr>
            <w:tcW w:w="3441" w:type="dxa"/>
            <w:vAlign w:val="center"/>
          </w:tcPr>
          <w:p>
            <w:pPr>
              <w:widowControl/>
              <w:jc w:val="center"/>
              <w:rPr>
                <w:kern w:val="0"/>
                <w:szCs w:val="21"/>
              </w:rPr>
            </w:pPr>
            <w:r>
              <w:rPr>
                <w:kern w:val="0"/>
                <w:szCs w:val="21"/>
              </w:rPr>
              <w:t>电子信息工程</w:t>
            </w:r>
          </w:p>
        </w:tc>
        <w:tc>
          <w:tcPr>
            <w:tcW w:w="1198" w:type="dxa"/>
            <w:vAlign w:val="center"/>
          </w:tcPr>
          <w:p>
            <w:pPr>
              <w:widowControl/>
              <w:jc w:val="center"/>
              <w:rPr>
                <w:bCs/>
                <w:kern w:val="0"/>
                <w:szCs w:val="21"/>
              </w:rPr>
            </w:pPr>
            <w:r>
              <w:rPr>
                <w:bCs/>
                <w:kern w:val="0"/>
                <w:szCs w:val="21"/>
              </w:rPr>
              <w:t>适用对象</w:t>
            </w:r>
          </w:p>
        </w:tc>
        <w:tc>
          <w:tcPr>
            <w:tcW w:w="2695"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vAlign w:val="center"/>
          </w:tcPr>
          <w:p>
            <w:pPr>
              <w:jc w:val="center"/>
              <w:rPr>
                <w:b/>
                <w:kern w:val="0"/>
                <w:szCs w:val="21"/>
              </w:rPr>
            </w:pPr>
            <w:r>
              <w:rPr>
                <w:kern w:val="0"/>
                <w:szCs w:val="21"/>
              </w:rPr>
              <w:t>先修课程</w:t>
            </w:r>
          </w:p>
        </w:tc>
        <w:tc>
          <w:tcPr>
            <w:tcW w:w="3441" w:type="dxa"/>
            <w:vAlign w:val="center"/>
          </w:tcPr>
          <w:p>
            <w:pPr>
              <w:widowControl/>
              <w:jc w:val="center"/>
              <w:rPr>
                <w:szCs w:val="21"/>
              </w:rPr>
            </w:pPr>
            <w:r>
              <w:rPr>
                <w:szCs w:val="21"/>
              </w:rPr>
              <w:t>数字信号处理、</w:t>
            </w:r>
          </w:p>
          <w:p>
            <w:pPr>
              <w:widowControl/>
              <w:jc w:val="center"/>
              <w:rPr>
                <w:bCs/>
                <w:kern w:val="0"/>
                <w:szCs w:val="21"/>
              </w:rPr>
            </w:pPr>
            <w:r>
              <w:rPr>
                <w:szCs w:val="21"/>
              </w:rPr>
              <w:t>通信原理</w:t>
            </w:r>
          </w:p>
        </w:tc>
        <w:tc>
          <w:tcPr>
            <w:tcW w:w="1198" w:type="dxa"/>
            <w:vAlign w:val="center"/>
          </w:tcPr>
          <w:p>
            <w:pPr>
              <w:snapToGrid w:val="0"/>
              <w:spacing w:line="300" w:lineRule="auto"/>
              <w:jc w:val="center"/>
              <w:rPr>
                <w:b/>
                <w:kern w:val="0"/>
                <w:szCs w:val="21"/>
              </w:rPr>
            </w:pPr>
            <w:r>
              <w:rPr>
                <w:kern w:val="0"/>
                <w:szCs w:val="21"/>
              </w:rPr>
              <w:t>同修课程</w:t>
            </w:r>
          </w:p>
        </w:tc>
        <w:tc>
          <w:tcPr>
            <w:tcW w:w="2695"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7" w:type="dxa"/>
            <w:vAlign w:val="center"/>
          </w:tcPr>
          <w:p>
            <w:pPr>
              <w:jc w:val="center"/>
              <w:rPr>
                <w:kern w:val="0"/>
                <w:szCs w:val="21"/>
              </w:rPr>
            </w:pPr>
            <w:r>
              <w:rPr>
                <w:kern w:val="0"/>
                <w:szCs w:val="21"/>
              </w:rPr>
              <w:t>排斥课程</w:t>
            </w:r>
          </w:p>
        </w:tc>
        <w:tc>
          <w:tcPr>
            <w:tcW w:w="3441" w:type="dxa"/>
            <w:vAlign w:val="center"/>
          </w:tcPr>
          <w:p>
            <w:pPr>
              <w:widowControl/>
              <w:jc w:val="center"/>
              <w:rPr>
                <w:kern w:val="0"/>
                <w:szCs w:val="21"/>
              </w:rPr>
            </w:pPr>
            <w:r>
              <w:rPr>
                <w:kern w:val="0"/>
                <w:szCs w:val="21"/>
              </w:rPr>
              <w:t>无</w:t>
            </w:r>
          </w:p>
        </w:tc>
        <w:tc>
          <w:tcPr>
            <w:tcW w:w="1198" w:type="dxa"/>
            <w:vAlign w:val="center"/>
          </w:tcPr>
          <w:p>
            <w:pPr>
              <w:snapToGrid w:val="0"/>
              <w:spacing w:line="300" w:lineRule="auto"/>
              <w:jc w:val="center"/>
              <w:rPr>
                <w:kern w:val="0"/>
                <w:szCs w:val="21"/>
              </w:rPr>
            </w:pPr>
            <w:r>
              <w:rPr>
                <w:kern w:val="0"/>
                <w:szCs w:val="21"/>
              </w:rPr>
              <w:t>定稿日期</w:t>
            </w:r>
          </w:p>
        </w:tc>
        <w:tc>
          <w:tcPr>
            <w:tcW w:w="2695" w:type="dxa"/>
            <w:vAlign w:val="center"/>
          </w:tcPr>
          <w:p>
            <w:pPr>
              <w:widowControl/>
              <w:jc w:val="center"/>
              <w:rPr>
                <w:kern w:val="0"/>
                <w:szCs w:val="21"/>
              </w:rPr>
            </w:pPr>
            <w:r>
              <w:rPr>
                <w:rFonts w:hint="eastAsia"/>
                <w:kern w:val="0"/>
                <w:szCs w:val="21"/>
              </w:rPr>
              <w:t>2022.5.10</w:t>
            </w:r>
          </w:p>
        </w:tc>
      </w:tr>
    </w:tbl>
    <w:p>
      <w:pPr>
        <w:snapToGrid w:val="0"/>
        <w:spacing w:line="300" w:lineRule="auto"/>
        <w:ind w:firstLine="480"/>
        <w:rPr>
          <w:szCs w:val="21"/>
        </w:rPr>
      </w:pPr>
      <w:r>
        <w:rPr>
          <w:kern w:val="0"/>
          <w:szCs w:val="20"/>
        </w:rPr>
        <w:t>*</w:t>
      </w:r>
      <w:r>
        <w:rPr>
          <w:rFonts w:hint="eastAsia"/>
          <w:sz w:val="18"/>
          <w:szCs w:val="18"/>
        </w:rPr>
        <w:t>数学与自然科学类、工程基础类、专业基础类、专业类、工程实践与毕业设计（论文）、人文社会科学类；学分学时处（）内为实验学时</w:t>
      </w:r>
      <w:r>
        <w:rPr>
          <w:sz w:val="18"/>
          <w:szCs w:val="18"/>
        </w:rPr>
        <w:t>。</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本课程是电子信息工程专业人才培养方案中学科专业拓展课，主要授课对象为电子信息工程专业本科学生。水声通信与信号处理课程是一门渗透性交叉性较强的应用技术学科，不仅与通信原理、数字信号处理、以及水声工程等课程密切先关，要求将水声物理基础与移动通信、信号处理技术应用有机结合。通过本课程的学习，使学生应认识水声通信对现代科学技术发展所起的作用，作为拓展任选课程，有利于学生掌握水下综合信息感知与信息交互的主要手段，培养学生分析问题解决问题的能力，可服务于海洋开发和军事应用。</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 xml:space="preserve">海洋声学还是一门迅速发展的学科，水声通信技术是海洋科技界多年来追求的一个目标，希望达到在水下速地传输语音、图像、文字及数据，而本课程在原理分析的基础上以指导实际应用研究为目的。通过本课程的教学使学生掌握水声通信的基本原理、信号处理技术及其应用。通过本课程的学习，可以了解水声通信系统及其目前发展现状和声学的基本知识；掌握声波在海洋中传播的基本特性；掌握水声信道的特性，以及水声通信的编码及调制技术。讲授绪论时，介绍水声通信的历史，学习科学家的工匠精神，植入国内著名通信公司的介绍，培养学生的爱国与担当精神。旨在培育学生创新精神，使学生的学习能力提升的同时，精神层面也得到升华。本课程的具体教学目标如下： </w:t>
      </w:r>
    </w:p>
    <w:p>
      <w:pPr>
        <w:snapToGrid w:val="0"/>
        <w:spacing w:line="300" w:lineRule="auto"/>
        <w:ind w:firstLine="420" w:firstLineChars="200"/>
        <w:rPr>
          <w:kern w:val="0"/>
          <w:szCs w:val="21"/>
        </w:rPr>
      </w:pPr>
      <w:r>
        <w:rPr>
          <w:kern w:val="0"/>
          <w:szCs w:val="21"/>
        </w:rPr>
        <w:t>1．掌握水声通信的基本原理、信号处理技术及其应用，用于电子信息工程领域复杂工程问题的建模和求解及解决方案的评价；[1.3]</w:t>
      </w:r>
    </w:p>
    <w:p>
      <w:pPr>
        <w:snapToGrid w:val="0"/>
        <w:spacing w:line="300" w:lineRule="auto"/>
        <w:ind w:firstLine="420" w:firstLineChars="200"/>
        <w:rPr>
          <w:kern w:val="0"/>
          <w:szCs w:val="21"/>
        </w:rPr>
      </w:pPr>
      <w:r>
        <w:rPr>
          <w:kern w:val="0"/>
          <w:szCs w:val="21"/>
        </w:rPr>
        <w:t>2．了解水声通信系统及其目前发展现状和声学的基本知识，对电子信息工程的复杂工程问题进行识别、表达和分析，并获得有效结论的能力；[2.2]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6"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1．工程知识</w:t>
            </w:r>
          </w:p>
        </w:tc>
        <w:tc>
          <w:tcPr>
            <w:tcW w:w="6143" w:type="dxa"/>
          </w:tcPr>
          <w:p>
            <w:pPr>
              <w:snapToGrid w:val="0"/>
              <w:spacing w:line="300" w:lineRule="auto"/>
              <w:rPr>
                <w:sz w:val="18"/>
                <w:szCs w:val="18"/>
              </w:rPr>
            </w:pPr>
            <w:r>
              <w:rPr>
                <w:sz w:val="18"/>
                <w:szCs w:val="18"/>
              </w:rPr>
              <w:t>1.3综合运用数学、自然科学、工程基础和专业知识，用于电子信息工程领域复杂工程问题的建模和求解及解决方案的评价。</w:t>
            </w:r>
          </w:p>
        </w:tc>
        <w:tc>
          <w:tcPr>
            <w:tcW w:w="689" w:type="dxa"/>
            <w:vAlign w:val="center"/>
          </w:tcPr>
          <w:p>
            <w:pPr>
              <w:snapToGrid w:val="0"/>
              <w:spacing w:line="300" w:lineRule="auto"/>
              <w:jc w:val="center"/>
              <w:rPr>
                <w:sz w:val="18"/>
                <w:szCs w:val="18"/>
              </w:rPr>
            </w:pPr>
            <w:r>
              <w:rPr>
                <w:sz w:val="18"/>
                <w:szCs w:val="18"/>
              </w:rPr>
              <w:t>1</w:t>
            </w:r>
          </w:p>
        </w:tc>
        <w:tc>
          <w:tcPr>
            <w:tcW w:w="656" w:type="dxa"/>
            <w:vAlign w:val="center"/>
          </w:tcPr>
          <w:p>
            <w:pPr>
              <w:snapToGrid w:val="0"/>
              <w:spacing w:line="300" w:lineRule="auto"/>
              <w:jc w:val="center"/>
              <w:rPr>
                <w:sz w:val="18"/>
                <w:szCs w:val="18"/>
              </w:rPr>
            </w:pPr>
            <w:r>
              <w:rPr>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2．问题分析</w:t>
            </w:r>
          </w:p>
        </w:tc>
        <w:tc>
          <w:tcPr>
            <w:tcW w:w="6143" w:type="dxa"/>
            <w:vAlign w:val="center"/>
          </w:tcPr>
          <w:p>
            <w:pPr>
              <w:snapToGrid w:val="0"/>
              <w:spacing w:line="300" w:lineRule="auto"/>
              <w:rPr>
                <w:sz w:val="18"/>
                <w:szCs w:val="18"/>
              </w:rPr>
            </w:pPr>
            <w:r>
              <w:rPr>
                <w:sz w:val="18"/>
                <w:szCs w:val="18"/>
              </w:rPr>
              <w:t>2.2</w:t>
            </w:r>
            <w:r>
              <w:rPr>
                <w:rFonts w:hint="eastAsia"/>
                <w:sz w:val="18"/>
                <w:szCs w:val="18"/>
              </w:rPr>
              <w:t>能运用电子信息工程专业基本原理和方法，综合考虑多种影响因素，分析电子信息工程（含海洋电子信息）领域复杂工程问题，选择和优化问题的解决方案。</w:t>
            </w:r>
          </w:p>
        </w:tc>
        <w:tc>
          <w:tcPr>
            <w:tcW w:w="689" w:type="dxa"/>
            <w:vAlign w:val="center"/>
          </w:tcPr>
          <w:p>
            <w:pPr>
              <w:snapToGrid w:val="0"/>
              <w:spacing w:line="300" w:lineRule="auto"/>
              <w:jc w:val="center"/>
              <w:rPr>
                <w:sz w:val="18"/>
                <w:szCs w:val="18"/>
              </w:rPr>
            </w:pPr>
            <w:r>
              <w:rPr>
                <w:sz w:val="18"/>
                <w:szCs w:val="18"/>
              </w:rPr>
              <w:t>2</w:t>
            </w:r>
          </w:p>
        </w:tc>
        <w:tc>
          <w:tcPr>
            <w:tcW w:w="656" w:type="dxa"/>
            <w:vAlign w:val="center"/>
          </w:tcPr>
          <w:p>
            <w:pPr>
              <w:snapToGrid w:val="0"/>
              <w:spacing w:line="300" w:lineRule="auto"/>
              <w:jc w:val="center"/>
              <w:rPr>
                <w:sz w:val="18"/>
                <w:szCs w:val="18"/>
              </w:rPr>
            </w:pPr>
            <w:r>
              <w:rPr>
                <w:sz w:val="18"/>
                <w:szCs w:val="18"/>
              </w:rPr>
              <w:t>0.5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199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99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rPr>
              <w:t>1．掌握水声通信的基本原理、信号处理技术及其应用，用于电子信息工程领域复杂工程问题的建模和求解及解决方案的评价；</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rPr>
              <w:t>2．了解水声通信系统及其目前发展现状和声学的基本知识，对电子信息工程的复杂工程问题进行识别、表达和分析，并获得有效结论的能力；</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rPr>
            </w:pPr>
            <w:r>
              <w:rPr>
                <w:sz w:val="18"/>
                <w:szCs w:val="18"/>
              </w:rPr>
              <w:t>课堂表现、习题作业与方案报告。</w:t>
            </w:r>
          </w:p>
        </w:tc>
      </w:tr>
    </w:tbl>
    <w:p>
      <w:pPr>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firstLineChars="200"/>
      </w:pPr>
      <w:r>
        <w:rPr>
          <w:szCs w:val="21"/>
        </w:rPr>
        <w:t> </w:t>
      </w:r>
      <w:r>
        <w:t>1. 课堂讲授为主，网络多媒体教学、课程独立网站（含教学视频）以及“雨课堂”同步学习为辅，注重工程案例教学，与专业相关实践教学环节和场景配合呼应。</w:t>
      </w:r>
    </w:p>
    <w:p>
      <w:pPr>
        <w:adjustRightInd w:val="0"/>
        <w:snapToGrid w:val="0"/>
        <w:spacing w:line="300" w:lineRule="auto"/>
        <w:ind w:firstLine="420" w:firstLineChars="200"/>
      </w:pPr>
      <w:r>
        <w:t>2. 根据课程特点采用启发式教学、任务驱动教学、讨论教学法进行教学方法创新；核心能力知识点采用“原理描述-方法分析-应用案例展示”相互呼应的教学模式。</w:t>
      </w:r>
    </w:p>
    <w:p>
      <w:pPr>
        <w:adjustRightInd w:val="0"/>
        <w:snapToGrid w:val="0"/>
        <w:spacing w:line="300" w:lineRule="auto"/>
        <w:ind w:firstLine="420" w:firstLineChars="200"/>
        <w:rPr>
          <w:szCs w:val="21"/>
        </w:rPr>
      </w:pPr>
      <w:r>
        <w:t>3</w:t>
      </w:r>
      <w:r>
        <w:rPr>
          <w:kern w:val="0"/>
          <w:szCs w:val="21"/>
        </w:rPr>
        <w:t>．</w:t>
      </w:r>
      <w:r>
        <w:t>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795"/>
        <w:gridCol w:w="4535"/>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jc w:val="center"/>
        </w:trPr>
        <w:tc>
          <w:tcPr>
            <w:tcW w:w="587"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795" w:type="dxa"/>
            <w:vAlign w:val="center"/>
          </w:tcPr>
          <w:p>
            <w:pPr>
              <w:snapToGrid w:val="0"/>
              <w:spacing w:line="300" w:lineRule="auto"/>
              <w:ind w:firstLine="361" w:firstLineChars="200"/>
              <w:rPr>
                <w:b/>
                <w:bCs/>
                <w:sz w:val="18"/>
                <w:szCs w:val="18"/>
              </w:rPr>
            </w:pPr>
            <w:r>
              <w:rPr>
                <w:b/>
                <w:bCs/>
                <w:sz w:val="18"/>
                <w:szCs w:val="18"/>
              </w:rPr>
              <w:t>教学内容</w:t>
            </w:r>
          </w:p>
        </w:tc>
        <w:tc>
          <w:tcPr>
            <w:tcW w:w="4535" w:type="dxa"/>
            <w:vAlign w:val="center"/>
          </w:tcPr>
          <w:p>
            <w:pPr>
              <w:snapToGrid w:val="0"/>
              <w:spacing w:line="300" w:lineRule="auto"/>
              <w:ind w:firstLine="361" w:firstLineChars="200"/>
              <w:jc w:val="center"/>
              <w:rPr>
                <w:b/>
                <w:bCs/>
                <w:sz w:val="18"/>
                <w:szCs w:val="18"/>
              </w:rPr>
            </w:pPr>
            <w:r>
              <w:rPr>
                <w:b/>
                <w:bCs/>
                <w:sz w:val="18"/>
                <w:szCs w:val="18"/>
              </w:rPr>
              <w:t>教与学的要求</w:t>
            </w:r>
          </w:p>
        </w:tc>
        <w:tc>
          <w:tcPr>
            <w:tcW w:w="734" w:type="dxa"/>
            <w:vAlign w:val="center"/>
          </w:tcPr>
          <w:p>
            <w:pPr>
              <w:snapToGrid w:val="0"/>
              <w:spacing w:line="300" w:lineRule="auto"/>
              <w:jc w:val="center"/>
              <w:rPr>
                <w:b/>
                <w:bCs/>
                <w:sz w:val="18"/>
                <w:szCs w:val="18"/>
              </w:rPr>
            </w:pPr>
            <w:r>
              <w:rPr>
                <w:b/>
                <w:bCs/>
                <w:sz w:val="18"/>
                <w:szCs w:val="18"/>
              </w:rPr>
              <w:t>学时</w:t>
            </w:r>
          </w:p>
        </w:tc>
        <w:tc>
          <w:tcPr>
            <w:tcW w:w="1030" w:type="dxa"/>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Mar>
              <w:left w:w="57" w:type="dxa"/>
              <w:right w:w="57" w:type="dxa"/>
            </w:tcMar>
            <w:vAlign w:val="center"/>
          </w:tcPr>
          <w:p>
            <w:pPr>
              <w:snapToGrid w:val="0"/>
              <w:spacing w:line="300" w:lineRule="auto"/>
              <w:jc w:val="center"/>
              <w:rPr>
                <w:sz w:val="18"/>
                <w:szCs w:val="18"/>
              </w:rPr>
            </w:pPr>
            <w:r>
              <w:rPr>
                <w:sz w:val="18"/>
                <w:szCs w:val="18"/>
              </w:rPr>
              <w:t>1</w:t>
            </w:r>
          </w:p>
        </w:tc>
        <w:tc>
          <w:tcPr>
            <w:tcW w:w="1795" w:type="dxa"/>
            <w:vAlign w:val="center"/>
          </w:tcPr>
          <w:p>
            <w:pPr>
              <w:widowControl/>
              <w:adjustRightInd w:val="0"/>
              <w:snapToGrid w:val="0"/>
              <w:spacing w:line="300" w:lineRule="auto"/>
              <w:ind w:left="180" w:hanging="180" w:hangingChars="100"/>
              <w:rPr>
                <w:bCs/>
                <w:sz w:val="18"/>
                <w:szCs w:val="18"/>
              </w:rPr>
            </w:pPr>
            <w:r>
              <w:rPr>
                <w:bCs/>
                <w:sz w:val="18"/>
                <w:szCs w:val="18"/>
              </w:rPr>
              <w:t>0 绪论</w:t>
            </w:r>
          </w:p>
          <w:p>
            <w:pPr>
              <w:widowControl/>
              <w:adjustRightInd w:val="0"/>
              <w:snapToGrid w:val="0"/>
              <w:spacing w:line="300" w:lineRule="auto"/>
              <w:ind w:left="178" w:leftChars="85"/>
              <w:rPr>
                <w:bCs/>
                <w:sz w:val="18"/>
                <w:szCs w:val="18"/>
              </w:rPr>
            </w:pPr>
            <w:r>
              <w:rPr>
                <w:b/>
                <w:sz w:val="18"/>
                <w:szCs w:val="18"/>
              </w:rPr>
              <w:t>课程思政：介绍水声通信的历史，学习科学家的工匠精神。</w:t>
            </w:r>
          </w:p>
          <w:p>
            <w:pPr>
              <w:widowControl/>
              <w:adjustRightInd w:val="0"/>
              <w:snapToGrid w:val="0"/>
              <w:spacing w:line="300" w:lineRule="auto"/>
              <w:rPr>
                <w:bCs/>
                <w:sz w:val="18"/>
                <w:szCs w:val="18"/>
              </w:rPr>
            </w:pPr>
            <w:r>
              <w:rPr>
                <w:bCs/>
                <w:sz w:val="18"/>
                <w:szCs w:val="18"/>
              </w:rPr>
              <w:t>1 水声学基础</w:t>
            </w:r>
          </w:p>
          <w:p>
            <w:pPr>
              <w:adjustRightInd w:val="0"/>
              <w:snapToGrid w:val="0"/>
              <w:spacing w:line="300" w:lineRule="auto"/>
              <w:ind w:left="204" w:leftChars="80" w:right="-31" w:rightChars="-15" w:hanging="36" w:hangingChars="20"/>
              <w:rPr>
                <w:bCs/>
                <w:sz w:val="18"/>
                <w:szCs w:val="18"/>
              </w:rPr>
            </w:pPr>
            <w:r>
              <w:rPr>
                <w:bCs/>
                <w:sz w:val="18"/>
                <w:szCs w:val="18"/>
              </w:rPr>
              <w:t>1.1 声学基本知识</w:t>
            </w:r>
          </w:p>
          <w:p>
            <w:pPr>
              <w:adjustRightInd w:val="0"/>
              <w:snapToGrid w:val="0"/>
              <w:spacing w:line="300" w:lineRule="auto"/>
              <w:ind w:left="204" w:leftChars="80" w:right="-31" w:rightChars="-15" w:hanging="36" w:hangingChars="20"/>
              <w:rPr>
                <w:bCs/>
                <w:sz w:val="18"/>
                <w:szCs w:val="18"/>
              </w:rPr>
            </w:pPr>
            <w:r>
              <w:rPr>
                <w:bCs/>
                <w:sz w:val="18"/>
                <w:szCs w:val="18"/>
              </w:rPr>
              <w:t>1.2 声呐方程</w:t>
            </w:r>
          </w:p>
          <w:p>
            <w:pPr>
              <w:adjustRightInd w:val="0"/>
              <w:snapToGrid w:val="0"/>
              <w:spacing w:line="300" w:lineRule="auto"/>
              <w:ind w:firstLine="180" w:firstLineChars="100"/>
              <w:rPr>
                <w:bCs/>
                <w:sz w:val="18"/>
                <w:szCs w:val="18"/>
              </w:rPr>
            </w:pPr>
            <w:r>
              <w:rPr>
                <w:bCs/>
                <w:sz w:val="18"/>
                <w:szCs w:val="18"/>
              </w:rPr>
              <w:t>1.3 声波的发射与接收</w:t>
            </w:r>
          </w:p>
        </w:tc>
        <w:tc>
          <w:tcPr>
            <w:tcW w:w="4535" w:type="dxa"/>
            <w:vAlign w:val="center"/>
          </w:tcPr>
          <w:p>
            <w:pPr>
              <w:adjustRightInd w:val="0"/>
              <w:snapToGrid w:val="0"/>
              <w:spacing w:line="300" w:lineRule="auto"/>
              <w:rPr>
                <w:bCs/>
                <w:sz w:val="18"/>
                <w:szCs w:val="18"/>
              </w:rPr>
            </w:pPr>
            <w:r>
              <w:rPr>
                <w:bCs/>
                <w:sz w:val="18"/>
                <w:szCs w:val="18"/>
              </w:rPr>
              <w:t>1</w:t>
            </w:r>
            <w:r>
              <w:rPr>
                <w:kern w:val="0"/>
                <w:szCs w:val="21"/>
              </w:rPr>
              <w:t>．</w:t>
            </w:r>
            <w:r>
              <w:rPr>
                <w:bCs/>
                <w:sz w:val="18"/>
                <w:szCs w:val="18"/>
              </w:rPr>
              <w:t>要求</w:t>
            </w:r>
          </w:p>
          <w:p>
            <w:pPr>
              <w:adjustRightInd w:val="0"/>
              <w:snapToGrid w:val="0"/>
              <w:spacing w:line="300" w:lineRule="auto"/>
              <w:ind w:right="-31" w:rightChars="-15" w:firstLine="25" w:firstLineChars="14"/>
              <w:rPr>
                <w:bCs/>
                <w:sz w:val="18"/>
                <w:szCs w:val="18"/>
              </w:rPr>
            </w:pPr>
            <w:r>
              <w:rPr>
                <w:bCs/>
                <w:sz w:val="18"/>
                <w:szCs w:val="18"/>
              </w:rPr>
              <w:t>（1）了解声学基本概念、分类、以及声压、位移、振速、阻抗、声压级等基本物理量的定义与计算方法。</w:t>
            </w:r>
          </w:p>
          <w:p>
            <w:pPr>
              <w:adjustRightInd w:val="0"/>
              <w:snapToGrid w:val="0"/>
              <w:spacing w:line="300" w:lineRule="auto"/>
              <w:ind w:right="-31" w:rightChars="-15" w:firstLine="25" w:firstLineChars="14"/>
              <w:rPr>
                <w:bCs/>
                <w:sz w:val="18"/>
                <w:szCs w:val="18"/>
              </w:rPr>
            </w:pPr>
            <w:r>
              <w:rPr>
                <w:bCs/>
                <w:sz w:val="18"/>
                <w:szCs w:val="18"/>
              </w:rPr>
              <w:t>（2）理解声波发射与接收过程，声源与介质的相互作用。</w:t>
            </w:r>
          </w:p>
          <w:p>
            <w:pPr>
              <w:adjustRightInd w:val="0"/>
              <w:snapToGrid w:val="0"/>
              <w:spacing w:line="300" w:lineRule="auto"/>
              <w:ind w:right="-31" w:rightChars="-15" w:firstLine="25" w:firstLineChars="14"/>
              <w:rPr>
                <w:bCs/>
                <w:sz w:val="18"/>
                <w:szCs w:val="18"/>
              </w:rPr>
            </w:pPr>
            <w:r>
              <w:rPr>
                <w:bCs/>
                <w:sz w:val="18"/>
                <w:szCs w:val="18"/>
              </w:rPr>
              <w:t>（3）掌握理想流体中的声波波动方程；声纳系统的工作原理，声纳参数、声纳方程的建立。</w:t>
            </w:r>
          </w:p>
          <w:p>
            <w:pPr>
              <w:adjustRightInd w:val="0"/>
              <w:snapToGrid w:val="0"/>
              <w:spacing w:line="300" w:lineRule="auto"/>
              <w:rPr>
                <w:bCs/>
                <w:sz w:val="18"/>
                <w:szCs w:val="18"/>
              </w:rPr>
            </w:pPr>
            <w:r>
              <w:rPr>
                <w:bCs/>
                <w:sz w:val="18"/>
                <w:szCs w:val="18"/>
              </w:rPr>
              <w:t>2</w:t>
            </w:r>
            <w:r>
              <w:rPr>
                <w:kern w:val="0"/>
                <w:szCs w:val="21"/>
              </w:rPr>
              <w:t>．</w:t>
            </w:r>
            <w:r>
              <w:rPr>
                <w:bCs/>
                <w:sz w:val="18"/>
                <w:szCs w:val="18"/>
              </w:rPr>
              <w:t>作业内容</w:t>
            </w:r>
          </w:p>
          <w:p>
            <w:pPr>
              <w:adjustRightInd w:val="0"/>
              <w:snapToGrid w:val="0"/>
              <w:spacing w:line="300" w:lineRule="auto"/>
              <w:ind w:firstLine="360" w:firstLineChars="200"/>
              <w:rPr>
                <w:bCs/>
                <w:sz w:val="18"/>
                <w:szCs w:val="18"/>
              </w:rPr>
            </w:pPr>
            <w:r>
              <w:rPr>
                <w:bCs/>
                <w:sz w:val="18"/>
                <w:szCs w:val="18"/>
              </w:rPr>
              <w:t>资料查询与调研，了解水声学发展的现状和最新动态。</w:t>
            </w:r>
          </w:p>
          <w:p>
            <w:pPr>
              <w:adjustRightInd w:val="0"/>
              <w:snapToGrid w:val="0"/>
              <w:spacing w:line="300" w:lineRule="auto"/>
              <w:rPr>
                <w:bCs/>
                <w:sz w:val="18"/>
                <w:szCs w:val="18"/>
              </w:rPr>
            </w:pPr>
            <w:r>
              <w:rPr>
                <w:bCs/>
                <w:sz w:val="18"/>
                <w:szCs w:val="18"/>
              </w:rPr>
              <w:t>3</w:t>
            </w:r>
            <w:r>
              <w:rPr>
                <w:kern w:val="0"/>
                <w:szCs w:val="21"/>
              </w:rPr>
              <w:t>．</w:t>
            </w:r>
            <w:r>
              <w:rPr>
                <w:bCs/>
                <w:sz w:val="18"/>
                <w:szCs w:val="18"/>
              </w:rPr>
              <w:t xml:space="preserve">教学方法 </w:t>
            </w:r>
          </w:p>
          <w:p>
            <w:pPr>
              <w:adjustRightInd w:val="0"/>
              <w:snapToGrid w:val="0"/>
              <w:spacing w:line="300" w:lineRule="auto"/>
              <w:ind w:firstLine="360" w:firstLineChars="200"/>
              <w:rPr>
                <w:bCs/>
                <w:sz w:val="18"/>
                <w:szCs w:val="18"/>
              </w:rPr>
            </w:pPr>
            <w:r>
              <w:rPr>
                <w:bCs/>
                <w:sz w:val="18"/>
                <w:szCs w:val="18"/>
              </w:rPr>
              <w:t>课堂讲授、讨论和实验教学结合。</w:t>
            </w:r>
          </w:p>
          <w:p>
            <w:pPr>
              <w:adjustRightInd w:val="0"/>
              <w:snapToGrid w:val="0"/>
              <w:spacing w:line="300" w:lineRule="auto"/>
              <w:rPr>
                <w:bCs/>
                <w:sz w:val="18"/>
                <w:szCs w:val="18"/>
              </w:rPr>
            </w:pPr>
            <w:r>
              <w:rPr>
                <w:bCs/>
                <w:sz w:val="18"/>
                <w:szCs w:val="18"/>
              </w:rPr>
              <w:t>4</w:t>
            </w:r>
            <w:r>
              <w:rPr>
                <w:kern w:val="0"/>
                <w:szCs w:val="21"/>
              </w:rPr>
              <w:t>．</w:t>
            </w:r>
            <w:r>
              <w:rPr>
                <w:bCs/>
                <w:sz w:val="18"/>
                <w:szCs w:val="18"/>
              </w:rPr>
              <w:t>教学手段</w:t>
            </w:r>
          </w:p>
          <w:p>
            <w:pPr>
              <w:adjustRightInd w:val="0"/>
              <w:snapToGrid w:val="0"/>
              <w:spacing w:line="300" w:lineRule="auto"/>
              <w:rPr>
                <w:bCs/>
                <w:sz w:val="18"/>
                <w:szCs w:val="18"/>
              </w:rPr>
            </w:pPr>
            <w:r>
              <w:rPr>
                <w:bCs/>
                <w:sz w:val="18"/>
                <w:szCs w:val="18"/>
              </w:rPr>
              <w:t>多媒体教学和板书结合（需要时）</w:t>
            </w:r>
          </w:p>
        </w:tc>
        <w:tc>
          <w:tcPr>
            <w:tcW w:w="734" w:type="dxa"/>
            <w:vAlign w:val="center"/>
          </w:tcPr>
          <w:p>
            <w:pPr>
              <w:adjustRightInd w:val="0"/>
              <w:snapToGrid w:val="0"/>
              <w:spacing w:line="300" w:lineRule="auto"/>
              <w:jc w:val="center"/>
              <w:rPr>
                <w:bCs/>
                <w:sz w:val="18"/>
                <w:szCs w:val="18"/>
              </w:rPr>
            </w:pPr>
            <w:r>
              <w:rPr>
                <w:bCs/>
                <w:kern w:val="0"/>
                <w:sz w:val="18"/>
                <w:szCs w:val="18"/>
              </w:rPr>
              <w:t>6</w:t>
            </w:r>
          </w:p>
        </w:tc>
        <w:tc>
          <w:tcPr>
            <w:tcW w:w="1030" w:type="dxa"/>
            <w:vAlign w:val="center"/>
          </w:tcPr>
          <w:p>
            <w:pPr>
              <w:adjustRightInd w:val="0"/>
              <w:snapToGrid w:val="0"/>
              <w:spacing w:line="300" w:lineRule="auto"/>
              <w:rPr>
                <w:bCs/>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sz w:val="18"/>
                <w:szCs w:val="18"/>
              </w:rPr>
            </w:pPr>
            <w:r>
              <w:rPr>
                <w:kern w:val="0"/>
                <w:sz w:val="18"/>
                <w:szCs w:val="18"/>
              </w:rPr>
              <w:t>2</w:t>
            </w:r>
          </w:p>
        </w:tc>
        <w:tc>
          <w:tcPr>
            <w:tcW w:w="1795" w:type="dxa"/>
            <w:vAlign w:val="center"/>
          </w:tcPr>
          <w:p>
            <w:pPr>
              <w:widowControl/>
              <w:adjustRightInd w:val="0"/>
              <w:snapToGrid w:val="0"/>
              <w:spacing w:line="300" w:lineRule="auto"/>
              <w:rPr>
                <w:bCs/>
                <w:kern w:val="0"/>
                <w:sz w:val="18"/>
                <w:szCs w:val="18"/>
              </w:rPr>
            </w:pPr>
            <w:r>
              <w:rPr>
                <w:bCs/>
                <w:sz w:val="18"/>
                <w:szCs w:val="18"/>
              </w:rPr>
              <w:t>2 声在海水中的传播特性</w:t>
            </w:r>
          </w:p>
          <w:p>
            <w:pPr>
              <w:adjustRightInd w:val="0"/>
              <w:snapToGrid w:val="0"/>
              <w:spacing w:line="300" w:lineRule="auto"/>
              <w:ind w:left="204" w:leftChars="80" w:right="-31" w:rightChars="-15" w:hanging="36" w:hangingChars="20"/>
              <w:rPr>
                <w:bCs/>
                <w:sz w:val="18"/>
                <w:szCs w:val="18"/>
              </w:rPr>
            </w:pPr>
            <w:r>
              <w:rPr>
                <w:bCs/>
                <w:sz w:val="18"/>
                <w:szCs w:val="18"/>
              </w:rPr>
              <w:t>2.1 声在海洋中传播损失的概念</w:t>
            </w:r>
          </w:p>
          <w:p>
            <w:pPr>
              <w:adjustRightInd w:val="0"/>
              <w:snapToGrid w:val="0"/>
              <w:spacing w:line="300" w:lineRule="auto"/>
              <w:ind w:left="204" w:leftChars="80" w:right="-31" w:rightChars="-15" w:hanging="36" w:hangingChars="20"/>
              <w:rPr>
                <w:bCs/>
                <w:sz w:val="18"/>
                <w:szCs w:val="18"/>
              </w:rPr>
            </w:pPr>
            <w:r>
              <w:rPr>
                <w:bCs/>
                <w:sz w:val="18"/>
                <w:szCs w:val="18"/>
              </w:rPr>
              <w:t>2.2 海洋的基本声学特性</w:t>
            </w:r>
          </w:p>
          <w:p>
            <w:pPr>
              <w:adjustRightInd w:val="0"/>
              <w:snapToGrid w:val="0"/>
              <w:spacing w:line="300" w:lineRule="auto"/>
              <w:ind w:left="204" w:leftChars="80" w:right="-31" w:rightChars="-15" w:hanging="36" w:hangingChars="20"/>
              <w:rPr>
                <w:bCs/>
                <w:sz w:val="18"/>
                <w:szCs w:val="18"/>
              </w:rPr>
            </w:pPr>
            <w:r>
              <w:rPr>
                <w:bCs/>
                <w:sz w:val="18"/>
                <w:szCs w:val="18"/>
              </w:rPr>
              <w:t>2.3 海洋介质中声波的散射</w:t>
            </w:r>
          </w:p>
          <w:p>
            <w:pPr>
              <w:adjustRightInd w:val="0"/>
              <w:snapToGrid w:val="0"/>
              <w:spacing w:line="300" w:lineRule="auto"/>
              <w:ind w:firstLine="180" w:firstLineChars="100"/>
              <w:rPr>
                <w:bCs/>
                <w:sz w:val="18"/>
                <w:szCs w:val="18"/>
              </w:rPr>
            </w:pPr>
            <w:r>
              <w:rPr>
                <w:bCs/>
                <w:sz w:val="18"/>
                <w:szCs w:val="18"/>
              </w:rPr>
              <w:t>2.4 水声噪声</w:t>
            </w:r>
          </w:p>
        </w:tc>
        <w:tc>
          <w:tcPr>
            <w:tcW w:w="4535" w:type="dxa"/>
            <w:vAlign w:val="center"/>
          </w:tcPr>
          <w:p>
            <w:pPr>
              <w:adjustRightInd w:val="0"/>
              <w:snapToGrid w:val="0"/>
              <w:spacing w:line="300" w:lineRule="auto"/>
              <w:rPr>
                <w:bCs/>
                <w:sz w:val="18"/>
                <w:szCs w:val="18"/>
              </w:rPr>
            </w:pPr>
            <w:r>
              <w:rPr>
                <w:bCs/>
                <w:sz w:val="18"/>
                <w:szCs w:val="18"/>
              </w:rPr>
              <w:t>1</w:t>
            </w:r>
            <w:r>
              <w:rPr>
                <w:kern w:val="0"/>
                <w:szCs w:val="21"/>
              </w:rPr>
              <w:t>．</w:t>
            </w:r>
            <w:r>
              <w:rPr>
                <w:bCs/>
                <w:sz w:val="18"/>
                <w:szCs w:val="18"/>
              </w:rPr>
              <w:t>要求</w:t>
            </w:r>
          </w:p>
          <w:p>
            <w:pPr>
              <w:adjustRightInd w:val="0"/>
              <w:snapToGrid w:val="0"/>
              <w:spacing w:line="300" w:lineRule="auto"/>
              <w:ind w:left="29" w:leftChars="14" w:right="-31" w:rightChars="-15" w:firstLine="6"/>
              <w:rPr>
                <w:bCs/>
                <w:sz w:val="18"/>
                <w:szCs w:val="18"/>
              </w:rPr>
            </w:pPr>
            <w:r>
              <w:rPr>
                <w:bCs/>
                <w:sz w:val="18"/>
                <w:szCs w:val="18"/>
              </w:rPr>
              <w:t>（1）了解：声波在海洋中传播损失、水声噪声的基本概念。</w:t>
            </w:r>
          </w:p>
          <w:p>
            <w:pPr>
              <w:adjustRightInd w:val="0"/>
              <w:snapToGrid w:val="0"/>
              <w:spacing w:line="300" w:lineRule="auto"/>
              <w:ind w:left="29" w:leftChars="14" w:right="-31" w:rightChars="-15" w:firstLine="6"/>
              <w:rPr>
                <w:bCs/>
                <w:sz w:val="18"/>
                <w:szCs w:val="18"/>
              </w:rPr>
            </w:pPr>
            <w:r>
              <w:rPr>
                <w:bCs/>
                <w:sz w:val="18"/>
                <w:szCs w:val="18"/>
              </w:rPr>
              <w:t>（2）理解：水声噪声统计特性分析、离散谱和连续谱特性。</w:t>
            </w:r>
          </w:p>
          <w:p>
            <w:pPr>
              <w:adjustRightInd w:val="0"/>
              <w:snapToGrid w:val="0"/>
              <w:spacing w:line="300" w:lineRule="auto"/>
              <w:ind w:left="29" w:leftChars="14" w:right="-31" w:rightChars="-15"/>
              <w:rPr>
                <w:bCs/>
                <w:sz w:val="18"/>
                <w:szCs w:val="18"/>
              </w:rPr>
            </w:pPr>
            <w:r>
              <w:rPr>
                <w:bCs/>
                <w:sz w:val="18"/>
                <w:szCs w:val="18"/>
              </w:rPr>
              <w:t>（3）掌握：海洋的基本声学特性和海洋介质中声波的散射规律。</w:t>
            </w:r>
          </w:p>
          <w:p>
            <w:pPr>
              <w:adjustRightInd w:val="0"/>
              <w:snapToGrid w:val="0"/>
              <w:spacing w:line="300" w:lineRule="auto"/>
              <w:rPr>
                <w:bCs/>
                <w:sz w:val="18"/>
                <w:szCs w:val="18"/>
              </w:rPr>
            </w:pPr>
            <w:r>
              <w:rPr>
                <w:bCs/>
                <w:sz w:val="18"/>
                <w:szCs w:val="18"/>
              </w:rPr>
              <w:t>2</w:t>
            </w:r>
            <w:r>
              <w:rPr>
                <w:kern w:val="0"/>
                <w:szCs w:val="21"/>
              </w:rPr>
              <w:t>．</w:t>
            </w:r>
            <w:r>
              <w:rPr>
                <w:bCs/>
                <w:sz w:val="18"/>
                <w:szCs w:val="18"/>
              </w:rPr>
              <w:t>作业内容</w:t>
            </w:r>
          </w:p>
          <w:p>
            <w:pPr>
              <w:adjustRightInd w:val="0"/>
              <w:snapToGrid w:val="0"/>
              <w:spacing w:line="300" w:lineRule="auto"/>
              <w:ind w:firstLine="360" w:firstLineChars="200"/>
              <w:rPr>
                <w:bCs/>
                <w:sz w:val="18"/>
                <w:szCs w:val="18"/>
              </w:rPr>
            </w:pPr>
            <w:r>
              <w:rPr>
                <w:bCs/>
                <w:sz w:val="18"/>
                <w:szCs w:val="18"/>
              </w:rPr>
              <w:t>体积混响、海底混响、海面混响的基本性质和计算方法的异同点。</w:t>
            </w:r>
          </w:p>
          <w:p>
            <w:pPr>
              <w:adjustRightInd w:val="0"/>
              <w:snapToGrid w:val="0"/>
              <w:spacing w:line="300" w:lineRule="auto"/>
              <w:rPr>
                <w:bCs/>
                <w:sz w:val="18"/>
                <w:szCs w:val="18"/>
              </w:rPr>
            </w:pPr>
            <w:r>
              <w:rPr>
                <w:bCs/>
                <w:sz w:val="18"/>
                <w:szCs w:val="18"/>
              </w:rPr>
              <w:t>3</w:t>
            </w:r>
            <w:r>
              <w:rPr>
                <w:kern w:val="0"/>
                <w:szCs w:val="21"/>
              </w:rPr>
              <w:t>．</w:t>
            </w:r>
            <w:r>
              <w:rPr>
                <w:bCs/>
                <w:sz w:val="18"/>
                <w:szCs w:val="18"/>
              </w:rPr>
              <w:t xml:space="preserve">教学方法 </w:t>
            </w:r>
          </w:p>
          <w:p>
            <w:pPr>
              <w:adjustRightInd w:val="0"/>
              <w:snapToGrid w:val="0"/>
              <w:spacing w:line="300" w:lineRule="auto"/>
              <w:ind w:firstLine="360" w:firstLineChars="200"/>
              <w:rPr>
                <w:bCs/>
                <w:sz w:val="18"/>
                <w:szCs w:val="18"/>
              </w:rPr>
            </w:pPr>
            <w:r>
              <w:rPr>
                <w:bCs/>
                <w:sz w:val="18"/>
                <w:szCs w:val="18"/>
              </w:rPr>
              <w:t>课堂讲授、讨论教学结合。</w:t>
            </w:r>
          </w:p>
          <w:p>
            <w:pPr>
              <w:adjustRightInd w:val="0"/>
              <w:snapToGrid w:val="0"/>
              <w:spacing w:line="300" w:lineRule="auto"/>
              <w:rPr>
                <w:bCs/>
                <w:sz w:val="18"/>
                <w:szCs w:val="18"/>
              </w:rPr>
            </w:pPr>
            <w:r>
              <w:rPr>
                <w:bCs/>
                <w:sz w:val="18"/>
                <w:szCs w:val="18"/>
              </w:rPr>
              <w:t>4</w:t>
            </w:r>
            <w:r>
              <w:rPr>
                <w:kern w:val="0"/>
                <w:szCs w:val="21"/>
              </w:rPr>
              <w:t>．</w:t>
            </w:r>
            <w:r>
              <w:rPr>
                <w:bCs/>
                <w:sz w:val="18"/>
                <w:szCs w:val="18"/>
              </w:rPr>
              <w:t>教学手段</w:t>
            </w:r>
          </w:p>
          <w:p>
            <w:pPr>
              <w:adjustRightInd w:val="0"/>
              <w:snapToGrid w:val="0"/>
              <w:spacing w:line="300" w:lineRule="auto"/>
              <w:rPr>
                <w:bCs/>
                <w:sz w:val="18"/>
                <w:szCs w:val="18"/>
              </w:rPr>
            </w:pPr>
            <w:r>
              <w:rPr>
                <w:bCs/>
                <w:sz w:val="18"/>
                <w:szCs w:val="18"/>
              </w:rPr>
              <w:t>多媒体教学和板书结合（需要时）</w:t>
            </w:r>
          </w:p>
        </w:tc>
        <w:tc>
          <w:tcPr>
            <w:tcW w:w="734" w:type="dxa"/>
            <w:vAlign w:val="center"/>
          </w:tcPr>
          <w:p>
            <w:pPr>
              <w:adjustRightInd w:val="0"/>
              <w:snapToGrid w:val="0"/>
              <w:spacing w:line="300" w:lineRule="auto"/>
              <w:jc w:val="center"/>
              <w:rPr>
                <w:bCs/>
                <w:sz w:val="18"/>
                <w:szCs w:val="18"/>
              </w:rPr>
            </w:pPr>
            <w:r>
              <w:rPr>
                <w:bCs/>
                <w:kern w:val="0"/>
                <w:sz w:val="18"/>
                <w:szCs w:val="18"/>
              </w:rPr>
              <w:t>4</w:t>
            </w:r>
          </w:p>
        </w:tc>
        <w:tc>
          <w:tcPr>
            <w:tcW w:w="1030" w:type="dxa"/>
            <w:vAlign w:val="center"/>
          </w:tcPr>
          <w:p>
            <w:pPr>
              <w:adjustRightInd w:val="0"/>
              <w:snapToGrid w:val="0"/>
              <w:spacing w:line="300" w:lineRule="auto"/>
              <w:rPr>
                <w:bCs/>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3</w:t>
            </w:r>
          </w:p>
        </w:tc>
        <w:tc>
          <w:tcPr>
            <w:tcW w:w="1795" w:type="dxa"/>
            <w:vAlign w:val="center"/>
          </w:tcPr>
          <w:p>
            <w:pPr>
              <w:widowControl/>
              <w:adjustRightInd w:val="0"/>
              <w:snapToGrid w:val="0"/>
              <w:spacing w:line="300" w:lineRule="auto"/>
              <w:rPr>
                <w:kern w:val="0"/>
                <w:sz w:val="18"/>
                <w:szCs w:val="18"/>
              </w:rPr>
            </w:pPr>
            <w:r>
              <w:rPr>
                <w:sz w:val="18"/>
                <w:szCs w:val="18"/>
              </w:rPr>
              <w:t>3 水声信道特性</w:t>
            </w:r>
          </w:p>
          <w:p>
            <w:pPr>
              <w:adjustRightInd w:val="0"/>
              <w:snapToGrid w:val="0"/>
              <w:spacing w:line="300" w:lineRule="auto"/>
              <w:ind w:left="357" w:leftChars="80" w:right="-31" w:rightChars="-15" w:hanging="189" w:hangingChars="105"/>
              <w:rPr>
                <w:sz w:val="18"/>
                <w:szCs w:val="18"/>
              </w:rPr>
            </w:pPr>
            <w:r>
              <w:rPr>
                <w:sz w:val="18"/>
                <w:szCs w:val="18"/>
              </w:rPr>
              <w:t>3.1 信道基础</w:t>
            </w:r>
          </w:p>
          <w:p>
            <w:pPr>
              <w:adjustRightInd w:val="0"/>
              <w:snapToGrid w:val="0"/>
              <w:spacing w:line="300" w:lineRule="auto"/>
              <w:ind w:left="357" w:leftChars="80" w:right="-31" w:rightChars="-15" w:hanging="189" w:hangingChars="105"/>
              <w:rPr>
                <w:sz w:val="18"/>
                <w:szCs w:val="18"/>
              </w:rPr>
            </w:pPr>
            <w:r>
              <w:rPr>
                <w:sz w:val="18"/>
                <w:szCs w:val="18"/>
              </w:rPr>
              <w:t>3.2 水声信道特点</w:t>
            </w:r>
          </w:p>
          <w:p>
            <w:pPr>
              <w:adjustRightInd w:val="0"/>
              <w:snapToGrid w:val="0"/>
              <w:spacing w:line="300" w:lineRule="auto"/>
              <w:ind w:left="357" w:leftChars="80" w:hanging="189" w:hangingChars="105"/>
              <w:rPr>
                <w:sz w:val="18"/>
                <w:szCs w:val="18"/>
              </w:rPr>
            </w:pPr>
            <w:r>
              <w:rPr>
                <w:sz w:val="18"/>
                <w:szCs w:val="18"/>
              </w:rPr>
              <w:t>3.3 水声信道模型</w:t>
            </w:r>
          </w:p>
        </w:tc>
        <w:tc>
          <w:tcPr>
            <w:tcW w:w="4535" w:type="dxa"/>
            <w:vAlign w:val="center"/>
          </w:tcPr>
          <w:p>
            <w:pPr>
              <w:adjustRightInd w:val="0"/>
              <w:snapToGrid w:val="0"/>
              <w:spacing w:line="300" w:lineRule="auto"/>
              <w:rPr>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firstLine="6"/>
              <w:rPr>
                <w:sz w:val="18"/>
                <w:szCs w:val="18"/>
              </w:rPr>
            </w:pPr>
            <w:r>
              <w:rPr>
                <w:sz w:val="18"/>
                <w:szCs w:val="18"/>
              </w:rPr>
              <w:t>（1）了解：通信系统的一般调制信道、编码信道模型。</w:t>
            </w:r>
          </w:p>
          <w:p>
            <w:pPr>
              <w:adjustRightInd w:val="0"/>
              <w:snapToGrid w:val="0"/>
              <w:spacing w:line="300" w:lineRule="auto"/>
              <w:ind w:right="-31" w:rightChars="-15" w:firstLine="6"/>
              <w:rPr>
                <w:sz w:val="18"/>
                <w:szCs w:val="18"/>
              </w:rPr>
            </w:pPr>
            <w:r>
              <w:rPr>
                <w:sz w:val="18"/>
                <w:szCs w:val="18"/>
              </w:rPr>
              <w:t>（2）理解：水声信道带宽受限的机理，以及水声信道传播损失、多径效应、频散效应的特点。</w:t>
            </w:r>
          </w:p>
          <w:p>
            <w:pPr>
              <w:adjustRightInd w:val="0"/>
              <w:snapToGrid w:val="0"/>
              <w:spacing w:line="300" w:lineRule="auto"/>
              <w:ind w:right="-31" w:rightChars="-15" w:firstLine="6"/>
              <w:rPr>
                <w:sz w:val="18"/>
                <w:szCs w:val="18"/>
              </w:rPr>
            </w:pPr>
            <w:r>
              <w:rPr>
                <w:sz w:val="18"/>
                <w:szCs w:val="18"/>
              </w:rPr>
              <w:t>（3）掌握：水声信道的衰落特性；水声信道的射线理论模型、简正波理论模型、浅海水声信道</w:t>
            </w:r>
          </w:p>
          <w:p>
            <w:pPr>
              <w:adjustRightInd w:val="0"/>
              <w:snapToGrid w:val="0"/>
              <w:spacing w:line="300" w:lineRule="auto"/>
              <w:rPr>
                <w:sz w:val="18"/>
                <w:szCs w:val="18"/>
              </w:rPr>
            </w:pPr>
            <w:r>
              <w:rPr>
                <w:sz w:val="18"/>
                <w:szCs w:val="18"/>
              </w:rPr>
              <w:t>模型的基本原理。</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ind w:firstLine="360" w:firstLineChars="200"/>
              <w:rPr>
                <w:sz w:val="18"/>
                <w:szCs w:val="18"/>
              </w:rPr>
            </w:pPr>
            <w:r>
              <w:rPr>
                <w:sz w:val="18"/>
                <w:szCs w:val="18"/>
              </w:rPr>
              <w:t>射线理论模型近似解和简正波理论模型的精确解的应用范围、特点和对比。</w:t>
            </w:r>
          </w:p>
          <w:p>
            <w:pPr>
              <w:adjustRightInd w:val="0"/>
              <w:snapToGrid w:val="0"/>
              <w:spacing w:line="300" w:lineRule="auto"/>
              <w:rPr>
                <w:sz w:val="18"/>
                <w:szCs w:val="18"/>
              </w:rPr>
            </w:pPr>
            <w:r>
              <w:rPr>
                <w:sz w:val="18"/>
                <w:szCs w:val="18"/>
              </w:rPr>
              <w:t>3</w:t>
            </w:r>
            <w:r>
              <w:rPr>
                <w:kern w:val="0"/>
                <w:szCs w:val="21"/>
              </w:rPr>
              <w:t>．</w:t>
            </w:r>
            <w:r>
              <w:rPr>
                <w:sz w:val="18"/>
                <w:szCs w:val="18"/>
              </w:rPr>
              <w:t xml:space="preserve">教学方法 </w:t>
            </w:r>
          </w:p>
          <w:p>
            <w:pPr>
              <w:adjustRightInd w:val="0"/>
              <w:snapToGrid w:val="0"/>
              <w:spacing w:line="300" w:lineRule="auto"/>
              <w:ind w:firstLine="360" w:firstLineChars="200"/>
              <w:rPr>
                <w:sz w:val="18"/>
                <w:szCs w:val="18"/>
              </w:rPr>
            </w:pPr>
            <w:r>
              <w:rPr>
                <w:sz w:val="18"/>
                <w:szCs w:val="18"/>
              </w:rPr>
              <w:t>课堂讲授、讨论和实验教学结合。</w:t>
            </w:r>
          </w:p>
          <w:p>
            <w:pPr>
              <w:adjustRightInd w:val="0"/>
              <w:snapToGrid w:val="0"/>
              <w:spacing w:line="300" w:lineRule="auto"/>
              <w:rPr>
                <w:sz w:val="18"/>
                <w:szCs w:val="18"/>
              </w:rPr>
            </w:pPr>
            <w:r>
              <w:rPr>
                <w:sz w:val="18"/>
                <w:szCs w:val="18"/>
              </w:rPr>
              <w:t>4</w:t>
            </w:r>
            <w:r>
              <w:rPr>
                <w:kern w:val="0"/>
                <w:szCs w:val="21"/>
              </w:rPr>
              <w:t>．</w:t>
            </w:r>
            <w:r>
              <w:rPr>
                <w:sz w:val="18"/>
                <w:szCs w:val="18"/>
              </w:rPr>
              <w:t>教学手段</w:t>
            </w:r>
          </w:p>
          <w:p>
            <w:pPr>
              <w:adjustRightInd w:val="0"/>
              <w:snapToGrid w:val="0"/>
              <w:spacing w:line="300" w:lineRule="auto"/>
              <w:rPr>
                <w:sz w:val="18"/>
                <w:szCs w:val="18"/>
              </w:rPr>
            </w:pPr>
            <w:r>
              <w:rPr>
                <w:sz w:val="18"/>
                <w:szCs w:val="18"/>
              </w:rPr>
              <w:t>多媒体教学和板书结合（需要时）</w:t>
            </w:r>
          </w:p>
        </w:tc>
        <w:tc>
          <w:tcPr>
            <w:tcW w:w="734" w:type="dxa"/>
            <w:vAlign w:val="center"/>
          </w:tcPr>
          <w:p>
            <w:pPr>
              <w:adjustRightInd w:val="0"/>
              <w:snapToGrid w:val="0"/>
              <w:spacing w:line="300" w:lineRule="auto"/>
              <w:jc w:val="center"/>
              <w:rPr>
                <w:kern w:val="0"/>
                <w:sz w:val="18"/>
                <w:szCs w:val="18"/>
              </w:rPr>
            </w:pPr>
            <w:r>
              <w:rPr>
                <w:sz w:val="18"/>
                <w:szCs w:val="18"/>
              </w:rPr>
              <w:t>2</w:t>
            </w:r>
          </w:p>
        </w:tc>
        <w:tc>
          <w:tcPr>
            <w:tcW w:w="1030" w:type="dxa"/>
            <w:vAlign w:val="center"/>
          </w:tcPr>
          <w:p>
            <w:pPr>
              <w:adjustRightInd w:val="0"/>
              <w:snapToGrid w:val="0"/>
              <w:spacing w:line="300" w:lineRule="auto"/>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4</w:t>
            </w:r>
          </w:p>
        </w:tc>
        <w:tc>
          <w:tcPr>
            <w:tcW w:w="1795" w:type="dxa"/>
            <w:vAlign w:val="center"/>
          </w:tcPr>
          <w:p>
            <w:pPr>
              <w:widowControl/>
              <w:adjustRightInd w:val="0"/>
              <w:snapToGrid w:val="0"/>
              <w:spacing w:line="300" w:lineRule="auto"/>
              <w:rPr>
                <w:kern w:val="0"/>
                <w:sz w:val="18"/>
                <w:szCs w:val="18"/>
              </w:rPr>
            </w:pPr>
            <w:r>
              <w:rPr>
                <w:sz w:val="18"/>
                <w:szCs w:val="18"/>
              </w:rPr>
              <w:t>4 水声信道编码技术</w:t>
            </w:r>
          </w:p>
          <w:p>
            <w:pPr>
              <w:adjustRightInd w:val="0"/>
              <w:snapToGrid w:val="0"/>
              <w:spacing w:line="300" w:lineRule="auto"/>
              <w:ind w:left="421" w:leftChars="80" w:right="-31" w:rightChars="-15" w:hanging="253"/>
              <w:rPr>
                <w:sz w:val="18"/>
                <w:szCs w:val="18"/>
              </w:rPr>
            </w:pPr>
            <w:r>
              <w:rPr>
                <w:sz w:val="18"/>
                <w:szCs w:val="18"/>
              </w:rPr>
              <w:t>4.1 信道编码</w:t>
            </w:r>
          </w:p>
          <w:p>
            <w:pPr>
              <w:adjustRightInd w:val="0"/>
              <w:snapToGrid w:val="0"/>
              <w:spacing w:line="300" w:lineRule="auto"/>
              <w:ind w:left="448" w:leftChars="93" w:right="-31" w:rightChars="-15" w:hanging="253"/>
              <w:rPr>
                <w:sz w:val="18"/>
                <w:szCs w:val="18"/>
              </w:rPr>
            </w:pPr>
            <w:r>
              <w:rPr>
                <w:sz w:val="18"/>
                <w:szCs w:val="18"/>
              </w:rPr>
              <w:t>4.2 信源编码</w:t>
            </w:r>
          </w:p>
          <w:p>
            <w:pPr>
              <w:adjustRightInd w:val="0"/>
              <w:snapToGrid w:val="0"/>
              <w:spacing w:line="300" w:lineRule="auto"/>
              <w:ind w:left="204" w:leftChars="80" w:hanging="36" w:hangingChars="20"/>
              <w:rPr>
                <w:sz w:val="18"/>
                <w:szCs w:val="18"/>
              </w:rPr>
            </w:pPr>
            <w:r>
              <w:rPr>
                <w:sz w:val="18"/>
                <w:szCs w:val="18"/>
              </w:rPr>
              <w:t>4.3 水声信道的编码技术</w:t>
            </w:r>
          </w:p>
        </w:tc>
        <w:tc>
          <w:tcPr>
            <w:tcW w:w="4535" w:type="dxa"/>
            <w:vAlign w:val="center"/>
          </w:tcPr>
          <w:p>
            <w:pPr>
              <w:adjustRightInd w:val="0"/>
              <w:snapToGrid w:val="0"/>
              <w:spacing w:line="300" w:lineRule="auto"/>
              <w:rPr>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rPr>
                <w:sz w:val="18"/>
                <w:szCs w:val="18"/>
              </w:rPr>
            </w:pPr>
            <w:r>
              <w:rPr>
                <w:sz w:val="18"/>
                <w:szCs w:val="18"/>
              </w:rPr>
              <w:t>（1）了解：信道编码和信源编码的作用和常用的编码技术。</w:t>
            </w:r>
          </w:p>
          <w:p>
            <w:pPr>
              <w:adjustRightInd w:val="0"/>
              <w:snapToGrid w:val="0"/>
              <w:spacing w:line="300" w:lineRule="auto"/>
              <w:ind w:right="-31" w:rightChars="-15"/>
              <w:rPr>
                <w:sz w:val="18"/>
                <w:szCs w:val="18"/>
              </w:rPr>
            </w:pPr>
            <w:r>
              <w:rPr>
                <w:sz w:val="18"/>
                <w:szCs w:val="18"/>
              </w:rPr>
              <w:t>（2）理解：信道编码基本定理以及常用纠错编码技术；无失真和相关信源编码基本概念。</w:t>
            </w:r>
          </w:p>
          <w:p>
            <w:pPr>
              <w:adjustRightInd w:val="0"/>
              <w:snapToGrid w:val="0"/>
              <w:spacing w:line="300" w:lineRule="auto"/>
              <w:ind w:right="-31" w:rightChars="-15"/>
              <w:rPr>
                <w:sz w:val="18"/>
                <w:szCs w:val="18"/>
              </w:rPr>
            </w:pPr>
            <w:r>
              <w:rPr>
                <w:sz w:val="18"/>
                <w:szCs w:val="18"/>
              </w:rPr>
              <w:t>（3）掌握：水声水平信道特性常用的编码方法pattern-时延差编码。</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ind w:firstLine="360" w:firstLineChars="200"/>
              <w:rPr>
                <w:sz w:val="18"/>
                <w:szCs w:val="18"/>
              </w:rPr>
            </w:pPr>
            <w:r>
              <w:rPr>
                <w:sz w:val="18"/>
                <w:szCs w:val="18"/>
              </w:rPr>
              <w:t>水声通信编码技术进展情况如何？为什么目前水声水平信道研究进展较慢，限制其发展的原因是什么？</w:t>
            </w:r>
          </w:p>
          <w:p>
            <w:pPr>
              <w:adjustRightInd w:val="0"/>
              <w:snapToGrid w:val="0"/>
              <w:spacing w:line="300" w:lineRule="auto"/>
              <w:rPr>
                <w:sz w:val="18"/>
                <w:szCs w:val="18"/>
              </w:rPr>
            </w:pPr>
            <w:r>
              <w:rPr>
                <w:sz w:val="18"/>
                <w:szCs w:val="18"/>
              </w:rPr>
              <w:t>3</w:t>
            </w:r>
            <w:r>
              <w:rPr>
                <w:kern w:val="0"/>
                <w:szCs w:val="21"/>
              </w:rPr>
              <w:t>．</w:t>
            </w:r>
            <w:r>
              <w:rPr>
                <w:sz w:val="18"/>
                <w:szCs w:val="18"/>
              </w:rPr>
              <w:t xml:space="preserve">教学方法 </w:t>
            </w:r>
          </w:p>
          <w:p>
            <w:pPr>
              <w:adjustRightInd w:val="0"/>
              <w:snapToGrid w:val="0"/>
              <w:spacing w:line="300" w:lineRule="auto"/>
              <w:ind w:firstLine="360" w:firstLineChars="200"/>
              <w:rPr>
                <w:sz w:val="18"/>
                <w:szCs w:val="18"/>
              </w:rPr>
            </w:pPr>
            <w:r>
              <w:rPr>
                <w:sz w:val="18"/>
                <w:szCs w:val="18"/>
              </w:rPr>
              <w:t>课堂讲授、讨论和实验教学结合。</w:t>
            </w:r>
          </w:p>
          <w:p>
            <w:pPr>
              <w:adjustRightInd w:val="0"/>
              <w:snapToGrid w:val="0"/>
              <w:spacing w:line="300" w:lineRule="auto"/>
              <w:rPr>
                <w:sz w:val="18"/>
                <w:szCs w:val="18"/>
              </w:rPr>
            </w:pPr>
            <w:r>
              <w:rPr>
                <w:sz w:val="18"/>
                <w:szCs w:val="18"/>
              </w:rPr>
              <w:t>4</w:t>
            </w:r>
            <w:r>
              <w:rPr>
                <w:kern w:val="0"/>
                <w:szCs w:val="21"/>
              </w:rPr>
              <w:t>．</w:t>
            </w:r>
            <w:r>
              <w:rPr>
                <w:sz w:val="18"/>
                <w:szCs w:val="18"/>
              </w:rPr>
              <w:t>教学手段</w:t>
            </w:r>
          </w:p>
          <w:p>
            <w:pPr>
              <w:adjustRightInd w:val="0"/>
              <w:snapToGrid w:val="0"/>
              <w:spacing w:line="300" w:lineRule="auto"/>
              <w:rPr>
                <w:sz w:val="18"/>
                <w:szCs w:val="18"/>
              </w:rPr>
            </w:pPr>
            <w:r>
              <w:rPr>
                <w:sz w:val="18"/>
                <w:szCs w:val="18"/>
              </w:rPr>
              <w:t>多媒体教学和板书结合（需要时）</w:t>
            </w:r>
          </w:p>
        </w:tc>
        <w:tc>
          <w:tcPr>
            <w:tcW w:w="734" w:type="dxa"/>
            <w:vAlign w:val="center"/>
          </w:tcPr>
          <w:p>
            <w:pPr>
              <w:adjustRightInd w:val="0"/>
              <w:snapToGrid w:val="0"/>
              <w:spacing w:line="300" w:lineRule="auto"/>
              <w:jc w:val="center"/>
              <w:rPr>
                <w:kern w:val="0"/>
                <w:sz w:val="18"/>
                <w:szCs w:val="18"/>
              </w:rPr>
            </w:pPr>
            <w:r>
              <w:rPr>
                <w:sz w:val="18"/>
                <w:szCs w:val="18"/>
              </w:rPr>
              <w:t>6</w:t>
            </w:r>
          </w:p>
        </w:tc>
        <w:tc>
          <w:tcPr>
            <w:tcW w:w="1030" w:type="dxa"/>
            <w:vAlign w:val="center"/>
          </w:tcPr>
          <w:p>
            <w:pPr>
              <w:adjustRightInd w:val="0"/>
              <w:snapToGrid w:val="0"/>
              <w:spacing w:line="300" w:lineRule="auto"/>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5</w:t>
            </w:r>
          </w:p>
        </w:tc>
        <w:tc>
          <w:tcPr>
            <w:tcW w:w="1795" w:type="dxa"/>
            <w:vAlign w:val="center"/>
          </w:tcPr>
          <w:p>
            <w:pPr>
              <w:widowControl/>
              <w:adjustRightInd w:val="0"/>
              <w:snapToGrid w:val="0"/>
              <w:spacing w:line="300" w:lineRule="auto"/>
              <w:rPr>
                <w:kern w:val="0"/>
                <w:sz w:val="18"/>
                <w:szCs w:val="18"/>
              </w:rPr>
            </w:pPr>
            <w:r>
              <w:rPr>
                <w:sz w:val="18"/>
                <w:szCs w:val="18"/>
              </w:rPr>
              <w:t>5 水声信号的调制解调</w:t>
            </w:r>
          </w:p>
          <w:p>
            <w:pPr>
              <w:adjustRightInd w:val="0"/>
              <w:snapToGrid w:val="0"/>
              <w:spacing w:line="300" w:lineRule="auto"/>
              <w:ind w:left="166" w:leftChars="79" w:right="-31" w:rightChars="-15" w:firstLine="6"/>
              <w:rPr>
                <w:sz w:val="18"/>
                <w:szCs w:val="18"/>
              </w:rPr>
            </w:pPr>
            <w:r>
              <w:rPr>
                <w:sz w:val="18"/>
                <w:szCs w:val="18"/>
              </w:rPr>
              <w:t>5.1 非相干通信</w:t>
            </w:r>
          </w:p>
          <w:p>
            <w:pPr>
              <w:adjustRightInd w:val="0"/>
              <w:snapToGrid w:val="0"/>
              <w:spacing w:line="300" w:lineRule="auto"/>
              <w:ind w:left="166" w:leftChars="79" w:right="-31" w:rightChars="-15" w:firstLine="6"/>
              <w:rPr>
                <w:sz w:val="18"/>
                <w:szCs w:val="18"/>
              </w:rPr>
            </w:pPr>
            <w:r>
              <w:rPr>
                <w:sz w:val="18"/>
                <w:szCs w:val="18"/>
              </w:rPr>
              <w:t>5.2 相干通信</w:t>
            </w:r>
          </w:p>
          <w:p>
            <w:pPr>
              <w:adjustRightInd w:val="0"/>
              <w:snapToGrid w:val="0"/>
              <w:spacing w:line="300" w:lineRule="auto"/>
              <w:ind w:left="166" w:leftChars="79" w:right="-31" w:rightChars="-15" w:firstLine="6"/>
              <w:rPr>
                <w:sz w:val="18"/>
                <w:szCs w:val="18"/>
              </w:rPr>
            </w:pPr>
            <w:r>
              <w:rPr>
                <w:sz w:val="18"/>
                <w:szCs w:val="18"/>
              </w:rPr>
              <w:t>5.3 频分复用</w:t>
            </w:r>
          </w:p>
          <w:p>
            <w:pPr>
              <w:adjustRightInd w:val="0"/>
              <w:snapToGrid w:val="0"/>
              <w:spacing w:line="300" w:lineRule="auto"/>
              <w:ind w:left="166" w:leftChars="79" w:right="-31" w:rightChars="-15" w:firstLine="6"/>
              <w:rPr>
                <w:sz w:val="18"/>
                <w:szCs w:val="18"/>
              </w:rPr>
            </w:pPr>
            <w:r>
              <w:rPr>
                <w:sz w:val="18"/>
                <w:szCs w:val="18"/>
              </w:rPr>
              <w:t>5.4 扩频技术</w:t>
            </w:r>
          </w:p>
          <w:p>
            <w:pPr>
              <w:adjustRightInd w:val="0"/>
              <w:snapToGrid w:val="0"/>
              <w:spacing w:line="300" w:lineRule="auto"/>
              <w:ind w:left="166" w:leftChars="79" w:right="-31" w:rightChars="-15" w:firstLine="6"/>
              <w:rPr>
                <w:sz w:val="18"/>
                <w:szCs w:val="18"/>
              </w:rPr>
            </w:pPr>
            <w:r>
              <w:rPr>
                <w:sz w:val="18"/>
                <w:szCs w:val="18"/>
              </w:rPr>
              <w:t>5.5 水声信号接收技术</w:t>
            </w:r>
          </w:p>
          <w:p>
            <w:pPr>
              <w:adjustRightInd w:val="0"/>
              <w:snapToGrid w:val="0"/>
              <w:spacing w:line="300" w:lineRule="auto"/>
              <w:ind w:left="166" w:leftChars="79" w:right="-31" w:rightChars="-15"/>
              <w:rPr>
                <w:sz w:val="18"/>
                <w:szCs w:val="18"/>
              </w:rPr>
            </w:pPr>
            <w:r>
              <w:rPr>
                <w:sz w:val="18"/>
                <w:szCs w:val="18"/>
              </w:rPr>
              <w:t>5.6 水声通信仿真</w:t>
            </w:r>
          </w:p>
        </w:tc>
        <w:tc>
          <w:tcPr>
            <w:tcW w:w="4535" w:type="dxa"/>
            <w:vAlign w:val="center"/>
          </w:tcPr>
          <w:p>
            <w:pPr>
              <w:adjustRightInd w:val="0"/>
              <w:snapToGrid w:val="0"/>
              <w:spacing w:line="300" w:lineRule="auto"/>
              <w:rPr>
                <w:sz w:val="18"/>
                <w:szCs w:val="18"/>
              </w:rPr>
            </w:pPr>
            <w:r>
              <w:rPr>
                <w:sz w:val="18"/>
                <w:szCs w:val="18"/>
              </w:rPr>
              <w:t>1</w:t>
            </w:r>
            <w:r>
              <w:rPr>
                <w:kern w:val="0"/>
                <w:szCs w:val="21"/>
              </w:rPr>
              <w:t>．</w:t>
            </w:r>
            <w:r>
              <w:rPr>
                <w:sz w:val="18"/>
                <w:szCs w:val="18"/>
              </w:rPr>
              <w:t>要求</w:t>
            </w:r>
          </w:p>
          <w:p>
            <w:pPr>
              <w:adjustRightInd w:val="0"/>
              <w:snapToGrid w:val="0"/>
              <w:spacing w:line="300" w:lineRule="auto"/>
              <w:rPr>
                <w:sz w:val="18"/>
                <w:szCs w:val="18"/>
              </w:rPr>
            </w:pPr>
            <w:r>
              <w:rPr>
                <w:sz w:val="18"/>
                <w:szCs w:val="18"/>
              </w:rPr>
              <w:t>（1）了解：非相干和相干通信基本概念和框架。</w:t>
            </w:r>
          </w:p>
          <w:p>
            <w:pPr>
              <w:adjustRightInd w:val="0"/>
              <w:snapToGrid w:val="0"/>
              <w:spacing w:line="300" w:lineRule="auto"/>
              <w:ind w:right="-31" w:rightChars="-15"/>
              <w:rPr>
                <w:sz w:val="18"/>
                <w:szCs w:val="18"/>
              </w:rPr>
            </w:pPr>
            <w:r>
              <w:rPr>
                <w:sz w:val="18"/>
                <w:szCs w:val="18"/>
              </w:rPr>
              <w:t>（2）理解：频移键控FSK、正交频分复用OFDM技术的特点和基本原理；水声通信仿真设计方案。</w:t>
            </w:r>
          </w:p>
          <w:p>
            <w:pPr>
              <w:adjustRightInd w:val="0"/>
              <w:snapToGrid w:val="0"/>
              <w:spacing w:line="300" w:lineRule="auto"/>
              <w:ind w:right="-31" w:rightChars="-15"/>
              <w:rPr>
                <w:sz w:val="18"/>
                <w:szCs w:val="18"/>
              </w:rPr>
            </w:pPr>
            <w:r>
              <w:rPr>
                <w:sz w:val="18"/>
                <w:szCs w:val="18"/>
              </w:rPr>
              <w:t>（3）掌握：水声通信中的非相干FSK通信与相干通信方式、水声通信中常用的扩频技术，以及水声信号接收技术。</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ind w:firstLine="360" w:firstLineChars="200"/>
              <w:rPr>
                <w:sz w:val="18"/>
                <w:szCs w:val="18"/>
              </w:rPr>
            </w:pPr>
            <w:r>
              <w:rPr>
                <w:sz w:val="18"/>
                <w:szCs w:val="18"/>
              </w:rPr>
              <w:t>跳频系统的关键技术特点和优点是什么？</w:t>
            </w:r>
          </w:p>
          <w:p>
            <w:pPr>
              <w:adjustRightInd w:val="0"/>
              <w:snapToGrid w:val="0"/>
              <w:spacing w:line="300" w:lineRule="auto"/>
              <w:rPr>
                <w:sz w:val="18"/>
                <w:szCs w:val="18"/>
              </w:rPr>
            </w:pPr>
            <w:r>
              <w:rPr>
                <w:sz w:val="18"/>
                <w:szCs w:val="18"/>
              </w:rPr>
              <w:t>3</w:t>
            </w:r>
            <w:r>
              <w:rPr>
                <w:kern w:val="0"/>
                <w:szCs w:val="21"/>
              </w:rPr>
              <w:t>．</w:t>
            </w:r>
            <w:r>
              <w:rPr>
                <w:sz w:val="18"/>
                <w:szCs w:val="18"/>
              </w:rPr>
              <w:t xml:space="preserve">教学方法 </w:t>
            </w:r>
          </w:p>
          <w:p>
            <w:pPr>
              <w:adjustRightInd w:val="0"/>
              <w:snapToGrid w:val="0"/>
              <w:spacing w:line="300" w:lineRule="auto"/>
              <w:ind w:firstLine="360" w:firstLineChars="200"/>
              <w:rPr>
                <w:sz w:val="18"/>
                <w:szCs w:val="18"/>
              </w:rPr>
            </w:pPr>
            <w:r>
              <w:rPr>
                <w:sz w:val="18"/>
                <w:szCs w:val="18"/>
              </w:rPr>
              <w:t>课堂讲授、讨论和实验教学结合。</w:t>
            </w:r>
          </w:p>
          <w:p>
            <w:pPr>
              <w:adjustRightInd w:val="0"/>
              <w:snapToGrid w:val="0"/>
              <w:spacing w:line="300" w:lineRule="auto"/>
              <w:rPr>
                <w:sz w:val="18"/>
                <w:szCs w:val="18"/>
              </w:rPr>
            </w:pPr>
            <w:r>
              <w:rPr>
                <w:sz w:val="18"/>
                <w:szCs w:val="18"/>
              </w:rPr>
              <w:t>4</w:t>
            </w:r>
            <w:r>
              <w:rPr>
                <w:kern w:val="0"/>
                <w:szCs w:val="21"/>
              </w:rPr>
              <w:t>．</w:t>
            </w:r>
            <w:r>
              <w:rPr>
                <w:sz w:val="18"/>
                <w:szCs w:val="18"/>
              </w:rPr>
              <w:t>教学手段</w:t>
            </w:r>
          </w:p>
          <w:p>
            <w:pPr>
              <w:adjustRightInd w:val="0"/>
              <w:snapToGrid w:val="0"/>
              <w:spacing w:line="300" w:lineRule="auto"/>
              <w:rPr>
                <w:sz w:val="18"/>
                <w:szCs w:val="18"/>
              </w:rPr>
            </w:pPr>
            <w:r>
              <w:rPr>
                <w:sz w:val="18"/>
                <w:szCs w:val="18"/>
              </w:rPr>
              <w:t>多媒体教学和板书结合（需要时）</w:t>
            </w:r>
          </w:p>
        </w:tc>
        <w:tc>
          <w:tcPr>
            <w:tcW w:w="734" w:type="dxa"/>
            <w:vAlign w:val="center"/>
          </w:tcPr>
          <w:p>
            <w:pPr>
              <w:adjustRightInd w:val="0"/>
              <w:snapToGrid w:val="0"/>
              <w:spacing w:line="300" w:lineRule="auto"/>
              <w:jc w:val="center"/>
              <w:rPr>
                <w:kern w:val="0"/>
                <w:sz w:val="18"/>
                <w:szCs w:val="18"/>
              </w:rPr>
            </w:pPr>
            <w:r>
              <w:rPr>
                <w:kern w:val="0"/>
                <w:sz w:val="18"/>
                <w:szCs w:val="18"/>
              </w:rPr>
              <w:t>6</w:t>
            </w:r>
          </w:p>
        </w:tc>
        <w:tc>
          <w:tcPr>
            <w:tcW w:w="1030" w:type="dxa"/>
            <w:vAlign w:val="center"/>
          </w:tcPr>
          <w:p>
            <w:pPr>
              <w:adjustRightInd w:val="0"/>
              <w:snapToGrid w:val="0"/>
              <w:spacing w:line="300" w:lineRule="auto"/>
              <w:rPr>
                <w:kern w:val="0"/>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7" w:type="dxa"/>
            <w:tcMar>
              <w:left w:w="57" w:type="dxa"/>
              <w:right w:w="57" w:type="dxa"/>
            </w:tcMar>
            <w:vAlign w:val="center"/>
          </w:tcPr>
          <w:p>
            <w:pPr>
              <w:adjustRightInd w:val="0"/>
              <w:snapToGrid w:val="0"/>
              <w:spacing w:line="300" w:lineRule="auto"/>
              <w:jc w:val="center"/>
              <w:rPr>
                <w:kern w:val="0"/>
                <w:sz w:val="18"/>
                <w:szCs w:val="18"/>
              </w:rPr>
            </w:pPr>
            <w:r>
              <w:rPr>
                <w:kern w:val="0"/>
                <w:sz w:val="18"/>
                <w:szCs w:val="18"/>
              </w:rPr>
              <w:t>6</w:t>
            </w:r>
          </w:p>
        </w:tc>
        <w:tc>
          <w:tcPr>
            <w:tcW w:w="1795" w:type="dxa"/>
            <w:vAlign w:val="center"/>
          </w:tcPr>
          <w:p>
            <w:pPr>
              <w:widowControl/>
              <w:adjustRightInd w:val="0"/>
              <w:snapToGrid w:val="0"/>
              <w:spacing w:line="300" w:lineRule="auto"/>
              <w:rPr>
                <w:kern w:val="0"/>
                <w:sz w:val="18"/>
                <w:szCs w:val="18"/>
              </w:rPr>
            </w:pPr>
            <w:r>
              <w:rPr>
                <w:sz w:val="18"/>
                <w:szCs w:val="18"/>
              </w:rPr>
              <w:t>6 水声通信系统</w:t>
            </w:r>
          </w:p>
          <w:p>
            <w:pPr>
              <w:adjustRightInd w:val="0"/>
              <w:snapToGrid w:val="0"/>
              <w:spacing w:line="300" w:lineRule="auto"/>
              <w:ind w:left="166" w:leftChars="79" w:right="-31" w:rightChars="-15" w:firstLine="6"/>
              <w:rPr>
                <w:sz w:val="18"/>
                <w:szCs w:val="18"/>
              </w:rPr>
            </w:pPr>
            <w:r>
              <w:rPr>
                <w:sz w:val="18"/>
                <w:szCs w:val="18"/>
              </w:rPr>
              <w:t>6.1 水声通信技术的发展简史</w:t>
            </w:r>
          </w:p>
          <w:p>
            <w:pPr>
              <w:adjustRightInd w:val="0"/>
              <w:snapToGrid w:val="0"/>
              <w:spacing w:line="300" w:lineRule="auto"/>
              <w:ind w:left="166" w:leftChars="79" w:right="-31" w:rightChars="-15" w:firstLine="6"/>
              <w:rPr>
                <w:sz w:val="18"/>
                <w:szCs w:val="18"/>
              </w:rPr>
            </w:pPr>
            <w:r>
              <w:rPr>
                <w:sz w:val="18"/>
                <w:szCs w:val="18"/>
              </w:rPr>
              <w:t>6.2 国内外水声通信的发展现状</w:t>
            </w:r>
          </w:p>
          <w:p>
            <w:pPr>
              <w:adjustRightInd w:val="0"/>
              <w:snapToGrid w:val="0"/>
              <w:spacing w:line="300" w:lineRule="auto"/>
              <w:ind w:left="166" w:leftChars="79" w:right="-31" w:rightChars="-15" w:firstLine="6"/>
              <w:rPr>
                <w:sz w:val="18"/>
                <w:szCs w:val="18"/>
              </w:rPr>
            </w:pPr>
            <w:r>
              <w:rPr>
                <w:sz w:val="18"/>
                <w:szCs w:val="18"/>
              </w:rPr>
              <w:t>6.3 水声通信系统基本组成</w:t>
            </w:r>
          </w:p>
          <w:p>
            <w:pPr>
              <w:adjustRightInd w:val="0"/>
              <w:snapToGrid w:val="0"/>
              <w:spacing w:line="300" w:lineRule="auto"/>
              <w:ind w:firstLine="180" w:firstLineChars="100"/>
              <w:rPr>
                <w:sz w:val="18"/>
                <w:szCs w:val="18"/>
              </w:rPr>
            </w:pPr>
            <w:r>
              <w:rPr>
                <w:sz w:val="18"/>
                <w:szCs w:val="18"/>
              </w:rPr>
              <w:t>6.4.水声通信网络</w:t>
            </w:r>
          </w:p>
          <w:p>
            <w:pPr>
              <w:adjustRightInd w:val="0"/>
              <w:snapToGrid w:val="0"/>
              <w:spacing w:line="300" w:lineRule="auto"/>
              <w:ind w:left="166" w:leftChars="79" w:right="-31" w:rightChars="-15" w:firstLine="6"/>
              <w:rPr>
                <w:sz w:val="18"/>
                <w:szCs w:val="18"/>
              </w:rPr>
            </w:pPr>
            <w:r>
              <w:rPr>
                <w:sz w:val="18"/>
                <w:szCs w:val="18"/>
              </w:rPr>
              <w:t>课程思政，国内著名通信公司的介绍，培养学生的爱国与担当精神</w:t>
            </w:r>
          </w:p>
        </w:tc>
        <w:tc>
          <w:tcPr>
            <w:tcW w:w="4535" w:type="dxa"/>
            <w:vAlign w:val="center"/>
          </w:tcPr>
          <w:p>
            <w:pPr>
              <w:adjustRightInd w:val="0"/>
              <w:snapToGrid w:val="0"/>
              <w:spacing w:line="300" w:lineRule="auto"/>
              <w:rPr>
                <w:sz w:val="18"/>
                <w:szCs w:val="18"/>
              </w:rPr>
            </w:pPr>
            <w:r>
              <w:rPr>
                <w:sz w:val="18"/>
                <w:szCs w:val="18"/>
              </w:rPr>
              <w:t>1</w:t>
            </w:r>
            <w:r>
              <w:rPr>
                <w:kern w:val="0"/>
                <w:szCs w:val="21"/>
              </w:rPr>
              <w:t>．</w:t>
            </w:r>
            <w:r>
              <w:rPr>
                <w:sz w:val="18"/>
                <w:szCs w:val="18"/>
              </w:rPr>
              <w:t>要求</w:t>
            </w:r>
          </w:p>
          <w:p>
            <w:pPr>
              <w:adjustRightInd w:val="0"/>
              <w:snapToGrid w:val="0"/>
              <w:spacing w:line="300" w:lineRule="auto"/>
              <w:ind w:right="-31" w:rightChars="-15" w:firstLine="6"/>
              <w:rPr>
                <w:sz w:val="18"/>
                <w:szCs w:val="18"/>
              </w:rPr>
            </w:pPr>
            <w:r>
              <w:rPr>
                <w:sz w:val="18"/>
                <w:szCs w:val="18"/>
              </w:rPr>
              <w:t>（1）了解：水声通信技术发展简史和国内外发展现状。</w:t>
            </w:r>
          </w:p>
          <w:p>
            <w:pPr>
              <w:adjustRightInd w:val="0"/>
              <w:snapToGrid w:val="0"/>
              <w:spacing w:line="300" w:lineRule="auto"/>
              <w:ind w:right="-31" w:rightChars="-15" w:firstLine="6"/>
              <w:rPr>
                <w:sz w:val="18"/>
                <w:szCs w:val="18"/>
              </w:rPr>
            </w:pPr>
            <w:r>
              <w:rPr>
                <w:sz w:val="18"/>
                <w:szCs w:val="18"/>
              </w:rPr>
              <w:t>（2）理解：水声通信系统的基本组成框架和原理。</w:t>
            </w:r>
          </w:p>
          <w:p>
            <w:pPr>
              <w:adjustRightInd w:val="0"/>
              <w:snapToGrid w:val="0"/>
              <w:spacing w:line="300" w:lineRule="auto"/>
              <w:ind w:right="-31" w:rightChars="-15"/>
              <w:rPr>
                <w:sz w:val="18"/>
                <w:szCs w:val="18"/>
              </w:rPr>
            </w:pPr>
            <w:r>
              <w:rPr>
                <w:sz w:val="18"/>
                <w:szCs w:val="18"/>
              </w:rPr>
              <w:t>（3）掌握：数字水声通信系统设计的关键技术；水声通信网络的分层和拓补结构，以及水下自组网络研究。</w:t>
            </w:r>
          </w:p>
          <w:p>
            <w:pPr>
              <w:adjustRightInd w:val="0"/>
              <w:snapToGrid w:val="0"/>
              <w:spacing w:line="300" w:lineRule="auto"/>
              <w:rPr>
                <w:sz w:val="18"/>
                <w:szCs w:val="18"/>
              </w:rPr>
            </w:pPr>
            <w:r>
              <w:rPr>
                <w:sz w:val="18"/>
                <w:szCs w:val="18"/>
              </w:rPr>
              <w:t>2</w:t>
            </w:r>
            <w:r>
              <w:rPr>
                <w:kern w:val="0"/>
                <w:szCs w:val="21"/>
              </w:rPr>
              <w:t>．</w:t>
            </w:r>
            <w:r>
              <w:rPr>
                <w:sz w:val="18"/>
                <w:szCs w:val="18"/>
              </w:rPr>
              <w:t>作业内容</w:t>
            </w:r>
          </w:p>
          <w:p>
            <w:pPr>
              <w:adjustRightInd w:val="0"/>
              <w:snapToGrid w:val="0"/>
              <w:spacing w:line="300" w:lineRule="auto"/>
              <w:ind w:firstLine="360" w:firstLineChars="200"/>
              <w:rPr>
                <w:sz w:val="18"/>
                <w:szCs w:val="18"/>
              </w:rPr>
            </w:pPr>
            <w:r>
              <w:rPr>
                <w:sz w:val="18"/>
                <w:szCs w:val="18"/>
              </w:rPr>
              <w:t>调研并讨论现代水声通信技术的发展历程以及未来的发展趋势，如何利用水声通信技术像在陆地一样实现水下文字、语音图像的传输？</w:t>
            </w:r>
          </w:p>
          <w:p>
            <w:pPr>
              <w:adjustRightInd w:val="0"/>
              <w:snapToGrid w:val="0"/>
              <w:spacing w:line="300" w:lineRule="auto"/>
              <w:rPr>
                <w:sz w:val="18"/>
                <w:szCs w:val="18"/>
              </w:rPr>
            </w:pPr>
            <w:r>
              <w:rPr>
                <w:sz w:val="18"/>
                <w:szCs w:val="18"/>
              </w:rPr>
              <w:t>3</w:t>
            </w:r>
            <w:r>
              <w:rPr>
                <w:kern w:val="0"/>
                <w:szCs w:val="21"/>
              </w:rPr>
              <w:t>．</w:t>
            </w:r>
            <w:r>
              <w:rPr>
                <w:sz w:val="18"/>
                <w:szCs w:val="18"/>
              </w:rPr>
              <w:t xml:space="preserve">教学方法 </w:t>
            </w:r>
          </w:p>
          <w:p>
            <w:pPr>
              <w:adjustRightInd w:val="0"/>
              <w:snapToGrid w:val="0"/>
              <w:spacing w:line="300" w:lineRule="auto"/>
              <w:ind w:firstLine="360" w:firstLineChars="200"/>
              <w:rPr>
                <w:sz w:val="18"/>
                <w:szCs w:val="18"/>
              </w:rPr>
            </w:pPr>
            <w:r>
              <w:rPr>
                <w:sz w:val="18"/>
                <w:szCs w:val="18"/>
              </w:rPr>
              <w:t>课堂讲授、讨论教学结合。</w:t>
            </w:r>
          </w:p>
          <w:p>
            <w:pPr>
              <w:adjustRightInd w:val="0"/>
              <w:snapToGrid w:val="0"/>
              <w:spacing w:line="300" w:lineRule="auto"/>
              <w:rPr>
                <w:sz w:val="18"/>
                <w:szCs w:val="18"/>
              </w:rPr>
            </w:pPr>
            <w:r>
              <w:rPr>
                <w:sz w:val="18"/>
                <w:szCs w:val="18"/>
              </w:rPr>
              <w:t>4</w:t>
            </w:r>
            <w:r>
              <w:rPr>
                <w:kern w:val="0"/>
                <w:szCs w:val="21"/>
              </w:rPr>
              <w:t>．</w:t>
            </w:r>
            <w:r>
              <w:rPr>
                <w:sz w:val="18"/>
                <w:szCs w:val="18"/>
              </w:rPr>
              <w:t>教学手段</w:t>
            </w:r>
          </w:p>
          <w:p>
            <w:pPr>
              <w:adjustRightInd w:val="0"/>
              <w:snapToGrid w:val="0"/>
              <w:spacing w:line="300" w:lineRule="auto"/>
              <w:rPr>
                <w:sz w:val="18"/>
                <w:szCs w:val="18"/>
              </w:rPr>
            </w:pPr>
            <w:r>
              <w:rPr>
                <w:sz w:val="18"/>
                <w:szCs w:val="18"/>
              </w:rPr>
              <w:t>多媒体教学和板书结合（需要时）</w:t>
            </w:r>
          </w:p>
        </w:tc>
        <w:tc>
          <w:tcPr>
            <w:tcW w:w="734" w:type="dxa"/>
            <w:vAlign w:val="center"/>
          </w:tcPr>
          <w:p>
            <w:pPr>
              <w:adjustRightInd w:val="0"/>
              <w:snapToGrid w:val="0"/>
              <w:spacing w:line="300" w:lineRule="auto"/>
              <w:jc w:val="center"/>
              <w:rPr>
                <w:kern w:val="0"/>
                <w:sz w:val="18"/>
                <w:szCs w:val="18"/>
              </w:rPr>
            </w:pPr>
            <w:r>
              <w:rPr>
                <w:sz w:val="18"/>
                <w:szCs w:val="18"/>
              </w:rPr>
              <w:t>2</w:t>
            </w:r>
          </w:p>
        </w:tc>
        <w:tc>
          <w:tcPr>
            <w:tcW w:w="1030" w:type="dxa"/>
            <w:vAlign w:val="center"/>
          </w:tcPr>
          <w:p>
            <w:pPr>
              <w:adjustRightInd w:val="0"/>
              <w:snapToGrid w:val="0"/>
              <w:spacing w:line="300" w:lineRule="auto"/>
              <w:rPr>
                <w:kern w:val="0"/>
                <w:sz w:val="18"/>
                <w:szCs w:val="18"/>
              </w:rPr>
            </w:pPr>
            <w:r>
              <w:rPr>
                <w:sz w:val="18"/>
                <w:szCs w:val="18"/>
              </w:rPr>
              <w:t>1，2</w:t>
            </w:r>
          </w:p>
        </w:tc>
      </w:tr>
    </w:tbl>
    <w:p>
      <w:pPr>
        <w:snapToGrid w:val="0"/>
        <w:spacing w:before="156" w:beforeLines="50" w:line="300" w:lineRule="auto"/>
        <w:ind w:firstLine="420" w:firstLineChars="200"/>
      </w:pPr>
      <w:r>
        <w:t>实验内容见表4所示。</w:t>
      </w:r>
    </w:p>
    <w:p>
      <w:pPr>
        <w:snapToGrid w:val="0"/>
        <w:spacing w:before="156" w:beforeLines="50" w:line="300" w:lineRule="auto"/>
        <w:jc w:val="center"/>
        <w:rPr>
          <w:b/>
          <w:bCs/>
          <w:sz w:val="18"/>
          <w:szCs w:val="18"/>
        </w:rPr>
      </w:pPr>
      <w:r>
        <w:rPr>
          <w:b/>
          <w:bCs/>
          <w:sz w:val="18"/>
          <w:szCs w:val="18"/>
        </w:rPr>
        <w:t>表4 实验安排表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741"/>
        <w:gridCol w:w="2839"/>
        <w:gridCol w:w="696"/>
        <w:gridCol w:w="698"/>
        <w:gridCol w:w="698"/>
        <w:gridCol w:w="62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11" w:type="dxa"/>
            <w:vAlign w:val="center"/>
          </w:tcPr>
          <w:p>
            <w:pPr>
              <w:snapToGrid w:val="0"/>
              <w:spacing w:line="300" w:lineRule="auto"/>
              <w:jc w:val="center"/>
              <w:rPr>
                <w:b/>
                <w:bCs/>
                <w:sz w:val="18"/>
                <w:szCs w:val="18"/>
              </w:rPr>
            </w:pPr>
            <w:r>
              <w:rPr>
                <w:b/>
                <w:bCs/>
                <w:kern w:val="0"/>
                <w:sz w:val="18"/>
                <w:szCs w:val="18"/>
              </w:rPr>
              <w:t>序号</w:t>
            </w:r>
          </w:p>
        </w:tc>
        <w:tc>
          <w:tcPr>
            <w:tcW w:w="1741" w:type="dxa"/>
            <w:vAlign w:val="center"/>
          </w:tcPr>
          <w:p>
            <w:pPr>
              <w:snapToGrid w:val="0"/>
              <w:spacing w:line="300" w:lineRule="auto"/>
              <w:jc w:val="center"/>
              <w:rPr>
                <w:b/>
                <w:bCs/>
                <w:sz w:val="18"/>
                <w:szCs w:val="18"/>
              </w:rPr>
            </w:pPr>
            <w:r>
              <w:rPr>
                <w:b/>
                <w:bCs/>
                <w:kern w:val="0"/>
                <w:sz w:val="18"/>
                <w:szCs w:val="18"/>
              </w:rPr>
              <w:t>实验项目名称</w:t>
            </w:r>
          </w:p>
        </w:tc>
        <w:tc>
          <w:tcPr>
            <w:tcW w:w="2839" w:type="dxa"/>
            <w:vAlign w:val="center"/>
          </w:tcPr>
          <w:p>
            <w:pPr>
              <w:snapToGrid w:val="0"/>
              <w:spacing w:line="300" w:lineRule="auto"/>
              <w:jc w:val="center"/>
              <w:rPr>
                <w:b/>
                <w:bCs/>
                <w:sz w:val="18"/>
                <w:szCs w:val="18"/>
              </w:rPr>
            </w:pPr>
            <w:r>
              <w:rPr>
                <w:b/>
                <w:bCs/>
                <w:kern w:val="0"/>
                <w:sz w:val="18"/>
                <w:szCs w:val="18"/>
              </w:rPr>
              <w:t>目的要求</w:t>
            </w:r>
          </w:p>
        </w:tc>
        <w:tc>
          <w:tcPr>
            <w:tcW w:w="696" w:type="dxa"/>
            <w:vAlign w:val="center"/>
          </w:tcPr>
          <w:p>
            <w:pPr>
              <w:snapToGrid w:val="0"/>
              <w:spacing w:line="300" w:lineRule="auto"/>
              <w:jc w:val="center"/>
              <w:rPr>
                <w:b/>
                <w:bCs/>
                <w:sz w:val="18"/>
                <w:szCs w:val="18"/>
              </w:rPr>
            </w:pPr>
            <w:r>
              <w:rPr>
                <w:b/>
                <w:bCs/>
                <w:kern w:val="0"/>
                <w:sz w:val="18"/>
                <w:szCs w:val="18"/>
              </w:rPr>
              <w:t>学时分配</w:t>
            </w:r>
          </w:p>
        </w:tc>
        <w:tc>
          <w:tcPr>
            <w:tcW w:w="698" w:type="dxa"/>
            <w:vAlign w:val="center"/>
          </w:tcPr>
          <w:p>
            <w:pPr>
              <w:snapToGrid w:val="0"/>
              <w:spacing w:line="300" w:lineRule="auto"/>
              <w:jc w:val="center"/>
              <w:rPr>
                <w:b/>
                <w:bCs/>
                <w:kern w:val="0"/>
                <w:sz w:val="18"/>
                <w:szCs w:val="18"/>
              </w:rPr>
            </w:pPr>
            <w:r>
              <w:rPr>
                <w:b/>
                <w:bCs/>
                <w:kern w:val="0"/>
                <w:sz w:val="18"/>
                <w:szCs w:val="18"/>
              </w:rPr>
              <w:t>实验类型</w:t>
            </w:r>
          </w:p>
        </w:tc>
        <w:tc>
          <w:tcPr>
            <w:tcW w:w="698" w:type="dxa"/>
            <w:vAlign w:val="center"/>
          </w:tcPr>
          <w:p>
            <w:pPr>
              <w:snapToGrid w:val="0"/>
              <w:spacing w:line="300" w:lineRule="auto"/>
              <w:jc w:val="center"/>
              <w:rPr>
                <w:b/>
                <w:bCs/>
                <w:kern w:val="0"/>
                <w:sz w:val="18"/>
                <w:szCs w:val="18"/>
              </w:rPr>
            </w:pPr>
            <w:r>
              <w:rPr>
                <w:b/>
                <w:bCs/>
                <w:kern w:val="0"/>
                <w:sz w:val="18"/>
                <w:szCs w:val="18"/>
              </w:rPr>
              <w:t>每组人数</w:t>
            </w:r>
          </w:p>
        </w:tc>
        <w:tc>
          <w:tcPr>
            <w:tcW w:w="623" w:type="dxa"/>
            <w:vAlign w:val="center"/>
          </w:tcPr>
          <w:p>
            <w:pPr>
              <w:snapToGrid w:val="0"/>
              <w:spacing w:line="300" w:lineRule="auto"/>
              <w:jc w:val="center"/>
              <w:rPr>
                <w:b/>
                <w:bCs/>
                <w:kern w:val="0"/>
                <w:sz w:val="18"/>
                <w:szCs w:val="18"/>
              </w:rPr>
            </w:pPr>
            <w:r>
              <w:rPr>
                <w:b/>
                <w:bCs/>
                <w:kern w:val="0"/>
                <w:sz w:val="18"/>
                <w:szCs w:val="18"/>
              </w:rPr>
              <w:t>必开</w:t>
            </w:r>
          </w:p>
          <w:p>
            <w:pPr>
              <w:snapToGrid w:val="0"/>
              <w:spacing w:line="300" w:lineRule="auto"/>
              <w:jc w:val="center"/>
              <w:rPr>
                <w:b/>
                <w:bCs/>
                <w:kern w:val="0"/>
                <w:sz w:val="18"/>
                <w:szCs w:val="18"/>
              </w:rPr>
            </w:pPr>
            <w:r>
              <w:rPr>
                <w:b/>
                <w:bCs/>
                <w:kern w:val="0"/>
                <w:sz w:val="18"/>
                <w:szCs w:val="18"/>
              </w:rPr>
              <w:t>选开</w:t>
            </w:r>
          </w:p>
        </w:tc>
        <w:tc>
          <w:tcPr>
            <w:tcW w:w="675" w:type="dxa"/>
            <w:vAlign w:val="center"/>
          </w:tcPr>
          <w:p>
            <w:pPr>
              <w:snapToGrid w:val="0"/>
              <w:spacing w:line="300" w:lineRule="auto"/>
              <w:rPr>
                <w:b/>
                <w:bCs/>
                <w:kern w:val="0"/>
                <w:sz w:val="18"/>
                <w:szCs w:val="18"/>
              </w:rPr>
            </w:pPr>
            <w:r>
              <w:rPr>
                <w:b/>
                <w:bCs/>
                <w:kern w:val="0"/>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snapToGrid w:val="0"/>
              <w:spacing w:line="300" w:lineRule="auto"/>
              <w:jc w:val="center"/>
              <w:rPr>
                <w:sz w:val="18"/>
                <w:szCs w:val="18"/>
              </w:rPr>
            </w:pPr>
            <w:r>
              <w:rPr>
                <w:sz w:val="18"/>
                <w:szCs w:val="18"/>
              </w:rPr>
              <w:t>1</w:t>
            </w:r>
          </w:p>
        </w:tc>
        <w:tc>
          <w:tcPr>
            <w:tcW w:w="1741" w:type="dxa"/>
            <w:vAlign w:val="center"/>
          </w:tcPr>
          <w:p>
            <w:pPr>
              <w:adjustRightInd w:val="0"/>
              <w:snapToGrid w:val="0"/>
              <w:spacing w:line="300" w:lineRule="auto"/>
              <w:rPr>
                <w:sz w:val="18"/>
                <w:szCs w:val="18"/>
              </w:rPr>
            </w:pPr>
            <w:r>
              <w:rPr>
                <w:sz w:val="18"/>
                <w:szCs w:val="18"/>
              </w:rPr>
              <w:t>常用水声信号及其处理</w:t>
            </w:r>
          </w:p>
        </w:tc>
        <w:tc>
          <w:tcPr>
            <w:tcW w:w="2839" w:type="dxa"/>
            <w:vAlign w:val="center"/>
          </w:tcPr>
          <w:p>
            <w:pPr>
              <w:adjustRightInd w:val="0"/>
              <w:snapToGrid w:val="0"/>
              <w:spacing w:line="300" w:lineRule="auto"/>
              <w:rPr>
                <w:sz w:val="18"/>
                <w:szCs w:val="18"/>
              </w:rPr>
            </w:pPr>
            <w:r>
              <w:rPr>
                <w:sz w:val="18"/>
                <w:szCs w:val="18"/>
              </w:rPr>
              <w:t>MATLAB仿真、验证CW和LFW信号及频谱分析。</w:t>
            </w:r>
          </w:p>
        </w:tc>
        <w:tc>
          <w:tcPr>
            <w:tcW w:w="696" w:type="dxa"/>
            <w:vAlign w:val="center"/>
          </w:tcPr>
          <w:p>
            <w:pPr>
              <w:snapToGrid w:val="0"/>
              <w:spacing w:line="300" w:lineRule="auto"/>
              <w:jc w:val="center"/>
              <w:rPr>
                <w:sz w:val="18"/>
                <w:szCs w:val="18"/>
              </w:rPr>
            </w:pPr>
            <w:r>
              <w:rPr>
                <w:sz w:val="18"/>
                <w:szCs w:val="18"/>
              </w:rPr>
              <w:t>2</w:t>
            </w:r>
          </w:p>
        </w:tc>
        <w:tc>
          <w:tcPr>
            <w:tcW w:w="698" w:type="dxa"/>
            <w:vAlign w:val="center"/>
          </w:tcPr>
          <w:p>
            <w:pPr>
              <w:snapToGrid w:val="0"/>
              <w:spacing w:line="300" w:lineRule="auto"/>
              <w:jc w:val="center"/>
              <w:rPr>
                <w:sz w:val="18"/>
                <w:szCs w:val="18"/>
              </w:rPr>
            </w:pPr>
            <w:r>
              <w:rPr>
                <w:sz w:val="18"/>
                <w:szCs w:val="18"/>
              </w:rPr>
              <w:t>操作</w:t>
            </w:r>
          </w:p>
        </w:tc>
        <w:tc>
          <w:tcPr>
            <w:tcW w:w="698" w:type="dxa"/>
            <w:vAlign w:val="center"/>
          </w:tcPr>
          <w:p>
            <w:pPr>
              <w:snapToGrid w:val="0"/>
              <w:spacing w:line="300" w:lineRule="auto"/>
              <w:jc w:val="center"/>
              <w:rPr>
                <w:sz w:val="18"/>
                <w:szCs w:val="18"/>
              </w:rPr>
            </w:pPr>
            <w:r>
              <w:rPr>
                <w:sz w:val="18"/>
                <w:szCs w:val="18"/>
              </w:rPr>
              <w:t>2</w:t>
            </w:r>
          </w:p>
        </w:tc>
        <w:tc>
          <w:tcPr>
            <w:tcW w:w="623" w:type="dxa"/>
            <w:vAlign w:val="center"/>
          </w:tcPr>
          <w:p>
            <w:pPr>
              <w:snapToGrid w:val="0"/>
              <w:spacing w:line="300" w:lineRule="auto"/>
              <w:jc w:val="center"/>
              <w:rPr>
                <w:sz w:val="18"/>
                <w:szCs w:val="18"/>
              </w:rPr>
            </w:pPr>
            <w:r>
              <w:rPr>
                <w:sz w:val="18"/>
                <w:szCs w:val="18"/>
              </w:rPr>
              <w:t>必开</w:t>
            </w:r>
          </w:p>
        </w:tc>
        <w:tc>
          <w:tcPr>
            <w:tcW w:w="675" w:type="dxa"/>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11" w:type="dxa"/>
            <w:vAlign w:val="center"/>
          </w:tcPr>
          <w:p>
            <w:pPr>
              <w:snapToGrid w:val="0"/>
              <w:spacing w:line="300" w:lineRule="auto"/>
              <w:jc w:val="center"/>
              <w:rPr>
                <w:sz w:val="18"/>
                <w:szCs w:val="18"/>
              </w:rPr>
            </w:pPr>
            <w:r>
              <w:rPr>
                <w:sz w:val="18"/>
                <w:szCs w:val="18"/>
              </w:rPr>
              <w:t>2</w:t>
            </w:r>
          </w:p>
        </w:tc>
        <w:tc>
          <w:tcPr>
            <w:tcW w:w="1741" w:type="dxa"/>
            <w:vAlign w:val="center"/>
          </w:tcPr>
          <w:p>
            <w:pPr>
              <w:adjustRightInd w:val="0"/>
              <w:snapToGrid w:val="0"/>
              <w:spacing w:line="300" w:lineRule="auto"/>
              <w:rPr>
                <w:sz w:val="18"/>
                <w:szCs w:val="18"/>
              </w:rPr>
            </w:pPr>
            <w:r>
              <w:rPr>
                <w:sz w:val="18"/>
                <w:szCs w:val="18"/>
              </w:rPr>
              <w:t>水声信源编码</w:t>
            </w:r>
          </w:p>
        </w:tc>
        <w:tc>
          <w:tcPr>
            <w:tcW w:w="2839" w:type="dxa"/>
            <w:vAlign w:val="center"/>
          </w:tcPr>
          <w:p>
            <w:pPr>
              <w:adjustRightInd w:val="0"/>
              <w:snapToGrid w:val="0"/>
              <w:spacing w:line="300" w:lineRule="auto"/>
              <w:rPr>
                <w:sz w:val="18"/>
                <w:szCs w:val="18"/>
              </w:rPr>
            </w:pPr>
            <w:r>
              <w:rPr>
                <w:sz w:val="18"/>
                <w:szCs w:val="18"/>
              </w:rPr>
              <w:t>几种常用信源编码方式MATLAB仿真</w:t>
            </w:r>
          </w:p>
        </w:tc>
        <w:tc>
          <w:tcPr>
            <w:tcW w:w="696" w:type="dxa"/>
            <w:vAlign w:val="center"/>
          </w:tcPr>
          <w:p>
            <w:pPr>
              <w:snapToGrid w:val="0"/>
              <w:spacing w:line="300" w:lineRule="auto"/>
              <w:jc w:val="center"/>
              <w:rPr>
                <w:sz w:val="18"/>
                <w:szCs w:val="18"/>
              </w:rPr>
            </w:pPr>
            <w:r>
              <w:rPr>
                <w:sz w:val="18"/>
                <w:szCs w:val="18"/>
              </w:rPr>
              <w:t>2</w:t>
            </w:r>
          </w:p>
        </w:tc>
        <w:tc>
          <w:tcPr>
            <w:tcW w:w="698" w:type="dxa"/>
            <w:vAlign w:val="center"/>
          </w:tcPr>
          <w:p>
            <w:pPr>
              <w:snapToGrid w:val="0"/>
              <w:spacing w:line="300" w:lineRule="auto"/>
              <w:jc w:val="center"/>
              <w:rPr>
                <w:sz w:val="18"/>
                <w:szCs w:val="18"/>
              </w:rPr>
            </w:pPr>
            <w:r>
              <w:rPr>
                <w:sz w:val="18"/>
                <w:szCs w:val="18"/>
              </w:rPr>
              <w:t>操作</w:t>
            </w:r>
          </w:p>
        </w:tc>
        <w:tc>
          <w:tcPr>
            <w:tcW w:w="698" w:type="dxa"/>
            <w:vAlign w:val="center"/>
          </w:tcPr>
          <w:p>
            <w:pPr>
              <w:snapToGrid w:val="0"/>
              <w:spacing w:line="300" w:lineRule="auto"/>
              <w:jc w:val="center"/>
              <w:rPr>
                <w:sz w:val="18"/>
                <w:szCs w:val="18"/>
              </w:rPr>
            </w:pPr>
            <w:r>
              <w:rPr>
                <w:sz w:val="18"/>
                <w:szCs w:val="18"/>
              </w:rPr>
              <w:t>2</w:t>
            </w:r>
          </w:p>
        </w:tc>
        <w:tc>
          <w:tcPr>
            <w:tcW w:w="623" w:type="dxa"/>
            <w:vAlign w:val="center"/>
          </w:tcPr>
          <w:p>
            <w:pPr>
              <w:snapToGrid w:val="0"/>
              <w:spacing w:line="300" w:lineRule="auto"/>
              <w:jc w:val="center"/>
              <w:rPr>
                <w:sz w:val="18"/>
                <w:szCs w:val="18"/>
              </w:rPr>
            </w:pPr>
            <w:r>
              <w:rPr>
                <w:sz w:val="18"/>
                <w:szCs w:val="18"/>
              </w:rPr>
              <w:t>必开</w:t>
            </w:r>
          </w:p>
        </w:tc>
        <w:tc>
          <w:tcPr>
            <w:tcW w:w="675" w:type="dxa"/>
            <w:vAlign w:val="center"/>
          </w:tcPr>
          <w:p>
            <w:pPr>
              <w:widowControl/>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11" w:type="dxa"/>
            <w:vAlign w:val="center"/>
          </w:tcPr>
          <w:p>
            <w:pPr>
              <w:snapToGrid w:val="0"/>
              <w:spacing w:line="300" w:lineRule="auto"/>
              <w:jc w:val="center"/>
              <w:rPr>
                <w:sz w:val="18"/>
                <w:szCs w:val="18"/>
              </w:rPr>
            </w:pPr>
            <w:r>
              <w:rPr>
                <w:sz w:val="18"/>
                <w:szCs w:val="18"/>
              </w:rPr>
              <w:t>3</w:t>
            </w:r>
          </w:p>
        </w:tc>
        <w:tc>
          <w:tcPr>
            <w:tcW w:w="1741" w:type="dxa"/>
            <w:vAlign w:val="center"/>
          </w:tcPr>
          <w:p>
            <w:pPr>
              <w:adjustRightInd w:val="0"/>
              <w:snapToGrid w:val="0"/>
              <w:spacing w:line="300" w:lineRule="auto"/>
              <w:rPr>
                <w:sz w:val="18"/>
                <w:szCs w:val="18"/>
              </w:rPr>
            </w:pPr>
            <w:r>
              <w:rPr>
                <w:sz w:val="18"/>
                <w:szCs w:val="18"/>
              </w:rPr>
              <w:t>扩频水声通信系统</w:t>
            </w:r>
          </w:p>
        </w:tc>
        <w:tc>
          <w:tcPr>
            <w:tcW w:w="2839" w:type="dxa"/>
            <w:vAlign w:val="center"/>
          </w:tcPr>
          <w:p>
            <w:pPr>
              <w:adjustRightInd w:val="0"/>
              <w:snapToGrid w:val="0"/>
              <w:spacing w:line="300" w:lineRule="auto"/>
              <w:rPr>
                <w:sz w:val="18"/>
                <w:szCs w:val="18"/>
              </w:rPr>
            </w:pPr>
            <w:r>
              <w:rPr>
                <w:sz w:val="18"/>
                <w:szCs w:val="18"/>
              </w:rPr>
              <w:t>MATLAB仿真基于扩频的水声通信系统</w:t>
            </w:r>
          </w:p>
        </w:tc>
        <w:tc>
          <w:tcPr>
            <w:tcW w:w="696" w:type="dxa"/>
            <w:vAlign w:val="center"/>
          </w:tcPr>
          <w:p>
            <w:pPr>
              <w:snapToGrid w:val="0"/>
              <w:spacing w:line="300" w:lineRule="auto"/>
              <w:jc w:val="center"/>
              <w:rPr>
                <w:sz w:val="18"/>
                <w:szCs w:val="18"/>
              </w:rPr>
            </w:pPr>
            <w:r>
              <w:rPr>
                <w:sz w:val="18"/>
                <w:szCs w:val="18"/>
              </w:rPr>
              <w:t>2</w:t>
            </w:r>
          </w:p>
        </w:tc>
        <w:tc>
          <w:tcPr>
            <w:tcW w:w="698" w:type="dxa"/>
            <w:vAlign w:val="center"/>
          </w:tcPr>
          <w:p>
            <w:pPr>
              <w:snapToGrid w:val="0"/>
              <w:spacing w:line="300" w:lineRule="auto"/>
              <w:jc w:val="center"/>
              <w:rPr>
                <w:sz w:val="18"/>
                <w:szCs w:val="18"/>
              </w:rPr>
            </w:pPr>
            <w:r>
              <w:rPr>
                <w:sz w:val="18"/>
                <w:szCs w:val="18"/>
              </w:rPr>
              <w:t>综合</w:t>
            </w:r>
          </w:p>
        </w:tc>
        <w:tc>
          <w:tcPr>
            <w:tcW w:w="698" w:type="dxa"/>
            <w:vAlign w:val="center"/>
          </w:tcPr>
          <w:p>
            <w:pPr>
              <w:snapToGrid w:val="0"/>
              <w:spacing w:line="300" w:lineRule="auto"/>
              <w:jc w:val="center"/>
              <w:rPr>
                <w:sz w:val="18"/>
                <w:szCs w:val="18"/>
              </w:rPr>
            </w:pPr>
            <w:r>
              <w:rPr>
                <w:sz w:val="18"/>
                <w:szCs w:val="18"/>
              </w:rPr>
              <w:t>2</w:t>
            </w:r>
          </w:p>
        </w:tc>
        <w:tc>
          <w:tcPr>
            <w:tcW w:w="623" w:type="dxa"/>
            <w:vAlign w:val="center"/>
          </w:tcPr>
          <w:p>
            <w:pPr>
              <w:snapToGrid w:val="0"/>
              <w:spacing w:line="300" w:lineRule="auto"/>
              <w:jc w:val="center"/>
              <w:rPr>
                <w:sz w:val="18"/>
                <w:szCs w:val="18"/>
              </w:rPr>
            </w:pPr>
            <w:r>
              <w:rPr>
                <w:sz w:val="18"/>
                <w:szCs w:val="18"/>
              </w:rPr>
              <w:t>必开</w:t>
            </w:r>
          </w:p>
        </w:tc>
        <w:tc>
          <w:tcPr>
            <w:tcW w:w="675" w:type="dxa"/>
            <w:vAlign w:val="center"/>
          </w:tcPr>
          <w:p>
            <w:pPr>
              <w:snapToGrid w:val="0"/>
              <w:spacing w:line="300" w:lineRule="auto"/>
              <w:jc w:val="center"/>
              <w:rPr>
                <w:sz w:val="18"/>
                <w:szCs w:val="18"/>
              </w:rPr>
            </w:pPr>
            <w:r>
              <w:rPr>
                <w:sz w:val="18"/>
                <w:szCs w:val="18"/>
              </w:rPr>
              <w:t>2</w:t>
            </w:r>
          </w:p>
        </w:tc>
      </w:tr>
    </w:tbl>
    <w:p>
      <w:pPr>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w:t>
      </w:r>
      <w:r>
        <w:rPr>
          <w:szCs w:val="21"/>
        </w:rPr>
        <w:t>考查</w:t>
      </w:r>
      <w:r>
        <w:t>，</w:t>
      </w:r>
      <w:r>
        <w:rPr>
          <w:szCs w:val="21"/>
        </w:rPr>
        <w:t>综述论文、平时考勤、实验成绩</w:t>
      </w:r>
      <w:r>
        <w:t>和</w:t>
      </w:r>
      <w:r>
        <w:rPr>
          <w:szCs w:val="21"/>
        </w:rPr>
        <w:t>课堂讨论</w:t>
      </w:r>
      <w:r>
        <w:t>。</w:t>
      </w:r>
    </w:p>
    <w:p>
      <w:pPr>
        <w:adjustRightInd w:val="0"/>
        <w:snapToGrid w:val="0"/>
        <w:spacing w:line="300" w:lineRule="auto"/>
        <w:ind w:firstLine="420" w:firstLineChars="200"/>
      </w:pPr>
      <w:r>
        <w:t>2．成绩构成：</w:t>
      </w:r>
      <w:r>
        <w:rPr>
          <w:szCs w:val="21"/>
        </w:rPr>
        <w:t>平时考勤成绩10 %+实验成绩20 %+课堂讨论20%+综述论文成绩50 %</w:t>
      </w:r>
      <w:r>
        <w:rPr>
          <w:kern w:val="0"/>
          <w:szCs w:val="21"/>
        </w:rPr>
        <w:t>。</w:t>
      </w:r>
    </w:p>
    <w:p>
      <w:pPr>
        <w:adjustRightInd w:val="0"/>
        <w:snapToGrid w:val="0"/>
        <w:spacing w:line="300" w:lineRule="auto"/>
        <w:ind w:firstLine="420" w:firstLineChars="200"/>
      </w:pPr>
      <w:r>
        <w:t>3</w:t>
      </w:r>
      <w:r>
        <w:rPr>
          <w:kern w:val="0"/>
          <w:szCs w:val="21"/>
        </w:rPr>
        <w:t>．</w:t>
      </w:r>
      <w:r>
        <w:t>考核评价标准见表5所示：</w:t>
      </w:r>
    </w:p>
    <w:p>
      <w:pPr>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0"/>
        <w:gridCol w:w="748"/>
        <w:gridCol w:w="729"/>
        <w:gridCol w:w="616"/>
        <w:gridCol w:w="403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51" w:type="dxa"/>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750" w:type="dxa"/>
            <w:vAlign w:val="center"/>
          </w:tcPr>
          <w:p>
            <w:pPr>
              <w:snapToGrid w:val="0"/>
              <w:spacing w:line="300" w:lineRule="auto"/>
              <w:jc w:val="center"/>
              <w:rPr>
                <w:b/>
                <w:bCs/>
                <w:sz w:val="18"/>
                <w:szCs w:val="18"/>
              </w:rPr>
            </w:pPr>
            <w:r>
              <w:rPr>
                <w:b/>
                <w:bCs/>
                <w:sz w:val="18"/>
                <w:szCs w:val="18"/>
              </w:rPr>
              <w:t>分值</w:t>
            </w:r>
          </w:p>
        </w:tc>
        <w:tc>
          <w:tcPr>
            <w:tcW w:w="748" w:type="dxa"/>
            <w:vAlign w:val="center"/>
          </w:tcPr>
          <w:p>
            <w:pPr>
              <w:snapToGrid w:val="0"/>
              <w:spacing w:line="300" w:lineRule="auto"/>
              <w:jc w:val="center"/>
              <w:rPr>
                <w:b/>
                <w:bCs/>
                <w:sz w:val="18"/>
                <w:szCs w:val="18"/>
              </w:rPr>
            </w:pPr>
            <w:r>
              <w:rPr>
                <w:b/>
                <w:bCs/>
                <w:sz w:val="18"/>
                <w:szCs w:val="18"/>
              </w:rPr>
              <w:t>权重</w:t>
            </w:r>
          </w:p>
        </w:tc>
        <w:tc>
          <w:tcPr>
            <w:tcW w:w="729" w:type="dxa"/>
            <w:vAlign w:val="center"/>
          </w:tcPr>
          <w:p>
            <w:pPr>
              <w:snapToGrid w:val="0"/>
              <w:spacing w:line="300" w:lineRule="auto"/>
              <w:jc w:val="center"/>
              <w:rPr>
                <w:b/>
                <w:bCs/>
                <w:sz w:val="18"/>
                <w:szCs w:val="18"/>
              </w:rPr>
            </w:pPr>
            <w:r>
              <w:rPr>
                <w:b/>
                <w:bCs/>
                <w:sz w:val="18"/>
                <w:szCs w:val="18"/>
              </w:rPr>
              <w:t>类别</w:t>
            </w:r>
          </w:p>
        </w:tc>
        <w:tc>
          <w:tcPr>
            <w:tcW w:w="616" w:type="dxa"/>
            <w:vAlign w:val="center"/>
          </w:tcPr>
          <w:p>
            <w:pPr>
              <w:snapToGrid w:val="0"/>
              <w:spacing w:line="300" w:lineRule="auto"/>
              <w:jc w:val="center"/>
              <w:rPr>
                <w:b/>
                <w:bCs/>
                <w:sz w:val="18"/>
                <w:szCs w:val="18"/>
              </w:rPr>
            </w:pPr>
            <w:r>
              <w:rPr>
                <w:b/>
                <w:bCs/>
                <w:sz w:val="18"/>
                <w:szCs w:val="18"/>
              </w:rPr>
              <w:t>权重</w:t>
            </w:r>
          </w:p>
        </w:tc>
        <w:tc>
          <w:tcPr>
            <w:tcW w:w="4037" w:type="dxa"/>
            <w:vAlign w:val="center"/>
          </w:tcPr>
          <w:p>
            <w:pPr>
              <w:snapToGrid w:val="0"/>
              <w:spacing w:line="300" w:lineRule="auto"/>
              <w:jc w:val="center"/>
              <w:rPr>
                <w:b/>
                <w:bCs/>
                <w:sz w:val="18"/>
                <w:szCs w:val="18"/>
              </w:rPr>
            </w:pPr>
            <w:r>
              <w:rPr>
                <w:b/>
                <w:bCs/>
                <w:sz w:val="18"/>
                <w:szCs w:val="18"/>
              </w:rPr>
              <w:t>考核/评价细则</w:t>
            </w:r>
          </w:p>
        </w:tc>
        <w:tc>
          <w:tcPr>
            <w:tcW w:w="1050" w:type="dxa"/>
            <w:vAlign w:val="center"/>
          </w:tcPr>
          <w:p>
            <w:pPr>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restart"/>
            <w:vAlign w:val="center"/>
          </w:tcPr>
          <w:p>
            <w:pPr>
              <w:snapToGrid w:val="0"/>
              <w:spacing w:line="300" w:lineRule="auto"/>
              <w:jc w:val="left"/>
              <w:rPr>
                <w:sz w:val="18"/>
                <w:szCs w:val="18"/>
              </w:rPr>
            </w:pPr>
            <w:r>
              <w:rPr>
                <w:sz w:val="18"/>
                <w:szCs w:val="18"/>
              </w:rPr>
              <w:t>平时成绩</w:t>
            </w:r>
          </w:p>
        </w:tc>
        <w:tc>
          <w:tcPr>
            <w:tcW w:w="750" w:type="dxa"/>
            <w:vMerge w:val="restart"/>
            <w:vAlign w:val="center"/>
          </w:tcPr>
          <w:p>
            <w:pPr>
              <w:snapToGrid w:val="0"/>
              <w:spacing w:line="300" w:lineRule="auto"/>
              <w:jc w:val="center"/>
              <w:rPr>
                <w:sz w:val="18"/>
                <w:szCs w:val="18"/>
              </w:rPr>
            </w:pPr>
            <w:r>
              <w:rPr>
                <w:sz w:val="18"/>
                <w:szCs w:val="18"/>
              </w:rPr>
              <w:t>100</w:t>
            </w:r>
          </w:p>
        </w:tc>
        <w:tc>
          <w:tcPr>
            <w:tcW w:w="748" w:type="dxa"/>
            <w:vMerge w:val="restart"/>
            <w:vAlign w:val="center"/>
          </w:tcPr>
          <w:p>
            <w:pPr>
              <w:snapToGrid w:val="0"/>
              <w:spacing w:line="300" w:lineRule="auto"/>
              <w:jc w:val="center"/>
              <w:rPr>
                <w:sz w:val="18"/>
                <w:szCs w:val="18"/>
              </w:rPr>
            </w:pPr>
            <w:r>
              <w:rPr>
                <w:sz w:val="18"/>
                <w:szCs w:val="18"/>
              </w:rPr>
              <w:t>0.5</w:t>
            </w:r>
          </w:p>
        </w:tc>
        <w:tc>
          <w:tcPr>
            <w:tcW w:w="729" w:type="dxa"/>
            <w:vAlign w:val="center"/>
          </w:tcPr>
          <w:p>
            <w:pPr>
              <w:snapToGrid w:val="0"/>
              <w:spacing w:line="300" w:lineRule="auto"/>
              <w:jc w:val="center"/>
              <w:rPr>
                <w:sz w:val="18"/>
                <w:szCs w:val="18"/>
              </w:rPr>
            </w:pPr>
            <w:r>
              <w:rPr>
                <w:sz w:val="18"/>
                <w:szCs w:val="18"/>
              </w:rPr>
              <w:t>课堂表现</w:t>
            </w:r>
          </w:p>
        </w:tc>
        <w:tc>
          <w:tcPr>
            <w:tcW w:w="616" w:type="dxa"/>
            <w:vAlign w:val="center"/>
          </w:tcPr>
          <w:p>
            <w:pPr>
              <w:snapToGrid w:val="0"/>
              <w:spacing w:line="300" w:lineRule="auto"/>
              <w:jc w:val="center"/>
              <w:rPr>
                <w:sz w:val="18"/>
                <w:szCs w:val="18"/>
              </w:rPr>
            </w:pPr>
            <w:r>
              <w:rPr>
                <w:sz w:val="18"/>
                <w:szCs w:val="18"/>
              </w:rPr>
              <w:t>0. 1</w:t>
            </w:r>
          </w:p>
        </w:tc>
        <w:tc>
          <w:tcPr>
            <w:tcW w:w="4037" w:type="dxa"/>
            <w:vAlign w:val="center"/>
          </w:tcPr>
          <w:p>
            <w:pPr>
              <w:snapToGrid w:val="0"/>
              <w:spacing w:line="300" w:lineRule="auto"/>
              <w:rPr>
                <w:sz w:val="18"/>
                <w:szCs w:val="18"/>
              </w:rPr>
            </w:pPr>
            <w:r>
              <w:rPr>
                <w:sz w:val="18"/>
                <w:szCs w:val="18"/>
              </w:rPr>
              <w:t>根据学生课堂表现打分，满分100分。</w:t>
            </w:r>
          </w:p>
        </w:tc>
        <w:tc>
          <w:tcPr>
            <w:tcW w:w="1050"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751" w:type="dxa"/>
            <w:vMerge w:val="continue"/>
            <w:vAlign w:val="center"/>
          </w:tcPr>
          <w:p>
            <w:pPr>
              <w:snapToGrid w:val="0"/>
              <w:spacing w:line="300" w:lineRule="auto"/>
              <w:rPr>
                <w:sz w:val="18"/>
                <w:szCs w:val="18"/>
              </w:rPr>
            </w:pPr>
          </w:p>
        </w:tc>
        <w:tc>
          <w:tcPr>
            <w:tcW w:w="750" w:type="dxa"/>
            <w:vMerge w:val="continue"/>
            <w:vAlign w:val="center"/>
          </w:tcPr>
          <w:p>
            <w:pPr>
              <w:snapToGrid w:val="0"/>
              <w:spacing w:line="300" w:lineRule="auto"/>
              <w:jc w:val="center"/>
              <w:rPr>
                <w:sz w:val="18"/>
                <w:szCs w:val="18"/>
              </w:rPr>
            </w:pPr>
          </w:p>
        </w:tc>
        <w:tc>
          <w:tcPr>
            <w:tcW w:w="748"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作业</w:t>
            </w:r>
          </w:p>
        </w:tc>
        <w:tc>
          <w:tcPr>
            <w:tcW w:w="616" w:type="dxa"/>
            <w:vAlign w:val="center"/>
          </w:tcPr>
          <w:p>
            <w:pPr>
              <w:snapToGrid w:val="0"/>
              <w:spacing w:line="300" w:lineRule="auto"/>
              <w:jc w:val="center"/>
              <w:rPr>
                <w:sz w:val="18"/>
                <w:szCs w:val="18"/>
              </w:rPr>
            </w:pPr>
            <w:r>
              <w:rPr>
                <w:sz w:val="18"/>
                <w:szCs w:val="18"/>
              </w:rPr>
              <w:t>0.1</w:t>
            </w:r>
          </w:p>
        </w:tc>
        <w:tc>
          <w:tcPr>
            <w:tcW w:w="4037" w:type="dxa"/>
            <w:vAlign w:val="center"/>
          </w:tcPr>
          <w:p>
            <w:pPr>
              <w:snapToGrid w:val="0"/>
              <w:spacing w:line="300" w:lineRule="auto"/>
              <w:jc w:val="left"/>
              <w:rPr>
                <w:sz w:val="18"/>
                <w:szCs w:val="18"/>
              </w:rPr>
            </w:pPr>
            <w:r>
              <w:rPr>
                <w:sz w:val="18"/>
                <w:szCs w:val="18"/>
              </w:rPr>
              <w:t>主要考核学生对每章节知识点的理解和掌握程度；每次作业按100分制单独评分，取各次成绩的平均值作为书面作业成绩</w:t>
            </w:r>
          </w:p>
        </w:tc>
        <w:tc>
          <w:tcPr>
            <w:tcW w:w="1050"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Merge w:val="continue"/>
            <w:vAlign w:val="center"/>
          </w:tcPr>
          <w:p>
            <w:pPr>
              <w:snapToGrid w:val="0"/>
              <w:spacing w:line="300" w:lineRule="auto"/>
              <w:rPr>
                <w:sz w:val="18"/>
                <w:szCs w:val="18"/>
              </w:rPr>
            </w:pPr>
          </w:p>
        </w:tc>
        <w:tc>
          <w:tcPr>
            <w:tcW w:w="750" w:type="dxa"/>
            <w:vMerge w:val="continue"/>
            <w:vAlign w:val="center"/>
          </w:tcPr>
          <w:p>
            <w:pPr>
              <w:snapToGrid w:val="0"/>
              <w:spacing w:line="300" w:lineRule="auto"/>
              <w:jc w:val="center"/>
              <w:rPr>
                <w:sz w:val="18"/>
                <w:szCs w:val="18"/>
              </w:rPr>
            </w:pPr>
          </w:p>
        </w:tc>
        <w:tc>
          <w:tcPr>
            <w:tcW w:w="748"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实验</w:t>
            </w:r>
          </w:p>
        </w:tc>
        <w:tc>
          <w:tcPr>
            <w:tcW w:w="616" w:type="dxa"/>
            <w:vAlign w:val="center"/>
          </w:tcPr>
          <w:p>
            <w:pPr>
              <w:snapToGrid w:val="0"/>
              <w:spacing w:line="300" w:lineRule="auto"/>
              <w:jc w:val="center"/>
              <w:rPr>
                <w:sz w:val="18"/>
                <w:szCs w:val="18"/>
              </w:rPr>
            </w:pPr>
            <w:r>
              <w:rPr>
                <w:sz w:val="18"/>
                <w:szCs w:val="18"/>
              </w:rPr>
              <w:t>0.4</w:t>
            </w:r>
          </w:p>
        </w:tc>
        <w:tc>
          <w:tcPr>
            <w:tcW w:w="4037" w:type="dxa"/>
            <w:vAlign w:val="center"/>
          </w:tcPr>
          <w:p>
            <w:pPr>
              <w:snapToGrid w:val="0"/>
              <w:spacing w:line="300" w:lineRule="auto"/>
              <w:jc w:val="left"/>
              <w:rPr>
                <w:sz w:val="18"/>
                <w:szCs w:val="18"/>
              </w:rPr>
            </w:pPr>
            <w:r>
              <w:rPr>
                <w:sz w:val="18"/>
                <w:szCs w:val="18"/>
              </w:rPr>
              <w:t>根据实验完成质量，以及实验报告质量评分，满分100分</w:t>
            </w:r>
          </w:p>
        </w:tc>
        <w:tc>
          <w:tcPr>
            <w:tcW w:w="1050"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1" w:type="dxa"/>
            <w:vMerge w:val="continue"/>
            <w:vAlign w:val="center"/>
          </w:tcPr>
          <w:p>
            <w:pPr>
              <w:snapToGrid w:val="0"/>
              <w:spacing w:line="300" w:lineRule="auto"/>
              <w:rPr>
                <w:sz w:val="18"/>
                <w:szCs w:val="18"/>
              </w:rPr>
            </w:pPr>
          </w:p>
        </w:tc>
        <w:tc>
          <w:tcPr>
            <w:tcW w:w="750" w:type="dxa"/>
            <w:vMerge w:val="continue"/>
            <w:vAlign w:val="center"/>
          </w:tcPr>
          <w:p>
            <w:pPr>
              <w:snapToGrid w:val="0"/>
              <w:spacing w:line="300" w:lineRule="auto"/>
              <w:jc w:val="center"/>
              <w:rPr>
                <w:sz w:val="18"/>
                <w:szCs w:val="18"/>
              </w:rPr>
            </w:pPr>
          </w:p>
        </w:tc>
        <w:tc>
          <w:tcPr>
            <w:tcW w:w="748" w:type="dxa"/>
            <w:vMerge w:val="continue"/>
            <w:vAlign w:val="center"/>
          </w:tcPr>
          <w:p>
            <w:pPr>
              <w:snapToGrid w:val="0"/>
              <w:spacing w:line="300" w:lineRule="auto"/>
              <w:jc w:val="center"/>
              <w:rPr>
                <w:sz w:val="18"/>
                <w:szCs w:val="18"/>
              </w:rPr>
            </w:pPr>
          </w:p>
        </w:tc>
        <w:tc>
          <w:tcPr>
            <w:tcW w:w="729" w:type="dxa"/>
            <w:vAlign w:val="center"/>
          </w:tcPr>
          <w:p>
            <w:pPr>
              <w:snapToGrid w:val="0"/>
              <w:spacing w:line="300" w:lineRule="auto"/>
              <w:jc w:val="center"/>
              <w:rPr>
                <w:sz w:val="18"/>
                <w:szCs w:val="18"/>
              </w:rPr>
            </w:pPr>
            <w:r>
              <w:rPr>
                <w:sz w:val="18"/>
                <w:szCs w:val="18"/>
              </w:rPr>
              <w:t>课堂讨论</w:t>
            </w:r>
          </w:p>
        </w:tc>
        <w:tc>
          <w:tcPr>
            <w:tcW w:w="616" w:type="dxa"/>
            <w:vAlign w:val="center"/>
          </w:tcPr>
          <w:p>
            <w:pPr>
              <w:snapToGrid w:val="0"/>
              <w:spacing w:line="300" w:lineRule="auto"/>
              <w:jc w:val="center"/>
              <w:rPr>
                <w:sz w:val="18"/>
                <w:szCs w:val="18"/>
              </w:rPr>
            </w:pPr>
            <w:r>
              <w:rPr>
                <w:sz w:val="18"/>
                <w:szCs w:val="18"/>
              </w:rPr>
              <w:t>0.4</w:t>
            </w:r>
          </w:p>
        </w:tc>
        <w:tc>
          <w:tcPr>
            <w:tcW w:w="4037" w:type="dxa"/>
            <w:vAlign w:val="center"/>
          </w:tcPr>
          <w:p>
            <w:pPr>
              <w:snapToGrid w:val="0"/>
              <w:spacing w:line="300" w:lineRule="auto"/>
              <w:jc w:val="left"/>
              <w:rPr>
                <w:sz w:val="18"/>
                <w:szCs w:val="18"/>
              </w:rPr>
            </w:pPr>
            <w:r>
              <w:rPr>
                <w:sz w:val="18"/>
                <w:szCs w:val="18"/>
              </w:rPr>
              <w:t>组织多次课堂讨论，满分100分。</w:t>
            </w:r>
          </w:p>
        </w:tc>
        <w:tc>
          <w:tcPr>
            <w:tcW w:w="1050" w:type="dxa"/>
            <w:vAlign w:val="center"/>
          </w:tcPr>
          <w:p>
            <w:pPr>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51" w:type="dxa"/>
            <w:vAlign w:val="center"/>
          </w:tcPr>
          <w:p>
            <w:pPr>
              <w:snapToGrid w:val="0"/>
              <w:spacing w:line="300" w:lineRule="auto"/>
              <w:jc w:val="left"/>
              <w:rPr>
                <w:sz w:val="18"/>
                <w:szCs w:val="18"/>
              </w:rPr>
            </w:pPr>
            <w:r>
              <w:rPr>
                <w:sz w:val="18"/>
                <w:szCs w:val="18"/>
              </w:rPr>
              <w:t>期末考试成绩</w:t>
            </w:r>
          </w:p>
        </w:tc>
        <w:tc>
          <w:tcPr>
            <w:tcW w:w="750" w:type="dxa"/>
            <w:vAlign w:val="center"/>
          </w:tcPr>
          <w:p>
            <w:pPr>
              <w:snapToGrid w:val="0"/>
              <w:spacing w:line="300" w:lineRule="auto"/>
              <w:jc w:val="center"/>
              <w:rPr>
                <w:sz w:val="18"/>
                <w:szCs w:val="18"/>
              </w:rPr>
            </w:pPr>
            <w:r>
              <w:rPr>
                <w:sz w:val="18"/>
                <w:szCs w:val="18"/>
              </w:rPr>
              <w:t>100</w:t>
            </w:r>
          </w:p>
        </w:tc>
        <w:tc>
          <w:tcPr>
            <w:tcW w:w="748" w:type="dxa"/>
            <w:vAlign w:val="center"/>
          </w:tcPr>
          <w:p>
            <w:pPr>
              <w:snapToGrid w:val="0"/>
              <w:spacing w:line="300" w:lineRule="auto"/>
              <w:jc w:val="center"/>
              <w:rPr>
                <w:sz w:val="18"/>
                <w:szCs w:val="18"/>
              </w:rPr>
            </w:pPr>
            <w:r>
              <w:rPr>
                <w:sz w:val="18"/>
                <w:szCs w:val="18"/>
              </w:rPr>
              <w:t>0.5</w:t>
            </w:r>
          </w:p>
        </w:tc>
        <w:tc>
          <w:tcPr>
            <w:tcW w:w="729" w:type="dxa"/>
            <w:vAlign w:val="center"/>
          </w:tcPr>
          <w:p>
            <w:pPr>
              <w:snapToGrid w:val="0"/>
              <w:spacing w:line="300" w:lineRule="auto"/>
              <w:jc w:val="center"/>
              <w:rPr>
                <w:sz w:val="18"/>
                <w:szCs w:val="18"/>
              </w:rPr>
            </w:pPr>
            <w:r>
              <w:rPr>
                <w:sz w:val="18"/>
                <w:szCs w:val="18"/>
              </w:rPr>
              <w:t>综述论文</w:t>
            </w:r>
          </w:p>
        </w:tc>
        <w:tc>
          <w:tcPr>
            <w:tcW w:w="616" w:type="dxa"/>
            <w:vAlign w:val="center"/>
          </w:tcPr>
          <w:p>
            <w:pPr>
              <w:snapToGrid w:val="0"/>
              <w:spacing w:line="300" w:lineRule="auto"/>
              <w:jc w:val="center"/>
              <w:rPr>
                <w:sz w:val="18"/>
                <w:szCs w:val="18"/>
              </w:rPr>
            </w:pPr>
            <w:r>
              <w:rPr>
                <w:sz w:val="18"/>
                <w:szCs w:val="18"/>
              </w:rPr>
              <w:t>1</w:t>
            </w:r>
          </w:p>
        </w:tc>
        <w:tc>
          <w:tcPr>
            <w:tcW w:w="4037" w:type="dxa"/>
            <w:vAlign w:val="center"/>
          </w:tcPr>
          <w:p>
            <w:pPr>
              <w:snapToGrid w:val="0"/>
              <w:spacing w:line="300" w:lineRule="auto"/>
              <w:rPr>
                <w:sz w:val="18"/>
                <w:szCs w:val="18"/>
              </w:rPr>
            </w:pPr>
            <w:r>
              <w:rPr>
                <w:sz w:val="18"/>
                <w:szCs w:val="18"/>
              </w:rPr>
              <w:t>课程总结报告。就水声通信技术或相关方面的某一专题，写一篇综述性报告。要求字数不少于3000字，要有自己的观点、理解、分析和总结</w:t>
            </w:r>
          </w:p>
        </w:tc>
        <w:tc>
          <w:tcPr>
            <w:tcW w:w="1050" w:type="dxa"/>
            <w:vAlign w:val="center"/>
          </w:tcPr>
          <w:p>
            <w:pPr>
              <w:snapToGrid w:val="0"/>
              <w:spacing w:line="300" w:lineRule="auto"/>
              <w:jc w:val="center"/>
              <w:rPr>
                <w:sz w:val="18"/>
                <w:szCs w:val="18"/>
              </w:rPr>
            </w:pPr>
            <w:r>
              <w:rPr>
                <w:sz w:val="18"/>
                <w:szCs w:val="18"/>
              </w:rPr>
              <w:t>1，2</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74"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74" DrawAspect="Content" ObjectID="_1468075872" r:id="rId195">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175" o:spt="75" type="#_x0000_t75" style="height:18.75pt;width:282.75pt;" o:ole="t" filled="f" o:preferrelative="t" stroked="f" coordsize="21600,21600">
            <v:path/>
            <v:fill on="f" focussize="0,0"/>
            <v:stroke on="f" joinstyle="miter"/>
            <v:imagedata r:id="rId38" o:title=""/>
            <o:lock v:ext="edit" aspectratio="t"/>
            <w10:wrap type="none"/>
            <w10:anchorlock/>
          </v:shape>
          <o:OLEObject Type="Embed" ProgID="Equation.DSMT4" ShapeID="_x0000_i1175" DrawAspect="Content" ObjectID="_1468075873" r:id="rId196">
            <o:LockedField>false</o:LockedField>
          </o:OLEObject>
        </w:object>
      </w:r>
    </w:p>
    <w:p>
      <w:pPr>
        <w:snapToGrid w:val="0"/>
        <w:spacing w:line="300" w:lineRule="auto"/>
      </w:pPr>
      <w:r>
        <w:t>其中权重系数按照表6设定。</w:t>
      </w:r>
    </w:p>
    <w:p>
      <w:pPr>
        <w:snapToGrid w:val="0"/>
        <w:spacing w:before="156" w:beforeLines="50" w:line="300" w:lineRule="auto"/>
        <w:jc w:val="center"/>
        <w:rPr>
          <w:b/>
          <w:bCs/>
          <w:sz w:val="18"/>
          <w:szCs w:val="18"/>
        </w:rPr>
      </w:pPr>
      <w:r>
        <w:rPr>
          <w:b/>
          <w:bCs/>
          <w:sz w:val="18"/>
          <w:szCs w:val="18"/>
        </w:rPr>
        <w:t>表6课程目标权重系数</w:t>
      </w:r>
    </w:p>
    <w:tbl>
      <w:tblPr>
        <w:tblStyle w:val="22"/>
        <w:tblW w:w="6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0"/>
        <w:gridCol w:w="2016"/>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10" w:type="dxa"/>
            <w:vAlign w:val="center"/>
          </w:tcPr>
          <w:p>
            <w:pPr>
              <w:snapToGrid w:val="0"/>
              <w:spacing w:line="300" w:lineRule="auto"/>
              <w:jc w:val="center"/>
              <w:rPr>
                <w:b/>
                <w:bCs/>
                <w:sz w:val="18"/>
                <w:szCs w:val="18"/>
              </w:rPr>
            </w:pPr>
            <w:r>
              <w:rPr>
                <w:b/>
                <w:bCs/>
                <w:sz w:val="18"/>
                <w:szCs w:val="18"/>
              </w:rPr>
              <w:t>课程目标</w:t>
            </w:r>
          </w:p>
        </w:tc>
        <w:tc>
          <w:tcPr>
            <w:tcW w:w="2016" w:type="dxa"/>
            <w:vAlign w:val="center"/>
          </w:tcPr>
          <w:p>
            <w:pPr>
              <w:snapToGrid w:val="0"/>
              <w:spacing w:line="300" w:lineRule="auto"/>
              <w:jc w:val="center"/>
              <w:rPr>
                <w:sz w:val="18"/>
                <w:szCs w:val="18"/>
              </w:rPr>
            </w:pPr>
            <w:r>
              <w:rPr>
                <w:sz w:val="18"/>
                <w:szCs w:val="18"/>
              </w:rPr>
              <w:t>1</w:t>
            </w:r>
          </w:p>
        </w:tc>
        <w:tc>
          <w:tcPr>
            <w:tcW w:w="2389"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910" w:type="dxa"/>
            <w:vAlign w:val="center"/>
          </w:tcPr>
          <w:p>
            <w:pPr>
              <w:snapToGrid w:val="0"/>
              <w:spacing w:line="300" w:lineRule="auto"/>
              <w:jc w:val="center"/>
              <w:rPr>
                <w:b/>
                <w:bCs/>
                <w:sz w:val="18"/>
                <w:szCs w:val="18"/>
              </w:rPr>
            </w:pPr>
            <w:r>
              <w:rPr>
                <w:b/>
                <w:bCs/>
                <w:sz w:val="18"/>
                <w:szCs w:val="18"/>
              </w:rPr>
              <w:t>权重系数</w:t>
            </w:r>
          </w:p>
        </w:tc>
        <w:tc>
          <w:tcPr>
            <w:tcW w:w="2016" w:type="dxa"/>
            <w:vAlign w:val="center"/>
          </w:tcPr>
          <w:p>
            <w:pPr>
              <w:snapToGrid w:val="0"/>
              <w:spacing w:line="300" w:lineRule="auto"/>
              <w:jc w:val="center"/>
              <w:rPr>
                <w:sz w:val="18"/>
                <w:szCs w:val="18"/>
              </w:rPr>
            </w:pPr>
            <w:r>
              <w:rPr>
                <w:sz w:val="18"/>
                <w:szCs w:val="18"/>
              </w:rPr>
              <w:t>0.5</w:t>
            </w:r>
          </w:p>
        </w:tc>
        <w:tc>
          <w:tcPr>
            <w:tcW w:w="2389" w:type="dxa"/>
            <w:vAlign w:val="center"/>
          </w:tcPr>
          <w:p>
            <w:pPr>
              <w:snapToGrid w:val="0"/>
              <w:spacing w:line="300" w:lineRule="auto"/>
              <w:jc w:val="center"/>
              <w:rPr>
                <w:sz w:val="18"/>
                <w:szCs w:val="18"/>
              </w:rPr>
            </w:pPr>
            <w:r>
              <w:rPr>
                <w:sz w:val="18"/>
                <w:szCs w:val="18"/>
              </w:rPr>
              <w:t>0.5</w:t>
            </w:r>
          </w:p>
        </w:tc>
      </w:tr>
    </w:tbl>
    <w:p>
      <w:pPr>
        <w:snapToGrid w:val="0"/>
        <w:spacing w:line="300" w:lineRule="auto"/>
        <w:ind w:firstLine="420" w:firstLineChars="200"/>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76" o:spt="75" type="#_x0000_t75" style="height:20.25pt;width:306.75pt;" o:ole="t" filled="f" o:preferrelative="t" stroked="f" coordsize="21600,21600">
            <v:path/>
            <v:fill on="f" focussize="0,0"/>
            <v:stroke on="f" joinstyle="miter"/>
            <v:imagedata r:id="rId40" o:title=""/>
            <o:lock v:ext="edit" aspectratio="t"/>
            <w10:wrap type="none"/>
            <w10:anchorlock/>
          </v:shape>
          <o:OLEObject Type="Embed" ProgID="Equation.3" ShapeID="_x0000_i1176" DrawAspect="Content" ObjectID="_1468075874" r:id="rId197">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rFonts w:ascii="Times New Roman" w:hAnsi="Times New Roman" w:eastAsia="宋体" w:cs="Times New Roman"/>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[1] </w:t>
      </w:r>
      <w:r>
        <w:rPr>
          <w:rFonts w:ascii="Times New Roman" w:hAnsi="Times New Roman" w:eastAsia="宋体" w:cs="Times New Roman"/>
        </w:rPr>
        <w:t>朱昌平 等编著，</w:t>
      </w:r>
      <w:r>
        <w:rPr>
          <w:rFonts w:ascii="Times New Roman" w:hAnsi="Times New Roman" w:eastAsia="宋体" w:cs="Times New Roman"/>
          <w:szCs w:val="21"/>
        </w:rPr>
        <w:t>水声通信基本原理与应用[M]，北京：</w:t>
      </w:r>
      <w:r>
        <w:rPr>
          <w:rFonts w:ascii="Times New Roman" w:hAnsi="Times New Roman" w:eastAsia="宋体" w:cs="Times New Roman"/>
        </w:rPr>
        <w:t>电子工业出版社，2009年。</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spacing w:line="360" w:lineRule="exact"/>
        <w:ind w:left="840" w:leftChars="200" w:hanging="420" w:hangingChars="200"/>
        <w:rPr>
          <w:rFonts w:ascii="Times New Roman" w:hAnsi="Times New Roman" w:eastAsia="宋体" w:cs="Times New Roman"/>
          <w:szCs w:val="21"/>
        </w:rPr>
      </w:pPr>
      <w:r>
        <w:rPr>
          <w:rFonts w:ascii="Times New Roman" w:hAnsi="Times New Roman" w:eastAsia="宋体" w:cs="Times New Roman"/>
          <w:szCs w:val="21"/>
        </w:rPr>
        <w:t>[1] 张歆，张小蓟. 信息与通信技术:水声通信理论与应用[M]，西安：西北工业大学出版社， 2012年</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殷敬伟. 水声通信原理及信号处理技术[M],</w:t>
      </w:r>
      <w:r>
        <w:rPr>
          <w:rFonts w:ascii="Times New Roman" w:hAnsi="Times New Roman" w:eastAsia="宋体" w:cs="Times New Roman"/>
        </w:rPr>
        <w:t xml:space="preserve"> 北京：</w:t>
      </w:r>
      <w:r>
        <w:rPr>
          <w:rFonts w:ascii="Times New Roman" w:hAnsi="Times New Roman" w:eastAsia="宋体" w:cs="Times New Roman"/>
          <w:szCs w:val="21"/>
        </w:rPr>
        <w:t>国防工业出版社,2011年。</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shd w:val="clear" w:color="auto" w:fill="auto"/>
          </w:tcPr>
          <w:p>
            <w:pPr>
              <w:tabs>
                <w:tab w:val="left" w:pos="3132"/>
                <w:tab w:val="right" w:pos="7801"/>
              </w:tabs>
              <w:snapToGrid w:val="0"/>
              <w:spacing w:line="300" w:lineRule="auto"/>
              <w:ind w:right="200"/>
              <w:jc w:val="left"/>
              <w:rPr>
                <w:rFonts w:ascii="Times New Roman" w:hAnsi="Times New Roman" w:eastAsia="宋体" w:cs="Times New Roman"/>
                <w:kern w:val="0"/>
                <w:sz w:val="20"/>
                <w:szCs w:val="21"/>
              </w:rPr>
            </w:pPr>
            <w:r>
              <w:rPr>
                <w:rFonts w:ascii="Times New Roman" w:hAnsi="Times New Roman" w:eastAsia="宋体" w:cs="Times New Roman"/>
                <w:kern w:val="0"/>
                <w:sz w:val="20"/>
                <w:szCs w:val="21"/>
              </w:rPr>
              <w:tab/>
            </w:r>
            <w:r>
              <w:rPr>
                <w:rFonts w:ascii="Times New Roman" w:hAnsi="Times New Roman" w:eastAsia="宋体" w:cs="Times New Roman"/>
                <w:kern w:val="0"/>
                <w:sz w:val="20"/>
                <w:szCs w:val="21"/>
              </w:rPr>
              <w:tab/>
            </w: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20</w:t>
            </w:r>
          </w:p>
          <w:p>
            <w:pPr>
              <w:tabs>
                <w:tab w:val="left" w:pos="3132"/>
                <w:tab w:val="right" w:pos="7801"/>
              </w:tabs>
              <w:snapToGrid w:val="0"/>
              <w:spacing w:line="300" w:lineRule="auto"/>
              <w:ind w:right="200"/>
              <w:jc w:val="left"/>
              <w:rPr>
                <w:rFonts w:ascii="Times New Roman" w:hAnsi="Times New Roman" w:eastAsia="宋体" w:cs="Times New Roman"/>
                <w:kern w:val="0"/>
                <w:sz w:val="20"/>
                <w:szCs w:val="21"/>
              </w:rPr>
            </w:pPr>
          </w:p>
        </w:tc>
      </w:tr>
    </w:tbl>
    <w:p>
      <w:pPr>
        <w:rPr>
          <w:rFonts w:ascii="Times New Roman" w:hAnsi="Times New Roman" w:eastAsia="宋体" w:cs="Times New Roman"/>
          <w:b/>
          <w:kern w:val="44"/>
          <w:sz w:val="44"/>
        </w:rPr>
      </w:pPr>
      <w:r>
        <w:rPr>
          <w:rFonts w:ascii="Times New Roman" w:hAnsi="Times New Roman" w:eastAsia="宋体" w:cs="Times New Roman"/>
        </w:rPr>
        <w:br w:type="page"/>
      </w:r>
    </w:p>
    <w:p>
      <w:pPr>
        <w:pStyle w:val="4"/>
        <w:numPr>
          <w:ilvl w:val="2"/>
          <w:numId w:val="0"/>
        </w:numPr>
        <w:rPr>
          <w:rFonts w:ascii="Times New Roman" w:hAnsi="Times New Roman" w:cs="Times New Roman"/>
        </w:rPr>
        <w:sectPr>
          <w:footerReference r:id="rId14" w:type="default"/>
          <w:pgSz w:w="11906" w:h="16838"/>
          <w:pgMar w:top="1440" w:right="1800" w:bottom="1440" w:left="1800" w:header="851" w:footer="992" w:gutter="0"/>
          <w:cols w:space="425" w:num="1"/>
          <w:docGrid w:type="lines" w:linePitch="312" w:charSpace="0"/>
        </w:sectPr>
      </w:pPr>
    </w:p>
    <w:p/>
    <w:p>
      <w:pPr>
        <w:pStyle w:val="16"/>
        <w:tabs>
          <w:tab w:val="right" w:leader="dot" w:pos="8692"/>
        </w:tabs>
        <w:spacing w:line="360" w:lineRule="auto"/>
        <w:jc w:val="center"/>
      </w:pPr>
      <w:r>
        <w:rPr>
          <w:rFonts w:ascii="Times New Roman" w:hAnsi="Times New Roman" w:eastAsia="楷体" w:cs="Times New Roman"/>
          <w:b/>
          <w:bCs/>
          <w:sz w:val="32"/>
          <w:szCs w:val="32"/>
        </w:rPr>
        <w:t>目</w:t>
      </w:r>
      <w:r>
        <w:rPr>
          <w:rFonts w:hint="eastAsia" w:ascii="Times New Roman" w:hAnsi="Times New Roman" w:eastAsia="楷体" w:cs="Times New Roman"/>
          <w:b/>
          <w:bCs/>
          <w:sz w:val="32"/>
          <w:szCs w:val="32"/>
        </w:rPr>
        <w:t xml:space="preserve">  </w:t>
      </w:r>
      <w:r>
        <w:rPr>
          <w:rFonts w:ascii="Times New Roman" w:hAnsi="Times New Roman" w:eastAsia="楷体" w:cs="Times New Roman"/>
          <w:b/>
          <w:bCs/>
          <w:sz w:val="32"/>
          <w:szCs w:val="32"/>
        </w:rPr>
        <w:t>录</w:t>
      </w:r>
    </w:p>
    <w:p>
      <w:pPr>
        <w:pStyle w:val="16"/>
        <w:tabs>
          <w:tab w:val="right" w:leader="dot" w:pos="8692"/>
        </w:tabs>
        <w:spacing w:line="360" w:lineRule="auto"/>
        <w:rPr>
          <w:rFonts w:ascii="Times New Roman" w:hAnsi="Times New Roman" w:cs="Times New Roman"/>
          <w:sz w:val="24"/>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TOC \o "1-2" \h \u </w:instrText>
      </w:r>
      <w:r>
        <w:rPr>
          <w:rFonts w:ascii="Times New Roman" w:hAnsi="Times New Roman" w:eastAsia="宋体" w:cs="Times New Roman"/>
          <w:sz w:val="24"/>
        </w:rPr>
        <w:fldChar w:fldCharType="separate"/>
      </w:r>
      <w:r>
        <w:fldChar w:fldCharType="begin"/>
      </w:r>
      <w:r>
        <w:instrText xml:space="preserve"> HYPERLINK \l "_Toc4767" </w:instrText>
      </w:r>
      <w:r>
        <w:fldChar w:fldCharType="separate"/>
      </w:r>
      <w:r>
        <w:rPr>
          <w:rFonts w:ascii="Times New Roman" w:hAnsi="Times New Roman" w:cs="Times New Roman"/>
          <w:sz w:val="24"/>
        </w:rPr>
        <w:t>1工程实践与毕业设计（论文）教学大纲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_Toc4767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"_Toc29270" </w:instrText>
      </w:r>
      <w:r>
        <w:fldChar w:fldCharType="separate"/>
      </w:r>
      <w:r>
        <w:rPr>
          <w:rFonts w:ascii="Times New Roman" w:hAnsi="Times New Roman" w:eastAsia="宋体" w:cs="Times New Roman"/>
          <w:sz w:val="24"/>
        </w:rPr>
        <w:t>19123101《大学物理实验Ⅱ》课程教学大纲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_Toc29270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"_Toc23129" </w:instrText>
      </w:r>
      <w:r>
        <w:fldChar w:fldCharType="separate"/>
      </w:r>
      <w:r>
        <w:rPr>
          <w:rFonts w:ascii="Times New Roman" w:hAnsi="Times New Roman" w:cs="Times New Roman"/>
          <w:sz w:val="24"/>
        </w:rPr>
        <w:t>j1610101《电子工艺实习》实习教学大纲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_Toc23129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"_Toc29515" </w:instrText>
      </w:r>
      <w:r>
        <w:fldChar w:fldCharType="separate"/>
      </w:r>
      <w:r>
        <w:rPr>
          <w:rFonts w:ascii="Times New Roman" w:hAnsi="Times New Roman" w:eastAsia="宋体" w:cs="Times New Roman"/>
          <w:sz w:val="24"/>
        </w:rPr>
        <w:t>j3340107《工程项目实训》实训教学大纲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_Toc29515 \h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"_Toc16948" </w:instrText>
      </w:r>
      <w:r>
        <w:fldChar w:fldCharType="separate"/>
      </w:r>
      <w:r>
        <w:rPr>
          <w:rFonts w:ascii="Times New Roman" w:hAnsi="Times New Roman" w:cs="Times New Roman"/>
          <w:sz w:val="24"/>
        </w:rPr>
        <w:t>j3341701《C语言程序设计实习》实习教学大纲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_Toc16948 \h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"_Toc8751" </w:instrText>
      </w:r>
      <w:r>
        <w:fldChar w:fldCharType="separate"/>
      </w:r>
      <w:r>
        <w:rPr>
          <w:rFonts w:ascii="Times New Roman" w:hAnsi="Times New Roman" w:cs="Times New Roman"/>
          <w:sz w:val="24"/>
        </w:rPr>
        <w:t>j3340101《电子技术基础综合实习（模拟、数字）》实习教学大纲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_Toc8751 \h </w:instrText>
      </w:r>
      <w:r>
        <w:rPr>
          <w:rFonts w:ascii="Times New Roman" w:hAnsi="Times New Roman" w:cs="Times New Roman"/>
          <w:sz w:val="24"/>
        </w:rPr>
        <w:fldChar w:fldCharType="separate"/>
      </w:r>
      <w:r>
        <w:rPr>
          <w:rFonts w:ascii="Times New Roman" w:hAnsi="Times New Roman" w:cs="Times New Roman"/>
          <w:sz w:val="24"/>
        </w:rPr>
        <w:t>20</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"_Toc3658" </w:instrText>
      </w:r>
      <w:r>
        <w:fldChar w:fldCharType="separate"/>
      </w:r>
      <w:r>
        <w:rPr>
          <w:rFonts w:ascii="Times New Roman" w:hAnsi="Times New Roman" w:cs="Times New Roman"/>
          <w:sz w:val="24"/>
        </w:rPr>
        <w:t>j3341702《微机原理与单片机课程实习》实习教学大纲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_Toc3658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"_Toc3911" </w:instrText>
      </w:r>
      <w:r>
        <w:fldChar w:fldCharType="separate"/>
      </w:r>
      <w:r>
        <w:rPr>
          <w:rFonts w:ascii="Times New Roman" w:hAnsi="Times New Roman" w:cs="Times New Roman"/>
          <w:sz w:val="24"/>
        </w:rPr>
        <w:t>j3340102《高频电子线路课程实习》实习教学大纲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_Toc3911 \h </w:instrText>
      </w:r>
      <w:r>
        <w:rPr>
          <w:rFonts w:ascii="Times New Roman" w:hAnsi="Times New Roman" w:cs="Times New Roman"/>
          <w:sz w:val="24"/>
        </w:rPr>
        <w:fldChar w:fldCharType="separate"/>
      </w:r>
      <w:r>
        <w:rPr>
          <w:rFonts w:ascii="Times New Roman" w:hAnsi="Times New Roman" w:cs="Times New Roman"/>
          <w:sz w:val="24"/>
        </w:rPr>
        <w:t>28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"_Toc16408" </w:instrText>
      </w:r>
      <w:r>
        <w:fldChar w:fldCharType="separate"/>
      </w:r>
      <w:r>
        <w:rPr>
          <w:rFonts w:ascii="Times New Roman" w:hAnsi="Times New Roman" w:cs="Times New Roman"/>
          <w:sz w:val="24"/>
        </w:rPr>
        <w:t>j3341703《通信原理课程实习》实习教学大纲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_Toc16408 \h </w:instrText>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"_Toc1600" </w:instrText>
      </w:r>
      <w:r>
        <w:fldChar w:fldCharType="separate"/>
      </w:r>
      <w:r>
        <w:rPr>
          <w:rFonts w:ascii="Times New Roman" w:hAnsi="Times New Roman" w:cs="Times New Roman"/>
          <w:sz w:val="24"/>
        </w:rPr>
        <w:t>j3341705《海洋遥感与海洋物联网课程实习》实习教学大纲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_Toc1600 \h </w:instrText>
      </w:r>
      <w:r>
        <w:rPr>
          <w:rFonts w:ascii="Times New Roman" w:hAnsi="Times New Roman" w:cs="Times New Roman"/>
          <w:sz w:val="24"/>
        </w:rPr>
        <w:fldChar w:fldCharType="separate"/>
      </w:r>
      <w:r>
        <w:rPr>
          <w:rFonts w:ascii="Times New Roman" w:hAnsi="Times New Roman" w:cs="Times New Roman"/>
          <w:sz w:val="24"/>
        </w:rPr>
        <w:t>38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"_Toc10329" </w:instrText>
      </w:r>
      <w:r>
        <w:fldChar w:fldCharType="separate"/>
      </w:r>
      <w:r>
        <w:rPr>
          <w:rFonts w:ascii="Times New Roman" w:hAnsi="Times New Roman" w:cs="Times New Roman"/>
          <w:sz w:val="24"/>
        </w:rPr>
        <w:t>j3341706《大学生素质与技能训练》实习教学大纲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_Toc10329 \h </w:instrText>
      </w:r>
      <w:r>
        <w:rPr>
          <w:rFonts w:ascii="Times New Roman" w:hAnsi="Times New Roman" w:cs="Times New Roman"/>
          <w:sz w:val="24"/>
        </w:rPr>
        <w:fldChar w:fldCharType="separate"/>
      </w:r>
      <w:r>
        <w:rPr>
          <w:rFonts w:ascii="Times New Roman" w:hAnsi="Times New Roman" w:cs="Times New Roman"/>
          <w:sz w:val="24"/>
        </w:rPr>
        <w:t>43</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"_Toc29425" </w:instrText>
      </w:r>
      <w:r>
        <w:fldChar w:fldCharType="separate"/>
      </w:r>
      <w:r>
        <w:rPr>
          <w:rFonts w:ascii="Times New Roman" w:hAnsi="Times New Roman" w:cs="Times New Roman"/>
          <w:sz w:val="24"/>
        </w:rPr>
        <w:t>j3341704《嵌入式系统课程实习》实习教学大纲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_Toc29425 \h </w:instrText>
      </w:r>
      <w:r>
        <w:rPr>
          <w:rFonts w:ascii="Times New Roman" w:hAnsi="Times New Roman" w:cs="Times New Roman"/>
          <w:sz w:val="24"/>
        </w:rPr>
        <w:fldChar w:fldCharType="separate"/>
      </w:r>
      <w:r>
        <w:rPr>
          <w:rFonts w:ascii="Times New Roman" w:hAnsi="Times New Roman" w:cs="Times New Roman"/>
          <w:sz w:val="24"/>
        </w:rPr>
        <w:t>48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"_Toc30051" </w:instrText>
      </w:r>
      <w:r>
        <w:fldChar w:fldCharType="separate"/>
      </w:r>
      <w:r>
        <w:rPr>
          <w:rFonts w:ascii="Times New Roman" w:hAnsi="Times New Roman" w:cs="Times New Roman"/>
          <w:sz w:val="24"/>
        </w:rPr>
        <w:t>j3341708《FPGA与DSP实习》实习教学大纲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_Toc30051 \h </w:instrText>
      </w:r>
      <w:r>
        <w:rPr>
          <w:rFonts w:ascii="Times New Roman" w:hAnsi="Times New Roman" w:cs="Times New Roman"/>
          <w:sz w:val="24"/>
        </w:rPr>
        <w:fldChar w:fldCharType="separate"/>
      </w:r>
      <w:r>
        <w:rPr>
          <w:rFonts w:ascii="Times New Roman" w:hAnsi="Times New Roman" w:cs="Times New Roman"/>
          <w:sz w:val="24"/>
        </w:rPr>
        <w:t>52</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"_Toc1171" </w:instrText>
      </w:r>
      <w:r>
        <w:fldChar w:fldCharType="separate"/>
      </w:r>
      <w:r>
        <w:rPr>
          <w:rFonts w:ascii="Times New Roman" w:hAnsi="Times New Roman" w:cs="Times New Roman"/>
          <w:sz w:val="24"/>
        </w:rPr>
        <w:t>j3341709《语音与图像处理实习》实习教学大纲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_Toc1171 \h </w:instrText>
      </w:r>
      <w:r>
        <w:rPr>
          <w:rFonts w:ascii="Times New Roman" w:hAnsi="Times New Roman" w:cs="Times New Roman"/>
          <w:sz w:val="24"/>
        </w:rPr>
        <w:fldChar w:fldCharType="separate"/>
      </w:r>
      <w:r>
        <w:rPr>
          <w:rFonts w:ascii="Times New Roman" w:hAnsi="Times New Roman" w:cs="Times New Roman"/>
          <w:sz w:val="24"/>
        </w:rPr>
        <w:t>58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"_Toc16544" </w:instrText>
      </w:r>
      <w:r>
        <w:fldChar w:fldCharType="separate"/>
      </w:r>
      <w:r>
        <w:rPr>
          <w:rFonts w:ascii="Times New Roman" w:hAnsi="Times New Roman" w:cs="Times New Roman"/>
          <w:sz w:val="24"/>
        </w:rPr>
        <w:t>j3341710《生产实习》实训教学大纲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_Toc16544 \h </w:instrText>
      </w:r>
      <w:r>
        <w:rPr>
          <w:rFonts w:ascii="Times New Roman" w:hAnsi="Times New Roman" w:cs="Times New Roman"/>
          <w:sz w:val="24"/>
        </w:rPr>
        <w:fldChar w:fldCharType="separate"/>
      </w:r>
      <w:r>
        <w:rPr>
          <w:rFonts w:ascii="Times New Roman" w:hAnsi="Times New Roman" w:cs="Times New Roman"/>
          <w:sz w:val="24"/>
        </w:rPr>
        <w:t>62</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"_Toc2785" </w:instrText>
      </w:r>
      <w:r>
        <w:fldChar w:fldCharType="separate"/>
      </w:r>
      <w:r>
        <w:rPr>
          <w:rFonts w:ascii="Times New Roman" w:hAnsi="Times New Roman" w:cs="Times New Roman"/>
          <w:sz w:val="24"/>
        </w:rPr>
        <w:t>j3340109《毕业实习》实训教学大纲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_Toc2785 \h </w:instrText>
      </w:r>
      <w:r>
        <w:rPr>
          <w:rFonts w:ascii="Times New Roman" w:hAnsi="Times New Roman" w:cs="Times New Roman"/>
          <w:sz w:val="24"/>
        </w:rPr>
        <w:fldChar w:fldCharType="separate"/>
      </w:r>
      <w:r>
        <w:rPr>
          <w:rFonts w:ascii="Times New Roman" w:hAnsi="Times New Roman" w:cs="Times New Roman"/>
          <w:sz w:val="24"/>
        </w:rPr>
        <w:t>68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"_Toc22833" </w:instrText>
      </w:r>
      <w:r>
        <w:fldChar w:fldCharType="separate"/>
      </w:r>
      <w:r>
        <w:rPr>
          <w:rFonts w:ascii="Times New Roman" w:hAnsi="Times New Roman" w:cs="Times New Roman"/>
          <w:sz w:val="24"/>
        </w:rPr>
        <w:t>j3340110《毕业设计》教学大纲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_Toc22833 \h </w:instrText>
      </w:r>
      <w:r>
        <w:rPr>
          <w:rFonts w:ascii="Times New Roman" w:hAnsi="Times New Roman" w:cs="Times New Roman"/>
          <w:sz w:val="24"/>
        </w:rPr>
        <w:fldChar w:fldCharType="separate"/>
      </w:r>
      <w:r>
        <w:rPr>
          <w:rFonts w:ascii="Times New Roman" w:hAnsi="Times New Roman" w:cs="Times New Roman"/>
          <w:sz w:val="24"/>
        </w:rPr>
        <w:t>74</w:t>
      </w:r>
      <w:r>
        <w:rPr>
          <w:rFonts w:ascii="Times New Roman" w:hAnsi="Times New Roman" w:cs="Times New Roman"/>
          <w:sz w:val="24"/>
        </w:rPr>
        <w:fldChar w:fldCharType="end"/>
      </w:r>
      <w:r>
        <w:rPr>
          <w:rFonts w:ascii="Times New Roman" w:hAnsi="Times New Roman" w:cs="Times New Roman"/>
          <w:sz w:val="24"/>
        </w:rPr>
        <w:fldChar w:fldCharType="end"/>
      </w:r>
    </w:p>
    <w:p>
      <w:pPr>
        <w:pStyle w:val="16"/>
        <w:tabs>
          <w:tab w:val="right" w:leader="dot" w:pos="8692"/>
        </w:tabs>
        <w:spacing w:line="360" w:lineRule="auto"/>
        <w:rPr>
          <w:rFonts w:ascii="Times New Roman" w:hAnsi="Times New Roman" w:cs="Times New Roman"/>
          <w:sz w:val="24"/>
        </w:rPr>
      </w:pPr>
      <w:r>
        <w:fldChar w:fldCharType="begin"/>
      </w:r>
      <w:r>
        <w:instrText xml:space="preserve"> HYPERLINK \l "_Toc3326" </w:instrText>
      </w:r>
      <w:r>
        <w:fldChar w:fldCharType="separate"/>
      </w:r>
      <w:r>
        <w:rPr>
          <w:rFonts w:ascii="Times New Roman" w:hAnsi="Times New Roman" w:cs="Times New Roman"/>
          <w:sz w:val="24"/>
        </w:rPr>
        <w:t>2工程实践与毕业设计（论文）课程目标达成情况评价报告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_Toc3326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"_Toc25484" </w:instrText>
      </w:r>
      <w:r>
        <w:fldChar w:fldCharType="separate"/>
      </w:r>
      <w:r>
        <w:rPr>
          <w:rFonts w:ascii="Times New Roman" w:hAnsi="Times New Roman" w:cs="Times New Roman"/>
          <w:sz w:val="24"/>
        </w:rPr>
        <w:t>2.1《电子技术基础综合实习》课程目标达成情况评价报告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_Toc25484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692"/>
        </w:tabs>
        <w:spacing w:line="360" w:lineRule="auto"/>
        <w:rPr>
          <w:rFonts w:ascii="Times New Roman" w:hAnsi="Times New Roman" w:cs="Times New Roman"/>
          <w:sz w:val="24"/>
        </w:rPr>
      </w:pPr>
      <w:r>
        <w:fldChar w:fldCharType="begin"/>
      </w:r>
      <w:r>
        <w:instrText xml:space="preserve"> HYPERLINK \l "_Toc24430" </w:instrText>
      </w:r>
      <w:r>
        <w:fldChar w:fldCharType="separate"/>
      </w:r>
      <w:r>
        <w:rPr>
          <w:rFonts w:ascii="Times New Roman" w:hAnsi="Times New Roman" w:cs="Times New Roman"/>
          <w:sz w:val="24"/>
        </w:rPr>
        <w:t>2.2其他课程目标达成情况评价报告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_Toc24430 \h </w:instrText>
      </w:r>
      <w:r>
        <w:rPr>
          <w:rFonts w:ascii="Times New Roman" w:hAnsi="Times New Roman" w:cs="Times New Roman"/>
          <w:sz w:val="24"/>
        </w:rPr>
        <w:fldChar w:fldCharType="separate"/>
      </w:r>
      <w:r>
        <w:rPr>
          <w:rFonts w:ascii="Times New Roman" w:hAnsi="Times New Roman" w:cs="Times New Roman"/>
          <w:sz w:val="24"/>
        </w:rPr>
        <w:t>90</w:t>
      </w:r>
      <w:r>
        <w:rPr>
          <w:rFonts w:ascii="Times New Roman" w:hAnsi="Times New Roman" w:cs="Times New Roman"/>
          <w:sz w:val="24"/>
        </w:rPr>
        <w:fldChar w:fldCharType="end"/>
      </w:r>
      <w:r>
        <w:rPr>
          <w:rFonts w:ascii="Times New Roman" w:hAnsi="Times New Roman" w:cs="Times New Roman"/>
          <w:sz w:val="24"/>
        </w:rPr>
        <w:fldChar w:fldCharType="end"/>
      </w:r>
    </w:p>
    <w:p>
      <w:pPr>
        <w:pStyle w:val="2"/>
        <w:numPr>
          <w:ilvl w:val="0"/>
          <w:numId w:val="0"/>
        </w:numPr>
        <w:spacing w:before="0" w:after="0" w:line="360" w:lineRule="auto"/>
        <w:rPr>
          <w:rFonts w:ascii="Times New Roman" w:hAnsi="Times New Roman" w:cs="Times New Roman"/>
          <w:sz w:val="36"/>
          <w:szCs w:val="36"/>
        </w:rPr>
        <w:sectPr>
          <w:footerReference r:id="rId15" w:type="default"/>
          <w:pgSz w:w="11906" w:h="16838"/>
          <w:pgMar w:top="1440" w:right="1417" w:bottom="1440" w:left="1797" w:header="851" w:footer="992" w:gutter="0"/>
          <w:cols w:space="720" w:num="1"/>
          <w:docGrid w:type="lines" w:linePitch="312" w:charSpace="0"/>
        </w:sectPr>
      </w:pPr>
      <w:r>
        <w:rPr>
          <w:rFonts w:ascii="Times New Roman" w:hAnsi="Times New Roman" w:eastAsia="宋体" w:cs="Times New Roman"/>
          <w:sz w:val="24"/>
        </w:rPr>
        <w:fldChar w:fldCharType="end"/>
      </w:r>
    </w:p>
    <w:p>
      <w:pPr>
        <w:pStyle w:val="2"/>
        <w:numPr>
          <w:ilvl w:val="0"/>
          <w:numId w:val="0"/>
        </w:numPr>
        <w:spacing w:before="0" w:after="0" w:line="360" w:lineRule="auto"/>
        <w:rPr>
          <w:rFonts w:ascii="Times New Roman" w:hAnsi="Times New Roman" w:cs="Times New Roman"/>
          <w:sz w:val="36"/>
          <w:szCs w:val="36"/>
        </w:rPr>
        <w:sectPr>
          <w:footerReference r:id="rId16" w:type="default"/>
          <w:type w:val="continuous"/>
          <w:pgSz w:w="11906" w:h="16838"/>
          <w:pgMar w:top="1440" w:right="1417" w:bottom="1440" w:left="1797" w:header="851" w:footer="992" w:gutter="0"/>
          <w:cols w:space="720" w:num="1"/>
          <w:docGrid w:type="lines" w:linePitch="312" w:charSpace="0"/>
        </w:sectPr>
      </w:pPr>
    </w:p>
    <w:p>
      <w:pPr>
        <w:pStyle w:val="2"/>
        <w:numPr>
          <w:ilvl w:val="0"/>
          <w:numId w:val="0"/>
        </w:numPr>
        <w:spacing w:before="0" w:after="0" w:line="360" w:lineRule="auto"/>
        <w:rPr>
          <w:rFonts w:ascii="Times New Roman" w:hAnsi="Times New Roman" w:cs="Times New Roman"/>
          <w:sz w:val="36"/>
          <w:szCs w:val="36"/>
        </w:rPr>
      </w:pPr>
      <w:bookmarkStart w:id="226" w:name="_Toc20925"/>
      <w:bookmarkStart w:id="227" w:name="_Toc4767"/>
      <w:r>
        <w:rPr>
          <w:rFonts w:hint="eastAsia" w:ascii="Times New Roman" w:hAnsi="Times New Roman" w:cs="Times New Roman"/>
          <w:sz w:val="36"/>
          <w:szCs w:val="36"/>
        </w:rPr>
        <w:t>3</w:t>
      </w:r>
      <w:r>
        <w:rPr>
          <w:rFonts w:ascii="Times New Roman" w:hAnsi="Times New Roman" w:cs="Times New Roman"/>
          <w:sz w:val="36"/>
          <w:szCs w:val="36"/>
        </w:rPr>
        <w:t>工程实践与毕业设计（论文）教学大纲</w:t>
      </w:r>
      <w:bookmarkEnd w:id="226"/>
      <w:bookmarkEnd w:id="227"/>
    </w:p>
    <w:p>
      <w:pPr>
        <w:rPr>
          <w:rFonts w:ascii="Times New Roman" w:hAnsi="Times New Roman"/>
          <w:sz w:val="32"/>
          <w:szCs w:val="32"/>
        </w:rPr>
        <w:sectPr>
          <w:footerReference r:id="rId17" w:type="default"/>
          <w:pgSz w:w="11906" w:h="16838"/>
          <w:pgMar w:top="1440" w:right="1417" w:bottom="1440" w:left="1797" w:header="851" w:footer="992" w:gutter="0"/>
          <w:cols w:space="720" w:num="1"/>
          <w:docGrid w:type="lines" w:linePitch="312" w:charSpace="0"/>
        </w:sectPr>
      </w:pPr>
      <w:bookmarkStart w:id="228" w:name="_Toc47774743"/>
      <w:bookmarkStart w:id="229" w:name="_Toc47719787"/>
      <w:bookmarkStart w:id="230" w:name="_Toc47718816"/>
    </w:p>
    <w:bookmarkEnd w:id="228"/>
    <w:bookmarkEnd w:id="229"/>
    <w:bookmarkEnd w:id="230"/>
    <w:p>
      <w:pPr>
        <w:pStyle w:val="3"/>
        <w:jc w:val="center"/>
        <w:rPr>
          <w:rFonts w:ascii="Times New Roman" w:hAnsi="Times New Roman" w:eastAsia="宋体" w:cs="Times New Roman"/>
        </w:rPr>
      </w:pPr>
      <w:bookmarkStart w:id="231" w:name="_Toc29270"/>
      <w:bookmarkStart w:id="232" w:name="_Toc5032"/>
      <w:bookmarkStart w:id="233" w:name="_Toc62659297"/>
      <w:bookmarkStart w:id="234" w:name="_Toc47719788"/>
      <w:bookmarkStart w:id="235" w:name="_Toc30608"/>
      <w:bookmarkStart w:id="236" w:name="_Toc62651739"/>
      <w:bookmarkStart w:id="237" w:name="_Toc47718815"/>
      <w:bookmarkStart w:id="238" w:name="_Toc62571481"/>
      <w:bookmarkStart w:id="239" w:name="_Toc62571480"/>
      <w:bookmarkStart w:id="240" w:name="_Toc25865"/>
      <w:bookmarkStart w:id="241" w:name="_Toc47719786"/>
      <w:bookmarkStart w:id="242" w:name="_Toc15822"/>
      <w:bookmarkStart w:id="243" w:name="_Toc47774742"/>
      <w:bookmarkStart w:id="244" w:name="_Toc11509"/>
      <w:bookmarkStart w:id="245" w:name="_Toc47774744"/>
      <w:bookmarkStart w:id="246" w:name="_Toc47718817"/>
      <w:r>
        <w:rPr>
          <w:rFonts w:ascii="Times New Roman" w:hAnsi="Times New Roman" w:eastAsia="宋体" w:cs="Times New Roman"/>
        </w:rPr>
        <w:t>19123101《大学物理实验Ⅱ》课程教学大纲</w:t>
      </w:r>
      <w:bookmarkEnd w:id="231"/>
      <w:bookmarkEnd w:id="232"/>
      <w:bookmarkEnd w:id="233"/>
    </w:p>
    <w:tbl>
      <w:tblPr>
        <w:tblStyle w:val="41"/>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087"/>
        <w:gridCol w:w="1122"/>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099" w:type="dxa"/>
            <w:vAlign w:val="center"/>
          </w:tcPr>
          <w:p>
            <w:pPr>
              <w:jc w:val="center"/>
              <w:rPr>
                <w:kern w:val="0"/>
                <w:szCs w:val="21"/>
              </w:rPr>
            </w:pPr>
            <w:r>
              <w:rPr>
                <w:kern w:val="0"/>
                <w:szCs w:val="21"/>
              </w:rPr>
              <w:t>课程编号</w:t>
            </w:r>
          </w:p>
        </w:tc>
        <w:tc>
          <w:tcPr>
            <w:tcW w:w="3087" w:type="dxa"/>
            <w:vAlign w:val="center"/>
          </w:tcPr>
          <w:p>
            <w:pPr>
              <w:jc w:val="center"/>
              <w:rPr>
                <w:kern w:val="0"/>
                <w:szCs w:val="21"/>
              </w:rPr>
            </w:pPr>
            <w:r>
              <w:rPr>
                <w:rFonts w:hint="eastAsia"/>
                <w:kern w:val="0"/>
                <w:szCs w:val="21"/>
              </w:rPr>
              <w:t>19123101</w:t>
            </w:r>
          </w:p>
        </w:tc>
        <w:tc>
          <w:tcPr>
            <w:tcW w:w="1122" w:type="dxa"/>
            <w:vAlign w:val="center"/>
          </w:tcPr>
          <w:p>
            <w:pPr>
              <w:jc w:val="center"/>
              <w:rPr>
                <w:kern w:val="0"/>
                <w:szCs w:val="21"/>
              </w:rPr>
            </w:pPr>
            <w:r>
              <w:rPr>
                <w:kern w:val="0"/>
                <w:szCs w:val="21"/>
              </w:rPr>
              <w:t>课程名称</w:t>
            </w:r>
          </w:p>
        </w:tc>
        <w:tc>
          <w:tcPr>
            <w:tcW w:w="3373" w:type="dxa"/>
            <w:vAlign w:val="center"/>
          </w:tcPr>
          <w:p>
            <w:pPr>
              <w:jc w:val="center"/>
              <w:rPr>
                <w:kern w:val="0"/>
                <w:szCs w:val="21"/>
              </w:rPr>
            </w:pPr>
            <w:r>
              <w:rPr>
                <w:kern w:val="0"/>
                <w:szCs w:val="21"/>
              </w:rPr>
              <w:t>大学物理实验II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099" w:type="dxa"/>
            <w:vAlign w:val="center"/>
          </w:tcPr>
          <w:p>
            <w:pPr>
              <w:jc w:val="center"/>
              <w:rPr>
                <w:kern w:val="0"/>
                <w:szCs w:val="21"/>
              </w:rPr>
            </w:pPr>
            <w:r>
              <w:rPr>
                <w:kern w:val="0"/>
                <w:szCs w:val="21"/>
              </w:rPr>
              <w:t>课程性质</w:t>
            </w:r>
          </w:p>
        </w:tc>
        <w:tc>
          <w:tcPr>
            <w:tcW w:w="3087" w:type="dxa"/>
            <w:vAlign w:val="center"/>
          </w:tcPr>
          <w:p>
            <w:pPr>
              <w:jc w:val="center"/>
              <w:rPr>
                <w:kern w:val="0"/>
                <w:szCs w:val="21"/>
              </w:rPr>
            </w:pPr>
            <w:r>
              <w:rPr>
                <w:rFonts w:hint="eastAsia"/>
                <w:kern w:val="0"/>
                <w:szCs w:val="21"/>
              </w:rPr>
              <w:t>数学与自然科学类</w:t>
            </w:r>
          </w:p>
        </w:tc>
        <w:tc>
          <w:tcPr>
            <w:tcW w:w="1122" w:type="dxa"/>
            <w:vAlign w:val="center"/>
          </w:tcPr>
          <w:p>
            <w:pPr>
              <w:jc w:val="center"/>
              <w:rPr>
                <w:kern w:val="0"/>
                <w:szCs w:val="21"/>
              </w:rPr>
            </w:pPr>
            <w:r>
              <w:rPr>
                <w:kern w:val="0"/>
                <w:szCs w:val="21"/>
              </w:rPr>
              <w:t>英文名称</w:t>
            </w:r>
          </w:p>
        </w:tc>
        <w:tc>
          <w:tcPr>
            <w:tcW w:w="3373" w:type="dxa"/>
            <w:vAlign w:val="center"/>
          </w:tcPr>
          <w:p>
            <w:pPr>
              <w:jc w:val="center"/>
              <w:rPr>
                <w:kern w:val="0"/>
                <w:szCs w:val="21"/>
              </w:rPr>
            </w:pPr>
            <w:r>
              <w:rPr>
                <w:kern w:val="0"/>
                <w:szCs w:val="21"/>
              </w:rPr>
              <w:t>Experiment of College Physics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99" w:type="dxa"/>
            <w:vAlign w:val="center"/>
          </w:tcPr>
          <w:p>
            <w:pPr>
              <w:jc w:val="center"/>
              <w:rPr>
                <w:kern w:val="0"/>
                <w:szCs w:val="21"/>
              </w:rPr>
            </w:pPr>
            <w:r>
              <w:rPr>
                <w:kern w:val="0"/>
                <w:szCs w:val="21"/>
              </w:rPr>
              <w:t>学分学时</w:t>
            </w:r>
          </w:p>
        </w:tc>
        <w:tc>
          <w:tcPr>
            <w:tcW w:w="3087" w:type="dxa"/>
            <w:vAlign w:val="center"/>
          </w:tcPr>
          <w:p>
            <w:pPr>
              <w:jc w:val="center"/>
              <w:rPr>
                <w:kern w:val="0"/>
                <w:szCs w:val="21"/>
              </w:rPr>
            </w:pPr>
            <w:r>
              <w:rPr>
                <w:kern w:val="0"/>
                <w:szCs w:val="21"/>
              </w:rPr>
              <w:t>1 : 32（32）</w:t>
            </w:r>
          </w:p>
        </w:tc>
        <w:tc>
          <w:tcPr>
            <w:tcW w:w="1122" w:type="dxa"/>
            <w:vAlign w:val="center"/>
          </w:tcPr>
          <w:p>
            <w:pPr>
              <w:jc w:val="center"/>
              <w:rPr>
                <w:kern w:val="0"/>
                <w:szCs w:val="21"/>
              </w:rPr>
            </w:pPr>
            <w:r>
              <w:rPr>
                <w:kern w:val="0"/>
                <w:szCs w:val="21"/>
              </w:rPr>
              <w:t>任课教师</w:t>
            </w:r>
          </w:p>
        </w:tc>
        <w:tc>
          <w:tcPr>
            <w:tcW w:w="3373" w:type="dxa"/>
            <w:vAlign w:val="center"/>
          </w:tcPr>
          <w:p>
            <w:pPr>
              <w:jc w:val="center"/>
              <w:rPr>
                <w:kern w:val="0"/>
                <w:szCs w:val="21"/>
              </w:rPr>
            </w:pPr>
            <w:r>
              <w:rPr>
                <w:kern w:val="0"/>
                <w:szCs w:val="21"/>
              </w:rPr>
              <w:t>李永强等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99" w:type="dxa"/>
            <w:vAlign w:val="center"/>
          </w:tcPr>
          <w:p>
            <w:pPr>
              <w:jc w:val="center"/>
              <w:rPr>
                <w:kern w:val="0"/>
                <w:szCs w:val="21"/>
              </w:rPr>
            </w:pPr>
            <w:r>
              <w:rPr>
                <w:kern w:val="0"/>
                <w:szCs w:val="21"/>
              </w:rPr>
              <w:t>企业专家</w:t>
            </w:r>
          </w:p>
        </w:tc>
        <w:tc>
          <w:tcPr>
            <w:tcW w:w="3087" w:type="dxa"/>
            <w:vAlign w:val="center"/>
          </w:tcPr>
          <w:p>
            <w:pPr>
              <w:jc w:val="center"/>
              <w:rPr>
                <w:kern w:val="0"/>
                <w:szCs w:val="21"/>
              </w:rPr>
            </w:pPr>
            <w:r>
              <w:rPr>
                <w:kern w:val="0"/>
                <w:szCs w:val="21"/>
              </w:rPr>
              <w:t>曾耿滨</w:t>
            </w:r>
          </w:p>
        </w:tc>
        <w:tc>
          <w:tcPr>
            <w:tcW w:w="1122" w:type="dxa"/>
            <w:vAlign w:val="center"/>
          </w:tcPr>
          <w:p>
            <w:pPr>
              <w:jc w:val="center"/>
              <w:rPr>
                <w:kern w:val="0"/>
                <w:szCs w:val="21"/>
              </w:rPr>
            </w:pPr>
            <w:r>
              <w:rPr>
                <w:kern w:val="0"/>
                <w:szCs w:val="21"/>
              </w:rPr>
              <w:t>行业专家</w:t>
            </w:r>
          </w:p>
        </w:tc>
        <w:tc>
          <w:tcPr>
            <w:tcW w:w="3373" w:type="dxa"/>
            <w:vAlign w:val="center"/>
          </w:tcPr>
          <w:p>
            <w:pPr>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099" w:type="dxa"/>
            <w:vAlign w:val="center"/>
          </w:tcPr>
          <w:p>
            <w:pPr>
              <w:jc w:val="center"/>
              <w:rPr>
                <w:kern w:val="0"/>
                <w:szCs w:val="21"/>
              </w:rPr>
            </w:pPr>
            <w:r>
              <w:rPr>
                <w:kern w:val="0"/>
                <w:szCs w:val="21"/>
              </w:rPr>
              <w:t>执笔教师</w:t>
            </w:r>
          </w:p>
        </w:tc>
        <w:tc>
          <w:tcPr>
            <w:tcW w:w="3087" w:type="dxa"/>
            <w:vAlign w:val="center"/>
          </w:tcPr>
          <w:p>
            <w:pPr>
              <w:jc w:val="center"/>
              <w:rPr>
                <w:kern w:val="0"/>
                <w:szCs w:val="21"/>
              </w:rPr>
            </w:pPr>
            <w:r>
              <w:rPr>
                <w:kern w:val="0"/>
                <w:szCs w:val="21"/>
              </w:rPr>
              <w:t>李永强等</w:t>
            </w:r>
          </w:p>
        </w:tc>
        <w:tc>
          <w:tcPr>
            <w:tcW w:w="1122" w:type="dxa"/>
            <w:vAlign w:val="center"/>
          </w:tcPr>
          <w:p>
            <w:pPr>
              <w:jc w:val="center"/>
              <w:rPr>
                <w:kern w:val="0"/>
                <w:szCs w:val="21"/>
              </w:rPr>
            </w:pPr>
            <w:r>
              <w:rPr>
                <w:kern w:val="0"/>
                <w:szCs w:val="21"/>
              </w:rPr>
              <w:t>责任教授</w:t>
            </w:r>
          </w:p>
        </w:tc>
        <w:tc>
          <w:tcPr>
            <w:tcW w:w="3373" w:type="dxa"/>
            <w:vAlign w:val="center"/>
          </w:tcPr>
          <w:p>
            <w:pPr>
              <w:jc w:val="center"/>
              <w:rPr>
                <w:kern w:val="0"/>
                <w:szCs w:val="21"/>
              </w:rPr>
            </w:pPr>
            <w:r>
              <w:rPr>
                <w:kern w:val="0"/>
                <w:szCs w:val="21"/>
              </w:rPr>
              <w:t>熊正烨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099" w:type="dxa"/>
            <w:vAlign w:val="center"/>
          </w:tcPr>
          <w:p>
            <w:pPr>
              <w:jc w:val="center"/>
              <w:rPr>
                <w:kern w:val="0"/>
                <w:szCs w:val="21"/>
              </w:rPr>
            </w:pPr>
            <w:r>
              <w:rPr>
                <w:kern w:val="0"/>
                <w:szCs w:val="21"/>
              </w:rPr>
              <w:t>适用专业</w:t>
            </w:r>
          </w:p>
        </w:tc>
        <w:tc>
          <w:tcPr>
            <w:tcW w:w="3087" w:type="dxa"/>
            <w:vAlign w:val="center"/>
          </w:tcPr>
          <w:p>
            <w:pPr>
              <w:jc w:val="center"/>
              <w:rPr>
                <w:kern w:val="0"/>
                <w:szCs w:val="21"/>
              </w:rPr>
            </w:pPr>
            <w:r>
              <w:rPr>
                <w:kern w:val="0"/>
                <w:szCs w:val="21"/>
              </w:rPr>
              <w:t>理学、工学、农学各专业</w:t>
            </w:r>
          </w:p>
        </w:tc>
        <w:tc>
          <w:tcPr>
            <w:tcW w:w="1122" w:type="dxa"/>
            <w:vAlign w:val="center"/>
          </w:tcPr>
          <w:p>
            <w:pPr>
              <w:jc w:val="center"/>
              <w:rPr>
                <w:kern w:val="0"/>
                <w:szCs w:val="21"/>
              </w:rPr>
            </w:pPr>
            <w:r>
              <w:rPr>
                <w:kern w:val="0"/>
                <w:szCs w:val="21"/>
              </w:rPr>
              <w:t>适用对象</w:t>
            </w:r>
          </w:p>
        </w:tc>
        <w:tc>
          <w:tcPr>
            <w:tcW w:w="3373"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99" w:type="dxa"/>
            <w:vAlign w:val="center"/>
          </w:tcPr>
          <w:p>
            <w:pPr>
              <w:jc w:val="center"/>
              <w:rPr>
                <w:kern w:val="0"/>
                <w:szCs w:val="21"/>
              </w:rPr>
            </w:pPr>
            <w:r>
              <w:rPr>
                <w:kern w:val="0"/>
                <w:szCs w:val="21"/>
              </w:rPr>
              <w:t>先修课程</w:t>
            </w:r>
          </w:p>
        </w:tc>
        <w:tc>
          <w:tcPr>
            <w:tcW w:w="3087" w:type="dxa"/>
            <w:vAlign w:val="center"/>
          </w:tcPr>
          <w:p>
            <w:pPr>
              <w:jc w:val="center"/>
              <w:rPr>
                <w:kern w:val="0"/>
                <w:szCs w:val="21"/>
              </w:rPr>
            </w:pPr>
            <w:r>
              <w:rPr>
                <w:kern w:val="0"/>
                <w:szCs w:val="21"/>
              </w:rPr>
              <w:t>高等数学；</w:t>
            </w:r>
          </w:p>
        </w:tc>
        <w:tc>
          <w:tcPr>
            <w:tcW w:w="1122" w:type="dxa"/>
            <w:vAlign w:val="center"/>
          </w:tcPr>
          <w:p>
            <w:pPr>
              <w:jc w:val="center"/>
              <w:rPr>
                <w:kern w:val="0"/>
                <w:szCs w:val="21"/>
              </w:rPr>
            </w:pPr>
            <w:r>
              <w:rPr>
                <w:kern w:val="0"/>
                <w:szCs w:val="21"/>
              </w:rPr>
              <w:t>同修课程</w:t>
            </w:r>
          </w:p>
        </w:tc>
        <w:tc>
          <w:tcPr>
            <w:tcW w:w="3373" w:type="dxa"/>
            <w:vAlign w:val="center"/>
          </w:tcPr>
          <w:p>
            <w:pPr>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099" w:type="dxa"/>
            <w:vAlign w:val="center"/>
          </w:tcPr>
          <w:p>
            <w:pPr>
              <w:jc w:val="center"/>
              <w:rPr>
                <w:kern w:val="0"/>
                <w:szCs w:val="21"/>
              </w:rPr>
            </w:pPr>
            <w:r>
              <w:rPr>
                <w:kern w:val="0"/>
                <w:szCs w:val="21"/>
              </w:rPr>
              <w:t>排斥课程</w:t>
            </w:r>
          </w:p>
        </w:tc>
        <w:tc>
          <w:tcPr>
            <w:tcW w:w="3087" w:type="dxa"/>
            <w:vAlign w:val="center"/>
          </w:tcPr>
          <w:p>
            <w:pPr>
              <w:jc w:val="center"/>
              <w:rPr>
                <w:kern w:val="0"/>
                <w:szCs w:val="21"/>
              </w:rPr>
            </w:pPr>
            <w:r>
              <w:rPr>
                <w:kern w:val="0"/>
                <w:szCs w:val="21"/>
              </w:rPr>
              <w:t>无</w:t>
            </w:r>
          </w:p>
        </w:tc>
        <w:tc>
          <w:tcPr>
            <w:tcW w:w="1122" w:type="dxa"/>
            <w:vAlign w:val="center"/>
          </w:tcPr>
          <w:p>
            <w:pPr>
              <w:jc w:val="center"/>
              <w:rPr>
                <w:kern w:val="0"/>
                <w:szCs w:val="21"/>
              </w:rPr>
            </w:pPr>
            <w:r>
              <w:rPr>
                <w:kern w:val="0"/>
                <w:szCs w:val="21"/>
              </w:rPr>
              <w:t>定稿日期</w:t>
            </w:r>
          </w:p>
        </w:tc>
        <w:tc>
          <w:tcPr>
            <w:tcW w:w="3373" w:type="dxa"/>
            <w:vAlign w:val="center"/>
          </w:tcPr>
          <w:p>
            <w:pPr>
              <w:jc w:val="center"/>
              <w:rPr>
                <w:kern w:val="0"/>
                <w:szCs w:val="21"/>
              </w:rPr>
            </w:pPr>
            <w:r>
              <w:rPr>
                <w:kern w:val="0"/>
                <w:szCs w:val="21"/>
              </w:rPr>
              <w:t>202</w:t>
            </w:r>
            <w:r>
              <w:rPr>
                <w:rFonts w:hint="eastAsia"/>
                <w:kern w:val="0"/>
                <w:szCs w:val="21"/>
              </w:rPr>
              <w:t>2</w:t>
            </w:r>
            <w:r>
              <w:rPr>
                <w:kern w:val="0"/>
                <w:szCs w:val="21"/>
              </w:rPr>
              <w:t>.0</w:t>
            </w:r>
            <w:r>
              <w:rPr>
                <w:rFonts w:hint="eastAsia"/>
                <w:kern w:val="0"/>
                <w:szCs w:val="21"/>
              </w:rPr>
              <w:t>5</w:t>
            </w:r>
            <w:r>
              <w:rPr>
                <w:kern w:val="0"/>
                <w:szCs w:val="21"/>
              </w:rPr>
              <w:t>.</w:t>
            </w:r>
            <w:r>
              <w:rPr>
                <w:rFonts w:hint="eastAsia"/>
                <w:kern w:val="0"/>
                <w:szCs w:val="21"/>
              </w:rPr>
              <w:t>10</w:t>
            </w:r>
          </w:p>
        </w:tc>
      </w:tr>
    </w:tbl>
    <w:p>
      <w:pPr>
        <w:snapToGrid w:val="0"/>
        <w:spacing w:line="300" w:lineRule="auto"/>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tbl>
      <w:tblPr>
        <w:tblStyle w:val="44"/>
        <w:tblpPr w:leftFromText="180" w:rightFromText="180" w:vertAnchor="text" w:horzAnchor="margin" w:tblpX="-39" w:tblpY="266"/>
        <w:tblW w:w="8884"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88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884" w:type="dxa"/>
          </w:tcPr>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大学物理实验II》是工程、农林、生物类大学生入校之后开设的第一门基础实验课程，是工程、农林、生物类专业的一门公共必修基础课，是对学生进行科学实验方法和实验技能的基本训练、培养和提高学生科学实验素养以及分析和解决实际问题的能力的实践性课程。为了适应社会飞速发展的要求，需要培养大量有创造性的工程技术人才。为此要求工科大学毕业生，不仅要具有较宽广的基础理论知识，而且还要具有能从事现代科学实验的较强能力。大学物理实验是学生入学后，受系统实验技能训练的开端，是一系列实验训练的重要基础。因此，在整个大学物理的教学过程中，必须十分注意实验技能的训练，大学物理实验应与理论教学具有同等重要的地位，而不是作为理论课的附属环节。</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通过《大学物理实验Ⅰ》课程的教学，对学生进行实验方法和技能的基础训练。本课程具体教学目标如下：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要求学生弄懂实验原理，了解一些物理量的测量方法，理解常用仪器的基本原理和性能，熟悉使用方法，正确记录、处理实验数据。 [1</w:t>
            </w:r>
            <w:r>
              <w:rPr>
                <w:rFonts w:hint="eastAsia" w:ascii="Times New Roman" w:hAnsi="Times New Roman" w:eastAsia="宋体" w:cs="Times New Roman"/>
                <w:szCs w:val="21"/>
              </w:rPr>
              <w:t>.</w:t>
            </w:r>
            <w:r>
              <w:rPr>
                <w:rFonts w:ascii="Times New Roman" w:hAnsi="Times New Roman" w:eastAsia="宋体" w:cs="Times New Roman"/>
                <w:szCs w:val="21"/>
              </w:rPr>
              <w:t>1]</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2. 培养学生严肃认真的工作作风，实事求是的科学态度，能够分析判断实验结果，并能写出比较完整的实验报告。[4.3] </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 培养和提高学生观察、分析实验现象的本领和独立工作能力，并通过实验中的观察、测量和分析，加深对物理学中某些概念、规律和理论的理解。[4</w:t>
            </w:r>
            <w:r>
              <w:rPr>
                <w:rFonts w:hint="eastAsia" w:ascii="Times New Roman" w:hAnsi="Times New Roman" w:eastAsia="宋体" w:cs="Times New Roman"/>
                <w:szCs w:val="21"/>
              </w:rPr>
              <w:t>.</w:t>
            </w:r>
            <w:r>
              <w:rPr>
                <w:rFonts w:ascii="Times New Roman" w:hAnsi="Times New Roman" w:eastAsia="宋体" w:cs="Times New Roman"/>
                <w:szCs w:val="21"/>
              </w:rPr>
              <w:t>3]</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line="300" w:lineRule="auto"/>
              <w:ind w:firstLine="420" w:firstLineChars="200"/>
              <w:rPr>
                <w:rFonts w:ascii="Times New Roman" w:hAnsi="Times New Roman" w:eastAsia="宋体" w:cs="Times New Roman"/>
                <w:szCs w:val="21"/>
              </w:rPr>
            </w:pP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611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4"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专业毕业要求</w:t>
                  </w:r>
                </w:p>
              </w:tc>
              <w:tc>
                <w:tcPr>
                  <w:tcW w:w="3533"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专业毕业要求指标点</w:t>
                  </w:r>
                </w:p>
              </w:tc>
              <w:tc>
                <w:tcPr>
                  <w:tcW w:w="513"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954"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1.工程知识</w:t>
                  </w:r>
                </w:p>
              </w:tc>
              <w:tc>
                <w:tcPr>
                  <w:tcW w:w="3533"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1具备应用数学、自然科学和工程科学的基本原理，对电子信息工程的复杂工程问题（含海洋电子信息领域）进行识别、表达和分析，并获得有效结论的能力。</w:t>
                  </w:r>
                </w:p>
              </w:tc>
              <w:tc>
                <w:tcPr>
                  <w:tcW w:w="513" w:type="pct"/>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4．问题研究</w:t>
                  </w:r>
                </w:p>
              </w:tc>
              <w:tc>
                <w:tcPr>
                  <w:tcW w:w="3533"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right="-334"/>
                    <w:rPr>
                      <w:rFonts w:ascii="Times New Roman" w:hAnsi="Times New Roman" w:eastAsia="宋体" w:cs="Times New Roman"/>
                      <w:sz w:val="18"/>
                      <w:szCs w:val="18"/>
                    </w:rPr>
                  </w:pPr>
                  <w:r>
                    <w:rPr>
                      <w:rFonts w:ascii="Times New Roman" w:hAnsi="Times New Roman" w:eastAsia="宋体" w:cs="Times New Roman"/>
                      <w:sz w:val="18"/>
                      <w:szCs w:val="18"/>
                    </w:rPr>
                    <w:t>4</w:t>
                  </w:r>
                  <w:r>
                    <w:rPr>
                      <w:rFonts w:hint="eastAsia" w:ascii="Times New Roman" w:hAnsi="Times New Roman" w:eastAsia="宋体" w:cs="Times New Roman"/>
                      <w:sz w:val="18"/>
                      <w:szCs w:val="18"/>
                    </w:rPr>
                    <w:t>.</w:t>
                  </w:r>
                  <w:r>
                    <w:rPr>
                      <w:rFonts w:ascii="Times New Roman" w:hAnsi="Times New Roman" w:eastAsia="宋体" w:cs="Times New Roman"/>
                      <w:sz w:val="18"/>
                      <w:szCs w:val="18"/>
                    </w:rPr>
                    <w:t>3具有对实验数据进行分析、解释，并通过信息综合得到合理有效的结论的研究能力。</w:t>
                  </w:r>
                </w:p>
              </w:tc>
              <w:tc>
                <w:tcPr>
                  <w:tcW w:w="51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adjustRightInd w:val="0"/>
              <w:snapToGrid w:val="0"/>
              <w:spacing w:before="156" w:beforeLines="50" w:line="300" w:lineRule="auto"/>
              <w:ind w:firstLine="361" w:firstLineChars="200"/>
              <w:jc w:val="center"/>
              <w:rPr>
                <w:rFonts w:ascii="Times New Roman" w:hAnsi="Times New Roman" w:eastAsia="宋体" w:cs="Times New Roman"/>
                <w:b/>
                <w:sz w:val="24"/>
              </w:rPr>
            </w:pPr>
            <w:r>
              <w:rPr>
                <w:rFonts w:ascii="Times New Roman" w:hAnsi="Times New Roman" w:eastAsia="宋体" w:cs="Times New Roman"/>
                <w:b/>
                <w:kern w:val="0"/>
                <w:sz w:val="18"/>
                <w:szCs w:val="18"/>
              </w:rPr>
              <w:t>表2 课程目标达成途径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5"/>
              <w:gridCol w:w="2686"/>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1.要求学生弄懂实验原理，了解一些物理量的测量方法，理解常用仪器的基本原理和性能，熟悉使用方法，正确记录、处理实验数据。</w:t>
                  </w:r>
                </w:p>
              </w:tc>
              <w:tc>
                <w:tcPr>
                  <w:tcW w:w="2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
                      <w:sz w:val="18"/>
                      <w:szCs w:val="18"/>
                    </w:rPr>
                  </w:pPr>
                  <w:r>
                    <w:rPr>
                      <w:rFonts w:ascii="Times New Roman" w:hAnsi="Times New Roman" w:eastAsia="宋体" w:cs="Times New Roman"/>
                      <w:sz w:val="18"/>
                      <w:szCs w:val="18"/>
                    </w:rPr>
                    <w:t>通过课堂讲授、学生自主学习（指定阅读）、实验操作等达成。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课堂表现、实验操作、实验报告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2.培养学生严肃认真的工作作风，实事求是的科学态度，能够分析判断实验结果，并能写出比较完整的实验报告。</w:t>
                  </w:r>
                </w:p>
              </w:tc>
              <w:tc>
                <w:tcPr>
                  <w:tcW w:w="2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
                      <w:sz w:val="18"/>
                      <w:szCs w:val="18"/>
                    </w:rPr>
                  </w:pPr>
                  <w:r>
                    <w:rPr>
                      <w:rFonts w:ascii="Times New Roman" w:hAnsi="Times New Roman" w:eastAsia="宋体" w:cs="Times New Roman"/>
                      <w:sz w:val="18"/>
                      <w:szCs w:val="18"/>
                    </w:rPr>
                    <w:t>通过课堂讲授、学生自主学习（指定阅读）、实验操作等达成。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课堂表现、实验操作、实验报告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3.培养和提高学生观察、分析实验现象的本领和独立工作能力，并通过实验中的观察、测量和分析，加深对物理学中某些概念、规律和理论的理解。</w:t>
                  </w:r>
                </w:p>
              </w:tc>
              <w:tc>
                <w:tcPr>
                  <w:tcW w:w="2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
                      <w:sz w:val="18"/>
                      <w:szCs w:val="18"/>
                    </w:rPr>
                  </w:pPr>
                  <w:r>
                    <w:rPr>
                      <w:rFonts w:ascii="Times New Roman" w:hAnsi="Times New Roman" w:eastAsia="宋体" w:cs="Times New Roman"/>
                      <w:sz w:val="18"/>
                      <w:szCs w:val="18"/>
                    </w:rPr>
                    <w:t>通过课堂讲授、学生自主学习（指定阅读）、实验操作等达成。</w:t>
                  </w:r>
                </w:p>
              </w:tc>
              <w:tc>
                <w:tcPr>
                  <w:tcW w:w="126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课堂表现、实验操作、实验报告</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1.实验报告撰写要求</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实验报告是把</w:t>
            </w:r>
            <w:r>
              <w:fldChar w:fldCharType="begin"/>
            </w:r>
            <w:r>
              <w:instrText xml:space="preserve"> HYPERLINK "http://baike.baidu.com/view/57942.htm" </w:instrText>
            </w:r>
            <w:r>
              <w:fldChar w:fldCharType="separate"/>
            </w:r>
            <w:r>
              <w:rPr>
                <w:rFonts w:ascii="Times New Roman" w:hAnsi="Times New Roman" w:eastAsia="宋体" w:cs="Times New Roman"/>
                <w:kern w:val="0"/>
                <w:szCs w:val="21"/>
              </w:rPr>
              <w:t>实验</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的目的、方法、过程、结果等记录下来，经过整理，写成的</w:t>
            </w:r>
            <w:r>
              <w:fldChar w:fldCharType="begin"/>
            </w:r>
            <w:r>
              <w:instrText xml:space="preserve"> HYPERLINK "http://baike.baidu.com/view/2179357.htm" </w:instrText>
            </w:r>
            <w:r>
              <w:fldChar w:fldCharType="separate"/>
            </w:r>
            <w:r>
              <w:rPr>
                <w:rFonts w:ascii="Times New Roman" w:hAnsi="Times New Roman" w:eastAsia="宋体" w:cs="Times New Roman"/>
                <w:kern w:val="0"/>
                <w:szCs w:val="21"/>
              </w:rPr>
              <w:t>书面</w:t>
            </w:r>
            <w:r>
              <w:rPr>
                <w:rFonts w:ascii="Times New Roman" w:hAnsi="Times New Roman" w:eastAsia="宋体" w:cs="Times New Roman"/>
                <w:kern w:val="0"/>
                <w:szCs w:val="21"/>
              </w:rPr>
              <w:fldChar w:fldCharType="end"/>
            </w:r>
            <w:r>
              <w:rPr>
                <w:rFonts w:ascii="Times New Roman" w:hAnsi="Times New Roman" w:eastAsia="宋体" w:cs="Times New Roman"/>
                <w:kern w:val="0"/>
                <w:szCs w:val="21"/>
              </w:rPr>
              <w:t>汇报。实验报告一般包括以下内容：</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（1）实验名称：写出具体的实验名称。</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（2）实验目的：简明扼要的写出实验目的。</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（3）实验器材：仪器的名称、规格和型号，主要材料。</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（4）实验原理：用自己的语言简明扼要地写明实验的原理、一些重要的公式和一些基本的原理图、光路图、电路图等。</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（5）实验步骤：根据实验内容和仪器的操作规程，简要写出实验过程中的具体步骤。</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（6）实验数据记录：包括与实验有关的环境条件（如大气压强、环境温度等）和原始数据记录。不同的实验需要用不同的表格，记录实验数据一定要认真、准确，不能随意涂改实验数据。</w:t>
            </w:r>
          </w:p>
          <w:p>
            <w:pPr>
              <w:widowControl/>
              <w:adjustRightInd w:val="0"/>
              <w:snapToGrid w:val="0"/>
              <w:spacing w:line="300" w:lineRule="auto"/>
              <w:ind w:firstLine="440"/>
              <w:rPr>
                <w:rFonts w:ascii="Times New Roman" w:hAnsi="Times New Roman" w:eastAsia="宋体" w:cs="Times New Roman"/>
                <w:kern w:val="0"/>
                <w:szCs w:val="21"/>
              </w:rPr>
            </w:pPr>
            <w:r>
              <w:rPr>
                <w:rFonts w:ascii="Times New Roman" w:hAnsi="Times New Roman" w:eastAsia="宋体" w:cs="Times New Roman"/>
                <w:kern w:val="0"/>
                <w:szCs w:val="21"/>
              </w:rPr>
              <w:t>（7）实验数据处理：包括对平均值、不确定度的评定（要求写出主要的计算公式和必要的计算步骤）、实验曲线及实验结果的正确表达。</w:t>
            </w:r>
          </w:p>
          <w:p>
            <w:pPr>
              <w:adjustRightInd w:val="0"/>
              <w:snapToGrid w:val="0"/>
              <w:spacing w:line="300" w:lineRule="auto"/>
              <w:ind w:firstLine="420" w:firstLineChars="200"/>
              <w:rPr>
                <w:rFonts w:ascii="Times New Roman" w:hAnsi="Times New Roman" w:eastAsia="宋体" w:cs="Times New Roman"/>
                <w:b/>
                <w:szCs w:val="21"/>
              </w:rPr>
            </w:pPr>
            <w:r>
              <w:rPr>
                <w:rFonts w:ascii="Times New Roman" w:hAnsi="Times New Roman" w:eastAsia="宋体" w:cs="Times New Roman"/>
              </w:rPr>
              <w:t>（8）误差分析和问题讨论：找出影响实验结果的主要因素，从而获得减小误差的有效措施。问题讨论包括回答思考题，实验过程中观察到的异常现象及其可能的解释，对实验装置和实验方法的改进意见及实验的心得体会等。</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2.课程教学内容见表3。</w:t>
            </w: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before="156" w:beforeLines="50" w:line="300" w:lineRule="auto"/>
              <w:ind w:firstLine="3795" w:firstLineChars="2100"/>
              <w:rPr>
                <w:rFonts w:ascii="Times New Roman" w:hAnsi="Times New Roman" w:eastAsia="宋体" w:cs="Times New Roman"/>
                <w:b/>
                <w:bCs/>
                <w:sz w:val="18"/>
                <w:szCs w:val="20"/>
              </w:rPr>
            </w:pPr>
            <w:r>
              <w:rPr>
                <w:rFonts w:ascii="Times New Roman" w:hAnsi="Times New Roman" w:eastAsia="宋体" w:cs="Times New Roman"/>
                <w:b/>
                <w:bCs/>
                <w:sz w:val="18"/>
                <w:szCs w:val="20"/>
              </w:rPr>
              <w:t>表3 教学内容</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427"/>
              <w:gridCol w:w="2523"/>
              <w:gridCol w:w="745"/>
              <w:gridCol w:w="741"/>
              <w:gridCol w:w="741"/>
              <w:gridCol w:w="743"/>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序号</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实验项目名称</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实验目的要求</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学时分配</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实验类型</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每组人数</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必开选开</w:t>
                  </w:r>
                </w:p>
              </w:tc>
              <w:tc>
                <w:tcPr>
                  <w:tcW w:w="67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误差理论</w:t>
                  </w:r>
                </w:p>
              </w:tc>
              <w:tc>
                <w:tcPr>
                  <w:tcW w:w="252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ind w:left="-105" w:leftChars="-50" w:right="-105" w:rightChars="-50"/>
                    <w:rPr>
                      <w:rFonts w:ascii="Times New Roman" w:hAnsi="Times New Roman" w:eastAsia="宋体" w:cs="Times New Roman"/>
                      <w:sz w:val="18"/>
                      <w:szCs w:val="18"/>
                    </w:rPr>
                  </w:pPr>
                  <w:r>
                    <w:rPr>
                      <w:rFonts w:ascii="Times New Roman" w:hAnsi="Times New Roman" w:eastAsia="宋体" w:cs="Times New Roman"/>
                      <w:sz w:val="18"/>
                      <w:szCs w:val="18"/>
                    </w:rPr>
                    <w:t>1、掌握实验数据的处理和误差分析；2、掌握用不确定度表示测量结果。</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理论</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固体密度测量</w:t>
                  </w:r>
                </w:p>
              </w:tc>
              <w:tc>
                <w:tcPr>
                  <w:tcW w:w="252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ind w:left="-105" w:leftChars="-50" w:right="-105" w:rightChars="-50"/>
                    <w:rPr>
                      <w:rFonts w:ascii="Times New Roman" w:hAnsi="Times New Roman" w:eastAsia="宋体" w:cs="Times New Roman"/>
                      <w:sz w:val="18"/>
                      <w:szCs w:val="18"/>
                    </w:rPr>
                  </w:pPr>
                  <w:r>
                    <w:rPr>
                      <w:rFonts w:ascii="Times New Roman" w:hAnsi="Times New Roman" w:eastAsia="宋体" w:cs="Times New Roman"/>
                      <w:sz w:val="18"/>
                      <w:szCs w:val="18"/>
                    </w:rPr>
                    <w:t>1、掌握游标卡尺、螺旋测微计和电子天平的使用方法；2、学会测定固体或液体的密度。</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速度和加速度测量</w:t>
                  </w:r>
                </w:p>
              </w:tc>
              <w:tc>
                <w:tcPr>
                  <w:tcW w:w="252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ind w:left="-105" w:leftChars="-50" w:right="-105" w:rightChars="-50"/>
                    <w:rPr>
                      <w:rFonts w:ascii="Times New Roman" w:hAnsi="Times New Roman" w:eastAsia="宋体" w:cs="Times New Roman"/>
                      <w:sz w:val="18"/>
                      <w:szCs w:val="18"/>
                    </w:rPr>
                  </w:pPr>
                  <w:r>
                    <w:rPr>
                      <w:rFonts w:ascii="Times New Roman" w:hAnsi="Times New Roman" w:eastAsia="宋体" w:cs="Times New Roman"/>
                      <w:sz w:val="18"/>
                      <w:szCs w:val="18"/>
                    </w:rPr>
                    <w:t>1、学习气垫导轨的调节方法；2、测量速度和加速度</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示波器的使用</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1、学习示波器的工作原理。2、掌握示波器的使用方法。3、学习用李萨如图形测量频率。</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液体粘滞系数测量</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1、了解仪器结构各使用方法；2、用落球法测量液体粘滞系数。</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牛顿第二定律验证</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1、学习气垫导轨的调节方法;2、验证牛顿第二定律.</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铁磁材料动态磁滞回线的观测与研究</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1、观测铁磁材料动态磁滞回线；2测量铁磁材料动态磁滞回线。</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霍尔效应法测量磁感应强度</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shd w:val="clear" w:color="auto" w:fill="FFFFFF"/>
                    </w:rPr>
                    <w:t>1</w:t>
                  </w:r>
                  <w:r>
                    <w:rPr>
                      <w:rFonts w:ascii="Times New Roman" w:hAnsi="Times New Roman" w:eastAsia="宋体" w:cs="Times New Roman"/>
                      <w:sz w:val="18"/>
                      <w:szCs w:val="18"/>
                    </w:rPr>
                    <w:t>、学习霍耳效应的物理过程；2、用霍尔效应法测量磁感应强度</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拉伸法测量杨氏弹性模量</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1、掌握用光杠杆测量长度微小变化量的原理和方法；2、测量金属丝的杨氏弹性模量。</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薄透镜焦距测量</w:t>
                  </w:r>
                </w:p>
              </w:tc>
              <w:tc>
                <w:tcPr>
                  <w:tcW w:w="252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1、在光具导轨上实现光学器件的共轴调节2、测量凸透镜和凹透镜的焦距</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设计</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等厚干涉的实验研究</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1、利用测量显微镜在钠光下观察牛顿环和劈尖干涉条纹；2、利用等厚干涉理论测量牛顿环装置中一凸透镜的曲率半径。</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设计</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必做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准稳态法测导热系数和比热容</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1、掌握热电偶测量温度的原理和使用方法；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2、掌握用准稳态法测量不良导体的导热系数和比热容。</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427"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rPr>
                      <w:rFonts w:ascii="Times New Roman" w:hAnsi="Times New Roman" w:eastAsia="宋体" w:cs="Times New Roman"/>
                      <w:sz w:val="18"/>
                      <w:szCs w:val="18"/>
                      <w:lang w:val="zh-CN"/>
                    </w:rPr>
                  </w:pPr>
                  <w:r>
                    <w:rPr>
                      <w:rFonts w:ascii="Times New Roman" w:hAnsi="Times New Roman" w:eastAsia="宋体" w:cs="Times New Roman"/>
                      <w:sz w:val="18"/>
                      <w:szCs w:val="18"/>
                    </w:rPr>
                    <w:t>模拟法测绘静电场</w:t>
                  </w:r>
                </w:p>
              </w:tc>
              <w:tc>
                <w:tcPr>
                  <w:tcW w:w="252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1.理解模拟法的实验思想、测量原理和应用条件；2、.描绘点状电极、同心圆电极、聚焦电极、劈尖电极的电场分布情况。</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验证</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声速的测量</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1、了解超声波的产生、发射和接收的方法；2、用驻波法、行波法测量声速。</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密立根油滴法测量电子电荷</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1、掌握密立根油滴仪测量带电油滴所带电量的原理和方法；2、验证电荷的量子性，计算最小电荷即电子电量。</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弦线上波的传播规律研究</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1、观察驻波的形成；2、研究弦线上波的传播规律。</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夫兰克-赫兹实验</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1、了解夫兰克-赫兹实验仪工作原理2、测量氩原子的第一激发电位。</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用分光计测量棱镜玻璃的折射率</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2、巩固分光计的使用方法；2、测量最小偏向角，计算棱镜玻璃的折射率。</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光栅常数及角色散率的测定</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1、测量光栅常数；2、测量角色散率。</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42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迈克尔逊干涉仪</w:t>
                  </w:r>
                </w:p>
              </w:tc>
              <w:tc>
                <w:tcPr>
                  <w:tcW w:w="25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1、掌握迈克尔逊干涉仪的调节使用方法。2、观察等候干涉和等倾干涉；2、测量激光的波长。 </w:t>
                  </w:r>
                </w:p>
              </w:tc>
              <w:tc>
                <w:tcPr>
                  <w:tcW w:w="7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综合</w:t>
                  </w:r>
                </w:p>
              </w:tc>
              <w:tc>
                <w:tcPr>
                  <w:tcW w:w="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74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ind w:left="-105" w:leftChars="-50" w:right="-105" w:rightChars="-50"/>
                    <w:jc w:val="center"/>
                    <w:rPr>
                      <w:rFonts w:ascii="Times New Roman" w:hAnsi="Times New Roman" w:eastAsia="宋体" w:cs="Times New Roman"/>
                      <w:sz w:val="18"/>
                      <w:szCs w:val="18"/>
                    </w:rPr>
                  </w:pPr>
                  <w:r>
                    <w:rPr>
                      <w:rFonts w:ascii="Times New Roman" w:hAnsi="Times New Roman" w:eastAsia="宋体" w:cs="Times New Roman"/>
                      <w:sz w:val="18"/>
                      <w:szCs w:val="18"/>
                    </w:rPr>
                    <w:t>选做</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bCs/>
                      <w:sz w:val="18"/>
                      <w:szCs w:val="18"/>
                    </w:rPr>
                    <w:t>1，2，3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widowControl/>
              <w:adjustRightInd w:val="0"/>
              <w:snapToGrid w:val="0"/>
              <w:spacing w:line="300" w:lineRule="auto"/>
              <w:ind w:firstLine="420" w:firstLineChars="200"/>
              <w:jc w:val="left"/>
              <w:rPr>
                <w:rFonts w:ascii="Times New Roman" w:hAnsi="Times New Roman" w:eastAsia="宋体" w:cs="Times New Roman"/>
              </w:rPr>
            </w:pPr>
            <w:r>
              <w:rPr>
                <w:rFonts w:ascii="Times New Roman" w:hAnsi="Times New Roman" w:eastAsia="宋体" w:cs="Times New Roman"/>
                <w:kern w:val="0"/>
                <w:szCs w:val="21"/>
              </w:rPr>
              <w:t>1.考核方式：</w:t>
            </w:r>
            <w:r>
              <w:rPr>
                <w:rFonts w:ascii="Times New Roman" w:hAnsi="Times New Roman" w:eastAsia="宋体" w:cs="Times New Roman"/>
              </w:rPr>
              <w:t>误差理论考试和实验操作考试</w:t>
            </w:r>
          </w:p>
          <w:p>
            <w:pPr>
              <w:widowControl/>
              <w:adjustRightInd w:val="0"/>
              <w:snapToGrid w:val="0"/>
              <w:spacing w:line="300" w:lineRule="auto"/>
              <w:ind w:firstLine="420" w:firstLineChars="200"/>
              <w:jc w:val="left"/>
              <w:rPr>
                <w:rFonts w:ascii="Times New Roman" w:hAnsi="Times New Roman" w:eastAsia="宋体" w:cs="Times New Roman"/>
                <w:i/>
                <w:iCs/>
                <w:szCs w:val="21"/>
              </w:rPr>
            </w:pPr>
            <w:r>
              <w:rPr>
                <w:rFonts w:ascii="Times New Roman" w:hAnsi="Times New Roman" w:eastAsia="宋体" w:cs="Times New Roman"/>
                <w:kern w:val="0"/>
                <w:szCs w:val="21"/>
              </w:rPr>
              <w:t>2.成绩评定：</w:t>
            </w:r>
            <w:r>
              <w:rPr>
                <w:rFonts w:ascii="Times New Roman" w:hAnsi="Times New Roman" w:eastAsia="宋体" w:cs="Times New Roman"/>
              </w:rPr>
              <w:t>平时成绩：实验操作50%；实验报告50%。期末成绩：平时成绩80%；考试成绩20%</w:t>
            </w:r>
          </w:p>
          <w:p>
            <w:pPr>
              <w:adjustRightInd w:val="0"/>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3.考核评价标准见表4所示。</w:t>
            </w:r>
          </w:p>
          <w:p>
            <w:pPr>
              <w:adjustRightInd w:val="0"/>
              <w:snapToGrid w:val="0"/>
              <w:spacing w:before="156" w:beforeLines="50" w:line="300" w:lineRule="auto"/>
              <w:ind w:firstLine="3072" w:firstLineChars="1700"/>
              <w:rPr>
                <w:rFonts w:ascii="Times New Roman" w:hAnsi="Times New Roman" w:eastAsia="宋体" w:cs="Times New Roman"/>
                <w:b/>
                <w:bCs/>
                <w:sz w:val="18"/>
                <w:szCs w:val="20"/>
              </w:rPr>
            </w:pPr>
            <w:r>
              <w:rPr>
                <w:rFonts w:ascii="Times New Roman" w:hAnsi="Times New Roman" w:eastAsia="宋体" w:cs="Times New Roman"/>
                <w:b/>
                <w:bCs/>
                <w:sz w:val="18"/>
                <w:szCs w:val="20"/>
              </w:rPr>
              <w:t>表4 课程考核与课程目标的关系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29"/>
              <w:gridCol w:w="658"/>
              <w:gridCol w:w="629"/>
              <w:gridCol w:w="14"/>
              <w:gridCol w:w="616"/>
              <w:gridCol w:w="3319"/>
              <w:gridCol w:w="99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470"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363"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380"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71" w:type="pct"/>
                  <w:gridSpan w:val="2"/>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356"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1917"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572"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572"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vMerge w:val="restart"/>
                  <w:vAlign w:val="center"/>
                </w:tcPr>
                <w:p>
                  <w:pPr>
                    <w:adjustRightInd w:val="0"/>
                    <w:snapToGrid w:val="0"/>
                    <w:spacing w:line="300" w:lineRule="auto"/>
                    <w:jc w:val="center"/>
                    <w:rPr>
                      <w:rFonts w:ascii="Times New Roman" w:hAnsi="Times New Roman" w:eastAsia="宋体" w:cs="Times New Roman"/>
                      <w:sz w:val="18"/>
                      <w:szCs w:val="18"/>
                    </w:rPr>
                  </w:pPr>
                </w:p>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363" w:type="pct"/>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380" w:type="pct"/>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0.8</w:t>
                  </w:r>
                </w:p>
              </w:tc>
              <w:tc>
                <w:tcPr>
                  <w:tcW w:w="371" w:type="pct"/>
                  <w:gridSpan w:val="2"/>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实验操作</w:t>
                  </w:r>
                </w:p>
              </w:tc>
              <w:tc>
                <w:tcPr>
                  <w:tcW w:w="356"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917" w:type="pct"/>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能否足量查阅资料;能否熟练运用理论知识;实验过程能否协作、合规;</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.1</w:t>
                  </w:r>
                  <w:r>
                    <w:rPr>
                      <w:rFonts w:ascii="Times New Roman" w:hAnsi="Times New Roman" w:eastAsia="宋体" w:cs="Times New Roman"/>
                      <w:sz w:val="18"/>
                      <w:szCs w:val="18"/>
                    </w:rPr>
                    <w:t>，</w:t>
                  </w:r>
                  <w:r>
                    <w:rPr>
                      <w:rFonts w:hint="eastAsia" w:ascii="Times New Roman" w:hAnsi="Times New Roman" w:eastAsia="宋体" w:cs="Times New Roman"/>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70" w:type="pct"/>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363" w:type="pct"/>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380" w:type="pct"/>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371" w:type="pct"/>
                  <w:gridSpan w:val="2"/>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实验报告</w:t>
                  </w:r>
                </w:p>
              </w:tc>
              <w:tc>
                <w:tcPr>
                  <w:tcW w:w="356"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1917" w:type="pct"/>
                  <w:vAlign w:val="center"/>
                </w:tcPr>
                <w:p>
                  <w:pPr>
                    <w:widowControl/>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实验报告能否完整、规范;实验结果能否准确、清晰。</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.1</w:t>
                  </w:r>
                  <w:r>
                    <w:rPr>
                      <w:rFonts w:ascii="Times New Roman" w:hAnsi="Times New Roman" w:eastAsia="宋体" w:cs="Times New Roman"/>
                      <w:sz w:val="18"/>
                      <w:szCs w:val="18"/>
                    </w:rPr>
                    <w:t>，</w:t>
                  </w:r>
                  <w:r>
                    <w:rPr>
                      <w:rFonts w:hint="eastAsia" w:ascii="Times New Roman" w:hAnsi="Times New Roman" w:eastAsia="宋体" w:cs="Times New Roman"/>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70"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期末</w:t>
                  </w:r>
                </w:p>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363"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380"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63"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364" w:type="pct"/>
                  <w:gridSpan w:val="2"/>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917"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(2)考核内容分布：除考察基本知识外，应考察</w:t>
                  </w:r>
                  <w:r>
                    <w:rPr>
                      <w:rFonts w:ascii="Times New Roman" w:hAnsi="Times New Roman" w:eastAsia="宋体" w:cs="Times New Roman"/>
                      <w:kern w:val="0"/>
                      <w:sz w:val="18"/>
                      <w:szCs w:val="18"/>
                    </w:rPr>
                    <w:t>学生</w:t>
                  </w:r>
                  <w:r>
                    <w:rPr>
                      <w:rFonts w:ascii="Times New Roman" w:hAnsi="Times New Roman" w:eastAsia="宋体" w:cs="Times New Roman"/>
                      <w:sz w:val="18"/>
                      <w:szCs w:val="18"/>
                    </w:rPr>
                    <w:t>综合应用能力和逻辑分析能力。</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572"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.1</w:t>
                  </w:r>
                  <w:r>
                    <w:rPr>
                      <w:rFonts w:ascii="Times New Roman" w:hAnsi="Times New Roman" w:eastAsia="宋体" w:cs="Times New Roman"/>
                      <w:sz w:val="18"/>
                      <w:szCs w:val="18"/>
                    </w:rPr>
                    <w:t>，</w:t>
                  </w:r>
                  <w:r>
                    <w:rPr>
                      <w:rFonts w:hint="eastAsia" w:ascii="Times New Roman" w:hAnsi="Times New Roman" w:eastAsia="宋体" w:cs="Times New Roman"/>
                      <w:sz w:val="18"/>
                      <w:szCs w:val="18"/>
                    </w:rPr>
                    <w:t>4.3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六、课程教学目标</w:t>
            </w:r>
            <w:r>
              <w:rPr>
                <w:rFonts w:hint="eastAsia" w:ascii="Times New Roman" w:hAnsi="Times New Roman" w:eastAsia="宋体" w:cs="Times New Roman"/>
                <w:b/>
                <w:sz w:val="24"/>
              </w:rPr>
              <w:t>达成情况</w:t>
            </w:r>
            <w:r>
              <w:rPr>
                <w:rFonts w:ascii="Times New Roman" w:hAnsi="Times New Roman" w:eastAsia="宋体" w:cs="Times New Roman"/>
                <w:b/>
                <w:sz w:val="24"/>
              </w:rPr>
              <w:t>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1.评价依据和方法</w:t>
            </w:r>
          </w:p>
          <w:p>
            <w:pPr>
              <w:adjustRightInd w:val="0"/>
              <w:snapToGrid w:val="0"/>
              <w:spacing w:line="300" w:lineRule="auto"/>
              <w:ind w:right="270" w:firstLine="420" w:firstLineChars="200"/>
              <w:rPr>
                <w:rFonts w:ascii="Times New Roman" w:hAnsi="Times New Roman" w:eastAsia="宋体" w:cs="Times New Roman"/>
                <w:szCs w:val="21"/>
              </w:rPr>
            </w:pPr>
            <w:r>
              <w:rPr>
                <w:rFonts w:ascii="Times New Roman" w:hAnsi="Times New Roman" w:eastAsia="宋体" w:cs="Times New Roman"/>
                <w:szCs w:val="21"/>
              </w:rPr>
              <w:t>课程各目标达成情况为该项目学生的平均得分率，其计算公式为：</w:t>
            </w:r>
          </w:p>
          <w:p>
            <w:pPr>
              <w:adjustRightInd w:val="0"/>
              <w:snapToGrid w:val="0"/>
              <w:spacing w:before="70" w:line="300" w:lineRule="auto"/>
              <w:ind w:right="597" w:firstLine="420" w:firstLineChars="200"/>
              <w:rPr>
                <w:rFonts w:ascii="Times New Roman" w:hAnsi="Times New Roman" w:eastAsia="宋体" w:cs="Times New Roman"/>
                <w:position w:val="-26"/>
              </w:rPr>
            </w:pPr>
            <w:r>
              <w:rPr>
                <w:rFonts w:ascii="Times New Roman" w:hAnsi="Times New Roman" w:eastAsia="宋体" w:cs="Times New Roman"/>
                <w:position w:val="-26"/>
              </w:rPr>
              <w:object>
                <v:shape id="_x0000_i1177" o:spt="75" type="#_x0000_t75" style="height:31.5pt;width:376.5pt;" o:ole="t" filled="f" o:preferrelative="t" stroked="f" coordsize="21600,21600">
                  <v:path/>
                  <v:fill on="f" focussize="0,0"/>
                  <v:stroke on="f" joinstyle="miter"/>
                  <v:imagedata r:id="rId199" o:title=""/>
                  <o:lock v:ext="edit" aspectratio="t"/>
                  <w10:wrap type="none"/>
                  <w10:anchorlock/>
                </v:shape>
                <o:OLEObject Type="Embed" ProgID="Equation.3" ShapeID="_x0000_i1177" DrawAspect="Content" ObjectID="_1468075875" r:id="rId198">
                  <o:LockedField>false</o:LockedField>
                </o:OLEObject>
              </w:object>
            </w:r>
          </w:p>
          <w:p>
            <w:pPr>
              <w:adjustRightInd w:val="0"/>
              <w:snapToGrid w:val="0"/>
              <w:spacing w:before="70" w:line="300" w:lineRule="auto"/>
              <w:ind w:right="597" w:firstLine="420" w:firstLineChars="200"/>
              <w:rPr>
                <w:rFonts w:ascii="Times New Roman" w:hAnsi="Times New Roman" w:eastAsia="宋体" w:cs="Times New Roman"/>
                <w:szCs w:val="21"/>
              </w:rPr>
            </w:pPr>
            <w:r>
              <w:rPr>
                <w:rFonts w:ascii="Times New Roman" w:hAnsi="Times New Roman" w:eastAsia="宋体" w:cs="Times New Roman"/>
                <w:position w:val="-1"/>
                <w:szCs w:val="21"/>
              </w:rPr>
              <w:t>课程</w:t>
            </w:r>
            <w:r>
              <w:rPr>
                <w:rFonts w:ascii="Times New Roman" w:hAnsi="Times New Roman" w:eastAsia="宋体" w:cs="Times New Roman"/>
                <w:spacing w:val="-2"/>
                <w:position w:val="-1"/>
                <w:szCs w:val="21"/>
              </w:rPr>
              <w:t>总</w:t>
            </w:r>
            <w:r>
              <w:rPr>
                <w:rFonts w:ascii="Times New Roman" w:hAnsi="Times New Roman" w:eastAsia="宋体" w:cs="Times New Roman"/>
                <w:position w:val="-1"/>
                <w:szCs w:val="21"/>
              </w:rPr>
              <w:t>目</w:t>
            </w:r>
            <w:r>
              <w:rPr>
                <w:rFonts w:ascii="Times New Roman" w:hAnsi="Times New Roman" w:eastAsia="宋体" w:cs="Times New Roman"/>
                <w:spacing w:val="-2"/>
                <w:position w:val="-1"/>
                <w:szCs w:val="21"/>
              </w:rPr>
              <w:t>标</w:t>
            </w:r>
            <w:r>
              <w:rPr>
                <w:rFonts w:ascii="Times New Roman" w:hAnsi="Times New Roman" w:eastAsia="宋体" w:cs="Times New Roman"/>
                <w:position w:val="-1"/>
                <w:szCs w:val="21"/>
              </w:rPr>
              <w:t>达</w:t>
            </w:r>
            <w:r>
              <w:rPr>
                <w:rFonts w:ascii="Times New Roman" w:hAnsi="Times New Roman" w:eastAsia="宋体" w:cs="Times New Roman"/>
                <w:spacing w:val="-2"/>
                <w:position w:val="-1"/>
                <w:szCs w:val="21"/>
              </w:rPr>
              <w:t>成</w:t>
            </w:r>
            <w:r>
              <w:rPr>
                <w:rFonts w:hint="eastAsia" w:ascii="Times New Roman" w:hAnsi="Times New Roman" w:eastAsia="宋体" w:cs="Times New Roman"/>
                <w:spacing w:val="-2"/>
                <w:position w:val="-1"/>
                <w:szCs w:val="21"/>
              </w:rPr>
              <w:t>值</w:t>
            </w:r>
            <w:r>
              <w:rPr>
                <w:rFonts w:ascii="Times New Roman" w:hAnsi="Times New Roman" w:eastAsia="宋体" w:cs="Times New Roman"/>
                <w:position w:val="-1"/>
                <w:szCs w:val="21"/>
              </w:rPr>
              <w:t>为3</w:t>
            </w:r>
            <w:r>
              <w:rPr>
                <w:rFonts w:ascii="Times New Roman" w:hAnsi="Times New Roman" w:eastAsia="宋体" w:cs="Times New Roman"/>
                <w:spacing w:val="-2"/>
                <w:position w:val="-1"/>
                <w:szCs w:val="21"/>
              </w:rPr>
              <w:t>个</w:t>
            </w:r>
            <w:r>
              <w:rPr>
                <w:rFonts w:ascii="Times New Roman" w:hAnsi="Times New Roman" w:eastAsia="宋体" w:cs="Times New Roman"/>
                <w:position w:val="-1"/>
                <w:szCs w:val="21"/>
              </w:rPr>
              <w:t>课程</w:t>
            </w:r>
            <w:r>
              <w:rPr>
                <w:rFonts w:ascii="Times New Roman" w:hAnsi="Times New Roman" w:eastAsia="宋体" w:cs="Times New Roman"/>
                <w:spacing w:val="-2"/>
                <w:position w:val="-1"/>
                <w:szCs w:val="21"/>
              </w:rPr>
              <w:t>目</w:t>
            </w:r>
            <w:r>
              <w:rPr>
                <w:rFonts w:ascii="Times New Roman" w:hAnsi="Times New Roman" w:eastAsia="宋体" w:cs="Times New Roman"/>
                <w:position w:val="-1"/>
                <w:szCs w:val="21"/>
              </w:rPr>
              <w:t>标</w:t>
            </w:r>
            <w:r>
              <w:rPr>
                <w:rFonts w:ascii="Times New Roman" w:hAnsi="Times New Roman" w:eastAsia="宋体" w:cs="Times New Roman"/>
                <w:spacing w:val="-2"/>
                <w:position w:val="-1"/>
                <w:szCs w:val="21"/>
              </w:rPr>
              <w:t>的</w:t>
            </w:r>
            <w:r>
              <w:rPr>
                <w:rFonts w:ascii="Times New Roman" w:hAnsi="Times New Roman" w:eastAsia="宋体" w:cs="Times New Roman"/>
                <w:position w:val="-1"/>
                <w:szCs w:val="21"/>
              </w:rPr>
              <w:t>加</w:t>
            </w:r>
            <w:r>
              <w:rPr>
                <w:rFonts w:ascii="Times New Roman" w:hAnsi="Times New Roman" w:eastAsia="宋体" w:cs="Times New Roman"/>
                <w:spacing w:val="-2"/>
                <w:position w:val="-1"/>
                <w:szCs w:val="21"/>
              </w:rPr>
              <w:t>权</w:t>
            </w:r>
            <w:r>
              <w:rPr>
                <w:rFonts w:ascii="Times New Roman" w:hAnsi="Times New Roman" w:eastAsia="宋体" w:cs="Times New Roman"/>
                <w:position w:val="-1"/>
                <w:szCs w:val="21"/>
              </w:rPr>
              <w:t>得</w:t>
            </w:r>
            <w:r>
              <w:rPr>
                <w:rFonts w:ascii="Times New Roman" w:hAnsi="Times New Roman" w:eastAsia="宋体" w:cs="Times New Roman"/>
                <w:spacing w:val="-2"/>
                <w:position w:val="-1"/>
                <w:szCs w:val="21"/>
              </w:rPr>
              <w:t>分</w:t>
            </w:r>
            <w:r>
              <w:rPr>
                <w:rFonts w:ascii="Times New Roman" w:hAnsi="Times New Roman" w:eastAsia="宋体" w:cs="Times New Roman"/>
                <w:position w:val="-1"/>
                <w:szCs w:val="21"/>
              </w:rPr>
              <w:t>率</w:t>
            </w:r>
            <w:r>
              <w:rPr>
                <w:rFonts w:ascii="Times New Roman" w:hAnsi="Times New Roman" w:eastAsia="宋体" w:cs="Times New Roman"/>
                <w:spacing w:val="-2"/>
                <w:position w:val="-1"/>
                <w:szCs w:val="21"/>
              </w:rPr>
              <w:t>，</w:t>
            </w:r>
            <w:r>
              <w:rPr>
                <w:rFonts w:ascii="Times New Roman" w:hAnsi="Times New Roman" w:eastAsia="宋体" w:cs="Times New Roman"/>
                <w:position w:val="-1"/>
                <w:szCs w:val="21"/>
              </w:rPr>
              <w:t>其计</w:t>
            </w:r>
            <w:r>
              <w:rPr>
                <w:rFonts w:ascii="Times New Roman" w:hAnsi="Times New Roman" w:eastAsia="宋体" w:cs="Times New Roman"/>
                <w:spacing w:val="-2"/>
                <w:position w:val="-1"/>
                <w:szCs w:val="21"/>
              </w:rPr>
              <w:t>算</w:t>
            </w:r>
            <w:r>
              <w:rPr>
                <w:rFonts w:ascii="Times New Roman" w:hAnsi="Times New Roman" w:eastAsia="宋体" w:cs="Times New Roman"/>
                <w:position w:val="-1"/>
                <w:szCs w:val="21"/>
              </w:rPr>
              <w:t>公</w:t>
            </w:r>
            <w:r>
              <w:rPr>
                <w:rFonts w:ascii="Times New Roman" w:hAnsi="Times New Roman" w:eastAsia="宋体" w:cs="Times New Roman"/>
                <w:spacing w:val="-2"/>
                <w:position w:val="-1"/>
                <w:szCs w:val="21"/>
              </w:rPr>
              <w:t>式</w:t>
            </w:r>
            <w:r>
              <w:rPr>
                <w:rFonts w:ascii="Times New Roman" w:hAnsi="Times New Roman" w:eastAsia="宋体" w:cs="Times New Roman"/>
                <w:position w:val="-1"/>
                <w:szCs w:val="21"/>
              </w:rPr>
              <w:t>为：</w:t>
            </w:r>
          </w:p>
          <w:p>
            <w:pPr>
              <w:adjustRightInd w:val="0"/>
              <w:snapToGrid w:val="0"/>
              <w:spacing w:before="72" w:line="300" w:lineRule="auto"/>
              <w:ind w:right="-20" w:firstLine="1050" w:firstLineChars="500"/>
              <w:rPr>
                <w:rFonts w:ascii="Times New Roman" w:hAnsi="Times New Roman" w:eastAsia="宋体" w:cs="Times New Roman"/>
                <w:sz w:val="24"/>
              </w:rPr>
            </w:pPr>
            <w:r>
              <w:rPr>
                <w:rFonts w:ascii="Times New Roman" w:hAnsi="Times New Roman" w:eastAsia="宋体" w:cs="Times New Roman"/>
                <w:position w:val="-16"/>
              </w:rPr>
              <w:object>
                <v:shape id="_x0000_i1178" o:spt="75" type="#_x0000_t75" style="height:18pt;width:261.75pt;" o:ole="t" filled="f" o:preferrelative="t" stroked="f" coordsize="21600,21600">
                  <v:path/>
                  <v:fill on="f" focussize="0,0"/>
                  <v:stroke on="f" joinstyle="miter"/>
                  <v:imagedata r:id="rId201" o:title=""/>
                  <o:lock v:ext="edit" aspectratio="t"/>
                  <w10:wrap type="none"/>
                  <w10:anchorlock/>
                </v:shape>
                <o:OLEObject Type="Embed" ProgID="Equation.DSMT4" ShapeID="_x0000_i1178" DrawAspect="Content" ObjectID="_1468075876" r:id="rId200">
                  <o:LockedField>false</o:LockedField>
                </o:OLEObject>
              </w:object>
            </w:r>
          </w:p>
          <w:p>
            <w:pPr>
              <w:adjustRightInd w:val="0"/>
              <w:snapToGrid w:val="0"/>
              <w:spacing w:before="72" w:line="300" w:lineRule="auto"/>
              <w:ind w:right="-20"/>
              <w:rPr>
                <w:rFonts w:ascii="Times New Roman" w:hAnsi="Times New Roman" w:eastAsia="宋体" w:cs="Times New Roman"/>
                <w:szCs w:val="21"/>
              </w:rPr>
            </w:pPr>
            <w:r>
              <w:rPr>
                <w:rFonts w:ascii="Times New Roman" w:hAnsi="Times New Roman" w:eastAsia="宋体" w:cs="Times New Roman"/>
                <w:sz w:val="24"/>
              </w:rPr>
              <w:t xml:space="preserve">   </w:t>
            </w:r>
            <w:r>
              <w:rPr>
                <w:rFonts w:ascii="Times New Roman" w:hAnsi="Times New Roman" w:eastAsia="宋体" w:cs="Times New Roman"/>
                <w:szCs w:val="21"/>
              </w:rPr>
              <w:t>其中权重系数按表5设定。</w:t>
            </w:r>
          </w:p>
          <w:p>
            <w:pPr>
              <w:adjustRightInd w:val="0"/>
              <w:snapToGrid w:val="0"/>
              <w:spacing w:before="156" w:beforeLines="50" w:line="300" w:lineRule="auto"/>
              <w:ind w:left="782" w:right="-23"/>
              <w:jc w:val="center"/>
              <w:rPr>
                <w:rFonts w:ascii="Times New Roman" w:hAnsi="Times New Roman" w:eastAsia="宋体" w:cs="Times New Roman"/>
                <w:b/>
                <w:bCs/>
                <w:position w:val="-3"/>
                <w:sz w:val="18"/>
                <w:szCs w:val="18"/>
              </w:rPr>
            </w:pPr>
            <w:r>
              <w:rPr>
                <w:rFonts w:ascii="Times New Roman" w:hAnsi="Times New Roman" w:eastAsia="宋体" w:cs="Times New Roman"/>
                <w:b/>
                <w:bCs/>
                <w:position w:val="-3"/>
                <w:sz w:val="18"/>
                <w:szCs w:val="18"/>
              </w:rPr>
              <w:t>表5 课程目标考核</w:t>
            </w:r>
            <w:r>
              <w:rPr>
                <w:rFonts w:ascii="Times New Roman" w:hAnsi="Times New Roman" w:eastAsia="宋体" w:cs="Times New Roman"/>
                <w:b/>
                <w:bCs/>
                <w:spacing w:val="-2"/>
                <w:position w:val="-3"/>
                <w:sz w:val="18"/>
                <w:szCs w:val="18"/>
              </w:rPr>
              <w:t>权</w:t>
            </w:r>
            <w:r>
              <w:rPr>
                <w:rFonts w:ascii="Times New Roman" w:hAnsi="Times New Roman" w:eastAsia="宋体" w:cs="Times New Roman"/>
                <w:b/>
                <w:bCs/>
                <w:position w:val="-3"/>
                <w:sz w:val="18"/>
                <w:szCs w:val="18"/>
              </w:rPr>
              <w:t>重</w:t>
            </w:r>
            <w:r>
              <w:rPr>
                <w:rFonts w:ascii="Times New Roman" w:hAnsi="Times New Roman" w:eastAsia="宋体" w:cs="Times New Roman"/>
                <w:b/>
                <w:bCs/>
                <w:spacing w:val="-2"/>
                <w:position w:val="-3"/>
                <w:sz w:val="18"/>
                <w:szCs w:val="18"/>
              </w:rPr>
              <w:t>系</w:t>
            </w:r>
            <w:r>
              <w:rPr>
                <w:rFonts w:ascii="Times New Roman" w:hAnsi="Times New Roman" w:eastAsia="宋体" w:cs="Times New Roman"/>
                <w:b/>
                <w:bCs/>
                <w:position w:val="-3"/>
                <w:sz w:val="18"/>
                <w:szCs w:val="18"/>
              </w:rPr>
              <w:t>数</w:t>
            </w:r>
          </w:p>
          <w:tbl>
            <w:tblPr>
              <w:tblStyle w:val="22"/>
              <w:tblW w:w="8681" w:type="dxa"/>
              <w:tblInd w:w="0" w:type="dxa"/>
              <w:tblLayout w:type="fixed"/>
              <w:tblCellMar>
                <w:top w:w="0" w:type="dxa"/>
                <w:left w:w="0" w:type="dxa"/>
                <w:bottom w:w="0" w:type="dxa"/>
                <w:right w:w="0" w:type="dxa"/>
              </w:tblCellMar>
            </w:tblPr>
            <w:tblGrid>
              <w:gridCol w:w="2483"/>
              <w:gridCol w:w="2068"/>
              <w:gridCol w:w="2066"/>
              <w:gridCol w:w="2064"/>
            </w:tblGrid>
            <w:tr>
              <w:tblPrEx>
                <w:tblCellMar>
                  <w:top w:w="0" w:type="dxa"/>
                  <w:left w:w="0" w:type="dxa"/>
                  <w:bottom w:w="0" w:type="dxa"/>
                  <w:right w:w="0" w:type="dxa"/>
                </w:tblCellMar>
              </w:tblPrEx>
              <w:trPr>
                <w:trHeight w:val="437" w:hRule="exact"/>
              </w:trPr>
              <w:tc>
                <w:tcPr>
                  <w:tcW w:w="24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jc w:val="center"/>
                    <w:rPr>
                      <w:rFonts w:ascii="Times New Roman" w:hAnsi="Times New Roman" w:eastAsia="宋体" w:cs="Times New Roman"/>
                      <w:b/>
                      <w:bCs/>
                      <w:sz w:val="18"/>
                      <w:szCs w:val="20"/>
                    </w:rPr>
                  </w:pPr>
                  <w:r>
                    <w:rPr>
                      <w:rFonts w:ascii="Times New Roman" w:hAnsi="Times New Roman" w:eastAsia="宋体" w:cs="Times New Roman"/>
                      <w:b/>
                      <w:bCs/>
                      <w:sz w:val="18"/>
                      <w:szCs w:val="20"/>
                    </w:rPr>
                    <w:t>课程目标</w:t>
                  </w:r>
                </w:p>
              </w:tc>
              <w:tc>
                <w:tcPr>
                  <w:tcW w:w="20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3" w:right="-20"/>
                    <w:jc w:val="center"/>
                    <w:rPr>
                      <w:rFonts w:ascii="Times New Roman" w:hAnsi="Times New Roman" w:eastAsia="宋体" w:cs="Times New Roman"/>
                      <w:sz w:val="18"/>
                      <w:szCs w:val="20"/>
                    </w:rPr>
                  </w:pPr>
                  <w:r>
                    <w:rPr>
                      <w:rFonts w:ascii="Times New Roman" w:hAnsi="Times New Roman" w:eastAsia="宋体" w:cs="Times New Roman"/>
                      <w:sz w:val="18"/>
                      <w:szCs w:val="20"/>
                    </w:rPr>
                    <w:t>1</w:t>
                  </w:r>
                </w:p>
              </w:tc>
              <w:tc>
                <w:tcPr>
                  <w:tcW w:w="20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3" w:right="-20"/>
                    <w:jc w:val="center"/>
                    <w:rPr>
                      <w:rFonts w:ascii="Times New Roman" w:hAnsi="Times New Roman" w:eastAsia="宋体" w:cs="Times New Roman"/>
                      <w:sz w:val="18"/>
                      <w:szCs w:val="20"/>
                    </w:rPr>
                  </w:pPr>
                  <w:r>
                    <w:rPr>
                      <w:rFonts w:ascii="Times New Roman" w:hAnsi="Times New Roman" w:eastAsia="宋体" w:cs="Times New Roman"/>
                      <w:sz w:val="18"/>
                      <w:szCs w:val="20"/>
                    </w:rPr>
                    <w:t>2</w:t>
                  </w:r>
                </w:p>
              </w:tc>
              <w:tc>
                <w:tcPr>
                  <w:tcW w:w="20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5" w:line="300" w:lineRule="auto"/>
                    <w:ind w:left="131" w:right="-20"/>
                    <w:jc w:val="center"/>
                    <w:rPr>
                      <w:rFonts w:ascii="Times New Roman" w:hAnsi="Times New Roman" w:eastAsia="宋体" w:cs="Times New Roman"/>
                      <w:sz w:val="18"/>
                      <w:szCs w:val="20"/>
                    </w:rPr>
                  </w:pPr>
                  <w:r>
                    <w:rPr>
                      <w:rFonts w:ascii="Times New Roman" w:hAnsi="Times New Roman" w:eastAsia="宋体" w:cs="Times New Roman"/>
                      <w:sz w:val="18"/>
                      <w:szCs w:val="20"/>
                    </w:rPr>
                    <w:t>3</w:t>
                  </w:r>
                </w:p>
              </w:tc>
            </w:tr>
            <w:tr>
              <w:tblPrEx>
                <w:tblCellMar>
                  <w:top w:w="0" w:type="dxa"/>
                  <w:left w:w="0" w:type="dxa"/>
                  <w:bottom w:w="0" w:type="dxa"/>
                  <w:right w:w="0" w:type="dxa"/>
                </w:tblCellMar>
              </w:tblPrEx>
              <w:trPr>
                <w:trHeight w:val="482" w:hRule="exact"/>
              </w:trPr>
              <w:tc>
                <w:tcPr>
                  <w:tcW w:w="24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jc w:val="center"/>
                    <w:rPr>
                      <w:rFonts w:ascii="Times New Roman" w:hAnsi="Times New Roman" w:eastAsia="宋体" w:cs="Times New Roman"/>
                      <w:b/>
                      <w:bCs/>
                      <w:sz w:val="18"/>
                      <w:szCs w:val="20"/>
                    </w:rPr>
                  </w:pPr>
                  <w:r>
                    <w:rPr>
                      <w:rFonts w:ascii="Times New Roman" w:hAnsi="Times New Roman" w:eastAsia="宋体" w:cs="Times New Roman"/>
                      <w:b/>
                      <w:bCs/>
                      <w:sz w:val="18"/>
                      <w:szCs w:val="20"/>
                    </w:rPr>
                    <w:t>权重系数</w:t>
                  </w:r>
                </w:p>
              </w:tc>
              <w:tc>
                <w:tcPr>
                  <w:tcW w:w="206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eastAsia="宋体" w:cs="Times New Roman"/>
                      <w:sz w:val="18"/>
                      <w:szCs w:val="20"/>
                    </w:rPr>
                  </w:pPr>
                  <w:r>
                    <w:rPr>
                      <w:rFonts w:ascii="Times New Roman" w:hAnsi="Times New Roman" w:eastAsia="宋体" w:cs="Times New Roman"/>
                      <w:sz w:val="18"/>
                      <w:szCs w:val="20"/>
                    </w:rPr>
                    <w:t xml:space="preserve">     0.4</w:t>
                  </w:r>
                </w:p>
              </w:tc>
              <w:tc>
                <w:tcPr>
                  <w:tcW w:w="20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eastAsia="宋体" w:cs="Times New Roman"/>
                      <w:sz w:val="18"/>
                      <w:szCs w:val="20"/>
                    </w:rPr>
                  </w:pPr>
                  <w:r>
                    <w:rPr>
                      <w:rFonts w:ascii="Times New Roman" w:hAnsi="Times New Roman" w:eastAsia="宋体" w:cs="Times New Roman"/>
                      <w:sz w:val="18"/>
                      <w:szCs w:val="20"/>
                    </w:rPr>
                    <w:t xml:space="preserve">     0.2</w:t>
                  </w:r>
                </w:p>
              </w:tc>
              <w:tc>
                <w:tcPr>
                  <w:tcW w:w="20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auto"/>
                    <w:ind w:right="392"/>
                    <w:jc w:val="center"/>
                    <w:rPr>
                      <w:rFonts w:ascii="Times New Roman" w:hAnsi="Times New Roman" w:eastAsia="宋体" w:cs="Times New Roman"/>
                      <w:sz w:val="18"/>
                      <w:szCs w:val="20"/>
                    </w:rPr>
                  </w:pPr>
                  <w:r>
                    <w:rPr>
                      <w:rFonts w:ascii="Times New Roman" w:hAnsi="Times New Roman" w:eastAsia="宋体" w:cs="Times New Roman"/>
                      <w:sz w:val="18"/>
                      <w:szCs w:val="20"/>
                    </w:rPr>
                    <w:t xml:space="preserve">     0.4</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ind w:firstLine="840" w:firstLineChars="400"/>
              <w:rPr>
                <w:rFonts w:ascii="Times New Roman" w:hAnsi="Times New Roman" w:eastAsia="宋体" w:cs="Times New Roman"/>
              </w:rPr>
            </w:pPr>
            <w:r>
              <w:rPr>
                <w:rFonts w:ascii="Times New Roman" w:hAnsi="Times New Roman" w:eastAsia="宋体" w:cs="Times New Roman"/>
                <w:position w:val="-14"/>
              </w:rPr>
              <w:object>
                <v:shape id="_x0000_i1179" o:spt="75" type="#_x0000_t75" style="height:18pt;width:273.75pt;" o:ole="t" filled="f" o:preferrelative="t" stroked="f" coordsize="21600,21600">
                  <v:path/>
                  <v:fill on="f" focussize="0,0"/>
                  <v:stroke on="f" joinstyle="miter"/>
                  <v:imagedata r:id="rId203" o:title=""/>
                  <o:lock v:ext="edit" aspectratio="t"/>
                  <w10:wrap type="none"/>
                  <w10:anchorlock/>
                </v:shape>
                <o:OLEObject Type="Embed" ProgID="Equation.3" ShapeID="_x0000_i1179" DrawAspect="Content" ObjectID="_1468075877" r:id="rId202">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2.课程总结要求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依据</w:t>
            </w:r>
            <w:r>
              <w:rPr>
                <w:rFonts w:hint="eastAsia" w:ascii="Times New Roman" w:hAnsi="Times New Roman" w:eastAsia="宋体" w:cs="Times New Roman"/>
                <w:szCs w:val="21"/>
              </w:rPr>
              <w:t>达成情况</w:t>
            </w:r>
            <w:r>
              <w:rPr>
                <w:rFonts w:ascii="Times New Roman" w:hAnsi="Times New Roman" w:eastAsia="宋体" w:cs="Times New Roman"/>
                <w:szCs w:val="21"/>
              </w:rPr>
              <w:t>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[1]师文庆、李永强，大学物理实验[M]，北京：中国农业出版社，2015.第一版.。</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[2]周瑞华，大学物理实验教程[M]，北京：国防工业出版社，2010.第一版.。</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[3]李辉、马斌强，大学物理实验 [M]，北京：中国农业出版社，2013.第一版.。</w:t>
            </w:r>
          </w:p>
          <w:p>
            <w:pPr>
              <w:snapToGrid w:val="0"/>
              <w:spacing w:line="300" w:lineRule="auto"/>
              <w:ind w:right="630" w:firstLine="424" w:firstLineChars="202"/>
              <w:jc w:val="right"/>
              <w:rPr>
                <w:rFonts w:ascii="等线" w:hAnsi="等线" w:eastAsia="等线" w:cs="Times New Roman"/>
                <w:szCs w:val="21"/>
              </w:rPr>
            </w:pPr>
            <w:r>
              <w:rPr>
                <w:rFonts w:ascii="等线" w:hAnsi="等线" w:eastAsia="等线"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884" w:type="dxa"/>
          </w:tcPr>
          <w:p>
            <w:pPr>
              <w:snapToGrid w:val="0"/>
              <w:spacing w:line="300" w:lineRule="auto"/>
              <w:ind w:right="420"/>
              <w:jc w:val="right"/>
              <w:rPr>
                <w:rFonts w:ascii="等线" w:hAnsi="等线" w:eastAsia="等线" w:cs="Times New Roman"/>
                <w:szCs w:val="21"/>
              </w:rPr>
            </w:pPr>
            <w:r>
              <w:rPr>
                <w:rFonts w:ascii="等线" w:hAnsi="等线" w:eastAsia="等线"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884" w:type="dxa"/>
          </w:tcPr>
          <w:p>
            <w:pPr>
              <w:snapToGrid w:val="0"/>
              <w:spacing w:line="300" w:lineRule="auto"/>
              <w:ind w:right="200"/>
              <w:jc w:val="right"/>
              <w:rPr>
                <w:rFonts w:ascii="等线" w:hAnsi="等线" w:eastAsia="等线" w:cs="Times New Roman"/>
                <w:szCs w:val="21"/>
              </w:rPr>
            </w:pPr>
            <w:r>
              <w:rPr>
                <w:rFonts w:ascii="等线" w:hAnsi="等线" w:eastAsia="等线" w:cs="Times New Roman"/>
                <w:szCs w:val="21"/>
              </w:rPr>
              <w:t>日 期：202</w:t>
            </w:r>
            <w:r>
              <w:rPr>
                <w:rFonts w:hint="eastAsia" w:ascii="等线" w:hAnsi="等线" w:eastAsia="等线" w:cs="Times New Roman"/>
                <w:szCs w:val="21"/>
              </w:rPr>
              <w:t>2</w:t>
            </w:r>
            <w:r>
              <w:rPr>
                <w:rFonts w:ascii="等线" w:hAnsi="等线" w:eastAsia="等线" w:cs="Times New Roman"/>
                <w:szCs w:val="21"/>
              </w:rPr>
              <w:t>.0</w:t>
            </w:r>
            <w:r>
              <w:rPr>
                <w:rFonts w:hint="eastAsia" w:ascii="等线" w:hAnsi="等线" w:eastAsia="等线" w:cs="Times New Roman"/>
                <w:szCs w:val="21"/>
              </w:rPr>
              <w:t>4</w:t>
            </w:r>
            <w:r>
              <w:rPr>
                <w:rFonts w:ascii="等线" w:hAnsi="等线" w:eastAsia="等线" w:cs="Times New Roman"/>
                <w:szCs w:val="21"/>
              </w:rPr>
              <w:t>.2</w:t>
            </w:r>
            <w:r>
              <w:rPr>
                <w:rFonts w:hint="eastAsia" w:ascii="等线" w:hAnsi="等线" w:eastAsia="等线" w:cs="Times New Roman"/>
                <w:szCs w:val="21"/>
              </w:rPr>
              <w:t>0</w:t>
            </w:r>
          </w:p>
          <w:p>
            <w:pPr>
              <w:snapToGrid w:val="0"/>
              <w:spacing w:line="300" w:lineRule="auto"/>
              <w:ind w:right="200"/>
              <w:jc w:val="right"/>
              <w:rPr>
                <w:rFonts w:ascii="等线" w:hAnsi="等线" w:eastAsia="等线" w:cs="Times New Roman"/>
                <w:szCs w:val="21"/>
              </w:rPr>
            </w:pPr>
          </w:p>
        </w:tc>
      </w:tr>
    </w:tbl>
    <w:p>
      <w:pPr>
        <w:keepNext/>
        <w:keepLines/>
        <w:spacing w:before="260" w:after="260" w:line="413" w:lineRule="auto"/>
        <w:jc w:val="center"/>
        <w:outlineLvl w:val="1"/>
        <w:rPr>
          <w:rFonts w:ascii="Times New Roman" w:hAnsi="Times New Roman" w:eastAsia="宋体" w:cs="Times New Roman"/>
          <w:b/>
          <w:sz w:val="32"/>
        </w:rPr>
        <w:sectPr>
          <w:type w:val="continuous"/>
          <w:pgSz w:w="11906" w:h="16838"/>
          <w:pgMar w:top="1440" w:right="1417" w:bottom="1440" w:left="1797" w:header="851" w:footer="992" w:gutter="0"/>
          <w:cols w:space="720" w:num="1"/>
          <w:docGrid w:type="lines" w:linePitch="312" w:charSpace="0"/>
        </w:sectPr>
      </w:pPr>
    </w:p>
    <w:bookmarkEnd w:id="234"/>
    <w:bookmarkEnd w:id="235"/>
    <w:bookmarkEnd w:id="236"/>
    <w:bookmarkEnd w:id="237"/>
    <w:bookmarkEnd w:id="238"/>
    <w:bookmarkEnd w:id="239"/>
    <w:bookmarkEnd w:id="240"/>
    <w:bookmarkEnd w:id="241"/>
    <w:bookmarkEnd w:id="242"/>
    <w:bookmarkEnd w:id="243"/>
    <w:bookmarkEnd w:id="244"/>
    <w:bookmarkEnd w:id="245"/>
    <w:bookmarkEnd w:id="246"/>
    <w:p>
      <w:pPr>
        <w:pStyle w:val="3"/>
        <w:jc w:val="center"/>
      </w:pPr>
      <w:bookmarkStart w:id="247" w:name="_Toc25378"/>
      <w:bookmarkStart w:id="248" w:name="_Toc9287"/>
      <w:bookmarkStart w:id="249" w:name="_Toc23129"/>
      <w:r>
        <w:rPr>
          <w:rFonts w:hint="eastAsia"/>
        </w:rPr>
        <w:t>j1610101《电子工艺实习》实习教学大纲</w:t>
      </w:r>
      <w:bookmarkEnd w:id="247"/>
      <w:bookmarkEnd w:id="248"/>
      <w:bookmarkEnd w:id="249"/>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6" w:type="dxa"/>
            <w:vAlign w:val="center"/>
          </w:tcPr>
          <w:p>
            <w:pPr>
              <w:jc w:val="center"/>
              <w:rPr>
                <w:kern w:val="0"/>
                <w:szCs w:val="21"/>
              </w:rPr>
            </w:pPr>
            <w:r>
              <w:rPr>
                <w:kern w:val="0"/>
                <w:szCs w:val="21"/>
              </w:rPr>
              <w:t>课程编号</w:t>
            </w:r>
          </w:p>
        </w:tc>
        <w:tc>
          <w:tcPr>
            <w:tcW w:w="3143" w:type="dxa"/>
            <w:vAlign w:val="center"/>
          </w:tcPr>
          <w:p>
            <w:pPr>
              <w:jc w:val="center"/>
              <w:rPr>
                <w:kern w:val="0"/>
                <w:szCs w:val="21"/>
              </w:rPr>
            </w:pPr>
            <w:r>
              <w:rPr>
                <w:szCs w:val="21"/>
              </w:rPr>
              <w:t>j1610101</w:t>
            </w:r>
          </w:p>
        </w:tc>
        <w:tc>
          <w:tcPr>
            <w:tcW w:w="1214" w:type="dxa"/>
            <w:vAlign w:val="center"/>
          </w:tcPr>
          <w:p>
            <w:pPr>
              <w:jc w:val="center"/>
              <w:rPr>
                <w:kern w:val="0"/>
                <w:szCs w:val="21"/>
              </w:rPr>
            </w:pPr>
            <w:r>
              <w:rPr>
                <w:kern w:val="0"/>
                <w:szCs w:val="21"/>
              </w:rPr>
              <w:t>课程名称</w:t>
            </w:r>
          </w:p>
        </w:tc>
        <w:tc>
          <w:tcPr>
            <w:tcW w:w="2978" w:type="dxa"/>
            <w:vAlign w:val="center"/>
          </w:tcPr>
          <w:p>
            <w:pPr>
              <w:jc w:val="center"/>
              <w:rPr>
                <w:kern w:val="0"/>
                <w:szCs w:val="21"/>
              </w:rPr>
            </w:pPr>
            <w:r>
              <w:rPr>
                <w:kern w:val="0"/>
                <w:szCs w:val="21"/>
              </w:rPr>
              <w:t>电子工艺实习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6" w:type="dxa"/>
            <w:vAlign w:val="center"/>
          </w:tcPr>
          <w:p>
            <w:pPr>
              <w:jc w:val="center"/>
              <w:rPr>
                <w:kern w:val="0"/>
                <w:szCs w:val="21"/>
              </w:rPr>
            </w:pPr>
            <w:r>
              <w:rPr>
                <w:kern w:val="0"/>
                <w:szCs w:val="21"/>
              </w:rPr>
              <w:t>课程性质*</w:t>
            </w:r>
          </w:p>
        </w:tc>
        <w:tc>
          <w:tcPr>
            <w:tcW w:w="3143" w:type="dxa"/>
            <w:vAlign w:val="center"/>
          </w:tcPr>
          <w:p>
            <w:pPr>
              <w:jc w:val="center"/>
              <w:rPr>
                <w:kern w:val="0"/>
                <w:szCs w:val="21"/>
              </w:rPr>
            </w:pPr>
            <w:r>
              <w:rPr>
                <w:kern w:val="0"/>
                <w:szCs w:val="21"/>
              </w:rPr>
              <w:t>工程实践与毕业设计（论文）</w:t>
            </w:r>
          </w:p>
        </w:tc>
        <w:tc>
          <w:tcPr>
            <w:tcW w:w="1214" w:type="dxa"/>
            <w:vAlign w:val="center"/>
          </w:tcPr>
          <w:p>
            <w:pPr>
              <w:jc w:val="center"/>
              <w:rPr>
                <w:kern w:val="0"/>
                <w:szCs w:val="21"/>
              </w:rPr>
            </w:pPr>
            <w:r>
              <w:rPr>
                <w:kern w:val="0"/>
                <w:szCs w:val="21"/>
              </w:rPr>
              <w:t>英文名称</w:t>
            </w:r>
          </w:p>
        </w:tc>
        <w:tc>
          <w:tcPr>
            <w:tcW w:w="2978" w:type="dxa"/>
            <w:vAlign w:val="center"/>
          </w:tcPr>
          <w:p>
            <w:pPr>
              <w:jc w:val="center"/>
              <w:rPr>
                <w:bCs/>
                <w:kern w:val="0"/>
                <w:szCs w:val="21"/>
              </w:rPr>
            </w:pPr>
            <w:r>
              <w:rPr>
                <w:szCs w:val="21"/>
              </w:rPr>
              <w:t>Electronic Process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6" w:type="dxa"/>
            <w:vAlign w:val="center"/>
          </w:tcPr>
          <w:p>
            <w:pPr>
              <w:jc w:val="center"/>
              <w:rPr>
                <w:kern w:val="0"/>
                <w:szCs w:val="21"/>
              </w:rPr>
            </w:pPr>
            <w:r>
              <w:rPr>
                <w:kern w:val="0"/>
                <w:szCs w:val="21"/>
              </w:rPr>
              <w:t>学分学时</w:t>
            </w:r>
          </w:p>
        </w:tc>
        <w:tc>
          <w:tcPr>
            <w:tcW w:w="3143" w:type="dxa"/>
            <w:vAlign w:val="center"/>
          </w:tcPr>
          <w:p>
            <w:pPr>
              <w:jc w:val="center"/>
              <w:rPr>
                <w:kern w:val="0"/>
                <w:szCs w:val="21"/>
              </w:rPr>
            </w:pPr>
            <w:r>
              <w:rPr>
                <w:kern w:val="0"/>
                <w:szCs w:val="21"/>
              </w:rPr>
              <w:t>2</w:t>
            </w:r>
            <w:r>
              <w:rPr>
                <w:bCs/>
                <w:kern w:val="0"/>
                <w:szCs w:val="21"/>
              </w:rPr>
              <w:t xml:space="preserve"> </w:t>
            </w:r>
            <w:r>
              <w:rPr>
                <w:kern w:val="0"/>
                <w:szCs w:val="21"/>
              </w:rPr>
              <w:t>: 2周</w:t>
            </w:r>
          </w:p>
        </w:tc>
        <w:tc>
          <w:tcPr>
            <w:tcW w:w="1214" w:type="dxa"/>
            <w:vAlign w:val="center"/>
          </w:tcPr>
          <w:p>
            <w:pPr>
              <w:jc w:val="center"/>
              <w:rPr>
                <w:kern w:val="0"/>
                <w:szCs w:val="21"/>
                <w:highlight w:val="yellow"/>
              </w:rPr>
            </w:pPr>
            <w:r>
              <w:rPr>
                <w:kern w:val="0"/>
                <w:szCs w:val="21"/>
              </w:rPr>
              <w:t>任课教师</w:t>
            </w:r>
          </w:p>
        </w:tc>
        <w:tc>
          <w:tcPr>
            <w:tcW w:w="2978" w:type="dxa"/>
            <w:vAlign w:val="center"/>
          </w:tcPr>
          <w:p>
            <w:pPr>
              <w:jc w:val="center"/>
              <w:rPr>
                <w:kern w:val="0"/>
                <w:szCs w:val="21"/>
                <w:highlight w:val="yellow"/>
              </w:rPr>
            </w:pPr>
            <w:r>
              <w:rPr>
                <w:rFonts w:hint="eastAsia"/>
                <w:szCs w:val="21"/>
              </w:rPr>
              <w:t>刘畅、王峰、李颖、郭磊、邓锐等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6" w:type="dxa"/>
            <w:vAlign w:val="center"/>
          </w:tcPr>
          <w:p>
            <w:pPr>
              <w:jc w:val="center"/>
              <w:rPr>
                <w:bCs/>
                <w:kern w:val="0"/>
                <w:szCs w:val="21"/>
              </w:rPr>
            </w:pPr>
            <w:r>
              <w:rPr>
                <w:bCs/>
                <w:kern w:val="0"/>
                <w:szCs w:val="21"/>
              </w:rPr>
              <w:t>企业专家</w:t>
            </w:r>
          </w:p>
        </w:tc>
        <w:tc>
          <w:tcPr>
            <w:tcW w:w="3143" w:type="dxa"/>
            <w:vAlign w:val="center"/>
          </w:tcPr>
          <w:p>
            <w:pPr>
              <w:widowControl/>
              <w:jc w:val="center"/>
              <w:rPr>
                <w:kern w:val="0"/>
                <w:szCs w:val="21"/>
              </w:rPr>
            </w:pPr>
            <w:r>
              <w:rPr>
                <w:kern w:val="0"/>
                <w:szCs w:val="21"/>
              </w:rPr>
              <w:t>曾耿滨</w:t>
            </w:r>
          </w:p>
        </w:tc>
        <w:tc>
          <w:tcPr>
            <w:tcW w:w="1214" w:type="dxa"/>
            <w:vAlign w:val="center"/>
          </w:tcPr>
          <w:p>
            <w:pPr>
              <w:jc w:val="center"/>
              <w:rPr>
                <w:bCs/>
                <w:kern w:val="0"/>
                <w:szCs w:val="21"/>
              </w:rPr>
            </w:pPr>
            <w:r>
              <w:rPr>
                <w:bCs/>
                <w:kern w:val="0"/>
                <w:szCs w:val="21"/>
              </w:rPr>
              <w:t>行业专家</w:t>
            </w:r>
          </w:p>
        </w:tc>
        <w:tc>
          <w:tcPr>
            <w:tcW w:w="2978"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trPr>
        <w:tc>
          <w:tcPr>
            <w:tcW w:w="1346" w:type="dxa"/>
            <w:vAlign w:val="center"/>
          </w:tcPr>
          <w:p>
            <w:pPr>
              <w:widowControl/>
              <w:jc w:val="center"/>
              <w:rPr>
                <w:bCs/>
                <w:kern w:val="0"/>
                <w:szCs w:val="21"/>
              </w:rPr>
            </w:pPr>
            <w:r>
              <w:rPr>
                <w:bCs/>
                <w:kern w:val="0"/>
                <w:szCs w:val="21"/>
              </w:rPr>
              <w:t>执笔教师</w:t>
            </w:r>
          </w:p>
        </w:tc>
        <w:tc>
          <w:tcPr>
            <w:tcW w:w="3143" w:type="dxa"/>
            <w:vAlign w:val="center"/>
          </w:tcPr>
          <w:p>
            <w:pPr>
              <w:widowControl/>
              <w:jc w:val="center"/>
              <w:rPr>
                <w:kern w:val="0"/>
                <w:szCs w:val="21"/>
              </w:rPr>
            </w:pPr>
            <w:r>
              <w:rPr>
                <w:rFonts w:hint="eastAsia"/>
                <w:kern w:val="0"/>
                <w:szCs w:val="21"/>
              </w:rPr>
              <w:t>刘畅</w:t>
            </w:r>
          </w:p>
        </w:tc>
        <w:tc>
          <w:tcPr>
            <w:tcW w:w="1214" w:type="dxa"/>
            <w:vAlign w:val="center"/>
          </w:tcPr>
          <w:p>
            <w:pPr>
              <w:widowControl/>
              <w:jc w:val="center"/>
              <w:rPr>
                <w:bCs/>
                <w:kern w:val="0"/>
                <w:szCs w:val="21"/>
              </w:rPr>
            </w:pPr>
            <w:r>
              <w:rPr>
                <w:bCs/>
                <w:kern w:val="0"/>
                <w:szCs w:val="21"/>
              </w:rPr>
              <w:t>责任教授</w:t>
            </w:r>
          </w:p>
        </w:tc>
        <w:tc>
          <w:tcPr>
            <w:tcW w:w="2978" w:type="dxa"/>
            <w:vAlign w:val="center"/>
          </w:tcPr>
          <w:p>
            <w:pPr>
              <w:widowControl/>
              <w:jc w:val="center"/>
              <w:rPr>
                <w:kern w:val="0"/>
                <w:szCs w:val="21"/>
              </w:rPr>
            </w:pPr>
            <w:r>
              <w:rPr>
                <w:rFonts w:hint="eastAsia"/>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6" w:type="dxa"/>
            <w:vAlign w:val="center"/>
          </w:tcPr>
          <w:p>
            <w:pPr>
              <w:widowControl/>
              <w:jc w:val="center"/>
              <w:rPr>
                <w:bCs/>
                <w:kern w:val="0"/>
                <w:szCs w:val="21"/>
              </w:rPr>
            </w:pPr>
            <w:r>
              <w:rPr>
                <w:bCs/>
                <w:kern w:val="0"/>
                <w:szCs w:val="21"/>
              </w:rPr>
              <w:t>适用专业</w:t>
            </w:r>
          </w:p>
        </w:tc>
        <w:tc>
          <w:tcPr>
            <w:tcW w:w="3143" w:type="dxa"/>
            <w:vAlign w:val="center"/>
          </w:tcPr>
          <w:p>
            <w:pPr>
              <w:widowControl/>
              <w:jc w:val="center"/>
              <w:rPr>
                <w:kern w:val="0"/>
                <w:szCs w:val="21"/>
              </w:rPr>
            </w:pPr>
            <w:r>
              <w:rPr>
                <w:kern w:val="0"/>
                <w:szCs w:val="21"/>
              </w:rPr>
              <w:t>电子信息工程</w:t>
            </w:r>
          </w:p>
        </w:tc>
        <w:tc>
          <w:tcPr>
            <w:tcW w:w="1214" w:type="dxa"/>
            <w:vAlign w:val="center"/>
          </w:tcPr>
          <w:p>
            <w:pPr>
              <w:widowControl/>
              <w:jc w:val="center"/>
              <w:rPr>
                <w:bCs/>
                <w:kern w:val="0"/>
                <w:szCs w:val="21"/>
              </w:rPr>
            </w:pPr>
            <w:r>
              <w:rPr>
                <w:bCs/>
                <w:kern w:val="0"/>
                <w:szCs w:val="21"/>
              </w:rPr>
              <w:t>适用对象</w:t>
            </w:r>
          </w:p>
        </w:tc>
        <w:tc>
          <w:tcPr>
            <w:tcW w:w="2978"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6" w:type="dxa"/>
            <w:vAlign w:val="center"/>
          </w:tcPr>
          <w:p>
            <w:pPr>
              <w:jc w:val="center"/>
              <w:rPr>
                <w:b/>
                <w:kern w:val="0"/>
                <w:szCs w:val="21"/>
              </w:rPr>
            </w:pPr>
            <w:r>
              <w:rPr>
                <w:kern w:val="0"/>
                <w:szCs w:val="21"/>
              </w:rPr>
              <w:t>先修课程</w:t>
            </w:r>
          </w:p>
        </w:tc>
        <w:tc>
          <w:tcPr>
            <w:tcW w:w="3143" w:type="dxa"/>
            <w:vAlign w:val="center"/>
          </w:tcPr>
          <w:p>
            <w:pPr>
              <w:widowControl/>
              <w:jc w:val="center"/>
              <w:rPr>
                <w:bCs/>
                <w:kern w:val="0"/>
                <w:szCs w:val="21"/>
              </w:rPr>
            </w:pPr>
            <w:r>
              <w:rPr>
                <w:kern w:val="0"/>
                <w:szCs w:val="20"/>
              </w:rPr>
              <w:t>电路分析</w:t>
            </w:r>
          </w:p>
        </w:tc>
        <w:tc>
          <w:tcPr>
            <w:tcW w:w="1214" w:type="dxa"/>
            <w:vAlign w:val="center"/>
          </w:tcPr>
          <w:p>
            <w:pPr>
              <w:snapToGrid w:val="0"/>
              <w:spacing w:line="300" w:lineRule="auto"/>
              <w:jc w:val="center"/>
              <w:rPr>
                <w:b/>
                <w:kern w:val="0"/>
                <w:szCs w:val="21"/>
              </w:rPr>
            </w:pPr>
            <w:r>
              <w:rPr>
                <w:kern w:val="0"/>
                <w:szCs w:val="21"/>
              </w:rPr>
              <w:t>同修课程</w:t>
            </w:r>
          </w:p>
        </w:tc>
        <w:tc>
          <w:tcPr>
            <w:tcW w:w="2978"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346" w:type="dxa"/>
            <w:vAlign w:val="center"/>
          </w:tcPr>
          <w:p>
            <w:pPr>
              <w:jc w:val="center"/>
              <w:rPr>
                <w:kern w:val="0"/>
                <w:szCs w:val="21"/>
              </w:rPr>
            </w:pPr>
            <w:r>
              <w:rPr>
                <w:kern w:val="0"/>
                <w:szCs w:val="21"/>
              </w:rPr>
              <w:t>排斥课程</w:t>
            </w:r>
          </w:p>
        </w:tc>
        <w:tc>
          <w:tcPr>
            <w:tcW w:w="3143" w:type="dxa"/>
            <w:vAlign w:val="center"/>
          </w:tcPr>
          <w:p>
            <w:pPr>
              <w:widowControl/>
              <w:jc w:val="center"/>
              <w:rPr>
                <w:kern w:val="0"/>
                <w:szCs w:val="21"/>
              </w:rPr>
            </w:pPr>
            <w:r>
              <w:rPr>
                <w:kern w:val="0"/>
                <w:szCs w:val="21"/>
              </w:rPr>
              <w:t>无</w:t>
            </w:r>
          </w:p>
        </w:tc>
        <w:tc>
          <w:tcPr>
            <w:tcW w:w="1214" w:type="dxa"/>
            <w:vAlign w:val="center"/>
          </w:tcPr>
          <w:p>
            <w:pPr>
              <w:snapToGrid w:val="0"/>
              <w:spacing w:line="300" w:lineRule="auto"/>
              <w:jc w:val="center"/>
              <w:rPr>
                <w:kern w:val="0"/>
                <w:szCs w:val="21"/>
              </w:rPr>
            </w:pPr>
            <w:r>
              <w:rPr>
                <w:kern w:val="0"/>
                <w:szCs w:val="21"/>
              </w:rPr>
              <w:t>定稿日期</w:t>
            </w:r>
          </w:p>
        </w:tc>
        <w:tc>
          <w:tcPr>
            <w:tcW w:w="2978" w:type="dxa"/>
            <w:vAlign w:val="center"/>
          </w:tcPr>
          <w:p>
            <w:pPr>
              <w:widowControl/>
              <w:jc w:val="center"/>
              <w:rPr>
                <w:rFonts w:eastAsia="宋体"/>
                <w:kern w:val="0"/>
                <w:szCs w:val="21"/>
              </w:rPr>
            </w:pPr>
            <w:r>
              <w:rPr>
                <w:kern w:val="0"/>
                <w:szCs w:val="21"/>
              </w:rPr>
              <w:t>202</w:t>
            </w:r>
            <w:r>
              <w:rPr>
                <w:rFonts w:hint="eastAsia"/>
                <w:kern w:val="0"/>
                <w:szCs w:val="21"/>
              </w:rPr>
              <w:t>2</w:t>
            </w:r>
            <w:r>
              <w:rPr>
                <w:kern w:val="0"/>
                <w:szCs w:val="21"/>
              </w:rPr>
              <w:t>.0</w:t>
            </w:r>
            <w:r>
              <w:rPr>
                <w:rFonts w:hint="eastAsia"/>
                <w:kern w:val="0"/>
                <w:szCs w:val="21"/>
              </w:rPr>
              <w:t>5</w:t>
            </w:r>
            <w:r>
              <w:rPr>
                <w:kern w:val="0"/>
                <w:szCs w:val="21"/>
              </w:rPr>
              <w:t>.</w:t>
            </w:r>
            <w:r>
              <w:rPr>
                <w:rFonts w:hint="eastAsia"/>
                <w:kern w:val="0"/>
                <w:szCs w:val="21"/>
              </w:rPr>
              <w:t>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szCs w:val="21"/>
        </w:rPr>
      </w:pPr>
      <w:r>
        <w:rPr>
          <w:kern w:val="0"/>
          <w:szCs w:val="21"/>
        </w:rPr>
        <w:t>“电子工艺实习”是</w:t>
      </w:r>
      <w:r>
        <w:rPr>
          <w:bCs/>
          <w:szCs w:val="21"/>
        </w:rPr>
        <w:t>电子信息工程专业的课程实习，</w:t>
      </w:r>
      <w:r>
        <w:rPr>
          <w:kern w:val="0"/>
          <w:szCs w:val="21"/>
        </w:rPr>
        <w:t>是工程基础训练的重要环节，通过实习了解电子产品的生产，实际学习基本的电子工艺，掌握一般的电子工艺技能，了解电子产品的生产过程和先进的生产工艺（SMT），掌握电子技术安全常识、元器件基础知识，电子技术中的焊接、装配工艺、常用仪表的使用，印制电路设计等基本的电子工艺知识和技能等。培养初步的工程设计能力和创新意识，以及严谨踏实科学的工作作风和良好的学风，提高解决实际问题的能力和素质，为今后的学习和从事有关的电子技术工作奠定实践基础。</w:t>
      </w:r>
    </w:p>
    <w:p>
      <w:pPr>
        <w:snapToGrid w:val="0"/>
        <w:spacing w:before="159" w:beforeLines="50" w:after="159" w:afterLines="50" w:line="300" w:lineRule="auto"/>
        <w:ind w:firstLine="482" w:firstLineChars="200"/>
        <w:rPr>
          <w:b/>
          <w:sz w:val="24"/>
        </w:rPr>
      </w:pPr>
      <w:r>
        <w:rPr>
          <w:b/>
          <w:sz w:val="24"/>
        </w:rPr>
        <w:t>二、课程教学目标</w:t>
      </w:r>
    </w:p>
    <w:p>
      <w:pPr>
        <w:widowControl/>
        <w:snapToGrid w:val="0"/>
        <w:spacing w:line="300" w:lineRule="auto"/>
        <w:ind w:firstLine="420" w:firstLineChars="200"/>
        <w:jc w:val="left"/>
        <w:rPr>
          <w:kern w:val="0"/>
          <w:szCs w:val="21"/>
        </w:rPr>
      </w:pPr>
      <w:r>
        <w:rPr>
          <w:kern w:val="0"/>
          <w:szCs w:val="21"/>
        </w:rPr>
        <w:t>“电子工艺实习”课程是电子信息工程专业的一门实践性课程。 本课程包括两部分：理论讲授和技能实训。理论讲授主要是对学生电子设计与制作的科学思想，基本仪器常用的方法及电子产品的电子工艺进行介绍。技能实训内容主要包括基本技能实训和综合技能实训。基本技能实训包括常用的仪器设备的使用、常用的电子元器件识别技能的实训、元器件的基本安装、立方体焊接工艺实训等。综合实训内容包括万用表的焊接、组装和调试实训，</w:t>
      </w:r>
      <w:r>
        <w:rPr>
          <w:rFonts w:hint="eastAsia"/>
          <w:kern w:val="0"/>
          <w:szCs w:val="21"/>
        </w:rPr>
        <w:t>调频</w:t>
      </w:r>
      <w:r>
        <w:rPr>
          <w:kern w:val="0"/>
          <w:szCs w:val="21"/>
        </w:rPr>
        <w:t>收音机的焊接、组装和调试实训。通过完成项目具体工作任务或产品系统焊接、组装和调试，将基本知识理论与工程能力有机地融合，培养学生具有扎实的电子工艺的能力。讲授时，可以介绍国内著名的电子公司，培养学生的爱国与担当精神，培育学生创新精神，使学生的学习能力提升的同时，精神层面也得到升华。本课程的具体教学目标如下：</w:t>
      </w:r>
    </w:p>
    <w:p>
      <w:pPr>
        <w:spacing w:line="360" w:lineRule="exact"/>
        <w:ind w:firstLine="420" w:firstLineChars="200"/>
        <w:rPr>
          <w:kern w:val="0"/>
          <w:szCs w:val="21"/>
        </w:rPr>
      </w:pPr>
      <w:r>
        <w:rPr>
          <w:kern w:val="0"/>
          <w:szCs w:val="21"/>
        </w:rPr>
        <w:t>1.了解电子产品的生产，电子产品的生产过程和先进的生产工艺（SMT），掌握电子技术安全常识、元器件基础知识，电子技术中的焊接、装配工艺，印制电路设计等基本的电子工艺知识和技能等； [2</w:t>
      </w:r>
      <w:r>
        <w:rPr>
          <w:rFonts w:hint="eastAsia"/>
          <w:kern w:val="0"/>
          <w:szCs w:val="21"/>
        </w:rPr>
        <w:t>.</w:t>
      </w:r>
      <w:r>
        <w:rPr>
          <w:kern w:val="0"/>
          <w:szCs w:val="21"/>
        </w:rPr>
        <w:t>3]</w:t>
      </w:r>
    </w:p>
    <w:p>
      <w:pPr>
        <w:spacing w:line="360" w:lineRule="exact"/>
        <w:ind w:firstLine="420" w:firstLineChars="200"/>
        <w:rPr>
          <w:kern w:val="0"/>
          <w:szCs w:val="21"/>
        </w:rPr>
      </w:pPr>
      <w:r>
        <w:rPr>
          <w:kern w:val="0"/>
          <w:szCs w:val="21"/>
        </w:rPr>
        <w:t>2. 掌握万用表，稳压电源，信号发生器，示波器等常用仪表的操作方法，并在复杂工程问题中合理选择并使用；[5</w:t>
      </w:r>
      <w:r>
        <w:rPr>
          <w:rFonts w:hint="eastAsia"/>
          <w:kern w:val="0"/>
          <w:szCs w:val="21"/>
        </w:rPr>
        <w:t>.1</w:t>
      </w:r>
      <w:r>
        <w:rPr>
          <w:kern w:val="0"/>
          <w:szCs w:val="21"/>
        </w:rPr>
        <w:t>]</w:t>
      </w:r>
    </w:p>
    <w:p>
      <w:pPr>
        <w:spacing w:line="360" w:lineRule="exact"/>
        <w:ind w:firstLine="420" w:firstLineChars="200"/>
        <w:rPr>
          <w:kern w:val="0"/>
          <w:szCs w:val="21"/>
        </w:rPr>
      </w:pPr>
      <w:r>
        <w:rPr>
          <w:kern w:val="0"/>
          <w:szCs w:val="21"/>
        </w:rPr>
        <w:t>3. 分组完成实习任务，培养学生的团队合作意识，沟通能力，培养初步的工程设计能力和创新意识，以及严谨踏实科学的工作作风和良好的学风，提高解决实际问题的能力和素质。[9</w:t>
      </w:r>
      <w:r>
        <w:rPr>
          <w:rFonts w:hint="eastAsia"/>
          <w:kern w:val="0"/>
          <w:szCs w:val="21"/>
        </w:rPr>
        <w:t>.</w:t>
      </w:r>
      <w:r>
        <w:rPr>
          <w:kern w:val="0"/>
          <w:szCs w:val="21"/>
        </w:rPr>
        <w:t>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6"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vAlign w:val="center"/>
          </w:tcPr>
          <w:p>
            <w:pPr>
              <w:snapToGrid w:val="0"/>
              <w:spacing w:line="300" w:lineRule="auto"/>
              <w:rPr>
                <w:sz w:val="18"/>
                <w:szCs w:val="18"/>
              </w:rPr>
            </w:pPr>
            <w:r>
              <w:rPr>
                <w:sz w:val="18"/>
                <w:szCs w:val="18"/>
              </w:rPr>
              <w:t>2．问题分析</w:t>
            </w:r>
          </w:p>
        </w:tc>
        <w:tc>
          <w:tcPr>
            <w:tcW w:w="6143" w:type="dxa"/>
          </w:tcPr>
          <w:p>
            <w:pPr>
              <w:snapToGrid w:val="0"/>
              <w:spacing w:line="300" w:lineRule="auto"/>
              <w:rPr>
                <w:sz w:val="18"/>
                <w:szCs w:val="18"/>
              </w:rPr>
            </w:pPr>
            <w:r>
              <w:rPr>
                <w:sz w:val="18"/>
                <w:szCs w:val="18"/>
              </w:rPr>
              <w:t>2</w:t>
            </w:r>
            <w:r>
              <w:rPr>
                <w:rFonts w:hint="eastAsia"/>
                <w:sz w:val="18"/>
                <w:szCs w:val="18"/>
              </w:rPr>
              <w:t>.</w:t>
            </w:r>
            <w:r>
              <w:rPr>
                <w:sz w:val="18"/>
                <w:szCs w:val="18"/>
              </w:rPr>
              <w:t>3通晓文献、信息、资料的分类和一般检索方法，具备借助文献研究等方式客观分析和准确表达复杂工程问题，以获得有效结论的能力。</w:t>
            </w:r>
          </w:p>
        </w:tc>
        <w:tc>
          <w:tcPr>
            <w:tcW w:w="689" w:type="dxa"/>
            <w:vAlign w:val="center"/>
          </w:tcPr>
          <w:p>
            <w:pPr>
              <w:snapToGrid w:val="0"/>
              <w:spacing w:line="300" w:lineRule="auto"/>
              <w:jc w:val="center"/>
              <w:rPr>
                <w:sz w:val="18"/>
                <w:szCs w:val="18"/>
              </w:rPr>
            </w:pPr>
            <w:r>
              <w:rPr>
                <w:sz w:val="18"/>
                <w:szCs w:val="18"/>
              </w:rPr>
              <w:t>1</w:t>
            </w:r>
          </w:p>
        </w:tc>
        <w:tc>
          <w:tcPr>
            <w:tcW w:w="656" w:type="dxa"/>
            <w:vAlign w:val="center"/>
          </w:tcPr>
          <w:p>
            <w:pPr>
              <w:snapToGrid w:val="0"/>
              <w:spacing w:line="300" w:lineRule="auto"/>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snapToGrid w:val="0"/>
              <w:spacing w:line="300" w:lineRule="auto"/>
              <w:rPr>
                <w:sz w:val="18"/>
                <w:szCs w:val="18"/>
              </w:rPr>
            </w:pPr>
            <w:r>
              <w:rPr>
                <w:sz w:val="18"/>
                <w:szCs w:val="18"/>
              </w:rPr>
              <w:t>5．现代工具使用</w:t>
            </w:r>
          </w:p>
        </w:tc>
        <w:tc>
          <w:tcPr>
            <w:tcW w:w="6143" w:type="dxa"/>
          </w:tcPr>
          <w:p>
            <w:pPr>
              <w:snapToGrid w:val="0"/>
              <w:spacing w:line="300" w:lineRule="auto"/>
              <w:rPr>
                <w:sz w:val="18"/>
                <w:szCs w:val="18"/>
              </w:rPr>
            </w:pPr>
            <w:r>
              <w:rPr>
                <w:sz w:val="18"/>
                <w:szCs w:val="18"/>
              </w:rPr>
              <w:t>5</w:t>
            </w:r>
            <w:r>
              <w:rPr>
                <w:rFonts w:hint="eastAsia"/>
                <w:sz w:val="18"/>
                <w:szCs w:val="18"/>
              </w:rPr>
              <w:t>.</w:t>
            </w:r>
            <w:r>
              <w:rPr>
                <w:sz w:val="18"/>
                <w:szCs w:val="18"/>
              </w:rPr>
              <w:t>1掌握电子信息工程专业仪器、仪表等现代工程工具的基本原理、操作方法，理解其局限性，并在复杂工程问题中合理选择并使用。</w:t>
            </w:r>
          </w:p>
        </w:tc>
        <w:tc>
          <w:tcPr>
            <w:tcW w:w="689" w:type="dxa"/>
            <w:vAlign w:val="center"/>
          </w:tcPr>
          <w:p>
            <w:pPr>
              <w:snapToGrid w:val="0"/>
              <w:spacing w:line="300" w:lineRule="auto"/>
              <w:jc w:val="center"/>
              <w:rPr>
                <w:sz w:val="18"/>
                <w:szCs w:val="18"/>
              </w:rPr>
            </w:pPr>
            <w:r>
              <w:rPr>
                <w:sz w:val="18"/>
                <w:szCs w:val="18"/>
              </w:rPr>
              <w:t>2</w:t>
            </w:r>
          </w:p>
        </w:tc>
        <w:tc>
          <w:tcPr>
            <w:tcW w:w="656" w:type="dxa"/>
            <w:vAlign w:val="center"/>
          </w:tcPr>
          <w:p>
            <w:pPr>
              <w:widowControl/>
              <w:snapToGrid w:val="0"/>
              <w:spacing w:line="300" w:lineRule="auto"/>
              <w:jc w:val="left"/>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9．个人与团队</w:t>
            </w:r>
          </w:p>
        </w:tc>
        <w:tc>
          <w:tcPr>
            <w:tcW w:w="6143" w:type="dxa"/>
            <w:vAlign w:val="center"/>
          </w:tcPr>
          <w:p>
            <w:pPr>
              <w:snapToGrid w:val="0"/>
              <w:spacing w:line="300" w:lineRule="auto"/>
              <w:rPr>
                <w:sz w:val="18"/>
                <w:szCs w:val="18"/>
              </w:rPr>
            </w:pPr>
            <w:r>
              <w:rPr>
                <w:sz w:val="18"/>
                <w:szCs w:val="18"/>
              </w:rPr>
              <w:t>9</w:t>
            </w:r>
            <w:r>
              <w:rPr>
                <w:rFonts w:hint="eastAsia"/>
                <w:sz w:val="18"/>
                <w:szCs w:val="18"/>
              </w:rPr>
              <w:t>.</w:t>
            </w:r>
            <w:r>
              <w:rPr>
                <w:sz w:val="18"/>
                <w:szCs w:val="18"/>
              </w:rPr>
              <w:t>2能够在多学科备选下的团队中胜任团队负责人或成员角色，具有团队合作意识和精神。</w:t>
            </w:r>
          </w:p>
        </w:tc>
        <w:tc>
          <w:tcPr>
            <w:tcW w:w="689" w:type="dxa"/>
            <w:vAlign w:val="center"/>
          </w:tcPr>
          <w:p>
            <w:pPr>
              <w:snapToGrid w:val="0"/>
              <w:spacing w:line="300" w:lineRule="auto"/>
              <w:jc w:val="center"/>
              <w:rPr>
                <w:sz w:val="18"/>
                <w:szCs w:val="18"/>
              </w:rPr>
            </w:pPr>
            <w:r>
              <w:rPr>
                <w:sz w:val="18"/>
                <w:szCs w:val="18"/>
              </w:rPr>
              <w:t>3</w:t>
            </w:r>
          </w:p>
        </w:tc>
        <w:tc>
          <w:tcPr>
            <w:tcW w:w="656" w:type="dxa"/>
            <w:vAlign w:val="center"/>
          </w:tcPr>
          <w:p>
            <w:pPr>
              <w:snapToGrid w:val="0"/>
              <w:spacing w:line="300" w:lineRule="auto"/>
              <w:rPr>
                <w:sz w:val="18"/>
                <w:szCs w:val="18"/>
              </w:rPr>
            </w:pPr>
            <w:r>
              <w:rPr>
                <w:sz w:val="18"/>
                <w:szCs w:val="18"/>
              </w:rPr>
              <w:t>0.4</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41"/>
        <w:gridCol w:w="2373"/>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474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3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93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1.了解电子产品的生产，电子产品的生产过程和先进的生产工艺（SMT），掌握电子技术安全常识、元器件基础知识，电子技术中的焊接、装配工艺，印制电路设计等基本的电子工艺知识和技能等；</w:t>
            </w:r>
          </w:p>
        </w:tc>
        <w:tc>
          <w:tcPr>
            <w:tcW w:w="23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rFonts w:hint="eastAsia"/>
                <w:kern w:val="0"/>
                <w:sz w:val="18"/>
                <w:szCs w:val="18"/>
              </w:rPr>
              <w:t>通过</w:t>
            </w:r>
            <w:r>
              <w:rPr>
                <w:kern w:val="0"/>
                <w:sz w:val="18"/>
                <w:szCs w:val="18"/>
              </w:rPr>
              <w:t>指导老师讲授电子工艺</w:t>
            </w:r>
            <w:r>
              <w:rPr>
                <w:rFonts w:hint="eastAsia"/>
                <w:kern w:val="0"/>
                <w:sz w:val="18"/>
                <w:szCs w:val="18"/>
              </w:rPr>
              <w:t>、</w:t>
            </w:r>
            <w:r>
              <w:rPr>
                <w:kern w:val="0"/>
                <w:sz w:val="18"/>
                <w:szCs w:val="18"/>
              </w:rPr>
              <w:t>现场参观</w:t>
            </w:r>
            <w:r>
              <w:rPr>
                <w:rFonts w:hint="eastAsia"/>
                <w:kern w:val="0"/>
                <w:sz w:val="18"/>
                <w:szCs w:val="18"/>
              </w:rPr>
              <w:t>、</w:t>
            </w:r>
            <w:r>
              <w:rPr>
                <w:kern w:val="0"/>
                <w:sz w:val="18"/>
                <w:szCs w:val="18"/>
              </w:rPr>
              <w:t>查阅资料</w:t>
            </w:r>
            <w:r>
              <w:rPr>
                <w:rFonts w:hint="eastAsia"/>
                <w:kern w:val="0"/>
                <w:sz w:val="18"/>
                <w:szCs w:val="18"/>
              </w:rPr>
              <w:t>、分组汇报对实习任务的理解和计划、</w:t>
            </w:r>
            <w:r>
              <w:rPr>
                <w:kern w:val="0"/>
                <w:sz w:val="18"/>
                <w:szCs w:val="18"/>
              </w:rPr>
              <w:t>项目实操实践等</w:t>
            </w:r>
            <w:r>
              <w:rPr>
                <w:rFonts w:hint="eastAsia"/>
                <w:kern w:val="0"/>
                <w:sz w:val="18"/>
                <w:szCs w:val="18"/>
              </w:rPr>
              <w:t>方式</w:t>
            </w:r>
            <w:r>
              <w:rPr>
                <w:kern w:val="0"/>
                <w:sz w:val="18"/>
                <w:szCs w:val="18"/>
              </w:rPr>
              <w:t>达成。</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4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kern w:val="0"/>
                <w:sz w:val="18"/>
                <w:szCs w:val="18"/>
              </w:rPr>
              <w:t>2. 掌握万用表，稳压电源，信号发生器，示波器等常用仪表的操作方法，并在复杂工程问题中合理选择并使用；</w:t>
            </w:r>
          </w:p>
        </w:tc>
        <w:tc>
          <w:tcPr>
            <w:tcW w:w="23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rFonts w:hint="eastAsia"/>
                <w:kern w:val="0"/>
                <w:sz w:val="18"/>
                <w:szCs w:val="18"/>
              </w:rPr>
              <w:t>通过</w:t>
            </w:r>
            <w:r>
              <w:rPr>
                <w:kern w:val="0"/>
                <w:sz w:val="18"/>
                <w:szCs w:val="18"/>
              </w:rPr>
              <w:t>指导老师</w:t>
            </w:r>
            <w:r>
              <w:rPr>
                <w:rFonts w:hint="eastAsia"/>
                <w:kern w:val="0"/>
                <w:sz w:val="18"/>
                <w:szCs w:val="18"/>
              </w:rPr>
              <w:t>讲授常用仪器的使用方法、现场演示、指定阅读（小组成员自行分配阅读任务）、实操实践等方式达成。</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474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3. 分组完成实习任务，培养学生的团队合作意识，沟通能力，培养初步的工程设计能力和创新意识，以及严谨踏实科学的工作作风和良好的学风，提高解决实际问题的能力和素质。</w:t>
            </w:r>
          </w:p>
        </w:tc>
        <w:tc>
          <w:tcPr>
            <w:tcW w:w="23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rFonts w:hint="eastAsia"/>
                <w:kern w:val="0"/>
                <w:sz w:val="18"/>
                <w:szCs w:val="18"/>
              </w:rPr>
              <w:t>通过实操实践、分组研讨、成果展示、小组成员分工汇报等方式达成。</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实习表现、现场汇报、现场验收、</w:t>
            </w:r>
            <w:r>
              <w:rPr>
                <w:rFonts w:hint="eastAsia"/>
                <w:kern w:val="0"/>
                <w:sz w:val="18"/>
                <w:szCs w:val="18"/>
              </w:rPr>
              <w:t>实习报告、</w:t>
            </w:r>
            <w:r>
              <w:rPr>
                <w:kern w:val="0"/>
                <w:sz w:val="18"/>
                <w:szCs w:val="18"/>
              </w:rPr>
              <w:t>相关记录等原始材料考评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904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4"/>
        <w:gridCol w:w="4599"/>
        <w:gridCol w:w="3411"/>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trPr>
        <w:tc>
          <w:tcPr>
            <w:tcW w:w="594"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4599" w:type="dxa"/>
            <w:vAlign w:val="center"/>
          </w:tcPr>
          <w:p>
            <w:pPr>
              <w:snapToGrid w:val="0"/>
              <w:spacing w:line="300" w:lineRule="auto"/>
              <w:jc w:val="center"/>
              <w:rPr>
                <w:b/>
                <w:bCs/>
                <w:sz w:val="18"/>
                <w:szCs w:val="18"/>
              </w:rPr>
            </w:pPr>
            <w:r>
              <w:rPr>
                <w:b/>
                <w:bCs/>
                <w:sz w:val="18"/>
                <w:szCs w:val="18"/>
              </w:rPr>
              <w:t>教学内容与课程教学目标</w:t>
            </w:r>
          </w:p>
        </w:tc>
        <w:tc>
          <w:tcPr>
            <w:tcW w:w="3411" w:type="dxa"/>
            <w:vAlign w:val="center"/>
          </w:tcPr>
          <w:p>
            <w:pPr>
              <w:snapToGrid w:val="0"/>
              <w:spacing w:line="300" w:lineRule="auto"/>
              <w:jc w:val="center"/>
              <w:rPr>
                <w:b/>
                <w:bCs/>
                <w:sz w:val="18"/>
                <w:szCs w:val="18"/>
              </w:rPr>
            </w:pPr>
            <w:r>
              <w:rPr>
                <w:b/>
                <w:bCs/>
                <w:sz w:val="18"/>
                <w:szCs w:val="18"/>
              </w:rPr>
              <w:t>教与学的要求</w:t>
            </w:r>
          </w:p>
        </w:tc>
        <w:tc>
          <w:tcPr>
            <w:tcW w:w="445" w:type="dxa"/>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4" w:type="dxa"/>
            <w:tcMar>
              <w:left w:w="57" w:type="dxa"/>
              <w:right w:w="57" w:type="dxa"/>
            </w:tcMar>
            <w:vAlign w:val="center"/>
          </w:tcPr>
          <w:p>
            <w:pPr>
              <w:snapToGrid w:val="0"/>
              <w:spacing w:line="300" w:lineRule="auto"/>
              <w:jc w:val="center"/>
              <w:rPr>
                <w:sz w:val="18"/>
                <w:szCs w:val="18"/>
              </w:rPr>
            </w:pPr>
            <w:r>
              <w:rPr>
                <w:sz w:val="18"/>
                <w:szCs w:val="18"/>
              </w:rPr>
              <w:t>1</w:t>
            </w:r>
          </w:p>
        </w:tc>
        <w:tc>
          <w:tcPr>
            <w:tcW w:w="4599" w:type="dxa"/>
            <w:vAlign w:val="center"/>
          </w:tcPr>
          <w:p>
            <w:pPr>
              <w:numPr>
                <w:ilvl w:val="0"/>
                <w:numId w:val="79"/>
              </w:numPr>
              <w:adjustRightInd w:val="0"/>
              <w:snapToGrid w:val="0"/>
              <w:spacing w:line="300" w:lineRule="auto"/>
              <w:rPr>
                <w:bCs/>
                <w:kern w:val="0"/>
                <w:sz w:val="18"/>
                <w:szCs w:val="18"/>
              </w:rPr>
            </w:pPr>
            <w:r>
              <w:rPr>
                <w:bCs/>
                <w:kern w:val="0"/>
                <w:sz w:val="18"/>
                <w:szCs w:val="18"/>
              </w:rPr>
              <w:t>实习方式与场所要求</w:t>
            </w:r>
          </w:p>
          <w:p>
            <w:pPr>
              <w:widowControl/>
              <w:adjustRightInd w:val="0"/>
              <w:snapToGrid w:val="0"/>
              <w:spacing w:line="300" w:lineRule="auto"/>
              <w:jc w:val="left"/>
              <w:rPr>
                <w:bCs/>
                <w:kern w:val="0"/>
                <w:sz w:val="18"/>
                <w:szCs w:val="18"/>
              </w:rPr>
            </w:pPr>
            <w:r>
              <w:rPr>
                <w:bCs/>
                <w:kern w:val="0"/>
                <w:sz w:val="18"/>
                <w:szCs w:val="18"/>
              </w:rPr>
              <w:t>实习采用集中式方式在校内进行，要求实习场所具备手工制作电路板所需的打印机、过塑机、电路板腐蚀机、钻孔机等设备。同时还应具备焊接工具和相应地万用表、信号发生器、可调稳压直流电源等调试设备。实习场所还应具备良好的通风条件，在焊接时能保持室内空气清洁。</w:t>
            </w:r>
          </w:p>
          <w:p>
            <w:pPr>
              <w:adjustRightInd w:val="0"/>
              <w:snapToGrid w:val="0"/>
              <w:spacing w:line="300" w:lineRule="auto"/>
              <w:rPr>
                <w:bCs/>
                <w:sz w:val="18"/>
                <w:szCs w:val="18"/>
              </w:rPr>
            </w:pPr>
            <w:r>
              <w:rPr>
                <w:sz w:val="18"/>
                <w:szCs w:val="18"/>
              </w:rPr>
              <w:t>二、电子工艺实习内容</w:t>
            </w:r>
          </w:p>
          <w:p>
            <w:pPr>
              <w:adjustRightInd w:val="0"/>
              <w:snapToGrid w:val="0"/>
              <w:spacing w:line="300" w:lineRule="auto"/>
              <w:ind w:left="25"/>
              <w:rPr>
                <w:sz w:val="18"/>
                <w:szCs w:val="18"/>
              </w:rPr>
            </w:pPr>
            <w:r>
              <w:rPr>
                <w:sz w:val="18"/>
                <w:szCs w:val="18"/>
              </w:rPr>
              <w:t>1、实习动员，理论讲解</w:t>
            </w:r>
            <w:r>
              <w:rPr>
                <w:rFonts w:hint="eastAsia"/>
                <w:sz w:val="18"/>
                <w:szCs w:val="18"/>
              </w:rPr>
              <w:t>，分配任务，学生根据已有知识储备分组汇报实习计划和设想。</w:t>
            </w:r>
            <w:r>
              <w:rPr>
                <w:sz w:val="18"/>
                <w:szCs w:val="18"/>
              </w:rPr>
              <w:t>（第1天）[课程目标1]</w:t>
            </w:r>
          </w:p>
          <w:p>
            <w:pPr>
              <w:adjustRightInd w:val="0"/>
              <w:snapToGrid w:val="0"/>
              <w:spacing w:line="300" w:lineRule="auto"/>
              <w:ind w:left="25"/>
              <w:rPr>
                <w:sz w:val="18"/>
                <w:szCs w:val="18"/>
              </w:rPr>
            </w:pPr>
            <w:r>
              <w:rPr>
                <w:sz w:val="18"/>
                <w:szCs w:val="18"/>
              </w:rPr>
              <w:t>2、</w:t>
            </w:r>
            <w:r>
              <w:rPr>
                <w:rFonts w:hint="eastAsia"/>
                <w:sz w:val="18"/>
                <w:szCs w:val="18"/>
              </w:rPr>
              <w:t>以教师</w:t>
            </w:r>
            <w:r>
              <w:rPr>
                <w:sz w:val="18"/>
                <w:szCs w:val="18"/>
              </w:rPr>
              <w:t>集中讲解及</w:t>
            </w:r>
            <w:r>
              <w:rPr>
                <w:rFonts w:hint="eastAsia"/>
                <w:sz w:val="18"/>
                <w:szCs w:val="18"/>
              </w:rPr>
              <w:t>各组学生</w:t>
            </w:r>
            <w:r>
              <w:rPr>
                <w:sz w:val="18"/>
                <w:szCs w:val="18"/>
              </w:rPr>
              <w:t>自行学习</w:t>
            </w:r>
            <w:r>
              <w:rPr>
                <w:rFonts w:hint="eastAsia"/>
                <w:sz w:val="18"/>
                <w:szCs w:val="18"/>
              </w:rPr>
              <w:t>相结合</w:t>
            </w:r>
            <w:r>
              <w:rPr>
                <w:sz w:val="18"/>
                <w:szCs w:val="18"/>
              </w:rPr>
              <w:t>的形式，</w:t>
            </w:r>
            <w:r>
              <w:rPr>
                <w:rFonts w:hint="eastAsia"/>
                <w:sz w:val="18"/>
                <w:szCs w:val="18"/>
              </w:rPr>
              <w:t>使学生熟悉</w:t>
            </w:r>
            <w:r>
              <w:rPr>
                <w:sz w:val="18"/>
                <w:szCs w:val="18"/>
              </w:rPr>
              <w:t>电子元件识别及检测：阻容感元件的识别和检测；二极管、三极管的识别和检测；万用表的使用方法；其他常用元件的识别。（第2天）[课程目标1]</w:t>
            </w:r>
          </w:p>
          <w:p>
            <w:pPr>
              <w:adjustRightInd w:val="0"/>
              <w:snapToGrid w:val="0"/>
              <w:spacing w:line="300" w:lineRule="auto"/>
              <w:ind w:left="25"/>
              <w:rPr>
                <w:sz w:val="18"/>
                <w:szCs w:val="18"/>
              </w:rPr>
            </w:pPr>
            <w:r>
              <w:rPr>
                <w:sz w:val="18"/>
                <w:szCs w:val="18"/>
              </w:rPr>
              <w:t>3、</w:t>
            </w:r>
            <w:r>
              <w:rPr>
                <w:rFonts w:hint="eastAsia"/>
                <w:sz w:val="18"/>
                <w:szCs w:val="18"/>
              </w:rPr>
              <w:t>以教师</w:t>
            </w:r>
            <w:r>
              <w:rPr>
                <w:sz w:val="18"/>
                <w:szCs w:val="18"/>
              </w:rPr>
              <w:t>集中讲解及</w:t>
            </w:r>
            <w:r>
              <w:rPr>
                <w:rFonts w:hint="eastAsia"/>
                <w:sz w:val="18"/>
                <w:szCs w:val="18"/>
              </w:rPr>
              <w:t>各组学生</w:t>
            </w:r>
            <w:r>
              <w:rPr>
                <w:sz w:val="18"/>
                <w:szCs w:val="18"/>
              </w:rPr>
              <w:t>自行学习</w:t>
            </w:r>
            <w:r>
              <w:rPr>
                <w:rFonts w:hint="eastAsia"/>
                <w:sz w:val="18"/>
                <w:szCs w:val="18"/>
              </w:rPr>
              <w:t>相结合</w:t>
            </w:r>
            <w:r>
              <w:rPr>
                <w:sz w:val="18"/>
                <w:szCs w:val="18"/>
              </w:rPr>
              <w:t>的形式，</w:t>
            </w:r>
            <w:r>
              <w:rPr>
                <w:rFonts w:hint="eastAsia"/>
                <w:sz w:val="18"/>
                <w:szCs w:val="18"/>
              </w:rPr>
              <w:t>使学生掌握</w:t>
            </w:r>
            <w:r>
              <w:rPr>
                <w:sz w:val="18"/>
                <w:szCs w:val="18"/>
              </w:rPr>
              <w:t>常用仪器的使用：用示波器观察直流、低频、高频等几种信号；读出显示波形的幅值、频率，计算出有效值；用交流毫伏表测出信号的有效值。（第3天）[课程目标2]</w:t>
            </w:r>
          </w:p>
          <w:p>
            <w:pPr>
              <w:adjustRightInd w:val="0"/>
              <w:snapToGrid w:val="0"/>
              <w:spacing w:line="300" w:lineRule="auto"/>
              <w:ind w:left="25"/>
              <w:rPr>
                <w:sz w:val="18"/>
                <w:szCs w:val="18"/>
              </w:rPr>
            </w:pPr>
            <w:r>
              <w:rPr>
                <w:sz w:val="18"/>
                <w:szCs w:val="18"/>
              </w:rPr>
              <w:t>4、</w:t>
            </w:r>
            <w:r>
              <w:rPr>
                <w:rFonts w:hint="eastAsia"/>
                <w:sz w:val="18"/>
                <w:szCs w:val="18"/>
              </w:rPr>
              <w:t>发放拓展学习资料，各组自行分配阅读和学习任务，</w:t>
            </w:r>
            <w:r>
              <w:rPr>
                <w:sz w:val="18"/>
                <w:szCs w:val="18"/>
              </w:rPr>
              <w:t>综合运用</w:t>
            </w:r>
            <w:r>
              <w:rPr>
                <w:rFonts w:hint="eastAsia"/>
                <w:sz w:val="18"/>
                <w:szCs w:val="18"/>
              </w:rPr>
              <w:t>资料及</w:t>
            </w:r>
            <w:r>
              <w:rPr>
                <w:sz w:val="18"/>
                <w:szCs w:val="18"/>
              </w:rPr>
              <w:t>所学的知识，</w:t>
            </w:r>
            <w:r>
              <w:rPr>
                <w:rFonts w:hint="eastAsia"/>
                <w:sz w:val="18"/>
                <w:szCs w:val="18"/>
              </w:rPr>
              <w:t>分工协作完成</w:t>
            </w:r>
            <w:r>
              <w:rPr>
                <w:sz w:val="18"/>
                <w:szCs w:val="18"/>
              </w:rPr>
              <w:t>手工焊接（立方体的焊接）</w:t>
            </w:r>
            <w:r>
              <w:rPr>
                <w:rFonts w:hint="eastAsia"/>
                <w:sz w:val="18"/>
                <w:szCs w:val="18"/>
              </w:rPr>
              <w:t>、</w:t>
            </w:r>
            <w:r>
              <w:rPr>
                <w:sz w:val="18"/>
                <w:szCs w:val="18"/>
              </w:rPr>
              <w:t>表面贴装工艺（调频收音机）</w:t>
            </w:r>
            <w:r>
              <w:rPr>
                <w:rFonts w:hint="eastAsia"/>
                <w:sz w:val="18"/>
                <w:szCs w:val="18"/>
              </w:rPr>
              <w:t>和</w:t>
            </w:r>
            <w:r>
              <w:rPr>
                <w:sz w:val="18"/>
                <w:szCs w:val="18"/>
              </w:rPr>
              <w:t>万用表的组装与调试</w:t>
            </w:r>
            <w:r>
              <w:rPr>
                <w:rFonts w:hint="eastAsia"/>
                <w:sz w:val="18"/>
                <w:szCs w:val="18"/>
              </w:rPr>
              <w:t>等</w:t>
            </w:r>
            <w:r>
              <w:rPr>
                <w:sz w:val="18"/>
                <w:szCs w:val="18"/>
              </w:rPr>
              <w:t>实习内容。（第4</w:t>
            </w:r>
            <w:r>
              <w:rPr>
                <w:rFonts w:hint="eastAsia"/>
                <w:sz w:val="18"/>
                <w:szCs w:val="18"/>
              </w:rPr>
              <w:t>~</w:t>
            </w:r>
            <w:r>
              <w:rPr>
                <w:sz w:val="18"/>
                <w:szCs w:val="18"/>
              </w:rPr>
              <w:t xml:space="preserve">9天）[课程目标3] </w:t>
            </w:r>
          </w:p>
          <w:p>
            <w:pPr>
              <w:adjustRightInd w:val="0"/>
              <w:snapToGrid w:val="0"/>
              <w:spacing w:line="300" w:lineRule="auto"/>
              <w:rPr>
                <w:bCs/>
                <w:kern w:val="0"/>
                <w:sz w:val="18"/>
                <w:szCs w:val="18"/>
              </w:rPr>
            </w:pPr>
            <w:r>
              <w:rPr>
                <w:sz w:val="18"/>
                <w:szCs w:val="18"/>
              </w:rPr>
              <w:t>5、验收和总结</w:t>
            </w:r>
            <w:r>
              <w:rPr>
                <w:rFonts w:hint="eastAsia"/>
                <w:sz w:val="18"/>
                <w:szCs w:val="18"/>
              </w:rPr>
              <w:t>。</w:t>
            </w:r>
            <w:r>
              <w:rPr>
                <w:sz w:val="18"/>
                <w:szCs w:val="18"/>
              </w:rPr>
              <w:t>实习完成后，</w:t>
            </w:r>
            <w:r>
              <w:rPr>
                <w:rFonts w:hint="eastAsia"/>
                <w:sz w:val="18"/>
                <w:szCs w:val="18"/>
              </w:rPr>
              <w:t>各组进行总结和经验交流，每组指派不同的同学汇报</w:t>
            </w:r>
            <w:r>
              <w:rPr>
                <w:sz w:val="18"/>
                <w:szCs w:val="18"/>
              </w:rPr>
              <w:t>立方体焊接</w:t>
            </w:r>
            <w:r>
              <w:rPr>
                <w:rFonts w:hint="eastAsia"/>
                <w:sz w:val="18"/>
                <w:szCs w:val="18"/>
              </w:rPr>
              <w:t>和</w:t>
            </w:r>
            <w:r>
              <w:rPr>
                <w:sz w:val="18"/>
                <w:szCs w:val="18"/>
              </w:rPr>
              <w:t>贴片收音机</w:t>
            </w:r>
            <w:r>
              <w:rPr>
                <w:rFonts w:hint="eastAsia"/>
                <w:sz w:val="18"/>
                <w:szCs w:val="18"/>
              </w:rPr>
              <w:t>组装的实现步骤、工艺及遇到的问题和挑战。教</w:t>
            </w:r>
            <w:r>
              <w:rPr>
                <w:sz w:val="18"/>
                <w:szCs w:val="18"/>
              </w:rPr>
              <w:t>师</w:t>
            </w:r>
            <w:r>
              <w:rPr>
                <w:rFonts w:hint="eastAsia"/>
                <w:sz w:val="18"/>
                <w:szCs w:val="18"/>
              </w:rPr>
              <w:t>结合汇报交流情况</w:t>
            </w:r>
            <w:r>
              <w:rPr>
                <w:sz w:val="18"/>
                <w:szCs w:val="18"/>
              </w:rPr>
              <w:t>对实习进行总结，同时安排</w:t>
            </w:r>
            <w:r>
              <w:rPr>
                <w:rFonts w:hint="eastAsia"/>
                <w:sz w:val="18"/>
                <w:szCs w:val="18"/>
              </w:rPr>
              <w:t>各组同学结合自己的分工和任务撰写实习报告。</w:t>
            </w:r>
            <w:r>
              <w:rPr>
                <w:sz w:val="18"/>
                <w:szCs w:val="18"/>
              </w:rPr>
              <w:t>（第10天）[课程目标1]</w:t>
            </w:r>
          </w:p>
        </w:tc>
        <w:tc>
          <w:tcPr>
            <w:tcW w:w="3411" w:type="dxa"/>
            <w:vAlign w:val="center"/>
          </w:tcPr>
          <w:p>
            <w:pPr>
              <w:autoSpaceDE w:val="0"/>
              <w:autoSpaceDN w:val="0"/>
              <w:adjustRightInd w:val="0"/>
              <w:snapToGrid w:val="0"/>
              <w:spacing w:line="300" w:lineRule="auto"/>
              <w:jc w:val="left"/>
              <w:rPr>
                <w:bCs/>
                <w:sz w:val="18"/>
                <w:szCs w:val="18"/>
              </w:rPr>
            </w:pPr>
            <w:r>
              <w:rPr>
                <w:bCs/>
                <w:sz w:val="18"/>
                <w:szCs w:val="18"/>
              </w:rPr>
              <w:t>一、实习活动要求</w:t>
            </w:r>
          </w:p>
          <w:p>
            <w:pPr>
              <w:autoSpaceDE w:val="0"/>
              <w:autoSpaceDN w:val="0"/>
              <w:adjustRightInd w:val="0"/>
              <w:snapToGrid w:val="0"/>
              <w:ind w:firstLine="360" w:firstLineChars="200"/>
              <w:rPr>
                <w:bCs/>
                <w:sz w:val="18"/>
                <w:szCs w:val="18"/>
              </w:rPr>
            </w:pPr>
            <w:r>
              <w:rPr>
                <w:bCs/>
                <w:sz w:val="18"/>
                <w:szCs w:val="18"/>
              </w:rPr>
              <w:t>实习过程中应听从老师的安排，</w:t>
            </w:r>
            <w:r>
              <w:rPr>
                <w:rFonts w:hint="eastAsia"/>
                <w:sz w:val="18"/>
                <w:szCs w:val="18"/>
              </w:rPr>
              <w:t>教师</w:t>
            </w:r>
            <w:r>
              <w:rPr>
                <w:sz w:val="18"/>
                <w:szCs w:val="18"/>
              </w:rPr>
              <w:t>首先对实习内容进行集中讲解，告知学生</w:t>
            </w:r>
            <w:r>
              <w:rPr>
                <w:rFonts w:hint="eastAsia"/>
                <w:sz w:val="18"/>
                <w:szCs w:val="18"/>
              </w:rPr>
              <w:t>实习</w:t>
            </w:r>
            <w:r>
              <w:rPr>
                <w:sz w:val="18"/>
                <w:szCs w:val="18"/>
              </w:rPr>
              <w:t>要求</w:t>
            </w:r>
            <w:r>
              <w:rPr>
                <w:rFonts w:hint="eastAsia"/>
                <w:sz w:val="18"/>
                <w:szCs w:val="18"/>
              </w:rPr>
              <w:t>，介绍仪器</w:t>
            </w:r>
            <w:r>
              <w:rPr>
                <w:sz w:val="18"/>
                <w:szCs w:val="18"/>
              </w:rPr>
              <w:t>使用方法、</w:t>
            </w:r>
            <w:r>
              <w:rPr>
                <w:rFonts w:hint="eastAsia"/>
                <w:sz w:val="18"/>
                <w:szCs w:val="18"/>
              </w:rPr>
              <w:t>手工焊接及</w:t>
            </w:r>
            <w:r>
              <w:rPr>
                <w:sz w:val="18"/>
                <w:szCs w:val="18"/>
              </w:rPr>
              <w:t>表面贴装</w:t>
            </w:r>
            <w:r>
              <w:rPr>
                <w:rFonts w:hint="eastAsia"/>
                <w:sz w:val="18"/>
                <w:szCs w:val="18"/>
              </w:rPr>
              <w:t>工艺。学生在充分研讨的基础上，以小组为单位，分工协作</w:t>
            </w:r>
            <w:r>
              <w:rPr>
                <w:sz w:val="18"/>
                <w:szCs w:val="18"/>
              </w:rPr>
              <w:t>，最终完成满足实习要求的实物，教师在整个过程中进行相应的辅导</w:t>
            </w:r>
            <w:r>
              <w:rPr>
                <w:bCs/>
                <w:sz w:val="18"/>
                <w:szCs w:val="18"/>
              </w:rPr>
              <w:t>。</w:t>
            </w:r>
          </w:p>
          <w:p>
            <w:pPr>
              <w:autoSpaceDE w:val="0"/>
              <w:autoSpaceDN w:val="0"/>
              <w:adjustRightInd w:val="0"/>
              <w:snapToGrid w:val="0"/>
              <w:spacing w:line="300" w:lineRule="auto"/>
              <w:ind w:firstLine="360" w:firstLineChars="200"/>
              <w:jc w:val="left"/>
              <w:rPr>
                <w:bCs/>
                <w:sz w:val="18"/>
                <w:szCs w:val="18"/>
              </w:rPr>
            </w:pPr>
            <w:r>
              <w:rPr>
                <w:bCs/>
                <w:sz w:val="18"/>
                <w:szCs w:val="18"/>
              </w:rPr>
              <w:t>在表面贴装工艺实习及万用表焊接调试过程中应严格遵守操作安全规范。尤其应注意以下几点：1、收音机贴片安装时，由于场地和上锡膏模具有限，</w:t>
            </w:r>
            <w:r>
              <w:rPr>
                <w:rFonts w:hint="eastAsia"/>
                <w:bCs/>
                <w:sz w:val="18"/>
                <w:szCs w:val="18"/>
              </w:rPr>
              <w:t>学生</w:t>
            </w:r>
            <w:r>
              <w:rPr>
                <w:bCs/>
                <w:sz w:val="18"/>
                <w:szCs w:val="18"/>
              </w:rPr>
              <w:t>需按照10-15人的规模分组。2．根据线路原理图组装收音机和万用表的电子元器件并进行电器调试。3、焊接时应将电烙铁摆放到合适位置，避免烫伤人员及电线而引发事故。</w:t>
            </w:r>
          </w:p>
          <w:p>
            <w:pPr>
              <w:widowControl/>
              <w:tabs>
                <w:tab w:val="left" w:pos="426"/>
                <w:tab w:val="left" w:pos="5245"/>
                <w:tab w:val="left" w:pos="5387"/>
              </w:tabs>
              <w:adjustRightInd w:val="0"/>
              <w:snapToGrid w:val="0"/>
              <w:spacing w:line="300" w:lineRule="auto"/>
              <w:rPr>
                <w:sz w:val="18"/>
                <w:szCs w:val="18"/>
              </w:rPr>
            </w:pPr>
            <w:r>
              <w:rPr>
                <w:kern w:val="0"/>
                <w:sz w:val="18"/>
                <w:szCs w:val="18"/>
              </w:rPr>
              <w:t>二、</w:t>
            </w:r>
            <w:r>
              <w:rPr>
                <w:sz w:val="18"/>
                <w:szCs w:val="18"/>
              </w:rPr>
              <w:t>实习日志、实习报告撰写的要求</w:t>
            </w:r>
          </w:p>
          <w:p>
            <w:pPr>
              <w:adjustRightInd w:val="0"/>
              <w:snapToGrid w:val="0"/>
              <w:ind w:firstLine="360" w:firstLineChars="200"/>
              <w:rPr>
                <w:bCs/>
                <w:sz w:val="18"/>
                <w:szCs w:val="18"/>
              </w:rPr>
            </w:pPr>
            <w:r>
              <w:rPr>
                <w:bCs/>
                <w:sz w:val="18"/>
                <w:szCs w:val="18"/>
              </w:rPr>
              <w:t>实习日志要</w:t>
            </w:r>
            <w:r>
              <w:rPr>
                <w:rFonts w:hint="eastAsia"/>
                <w:bCs/>
                <w:sz w:val="18"/>
                <w:szCs w:val="18"/>
              </w:rPr>
              <w:t>每日一篇，要求包含</w:t>
            </w:r>
            <w:r>
              <w:rPr>
                <w:bCs/>
                <w:sz w:val="18"/>
                <w:szCs w:val="18"/>
              </w:rPr>
              <w:t>实习内容</w:t>
            </w:r>
            <w:r>
              <w:rPr>
                <w:rFonts w:hint="eastAsia"/>
                <w:bCs/>
                <w:sz w:val="18"/>
                <w:szCs w:val="18"/>
              </w:rPr>
              <w:t>、</w:t>
            </w:r>
            <w:r>
              <w:rPr>
                <w:bCs/>
                <w:sz w:val="18"/>
                <w:szCs w:val="18"/>
              </w:rPr>
              <w:t>实习目的和要求</w:t>
            </w:r>
            <w:r>
              <w:rPr>
                <w:rFonts w:hint="eastAsia"/>
                <w:bCs/>
                <w:sz w:val="18"/>
                <w:szCs w:val="18"/>
              </w:rPr>
              <w:t>、</w:t>
            </w:r>
            <w:r>
              <w:rPr>
                <w:bCs/>
                <w:sz w:val="18"/>
                <w:szCs w:val="18"/>
              </w:rPr>
              <w:t>实习完成情况</w:t>
            </w:r>
            <w:r>
              <w:rPr>
                <w:rFonts w:hint="eastAsia"/>
                <w:bCs/>
                <w:sz w:val="18"/>
                <w:szCs w:val="18"/>
              </w:rPr>
              <w:t>、自身在团队中的分工、</w:t>
            </w:r>
            <w:r>
              <w:rPr>
                <w:bCs/>
                <w:sz w:val="18"/>
                <w:szCs w:val="18"/>
              </w:rPr>
              <w:t>收获与体会</w:t>
            </w:r>
            <w:r>
              <w:rPr>
                <w:rFonts w:hint="eastAsia"/>
                <w:bCs/>
                <w:sz w:val="18"/>
                <w:szCs w:val="18"/>
              </w:rPr>
              <w:t>等内容</w:t>
            </w:r>
            <w:r>
              <w:rPr>
                <w:bCs/>
                <w:sz w:val="18"/>
                <w:szCs w:val="18"/>
              </w:rPr>
              <w:t>，指导老师要认真</w:t>
            </w:r>
            <w:r>
              <w:rPr>
                <w:rFonts w:hint="eastAsia"/>
                <w:bCs/>
                <w:sz w:val="18"/>
                <w:szCs w:val="18"/>
              </w:rPr>
              <w:t>审核</w:t>
            </w:r>
            <w:r>
              <w:rPr>
                <w:bCs/>
                <w:sz w:val="18"/>
                <w:szCs w:val="18"/>
              </w:rPr>
              <w:t>。</w:t>
            </w:r>
          </w:p>
          <w:p>
            <w:pPr>
              <w:widowControl/>
              <w:adjustRightInd w:val="0"/>
              <w:snapToGrid w:val="0"/>
              <w:spacing w:line="300" w:lineRule="auto"/>
              <w:ind w:firstLine="360" w:firstLineChars="200"/>
              <w:jc w:val="left"/>
              <w:rPr>
                <w:sz w:val="18"/>
                <w:szCs w:val="18"/>
              </w:rPr>
            </w:pPr>
            <w:r>
              <w:rPr>
                <w:bCs/>
                <w:sz w:val="18"/>
                <w:szCs w:val="18"/>
              </w:rPr>
              <w:t>实习报告包括实习内容、实习目的、实习步骤、问题分析、实习体会等部分。要求实事求是，忠实的记录实习步骤；认真思考和分析实习中出现的各种问题；真切的写出实习体会并结合自身情况为提高实习效果提出自己的建议。</w:t>
            </w:r>
          </w:p>
        </w:tc>
        <w:tc>
          <w:tcPr>
            <w:tcW w:w="445" w:type="dxa"/>
            <w:vAlign w:val="center"/>
          </w:tcPr>
          <w:p>
            <w:pPr>
              <w:snapToGrid w:val="0"/>
              <w:spacing w:line="300" w:lineRule="auto"/>
              <w:rPr>
                <w:sz w:val="18"/>
                <w:szCs w:val="18"/>
              </w:rPr>
            </w:pPr>
            <w:r>
              <w:rPr>
                <w:kern w:val="0"/>
                <w:sz w:val="18"/>
                <w:szCs w:val="18"/>
              </w:rPr>
              <w:t>2周</w:t>
            </w:r>
          </w:p>
        </w:tc>
      </w:tr>
    </w:tbl>
    <w:p>
      <w:pPr>
        <w:snapToGrid w:val="0"/>
        <w:spacing w:before="159" w:beforeLines="50" w:after="159" w:afterLines="50" w:line="300" w:lineRule="auto"/>
        <w:rPr>
          <w:b/>
          <w:sz w:val="24"/>
        </w:rPr>
      </w:pPr>
      <w:r>
        <w:rPr>
          <w:b/>
          <w:sz w:val="24"/>
        </w:rPr>
        <w:t>五、课程考核及成绩评定</w:t>
      </w:r>
    </w:p>
    <w:p>
      <w:pPr>
        <w:widowControl/>
        <w:snapToGrid w:val="0"/>
        <w:spacing w:line="300" w:lineRule="auto"/>
        <w:ind w:firstLine="422" w:firstLineChars="200"/>
        <w:jc w:val="left"/>
        <w:rPr>
          <w:b/>
          <w:bCs/>
          <w:kern w:val="0"/>
          <w:szCs w:val="21"/>
        </w:rPr>
      </w:pPr>
      <w:r>
        <w:rPr>
          <w:b/>
          <w:bCs/>
          <w:kern w:val="0"/>
          <w:szCs w:val="21"/>
        </w:rPr>
        <w:t>1.考核方式</w:t>
      </w:r>
    </w:p>
    <w:p>
      <w:pPr>
        <w:snapToGrid w:val="0"/>
        <w:spacing w:line="300" w:lineRule="auto"/>
        <w:ind w:firstLine="525" w:firstLineChars="250"/>
        <w:rPr>
          <w:b/>
          <w:bCs/>
          <w:szCs w:val="21"/>
        </w:rPr>
      </w:pPr>
      <w:r>
        <w:t>考查。</w:t>
      </w:r>
    </w:p>
    <w:p>
      <w:pPr>
        <w:widowControl/>
        <w:snapToGrid w:val="0"/>
        <w:spacing w:line="300" w:lineRule="auto"/>
        <w:ind w:firstLine="422" w:firstLineChars="200"/>
        <w:jc w:val="left"/>
        <w:rPr>
          <w:kern w:val="0"/>
          <w:szCs w:val="21"/>
        </w:rPr>
      </w:pPr>
      <w:r>
        <w:rPr>
          <w:b/>
          <w:bCs/>
          <w:kern w:val="0"/>
          <w:szCs w:val="21"/>
        </w:rPr>
        <w:t>2.成绩评定</w:t>
      </w:r>
    </w:p>
    <w:p>
      <w:pPr>
        <w:snapToGrid w:val="0"/>
        <w:spacing w:line="300" w:lineRule="auto"/>
        <w:ind w:firstLine="420" w:firstLineChars="200"/>
      </w:pPr>
      <w:r>
        <w:t>成绩评定方式为综合考核方式的各项评分，给出总评成绩，学期末依据总评成绩评定对应考核等级：优秀：90-100分；良好：80-89分；中等：70-79分及格：60-69分；不及格：60分以下。</w:t>
      </w:r>
    </w:p>
    <w:p>
      <w:pPr>
        <w:snapToGrid w:val="0"/>
        <w:spacing w:line="300" w:lineRule="auto"/>
        <w:ind w:firstLine="420" w:firstLineChars="200"/>
      </w:pPr>
      <w:r>
        <w:t>总成绩=实习表现（10%）+实习作品（70%）+实习文档（20%）</w:t>
      </w:r>
    </w:p>
    <w:p>
      <w:pPr>
        <w:snapToGrid w:val="0"/>
        <w:spacing w:line="300" w:lineRule="auto"/>
        <w:ind w:firstLine="420" w:firstLineChars="200"/>
      </w:pPr>
      <w:r>
        <w:t>每部分具体构成如下所示：</w:t>
      </w:r>
    </w:p>
    <w:p>
      <w:pPr>
        <w:autoSpaceDE w:val="0"/>
        <w:autoSpaceDN w:val="0"/>
        <w:snapToGrid w:val="0"/>
        <w:spacing w:line="300" w:lineRule="auto"/>
        <w:ind w:firstLine="525" w:firstLineChars="250"/>
      </w:pPr>
      <w:r>
        <w:t>1）实习过程中的表现（占总评成绩10%）：依据实习过程</w:t>
      </w:r>
      <w:r>
        <w:rPr>
          <w:rFonts w:hint="eastAsia"/>
        </w:rPr>
        <w:t>中在团队中的沟通能力、全局性、配合程度、协调性、逻辑思维能力等表现给出评分</w:t>
      </w:r>
      <w:r>
        <w:t>。2）实习作品完成的质量（占总评成绩70%）：依据电子工艺，现场</w:t>
      </w:r>
      <w:r>
        <w:rPr>
          <w:rFonts w:hint="eastAsia"/>
        </w:rPr>
        <w:t>分组汇报及</w:t>
      </w:r>
      <w:r>
        <w:t xml:space="preserve">验收演示的结果，给出评分，立方体15%，万用表30%，收音机25%。 </w:t>
      </w:r>
    </w:p>
    <w:p>
      <w:pPr>
        <w:snapToGrid w:val="0"/>
        <w:spacing w:line="300" w:lineRule="auto"/>
        <w:ind w:firstLine="420" w:firstLineChars="200"/>
      </w:pPr>
      <w:r>
        <w:t>3）相关文档撰写的质量（占总评成绩20%）：依据是否按时完成、撰写是否规范、内容是否详实给出评分。</w:t>
      </w:r>
    </w:p>
    <w:p>
      <w:pPr>
        <w:snapToGrid w:val="0"/>
        <w:spacing w:line="300" w:lineRule="auto"/>
        <w:ind w:firstLine="420" w:firstLineChars="200"/>
      </w:pPr>
      <w:r>
        <w:t>（1）实习日志要每天填写一篇，共 10 篇，</w:t>
      </w:r>
      <w:r>
        <w:rPr>
          <w:rFonts w:hint="eastAsia"/>
        </w:rPr>
        <w:t>包含</w:t>
      </w:r>
      <w:r>
        <w:t>实习内容，实习目的和要求，实习完成情况，</w:t>
      </w:r>
      <w:r>
        <w:rPr>
          <w:rFonts w:hint="eastAsia"/>
        </w:rPr>
        <w:t>自身在团队中的分工、</w:t>
      </w:r>
      <w:r>
        <w:t>收获与体会</w:t>
      </w:r>
      <w:r>
        <w:rPr>
          <w:rFonts w:hint="eastAsia"/>
        </w:rPr>
        <w:t>等内容。</w:t>
      </w:r>
      <w:r>
        <w:t>（2）实习报告（总结）的内容。总结报告字数要求 3000 字左右。内容包括。</w:t>
      </w:r>
      <w:r>
        <w:rPr>
          <w:rFonts w:hint="eastAsia" w:ascii="宋体" w:hAnsi="宋体" w:cs="宋体"/>
        </w:rPr>
        <w:t>①</w:t>
      </w:r>
      <w:r>
        <w:t>时间、地点、 描述；</w:t>
      </w:r>
      <w:r>
        <w:rPr>
          <w:rFonts w:hint="eastAsia" w:ascii="宋体" w:hAnsi="宋体" w:cs="宋体"/>
        </w:rPr>
        <w:t>②</w:t>
      </w:r>
      <w:r>
        <w:t>所实习单位的情况概述；</w:t>
      </w:r>
      <w:r>
        <w:rPr>
          <w:rFonts w:hint="eastAsia" w:ascii="宋体" w:hAnsi="宋体" w:cs="宋体"/>
        </w:rPr>
        <w:t>③</w:t>
      </w:r>
      <w:r>
        <w:t>实习过程及实习内容的叙述；</w:t>
      </w:r>
      <w:r>
        <w:rPr>
          <w:rFonts w:hint="eastAsia" w:ascii="宋体" w:hAnsi="宋体" w:cs="宋体"/>
        </w:rPr>
        <w:t>④</w:t>
      </w:r>
      <w:r>
        <w:t>收获</w:t>
      </w:r>
      <w:r>
        <w:rPr>
          <w:rFonts w:hint="eastAsia"/>
        </w:rPr>
        <w:t>（包含团队合作能力方面）</w:t>
      </w:r>
      <w:r>
        <w:t>、体会，学校教学与实际的差距，改进方向、内容与方法；</w:t>
      </w:r>
      <w:r>
        <w:rPr>
          <w:rFonts w:hint="eastAsia" w:ascii="宋体" w:hAnsi="宋体" w:cs="宋体"/>
        </w:rPr>
        <w:t>⑤</w:t>
      </w:r>
      <w:r>
        <w:t>不足、建议、教训。</w:t>
      </w:r>
    </w:p>
    <w:p>
      <w:pPr>
        <w:snapToGrid w:val="0"/>
        <w:spacing w:line="300" w:lineRule="auto"/>
        <w:ind w:firstLine="422" w:firstLineChars="200"/>
        <w:rPr>
          <w:b/>
          <w:szCs w:val="21"/>
        </w:rPr>
      </w:pPr>
      <w:r>
        <w:rPr>
          <w:b/>
          <w:szCs w:val="21"/>
        </w:rPr>
        <w:t>3.考核评价标准：</w:t>
      </w:r>
    </w:p>
    <w:p>
      <w:pPr>
        <w:snapToGrid w:val="0"/>
        <w:spacing w:line="300" w:lineRule="auto"/>
        <w:ind w:firstLine="420" w:firstLineChars="200"/>
        <w:rPr>
          <w:szCs w:val="21"/>
        </w:rPr>
      </w:pPr>
      <w:r>
        <w:t>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9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646"/>
        <w:gridCol w:w="741"/>
        <w:gridCol w:w="740"/>
        <w:gridCol w:w="4875"/>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86" w:type="dxa"/>
            <w:vAlign w:val="center"/>
          </w:tcPr>
          <w:p>
            <w:pPr>
              <w:jc w:val="center"/>
              <w:rPr>
                <w:b/>
                <w:bCs/>
                <w:sz w:val="18"/>
                <w:szCs w:val="18"/>
              </w:rPr>
            </w:pPr>
            <w:r>
              <w:rPr>
                <w:b/>
                <w:bCs/>
                <w:sz w:val="18"/>
                <w:szCs w:val="18"/>
              </w:rPr>
              <w:t>成绩</w:t>
            </w:r>
          </w:p>
          <w:p>
            <w:pPr>
              <w:jc w:val="center"/>
              <w:rPr>
                <w:b/>
                <w:bCs/>
                <w:sz w:val="18"/>
                <w:szCs w:val="18"/>
              </w:rPr>
            </w:pPr>
            <w:r>
              <w:rPr>
                <w:b/>
                <w:bCs/>
                <w:sz w:val="18"/>
                <w:szCs w:val="18"/>
              </w:rPr>
              <w:t>类型</w:t>
            </w:r>
          </w:p>
        </w:tc>
        <w:tc>
          <w:tcPr>
            <w:tcW w:w="646" w:type="dxa"/>
            <w:vAlign w:val="center"/>
          </w:tcPr>
          <w:p>
            <w:pPr>
              <w:jc w:val="center"/>
              <w:rPr>
                <w:b/>
                <w:bCs/>
                <w:sz w:val="18"/>
                <w:szCs w:val="18"/>
              </w:rPr>
            </w:pPr>
            <w:r>
              <w:rPr>
                <w:b/>
                <w:bCs/>
                <w:sz w:val="18"/>
                <w:szCs w:val="18"/>
              </w:rPr>
              <w:t>分值</w:t>
            </w:r>
          </w:p>
        </w:tc>
        <w:tc>
          <w:tcPr>
            <w:tcW w:w="741" w:type="dxa"/>
            <w:vAlign w:val="center"/>
          </w:tcPr>
          <w:p>
            <w:pPr>
              <w:jc w:val="center"/>
              <w:rPr>
                <w:b/>
                <w:bCs/>
                <w:sz w:val="18"/>
                <w:szCs w:val="18"/>
              </w:rPr>
            </w:pPr>
            <w:r>
              <w:rPr>
                <w:b/>
                <w:bCs/>
                <w:sz w:val="18"/>
                <w:szCs w:val="18"/>
              </w:rPr>
              <w:t>权重</w:t>
            </w:r>
          </w:p>
        </w:tc>
        <w:tc>
          <w:tcPr>
            <w:tcW w:w="740" w:type="dxa"/>
            <w:vAlign w:val="center"/>
          </w:tcPr>
          <w:p>
            <w:pPr>
              <w:jc w:val="center"/>
              <w:rPr>
                <w:b/>
                <w:bCs/>
                <w:sz w:val="18"/>
                <w:szCs w:val="18"/>
              </w:rPr>
            </w:pPr>
            <w:r>
              <w:rPr>
                <w:b/>
                <w:bCs/>
                <w:sz w:val="18"/>
                <w:szCs w:val="18"/>
              </w:rPr>
              <w:t>类别</w:t>
            </w:r>
          </w:p>
        </w:tc>
        <w:tc>
          <w:tcPr>
            <w:tcW w:w="4875" w:type="dxa"/>
            <w:vAlign w:val="center"/>
          </w:tcPr>
          <w:p>
            <w:pPr>
              <w:jc w:val="center"/>
              <w:rPr>
                <w:b/>
                <w:bCs/>
                <w:sz w:val="18"/>
                <w:szCs w:val="18"/>
              </w:rPr>
            </w:pPr>
            <w:r>
              <w:rPr>
                <w:b/>
                <w:bCs/>
                <w:sz w:val="18"/>
                <w:szCs w:val="18"/>
              </w:rPr>
              <w:t>考核/评价细则</w:t>
            </w:r>
          </w:p>
        </w:tc>
        <w:tc>
          <w:tcPr>
            <w:tcW w:w="993" w:type="dxa"/>
            <w:vAlign w:val="center"/>
          </w:tcPr>
          <w:p>
            <w:pPr>
              <w:jc w:val="center"/>
              <w:rPr>
                <w:b/>
                <w:bCs/>
                <w:sz w:val="18"/>
                <w:szCs w:val="18"/>
              </w:rPr>
            </w:pPr>
            <w:r>
              <w:rPr>
                <w:b/>
                <w:bCs/>
                <w:sz w:val="18"/>
                <w:szCs w:val="18"/>
              </w:rPr>
              <w:t>课程目标</w:t>
            </w:r>
          </w:p>
        </w:tc>
        <w:tc>
          <w:tcPr>
            <w:tcW w:w="993" w:type="dxa"/>
          </w:tcPr>
          <w:p>
            <w:pPr>
              <w:jc w:val="center"/>
              <w:rPr>
                <w:b/>
                <w:bCs/>
                <w:sz w:val="18"/>
                <w:szCs w:val="18"/>
              </w:rPr>
            </w:pPr>
            <w:r>
              <w:rPr>
                <w:rFonts w:hint="eastAsia"/>
                <w:b/>
                <w:bCs/>
                <w:sz w:val="18"/>
                <w:szCs w:val="18"/>
              </w:rPr>
              <w:t>毕业</w:t>
            </w:r>
            <w:r>
              <w:rPr>
                <w:b/>
                <w:bCs/>
                <w:sz w:val="18"/>
                <w:szCs w:val="18"/>
              </w:rPr>
              <w:t>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rPr>
                <w:sz w:val="18"/>
                <w:szCs w:val="18"/>
              </w:rPr>
            </w:pPr>
            <w:r>
              <w:rPr>
                <w:sz w:val="18"/>
                <w:szCs w:val="18"/>
              </w:rPr>
              <w:t>实习</w:t>
            </w:r>
          </w:p>
          <w:p>
            <w:pPr>
              <w:rPr>
                <w:sz w:val="18"/>
                <w:szCs w:val="18"/>
              </w:rPr>
            </w:pPr>
            <w:r>
              <w:rPr>
                <w:sz w:val="18"/>
                <w:szCs w:val="18"/>
              </w:rPr>
              <w:t>表现</w:t>
            </w:r>
          </w:p>
        </w:tc>
        <w:tc>
          <w:tcPr>
            <w:tcW w:w="646" w:type="dxa"/>
            <w:vAlign w:val="center"/>
          </w:tcPr>
          <w:p>
            <w:pPr>
              <w:jc w:val="center"/>
              <w:rPr>
                <w:sz w:val="18"/>
                <w:szCs w:val="18"/>
              </w:rPr>
            </w:pPr>
            <w:r>
              <w:rPr>
                <w:sz w:val="18"/>
                <w:szCs w:val="18"/>
              </w:rPr>
              <w:t>100</w:t>
            </w:r>
          </w:p>
        </w:tc>
        <w:tc>
          <w:tcPr>
            <w:tcW w:w="741" w:type="dxa"/>
            <w:vAlign w:val="center"/>
          </w:tcPr>
          <w:p>
            <w:pPr>
              <w:jc w:val="center"/>
              <w:rPr>
                <w:sz w:val="18"/>
                <w:szCs w:val="18"/>
              </w:rPr>
            </w:pPr>
            <w:r>
              <w:rPr>
                <w:sz w:val="18"/>
                <w:szCs w:val="18"/>
              </w:rPr>
              <w:t>0.1</w:t>
            </w:r>
          </w:p>
        </w:tc>
        <w:tc>
          <w:tcPr>
            <w:tcW w:w="740" w:type="dxa"/>
            <w:vAlign w:val="center"/>
          </w:tcPr>
          <w:p>
            <w:pPr>
              <w:jc w:val="center"/>
              <w:rPr>
                <w:sz w:val="18"/>
                <w:szCs w:val="18"/>
              </w:rPr>
            </w:pPr>
            <w:r>
              <w:rPr>
                <w:sz w:val="18"/>
                <w:szCs w:val="18"/>
              </w:rPr>
              <w:t>实习表现</w:t>
            </w:r>
          </w:p>
        </w:tc>
        <w:tc>
          <w:tcPr>
            <w:tcW w:w="4875" w:type="dxa"/>
            <w:vAlign w:val="center"/>
          </w:tcPr>
          <w:p>
            <w:pPr>
              <w:ind w:firstLine="360" w:firstLineChars="200"/>
              <w:rPr>
                <w:sz w:val="18"/>
                <w:szCs w:val="18"/>
              </w:rPr>
            </w:pPr>
            <w:r>
              <w:rPr>
                <w:sz w:val="18"/>
                <w:szCs w:val="18"/>
              </w:rPr>
              <w:t>根据实习过程中的考勤、遵守实验室规则制度</w:t>
            </w:r>
            <w:r>
              <w:rPr>
                <w:rFonts w:hint="eastAsia"/>
                <w:sz w:val="18"/>
                <w:szCs w:val="18"/>
              </w:rPr>
              <w:t>，团队协作时是否对设计任务正确理解、是否虚心接受他人意见和建议、是否积极配合有效完成辅助工作、是否从团队利益出发、是否和组内外成员有效沟通、是否清晰表达和讨论汇报有关问题等方面</w:t>
            </w:r>
            <w:r>
              <w:rPr>
                <w:sz w:val="18"/>
                <w:szCs w:val="18"/>
              </w:rPr>
              <w:t>给出评分。</w:t>
            </w:r>
          </w:p>
        </w:tc>
        <w:tc>
          <w:tcPr>
            <w:tcW w:w="993" w:type="dxa"/>
            <w:vAlign w:val="center"/>
          </w:tcPr>
          <w:p>
            <w:pPr>
              <w:jc w:val="center"/>
              <w:rPr>
                <w:sz w:val="18"/>
                <w:szCs w:val="18"/>
              </w:rPr>
            </w:pPr>
            <w:r>
              <w:rPr>
                <w:sz w:val="18"/>
                <w:szCs w:val="18"/>
              </w:rPr>
              <w:t>1，2</w:t>
            </w:r>
          </w:p>
        </w:tc>
        <w:tc>
          <w:tcPr>
            <w:tcW w:w="993" w:type="dxa"/>
            <w:vAlign w:val="center"/>
          </w:tcPr>
          <w:p>
            <w:pPr>
              <w:jc w:val="center"/>
              <w:rPr>
                <w:sz w:val="18"/>
                <w:szCs w:val="18"/>
              </w:rPr>
            </w:pPr>
            <w:r>
              <w:rPr>
                <w:rFonts w:hint="eastAsia"/>
                <w:sz w:val="18"/>
                <w:szCs w:val="18"/>
              </w:rPr>
              <w:t>2.</w:t>
            </w:r>
            <w:r>
              <w:rPr>
                <w:sz w:val="18"/>
                <w:szCs w:val="18"/>
              </w:rPr>
              <w:t>3</w:t>
            </w:r>
            <w:r>
              <w:rPr>
                <w:rFonts w:hint="eastAsia"/>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686" w:type="dxa"/>
            <w:vAlign w:val="center"/>
          </w:tcPr>
          <w:p>
            <w:pPr>
              <w:rPr>
                <w:sz w:val="18"/>
                <w:szCs w:val="18"/>
              </w:rPr>
            </w:pPr>
            <w:r>
              <w:rPr>
                <w:sz w:val="18"/>
                <w:szCs w:val="18"/>
              </w:rPr>
              <w:t>实习</w:t>
            </w:r>
          </w:p>
          <w:p>
            <w:pPr>
              <w:rPr>
                <w:sz w:val="18"/>
                <w:szCs w:val="18"/>
              </w:rPr>
            </w:pPr>
            <w:r>
              <w:rPr>
                <w:sz w:val="18"/>
                <w:szCs w:val="18"/>
              </w:rPr>
              <w:t>作品</w:t>
            </w:r>
          </w:p>
        </w:tc>
        <w:tc>
          <w:tcPr>
            <w:tcW w:w="646" w:type="dxa"/>
            <w:vAlign w:val="center"/>
          </w:tcPr>
          <w:p>
            <w:pPr>
              <w:jc w:val="center"/>
              <w:rPr>
                <w:sz w:val="18"/>
                <w:szCs w:val="18"/>
              </w:rPr>
            </w:pPr>
            <w:r>
              <w:rPr>
                <w:sz w:val="18"/>
                <w:szCs w:val="18"/>
              </w:rPr>
              <w:t>100</w:t>
            </w:r>
          </w:p>
        </w:tc>
        <w:tc>
          <w:tcPr>
            <w:tcW w:w="741" w:type="dxa"/>
            <w:vAlign w:val="center"/>
          </w:tcPr>
          <w:p>
            <w:pPr>
              <w:jc w:val="center"/>
              <w:rPr>
                <w:sz w:val="18"/>
                <w:szCs w:val="18"/>
              </w:rPr>
            </w:pPr>
            <w:r>
              <w:rPr>
                <w:sz w:val="18"/>
                <w:szCs w:val="18"/>
              </w:rPr>
              <w:t>0.7</w:t>
            </w:r>
          </w:p>
        </w:tc>
        <w:tc>
          <w:tcPr>
            <w:tcW w:w="740" w:type="dxa"/>
            <w:vAlign w:val="center"/>
          </w:tcPr>
          <w:p>
            <w:pPr>
              <w:rPr>
                <w:sz w:val="18"/>
                <w:szCs w:val="18"/>
              </w:rPr>
            </w:pPr>
            <w:r>
              <w:rPr>
                <w:sz w:val="18"/>
                <w:szCs w:val="18"/>
              </w:rPr>
              <w:t>实操</w:t>
            </w:r>
          </w:p>
        </w:tc>
        <w:tc>
          <w:tcPr>
            <w:tcW w:w="4875" w:type="dxa"/>
            <w:vAlign w:val="center"/>
          </w:tcPr>
          <w:p>
            <w:pPr>
              <w:ind w:firstLine="360" w:firstLineChars="200"/>
              <w:rPr>
                <w:sz w:val="18"/>
                <w:szCs w:val="18"/>
              </w:rPr>
            </w:pPr>
            <w:r>
              <w:rPr>
                <w:sz w:val="18"/>
                <w:szCs w:val="18"/>
              </w:rPr>
              <w:t>依据电子工艺和现场实物的验收演示的结果</w:t>
            </w:r>
            <w:r>
              <w:rPr>
                <w:rFonts w:hint="eastAsia"/>
                <w:sz w:val="18"/>
                <w:szCs w:val="18"/>
              </w:rPr>
              <w:t>及小组研讨汇报情况</w:t>
            </w:r>
            <w:r>
              <w:rPr>
                <w:sz w:val="18"/>
                <w:szCs w:val="18"/>
              </w:rPr>
              <w:t>，给出评分，立方体15%，万用表30%，收音机25%。</w:t>
            </w:r>
          </w:p>
        </w:tc>
        <w:tc>
          <w:tcPr>
            <w:tcW w:w="993" w:type="dxa"/>
            <w:vAlign w:val="center"/>
          </w:tcPr>
          <w:p>
            <w:pPr>
              <w:jc w:val="center"/>
              <w:rPr>
                <w:sz w:val="18"/>
                <w:szCs w:val="18"/>
              </w:rPr>
            </w:pPr>
            <w:r>
              <w:rPr>
                <w:sz w:val="18"/>
                <w:szCs w:val="18"/>
              </w:rPr>
              <w:t>2，3</w:t>
            </w:r>
          </w:p>
        </w:tc>
        <w:tc>
          <w:tcPr>
            <w:tcW w:w="993" w:type="dxa"/>
            <w:vAlign w:val="center"/>
          </w:tcPr>
          <w:p>
            <w:pPr>
              <w:jc w:val="center"/>
              <w:rPr>
                <w:sz w:val="18"/>
                <w:szCs w:val="18"/>
              </w:rPr>
            </w:pPr>
            <w:r>
              <w:rPr>
                <w:rFonts w:hint="eastAsia"/>
                <w:sz w:val="18"/>
                <w:szCs w:val="18"/>
              </w:rPr>
              <w:t>5.1，9.2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686" w:type="dxa"/>
            <w:vAlign w:val="center"/>
          </w:tcPr>
          <w:p>
            <w:pPr>
              <w:rPr>
                <w:sz w:val="18"/>
                <w:szCs w:val="18"/>
              </w:rPr>
            </w:pPr>
            <w:r>
              <w:rPr>
                <w:sz w:val="18"/>
                <w:szCs w:val="18"/>
              </w:rPr>
              <w:t>实习</w:t>
            </w:r>
          </w:p>
          <w:p>
            <w:pPr>
              <w:rPr>
                <w:sz w:val="18"/>
                <w:szCs w:val="18"/>
              </w:rPr>
            </w:pPr>
            <w:r>
              <w:rPr>
                <w:sz w:val="18"/>
                <w:szCs w:val="18"/>
              </w:rPr>
              <w:t>文档</w:t>
            </w:r>
          </w:p>
        </w:tc>
        <w:tc>
          <w:tcPr>
            <w:tcW w:w="646" w:type="dxa"/>
            <w:vAlign w:val="center"/>
          </w:tcPr>
          <w:p>
            <w:pPr>
              <w:jc w:val="center"/>
              <w:rPr>
                <w:sz w:val="18"/>
                <w:szCs w:val="18"/>
              </w:rPr>
            </w:pPr>
            <w:r>
              <w:rPr>
                <w:sz w:val="18"/>
                <w:szCs w:val="18"/>
              </w:rPr>
              <w:t>100</w:t>
            </w:r>
          </w:p>
        </w:tc>
        <w:tc>
          <w:tcPr>
            <w:tcW w:w="741" w:type="dxa"/>
            <w:vAlign w:val="center"/>
          </w:tcPr>
          <w:p>
            <w:pPr>
              <w:jc w:val="center"/>
              <w:rPr>
                <w:sz w:val="18"/>
                <w:szCs w:val="18"/>
              </w:rPr>
            </w:pPr>
            <w:r>
              <w:rPr>
                <w:sz w:val="18"/>
                <w:szCs w:val="18"/>
              </w:rPr>
              <w:t>0.2</w:t>
            </w:r>
          </w:p>
        </w:tc>
        <w:tc>
          <w:tcPr>
            <w:tcW w:w="740" w:type="dxa"/>
            <w:vAlign w:val="center"/>
          </w:tcPr>
          <w:p>
            <w:pPr>
              <w:rPr>
                <w:sz w:val="18"/>
                <w:szCs w:val="18"/>
              </w:rPr>
            </w:pPr>
            <w:r>
              <w:rPr>
                <w:sz w:val="18"/>
                <w:szCs w:val="18"/>
              </w:rPr>
              <w:t>报告和日志</w:t>
            </w:r>
          </w:p>
        </w:tc>
        <w:tc>
          <w:tcPr>
            <w:tcW w:w="4875" w:type="dxa"/>
            <w:vAlign w:val="center"/>
          </w:tcPr>
          <w:p>
            <w:pPr>
              <w:snapToGrid w:val="0"/>
              <w:spacing w:line="300" w:lineRule="auto"/>
              <w:ind w:firstLine="360" w:firstLineChars="200"/>
              <w:rPr>
                <w:sz w:val="18"/>
                <w:szCs w:val="18"/>
              </w:rPr>
            </w:pPr>
            <w:r>
              <w:rPr>
                <w:sz w:val="18"/>
                <w:szCs w:val="18"/>
              </w:rPr>
              <w:t>（1）实习日志要每天填写一篇，共 10 篇，</w:t>
            </w:r>
            <w:r>
              <w:rPr>
                <w:rFonts w:hint="eastAsia"/>
                <w:sz w:val="18"/>
                <w:szCs w:val="18"/>
                <w:lang w:val="en-US" w:eastAsia="zh-CN"/>
              </w:rPr>
              <w:t>包括</w:t>
            </w:r>
            <w:r>
              <w:rPr>
                <w:sz w:val="18"/>
                <w:szCs w:val="18"/>
              </w:rPr>
              <w:t>实习内容，实习目的和要求</w:t>
            </w:r>
            <w:r>
              <w:rPr>
                <w:rFonts w:hint="eastAsia"/>
                <w:sz w:val="18"/>
                <w:szCs w:val="18"/>
              </w:rPr>
              <w:t>、</w:t>
            </w:r>
            <w:r>
              <w:rPr>
                <w:sz w:val="18"/>
                <w:szCs w:val="18"/>
              </w:rPr>
              <w:t>实习完成情况</w:t>
            </w:r>
            <w:r>
              <w:rPr>
                <w:rFonts w:hint="eastAsia"/>
                <w:sz w:val="18"/>
                <w:szCs w:val="18"/>
              </w:rPr>
              <w:t>、自身在团队中的分工、</w:t>
            </w:r>
            <w:r>
              <w:rPr>
                <w:sz w:val="18"/>
                <w:szCs w:val="18"/>
              </w:rPr>
              <w:t xml:space="preserve">收获与体会。 </w:t>
            </w:r>
          </w:p>
          <w:p>
            <w:pPr>
              <w:snapToGrid w:val="0"/>
              <w:spacing w:line="300" w:lineRule="auto"/>
              <w:ind w:firstLine="360" w:firstLineChars="200"/>
              <w:rPr>
                <w:sz w:val="18"/>
                <w:szCs w:val="18"/>
              </w:rPr>
            </w:pPr>
            <w:r>
              <w:rPr>
                <w:sz w:val="18"/>
                <w:szCs w:val="18"/>
              </w:rPr>
              <w:t>（2）实习报告（总结）的内容。总结报告字数要求 3000 字左右。内容包括。</w:t>
            </w:r>
            <w:r>
              <w:rPr>
                <w:rFonts w:hint="eastAsia" w:ascii="宋体" w:hAnsi="宋体" w:cs="宋体"/>
                <w:sz w:val="18"/>
                <w:szCs w:val="18"/>
              </w:rPr>
              <w:t>①</w:t>
            </w:r>
            <w:r>
              <w:rPr>
                <w:sz w:val="18"/>
                <w:szCs w:val="18"/>
              </w:rPr>
              <w:t>时间、地点、 描述；</w:t>
            </w:r>
            <w:r>
              <w:rPr>
                <w:rFonts w:hint="eastAsia" w:ascii="宋体" w:hAnsi="宋体" w:cs="宋体"/>
                <w:sz w:val="18"/>
                <w:szCs w:val="18"/>
              </w:rPr>
              <w:t>②</w:t>
            </w:r>
            <w:r>
              <w:rPr>
                <w:sz w:val="18"/>
                <w:szCs w:val="18"/>
              </w:rPr>
              <w:t>实习目的及要求；</w:t>
            </w:r>
            <w:r>
              <w:rPr>
                <w:rFonts w:hint="eastAsia" w:ascii="宋体" w:hAnsi="宋体" w:cs="宋体"/>
                <w:sz w:val="18"/>
                <w:szCs w:val="18"/>
              </w:rPr>
              <w:t>③</w:t>
            </w:r>
            <w:r>
              <w:rPr>
                <w:sz w:val="18"/>
                <w:szCs w:val="18"/>
              </w:rPr>
              <w:t>实习过程及实习内容的叙述；</w:t>
            </w:r>
            <w:r>
              <w:rPr>
                <w:rFonts w:hint="eastAsia" w:ascii="宋体" w:hAnsi="宋体" w:cs="宋体"/>
                <w:sz w:val="18"/>
                <w:szCs w:val="18"/>
              </w:rPr>
              <w:t>④</w:t>
            </w:r>
            <w:r>
              <w:rPr>
                <w:sz w:val="18"/>
                <w:szCs w:val="18"/>
              </w:rPr>
              <w:t>收获</w:t>
            </w:r>
            <w:r>
              <w:rPr>
                <w:rFonts w:hint="eastAsia"/>
                <w:sz w:val="18"/>
                <w:szCs w:val="18"/>
              </w:rPr>
              <w:t>（包含团队合作能力方面）</w:t>
            </w:r>
            <w:r>
              <w:rPr>
                <w:sz w:val="18"/>
                <w:szCs w:val="18"/>
              </w:rPr>
              <w:t>、体会，学校教学与实际的差距，改进方向、内容与方法；</w:t>
            </w:r>
            <w:r>
              <w:rPr>
                <w:rFonts w:hint="eastAsia" w:ascii="宋体" w:hAnsi="宋体" w:cs="宋体"/>
                <w:sz w:val="18"/>
                <w:szCs w:val="18"/>
              </w:rPr>
              <w:t>⑤</w:t>
            </w:r>
            <w:r>
              <w:rPr>
                <w:sz w:val="18"/>
                <w:szCs w:val="18"/>
              </w:rPr>
              <w:t>不足、建议、教训。</w:t>
            </w:r>
          </w:p>
        </w:tc>
        <w:tc>
          <w:tcPr>
            <w:tcW w:w="993" w:type="dxa"/>
            <w:vAlign w:val="center"/>
          </w:tcPr>
          <w:p>
            <w:pPr>
              <w:jc w:val="center"/>
              <w:rPr>
                <w:sz w:val="18"/>
                <w:szCs w:val="18"/>
              </w:rPr>
            </w:pPr>
            <w:r>
              <w:rPr>
                <w:sz w:val="18"/>
                <w:szCs w:val="18"/>
              </w:rPr>
              <w:t>1，2，3</w:t>
            </w:r>
          </w:p>
        </w:tc>
        <w:tc>
          <w:tcPr>
            <w:tcW w:w="993" w:type="dxa"/>
            <w:vAlign w:val="center"/>
          </w:tcPr>
          <w:p>
            <w:pPr>
              <w:jc w:val="center"/>
              <w:rPr>
                <w:sz w:val="18"/>
                <w:szCs w:val="18"/>
              </w:rPr>
            </w:pPr>
            <w:r>
              <w:rPr>
                <w:rFonts w:hint="eastAsia"/>
                <w:sz w:val="18"/>
                <w:szCs w:val="18"/>
              </w:rPr>
              <w:t>2.</w:t>
            </w:r>
            <w:r>
              <w:rPr>
                <w:sz w:val="18"/>
                <w:szCs w:val="18"/>
              </w:rPr>
              <w:t>3</w:t>
            </w:r>
            <w:r>
              <w:rPr>
                <w:rFonts w:hint="eastAsia"/>
                <w:sz w:val="18"/>
                <w:szCs w:val="18"/>
              </w:rPr>
              <w:t>，5.1，9.2</w:t>
            </w:r>
          </w:p>
        </w:tc>
      </w:tr>
    </w:tbl>
    <w:p>
      <w:pPr>
        <w:snapToGrid w:val="0"/>
        <w:spacing w:before="159" w:beforeLines="50" w:after="159" w:afterLines="50" w:line="300" w:lineRule="auto"/>
        <w:rPr>
          <w:b/>
          <w:sz w:val="24"/>
        </w:rPr>
      </w:pPr>
      <w:r>
        <w:rPr>
          <w:b/>
          <w:sz w:val="24"/>
        </w:rPr>
        <w:t>六、课程教学目标</w:t>
      </w:r>
      <w:r>
        <w:rPr>
          <w:rFonts w:hint="eastAsia"/>
          <w:b/>
          <w:sz w:val="24"/>
        </w:rPr>
        <w:t>达成情况</w:t>
      </w:r>
      <w:r>
        <w:rPr>
          <w:b/>
          <w:sz w:val="24"/>
        </w:rPr>
        <w:t>评价</w:t>
      </w:r>
    </w:p>
    <w:p>
      <w:pPr>
        <w:snapToGrid w:val="0"/>
        <w:spacing w:line="300" w:lineRule="auto"/>
        <w:ind w:firstLine="420" w:firstLineChars="200"/>
        <w:rPr>
          <w:szCs w:val="21"/>
        </w:rPr>
      </w:pPr>
      <w:r>
        <w:rPr>
          <w:szCs w:val="21"/>
        </w:rPr>
        <w:t>1</w:t>
      </w:r>
      <w:r>
        <w:t>．</w:t>
      </w:r>
      <w:r>
        <w:rPr>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rPr>
          <w:position w:val="-26"/>
        </w:rPr>
      </w:pPr>
      <w:r>
        <w:rPr>
          <w:position w:val="-26"/>
        </w:rPr>
        <w:object>
          <v:shape id="_x0000_i1180" o:spt="75" type="#_x0000_t75" style="height:32.25pt;width:376.5pt;" o:ole="t" filled="f" o:preferrelative="t" stroked="f" coordsize="21600,21600">
            <v:path/>
            <v:fill on="f" focussize="0,0"/>
            <v:stroke on="f" joinstyle="miter"/>
            <v:imagedata r:id="rId205" o:title=""/>
            <o:lock v:ext="edit" aspectratio="t"/>
            <w10:wrap type="none"/>
            <w10:anchorlock/>
          </v:shape>
          <o:OLEObject Type="Embed" ProgID="Equation.3" ShapeID="_x0000_i1180" DrawAspect="Content" ObjectID="_1468075878" r:id="rId204">
            <o:LockedField>false</o:LockedField>
          </o:OLEObject>
        </w:object>
      </w:r>
    </w:p>
    <w:p>
      <w:pPr>
        <w:snapToGrid w:val="0"/>
        <w:spacing w:line="300" w:lineRule="auto"/>
        <w:ind w:firstLine="420" w:firstLineChars="200"/>
      </w:pPr>
      <w:r>
        <w:t>课程总目标达成</w:t>
      </w:r>
      <w:r>
        <w:rPr>
          <w:rFonts w:hint="eastAsia"/>
        </w:rPr>
        <w:t>值</w:t>
      </w:r>
      <w:r>
        <w:t>为3个课程目标的加权得分率，其计算公式为：</w:t>
      </w:r>
    </w:p>
    <w:p>
      <w:pPr>
        <w:snapToGrid w:val="0"/>
        <w:spacing w:line="300" w:lineRule="auto"/>
        <w:jc w:val="center"/>
      </w:pPr>
      <w:r>
        <w:rPr>
          <w:position w:val="-16"/>
        </w:rPr>
        <w:object>
          <v:shape id="_x0000_i1181" o:spt="75" type="#_x0000_t75" style="height:18pt;width:261.75pt;" o:ole="t" filled="f" o:preferrelative="t" stroked="f" coordsize="21600,21600">
            <v:path/>
            <v:fill on="f" focussize="0,0"/>
            <v:stroke on="f" joinstyle="miter"/>
            <v:imagedata r:id="rId207" o:title=""/>
            <o:lock v:ext="edit" aspectratio="t"/>
            <w10:wrap type="none"/>
            <w10:anchorlock/>
          </v:shape>
          <o:OLEObject Type="Embed" ProgID="Equation.DSMT4" ShapeID="_x0000_i1181" DrawAspect="Content" ObjectID="_1468075879" r:id="rId206">
            <o:LockedField>false</o:LockedField>
          </o:OLEObject>
        </w:object>
      </w:r>
    </w:p>
    <w:p>
      <w:pPr>
        <w:snapToGrid w:val="0"/>
        <w:spacing w:line="300" w:lineRule="auto"/>
      </w:pPr>
      <w: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1"/>
        <w:gridCol w:w="2018"/>
        <w:gridCol w:w="2387"/>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11" w:type="dxa"/>
            <w:vAlign w:val="center"/>
          </w:tcPr>
          <w:p>
            <w:pPr>
              <w:snapToGrid w:val="0"/>
              <w:spacing w:line="300" w:lineRule="auto"/>
              <w:jc w:val="center"/>
              <w:rPr>
                <w:b/>
                <w:bCs/>
                <w:sz w:val="18"/>
                <w:szCs w:val="18"/>
              </w:rPr>
            </w:pPr>
            <w:r>
              <w:rPr>
                <w:b/>
                <w:bCs/>
                <w:sz w:val="18"/>
                <w:szCs w:val="18"/>
              </w:rPr>
              <w:t>课程目标</w:t>
            </w:r>
          </w:p>
        </w:tc>
        <w:tc>
          <w:tcPr>
            <w:tcW w:w="2018" w:type="dxa"/>
            <w:vAlign w:val="center"/>
          </w:tcPr>
          <w:p>
            <w:pPr>
              <w:snapToGrid w:val="0"/>
              <w:spacing w:line="300" w:lineRule="auto"/>
              <w:jc w:val="center"/>
              <w:rPr>
                <w:sz w:val="18"/>
                <w:szCs w:val="18"/>
              </w:rPr>
            </w:pPr>
            <w:r>
              <w:rPr>
                <w:sz w:val="18"/>
                <w:szCs w:val="18"/>
              </w:rPr>
              <w:t>1</w:t>
            </w:r>
          </w:p>
        </w:tc>
        <w:tc>
          <w:tcPr>
            <w:tcW w:w="2387" w:type="dxa"/>
            <w:vAlign w:val="center"/>
          </w:tcPr>
          <w:p>
            <w:pPr>
              <w:snapToGrid w:val="0"/>
              <w:spacing w:line="300" w:lineRule="auto"/>
              <w:jc w:val="center"/>
              <w:rPr>
                <w:sz w:val="18"/>
                <w:szCs w:val="18"/>
              </w:rPr>
            </w:pPr>
            <w:r>
              <w:rPr>
                <w:sz w:val="18"/>
                <w:szCs w:val="18"/>
              </w:rPr>
              <w:t>2</w:t>
            </w:r>
          </w:p>
        </w:tc>
        <w:tc>
          <w:tcPr>
            <w:tcW w:w="2365"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11" w:type="dxa"/>
            <w:vAlign w:val="center"/>
          </w:tcPr>
          <w:p>
            <w:pPr>
              <w:snapToGrid w:val="0"/>
              <w:spacing w:line="300" w:lineRule="auto"/>
              <w:jc w:val="center"/>
              <w:rPr>
                <w:b/>
                <w:bCs/>
                <w:sz w:val="18"/>
                <w:szCs w:val="18"/>
              </w:rPr>
            </w:pPr>
            <w:r>
              <w:rPr>
                <w:b/>
                <w:bCs/>
                <w:sz w:val="18"/>
                <w:szCs w:val="18"/>
              </w:rPr>
              <w:t>权重系数</w:t>
            </w:r>
          </w:p>
        </w:tc>
        <w:tc>
          <w:tcPr>
            <w:tcW w:w="2018" w:type="dxa"/>
            <w:vAlign w:val="center"/>
          </w:tcPr>
          <w:p>
            <w:pPr>
              <w:snapToGrid w:val="0"/>
              <w:spacing w:line="300" w:lineRule="auto"/>
              <w:jc w:val="center"/>
              <w:rPr>
                <w:sz w:val="18"/>
                <w:szCs w:val="18"/>
              </w:rPr>
            </w:pPr>
            <w:r>
              <w:rPr>
                <w:sz w:val="18"/>
                <w:szCs w:val="18"/>
              </w:rPr>
              <w:t>0.3</w:t>
            </w:r>
          </w:p>
        </w:tc>
        <w:tc>
          <w:tcPr>
            <w:tcW w:w="2387" w:type="dxa"/>
            <w:vAlign w:val="center"/>
          </w:tcPr>
          <w:p>
            <w:pPr>
              <w:snapToGrid w:val="0"/>
              <w:spacing w:line="300" w:lineRule="auto"/>
              <w:jc w:val="center"/>
              <w:rPr>
                <w:sz w:val="18"/>
                <w:szCs w:val="18"/>
              </w:rPr>
            </w:pPr>
            <w:r>
              <w:rPr>
                <w:sz w:val="18"/>
                <w:szCs w:val="18"/>
              </w:rPr>
              <w:t>0.3</w:t>
            </w:r>
          </w:p>
        </w:tc>
        <w:tc>
          <w:tcPr>
            <w:tcW w:w="2365" w:type="dxa"/>
            <w:vAlign w:val="center"/>
          </w:tcPr>
          <w:p>
            <w:pPr>
              <w:snapToGrid w:val="0"/>
              <w:spacing w:line="300" w:lineRule="auto"/>
              <w:jc w:val="center"/>
              <w:rPr>
                <w:sz w:val="18"/>
                <w:szCs w:val="18"/>
              </w:rPr>
            </w:pPr>
            <w:r>
              <w:rPr>
                <w:sz w:val="18"/>
                <w:szCs w:val="18"/>
              </w:rPr>
              <w:t>0.4</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position w:val="-14"/>
        </w:rPr>
        <w:object>
          <v:shape id="_x0000_i1182" o:spt="75" type="#_x0000_t75" style="height:18pt;width:271.5pt;" o:ole="t" filled="f" o:preferrelative="t" stroked="f" coordsize="21600,21600">
            <v:path/>
            <v:fill on="f" focussize="0,0"/>
            <v:stroke on="f" joinstyle="miter"/>
            <v:imagedata r:id="rId209" o:title=""/>
            <o:lock v:ext="edit" aspectratio="t"/>
            <w10:wrap type="none"/>
            <w10:anchorlock/>
          </v:shape>
          <o:OLEObject Type="Embed" ProgID="Equation.3" ShapeID="_x0000_i1182" DrawAspect="Content" ObjectID="_1468075880" r:id="rId208">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w:t>
      </w:r>
      <w:r>
        <w:rPr>
          <w:rFonts w:hint="eastAsia"/>
          <w:szCs w:val="21"/>
        </w:rPr>
        <w:t>达成情况</w:t>
      </w:r>
      <w:r>
        <w:rPr>
          <w:szCs w:val="21"/>
        </w:rPr>
        <w:t>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rPr>
          <w:szCs w:val="21"/>
        </w:rPr>
      </w:pPr>
      <w:r>
        <w:rPr>
          <w:szCs w:val="21"/>
        </w:rPr>
        <w:t>不需要指定教材。</w:t>
      </w:r>
    </w:p>
    <w:tbl>
      <w:tblPr>
        <w:tblStyle w:val="22"/>
        <w:tblpPr w:leftFromText="180" w:rightFromText="180" w:vertAnchor="text" w:horzAnchor="margin" w:tblpXSpec="right" w:tblpY="266"/>
        <w:tblW w:w="4480" w:type="dxa"/>
        <w:jc w:val="right"/>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48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jc w:val="right"/>
        </w:trPr>
        <w:tc>
          <w:tcPr>
            <w:tcW w:w="4480" w:type="dxa"/>
          </w:tcPr>
          <w:p>
            <w:pPr>
              <w:snapToGrid w:val="0"/>
              <w:spacing w:line="300" w:lineRule="auto"/>
              <w:ind w:right="630" w:firstLine="404" w:firstLineChars="202"/>
              <w:jc w:val="right"/>
              <w:rPr>
                <w:kern w:val="0"/>
                <w:sz w:val="20"/>
                <w:szCs w:val="21"/>
              </w:rPr>
            </w:pPr>
            <w:r>
              <w:rPr>
                <w:rFonts w:hint="eastAsia"/>
                <w:kern w:val="0"/>
                <w:sz w:val="20"/>
                <w:szCs w:val="21"/>
              </w:rPr>
              <w:t xml:space="preserve">             </w:t>
            </w: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58" w:hRule="atLeast"/>
          <w:jc w:val="right"/>
        </w:trPr>
        <w:tc>
          <w:tcPr>
            <w:tcW w:w="4480"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jc w:val="right"/>
        </w:trPr>
        <w:tc>
          <w:tcPr>
            <w:tcW w:w="4480"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jc w:val="right"/>
              <w:rPr>
                <w:kern w:val="0"/>
                <w:sz w:val="20"/>
                <w:szCs w:val="21"/>
              </w:rPr>
            </w:pPr>
          </w:p>
        </w:tc>
      </w:tr>
    </w:tbl>
    <w:p>
      <w:pPr>
        <w:widowControl/>
        <w:jc w:val="left"/>
      </w:pPr>
    </w:p>
    <w:p/>
    <w:p>
      <w:pPr>
        <w:autoSpaceDE w:val="0"/>
        <w:autoSpaceDN w:val="0"/>
        <w:adjustRightInd w:val="0"/>
        <w:spacing w:line="360" w:lineRule="auto"/>
        <w:ind w:firstLine="420" w:firstLineChars="200"/>
        <w:textAlignment w:val="baseline"/>
        <w:rPr>
          <w:kern w:val="0"/>
          <w:szCs w:val="21"/>
        </w:rPr>
      </w:pPr>
    </w:p>
    <w:p>
      <w:pPr>
        <w:sectPr>
          <w:pgSz w:w="11906" w:h="16838"/>
          <w:pgMar w:top="1417" w:right="1361" w:bottom="1417" w:left="1361" w:header="851" w:footer="992" w:gutter="0"/>
          <w:cols w:space="720" w:num="1"/>
          <w:docGrid w:type="lines" w:linePitch="318" w:charSpace="0"/>
        </w:sectPr>
      </w:pPr>
    </w:p>
    <w:p>
      <w:pPr>
        <w:pStyle w:val="3"/>
        <w:ind w:firstLine="1928" w:firstLineChars="600"/>
        <w:rPr>
          <w:rFonts w:ascii="Calibri" w:hAnsi="Calibri" w:eastAsia="宋体"/>
        </w:rPr>
      </w:pPr>
      <w:bookmarkStart w:id="250" w:name="_Toc47719797"/>
      <w:bookmarkStart w:id="251" w:name="_Toc8644"/>
      <w:bookmarkStart w:id="252" w:name="_Toc62652575"/>
      <w:bookmarkStart w:id="253" w:name="_Toc62571492"/>
      <w:bookmarkStart w:id="254" w:name="_Toc29515"/>
      <w:bookmarkStart w:id="255" w:name="_Toc47718826"/>
      <w:bookmarkStart w:id="256" w:name="_Toc30836"/>
      <w:bookmarkStart w:id="257" w:name="_Toc47774753"/>
      <w:bookmarkStart w:id="258" w:name="_Toc2684"/>
      <w:bookmarkStart w:id="259" w:name="_Toc62652564"/>
      <w:r>
        <w:rPr>
          <w:rFonts w:hint="eastAsia" w:ascii="Calibri" w:hAnsi="Calibri" w:eastAsia="宋体"/>
        </w:rPr>
        <w:t>j3340107《工程项目实训》实训教学大纲</w:t>
      </w:r>
      <w:bookmarkEnd w:id="250"/>
      <w:bookmarkEnd w:id="251"/>
      <w:bookmarkEnd w:id="252"/>
      <w:bookmarkEnd w:id="253"/>
      <w:bookmarkEnd w:id="254"/>
      <w:bookmarkEnd w:id="255"/>
      <w:bookmarkEnd w:id="256"/>
      <w:bookmarkEnd w:id="257"/>
      <w:bookmarkEnd w:id="25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27"/>
        <w:gridCol w:w="1417"/>
        <w:gridCol w:w="3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5" w:type="dxa"/>
            <w:vAlign w:val="center"/>
          </w:tcPr>
          <w:p>
            <w:pPr>
              <w:jc w:val="center"/>
              <w:rPr>
                <w:kern w:val="0"/>
                <w:szCs w:val="21"/>
              </w:rPr>
            </w:pPr>
            <w:r>
              <w:rPr>
                <w:kern w:val="0"/>
                <w:szCs w:val="21"/>
              </w:rPr>
              <w:t>课程编号</w:t>
            </w:r>
          </w:p>
        </w:tc>
        <w:tc>
          <w:tcPr>
            <w:tcW w:w="2127" w:type="dxa"/>
            <w:vAlign w:val="center"/>
          </w:tcPr>
          <w:p>
            <w:pPr>
              <w:jc w:val="center"/>
              <w:rPr>
                <w:kern w:val="0"/>
                <w:szCs w:val="21"/>
              </w:rPr>
            </w:pPr>
            <w:r>
              <w:rPr>
                <w:kern w:val="0"/>
                <w:szCs w:val="21"/>
              </w:rPr>
              <w:t>j3340107</w:t>
            </w:r>
          </w:p>
        </w:tc>
        <w:tc>
          <w:tcPr>
            <w:tcW w:w="1417" w:type="dxa"/>
            <w:vAlign w:val="center"/>
          </w:tcPr>
          <w:p>
            <w:pPr>
              <w:jc w:val="center"/>
              <w:rPr>
                <w:kern w:val="0"/>
                <w:szCs w:val="21"/>
              </w:rPr>
            </w:pPr>
            <w:r>
              <w:rPr>
                <w:kern w:val="0"/>
                <w:szCs w:val="21"/>
              </w:rPr>
              <w:t>课程名称</w:t>
            </w:r>
          </w:p>
        </w:tc>
        <w:tc>
          <w:tcPr>
            <w:tcW w:w="3237" w:type="dxa"/>
            <w:vAlign w:val="center"/>
          </w:tcPr>
          <w:p>
            <w:pPr>
              <w:jc w:val="center"/>
              <w:rPr>
                <w:kern w:val="0"/>
                <w:szCs w:val="21"/>
              </w:rPr>
            </w:pPr>
            <w:r>
              <w:rPr>
                <w:kern w:val="0"/>
                <w:szCs w:val="21"/>
              </w:rPr>
              <w:t>工程项目实训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5" w:type="dxa"/>
            <w:vAlign w:val="center"/>
          </w:tcPr>
          <w:p>
            <w:pPr>
              <w:jc w:val="center"/>
              <w:rPr>
                <w:kern w:val="0"/>
                <w:szCs w:val="21"/>
              </w:rPr>
            </w:pPr>
            <w:r>
              <w:rPr>
                <w:kern w:val="0"/>
                <w:szCs w:val="21"/>
              </w:rPr>
              <w:t>课程性质*</w:t>
            </w:r>
          </w:p>
        </w:tc>
        <w:tc>
          <w:tcPr>
            <w:tcW w:w="2127" w:type="dxa"/>
            <w:vAlign w:val="center"/>
          </w:tcPr>
          <w:p>
            <w:pPr>
              <w:jc w:val="center"/>
              <w:rPr>
                <w:kern w:val="0"/>
                <w:szCs w:val="21"/>
              </w:rPr>
            </w:pPr>
            <w:r>
              <w:rPr>
                <w:kern w:val="0"/>
                <w:szCs w:val="21"/>
              </w:rPr>
              <w:t>工程实践与毕业设计（论文）</w:t>
            </w:r>
          </w:p>
        </w:tc>
        <w:tc>
          <w:tcPr>
            <w:tcW w:w="1417" w:type="dxa"/>
            <w:vAlign w:val="center"/>
          </w:tcPr>
          <w:p>
            <w:pPr>
              <w:jc w:val="center"/>
              <w:rPr>
                <w:kern w:val="0"/>
                <w:szCs w:val="21"/>
              </w:rPr>
            </w:pPr>
            <w:r>
              <w:rPr>
                <w:kern w:val="0"/>
                <w:szCs w:val="21"/>
              </w:rPr>
              <w:t>英文名称</w:t>
            </w:r>
          </w:p>
        </w:tc>
        <w:tc>
          <w:tcPr>
            <w:tcW w:w="3237" w:type="dxa"/>
            <w:vAlign w:val="center"/>
          </w:tcPr>
          <w:p>
            <w:pPr>
              <w:jc w:val="center"/>
              <w:rPr>
                <w:kern w:val="0"/>
                <w:szCs w:val="21"/>
              </w:rPr>
            </w:pPr>
            <w:r>
              <w:rPr>
                <w:szCs w:val="21"/>
              </w:rPr>
              <w:t>Engineering Project Training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5" w:type="dxa"/>
            <w:vAlign w:val="center"/>
          </w:tcPr>
          <w:p>
            <w:pPr>
              <w:jc w:val="center"/>
              <w:rPr>
                <w:kern w:val="0"/>
                <w:szCs w:val="21"/>
              </w:rPr>
            </w:pPr>
            <w:r>
              <w:rPr>
                <w:kern w:val="0"/>
                <w:szCs w:val="21"/>
              </w:rPr>
              <w:t>学分学时</w:t>
            </w:r>
          </w:p>
        </w:tc>
        <w:tc>
          <w:tcPr>
            <w:tcW w:w="2127" w:type="dxa"/>
            <w:vAlign w:val="center"/>
          </w:tcPr>
          <w:p>
            <w:pPr>
              <w:jc w:val="center"/>
              <w:rPr>
                <w:kern w:val="0"/>
                <w:szCs w:val="21"/>
              </w:rPr>
            </w:pPr>
            <w:r>
              <w:rPr>
                <w:kern w:val="0"/>
                <w:szCs w:val="21"/>
              </w:rPr>
              <w:t>2</w:t>
            </w:r>
            <w:r>
              <w:rPr>
                <w:bCs/>
                <w:kern w:val="0"/>
                <w:szCs w:val="21"/>
              </w:rPr>
              <w:t xml:space="preserve"> </w:t>
            </w:r>
            <w:r>
              <w:rPr>
                <w:kern w:val="0"/>
                <w:szCs w:val="21"/>
              </w:rPr>
              <w:t>: 2周</w:t>
            </w:r>
          </w:p>
        </w:tc>
        <w:tc>
          <w:tcPr>
            <w:tcW w:w="1417" w:type="dxa"/>
            <w:vAlign w:val="center"/>
          </w:tcPr>
          <w:p>
            <w:pPr>
              <w:jc w:val="center"/>
              <w:rPr>
                <w:kern w:val="0"/>
                <w:szCs w:val="21"/>
              </w:rPr>
            </w:pPr>
            <w:r>
              <w:rPr>
                <w:kern w:val="0"/>
                <w:szCs w:val="21"/>
              </w:rPr>
              <w:t>任课教师</w:t>
            </w:r>
          </w:p>
        </w:tc>
        <w:tc>
          <w:tcPr>
            <w:tcW w:w="3237" w:type="dxa"/>
            <w:vAlign w:val="center"/>
          </w:tcPr>
          <w:p>
            <w:pPr>
              <w:jc w:val="center"/>
              <w:rPr>
                <w:kern w:val="0"/>
                <w:szCs w:val="21"/>
              </w:rPr>
            </w:pPr>
            <w:r>
              <w:rPr>
                <w:kern w:val="0"/>
                <w:szCs w:val="21"/>
              </w:rPr>
              <w:t>王骥、彭银桥、邹阿金、刘雯景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Align w:val="center"/>
          </w:tcPr>
          <w:p>
            <w:pPr>
              <w:jc w:val="center"/>
              <w:rPr>
                <w:kern w:val="0"/>
                <w:szCs w:val="21"/>
              </w:rPr>
            </w:pPr>
            <w:r>
              <w:rPr>
                <w:kern w:val="0"/>
                <w:szCs w:val="21"/>
              </w:rPr>
              <w:t>企业专家</w:t>
            </w:r>
          </w:p>
        </w:tc>
        <w:tc>
          <w:tcPr>
            <w:tcW w:w="2127" w:type="dxa"/>
            <w:vAlign w:val="center"/>
          </w:tcPr>
          <w:p>
            <w:pPr>
              <w:jc w:val="center"/>
              <w:rPr>
                <w:kern w:val="0"/>
                <w:szCs w:val="21"/>
              </w:rPr>
            </w:pPr>
            <w:r>
              <w:rPr>
                <w:kern w:val="0"/>
                <w:szCs w:val="21"/>
              </w:rPr>
              <w:t>曾耿滨</w:t>
            </w:r>
          </w:p>
        </w:tc>
        <w:tc>
          <w:tcPr>
            <w:tcW w:w="1417" w:type="dxa"/>
            <w:vAlign w:val="center"/>
          </w:tcPr>
          <w:p>
            <w:pPr>
              <w:jc w:val="center"/>
              <w:rPr>
                <w:kern w:val="0"/>
                <w:szCs w:val="21"/>
              </w:rPr>
            </w:pPr>
            <w:r>
              <w:rPr>
                <w:kern w:val="0"/>
                <w:szCs w:val="21"/>
              </w:rPr>
              <w:t>行业专家</w:t>
            </w:r>
          </w:p>
        </w:tc>
        <w:tc>
          <w:tcPr>
            <w:tcW w:w="3237" w:type="dxa"/>
            <w:vAlign w:val="center"/>
          </w:tcPr>
          <w:p>
            <w:pPr>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center"/>
        </w:trPr>
        <w:tc>
          <w:tcPr>
            <w:tcW w:w="1555" w:type="dxa"/>
            <w:vAlign w:val="center"/>
          </w:tcPr>
          <w:p>
            <w:pPr>
              <w:jc w:val="center"/>
              <w:rPr>
                <w:kern w:val="0"/>
                <w:szCs w:val="21"/>
              </w:rPr>
            </w:pPr>
            <w:r>
              <w:rPr>
                <w:kern w:val="0"/>
                <w:szCs w:val="21"/>
              </w:rPr>
              <w:t>执笔教师</w:t>
            </w:r>
          </w:p>
        </w:tc>
        <w:tc>
          <w:tcPr>
            <w:tcW w:w="2127" w:type="dxa"/>
            <w:vAlign w:val="center"/>
          </w:tcPr>
          <w:p>
            <w:pPr>
              <w:jc w:val="center"/>
              <w:rPr>
                <w:kern w:val="0"/>
                <w:szCs w:val="21"/>
              </w:rPr>
            </w:pPr>
            <w:r>
              <w:rPr>
                <w:kern w:val="0"/>
                <w:szCs w:val="21"/>
              </w:rPr>
              <w:t>王骥</w:t>
            </w:r>
          </w:p>
        </w:tc>
        <w:tc>
          <w:tcPr>
            <w:tcW w:w="1417" w:type="dxa"/>
            <w:vAlign w:val="center"/>
          </w:tcPr>
          <w:p>
            <w:pPr>
              <w:jc w:val="center"/>
              <w:rPr>
                <w:kern w:val="0"/>
                <w:szCs w:val="21"/>
              </w:rPr>
            </w:pPr>
            <w:r>
              <w:rPr>
                <w:kern w:val="0"/>
                <w:szCs w:val="21"/>
              </w:rPr>
              <w:t>责任教授</w:t>
            </w:r>
          </w:p>
        </w:tc>
        <w:tc>
          <w:tcPr>
            <w:tcW w:w="3237" w:type="dxa"/>
            <w:vAlign w:val="center"/>
          </w:tcPr>
          <w:p>
            <w:pPr>
              <w:jc w:val="center"/>
              <w:rPr>
                <w:kern w:val="0"/>
                <w:szCs w:val="21"/>
              </w:rPr>
            </w:pPr>
            <w:r>
              <w:rPr>
                <w:rFonts w:hint="eastAsia"/>
                <w:kern w:val="0"/>
                <w:szCs w:val="21"/>
              </w:rPr>
              <w:t>杨玉强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555" w:type="dxa"/>
            <w:vAlign w:val="center"/>
          </w:tcPr>
          <w:p>
            <w:pPr>
              <w:jc w:val="center"/>
              <w:rPr>
                <w:kern w:val="0"/>
                <w:szCs w:val="21"/>
              </w:rPr>
            </w:pPr>
            <w:r>
              <w:rPr>
                <w:kern w:val="0"/>
                <w:szCs w:val="21"/>
              </w:rPr>
              <w:t>适用专业</w:t>
            </w:r>
          </w:p>
        </w:tc>
        <w:tc>
          <w:tcPr>
            <w:tcW w:w="2127" w:type="dxa"/>
            <w:vAlign w:val="center"/>
          </w:tcPr>
          <w:p>
            <w:pPr>
              <w:jc w:val="center"/>
              <w:rPr>
                <w:kern w:val="0"/>
                <w:szCs w:val="21"/>
              </w:rPr>
            </w:pPr>
            <w:r>
              <w:rPr>
                <w:kern w:val="0"/>
                <w:szCs w:val="21"/>
              </w:rPr>
              <w:t>电子信息工程</w:t>
            </w:r>
          </w:p>
        </w:tc>
        <w:tc>
          <w:tcPr>
            <w:tcW w:w="1417" w:type="dxa"/>
            <w:vAlign w:val="center"/>
          </w:tcPr>
          <w:p>
            <w:pPr>
              <w:jc w:val="center"/>
              <w:rPr>
                <w:kern w:val="0"/>
                <w:szCs w:val="21"/>
              </w:rPr>
            </w:pPr>
            <w:r>
              <w:rPr>
                <w:kern w:val="0"/>
                <w:szCs w:val="21"/>
              </w:rPr>
              <w:t>适用对象</w:t>
            </w:r>
          </w:p>
        </w:tc>
        <w:tc>
          <w:tcPr>
            <w:tcW w:w="3237"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5" w:type="dxa"/>
            <w:vAlign w:val="center"/>
          </w:tcPr>
          <w:p>
            <w:pPr>
              <w:jc w:val="center"/>
              <w:rPr>
                <w:kern w:val="0"/>
                <w:szCs w:val="21"/>
              </w:rPr>
            </w:pPr>
            <w:r>
              <w:rPr>
                <w:kern w:val="0"/>
                <w:szCs w:val="21"/>
              </w:rPr>
              <w:t>先修课程</w:t>
            </w:r>
          </w:p>
        </w:tc>
        <w:tc>
          <w:tcPr>
            <w:tcW w:w="2127" w:type="dxa"/>
            <w:vAlign w:val="center"/>
          </w:tcPr>
          <w:p>
            <w:pPr>
              <w:jc w:val="center"/>
              <w:rPr>
                <w:kern w:val="0"/>
                <w:szCs w:val="21"/>
              </w:rPr>
            </w:pPr>
            <w:r>
              <w:rPr>
                <w:kern w:val="0"/>
                <w:szCs w:val="21"/>
              </w:rPr>
              <w:t>电子信息类专业课程</w:t>
            </w:r>
          </w:p>
        </w:tc>
        <w:tc>
          <w:tcPr>
            <w:tcW w:w="1417" w:type="dxa"/>
            <w:vAlign w:val="center"/>
          </w:tcPr>
          <w:p>
            <w:pPr>
              <w:jc w:val="center"/>
              <w:rPr>
                <w:kern w:val="0"/>
                <w:szCs w:val="21"/>
              </w:rPr>
            </w:pPr>
            <w:r>
              <w:rPr>
                <w:kern w:val="0"/>
                <w:szCs w:val="21"/>
              </w:rPr>
              <w:t>同修课程</w:t>
            </w:r>
          </w:p>
        </w:tc>
        <w:tc>
          <w:tcPr>
            <w:tcW w:w="3237" w:type="dxa"/>
            <w:vAlign w:val="center"/>
          </w:tcPr>
          <w:p>
            <w:pPr>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555" w:type="dxa"/>
            <w:vAlign w:val="center"/>
          </w:tcPr>
          <w:p>
            <w:pPr>
              <w:jc w:val="center"/>
              <w:rPr>
                <w:kern w:val="0"/>
                <w:szCs w:val="21"/>
              </w:rPr>
            </w:pPr>
            <w:r>
              <w:rPr>
                <w:kern w:val="0"/>
                <w:szCs w:val="21"/>
              </w:rPr>
              <w:t>排斥课程</w:t>
            </w:r>
          </w:p>
        </w:tc>
        <w:tc>
          <w:tcPr>
            <w:tcW w:w="2127" w:type="dxa"/>
            <w:vAlign w:val="center"/>
          </w:tcPr>
          <w:p>
            <w:pPr>
              <w:jc w:val="center"/>
              <w:rPr>
                <w:kern w:val="0"/>
                <w:szCs w:val="21"/>
              </w:rPr>
            </w:pPr>
            <w:r>
              <w:rPr>
                <w:kern w:val="0"/>
                <w:szCs w:val="21"/>
              </w:rPr>
              <w:t>无</w:t>
            </w:r>
          </w:p>
        </w:tc>
        <w:tc>
          <w:tcPr>
            <w:tcW w:w="1417" w:type="dxa"/>
            <w:vAlign w:val="center"/>
          </w:tcPr>
          <w:p>
            <w:pPr>
              <w:jc w:val="center"/>
              <w:rPr>
                <w:kern w:val="0"/>
                <w:szCs w:val="21"/>
              </w:rPr>
            </w:pPr>
            <w:r>
              <w:rPr>
                <w:kern w:val="0"/>
                <w:szCs w:val="21"/>
              </w:rPr>
              <w:t>定稿日期</w:t>
            </w:r>
          </w:p>
        </w:tc>
        <w:tc>
          <w:tcPr>
            <w:tcW w:w="3237" w:type="dxa"/>
            <w:vAlign w:val="center"/>
          </w:tcPr>
          <w:p>
            <w:pPr>
              <w:jc w:val="center"/>
              <w:rPr>
                <w:rFonts w:eastAsia="宋体"/>
                <w:kern w:val="0"/>
                <w:szCs w:val="21"/>
              </w:rPr>
            </w:pPr>
            <w:r>
              <w:rPr>
                <w:kern w:val="0"/>
                <w:szCs w:val="21"/>
              </w:rPr>
              <w:t>202</w:t>
            </w:r>
            <w:r>
              <w:rPr>
                <w:rFonts w:hint="eastAsia"/>
                <w:kern w:val="0"/>
                <w:szCs w:val="21"/>
              </w:rPr>
              <w:t>2</w:t>
            </w:r>
            <w:r>
              <w:rPr>
                <w:kern w:val="0"/>
                <w:szCs w:val="21"/>
              </w:rPr>
              <w:t>.0</w:t>
            </w:r>
            <w:r>
              <w:rPr>
                <w:rFonts w:hint="eastAsia"/>
                <w:kern w:val="0"/>
                <w:szCs w:val="21"/>
              </w:rPr>
              <w:t>5</w:t>
            </w:r>
            <w:r>
              <w:rPr>
                <w:kern w:val="0"/>
                <w:szCs w:val="21"/>
              </w:rPr>
              <w:t>.</w:t>
            </w:r>
            <w:r>
              <w:rPr>
                <w:rFonts w:hint="eastAsia"/>
                <w:kern w:val="0"/>
                <w:szCs w:val="21"/>
              </w:rPr>
              <w:t>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widowControl/>
        <w:adjustRightInd w:val="0"/>
        <w:snapToGrid w:val="0"/>
        <w:spacing w:line="300" w:lineRule="auto"/>
        <w:ind w:firstLine="420" w:firstLineChars="200"/>
        <w:jc w:val="left"/>
        <w:rPr>
          <w:szCs w:val="21"/>
        </w:rPr>
      </w:pPr>
      <w:r>
        <w:rPr>
          <w:szCs w:val="21"/>
        </w:rPr>
        <w:t>《工程项目实训》是一门理论和实践相结合的基础训练课程，重点提高学生的科学研究与工程实践能力；本门课程是一门实践性很强、涉及面较广的专业实践类课程，主要</w:t>
      </w:r>
      <w:r>
        <w:rPr>
          <w:bCs/>
          <w:kern w:val="0"/>
          <w:szCs w:val="21"/>
        </w:rPr>
        <w:t>为学生营造一个良好的科研或参与工程项目</w:t>
      </w:r>
      <w:r>
        <w:rPr>
          <w:rFonts w:hint="eastAsia"/>
          <w:bCs/>
          <w:kern w:val="0"/>
          <w:szCs w:val="21"/>
        </w:rPr>
        <w:t>基础</w:t>
      </w:r>
      <w:r>
        <w:rPr>
          <w:bCs/>
          <w:kern w:val="0"/>
          <w:szCs w:val="21"/>
        </w:rPr>
        <w:t>，不断增强运用知识解决实际问题的能力。</w:t>
      </w:r>
      <w:r>
        <w:rPr>
          <w:szCs w:val="21"/>
        </w:rPr>
        <w:t xml:space="preserve">主要任务是使学生掌握进行科学研究或参与工程项目的常用方法、进一步提高项目开发与科研能力。 </w:t>
      </w:r>
    </w:p>
    <w:p>
      <w:pPr>
        <w:snapToGrid w:val="0"/>
        <w:spacing w:before="159" w:beforeLines="50" w:after="159" w:afterLines="50" w:line="300" w:lineRule="auto"/>
        <w:rPr>
          <w:b/>
          <w:sz w:val="24"/>
        </w:rPr>
      </w:pPr>
      <w:r>
        <w:rPr>
          <w:b/>
          <w:sz w:val="24"/>
        </w:rPr>
        <w:t>二、课程教学目标</w:t>
      </w:r>
    </w:p>
    <w:p>
      <w:pPr>
        <w:adjustRightInd w:val="0"/>
        <w:snapToGrid w:val="0"/>
        <w:spacing w:line="300" w:lineRule="auto"/>
        <w:ind w:firstLine="420" w:firstLineChars="200"/>
        <w:rPr>
          <w:bCs/>
          <w:szCs w:val="21"/>
        </w:rPr>
      </w:pPr>
      <w:r>
        <w:rPr>
          <w:szCs w:val="21"/>
        </w:rPr>
        <w:t>本课程重点是实践教学，要求学生亲自参加科研活动，增加动手能力</w:t>
      </w:r>
      <w:r>
        <w:rPr>
          <w:bCs/>
          <w:kern w:val="0"/>
          <w:szCs w:val="21"/>
        </w:rPr>
        <w:t>，走与实践相结合的成才道路</w:t>
      </w:r>
      <w:r>
        <w:rPr>
          <w:szCs w:val="21"/>
        </w:rPr>
        <w:t>,课程目标重在</w:t>
      </w:r>
      <w:r>
        <w:rPr>
          <w:bCs/>
          <w:kern w:val="0"/>
          <w:szCs w:val="21"/>
        </w:rPr>
        <w:t>使学生理解“创造改变世界，创新决定未来”的含义，树立科研正确世界观。</w:t>
      </w:r>
    </w:p>
    <w:p>
      <w:pPr>
        <w:adjustRightInd w:val="0"/>
        <w:snapToGrid w:val="0"/>
        <w:spacing w:line="300" w:lineRule="auto"/>
        <w:ind w:firstLine="420" w:firstLineChars="200"/>
        <w:rPr>
          <w:bCs/>
          <w:kern w:val="0"/>
          <w:szCs w:val="21"/>
        </w:rPr>
      </w:pPr>
      <w:r>
        <w:rPr>
          <w:rFonts w:hint="eastAsia"/>
          <w:bCs/>
          <w:kern w:val="0"/>
          <w:szCs w:val="21"/>
        </w:rPr>
        <w:t>1.使学生能够在电子信息类、经济、管理等多学科背景下的团队中分担任务，并承担责任。（9.1）</w:t>
      </w:r>
    </w:p>
    <w:p>
      <w:pPr>
        <w:adjustRightInd w:val="0"/>
        <w:snapToGrid w:val="0"/>
        <w:spacing w:line="300" w:lineRule="auto"/>
        <w:ind w:firstLine="420" w:firstLineChars="200"/>
        <w:rPr>
          <w:bCs/>
          <w:kern w:val="0"/>
          <w:szCs w:val="21"/>
        </w:rPr>
      </w:pPr>
      <w:r>
        <w:rPr>
          <w:rFonts w:hint="eastAsia"/>
          <w:bCs/>
          <w:kern w:val="0"/>
          <w:szCs w:val="21"/>
        </w:rPr>
        <w:t>2. 培养学生文献信息收集、整理、加工、利用与撰写能力，使之具有对科研选题、科研设计等科研程序和规则认识能力，熟悉科技文献写作方法和规范，并能撰写申请书与结题材料，具有良好的沟通，协调的能力。（10.1）</w:t>
      </w:r>
    </w:p>
    <w:p>
      <w:pPr>
        <w:adjustRightInd w:val="0"/>
        <w:snapToGrid w:val="0"/>
        <w:spacing w:line="300" w:lineRule="auto"/>
        <w:ind w:firstLine="420" w:firstLineChars="200"/>
        <w:rPr>
          <w:bCs/>
          <w:kern w:val="0"/>
          <w:szCs w:val="21"/>
        </w:rPr>
      </w:pPr>
      <w:r>
        <w:rPr>
          <w:rFonts w:hint="eastAsia"/>
          <w:bCs/>
          <w:kern w:val="0"/>
          <w:szCs w:val="21"/>
        </w:rPr>
        <w:t>3. 能够在项目硬件设计软件的多学科环境中应用经济决策方法，考虑成本与绩效，项目进行过程考虑工程管理方法的应用，使项目科学化、效益最大化。（11.1）</w:t>
      </w:r>
    </w:p>
    <w:p>
      <w:pPr>
        <w:adjustRightInd w:val="0"/>
        <w:snapToGrid w:val="0"/>
        <w:spacing w:line="300" w:lineRule="auto"/>
        <w:ind w:right="-334" w:firstLine="420" w:firstLineChars="200"/>
        <w:rPr>
          <w:bCs/>
          <w:kern w:val="0"/>
          <w:szCs w:val="21"/>
        </w:rPr>
      </w:pPr>
      <w:r>
        <w:rPr>
          <w:bCs/>
          <w:kern w:val="0"/>
          <w:szCs w:val="21"/>
        </w:rPr>
        <w:t>课程教学目标与毕业要求的对应关系：</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5605"/>
        <w:gridCol w:w="634"/>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blHeader/>
          <w:jc w:val="center"/>
        </w:trPr>
        <w:tc>
          <w:tcPr>
            <w:tcW w:w="1322" w:type="dxa"/>
            <w:vAlign w:val="center"/>
          </w:tcPr>
          <w:p>
            <w:pPr>
              <w:snapToGrid w:val="0"/>
              <w:spacing w:line="300" w:lineRule="auto"/>
              <w:rPr>
                <w:b/>
                <w:bCs/>
                <w:sz w:val="18"/>
                <w:szCs w:val="18"/>
              </w:rPr>
            </w:pPr>
            <w:r>
              <w:rPr>
                <w:b/>
                <w:bCs/>
                <w:sz w:val="18"/>
                <w:szCs w:val="18"/>
              </w:rPr>
              <w:t>毕业要求</w:t>
            </w:r>
          </w:p>
        </w:tc>
        <w:tc>
          <w:tcPr>
            <w:tcW w:w="5605" w:type="dxa"/>
            <w:vAlign w:val="center"/>
          </w:tcPr>
          <w:p>
            <w:pPr>
              <w:snapToGrid w:val="0"/>
              <w:spacing w:line="300" w:lineRule="auto"/>
              <w:jc w:val="center"/>
              <w:rPr>
                <w:b/>
                <w:bCs/>
                <w:sz w:val="18"/>
                <w:szCs w:val="18"/>
              </w:rPr>
            </w:pPr>
            <w:r>
              <w:rPr>
                <w:b/>
                <w:bCs/>
                <w:sz w:val="18"/>
                <w:szCs w:val="18"/>
              </w:rPr>
              <w:t>毕业要求指标点</w:t>
            </w:r>
          </w:p>
        </w:tc>
        <w:tc>
          <w:tcPr>
            <w:tcW w:w="634" w:type="dxa"/>
            <w:vAlign w:val="center"/>
          </w:tcPr>
          <w:p>
            <w:pPr>
              <w:snapToGrid w:val="0"/>
              <w:spacing w:line="300" w:lineRule="auto"/>
              <w:jc w:val="left"/>
              <w:rPr>
                <w:b/>
                <w:bCs/>
                <w:sz w:val="18"/>
                <w:szCs w:val="18"/>
              </w:rPr>
            </w:pPr>
            <w:r>
              <w:rPr>
                <w:b/>
                <w:bCs/>
                <w:sz w:val="18"/>
                <w:szCs w:val="18"/>
              </w:rPr>
              <w:t>课程目标</w:t>
            </w:r>
          </w:p>
        </w:tc>
        <w:tc>
          <w:tcPr>
            <w:tcW w:w="1120" w:type="dxa"/>
            <w:vAlign w:val="center"/>
          </w:tcPr>
          <w:p>
            <w:pPr>
              <w:snapToGrid w:val="0"/>
              <w:spacing w:line="300" w:lineRule="auto"/>
              <w:ind w:firstLine="181" w:firstLineChars="100"/>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22" w:type="dxa"/>
            <w:vAlign w:val="center"/>
          </w:tcPr>
          <w:p>
            <w:pPr>
              <w:snapToGrid w:val="0"/>
              <w:spacing w:line="300" w:lineRule="auto"/>
              <w:jc w:val="center"/>
              <w:rPr>
                <w:sz w:val="18"/>
                <w:szCs w:val="18"/>
              </w:rPr>
            </w:pPr>
            <w:r>
              <w:rPr>
                <w:sz w:val="18"/>
                <w:szCs w:val="18"/>
              </w:rPr>
              <w:t>9．个人与团队</w:t>
            </w:r>
          </w:p>
        </w:tc>
        <w:tc>
          <w:tcPr>
            <w:tcW w:w="5605" w:type="dxa"/>
            <w:vAlign w:val="center"/>
          </w:tcPr>
          <w:p>
            <w:pPr>
              <w:snapToGrid w:val="0"/>
              <w:spacing w:line="300" w:lineRule="auto"/>
              <w:rPr>
                <w:sz w:val="18"/>
                <w:szCs w:val="18"/>
              </w:rPr>
            </w:pPr>
            <w:r>
              <w:rPr>
                <w:rFonts w:hint="eastAsia"/>
                <w:sz w:val="18"/>
                <w:szCs w:val="18"/>
              </w:rPr>
              <w:t>9.1能够在多学科背景下的团队中分担任务，并承担责任。</w:t>
            </w:r>
          </w:p>
        </w:tc>
        <w:tc>
          <w:tcPr>
            <w:tcW w:w="634" w:type="dxa"/>
            <w:vAlign w:val="center"/>
          </w:tcPr>
          <w:p>
            <w:pPr>
              <w:snapToGrid w:val="0"/>
              <w:spacing w:line="300" w:lineRule="auto"/>
              <w:jc w:val="center"/>
              <w:rPr>
                <w:sz w:val="18"/>
                <w:szCs w:val="18"/>
              </w:rPr>
            </w:pPr>
            <w:r>
              <w:rPr>
                <w:sz w:val="18"/>
                <w:szCs w:val="18"/>
              </w:rPr>
              <w:t>1</w:t>
            </w:r>
          </w:p>
        </w:tc>
        <w:tc>
          <w:tcPr>
            <w:tcW w:w="1120" w:type="dxa"/>
            <w:vAlign w:val="center"/>
          </w:tcPr>
          <w:p>
            <w:pPr>
              <w:snapToGrid w:val="0"/>
              <w:spacing w:line="300" w:lineRule="auto"/>
              <w:jc w:val="center"/>
              <w:rPr>
                <w:sz w:val="18"/>
                <w:szCs w:val="18"/>
              </w:rPr>
            </w:pPr>
            <w:r>
              <w:rPr>
                <w:bCs/>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Align w:val="center"/>
          </w:tcPr>
          <w:p>
            <w:pPr>
              <w:snapToGrid w:val="0"/>
              <w:spacing w:line="300" w:lineRule="auto"/>
              <w:rPr>
                <w:sz w:val="18"/>
                <w:szCs w:val="18"/>
              </w:rPr>
            </w:pPr>
            <w:r>
              <w:rPr>
                <w:sz w:val="18"/>
                <w:szCs w:val="18"/>
              </w:rPr>
              <w:t>10．沟通</w:t>
            </w:r>
          </w:p>
        </w:tc>
        <w:tc>
          <w:tcPr>
            <w:tcW w:w="5605" w:type="dxa"/>
            <w:vAlign w:val="center"/>
          </w:tcPr>
          <w:p>
            <w:pPr>
              <w:snapToGrid w:val="0"/>
              <w:spacing w:line="300" w:lineRule="auto"/>
              <w:rPr>
                <w:sz w:val="18"/>
                <w:szCs w:val="18"/>
              </w:rPr>
            </w:pPr>
            <w:r>
              <w:rPr>
                <w:sz w:val="18"/>
                <w:szCs w:val="18"/>
              </w:rPr>
              <w:t>10</w:t>
            </w:r>
            <w:r>
              <w:rPr>
                <w:rFonts w:hint="eastAsia"/>
                <w:sz w:val="18"/>
                <w:szCs w:val="18"/>
              </w:rPr>
              <w:t>.</w:t>
            </w:r>
            <w:r>
              <w:rPr>
                <w:sz w:val="18"/>
                <w:szCs w:val="18"/>
              </w:rPr>
              <w:t>1具有良好的口头和书面表达能力，能够就本专业的工程问题跟业界同行及社会公众进行沟通交流；</w:t>
            </w:r>
          </w:p>
        </w:tc>
        <w:tc>
          <w:tcPr>
            <w:tcW w:w="634" w:type="dxa"/>
            <w:vAlign w:val="center"/>
          </w:tcPr>
          <w:p>
            <w:pPr>
              <w:snapToGrid w:val="0"/>
              <w:spacing w:line="300" w:lineRule="auto"/>
              <w:jc w:val="center"/>
              <w:rPr>
                <w:sz w:val="18"/>
                <w:szCs w:val="18"/>
              </w:rPr>
            </w:pPr>
            <w:r>
              <w:rPr>
                <w:rFonts w:hint="eastAsia"/>
                <w:sz w:val="18"/>
                <w:szCs w:val="18"/>
              </w:rPr>
              <w:t>2</w:t>
            </w:r>
          </w:p>
        </w:tc>
        <w:tc>
          <w:tcPr>
            <w:tcW w:w="1120" w:type="dxa"/>
            <w:vAlign w:val="center"/>
          </w:tcPr>
          <w:p>
            <w:pPr>
              <w:snapToGrid w:val="0"/>
              <w:spacing w:line="300" w:lineRule="auto"/>
              <w:jc w:val="center"/>
              <w:rPr>
                <w:sz w:val="18"/>
                <w:szCs w:val="18"/>
              </w:rPr>
            </w:pPr>
            <w:r>
              <w:rPr>
                <w:bCs/>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22"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sz w:val="18"/>
                <w:szCs w:val="18"/>
              </w:rPr>
              <w:t>11．项目管理</w:t>
            </w:r>
          </w:p>
        </w:tc>
        <w:tc>
          <w:tcPr>
            <w:tcW w:w="56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rPr>
              <w:t>11.1理解并掌握工程实践中工程管理的基本原理与经济决策方法。</w:t>
            </w:r>
          </w:p>
        </w:tc>
        <w:tc>
          <w:tcPr>
            <w:tcW w:w="63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Cs/>
                <w:sz w:val="18"/>
                <w:szCs w:val="18"/>
              </w:rPr>
            </w:pPr>
            <w:r>
              <w:rPr>
                <w:bCs/>
                <w:sz w:val="18"/>
                <w:szCs w:val="18"/>
              </w:rPr>
              <w:t>3</w:t>
            </w:r>
          </w:p>
        </w:tc>
        <w:tc>
          <w:tcPr>
            <w:tcW w:w="11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Cs/>
                <w:sz w:val="18"/>
                <w:szCs w:val="18"/>
              </w:rPr>
            </w:pPr>
            <w:r>
              <w:rPr>
                <w:bCs/>
                <w:sz w:val="18"/>
                <w:szCs w:val="18"/>
              </w:rPr>
              <w:t>0.3</w:t>
            </w:r>
          </w:p>
        </w:tc>
      </w:tr>
    </w:tbl>
    <w:p>
      <w:pPr>
        <w:snapToGrid w:val="0"/>
        <w:spacing w:before="159" w:beforeLines="50" w:after="159" w:afterLines="50" w:line="300" w:lineRule="auto"/>
        <w:rPr>
          <w:b/>
          <w:sz w:val="24"/>
        </w:rPr>
      </w:pPr>
      <w:r>
        <w:rPr>
          <w:b/>
          <w:sz w:val="24"/>
        </w:rPr>
        <w:t>三、课程教学目标达成途径（或教学设计）</w:t>
      </w:r>
    </w:p>
    <w:p>
      <w:pPr>
        <w:widowControl/>
        <w:tabs>
          <w:tab w:val="left" w:pos="426"/>
          <w:tab w:val="left" w:pos="5245"/>
          <w:tab w:val="left" w:pos="5387"/>
        </w:tabs>
        <w:spacing w:before="159" w:beforeLines="50"/>
        <w:ind w:firstLine="361" w:firstLineChars="200"/>
        <w:jc w:val="center"/>
        <w:rPr>
          <w:b/>
          <w:kern w:val="0"/>
          <w:sz w:val="18"/>
          <w:szCs w:val="18"/>
        </w:rPr>
      </w:pPr>
      <w:r>
        <w:rPr>
          <w:b/>
          <w:kern w:val="0"/>
          <w:sz w:val="18"/>
          <w:szCs w:val="18"/>
        </w:rPr>
        <w:t>表2课程教学目标预达成路径</w:t>
      </w:r>
    </w:p>
    <w:tbl>
      <w:tblPr>
        <w:tblStyle w:val="22"/>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652"/>
        <w:gridCol w:w="1701"/>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5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课程教学目标</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达成途径</w:t>
            </w:r>
          </w:p>
        </w:tc>
        <w:tc>
          <w:tcPr>
            <w:tcW w:w="14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5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kern w:val="0"/>
                <w:sz w:val="18"/>
                <w:szCs w:val="18"/>
              </w:rPr>
            </w:pPr>
            <w:r>
              <w:rPr>
                <w:rFonts w:hint="eastAsia"/>
                <w:bCs/>
                <w:kern w:val="0"/>
                <w:sz w:val="18"/>
                <w:szCs w:val="18"/>
              </w:rPr>
              <w:t>1使学生能够在电子信息类、经济、管理等多学科背景下的团队中分担任务，并承担责任。</w:t>
            </w:r>
          </w:p>
        </w:tc>
        <w:tc>
          <w:tcPr>
            <w:tcW w:w="170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Cs/>
                <w:kern w:val="0"/>
                <w:sz w:val="18"/>
                <w:szCs w:val="18"/>
              </w:rPr>
            </w:pPr>
            <w:r>
              <w:rPr>
                <w:rFonts w:hint="eastAsia"/>
                <w:bCs/>
                <w:kern w:val="0"/>
                <w:sz w:val="18"/>
                <w:szCs w:val="18"/>
              </w:rPr>
              <w:t>指定阅读（小组成员自行分配任务）</w:t>
            </w:r>
            <w:r>
              <w:rPr>
                <w:bCs/>
                <w:kern w:val="0"/>
                <w:sz w:val="18"/>
                <w:szCs w:val="18"/>
              </w:rPr>
              <w:t>，现场汇报与指导、网络汇报、</w:t>
            </w:r>
            <w:r>
              <w:rPr>
                <w:rFonts w:hint="eastAsia"/>
                <w:bCs/>
                <w:kern w:val="0"/>
                <w:sz w:val="18"/>
                <w:szCs w:val="18"/>
              </w:rPr>
              <w:t>分组</w:t>
            </w:r>
            <w:r>
              <w:rPr>
                <w:bCs/>
                <w:kern w:val="0"/>
                <w:sz w:val="18"/>
                <w:szCs w:val="18"/>
              </w:rPr>
              <w:t>研讨与自学等达成。</w:t>
            </w:r>
          </w:p>
        </w:tc>
        <w:tc>
          <w:tcPr>
            <w:tcW w:w="14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Cs/>
                <w:sz w:val="18"/>
                <w:szCs w:val="18"/>
              </w:rPr>
            </w:pPr>
            <w:r>
              <w:rPr>
                <w:bCs/>
                <w:sz w:val="18"/>
                <w:szCs w:val="18"/>
              </w:rPr>
              <w:t>网络或现场答辩（抽查）、相关记录等原始材料考评。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0" w:hRule="atLeast"/>
          <w:tblHeader/>
          <w:jc w:val="center"/>
        </w:trPr>
        <w:tc>
          <w:tcPr>
            <w:tcW w:w="5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kern w:val="0"/>
                <w:sz w:val="18"/>
                <w:szCs w:val="18"/>
              </w:rPr>
            </w:pPr>
            <w:r>
              <w:rPr>
                <w:rFonts w:hint="eastAsia"/>
                <w:bCs/>
                <w:kern w:val="0"/>
                <w:sz w:val="18"/>
                <w:szCs w:val="18"/>
              </w:rPr>
              <w:t>2. 培养学生文献信息收集、整理、加工、利用与撰写能力，使之具有对科研选题、科研设计等科研程序和规则认识能力，熟悉科技文献写作方法和规范，并能撰写申请书与结题材料，具有良好的沟通，协调的能力。</w:t>
            </w:r>
          </w:p>
        </w:tc>
        <w:tc>
          <w:tcPr>
            <w:tcW w:w="170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bCs/>
                <w:kern w:val="0"/>
                <w:sz w:val="18"/>
                <w:szCs w:val="18"/>
              </w:rPr>
            </w:pPr>
            <w:r>
              <w:rPr>
                <w:bCs/>
                <w:kern w:val="0"/>
                <w:sz w:val="18"/>
                <w:szCs w:val="18"/>
              </w:rPr>
              <w:t>现场或网络研讨与指导以及自学等达成。</w:t>
            </w:r>
          </w:p>
        </w:tc>
        <w:tc>
          <w:tcPr>
            <w:tcW w:w="14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Cs/>
                <w:sz w:val="18"/>
                <w:szCs w:val="18"/>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16" w:hRule="atLeast"/>
          <w:tblHeader/>
          <w:jc w:val="center"/>
        </w:trPr>
        <w:tc>
          <w:tcPr>
            <w:tcW w:w="5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bCs/>
                <w:kern w:val="0"/>
                <w:sz w:val="18"/>
                <w:szCs w:val="18"/>
              </w:rPr>
            </w:pPr>
            <w:r>
              <w:rPr>
                <w:rFonts w:hint="eastAsia"/>
                <w:bCs/>
                <w:kern w:val="0"/>
                <w:sz w:val="18"/>
                <w:szCs w:val="18"/>
              </w:rPr>
              <w:t>3. 能够在项目硬件设计软件的多学科环境中应用经济决策方法，考虑成本与绩效，项目进行过程考虑工程管理方法的应用，使项目科学化、效益最大化。</w:t>
            </w:r>
          </w:p>
        </w:tc>
        <w:tc>
          <w:tcPr>
            <w:tcW w:w="170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bCs/>
                <w:kern w:val="0"/>
                <w:sz w:val="18"/>
                <w:szCs w:val="18"/>
              </w:rPr>
            </w:pPr>
            <w:r>
              <w:rPr>
                <w:bCs/>
                <w:kern w:val="0"/>
                <w:sz w:val="18"/>
                <w:szCs w:val="18"/>
              </w:rPr>
              <w:t>指定阅读，现场或网络研讨以及自学等达成。</w:t>
            </w:r>
          </w:p>
        </w:tc>
        <w:tc>
          <w:tcPr>
            <w:tcW w:w="1482"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Cs/>
                <w:sz w:val="18"/>
                <w:szCs w:val="18"/>
              </w:rPr>
            </w:pPr>
            <w:r>
              <w:rPr>
                <w:bCs/>
                <w:sz w:val="18"/>
                <w:szCs w:val="18"/>
              </w:rPr>
              <w:t>网络或现场汇报、相关记录等原始材料考评。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Cs w:val="21"/>
        </w:rPr>
      </w:pPr>
      <w:r>
        <w:t>综合运用所学知识及实验室条件，根据专业专方向的要求，完成有关领域电子信息系统的分析、设计、制作、调试、测试，提交工程实训设计报告。</w:t>
      </w:r>
      <w:r>
        <w:rPr>
          <w:szCs w:val="21"/>
        </w:rPr>
        <w:t>考虑到时间及安排的合理性等因素，结合实验室的具体情况宜由学生自由组合成小组进行，一般3~5人为一组较为适宜。具体安排见表3。</w:t>
      </w:r>
    </w:p>
    <w:p>
      <w:pPr>
        <w:snapToGrid w:val="0"/>
        <w:spacing w:before="159" w:beforeLines="50" w:line="300" w:lineRule="auto"/>
        <w:jc w:val="center"/>
        <w:rPr>
          <w:b/>
          <w:bCs/>
          <w:sz w:val="18"/>
          <w:szCs w:val="18"/>
        </w:rPr>
      </w:pPr>
      <w:r>
        <w:rPr>
          <w:b/>
          <w:bCs/>
          <w:sz w:val="18"/>
          <w:szCs w:val="18"/>
        </w:rPr>
        <w:t>表3教学内容与要求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19"/>
        <w:gridCol w:w="4261"/>
        <w:gridCol w:w="302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atLeast"/>
          <w:tblHeader/>
          <w:jc w:val="center"/>
        </w:trPr>
        <w:tc>
          <w:tcPr>
            <w:tcW w:w="619" w:type="dxa"/>
            <w:shd w:val="clear" w:color="auto" w:fill="FFFFFF"/>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4261" w:type="dxa"/>
            <w:shd w:val="clear" w:color="auto" w:fill="FFFFFF"/>
            <w:vAlign w:val="center"/>
          </w:tcPr>
          <w:p>
            <w:pPr>
              <w:widowControl/>
              <w:snapToGrid w:val="0"/>
              <w:jc w:val="center"/>
              <w:rPr>
                <w:b/>
                <w:kern w:val="0"/>
                <w:sz w:val="18"/>
                <w:szCs w:val="18"/>
              </w:rPr>
            </w:pPr>
            <w:r>
              <w:rPr>
                <w:b/>
                <w:kern w:val="0"/>
                <w:sz w:val="18"/>
                <w:szCs w:val="18"/>
              </w:rPr>
              <w:t>教学内容与教学目标</w:t>
            </w:r>
          </w:p>
        </w:tc>
        <w:tc>
          <w:tcPr>
            <w:tcW w:w="3028" w:type="dxa"/>
            <w:shd w:val="clear" w:color="auto" w:fill="FFFFFF"/>
            <w:vAlign w:val="center"/>
          </w:tcPr>
          <w:p>
            <w:pPr>
              <w:widowControl/>
              <w:snapToGrid w:val="0"/>
              <w:jc w:val="center"/>
              <w:rPr>
                <w:b/>
                <w:kern w:val="0"/>
                <w:sz w:val="18"/>
                <w:szCs w:val="18"/>
              </w:rPr>
            </w:pPr>
            <w:r>
              <w:rPr>
                <w:b/>
                <w:kern w:val="0"/>
                <w:sz w:val="18"/>
                <w:szCs w:val="18"/>
              </w:rPr>
              <w:t>教与学的要求</w:t>
            </w:r>
          </w:p>
        </w:tc>
        <w:tc>
          <w:tcPr>
            <w:tcW w:w="773" w:type="dxa"/>
            <w:shd w:val="clear" w:color="auto" w:fill="FFFFFF"/>
            <w:vAlign w:val="center"/>
          </w:tcPr>
          <w:p>
            <w:pPr>
              <w:widowControl/>
              <w:snapToGrid w:val="0"/>
              <w:jc w:val="center"/>
              <w:rPr>
                <w:b/>
                <w:kern w:val="0"/>
                <w:sz w:val="18"/>
                <w:szCs w:val="18"/>
              </w:rPr>
            </w:pPr>
            <w:r>
              <w:rPr>
                <w:b/>
                <w:kern w:val="0"/>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9" w:type="dxa"/>
            <w:shd w:val="clear" w:color="auto" w:fill="FFFFFF"/>
            <w:tcMar>
              <w:left w:w="57" w:type="dxa"/>
              <w:right w:w="57" w:type="dxa"/>
            </w:tcMar>
            <w:vAlign w:val="center"/>
          </w:tcPr>
          <w:p>
            <w:pPr>
              <w:widowControl/>
              <w:jc w:val="center"/>
              <w:rPr>
                <w:kern w:val="0"/>
                <w:sz w:val="18"/>
                <w:szCs w:val="18"/>
              </w:rPr>
            </w:pPr>
            <w:r>
              <w:rPr>
                <w:kern w:val="0"/>
                <w:sz w:val="18"/>
                <w:szCs w:val="18"/>
              </w:rPr>
              <w:t>1</w:t>
            </w:r>
          </w:p>
        </w:tc>
        <w:tc>
          <w:tcPr>
            <w:tcW w:w="4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300" w:lineRule="auto"/>
              <w:ind w:left="113"/>
              <w:rPr>
                <w:sz w:val="18"/>
                <w:szCs w:val="18"/>
              </w:rPr>
            </w:pPr>
          </w:p>
          <w:p>
            <w:pPr>
              <w:numPr>
                <w:ilvl w:val="0"/>
                <w:numId w:val="80"/>
              </w:numPr>
              <w:adjustRightInd w:val="0"/>
              <w:snapToGrid w:val="0"/>
              <w:spacing w:line="300" w:lineRule="auto"/>
              <w:rPr>
                <w:sz w:val="18"/>
                <w:szCs w:val="18"/>
              </w:rPr>
            </w:pPr>
            <w:r>
              <w:rPr>
                <w:sz w:val="18"/>
                <w:szCs w:val="18"/>
              </w:rPr>
              <w:t>选定课题，下达任务。课题符合教学目标的要求，任务难度合理，提前一周公布课题任务书;培养教育学生提战性那去难度大课题的勇气与能力,坚持独立自主精神，不畏困难，完成任务。 [课程目标4,5]</w:t>
            </w:r>
          </w:p>
          <w:p>
            <w:pPr>
              <w:adjustRightInd w:val="0"/>
              <w:snapToGrid w:val="0"/>
              <w:spacing w:line="300" w:lineRule="auto"/>
              <w:rPr>
                <w:sz w:val="18"/>
                <w:szCs w:val="18"/>
              </w:rPr>
            </w:pPr>
            <w:r>
              <w:rPr>
                <w:sz w:val="18"/>
                <w:szCs w:val="18"/>
              </w:rPr>
              <w:t>2．总体设计及论证。对所选课题进行总体设计，可行性由小组进行论证，由指导老师最终确定设计方案和实施方案。 [课程目标1</w:t>
            </w:r>
            <w:r>
              <w:rPr>
                <w:rFonts w:hint="eastAsia"/>
                <w:sz w:val="18"/>
                <w:szCs w:val="18"/>
              </w:rPr>
              <w:t>，2</w:t>
            </w:r>
            <w:r>
              <w:rPr>
                <w:sz w:val="18"/>
                <w:szCs w:val="18"/>
              </w:rPr>
              <w:t>]</w:t>
            </w:r>
          </w:p>
          <w:p>
            <w:pPr>
              <w:adjustRightInd w:val="0"/>
              <w:snapToGrid w:val="0"/>
              <w:spacing w:line="300" w:lineRule="auto"/>
              <w:rPr>
                <w:sz w:val="18"/>
                <w:szCs w:val="18"/>
              </w:rPr>
            </w:pPr>
            <w:r>
              <w:rPr>
                <w:sz w:val="18"/>
                <w:szCs w:val="18"/>
              </w:rPr>
              <w:t>3．详细设计。对所选课题进行细化，设计各个电路模块。 [课程目标1</w:t>
            </w:r>
            <w:r>
              <w:rPr>
                <w:rFonts w:hint="eastAsia"/>
                <w:sz w:val="18"/>
                <w:szCs w:val="18"/>
              </w:rPr>
              <w:t>，2，3</w:t>
            </w:r>
            <w:r>
              <w:rPr>
                <w:sz w:val="18"/>
                <w:szCs w:val="18"/>
              </w:rPr>
              <w:t>]</w:t>
            </w:r>
          </w:p>
          <w:p>
            <w:pPr>
              <w:adjustRightInd w:val="0"/>
              <w:snapToGrid w:val="0"/>
              <w:spacing w:line="300" w:lineRule="auto"/>
              <w:rPr>
                <w:sz w:val="18"/>
                <w:szCs w:val="18"/>
              </w:rPr>
            </w:pPr>
            <w:r>
              <w:rPr>
                <w:sz w:val="18"/>
                <w:szCs w:val="18"/>
              </w:rPr>
              <w:t>4．调试/测试。根据设计方案，完成对所选课题各个功能模块的制作、加工、调试、测试和包装。 [课程目标1</w:t>
            </w:r>
            <w:r>
              <w:rPr>
                <w:rFonts w:hint="eastAsia"/>
                <w:sz w:val="18"/>
                <w:szCs w:val="18"/>
              </w:rPr>
              <w:t>，2</w:t>
            </w:r>
            <w:r>
              <w:rPr>
                <w:sz w:val="18"/>
                <w:szCs w:val="18"/>
              </w:rPr>
              <w:t>]</w:t>
            </w:r>
          </w:p>
          <w:p>
            <w:pPr>
              <w:adjustRightInd w:val="0"/>
              <w:snapToGrid w:val="0"/>
              <w:spacing w:line="300" w:lineRule="auto"/>
              <w:rPr>
                <w:sz w:val="18"/>
                <w:szCs w:val="18"/>
              </w:rPr>
            </w:pPr>
            <w:r>
              <w:rPr>
                <w:sz w:val="18"/>
                <w:szCs w:val="18"/>
              </w:rPr>
              <w:t>5．验收与考核。根据各项课题任务书的要求</w:t>
            </w:r>
            <w:r>
              <w:rPr>
                <w:rFonts w:hint="eastAsia"/>
                <w:sz w:val="18"/>
                <w:szCs w:val="18"/>
              </w:rPr>
              <w:t>对</w:t>
            </w:r>
            <w:r>
              <w:rPr>
                <w:sz w:val="18"/>
                <w:szCs w:val="18"/>
              </w:rPr>
              <w:t>各组工程实训成果进行验收与考核</w:t>
            </w:r>
            <w:r>
              <w:rPr>
                <w:rFonts w:hint="eastAsia"/>
                <w:sz w:val="18"/>
                <w:szCs w:val="18"/>
              </w:rPr>
              <w:t>。</w:t>
            </w:r>
            <w:r>
              <w:rPr>
                <w:sz w:val="18"/>
                <w:szCs w:val="18"/>
              </w:rPr>
              <w:t xml:space="preserve"> [课程目标1</w:t>
            </w:r>
            <w:r>
              <w:rPr>
                <w:rFonts w:hint="eastAsia"/>
                <w:sz w:val="18"/>
                <w:szCs w:val="18"/>
              </w:rPr>
              <w:t>，2，3</w:t>
            </w:r>
            <w:r>
              <w:rPr>
                <w:sz w:val="18"/>
                <w:szCs w:val="18"/>
              </w:rPr>
              <w:t>]</w:t>
            </w:r>
          </w:p>
          <w:p>
            <w:pPr>
              <w:adjustRightInd w:val="0"/>
              <w:snapToGrid w:val="0"/>
              <w:spacing w:line="300" w:lineRule="auto"/>
              <w:rPr>
                <w:sz w:val="18"/>
                <w:szCs w:val="18"/>
              </w:rPr>
            </w:pPr>
            <w:r>
              <w:rPr>
                <w:sz w:val="18"/>
                <w:szCs w:val="18"/>
              </w:rPr>
              <w:t>6．设计报告撰写与提交。报告应体现工程实训内容的各个环节，报告应符合完整性、规范性和准确性的要求，应有验收评定的评语，且留存考核和成绩评定的各种原始资料，强调文献信息引用安全性、准确性等，注重学术严谨性。 [课程目标1</w:t>
            </w:r>
            <w:r>
              <w:rPr>
                <w:rFonts w:hint="eastAsia"/>
                <w:sz w:val="18"/>
                <w:szCs w:val="18"/>
              </w:rPr>
              <w:t>，2，3</w:t>
            </w:r>
            <w:r>
              <w:rPr>
                <w:sz w:val="18"/>
                <w:szCs w:val="18"/>
              </w:rPr>
              <w:t>]</w:t>
            </w:r>
          </w:p>
        </w:tc>
        <w:tc>
          <w:tcPr>
            <w:tcW w:w="3028" w:type="dxa"/>
            <w:shd w:val="clear" w:color="auto" w:fill="FFFFFF"/>
            <w:vAlign w:val="center"/>
          </w:tcPr>
          <w:p>
            <w:pPr>
              <w:adjustRightInd w:val="0"/>
              <w:snapToGrid w:val="0"/>
              <w:spacing w:line="300" w:lineRule="auto"/>
              <w:rPr>
                <w:sz w:val="18"/>
                <w:szCs w:val="18"/>
              </w:rPr>
            </w:pPr>
            <w:r>
              <w:rPr>
                <w:sz w:val="18"/>
                <w:szCs w:val="18"/>
              </w:rPr>
              <w:t>1.工程实训是在学生毕业设计前，综合运用本专业基础课程和专业课程知识，在课程实验和课程设计基本能力训练基础上，根据所选专业方向（交通电子技术、嵌入式系统及应用、电子仪器仪表）完成的综合性和创新性电子信息系统设计。</w:t>
            </w:r>
          </w:p>
          <w:p>
            <w:pPr>
              <w:adjustRightInd w:val="0"/>
              <w:snapToGrid w:val="0"/>
              <w:spacing w:line="300" w:lineRule="auto"/>
              <w:rPr>
                <w:sz w:val="18"/>
                <w:szCs w:val="18"/>
              </w:rPr>
            </w:pPr>
            <w:r>
              <w:rPr>
                <w:sz w:val="18"/>
                <w:szCs w:val="18"/>
              </w:rPr>
              <w:t>2.该门课程以实践为主、理论贯穿其中。实训的整个过程是把所学电子电工知识运用于完成具有特定功能的产品，在理论学习和工程实训之间建立起一座桥梁，为学生把书本的理论知识真正转化为实践中看得见、摸得着的实物，从实践中得到提高和锻炼。</w:t>
            </w:r>
          </w:p>
          <w:p>
            <w:pPr>
              <w:adjustRightInd w:val="0"/>
              <w:snapToGrid w:val="0"/>
              <w:spacing w:line="300" w:lineRule="auto"/>
              <w:rPr>
                <w:kern w:val="0"/>
                <w:sz w:val="18"/>
                <w:szCs w:val="18"/>
              </w:rPr>
            </w:pPr>
            <w:r>
              <w:rPr>
                <w:sz w:val="18"/>
                <w:szCs w:val="18"/>
              </w:rPr>
              <w:t>3.通过训练学生综合运用上述课程知识，进行软件或硬件系统的设计和调试，加深学生对理论知识的理解，提高学生综合应用知识的能力、分析解决问题的能力和实践技能。</w:t>
            </w:r>
          </w:p>
        </w:tc>
        <w:tc>
          <w:tcPr>
            <w:tcW w:w="773" w:type="dxa"/>
            <w:shd w:val="clear" w:color="auto" w:fill="FFFFFF"/>
            <w:vAlign w:val="center"/>
          </w:tcPr>
          <w:p>
            <w:pPr>
              <w:widowControl/>
              <w:adjustRightInd w:val="0"/>
              <w:snapToGrid w:val="0"/>
              <w:spacing w:line="300" w:lineRule="auto"/>
              <w:jc w:val="left"/>
              <w:rPr>
                <w:kern w:val="0"/>
                <w:sz w:val="18"/>
                <w:szCs w:val="18"/>
              </w:rPr>
            </w:pPr>
            <w:r>
              <w:rPr>
                <w:kern w:val="0"/>
                <w:sz w:val="18"/>
                <w:szCs w:val="18"/>
              </w:rPr>
              <w:t xml:space="preserve">2周 </w:t>
            </w:r>
          </w:p>
        </w:tc>
      </w:tr>
    </w:tbl>
    <w:p>
      <w:pPr>
        <w:snapToGrid w:val="0"/>
        <w:spacing w:before="159" w:beforeLines="50" w:after="159" w:afterLines="50" w:line="300" w:lineRule="auto"/>
        <w:rPr>
          <w:b/>
          <w:sz w:val="24"/>
        </w:rPr>
      </w:pPr>
      <w:r>
        <w:rPr>
          <w:b/>
          <w:sz w:val="24"/>
        </w:rPr>
        <w:t>五、课程考核及成绩评定</w:t>
      </w:r>
    </w:p>
    <w:p>
      <w:pPr>
        <w:adjustRightInd w:val="0"/>
        <w:snapToGrid w:val="0"/>
        <w:spacing w:line="300" w:lineRule="auto"/>
        <w:ind w:firstLine="420" w:firstLineChars="200"/>
        <w:rPr>
          <w:b/>
          <w:bCs/>
          <w:szCs w:val="21"/>
        </w:rPr>
      </w:pPr>
      <w:r>
        <w:rPr>
          <w:szCs w:val="21"/>
        </w:rPr>
        <w:t>1.考核方式</w:t>
      </w:r>
    </w:p>
    <w:p>
      <w:pPr>
        <w:adjustRightInd w:val="0"/>
        <w:snapToGrid w:val="0"/>
        <w:spacing w:line="300" w:lineRule="auto"/>
        <w:ind w:firstLine="420" w:firstLineChars="200"/>
        <w:rPr>
          <w:szCs w:val="21"/>
        </w:rPr>
      </w:pPr>
      <w:r>
        <w:rPr>
          <w:szCs w:val="21"/>
        </w:rPr>
        <w:t>科研项目实训的组织形式灵活多样，</w:t>
      </w:r>
      <w:r>
        <w:rPr>
          <w:rFonts w:hint="eastAsia"/>
          <w:szCs w:val="21"/>
        </w:rPr>
        <w:t>任课</w:t>
      </w:r>
      <w:r>
        <w:rPr>
          <w:szCs w:val="21"/>
        </w:rPr>
        <w:t>教师先讲授科研过程与方法，然后学生进行科研项目实训。按各学期的要求。教师根据学生参加活动情况、拟定研究课题及研究内容、提交阶段性材料及最终成果，如设计图、实物、说明书或论文等，分别按学期给出成绩。</w:t>
      </w:r>
    </w:p>
    <w:p>
      <w:pPr>
        <w:adjustRightInd w:val="0"/>
        <w:snapToGrid w:val="0"/>
        <w:spacing w:line="300" w:lineRule="auto"/>
        <w:ind w:firstLine="420" w:firstLineChars="200"/>
        <w:rPr>
          <w:szCs w:val="21"/>
        </w:rPr>
      </w:pPr>
      <w:r>
        <w:rPr>
          <w:szCs w:val="21"/>
        </w:rPr>
        <w:t xml:space="preserve">2.成绩评定 </w:t>
      </w:r>
    </w:p>
    <w:p>
      <w:pPr>
        <w:adjustRightInd w:val="0"/>
        <w:snapToGrid w:val="0"/>
        <w:spacing w:line="300" w:lineRule="auto"/>
        <w:ind w:firstLine="420" w:firstLineChars="200"/>
        <w:rPr>
          <w:szCs w:val="21"/>
        </w:rPr>
      </w:pPr>
      <w:r>
        <w:rPr>
          <w:szCs w:val="21"/>
        </w:rPr>
        <w:fldChar w:fldCharType="begin"/>
      </w:r>
      <w:r>
        <w:rPr>
          <w:szCs w:val="21"/>
        </w:rPr>
        <w:instrText xml:space="preserve"> = 1 \* GB3 </w:instrText>
      </w:r>
      <w:r>
        <w:rPr>
          <w:szCs w:val="21"/>
        </w:rPr>
        <w:fldChar w:fldCharType="separate"/>
      </w:r>
      <w:r>
        <w:rPr>
          <w:rFonts w:hint="eastAsia" w:ascii="宋体" w:hAnsi="宋体" w:cs="宋体"/>
          <w:szCs w:val="21"/>
        </w:rPr>
        <w:t>①</w:t>
      </w:r>
      <w:r>
        <w:rPr>
          <w:szCs w:val="21"/>
        </w:rPr>
        <w:fldChar w:fldCharType="end"/>
      </w:r>
      <w:r>
        <w:rPr>
          <w:szCs w:val="21"/>
        </w:rPr>
        <w:t>课程考核性质：考查</w:t>
      </w:r>
      <w:r>
        <w:rPr>
          <w:rFonts w:hint="eastAsia"/>
          <w:szCs w:val="21"/>
        </w:rPr>
        <w:t>，</w:t>
      </w:r>
      <w:r>
        <w:t>课程设计的成绩按优秀、良好、中等、及格和不及格五级评定。凡成绩不及格者，必须重修。</w:t>
      </w:r>
    </w:p>
    <w:p>
      <w:pPr>
        <w:adjustRightInd w:val="0"/>
        <w:snapToGrid w:val="0"/>
        <w:spacing w:line="300" w:lineRule="auto"/>
        <w:ind w:firstLine="420" w:firstLineChars="200"/>
      </w:pPr>
      <w:r>
        <w:fldChar w:fldCharType="begin"/>
      </w:r>
      <w:r>
        <w:instrText xml:space="preserve"> = 2 \* GB3 </w:instrText>
      </w:r>
      <w:r>
        <w:fldChar w:fldCharType="separate"/>
      </w:r>
      <w:r>
        <w:rPr>
          <w:rFonts w:hint="eastAsia" w:ascii="宋体" w:hAnsi="宋体" w:cs="宋体"/>
        </w:rPr>
        <w:t>②</w:t>
      </w:r>
      <w:r>
        <w:fldChar w:fldCharType="end"/>
      </w:r>
      <w:r>
        <w:t>课程设计成绩根据平时考查和设计成果按五级记分方法评定。平时考查主要检查学生的出勤情况、学习态度、教师检查及提问情况、是否独立完成设计等方面综合进行。对分组完成的课程设计，应根据其在小组中所承担的任务和表现有所区分。设计成果着重检查设计报告、设计图纸的完整性、规范性和准确性，应有成绩评定的评语，且留存考核和成绩评定的各种原始资料。</w:t>
      </w:r>
    </w:p>
    <w:p>
      <w:pPr>
        <w:autoSpaceDE w:val="0"/>
        <w:autoSpaceDN w:val="0"/>
        <w:adjustRightInd w:val="0"/>
        <w:snapToGrid w:val="0"/>
        <w:spacing w:line="300" w:lineRule="auto"/>
        <w:ind w:firstLine="420" w:firstLineChars="200"/>
        <w:rPr>
          <w:kern w:val="0"/>
          <w:szCs w:val="21"/>
        </w:rPr>
      </w:pPr>
      <w:r>
        <w:rPr>
          <w:kern w:val="0"/>
          <w:szCs w:val="21"/>
        </w:rPr>
        <w:fldChar w:fldCharType="begin"/>
      </w:r>
      <w:r>
        <w:rPr>
          <w:kern w:val="0"/>
          <w:szCs w:val="21"/>
        </w:rPr>
        <w:instrText xml:space="preserve"> = 3 \* GB3 </w:instrText>
      </w:r>
      <w:r>
        <w:rPr>
          <w:kern w:val="0"/>
          <w:szCs w:val="21"/>
        </w:rPr>
        <w:fldChar w:fldCharType="separate"/>
      </w:r>
      <w:r>
        <w:rPr>
          <w:rFonts w:hint="eastAsia" w:ascii="宋体" w:hAnsi="宋体" w:cs="宋体"/>
          <w:kern w:val="0"/>
          <w:szCs w:val="21"/>
        </w:rPr>
        <w:t>③</w:t>
      </w:r>
      <w:r>
        <w:rPr>
          <w:kern w:val="0"/>
          <w:szCs w:val="21"/>
        </w:rPr>
        <w:fldChar w:fldCharType="end"/>
      </w:r>
      <w:r>
        <w:rPr>
          <w:kern w:val="0"/>
          <w:szCs w:val="21"/>
        </w:rPr>
        <w:t>成绩评定：成绩评定方式为综合以上各项评分，学期末评定对应考核等级：优秀：90-100分；良好：80-89分；中等：70-79分及格：60-69分；不及格：60分以下。</w:t>
      </w:r>
    </w:p>
    <w:p>
      <w:pPr>
        <w:adjustRightInd w:val="0"/>
        <w:snapToGrid w:val="0"/>
        <w:spacing w:line="300" w:lineRule="auto"/>
        <w:ind w:firstLine="420" w:firstLineChars="200"/>
        <w:rPr>
          <w:bCs/>
          <w:szCs w:val="21"/>
        </w:rPr>
      </w:pPr>
      <w:r>
        <w:rPr>
          <w:bCs/>
          <w:szCs w:val="21"/>
        </w:rPr>
        <w:t>3.考核成绩组成</w:t>
      </w:r>
    </w:p>
    <w:p>
      <w:pPr>
        <w:adjustRightInd w:val="0"/>
        <w:snapToGrid w:val="0"/>
        <w:spacing w:line="300" w:lineRule="auto"/>
        <w:ind w:right="-31" w:rightChars="-15" w:firstLine="420" w:firstLineChars="200"/>
        <w:rPr>
          <w:kern w:val="0"/>
          <w:szCs w:val="21"/>
        </w:rPr>
      </w:pPr>
      <w:r>
        <w:rPr>
          <w:szCs w:val="21"/>
        </w:rPr>
        <w:t>成绩评定方式为成果与回答指导教师提问的情况占40%，科研项目实训报告占40%，平时表现占20%。以5等级制给出成绩。</w:t>
      </w:r>
      <w:r>
        <w:rPr>
          <w:kern w:val="0"/>
          <w:szCs w:val="21"/>
        </w:rPr>
        <w:fldChar w:fldCharType="begin"/>
      </w:r>
      <w:r>
        <w:rPr>
          <w:kern w:val="0"/>
          <w:szCs w:val="21"/>
        </w:rPr>
        <w:instrText xml:space="preserve"> = 1 \* GB3 </w:instrText>
      </w:r>
      <w:r>
        <w:rPr>
          <w:kern w:val="0"/>
          <w:szCs w:val="21"/>
        </w:rPr>
        <w:fldChar w:fldCharType="separate"/>
      </w:r>
      <w:r>
        <w:rPr>
          <w:rFonts w:hint="eastAsia" w:ascii="宋体" w:hAnsi="宋体" w:cs="宋体"/>
          <w:kern w:val="0"/>
          <w:szCs w:val="21"/>
        </w:rPr>
        <w:t>①</w:t>
      </w:r>
      <w:r>
        <w:rPr>
          <w:kern w:val="0"/>
          <w:szCs w:val="21"/>
        </w:rPr>
        <w:fldChar w:fldCharType="end"/>
      </w:r>
      <w:r>
        <w:rPr>
          <w:kern w:val="0"/>
          <w:szCs w:val="21"/>
        </w:rPr>
        <w:t>考勤（占10%）：遵从学校相关规定。</w:t>
      </w:r>
      <w:r>
        <w:rPr>
          <w:kern w:val="0"/>
          <w:szCs w:val="21"/>
        </w:rPr>
        <w:fldChar w:fldCharType="begin"/>
      </w:r>
      <w:r>
        <w:rPr>
          <w:kern w:val="0"/>
          <w:szCs w:val="21"/>
        </w:rPr>
        <w:instrText xml:space="preserve"> = 2 \* GB3 </w:instrText>
      </w:r>
      <w:r>
        <w:rPr>
          <w:kern w:val="0"/>
          <w:szCs w:val="21"/>
        </w:rPr>
        <w:fldChar w:fldCharType="separate"/>
      </w:r>
      <w:r>
        <w:rPr>
          <w:rFonts w:hint="eastAsia" w:ascii="宋体" w:hAnsi="宋体" w:cs="宋体"/>
          <w:kern w:val="0"/>
          <w:szCs w:val="21"/>
        </w:rPr>
        <w:t>②</w:t>
      </w:r>
      <w:r>
        <w:rPr>
          <w:kern w:val="0"/>
          <w:szCs w:val="21"/>
        </w:rPr>
        <w:fldChar w:fldCharType="end"/>
      </w:r>
      <w:r>
        <w:rPr>
          <w:kern w:val="0"/>
          <w:szCs w:val="21"/>
        </w:rPr>
        <w:t>成果提交（占40%）：按时按量完成30%，完成质量占10%。</w:t>
      </w:r>
      <w:r>
        <w:rPr>
          <w:kern w:val="0"/>
          <w:szCs w:val="21"/>
        </w:rPr>
        <w:fldChar w:fldCharType="begin"/>
      </w:r>
      <w:r>
        <w:rPr>
          <w:kern w:val="0"/>
          <w:szCs w:val="21"/>
        </w:rPr>
        <w:instrText xml:space="preserve"> = 3 \* GB3 </w:instrText>
      </w:r>
      <w:r>
        <w:rPr>
          <w:kern w:val="0"/>
          <w:szCs w:val="21"/>
        </w:rPr>
        <w:fldChar w:fldCharType="separate"/>
      </w:r>
      <w:r>
        <w:rPr>
          <w:rFonts w:hint="eastAsia" w:ascii="宋体" w:hAnsi="宋体" w:cs="宋体"/>
          <w:kern w:val="0"/>
          <w:szCs w:val="21"/>
        </w:rPr>
        <w:t>③</w:t>
      </w:r>
      <w:r>
        <w:rPr>
          <w:kern w:val="0"/>
          <w:szCs w:val="21"/>
        </w:rPr>
        <w:fldChar w:fldCharType="end"/>
      </w:r>
      <w:r>
        <w:rPr>
          <w:kern w:val="0"/>
          <w:szCs w:val="21"/>
        </w:rPr>
        <w:t>课堂讨论（占10%）：积极参与，有创新性观点。</w:t>
      </w:r>
      <w:r>
        <w:rPr>
          <w:kern w:val="0"/>
          <w:szCs w:val="21"/>
        </w:rPr>
        <w:fldChar w:fldCharType="begin"/>
      </w:r>
      <w:r>
        <w:rPr>
          <w:kern w:val="0"/>
          <w:szCs w:val="21"/>
        </w:rPr>
        <w:instrText xml:space="preserve"> = 4 \* GB3 </w:instrText>
      </w:r>
      <w:r>
        <w:rPr>
          <w:kern w:val="0"/>
          <w:szCs w:val="21"/>
        </w:rPr>
        <w:fldChar w:fldCharType="separate"/>
      </w:r>
      <w:r>
        <w:rPr>
          <w:rFonts w:hint="eastAsia" w:ascii="宋体" w:hAnsi="宋体" w:cs="宋体"/>
          <w:kern w:val="0"/>
          <w:szCs w:val="21"/>
        </w:rPr>
        <w:t>④</w:t>
      </w:r>
      <w:r>
        <w:rPr>
          <w:kern w:val="0"/>
          <w:szCs w:val="21"/>
        </w:rPr>
        <w:fldChar w:fldCharType="end"/>
      </w:r>
      <w:r>
        <w:rPr>
          <w:kern w:val="0"/>
          <w:szCs w:val="21"/>
        </w:rPr>
        <w:t>结题报告撰写（占40%）：</w:t>
      </w:r>
      <w:r>
        <w:rPr>
          <w:rFonts w:hint="eastAsia" w:ascii="宋体" w:hAnsi="宋体" w:cs="宋体"/>
          <w:kern w:val="0"/>
          <w:szCs w:val="21"/>
        </w:rPr>
        <w:t>①</w:t>
      </w:r>
      <w:r>
        <w:rPr>
          <w:kern w:val="0"/>
          <w:szCs w:val="21"/>
        </w:rPr>
        <w:t>报告撰写及规划的环节完整，格式规范（10%）；</w:t>
      </w:r>
      <w:r>
        <w:rPr>
          <w:rFonts w:hint="eastAsia" w:ascii="宋体" w:hAnsi="宋体" w:cs="宋体"/>
          <w:kern w:val="0"/>
          <w:szCs w:val="21"/>
        </w:rPr>
        <w:t>②</w:t>
      </w:r>
      <w:r>
        <w:rPr>
          <w:kern w:val="0"/>
          <w:szCs w:val="21"/>
        </w:rPr>
        <w:t>论文内容与创新性好（20%）；</w:t>
      </w:r>
      <w:r>
        <w:rPr>
          <w:rFonts w:hint="eastAsia" w:ascii="宋体" w:hAnsi="宋体" w:cs="宋体"/>
          <w:kern w:val="0"/>
          <w:szCs w:val="21"/>
        </w:rPr>
        <w:t>③</w:t>
      </w:r>
      <w:r>
        <w:rPr>
          <w:kern w:val="0"/>
          <w:szCs w:val="21"/>
        </w:rPr>
        <w:t>论文规划科学、可行性高（10%）。</w:t>
      </w:r>
    </w:p>
    <w:p>
      <w:pPr>
        <w:adjustRightInd w:val="0"/>
        <w:snapToGrid w:val="0"/>
        <w:spacing w:line="300" w:lineRule="auto"/>
        <w:ind w:right="-31" w:rightChars="-15" w:firstLine="420" w:firstLineChars="200"/>
        <w:rPr>
          <w:bCs/>
          <w:szCs w:val="21"/>
        </w:rPr>
      </w:pPr>
      <w:r>
        <w:rPr>
          <w:bCs/>
          <w:szCs w:val="21"/>
        </w:rPr>
        <w:t>考核评价标准见表4</w:t>
      </w:r>
      <w:r>
        <w:rPr>
          <w:rFonts w:hint="eastAsia"/>
          <w:bCs/>
          <w:szCs w:val="21"/>
        </w:rPr>
        <w:t>。</w:t>
      </w:r>
    </w:p>
    <w:p>
      <w:pPr>
        <w:snapToGrid w:val="0"/>
        <w:spacing w:before="159" w:beforeLines="50" w:line="300" w:lineRule="auto"/>
        <w:jc w:val="center"/>
        <w:rPr>
          <w:b/>
          <w:bCs/>
          <w:sz w:val="18"/>
          <w:szCs w:val="18"/>
        </w:rPr>
      </w:pPr>
      <w:r>
        <w:rPr>
          <w:b/>
          <w:bCs/>
          <w:sz w:val="18"/>
          <w:szCs w:val="18"/>
        </w:rPr>
        <w:t>表4教学目标评价标准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3"/>
        <w:gridCol w:w="4750"/>
        <w:gridCol w:w="1038"/>
        <w:gridCol w:w="109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3" w:hRule="atLeast"/>
          <w:tblHeader/>
          <w:jc w:val="center"/>
        </w:trPr>
        <w:tc>
          <w:tcPr>
            <w:tcW w:w="733" w:type="dxa"/>
            <w:shd w:val="clear" w:color="auto" w:fill="FFFFFF"/>
            <w:vAlign w:val="center"/>
          </w:tcPr>
          <w:p>
            <w:pPr>
              <w:widowControl/>
              <w:jc w:val="left"/>
              <w:rPr>
                <w:b/>
                <w:kern w:val="0"/>
                <w:sz w:val="18"/>
                <w:szCs w:val="18"/>
              </w:rPr>
            </w:pPr>
            <w:r>
              <w:rPr>
                <w:b/>
                <w:kern w:val="0"/>
                <w:sz w:val="18"/>
                <w:szCs w:val="18"/>
              </w:rPr>
              <w:t>序号</w:t>
            </w:r>
          </w:p>
        </w:tc>
        <w:tc>
          <w:tcPr>
            <w:tcW w:w="4750" w:type="dxa"/>
            <w:shd w:val="clear" w:color="auto" w:fill="FFFFFF"/>
            <w:vAlign w:val="center"/>
          </w:tcPr>
          <w:p>
            <w:pPr>
              <w:widowControl/>
              <w:jc w:val="center"/>
              <w:rPr>
                <w:b/>
                <w:kern w:val="0"/>
                <w:sz w:val="18"/>
                <w:szCs w:val="18"/>
              </w:rPr>
            </w:pPr>
            <w:r>
              <w:rPr>
                <w:b/>
                <w:kern w:val="0"/>
                <w:sz w:val="18"/>
                <w:szCs w:val="18"/>
              </w:rPr>
              <w:t>教学目标</w:t>
            </w:r>
          </w:p>
        </w:tc>
        <w:tc>
          <w:tcPr>
            <w:tcW w:w="1038" w:type="dxa"/>
            <w:shd w:val="clear" w:color="auto" w:fill="FFFFFF"/>
            <w:vAlign w:val="center"/>
          </w:tcPr>
          <w:p>
            <w:pPr>
              <w:widowControl/>
              <w:jc w:val="left"/>
              <w:rPr>
                <w:b/>
                <w:kern w:val="0"/>
                <w:sz w:val="18"/>
                <w:szCs w:val="18"/>
              </w:rPr>
            </w:pPr>
            <w:r>
              <w:rPr>
                <w:b/>
                <w:kern w:val="0"/>
                <w:sz w:val="18"/>
                <w:szCs w:val="18"/>
              </w:rPr>
              <w:t>考核方式</w:t>
            </w:r>
          </w:p>
        </w:tc>
        <w:tc>
          <w:tcPr>
            <w:tcW w:w="1099" w:type="dxa"/>
            <w:shd w:val="clear" w:color="auto" w:fill="FFFFFF"/>
            <w:vAlign w:val="center"/>
          </w:tcPr>
          <w:p>
            <w:pPr>
              <w:widowControl/>
              <w:jc w:val="left"/>
              <w:rPr>
                <w:b/>
                <w:kern w:val="0"/>
                <w:sz w:val="18"/>
                <w:szCs w:val="18"/>
              </w:rPr>
            </w:pPr>
            <w:r>
              <w:rPr>
                <w:b/>
                <w:kern w:val="0"/>
                <w:sz w:val="18"/>
                <w:szCs w:val="18"/>
              </w:rPr>
              <w:t>权重系数</w:t>
            </w:r>
          </w:p>
        </w:tc>
        <w:tc>
          <w:tcPr>
            <w:tcW w:w="1061" w:type="dxa"/>
            <w:shd w:val="clear" w:color="auto" w:fill="FFFFFF"/>
            <w:vAlign w:val="center"/>
          </w:tcPr>
          <w:p>
            <w:pPr>
              <w:widowControl/>
              <w:jc w:val="left"/>
              <w:rPr>
                <w:b/>
                <w:kern w:val="0"/>
                <w:sz w:val="18"/>
                <w:szCs w:val="18"/>
              </w:rPr>
            </w:pPr>
            <w:r>
              <w:rPr>
                <w:b/>
                <w:kern w:val="0"/>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192" w:hRule="atLeast"/>
          <w:jc w:val="center"/>
        </w:trPr>
        <w:tc>
          <w:tcPr>
            <w:tcW w:w="733" w:type="dxa"/>
            <w:shd w:val="clear" w:color="auto" w:fill="FFFFFF"/>
            <w:vAlign w:val="center"/>
          </w:tcPr>
          <w:p>
            <w:pPr>
              <w:widowControl/>
              <w:adjustRightInd w:val="0"/>
              <w:snapToGrid w:val="0"/>
              <w:spacing w:line="300" w:lineRule="auto"/>
              <w:jc w:val="center"/>
              <w:rPr>
                <w:bCs/>
                <w:kern w:val="0"/>
                <w:sz w:val="18"/>
                <w:szCs w:val="18"/>
              </w:rPr>
            </w:pPr>
            <w:r>
              <w:rPr>
                <w:bCs/>
                <w:kern w:val="0"/>
                <w:sz w:val="18"/>
                <w:szCs w:val="18"/>
              </w:rPr>
              <w:t>1</w:t>
            </w:r>
          </w:p>
        </w:tc>
        <w:tc>
          <w:tcPr>
            <w:tcW w:w="4750"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bCs/>
                <w:kern w:val="0"/>
                <w:sz w:val="18"/>
                <w:szCs w:val="18"/>
              </w:rPr>
            </w:pPr>
            <w:r>
              <w:rPr>
                <w:rFonts w:hint="eastAsia"/>
              </w:rPr>
              <w:t>1.使学生能够</w:t>
            </w:r>
            <w:r>
              <w:rPr>
                <w:rFonts w:hint="eastAsia" w:hAnsi="宋体"/>
              </w:rPr>
              <w:t>在电子信息类、经济、管理等多学科背景下的团队中分担任务，并承担责任。</w:t>
            </w:r>
          </w:p>
        </w:tc>
        <w:tc>
          <w:tcPr>
            <w:tcW w:w="1038" w:type="dxa"/>
            <w:shd w:val="clear" w:color="auto" w:fill="FFFFFF"/>
            <w:vAlign w:val="center"/>
          </w:tcPr>
          <w:p>
            <w:pPr>
              <w:widowControl/>
              <w:adjustRightInd w:val="0"/>
              <w:snapToGrid w:val="0"/>
              <w:spacing w:line="300" w:lineRule="auto"/>
              <w:jc w:val="center"/>
              <w:rPr>
                <w:bCs/>
                <w:kern w:val="0"/>
                <w:sz w:val="18"/>
                <w:szCs w:val="18"/>
              </w:rPr>
            </w:pPr>
            <w:r>
              <w:rPr>
                <w:bCs/>
                <w:kern w:val="0"/>
                <w:sz w:val="18"/>
                <w:szCs w:val="18"/>
              </w:rPr>
              <w:t>考查</w:t>
            </w:r>
          </w:p>
        </w:tc>
        <w:tc>
          <w:tcPr>
            <w:tcW w:w="1099" w:type="dxa"/>
            <w:shd w:val="clear" w:color="auto" w:fill="FFFFFF"/>
            <w:vAlign w:val="center"/>
          </w:tcPr>
          <w:p>
            <w:pPr>
              <w:widowControl/>
              <w:adjustRightInd w:val="0"/>
              <w:snapToGrid w:val="0"/>
              <w:spacing w:line="300" w:lineRule="auto"/>
              <w:jc w:val="center"/>
              <w:rPr>
                <w:bCs/>
                <w:kern w:val="0"/>
                <w:sz w:val="18"/>
                <w:szCs w:val="18"/>
              </w:rPr>
            </w:pPr>
            <w:r>
              <w:rPr>
                <w:bCs/>
                <w:kern w:val="0"/>
                <w:sz w:val="18"/>
                <w:szCs w:val="18"/>
              </w:rPr>
              <w:t>0.3</w:t>
            </w:r>
          </w:p>
        </w:tc>
        <w:tc>
          <w:tcPr>
            <w:tcW w:w="1061" w:type="dxa"/>
            <w:shd w:val="clear" w:color="auto" w:fill="FFFFFF"/>
            <w:vAlign w:val="center"/>
          </w:tcPr>
          <w:p>
            <w:pPr>
              <w:widowControl/>
              <w:adjustRightInd w:val="0"/>
              <w:snapToGrid w:val="0"/>
              <w:spacing w:line="300" w:lineRule="auto"/>
              <w:jc w:val="left"/>
              <w:rPr>
                <w:bCs/>
                <w:kern w:val="0"/>
                <w:sz w:val="18"/>
                <w:szCs w:val="18"/>
              </w:rPr>
            </w:pPr>
            <w:r>
              <w:rPr>
                <w:bCs/>
                <w:kern w:val="0"/>
                <w:sz w:val="18"/>
                <w:szCs w:val="18"/>
              </w:rPr>
              <w:t>现场测试与口头报告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0" w:hRule="atLeast"/>
          <w:jc w:val="center"/>
        </w:trPr>
        <w:tc>
          <w:tcPr>
            <w:tcW w:w="733" w:type="dxa"/>
            <w:shd w:val="clear" w:color="auto" w:fill="FFFFFF"/>
            <w:vAlign w:val="center"/>
          </w:tcPr>
          <w:p>
            <w:pPr>
              <w:adjustRightInd w:val="0"/>
              <w:snapToGrid w:val="0"/>
              <w:spacing w:line="300" w:lineRule="auto"/>
              <w:jc w:val="center"/>
              <w:rPr>
                <w:sz w:val="18"/>
                <w:szCs w:val="18"/>
              </w:rPr>
            </w:pPr>
            <w:r>
              <w:rPr>
                <w:sz w:val="18"/>
                <w:szCs w:val="18"/>
              </w:rPr>
              <w:t>2</w:t>
            </w:r>
          </w:p>
        </w:tc>
        <w:tc>
          <w:tcPr>
            <w:tcW w:w="4750"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bCs/>
                <w:kern w:val="0"/>
                <w:sz w:val="18"/>
                <w:szCs w:val="18"/>
              </w:rPr>
            </w:pPr>
            <w:r>
              <w:rPr>
                <w:rFonts w:hint="eastAsia"/>
              </w:rPr>
              <w:t>2.</w:t>
            </w:r>
            <w:r>
              <w:rPr>
                <w:bCs/>
                <w:kern w:val="0"/>
                <w:szCs w:val="21"/>
              </w:rPr>
              <w:t xml:space="preserve"> 培养学生文献信息收集、整理、加工、利用与撰写能力，使之具有对科研选题、科研设计等科研程序和规则认识能力，熟悉科技文献写作方法和规范，并能撰写申请书与结题材料，具有良好的</w:t>
            </w:r>
            <w:r>
              <w:rPr>
                <w:rFonts w:hint="eastAsia"/>
                <w:bCs/>
                <w:kern w:val="0"/>
                <w:szCs w:val="21"/>
              </w:rPr>
              <w:t>沟通，协调的</w:t>
            </w:r>
            <w:r>
              <w:rPr>
                <w:bCs/>
                <w:kern w:val="0"/>
                <w:szCs w:val="21"/>
              </w:rPr>
              <w:t>能力。</w:t>
            </w:r>
          </w:p>
        </w:tc>
        <w:tc>
          <w:tcPr>
            <w:tcW w:w="1038" w:type="dxa"/>
            <w:shd w:val="clear" w:color="auto" w:fill="FFFFFF"/>
            <w:vAlign w:val="center"/>
          </w:tcPr>
          <w:p>
            <w:pPr>
              <w:adjustRightInd w:val="0"/>
              <w:snapToGrid w:val="0"/>
              <w:spacing w:line="300" w:lineRule="auto"/>
              <w:jc w:val="center"/>
              <w:rPr>
                <w:sz w:val="18"/>
                <w:szCs w:val="18"/>
              </w:rPr>
            </w:pPr>
            <w:r>
              <w:rPr>
                <w:sz w:val="18"/>
                <w:szCs w:val="18"/>
              </w:rPr>
              <w:t>考查</w:t>
            </w:r>
          </w:p>
        </w:tc>
        <w:tc>
          <w:tcPr>
            <w:tcW w:w="1099" w:type="dxa"/>
            <w:shd w:val="clear" w:color="auto" w:fill="FFFFFF"/>
            <w:vAlign w:val="center"/>
          </w:tcPr>
          <w:p>
            <w:pPr>
              <w:adjustRightInd w:val="0"/>
              <w:snapToGrid w:val="0"/>
              <w:spacing w:line="300" w:lineRule="auto"/>
              <w:jc w:val="center"/>
              <w:rPr>
                <w:sz w:val="18"/>
                <w:szCs w:val="18"/>
              </w:rPr>
            </w:pPr>
            <w:r>
              <w:rPr>
                <w:sz w:val="18"/>
                <w:szCs w:val="18"/>
              </w:rPr>
              <w:t>0.4</w:t>
            </w:r>
          </w:p>
        </w:tc>
        <w:tc>
          <w:tcPr>
            <w:tcW w:w="1061" w:type="dxa"/>
            <w:shd w:val="clear" w:color="auto" w:fill="FFFFFF"/>
            <w:vAlign w:val="center"/>
          </w:tcPr>
          <w:p>
            <w:pPr>
              <w:adjustRightInd w:val="0"/>
              <w:snapToGrid w:val="0"/>
              <w:spacing w:line="300" w:lineRule="auto"/>
              <w:rPr>
                <w:sz w:val="18"/>
                <w:szCs w:val="18"/>
              </w:rPr>
            </w:pPr>
            <w:r>
              <w:rPr>
                <w:sz w:val="18"/>
                <w:szCs w:val="18"/>
              </w:rPr>
              <w:t>申请书与结题报告审阅评分、口头报告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0" w:hRule="atLeast"/>
          <w:jc w:val="center"/>
        </w:trPr>
        <w:tc>
          <w:tcPr>
            <w:tcW w:w="733" w:type="dxa"/>
            <w:shd w:val="clear" w:color="auto" w:fill="FFFFFF"/>
            <w:vAlign w:val="center"/>
          </w:tcPr>
          <w:p>
            <w:pPr>
              <w:adjustRightInd w:val="0"/>
              <w:snapToGrid w:val="0"/>
              <w:spacing w:line="300" w:lineRule="auto"/>
              <w:jc w:val="center"/>
              <w:rPr>
                <w:sz w:val="18"/>
                <w:szCs w:val="18"/>
              </w:rPr>
            </w:pPr>
            <w:r>
              <w:rPr>
                <w:sz w:val="18"/>
                <w:szCs w:val="18"/>
              </w:rPr>
              <w:t>3</w:t>
            </w:r>
          </w:p>
        </w:tc>
        <w:tc>
          <w:tcPr>
            <w:tcW w:w="4750"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bCs/>
                <w:kern w:val="0"/>
                <w:sz w:val="18"/>
                <w:szCs w:val="18"/>
              </w:rPr>
            </w:pPr>
            <w:r>
              <w:rPr>
                <w:rFonts w:hint="eastAsia"/>
              </w:rPr>
              <w:t xml:space="preserve">3. </w:t>
            </w:r>
            <w:r>
              <w:rPr>
                <w:bCs/>
                <w:kern w:val="0"/>
                <w:szCs w:val="21"/>
              </w:rPr>
              <w:t>能够在</w:t>
            </w:r>
            <w:r>
              <w:rPr>
                <w:rFonts w:hint="eastAsia"/>
                <w:bCs/>
                <w:kern w:val="0"/>
                <w:szCs w:val="21"/>
              </w:rPr>
              <w:t>项目硬件设计软件的</w:t>
            </w:r>
            <w:r>
              <w:rPr>
                <w:bCs/>
                <w:kern w:val="0"/>
                <w:szCs w:val="21"/>
              </w:rPr>
              <w:t>多学科环境中应用经济决策方法</w:t>
            </w:r>
            <w:r>
              <w:rPr>
                <w:rFonts w:hint="eastAsia"/>
                <w:bCs/>
                <w:kern w:val="0"/>
                <w:szCs w:val="21"/>
              </w:rPr>
              <w:t>，考虑成本与绩效，项目进行过程考虑</w:t>
            </w:r>
            <w:r>
              <w:rPr>
                <w:bCs/>
                <w:kern w:val="0"/>
                <w:szCs w:val="21"/>
              </w:rPr>
              <w:t>工程管理</w:t>
            </w:r>
            <w:r>
              <w:rPr>
                <w:rFonts w:hint="eastAsia"/>
                <w:bCs/>
                <w:kern w:val="0"/>
                <w:szCs w:val="21"/>
              </w:rPr>
              <w:t>方法的应用，使项目科学化、效益最大化。</w:t>
            </w:r>
          </w:p>
        </w:tc>
        <w:tc>
          <w:tcPr>
            <w:tcW w:w="1038" w:type="dxa"/>
            <w:shd w:val="clear" w:color="auto" w:fill="FFFFFF"/>
            <w:vAlign w:val="center"/>
          </w:tcPr>
          <w:p>
            <w:pPr>
              <w:adjustRightInd w:val="0"/>
              <w:snapToGrid w:val="0"/>
              <w:spacing w:line="300" w:lineRule="auto"/>
              <w:jc w:val="center"/>
              <w:rPr>
                <w:sz w:val="18"/>
                <w:szCs w:val="18"/>
              </w:rPr>
            </w:pPr>
            <w:r>
              <w:rPr>
                <w:sz w:val="18"/>
                <w:szCs w:val="18"/>
              </w:rPr>
              <w:t>考查</w:t>
            </w:r>
          </w:p>
        </w:tc>
        <w:tc>
          <w:tcPr>
            <w:tcW w:w="1099" w:type="dxa"/>
            <w:shd w:val="clear" w:color="auto" w:fill="FFFFFF"/>
            <w:vAlign w:val="center"/>
          </w:tcPr>
          <w:p>
            <w:pPr>
              <w:adjustRightInd w:val="0"/>
              <w:snapToGrid w:val="0"/>
              <w:spacing w:line="300" w:lineRule="auto"/>
              <w:jc w:val="center"/>
              <w:rPr>
                <w:sz w:val="18"/>
                <w:szCs w:val="18"/>
              </w:rPr>
            </w:pPr>
            <w:r>
              <w:rPr>
                <w:sz w:val="18"/>
                <w:szCs w:val="18"/>
              </w:rPr>
              <w:t>0.3</w:t>
            </w:r>
          </w:p>
        </w:tc>
        <w:tc>
          <w:tcPr>
            <w:tcW w:w="1061" w:type="dxa"/>
            <w:shd w:val="clear" w:color="auto" w:fill="FFFFFF"/>
            <w:vAlign w:val="center"/>
          </w:tcPr>
          <w:p>
            <w:pPr>
              <w:adjustRightInd w:val="0"/>
              <w:snapToGrid w:val="0"/>
              <w:spacing w:line="300" w:lineRule="auto"/>
              <w:rPr>
                <w:sz w:val="18"/>
                <w:szCs w:val="18"/>
              </w:rPr>
            </w:pPr>
            <w:r>
              <w:rPr>
                <w:sz w:val="18"/>
                <w:szCs w:val="18"/>
              </w:rPr>
              <w:t>申请书与结题报告水平审阅评分</w:t>
            </w:r>
          </w:p>
        </w:tc>
      </w:tr>
    </w:tbl>
    <w:p>
      <w:pPr>
        <w:snapToGrid w:val="0"/>
        <w:spacing w:before="159" w:beforeLines="50" w:after="159" w:afterLines="50" w:line="300" w:lineRule="auto"/>
        <w:rPr>
          <w:b/>
          <w:sz w:val="24"/>
        </w:rPr>
      </w:pPr>
      <w:r>
        <w:rPr>
          <w:b/>
          <w:sz w:val="24"/>
        </w:rPr>
        <w:t>六、课程教学目标达成度评价</w:t>
      </w:r>
    </w:p>
    <w:p>
      <w:pPr>
        <w:adjustRightInd w:val="0"/>
        <w:snapToGrid w:val="0"/>
        <w:spacing w:line="300" w:lineRule="auto"/>
        <w:ind w:firstLine="420" w:firstLineChars="200"/>
      </w:pPr>
      <w:r>
        <w:rPr>
          <w:szCs w:val="21"/>
        </w:rPr>
        <w:t>1</w:t>
      </w:r>
      <w:r>
        <w:t>．</w:t>
      </w:r>
      <w:r>
        <w:rPr>
          <w:szCs w:val="21"/>
        </w:rPr>
        <w:t>达成度评价依据和方法。</w:t>
      </w:r>
      <w:r>
        <w:t>课程各目标达成情况为该项目学生的平均得分率，计算公式为：</w:t>
      </w:r>
    </w:p>
    <w:p>
      <w:pPr>
        <w:adjustRightInd w:val="0"/>
        <w:snapToGrid w:val="0"/>
        <w:spacing w:line="300" w:lineRule="auto"/>
        <w:jc w:val="center"/>
      </w:pPr>
      <w:r>
        <w:rPr>
          <w:position w:val="-26"/>
        </w:rPr>
        <w:object>
          <v:shape id="_x0000_i1183"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83" DrawAspect="Content" ObjectID="_1468075881" r:id="rId210">
            <o:LockedField>false</o:LockedField>
          </o:OLEObject>
        </w:object>
      </w:r>
    </w:p>
    <w:p>
      <w:pPr>
        <w:adjustRightInd w:val="0"/>
        <w:snapToGrid w:val="0"/>
        <w:spacing w:line="300" w:lineRule="auto"/>
      </w:pPr>
      <w:r>
        <w:t>课程总目标达成情况为5个课程目标的加权得分率，其计算公式为：</w:t>
      </w:r>
    </w:p>
    <w:p>
      <w:pPr>
        <w:adjustRightInd w:val="0"/>
        <w:snapToGrid w:val="0"/>
        <w:spacing w:line="300" w:lineRule="auto"/>
        <w:jc w:val="center"/>
      </w:pPr>
      <w:r>
        <w:object>
          <v:shape id="_x0000_i1184" o:spt="75" type="#_x0000_t75" style="height:16.5pt;width:264pt;" o:ole="t" filled="f" o:preferrelative="t" stroked="f" coordsize="21600,21600">
            <v:path/>
            <v:fill on="f" focussize="0,0"/>
            <v:stroke on="f" joinstyle="miter"/>
            <v:imagedata r:id="rId38" o:title=""/>
            <o:lock v:ext="edit" aspectratio="t"/>
            <w10:wrap type="none"/>
            <w10:anchorlock/>
          </v:shape>
          <o:OLEObject Type="Embed" ProgID="Equation.DSMT4" ShapeID="_x0000_i1184" DrawAspect="Content" ObjectID="_1468075882" r:id="rId211">
            <o:LockedField>false</o:LockedField>
          </o:OLEObject>
        </w:object>
      </w:r>
    </w:p>
    <w:p>
      <w:pPr>
        <w:adjustRightInd w:val="0"/>
        <w:snapToGrid w:val="0"/>
        <w:spacing w:line="300" w:lineRule="auto"/>
      </w:pPr>
      <w:r>
        <w:t>其中权重系数按照表5设定。</w:t>
      </w:r>
    </w:p>
    <w:p>
      <w:pPr>
        <w:spacing w:before="159" w:beforeLines="50"/>
        <w:jc w:val="center"/>
        <w:rPr>
          <w:b/>
          <w:bCs/>
          <w:sz w:val="18"/>
          <w:szCs w:val="18"/>
        </w:rPr>
      </w:pPr>
      <w:r>
        <w:rPr>
          <w:b/>
          <w:bCs/>
          <w:sz w:val="18"/>
          <w:szCs w:val="18"/>
        </w:rPr>
        <w:t>表5 课程目标权重系数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1"/>
        <w:gridCol w:w="1306"/>
        <w:gridCol w:w="1546"/>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231" w:type="dxa"/>
            <w:vAlign w:val="center"/>
          </w:tcPr>
          <w:p>
            <w:pPr>
              <w:snapToGrid w:val="0"/>
              <w:spacing w:line="300" w:lineRule="auto"/>
              <w:jc w:val="center"/>
              <w:rPr>
                <w:b/>
                <w:bCs/>
                <w:sz w:val="18"/>
                <w:szCs w:val="18"/>
              </w:rPr>
            </w:pPr>
            <w:r>
              <w:rPr>
                <w:b/>
                <w:bCs/>
                <w:sz w:val="18"/>
                <w:szCs w:val="18"/>
              </w:rPr>
              <w:t>课程目标</w:t>
            </w:r>
          </w:p>
        </w:tc>
        <w:tc>
          <w:tcPr>
            <w:tcW w:w="1306" w:type="dxa"/>
            <w:vAlign w:val="center"/>
          </w:tcPr>
          <w:p>
            <w:pPr>
              <w:jc w:val="center"/>
              <w:rPr>
                <w:sz w:val="18"/>
                <w:szCs w:val="18"/>
              </w:rPr>
            </w:pPr>
            <w:r>
              <w:rPr>
                <w:szCs w:val="21"/>
              </w:rPr>
              <w:t>1</w:t>
            </w:r>
          </w:p>
        </w:tc>
        <w:tc>
          <w:tcPr>
            <w:tcW w:w="1546" w:type="dxa"/>
            <w:vAlign w:val="center"/>
          </w:tcPr>
          <w:p>
            <w:pPr>
              <w:jc w:val="center"/>
              <w:rPr>
                <w:sz w:val="18"/>
                <w:szCs w:val="18"/>
              </w:rPr>
            </w:pPr>
            <w:r>
              <w:rPr>
                <w:szCs w:val="21"/>
              </w:rPr>
              <w:t>2</w:t>
            </w:r>
          </w:p>
        </w:tc>
        <w:tc>
          <w:tcPr>
            <w:tcW w:w="1531" w:type="dxa"/>
            <w:vAlign w:val="center"/>
          </w:tcPr>
          <w:p>
            <w:pPr>
              <w:jc w:val="center"/>
              <w:rPr>
                <w:sz w:val="18"/>
                <w:szCs w:val="18"/>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231" w:type="dxa"/>
            <w:vAlign w:val="center"/>
          </w:tcPr>
          <w:p>
            <w:pPr>
              <w:snapToGrid w:val="0"/>
              <w:spacing w:line="300" w:lineRule="auto"/>
              <w:jc w:val="center"/>
              <w:rPr>
                <w:b/>
                <w:bCs/>
                <w:sz w:val="18"/>
                <w:szCs w:val="18"/>
              </w:rPr>
            </w:pPr>
            <w:r>
              <w:rPr>
                <w:b/>
                <w:bCs/>
                <w:sz w:val="18"/>
                <w:szCs w:val="18"/>
              </w:rPr>
              <w:t>权重系数</w:t>
            </w:r>
          </w:p>
        </w:tc>
        <w:tc>
          <w:tcPr>
            <w:tcW w:w="1306" w:type="dxa"/>
            <w:vAlign w:val="center"/>
          </w:tcPr>
          <w:p>
            <w:pPr>
              <w:jc w:val="center"/>
              <w:rPr>
                <w:sz w:val="18"/>
                <w:szCs w:val="18"/>
              </w:rPr>
            </w:pPr>
            <w:r>
              <w:rPr>
                <w:szCs w:val="21"/>
              </w:rPr>
              <w:t>0.3</w:t>
            </w:r>
          </w:p>
        </w:tc>
        <w:tc>
          <w:tcPr>
            <w:tcW w:w="1546" w:type="dxa"/>
            <w:vAlign w:val="center"/>
          </w:tcPr>
          <w:p>
            <w:pPr>
              <w:jc w:val="center"/>
              <w:rPr>
                <w:sz w:val="18"/>
                <w:szCs w:val="18"/>
              </w:rPr>
            </w:pPr>
            <w:r>
              <w:rPr>
                <w:szCs w:val="21"/>
              </w:rPr>
              <w:t>0.4</w:t>
            </w:r>
          </w:p>
        </w:tc>
        <w:tc>
          <w:tcPr>
            <w:tcW w:w="1531" w:type="dxa"/>
            <w:vAlign w:val="center"/>
          </w:tcPr>
          <w:p>
            <w:pPr>
              <w:jc w:val="center"/>
              <w:rPr>
                <w:sz w:val="18"/>
                <w:szCs w:val="18"/>
              </w:rPr>
            </w:pPr>
            <w:r>
              <w:rPr>
                <w:szCs w:val="21"/>
              </w:rPr>
              <w:t>0.3</w:t>
            </w:r>
          </w:p>
        </w:tc>
      </w:tr>
    </w:tbl>
    <w:p>
      <w:pPr>
        <w:adjustRightInd w:val="0"/>
        <w:snapToGrid w:val="0"/>
        <w:spacing w:before="159" w:beforeLines="50"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185"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185" DrawAspect="Content" ObjectID="_1468075883" r:id="rId212">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r>
        <w:rPr>
          <w:szCs w:val="21"/>
          <w:shd w:val="clear" w:color="auto" w:fill="FFFFFF"/>
        </w:rPr>
        <w:t> </w:t>
      </w:r>
      <w:r>
        <w:rPr>
          <w:szCs w:val="21"/>
        </w:rPr>
        <w:t>依据达成度评价、教师评价、督导专家评价，以及毕业论文情况、答辩情况，对毕业论文情况进行有针对性的总结，撰写毕业设计论文总结与报告，提出持续改进课程教学的措施。</w:t>
      </w:r>
    </w:p>
    <w:p>
      <w:pPr>
        <w:snapToGrid w:val="0"/>
        <w:spacing w:before="159" w:beforeLines="50" w:after="159" w:afterLines="50" w:line="300" w:lineRule="auto"/>
        <w:rPr>
          <w:b/>
          <w:sz w:val="24"/>
        </w:rPr>
      </w:pPr>
      <w:r>
        <w:rPr>
          <w:b/>
          <w:sz w:val="24"/>
        </w:rPr>
        <w:t>七、教材与主要参考书。</w:t>
      </w:r>
    </w:p>
    <w:p>
      <w:pPr>
        <w:adjustRightInd w:val="0"/>
        <w:snapToGrid w:val="0"/>
        <w:spacing w:line="300" w:lineRule="auto"/>
        <w:ind w:firstLine="435"/>
        <w:rPr>
          <w:szCs w:val="21"/>
        </w:rPr>
      </w:pPr>
      <w:r>
        <w:rPr>
          <w:szCs w:val="21"/>
        </w:rPr>
        <w:t>1.教材</w:t>
      </w:r>
    </w:p>
    <w:p>
      <w:pPr>
        <w:adjustRightInd w:val="0"/>
        <w:snapToGrid w:val="0"/>
        <w:spacing w:line="300" w:lineRule="auto"/>
        <w:ind w:firstLine="435"/>
        <w:rPr>
          <w:szCs w:val="21"/>
        </w:rPr>
      </w:pPr>
      <w:r>
        <w:rPr>
          <w:szCs w:val="21"/>
        </w:rPr>
        <w:t>不指定教材。</w:t>
      </w:r>
    </w:p>
    <w:p>
      <w:pPr>
        <w:adjustRightInd w:val="0"/>
        <w:snapToGrid w:val="0"/>
        <w:spacing w:line="300" w:lineRule="auto"/>
        <w:ind w:firstLine="435"/>
        <w:rPr>
          <w:b/>
          <w:bCs/>
          <w:szCs w:val="21"/>
        </w:rPr>
      </w:pPr>
      <w:r>
        <w:rPr>
          <w:szCs w:val="21"/>
        </w:rPr>
        <w:t>2.参考书</w:t>
      </w:r>
    </w:p>
    <w:p>
      <w:pPr>
        <w:adjustRightInd w:val="0"/>
        <w:snapToGrid w:val="0"/>
        <w:spacing w:line="300" w:lineRule="auto"/>
        <w:ind w:firstLine="435"/>
        <w:rPr>
          <w:szCs w:val="21"/>
        </w:rPr>
      </w:pPr>
      <w:r>
        <w:rPr>
          <w:szCs w:val="21"/>
        </w:rPr>
        <w:t>[1] 李小平.新世纪创新人才应具有全面的创造性[J].高等教育研究,2002(6):23-26.</w:t>
      </w:r>
    </w:p>
    <w:p>
      <w:pPr>
        <w:adjustRightInd w:val="0"/>
        <w:snapToGrid w:val="0"/>
        <w:spacing w:line="300" w:lineRule="auto"/>
        <w:ind w:firstLine="435"/>
        <w:rPr>
          <w:szCs w:val="21"/>
        </w:rPr>
      </w:pPr>
      <w:r>
        <w:rPr>
          <w:szCs w:val="21"/>
        </w:rPr>
        <w:t>[2] 汪雄海，赵光宙. 大学生科研训练教育实践[J]. 高等工程教育研究,2001(4)：83-84.</w:t>
      </w:r>
    </w:p>
    <w:p>
      <w:pPr>
        <w:adjustRightInd w:val="0"/>
        <w:snapToGrid w:val="0"/>
        <w:spacing w:line="300" w:lineRule="auto"/>
        <w:ind w:firstLine="420" w:firstLineChars="200"/>
        <w:rPr>
          <w:szCs w:val="21"/>
        </w:rPr>
      </w:pPr>
      <w:r>
        <w:rPr>
          <w:szCs w:val="21"/>
        </w:rPr>
        <w:t>[3] 赵川平,张聪，楼程富. 大学生科研训练的实践与思考[J]. 高等工程教育研究，</w:t>
      </w:r>
    </w:p>
    <w:p>
      <w:pPr>
        <w:adjustRightInd w:val="0"/>
        <w:snapToGrid w:val="0"/>
        <w:spacing w:line="300" w:lineRule="auto"/>
        <w:ind w:firstLine="105" w:firstLineChars="50"/>
      </w:pPr>
      <w:r>
        <w:t xml:space="preserve">   [4] 饶宗政.编著，《现代文献检索与利用》[M]机械工业出版社，2016.</w:t>
      </w:r>
    </w:p>
    <w:p>
      <w:pPr>
        <w:adjustRightInd w:val="0"/>
        <w:snapToGrid w:val="0"/>
        <w:spacing w:line="300" w:lineRule="auto"/>
        <w:ind w:firstLine="420"/>
      </w:pPr>
      <w:r>
        <w:t>[5] 振华.编著.《文献检索与论文写作》[M]，清华大学出版社，2016.</w:t>
      </w:r>
    </w:p>
    <w:tbl>
      <w:tblPr>
        <w:tblStyle w:val="22"/>
        <w:tblpPr w:leftFromText="180" w:rightFromText="180" w:vertAnchor="text" w:horzAnchor="margin" w:tblpX="-39" w:tblpY="266"/>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74" w:hRule="atLeast"/>
        </w:trPr>
        <w:tc>
          <w:tcPr>
            <w:tcW w:w="8217" w:type="dxa"/>
          </w:tcPr>
          <w:p>
            <w:pPr>
              <w:snapToGrid w:val="0"/>
              <w:spacing w:line="300" w:lineRule="auto"/>
              <w:ind w:right="630" w:firstLine="404" w:firstLineChars="202"/>
              <w:jc w:val="right"/>
              <w:rPr>
                <w:kern w:val="0"/>
                <w:sz w:val="20"/>
                <w:szCs w:val="21"/>
              </w:rPr>
            </w:pPr>
          </w:p>
          <w:p>
            <w:pPr>
              <w:snapToGrid w:val="0"/>
              <w:spacing w:line="300" w:lineRule="auto"/>
              <w:ind w:right="630" w:firstLine="404" w:firstLineChars="202"/>
              <w:jc w:val="right"/>
              <w:rPr>
                <w:kern w:val="0"/>
                <w:sz w:val="20"/>
                <w:szCs w:val="21"/>
              </w:rPr>
            </w:pPr>
          </w:p>
          <w:p>
            <w:pPr>
              <w:snapToGrid w:val="0"/>
              <w:spacing w:line="300" w:lineRule="auto"/>
              <w:ind w:right="630" w:firstLine="404" w:firstLineChars="202"/>
              <w:jc w:val="right"/>
              <w:rPr>
                <w:kern w:val="0"/>
                <w:sz w:val="20"/>
                <w:szCs w:val="21"/>
              </w:rPr>
            </w:pPr>
          </w:p>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期：2022.0</w:t>
            </w:r>
            <w:r>
              <w:rPr>
                <w:rFonts w:hint="eastAsia"/>
                <w:kern w:val="0"/>
                <w:sz w:val="20"/>
                <w:szCs w:val="21"/>
              </w:rPr>
              <w:t>4</w:t>
            </w:r>
            <w:r>
              <w:rPr>
                <w:kern w:val="0"/>
                <w:sz w:val="20"/>
                <w:szCs w:val="21"/>
              </w:rPr>
              <w:t>.</w:t>
            </w:r>
            <w:r>
              <w:rPr>
                <w:rFonts w:hint="eastAsia"/>
                <w:kern w:val="0"/>
                <w:sz w:val="20"/>
                <w:szCs w:val="21"/>
              </w:rPr>
              <w:t>20</w:t>
            </w:r>
          </w:p>
          <w:p>
            <w:pPr>
              <w:snapToGrid w:val="0"/>
              <w:spacing w:line="300" w:lineRule="auto"/>
              <w:ind w:right="200"/>
              <w:rPr>
                <w:kern w:val="0"/>
                <w:sz w:val="20"/>
                <w:szCs w:val="21"/>
              </w:rPr>
            </w:pPr>
          </w:p>
        </w:tc>
      </w:tr>
    </w:tbl>
    <w:p>
      <w:pPr>
        <w:pStyle w:val="3"/>
        <w:jc w:val="center"/>
      </w:pPr>
      <w:r>
        <w:br w:type="page"/>
      </w:r>
      <w:bookmarkStart w:id="260" w:name="_Toc8939"/>
      <w:bookmarkStart w:id="261" w:name="_Toc20891"/>
      <w:bookmarkStart w:id="262" w:name="_Toc16948"/>
      <w:r>
        <w:rPr>
          <w:rFonts w:hint="eastAsia"/>
        </w:rPr>
        <w:t>j3341701《C语言程序设计实习》</w:t>
      </w:r>
      <w:bookmarkEnd w:id="259"/>
      <w:r>
        <w:rPr>
          <w:rFonts w:hint="eastAsia"/>
        </w:rPr>
        <w:t>实习教学大纲</w:t>
      </w:r>
      <w:bookmarkEnd w:id="260"/>
      <w:bookmarkEnd w:id="261"/>
      <w:bookmarkEnd w:id="262"/>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6" w:type="dxa"/>
            <w:vAlign w:val="center"/>
          </w:tcPr>
          <w:p>
            <w:pPr>
              <w:jc w:val="center"/>
              <w:rPr>
                <w:kern w:val="0"/>
                <w:szCs w:val="21"/>
              </w:rPr>
            </w:pPr>
            <w:r>
              <w:rPr>
                <w:kern w:val="0"/>
                <w:szCs w:val="21"/>
              </w:rPr>
              <w:t>课程编号</w:t>
            </w:r>
          </w:p>
        </w:tc>
        <w:tc>
          <w:tcPr>
            <w:tcW w:w="3143" w:type="dxa"/>
            <w:vAlign w:val="center"/>
          </w:tcPr>
          <w:p>
            <w:pPr>
              <w:jc w:val="center"/>
              <w:rPr>
                <w:kern w:val="0"/>
                <w:szCs w:val="21"/>
              </w:rPr>
            </w:pPr>
            <w:r>
              <w:rPr>
                <w:kern w:val="0"/>
                <w:szCs w:val="21"/>
              </w:rPr>
              <w:t>j33</w:t>
            </w:r>
            <w:r>
              <w:rPr>
                <w:rFonts w:hint="eastAsia"/>
                <w:kern w:val="0"/>
                <w:szCs w:val="21"/>
              </w:rPr>
              <w:t>41701</w:t>
            </w:r>
          </w:p>
        </w:tc>
        <w:tc>
          <w:tcPr>
            <w:tcW w:w="1214" w:type="dxa"/>
            <w:vAlign w:val="center"/>
          </w:tcPr>
          <w:p>
            <w:pPr>
              <w:jc w:val="center"/>
              <w:rPr>
                <w:kern w:val="0"/>
                <w:szCs w:val="21"/>
              </w:rPr>
            </w:pPr>
            <w:r>
              <w:rPr>
                <w:kern w:val="0"/>
                <w:szCs w:val="21"/>
              </w:rPr>
              <w:t>课程名称</w:t>
            </w:r>
          </w:p>
        </w:tc>
        <w:tc>
          <w:tcPr>
            <w:tcW w:w="2978" w:type="dxa"/>
            <w:vAlign w:val="center"/>
          </w:tcPr>
          <w:p>
            <w:pPr>
              <w:jc w:val="center"/>
              <w:rPr>
                <w:kern w:val="0"/>
                <w:szCs w:val="21"/>
              </w:rPr>
            </w:pPr>
            <w:r>
              <w:rPr>
                <w:kern w:val="0"/>
                <w:szCs w:val="21"/>
              </w:rPr>
              <w:t>C语言程序设计实习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6" w:type="dxa"/>
            <w:vAlign w:val="center"/>
          </w:tcPr>
          <w:p>
            <w:pPr>
              <w:jc w:val="center"/>
              <w:rPr>
                <w:kern w:val="0"/>
                <w:szCs w:val="21"/>
              </w:rPr>
            </w:pPr>
            <w:r>
              <w:rPr>
                <w:kern w:val="0"/>
                <w:szCs w:val="21"/>
              </w:rPr>
              <w:t>课程性质*</w:t>
            </w:r>
          </w:p>
        </w:tc>
        <w:tc>
          <w:tcPr>
            <w:tcW w:w="3143" w:type="dxa"/>
            <w:vAlign w:val="center"/>
          </w:tcPr>
          <w:p>
            <w:pPr>
              <w:jc w:val="center"/>
              <w:rPr>
                <w:kern w:val="0"/>
                <w:szCs w:val="21"/>
              </w:rPr>
            </w:pPr>
            <w:r>
              <w:rPr>
                <w:kern w:val="0"/>
                <w:szCs w:val="21"/>
              </w:rPr>
              <w:t>工程实践与毕业设计（论文）</w:t>
            </w:r>
          </w:p>
        </w:tc>
        <w:tc>
          <w:tcPr>
            <w:tcW w:w="1214" w:type="dxa"/>
            <w:vAlign w:val="center"/>
          </w:tcPr>
          <w:p>
            <w:pPr>
              <w:jc w:val="center"/>
              <w:rPr>
                <w:kern w:val="0"/>
                <w:szCs w:val="21"/>
              </w:rPr>
            </w:pPr>
            <w:r>
              <w:rPr>
                <w:kern w:val="0"/>
                <w:szCs w:val="21"/>
              </w:rPr>
              <w:t>英文名称</w:t>
            </w:r>
          </w:p>
        </w:tc>
        <w:tc>
          <w:tcPr>
            <w:tcW w:w="2978" w:type="dxa"/>
            <w:vAlign w:val="center"/>
          </w:tcPr>
          <w:p>
            <w:pPr>
              <w:jc w:val="center"/>
              <w:rPr>
                <w:bCs/>
                <w:kern w:val="0"/>
                <w:szCs w:val="21"/>
              </w:rPr>
            </w:pPr>
            <w:r>
              <w:rPr>
                <w:kern w:val="0"/>
                <w:szCs w:val="21"/>
              </w:rPr>
              <w:t>C Language Programming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346" w:type="dxa"/>
            <w:vAlign w:val="center"/>
          </w:tcPr>
          <w:p>
            <w:pPr>
              <w:jc w:val="center"/>
              <w:rPr>
                <w:kern w:val="0"/>
                <w:szCs w:val="21"/>
              </w:rPr>
            </w:pPr>
            <w:r>
              <w:rPr>
                <w:kern w:val="0"/>
                <w:szCs w:val="21"/>
              </w:rPr>
              <w:t>学分学时</w:t>
            </w:r>
          </w:p>
        </w:tc>
        <w:tc>
          <w:tcPr>
            <w:tcW w:w="3143" w:type="dxa"/>
            <w:vAlign w:val="center"/>
          </w:tcPr>
          <w:p>
            <w:pPr>
              <w:jc w:val="center"/>
              <w:rPr>
                <w:kern w:val="0"/>
                <w:szCs w:val="21"/>
              </w:rPr>
            </w:pPr>
            <w:r>
              <w:rPr>
                <w:kern w:val="0"/>
                <w:szCs w:val="21"/>
              </w:rPr>
              <w:t>1</w:t>
            </w:r>
            <w:r>
              <w:rPr>
                <w:bCs/>
                <w:kern w:val="0"/>
                <w:szCs w:val="21"/>
              </w:rPr>
              <w:t xml:space="preserve"> </w:t>
            </w:r>
            <w:r>
              <w:rPr>
                <w:kern w:val="0"/>
                <w:szCs w:val="21"/>
              </w:rPr>
              <w:t>: 1周</w:t>
            </w:r>
          </w:p>
        </w:tc>
        <w:tc>
          <w:tcPr>
            <w:tcW w:w="1214" w:type="dxa"/>
            <w:vAlign w:val="center"/>
          </w:tcPr>
          <w:p>
            <w:pPr>
              <w:jc w:val="center"/>
              <w:rPr>
                <w:kern w:val="0"/>
                <w:szCs w:val="21"/>
                <w:highlight w:val="yellow"/>
              </w:rPr>
            </w:pPr>
            <w:r>
              <w:rPr>
                <w:kern w:val="0"/>
                <w:szCs w:val="21"/>
              </w:rPr>
              <w:t>任课教师</w:t>
            </w:r>
          </w:p>
        </w:tc>
        <w:tc>
          <w:tcPr>
            <w:tcW w:w="2978" w:type="dxa"/>
            <w:vAlign w:val="center"/>
          </w:tcPr>
          <w:p>
            <w:pPr>
              <w:jc w:val="center"/>
              <w:rPr>
                <w:kern w:val="0"/>
                <w:szCs w:val="21"/>
                <w:highlight w:val="yellow"/>
              </w:rPr>
            </w:pPr>
            <w:r>
              <w:rPr>
                <w:kern w:val="0"/>
                <w:szCs w:val="21"/>
              </w:rPr>
              <w:t>郭晓云、彭银桥、李树发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6" w:type="dxa"/>
            <w:vAlign w:val="center"/>
          </w:tcPr>
          <w:p>
            <w:pPr>
              <w:jc w:val="center"/>
              <w:rPr>
                <w:bCs/>
                <w:kern w:val="0"/>
                <w:szCs w:val="21"/>
              </w:rPr>
            </w:pPr>
            <w:r>
              <w:rPr>
                <w:bCs/>
                <w:kern w:val="0"/>
                <w:szCs w:val="21"/>
              </w:rPr>
              <w:t>企业专家</w:t>
            </w:r>
          </w:p>
        </w:tc>
        <w:tc>
          <w:tcPr>
            <w:tcW w:w="3143" w:type="dxa"/>
            <w:vAlign w:val="center"/>
          </w:tcPr>
          <w:p>
            <w:pPr>
              <w:widowControl/>
              <w:jc w:val="center"/>
              <w:rPr>
                <w:kern w:val="0"/>
                <w:szCs w:val="21"/>
              </w:rPr>
            </w:pPr>
            <w:r>
              <w:rPr>
                <w:kern w:val="0"/>
                <w:szCs w:val="21"/>
              </w:rPr>
              <w:t>曾耿滨</w:t>
            </w:r>
          </w:p>
        </w:tc>
        <w:tc>
          <w:tcPr>
            <w:tcW w:w="1214" w:type="dxa"/>
            <w:vAlign w:val="center"/>
          </w:tcPr>
          <w:p>
            <w:pPr>
              <w:jc w:val="center"/>
              <w:rPr>
                <w:bCs/>
                <w:kern w:val="0"/>
                <w:szCs w:val="21"/>
              </w:rPr>
            </w:pPr>
            <w:r>
              <w:rPr>
                <w:bCs/>
                <w:kern w:val="0"/>
                <w:szCs w:val="21"/>
              </w:rPr>
              <w:t>行业专家</w:t>
            </w:r>
          </w:p>
        </w:tc>
        <w:tc>
          <w:tcPr>
            <w:tcW w:w="2978"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1346" w:type="dxa"/>
            <w:vAlign w:val="center"/>
          </w:tcPr>
          <w:p>
            <w:pPr>
              <w:widowControl/>
              <w:jc w:val="center"/>
              <w:rPr>
                <w:bCs/>
                <w:kern w:val="0"/>
                <w:szCs w:val="21"/>
              </w:rPr>
            </w:pPr>
            <w:r>
              <w:rPr>
                <w:bCs/>
                <w:kern w:val="0"/>
                <w:szCs w:val="21"/>
              </w:rPr>
              <w:t>执笔教师</w:t>
            </w:r>
          </w:p>
        </w:tc>
        <w:tc>
          <w:tcPr>
            <w:tcW w:w="3143" w:type="dxa"/>
            <w:vAlign w:val="center"/>
          </w:tcPr>
          <w:p>
            <w:pPr>
              <w:widowControl/>
              <w:jc w:val="center"/>
              <w:rPr>
                <w:kern w:val="0"/>
                <w:szCs w:val="21"/>
              </w:rPr>
            </w:pPr>
            <w:r>
              <w:rPr>
                <w:kern w:val="0"/>
                <w:szCs w:val="21"/>
              </w:rPr>
              <w:t>郭晓云</w:t>
            </w:r>
          </w:p>
        </w:tc>
        <w:tc>
          <w:tcPr>
            <w:tcW w:w="1214" w:type="dxa"/>
            <w:vAlign w:val="center"/>
          </w:tcPr>
          <w:p>
            <w:pPr>
              <w:widowControl/>
              <w:jc w:val="center"/>
              <w:rPr>
                <w:bCs/>
                <w:kern w:val="0"/>
                <w:szCs w:val="21"/>
              </w:rPr>
            </w:pPr>
            <w:r>
              <w:rPr>
                <w:bCs/>
                <w:kern w:val="0"/>
                <w:szCs w:val="21"/>
              </w:rPr>
              <w:t>责任教授</w:t>
            </w:r>
          </w:p>
        </w:tc>
        <w:tc>
          <w:tcPr>
            <w:tcW w:w="2978" w:type="dxa"/>
            <w:vAlign w:val="center"/>
          </w:tcPr>
          <w:p>
            <w:pPr>
              <w:widowControl/>
              <w:jc w:val="center"/>
              <w:rPr>
                <w:kern w:val="0"/>
                <w:szCs w:val="21"/>
              </w:rPr>
            </w:pPr>
            <w:r>
              <w:rPr>
                <w:kern w:val="0"/>
                <w:szCs w:val="21"/>
              </w:rPr>
              <w:t>彭银桥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6" w:type="dxa"/>
            <w:vAlign w:val="center"/>
          </w:tcPr>
          <w:p>
            <w:pPr>
              <w:widowControl/>
              <w:jc w:val="center"/>
              <w:rPr>
                <w:bCs/>
                <w:kern w:val="0"/>
                <w:szCs w:val="21"/>
              </w:rPr>
            </w:pPr>
            <w:r>
              <w:rPr>
                <w:bCs/>
                <w:kern w:val="0"/>
                <w:szCs w:val="21"/>
              </w:rPr>
              <w:t>适用专业</w:t>
            </w:r>
          </w:p>
        </w:tc>
        <w:tc>
          <w:tcPr>
            <w:tcW w:w="3143" w:type="dxa"/>
            <w:vAlign w:val="center"/>
          </w:tcPr>
          <w:p>
            <w:pPr>
              <w:widowControl/>
              <w:jc w:val="center"/>
              <w:rPr>
                <w:kern w:val="0"/>
                <w:szCs w:val="21"/>
              </w:rPr>
            </w:pPr>
            <w:r>
              <w:rPr>
                <w:kern w:val="0"/>
                <w:szCs w:val="21"/>
              </w:rPr>
              <w:t>电子信息工程</w:t>
            </w:r>
          </w:p>
        </w:tc>
        <w:tc>
          <w:tcPr>
            <w:tcW w:w="1214" w:type="dxa"/>
            <w:vAlign w:val="center"/>
          </w:tcPr>
          <w:p>
            <w:pPr>
              <w:widowControl/>
              <w:jc w:val="center"/>
              <w:rPr>
                <w:bCs/>
                <w:kern w:val="0"/>
                <w:szCs w:val="21"/>
              </w:rPr>
            </w:pPr>
            <w:r>
              <w:rPr>
                <w:bCs/>
                <w:kern w:val="0"/>
                <w:szCs w:val="21"/>
              </w:rPr>
              <w:t>适用对象</w:t>
            </w:r>
          </w:p>
        </w:tc>
        <w:tc>
          <w:tcPr>
            <w:tcW w:w="2978"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1346" w:type="dxa"/>
            <w:vAlign w:val="center"/>
          </w:tcPr>
          <w:p>
            <w:pPr>
              <w:jc w:val="center"/>
              <w:rPr>
                <w:b/>
                <w:kern w:val="0"/>
                <w:szCs w:val="21"/>
              </w:rPr>
            </w:pPr>
            <w:r>
              <w:rPr>
                <w:kern w:val="0"/>
                <w:szCs w:val="21"/>
              </w:rPr>
              <w:t>先修课程</w:t>
            </w:r>
          </w:p>
        </w:tc>
        <w:tc>
          <w:tcPr>
            <w:tcW w:w="3143" w:type="dxa"/>
            <w:vAlign w:val="center"/>
          </w:tcPr>
          <w:p>
            <w:pPr>
              <w:widowControl/>
              <w:jc w:val="center"/>
              <w:rPr>
                <w:bCs/>
                <w:kern w:val="0"/>
                <w:szCs w:val="21"/>
              </w:rPr>
            </w:pPr>
            <w:r>
              <w:rPr>
                <w:kern w:val="0"/>
                <w:szCs w:val="21"/>
              </w:rPr>
              <w:t>C语言程序设计</w:t>
            </w:r>
          </w:p>
        </w:tc>
        <w:tc>
          <w:tcPr>
            <w:tcW w:w="1214" w:type="dxa"/>
            <w:vAlign w:val="center"/>
          </w:tcPr>
          <w:p>
            <w:pPr>
              <w:snapToGrid w:val="0"/>
              <w:spacing w:line="300" w:lineRule="auto"/>
              <w:jc w:val="center"/>
              <w:rPr>
                <w:b/>
                <w:kern w:val="0"/>
                <w:szCs w:val="21"/>
              </w:rPr>
            </w:pPr>
            <w:r>
              <w:rPr>
                <w:kern w:val="0"/>
                <w:szCs w:val="21"/>
              </w:rPr>
              <w:t>同修课程</w:t>
            </w:r>
          </w:p>
        </w:tc>
        <w:tc>
          <w:tcPr>
            <w:tcW w:w="2978"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6" w:type="dxa"/>
            <w:vAlign w:val="center"/>
          </w:tcPr>
          <w:p>
            <w:pPr>
              <w:jc w:val="center"/>
              <w:rPr>
                <w:kern w:val="0"/>
                <w:szCs w:val="21"/>
              </w:rPr>
            </w:pPr>
            <w:r>
              <w:rPr>
                <w:kern w:val="0"/>
                <w:szCs w:val="21"/>
              </w:rPr>
              <w:t>排斥课程</w:t>
            </w:r>
          </w:p>
        </w:tc>
        <w:tc>
          <w:tcPr>
            <w:tcW w:w="3143" w:type="dxa"/>
            <w:vAlign w:val="center"/>
          </w:tcPr>
          <w:p>
            <w:pPr>
              <w:widowControl/>
              <w:jc w:val="center"/>
              <w:rPr>
                <w:kern w:val="0"/>
                <w:szCs w:val="21"/>
              </w:rPr>
            </w:pPr>
            <w:r>
              <w:rPr>
                <w:kern w:val="0"/>
                <w:szCs w:val="21"/>
              </w:rPr>
              <w:t>无</w:t>
            </w:r>
          </w:p>
        </w:tc>
        <w:tc>
          <w:tcPr>
            <w:tcW w:w="1214" w:type="dxa"/>
            <w:vAlign w:val="center"/>
          </w:tcPr>
          <w:p>
            <w:pPr>
              <w:snapToGrid w:val="0"/>
              <w:spacing w:line="300" w:lineRule="auto"/>
              <w:jc w:val="center"/>
              <w:rPr>
                <w:kern w:val="0"/>
                <w:szCs w:val="21"/>
              </w:rPr>
            </w:pPr>
            <w:r>
              <w:rPr>
                <w:kern w:val="0"/>
                <w:szCs w:val="21"/>
              </w:rPr>
              <w:t>定稿日期</w:t>
            </w:r>
          </w:p>
        </w:tc>
        <w:tc>
          <w:tcPr>
            <w:tcW w:w="2978"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szCs w:val="21"/>
        </w:rPr>
      </w:pPr>
      <w:r>
        <w:rPr>
          <w:szCs w:val="21"/>
        </w:rPr>
        <w:t>《C语言程序设计实习》是针对大学一年级本科生的通识实践课，适用于电子与信息工程学院的电子信息工程与通信工程专业，为后续的《单片机原理与应用》、《嵌入式系统》以及《DSP技术与应用》等涉及编程开发的课程提供了程序开发实践基础。其教学目的：通过C语言的基本编程技能训练以及小型综合项目程序开发，培养学生的编程实践能力。其主要实习要求：在指定的地点集中进行，由指导老师辅导，帮助学生通过团队协作完成一个完整的软件产品开发项目。作为一门实践课程，在项目实践过程中，逐步培养团队意识，学习如何在网上收集资料,掌握程序设计的项目调试与测试技术，熟悉项目的需求分析、总体设计、详细设计、模块实现等具体环节，培养学生的实践动手能力。</w:t>
      </w:r>
    </w:p>
    <w:p>
      <w:pPr>
        <w:snapToGrid w:val="0"/>
        <w:spacing w:before="159" w:beforeLines="50" w:after="159" w:afterLines="50" w:line="300" w:lineRule="auto"/>
        <w:rPr>
          <w:b/>
          <w:sz w:val="24"/>
        </w:rPr>
      </w:pPr>
      <w:r>
        <w:rPr>
          <w:b/>
          <w:sz w:val="24"/>
        </w:rPr>
        <w:t>二、课程教学目标</w:t>
      </w:r>
    </w:p>
    <w:p>
      <w:pPr>
        <w:snapToGrid w:val="0"/>
        <w:spacing w:line="300" w:lineRule="auto"/>
        <w:ind w:firstLine="420" w:firstLineChars="200"/>
        <w:rPr>
          <w:szCs w:val="21"/>
        </w:rPr>
      </w:pPr>
      <w:r>
        <w:rPr>
          <w:szCs w:val="21"/>
        </w:rPr>
        <w:t>《C语言程序设计实习》以培养学生应用问题分析能力以及运用程序语言解决问题的能力为目的，综合应用先修课程《C语言程序设计》学习的C语言知识，针对实际问题，分析需求、编写应用程序，运用IDE软件进行程序调试与测试，帮助学生初步掌握C语言程序编程的基本知识并将其用于实际问题的分析与解决过程，培养学生的代码编写、程序调试、以及项目设计等实践能力。在实习过程中不断强调软件实践在软件开发学习中的重要性、我国行业需求对软件实践的重要指导意义、软件工程思想对软件实践的重要指导意义、软件行业规范对软件开发习惯培养的重要性、以及沟通对团队合作的重要性，大力培养学生的软件开发思维、行业见识与服务目标、工程管理思维、工匠精神、以及团队合作意识，为培养符合我国软件行业需求的优秀人才奠定基础。本课程的具体教学目标如下：</w:t>
      </w:r>
    </w:p>
    <w:p>
      <w:pPr>
        <w:widowControl/>
        <w:snapToGrid w:val="0"/>
        <w:spacing w:line="300" w:lineRule="auto"/>
        <w:ind w:firstLine="420" w:firstLineChars="200"/>
        <w:rPr>
          <w:kern w:val="0"/>
          <w:szCs w:val="21"/>
        </w:rPr>
      </w:pPr>
      <w:r>
        <w:rPr>
          <w:kern w:val="0"/>
          <w:szCs w:val="21"/>
        </w:rPr>
        <w:t>1．</w:t>
      </w:r>
      <w:bookmarkStart w:id="263" w:name="OLE_LINK3"/>
      <w:r>
        <w:rPr>
          <w:kern w:val="0"/>
          <w:szCs w:val="21"/>
        </w:rPr>
        <w:t>基于IDE工具的软件开发、调试与测试技能目标：培养使用软件工具对复杂软件工程问题进行调试与测试的能力</w:t>
      </w:r>
      <w:bookmarkEnd w:id="263"/>
      <w:r>
        <w:rPr>
          <w:kern w:val="0"/>
          <w:szCs w:val="21"/>
        </w:rPr>
        <w:t>。</w:t>
      </w:r>
    </w:p>
    <w:p>
      <w:pPr>
        <w:widowControl/>
        <w:snapToGrid w:val="0"/>
        <w:spacing w:line="300" w:lineRule="auto"/>
        <w:ind w:firstLine="420" w:firstLineChars="200"/>
        <w:rPr>
          <w:kern w:val="0"/>
          <w:szCs w:val="21"/>
        </w:rPr>
      </w:pPr>
      <w:r>
        <w:rPr>
          <w:kern w:val="0"/>
          <w:szCs w:val="21"/>
        </w:rPr>
        <w:t>熟练使用C-Free、Dev-C、CodeBlocks、VC++、VS-2015等常用C语言IDE软件，及其一系列辅助设计工具，例如：①代码编辑的辅助功能使用方法，例如文本彩色加亮、代码输入提示、智慧输入、代码模板插入、变量与函数的查找与位置索引、缩进对齐、格式自动化以及代码分析等功能；②项目编译的辅助功能使用方法，例如语法预先自动检测、编译器版本选择以及未使用函数提示等功能;③项目调试的辅助功能使用方法，例如基于内存地址的变量管理、基于调用栈的变量管理、基于运行环境的变量管理以及基于查找监视的变量管理等功能。[5</w:t>
      </w:r>
      <w:r>
        <w:rPr>
          <w:rFonts w:hint="eastAsia"/>
          <w:kern w:val="0"/>
          <w:szCs w:val="21"/>
        </w:rPr>
        <w:t>.</w:t>
      </w:r>
      <w:r>
        <w:rPr>
          <w:kern w:val="0"/>
          <w:szCs w:val="21"/>
        </w:rPr>
        <w:t>2]</w:t>
      </w:r>
    </w:p>
    <w:p>
      <w:pPr>
        <w:widowControl/>
        <w:snapToGrid w:val="0"/>
        <w:spacing w:line="300" w:lineRule="auto"/>
        <w:ind w:firstLine="420" w:firstLineChars="200"/>
        <w:rPr>
          <w:kern w:val="0"/>
          <w:szCs w:val="21"/>
        </w:rPr>
      </w:pPr>
      <w:r>
        <w:rPr>
          <w:kern w:val="0"/>
          <w:szCs w:val="21"/>
        </w:rPr>
        <w:t>2．软件项目开发过程沟通协调能力目标：具有良好的口头和书面表达能力，能够就软件项目问题跟项目需求方与内部软件开发团队进行有序且有效的沟通交流。</w:t>
      </w:r>
    </w:p>
    <w:p>
      <w:pPr>
        <w:widowControl/>
        <w:snapToGrid w:val="0"/>
        <w:spacing w:line="300" w:lineRule="auto"/>
        <w:ind w:firstLine="420" w:firstLineChars="200"/>
        <w:rPr>
          <w:kern w:val="0"/>
          <w:szCs w:val="21"/>
        </w:rPr>
      </w:pPr>
      <w:r>
        <w:rPr>
          <w:kern w:val="0"/>
          <w:szCs w:val="21"/>
        </w:rPr>
        <w:t>在项目实施的各个环节有序开展一系列有效沟通以及书面记录存档，例如：①首先，在需求分析环节，能够通过问卷调查、业务座谈、业务过程图绘制以及需求文档规范等沟通方式实现有效需求分析；②其次，在系统设计环节，能够组织软件开发专家级人员进行座谈以及绘制思维导图，实现从需求到设计的思维转换，即先考虑如何通过数学模型、通用协议或者现有解决方案的集成解决现实问题，然后再考虑如何实施软件设计；③接着，在架构设计环节，能够即采用自顶向下思维组织开发人员以座谈与文档的方式完成功能模块架构树状图的设计，并定义文件引用关系；④然后，在数据结构设计环节，组织开发人员提交各模块接口文档，然后由顶层设计专家完成全局变量与模块交换数据的定义；⑤再者，在模块设计环节，制定模块的流程图绘制或者伪程序代码书写的规范，以及组织会议开展阶段性项目成果管理；⑥最终，制定代码的书写规范文档、调试日志文档规范以及测试计划文档规范，并依据上述规范完成代码编写、注释、调试、测试以及存档。[10</w:t>
      </w:r>
      <w:r>
        <w:rPr>
          <w:rFonts w:hint="eastAsia"/>
          <w:kern w:val="0"/>
          <w:szCs w:val="21"/>
        </w:rPr>
        <w:t>.</w:t>
      </w:r>
      <w:r>
        <w:rPr>
          <w:kern w:val="0"/>
          <w:szCs w:val="21"/>
        </w:rPr>
        <w:t>1]</w:t>
      </w:r>
    </w:p>
    <w:p>
      <w:pPr>
        <w:widowControl/>
        <w:snapToGrid w:val="0"/>
        <w:spacing w:line="300" w:lineRule="auto"/>
        <w:ind w:firstLine="420" w:firstLineChars="200"/>
        <w:rPr>
          <w:kern w:val="0"/>
          <w:szCs w:val="21"/>
        </w:rPr>
      </w:pPr>
      <w:r>
        <w:rPr>
          <w:kern w:val="0"/>
          <w:szCs w:val="21"/>
        </w:rPr>
        <w:t>3．软件工程素质训练目标：在项目开发实践过程中采用软件工程专业领域要求的工程管理原理与经济决策方法。</w:t>
      </w:r>
    </w:p>
    <w:p>
      <w:pPr>
        <w:widowControl/>
        <w:snapToGrid w:val="0"/>
        <w:spacing w:line="300" w:lineRule="auto"/>
        <w:ind w:firstLine="420" w:firstLineChars="200"/>
        <w:rPr>
          <w:kern w:val="0"/>
          <w:szCs w:val="21"/>
        </w:rPr>
      </w:pPr>
      <w:r>
        <w:rPr>
          <w:kern w:val="0"/>
          <w:szCs w:val="21"/>
        </w:rPr>
        <w:t>在项目实施过程中，以良好的软件工程思维持续确保软件项目开发的良性运转，例如：①在从需求分析到系统设计的转换过程中，能够运用数学模型、通用协议或者现有解决方案等多种方式的集成；②在架构设计中能够采用自顶向下思维设计功能模块架构树状图；③在关系型数据库设计过程尽量采用数据库设计三大范式进行约束；④在模块设计过程能够运用流程图或者伪程序代码；⑤合理规划功能模块单元测试与系统测试的业务交替流程；⑥运用项目管理的增量与迭代理念进行项目实施，从需求分析、概要设计、详细设计、编码实现、软件调试、模块单元测试、系统测试以及项目文档书写等多个环节。[11</w:t>
      </w:r>
      <w:r>
        <w:rPr>
          <w:rFonts w:hint="eastAsia"/>
          <w:kern w:val="0"/>
          <w:szCs w:val="21"/>
        </w:rPr>
        <w:t>.</w:t>
      </w:r>
      <w:r>
        <w:rPr>
          <w:kern w:val="0"/>
          <w:szCs w:val="21"/>
        </w:rPr>
        <w:t>2]</w:t>
      </w:r>
    </w:p>
    <w:p>
      <w:pPr>
        <w:widowControl/>
        <w:snapToGrid w:val="0"/>
        <w:spacing w:line="300" w:lineRule="auto"/>
        <w:ind w:firstLine="420" w:firstLineChars="200"/>
        <w:jc w:val="left"/>
        <w:rPr>
          <w:kern w:val="0"/>
          <w:szCs w:val="21"/>
        </w:rPr>
      </w:pPr>
      <w:r>
        <w:rPr>
          <w:kern w:val="0"/>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kern w:val="0"/>
          <w:sz w:val="18"/>
          <w:szCs w:val="18"/>
        </w:rPr>
      </w:pPr>
      <w:r>
        <w:rPr>
          <w:b/>
          <w:kern w:val="0"/>
          <w:sz w:val="18"/>
          <w:szCs w:val="18"/>
        </w:rPr>
        <w:t>表1专业毕业要求指标点与课程目标的对应关系</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EFF"/>
        <w:tblLayout w:type="fixed"/>
        <w:tblCellMar>
          <w:top w:w="0" w:type="dxa"/>
          <w:left w:w="0" w:type="dxa"/>
          <w:bottom w:w="0" w:type="dxa"/>
          <w:right w:w="0" w:type="dxa"/>
        </w:tblCellMar>
      </w:tblPr>
      <w:tblGrid>
        <w:gridCol w:w="1167"/>
        <w:gridCol w:w="6457"/>
        <w:gridCol w:w="535"/>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EFF"/>
          <w:tblCellMar>
            <w:top w:w="0" w:type="dxa"/>
            <w:left w:w="0" w:type="dxa"/>
            <w:bottom w:w="0" w:type="dxa"/>
            <w:right w:w="0" w:type="dxa"/>
          </w:tblCellMar>
        </w:tblPrEx>
        <w:trPr>
          <w:trHeight w:val="306" w:hRule="atLeast"/>
          <w:jc w:val="center"/>
        </w:trPr>
        <w:tc>
          <w:tcPr>
            <w:tcW w:w="1167" w:type="dxa"/>
            <w:shd w:val="clear" w:color="auto" w:fill="FEFEFF"/>
            <w:tcMar>
              <w:top w:w="30" w:type="dxa"/>
              <w:left w:w="60" w:type="dxa"/>
              <w:bottom w:w="30" w:type="dxa"/>
              <w:right w:w="60" w:type="dxa"/>
            </w:tcMar>
            <w:vAlign w:val="center"/>
          </w:tcPr>
          <w:p>
            <w:pPr>
              <w:snapToGrid w:val="0"/>
              <w:spacing w:line="300" w:lineRule="auto"/>
              <w:jc w:val="center"/>
              <w:rPr>
                <w:b/>
                <w:bCs/>
                <w:sz w:val="18"/>
                <w:szCs w:val="18"/>
                <w:lang w:val="zh-CN"/>
              </w:rPr>
            </w:pPr>
            <w:r>
              <w:rPr>
                <w:b/>
                <w:bCs/>
                <w:sz w:val="18"/>
                <w:szCs w:val="18"/>
                <w:lang w:val="zh-CN"/>
              </w:rPr>
              <w:t>毕业要求</w:t>
            </w:r>
          </w:p>
        </w:tc>
        <w:tc>
          <w:tcPr>
            <w:tcW w:w="6457" w:type="dxa"/>
            <w:shd w:val="clear" w:color="auto" w:fill="FEFEFF"/>
            <w:tcMar>
              <w:top w:w="30" w:type="dxa"/>
              <w:left w:w="60" w:type="dxa"/>
              <w:bottom w:w="30" w:type="dxa"/>
              <w:right w:w="60" w:type="dxa"/>
            </w:tcMar>
            <w:vAlign w:val="center"/>
          </w:tcPr>
          <w:p>
            <w:pPr>
              <w:snapToGrid w:val="0"/>
              <w:spacing w:line="300" w:lineRule="auto"/>
              <w:jc w:val="center"/>
              <w:rPr>
                <w:b/>
                <w:bCs/>
                <w:sz w:val="18"/>
                <w:szCs w:val="18"/>
                <w:lang w:val="zh-CN"/>
              </w:rPr>
            </w:pPr>
            <w:r>
              <w:rPr>
                <w:b/>
                <w:bCs/>
                <w:sz w:val="18"/>
                <w:szCs w:val="18"/>
                <w:lang w:val="zh-CN"/>
              </w:rPr>
              <w:t>毕业要求指标点</w:t>
            </w:r>
          </w:p>
        </w:tc>
        <w:tc>
          <w:tcPr>
            <w:tcW w:w="535" w:type="dxa"/>
            <w:shd w:val="clear" w:color="auto" w:fill="FEFEFF"/>
            <w:tcMar>
              <w:top w:w="30" w:type="dxa"/>
              <w:left w:w="60" w:type="dxa"/>
              <w:bottom w:w="30" w:type="dxa"/>
              <w:right w:w="60" w:type="dxa"/>
            </w:tcMar>
            <w:vAlign w:val="center"/>
          </w:tcPr>
          <w:p>
            <w:pPr>
              <w:snapToGrid w:val="0"/>
              <w:spacing w:line="300" w:lineRule="auto"/>
              <w:jc w:val="center"/>
              <w:rPr>
                <w:b/>
                <w:bCs/>
                <w:sz w:val="18"/>
                <w:szCs w:val="18"/>
                <w:lang w:val="zh-CN"/>
              </w:rPr>
            </w:pPr>
            <w:r>
              <w:rPr>
                <w:b/>
                <w:bCs/>
                <w:sz w:val="18"/>
                <w:szCs w:val="18"/>
              </w:rPr>
              <w:t>课程</w:t>
            </w:r>
            <w:r>
              <w:rPr>
                <w:b/>
                <w:bCs/>
                <w:sz w:val="18"/>
                <w:szCs w:val="18"/>
                <w:lang w:val="zh-CN"/>
              </w:rPr>
              <w:t>目标</w:t>
            </w:r>
          </w:p>
        </w:tc>
        <w:tc>
          <w:tcPr>
            <w:tcW w:w="519" w:type="dxa"/>
            <w:shd w:val="clear" w:color="auto" w:fill="FEFEFF"/>
            <w:vAlign w:val="center"/>
          </w:tcPr>
          <w:p>
            <w:pPr>
              <w:snapToGrid w:val="0"/>
              <w:spacing w:line="300" w:lineRule="auto"/>
              <w:jc w:val="center"/>
              <w:rPr>
                <w:b/>
                <w:bCs/>
                <w:sz w:val="18"/>
                <w:szCs w:val="18"/>
                <w:lang w:val="zh-CN"/>
              </w:rPr>
            </w:pPr>
            <w:r>
              <w:rPr>
                <w:b/>
                <w:bCs/>
                <w:sz w:val="18"/>
                <w:szCs w:val="18"/>
                <w:lang w:val="zh-CN"/>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EFF"/>
          <w:tblCellMar>
            <w:top w:w="0" w:type="dxa"/>
            <w:left w:w="0" w:type="dxa"/>
            <w:bottom w:w="0" w:type="dxa"/>
            <w:right w:w="0" w:type="dxa"/>
          </w:tblCellMar>
        </w:tblPrEx>
        <w:trPr>
          <w:trHeight w:val="559" w:hRule="atLeast"/>
          <w:jc w:val="center"/>
        </w:trPr>
        <w:tc>
          <w:tcPr>
            <w:tcW w:w="116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5．现代工具使用</w:t>
            </w:r>
          </w:p>
        </w:tc>
        <w:tc>
          <w:tcPr>
            <w:tcW w:w="645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5</w:t>
            </w:r>
            <w:r>
              <w:rPr>
                <w:rFonts w:hint="eastAsia"/>
                <w:sz w:val="18"/>
                <w:szCs w:val="18"/>
              </w:rPr>
              <w:t>.</w:t>
            </w:r>
            <w:r>
              <w:rPr>
                <w:sz w:val="18"/>
                <w:szCs w:val="18"/>
              </w:rPr>
              <w:t>2</w:t>
            </w:r>
            <w:r>
              <w:rPr>
                <w:rFonts w:hint="eastAsia"/>
                <w:sz w:val="18"/>
                <w:szCs w:val="18"/>
              </w:rPr>
              <w:t>具备使用实验设备、现代工程工具和信息技术工具对复杂工程问题进行模拟或仿真的能力，并能够理解其局限性</w:t>
            </w:r>
            <w:r>
              <w:rPr>
                <w:sz w:val="18"/>
                <w:szCs w:val="18"/>
              </w:rPr>
              <w:t>。</w:t>
            </w:r>
          </w:p>
        </w:tc>
        <w:tc>
          <w:tcPr>
            <w:tcW w:w="535" w:type="dxa"/>
            <w:shd w:val="clear" w:color="auto" w:fill="FEFEFF"/>
            <w:tcMar>
              <w:top w:w="30" w:type="dxa"/>
              <w:left w:w="60" w:type="dxa"/>
              <w:bottom w:w="30" w:type="dxa"/>
              <w:right w:w="60" w:type="dxa"/>
            </w:tcMar>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1</w:t>
            </w:r>
          </w:p>
        </w:tc>
        <w:tc>
          <w:tcPr>
            <w:tcW w:w="519" w:type="dxa"/>
            <w:shd w:val="clear" w:color="auto" w:fill="FEFEFF"/>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0.</w:t>
            </w:r>
            <w:r>
              <w:rPr>
                <w:rFonts w:hint="eastAsia"/>
                <w:bCs/>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EFF"/>
          <w:tblCellMar>
            <w:top w:w="0" w:type="dxa"/>
            <w:left w:w="0" w:type="dxa"/>
            <w:bottom w:w="0" w:type="dxa"/>
            <w:right w:w="0" w:type="dxa"/>
          </w:tblCellMar>
        </w:tblPrEx>
        <w:trPr>
          <w:trHeight w:val="90" w:hRule="atLeast"/>
          <w:jc w:val="center"/>
        </w:trPr>
        <w:tc>
          <w:tcPr>
            <w:tcW w:w="116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10．沟通</w:t>
            </w:r>
          </w:p>
        </w:tc>
        <w:tc>
          <w:tcPr>
            <w:tcW w:w="645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10</w:t>
            </w:r>
            <w:r>
              <w:rPr>
                <w:rFonts w:hint="eastAsia"/>
                <w:sz w:val="18"/>
                <w:szCs w:val="18"/>
              </w:rPr>
              <w:t>.</w:t>
            </w:r>
            <w:r>
              <w:rPr>
                <w:sz w:val="18"/>
                <w:szCs w:val="18"/>
              </w:rPr>
              <w:t>1</w:t>
            </w:r>
            <w:r>
              <w:rPr>
                <w:rFonts w:hint="eastAsia"/>
                <w:sz w:val="18"/>
                <w:szCs w:val="18"/>
              </w:rPr>
              <w:t>具有良好的口头和书面表达能力，能够撰写复杂工程问题的设计方案与报告并就电子信息（含海洋电子信息）领域的专业问题跟业界同行及社会公众进行沟通交流，准确表达观点、回应质疑。</w:t>
            </w:r>
          </w:p>
        </w:tc>
        <w:tc>
          <w:tcPr>
            <w:tcW w:w="535" w:type="dxa"/>
            <w:shd w:val="clear" w:color="auto" w:fill="FEFEFF"/>
            <w:tcMar>
              <w:top w:w="30" w:type="dxa"/>
              <w:left w:w="60" w:type="dxa"/>
              <w:bottom w:w="30" w:type="dxa"/>
              <w:right w:w="60" w:type="dxa"/>
            </w:tcMar>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2</w:t>
            </w:r>
          </w:p>
        </w:tc>
        <w:tc>
          <w:tcPr>
            <w:tcW w:w="519" w:type="dxa"/>
            <w:shd w:val="clear" w:color="auto" w:fill="FEFEFF"/>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0.</w:t>
            </w:r>
            <w:r>
              <w:rPr>
                <w:rFonts w:hint="eastAsia"/>
                <w:bCs/>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16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11．项目管理</w:t>
            </w:r>
          </w:p>
        </w:tc>
        <w:tc>
          <w:tcPr>
            <w:tcW w:w="6457" w:type="dxa"/>
            <w:shd w:val="clear" w:color="auto" w:fill="FEFEFF"/>
            <w:tcMar>
              <w:top w:w="30" w:type="dxa"/>
              <w:left w:w="60" w:type="dxa"/>
              <w:bottom w:w="30" w:type="dxa"/>
              <w:right w:w="60" w:type="dxa"/>
            </w:tcMar>
            <w:vAlign w:val="center"/>
          </w:tcPr>
          <w:p>
            <w:pPr>
              <w:snapToGrid w:val="0"/>
              <w:spacing w:line="300" w:lineRule="auto"/>
              <w:rPr>
                <w:sz w:val="18"/>
                <w:szCs w:val="18"/>
              </w:rPr>
            </w:pPr>
            <w:r>
              <w:rPr>
                <w:sz w:val="18"/>
                <w:szCs w:val="18"/>
              </w:rPr>
              <w:t>11</w:t>
            </w:r>
            <w:r>
              <w:rPr>
                <w:rFonts w:hint="eastAsia"/>
                <w:sz w:val="18"/>
                <w:szCs w:val="18"/>
              </w:rPr>
              <w:t>.</w:t>
            </w:r>
            <w:r>
              <w:rPr>
                <w:sz w:val="18"/>
                <w:szCs w:val="18"/>
              </w:rPr>
              <w:t>2</w:t>
            </w:r>
            <w:r>
              <w:rPr>
                <w:rFonts w:hint="eastAsia"/>
                <w:sz w:val="18"/>
                <w:szCs w:val="18"/>
              </w:rPr>
              <w:t>能够在多学科环境中应用工程管理原理与经济决策方法</w:t>
            </w:r>
            <w:r>
              <w:rPr>
                <w:sz w:val="18"/>
                <w:szCs w:val="18"/>
              </w:rPr>
              <w:t>。</w:t>
            </w:r>
          </w:p>
        </w:tc>
        <w:tc>
          <w:tcPr>
            <w:tcW w:w="535" w:type="dxa"/>
            <w:shd w:val="clear" w:color="auto" w:fill="FEFEFF"/>
            <w:tcMar>
              <w:top w:w="30" w:type="dxa"/>
              <w:left w:w="60" w:type="dxa"/>
              <w:bottom w:w="30" w:type="dxa"/>
              <w:right w:w="60" w:type="dxa"/>
            </w:tcMar>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3</w:t>
            </w:r>
          </w:p>
        </w:tc>
        <w:tc>
          <w:tcPr>
            <w:tcW w:w="519" w:type="dxa"/>
            <w:shd w:val="clear" w:color="auto" w:fill="FEFEFF"/>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0.</w:t>
            </w:r>
            <w:r>
              <w:rPr>
                <w:rFonts w:hint="eastAsia"/>
                <w:bCs/>
                <w:kern w:val="0"/>
                <w:sz w:val="18"/>
                <w:szCs w:val="18"/>
              </w:rPr>
              <w:t>2</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1"/>
        <w:gridCol w:w="1040"/>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2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04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1．基于IDE工具的软件开发、调试与测试技能目标：培养使用软件工具对复杂软件工程问题进行调试与测试的能力。</w:t>
            </w:r>
          </w:p>
          <w:p>
            <w:pPr>
              <w:widowControl/>
              <w:snapToGrid w:val="0"/>
              <w:spacing w:line="300" w:lineRule="auto"/>
              <w:ind w:firstLine="360" w:firstLineChars="200"/>
              <w:rPr>
                <w:sz w:val="18"/>
                <w:szCs w:val="18"/>
              </w:rPr>
            </w:pPr>
            <w:r>
              <w:rPr>
                <w:sz w:val="18"/>
                <w:szCs w:val="18"/>
              </w:rPr>
              <w:t>熟练使用C-Free、Dev-C、CodeBlocks、VC++、VS-2015等常用C语言IDE软件，及其一系列辅助设计工具，例如：①代码编辑的辅助功能使用方法，例如文本彩色加亮、代码输入提示、智慧输入、代码模板插入、变量与函数的查找与位置索引、缩进对齐、格式自动化以及代码分析等功能；②项目编译的辅助功能使用方法，例如语法预先自动检测、编译器版本选择以及未使用函数提示等功能;③项目调试的辅助功能使用方法，例如基于内存地址的变量管理、基于调用栈的变量管理、基于运行环境的变量管理以及基于查找监视的变量管理等功能。</w:t>
            </w: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通过实习指导、学生学习、小组合作交流与程序编码实践等达成。</w:t>
            </w:r>
          </w:p>
        </w:tc>
        <w:tc>
          <w:tcPr>
            <w:tcW w:w="11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 xml:space="preserve">软件作品的现场演示与汇报、实习日志与实习报告等记录材料考评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2.软件项目开发过程沟通协调能力目标：具有良好的口头和书面表达能力，能够就软件项目问题跟项目需求方与内部软件开发团队进行有序且有效的沟通交流。</w:t>
            </w:r>
          </w:p>
          <w:p>
            <w:pPr>
              <w:widowControl/>
              <w:snapToGrid w:val="0"/>
              <w:spacing w:line="300" w:lineRule="auto"/>
              <w:ind w:firstLine="360" w:firstLineChars="200"/>
              <w:rPr>
                <w:sz w:val="18"/>
                <w:szCs w:val="18"/>
              </w:rPr>
            </w:pPr>
            <w:r>
              <w:rPr>
                <w:sz w:val="18"/>
                <w:szCs w:val="18"/>
              </w:rPr>
              <w:t>在项目实施的各个环节有序开展一系列有效沟通以及书面记录存档，例如：①首先，在需求分析环节，能够通过问卷调查、业务座谈、业务过程图绘制以及需求文档规范等沟通方式实现有效需求分析；②其次，在系统设计环节，能够组织软件开发专家级人员进行座谈以及绘制思维导图，实现从需求到设计的思维转换，即先考虑如何通过数学模型、通用协议或者现有解决方案的集成解决现实问题，然后再考虑如何实施软件设计；③接着，在架构设计环节，能够即采用自顶向下思维组织开发人员以座谈与文档的方式完成功能模块架构树状图的设计，并定义文件引用关系；④然后，在数据结构设计环节，组织开发人员提交各模块接口文档，然后由顶层设计专家完成全局变量与模块交换数据的定义；⑤再者，在模块设计环节，制定模块的流程图绘制或者伪程序代码书写的规范，以及组织会议开展阶段性项目成果管理；⑥最终，制定代码的书写规范文档、调试日志文档规范以及测试计划文档规范，并依据上述规范完成代码编写、注释、调试、测试以及存档。</w:t>
            </w: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通过实习指导、学生学习、小组合作交流与程序编码实践等达成。</w:t>
            </w:r>
          </w:p>
        </w:tc>
        <w:tc>
          <w:tcPr>
            <w:tcW w:w="11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现场演示与汇报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3.软件工程素质训练目标：在项目开发实践过程中采用软件工程专业领域要求的工程管理原理与经济决策方法。</w:t>
            </w:r>
          </w:p>
          <w:p>
            <w:pPr>
              <w:widowControl/>
              <w:snapToGrid w:val="0"/>
              <w:spacing w:line="300" w:lineRule="auto"/>
              <w:ind w:firstLine="360" w:firstLineChars="200"/>
              <w:rPr>
                <w:sz w:val="18"/>
                <w:szCs w:val="18"/>
              </w:rPr>
            </w:pPr>
            <w:r>
              <w:rPr>
                <w:sz w:val="18"/>
                <w:szCs w:val="18"/>
              </w:rPr>
              <w:t>在项目实施过程中，以良好的软件工程思维持续确保软件项目开发的良性运转，例如：①在从需求分析到系统设计的转换过程中，能够运用数学模型、通用协议或者现有解决方案等多种方式的集成；②在架构设计中能够采用自顶向下思维设计功能模块架构树状图；③在关系型数据库设计过程尽量采用数据库设计三大范式进行约束；④在模块设计过程能够运用流程图或者伪程序代码；⑤合理规划功能模块单元测试与系统测试的业务交替流程；⑥运用项目管理的增量与迭代理念进行项目实施，从需求分析、概要设计、详细设计、编码实现、软件调试、模块单元测试、系统测试以及项目文档书写等多个环节。</w:t>
            </w:r>
          </w:p>
        </w:tc>
        <w:tc>
          <w:tcPr>
            <w:tcW w:w="10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通过实习指导、学生学习、小组合作交流与程序编码实践等达成。</w:t>
            </w:r>
          </w:p>
        </w:tc>
        <w:tc>
          <w:tcPr>
            <w:tcW w:w="111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rPr>
            </w:pPr>
            <w:r>
              <w:rPr>
                <w:sz w:val="18"/>
                <w:szCs w:val="18"/>
              </w:rPr>
              <w:t>实习</w:t>
            </w:r>
            <w:r>
              <w:rPr>
                <w:rFonts w:hint="eastAsia"/>
                <w:sz w:val="18"/>
                <w:szCs w:val="18"/>
              </w:rPr>
              <w:t>日志</w:t>
            </w:r>
            <w:r>
              <w:rPr>
                <w:sz w:val="18"/>
                <w:szCs w:val="18"/>
              </w:rPr>
              <w:t xml:space="preserve">与实习报告等记录材料考评 </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b/>
          <w:bCs/>
          <w:sz w:val="18"/>
          <w:szCs w:val="18"/>
        </w:rPr>
      </w:pPr>
      <w:r>
        <w:rPr>
          <w:b/>
          <w:bCs/>
          <w:sz w:val="18"/>
          <w:szCs w:val="18"/>
        </w:rPr>
        <w:t>表 3 教学内容与要求</w:t>
      </w:r>
    </w:p>
    <w:tbl>
      <w:tblPr>
        <w:tblStyle w:val="22"/>
        <w:tblW w:w="86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3817"/>
        <w:gridCol w:w="3738"/>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481" w:type="dxa"/>
            <w:tcMar>
              <w:top w:w="0" w:type="dxa"/>
              <w:left w:w="57" w:type="dxa"/>
              <w:bottom w:w="0" w:type="dxa"/>
              <w:right w:w="57" w:type="dxa"/>
            </w:tcMar>
            <w:vAlign w:val="center"/>
          </w:tcPr>
          <w:p>
            <w:pPr>
              <w:snapToGrid w:val="0"/>
              <w:spacing w:line="300" w:lineRule="auto"/>
              <w:jc w:val="center"/>
              <w:rPr>
                <w:b/>
                <w:sz w:val="18"/>
              </w:rPr>
            </w:pPr>
            <w:r>
              <w:rPr>
                <w:b/>
                <w:bCs/>
                <w:sz w:val="18"/>
                <w:szCs w:val="18"/>
              </w:rPr>
              <w:t>序号</w:t>
            </w:r>
          </w:p>
        </w:tc>
        <w:tc>
          <w:tcPr>
            <w:tcW w:w="3817" w:type="dxa"/>
            <w:tcMar>
              <w:top w:w="0" w:type="dxa"/>
              <w:left w:w="57" w:type="dxa"/>
              <w:bottom w:w="0" w:type="dxa"/>
              <w:right w:w="57" w:type="dxa"/>
            </w:tcMar>
            <w:vAlign w:val="center"/>
          </w:tcPr>
          <w:p>
            <w:pPr>
              <w:snapToGrid w:val="0"/>
              <w:spacing w:line="300" w:lineRule="auto"/>
              <w:jc w:val="center"/>
              <w:rPr>
                <w:b/>
                <w:sz w:val="18"/>
              </w:rPr>
            </w:pPr>
            <w:r>
              <w:rPr>
                <w:b/>
                <w:bCs/>
                <w:sz w:val="18"/>
                <w:szCs w:val="18"/>
              </w:rPr>
              <w:t>教学内容与课程教学目标</w:t>
            </w:r>
          </w:p>
        </w:tc>
        <w:tc>
          <w:tcPr>
            <w:tcW w:w="3738" w:type="dxa"/>
            <w:tcMar>
              <w:top w:w="0" w:type="dxa"/>
              <w:left w:w="57" w:type="dxa"/>
              <w:bottom w:w="0" w:type="dxa"/>
              <w:right w:w="57" w:type="dxa"/>
            </w:tcMar>
            <w:vAlign w:val="center"/>
          </w:tcPr>
          <w:p>
            <w:pPr>
              <w:snapToGrid w:val="0"/>
              <w:spacing w:line="300" w:lineRule="auto"/>
              <w:jc w:val="center"/>
              <w:rPr>
                <w:b/>
                <w:sz w:val="18"/>
              </w:rPr>
            </w:pPr>
            <w:r>
              <w:rPr>
                <w:b/>
                <w:bCs/>
                <w:sz w:val="18"/>
                <w:szCs w:val="18"/>
              </w:rPr>
              <w:t>教与学的要求</w:t>
            </w:r>
          </w:p>
        </w:tc>
        <w:tc>
          <w:tcPr>
            <w:tcW w:w="642" w:type="dxa"/>
            <w:tcMar>
              <w:top w:w="0" w:type="dxa"/>
              <w:left w:w="57" w:type="dxa"/>
              <w:bottom w:w="0" w:type="dxa"/>
              <w:right w:w="57" w:type="dxa"/>
            </w:tcMar>
            <w:vAlign w:val="center"/>
          </w:tcPr>
          <w:p>
            <w:pPr>
              <w:snapToGrid w:val="0"/>
              <w:spacing w:line="300" w:lineRule="auto"/>
              <w:jc w:val="center"/>
              <w:rPr>
                <w:b/>
                <w:sz w:val="18"/>
              </w:rPr>
            </w:pPr>
            <w:r>
              <w:rPr>
                <w:b/>
                <w:bCs/>
                <w:sz w:val="18"/>
                <w:szCs w:val="18"/>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81" w:type="dxa"/>
            <w:tcMar>
              <w:top w:w="0" w:type="dxa"/>
              <w:left w:w="57" w:type="dxa"/>
              <w:bottom w:w="0" w:type="dxa"/>
              <w:right w:w="57" w:type="dxa"/>
            </w:tcMar>
            <w:vAlign w:val="center"/>
          </w:tcPr>
          <w:p>
            <w:pPr>
              <w:jc w:val="center"/>
              <w:rPr>
                <w:sz w:val="18"/>
                <w:lang w:bidi="zh-CN"/>
              </w:rPr>
            </w:pPr>
            <w:r>
              <w:rPr>
                <w:sz w:val="18"/>
                <w:lang w:bidi="zh-CN"/>
              </w:rPr>
              <w:t>1</w:t>
            </w:r>
          </w:p>
        </w:tc>
        <w:tc>
          <w:tcPr>
            <w:tcW w:w="3817" w:type="dxa"/>
            <w:tcMar>
              <w:top w:w="0" w:type="dxa"/>
              <w:left w:w="57" w:type="dxa"/>
              <w:bottom w:w="0" w:type="dxa"/>
              <w:right w:w="57" w:type="dxa"/>
            </w:tcMar>
          </w:tcPr>
          <w:p>
            <w:pPr>
              <w:widowControl/>
              <w:adjustRightInd w:val="0"/>
              <w:snapToGrid w:val="0"/>
              <w:spacing w:line="300" w:lineRule="auto"/>
              <w:jc w:val="left"/>
              <w:rPr>
                <w:bCs/>
                <w:kern w:val="0"/>
                <w:sz w:val="18"/>
                <w:szCs w:val="18"/>
              </w:rPr>
            </w:pPr>
            <w:r>
              <w:rPr>
                <w:bCs/>
                <w:kern w:val="0"/>
                <w:sz w:val="18"/>
                <w:szCs w:val="18"/>
              </w:rPr>
              <w:t>一、实习方式：集中实习。</w:t>
            </w:r>
          </w:p>
          <w:p>
            <w:pPr>
              <w:widowControl/>
              <w:adjustRightInd w:val="0"/>
              <w:snapToGrid w:val="0"/>
              <w:spacing w:line="300" w:lineRule="auto"/>
              <w:jc w:val="left"/>
              <w:rPr>
                <w:bCs/>
                <w:kern w:val="0"/>
                <w:sz w:val="18"/>
                <w:szCs w:val="18"/>
              </w:rPr>
            </w:pPr>
            <w:r>
              <w:rPr>
                <w:bCs/>
                <w:kern w:val="0"/>
                <w:sz w:val="18"/>
                <w:szCs w:val="18"/>
              </w:rPr>
              <w:t>二、场所：学校科技楼四楼单片机实验室。</w:t>
            </w:r>
          </w:p>
          <w:p>
            <w:pPr>
              <w:widowControl/>
              <w:adjustRightInd w:val="0"/>
              <w:snapToGrid w:val="0"/>
              <w:spacing w:line="300" w:lineRule="auto"/>
              <w:jc w:val="left"/>
              <w:rPr>
                <w:bCs/>
                <w:kern w:val="0"/>
                <w:sz w:val="18"/>
                <w:szCs w:val="18"/>
              </w:rPr>
            </w:pPr>
            <w:r>
              <w:rPr>
                <w:bCs/>
                <w:kern w:val="0"/>
                <w:sz w:val="18"/>
                <w:szCs w:val="18"/>
              </w:rPr>
              <w:t>三、实习内容</w:t>
            </w:r>
          </w:p>
          <w:p>
            <w:pPr>
              <w:widowControl/>
              <w:adjustRightInd w:val="0"/>
              <w:snapToGrid w:val="0"/>
              <w:spacing w:line="300" w:lineRule="auto"/>
              <w:jc w:val="left"/>
              <w:rPr>
                <w:bCs/>
                <w:kern w:val="0"/>
                <w:sz w:val="18"/>
                <w:szCs w:val="18"/>
              </w:rPr>
            </w:pPr>
            <w:r>
              <w:rPr>
                <w:bCs/>
                <w:kern w:val="0"/>
                <w:sz w:val="18"/>
                <w:szCs w:val="18"/>
              </w:rPr>
              <w:t>（一）首先，依据项目需求，在网上检索参考资料；然后，按照软件项目开发流程完成小型管理系统的软件开发；接着，进行系统测试；最终，完成课程设计论文。</w:t>
            </w:r>
          </w:p>
          <w:p>
            <w:pPr>
              <w:widowControl/>
              <w:adjustRightInd w:val="0"/>
              <w:snapToGrid w:val="0"/>
              <w:spacing w:line="300" w:lineRule="auto"/>
              <w:jc w:val="left"/>
              <w:rPr>
                <w:bCs/>
                <w:kern w:val="0"/>
                <w:sz w:val="18"/>
                <w:szCs w:val="18"/>
              </w:rPr>
            </w:pPr>
            <w:r>
              <w:rPr>
                <w:bCs/>
                <w:kern w:val="0"/>
                <w:sz w:val="18"/>
                <w:szCs w:val="18"/>
              </w:rPr>
              <w:t>软件项目开发流程，详细描述如下：</w:t>
            </w:r>
          </w:p>
          <w:p>
            <w:pPr>
              <w:widowControl/>
              <w:adjustRightInd w:val="0"/>
              <w:snapToGrid w:val="0"/>
              <w:spacing w:line="300" w:lineRule="auto"/>
              <w:jc w:val="left"/>
              <w:rPr>
                <w:bCs/>
                <w:kern w:val="0"/>
                <w:sz w:val="18"/>
                <w:szCs w:val="18"/>
              </w:rPr>
            </w:pPr>
            <w:r>
              <w:rPr>
                <w:bCs/>
                <w:kern w:val="0"/>
                <w:sz w:val="18"/>
                <w:szCs w:val="18"/>
              </w:rPr>
              <w:t>1．需求分析——即问题分析</w:t>
            </w:r>
          </w:p>
          <w:p>
            <w:pPr>
              <w:widowControl/>
              <w:adjustRightInd w:val="0"/>
              <w:snapToGrid w:val="0"/>
              <w:spacing w:line="300" w:lineRule="auto"/>
              <w:jc w:val="left"/>
              <w:rPr>
                <w:bCs/>
                <w:kern w:val="0"/>
                <w:sz w:val="18"/>
                <w:szCs w:val="18"/>
              </w:rPr>
            </w:pPr>
            <w:r>
              <w:rPr>
                <w:bCs/>
                <w:kern w:val="0"/>
                <w:sz w:val="18"/>
                <w:szCs w:val="18"/>
              </w:rPr>
              <w:t>2．概要设计——（1）系统架构设计；（2）系统业务流程设计。</w:t>
            </w:r>
          </w:p>
          <w:p>
            <w:pPr>
              <w:widowControl/>
              <w:adjustRightInd w:val="0"/>
              <w:snapToGrid w:val="0"/>
              <w:spacing w:line="300" w:lineRule="auto"/>
              <w:jc w:val="left"/>
              <w:rPr>
                <w:bCs/>
                <w:kern w:val="0"/>
                <w:sz w:val="18"/>
                <w:szCs w:val="18"/>
              </w:rPr>
            </w:pPr>
            <w:r>
              <w:rPr>
                <w:bCs/>
                <w:kern w:val="0"/>
                <w:sz w:val="18"/>
                <w:szCs w:val="18"/>
              </w:rPr>
              <w:t>3．系统详细设计，以“学生通讯录管理系统”为例——(1)显示主菜单子函数；(2)创建通讯录信息子函数；(3)显示通讯录信息子函数；(4)查询通讯录信息子函数;(5)添加通讯录子函数；(6)修改通讯录子函数；(7)删除通讯录子函数；(8)按学号查找通讯录信息子函数；(9)按姓名查找通讯录信息子函数；(10)主函数。</w:t>
            </w:r>
          </w:p>
          <w:p>
            <w:pPr>
              <w:widowControl/>
              <w:adjustRightInd w:val="0"/>
              <w:snapToGrid w:val="0"/>
              <w:spacing w:line="300" w:lineRule="auto"/>
              <w:jc w:val="left"/>
              <w:rPr>
                <w:bCs/>
                <w:kern w:val="0"/>
                <w:sz w:val="18"/>
                <w:szCs w:val="18"/>
              </w:rPr>
            </w:pPr>
            <w:r>
              <w:rPr>
                <w:bCs/>
                <w:kern w:val="0"/>
                <w:sz w:val="18"/>
                <w:szCs w:val="18"/>
              </w:rPr>
              <w:t>4.数据库设计——依据业务需求中的多个对象分别设计结构体，依据数据字段具体设计定义其在结构体中的成员变量名称。</w:t>
            </w:r>
          </w:p>
          <w:p>
            <w:pPr>
              <w:widowControl/>
              <w:adjustRightInd w:val="0"/>
              <w:snapToGrid w:val="0"/>
              <w:spacing w:line="300" w:lineRule="auto"/>
              <w:jc w:val="left"/>
              <w:rPr>
                <w:bCs/>
                <w:kern w:val="0"/>
                <w:sz w:val="18"/>
                <w:szCs w:val="18"/>
              </w:rPr>
            </w:pPr>
            <w:r>
              <w:rPr>
                <w:bCs/>
                <w:kern w:val="0"/>
                <w:sz w:val="18"/>
                <w:szCs w:val="18"/>
              </w:rPr>
              <w:t>5.软件测试/调试——依据业务流程进行独立的业务测试；在测试通过后依据业务流程提供用户使用说明。</w:t>
            </w:r>
          </w:p>
          <w:p>
            <w:pPr>
              <w:widowControl/>
              <w:adjustRightInd w:val="0"/>
              <w:snapToGrid w:val="0"/>
              <w:spacing w:line="300" w:lineRule="auto"/>
              <w:jc w:val="left"/>
              <w:rPr>
                <w:bCs/>
                <w:kern w:val="0"/>
                <w:sz w:val="18"/>
                <w:szCs w:val="18"/>
              </w:rPr>
            </w:pPr>
            <w:r>
              <w:rPr>
                <w:bCs/>
                <w:kern w:val="0"/>
                <w:sz w:val="18"/>
                <w:szCs w:val="18"/>
              </w:rPr>
              <w:t>6.总结——（1）回顾软件编码过程中遇到了的问题及其解决方案；（2）对设计与实现的回顾讨论和分析；（3）经验总结。</w:t>
            </w:r>
          </w:p>
          <w:p>
            <w:pPr>
              <w:widowControl/>
              <w:adjustRightInd w:val="0"/>
              <w:snapToGrid w:val="0"/>
              <w:spacing w:line="300" w:lineRule="auto"/>
              <w:jc w:val="left"/>
              <w:rPr>
                <w:bCs/>
                <w:kern w:val="0"/>
                <w:sz w:val="18"/>
                <w:szCs w:val="18"/>
              </w:rPr>
            </w:pPr>
            <w:r>
              <w:rPr>
                <w:bCs/>
                <w:kern w:val="0"/>
                <w:sz w:val="18"/>
                <w:szCs w:val="18"/>
              </w:rPr>
              <w:t>（二）拟定29个课题，每3或者4人一组，每组在上方题目中任选其一，每2个班级内部选题尽量不重复。具体可选题目名称如下：</w:t>
            </w:r>
          </w:p>
          <w:p>
            <w:pPr>
              <w:widowControl/>
              <w:adjustRightInd w:val="0"/>
              <w:snapToGrid w:val="0"/>
              <w:spacing w:line="300" w:lineRule="auto"/>
              <w:jc w:val="left"/>
              <w:rPr>
                <w:bCs/>
                <w:kern w:val="0"/>
                <w:sz w:val="18"/>
                <w:szCs w:val="18"/>
              </w:rPr>
            </w:pPr>
            <w:r>
              <w:rPr>
                <w:bCs/>
                <w:kern w:val="0"/>
                <w:sz w:val="18"/>
                <w:szCs w:val="18"/>
              </w:rPr>
              <w:t>（1）班级成绩管理系统；（2）图书馆管理系统；（3）个人财务管理系统；（4）飞机订票信息系统；（5）小型超市商品库存进出管理系统；（6）货架管理系统；（7）车票管理系统；（8）家庭财务管理系统；（9）　开放机房使用管理系统；（10）通讯录管理系统；（11）学生寝室进出登记管理系统；（12）员工工资管理系统；（13）课堂考勤管理系统；（14）订餐管理系统；（15）邮编管理系统；（16）恋爱谐音数字管理系统；（17）电子专业大一的同乡管理系统；（18）班级宿舍与电话管理系统；（19）校车出行信息管理系统；（20）C语言函数信息管理系统；（21）ASCII信息管理系统；（22）外卖店铺信息与评分管理系统；（23）夜间7:00~9:00自习室学员年级分布调查问卷管理系统；（24）中午食堂就餐与外卖点餐年级分布调查问卷管理系统；（25）计算器；（26）基于牛顿法和插值法的N次非线性方程求解；（27）任意数字A的3个整数B、C、D加减乘除四则运算求解；（28）中国象棋红方棋子A到达黑方棋子B的最短路径求解；（29）文本加密。</w:t>
            </w:r>
          </w:p>
          <w:p>
            <w:pPr>
              <w:widowControl/>
              <w:adjustRightInd w:val="0"/>
              <w:snapToGrid w:val="0"/>
              <w:spacing w:line="300" w:lineRule="auto"/>
              <w:jc w:val="left"/>
              <w:rPr>
                <w:bCs/>
                <w:kern w:val="0"/>
                <w:sz w:val="18"/>
                <w:szCs w:val="18"/>
              </w:rPr>
            </w:pPr>
            <w:r>
              <w:rPr>
                <w:bCs/>
                <w:kern w:val="0"/>
                <w:sz w:val="18"/>
                <w:szCs w:val="18"/>
              </w:rPr>
              <w:t>[课程目标1,2,3]</w:t>
            </w:r>
          </w:p>
        </w:tc>
        <w:tc>
          <w:tcPr>
            <w:tcW w:w="3738" w:type="dxa"/>
            <w:tcMar>
              <w:top w:w="0" w:type="dxa"/>
              <w:left w:w="57" w:type="dxa"/>
              <w:bottom w:w="0" w:type="dxa"/>
              <w:right w:w="57" w:type="dxa"/>
            </w:tcMar>
          </w:tcPr>
          <w:p>
            <w:pPr>
              <w:widowControl/>
              <w:adjustRightInd w:val="0"/>
              <w:snapToGrid w:val="0"/>
              <w:spacing w:line="300" w:lineRule="auto"/>
              <w:jc w:val="left"/>
              <w:rPr>
                <w:bCs/>
                <w:kern w:val="0"/>
                <w:sz w:val="18"/>
                <w:szCs w:val="18"/>
              </w:rPr>
            </w:pPr>
            <w:r>
              <w:rPr>
                <w:bCs/>
                <w:kern w:val="0"/>
                <w:sz w:val="18"/>
                <w:szCs w:val="18"/>
              </w:rPr>
              <w:t>一、实习活动要求：</w:t>
            </w:r>
          </w:p>
          <w:p>
            <w:pPr>
              <w:widowControl/>
              <w:adjustRightInd w:val="0"/>
              <w:snapToGrid w:val="0"/>
              <w:spacing w:line="300" w:lineRule="auto"/>
              <w:jc w:val="left"/>
              <w:rPr>
                <w:bCs/>
                <w:kern w:val="0"/>
                <w:sz w:val="18"/>
                <w:szCs w:val="18"/>
              </w:rPr>
            </w:pPr>
            <w:r>
              <w:rPr>
                <w:bCs/>
                <w:kern w:val="0"/>
                <w:sz w:val="18"/>
                <w:szCs w:val="18"/>
              </w:rPr>
              <w:t>（一）周一，布置实习任务，在网上查找资料，确定项目实施方案，完成系统需求描述，并整理成文档；</w:t>
            </w:r>
          </w:p>
          <w:p>
            <w:pPr>
              <w:widowControl/>
              <w:adjustRightInd w:val="0"/>
              <w:snapToGrid w:val="0"/>
              <w:spacing w:line="300" w:lineRule="auto"/>
              <w:jc w:val="left"/>
              <w:rPr>
                <w:bCs/>
                <w:kern w:val="0"/>
                <w:sz w:val="18"/>
                <w:szCs w:val="18"/>
              </w:rPr>
            </w:pPr>
            <w:r>
              <w:rPr>
                <w:bCs/>
                <w:kern w:val="0"/>
                <w:sz w:val="18"/>
                <w:szCs w:val="18"/>
              </w:rPr>
              <w:t>（二）周二，根据需求分析,完成系统总体设计，进行模块之间的接口设计，绘制功能模块组织结构图；</w:t>
            </w:r>
          </w:p>
          <w:p>
            <w:pPr>
              <w:widowControl/>
              <w:adjustRightInd w:val="0"/>
              <w:snapToGrid w:val="0"/>
              <w:spacing w:line="300" w:lineRule="auto"/>
              <w:jc w:val="left"/>
              <w:rPr>
                <w:bCs/>
                <w:kern w:val="0"/>
                <w:sz w:val="18"/>
                <w:szCs w:val="18"/>
              </w:rPr>
            </w:pPr>
            <w:r>
              <w:rPr>
                <w:bCs/>
                <w:kern w:val="0"/>
                <w:sz w:val="18"/>
                <w:szCs w:val="18"/>
              </w:rPr>
              <w:t>（三）周三，根据功能模块组织结构图,设计数据结构和函数，完成系统详细设计，完成顶层代码的书写；</w:t>
            </w:r>
          </w:p>
          <w:p>
            <w:pPr>
              <w:widowControl/>
              <w:adjustRightInd w:val="0"/>
              <w:snapToGrid w:val="0"/>
              <w:spacing w:line="300" w:lineRule="auto"/>
              <w:jc w:val="left"/>
              <w:rPr>
                <w:bCs/>
                <w:kern w:val="0"/>
                <w:sz w:val="18"/>
                <w:szCs w:val="18"/>
              </w:rPr>
            </w:pPr>
            <w:r>
              <w:rPr>
                <w:bCs/>
                <w:kern w:val="0"/>
                <w:sz w:val="18"/>
                <w:szCs w:val="18"/>
              </w:rPr>
              <w:t xml:space="preserve">（四）周四，完成系统各模块的子函数代码的编写、调试，以及测试。 </w:t>
            </w:r>
          </w:p>
          <w:p>
            <w:pPr>
              <w:widowControl/>
              <w:adjustRightInd w:val="0"/>
              <w:snapToGrid w:val="0"/>
              <w:spacing w:line="300" w:lineRule="auto"/>
              <w:jc w:val="left"/>
              <w:rPr>
                <w:bCs/>
                <w:kern w:val="0"/>
                <w:sz w:val="18"/>
                <w:szCs w:val="18"/>
              </w:rPr>
            </w:pPr>
            <w:r>
              <w:rPr>
                <w:bCs/>
                <w:kern w:val="0"/>
                <w:sz w:val="18"/>
                <w:szCs w:val="18"/>
              </w:rPr>
              <w:t>（五）周五与周六，通过代码调试，实现总体测试的验收通过。</w:t>
            </w:r>
          </w:p>
          <w:p>
            <w:pPr>
              <w:widowControl/>
              <w:adjustRightInd w:val="0"/>
              <w:snapToGrid w:val="0"/>
              <w:spacing w:line="300" w:lineRule="auto"/>
              <w:jc w:val="left"/>
              <w:rPr>
                <w:bCs/>
                <w:kern w:val="0"/>
                <w:sz w:val="18"/>
                <w:szCs w:val="18"/>
              </w:rPr>
            </w:pPr>
            <w:r>
              <w:rPr>
                <w:bCs/>
                <w:kern w:val="0"/>
                <w:sz w:val="18"/>
                <w:szCs w:val="18"/>
              </w:rPr>
              <w:t>（六）周日，撰写实习报告。</w:t>
            </w:r>
          </w:p>
          <w:p>
            <w:pPr>
              <w:widowControl/>
              <w:adjustRightInd w:val="0"/>
              <w:snapToGrid w:val="0"/>
              <w:spacing w:line="300" w:lineRule="auto"/>
              <w:jc w:val="left"/>
              <w:rPr>
                <w:bCs/>
                <w:kern w:val="0"/>
                <w:sz w:val="18"/>
                <w:szCs w:val="18"/>
              </w:rPr>
            </w:pPr>
          </w:p>
          <w:p>
            <w:pPr>
              <w:widowControl/>
              <w:adjustRightInd w:val="0"/>
              <w:snapToGrid w:val="0"/>
              <w:spacing w:line="300" w:lineRule="auto"/>
              <w:jc w:val="left"/>
              <w:rPr>
                <w:bCs/>
                <w:kern w:val="0"/>
                <w:sz w:val="18"/>
                <w:szCs w:val="18"/>
              </w:rPr>
            </w:pPr>
            <w:r>
              <w:rPr>
                <w:bCs/>
                <w:kern w:val="0"/>
                <w:sz w:val="18"/>
                <w:szCs w:val="18"/>
              </w:rPr>
              <w:t>二、实习报告撰写的内容要求：</w:t>
            </w:r>
          </w:p>
          <w:p>
            <w:pPr>
              <w:widowControl/>
              <w:adjustRightInd w:val="0"/>
              <w:snapToGrid w:val="0"/>
              <w:spacing w:line="300" w:lineRule="auto"/>
              <w:jc w:val="left"/>
              <w:rPr>
                <w:bCs/>
                <w:kern w:val="0"/>
                <w:sz w:val="18"/>
                <w:szCs w:val="18"/>
              </w:rPr>
            </w:pPr>
            <w:r>
              <w:rPr>
                <w:bCs/>
                <w:kern w:val="0"/>
                <w:sz w:val="18"/>
                <w:szCs w:val="18"/>
              </w:rPr>
              <w:t>（一）需求分析</w:t>
            </w:r>
          </w:p>
          <w:p>
            <w:pPr>
              <w:widowControl/>
              <w:adjustRightInd w:val="0"/>
              <w:snapToGrid w:val="0"/>
              <w:spacing w:line="300" w:lineRule="auto"/>
              <w:jc w:val="left"/>
              <w:rPr>
                <w:bCs/>
                <w:kern w:val="0"/>
                <w:sz w:val="18"/>
                <w:szCs w:val="18"/>
              </w:rPr>
            </w:pPr>
            <w:r>
              <w:rPr>
                <w:bCs/>
                <w:kern w:val="0"/>
                <w:sz w:val="18"/>
                <w:szCs w:val="18"/>
              </w:rPr>
              <w:t>以用户的视角，以无歧义陈述方式说明项目任务，以简单和具体的语言描述项目需求，并明确规定：</w:t>
            </w:r>
          </w:p>
          <w:p>
            <w:pPr>
              <w:widowControl/>
              <w:adjustRightInd w:val="0"/>
              <w:snapToGrid w:val="0"/>
              <w:spacing w:line="300" w:lineRule="auto"/>
              <w:jc w:val="left"/>
              <w:rPr>
                <w:bCs/>
                <w:kern w:val="0"/>
                <w:sz w:val="18"/>
                <w:szCs w:val="18"/>
              </w:rPr>
            </w:pPr>
            <w:r>
              <w:rPr>
                <w:bCs/>
                <w:kern w:val="0"/>
                <w:sz w:val="18"/>
                <w:szCs w:val="18"/>
              </w:rPr>
              <w:t>（1）输入与输出的形式和数值范围；</w:t>
            </w:r>
          </w:p>
          <w:p>
            <w:pPr>
              <w:widowControl/>
              <w:adjustRightInd w:val="0"/>
              <w:snapToGrid w:val="0"/>
              <w:spacing w:line="300" w:lineRule="auto"/>
              <w:jc w:val="left"/>
              <w:rPr>
                <w:bCs/>
                <w:kern w:val="0"/>
                <w:sz w:val="18"/>
                <w:szCs w:val="18"/>
              </w:rPr>
            </w:pPr>
            <w:r>
              <w:rPr>
                <w:bCs/>
                <w:kern w:val="0"/>
                <w:sz w:val="18"/>
                <w:szCs w:val="18"/>
              </w:rPr>
              <w:t>（2）输入与输出的映射关系；</w:t>
            </w:r>
          </w:p>
          <w:p>
            <w:pPr>
              <w:widowControl/>
              <w:adjustRightInd w:val="0"/>
              <w:snapToGrid w:val="0"/>
              <w:spacing w:line="300" w:lineRule="auto"/>
              <w:jc w:val="left"/>
              <w:rPr>
                <w:bCs/>
                <w:kern w:val="0"/>
                <w:sz w:val="18"/>
                <w:szCs w:val="18"/>
              </w:rPr>
            </w:pPr>
            <w:r>
              <w:rPr>
                <w:bCs/>
                <w:kern w:val="0"/>
                <w:sz w:val="18"/>
                <w:szCs w:val="18"/>
              </w:rPr>
              <w:t>（3）程序所能实现的功能；</w:t>
            </w:r>
          </w:p>
          <w:p>
            <w:pPr>
              <w:widowControl/>
              <w:adjustRightInd w:val="0"/>
              <w:snapToGrid w:val="0"/>
              <w:spacing w:line="300" w:lineRule="auto"/>
              <w:jc w:val="left"/>
              <w:rPr>
                <w:bCs/>
                <w:kern w:val="0"/>
                <w:sz w:val="18"/>
                <w:szCs w:val="18"/>
              </w:rPr>
            </w:pPr>
            <w:r>
              <w:rPr>
                <w:bCs/>
                <w:kern w:val="0"/>
                <w:sz w:val="18"/>
                <w:szCs w:val="18"/>
              </w:rPr>
              <w:t>（4）测试数据与测试脚本——正确的测试输入数据对应其预期的正确输出结果；错误的测试输入数据对应其预期的错误输出结果。</w:t>
            </w:r>
          </w:p>
          <w:p>
            <w:pPr>
              <w:widowControl/>
              <w:adjustRightInd w:val="0"/>
              <w:snapToGrid w:val="0"/>
              <w:spacing w:line="300" w:lineRule="auto"/>
              <w:jc w:val="left"/>
              <w:rPr>
                <w:bCs/>
                <w:kern w:val="0"/>
                <w:sz w:val="18"/>
                <w:szCs w:val="18"/>
              </w:rPr>
            </w:pPr>
            <w:r>
              <w:rPr>
                <w:bCs/>
                <w:kern w:val="0"/>
                <w:sz w:val="18"/>
                <w:szCs w:val="18"/>
              </w:rPr>
              <w:t>（二）概要设计</w:t>
            </w:r>
          </w:p>
          <w:p>
            <w:pPr>
              <w:widowControl/>
              <w:adjustRightInd w:val="0"/>
              <w:snapToGrid w:val="0"/>
              <w:spacing w:line="300" w:lineRule="auto"/>
              <w:jc w:val="left"/>
              <w:rPr>
                <w:bCs/>
                <w:kern w:val="0"/>
                <w:sz w:val="18"/>
                <w:szCs w:val="18"/>
              </w:rPr>
            </w:pPr>
            <w:r>
              <w:rPr>
                <w:bCs/>
                <w:kern w:val="0"/>
                <w:sz w:val="18"/>
                <w:szCs w:val="18"/>
              </w:rPr>
              <w:t>说明本程序中用到的所有函数的定义、主程序的流程以及各程序模块之间的层次(调用)关系。</w:t>
            </w:r>
          </w:p>
          <w:p>
            <w:pPr>
              <w:widowControl/>
              <w:adjustRightInd w:val="0"/>
              <w:snapToGrid w:val="0"/>
              <w:spacing w:line="300" w:lineRule="auto"/>
              <w:jc w:val="left"/>
              <w:rPr>
                <w:bCs/>
                <w:kern w:val="0"/>
                <w:sz w:val="18"/>
                <w:szCs w:val="18"/>
              </w:rPr>
            </w:pPr>
            <w:r>
              <w:rPr>
                <w:bCs/>
                <w:kern w:val="0"/>
                <w:sz w:val="18"/>
                <w:szCs w:val="18"/>
              </w:rPr>
              <w:t>（三）详细设计</w:t>
            </w:r>
          </w:p>
          <w:p>
            <w:pPr>
              <w:widowControl/>
              <w:adjustRightInd w:val="0"/>
              <w:snapToGrid w:val="0"/>
              <w:spacing w:line="300" w:lineRule="auto"/>
              <w:jc w:val="left"/>
              <w:rPr>
                <w:bCs/>
                <w:kern w:val="0"/>
                <w:sz w:val="18"/>
                <w:szCs w:val="18"/>
              </w:rPr>
            </w:pPr>
            <w:r>
              <w:rPr>
                <w:bCs/>
                <w:kern w:val="0"/>
                <w:sz w:val="18"/>
                <w:szCs w:val="18"/>
              </w:rPr>
              <w:t>描述概要设计中定义的所有模块，对每个操作需要写出算法；对主程序和其他模块也都需要写出算法；可采用流程图进行描述，画出函数和过程的调用关系图。</w:t>
            </w:r>
          </w:p>
          <w:p>
            <w:pPr>
              <w:widowControl/>
              <w:adjustRightInd w:val="0"/>
              <w:snapToGrid w:val="0"/>
              <w:spacing w:line="300" w:lineRule="auto"/>
              <w:jc w:val="left"/>
              <w:rPr>
                <w:bCs/>
                <w:kern w:val="0"/>
                <w:sz w:val="18"/>
                <w:szCs w:val="18"/>
              </w:rPr>
            </w:pPr>
            <w:r>
              <w:rPr>
                <w:bCs/>
                <w:kern w:val="0"/>
                <w:sz w:val="18"/>
                <w:szCs w:val="18"/>
              </w:rPr>
              <w:t>（四）调试分析</w:t>
            </w:r>
          </w:p>
          <w:p>
            <w:pPr>
              <w:widowControl/>
              <w:adjustRightInd w:val="0"/>
              <w:snapToGrid w:val="0"/>
              <w:spacing w:line="300" w:lineRule="auto"/>
              <w:jc w:val="left"/>
              <w:rPr>
                <w:bCs/>
                <w:kern w:val="0"/>
                <w:sz w:val="18"/>
                <w:szCs w:val="18"/>
              </w:rPr>
            </w:pPr>
            <w:r>
              <w:rPr>
                <w:bCs/>
                <w:kern w:val="0"/>
                <w:sz w:val="18"/>
                <w:szCs w:val="18"/>
              </w:rPr>
              <w:t>（1）调试过程中遇到的问题是如何解决的以及对设计与实现的回顾讨论和分析；</w:t>
            </w:r>
          </w:p>
          <w:p>
            <w:pPr>
              <w:widowControl/>
              <w:adjustRightInd w:val="0"/>
              <w:snapToGrid w:val="0"/>
              <w:spacing w:line="300" w:lineRule="auto"/>
              <w:jc w:val="left"/>
              <w:rPr>
                <w:bCs/>
                <w:kern w:val="0"/>
                <w:sz w:val="18"/>
                <w:szCs w:val="18"/>
              </w:rPr>
            </w:pPr>
            <w:r>
              <w:rPr>
                <w:bCs/>
                <w:kern w:val="0"/>
                <w:sz w:val="18"/>
                <w:szCs w:val="18"/>
              </w:rPr>
              <w:t>（2）描述业务流程的合理性与便捷性的验证以及改善过程等。</w:t>
            </w:r>
          </w:p>
          <w:p>
            <w:pPr>
              <w:widowControl/>
              <w:adjustRightInd w:val="0"/>
              <w:snapToGrid w:val="0"/>
              <w:spacing w:line="300" w:lineRule="auto"/>
              <w:jc w:val="left"/>
              <w:rPr>
                <w:bCs/>
                <w:kern w:val="0"/>
                <w:sz w:val="18"/>
                <w:szCs w:val="18"/>
              </w:rPr>
            </w:pPr>
            <w:r>
              <w:rPr>
                <w:bCs/>
                <w:kern w:val="0"/>
                <w:sz w:val="18"/>
                <w:szCs w:val="18"/>
              </w:rPr>
              <w:t>（五）用户使用说明</w:t>
            </w:r>
          </w:p>
          <w:p>
            <w:pPr>
              <w:widowControl/>
              <w:adjustRightInd w:val="0"/>
              <w:snapToGrid w:val="0"/>
              <w:spacing w:line="300" w:lineRule="auto"/>
              <w:jc w:val="left"/>
              <w:rPr>
                <w:bCs/>
                <w:kern w:val="0"/>
                <w:sz w:val="18"/>
                <w:szCs w:val="18"/>
              </w:rPr>
            </w:pPr>
            <w:r>
              <w:rPr>
                <w:bCs/>
                <w:kern w:val="0"/>
                <w:sz w:val="18"/>
                <w:szCs w:val="18"/>
              </w:rPr>
              <w:t>说明如何使用所开发的系统，详细列出每一步的操作步骤。</w:t>
            </w:r>
          </w:p>
          <w:p>
            <w:pPr>
              <w:widowControl/>
              <w:adjustRightInd w:val="0"/>
              <w:snapToGrid w:val="0"/>
              <w:spacing w:line="300" w:lineRule="auto"/>
              <w:jc w:val="left"/>
              <w:rPr>
                <w:bCs/>
                <w:kern w:val="0"/>
                <w:sz w:val="18"/>
                <w:szCs w:val="18"/>
              </w:rPr>
            </w:pPr>
            <w:r>
              <w:rPr>
                <w:bCs/>
                <w:kern w:val="0"/>
                <w:sz w:val="18"/>
                <w:szCs w:val="18"/>
              </w:rPr>
              <w:t>（六）测试结果</w:t>
            </w:r>
          </w:p>
          <w:p>
            <w:pPr>
              <w:widowControl/>
              <w:adjustRightInd w:val="0"/>
              <w:snapToGrid w:val="0"/>
              <w:spacing w:line="300" w:lineRule="auto"/>
              <w:jc w:val="left"/>
              <w:rPr>
                <w:bCs/>
                <w:kern w:val="0"/>
                <w:sz w:val="18"/>
                <w:szCs w:val="18"/>
              </w:rPr>
            </w:pPr>
            <w:r>
              <w:rPr>
                <w:bCs/>
                <w:kern w:val="0"/>
                <w:sz w:val="18"/>
                <w:szCs w:val="18"/>
              </w:rPr>
              <w:t>列出系统的测试结果，包括输入和输出。这里的测试数据应该完整和严格，最好多于需求分析中所列。</w:t>
            </w:r>
          </w:p>
          <w:p>
            <w:pPr>
              <w:widowControl/>
              <w:adjustRightInd w:val="0"/>
              <w:snapToGrid w:val="0"/>
              <w:spacing w:line="300" w:lineRule="auto"/>
              <w:jc w:val="left"/>
              <w:rPr>
                <w:bCs/>
                <w:kern w:val="0"/>
                <w:sz w:val="18"/>
                <w:szCs w:val="18"/>
              </w:rPr>
            </w:pPr>
            <w:r>
              <w:rPr>
                <w:bCs/>
                <w:kern w:val="0"/>
                <w:sz w:val="18"/>
                <w:szCs w:val="18"/>
              </w:rPr>
              <w:t>（七）总结</w:t>
            </w:r>
          </w:p>
          <w:p>
            <w:pPr>
              <w:widowControl/>
              <w:adjustRightInd w:val="0"/>
              <w:snapToGrid w:val="0"/>
              <w:spacing w:line="300" w:lineRule="auto"/>
              <w:jc w:val="left"/>
              <w:rPr>
                <w:bCs/>
                <w:kern w:val="0"/>
                <w:sz w:val="18"/>
                <w:szCs w:val="18"/>
              </w:rPr>
            </w:pPr>
            <w:r>
              <w:rPr>
                <w:bCs/>
                <w:kern w:val="0"/>
                <w:sz w:val="18"/>
                <w:szCs w:val="18"/>
              </w:rPr>
              <w:t>总结所开发系统的优缺点，在设计过程中遇到的问题和解决办法，对于团队合作的经验和体会等。</w:t>
            </w:r>
          </w:p>
          <w:p>
            <w:pPr>
              <w:widowControl/>
              <w:adjustRightInd w:val="0"/>
              <w:snapToGrid w:val="0"/>
              <w:spacing w:line="300" w:lineRule="auto"/>
              <w:jc w:val="left"/>
              <w:rPr>
                <w:bCs/>
                <w:kern w:val="0"/>
                <w:sz w:val="18"/>
                <w:szCs w:val="18"/>
              </w:rPr>
            </w:pPr>
            <w:r>
              <w:rPr>
                <w:bCs/>
                <w:kern w:val="0"/>
                <w:sz w:val="18"/>
                <w:szCs w:val="18"/>
              </w:rPr>
              <w:t>（八）参考文献</w:t>
            </w:r>
          </w:p>
          <w:p>
            <w:pPr>
              <w:widowControl/>
              <w:adjustRightInd w:val="0"/>
              <w:snapToGrid w:val="0"/>
              <w:spacing w:line="300" w:lineRule="auto"/>
              <w:jc w:val="left"/>
              <w:rPr>
                <w:bCs/>
                <w:kern w:val="0"/>
                <w:sz w:val="18"/>
                <w:szCs w:val="18"/>
              </w:rPr>
            </w:pPr>
            <w:r>
              <w:rPr>
                <w:bCs/>
                <w:kern w:val="0"/>
                <w:sz w:val="18"/>
                <w:szCs w:val="18"/>
              </w:rPr>
              <w:t>列出参考的相关资料和书籍。</w:t>
            </w:r>
          </w:p>
          <w:p>
            <w:pPr>
              <w:widowControl/>
              <w:adjustRightInd w:val="0"/>
              <w:snapToGrid w:val="0"/>
              <w:spacing w:line="300" w:lineRule="auto"/>
              <w:jc w:val="left"/>
              <w:rPr>
                <w:bCs/>
                <w:kern w:val="0"/>
                <w:sz w:val="18"/>
                <w:szCs w:val="18"/>
              </w:rPr>
            </w:pPr>
            <w:r>
              <w:rPr>
                <w:bCs/>
                <w:kern w:val="0"/>
                <w:sz w:val="18"/>
                <w:szCs w:val="18"/>
              </w:rPr>
              <w:t>（九）建议和设想 (此部分可选作)</w:t>
            </w:r>
          </w:p>
        </w:tc>
        <w:tc>
          <w:tcPr>
            <w:tcW w:w="642" w:type="dxa"/>
            <w:tcMar>
              <w:top w:w="0" w:type="dxa"/>
              <w:left w:w="57" w:type="dxa"/>
              <w:bottom w:w="0" w:type="dxa"/>
              <w:right w:w="57" w:type="dxa"/>
            </w:tcMar>
            <w:vAlign w:val="center"/>
          </w:tcPr>
          <w:p>
            <w:pPr>
              <w:ind w:right="183"/>
              <w:jc w:val="center"/>
              <w:rPr>
                <w:sz w:val="18"/>
                <w:lang w:val="zh-CN" w:bidi="zh-CN"/>
              </w:rPr>
            </w:pPr>
            <w:r>
              <w:rPr>
                <w:kern w:val="0"/>
                <w:sz w:val="18"/>
                <w:szCs w:val="18"/>
                <w:lang w:bidi="zh-CN"/>
              </w:rPr>
              <w:t>1</w:t>
            </w:r>
            <w:r>
              <w:rPr>
                <w:kern w:val="0"/>
                <w:sz w:val="18"/>
                <w:szCs w:val="18"/>
                <w:lang w:val="zh-CN" w:bidi="zh-CN"/>
              </w:rPr>
              <w:t>周</w:t>
            </w:r>
          </w:p>
        </w:tc>
      </w:tr>
    </w:tbl>
    <w:p>
      <w:pPr>
        <w:snapToGrid w:val="0"/>
        <w:spacing w:before="159" w:beforeLines="50" w:after="159" w:afterLines="50" w:line="300" w:lineRule="auto"/>
        <w:rPr>
          <w:b/>
          <w:sz w:val="24"/>
        </w:rPr>
      </w:pPr>
      <w:r>
        <w:rPr>
          <w:b/>
          <w:sz w:val="24"/>
        </w:rPr>
        <w:t xml:space="preserve">五、课程考核及成绩评定 </w:t>
      </w:r>
    </w:p>
    <w:p>
      <w:pPr>
        <w:snapToGrid w:val="0"/>
        <w:spacing w:line="300" w:lineRule="auto"/>
        <w:ind w:firstLine="420" w:firstLineChars="200"/>
      </w:pPr>
      <w:r>
        <w:t xml:space="preserve">1．考核方式：考查。 </w:t>
      </w:r>
    </w:p>
    <w:p>
      <w:pPr>
        <w:snapToGrid w:val="0"/>
        <w:spacing w:line="300" w:lineRule="auto"/>
        <w:ind w:firstLine="420" w:firstLineChars="200"/>
      </w:pPr>
      <w:r>
        <w:t>2．成绩构成：根据系统演示与答辩的表现、以及实习报告进行综合评定，给出优、良、中、及格、不及格五个等级。凡成绩不及格者，必须重修。</w:t>
      </w:r>
    </w:p>
    <w:p>
      <w:pPr>
        <w:snapToGrid w:val="0"/>
        <w:spacing w:line="300" w:lineRule="auto"/>
        <w:ind w:firstLine="420" w:firstLineChars="200"/>
      </w:pPr>
      <w:r>
        <w:t>总成绩</w:t>
      </w:r>
      <w:r>
        <w:rPr>
          <w:rFonts w:hint="eastAsia"/>
        </w:rPr>
        <w:t xml:space="preserve"> </w:t>
      </w:r>
      <w:r>
        <w:t>=</w:t>
      </w:r>
      <w:r>
        <w:rPr>
          <w:rFonts w:hint="eastAsia"/>
        </w:rPr>
        <w:t xml:space="preserve"> </w:t>
      </w:r>
      <w:r>
        <w:t>软件演示（</w:t>
      </w:r>
      <w:r>
        <w:rPr>
          <w:rFonts w:hint="eastAsia"/>
        </w:rPr>
        <w:t>6</w:t>
      </w:r>
      <w:r>
        <w:t>0%）+</w:t>
      </w:r>
      <w:r>
        <w:rPr>
          <w:rFonts w:hint="eastAsia"/>
        </w:rPr>
        <w:t xml:space="preserve"> </w:t>
      </w:r>
      <w:r>
        <w:t>实习</w:t>
      </w:r>
      <w:r>
        <w:rPr>
          <w:rFonts w:hint="eastAsia"/>
        </w:rPr>
        <w:t>文档</w:t>
      </w:r>
      <w:r>
        <w:t>（</w:t>
      </w:r>
      <w:r>
        <w:rPr>
          <w:rFonts w:hint="eastAsia"/>
        </w:rPr>
        <w:t>4</w:t>
      </w:r>
      <w:r>
        <w:t>0%）</w:t>
      </w:r>
    </w:p>
    <w:p>
      <w:pPr>
        <w:snapToGrid w:val="0"/>
        <w:spacing w:line="300" w:lineRule="auto"/>
        <w:ind w:firstLine="420" w:firstLineChars="200"/>
      </w:pPr>
      <w:r>
        <w:t>（1）实习日志要每天填写一篇，共7篇，把实习内容，实习目的和要求，实习完成情况，收获与体会</w:t>
      </w:r>
      <w:r>
        <w:rPr>
          <w:rFonts w:hint="eastAsia"/>
          <w:bCs/>
          <w:szCs w:val="21"/>
        </w:rPr>
        <w:t>等填写好</w:t>
      </w:r>
      <w:r>
        <w:t>。</w:t>
      </w:r>
    </w:p>
    <w:p>
      <w:pPr>
        <w:snapToGrid w:val="0"/>
        <w:spacing w:line="300" w:lineRule="auto"/>
        <w:ind w:firstLine="420" w:firstLineChars="200"/>
      </w:pPr>
      <w:r>
        <w:t xml:space="preserve">（2）实习报告（总结）的内容符合表3中已经讲述的“实习报告撰写的内容要求”。 </w:t>
      </w:r>
    </w:p>
    <w:p>
      <w:pPr>
        <w:snapToGrid w:val="0"/>
        <w:spacing w:line="300" w:lineRule="auto"/>
        <w:ind w:firstLine="420" w:firstLineChars="200"/>
      </w:pPr>
      <w:r>
        <w:t xml:space="preserve">3.考核评价标准： </w:t>
      </w:r>
    </w:p>
    <w:p>
      <w:pPr>
        <w:snapToGrid w:val="0"/>
        <w:spacing w:line="300" w:lineRule="auto"/>
        <w:ind w:firstLine="420" w:firstLineChars="200"/>
      </w:pPr>
      <w:r>
        <w:t>实习表现由指导教师根据实习期间的操作情况、积极性、遵守纪律、是否独立完成实习成果等方面情况等评定；实习日记是对实习过程的记录，实习报告是对整个实习课程的总结。应明确实习表现、实习日记和实习报告等环节权重，应具体写明对实习日记和实习报告的写作要求及评价标准，应有成绩评定的评语，应留存考核和成绩评定的各种原始资料。</w:t>
      </w:r>
    </w:p>
    <w:p>
      <w:pPr>
        <w:snapToGrid w:val="0"/>
        <w:spacing w:line="300" w:lineRule="auto"/>
        <w:ind w:firstLine="420" w:firstLineChars="200"/>
      </w:pPr>
      <w:r>
        <w:t>软件作品以及实习报告内容主要依据以下8个方面的要求进行：(1)代码可读性是否良好；(2)程序界面是否易于操作；(3)代码运行结果是否正确；(4)需求分析是否充分与合理；(5)概要设计与详细设计的内容是否详实；(6)用户使用说明是否详细；(7)总结是否认真；(8)报告格式是否规范。</w:t>
      </w:r>
    </w:p>
    <w:p>
      <w:pPr>
        <w:snapToGrid w:val="0"/>
        <w:spacing w:line="300" w:lineRule="auto"/>
        <w:ind w:firstLine="420" w:firstLineChars="200"/>
      </w:pPr>
      <w:r>
        <w:t>具体考核评价标准见表4所示。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544"/>
        <w:gridCol w:w="516"/>
        <w:gridCol w:w="638"/>
        <w:gridCol w:w="5414"/>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2" w:type="pct"/>
            <w:vAlign w:val="center"/>
          </w:tcPr>
          <w:p>
            <w:pPr>
              <w:adjustRightInd w:val="0"/>
              <w:snapToGrid w:val="0"/>
              <w:jc w:val="center"/>
              <w:rPr>
                <w:b/>
                <w:bCs/>
                <w:sz w:val="18"/>
                <w:szCs w:val="18"/>
              </w:rPr>
            </w:pPr>
            <w:r>
              <w:rPr>
                <w:b/>
                <w:bCs/>
                <w:sz w:val="18"/>
                <w:szCs w:val="18"/>
              </w:rPr>
              <w:t>成绩类型</w:t>
            </w:r>
          </w:p>
        </w:tc>
        <w:tc>
          <w:tcPr>
            <w:tcW w:w="290" w:type="pct"/>
            <w:vAlign w:val="center"/>
          </w:tcPr>
          <w:p>
            <w:pPr>
              <w:adjustRightInd w:val="0"/>
              <w:snapToGrid w:val="0"/>
              <w:jc w:val="center"/>
              <w:rPr>
                <w:b/>
                <w:bCs/>
                <w:sz w:val="18"/>
                <w:szCs w:val="18"/>
              </w:rPr>
            </w:pPr>
            <w:r>
              <w:rPr>
                <w:b/>
                <w:bCs/>
                <w:sz w:val="18"/>
                <w:szCs w:val="18"/>
              </w:rPr>
              <w:t>分值</w:t>
            </w:r>
          </w:p>
        </w:tc>
        <w:tc>
          <w:tcPr>
            <w:tcW w:w="276" w:type="pct"/>
            <w:vAlign w:val="center"/>
          </w:tcPr>
          <w:p>
            <w:pPr>
              <w:adjustRightInd w:val="0"/>
              <w:snapToGrid w:val="0"/>
              <w:jc w:val="center"/>
              <w:rPr>
                <w:b/>
                <w:bCs/>
                <w:sz w:val="18"/>
                <w:szCs w:val="18"/>
              </w:rPr>
            </w:pPr>
            <w:r>
              <w:rPr>
                <w:b/>
                <w:bCs/>
                <w:sz w:val="18"/>
                <w:szCs w:val="18"/>
              </w:rPr>
              <w:t>权重</w:t>
            </w:r>
          </w:p>
        </w:tc>
        <w:tc>
          <w:tcPr>
            <w:tcW w:w="341" w:type="pct"/>
            <w:vAlign w:val="center"/>
          </w:tcPr>
          <w:p>
            <w:pPr>
              <w:adjustRightInd w:val="0"/>
              <w:snapToGrid w:val="0"/>
              <w:jc w:val="center"/>
              <w:rPr>
                <w:b/>
                <w:bCs/>
                <w:sz w:val="18"/>
                <w:szCs w:val="18"/>
              </w:rPr>
            </w:pPr>
            <w:r>
              <w:rPr>
                <w:b/>
                <w:bCs/>
                <w:sz w:val="18"/>
                <w:szCs w:val="18"/>
              </w:rPr>
              <w:t>类别</w:t>
            </w:r>
          </w:p>
        </w:tc>
        <w:tc>
          <w:tcPr>
            <w:tcW w:w="2892" w:type="pct"/>
            <w:vAlign w:val="center"/>
          </w:tcPr>
          <w:p>
            <w:pPr>
              <w:adjustRightInd w:val="0"/>
              <w:snapToGrid w:val="0"/>
              <w:jc w:val="center"/>
              <w:rPr>
                <w:b/>
                <w:bCs/>
                <w:sz w:val="18"/>
                <w:szCs w:val="18"/>
              </w:rPr>
            </w:pPr>
            <w:r>
              <w:rPr>
                <w:b/>
                <w:bCs/>
                <w:sz w:val="18"/>
                <w:szCs w:val="18"/>
              </w:rPr>
              <w:t>考核/评价细则</w:t>
            </w:r>
          </w:p>
        </w:tc>
        <w:tc>
          <w:tcPr>
            <w:tcW w:w="448" w:type="pct"/>
            <w:vAlign w:val="center"/>
          </w:tcPr>
          <w:p>
            <w:pPr>
              <w:adjustRightInd w:val="0"/>
              <w:snapToGrid w:val="0"/>
              <w:jc w:val="center"/>
              <w:rPr>
                <w:b/>
                <w:bCs/>
                <w:sz w:val="18"/>
                <w:szCs w:val="18"/>
              </w:rPr>
            </w:pPr>
            <w:r>
              <w:rPr>
                <w:b/>
                <w:bCs/>
                <w:sz w:val="18"/>
                <w:szCs w:val="18"/>
              </w:rPr>
              <w:t>课程目标</w:t>
            </w:r>
          </w:p>
        </w:tc>
        <w:tc>
          <w:tcPr>
            <w:tcW w:w="448" w:type="pct"/>
            <w:vAlign w:val="center"/>
          </w:tcPr>
          <w:p>
            <w:pPr>
              <w:adjustRightInd w:val="0"/>
              <w:snapToGrid w:val="0"/>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blHeader/>
          <w:jc w:val="center"/>
        </w:trPr>
        <w:tc>
          <w:tcPr>
            <w:tcW w:w="302" w:type="pct"/>
            <w:vAlign w:val="center"/>
          </w:tcPr>
          <w:p>
            <w:pPr>
              <w:adjustRightInd w:val="0"/>
              <w:snapToGrid w:val="0"/>
              <w:spacing w:line="300" w:lineRule="auto"/>
              <w:rPr>
                <w:sz w:val="18"/>
                <w:szCs w:val="18"/>
              </w:rPr>
            </w:pPr>
            <w:r>
              <w:rPr>
                <w:rFonts w:hint="eastAsia"/>
                <w:sz w:val="18"/>
                <w:szCs w:val="18"/>
              </w:rPr>
              <w:t>软件演示</w:t>
            </w:r>
          </w:p>
        </w:tc>
        <w:tc>
          <w:tcPr>
            <w:tcW w:w="290" w:type="pct"/>
            <w:vAlign w:val="center"/>
          </w:tcPr>
          <w:p>
            <w:pPr>
              <w:adjustRightInd w:val="0"/>
              <w:snapToGrid w:val="0"/>
              <w:spacing w:line="300" w:lineRule="auto"/>
              <w:jc w:val="center"/>
              <w:rPr>
                <w:sz w:val="18"/>
                <w:szCs w:val="18"/>
              </w:rPr>
            </w:pPr>
            <w:r>
              <w:rPr>
                <w:sz w:val="18"/>
                <w:szCs w:val="18"/>
              </w:rPr>
              <w:t>100</w:t>
            </w:r>
          </w:p>
        </w:tc>
        <w:tc>
          <w:tcPr>
            <w:tcW w:w="276" w:type="pct"/>
            <w:vAlign w:val="center"/>
          </w:tcPr>
          <w:p>
            <w:pPr>
              <w:adjustRightInd w:val="0"/>
              <w:snapToGrid w:val="0"/>
              <w:spacing w:line="300" w:lineRule="auto"/>
              <w:jc w:val="center"/>
              <w:rPr>
                <w:sz w:val="18"/>
                <w:szCs w:val="18"/>
              </w:rPr>
            </w:pPr>
            <w:r>
              <w:rPr>
                <w:sz w:val="18"/>
                <w:szCs w:val="18"/>
              </w:rPr>
              <w:t>0.</w:t>
            </w:r>
            <w:r>
              <w:rPr>
                <w:rFonts w:hint="eastAsia"/>
                <w:sz w:val="18"/>
                <w:szCs w:val="18"/>
              </w:rPr>
              <w:t>6</w:t>
            </w:r>
          </w:p>
        </w:tc>
        <w:tc>
          <w:tcPr>
            <w:tcW w:w="341" w:type="pct"/>
            <w:vAlign w:val="center"/>
          </w:tcPr>
          <w:p>
            <w:pPr>
              <w:adjustRightInd w:val="0"/>
              <w:snapToGrid w:val="0"/>
              <w:spacing w:line="300" w:lineRule="auto"/>
              <w:jc w:val="left"/>
              <w:rPr>
                <w:sz w:val="18"/>
                <w:szCs w:val="18"/>
              </w:rPr>
            </w:pPr>
            <w:r>
              <w:rPr>
                <w:sz w:val="18"/>
                <w:szCs w:val="18"/>
              </w:rPr>
              <w:t>实操</w:t>
            </w:r>
          </w:p>
        </w:tc>
        <w:tc>
          <w:tcPr>
            <w:tcW w:w="2892" w:type="pct"/>
            <w:vAlign w:val="center"/>
          </w:tcPr>
          <w:p>
            <w:pPr>
              <w:adjustRightInd w:val="0"/>
              <w:snapToGrid w:val="0"/>
              <w:spacing w:line="300" w:lineRule="auto"/>
              <w:rPr>
                <w:sz w:val="18"/>
                <w:szCs w:val="18"/>
              </w:rPr>
            </w:pPr>
            <w:r>
              <w:rPr>
                <w:sz w:val="18"/>
                <w:szCs w:val="18"/>
              </w:rPr>
              <w:t>依据现场验收演示的结果，</w:t>
            </w:r>
            <w:r>
              <w:rPr>
                <w:rFonts w:hint="eastAsia"/>
                <w:sz w:val="18"/>
                <w:szCs w:val="18"/>
              </w:rPr>
              <w:t>依据软件讲解、模块设计等分项指标打分，并</w:t>
            </w:r>
            <w:r>
              <w:rPr>
                <w:sz w:val="18"/>
                <w:szCs w:val="18"/>
              </w:rPr>
              <w:t>给出</w:t>
            </w:r>
            <w:r>
              <w:rPr>
                <w:rFonts w:hint="eastAsia"/>
                <w:sz w:val="18"/>
                <w:szCs w:val="18"/>
              </w:rPr>
              <w:t>总</w:t>
            </w:r>
            <w:r>
              <w:rPr>
                <w:sz w:val="18"/>
                <w:szCs w:val="18"/>
              </w:rPr>
              <w:t>评</w:t>
            </w:r>
            <w:r>
              <w:rPr>
                <w:rFonts w:hint="eastAsia"/>
                <w:sz w:val="18"/>
                <w:szCs w:val="18"/>
              </w:rPr>
              <w:t>。</w:t>
            </w:r>
          </w:p>
          <w:p>
            <w:pPr>
              <w:adjustRightInd w:val="0"/>
              <w:snapToGrid w:val="0"/>
              <w:spacing w:line="300" w:lineRule="auto"/>
              <w:rPr>
                <w:sz w:val="18"/>
                <w:szCs w:val="18"/>
              </w:rPr>
            </w:pPr>
            <w:r>
              <w:rPr>
                <w:rFonts w:hint="eastAsia"/>
                <w:sz w:val="18"/>
                <w:szCs w:val="18"/>
              </w:rPr>
              <w:t>占课程总评成绩60分</w:t>
            </w:r>
          </w:p>
        </w:tc>
        <w:tc>
          <w:tcPr>
            <w:tcW w:w="448" w:type="pct"/>
            <w:vAlign w:val="center"/>
          </w:tcPr>
          <w:p>
            <w:pPr>
              <w:adjustRightInd w:val="0"/>
              <w:snapToGrid w:val="0"/>
              <w:spacing w:line="300" w:lineRule="auto"/>
              <w:jc w:val="center"/>
              <w:rPr>
                <w:sz w:val="18"/>
                <w:szCs w:val="18"/>
              </w:rPr>
            </w:pPr>
            <w:r>
              <w:rPr>
                <w:rFonts w:hint="eastAsia"/>
                <w:sz w:val="18"/>
                <w:szCs w:val="18"/>
              </w:rPr>
              <w:t>1</w:t>
            </w:r>
            <w:r>
              <w:rPr>
                <w:sz w:val="18"/>
                <w:szCs w:val="18"/>
              </w:rPr>
              <w:t>，</w:t>
            </w:r>
            <w:r>
              <w:rPr>
                <w:rFonts w:hint="eastAsia"/>
                <w:sz w:val="18"/>
                <w:szCs w:val="18"/>
              </w:rPr>
              <w:t>2</w:t>
            </w:r>
          </w:p>
        </w:tc>
        <w:tc>
          <w:tcPr>
            <w:tcW w:w="448" w:type="pct"/>
            <w:vAlign w:val="center"/>
          </w:tcPr>
          <w:p>
            <w:pPr>
              <w:adjustRightInd w:val="0"/>
              <w:snapToGrid w:val="0"/>
              <w:spacing w:line="300" w:lineRule="auto"/>
              <w:jc w:val="center"/>
              <w:rPr>
                <w:sz w:val="18"/>
                <w:szCs w:val="18"/>
              </w:rPr>
            </w:pPr>
            <w:r>
              <w:rPr>
                <w:rFonts w:hint="eastAsia"/>
                <w:sz w:val="18"/>
                <w:szCs w:val="18"/>
              </w:rPr>
              <w:t>5.2，10.1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2" w:type="pct"/>
            <w:vAlign w:val="center"/>
          </w:tcPr>
          <w:p>
            <w:pPr>
              <w:adjustRightInd w:val="0"/>
              <w:snapToGrid w:val="0"/>
              <w:spacing w:line="300" w:lineRule="auto"/>
              <w:rPr>
                <w:sz w:val="18"/>
                <w:szCs w:val="18"/>
              </w:rPr>
            </w:pPr>
            <w:r>
              <w:rPr>
                <w:sz w:val="18"/>
                <w:szCs w:val="18"/>
              </w:rPr>
              <w:t>实习</w:t>
            </w:r>
          </w:p>
          <w:p>
            <w:pPr>
              <w:adjustRightInd w:val="0"/>
              <w:snapToGrid w:val="0"/>
              <w:spacing w:line="300" w:lineRule="auto"/>
              <w:rPr>
                <w:sz w:val="18"/>
                <w:szCs w:val="18"/>
              </w:rPr>
            </w:pPr>
            <w:r>
              <w:rPr>
                <w:rFonts w:hint="eastAsia"/>
                <w:sz w:val="18"/>
                <w:szCs w:val="18"/>
              </w:rPr>
              <w:t>文档</w:t>
            </w:r>
          </w:p>
        </w:tc>
        <w:tc>
          <w:tcPr>
            <w:tcW w:w="290" w:type="pct"/>
            <w:vAlign w:val="center"/>
          </w:tcPr>
          <w:p>
            <w:pPr>
              <w:adjustRightInd w:val="0"/>
              <w:snapToGrid w:val="0"/>
              <w:spacing w:line="300" w:lineRule="auto"/>
              <w:jc w:val="center"/>
              <w:rPr>
                <w:sz w:val="18"/>
                <w:szCs w:val="18"/>
              </w:rPr>
            </w:pPr>
            <w:r>
              <w:rPr>
                <w:sz w:val="18"/>
                <w:szCs w:val="18"/>
              </w:rPr>
              <w:t>100</w:t>
            </w:r>
          </w:p>
        </w:tc>
        <w:tc>
          <w:tcPr>
            <w:tcW w:w="276" w:type="pct"/>
            <w:vAlign w:val="center"/>
          </w:tcPr>
          <w:p>
            <w:pPr>
              <w:adjustRightInd w:val="0"/>
              <w:snapToGrid w:val="0"/>
              <w:spacing w:line="300" w:lineRule="auto"/>
              <w:jc w:val="center"/>
              <w:rPr>
                <w:sz w:val="18"/>
                <w:szCs w:val="18"/>
              </w:rPr>
            </w:pPr>
            <w:r>
              <w:rPr>
                <w:sz w:val="18"/>
                <w:szCs w:val="18"/>
              </w:rPr>
              <w:t>0.</w:t>
            </w:r>
            <w:r>
              <w:rPr>
                <w:rFonts w:hint="eastAsia"/>
                <w:sz w:val="18"/>
                <w:szCs w:val="18"/>
              </w:rPr>
              <w:t>4</w:t>
            </w:r>
          </w:p>
        </w:tc>
        <w:tc>
          <w:tcPr>
            <w:tcW w:w="341" w:type="pct"/>
            <w:vAlign w:val="center"/>
          </w:tcPr>
          <w:p>
            <w:pPr>
              <w:adjustRightInd w:val="0"/>
              <w:snapToGrid w:val="0"/>
              <w:spacing w:line="300" w:lineRule="auto"/>
              <w:jc w:val="left"/>
              <w:rPr>
                <w:sz w:val="18"/>
                <w:szCs w:val="18"/>
              </w:rPr>
            </w:pPr>
            <w:r>
              <w:rPr>
                <w:sz w:val="18"/>
                <w:szCs w:val="18"/>
              </w:rPr>
              <w:t>报告和日志</w:t>
            </w:r>
          </w:p>
        </w:tc>
        <w:tc>
          <w:tcPr>
            <w:tcW w:w="2892" w:type="pct"/>
            <w:vAlign w:val="center"/>
          </w:tcPr>
          <w:p>
            <w:pPr>
              <w:adjustRightInd w:val="0"/>
              <w:snapToGrid w:val="0"/>
              <w:spacing w:line="300" w:lineRule="auto"/>
              <w:rPr>
                <w:sz w:val="18"/>
                <w:szCs w:val="18"/>
              </w:rPr>
            </w:pPr>
            <w:r>
              <w:rPr>
                <w:sz w:val="18"/>
                <w:szCs w:val="18"/>
              </w:rPr>
              <w:t>（1）实习日志要每天填写一篇，认真填写实习内容，实习目的和要求，实习完成情况，收获与体会</w:t>
            </w:r>
            <w:r>
              <w:rPr>
                <w:rFonts w:hint="eastAsia"/>
                <w:sz w:val="18"/>
                <w:szCs w:val="18"/>
              </w:rPr>
              <w:t>以及</w:t>
            </w:r>
            <w:r>
              <w:rPr>
                <w:sz w:val="18"/>
                <w:szCs w:val="18"/>
              </w:rPr>
              <w:t xml:space="preserve">指导老师内容。 </w:t>
            </w:r>
          </w:p>
          <w:p>
            <w:pPr>
              <w:adjustRightInd w:val="0"/>
              <w:snapToGrid w:val="0"/>
              <w:spacing w:line="300" w:lineRule="auto"/>
              <w:rPr>
                <w:sz w:val="18"/>
                <w:szCs w:val="18"/>
              </w:rPr>
            </w:pPr>
            <w:r>
              <w:rPr>
                <w:sz w:val="18"/>
                <w:szCs w:val="18"/>
              </w:rPr>
              <w:t>（2）实习报告（总结）的内容</w:t>
            </w:r>
            <w:r>
              <w:rPr>
                <w:rFonts w:hint="eastAsia"/>
                <w:sz w:val="18"/>
                <w:szCs w:val="18"/>
              </w:rPr>
              <w:t>符合表3中已经讲述的“实习报告撰写的内容要求”</w:t>
            </w:r>
            <w:r>
              <w:rPr>
                <w:sz w:val="18"/>
                <w:szCs w:val="18"/>
              </w:rPr>
              <w:t>。</w:t>
            </w:r>
          </w:p>
          <w:p>
            <w:pPr>
              <w:adjustRightInd w:val="0"/>
              <w:snapToGrid w:val="0"/>
              <w:spacing w:line="300" w:lineRule="auto"/>
              <w:rPr>
                <w:sz w:val="18"/>
                <w:szCs w:val="18"/>
              </w:rPr>
            </w:pPr>
            <w:r>
              <w:rPr>
                <w:rFonts w:hint="eastAsia"/>
                <w:sz w:val="18"/>
                <w:szCs w:val="18"/>
              </w:rPr>
              <w:t>占</w:t>
            </w:r>
            <w:r>
              <w:rPr>
                <w:sz w:val="18"/>
                <w:szCs w:val="18"/>
              </w:rPr>
              <w:t>课程总评成绩</w:t>
            </w:r>
            <w:r>
              <w:rPr>
                <w:rFonts w:hint="eastAsia"/>
                <w:sz w:val="18"/>
                <w:szCs w:val="18"/>
              </w:rPr>
              <w:t>40分。</w:t>
            </w:r>
          </w:p>
        </w:tc>
        <w:tc>
          <w:tcPr>
            <w:tcW w:w="448" w:type="pct"/>
            <w:vAlign w:val="center"/>
          </w:tcPr>
          <w:p>
            <w:pPr>
              <w:adjustRightInd w:val="0"/>
              <w:snapToGrid w:val="0"/>
              <w:spacing w:line="300" w:lineRule="auto"/>
              <w:jc w:val="center"/>
              <w:rPr>
                <w:sz w:val="18"/>
                <w:szCs w:val="18"/>
              </w:rPr>
            </w:pPr>
            <w:r>
              <w:rPr>
                <w:rFonts w:hint="eastAsia"/>
                <w:sz w:val="18"/>
                <w:szCs w:val="18"/>
              </w:rPr>
              <w:t>2</w:t>
            </w:r>
            <w:r>
              <w:rPr>
                <w:sz w:val="18"/>
                <w:szCs w:val="18"/>
              </w:rPr>
              <w:t>，</w:t>
            </w:r>
            <w:r>
              <w:rPr>
                <w:rFonts w:hint="eastAsia"/>
                <w:sz w:val="18"/>
                <w:szCs w:val="18"/>
              </w:rPr>
              <w:t>3</w:t>
            </w:r>
          </w:p>
        </w:tc>
        <w:tc>
          <w:tcPr>
            <w:tcW w:w="448" w:type="pct"/>
            <w:vAlign w:val="center"/>
          </w:tcPr>
          <w:p>
            <w:pPr>
              <w:adjustRightInd w:val="0"/>
              <w:snapToGrid w:val="0"/>
              <w:spacing w:line="300" w:lineRule="auto"/>
              <w:jc w:val="center"/>
              <w:rPr>
                <w:sz w:val="18"/>
                <w:szCs w:val="18"/>
              </w:rPr>
            </w:pPr>
            <w:r>
              <w:rPr>
                <w:rFonts w:hint="eastAsia"/>
                <w:sz w:val="18"/>
                <w:szCs w:val="18"/>
              </w:rPr>
              <w:t>10.1，11.2</w:t>
            </w:r>
          </w:p>
        </w:tc>
      </w:tr>
    </w:tbl>
    <w:p>
      <w:pPr>
        <w:snapToGrid w:val="0"/>
        <w:spacing w:before="159" w:beforeLines="50" w:after="159" w:afterLines="50" w:line="300" w:lineRule="auto"/>
        <w:rPr>
          <w:b/>
          <w:sz w:val="24"/>
        </w:rPr>
      </w:pPr>
      <w:r>
        <w:rPr>
          <w:b/>
          <w:sz w:val="24"/>
        </w:rPr>
        <w:t xml:space="preserve">六、课程教学目标达成度评价 </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86"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86" DrawAspect="Content" ObjectID="_1468075884" r:id="rId213">
            <o:LockedField>false</o:LockedField>
          </o:OLEObject>
        </w:object>
      </w:r>
    </w:p>
    <w:p>
      <w:pPr>
        <w:snapToGrid w:val="0"/>
        <w:spacing w:line="300" w:lineRule="auto"/>
        <w:ind w:firstLine="420" w:firstLineChars="200"/>
      </w:pPr>
      <w:r>
        <w:t>课程总目标达成情况为3个课程目标的加权得分率，其计算公式为：</w:t>
      </w:r>
    </w:p>
    <w:p>
      <w:pPr>
        <w:snapToGrid w:val="0"/>
        <w:spacing w:line="300" w:lineRule="auto"/>
        <w:jc w:val="center"/>
      </w:pPr>
      <w:r>
        <w:t xml:space="preserve"> </w:t>
      </w:r>
      <w:r>
        <w:object>
          <v:shape id="_x0000_i1187" o:spt="75" type="#_x0000_t75" style="height:18pt;width:332.25pt;" o:ole="t" filled="f" o:preferrelative="t" stroked="f" coordsize="21600,21600">
            <v:path/>
            <v:fill on="f" focussize="0,0"/>
            <v:stroke on="f" joinstyle="miter"/>
            <v:imagedata r:id="rId38" o:title=""/>
            <o:lock v:ext="edit" aspectratio="t"/>
            <w10:wrap type="none"/>
            <w10:anchorlock/>
          </v:shape>
          <o:OLEObject Type="Embed" ProgID="Equation.DSMT4" ShapeID="_x0000_i1187" DrawAspect="Content" ObjectID="_1468075885" r:id="rId214">
            <o:LockedField>false</o:LockedField>
          </o:OLEObject>
        </w:object>
      </w:r>
    </w:p>
    <w:p>
      <w:pPr>
        <w:snapToGrid w:val="0"/>
        <w:spacing w:line="300" w:lineRule="auto"/>
        <w:rPr>
          <w:b/>
          <w:bCs/>
          <w:sz w:val="18"/>
          <w:szCs w:val="18"/>
        </w:rPr>
      </w:pPr>
      <w: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04"/>
        <w:gridCol w:w="2015"/>
        <w:gridCol w:w="2392"/>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904" w:type="dxa"/>
            <w:vAlign w:val="center"/>
          </w:tcPr>
          <w:p>
            <w:pPr>
              <w:snapToGrid w:val="0"/>
              <w:spacing w:line="300" w:lineRule="auto"/>
              <w:jc w:val="center"/>
              <w:rPr>
                <w:b/>
                <w:bCs/>
                <w:sz w:val="18"/>
                <w:szCs w:val="18"/>
              </w:rPr>
            </w:pPr>
            <w:r>
              <w:rPr>
                <w:b/>
                <w:bCs/>
                <w:sz w:val="18"/>
                <w:szCs w:val="18"/>
              </w:rPr>
              <w:t>课程目标</w:t>
            </w:r>
          </w:p>
        </w:tc>
        <w:tc>
          <w:tcPr>
            <w:tcW w:w="2015" w:type="dxa"/>
            <w:vAlign w:val="center"/>
          </w:tcPr>
          <w:p>
            <w:pPr>
              <w:snapToGrid w:val="0"/>
              <w:spacing w:line="300" w:lineRule="auto"/>
              <w:jc w:val="center"/>
              <w:rPr>
                <w:sz w:val="18"/>
                <w:szCs w:val="18"/>
              </w:rPr>
            </w:pPr>
            <w:r>
              <w:rPr>
                <w:sz w:val="18"/>
                <w:szCs w:val="18"/>
              </w:rPr>
              <w:t>1</w:t>
            </w:r>
          </w:p>
        </w:tc>
        <w:tc>
          <w:tcPr>
            <w:tcW w:w="2392" w:type="dxa"/>
            <w:vAlign w:val="center"/>
          </w:tcPr>
          <w:p>
            <w:pPr>
              <w:snapToGrid w:val="0"/>
              <w:spacing w:line="300" w:lineRule="auto"/>
              <w:jc w:val="center"/>
              <w:rPr>
                <w:sz w:val="18"/>
                <w:szCs w:val="18"/>
              </w:rPr>
            </w:pPr>
            <w:r>
              <w:rPr>
                <w:sz w:val="18"/>
                <w:szCs w:val="18"/>
              </w:rPr>
              <w:t>2</w:t>
            </w:r>
          </w:p>
        </w:tc>
        <w:tc>
          <w:tcPr>
            <w:tcW w:w="2367" w:type="dxa"/>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904" w:type="dxa"/>
            <w:vAlign w:val="center"/>
          </w:tcPr>
          <w:p>
            <w:pPr>
              <w:snapToGrid w:val="0"/>
              <w:spacing w:line="300" w:lineRule="auto"/>
              <w:jc w:val="center"/>
              <w:rPr>
                <w:b/>
                <w:bCs/>
                <w:sz w:val="18"/>
                <w:szCs w:val="18"/>
              </w:rPr>
            </w:pPr>
            <w:r>
              <w:rPr>
                <w:b/>
                <w:bCs/>
                <w:sz w:val="18"/>
                <w:szCs w:val="18"/>
              </w:rPr>
              <w:t>权重系数</w:t>
            </w:r>
          </w:p>
        </w:tc>
        <w:tc>
          <w:tcPr>
            <w:tcW w:w="2015" w:type="dxa"/>
            <w:vAlign w:val="center"/>
          </w:tcPr>
          <w:p>
            <w:pPr>
              <w:snapToGrid w:val="0"/>
              <w:spacing w:line="300" w:lineRule="auto"/>
              <w:jc w:val="center"/>
              <w:rPr>
                <w:sz w:val="18"/>
                <w:szCs w:val="18"/>
              </w:rPr>
            </w:pPr>
            <w:r>
              <w:rPr>
                <w:sz w:val="18"/>
                <w:szCs w:val="18"/>
              </w:rPr>
              <w:t>0.</w:t>
            </w:r>
            <w:r>
              <w:rPr>
                <w:rFonts w:hint="eastAsia"/>
                <w:sz w:val="18"/>
                <w:szCs w:val="18"/>
              </w:rPr>
              <w:t>3</w:t>
            </w:r>
          </w:p>
        </w:tc>
        <w:tc>
          <w:tcPr>
            <w:tcW w:w="2392" w:type="dxa"/>
            <w:vAlign w:val="center"/>
          </w:tcPr>
          <w:p>
            <w:pPr>
              <w:snapToGrid w:val="0"/>
              <w:spacing w:line="300" w:lineRule="auto"/>
              <w:jc w:val="center"/>
              <w:rPr>
                <w:sz w:val="18"/>
                <w:szCs w:val="18"/>
              </w:rPr>
            </w:pPr>
            <w:r>
              <w:rPr>
                <w:sz w:val="18"/>
                <w:szCs w:val="18"/>
              </w:rPr>
              <w:t>0.</w:t>
            </w:r>
            <w:r>
              <w:rPr>
                <w:rFonts w:hint="eastAsia"/>
                <w:sz w:val="18"/>
                <w:szCs w:val="18"/>
              </w:rPr>
              <w:t>5</w:t>
            </w:r>
          </w:p>
        </w:tc>
        <w:tc>
          <w:tcPr>
            <w:tcW w:w="2367" w:type="dxa"/>
            <w:vAlign w:val="center"/>
          </w:tcPr>
          <w:p>
            <w:pPr>
              <w:snapToGrid w:val="0"/>
              <w:spacing w:line="300" w:lineRule="auto"/>
              <w:jc w:val="center"/>
              <w:rPr>
                <w:sz w:val="18"/>
                <w:szCs w:val="18"/>
              </w:rPr>
            </w:pPr>
            <w:r>
              <w:rPr>
                <w:sz w:val="18"/>
                <w:szCs w:val="18"/>
              </w:rPr>
              <w:t>0.</w:t>
            </w:r>
            <w:r>
              <w:rPr>
                <w:rFonts w:hint="eastAsia"/>
                <w:sz w:val="18"/>
                <w:szCs w:val="18"/>
              </w:rPr>
              <w:t>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88" o:spt="75" type="#_x0000_t75" style="height:18.75pt;width:284.25pt;" o:ole="t" filled="f" o:preferrelative="t" stroked="f" coordsize="21600,21600">
            <v:path/>
            <v:fill on="f" focussize="0,0"/>
            <v:stroke on="f" joinstyle="miter"/>
            <v:imagedata r:id="rId40" o:title=""/>
            <o:lock v:ext="edit" aspectratio="t"/>
            <w10:wrap type="none"/>
            <w10:anchorlock/>
          </v:shape>
          <o:OLEObject Type="Embed" ProgID="Equation.3" ShapeID="_x0000_i1188" DrawAspect="Content" ObjectID="_1468075886" r:id="rId215">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pPr>
      <w:r>
        <w:t>1．教材</w:t>
      </w:r>
    </w:p>
    <w:p>
      <w:pPr>
        <w:snapToGrid w:val="0"/>
        <w:spacing w:line="300" w:lineRule="auto"/>
        <w:ind w:firstLine="420"/>
        <w:rPr>
          <w:szCs w:val="21"/>
          <w:shd w:val="clear" w:color="auto" w:fill="FEFEFF"/>
        </w:rPr>
      </w:pPr>
      <w:r>
        <w:rPr>
          <w:szCs w:val="21"/>
        </w:rPr>
        <w:t>[1] 谭浩强</w:t>
      </w:r>
      <w:r>
        <w:rPr>
          <w:szCs w:val="21"/>
          <w:shd w:val="clear" w:color="auto" w:fill="FEFEFF"/>
        </w:rPr>
        <w:t>.C程序设计（第四版）[M]，北京：清华大学出版社，2016-06.</w:t>
      </w:r>
    </w:p>
    <w:p>
      <w:pPr>
        <w:snapToGrid w:val="0"/>
        <w:spacing w:line="300" w:lineRule="auto"/>
        <w:ind w:firstLine="420"/>
        <w:rPr>
          <w:szCs w:val="21"/>
          <w:shd w:val="clear" w:color="auto" w:fill="FEFEFF"/>
        </w:rPr>
      </w:pPr>
      <w:r>
        <w:rPr>
          <w:szCs w:val="21"/>
        </w:rPr>
        <w:t>[2] 谭浩强</w:t>
      </w:r>
      <w:r>
        <w:rPr>
          <w:szCs w:val="21"/>
          <w:shd w:val="clear" w:color="auto" w:fill="FEFEFF"/>
        </w:rPr>
        <w:t>.C程序设计（第四版）学习辅导[M]，北京：清华大学出版社，2017-03</w:t>
      </w:r>
    </w:p>
    <w:p>
      <w:pPr>
        <w:snapToGrid w:val="0"/>
        <w:spacing w:line="300" w:lineRule="auto"/>
        <w:ind w:firstLine="420" w:firstLineChars="200"/>
      </w:pPr>
      <w:r>
        <w:t>2．参考资料</w:t>
      </w:r>
    </w:p>
    <w:p>
      <w:pPr>
        <w:snapToGrid w:val="0"/>
        <w:spacing w:line="300" w:lineRule="auto"/>
        <w:ind w:firstLine="420" w:firstLineChars="200"/>
        <w:rPr>
          <w:szCs w:val="21"/>
          <w:shd w:val="clear" w:color="auto" w:fill="FEFEFF"/>
        </w:rPr>
      </w:pPr>
      <w:r>
        <w:rPr>
          <w:szCs w:val="21"/>
        </w:rPr>
        <w:t>[1] 杨路明</w:t>
      </w:r>
      <w:r>
        <w:rPr>
          <w:szCs w:val="21"/>
          <w:shd w:val="clear" w:color="auto" w:fill="FEFEFF"/>
        </w:rPr>
        <w:t>.</w:t>
      </w:r>
      <w:r>
        <w:rPr>
          <w:szCs w:val="21"/>
        </w:rPr>
        <w:t>C语言程序设计教程</w:t>
      </w:r>
      <w:r>
        <w:rPr>
          <w:szCs w:val="21"/>
          <w:shd w:val="clear" w:color="auto" w:fill="FEFEFF"/>
        </w:rPr>
        <w:t>（第二版）[M]，北京：</w:t>
      </w:r>
      <w:r>
        <w:rPr>
          <w:szCs w:val="21"/>
        </w:rPr>
        <w:t>北京邮电大学出版社</w:t>
      </w:r>
      <w:r>
        <w:rPr>
          <w:szCs w:val="21"/>
          <w:shd w:val="clear" w:color="auto" w:fill="FEFEFF"/>
        </w:rPr>
        <w:t>，</w:t>
      </w:r>
      <w:r>
        <w:rPr>
          <w:szCs w:val="21"/>
        </w:rPr>
        <w:t>2016</w:t>
      </w:r>
      <w:r>
        <w:rPr>
          <w:szCs w:val="21"/>
          <w:shd w:val="clear" w:color="auto" w:fill="FEFEFF"/>
        </w:rPr>
        <w:t>-08.</w:t>
      </w:r>
    </w:p>
    <w:p>
      <w:pPr>
        <w:snapToGrid w:val="0"/>
        <w:spacing w:line="300" w:lineRule="auto"/>
        <w:ind w:firstLine="420" w:firstLineChars="200"/>
        <w:rPr>
          <w:szCs w:val="21"/>
          <w:shd w:val="clear" w:color="auto" w:fill="FEFEFF"/>
        </w:rPr>
      </w:pPr>
      <w:r>
        <w:rPr>
          <w:szCs w:val="21"/>
        </w:rPr>
        <w:t>[2] 高可宁</w:t>
      </w:r>
      <w:r>
        <w:rPr>
          <w:szCs w:val="21"/>
          <w:shd w:val="clear" w:color="auto" w:fill="FEFEFF"/>
        </w:rPr>
        <w:t>.</w:t>
      </w:r>
      <w:r>
        <w:rPr>
          <w:szCs w:val="21"/>
        </w:rPr>
        <w:t>程序设计基础（C语言）</w:t>
      </w:r>
      <w:r>
        <w:rPr>
          <w:szCs w:val="21"/>
          <w:shd w:val="clear" w:color="auto" w:fill="FEFEFF"/>
        </w:rPr>
        <w:t>第2版[M]，北京：</w:t>
      </w:r>
      <w:r>
        <w:rPr>
          <w:szCs w:val="21"/>
        </w:rPr>
        <w:t>清华大学</w:t>
      </w:r>
      <w:r>
        <w:rPr>
          <w:szCs w:val="21"/>
          <w:shd w:val="clear" w:color="auto" w:fill="FEFEFF"/>
        </w:rPr>
        <w:t>出版社，2014-09.</w:t>
      </w:r>
    </w:p>
    <w:p>
      <w:pPr>
        <w:snapToGrid w:val="0"/>
        <w:spacing w:line="300" w:lineRule="auto"/>
        <w:ind w:firstLine="420" w:firstLineChars="200"/>
        <w:rPr>
          <w:szCs w:val="21"/>
          <w:shd w:val="clear" w:color="auto" w:fill="FEFEFF"/>
        </w:rPr>
      </w:pPr>
      <w:r>
        <w:rPr>
          <w:szCs w:val="21"/>
        </w:rPr>
        <w:t xml:space="preserve">[3] </w:t>
      </w:r>
      <w:r>
        <w:rPr>
          <w:szCs w:val="21"/>
          <w:shd w:val="clear" w:color="auto" w:fill="FEFEFF"/>
        </w:rPr>
        <w:t>菜鸟工具——C在线工具：https://c.runoob.com/compile/11</w:t>
      </w:r>
    </w:p>
    <w:p>
      <w:pPr>
        <w:snapToGrid w:val="0"/>
        <w:spacing w:line="300" w:lineRule="auto"/>
        <w:ind w:firstLine="420" w:firstLineChars="200"/>
        <w:rPr>
          <w:szCs w:val="21"/>
          <w:shd w:val="clear" w:color="auto" w:fill="FEFEFF"/>
        </w:rPr>
      </w:pPr>
      <w:r>
        <w:rPr>
          <w:szCs w:val="21"/>
        </w:rPr>
        <w:t xml:space="preserve">[4] </w:t>
      </w:r>
      <w:r>
        <w:rPr>
          <w:szCs w:val="21"/>
          <w:shd w:val="clear" w:color="auto" w:fill="FEFEFF"/>
        </w:rPr>
        <w:t>菜鸟教程——C语言：</w:t>
      </w:r>
      <w:r>
        <w:fldChar w:fldCharType="begin"/>
      </w:r>
      <w:r>
        <w:instrText xml:space="preserve"> HYPERLINK "http://www.runoob.com/cprogramming/c-tutorial.html" </w:instrText>
      </w:r>
      <w:r>
        <w:fldChar w:fldCharType="separate"/>
      </w:r>
      <w:r>
        <w:rPr>
          <w:rStyle w:val="26"/>
          <w:color w:val="auto"/>
          <w:szCs w:val="21"/>
          <w:shd w:val="clear" w:color="auto" w:fill="FEFEFF"/>
        </w:rPr>
        <w:t>http://www.runoob.com/cprogramming/c-tutorial.html</w:t>
      </w:r>
      <w:r>
        <w:rPr>
          <w:rStyle w:val="26"/>
          <w:color w:val="auto"/>
          <w:szCs w:val="21"/>
          <w:shd w:val="clear" w:color="auto" w:fill="FEFEFF"/>
        </w:rPr>
        <w:fldChar w:fldCharType="end"/>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rPr>
                <w:kern w:val="0"/>
                <w:sz w:val="20"/>
                <w:szCs w:val="21"/>
              </w:rPr>
            </w:pPr>
          </w:p>
        </w:tc>
      </w:tr>
    </w:tbl>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pacing w:line="360" w:lineRule="auto"/>
        <w:ind w:firstLine="420" w:firstLineChars="200"/>
        <w:rPr>
          <w:bCs/>
        </w:rPr>
      </w:pPr>
    </w:p>
    <w:p>
      <w:pPr>
        <w:spacing w:line="360" w:lineRule="auto"/>
        <w:ind w:firstLine="420" w:firstLineChars="200"/>
        <w:rPr>
          <w:bCs/>
        </w:rPr>
        <w:sectPr>
          <w:pgSz w:w="11906" w:h="16838"/>
          <w:pgMar w:top="1417" w:right="1361" w:bottom="1417" w:left="1361" w:header="851" w:footer="992" w:gutter="0"/>
          <w:cols w:space="720" w:num="1"/>
          <w:docGrid w:type="lines" w:linePitch="318" w:charSpace="0"/>
        </w:sectPr>
      </w:pPr>
    </w:p>
    <w:p>
      <w:pPr>
        <w:pStyle w:val="3"/>
        <w:jc w:val="center"/>
      </w:pPr>
      <w:bookmarkStart w:id="264" w:name="_Toc62571482"/>
      <w:bookmarkStart w:id="265" w:name="_Toc62651741"/>
      <w:bookmarkStart w:id="266" w:name="_Toc4601"/>
      <w:bookmarkStart w:id="267" w:name="_Toc6457"/>
      <w:bookmarkStart w:id="268" w:name="_Toc17204"/>
      <w:bookmarkStart w:id="269" w:name="_Toc8751"/>
      <w:r>
        <w:rPr>
          <w:rFonts w:hint="eastAsia"/>
        </w:rPr>
        <w:t>j3340101《电子技术基础综合实习（模拟、数字）》</w:t>
      </w:r>
      <w:bookmarkEnd w:id="264"/>
      <w:bookmarkEnd w:id="265"/>
      <w:bookmarkEnd w:id="266"/>
      <w:r>
        <w:rPr>
          <w:rFonts w:hint="eastAsia"/>
        </w:rPr>
        <w:t>实习教学大纲</w:t>
      </w:r>
      <w:bookmarkEnd w:id="267"/>
      <w:bookmarkEnd w:id="268"/>
      <w:bookmarkEnd w:id="26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977"/>
        <w:gridCol w:w="1149"/>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76" w:type="dxa"/>
            <w:vAlign w:val="center"/>
          </w:tcPr>
          <w:p>
            <w:pPr>
              <w:jc w:val="center"/>
              <w:rPr>
                <w:kern w:val="0"/>
                <w:szCs w:val="21"/>
              </w:rPr>
            </w:pPr>
            <w:r>
              <w:rPr>
                <w:kern w:val="0"/>
                <w:szCs w:val="21"/>
              </w:rPr>
              <w:t>课程编号</w:t>
            </w:r>
          </w:p>
        </w:tc>
        <w:tc>
          <w:tcPr>
            <w:tcW w:w="2977" w:type="dxa"/>
            <w:vAlign w:val="center"/>
          </w:tcPr>
          <w:p>
            <w:pPr>
              <w:jc w:val="center"/>
              <w:rPr>
                <w:kern w:val="0"/>
                <w:szCs w:val="21"/>
              </w:rPr>
            </w:pPr>
            <w:r>
              <w:rPr>
                <w:szCs w:val="21"/>
              </w:rPr>
              <w:t>j3340101</w:t>
            </w:r>
          </w:p>
        </w:tc>
        <w:tc>
          <w:tcPr>
            <w:tcW w:w="1149" w:type="dxa"/>
            <w:vAlign w:val="center"/>
          </w:tcPr>
          <w:p>
            <w:pPr>
              <w:jc w:val="center"/>
              <w:rPr>
                <w:kern w:val="0"/>
                <w:szCs w:val="21"/>
              </w:rPr>
            </w:pPr>
            <w:r>
              <w:rPr>
                <w:kern w:val="0"/>
                <w:szCs w:val="21"/>
              </w:rPr>
              <w:t>课程名称</w:t>
            </w:r>
          </w:p>
        </w:tc>
        <w:tc>
          <w:tcPr>
            <w:tcW w:w="2820" w:type="dxa"/>
            <w:vAlign w:val="center"/>
          </w:tcPr>
          <w:p>
            <w:pPr>
              <w:jc w:val="center"/>
              <w:rPr>
                <w:kern w:val="0"/>
                <w:szCs w:val="21"/>
              </w:rPr>
            </w:pPr>
            <w:r>
              <w:rPr>
                <w:szCs w:val="21"/>
              </w:rPr>
              <w:t>电子技术基础综合实习（模拟、数字）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76" w:type="dxa"/>
            <w:vAlign w:val="center"/>
          </w:tcPr>
          <w:p>
            <w:pPr>
              <w:jc w:val="center"/>
              <w:rPr>
                <w:kern w:val="0"/>
                <w:szCs w:val="21"/>
              </w:rPr>
            </w:pPr>
            <w:r>
              <w:rPr>
                <w:kern w:val="0"/>
                <w:szCs w:val="21"/>
              </w:rPr>
              <w:t>课程性质*</w:t>
            </w:r>
          </w:p>
        </w:tc>
        <w:tc>
          <w:tcPr>
            <w:tcW w:w="2977" w:type="dxa"/>
            <w:vAlign w:val="center"/>
          </w:tcPr>
          <w:p>
            <w:pPr>
              <w:jc w:val="center"/>
              <w:rPr>
                <w:kern w:val="0"/>
                <w:szCs w:val="21"/>
              </w:rPr>
            </w:pPr>
            <w:r>
              <w:rPr>
                <w:kern w:val="0"/>
                <w:szCs w:val="21"/>
              </w:rPr>
              <w:t>工程实践与毕业设计（论文）</w:t>
            </w:r>
          </w:p>
        </w:tc>
        <w:tc>
          <w:tcPr>
            <w:tcW w:w="1149" w:type="dxa"/>
            <w:vAlign w:val="center"/>
          </w:tcPr>
          <w:p>
            <w:pPr>
              <w:jc w:val="center"/>
              <w:rPr>
                <w:kern w:val="0"/>
                <w:szCs w:val="21"/>
              </w:rPr>
            </w:pPr>
            <w:r>
              <w:rPr>
                <w:kern w:val="0"/>
                <w:szCs w:val="21"/>
              </w:rPr>
              <w:t>英文名称</w:t>
            </w:r>
          </w:p>
        </w:tc>
        <w:tc>
          <w:tcPr>
            <w:tcW w:w="2820" w:type="dxa"/>
            <w:vAlign w:val="center"/>
          </w:tcPr>
          <w:p>
            <w:pPr>
              <w:jc w:val="center"/>
              <w:rPr>
                <w:bCs/>
                <w:kern w:val="0"/>
                <w:szCs w:val="21"/>
              </w:rPr>
            </w:pPr>
            <w:r>
              <w:rPr>
                <w:szCs w:val="21"/>
              </w:rPr>
              <w:t>Fundamentals of Electronic Technology Comprehensive Practice(Analog、Digital)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76" w:type="dxa"/>
            <w:vAlign w:val="center"/>
          </w:tcPr>
          <w:p>
            <w:pPr>
              <w:jc w:val="center"/>
              <w:rPr>
                <w:kern w:val="0"/>
                <w:szCs w:val="21"/>
              </w:rPr>
            </w:pPr>
            <w:r>
              <w:rPr>
                <w:kern w:val="0"/>
                <w:szCs w:val="21"/>
              </w:rPr>
              <w:t>学分学时</w:t>
            </w:r>
          </w:p>
        </w:tc>
        <w:tc>
          <w:tcPr>
            <w:tcW w:w="2977" w:type="dxa"/>
            <w:vAlign w:val="center"/>
          </w:tcPr>
          <w:p>
            <w:pPr>
              <w:jc w:val="center"/>
              <w:rPr>
                <w:kern w:val="0"/>
                <w:szCs w:val="21"/>
              </w:rPr>
            </w:pPr>
            <w:r>
              <w:rPr>
                <w:kern w:val="0"/>
                <w:szCs w:val="21"/>
              </w:rPr>
              <w:t>2</w:t>
            </w:r>
            <w:r>
              <w:rPr>
                <w:bCs/>
                <w:kern w:val="0"/>
                <w:szCs w:val="21"/>
              </w:rPr>
              <w:t xml:space="preserve"> </w:t>
            </w:r>
            <w:r>
              <w:rPr>
                <w:kern w:val="0"/>
                <w:szCs w:val="21"/>
              </w:rPr>
              <w:t>: 2周</w:t>
            </w:r>
          </w:p>
        </w:tc>
        <w:tc>
          <w:tcPr>
            <w:tcW w:w="1149" w:type="dxa"/>
            <w:vAlign w:val="center"/>
          </w:tcPr>
          <w:p>
            <w:pPr>
              <w:jc w:val="center"/>
              <w:rPr>
                <w:kern w:val="0"/>
                <w:szCs w:val="21"/>
                <w:highlight w:val="yellow"/>
              </w:rPr>
            </w:pPr>
            <w:r>
              <w:rPr>
                <w:kern w:val="0"/>
                <w:szCs w:val="21"/>
              </w:rPr>
              <w:t>任课教师</w:t>
            </w:r>
          </w:p>
        </w:tc>
        <w:tc>
          <w:tcPr>
            <w:tcW w:w="2820" w:type="dxa"/>
            <w:vAlign w:val="center"/>
          </w:tcPr>
          <w:p>
            <w:pPr>
              <w:jc w:val="center"/>
              <w:rPr>
                <w:kern w:val="0"/>
                <w:szCs w:val="21"/>
                <w:highlight w:val="yellow"/>
              </w:rPr>
            </w:pPr>
            <w:r>
              <w:rPr>
                <w:szCs w:val="21"/>
              </w:rPr>
              <w:t>王骥，</w:t>
            </w:r>
            <w:r>
              <w:rPr>
                <w:rFonts w:hint="eastAsia"/>
                <w:kern w:val="0"/>
                <w:szCs w:val="21"/>
              </w:rPr>
              <w:t>李依潼、任肖丽、卢庆杰</w:t>
            </w:r>
            <w:r>
              <w:rPr>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6" w:type="dxa"/>
            <w:vAlign w:val="center"/>
          </w:tcPr>
          <w:p>
            <w:pPr>
              <w:jc w:val="center"/>
              <w:rPr>
                <w:bCs/>
                <w:kern w:val="0"/>
                <w:szCs w:val="21"/>
              </w:rPr>
            </w:pPr>
            <w:r>
              <w:rPr>
                <w:bCs/>
                <w:kern w:val="0"/>
                <w:szCs w:val="21"/>
              </w:rPr>
              <w:t>企业专家</w:t>
            </w:r>
          </w:p>
        </w:tc>
        <w:tc>
          <w:tcPr>
            <w:tcW w:w="2977" w:type="dxa"/>
            <w:vAlign w:val="center"/>
          </w:tcPr>
          <w:p>
            <w:pPr>
              <w:widowControl/>
              <w:jc w:val="center"/>
              <w:rPr>
                <w:kern w:val="0"/>
                <w:szCs w:val="21"/>
              </w:rPr>
            </w:pPr>
            <w:r>
              <w:rPr>
                <w:kern w:val="0"/>
                <w:szCs w:val="21"/>
              </w:rPr>
              <w:t>曾耿滨</w:t>
            </w:r>
          </w:p>
        </w:tc>
        <w:tc>
          <w:tcPr>
            <w:tcW w:w="1149" w:type="dxa"/>
            <w:vAlign w:val="center"/>
          </w:tcPr>
          <w:p>
            <w:pPr>
              <w:jc w:val="center"/>
              <w:rPr>
                <w:bCs/>
                <w:kern w:val="0"/>
                <w:szCs w:val="21"/>
              </w:rPr>
            </w:pPr>
            <w:r>
              <w:rPr>
                <w:bCs/>
                <w:kern w:val="0"/>
                <w:szCs w:val="21"/>
              </w:rPr>
              <w:t>行业专家</w:t>
            </w:r>
          </w:p>
        </w:tc>
        <w:tc>
          <w:tcPr>
            <w:tcW w:w="2820"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76" w:type="dxa"/>
            <w:vAlign w:val="center"/>
          </w:tcPr>
          <w:p>
            <w:pPr>
              <w:widowControl/>
              <w:jc w:val="center"/>
              <w:rPr>
                <w:bCs/>
                <w:kern w:val="0"/>
                <w:szCs w:val="21"/>
              </w:rPr>
            </w:pPr>
            <w:r>
              <w:rPr>
                <w:bCs/>
                <w:kern w:val="0"/>
                <w:szCs w:val="21"/>
              </w:rPr>
              <w:t>执笔教师</w:t>
            </w:r>
          </w:p>
        </w:tc>
        <w:tc>
          <w:tcPr>
            <w:tcW w:w="2977" w:type="dxa"/>
            <w:vAlign w:val="center"/>
          </w:tcPr>
          <w:p>
            <w:pPr>
              <w:widowControl/>
              <w:jc w:val="center"/>
              <w:rPr>
                <w:kern w:val="0"/>
                <w:szCs w:val="21"/>
              </w:rPr>
            </w:pPr>
            <w:r>
              <w:rPr>
                <w:rFonts w:hint="eastAsia"/>
                <w:kern w:val="0"/>
                <w:szCs w:val="21"/>
              </w:rPr>
              <w:t>李依潼，王骥</w:t>
            </w:r>
          </w:p>
        </w:tc>
        <w:tc>
          <w:tcPr>
            <w:tcW w:w="1149" w:type="dxa"/>
            <w:vAlign w:val="center"/>
          </w:tcPr>
          <w:p>
            <w:pPr>
              <w:widowControl/>
              <w:jc w:val="center"/>
              <w:rPr>
                <w:bCs/>
                <w:kern w:val="0"/>
                <w:szCs w:val="21"/>
              </w:rPr>
            </w:pPr>
            <w:r>
              <w:rPr>
                <w:bCs/>
                <w:kern w:val="0"/>
                <w:szCs w:val="21"/>
              </w:rPr>
              <w:t>责任教授</w:t>
            </w:r>
          </w:p>
        </w:tc>
        <w:tc>
          <w:tcPr>
            <w:tcW w:w="2820" w:type="dxa"/>
            <w:vAlign w:val="center"/>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76" w:type="dxa"/>
            <w:vAlign w:val="center"/>
          </w:tcPr>
          <w:p>
            <w:pPr>
              <w:widowControl/>
              <w:jc w:val="center"/>
              <w:rPr>
                <w:bCs/>
                <w:kern w:val="0"/>
                <w:szCs w:val="21"/>
              </w:rPr>
            </w:pPr>
            <w:r>
              <w:rPr>
                <w:bCs/>
                <w:kern w:val="0"/>
                <w:szCs w:val="21"/>
              </w:rPr>
              <w:t>适用专业</w:t>
            </w:r>
          </w:p>
        </w:tc>
        <w:tc>
          <w:tcPr>
            <w:tcW w:w="2977" w:type="dxa"/>
            <w:vAlign w:val="center"/>
          </w:tcPr>
          <w:p>
            <w:pPr>
              <w:widowControl/>
              <w:jc w:val="center"/>
              <w:rPr>
                <w:kern w:val="0"/>
                <w:szCs w:val="21"/>
              </w:rPr>
            </w:pPr>
            <w:r>
              <w:rPr>
                <w:kern w:val="0"/>
                <w:szCs w:val="21"/>
              </w:rPr>
              <w:t>电子信息工程</w:t>
            </w:r>
          </w:p>
        </w:tc>
        <w:tc>
          <w:tcPr>
            <w:tcW w:w="1149" w:type="dxa"/>
            <w:vAlign w:val="center"/>
          </w:tcPr>
          <w:p>
            <w:pPr>
              <w:widowControl/>
              <w:jc w:val="center"/>
              <w:rPr>
                <w:bCs/>
                <w:kern w:val="0"/>
                <w:szCs w:val="21"/>
              </w:rPr>
            </w:pPr>
            <w:r>
              <w:rPr>
                <w:bCs/>
                <w:kern w:val="0"/>
                <w:szCs w:val="21"/>
              </w:rPr>
              <w:t>适用对象</w:t>
            </w:r>
          </w:p>
        </w:tc>
        <w:tc>
          <w:tcPr>
            <w:tcW w:w="2820"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6" w:type="dxa"/>
            <w:vAlign w:val="center"/>
          </w:tcPr>
          <w:p>
            <w:pPr>
              <w:jc w:val="center"/>
              <w:rPr>
                <w:b/>
                <w:kern w:val="0"/>
                <w:szCs w:val="21"/>
              </w:rPr>
            </w:pPr>
            <w:r>
              <w:rPr>
                <w:kern w:val="0"/>
                <w:szCs w:val="21"/>
              </w:rPr>
              <w:t>先修课程</w:t>
            </w:r>
          </w:p>
        </w:tc>
        <w:tc>
          <w:tcPr>
            <w:tcW w:w="2977" w:type="dxa"/>
            <w:vAlign w:val="center"/>
          </w:tcPr>
          <w:p>
            <w:pPr>
              <w:widowControl/>
              <w:jc w:val="center"/>
              <w:rPr>
                <w:bCs/>
                <w:kern w:val="0"/>
                <w:szCs w:val="21"/>
              </w:rPr>
            </w:pPr>
            <w:r>
              <w:rPr>
                <w:kern w:val="0"/>
                <w:szCs w:val="21"/>
              </w:rPr>
              <w:t>模拟电子技术，数字电子技术</w:t>
            </w:r>
          </w:p>
        </w:tc>
        <w:tc>
          <w:tcPr>
            <w:tcW w:w="1149" w:type="dxa"/>
            <w:vAlign w:val="center"/>
          </w:tcPr>
          <w:p>
            <w:pPr>
              <w:snapToGrid w:val="0"/>
              <w:spacing w:line="300" w:lineRule="auto"/>
              <w:jc w:val="center"/>
              <w:rPr>
                <w:b/>
                <w:kern w:val="0"/>
                <w:szCs w:val="21"/>
              </w:rPr>
            </w:pPr>
            <w:r>
              <w:rPr>
                <w:kern w:val="0"/>
                <w:szCs w:val="21"/>
              </w:rPr>
              <w:t>同修课程</w:t>
            </w:r>
          </w:p>
        </w:tc>
        <w:tc>
          <w:tcPr>
            <w:tcW w:w="2820" w:type="dxa"/>
            <w:vAlign w:val="center"/>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6" w:type="dxa"/>
            <w:vAlign w:val="center"/>
          </w:tcPr>
          <w:p>
            <w:pPr>
              <w:jc w:val="center"/>
              <w:rPr>
                <w:kern w:val="0"/>
                <w:szCs w:val="21"/>
              </w:rPr>
            </w:pPr>
            <w:r>
              <w:rPr>
                <w:kern w:val="0"/>
                <w:szCs w:val="21"/>
              </w:rPr>
              <w:t>排斥课程</w:t>
            </w:r>
          </w:p>
        </w:tc>
        <w:tc>
          <w:tcPr>
            <w:tcW w:w="2977" w:type="dxa"/>
            <w:vAlign w:val="center"/>
          </w:tcPr>
          <w:p>
            <w:pPr>
              <w:widowControl/>
              <w:jc w:val="center"/>
              <w:rPr>
                <w:kern w:val="0"/>
                <w:szCs w:val="21"/>
              </w:rPr>
            </w:pPr>
            <w:r>
              <w:rPr>
                <w:kern w:val="0"/>
                <w:szCs w:val="21"/>
              </w:rPr>
              <w:t>无</w:t>
            </w:r>
          </w:p>
        </w:tc>
        <w:tc>
          <w:tcPr>
            <w:tcW w:w="1149" w:type="dxa"/>
            <w:vAlign w:val="center"/>
          </w:tcPr>
          <w:p>
            <w:pPr>
              <w:snapToGrid w:val="0"/>
              <w:spacing w:line="300" w:lineRule="auto"/>
              <w:jc w:val="center"/>
              <w:rPr>
                <w:kern w:val="0"/>
                <w:szCs w:val="21"/>
              </w:rPr>
            </w:pPr>
            <w:r>
              <w:rPr>
                <w:kern w:val="0"/>
                <w:szCs w:val="21"/>
              </w:rPr>
              <w:t>定稿日期</w:t>
            </w:r>
          </w:p>
        </w:tc>
        <w:tc>
          <w:tcPr>
            <w:tcW w:w="2820"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szCs w:val="21"/>
        </w:rPr>
      </w:pPr>
      <w:r>
        <w:rPr>
          <w:szCs w:val="21"/>
        </w:rPr>
        <w:t>“电子技术基础综合实习（模拟、数字）”是</w:t>
      </w:r>
      <w:r>
        <w:rPr>
          <w:bCs/>
        </w:rPr>
        <w:t>电子信息工程专业的专业实习，是以实践性为主的综合实践教学环节，是高等学校电子信息工程专业学生专业工程训练的重要内容，也是素质教育的基本环节之一。本实习开设于大二上学期下段，</w:t>
      </w:r>
      <w:r>
        <w:rPr>
          <w:rFonts w:hint="eastAsia"/>
          <w:bCs/>
          <w:lang w:val="en-US" w:eastAsia="zh-CN"/>
        </w:rPr>
        <w:t>在</w:t>
      </w:r>
      <w:r>
        <w:rPr>
          <w:bCs/>
        </w:rPr>
        <w:t>此之前，学生已完成了模拟电子技术、数字电子技术、电子线路CAD等课程的学习，本次实习为学生提供一次综合运用前述课程知识进行模拟和数字电子系统设计与实现的动手实践的机会。</w:t>
      </w:r>
    </w:p>
    <w:p>
      <w:pPr>
        <w:snapToGrid w:val="0"/>
        <w:spacing w:before="159" w:beforeLines="50" w:after="159" w:afterLines="50" w:line="300" w:lineRule="auto"/>
        <w:ind w:firstLine="482" w:firstLineChars="200"/>
        <w:rPr>
          <w:b/>
          <w:sz w:val="24"/>
        </w:rPr>
      </w:pPr>
      <w:r>
        <w:rPr>
          <w:b/>
          <w:sz w:val="24"/>
        </w:rPr>
        <w:t>二、课程教学目标</w:t>
      </w:r>
    </w:p>
    <w:p>
      <w:pPr>
        <w:widowControl/>
        <w:snapToGrid w:val="0"/>
        <w:spacing w:line="300" w:lineRule="auto"/>
        <w:ind w:firstLine="420" w:firstLineChars="200"/>
        <w:rPr>
          <w:kern w:val="0"/>
          <w:szCs w:val="21"/>
        </w:rPr>
      </w:pPr>
      <w:r>
        <w:rPr>
          <w:kern w:val="0"/>
          <w:szCs w:val="21"/>
        </w:rPr>
        <w:t>“电子技术基础综合实习（模拟、数字）”课程是电子信息工程专业的一门综合实践性课程。 本课程包括两部分：模拟电子技术技能实训和数字电子技术技能实训。模拟电子技术技能实训包括常用的仪器设备的使用、电子线路CAD设计功率放大器的PCB图，用腐蚀法制作印制电路板实训，焊接、组装和调试实训。数字电子技术技能实训主要利用Proteus EDA仿真软件，设计一个包括时序逻辑、组合逻辑的数字系统并进行仿真验证。通过完成项目具体工作任务或产品系统焊接、组装和调试，将基本知识理论与工程能力有机地融合，培养学生具有扎实的工程设计能力。讲授时，可以介绍国内著名的电子公司，培养学生的爱国与担当精神，培育学生创新精神，使学生的学习能力提升的同时，精神层面也得到升华。本课程的具体教学目标如下：</w:t>
      </w:r>
    </w:p>
    <w:p>
      <w:pPr>
        <w:spacing w:line="300" w:lineRule="auto"/>
        <w:ind w:firstLine="420" w:firstLineChars="200"/>
        <w:rPr>
          <w:bCs/>
          <w:szCs w:val="21"/>
        </w:rPr>
      </w:pPr>
      <w:r>
        <w:rPr>
          <w:szCs w:val="21"/>
          <w:shd w:val="clear" w:color="auto" w:fill="FEFEFF"/>
        </w:rPr>
        <w:t>1．</w:t>
      </w:r>
      <w:r>
        <w:rPr>
          <w:bCs/>
          <w:szCs w:val="21"/>
        </w:rPr>
        <w:t>应具备综合运用所学的专业知识设计并制作具备一定功能的模拟电路系统的能力；能综合运用数字电路课程中的组合逻辑电路、时序逻辑电路等知识设计一定规模的数字电路并进行仿真验证；</w:t>
      </w:r>
      <w:r>
        <w:rPr>
          <w:kern w:val="0"/>
          <w:szCs w:val="21"/>
        </w:rPr>
        <w:t>[2</w:t>
      </w:r>
      <w:r>
        <w:rPr>
          <w:rFonts w:hint="eastAsia"/>
          <w:kern w:val="0"/>
          <w:szCs w:val="21"/>
        </w:rPr>
        <w:t>.</w:t>
      </w:r>
      <w:r>
        <w:rPr>
          <w:kern w:val="0"/>
          <w:szCs w:val="21"/>
        </w:rPr>
        <w:t>3]</w:t>
      </w:r>
    </w:p>
    <w:p>
      <w:pPr>
        <w:spacing w:line="300" w:lineRule="auto"/>
        <w:ind w:firstLine="420" w:firstLineChars="200"/>
        <w:rPr>
          <w:bCs/>
          <w:szCs w:val="21"/>
        </w:rPr>
      </w:pPr>
      <w:r>
        <w:rPr>
          <w:szCs w:val="21"/>
          <w:shd w:val="clear" w:color="auto" w:fill="FEFEFF"/>
        </w:rPr>
        <w:t>2．</w:t>
      </w:r>
      <w:r>
        <w:rPr>
          <w:bCs/>
          <w:szCs w:val="21"/>
        </w:rPr>
        <w:t>具备使用万用表，示波器，信号发生器，稳压电源等实验设备、Altium Designer CAD软件和Proteus EDA仿真软件，和现代工程工具对复杂工程问题进行模拟或仿真的能力；[3</w:t>
      </w:r>
      <w:r>
        <w:rPr>
          <w:rFonts w:hint="eastAsia"/>
          <w:bCs/>
          <w:szCs w:val="21"/>
        </w:rPr>
        <w:t>.</w:t>
      </w:r>
      <w:r>
        <w:rPr>
          <w:bCs/>
          <w:szCs w:val="21"/>
        </w:rPr>
        <w:t>1]</w:t>
      </w:r>
    </w:p>
    <w:p>
      <w:pPr>
        <w:spacing w:line="300" w:lineRule="auto"/>
        <w:ind w:firstLine="420" w:firstLineChars="200"/>
        <w:rPr>
          <w:bCs/>
          <w:szCs w:val="21"/>
        </w:rPr>
      </w:pPr>
      <w:r>
        <w:rPr>
          <w:szCs w:val="21"/>
          <w:shd w:val="clear" w:color="auto" w:fill="FEFEFF"/>
        </w:rPr>
        <w:t>3．</w:t>
      </w:r>
      <w:r>
        <w:rPr>
          <w:kern w:val="0"/>
          <w:szCs w:val="21"/>
        </w:rPr>
        <w:t>培养初步的工程设计能力和创新意识，以及严谨踏实科学的工作作风和良好的学风，能够在多学科背景下的团队中分担任务，并承担责任；[9</w:t>
      </w:r>
      <w:r>
        <w:rPr>
          <w:rFonts w:hint="eastAsia"/>
          <w:kern w:val="0"/>
          <w:szCs w:val="21"/>
        </w:rPr>
        <w:t>.</w:t>
      </w:r>
      <w:r>
        <w:rPr>
          <w:kern w:val="0"/>
          <w:szCs w:val="21"/>
        </w:rPr>
        <w:t xml:space="preserve">1] </w:t>
      </w:r>
    </w:p>
    <w:p>
      <w:pPr>
        <w:spacing w:line="300" w:lineRule="auto"/>
        <w:ind w:firstLine="420" w:firstLineChars="200"/>
        <w:rPr>
          <w:bCs/>
          <w:szCs w:val="21"/>
        </w:rPr>
      </w:pPr>
      <w:r>
        <w:rPr>
          <w:szCs w:val="21"/>
          <w:shd w:val="clear" w:color="auto" w:fill="FEFEFF"/>
        </w:rPr>
        <w:t>4．</w:t>
      </w:r>
      <w:r>
        <w:rPr>
          <w:kern w:val="0"/>
          <w:szCs w:val="21"/>
        </w:rPr>
        <w:t>分组完成实习任务，培养学生的团队合作意识，沟通能力，培养初步的工程设计能力和创新意识，以及严谨踏实科学的工作作风和良好的学风，提高解决实际问题的能力和素质。[9</w:t>
      </w:r>
      <w:r>
        <w:rPr>
          <w:rFonts w:hint="eastAsia"/>
          <w:kern w:val="0"/>
          <w:szCs w:val="21"/>
        </w:rPr>
        <w:t>.</w:t>
      </w:r>
      <w:r>
        <w:rPr>
          <w:kern w:val="0"/>
          <w:szCs w:val="21"/>
        </w:rPr>
        <w:t>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7076"/>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823" w:type="pct"/>
            <w:vAlign w:val="center"/>
          </w:tcPr>
          <w:p>
            <w:pPr>
              <w:snapToGrid w:val="0"/>
              <w:spacing w:line="300" w:lineRule="auto"/>
              <w:jc w:val="center"/>
              <w:rPr>
                <w:b/>
                <w:bCs/>
                <w:sz w:val="18"/>
                <w:szCs w:val="18"/>
              </w:rPr>
            </w:pPr>
            <w:r>
              <w:rPr>
                <w:b/>
                <w:bCs/>
                <w:sz w:val="18"/>
                <w:szCs w:val="18"/>
              </w:rPr>
              <w:t>毕业要求</w:t>
            </w:r>
          </w:p>
        </w:tc>
        <w:tc>
          <w:tcPr>
            <w:tcW w:w="3763" w:type="pct"/>
            <w:vAlign w:val="center"/>
          </w:tcPr>
          <w:p>
            <w:pPr>
              <w:snapToGrid w:val="0"/>
              <w:spacing w:line="300" w:lineRule="auto"/>
              <w:jc w:val="center"/>
              <w:rPr>
                <w:b/>
                <w:bCs/>
                <w:sz w:val="18"/>
                <w:szCs w:val="18"/>
              </w:rPr>
            </w:pPr>
            <w:r>
              <w:rPr>
                <w:b/>
                <w:bCs/>
                <w:sz w:val="18"/>
                <w:szCs w:val="18"/>
              </w:rPr>
              <w:t>毕业要求指标点</w:t>
            </w:r>
          </w:p>
        </w:tc>
        <w:tc>
          <w:tcPr>
            <w:tcW w:w="413" w:type="pct"/>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Align w:val="center"/>
          </w:tcPr>
          <w:p>
            <w:pPr>
              <w:snapToGrid w:val="0"/>
              <w:spacing w:line="300" w:lineRule="auto"/>
              <w:rPr>
                <w:sz w:val="18"/>
                <w:szCs w:val="18"/>
              </w:rPr>
            </w:pPr>
            <w:r>
              <w:rPr>
                <w:sz w:val="18"/>
                <w:szCs w:val="18"/>
              </w:rPr>
              <w:t>2．问题分析</w:t>
            </w:r>
          </w:p>
        </w:tc>
        <w:tc>
          <w:tcPr>
            <w:tcW w:w="3763" w:type="pct"/>
          </w:tcPr>
          <w:p>
            <w:pPr>
              <w:snapToGrid w:val="0"/>
              <w:spacing w:line="300" w:lineRule="auto"/>
              <w:rPr>
                <w:sz w:val="18"/>
                <w:szCs w:val="18"/>
              </w:rPr>
            </w:pPr>
            <w:r>
              <w:rPr>
                <w:sz w:val="18"/>
                <w:szCs w:val="18"/>
              </w:rPr>
              <w:t>2-3通晓文献、信息、资料的分类和一般检索方法，具备借助文献研究等方式客观分析和准确表达复杂工程问题，以获得有效结论的能力。</w:t>
            </w:r>
          </w:p>
        </w:tc>
        <w:tc>
          <w:tcPr>
            <w:tcW w:w="413" w:type="pct"/>
            <w:vAlign w:val="center"/>
          </w:tcPr>
          <w:p>
            <w:pPr>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23" w:type="pct"/>
            <w:vAlign w:val="center"/>
          </w:tcPr>
          <w:p>
            <w:pPr>
              <w:snapToGrid w:val="0"/>
              <w:spacing w:line="300" w:lineRule="auto"/>
              <w:rPr>
                <w:sz w:val="18"/>
                <w:szCs w:val="18"/>
              </w:rPr>
            </w:pPr>
            <w:r>
              <w:rPr>
                <w:sz w:val="18"/>
                <w:szCs w:val="18"/>
              </w:rPr>
              <w:t>3．设计/开发解决方案</w:t>
            </w:r>
          </w:p>
        </w:tc>
        <w:tc>
          <w:tcPr>
            <w:tcW w:w="3763" w:type="pct"/>
          </w:tcPr>
          <w:p>
            <w:pPr>
              <w:snapToGrid w:val="0"/>
              <w:spacing w:line="300" w:lineRule="auto"/>
              <w:rPr>
                <w:sz w:val="18"/>
                <w:szCs w:val="18"/>
              </w:rPr>
            </w:pPr>
            <w:r>
              <w:rPr>
                <w:sz w:val="18"/>
                <w:szCs w:val="18"/>
              </w:rPr>
              <w:t>3-1能够利用专业知识，针对给定需求，设计出满足要求的系统总体方案与系统拓扑图、单元子系统（或单元电路）、软硬件模块或工艺。</w:t>
            </w:r>
          </w:p>
        </w:tc>
        <w:tc>
          <w:tcPr>
            <w:tcW w:w="413"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23" w:type="pct"/>
            <w:vMerge w:val="restart"/>
            <w:vAlign w:val="center"/>
          </w:tcPr>
          <w:p>
            <w:pPr>
              <w:snapToGrid w:val="0"/>
              <w:spacing w:line="300" w:lineRule="auto"/>
              <w:rPr>
                <w:sz w:val="18"/>
                <w:szCs w:val="18"/>
              </w:rPr>
            </w:pPr>
            <w:r>
              <w:rPr>
                <w:sz w:val="18"/>
                <w:szCs w:val="18"/>
              </w:rPr>
              <w:t>9．个人与团队</w:t>
            </w:r>
          </w:p>
        </w:tc>
        <w:tc>
          <w:tcPr>
            <w:tcW w:w="3763" w:type="pct"/>
          </w:tcPr>
          <w:p>
            <w:pPr>
              <w:snapToGrid w:val="0"/>
              <w:spacing w:line="300" w:lineRule="auto"/>
              <w:rPr>
                <w:sz w:val="18"/>
                <w:szCs w:val="18"/>
              </w:rPr>
            </w:pPr>
            <w:r>
              <w:rPr>
                <w:sz w:val="18"/>
                <w:szCs w:val="18"/>
              </w:rPr>
              <w:t>9-1能够在多学科背景下的团队中分担任务，并承担责任。</w:t>
            </w:r>
          </w:p>
        </w:tc>
        <w:tc>
          <w:tcPr>
            <w:tcW w:w="413" w:type="pct"/>
            <w:vAlign w:val="center"/>
          </w:tcPr>
          <w:p>
            <w:pPr>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3" w:type="pct"/>
            <w:vMerge w:val="continue"/>
            <w:vAlign w:val="center"/>
          </w:tcPr>
          <w:p>
            <w:pPr>
              <w:snapToGrid w:val="0"/>
              <w:spacing w:line="300" w:lineRule="auto"/>
              <w:rPr>
                <w:sz w:val="18"/>
                <w:szCs w:val="18"/>
              </w:rPr>
            </w:pPr>
          </w:p>
        </w:tc>
        <w:tc>
          <w:tcPr>
            <w:tcW w:w="3763" w:type="pct"/>
            <w:vAlign w:val="center"/>
          </w:tcPr>
          <w:p>
            <w:pPr>
              <w:snapToGrid w:val="0"/>
              <w:spacing w:line="300" w:lineRule="auto"/>
              <w:rPr>
                <w:sz w:val="18"/>
                <w:szCs w:val="18"/>
              </w:rPr>
            </w:pPr>
            <w:r>
              <w:rPr>
                <w:sz w:val="18"/>
                <w:szCs w:val="18"/>
              </w:rPr>
              <w:t>9-2能够在多学科备选下的团队中胜任团队负责人或成员角色，具有团队合作意识和精神。</w:t>
            </w:r>
          </w:p>
        </w:tc>
        <w:tc>
          <w:tcPr>
            <w:tcW w:w="413" w:type="pct"/>
            <w:vAlign w:val="center"/>
          </w:tcPr>
          <w:p>
            <w:pPr>
              <w:snapToGrid w:val="0"/>
              <w:spacing w:line="300" w:lineRule="auto"/>
              <w:jc w:val="center"/>
              <w:rPr>
                <w:sz w:val="18"/>
                <w:szCs w:val="18"/>
              </w:rPr>
            </w:pPr>
            <w:r>
              <w:rPr>
                <w:sz w:val="18"/>
                <w:szCs w:val="18"/>
              </w:rPr>
              <w:t>4</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11"/>
        <w:gridCol w:w="2644"/>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2562"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438"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1.</w:t>
            </w:r>
            <w:r>
              <w:rPr>
                <w:bCs/>
                <w:sz w:val="18"/>
                <w:szCs w:val="18"/>
              </w:rPr>
              <w:t xml:space="preserve"> 应具备综合运用所学的专业知识设计并制作具备一定功能的模拟电路系统的能力；能综合运用数字电路课程中的组合逻辑电路、时序逻辑电路等知识设计一定规模的数字电路并进行仿真验证</w:t>
            </w:r>
            <w:r>
              <w:rPr>
                <w:kern w:val="0"/>
                <w:sz w:val="18"/>
                <w:szCs w:val="18"/>
              </w:rPr>
              <w:t>；</w:t>
            </w:r>
          </w:p>
        </w:tc>
        <w:tc>
          <w:tcPr>
            <w:tcW w:w="1438"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指导老师讲授电子工艺，现场参观，查阅资料，项目实操实践等达成。</w:t>
            </w:r>
          </w:p>
        </w:tc>
        <w:tc>
          <w:tcPr>
            <w:tcW w:w="1000"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2"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kern w:val="0"/>
                <w:sz w:val="18"/>
                <w:szCs w:val="18"/>
              </w:rPr>
              <w:t xml:space="preserve">2. </w:t>
            </w:r>
            <w:r>
              <w:rPr>
                <w:bCs/>
                <w:sz w:val="18"/>
                <w:szCs w:val="18"/>
              </w:rPr>
              <w:t>具备使用万用表，示波器，信号发生器，稳压电源等实验设备、Altium Designer CAD软件和Proteus EDA仿真软件，和现代工程工具对复杂工程问题进行模拟或仿真的能力；</w:t>
            </w:r>
          </w:p>
        </w:tc>
        <w:tc>
          <w:tcPr>
            <w:tcW w:w="1438"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指导老师讲授常用仪器的使用方法，现成演示，查阅资料，项目实操实践等达成。</w:t>
            </w:r>
          </w:p>
        </w:tc>
        <w:tc>
          <w:tcPr>
            <w:tcW w:w="1000"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256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3. 培养初步的工程设计能力和创新意识，以及严谨踏实科学的工作作风和良好的学风，能够在多学科背景下的团队中分担任务，并承担责任；</w:t>
            </w:r>
          </w:p>
        </w:tc>
        <w:tc>
          <w:tcPr>
            <w:tcW w:w="1438"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指导老师讲授制版工艺和步骤，查阅资料，项目实操实践等达成。</w:t>
            </w:r>
          </w:p>
        </w:tc>
        <w:tc>
          <w:tcPr>
            <w:tcW w:w="1000"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256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kern w:val="0"/>
                <w:sz w:val="18"/>
                <w:szCs w:val="18"/>
              </w:rPr>
            </w:pPr>
            <w:r>
              <w:rPr>
                <w:kern w:val="0"/>
                <w:sz w:val="18"/>
                <w:szCs w:val="18"/>
              </w:rPr>
              <w:t>4. 分组完成实习任务，培养学生的团队合作意识，沟通能力，培养初步的工程设计能力和创新意识，以及严谨踏实科学的工作作风和良好的学风，提高解决实际问题的能力和素质。</w:t>
            </w:r>
          </w:p>
        </w:tc>
        <w:tc>
          <w:tcPr>
            <w:tcW w:w="1438"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指导老师讲授制版工艺和步骤，查阅资料，项目实操实践等达成。</w:t>
            </w:r>
          </w:p>
        </w:tc>
        <w:tc>
          <w:tcPr>
            <w:tcW w:w="1000" w:type="pct"/>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kern w:val="0"/>
                <w:sz w:val="18"/>
                <w:szCs w:val="18"/>
              </w:rPr>
            </w:pPr>
            <w:r>
              <w:rPr>
                <w:kern w:val="0"/>
                <w:sz w:val="18"/>
                <w:szCs w:val="18"/>
              </w:rPr>
              <w:t>实习表现、现场汇报、现场验收、相关记录等原始材料考评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2"/>
        <w:gridCol w:w="4009"/>
        <w:gridCol w:w="4164"/>
        <w:gridCol w:w="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blHeader/>
          <w:jc w:val="center"/>
        </w:trPr>
        <w:tc>
          <w:tcPr>
            <w:tcW w:w="331" w:type="pct"/>
            <w:tcMar>
              <w:left w:w="57" w:type="dxa"/>
              <w:right w:w="57" w:type="dxa"/>
            </w:tcMar>
            <w:vAlign w:val="center"/>
          </w:tcPr>
          <w:p>
            <w:pPr>
              <w:snapToGrid w:val="0"/>
              <w:spacing w:line="300" w:lineRule="auto"/>
              <w:rPr>
                <w:b/>
                <w:bCs/>
                <w:sz w:val="18"/>
                <w:szCs w:val="18"/>
              </w:rPr>
            </w:pPr>
            <w:r>
              <w:rPr>
                <w:b/>
                <w:bCs/>
                <w:sz w:val="18"/>
                <w:szCs w:val="18"/>
              </w:rPr>
              <w:t>序号</w:t>
            </w:r>
          </w:p>
        </w:tc>
        <w:tc>
          <w:tcPr>
            <w:tcW w:w="2168" w:type="pct"/>
            <w:vAlign w:val="center"/>
          </w:tcPr>
          <w:p>
            <w:pPr>
              <w:snapToGrid w:val="0"/>
              <w:spacing w:line="300" w:lineRule="auto"/>
              <w:jc w:val="center"/>
              <w:rPr>
                <w:b/>
                <w:bCs/>
                <w:sz w:val="18"/>
                <w:szCs w:val="18"/>
              </w:rPr>
            </w:pPr>
            <w:r>
              <w:rPr>
                <w:b/>
                <w:bCs/>
                <w:sz w:val="18"/>
                <w:szCs w:val="18"/>
              </w:rPr>
              <w:t>教学内容与课程教学目标</w:t>
            </w:r>
          </w:p>
        </w:tc>
        <w:tc>
          <w:tcPr>
            <w:tcW w:w="2252" w:type="pct"/>
            <w:vAlign w:val="center"/>
          </w:tcPr>
          <w:p>
            <w:pPr>
              <w:snapToGrid w:val="0"/>
              <w:spacing w:line="300" w:lineRule="auto"/>
              <w:jc w:val="center"/>
              <w:rPr>
                <w:b/>
                <w:bCs/>
                <w:sz w:val="18"/>
                <w:szCs w:val="18"/>
              </w:rPr>
            </w:pPr>
            <w:r>
              <w:rPr>
                <w:b/>
                <w:bCs/>
                <w:sz w:val="18"/>
                <w:szCs w:val="18"/>
              </w:rPr>
              <w:t>教与学的要求</w:t>
            </w:r>
          </w:p>
        </w:tc>
        <w:tc>
          <w:tcPr>
            <w:tcW w:w="249" w:type="pct"/>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1" w:type="pct"/>
            <w:tcMar>
              <w:left w:w="57" w:type="dxa"/>
              <w:right w:w="57" w:type="dxa"/>
            </w:tcMar>
            <w:vAlign w:val="center"/>
          </w:tcPr>
          <w:p>
            <w:pPr>
              <w:snapToGrid w:val="0"/>
              <w:spacing w:line="300" w:lineRule="auto"/>
              <w:jc w:val="center"/>
              <w:rPr>
                <w:sz w:val="18"/>
                <w:szCs w:val="18"/>
              </w:rPr>
            </w:pPr>
            <w:r>
              <w:rPr>
                <w:sz w:val="18"/>
                <w:szCs w:val="18"/>
              </w:rPr>
              <w:t>1</w:t>
            </w:r>
          </w:p>
        </w:tc>
        <w:tc>
          <w:tcPr>
            <w:tcW w:w="2168" w:type="pct"/>
            <w:vAlign w:val="center"/>
          </w:tcPr>
          <w:p>
            <w:pPr>
              <w:pStyle w:val="38"/>
              <w:numPr>
                <w:ilvl w:val="0"/>
                <w:numId w:val="81"/>
              </w:numPr>
              <w:adjustRightInd w:val="0"/>
              <w:snapToGrid w:val="0"/>
              <w:ind w:firstLineChars="0"/>
              <w:rPr>
                <w:bCs/>
                <w:kern w:val="0"/>
                <w:sz w:val="18"/>
                <w:szCs w:val="18"/>
              </w:rPr>
            </w:pPr>
            <w:r>
              <w:rPr>
                <w:bCs/>
                <w:kern w:val="0"/>
                <w:sz w:val="18"/>
                <w:szCs w:val="18"/>
              </w:rPr>
              <w:t>实习方式与场所要求</w:t>
            </w:r>
          </w:p>
          <w:p>
            <w:pPr>
              <w:widowControl/>
              <w:adjustRightInd w:val="0"/>
              <w:snapToGrid w:val="0"/>
              <w:ind w:firstLine="360" w:firstLineChars="200"/>
              <w:jc w:val="left"/>
              <w:rPr>
                <w:bCs/>
                <w:kern w:val="0"/>
                <w:sz w:val="18"/>
                <w:szCs w:val="18"/>
              </w:rPr>
            </w:pPr>
            <w:r>
              <w:rPr>
                <w:sz w:val="18"/>
                <w:szCs w:val="18"/>
              </w:rPr>
              <w:t>实习采用集中式方式在校内进行，要求实习场所具备手工制作电路板所需的打印机、过塑机、电路板腐蚀机、钻孔机等设备。同时还应具备焊接工具和相应地万用表、信号发生器、可调稳压直流电源等调试设备。实习场所还应具备良好的通风条件，在焊接时能保持室内空气清洁。</w:t>
            </w:r>
          </w:p>
          <w:p>
            <w:pPr>
              <w:adjustRightInd w:val="0"/>
              <w:snapToGrid w:val="0"/>
              <w:rPr>
                <w:bCs/>
                <w:sz w:val="18"/>
                <w:szCs w:val="18"/>
              </w:rPr>
            </w:pPr>
            <w:r>
              <w:rPr>
                <w:sz w:val="18"/>
                <w:szCs w:val="18"/>
              </w:rPr>
              <w:t>二、电子技术基础综合实习内容</w:t>
            </w:r>
          </w:p>
          <w:p>
            <w:pPr>
              <w:adjustRightInd w:val="0"/>
              <w:snapToGrid w:val="0"/>
              <w:ind w:left="25"/>
              <w:rPr>
                <w:sz w:val="18"/>
                <w:szCs w:val="18"/>
              </w:rPr>
            </w:pPr>
            <w:r>
              <w:rPr>
                <w:sz w:val="18"/>
                <w:szCs w:val="18"/>
              </w:rPr>
              <w:t>1、实习动员，理论讲解（第1天）[课程目标1]</w:t>
            </w:r>
          </w:p>
          <w:p>
            <w:pPr>
              <w:adjustRightInd w:val="0"/>
              <w:snapToGrid w:val="0"/>
              <w:ind w:left="25"/>
              <w:rPr>
                <w:sz w:val="18"/>
                <w:szCs w:val="18"/>
              </w:rPr>
            </w:pPr>
            <w:r>
              <w:rPr>
                <w:sz w:val="18"/>
                <w:szCs w:val="18"/>
              </w:rPr>
              <w:t>2、综合利用所学的模拟电路知识，设计并制作一个双声道模拟音频功率放大器，要求具备左右双声道输出，能调解输出功率（输出声音大小）、高低音调节。（第2-6天）[课程目标2、3、4]</w:t>
            </w:r>
          </w:p>
          <w:p>
            <w:pPr>
              <w:adjustRightInd w:val="0"/>
              <w:snapToGrid w:val="0"/>
              <w:ind w:left="25"/>
              <w:rPr>
                <w:sz w:val="18"/>
                <w:szCs w:val="18"/>
              </w:rPr>
            </w:pPr>
            <w:r>
              <w:rPr>
                <w:sz w:val="18"/>
                <w:szCs w:val="18"/>
              </w:rPr>
              <w:t>3、综合运用所学的数字电路知识，设计一个包括时序逻辑、组合逻辑的数字系统并进行仿真验证。（第7-9天）[课程目标2、3]</w:t>
            </w:r>
          </w:p>
          <w:p>
            <w:pPr>
              <w:adjustRightInd w:val="0"/>
              <w:snapToGrid w:val="0"/>
              <w:rPr>
                <w:bCs/>
                <w:kern w:val="0"/>
                <w:sz w:val="18"/>
                <w:szCs w:val="18"/>
              </w:rPr>
            </w:pPr>
            <w:r>
              <w:rPr>
                <w:sz w:val="18"/>
                <w:szCs w:val="18"/>
              </w:rPr>
              <w:t>4、验收和总结。实习完成后，应进行一次总结及经验交流会。交流会上，由老师对实习进行总结，同时安排学生结合个人实习感受进行讨论与交流。（第10天）[课程目标1、2]</w:t>
            </w:r>
          </w:p>
        </w:tc>
        <w:tc>
          <w:tcPr>
            <w:tcW w:w="2252" w:type="pct"/>
            <w:vAlign w:val="center"/>
          </w:tcPr>
          <w:p>
            <w:pPr>
              <w:autoSpaceDE w:val="0"/>
              <w:autoSpaceDN w:val="0"/>
              <w:adjustRightInd w:val="0"/>
              <w:snapToGrid w:val="0"/>
              <w:jc w:val="left"/>
              <w:rPr>
                <w:bCs/>
                <w:sz w:val="18"/>
                <w:szCs w:val="18"/>
              </w:rPr>
            </w:pPr>
            <w:r>
              <w:rPr>
                <w:bCs/>
                <w:sz w:val="18"/>
                <w:szCs w:val="18"/>
              </w:rPr>
              <w:t>一、实习活动要求</w:t>
            </w:r>
          </w:p>
          <w:p>
            <w:pPr>
              <w:autoSpaceDE w:val="0"/>
              <w:autoSpaceDN w:val="0"/>
              <w:adjustRightInd w:val="0"/>
              <w:snapToGrid w:val="0"/>
              <w:ind w:firstLine="360" w:firstLineChars="200"/>
              <w:rPr>
                <w:bCs/>
                <w:sz w:val="18"/>
                <w:szCs w:val="18"/>
              </w:rPr>
            </w:pPr>
            <w:r>
              <w:rPr>
                <w:sz w:val="18"/>
                <w:szCs w:val="18"/>
              </w:rPr>
              <w:t>实习过程中应听从老师的安排，教师首先对实习内容进行集中讲解，告知学生设计要求，介绍手工制作印制电路板（PCB）的方法及电路调试技巧。学生在接下来的时间中自行讨论并用Altium Designer、PowerPCB等设计电路原理图和PCB图；手工制作PCB板并认清各个原件进行焊接调试，最终完成满足实习要求的电路实物，教师在整个过程中进行相应的辅导</w:t>
            </w:r>
            <w:r>
              <w:rPr>
                <w:bCs/>
                <w:sz w:val="18"/>
                <w:szCs w:val="18"/>
              </w:rPr>
              <w:t>。</w:t>
            </w:r>
          </w:p>
          <w:p>
            <w:pPr>
              <w:autoSpaceDE w:val="0"/>
              <w:autoSpaceDN w:val="0"/>
              <w:adjustRightInd w:val="0"/>
              <w:snapToGrid w:val="0"/>
              <w:ind w:firstLine="360" w:firstLineChars="200"/>
              <w:rPr>
                <w:sz w:val="18"/>
                <w:szCs w:val="18"/>
              </w:rPr>
            </w:pPr>
            <w:r>
              <w:rPr>
                <w:sz w:val="18"/>
                <w:szCs w:val="18"/>
              </w:rPr>
              <w:t>教师首先对实习内容进行集中讲解，告知学生设计要求。学生在电脑上利用Proteus软件完成符合要求的数字系统设计并仿真。</w:t>
            </w:r>
          </w:p>
          <w:p>
            <w:pPr>
              <w:widowControl/>
              <w:tabs>
                <w:tab w:val="left" w:pos="426"/>
                <w:tab w:val="left" w:pos="5245"/>
                <w:tab w:val="left" w:pos="5387"/>
              </w:tabs>
              <w:adjustRightInd w:val="0"/>
              <w:snapToGrid w:val="0"/>
              <w:rPr>
                <w:sz w:val="18"/>
                <w:szCs w:val="18"/>
              </w:rPr>
            </w:pPr>
            <w:r>
              <w:rPr>
                <w:kern w:val="0"/>
                <w:sz w:val="18"/>
                <w:szCs w:val="18"/>
              </w:rPr>
              <w:t>二、</w:t>
            </w:r>
            <w:r>
              <w:rPr>
                <w:sz w:val="18"/>
                <w:szCs w:val="18"/>
              </w:rPr>
              <w:t>实习日志、实习报告撰写的要求</w:t>
            </w:r>
          </w:p>
          <w:p>
            <w:pPr>
              <w:adjustRightInd w:val="0"/>
              <w:snapToGrid w:val="0"/>
              <w:ind w:firstLine="360" w:firstLineChars="200"/>
              <w:rPr>
                <w:bCs/>
                <w:sz w:val="18"/>
                <w:szCs w:val="18"/>
              </w:rPr>
            </w:pPr>
            <w:r>
              <w:rPr>
                <w:bCs/>
                <w:sz w:val="18"/>
                <w:szCs w:val="18"/>
              </w:rPr>
              <w:t>实习日志要每天都要填写，把实习内容，实习目的和要求，实习完成情况，收获与体会。</w:t>
            </w:r>
          </w:p>
          <w:p>
            <w:pPr>
              <w:widowControl/>
              <w:adjustRightInd w:val="0"/>
              <w:snapToGrid w:val="0"/>
              <w:ind w:firstLine="360" w:firstLineChars="200"/>
              <w:jc w:val="left"/>
              <w:rPr>
                <w:sz w:val="18"/>
                <w:szCs w:val="18"/>
              </w:rPr>
            </w:pPr>
            <w:r>
              <w:rPr>
                <w:bCs/>
                <w:sz w:val="18"/>
                <w:szCs w:val="18"/>
              </w:rPr>
              <w:t>实习报告包括实习内容、实习目的、实习步骤、问题分析、实习体会等部分。要求实事求是，忠实的记录实习步骤；认真思考和分析实习中出现的各种问题；真切的写出实习体会并结合自身情况为提高实习效果提出自己的建议。</w:t>
            </w:r>
          </w:p>
        </w:tc>
        <w:tc>
          <w:tcPr>
            <w:tcW w:w="249" w:type="pct"/>
            <w:vAlign w:val="center"/>
          </w:tcPr>
          <w:p>
            <w:pPr>
              <w:snapToGrid w:val="0"/>
              <w:spacing w:line="300" w:lineRule="auto"/>
              <w:rPr>
                <w:sz w:val="18"/>
                <w:szCs w:val="18"/>
              </w:rPr>
            </w:pPr>
            <w:r>
              <w:rPr>
                <w:kern w:val="0"/>
                <w:sz w:val="18"/>
                <w:szCs w:val="18"/>
              </w:rPr>
              <w:t>2周</w:t>
            </w:r>
          </w:p>
        </w:tc>
      </w:tr>
    </w:tbl>
    <w:p>
      <w:pPr>
        <w:snapToGrid w:val="0"/>
        <w:spacing w:before="159" w:beforeLines="50" w:after="159" w:afterLines="50" w:line="300" w:lineRule="auto"/>
        <w:rPr>
          <w:b/>
          <w:sz w:val="24"/>
        </w:rPr>
      </w:pPr>
      <w:r>
        <w:rPr>
          <w:b/>
          <w:sz w:val="24"/>
        </w:rPr>
        <w:t>五、课程考核及成绩评定</w:t>
      </w:r>
    </w:p>
    <w:p>
      <w:pPr>
        <w:widowControl/>
        <w:spacing w:line="360" w:lineRule="exact"/>
        <w:ind w:firstLine="422" w:firstLineChars="200"/>
        <w:jc w:val="left"/>
        <w:rPr>
          <w:b/>
          <w:bCs/>
          <w:kern w:val="0"/>
          <w:szCs w:val="21"/>
        </w:rPr>
      </w:pPr>
      <w:r>
        <w:rPr>
          <w:b/>
          <w:bCs/>
          <w:kern w:val="0"/>
          <w:szCs w:val="21"/>
        </w:rPr>
        <w:t>1.考核方式</w:t>
      </w:r>
    </w:p>
    <w:p>
      <w:pPr>
        <w:spacing w:line="276" w:lineRule="auto"/>
        <w:ind w:firstLine="525" w:firstLineChars="250"/>
        <w:rPr>
          <w:b/>
          <w:bCs/>
          <w:szCs w:val="21"/>
        </w:rPr>
      </w:pPr>
      <w:r>
        <w:t>考查。</w:t>
      </w:r>
    </w:p>
    <w:p>
      <w:pPr>
        <w:widowControl/>
        <w:spacing w:line="360" w:lineRule="exact"/>
        <w:ind w:firstLine="422" w:firstLineChars="200"/>
        <w:jc w:val="left"/>
        <w:rPr>
          <w:kern w:val="0"/>
          <w:szCs w:val="21"/>
        </w:rPr>
      </w:pPr>
      <w:r>
        <w:rPr>
          <w:b/>
          <w:bCs/>
          <w:kern w:val="0"/>
          <w:szCs w:val="21"/>
        </w:rPr>
        <w:t>2.成绩评定</w:t>
      </w:r>
    </w:p>
    <w:p>
      <w:pPr>
        <w:snapToGrid w:val="0"/>
        <w:spacing w:line="300" w:lineRule="auto"/>
        <w:ind w:firstLine="420" w:firstLineChars="200"/>
      </w:pPr>
      <w:r>
        <w:t>成绩评定方式为综合考核方式的各项评分，给出总评成绩，学期末依据总评成绩评定对应考核等级：优秀：90-100分；良好：80-89分；中等：70-79分及格：60-69分；不及格：60分以下。</w:t>
      </w:r>
    </w:p>
    <w:p>
      <w:pPr>
        <w:snapToGrid w:val="0"/>
        <w:spacing w:line="300" w:lineRule="auto"/>
        <w:ind w:firstLine="420" w:firstLineChars="200"/>
      </w:pPr>
      <w:r>
        <w:t>总成绩=实习表现（10%）+实习作品（70%）+实习文档（20%）</w:t>
      </w:r>
    </w:p>
    <w:p>
      <w:pPr>
        <w:snapToGrid w:val="0"/>
        <w:spacing w:line="300" w:lineRule="auto"/>
        <w:ind w:firstLine="420" w:firstLineChars="200"/>
      </w:pPr>
      <w:r>
        <w:t>每部分具体构成如下所示：</w:t>
      </w:r>
    </w:p>
    <w:p>
      <w:pPr>
        <w:autoSpaceDE w:val="0"/>
        <w:autoSpaceDN w:val="0"/>
        <w:spacing w:line="276" w:lineRule="auto"/>
        <w:ind w:firstLine="525" w:firstLineChars="250"/>
      </w:pPr>
      <w:r>
        <w:t>1）实习过程中的表现（占总评成绩10%）：依据实习过程中是否积极主动、勤于思考等现场表现给出评分。</w:t>
      </w:r>
    </w:p>
    <w:p>
      <w:pPr>
        <w:autoSpaceDE w:val="0"/>
        <w:autoSpaceDN w:val="0"/>
        <w:spacing w:line="276" w:lineRule="auto"/>
        <w:ind w:firstLine="525" w:firstLineChars="250"/>
      </w:pPr>
      <w:r>
        <w:t xml:space="preserve">2）实习作品完成的质量（占总评成绩70%）：依据现场验收演示的结果，给出评分，功率放大器40%，数字系统仿真30%。 </w:t>
      </w:r>
    </w:p>
    <w:p>
      <w:pPr>
        <w:snapToGrid w:val="0"/>
        <w:spacing w:line="300" w:lineRule="auto"/>
        <w:ind w:firstLine="420" w:firstLineChars="200"/>
      </w:pPr>
      <w:r>
        <w:t>3）相关文档撰写的质量（占总评成绩20%）：依据是否按时完成、撰写是否规范、内容是否详实给出评分。</w:t>
      </w:r>
    </w:p>
    <w:p>
      <w:pPr>
        <w:snapToGrid w:val="0"/>
        <w:spacing w:line="300" w:lineRule="auto"/>
        <w:ind w:firstLine="420" w:firstLineChars="200"/>
      </w:pPr>
      <w:r>
        <w:t>（1）实习日志要每天填写一篇，共 10 篇，把实习内容，实习目的和要求，实习完成情况，收获与体会</w:t>
      </w:r>
      <w:r>
        <w:rPr>
          <w:rFonts w:hint="eastAsia"/>
          <w:bCs/>
          <w:szCs w:val="21"/>
        </w:rPr>
        <w:t>等填写好</w:t>
      </w:r>
      <w:r>
        <w:t xml:space="preserve">。 </w:t>
      </w:r>
    </w:p>
    <w:p>
      <w:pPr>
        <w:snapToGrid w:val="0"/>
        <w:spacing w:line="300" w:lineRule="auto"/>
        <w:ind w:firstLine="420" w:firstLineChars="200"/>
      </w:pPr>
      <w:r>
        <w:t>（2）实习报告（总结）的内容。总结报告字数要求 3000 字左右。内容包括。①时间、地点、 描述；②所实习单位的情况概述；③实习过程及实习内容的叙述；④收获、体会，学校教学与实 际的差距，改进方向、内容与方法；⑤不足、建议、教训。</w:t>
      </w:r>
    </w:p>
    <w:p>
      <w:pPr>
        <w:snapToGrid w:val="0"/>
        <w:spacing w:line="300" w:lineRule="auto"/>
        <w:ind w:firstLine="422" w:firstLineChars="200"/>
        <w:rPr>
          <w:b/>
          <w:szCs w:val="21"/>
        </w:rPr>
      </w:pPr>
      <w:r>
        <w:rPr>
          <w:b/>
          <w:szCs w:val="21"/>
        </w:rPr>
        <w:t>3.考核评价标准</w:t>
      </w:r>
    </w:p>
    <w:p>
      <w:pPr>
        <w:snapToGrid w:val="0"/>
        <w:spacing w:line="300" w:lineRule="auto"/>
        <w:ind w:firstLine="420" w:firstLineChars="200"/>
        <w:rPr>
          <w:szCs w:val="21"/>
        </w:rPr>
      </w:pPr>
      <w:r>
        <w:t>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397"/>
        <w:gridCol w:w="399"/>
        <w:gridCol w:w="399"/>
        <w:gridCol w:w="5725"/>
        <w:gridCol w:w="799"/>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96" w:type="dxa"/>
            <w:vAlign w:val="center"/>
          </w:tcPr>
          <w:p>
            <w:pPr>
              <w:adjustRightInd w:val="0"/>
              <w:snapToGrid w:val="0"/>
              <w:jc w:val="center"/>
              <w:rPr>
                <w:b/>
                <w:bCs/>
                <w:sz w:val="18"/>
                <w:szCs w:val="18"/>
              </w:rPr>
            </w:pPr>
            <w:r>
              <w:rPr>
                <w:b/>
                <w:bCs/>
                <w:sz w:val="18"/>
                <w:szCs w:val="18"/>
              </w:rPr>
              <w:t>成绩类型</w:t>
            </w:r>
          </w:p>
        </w:tc>
        <w:tc>
          <w:tcPr>
            <w:tcW w:w="397" w:type="dxa"/>
            <w:vAlign w:val="center"/>
          </w:tcPr>
          <w:p>
            <w:pPr>
              <w:adjustRightInd w:val="0"/>
              <w:snapToGrid w:val="0"/>
              <w:jc w:val="center"/>
              <w:rPr>
                <w:b/>
                <w:bCs/>
                <w:sz w:val="18"/>
                <w:szCs w:val="18"/>
              </w:rPr>
            </w:pPr>
            <w:r>
              <w:rPr>
                <w:b/>
                <w:bCs/>
                <w:sz w:val="18"/>
                <w:szCs w:val="18"/>
              </w:rPr>
              <w:t>分值</w:t>
            </w:r>
          </w:p>
        </w:tc>
        <w:tc>
          <w:tcPr>
            <w:tcW w:w="399" w:type="dxa"/>
            <w:vAlign w:val="center"/>
          </w:tcPr>
          <w:p>
            <w:pPr>
              <w:adjustRightInd w:val="0"/>
              <w:snapToGrid w:val="0"/>
              <w:jc w:val="center"/>
              <w:rPr>
                <w:b/>
                <w:bCs/>
                <w:sz w:val="18"/>
                <w:szCs w:val="18"/>
              </w:rPr>
            </w:pPr>
            <w:r>
              <w:rPr>
                <w:b/>
                <w:bCs/>
                <w:sz w:val="18"/>
                <w:szCs w:val="18"/>
              </w:rPr>
              <w:t>权重</w:t>
            </w:r>
          </w:p>
        </w:tc>
        <w:tc>
          <w:tcPr>
            <w:tcW w:w="399" w:type="dxa"/>
            <w:vAlign w:val="center"/>
          </w:tcPr>
          <w:p>
            <w:pPr>
              <w:adjustRightInd w:val="0"/>
              <w:snapToGrid w:val="0"/>
              <w:jc w:val="center"/>
              <w:rPr>
                <w:b/>
                <w:bCs/>
                <w:sz w:val="18"/>
                <w:szCs w:val="18"/>
              </w:rPr>
            </w:pPr>
            <w:r>
              <w:rPr>
                <w:b/>
                <w:bCs/>
                <w:sz w:val="18"/>
                <w:szCs w:val="18"/>
              </w:rPr>
              <w:t>类别</w:t>
            </w:r>
          </w:p>
        </w:tc>
        <w:tc>
          <w:tcPr>
            <w:tcW w:w="5725" w:type="dxa"/>
            <w:vAlign w:val="center"/>
          </w:tcPr>
          <w:p>
            <w:pPr>
              <w:adjustRightInd w:val="0"/>
              <w:snapToGrid w:val="0"/>
              <w:jc w:val="center"/>
              <w:rPr>
                <w:b/>
                <w:bCs/>
                <w:sz w:val="18"/>
                <w:szCs w:val="18"/>
              </w:rPr>
            </w:pPr>
            <w:r>
              <w:rPr>
                <w:b/>
                <w:bCs/>
                <w:sz w:val="18"/>
                <w:szCs w:val="18"/>
              </w:rPr>
              <w:t>考核/评价细则</w:t>
            </w:r>
          </w:p>
        </w:tc>
        <w:tc>
          <w:tcPr>
            <w:tcW w:w="799" w:type="dxa"/>
            <w:vAlign w:val="center"/>
          </w:tcPr>
          <w:p>
            <w:pPr>
              <w:adjustRightInd w:val="0"/>
              <w:snapToGrid w:val="0"/>
              <w:jc w:val="center"/>
              <w:rPr>
                <w:b/>
                <w:bCs/>
                <w:sz w:val="18"/>
                <w:szCs w:val="18"/>
              </w:rPr>
            </w:pPr>
            <w:r>
              <w:rPr>
                <w:b/>
                <w:bCs/>
                <w:sz w:val="18"/>
                <w:szCs w:val="18"/>
              </w:rPr>
              <w:t>课程目标</w:t>
            </w:r>
          </w:p>
        </w:tc>
        <w:tc>
          <w:tcPr>
            <w:tcW w:w="790" w:type="dxa"/>
            <w:vAlign w:val="center"/>
          </w:tcPr>
          <w:p>
            <w:pPr>
              <w:adjustRightInd w:val="0"/>
              <w:snapToGrid w:val="0"/>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96" w:type="dxa"/>
            <w:vAlign w:val="center"/>
          </w:tcPr>
          <w:p>
            <w:pPr>
              <w:adjustRightInd w:val="0"/>
              <w:snapToGrid w:val="0"/>
              <w:spacing w:line="300" w:lineRule="auto"/>
              <w:rPr>
                <w:sz w:val="18"/>
                <w:szCs w:val="18"/>
              </w:rPr>
            </w:pPr>
            <w:r>
              <w:rPr>
                <w:sz w:val="18"/>
                <w:szCs w:val="18"/>
              </w:rPr>
              <w:t>实习</w:t>
            </w:r>
          </w:p>
          <w:p>
            <w:pPr>
              <w:adjustRightInd w:val="0"/>
              <w:snapToGrid w:val="0"/>
              <w:spacing w:line="300" w:lineRule="auto"/>
              <w:rPr>
                <w:sz w:val="18"/>
                <w:szCs w:val="18"/>
              </w:rPr>
            </w:pPr>
            <w:r>
              <w:rPr>
                <w:sz w:val="18"/>
                <w:szCs w:val="18"/>
              </w:rPr>
              <w:t>表现</w:t>
            </w:r>
          </w:p>
        </w:tc>
        <w:tc>
          <w:tcPr>
            <w:tcW w:w="397" w:type="dxa"/>
            <w:vAlign w:val="center"/>
          </w:tcPr>
          <w:p>
            <w:pPr>
              <w:adjustRightInd w:val="0"/>
              <w:snapToGrid w:val="0"/>
              <w:spacing w:line="300" w:lineRule="auto"/>
              <w:jc w:val="center"/>
              <w:rPr>
                <w:sz w:val="18"/>
                <w:szCs w:val="18"/>
              </w:rPr>
            </w:pPr>
            <w:r>
              <w:rPr>
                <w:sz w:val="18"/>
                <w:szCs w:val="18"/>
              </w:rPr>
              <w:t>100</w:t>
            </w:r>
          </w:p>
        </w:tc>
        <w:tc>
          <w:tcPr>
            <w:tcW w:w="399" w:type="dxa"/>
            <w:vAlign w:val="center"/>
          </w:tcPr>
          <w:p>
            <w:pPr>
              <w:adjustRightInd w:val="0"/>
              <w:snapToGrid w:val="0"/>
              <w:spacing w:line="300" w:lineRule="auto"/>
              <w:jc w:val="center"/>
              <w:rPr>
                <w:sz w:val="18"/>
                <w:szCs w:val="18"/>
              </w:rPr>
            </w:pPr>
            <w:r>
              <w:rPr>
                <w:sz w:val="18"/>
                <w:szCs w:val="18"/>
              </w:rPr>
              <w:t>0.1</w:t>
            </w:r>
          </w:p>
        </w:tc>
        <w:tc>
          <w:tcPr>
            <w:tcW w:w="399" w:type="dxa"/>
            <w:vAlign w:val="center"/>
          </w:tcPr>
          <w:p>
            <w:pPr>
              <w:adjustRightInd w:val="0"/>
              <w:snapToGrid w:val="0"/>
              <w:spacing w:line="300" w:lineRule="auto"/>
              <w:jc w:val="center"/>
              <w:rPr>
                <w:sz w:val="18"/>
                <w:szCs w:val="18"/>
              </w:rPr>
            </w:pPr>
            <w:r>
              <w:rPr>
                <w:sz w:val="18"/>
                <w:szCs w:val="18"/>
              </w:rPr>
              <w:t>实习表现</w:t>
            </w:r>
          </w:p>
        </w:tc>
        <w:tc>
          <w:tcPr>
            <w:tcW w:w="5725" w:type="dxa"/>
            <w:vAlign w:val="center"/>
          </w:tcPr>
          <w:p>
            <w:pPr>
              <w:adjustRightInd w:val="0"/>
              <w:snapToGrid w:val="0"/>
              <w:spacing w:line="300" w:lineRule="auto"/>
              <w:ind w:firstLine="360" w:firstLineChars="200"/>
              <w:rPr>
                <w:sz w:val="18"/>
                <w:szCs w:val="18"/>
              </w:rPr>
            </w:pPr>
            <w:r>
              <w:rPr>
                <w:sz w:val="18"/>
                <w:szCs w:val="18"/>
              </w:rPr>
              <w:t>根据实习过程中的考勤、是否积极主动、勤于思考、遵守实验室规则制度等现场表现给出评分。</w:t>
            </w:r>
          </w:p>
        </w:tc>
        <w:tc>
          <w:tcPr>
            <w:tcW w:w="799" w:type="dxa"/>
            <w:vAlign w:val="center"/>
          </w:tcPr>
          <w:p>
            <w:pPr>
              <w:adjustRightInd w:val="0"/>
              <w:snapToGrid w:val="0"/>
              <w:spacing w:line="300" w:lineRule="auto"/>
              <w:jc w:val="center"/>
              <w:rPr>
                <w:sz w:val="18"/>
                <w:szCs w:val="18"/>
              </w:rPr>
            </w:pPr>
            <w:r>
              <w:rPr>
                <w:sz w:val="18"/>
                <w:szCs w:val="18"/>
              </w:rPr>
              <w:t>1，2</w:t>
            </w:r>
          </w:p>
        </w:tc>
        <w:tc>
          <w:tcPr>
            <w:tcW w:w="790" w:type="dxa"/>
            <w:vAlign w:val="center"/>
          </w:tcPr>
          <w:p>
            <w:pPr>
              <w:adjustRightInd w:val="0"/>
              <w:snapToGrid w:val="0"/>
              <w:spacing w:line="300" w:lineRule="auto"/>
              <w:jc w:val="center"/>
              <w:rPr>
                <w:sz w:val="18"/>
                <w:szCs w:val="18"/>
              </w:rPr>
            </w:pPr>
            <w:r>
              <w:rPr>
                <w:rFonts w:hint="eastAsia"/>
                <w:sz w:val="18"/>
                <w:szCs w:val="18"/>
              </w:rPr>
              <w:t>2.</w:t>
            </w:r>
            <w:r>
              <w:rPr>
                <w:sz w:val="18"/>
                <w:szCs w:val="18"/>
              </w:rPr>
              <w:t>3</w:t>
            </w:r>
            <w:r>
              <w:rPr>
                <w:rFonts w:hint="eastAsia"/>
                <w:sz w:val="18"/>
                <w:szCs w:val="18"/>
              </w:rPr>
              <w:t>，</w:t>
            </w:r>
            <w:r>
              <w:rPr>
                <w:sz w:val="18"/>
                <w:szCs w:val="18"/>
              </w:rPr>
              <w:t>3</w:t>
            </w:r>
            <w:r>
              <w:rPr>
                <w:rFonts w:hint="eastAsia"/>
                <w:sz w:val="18"/>
                <w:szCs w:val="18"/>
              </w:rPr>
              <w:t>.</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96" w:type="dxa"/>
            <w:vAlign w:val="center"/>
          </w:tcPr>
          <w:p>
            <w:pPr>
              <w:adjustRightInd w:val="0"/>
              <w:snapToGrid w:val="0"/>
              <w:spacing w:line="300" w:lineRule="auto"/>
              <w:rPr>
                <w:sz w:val="18"/>
                <w:szCs w:val="18"/>
              </w:rPr>
            </w:pPr>
            <w:r>
              <w:rPr>
                <w:sz w:val="18"/>
                <w:szCs w:val="18"/>
              </w:rPr>
              <w:t>实习</w:t>
            </w:r>
          </w:p>
          <w:p>
            <w:pPr>
              <w:adjustRightInd w:val="0"/>
              <w:snapToGrid w:val="0"/>
              <w:spacing w:line="300" w:lineRule="auto"/>
              <w:rPr>
                <w:sz w:val="18"/>
                <w:szCs w:val="18"/>
              </w:rPr>
            </w:pPr>
            <w:r>
              <w:rPr>
                <w:sz w:val="18"/>
                <w:szCs w:val="18"/>
              </w:rPr>
              <w:t>作品</w:t>
            </w:r>
          </w:p>
        </w:tc>
        <w:tc>
          <w:tcPr>
            <w:tcW w:w="397" w:type="dxa"/>
            <w:vAlign w:val="center"/>
          </w:tcPr>
          <w:p>
            <w:pPr>
              <w:adjustRightInd w:val="0"/>
              <w:snapToGrid w:val="0"/>
              <w:spacing w:line="300" w:lineRule="auto"/>
              <w:jc w:val="center"/>
              <w:rPr>
                <w:sz w:val="18"/>
                <w:szCs w:val="18"/>
              </w:rPr>
            </w:pPr>
            <w:r>
              <w:rPr>
                <w:sz w:val="18"/>
                <w:szCs w:val="18"/>
              </w:rPr>
              <w:t>100</w:t>
            </w:r>
          </w:p>
        </w:tc>
        <w:tc>
          <w:tcPr>
            <w:tcW w:w="399" w:type="dxa"/>
            <w:vAlign w:val="center"/>
          </w:tcPr>
          <w:p>
            <w:pPr>
              <w:adjustRightInd w:val="0"/>
              <w:snapToGrid w:val="0"/>
              <w:spacing w:line="300" w:lineRule="auto"/>
              <w:jc w:val="center"/>
              <w:rPr>
                <w:sz w:val="18"/>
                <w:szCs w:val="18"/>
              </w:rPr>
            </w:pPr>
            <w:r>
              <w:rPr>
                <w:sz w:val="18"/>
                <w:szCs w:val="18"/>
              </w:rPr>
              <w:t>0.7</w:t>
            </w:r>
          </w:p>
        </w:tc>
        <w:tc>
          <w:tcPr>
            <w:tcW w:w="399" w:type="dxa"/>
            <w:vAlign w:val="center"/>
          </w:tcPr>
          <w:p>
            <w:pPr>
              <w:adjustRightInd w:val="0"/>
              <w:snapToGrid w:val="0"/>
              <w:spacing w:line="300" w:lineRule="auto"/>
              <w:rPr>
                <w:sz w:val="18"/>
                <w:szCs w:val="18"/>
              </w:rPr>
            </w:pPr>
            <w:r>
              <w:rPr>
                <w:sz w:val="18"/>
                <w:szCs w:val="18"/>
              </w:rPr>
              <w:t>实操</w:t>
            </w:r>
          </w:p>
        </w:tc>
        <w:tc>
          <w:tcPr>
            <w:tcW w:w="5725" w:type="dxa"/>
            <w:vAlign w:val="center"/>
          </w:tcPr>
          <w:p>
            <w:pPr>
              <w:adjustRightInd w:val="0"/>
              <w:snapToGrid w:val="0"/>
              <w:spacing w:line="300" w:lineRule="auto"/>
              <w:ind w:firstLine="360" w:firstLineChars="200"/>
              <w:rPr>
                <w:sz w:val="18"/>
                <w:szCs w:val="18"/>
              </w:rPr>
            </w:pPr>
            <w:r>
              <w:rPr>
                <w:sz w:val="18"/>
                <w:szCs w:val="18"/>
              </w:rPr>
              <w:t>依据现场验收演示的结果，给出评分，功率放大器40%，数字系统仿真30%。</w:t>
            </w:r>
          </w:p>
        </w:tc>
        <w:tc>
          <w:tcPr>
            <w:tcW w:w="799" w:type="dxa"/>
            <w:vAlign w:val="center"/>
          </w:tcPr>
          <w:p>
            <w:pPr>
              <w:adjustRightInd w:val="0"/>
              <w:snapToGrid w:val="0"/>
              <w:spacing w:line="300" w:lineRule="auto"/>
              <w:jc w:val="center"/>
              <w:rPr>
                <w:sz w:val="18"/>
                <w:szCs w:val="18"/>
              </w:rPr>
            </w:pPr>
            <w:r>
              <w:rPr>
                <w:sz w:val="18"/>
                <w:szCs w:val="18"/>
              </w:rPr>
              <w:t>2，3，4</w:t>
            </w:r>
          </w:p>
        </w:tc>
        <w:tc>
          <w:tcPr>
            <w:tcW w:w="790" w:type="dxa"/>
            <w:vAlign w:val="center"/>
          </w:tcPr>
          <w:p>
            <w:pPr>
              <w:adjustRightInd w:val="0"/>
              <w:snapToGrid w:val="0"/>
              <w:spacing w:line="300" w:lineRule="auto"/>
              <w:jc w:val="center"/>
              <w:rPr>
                <w:sz w:val="18"/>
                <w:szCs w:val="18"/>
              </w:rPr>
            </w:pPr>
            <w:r>
              <w:rPr>
                <w:sz w:val="18"/>
                <w:szCs w:val="18"/>
              </w:rPr>
              <w:t>3</w:t>
            </w:r>
            <w:r>
              <w:rPr>
                <w:rFonts w:hint="eastAsia"/>
                <w:sz w:val="18"/>
                <w:szCs w:val="18"/>
              </w:rPr>
              <w:t>.</w:t>
            </w:r>
            <w:r>
              <w:rPr>
                <w:sz w:val="18"/>
                <w:szCs w:val="18"/>
              </w:rPr>
              <w:t>1</w:t>
            </w:r>
            <w:r>
              <w:rPr>
                <w:rFonts w:hint="eastAsia"/>
                <w:sz w:val="18"/>
                <w:szCs w:val="18"/>
              </w:rPr>
              <w:t>，9.1，9.2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96" w:type="dxa"/>
            <w:vAlign w:val="center"/>
          </w:tcPr>
          <w:p>
            <w:pPr>
              <w:adjustRightInd w:val="0"/>
              <w:snapToGrid w:val="0"/>
              <w:spacing w:line="300" w:lineRule="auto"/>
              <w:rPr>
                <w:sz w:val="18"/>
                <w:szCs w:val="18"/>
              </w:rPr>
            </w:pPr>
            <w:r>
              <w:rPr>
                <w:sz w:val="18"/>
                <w:szCs w:val="18"/>
              </w:rPr>
              <w:t>实习</w:t>
            </w:r>
          </w:p>
          <w:p>
            <w:pPr>
              <w:adjustRightInd w:val="0"/>
              <w:snapToGrid w:val="0"/>
              <w:spacing w:line="300" w:lineRule="auto"/>
              <w:rPr>
                <w:sz w:val="18"/>
                <w:szCs w:val="18"/>
              </w:rPr>
            </w:pPr>
            <w:r>
              <w:rPr>
                <w:sz w:val="18"/>
                <w:szCs w:val="18"/>
              </w:rPr>
              <w:t>文档</w:t>
            </w:r>
          </w:p>
        </w:tc>
        <w:tc>
          <w:tcPr>
            <w:tcW w:w="397" w:type="dxa"/>
            <w:vAlign w:val="center"/>
          </w:tcPr>
          <w:p>
            <w:pPr>
              <w:adjustRightInd w:val="0"/>
              <w:snapToGrid w:val="0"/>
              <w:spacing w:line="300" w:lineRule="auto"/>
              <w:jc w:val="center"/>
              <w:rPr>
                <w:sz w:val="18"/>
                <w:szCs w:val="18"/>
              </w:rPr>
            </w:pPr>
            <w:r>
              <w:rPr>
                <w:sz w:val="18"/>
                <w:szCs w:val="18"/>
              </w:rPr>
              <w:t>100</w:t>
            </w:r>
          </w:p>
        </w:tc>
        <w:tc>
          <w:tcPr>
            <w:tcW w:w="399" w:type="dxa"/>
            <w:vAlign w:val="center"/>
          </w:tcPr>
          <w:p>
            <w:pPr>
              <w:adjustRightInd w:val="0"/>
              <w:snapToGrid w:val="0"/>
              <w:spacing w:line="300" w:lineRule="auto"/>
              <w:jc w:val="center"/>
              <w:rPr>
                <w:sz w:val="18"/>
                <w:szCs w:val="18"/>
              </w:rPr>
            </w:pPr>
            <w:r>
              <w:rPr>
                <w:sz w:val="18"/>
                <w:szCs w:val="18"/>
              </w:rPr>
              <w:t>0.2</w:t>
            </w:r>
          </w:p>
        </w:tc>
        <w:tc>
          <w:tcPr>
            <w:tcW w:w="399" w:type="dxa"/>
            <w:vAlign w:val="center"/>
          </w:tcPr>
          <w:p>
            <w:pPr>
              <w:adjustRightInd w:val="0"/>
              <w:snapToGrid w:val="0"/>
              <w:spacing w:line="300" w:lineRule="auto"/>
              <w:rPr>
                <w:sz w:val="18"/>
                <w:szCs w:val="18"/>
              </w:rPr>
            </w:pPr>
            <w:r>
              <w:rPr>
                <w:sz w:val="18"/>
                <w:szCs w:val="18"/>
              </w:rPr>
              <w:t>报告和日志</w:t>
            </w:r>
          </w:p>
        </w:tc>
        <w:tc>
          <w:tcPr>
            <w:tcW w:w="5725" w:type="dxa"/>
            <w:vAlign w:val="center"/>
          </w:tcPr>
          <w:p>
            <w:pPr>
              <w:adjustRightInd w:val="0"/>
              <w:snapToGrid w:val="0"/>
              <w:spacing w:line="300" w:lineRule="auto"/>
              <w:ind w:firstLine="360" w:firstLineChars="200"/>
              <w:rPr>
                <w:sz w:val="18"/>
                <w:szCs w:val="18"/>
              </w:rPr>
            </w:pPr>
            <w:r>
              <w:rPr>
                <w:sz w:val="18"/>
                <w:szCs w:val="18"/>
              </w:rPr>
              <w:t xml:space="preserve">（1）实习日志要每天填写一篇，共 10 篇，把实习内容，实习目的和要求，实习完成情况，收获与体会。 </w:t>
            </w:r>
          </w:p>
          <w:p>
            <w:pPr>
              <w:adjustRightInd w:val="0"/>
              <w:snapToGrid w:val="0"/>
              <w:spacing w:line="300" w:lineRule="auto"/>
              <w:ind w:firstLine="360" w:firstLineChars="200"/>
              <w:rPr>
                <w:sz w:val="18"/>
                <w:szCs w:val="18"/>
              </w:rPr>
            </w:pPr>
            <w:r>
              <w:rPr>
                <w:sz w:val="18"/>
                <w:szCs w:val="18"/>
              </w:rPr>
              <w:t>（2）实习报告（总结）的内容。总结报告字数要求 3000 字左右。内容包括。①时间、地点、 描述；②实习目的及要求；③实习过程及实习内容的叙述；④收获、体会，学校教学与实际的差距，改进方向、内容与方法；⑤不足、建议、教训。</w:t>
            </w:r>
          </w:p>
        </w:tc>
        <w:tc>
          <w:tcPr>
            <w:tcW w:w="799" w:type="dxa"/>
            <w:vAlign w:val="center"/>
          </w:tcPr>
          <w:p>
            <w:pPr>
              <w:adjustRightInd w:val="0"/>
              <w:snapToGrid w:val="0"/>
              <w:spacing w:line="300" w:lineRule="auto"/>
              <w:jc w:val="center"/>
              <w:rPr>
                <w:sz w:val="18"/>
                <w:szCs w:val="18"/>
              </w:rPr>
            </w:pPr>
            <w:r>
              <w:rPr>
                <w:sz w:val="18"/>
                <w:szCs w:val="18"/>
              </w:rPr>
              <w:t>1，2</w:t>
            </w:r>
          </w:p>
        </w:tc>
        <w:tc>
          <w:tcPr>
            <w:tcW w:w="790" w:type="dxa"/>
            <w:vAlign w:val="center"/>
          </w:tcPr>
          <w:p>
            <w:pPr>
              <w:adjustRightInd w:val="0"/>
              <w:snapToGrid w:val="0"/>
              <w:spacing w:line="300" w:lineRule="auto"/>
              <w:jc w:val="center"/>
              <w:rPr>
                <w:sz w:val="18"/>
                <w:szCs w:val="18"/>
              </w:rPr>
            </w:pPr>
            <w:r>
              <w:rPr>
                <w:rFonts w:hint="eastAsia"/>
                <w:sz w:val="18"/>
                <w:szCs w:val="18"/>
              </w:rPr>
              <w:t>2.</w:t>
            </w:r>
            <w:r>
              <w:rPr>
                <w:sz w:val="18"/>
                <w:szCs w:val="18"/>
              </w:rPr>
              <w:t>3</w:t>
            </w:r>
            <w:r>
              <w:rPr>
                <w:rFonts w:hint="eastAsia"/>
                <w:sz w:val="18"/>
                <w:szCs w:val="18"/>
              </w:rPr>
              <w:t>，</w:t>
            </w:r>
            <w:r>
              <w:rPr>
                <w:sz w:val="18"/>
                <w:szCs w:val="18"/>
              </w:rPr>
              <w:t>3</w:t>
            </w:r>
            <w:r>
              <w:rPr>
                <w:rFonts w:hint="eastAsia"/>
                <w:sz w:val="18"/>
                <w:szCs w:val="18"/>
              </w:rPr>
              <w:t>.</w:t>
            </w:r>
            <w:r>
              <w:rPr>
                <w:sz w:val="18"/>
                <w:szCs w:val="18"/>
              </w:rPr>
              <w:t>1</w:t>
            </w:r>
          </w:p>
        </w:tc>
      </w:tr>
    </w:tbl>
    <w:p>
      <w:pPr>
        <w:snapToGrid w:val="0"/>
        <w:spacing w:before="159" w:beforeLines="50" w:after="159"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189" o:spt="75" type="#_x0000_t75" style="height:28.5pt;width:363pt;" o:ole="t" filled="f" o:preferrelative="t" stroked="f" coordsize="21600,21600">
            <v:path/>
            <v:fill on="f" focussize="0,0"/>
            <v:stroke on="f" joinstyle="miter"/>
            <v:imagedata r:id="rId36" o:title=""/>
            <o:lock v:ext="edit" aspectratio="t"/>
            <w10:wrap type="none"/>
            <w10:anchorlock/>
          </v:shape>
          <o:OLEObject Type="Embed" ProgID="Equation.3" ShapeID="_x0000_i1189" DrawAspect="Content" ObjectID="_1468075887" r:id="rId216">
            <o:LockedField>false</o:LockedField>
          </o:OLEObject>
        </w:object>
      </w:r>
    </w:p>
    <w:p>
      <w:pPr>
        <w:snapToGrid w:val="0"/>
        <w:spacing w:line="300" w:lineRule="auto"/>
        <w:ind w:firstLine="420" w:firstLineChars="200"/>
      </w:pPr>
      <w:r>
        <w:t>课程总目标达成情况为4个课程目标的加权得分率，其计算公式为：</w:t>
      </w:r>
    </w:p>
    <w:p>
      <w:pPr>
        <w:snapToGrid w:val="0"/>
        <w:spacing w:line="300" w:lineRule="auto"/>
        <w:jc w:val="center"/>
      </w:pPr>
      <w:r>
        <w:t xml:space="preserve"> </w:t>
      </w:r>
      <w:r>
        <w:object>
          <v:shape id="_x0000_i1190"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90" DrawAspect="Content" ObjectID="_1468075888" r:id="rId217">
            <o:LockedField>false</o:LockedField>
          </o:OLEObject>
        </w:object>
      </w:r>
    </w:p>
    <w:p>
      <w:pPr>
        <w:snapToGrid w:val="0"/>
        <w:spacing w:line="300" w:lineRule="auto"/>
      </w:pPr>
      <w: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500"/>
        <w:gridCol w:w="1587"/>
        <w:gridCol w:w="1877"/>
        <w:gridCol w:w="1859"/>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500" w:type="dxa"/>
            <w:vAlign w:val="center"/>
          </w:tcPr>
          <w:p>
            <w:pPr>
              <w:snapToGrid w:val="0"/>
              <w:spacing w:line="300" w:lineRule="auto"/>
              <w:jc w:val="center"/>
              <w:rPr>
                <w:b/>
                <w:bCs/>
                <w:sz w:val="18"/>
                <w:szCs w:val="18"/>
              </w:rPr>
            </w:pPr>
            <w:r>
              <w:rPr>
                <w:b/>
                <w:bCs/>
                <w:sz w:val="18"/>
                <w:szCs w:val="18"/>
              </w:rPr>
              <w:t>课程目标</w:t>
            </w:r>
          </w:p>
        </w:tc>
        <w:tc>
          <w:tcPr>
            <w:tcW w:w="1587" w:type="dxa"/>
            <w:vAlign w:val="center"/>
          </w:tcPr>
          <w:p>
            <w:pPr>
              <w:snapToGrid w:val="0"/>
              <w:spacing w:line="300" w:lineRule="auto"/>
              <w:jc w:val="center"/>
              <w:rPr>
                <w:sz w:val="18"/>
                <w:szCs w:val="18"/>
              </w:rPr>
            </w:pPr>
            <w:r>
              <w:rPr>
                <w:sz w:val="18"/>
                <w:szCs w:val="18"/>
              </w:rPr>
              <w:t>1</w:t>
            </w:r>
          </w:p>
        </w:tc>
        <w:tc>
          <w:tcPr>
            <w:tcW w:w="1877" w:type="dxa"/>
            <w:vAlign w:val="center"/>
          </w:tcPr>
          <w:p>
            <w:pPr>
              <w:snapToGrid w:val="0"/>
              <w:spacing w:line="300" w:lineRule="auto"/>
              <w:jc w:val="center"/>
              <w:rPr>
                <w:sz w:val="18"/>
                <w:szCs w:val="18"/>
              </w:rPr>
            </w:pPr>
            <w:r>
              <w:rPr>
                <w:sz w:val="18"/>
                <w:szCs w:val="18"/>
              </w:rPr>
              <w:t>2</w:t>
            </w:r>
          </w:p>
        </w:tc>
        <w:tc>
          <w:tcPr>
            <w:tcW w:w="1859" w:type="dxa"/>
          </w:tcPr>
          <w:p>
            <w:pPr>
              <w:spacing w:line="300" w:lineRule="auto"/>
              <w:jc w:val="center"/>
              <w:rPr>
                <w:sz w:val="18"/>
                <w:szCs w:val="18"/>
              </w:rPr>
            </w:pPr>
            <w:r>
              <w:rPr>
                <w:sz w:val="18"/>
                <w:szCs w:val="18"/>
              </w:rPr>
              <w:t>3</w:t>
            </w:r>
          </w:p>
        </w:tc>
        <w:tc>
          <w:tcPr>
            <w:tcW w:w="1858" w:type="dxa"/>
            <w:vAlign w:val="center"/>
          </w:tcPr>
          <w:p>
            <w:pPr>
              <w:snapToGrid w:val="0"/>
              <w:spacing w:line="300" w:lineRule="auto"/>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500" w:type="dxa"/>
            <w:vAlign w:val="center"/>
          </w:tcPr>
          <w:p>
            <w:pPr>
              <w:snapToGrid w:val="0"/>
              <w:spacing w:line="300" w:lineRule="auto"/>
              <w:jc w:val="center"/>
              <w:rPr>
                <w:b/>
                <w:bCs/>
                <w:sz w:val="18"/>
                <w:szCs w:val="18"/>
              </w:rPr>
            </w:pPr>
            <w:r>
              <w:rPr>
                <w:b/>
                <w:bCs/>
                <w:sz w:val="18"/>
                <w:szCs w:val="18"/>
              </w:rPr>
              <w:t>权重系数</w:t>
            </w:r>
          </w:p>
        </w:tc>
        <w:tc>
          <w:tcPr>
            <w:tcW w:w="1587" w:type="dxa"/>
            <w:vAlign w:val="center"/>
          </w:tcPr>
          <w:p>
            <w:pPr>
              <w:snapToGrid w:val="0"/>
              <w:spacing w:line="300" w:lineRule="auto"/>
              <w:jc w:val="center"/>
              <w:rPr>
                <w:sz w:val="18"/>
                <w:szCs w:val="18"/>
              </w:rPr>
            </w:pPr>
            <w:r>
              <w:rPr>
                <w:sz w:val="18"/>
                <w:szCs w:val="18"/>
              </w:rPr>
              <w:t>0.1</w:t>
            </w:r>
          </w:p>
        </w:tc>
        <w:tc>
          <w:tcPr>
            <w:tcW w:w="1877" w:type="dxa"/>
            <w:vAlign w:val="center"/>
          </w:tcPr>
          <w:p>
            <w:pPr>
              <w:snapToGrid w:val="0"/>
              <w:spacing w:line="300" w:lineRule="auto"/>
              <w:jc w:val="center"/>
              <w:rPr>
                <w:sz w:val="18"/>
                <w:szCs w:val="18"/>
              </w:rPr>
            </w:pPr>
            <w:r>
              <w:rPr>
                <w:sz w:val="18"/>
                <w:szCs w:val="18"/>
              </w:rPr>
              <w:t>0.1</w:t>
            </w:r>
          </w:p>
        </w:tc>
        <w:tc>
          <w:tcPr>
            <w:tcW w:w="1859" w:type="dxa"/>
          </w:tcPr>
          <w:p>
            <w:pPr>
              <w:spacing w:line="300" w:lineRule="auto"/>
              <w:jc w:val="center"/>
              <w:rPr>
                <w:sz w:val="18"/>
                <w:szCs w:val="18"/>
              </w:rPr>
            </w:pPr>
            <w:r>
              <w:rPr>
                <w:sz w:val="18"/>
                <w:szCs w:val="18"/>
              </w:rPr>
              <w:t>0.3</w:t>
            </w:r>
          </w:p>
        </w:tc>
        <w:tc>
          <w:tcPr>
            <w:tcW w:w="1858" w:type="dxa"/>
            <w:vAlign w:val="center"/>
          </w:tcPr>
          <w:p>
            <w:pPr>
              <w:snapToGrid w:val="0"/>
              <w:spacing w:line="300" w:lineRule="auto"/>
              <w:jc w:val="center"/>
              <w:rPr>
                <w:sz w:val="18"/>
                <w:szCs w:val="18"/>
              </w:rPr>
            </w:pPr>
            <w:r>
              <w:rPr>
                <w:sz w:val="18"/>
                <w:szCs w:val="18"/>
              </w:rPr>
              <w:t>0.5</w:t>
            </w:r>
          </w:p>
        </w:tc>
      </w:tr>
    </w:tbl>
    <w:p>
      <w:pPr>
        <w:adjustRightInd w:val="0"/>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91" o:spt="75" type="#_x0000_t75" style="height:16.5pt;width:293.25pt;" o:ole="t" filled="f" o:preferrelative="t" stroked="f" coordsize="21600,21600">
            <v:path/>
            <v:fill on="f" focussize="0,0"/>
            <v:stroke on="f" joinstyle="miter"/>
            <v:imagedata r:id="rId40" o:title=""/>
            <o:lock v:ext="edit" aspectratio="t"/>
            <w10:wrap type="none"/>
            <w10:anchorlock/>
          </v:shape>
          <o:OLEObject Type="Embed" ProgID="Equation.3" ShapeID="_x0000_i1191" DrawAspect="Content" ObjectID="_1468075889" r:id="rId218">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rPr>
          <w:szCs w:val="21"/>
        </w:rPr>
      </w:pPr>
      <w:r>
        <w:rPr>
          <w:szCs w:val="21"/>
        </w:rPr>
        <w:t>不需要指定教材。</w:t>
      </w:r>
    </w:p>
    <w:tbl>
      <w:tblPr>
        <w:tblStyle w:val="22"/>
        <w:tblpPr w:leftFromText="180" w:rightFromText="180" w:vertAnchor="text" w:horzAnchor="margin" w:tblpX="-39" w:tblpY="266"/>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1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67" w:hRule="atLeast"/>
        </w:trPr>
        <w:tc>
          <w:tcPr>
            <w:tcW w:w="8140"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9" w:hRule="atLeast"/>
        </w:trPr>
        <w:tc>
          <w:tcPr>
            <w:tcW w:w="8140"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05" w:hRule="atLeast"/>
        </w:trPr>
        <w:tc>
          <w:tcPr>
            <w:tcW w:w="8140"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rPr>
                <w:kern w:val="0"/>
                <w:sz w:val="20"/>
                <w:szCs w:val="21"/>
              </w:rPr>
            </w:pPr>
          </w:p>
        </w:tc>
      </w:tr>
    </w:tbl>
    <w:p/>
    <w:p>
      <w:pPr>
        <w:spacing w:line="360" w:lineRule="auto"/>
        <w:ind w:firstLine="440" w:firstLineChars="200"/>
        <w:rPr>
          <w:bCs/>
          <w:spacing w:val="5"/>
          <w:kern w:val="0"/>
          <w:szCs w:val="21"/>
        </w:rPr>
      </w:pPr>
    </w:p>
    <w:p>
      <w:pPr>
        <w:spacing w:line="360" w:lineRule="auto"/>
        <w:rPr>
          <w:szCs w:val="21"/>
        </w:rPr>
      </w:pPr>
    </w:p>
    <w:p>
      <w:pPr>
        <w:spacing w:line="360" w:lineRule="auto"/>
      </w:pPr>
    </w:p>
    <w:p>
      <w:pPr>
        <w:rPr>
          <w:rFonts w:ascii="黑体" w:hAnsi="黑体" w:eastAsia="黑体" w:cs="黑体"/>
          <w:kern w:val="0"/>
          <w:sz w:val="32"/>
          <w:szCs w:val="32"/>
        </w:rPr>
        <w:sectPr>
          <w:pgSz w:w="11906" w:h="16838"/>
          <w:pgMar w:top="1417" w:right="1361" w:bottom="1417" w:left="1361" w:header="851" w:footer="992" w:gutter="0"/>
          <w:cols w:space="720" w:num="1"/>
          <w:docGrid w:type="lines" w:linePitch="318" w:charSpace="0"/>
        </w:sectPr>
      </w:pPr>
    </w:p>
    <w:p>
      <w:pPr>
        <w:pStyle w:val="3"/>
        <w:jc w:val="center"/>
      </w:pPr>
      <w:bookmarkStart w:id="270" w:name="_Toc62651742"/>
      <w:bookmarkStart w:id="271" w:name="_Toc62571483"/>
      <w:bookmarkStart w:id="272" w:name="_Toc13223"/>
      <w:bookmarkStart w:id="273" w:name="_Toc9851"/>
      <w:bookmarkStart w:id="274" w:name="_Toc3658"/>
      <w:bookmarkStart w:id="275" w:name="_Toc3297"/>
      <w:r>
        <w:rPr>
          <w:rFonts w:hint="eastAsia"/>
        </w:rPr>
        <w:t>j3341702《微机原理与单片机课程实习》</w:t>
      </w:r>
      <w:bookmarkEnd w:id="270"/>
      <w:bookmarkEnd w:id="271"/>
      <w:bookmarkEnd w:id="272"/>
      <w:r>
        <w:rPr>
          <w:rFonts w:hint="eastAsia"/>
        </w:rPr>
        <w:t>实习教学大纲</w:t>
      </w:r>
      <w:bookmarkEnd w:id="273"/>
      <w:bookmarkEnd w:id="274"/>
      <w:bookmarkEnd w:id="275"/>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6" w:type="dxa"/>
            <w:vAlign w:val="center"/>
          </w:tcPr>
          <w:p>
            <w:pPr>
              <w:jc w:val="center"/>
              <w:rPr>
                <w:kern w:val="0"/>
                <w:szCs w:val="21"/>
              </w:rPr>
            </w:pPr>
            <w:r>
              <w:rPr>
                <w:kern w:val="0"/>
                <w:szCs w:val="21"/>
              </w:rPr>
              <w:t>课程编号</w:t>
            </w:r>
          </w:p>
        </w:tc>
        <w:tc>
          <w:tcPr>
            <w:tcW w:w="3143" w:type="dxa"/>
            <w:vAlign w:val="center"/>
          </w:tcPr>
          <w:p>
            <w:pPr>
              <w:jc w:val="center"/>
              <w:rPr>
                <w:kern w:val="0"/>
                <w:szCs w:val="21"/>
              </w:rPr>
            </w:pPr>
            <w:r>
              <w:rPr>
                <w:rFonts w:hint="eastAsia"/>
                <w:kern w:val="0"/>
                <w:szCs w:val="21"/>
              </w:rPr>
              <w:t>j3341702</w:t>
            </w:r>
          </w:p>
        </w:tc>
        <w:tc>
          <w:tcPr>
            <w:tcW w:w="1214" w:type="dxa"/>
            <w:vAlign w:val="center"/>
          </w:tcPr>
          <w:p>
            <w:pPr>
              <w:jc w:val="center"/>
              <w:rPr>
                <w:kern w:val="0"/>
                <w:szCs w:val="21"/>
              </w:rPr>
            </w:pPr>
            <w:r>
              <w:rPr>
                <w:kern w:val="0"/>
                <w:szCs w:val="21"/>
              </w:rPr>
              <w:t>课程名称</w:t>
            </w:r>
          </w:p>
        </w:tc>
        <w:tc>
          <w:tcPr>
            <w:tcW w:w="2978" w:type="dxa"/>
            <w:vAlign w:val="center"/>
          </w:tcPr>
          <w:p>
            <w:pPr>
              <w:jc w:val="center"/>
              <w:rPr>
                <w:kern w:val="0"/>
                <w:szCs w:val="21"/>
              </w:rPr>
            </w:pPr>
            <w:r>
              <w:rPr>
                <w:kern w:val="0"/>
                <w:szCs w:val="21"/>
              </w:rPr>
              <w:t>微机原理与单片机课程实习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6" w:type="dxa"/>
            <w:vAlign w:val="center"/>
          </w:tcPr>
          <w:p>
            <w:pPr>
              <w:jc w:val="center"/>
              <w:rPr>
                <w:kern w:val="0"/>
                <w:szCs w:val="21"/>
              </w:rPr>
            </w:pPr>
            <w:r>
              <w:rPr>
                <w:kern w:val="0"/>
                <w:szCs w:val="21"/>
              </w:rPr>
              <w:t>课程性质*</w:t>
            </w:r>
          </w:p>
        </w:tc>
        <w:tc>
          <w:tcPr>
            <w:tcW w:w="3143" w:type="dxa"/>
            <w:vAlign w:val="center"/>
          </w:tcPr>
          <w:p>
            <w:pPr>
              <w:jc w:val="center"/>
              <w:rPr>
                <w:kern w:val="0"/>
                <w:szCs w:val="21"/>
              </w:rPr>
            </w:pPr>
            <w:r>
              <w:rPr>
                <w:kern w:val="0"/>
                <w:szCs w:val="21"/>
              </w:rPr>
              <w:t>工程实践与毕业设计（论文）</w:t>
            </w:r>
          </w:p>
        </w:tc>
        <w:tc>
          <w:tcPr>
            <w:tcW w:w="1214" w:type="dxa"/>
            <w:vAlign w:val="center"/>
          </w:tcPr>
          <w:p>
            <w:pPr>
              <w:jc w:val="center"/>
              <w:rPr>
                <w:kern w:val="0"/>
                <w:szCs w:val="21"/>
              </w:rPr>
            </w:pPr>
            <w:r>
              <w:rPr>
                <w:kern w:val="0"/>
                <w:szCs w:val="21"/>
              </w:rPr>
              <w:t>英文名称</w:t>
            </w:r>
          </w:p>
        </w:tc>
        <w:tc>
          <w:tcPr>
            <w:tcW w:w="2978" w:type="dxa"/>
            <w:vAlign w:val="center"/>
          </w:tcPr>
          <w:p>
            <w:pPr>
              <w:jc w:val="center"/>
              <w:rPr>
                <w:bCs/>
                <w:kern w:val="0"/>
                <w:szCs w:val="21"/>
              </w:rPr>
            </w:pPr>
            <w:r>
              <w:rPr>
                <w:kern w:val="0"/>
                <w:szCs w:val="21"/>
              </w:rPr>
              <w:t>Course Practice of Microcomputer Principle and Single Chip Microcomputer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6" w:type="dxa"/>
            <w:vAlign w:val="center"/>
          </w:tcPr>
          <w:p>
            <w:pPr>
              <w:jc w:val="center"/>
              <w:rPr>
                <w:kern w:val="0"/>
                <w:szCs w:val="21"/>
              </w:rPr>
            </w:pPr>
            <w:r>
              <w:rPr>
                <w:kern w:val="0"/>
                <w:szCs w:val="21"/>
              </w:rPr>
              <w:t>学分学时</w:t>
            </w:r>
          </w:p>
        </w:tc>
        <w:tc>
          <w:tcPr>
            <w:tcW w:w="3143" w:type="dxa"/>
            <w:vAlign w:val="center"/>
          </w:tcPr>
          <w:p>
            <w:pPr>
              <w:jc w:val="center"/>
              <w:rPr>
                <w:kern w:val="0"/>
                <w:szCs w:val="21"/>
              </w:rPr>
            </w:pPr>
            <w:r>
              <w:rPr>
                <w:kern w:val="0"/>
                <w:szCs w:val="21"/>
              </w:rPr>
              <w:t>1</w:t>
            </w:r>
            <w:r>
              <w:rPr>
                <w:bCs/>
                <w:kern w:val="0"/>
                <w:szCs w:val="21"/>
              </w:rPr>
              <w:t xml:space="preserve"> </w:t>
            </w:r>
            <w:r>
              <w:rPr>
                <w:kern w:val="0"/>
                <w:szCs w:val="21"/>
              </w:rPr>
              <w:t>: 1周</w:t>
            </w:r>
          </w:p>
        </w:tc>
        <w:tc>
          <w:tcPr>
            <w:tcW w:w="1214" w:type="dxa"/>
            <w:vAlign w:val="center"/>
          </w:tcPr>
          <w:p>
            <w:pPr>
              <w:jc w:val="center"/>
              <w:rPr>
                <w:kern w:val="0"/>
                <w:szCs w:val="21"/>
                <w:highlight w:val="yellow"/>
              </w:rPr>
            </w:pPr>
            <w:r>
              <w:rPr>
                <w:kern w:val="0"/>
                <w:szCs w:val="21"/>
              </w:rPr>
              <w:t>任课教师</w:t>
            </w:r>
          </w:p>
        </w:tc>
        <w:tc>
          <w:tcPr>
            <w:tcW w:w="2978" w:type="dxa"/>
            <w:vAlign w:val="center"/>
          </w:tcPr>
          <w:p>
            <w:pPr>
              <w:jc w:val="center"/>
              <w:rPr>
                <w:kern w:val="0"/>
                <w:szCs w:val="21"/>
                <w:highlight w:val="yellow"/>
              </w:rPr>
            </w:pPr>
            <w:r>
              <w:rPr>
                <w:kern w:val="0"/>
                <w:szCs w:val="21"/>
              </w:rPr>
              <w:t>李小立，欧触灵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6" w:type="dxa"/>
            <w:vAlign w:val="center"/>
          </w:tcPr>
          <w:p>
            <w:pPr>
              <w:jc w:val="center"/>
              <w:rPr>
                <w:bCs/>
                <w:kern w:val="0"/>
                <w:szCs w:val="21"/>
              </w:rPr>
            </w:pPr>
            <w:r>
              <w:rPr>
                <w:bCs/>
                <w:kern w:val="0"/>
                <w:szCs w:val="21"/>
              </w:rPr>
              <w:t>企业专家</w:t>
            </w:r>
          </w:p>
        </w:tc>
        <w:tc>
          <w:tcPr>
            <w:tcW w:w="3143" w:type="dxa"/>
            <w:vAlign w:val="center"/>
          </w:tcPr>
          <w:p>
            <w:pPr>
              <w:widowControl/>
              <w:jc w:val="center"/>
              <w:rPr>
                <w:kern w:val="0"/>
                <w:szCs w:val="21"/>
              </w:rPr>
            </w:pPr>
            <w:r>
              <w:rPr>
                <w:kern w:val="0"/>
                <w:szCs w:val="21"/>
              </w:rPr>
              <w:t>曾耿滨</w:t>
            </w:r>
          </w:p>
        </w:tc>
        <w:tc>
          <w:tcPr>
            <w:tcW w:w="1214" w:type="dxa"/>
            <w:vAlign w:val="center"/>
          </w:tcPr>
          <w:p>
            <w:pPr>
              <w:jc w:val="center"/>
              <w:rPr>
                <w:bCs/>
                <w:kern w:val="0"/>
                <w:szCs w:val="21"/>
              </w:rPr>
            </w:pPr>
            <w:r>
              <w:rPr>
                <w:bCs/>
                <w:kern w:val="0"/>
                <w:szCs w:val="21"/>
              </w:rPr>
              <w:t>行业专家</w:t>
            </w:r>
          </w:p>
        </w:tc>
        <w:tc>
          <w:tcPr>
            <w:tcW w:w="2978"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6" w:type="dxa"/>
            <w:vAlign w:val="center"/>
          </w:tcPr>
          <w:p>
            <w:pPr>
              <w:widowControl/>
              <w:jc w:val="center"/>
              <w:rPr>
                <w:bCs/>
                <w:kern w:val="0"/>
                <w:szCs w:val="21"/>
              </w:rPr>
            </w:pPr>
            <w:r>
              <w:rPr>
                <w:bCs/>
                <w:kern w:val="0"/>
                <w:szCs w:val="21"/>
              </w:rPr>
              <w:t>执笔教师</w:t>
            </w:r>
          </w:p>
        </w:tc>
        <w:tc>
          <w:tcPr>
            <w:tcW w:w="3143" w:type="dxa"/>
            <w:vAlign w:val="center"/>
          </w:tcPr>
          <w:p>
            <w:pPr>
              <w:widowControl/>
              <w:jc w:val="center"/>
              <w:rPr>
                <w:kern w:val="0"/>
                <w:szCs w:val="21"/>
              </w:rPr>
            </w:pPr>
            <w:r>
              <w:rPr>
                <w:kern w:val="0"/>
                <w:szCs w:val="21"/>
              </w:rPr>
              <w:t>李小立</w:t>
            </w:r>
          </w:p>
        </w:tc>
        <w:tc>
          <w:tcPr>
            <w:tcW w:w="1214" w:type="dxa"/>
            <w:vAlign w:val="center"/>
          </w:tcPr>
          <w:p>
            <w:pPr>
              <w:widowControl/>
              <w:jc w:val="center"/>
              <w:rPr>
                <w:bCs/>
                <w:kern w:val="0"/>
                <w:szCs w:val="21"/>
              </w:rPr>
            </w:pPr>
            <w:r>
              <w:rPr>
                <w:bCs/>
                <w:kern w:val="0"/>
                <w:szCs w:val="21"/>
              </w:rPr>
              <w:t>责任教授</w:t>
            </w:r>
          </w:p>
        </w:tc>
        <w:tc>
          <w:tcPr>
            <w:tcW w:w="2978" w:type="dxa"/>
            <w:vAlign w:val="center"/>
          </w:tcPr>
          <w:p>
            <w:pPr>
              <w:widowControl/>
              <w:jc w:val="center"/>
              <w:rPr>
                <w:kern w:val="0"/>
                <w:szCs w:val="21"/>
              </w:rPr>
            </w:pPr>
            <w:r>
              <w:rPr>
                <w:rFonts w:hint="eastAsia"/>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6" w:type="dxa"/>
            <w:vAlign w:val="center"/>
          </w:tcPr>
          <w:p>
            <w:pPr>
              <w:widowControl/>
              <w:jc w:val="center"/>
              <w:rPr>
                <w:bCs/>
                <w:kern w:val="0"/>
                <w:szCs w:val="21"/>
              </w:rPr>
            </w:pPr>
            <w:r>
              <w:rPr>
                <w:bCs/>
                <w:kern w:val="0"/>
                <w:szCs w:val="21"/>
              </w:rPr>
              <w:t>适用专业</w:t>
            </w:r>
          </w:p>
        </w:tc>
        <w:tc>
          <w:tcPr>
            <w:tcW w:w="3143" w:type="dxa"/>
            <w:vAlign w:val="center"/>
          </w:tcPr>
          <w:p>
            <w:pPr>
              <w:widowControl/>
              <w:jc w:val="center"/>
              <w:rPr>
                <w:kern w:val="0"/>
                <w:szCs w:val="21"/>
              </w:rPr>
            </w:pPr>
            <w:r>
              <w:rPr>
                <w:kern w:val="0"/>
                <w:szCs w:val="21"/>
              </w:rPr>
              <w:t>电子信息工程</w:t>
            </w:r>
          </w:p>
        </w:tc>
        <w:tc>
          <w:tcPr>
            <w:tcW w:w="1214" w:type="dxa"/>
            <w:vAlign w:val="center"/>
          </w:tcPr>
          <w:p>
            <w:pPr>
              <w:widowControl/>
              <w:jc w:val="center"/>
              <w:rPr>
                <w:bCs/>
                <w:kern w:val="0"/>
                <w:szCs w:val="21"/>
              </w:rPr>
            </w:pPr>
            <w:r>
              <w:rPr>
                <w:bCs/>
                <w:kern w:val="0"/>
                <w:szCs w:val="21"/>
              </w:rPr>
              <w:t>适用对象</w:t>
            </w:r>
          </w:p>
        </w:tc>
        <w:tc>
          <w:tcPr>
            <w:tcW w:w="2978" w:type="dxa"/>
            <w:vAlign w:val="center"/>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6" w:type="dxa"/>
            <w:vAlign w:val="center"/>
          </w:tcPr>
          <w:p>
            <w:pPr>
              <w:jc w:val="center"/>
              <w:rPr>
                <w:b/>
                <w:kern w:val="0"/>
                <w:szCs w:val="21"/>
              </w:rPr>
            </w:pPr>
            <w:r>
              <w:rPr>
                <w:kern w:val="0"/>
                <w:szCs w:val="21"/>
              </w:rPr>
              <w:t>先修课程</w:t>
            </w:r>
          </w:p>
        </w:tc>
        <w:tc>
          <w:tcPr>
            <w:tcW w:w="3143" w:type="dxa"/>
            <w:vAlign w:val="center"/>
          </w:tcPr>
          <w:p>
            <w:pPr>
              <w:widowControl/>
              <w:jc w:val="center"/>
              <w:rPr>
                <w:bCs/>
                <w:kern w:val="0"/>
                <w:szCs w:val="21"/>
              </w:rPr>
            </w:pPr>
            <w:r>
              <w:rPr>
                <w:kern w:val="0"/>
                <w:szCs w:val="21"/>
              </w:rPr>
              <w:t>微机原理与接口技术、单片机原理及应用等课程</w:t>
            </w:r>
          </w:p>
        </w:tc>
        <w:tc>
          <w:tcPr>
            <w:tcW w:w="1214" w:type="dxa"/>
            <w:vAlign w:val="center"/>
          </w:tcPr>
          <w:p>
            <w:pPr>
              <w:snapToGrid w:val="0"/>
              <w:spacing w:line="300" w:lineRule="auto"/>
              <w:jc w:val="center"/>
              <w:rPr>
                <w:b/>
                <w:kern w:val="0"/>
                <w:szCs w:val="21"/>
              </w:rPr>
            </w:pPr>
            <w:r>
              <w:rPr>
                <w:kern w:val="0"/>
                <w:szCs w:val="21"/>
              </w:rPr>
              <w:t>同修课程</w:t>
            </w:r>
          </w:p>
        </w:tc>
        <w:tc>
          <w:tcPr>
            <w:tcW w:w="2978" w:type="dxa"/>
            <w:vAlign w:val="center"/>
          </w:tcPr>
          <w:p>
            <w:pPr>
              <w:widowControl/>
              <w:jc w:val="center"/>
              <w:rPr>
                <w:kern w:val="0"/>
                <w:szCs w:val="21"/>
              </w:rPr>
            </w:pPr>
            <w:r>
              <w:rPr>
                <w:kern w:val="0"/>
                <w:szCs w:val="21"/>
              </w:rPr>
              <w:t>电子信息类专业课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6" w:type="dxa"/>
            <w:vAlign w:val="center"/>
          </w:tcPr>
          <w:p>
            <w:pPr>
              <w:jc w:val="center"/>
              <w:rPr>
                <w:kern w:val="0"/>
                <w:szCs w:val="21"/>
              </w:rPr>
            </w:pPr>
            <w:r>
              <w:rPr>
                <w:kern w:val="0"/>
                <w:szCs w:val="21"/>
              </w:rPr>
              <w:t>排斥课程</w:t>
            </w:r>
          </w:p>
        </w:tc>
        <w:tc>
          <w:tcPr>
            <w:tcW w:w="3143" w:type="dxa"/>
            <w:vAlign w:val="center"/>
          </w:tcPr>
          <w:p>
            <w:pPr>
              <w:widowControl/>
              <w:jc w:val="center"/>
              <w:rPr>
                <w:kern w:val="0"/>
                <w:szCs w:val="21"/>
              </w:rPr>
            </w:pPr>
            <w:r>
              <w:rPr>
                <w:kern w:val="0"/>
                <w:szCs w:val="21"/>
              </w:rPr>
              <w:t>无</w:t>
            </w:r>
          </w:p>
        </w:tc>
        <w:tc>
          <w:tcPr>
            <w:tcW w:w="1214" w:type="dxa"/>
            <w:vAlign w:val="center"/>
          </w:tcPr>
          <w:p>
            <w:pPr>
              <w:snapToGrid w:val="0"/>
              <w:spacing w:line="300" w:lineRule="auto"/>
              <w:jc w:val="center"/>
              <w:rPr>
                <w:kern w:val="0"/>
                <w:szCs w:val="21"/>
              </w:rPr>
            </w:pPr>
            <w:r>
              <w:rPr>
                <w:kern w:val="0"/>
                <w:szCs w:val="21"/>
              </w:rPr>
              <w:t>定稿日期</w:t>
            </w:r>
          </w:p>
        </w:tc>
        <w:tc>
          <w:tcPr>
            <w:tcW w:w="2978"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微机原理与单片机课程实习是为配合“微机原机与接口技术”和“单片机原理与技术”理论教学和实验教学的综合实践环节，它承前启后在加强学生对所学基础知识的理解与巩固的基础上，进一步培养学生分析问题、解决问题的综合能力和工程实践的基础训练，以及应用计算机基础知识进行应用系统硬件设计、软件设计和系统调试和系统实现方案的创新思维。同时，帮助学生将相关课程的专业课程内容融会贯通，从工程设计的要求和标准综合应用，尽快的翻越从理论到工程实际的高山。</w:t>
      </w:r>
    </w:p>
    <w:p>
      <w:pPr>
        <w:snapToGrid w:val="0"/>
        <w:spacing w:line="300" w:lineRule="auto"/>
        <w:ind w:firstLine="420" w:firstLineChars="200"/>
        <w:rPr>
          <w:szCs w:val="21"/>
        </w:rPr>
      </w:pPr>
      <w:r>
        <w:rPr>
          <w:szCs w:val="21"/>
        </w:rPr>
        <w:t>本课程实习以微机原理与接口技术实验箱或单片机仿真实验箱等硬件及软件系统，完成有一定功能特性的较完整的计算机应用系统，并提交相应的设计文档，属于必修课。</w:t>
      </w:r>
    </w:p>
    <w:p>
      <w:pPr>
        <w:snapToGrid w:val="0"/>
        <w:spacing w:before="156" w:beforeLines="50" w:after="156" w:afterLines="50" w:line="300" w:lineRule="auto"/>
        <w:rPr>
          <w:b/>
          <w:sz w:val="24"/>
        </w:rPr>
      </w:pPr>
      <w:r>
        <w:rPr>
          <w:b/>
          <w:sz w:val="24"/>
        </w:rPr>
        <w:t>二、课程教学目标</w:t>
      </w:r>
    </w:p>
    <w:p>
      <w:pPr>
        <w:widowControl/>
        <w:snapToGrid w:val="0"/>
        <w:spacing w:line="300" w:lineRule="auto"/>
        <w:jc w:val="left"/>
        <w:rPr>
          <w:kern w:val="0"/>
          <w:szCs w:val="21"/>
        </w:rPr>
      </w:pPr>
      <w:r>
        <w:rPr>
          <w:kern w:val="0"/>
          <w:szCs w:val="21"/>
        </w:rPr>
        <w:t>课程教学目标如下：</w:t>
      </w:r>
    </w:p>
    <w:p>
      <w:pPr>
        <w:widowControl/>
        <w:snapToGrid w:val="0"/>
        <w:spacing w:line="300" w:lineRule="auto"/>
        <w:ind w:firstLine="420" w:firstLineChars="200"/>
        <w:jc w:val="left"/>
        <w:rPr>
          <w:kern w:val="0"/>
          <w:szCs w:val="21"/>
        </w:rPr>
      </w:pPr>
      <w:r>
        <w:rPr>
          <w:rFonts w:hint="eastAsia"/>
          <w:kern w:val="0"/>
          <w:szCs w:val="21"/>
        </w:rPr>
        <w:t>1</w:t>
      </w:r>
      <w:r>
        <w:rPr>
          <w:kern w:val="0"/>
          <w:szCs w:val="21"/>
        </w:rPr>
        <w:t>．掌握微型计算机或单片机应用系统设计/开发方案的选择原则</w:t>
      </w:r>
      <w:r>
        <w:rPr>
          <w:rFonts w:hint="eastAsia"/>
          <w:kern w:val="0"/>
          <w:szCs w:val="21"/>
        </w:rPr>
        <w:t>，</w:t>
      </w:r>
      <w:r>
        <w:rPr>
          <w:kern w:val="0"/>
          <w:szCs w:val="21"/>
        </w:rPr>
        <w:t>以及常用硬件、软件系统设计开发环境的使用；[3</w:t>
      </w:r>
      <w:r>
        <w:rPr>
          <w:rFonts w:hint="eastAsia"/>
          <w:kern w:val="0"/>
          <w:szCs w:val="21"/>
        </w:rPr>
        <w:t>.</w:t>
      </w:r>
      <w:r>
        <w:rPr>
          <w:kern w:val="0"/>
          <w:szCs w:val="21"/>
        </w:rPr>
        <w:t>1]</w:t>
      </w:r>
    </w:p>
    <w:p>
      <w:pPr>
        <w:widowControl/>
        <w:snapToGrid w:val="0"/>
        <w:spacing w:line="300" w:lineRule="auto"/>
        <w:ind w:firstLine="420" w:firstLineChars="200"/>
        <w:jc w:val="left"/>
        <w:rPr>
          <w:kern w:val="0"/>
          <w:szCs w:val="21"/>
        </w:rPr>
      </w:pPr>
      <w:r>
        <w:rPr>
          <w:rFonts w:hint="eastAsia"/>
          <w:kern w:val="0"/>
          <w:szCs w:val="21"/>
        </w:rPr>
        <w:t>2</w:t>
      </w:r>
      <w:r>
        <w:rPr>
          <w:kern w:val="0"/>
          <w:szCs w:val="21"/>
        </w:rPr>
        <w:t>．个人与团队：具有一定的组织管理能力、表达能力和人际交往能力以及在团队中分担任务并承担责任；[9</w:t>
      </w:r>
      <w:r>
        <w:rPr>
          <w:rFonts w:hint="eastAsia"/>
          <w:kern w:val="0"/>
          <w:szCs w:val="21"/>
        </w:rPr>
        <w:t>.</w:t>
      </w:r>
      <w:r>
        <w:rPr>
          <w:kern w:val="0"/>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143"/>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93" w:type="dxa"/>
            <w:vAlign w:val="center"/>
          </w:tcPr>
          <w:p>
            <w:pPr>
              <w:snapToGrid w:val="0"/>
              <w:spacing w:line="300" w:lineRule="auto"/>
              <w:rPr>
                <w:b/>
                <w:bCs/>
                <w:sz w:val="18"/>
                <w:szCs w:val="18"/>
              </w:rPr>
            </w:pPr>
            <w:r>
              <w:rPr>
                <w:b/>
                <w:bCs/>
                <w:sz w:val="18"/>
                <w:szCs w:val="18"/>
              </w:rPr>
              <w:t>毕业要求</w:t>
            </w:r>
          </w:p>
        </w:tc>
        <w:tc>
          <w:tcPr>
            <w:tcW w:w="6143"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6"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Align w:val="center"/>
          </w:tcPr>
          <w:p>
            <w:pPr>
              <w:snapToGrid w:val="0"/>
              <w:spacing w:line="300" w:lineRule="auto"/>
              <w:rPr>
                <w:sz w:val="18"/>
                <w:szCs w:val="18"/>
              </w:rPr>
            </w:pPr>
            <w:r>
              <w:rPr>
                <w:sz w:val="18"/>
                <w:szCs w:val="18"/>
              </w:rPr>
              <w:t>3</w:t>
            </w:r>
            <w:r>
              <w:rPr>
                <w:rFonts w:hint="eastAsia"/>
                <w:sz w:val="18"/>
                <w:szCs w:val="18"/>
              </w:rPr>
              <w:t>.</w:t>
            </w:r>
            <w:r>
              <w:rPr>
                <w:sz w:val="18"/>
                <w:szCs w:val="18"/>
              </w:rPr>
              <w:t>设计/开发解决方案</w:t>
            </w:r>
          </w:p>
        </w:tc>
        <w:tc>
          <w:tcPr>
            <w:tcW w:w="6143" w:type="dxa"/>
          </w:tcPr>
          <w:p>
            <w:pPr>
              <w:snapToGrid w:val="0"/>
              <w:spacing w:line="300" w:lineRule="auto"/>
              <w:rPr>
                <w:sz w:val="18"/>
                <w:szCs w:val="18"/>
              </w:rPr>
            </w:pPr>
            <w:r>
              <w:rPr>
                <w:sz w:val="18"/>
                <w:szCs w:val="18"/>
              </w:rPr>
              <w:t>3</w:t>
            </w:r>
            <w:r>
              <w:rPr>
                <w:rFonts w:hint="eastAsia"/>
                <w:sz w:val="18"/>
                <w:szCs w:val="18"/>
              </w:rPr>
              <w:t>.</w:t>
            </w:r>
            <w:r>
              <w:rPr>
                <w:sz w:val="18"/>
                <w:szCs w:val="18"/>
              </w:rPr>
              <w:t>1能够利用专业知识，针对给定需求，设计出满足要求的系统总体方案与系统拓扑图、单元子系统（或单元电路）、软硬件模块或工艺。</w:t>
            </w:r>
          </w:p>
        </w:tc>
        <w:tc>
          <w:tcPr>
            <w:tcW w:w="689" w:type="dxa"/>
            <w:vAlign w:val="center"/>
          </w:tcPr>
          <w:p>
            <w:pPr>
              <w:snapToGrid w:val="0"/>
              <w:spacing w:line="300" w:lineRule="auto"/>
              <w:jc w:val="center"/>
              <w:rPr>
                <w:sz w:val="18"/>
                <w:szCs w:val="18"/>
              </w:rPr>
            </w:pPr>
            <w:r>
              <w:rPr>
                <w:rFonts w:hint="eastAsia"/>
                <w:sz w:val="18"/>
                <w:szCs w:val="18"/>
              </w:rPr>
              <w:t>1</w:t>
            </w:r>
          </w:p>
        </w:tc>
        <w:tc>
          <w:tcPr>
            <w:tcW w:w="656" w:type="dxa"/>
            <w:vAlign w:val="center"/>
          </w:tcPr>
          <w:p>
            <w:pPr>
              <w:widowControl/>
              <w:snapToGrid w:val="0"/>
              <w:spacing w:line="300" w:lineRule="auto"/>
              <w:jc w:val="left"/>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93" w:type="dxa"/>
            <w:vAlign w:val="center"/>
          </w:tcPr>
          <w:p>
            <w:pPr>
              <w:snapToGrid w:val="0"/>
              <w:spacing w:line="300" w:lineRule="auto"/>
              <w:rPr>
                <w:sz w:val="18"/>
                <w:szCs w:val="18"/>
              </w:rPr>
            </w:pPr>
            <w:r>
              <w:rPr>
                <w:sz w:val="18"/>
                <w:szCs w:val="18"/>
              </w:rPr>
              <w:t>9．个人与团队</w:t>
            </w:r>
          </w:p>
        </w:tc>
        <w:tc>
          <w:tcPr>
            <w:tcW w:w="6143" w:type="dxa"/>
            <w:vAlign w:val="center"/>
          </w:tcPr>
          <w:p>
            <w:pPr>
              <w:snapToGrid w:val="0"/>
              <w:spacing w:line="300" w:lineRule="auto"/>
              <w:rPr>
                <w:sz w:val="18"/>
                <w:szCs w:val="18"/>
              </w:rPr>
            </w:pPr>
            <w:r>
              <w:rPr>
                <w:sz w:val="18"/>
                <w:szCs w:val="18"/>
              </w:rPr>
              <w:t>9</w:t>
            </w:r>
            <w:r>
              <w:rPr>
                <w:rFonts w:hint="eastAsia"/>
                <w:sz w:val="18"/>
                <w:szCs w:val="18"/>
              </w:rPr>
              <w:t>.</w:t>
            </w:r>
            <w:r>
              <w:rPr>
                <w:sz w:val="18"/>
                <w:szCs w:val="18"/>
              </w:rPr>
              <w:t>1能够在多学科背景下的团队中分担任务，并承担责任。</w:t>
            </w:r>
          </w:p>
        </w:tc>
        <w:tc>
          <w:tcPr>
            <w:tcW w:w="689" w:type="dxa"/>
            <w:vAlign w:val="center"/>
          </w:tcPr>
          <w:p>
            <w:pPr>
              <w:snapToGrid w:val="0"/>
              <w:spacing w:line="300" w:lineRule="auto"/>
              <w:jc w:val="center"/>
              <w:rPr>
                <w:sz w:val="18"/>
                <w:szCs w:val="18"/>
              </w:rPr>
            </w:pPr>
            <w:r>
              <w:rPr>
                <w:rFonts w:hint="eastAsia"/>
                <w:sz w:val="18"/>
                <w:szCs w:val="18"/>
              </w:rPr>
              <w:t>2</w:t>
            </w:r>
          </w:p>
        </w:tc>
        <w:tc>
          <w:tcPr>
            <w:tcW w:w="656" w:type="dxa"/>
            <w:vAlign w:val="center"/>
          </w:tcPr>
          <w:p>
            <w:pPr>
              <w:snapToGrid w:val="0"/>
              <w:spacing w:line="300" w:lineRule="auto"/>
              <w:rPr>
                <w:sz w:val="18"/>
                <w:szCs w:val="18"/>
              </w:rPr>
            </w:pPr>
            <w:r>
              <w:rPr>
                <w:sz w:val="18"/>
                <w:szCs w:val="18"/>
              </w:rPr>
              <w:t>0.7</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gridCol w:w="305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0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305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91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0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sz w:val="18"/>
                <w:szCs w:val="18"/>
                <w:shd w:val="clear" w:color="auto" w:fill="FEFEFF"/>
              </w:rPr>
              <w:t>1</w:t>
            </w:r>
            <w:r>
              <w:rPr>
                <w:sz w:val="18"/>
                <w:szCs w:val="18"/>
                <w:shd w:val="clear" w:color="auto" w:fill="FEFEFF"/>
              </w:rPr>
              <w:t>．</w:t>
            </w:r>
            <w:r>
              <w:rPr>
                <w:sz w:val="18"/>
                <w:szCs w:val="18"/>
              </w:rPr>
              <w:t>掌握微型计算机或单片机应用系统设计/开发方案的选择原则</w:t>
            </w:r>
            <w:r>
              <w:rPr>
                <w:rFonts w:hint="eastAsia"/>
                <w:sz w:val="18"/>
                <w:szCs w:val="18"/>
              </w:rPr>
              <w:t>，以及常用硬件、软件系统设计开发环境的使用</w:t>
            </w:r>
            <w:r>
              <w:rPr>
                <w:sz w:val="18"/>
                <w:szCs w:val="18"/>
              </w:rPr>
              <w:t>；</w:t>
            </w:r>
          </w:p>
        </w:tc>
        <w:tc>
          <w:tcPr>
            <w:tcW w:w="3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小组讨论、设计方案论证、技术仿真等达成。</w:t>
            </w:r>
          </w:p>
        </w:tc>
        <w:tc>
          <w:tcPr>
            <w:tcW w:w="19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设计方案论证报告、仿真结果等原始材料考评。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0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rFonts w:hint="eastAsia"/>
                <w:sz w:val="18"/>
                <w:szCs w:val="18"/>
                <w:shd w:val="clear" w:color="auto" w:fill="FEFEFF"/>
              </w:rPr>
              <w:t>2</w:t>
            </w:r>
            <w:r>
              <w:rPr>
                <w:sz w:val="18"/>
                <w:szCs w:val="18"/>
              </w:rPr>
              <w:t>．个人与团队：具有一定的组织管理能力、表达能力和人际交往能力以及在团队中分担任务并承担责任；</w:t>
            </w:r>
          </w:p>
        </w:tc>
        <w:tc>
          <w:tcPr>
            <w:tcW w:w="3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小组讨论、分工协作</w:t>
            </w:r>
            <w:r>
              <w:rPr>
                <w:rFonts w:hint="eastAsia"/>
                <w:kern w:val="0"/>
                <w:sz w:val="18"/>
                <w:szCs w:val="18"/>
              </w:rPr>
              <w:t>（小组成员自行分配任务）</w:t>
            </w:r>
            <w:r>
              <w:rPr>
                <w:sz w:val="18"/>
                <w:szCs w:val="18"/>
                <w:shd w:val="clear" w:color="auto" w:fill="FEFEFF"/>
              </w:rPr>
              <w:t>、小组管理、设计调试任务管理、研究项目管理。</w:t>
            </w:r>
          </w:p>
        </w:tc>
        <w:tc>
          <w:tcPr>
            <w:tcW w:w="19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实习日志、实习报告</w:t>
            </w:r>
            <w:r>
              <w:rPr>
                <w:rFonts w:hint="eastAsia"/>
                <w:bCs/>
                <w:sz w:val="18"/>
                <w:szCs w:val="18"/>
              </w:rPr>
              <w:t>、团队协作</w:t>
            </w:r>
            <w:r>
              <w:rPr>
                <w:bCs/>
                <w:sz w:val="18"/>
                <w:szCs w:val="18"/>
              </w:rPr>
              <w:t>及现场答辩等原始资料考查。</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firstLineChars="200"/>
        <w:rPr>
          <w:szCs w:val="21"/>
        </w:rPr>
      </w:pPr>
      <w:r>
        <w:rPr>
          <w:szCs w:val="21"/>
        </w:rPr>
        <w:t>该课程实习内容覆盖较宽，教学要求应该结合相应课程的综合性设计为主进行。考虑到时间及安排的合理性等因素，结合实验室的具体情况宜由学生自由组合成小组进行，一般</w:t>
      </w:r>
      <w:r>
        <w:rPr>
          <w:rFonts w:hint="eastAsia"/>
          <w:szCs w:val="21"/>
        </w:rPr>
        <w:t>2</w:t>
      </w:r>
      <w:r>
        <w:rPr>
          <w:szCs w:val="21"/>
        </w:rPr>
        <w:t>~3人为一组较为适宜。具体安排见表3。</w:t>
      </w:r>
    </w:p>
    <w:p>
      <w:pPr>
        <w:snapToGrid w:val="0"/>
        <w:spacing w:before="156" w:beforeLines="50" w:line="300" w:lineRule="auto"/>
        <w:jc w:val="center"/>
        <w:rPr>
          <w:sz w:val="18"/>
          <w:szCs w:val="18"/>
        </w:rPr>
      </w:pPr>
      <w:r>
        <w:rPr>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1335"/>
        <w:gridCol w:w="6678"/>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88" w:type="dxa"/>
            <w:tcMar>
              <w:left w:w="57" w:type="dxa"/>
              <w:right w:w="57" w:type="dxa"/>
            </w:tcMar>
            <w:vAlign w:val="center"/>
          </w:tcPr>
          <w:p>
            <w:pPr>
              <w:snapToGrid w:val="0"/>
              <w:spacing w:line="300" w:lineRule="auto"/>
              <w:rPr>
                <w:b/>
                <w:bCs/>
                <w:sz w:val="18"/>
                <w:szCs w:val="18"/>
              </w:rPr>
            </w:pPr>
            <w:r>
              <w:rPr>
                <w:b/>
                <w:bCs/>
                <w:sz w:val="18"/>
                <w:szCs w:val="18"/>
              </w:rPr>
              <w:t>序号</w:t>
            </w:r>
          </w:p>
        </w:tc>
        <w:tc>
          <w:tcPr>
            <w:tcW w:w="1335" w:type="dxa"/>
            <w:vAlign w:val="center"/>
          </w:tcPr>
          <w:p>
            <w:pPr>
              <w:snapToGrid w:val="0"/>
              <w:spacing w:line="300" w:lineRule="auto"/>
              <w:jc w:val="center"/>
              <w:rPr>
                <w:b/>
                <w:bCs/>
                <w:sz w:val="18"/>
                <w:szCs w:val="18"/>
              </w:rPr>
            </w:pPr>
            <w:r>
              <w:rPr>
                <w:b/>
                <w:bCs/>
                <w:sz w:val="18"/>
                <w:szCs w:val="18"/>
              </w:rPr>
              <w:t>教学内容与课程教学目标</w:t>
            </w:r>
          </w:p>
        </w:tc>
        <w:tc>
          <w:tcPr>
            <w:tcW w:w="6678" w:type="dxa"/>
            <w:vAlign w:val="center"/>
          </w:tcPr>
          <w:p>
            <w:pPr>
              <w:snapToGrid w:val="0"/>
              <w:spacing w:line="300" w:lineRule="auto"/>
              <w:jc w:val="center"/>
              <w:rPr>
                <w:b/>
                <w:bCs/>
                <w:sz w:val="18"/>
                <w:szCs w:val="18"/>
              </w:rPr>
            </w:pPr>
            <w:r>
              <w:rPr>
                <w:b/>
                <w:bCs/>
                <w:sz w:val="18"/>
                <w:szCs w:val="18"/>
              </w:rPr>
              <w:t>教与学的要求</w:t>
            </w:r>
          </w:p>
        </w:tc>
        <w:tc>
          <w:tcPr>
            <w:tcW w:w="443" w:type="dxa"/>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spacing w:line="300" w:lineRule="auto"/>
              <w:jc w:val="center"/>
              <w:rPr>
                <w:sz w:val="18"/>
                <w:szCs w:val="18"/>
              </w:rPr>
            </w:pPr>
            <w:r>
              <w:rPr>
                <w:sz w:val="18"/>
                <w:szCs w:val="18"/>
              </w:rPr>
              <w:t>1</w:t>
            </w:r>
          </w:p>
        </w:tc>
        <w:tc>
          <w:tcPr>
            <w:tcW w:w="1335" w:type="dxa"/>
            <w:vAlign w:val="center"/>
          </w:tcPr>
          <w:p>
            <w:pPr>
              <w:widowControl/>
              <w:adjustRightInd w:val="0"/>
              <w:snapToGrid w:val="0"/>
              <w:spacing w:line="300" w:lineRule="auto"/>
              <w:jc w:val="left"/>
              <w:rPr>
                <w:bCs/>
                <w:kern w:val="0"/>
                <w:sz w:val="18"/>
                <w:szCs w:val="18"/>
              </w:rPr>
            </w:pPr>
            <w:r>
              <w:rPr>
                <w:bCs/>
                <w:kern w:val="0"/>
                <w:sz w:val="18"/>
                <w:szCs w:val="18"/>
              </w:rPr>
              <w:t>一、实习方式：集中实习</w:t>
            </w:r>
          </w:p>
          <w:p>
            <w:pPr>
              <w:widowControl/>
              <w:adjustRightInd w:val="0"/>
              <w:snapToGrid w:val="0"/>
              <w:spacing w:line="300" w:lineRule="auto"/>
              <w:jc w:val="left"/>
              <w:rPr>
                <w:bCs/>
                <w:kern w:val="0"/>
                <w:sz w:val="18"/>
                <w:szCs w:val="18"/>
              </w:rPr>
            </w:pPr>
            <w:r>
              <w:rPr>
                <w:bCs/>
                <w:kern w:val="0"/>
                <w:sz w:val="18"/>
                <w:szCs w:val="18"/>
              </w:rPr>
              <w:t>二、场所要求：实验室</w:t>
            </w:r>
          </w:p>
          <w:p>
            <w:pPr>
              <w:widowControl/>
              <w:adjustRightInd w:val="0"/>
              <w:snapToGrid w:val="0"/>
              <w:spacing w:line="300" w:lineRule="auto"/>
              <w:jc w:val="left"/>
              <w:rPr>
                <w:bCs/>
                <w:kern w:val="0"/>
                <w:sz w:val="18"/>
                <w:szCs w:val="18"/>
              </w:rPr>
            </w:pPr>
            <w:r>
              <w:rPr>
                <w:bCs/>
                <w:kern w:val="0"/>
                <w:sz w:val="18"/>
                <w:szCs w:val="18"/>
              </w:rPr>
              <w:t>三、课程实习内容</w:t>
            </w:r>
          </w:p>
          <w:p>
            <w:pPr>
              <w:adjustRightInd w:val="0"/>
              <w:snapToGrid w:val="0"/>
              <w:spacing w:line="300" w:lineRule="auto"/>
              <w:rPr>
                <w:sz w:val="18"/>
                <w:szCs w:val="18"/>
              </w:rPr>
            </w:pPr>
            <w:r>
              <w:rPr>
                <w:sz w:val="18"/>
                <w:szCs w:val="18"/>
              </w:rPr>
              <w:t>实习动员[教学目标1]</w:t>
            </w:r>
          </w:p>
        </w:tc>
        <w:tc>
          <w:tcPr>
            <w:tcW w:w="6678" w:type="dxa"/>
            <w:vAlign w:val="center"/>
          </w:tcPr>
          <w:p>
            <w:pPr>
              <w:widowControl/>
              <w:adjustRightInd w:val="0"/>
              <w:snapToGrid w:val="0"/>
              <w:jc w:val="left"/>
              <w:rPr>
                <w:bCs/>
                <w:kern w:val="0"/>
                <w:sz w:val="18"/>
                <w:szCs w:val="18"/>
              </w:rPr>
            </w:pPr>
            <w:r>
              <w:rPr>
                <w:bCs/>
                <w:kern w:val="0"/>
                <w:sz w:val="18"/>
                <w:szCs w:val="18"/>
              </w:rPr>
              <w:t>1、实习要求：</w:t>
            </w:r>
          </w:p>
          <w:p>
            <w:pPr>
              <w:widowControl/>
              <w:adjustRightInd w:val="0"/>
              <w:snapToGrid w:val="0"/>
              <w:jc w:val="left"/>
              <w:rPr>
                <w:bCs/>
                <w:kern w:val="0"/>
                <w:sz w:val="18"/>
                <w:szCs w:val="18"/>
              </w:rPr>
            </w:pPr>
            <w:r>
              <w:rPr>
                <w:bCs/>
                <w:kern w:val="0"/>
                <w:sz w:val="18"/>
                <w:szCs w:val="18"/>
              </w:rPr>
              <w:t>（1）对学生的要求</w:t>
            </w:r>
          </w:p>
          <w:p>
            <w:pPr>
              <w:widowControl/>
              <w:adjustRightInd w:val="0"/>
              <w:snapToGrid w:val="0"/>
              <w:jc w:val="left"/>
              <w:rPr>
                <w:bCs/>
                <w:kern w:val="0"/>
                <w:sz w:val="18"/>
                <w:szCs w:val="18"/>
              </w:rPr>
            </w:pPr>
            <w:r>
              <w:rPr>
                <w:bCs/>
                <w:kern w:val="0"/>
                <w:sz w:val="18"/>
                <w:szCs w:val="18"/>
              </w:rPr>
              <w:t xml:space="preserve">①一切行动听指挥，服从指导教师与实习单位的安排，严格遵守所在单位及校内规章制度。 </w:t>
            </w:r>
          </w:p>
          <w:p>
            <w:pPr>
              <w:widowControl/>
              <w:adjustRightInd w:val="0"/>
              <w:snapToGrid w:val="0"/>
              <w:jc w:val="left"/>
              <w:rPr>
                <w:bCs/>
                <w:kern w:val="0"/>
                <w:sz w:val="18"/>
                <w:szCs w:val="18"/>
              </w:rPr>
            </w:pPr>
            <w:r>
              <w:rPr>
                <w:bCs/>
                <w:kern w:val="0"/>
                <w:sz w:val="18"/>
                <w:szCs w:val="18"/>
              </w:rPr>
              <w:t>②严格执行有关技术规范，理论与实践相结合，坚持严谨务实的工作态度，不得投机取巧，弄虚作假，违者严究。</w:t>
            </w:r>
          </w:p>
          <w:p>
            <w:pPr>
              <w:widowControl/>
              <w:adjustRightInd w:val="0"/>
              <w:snapToGrid w:val="0"/>
              <w:jc w:val="left"/>
              <w:rPr>
                <w:bCs/>
                <w:kern w:val="0"/>
                <w:sz w:val="18"/>
                <w:szCs w:val="18"/>
              </w:rPr>
            </w:pPr>
            <w:r>
              <w:rPr>
                <w:bCs/>
                <w:kern w:val="0"/>
                <w:sz w:val="18"/>
                <w:szCs w:val="18"/>
              </w:rPr>
              <w:t>③吃苦耐劳踏实工作，深入调查研究，具有高度的责任心，保质保量完成所承担的具体任务。</w:t>
            </w:r>
            <w:r>
              <w:rPr>
                <w:bCs/>
                <w:kern w:val="0"/>
                <w:sz w:val="18"/>
                <w:szCs w:val="18"/>
              </w:rPr>
              <w:fldChar w:fldCharType="begin"/>
            </w:r>
            <w:r>
              <w:rPr>
                <w:bCs/>
                <w:kern w:val="0"/>
                <w:sz w:val="18"/>
                <w:szCs w:val="18"/>
              </w:rPr>
              <w:instrText xml:space="preserve"> </w:instrText>
            </w:r>
            <w:r>
              <w:rPr>
                <w:rFonts w:hint="eastAsia"/>
                <w:bCs/>
                <w:kern w:val="0"/>
                <w:sz w:val="18"/>
                <w:szCs w:val="18"/>
              </w:rPr>
              <w:instrText xml:space="preserve">= 4 \* GB3</w:instrText>
            </w:r>
            <w:r>
              <w:rPr>
                <w:bCs/>
                <w:kern w:val="0"/>
                <w:sz w:val="18"/>
                <w:szCs w:val="18"/>
              </w:rPr>
              <w:instrText xml:space="preserve"> </w:instrText>
            </w:r>
            <w:r>
              <w:rPr>
                <w:bCs/>
                <w:kern w:val="0"/>
                <w:sz w:val="18"/>
                <w:szCs w:val="18"/>
              </w:rPr>
              <w:fldChar w:fldCharType="separate"/>
            </w:r>
            <w:r>
              <w:rPr>
                <w:rFonts w:hint="eastAsia"/>
                <w:bCs/>
                <w:kern w:val="0"/>
                <w:sz w:val="18"/>
                <w:szCs w:val="18"/>
              </w:rPr>
              <w:t>④</w:t>
            </w:r>
            <w:r>
              <w:rPr>
                <w:bCs/>
                <w:kern w:val="0"/>
                <w:sz w:val="18"/>
                <w:szCs w:val="18"/>
              </w:rPr>
              <w:fldChar w:fldCharType="end"/>
            </w:r>
            <w:r>
              <w:rPr>
                <w:bCs/>
                <w:kern w:val="0"/>
                <w:sz w:val="18"/>
                <w:szCs w:val="18"/>
              </w:rPr>
              <w:t>课程实习必须完成《实习总结报告》一份，包括实习课题、内容、方法、工作过程和收获体会(思想、工作)以及对今后实习的建议等，《实习日志》一份。</w:t>
            </w:r>
          </w:p>
          <w:p>
            <w:pPr>
              <w:widowControl/>
              <w:adjustRightInd w:val="0"/>
              <w:snapToGrid w:val="0"/>
              <w:jc w:val="left"/>
              <w:rPr>
                <w:bCs/>
                <w:kern w:val="0"/>
                <w:sz w:val="18"/>
                <w:szCs w:val="18"/>
              </w:rPr>
            </w:pPr>
            <w:r>
              <w:rPr>
                <w:bCs/>
                <w:kern w:val="0"/>
                <w:sz w:val="18"/>
                <w:szCs w:val="18"/>
              </w:rPr>
              <w:t>（2）对指导教师的要求</w:t>
            </w:r>
          </w:p>
          <w:p>
            <w:pPr>
              <w:widowControl/>
              <w:adjustRightInd w:val="0"/>
              <w:snapToGrid w:val="0"/>
              <w:jc w:val="left"/>
              <w:rPr>
                <w:bCs/>
                <w:kern w:val="0"/>
                <w:sz w:val="18"/>
                <w:szCs w:val="18"/>
              </w:rPr>
            </w:pPr>
            <w:r>
              <w:rPr>
                <w:bCs/>
                <w:kern w:val="0"/>
                <w:sz w:val="18"/>
                <w:szCs w:val="18"/>
              </w:rPr>
              <w:t>①熟悉实习，有一定组织能力，具有讲师（含讲师）以上职称的教师方可担任毕业实习责任指导教师。实习期间实行指导教师负责制。</w:t>
            </w:r>
          </w:p>
          <w:p>
            <w:pPr>
              <w:widowControl/>
              <w:adjustRightInd w:val="0"/>
              <w:snapToGrid w:val="0"/>
              <w:jc w:val="left"/>
              <w:rPr>
                <w:bCs/>
                <w:kern w:val="0"/>
                <w:sz w:val="18"/>
                <w:szCs w:val="18"/>
              </w:rPr>
            </w:pPr>
            <w:r>
              <w:rPr>
                <w:bCs/>
                <w:kern w:val="0"/>
                <w:sz w:val="18"/>
                <w:szCs w:val="18"/>
              </w:rPr>
              <w:t>②实习指导教师应完成实习大纲、实习计划所规定的任务。</w:t>
            </w:r>
          </w:p>
          <w:p>
            <w:pPr>
              <w:widowControl/>
              <w:adjustRightInd w:val="0"/>
              <w:snapToGrid w:val="0"/>
              <w:jc w:val="left"/>
              <w:rPr>
                <w:bCs/>
                <w:kern w:val="0"/>
                <w:sz w:val="18"/>
                <w:szCs w:val="18"/>
              </w:rPr>
            </w:pPr>
            <w:r>
              <w:rPr>
                <w:bCs/>
                <w:kern w:val="0"/>
                <w:sz w:val="18"/>
                <w:szCs w:val="18"/>
              </w:rPr>
              <w:t>③实习前，必须提前到实习场所了解和熟悉情况。制定实习实施计划，做好一切准备工作。</w:t>
            </w:r>
          </w:p>
          <w:p>
            <w:pPr>
              <w:widowControl/>
              <w:adjustRightInd w:val="0"/>
              <w:snapToGrid w:val="0"/>
              <w:jc w:val="left"/>
              <w:rPr>
                <w:bCs/>
                <w:kern w:val="0"/>
                <w:sz w:val="18"/>
                <w:szCs w:val="18"/>
              </w:rPr>
            </w:pPr>
            <w:r>
              <w:rPr>
                <w:bCs/>
                <w:kern w:val="0"/>
                <w:sz w:val="18"/>
                <w:szCs w:val="18"/>
              </w:rPr>
              <w:t>④实习中，教师要加强指导，严格要求，强化安全教育和规范化操作，严防未经检查私自通电，以免发生人身或设备安全事故。</w:t>
            </w:r>
          </w:p>
          <w:p>
            <w:pPr>
              <w:widowControl/>
              <w:adjustRightInd w:val="0"/>
              <w:snapToGrid w:val="0"/>
              <w:jc w:val="left"/>
              <w:rPr>
                <w:bCs/>
                <w:kern w:val="0"/>
                <w:sz w:val="18"/>
                <w:szCs w:val="18"/>
              </w:rPr>
            </w:pPr>
            <w:r>
              <w:rPr>
                <w:bCs/>
                <w:kern w:val="0"/>
                <w:sz w:val="18"/>
                <w:szCs w:val="18"/>
              </w:rPr>
              <w:t>⑤指导学生完成实习任务，要布置一定数量的作业或思考题，引导学生深入实际，调查研究获得有益知识并及时督促检查。</w:t>
            </w:r>
          </w:p>
          <w:p>
            <w:pPr>
              <w:widowControl/>
              <w:adjustRightInd w:val="0"/>
              <w:snapToGrid w:val="0"/>
              <w:jc w:val="left"/>
              <w:rPr>
                <w:bCs/>
                <w:kern w:val="0"/>
                <w:sz w:val="18"/>
                <w:szCs w:val="18"/>
              </w:rPr>
            </w:pPr>
            <w:r>
              <w:rPr>
                <w:bCs/>
                <w:kern w:val="0"/>
                <w:sz w:val="18"/>
                <w:szCs w:val="18"/>
              </w:rPr>
              <w:t>⑥实习结束后，教师要认真审阅学生实习报告，做好学生的成绩考核，写出书面实习总结报告。</w:t>
            </w:r>
          </w:p>
        </w:tc>
        <w:tc>
          <w:tcPr>
            <w:tcW w:w="443" w:type="dxa"/>
            <w:vAlign w:val="center"/>
          </w:tcPr>
          <w:p>
            <w:pPr>
              <w:snapToGrid w:val="0"/>
              <w:spacing w:line="300" w:lineRule="auto"/>
              <w:rPr>
                <w:sz w:val="18"/>
                <w:szCs w:val="18"/>
              </w:rPr>
            </w:pPr>
            <w:r>
              <w:rPr>
                <w:kern w:val="0"/>
                <w:sz w:val="18"/>
                <w:szCs w:val="18"/>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jc w:val="center"/>
              <w:rPr>
                <w:sz w:val="18"/>
                <w:szCs w:val="18"/>
              </w:rPr>
            </w:pPr>
            <w:r>
              <w:rPr>
                <w:sz w:val="18"/>
                <w:szCs w:val="18"/>
              </w:rPr>
              <w:t>2</w:t>
            </w:r>
          </w:p>
        </w:tc>
        <w:tc>
          <w:tcPr>
            <w:tcW w:w="1335" w:type="dxa"/>
            <w:vAlign w:val="center"/>
          </w:tcPr>
          <w:p>
            <w:pPr>
              <w:widowControl/>
              <w:adjustRightInd w:val="0"/>
              <w:snapToGrid w:val="0"/>
              <w:ind w:firstLine="90" w:firstLineChars="50"/>
              <w:jc w:val="left"/>
              <w:rPr>
                <w:bCs/>
                <w:kern w:val="0"/>
                <w:sz w:val="18"/>
                <w:szCs w:val="18"/>
              </w:rPr>
            </w:pPr>
            <w:r>
              <w:rPr>
                <w:bCs/>
                <w:kern w:val="0"/>
                <w:sz w:val="18"/>
                <w:szCs w:val="18"/>
              </w:rPr>
              <w:t>设计任务安排[教学目标1]</w:t>
            </w:r>
          </w:p>
        </w:tc>
        <w:tc>
          <w:tcPr>
            <w:tcW w:w="6678" w:type="dxa"/>
            <w:vAlign w:val="center"/>
          </w:tcPr>
          <w:p>
            <w:pPr>
              <w:widowControl/>
              <w:adjustRightInd w:val="0"/>
              <w:snapToGrid w:val="0"/>
              <w:jc w:val="left"/>
              <w:rPr>
                <w:bCs/>
                <w:kern w:val="0"/>
                <w:sz w:val="18"/>
                <w:szCs w:val="18"/>
              </w:rPr>
            </w:pPr>
            <w:r>
              <w:rPr>
                <w:bCs/>
                <w:kern w:val="0"/>
                <w:sz w:val="18"/>
                <w:szCs w:val="18"/>
              </w:rPr>
              <w:t>主要教学重点和难点：明确设计任务及要求</w:t>
            </w:r>
          </w:p>
          <w:p>
            <w:pPr>
              <w:widowControl/>
              <w:adjustRightInd w:val="0"/>
              <w:snapToGrid w:val="0"/>
              <w:jc w:val="left"/>
              <w:rPr>
                <w:bCs/>
                <w:kern w:val="0"/>
                <w:sz w:val="18"/>
                <w:szCs w:val="18"/>
              </w:rPr>
            </w:pPr>
            <w:r>
              <w:rPr>
                <w:bCs/>
                <w:kern w:val="0"/>
                <w:sz w:val="18"/>
                <w:szCs w:val="18"/>
              </w:rPr>
              <w:t>知识和能力目标达成的教学方法：集中讲解</w:t>
            </w:r>
          </w:p>
          <w:p>
            <w:pPr>
              <w:widowControl/>
              <w:adjustRightInd w:val="0"/>
              <w:snapToGrid w:val="0"/>
              <w:jc w:val="left"/>
              <w:rPr>
                <w:bCs/>
                <w:kern w:val="0"/>
                <w:sz w:val="18"/>
                <w:szCs w:val="18"/>
              </w:rPr>
            </w:pPr>
            <w:r>
              <w:rPr>
                <w:bCs/>
                <w:kern w:val="0"/>
                <w:sz w:val="18"/>
                <w:szCs w:val="18"/>
              </w:rPr>
              <w:t>基本教学要求：明确课程实习要求及应提交文档材料</w:t>
            </w:r>
          </w:p>
        </w:tc>
        <w:tc>
          <w:tcPr>
            <w:tcW w:w="443" w:type="dxa"/>
            <w:vAlign w:val="center"/>
          </w:tcPr>
          <w:p>
            <w:pPr>
              <w:snapToGrid w:val="0"/>
              <w:ind w:firstLine="90" w:firstLineChars="50"/>
              <w:rPr>
                <w:kern w:val="0"/>
                <w:sz w:val="18"/>
                <w:szCs w:val="18"/>
              </w:rPr>
            </w:pPr>
            <w:r>
              <w:rPr>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ind w:firstLine="90" w:firstLineChars="50"/>
              <w:jc w:val="center"/>
              <w:rPr>
                <w:sz w:val="18"/>
                <w:szCs w:val="18"/>
              </w:rPr>
            </w:pPr>
            <w:r>
              <w:rPr>
                <w:sz w:val="18"/>
                <w:szCs w:val="18"/>
              </w:rPr>
              <w:t>3</w:t>
            </w:r>
          </w:p>
        </w:tc>
        <w:tc>
          <w:tcPr>
            <w:tcW w:w="1335" w:type="dxa"/>
            <w:vAlign w:val="center"/>
          </w:tcPr>
          <w:p>
            <w:pPr>
              <w:widowControl/>
              <w:adjustRightInd w:val="0"/>
              <w:snapToGrid w:val="0"/>
              <w:ind w:firstLine="90" w:firstLineChars="50"/>
              <w:jc w:val="left"/>
              <w:rPr>
                <w:bCs/>
                <w:kern w:val="0"/>
                <w:sz w:val="18"/>
                <w:szCs w:val="18"/>
              </w:rPr>
            </w:pPr>
            <w:r>
              <w:rPr>
                <w:bCs/>
                <w:kern w:val="0"/>
                <w:sz w:val="18"/>
                <w:szCs w:val="18"/>
              </w:rPr>
              <w:t>设计方案选择[教学目标</w:t>
            </w:r>
            <w:r>
              <w:rPr>
                <w:rFonts w:hint="eastAsia"/>
                <w:bCs/>
                <w:kern w:val="0"/>
                <w:sz w:val="18"/>
                <w:szCs w:val="18"/>
              </w:rPr>
              <w:t>1</w:t>
            </w:r>
            <w:r>
              <w:rPr>
                <w:bCs/>
                <w:kern w:val="0"/>
                <w:sz w:val="18"/>
                <w:szCs w:val="18"/>
              </w:rPr>
              <w:t>]</w:t>
            </w:r>
          </w:p>
        </w:tc>
        <w:tc>
          <w:tcPr>
            <w:tcW w:w="6678" w:type="dxa"/>
            <w:vAlign w:val="center"/>
          </w:tcPr>
          <w:p>
            <w:pPr>
              <w:widowControl/>
              <w:adjustRightInd w:val="0"/>
              <w:snapToGrid w:val="0"/>
              <w:jc w:val="left"/>
              <w:rPr>
                <w:bCs/>
                <w:kern w:val="0"/>
                <w:sz w:val="18"/>
                <w:szCs w:val="18"/>
              </w:rPr>
            </w:pPr>
            <w:r>
              <w:rPr>
                <w:bCs/>
                <w:kern w:val="0"/>
                <w:sz w:val="18"/>
                <w:szCs w:val="18"/>
              </w:rPr>
              <w:t>主要教学重点和难点：设计方案</w:t>
            </w:r>
          </w:p>
          <w:p>
            <w:pPr>
              <w:widowControl/>
              <w:adjustRightInd w:val="0"/>
              <w:snapToGrid w:val="0"/>
              <w:jc w:val="left"/>
              <w:rPr>
                <w:bCs/>
                <w:kern w:val="0"/>
                <w:sz w:val="18"/>
                <w:szCs w:val="18"/>
              </w:rPr>
            </w:pPr>
            <w:r>
              <w:rPr>
                <w:bCs/>
                <w:kern w:val="0"/>
                <w:sz w:val="18"/>
                <w:szCs w:val="18"/>
              </w:rPr>
              <w:t>知识和能力目标达成的教学方法：分组讨论、讲解</w:t>
            </w:r>
          </w:p>
          <w:p>
            <w:pPr>
              <w:widowControl/>
              <w:adjustRightInd w:val="0"/>
              <w:snapToGrid w:val="0"/>
              <w:jc w:val="left"/>
              <w:rPr>
                <w:bCs/>
                <w:kern w:val="0"/>
                <w:sz w:val="18"/>
                <w:szCs w:val="18"/>
              </w:rPr>
            </w:pPr>
            <w:r>
              <w:rPr>
                <w:bCs/>
                <w:kern w:val="0"/>
                <w:sz w:val="18"/>
                <w:szCs w:val="18"/>
              </w:rPr>
              <w:t>基本教学要求：提交设计方案论证</w:t>
            </w:r>
          </w:p>
        </w:tc>
        <w:tc>
          <w:tcPr>
            <w:tcW w:w="443" w:type="dxa"/>
            <w:vAlign w:val="center"/>
          </w:tcPr>
          <w:p>
            <w:pPr>
              <w:snapToGrid w:val="0"/>
              <w:ind w:firstLine="90" w:firstLineChars="50"/>
              <w:rPr>
                <w:kern w:val="0"/>
                <w:sz w:val="18"/>
                <w:szCs w:val="18"/>
              </w:rPr>
            </w:pPr>
            <w:r>
              <w:rPr>
                <w:kern w:val="0"/>
                <w:sz w:val="18"/>
                <w:szCs w:val="18"/>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ind w:firstLine="90" w:firstLineChars="50"/>
              <w:jc w:val="center"/>
              <w:rPr>
                <w:sz w:val="18"/>
                <w:szCs w:val="18"/>
              </w:rPr>
            </w:pPr>
            <w:r>
              <w:rPr>
                <w:sz w:val="18"/>
                <w:szCs w:val="18"/>
              </w:rPr>
              <w:t>4</w:t>
            </w:r>
          </w:p>
        </w:tc>
        <w:tc>
          <w:tcPr>
            <w:tcW w:w="1335" w:type="dxa"/>
            <w:vAlign w:val="center"/>
          </w:tcPr>
          <w:p>
            <w:pPr>
              <w:widowControl/>
              <w:adjustRightInd w:val="0"/>
              <w:snapToGrid w:val="0"/>
              <w:ind w:firstLine="90" w:firstLineChars="50"/>
              <w:jc w:val="left"/>
              <w:rPr>
                <w:bCs/>
                <w:kern w:val="0"/>
                <w:sz w:val="18"/>
                <w:szCs w:val="18"/>
              </w:rPr>
            </w:pPr>
            <w:r>
              <w:rPr>
                <w:bCs/>
                <w:kern w:val="0"/>
                <w:sz w:val="18"/>
                <w:szCs w:val="18"/>
              </w:rPr>
              <w:t>系统硬件设计及接线，系统应用软件设计[教学目标</w:t>
            </w:r>
            <w:r>
              <w:rPr>
                <w:rFonts w:hint="eastAsia"/>
                <w:bCs/>
                <w:kern w:val="0"/>
                <w:sz w:val="18"/>
                <w:szCs w:val="18"/>
              </w:rPr>
              <w:t>1</w:t>
            </w:r>
            <w:r>
              <w:rPr>
                <w:bCs/>
                <w:kern w:val="0"/>
                <w:sz w:val="18"/>
                <w:szCs w:val="18"/>
              </w:rPr>
              <w:t>]</w:t>
            </w:r>
          </w:p>
        </w:tc>
        <w:tc>
          <w:tcPr>
            <w:tcW w:w="6678" w:type="dxa"/>
            <w:vAlign w:val="center"/>
          </w:tcPr>
          <w:p>
            <w:pPr>
              <w:widowControl/>
              <w:adjustRightInd w:val="0"/>
              <w:snapToGrid w:val="0"/>
              <w:jc w:val="left"/>
              <w:rPr>
                <w:bCs/>
                <w:kern w:val="0"/>
                <w:sz w:val="18"/>
                <w:szCs w:val="18"/>
              </w:rPr>
            </w:pPr>
            <w:r>
              <w:rPr>
                <w:bCs/>
                <w:kern w:val="0"/>
                <w:sz w:val="18"/>
                <w:szCs w:val="18"/>
              </w:rPr>
              <w:t>主要教学重点和难点：系统硬件设计、软件设计</w:t>
            </w:r>
          </w:p>
          <w:p>
            <w:pPr>
              <w:widowControl/>
              <w:adjustRightInd w:val="0"/>
              <w:snapToGrid w:val="0"/>
              <w:jc w:val="left"/>
              <w:rPr>
                <w:bCs/>
                <w:kern w:val="0"/>
                <w:sz w:val="18"/>
                <w:szCs w:val="18"/>
              </w:rPr>
            </w:pPr>
            <w:r>
              <w:rPr>
                <w:bCs/>
                <w:kern w:val="0"/>
                <w:sz w:val="18"/>
                <w:szCs w:val="18"/>
              </w:rPr>
              <w:t>知识和能力目标达成的教学方法：分组讲解</w:t>
            </w:r>
          </w:p>
          <w:p>
            <w:pPr>
              <w:widowControl/>
              <w:adjustRightInd w:val="0"/>
              <w:snapToGrid w:val="0"/>
              <w:jc w:val="left"/>
              <w:rPr>
                <w:bCs/>
                <w:kern w:val="0"/>
                <w:sz w:val="18"/>
                <w:szCs w:val="18"/>
              </w:rPr>
            </w:pPr>
            <w:r>
              <w:rPr>
                <w:bCs/>
                <w:kern w:val="0"/>
                <w:sz w:val="18"/>
                <w:szCs w:val="18"/>
              </w:rPr>
              <w:t>基本教学要求：完成硬件设计图、接线，软件设计、编码</w:t>
            </w:r>
          </w:p>
        </w:tc>
        <w:tc>
          <w:tcPr>
            <w:tcW w:w="443" w:type="dxa"/>
            <w:vAlign w:val="center"/>
          </w:tcPr>
          <w:p>
            <w:pPr>
              <w:snapToGrid w:val="0"/>
              <w:ind w:firstLine="90" w:firstLineChars="50"/>
              <w:rPr>
                <w:kern w:val="0"/>
                <w:sz w:val="18"/>
                <w:szCs w:val="18"/>
              </w:rPr>
            </w:pPr>
            <w:r>
              <w:rPr>
                <w:kern w:val="0"/>
                <w:sz w:val="18"/>
                <w:szCs w:val="18"/>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ind w:firstLine="90" w:firstLineChars="50"/>
              <w:jc w:val="center"/>
              <w:rPr>
                <w:sz w:val="18"/>
                <w:szCs w:val="18"/>
              </w:rPr>
            </w:pPr>
            <w:r>
              <w:rPr>
                <w:sz w:val="18"/>
                <w:szCs w:val="18"/>
              </w:rPr>
              <w:t>5</w:t>
            </w:r>
          </w:p>
        </w:tc>
        <w:tc>
          <w:tcPr>
            <w:tcW w:w="1335" w:type="dxa"/>
            <w:vAlign w:val="center"/>
          </w:tcPr>
          <w:p>
            <w:pPr>
              <w:widowControl/>
              <w:adjustRightInd w:val="0"/>
              <w:snapToGrid w:val="0"/>
              <w:ind w:firstLine="270" w:firstLineChars="150"/>
              <w:jc w:val="left"/>
              <w:rPr>
                <w:bCs/>
                <w:kern w:val="0"/>
                <w:sz w:val="18"/>
                <w:szCs w:val="18"/>
              </w:rPr>
            </w:pPr>
            <w:r>
              <w:rPr>
                <w:bCs/>
                <w:kern w:val="0"/>
                <w:sz w:val="18"/>
                <w:szCs w:val="18"/>
              </w:rPr>
              <w:t>系统调试[教学目标</w:t>
            </w:r>
            <w:r>
              <w:rPr>
                <w:rFonts w:hint="eastAsia"/>
                <w:bCs/>
                <w:kern w:val="0"/>
                <w:sz w:val="18"/>
                <w:szCs w:val="18"/>
              </w:rPr>
              <w:t>2</w:t>
            </w:r>
            <w:r>
              <w:rPr>
                <w:bCs/>
                <w:kern w:val="0"/>
                <w:sz w:val="18"/>
                <w:szCs w:val="18"/>
              </w:rPr>
              <w:t>]</w:t>
            </w:r>
          </w:p>
        </w:tc>
        <w:tc>
          <w:tcPr>
            <w:tcW w:w="6678" w:type="dxa"/>
            <w:vAlign w:val="center"/>
          </w:tcPr>
          <w:p>
            <w:pPr>
              <w:widowControl/>
              <w:adjustRightInd w:val="0"/>
              <w:snapToGrid w:val="0"/>
              <w:jc w:val="left"/>
              <w:rPr>
                <w:bCs/>
                <w:kern w:val="0"/>
                <w:sz w:val="18"/>
                <w:szCs w:val="18"/>
              </w:rPr>
            </w:pPr>
            <w:r>
              <w:rPr>
                <w:bCs/>
                <w:kern w:val="0"/>
                <w:sz w:val="18"/>
                <w:szCs w:val="18"/>
              </w:rPr>
              <w:t>主要教学重点和难点：系统调试</w:t>
            </w:r>
          </w:p>
          <w:p>
            <w:pPr>
              <w:widowControl/>
              <w:adjustRightInd w:val="0"/>
              <w:snapToGrid w:val="0"/>
              <w:jc w:val="left"/>
              <w:rPr>
                <w:bCs/>
                <w:kern w:val="0"/>
                <w:sz w:val="18"/>
                <w:szCs w:val="18"/>
              </w:rPr>
            </w:pPr>
            <w:r>
              <w:rPr>
                <w:bCs/>
                <w:kern w:val="0"/>
                <w:sz w:val="18"/>
                <w:szCs w:val="18"/>
              </w:rPr>
              <w:t>知识和能力目标达成的教学方法：分组讲解</w:t>
            </w:r>
          </w:p>
          <w:p>
            <w:pPr>
              <w:widowControl/>
              <w:adjustRightInd w:val="0"/>
              <w:snapToGrid w:val="0"/>
              <w:jc w:val="left"/>
              <w:rPr>
                <w:bCs/>
                <w:kern w:val="0"/>
                <w:sz w:val="18"/>
                <w:szCs w:val="18"/>
              </w:rPr>
            </w:pPr>
            <w:r>
              <w:rPr>
                <w:bCs/>
                <w:kern w:val="0"/>
                <w:sz w:val="18"/>
                <w:szCs w:val="18"/>
              </w:rPr>
              <w:t>基本教学要求：完成调试或给出合理理由</w:t>
            </w:r>
          </w:p>
        </w:tc>
        <w:tc>
          <w:tcPr>
            <w:tcW w:w="443" w:type="dxa"/>
            <w:vAlign w:val="center"/>
          </w:tcPr>
          <w:p>
            <w:pPr>
              <w:snapToGrid w:val="0"/>
              <w:ind w:firstLine="90" w:firstLineChars="50"/>
              <w:rPr>
                <w:kern w:val="0"/>
                <w:sz w:val="18"/>
                <w:szCs w:val="18"/>
              </w:rPr>
            </w:pPr>
            <w:r>
              <w:rPr>
                <w:kern w:val="0"/>
                <w:sz w:val="18"/>
                <w:szCs w:val="18"/>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8" w:type="dxa"/>
            <w:tcMar>
              <w:left w:w="57" w:type="dxa"/>
              <w:right w:w="57" w:type="dxa"/>
            </w:tcMar>
            <w:vAlign w:val="center"/>
          </w:tcPr>
          <w:p>
            <w:pPr>
              <w:snapToGrid w:val="0"/>
              <w:ind w:firstLine="90" w:firstLineChars="50"/>
              <w:jc w:val="center"/>
              <w:rPr>
                <w:sz w:val="18"/>
                <w:szCs w:val="18"/>
              </w:rPr>
            </w:pPr>
            <w:r>
              <w:rPr>
                <w:sz w:val="18"/>
                <w:szCs w:val="18"/>
              </w:rPr>
              <w:t>6</w:t>
            </w:r>
          </w:p>
        </w:tc>
        <w:tc>
          <w:tcPr>
            <w:tcW w:w="1335" w:type="dxa"/>
            <w:vAlign w:val="center"/>
          </w:tcPr>
          <w:p>
            <w:pPr>
              <w:widowControl/>
              <w:adjustRightInd w:val="0"/>
              <w:snapToGrid w:val="0"/>
              <w:ind w:firstLine="270" w:firstLineChars="150"/>
              <w:jc w:val="left"/>
              <w:rPr>
                <w:bCs/>
                <w:kern w:val="0"/>
                <w:sz w:val="18"/>
                <w:szCs w:val="18"/>
              </w:rPr>
            </w:pPr>
            <w:r>
              <w:rPr>
                <w:bCs/>
                <w:kern w:val="0"/>
                <w:sz w:val="18"/>
                <w:szCs w:val="18"/>
              </w:rPr>
              <w:t>撰写实习日志、报告及实习总结</w:t>
            </w:r>
            <w:r>
              <w:rPr>
                <w:rFonts w:hint="eastAsia"/>
                <w:bCs/>
                <w:kern w:val="0"/>
                <w:sz w:val="18"/>
                <w:szCs w:val="18"/>
              </w:rPr>
              <w:t>。</w:t>
            </w:r>
            <w:r>
              <w:rPr>
                <w:bCs/>
                <w:kern w:val="0"/>
                <w:sz w:val="18"/>
                <w:szCs w:val="18"/>
              </w:rPr>
              <w:t>实习完成后，</w:t>
            </w:r>
            <w:r>
              <w:rPr>
                <w:rFonts w:hint="eastAsia"/>
                <w:bCs/>
                <w:kern w:val="0"/>
                <w:sz w:val="18"/>
                <w:szCs w:val="18"/>
              </w:rPr>
              <w:t>各组进行总结和经验交流，每组指派不同的同学汇报</w:t>
            </w:r>
            <w:r>
              <w:rPr>
                <w:bCs/>
                <w:kern w:val="0"/>
                <w:sz w:val="18"/>
                <w:szCs w:val="18"/>
              </w:rPr>
              <w:t>微型计算机或单片机应用系统</w:t>
            </w:r>
            <w:r>
              <w:rPr>
                <w:rFonts w:hint="eastAsia"/>
                <w:bCs/>
                <w:kern w:val="0"/>
                <w:sz w:val="18"/>
                <w:szCs w:val="18"/>
              </w:rPr>
              <w:t>的设计思路、实现步骤、调试</w:t>
            </w:r>
            <w:r>
              <w:rPr>
                <w:bCs/>
                <w:kern w:val="0"/>
                <w:sz w:val="18"/>
                <w:szCs w:val="18"/>
              </w:rPr>
              <w:t>结果</w:t>
            </w:r>
            <w:r>
              <w:rPr>
                <w:rFonts w:hint="eastAsia"/>
                <w:bCs/>
                <w:kern w:val="0"/>
                <w:sz w:val="18"/>
                <w:szCs w:val="18"/>
              </w:rPr>
              <w:t>及遇到的问题和挑战。教</w:t>
            </w:r>
            <w:r>
              <w:rPr>
                <w:bCs/>
                <w:kern w:val="0"/>
                <w:sz w:val="18"/>
                <w:szCs w:val="18"/>
              </w:rPr>
              <w:t>师</w:t>
            </w:r>
            <w:r>
              <w:rPr>
                <w:rFonts w:hint="eastAsia"/>
                <w:bCs/>
                <w:kern w:val="0"/>
                <w:sz w:val="18"/>
                <w:szCs w:val="18"/>
              </w:rPr>
              <w:t>结合汇报交流情况</w:t>
            </w:r>
            <w:r>
              <w:rPr>
                <w:bCs/>
                <w:kern w:val="0"/>
                <w:sz w:val="18"/>
                <w:szCs w:val="18"/>
              </w:rPr>
              <w:t>对实习进行总结，同时安排</w:t>
            </w:r>
            <w:r>
              <w:rPr>
                <w:rFonts w:hint="eastAsia"/>
                <w:bCs/>
                <w:kern w:val="0"/>
                <w:sz w:val="18"/>
                <w:szCs w:val="18"/>
              </w:rPr>
              <w:t>各组同学结合自己的分工和任务撰写实习报告。</w:t>
            </w:r>
            <w:r>
              <w:rPr>
                <w:bCs/>
                <w:kern w:val="0"/>
                <w:sz w:val="18"/>
                <w:szCs w:val="18"/>
              </w:rPr>
              <w:t>[教学目标</w:t>
            </w:r>
            <w:r>
              <w:rPr>
                <w:rFonts w:hint="eastAsia"/>
                <w:bCs/>
                <w:kern w:val="0"/>
                <w:sz w:val="18"/>
                <w:szCs w:val="18"/>
              </w:rPr>
              <w:t>2</w:t>
            </w:r>
            <w:r>
              <w:rPr>
                <w:bCs/>
                <w:kern w:val="0"/>
                <w:sz w:val="18"/>
                <w:szCs w:val="18"/>
              </w:rPr>
              <w:t>]</w:t>
            </w:r>
          </w:p>
        </w:tc>
        <w:tc>
          <w:tcPr>
            <w:tcW w:w="6678" w:type="dxa"/>
            <w:vAlign w:val="center"/>
          </w:tcPr>
          <w:p>
            <w:pPr>
              <w:widowControl/>
              <w:adjustRightInd w:val="0"/>
              <w:snapToGrid w:val="0"/>
              <w:jc w:val="left"/>
              <w:rPr>
                <w:bCs/>
                <w:kern w:val="0"/>
                <w:sz w:val="18"/>
                <w:szCs w:val="18"/>
              </w:rPr>
            </w:pPr>
            <w:r>
              <w:rPr>
                <w:bCs/>
                <w:kern w:val="0"/>
                <w:sz w:val="18"/>
                <w:szCs w:val="18"/>
              </w:rPr>
              <w:t>主要教学重点和难点：撰写实习日志、报告</w:t>
            </w:r>
          </w:p>
          <w:p>
            <w:pPr>
              <w:widowControl/>
              <w:adjustRightInd w:val="0"/>
              <w:snapToGrid w:val="0"/>
              <w:jc w:val="left"/>
              <w:rPr>
                <w:bCs/>
                <w:kern w:val="0"/>
                <w:sz w:val="18"/>
                <w:szCs w:val="18"/>
              </w:rPr>
            </w:pPr>
            <w:r>
              <w:rPr>
                <w:bCs/>
                <w:kern w:val="0"/>
                <w:sz w:val="18"/>
                <w:szCs w:val="18"/>
              </w:rPr>
              <w:t>知识和能力目标达成的教学方法：集中讲解</w:t>
            </w:r>
          </w:p>
          <w:p>
            <w:pPr>
              <w:widowControl/>
              <w:adjustRightInd w:val="0"/>
              <w:snapToGrid w:val="0"/>
              <w:jc w:val="left"/>
              <w:rPr>
                <w:bCs/>
                <w:kern w:val="0"/>
                <w:sz w:val="18"/>
                <w:szCs w:val="18"/>
              </w:rPr>
            </w:pPr>
            <w:r>
              <w:rPr>
                <w:bCs/>
                <w:kern w:val="0"/>
                <w:sz w:val="18"/>
                <w:szCs w:val="18"/>
              </w:rPr>
              <w:t>基本教学要求：实习日志、实习报告等</w:t>
            </w:r>
          </w:p>
          <w:p>
            <w:pPr>
              <w:widowControl/>
              <w:adjustRightInd w:val="0"/>
              <w:snapToGrid w:val="0"/>
              <w:jc w:val="left"/>
              <w:rPr>
                <w:bCs/>
                <w:kern w:val="0"/>
                <w:sz w:val="18"/>
                <w:szCs w:val="18"/>
              </w:rPr>
            </w:pPr>
          </w:p>
        </w:tc>
        <w:tc>
          <w:tcPr>
            <w:tcW w:w="443" w:type="dxa"/>
            <w:vAlign w:val="center"/>
          </w:tcPr>
          <w:p>
            <w:pPr>
              <w:snapToGrid w:val="0"/>
              <w:ind w:firstLine="90" w:firstLineChars="50"/>
              <w:rPr>
                <w:kern w:val="0"/>
                <w:sz w:val="18"/>
                <w:szCs w:val="18"/>
              </w:rPr>
            </w:pPr>
            <w:r>
              <w:rPr>
                <w:kern w:val="0"/>
                <w:sz w:val="18"/>
                <w:szCs w:val="18"/>
              </w:rPr>
              <w:t>1天</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rPr>
          <w:szCs w:val="21"/>
        </w:rPr>
      </w:pPr>
      <w:r>
        <w:rPr>
          <w:szCs w:val="21"/>
        </w:rPr>
        <w:t>1.考核方式：过程考核、形成性评价、终结性评价（考查）</w:t>
      </w:r>
    </w:p>
    <w:p>
      <w:pPr>
        <w:snapToGrid w:val="0"/>
        <w:spacing w:line="300" w:lineRule="auto"/>
        <w:ind w:firstLine="420" w:firstLineChars="200"/>
        <w:rPr>
          <w:szCs w:val="21"/>
        </w:rPr>
      </w:pPr>
      <w:r>
        <w:rPr>
          <w:szCs w:val="21"/>
        </w:rPr>
        <w:t>2.考核成绩组成：结合教学要求中的知识（识记）、理解、应用及综合等能力层次，体现对学生基本知识、基本技能、综合应用能力、专业素养及创新能力考核要求。</w:t>
      </w:r>
    </w:p>
    <w:p>
      <w:pPr>
        <w:snapToGrid w:val="0"/>
        <w:spacing w:line="300" w:lineRule="auto"/>
        <w:ind w:firstLine="420" w:firstLineChars="200"/>
        <w:rPr>
          <w:szCs w:val="21"/>
        </w:rPr>
      </w:pPr>
      <w:r>
        <w:rPr>
          <w:szCs w:val="21"/>
        </w:rPr>
        <w:t>考查成绩由教学目标评价标准确定。再将百分制成绩转换为等级制成绩，即100~90为优秀，89~80为良好，79~70为中等，69~60为及格，60以下不及格。</w:t>
      </w:r>
    </w:p>
    <w:p>
      <w:pPr>
        <w:tabs>
          <w:tab w:val="left" w:pos="1134"/>
        </w:tabs>
        <w:ind w:firstLine="424" w:firstLineChars="202"/>
      </w:pPr>
      <w:r>
        <w:t>百分制成绩与五级记分制成绩转换标准如表4。</w:t>
      </w:r>
    </w:p>
    <w:p>
      <w:pPr>
        <w:widowControl/>
        <w:spacing w:before="156" w:beforeLines="50"/>
        <w:ind w:firstLine="482"/>
        <w:jc w:val="center"/>
        <w:rPr>
          <w:b/>
          <w:kern w:val="0"/>
          <w:sz w:val="18"/>
          <w:szCs w:val="18"/>
        </w:rPr>
      </w:pPr>
      <w:r>
        <w:rPr>
          <w:b/>
          <w:kern w:val="0"/>
          <w:sz w:val="18"/>
          <w:szCs w:val="18"/>
        </w:rPr>
        <w:t>表4 百分制成绩与五级记分制成绩转换标准</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46"/>
        <w:gridCol w:w="1448"/>
        <w:gridCol w:w="1446"/>
        <w:gridCol w:w="1446"/>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Pr>
          <w:p>
            <w:pPr>
              <w:widowControl/>
              <w:snapToGrid w:val="0"/>
              <w:spacing w:line="300" w:lineRule="auto"/>
              <w:jc w:val="center"/>
              <w:rPr>
                <w:b/>
                <w:kern w:val="0"/>
                <w:sz w:val="18"/>
                <w:szCs w:val="18"/>
              </w:rPr>
            </w:pPr>
            <w:r>
              <w:rPr>
                <w:b/>
                <w:kern w:val="0"/>
                <w:sz w:val="18"/>
                <w:szCs w:val="18"/>
              </w:rPr>
              <w:t>百分制成绩</w:t>
            </w:r>
          </w:p>
        </w:tc>
        <w:tc>
          <w:tcPr>
            <w:tcW w:w="1446" w:type="dxa"/>
          </w:tcPr>
          <w:p>
            <w:pPr>
              <w:widowControl/>
              <w:snapToGrid w:val="0"/>
              <w:spacing w:line="300" w:lineRule="auto"/>
              <w:jc w:val="center"/>
              <w:rPr>
                <w:b/>
                <w:kern w:val="0"/>
                <w:sz w:val="18"/>
                <w:szCs w:val="18"/>
              </w:rPr>
            </w:pPr>
            <w:r>
              <w:rPr>
                <w:b/>
                <w:kern w:val="0"/>
                <w:sz w:val="18"/>
                <w:szCs w:val="18"/>
              </w:rPr>
              <w:t>60分以下</w:t>
            </w:r>
          </w:p>
        </w:tc>
        <w:tc>
          <w:tcPr>
            <w:tcW w:w="1448" w:type="dxa"/>
          </w:tcPr>
          <w:p>
            <w:pPr>
              <w:widowControl/>
              <w:snapToGrid w:val="0"/>
              <w:spacing w:line="300" w:lineRule="auto"/>
              <w:jc w:val="center"/>
              <w:rPr>
                <w:b/>
                <w:kern w:val="0"/>
                <w:sz w:val="18"/>
                <w:szCs w:val="18"/>
              </w:rPr>
            </w:pPr>
            <w:r>
              <w:rPr>
                <w:b/>
                <w:kern w:val="0"/>
                <w:sz w:val="18"/>
                <w:szCs w:val="18"/>
              </w:rPr>
              <w:t>60-69分</w:t>
            </w:r>
          </w:p>
        </w:tc>
        <w:tc>
          <w:tcPr>
            <w:tcW w:w="1446" w:type="dxa"/>
          </w:tcPr>
          <w:p>
            <w:pPr>
              <w:widowControl/>
              <w:snapToGrid w:val="0"/>
              <w:spacing w:line="300" w:lineRule="auto"/>
              <w:jc w:val="center"/>
              <w:rPr>
                <w:b/>
                <w:kern w:val="0"/>
                <w:sz w:val="18"/>
                <w:szCs w:val="18"/>
              </w:rPr>
            </w:pPr>
            <w:r>
              <w:rPr>
                <w:b/>
                <w:kern w:val="0"/>
                <w:sz w:val="18"/>
                <w:szCs w:val="18"/>
              </w:rPr>
              <w:t>70-79分</w:t>
            </w:r>
          </w:p>
        </w:tc>
        <w:tc>
          <w:tcPr>
            <w:tcW w:w="1446" w:type="dxa"/>
          </w:tcPr>
          <w:p>
            <w:pPr>
              <w:widowControl/>
              <w:snapToGrid w:val="0"/>
              <w:spacing w:line="300" w:lineRule="auto"/>
              <w:jc w:val="center"/>
              <w:rPr>
                <w:b/>
                <w:kern w:val="0"/>
                <w:sz w:val="18"/>
                <w:szCs w:val="18"/>
              </w:rPr>
            </w:pPr>
            <w:r>
              <w:rPr>
                <w:b/>
                <w:kern w:val="0"/>
                <w:sz w:val="18"/>
                <w:szCs w:val="18"/>
              </w:rPr>
              <w:t>80-89分</w:t>
            </w:r>
          </w:p>
        </w:tc>
        <w:tc>
          <w:tcPr>
            <w:tcW w:w="1448" w:type="dxa"/>
          </w:tcPr>
          <w:p>
            <w:pPr>
              <w:widowControl/>
              <w:snapToGrid w:val="0"/>
              <w:spacing w:line="300" w:lineRule="auto"/>
              <w:jc w:val="center"/>
              <w:rPr>
                <w:b/>
                <w:kern w:val="0"/>
                <w:sz w:val="18"/>
                <w:szCs w:val="18"/>
              </w:rPr>
            </w:pPr>
            <w:r>
              <w:rPr>
                <w:b/>
                <w:kern w:val="0"/>
                <w:sz w:val="18"/>
                <w:szCs w:val="18"/>
              </w:rPr>
              <w:t>90-100分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7" w:type="dxa"/>
          </w:tcPr>
          <w:p>
            <w:pPr>
              <w:widowControl/>
              <w:snapToGrid w:val="0"/>
              <w:spacing w:line="300" w:lineRule="auto"/>
              <w:jc w:val="center"/>
              <w:rPr>
                <w:kern w:val="0"/>
                <w:sz w:val="18"/>
                <w:szCs w:val="18"/>
              </w:rPr>
            </w:pPr>
            <w:r>
              <w:rPr>
                <w:kern w:val="0"/>
                <w:sz w:val="18"/>
                <w:szCs w:val="18"/>
              </w:rPr>
              <w:t>五级制成绩</w:t>
            </w:r>
          </w:p>
        </w:tc>
        <w:tc>
          <w:tcPr>
            <w:tcW w:w="1446" w:type="dxa"/>
          </w:tcPr>
          <w:p>
            <w:pPr>
              <w:widowControl/>
              <w:snapToGrid w:val="0"/>
              <w:spacing w:line="300" w:lineRule="auto"/>
              <w:jc w:val="center"/>
              <w:rPr>
                <w:kern w:val="0"/>
                <w:sz w:val="18"/>
                <w:szCs w:val="18"/>
              </w:rPr>
            </w:pPr>
            <w:r>
              <w:rPr>
                <w:kern w:val="0"/>
                <w:sz w:val="18"/>
                <w:szCs w:val="18"/>
              </w:rPr>
              <w:t>不及格</w:t>
            </w:r>
          </w:p>
        </w:tc>
        <w:tc>
          <w:tcPr>
            <w:tcW w:w="1448" w:type="dxa"/>
          </w:tcPr>
          <w:p>
            <w:pPr>
              <w:widowControl/>
              <w:snapToGrid w:val="0"/>
              <w:spacing w:line="300" w:lineRule="auto"/>
              <w:jc w:val="center"/>
              <w:rPr>
                <w:kern w:val="0"/>
                <w:sz w:val="18"/>
                <w:szCs w:val="18"/>
              </w:rPr>
            </w:pPr>
            <w:r>
              <w:rPr>
                <w:kern w:val="0"/>
                <w:sz w:val="18"/>
                <w:szCs w:val="18"/>
              </w:rPr>
              <w:t>及格</w:t>
            </w:r>
          </w:p>
        </w:tc>
        <w:tc>
          <w:tcPr>
            <w:tcW w:w="1446" w:type="dxa"/>
          </w:tcPr>
          <w:p>
            <w:pPr>
              <w:widowControl/>
              <w:snapToGrid w:val="0"/>
              <w:spacing w:line="300" w:lineRule="auto"/>
              <w:jc w:val="center"/>
              <w:rPr>
                <w:kern w:val="0"/>
                <w:sz w:val="18"/>
                <w:szCs w:val="18"/>
              </w:rPr>
            </w:pPr>
            <w:r>
              <w:rPr>
                <w:kern w:val="0"/>
                <w:sz w:val="18"/>
                <w:szCs w:val="18"/>
              </w:rPr>
              <w:t>中</w:t>
            </w:r>
          </w:p>
        </w:tc>
        <w:tc>
          <w:tcPr>
            <w:tcW w:w="1446" w:type="dxa"/>
          </w:tcPr>
          <w:p>
            <w:pPr>
              <w:widowControl/>
              <w:snapToGrid w:val="0"/>
              <w:spacing w:line="300" w:lineRule="auto"/>
              <w:jc w:val="center"/>
              <w:rPr>
                <w:kern w:val="0"/>
                <w:sz w:val="18"/>
                <w:szCs w:val="18"/>
              </w:rPr>
            </w:pPr>
            <w:r>
              <w:rPr>
                <w:kern w:val="0"/>
                <w:sz w:val="18"/>
                <w:szCs w:val="18"/>
              </w:rPr>
              <w:t>良</w:t>
            </w:r>
          </w:p>
        </w:tc>
        <w:tc>
          <w:tcPr>
            <w:tcW w:w="1448" w:type="dxa"/>
          </w:tcPr>
          <w:p>
            <w:pPr>
              <w:widowControl/>
              <w:snapToGrid w:val="0"/>
              <w:spacing w:line="300" w:lineRule="auto"/>
              <w:jc w:val="center"/>
              <w:rPr>
                <w:kern w:val="0"/>
                <w:sz w:val="18"/>
                <w:szCs w:val="18"/>
              </w:rPr>
            </w:pPr>
            <w:r>
              <w:rPr>
                <w:kern w:val="0"/>
                <w:sz w:val="18"/>
                <w:szCs w:val="18"/>
              </w:rPr>
              <w:t>优</w:t>
            </w:r>
          </w:p>
        </w:tc>
      </w:tr>
    </w:tbl>
    <w:p>
      <w:pPr>
        <w:snapToGrid w:val="0"/>
        <w:spacing w:line="300" w:lineRule="auto"/>
        <w:ind w:firstLine="420" w:firstLineChars="200"/>
        <w:rPr>
          <w:szCs w:val="21"/>
        </w:rPr>
      </w:pPr>
      <w:r>
        <w:rPr>
          <w:szCs w:val="21"/>
        </w:rPr>
        <w:t>3.教学目标评价标准见表5。</w:t>
      </w:r>
    </w:p>
    <w:p>
      <w:pPr>
        <w:widowControl/>
        <w:spacing w:before="156" w:beforeLines="50"/>
        <w:jc w:val="center"/>
        <w:rPr>
          <w:b/>
          <w:kern w:val="0"/>
          <w:sz w:val="18"/>
          <w:szCs w:val="18"/>
        </w:rPr>
      </w:pPr>
      <w:r>
        <w:rPr>
          <w:b/>
          <w:kern w:val="0"/>
          <w:sz w:val="18"/>
          <w:szCs w:val="18"/>
        </w:rPr>
        <w:t>表5教学目标评价标准</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923"/>
        <w:gridCol w:w="993"/>
        <w:gridCol w:w="1134"/>
        <w:gridCol w:w="992"/>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608" w:type="dxa"/>
            <w:shd w:val="clear" w:color="auto" w:fill="FFFFFF"/>
            <w:vAlign w:val="center"/>
          </w:tcPr>
          <w:p>
            <w:pPr>
              <w:snapToGrid w:val="0"/>
              <w:spacing w:line="300" w:lineRule="auto"/>
              <w:jc w:val="center"/>
              <w:rPr>
                <w:b/>
                <w:bCs/>
                <w:sz w:val="18"/>
                <w:szCs w:val="18"/>
              </w:rPr>
            </w:pPr>
            <w:r>
              <w:rPr>
                <w:b/>
                <w:bCs/>
                <w:sz w:val="18"/>
                <w:szCs w:val="18"/>
              </w:rPr>
              <w:t>序号</w:t>
            </w:r>
          </w:p>
        </w:tc>
        <w:tc>
          <w:tcPr>
            <w:tcW w:w="3923" w:type="dxa"/>
            <w:shd w:val="clear" w:color="auto" w:fill="FFFFFF"/>
            <w:vAlign w:val="center"/>
          </w:tcPr>
          <w:p>
            <w:pPr>
              <w:snapToGrid w:val="0"/>
              <w:spacing w:line="300" w:lineRule="auto"/>
              <w:jc w:val="center"/>
              <w:rPr>
                <w:b/>
                <w:bCs/>
                <w:sz w:val="18"/>
                <w:szCs w:val="18"/>
              </w:rPr>
            </w:pPr>
            <w:r>
              <w:rPr>
                <w:b/>
                <w:bCs/>
                <w:sz w:val="18"/>
                <w:szCs w:val="18"/>
              </w:rPr>
              <w:t>教学目标</w:t>
            </w:r>
          </w:p>
        </w:tc>
        <w:tc>
          <w:tcPr>
            <w:tcW w:w="993"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1134" w:type="dxa"/>
            <w:shd w:val="clear" w:color="auto" w:fill="FFFFFF"/>
            <w:vAlign w:val="center"/>
          </w:tcPr>
          <w:p>
            <w:pPr>
              <w:snapToGrid w:val="0"/>
              <w:spacing w:line="300" w:lineRule="auto"/>
              <w:jc w:val="center"/>
              <w:rPr>
                <w:b/>
                <w:bCs/>
                <w:sz w:val="18"/>
                <w:szCs w:val="18"/>
              </w:rPr>
            </w:pPr>
            <w:r>
              <w:rPr>
                <w:b/>
                <w:bCs/>
                <w:sz w:val="18"/>
                <w:szCs w:val="18"/>
              </w:rPr>
              <w:t>权重系数</w:t>
            </w:r>
          </w:p>
        </w:tc>
        <w:tc>
          <w:tcPr>
            <w:tcW w:w="992"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1031" w:type="dxa"/>
            <w:shd w:val="clear" w:color="auto" w:fill="FFFFFF"/>
            <w:vAlign w:val="center"/>
          </w:tcPr>
          <w:p>
            <w:pPr>
              <w:snapToGrid w:val="0"/>
              <w:spacing w:line="30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08" w:type="dxa"/>
            <w:shd w:val="clear" w:color="auto" w:fill="FFFFFF"/>
            <w:vAlign w:val="center"/>
          </w:tcPr>
          <w:p>
            <w:pPr>
              <w:snapToGrid w:val="0"/>
              <w:spacing w:line="300" w:lineRule="auto"/>
              <w:jc w:val="center"/>
              <w:rPr>
                <w:sz w:val="18"/>
                <w:szCs w:val="18"/>
              </w:rPr>
            </w:pPr>
            <w:r>
              <w:rPr>
                <w:rFonts w:hint="eastAsia"/>
                <w:sz w:val="18"/>
                <w:szCs w:val="18"/>
              </w:rPr>
              <w:t>1</w:t>
            </w:r>
          </w:p>
        </w:tc>
        <w:tc>
          <w:tcPr>
            <w:tcW w:w="3923" w:type="dxa"/>
            <w:shd w:val="clear" w:color="auto" w:fill="FFFFFF"/>
            <w:vAlign w:val="center"/>
          </w:tcPr>
          <w:p>
            <w:pPr>
              <w:snapToGrid w:val="0"/>
              <w:spacing w:line="300" w:lineRule="auto"/>
              <w:jc w:val="left"/>
              <w:rPr>
                <w:sz w:val="18"/>
                <w:szCs w:val="18"/>
              </w:rPr>
            </w:pPr>
            <w:r>
              <w:rPr>
                <w:sz w:val="18"/>
                <w:szCs w:val="18"/>
              </w:rPr>
              <w:t>掌握微型计算机或单片机应用系统设计/开发方案的选择原则</w:t>
            </w:r>
            <w:r>
              <w:rPr>
                <w:rFonts w:hint="eastAsia"/>
                <w:sz w:val="18"/>
                <w:szCs w:val="18"/>
              </w:rPr>
              <w:t>，以及常用硬件、软件系统设计开发环境的使用</w:t>
            </w:r>
            <w:r>
              <w:rPr>
                <w:sz w:val="18"/>
                <w:szCs w:val="18"/>
              </w:rPr>
              <w:t>；</w:t>
            </w:r>
          </w:p>
        </w:tc>
        <w:tc>
          <w:tcPr>
            <w:tcW w:w="993" w:type="dxa"/>
            <w:shd w:val="clear" w:color="auto" w:fill="FFFFFF"/>
            <w:vAlign w:val="center"/>
          </w:tcPr>
          <w:p>
            <w:pPr>
              <w:snapToGrid w:val="0"/>
              <w:spacing w:line="300" w:lineRule="auto"/>
              <w:jc w:val="center"/>
              <w:rPr>
                <w:sz w:val="18"/>
                <w:szCs w:val="18"/>
              </w:rPr>
            </w:pPr>
            <w:r>
              <w:rPr>
                <w:sz w:val="18"/>
                <w:szCs w:val="18"/>
              </w:rPr>
              <w:t>考查</w:t>
            </w:r>
          </w:p>
        </w:tc>
        <w:tc>
          <w:tcPr>
            <w:tcW w:w="1134" w:type="dxa"/>
            <w:shd w:val="clear" w:color="auto" w:fill="FFFFFF"/>
            <w:vAlign w:val="center"/>
          </w:tcPr>
          <w:p>
            <w:pPr>
              <w:snapToGrid w:val="0"/>
              <w:spacing w:line="300" w:lineRule="auto"/>
              <w:jc w:val="center"/>
              <w:rPr>
                <w:sz w:val="18"/>
                <w:szCs w:val="18"/>
              </w:rPr>
            </w:pPr>
            <w:r>
              <w:rPr>
                <w:sz w:val="18"/>
                <w:szCs w:val="18"/>
              </w:rPr>
              <w:t>0.3</w:t>
            </w:r>
          </w:p>
        </w:tc>
        <w:tc>
          <w:tcPr>
            <w:tcW w:w="992" w:type="dxa"/>
            <w:shd w:val="clear" w:color="auto" w:fill="FFFFFF"/>
            <w:vAlign w:val="center"/>
          </w:tcPr>
          <w:p>
            <w:pPr>
              <w:snapToGrid w:val="0"/>
              <w:spacing w:line="300" w:lineRule="auto"/>
              <w:jc w:val="left"/>
              <w:rPr>
                <w:sz w:val="18"/>
                <w:szCs w:val="18"/>
              </w:rPr>
            </w:pPr>
            <w:r>
              <w:rPr>
                <w:sz w:val="18"/>
                <w:szCs w:val="18"/>
              </w:rPr>
              <w:t>现场考察、答辩</w:t>
            </w:r>
          </w:p>
        </w:tc>
        <w:tc>
          <w:tcPr>
            <w:tcW w:w="1031" w:type="dxa"/>
            <w:shd w:val="clear" w:color="auto" w:fill="FFFFFF"/>
            <w:vAlign w:val="center"/>
          </w:tcPr>
          <w:p>
            <w:pPr>
              <w:snapToGrid w:val="0"/>
              <w:spacing w:line="300" w:lineRule="auto"/>
              <w:jc w:val="left"/>
              <w:rPr>
                <w:sz w:val="18"/>
                <w:szCs w:val="18"/>
              </w:rPr>
            </w:pPr>
            <w:r>
              <w:rPr>
                <w:rFonts w:hint="eastAsia"/>
                <w:sz w:val="18"/>
                <w:szCs w:val="18"/>
              </w:rPr>
              <w:t xml:space="preserv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center"/>
              <w:rPr>
                <w:sz w:val="18"/>
                <w:szCs w:val="18"/>
              </w:rPr>
            </w:pPr>
            <w:r>
              <w:rPr>
                <w:rFonts w:hint="eastAsia"/>
                <w:sz w:val="18"/>
                <w:szCs w:val="18"/>
              </w:rPr>
              <w:t>2</w:t>
            </w:r>
          </w:p>
        </w:tc>
        <w:tc>
          <w:tcPr>
            <w:tcW w:w="3923" w:type="dxa"/>
            <w:shd w:val="clear" w:color="auto" w:fill="FFFFFF"/>
            <w:vAlign w:val="center"/>
          </w:tcPr>
          <w:p>
            <w:pPr>
              <w:snapToGrid w:val="0"/>
              <w:spacing w:line="300" w:lineRule="auto"/>
              <w:jc w:val="left"/>
              <w:rPr>
                <w:sz w:val="18"/>
                <w:szCs w:val="18"/>
              </w:rPr>
            </w:pPr>
            <w:r>
              <w:rPr>
                <w:sz w:val="18"/>
                <w:szCs w:val="18"/>
              </w:rPr>
              <w:t>个人与团队：具有一定的组织管理能力、表达能力和人际交往能力以及在团队中分担任务并承担责任；</w:t>
            </w:r>
          </w:p>
        </w:tc>
        <w:tc>
          <w:tcPr>
            <w:tcW w:w="993" w:type="dxa"/>
            <w:shd w:val="clear" w:color="auto" w:fill="FFFFFF"/>
            <w:vAlign w:val="center"/>
          </w:tcPr>
          <w:p>
            <w:pPr>
              <w:snapToGrid w:val="0"/>
              <w:spacing w:line="300" w:lineRule="auto"/>
              <w:jc w:val="center"/>
              <w:rPr>
                <w:sz w:val="18"/>
                <w:szCs w:val="18"/>
              </w:rPr>
            </w:pPr>
            <w:r>
              <w:rPr>
                <w:sz w:val="18"/>
                <w:szCs w:val="18"/>
              </w:rPr>
              <w:t>考查</w:t>
            </w:r>
          </w:p>
        </w:tc>
        <w:tc>
          <w:tcPr>
            <w:tcW w:w="1134" w:type="dxa"/>
            <w:shd w:val="clear" w:color="auto" w:fill="FFFFFF"/>
            <w:vAlign w:val="center"/>
          </w:tcPr>
          <w:p>
            <w:pPr>
              <w:snapToGrid w:val="0"/>
              <w:spacing w:line="300" w:lineRule="auto"/>
              <w:jc w:val="center"/>
              <w:rPr>
                <w:sz w:val="18"/>
                <w:szCs w:val="18"/>
              </w:rPr>
            </w:pPr>
            <w:r>
              <w:rPr>
                <w:sz w:val="18"/>
                <w:szCs w:val="18"/>
              </w:rPr>
              <w:t>0.7</w:t>
            </w:r>
          </w:p>
        </w:tc>
        <w:tc>
          <w:tcPr>
            <w:tcW w:w="992" w:type="dxa"/>
            <w:shd w:val="clear" w:color="auto" w:fill="FFFFFF"/>
            <w:vAlign w:val="center"/>
          </w:tcPr>
          <w:p>
            <w:pPr>
              <w:snapToGrid w:val="0"/>
              <w:spacing w:line="300" w:lineRule="auto"/>
              <w:jc w:val="left"/>
              <w:rPr>
                <w:sz w:val="18"/>
                <w:szCs w:val="18"/>
              </w:rPr>
            </w:pPr>
            <w:r>
              <w:rPr>
                <w:rFonts w:hint="eastAsia"/>
                <w:sz w:val="18"/>
                <w:szCs w:val="18"/>
              </w:rPr>
              <w:t>分组、任务分解</w:t>
            </w:r>
            <w:r>
              <w:rPr>
                <w:sz w:val="18"/>
                <w:szCs w:val="18"/>
              </w:rPr>
              <w:t>、</w:t>
            </w:r>
            <w:r>
              <w:rPr>
                <w:rFonts w:hint="eastAsia"/>
                <w:sz w:val="18"/>
                <w:szCs w:val="18"/>
              </w:rPr>
              <w:t>团队合作、</w:t>
            </w:r>
            <w:r>
              <w:rPr>
                <w:sz w:val="18"/>
                <w:szCs w:val="18"/>
              </w:rPr>
              <w:t>实习报告、日志等</w:t>
            </w:r>
          </w:p>
        </w:tc>
        <w:tc>
          <w:tcPr>
            <w:tcW w:w="1031" w:type="dxa"/>
            <w:shd w:val="clear" w:color="auto" w:fill="FFFFFF"/>
            <w:vAlign w:val="center"/>
          </w:tcPr>
          <w:p>
            <w:pPr>
              <w:snapToGrid w:val="0"/>
              <w:spacing w:line="300" w:lineRule="auto"/>
              <w:jc w:val="left"/>
              <w:rPr>
                <w:sz w:val="18"/>
                <w:szCs w:val="18"/>
              </w:rPr>
            </w:pPr>
            <w:r>
              <w:rPr>
                <w:rFonts w:hint="eastAsia"/>
                <w:sz w:val="18"/>
                <w:szCs w:val="18"/>
              </w:rPr>
              <w:t xml:space="preserve">   9.1</w:t>
            </w: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达成度评价依据和方法：</w:t>
      </w:r>
    </w:p>
    <w:p>
      <w:pPr>
        <w:spacing w:before="6" w:line="300" w:lineRule="auto"/>
        <w:ind w:right="272" w:firstLine="420" w:firstLineChars="200"/>
        <w:rPr>
          <w:szCs w:val="21"/>
        </w:rPr>
      </w:pPr>
      <w:r>
        <w:rPr>
          <w:szCs w:val="21"/>
        </w:rPr>
        <w:t>1.课程目标评价方式 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方</w:t>
      </w:r>
      <w:r>
        <w:rPr>
          <w:szCs w:val="21"/>
        </w:rPr>
        <w:t>法</w:t>
      </w:r>
      <w:r>
        <w:rPr>
          <w:spacing w:val="-2"/>
          <w:szCs w:val="21"/>
        </w:rPr>
        <w:t>如</w:t>
      </w:r>
      <w:r>
        <w:rPr>
          <w:szCs w:val="21"/>
        </w:rPr>
        <w:t>下：</w:t>
      </w:r>
    </w:p>
    <w:p>
      <w:pPr>
        <w:jc w:val="center"/>
        <w:rPr>
          <w:szCs w:val="21"/>
        </w:rPr>
      </w:pPr>
      <w:r>
        <w:rPr>
          <w:position w:val="-26"/>
        </w:rPr>
        <w:object>
          <v:shape id="_x0000_i1192" o:spt="75" type="#_x0000_t75" style="height:29.25pt;width:361.5pt;" o:ole="t" filled="f" o:preferrelative="t" stroked="f" coordsize="21600,21600">
            <v:path/>
            <v:fill on="f" focussize="0,0"/>
            <v:stroke on="f" joinstyle="miter"/>
            <v:imagedata r:id="rId36" o:title=""/>
            <o:lock v:ext="edit" aspectratio="t"/>
            <w10:wrap type="none"/>
            <w10:anchorlock/>
          </v:shape>
          <o:OLEObject Type="Embed" ProgID="Equation.3" ShapeID="_x0000_i1192" DrawAspect="Content" ObjectID="_1468075890" r:id="rId219">
            <o:LockedField>false</o:LockedField>
          </o:OLEObject>
        </w:object>
      </w:r>
    </w:p>
    <w:p>
      <w:pPr>
        <w:spacing w:before="70" w:line="153"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w:t>
      </w:r>
      <w:r>
        <w:rPr>
          <w:spacing w:val="-6"/>
          <w:position w:val="-1"/>
          <w:szCs w:val="21"/>
        </w:rPr>
        <w:t xml:space="preserve"> </w:t>
      </w:r>
      <w:r>
        <w:rPr>
          <w:position w:val="-1"/>
          <w:szCs w:val="21"/>
        </w:rPr>
        <w:t>5</w:t>
      </w:r>
      <w:r>
        <w:rPr>
          <w:spacing w:val="-2"/>
          <w:position w:val="-1"/>
          <w:szCs w:val="21"/>
        </w:rPr>
        <w:t>个</w:t>
      </w:r>
      <w:r>
        <w:rPr>
          <w:position w:val="-1"/>
          <w:szCs w:val="21"/>
        </w:rPr>
        <w:t>课程</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pacing w:before="72"/>
        <w:ind w:right="-20"/>
        <w:jc w:val="center"/>
        <w:rPr>
          <w:szCs w:val="21"/>
        </w:rPr>
      </w:pPr>
      <w:r>
        <w:object>
          <v:shape id="_x0000_i1193" o:spt="75" type="#_x0000_t75" style="height:18pt;width:279pt;" o:ole="t" filled="f" o:preferrelative="t" stroked="f" coordsize="21600,21600">
            <v:path/>
            <v:fill on="f" focussize="0,0"/>
            <v:stroke on="f" joinstyle="miter"/>
            <v:imagedata r:id="rId38" o:title=""/>
            <o:lock v:ext="edit" aspectratio="t"/>
            <w10:wrap type="none"/>
            <w10:anchorlock/>
          </v:shape>
          <o:OLEObject Type="Embed" ProgID="Equation.DSMT4" ShapeID="_x0000_i1193" DrawAspect="Content" ObjectID="_1468075891" r:id="rId220">
            <o:LockedField>false</o:LockedField>
          </o:OLEObject>
        </w:object>
      </w:r>
    </w:p>
    <w:p>
      <w:pPr>
        <w:spacing w:line="300" w:lineRule="auto"/>
        <w:ind w:right="-23"/>
        <w:rPr>
          <w:spacing w:val="-2"/>
          <w:position w:val="-3"/>
          <w:szCs w:val="21"/>
        </w:rPr>
      </w:pPr>
      <w:r>
        <w:rPr>
          <w:position w:val="-3"/>
          <w:szCs w:val="21"/>
        </w:rPr>
        <w:t>其中</w:t>
      </w:r>
      <w:r>
        <w:rPr>
          <w:spacing w:val="-2"/>
          <w:position w:val="-3"/>
          <w:szCs w:val="21"/>
        </w:rPr>
        <w:t>权</w:t>
      </w:r>
      <w:r>
        <w:rPr>
          <w:position w:val="-3"/>
          <w:szCs w:val="21"/>
        </w:rPr>
        <w:t>重</w:t>
      </w:r>
      <w:r>
        <w:rPr>
          <w:spacing w:val="-2"/>
          <w:position w:val="-3"/>
          <w:szCs w:val="21"/>
        </w:rPr>
        <w:t>系</w:t>
      </w:r>
      <w:r>
        <w:rPr>
          <w:position w:val="-3"/>
          <w:szCs w:val="21"/>
        </w:rPr>
        <w:t>数</w:t>
      </w:r>
      <w:r>
        <w:rPr>
          <w:spacing w:val="-2"/>
          <w:position w:val="-3"/>
          <w:szCs w:val="21"/>
        </w:rPr>
        <w:t>设</w:t>
      </w:r>
      <w:r>
        <w:rPr>
          <w:position w:val="-3"/>
          <w:szCs w:val="21"/>
        </w:rPr>
        <w:t>定</w:t>
      </w:r>
      <w:r>
        <w:rPr>
          <w:spacing w:val="-2"/>
          <w:position w:val="-3"/>
          <w:szCs w:val="21"/>
        </w:rPr>
        <w:t>如表6。</w:t>
      </w:r>
    </w:p>
    <w:p>
      <w:pPr>
        <w:snapToGrid w:val="0"/>
        <w:spacing w:before="156" w:beforeLines="50" w:line="300" w:lineRule="auto"/>
        <w:jc w:val="center"/>
        <w:rPr>
          <w:b/>
          <w:bCs/>
          <w:sz w:val="18"/>
          <w:szCs w:val="18"/>
        </w:rPr>
      </w:pPr>
      <w:r>
        <w:rPr>
          <w:b/>
          <w:bCs/>
          <w:sz w:val="18"/>
          <w:szCs w:val="18"/>
        </w:rPr>
        <w:t>表6课程目标权重系数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4"/>
        <w:gridCol w:w="3723"/>
        <w:gridCol w:w="3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1234" w:type="dxa"/>
            <w:vAlign w:val="center"/>
          </w:tcPr>
          <w:p>
            <w:pPr>
              <w:snapToGrid w:val="0"/>
              <w:spacing w:line="300" w:lineRule="auto"/>
              <w:jc w:val="center"/>
              <w:rPr>
                <w:b/>
                <w:bCs/>
                <w:sz w:val="18"/>
                <w:szCs w:val="18"/>
              </w:rPr>
            </w:pPr>
            <w:r>
              <w:rPr>
                <w:b/>
                <w:bCs/>
                <w:sz w:val="18"/>
                <w:szCs w:val="18"/>
              </w:rPr>
              <w:t>课程目标</w:t>
            </w:r>
          </w:p>
        </w:tc>
        <w:tc>
          <w:tcPr>
            <w:tcW w:w="3723" w:type="dxa"/>
            <w:vAlign w:val="center"/>
          </w:tcPr>
          <w:p>
            <w:pPr>
              <w:snapToGrid w:val="0"/>
              <w:spacing w:line="300" w:lineRule="auto"/>
              <w:rPr>
                <w:sz w:val="18"/>
                <w:szCs w:val="18"/>
              </w:rPr>
            </w:pPr>
            <w:r>
              <w:rPr>
                <w:rFonts w:hint="eastAsia"/>
                <w:sz w:val="18"/>
                <w:szCs w:val="18"/>
              </w:rPr>
              <w:t xml:space="preserve">                 1</w:t>
            </w:r>
          </w:p>
        </w:tc>
        <w:tc>
          <w:tcPr>
            <w:tcW w:w="3724" w:type="dxa"/>
            <w:vAlign w:val="center"/>
          </w:tcPr>
          <w:p>
            <w:pPr>
              <w:snapToGrid w:val="0"/>
              <w:spacing w:line="300" w:lineRule="auto"/>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234" w:type="dxa"/>
            <w:vAlign w:val="center"/>
          </w:tcPr>
          <w:p>
            <w:pPr>
              <w:snapToGrid w:val="0"/>
              <w:spacing w:line="300" w:lineRule="auto"/>
              <w:jc w:val="center"/>
              <w:rPr>
                <w:b/>
                <w:bCs/>
                <w:sz w:val="18"/>
                <w:szCs w:val="18"/>
              </w:rPr>
            </w:pPr>
            <w:r>
              <w:rPr>
                <w:b/>
                <w:bCs/>
                <w:sz w:val="18"/>
                <w:szCs w:val="18"/>
              </w:rPr>
              <w:t>权重系数</w:t>
            </w:r>
          </w:p>
        </w:tc>
        <w:tc>
          <w:tcPr>
            <w:tcW w:w="3723" w:type="dxa"/>
            <w:vAlign w:val="center"/>
          </w:tcPr>
          <w:p>
            <w:pPr>
              <w:snapToGrid w:val="0"/>
              <w:spacing w:line="300" w:lineRule="auto"/>
              <w:ind w:firstLine="1440" w:firstLineChars="800"/>
              <w:rPr>
                <w:sz w:val="18"/>
                <w:szCs w:val="18"/>
              </w:rPr>
            </w:pPr>
            <w:r>
              <w:rPr>
                <w:rFonts w:hint="eastAsia"/>
                <w:sz w:val="18"/>
                <w:szCs w:val="18"/>
              </w:rPr>
              <w:t>0.</w:t>
            </w:r>
            <w:r>
              <w:rPr>
                <w:sz w:val="18"/>
                <w:szCs w:val="18"/>
              </w:rPr>
              <w:t>3</w:t>
            </w:r>
          </w:p>
        </w:tc>
        <w:tc>
          <w:tcPr>
            <w:tcW w:w="3724" w:type="dxa"/>
            <w:vAlign w:val="center"/>
          </w:tcPr>
          <w:p>
            <w:pPr>
              <w:snapToGrid w:val="0"/>
              <w:spacing w:line="300" w:lineRule="auto"/>
              <w:jc w:val="center"/>
              <w:rPr>
                <w:sz w:val="18"/>
                <w:szCs w:val="18"/>
              </w:rPr>
            </w:pPr>
            <w:r>
              <w:rPr>
                <w:rFonts w:hint="eastAsia"/>
                <w:sz w:val="18"/>
                <w:szCs w:val="18"/>
              </w:rPr>
              <w:t>0.</w:t>
            </w:r>
            <w:r>
              <w:rPr>
                <w:sz w:val="18"/>
                <w:szCs w:val="18"/>
              </w:rPr>
              <w:t>7</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194" o:spt="75" type="#_x0000_t75" style="height:18.75pt;width:284.25pt;" o:ole="t" filled="f" o:preferrelative="t" stroked="f" coordsize="21600,21600">
            <v:path/>
            <v:fill on="f" focussize="0,0"/>
            <v:stroke on="f" joinstyle="miter"/>
            <v:imagedata r:id="rId40" o:title=""/>
            <o:lock v:ext="edit" aspectratio="t"/>
            <w10:wrap type="none"/>
            <w10:anchorlock/>
          </v:shape>
          <o:OLEObject Type="Embed" ProgID="Equation.3" ShapeID="_x0000_i1194" DrawAspect="Content" ObjectID="_1468075892" r:id="rId221">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b/>
          <w:sz w:val="24"/>
        </w:rPr>
      </w:pPr>
      <w:r>
        <w:rPr>
          <w:b/>
          <w:sz w:val="24"/>
        </w:rPr>
        <w:t>七、教材及参考资料</w:t>
      </w:r>
    </w:p>
    <w:p>
      <w:pPr>
        <w:snapToGrid w:val="0"/>
        <w:spacing w:line="300" w:lineRule="auto"/>
        <w:ind w:firstLine="420" w:firstLineChars="200"/>
        <w:rPr>
          <w:szCs w:val="21"/>
        </w:rPr>
      </w:pPr>
      <w:r>
        <w:rPr>
          <w:szCs w:val="21"/>
        </w:rPr>
        <w:t>[1]宋杰等.微机原理与接口技术课程设计[M],北京：机械工业出版社，2005.4。</w:t>
      </w:r>
    </w:p>
    <w:p>
      <w:pPr>
        <w:snapToGrid w:val="0"/>
        <w:spacing w:line="300" w:lineRule="auto"/>
        <w:ind w:firstLine="420" w:firstLineChars="200"/>
        <w:rPr>
          <w:szCs w:val="21"/>
        </w:rPr>
      </w:pPr>
      <w:r>
        <w:rPr>
          <w:szCs w:val="21"/>
        </w:rPr>
        <w:t>[2]杨居义等.单片机课程设计指导[M],北京：清华大学出版社，2009。</w:t>
      </w:r>
    </w:p>
    <w:p>
      <w:pPr>
        <w:snapToGrid w:val="0"/>
        <w:spacing w:line="300" w:lineRule="auto"/>
        <w:ind w:firstLine="420" w:firstLineChars="200"/>
        <w:rPr>
          <w:szCs w:val="21"/>
        </w:rPr>
      </w:pPr>
      <w:r>
        <w:rPr>
          <w:szCs w:val="21"/>
        </w:rPr>
        <w:t>[3]楼然苗.单片机课程设计指导[M],北京：北京航空航天大学出版社，2014.1。</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kern w:val="0"/>
                <w:szCs w:val="21"/>
              </w:rPr>
            </w:pPr>
            <w:r>
              <w:rPr>
                <w:kern w:val="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Cs w:val="21"/>
              </w:rPr>
            </w:pPr>
            <w:r>
              <w:rPr>
                <w:kern w:val="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Cs w:val="21"/>
              </w:rPr>
            </w:pPr>
            <w:r>
              <w:rPr>
                <w:kern w:val="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jc w:val="right"/>
              <w:rPr>
                <w:kern w:val="0"/>
                <w:szCs w:val="21"/>
              </w:rPr>
            </w:pPr>
          </w:p>
        </w:tc>
      </w:tr>
    </w:tbl>
    <w:p>
      <w:pPr>
        <w:snapToGrid w:val="0"/>
        <w:spacing w:before="156" w:beforeLines="50" w:after="156" w:afterLines="50" w:line="300" w:lineRule="auto"/>
        <w:outlineLvl w:val="2"/>
        <w:rPr>
          <w:b/>
          <w:sz w:val="32"/>
          <w:szCs w:val="32"/>
        </w:rPr>
        <w:sectPr>
          <w:pgSz w:w="11906" w:h="16838"/>
          <w:pgMar w:top="1440" w:right="1417" w:bottom="1440" w:left="1797" w:header="851" w:footer="992" w:gutter="0"/>
          <w:cols w:space="720" w:num="1"/>
          <w:docGrid w:type="lines" w:linePitch="312" w:charSpace="0"/>
        </w:sectPr>
      </w:pPr>
    </w:p>
    <w:p>
      <w:pPr>
        <w:snapToGrid w:val="0"/>
        <w:spacing w:before="156" w:beforeLines="50" w:after="156" w:afterLines="50" w:line="300" w:lineRule="auto"/>
        <w:outlineLvl w:val="2"/>
        <w:rPr>
          <w:b/>
          <w:sz w:val="32"/>
          <w:szCs w:val="32"/>
        </w:rPr>
        <w:sectPr>
          <w:type w:val="continuous"/>
          <w:pgSz w:w="11906" w:h="16838"/>
          <w:pgMar w:top="1440" w:right="1417" w:bottom="1440" w:left="1797" w:header="851" w:footer="992" w:gutter="0"/>
          <w:cols w:space="720" w:num="1"/>
          <w:docGrid w:type="lines" w:linePitch="312" w:charSpace="0"/>
        </w:sectPr>
      </w:pPr>
    </w:p>
    <w:p>
      <w:pPr>
        <w:snapToGrid w:val="0"/>
        <w:spacing w:before="156" w:beforeLines="50" w:after="156" w:afterLines="50" w:line="300" w:lineRule="auto"/>
        <w:outlineLvl w:val="2"/>
        <w:rPr>
          <w:b/>
          <w:sz w:val="32"/>
          <w:szCs w:val="32"/>
        </w:rPr>
        <w:sectPr>
          <w:type w:val="continuous"/>
          <w:pgSz w:w="11906" w:h="16838"/>
          <w:pgMar w:top="1440" w:right="1417" w:bottom="1440" w:left="1797" w:header="851" w:footer="992" w:gutter="0"/>
          <w:cols w:space="720" w:num="1"/>
          <w:docGrid w:type="lines" w:linePitch="312" w:charSpace="0"/>
        </w:sectPr>
      </w:pPr>
    </w:p>
    <w:p>
      <w:pPr>
        <w:pStyle w:val="3"/>
        <w:jc w:val="center"/>
      </w:pPr>
      <w:bookmarkStart w:id="276" w:name="_Toc11793"/>
      <w:bookmarkStart w:id="277" w:name="_Toc3911"/>
      <w:bookmarkStart w:id="278" w:name="_Toc1712"/>
      <w:r>
        <w:rPr>
          <w:rFonts w:hint="eastAsia"/>
        </w:rPr>
        <w:t>j3340102《高频电子线路课程实习》实习教学大纲</w:t>
      </w:r>
      <w:bookmarkEnd w:id="276"/>
      <w:bookmarkEnd w:id="277"/>
      <w:bookmarkEnd w:id="27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6" w:type="dxa"/>
            <w:vAlign w:val="center"/>
          </w:tcPr>
          <w:p>
            <w:pPr>
              <w:jc w:val="center"/>
              <w:rPr>
                <w:kern w:val="0"/>
                <w:szCs w:val="21"/>
              </w:rPr>
            </w:pPr>
            <w:r>
              <w:rPr>
                <w:kern w:val="0"/>
                <w:szCs w:val="21"/>
              </w:rPr>
              <w:t>课程编号</w:t>
            </w:r>
          </w:p>
        </w:tc>
        <w:tc>
          <w:tcPr>
            <w:tcW w:w="3143" w:type="dxa"/>
            <w:vAlign w:val="center"/>
          </w:tcPr>
          <w:p>
            <w:pPr>
              <w:jc w:val="center"/>
              <w:rPr>
                <w:kern w:val="0"/>
                <w:szCs w:val="21"/>
              </w:rPr>
            </w:pPr>
            <w:r>
              <w:rPr>
                <w:kern w:val="0"/>
                <w:szCs w:val="21"/>
              </w:rPr>
              <w:t>j3340102</w:t>
            </w:r>
          </w:p>
        </w:tc>
        <w:tc>
          <w:tcPr>
            <w:tcW w:w="1214" w:type="dxa"/>
            <w:vAlign w:val="center"/>
          </w:tcPr>
          <w:p>
            <w:pPr>
              <w:jc w:val="center"/>
              <w:rPr>
                <w:kern w:val="0"/>
                <w:szCs w:val="21"/>
              </w:rPr>
            </w:pPr>
            <w:r>
              <w:rPr>
                <w:kern w:val="0"/>
                <w:szCs w:val="21"/>
              </w:rPr>
              <w:t>课程名称</w:t>
            </w:r>
          </w:p>
        </w:tc>
        <w:tc>
          <w:tcPr>
            <w:tcW w:w="2978" w:type="dxa"/>
            <w:vAlign w:val="center"/>
          </w:tcPr>
          <w:p>
            <w:pPr>
              <w:jc w:val="center"/>
              <w:rPr>
                <w:kern w:val="0"/>
                <w:szCs w:val="21"/>
              </w:rPr>
            </w:pPr>
            <w:r>
              <w:rPr>
                <w:kern w:val="0"/>
                <w:szCs w:val="21"/>
              </w:rPr>
              <w:t>高频电子线路课程实习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6" w:type="dxa"/>
            <w:vAlign w:val="center"/>
          </w:tcPr>
          <w:p>
            <w:pPr>
              <w:jc w:val="center"/>
              <w:rPr>
                <w:kern w:val="0"/>
                <w:szCs w:val="21"/>
              </w:rPr>
            </w:pPr>
            <w:r>
              <w:rPr>
                <w:kern w:val="0"/>
                <w:szCs w:val="21"/>
              </w:rPr>
              <w:t>课程性质*</w:t>
            </w:r>
          </w:p>
        </w:tc>
        <w:tc>
          <w:tcPr>
            <w:tcW w:w="3143" w:type="dxa"/>
            <w:vAlign w:val="center"/>
          </w:tcPr>
          <w:p>
            <w:pPr>
              <w:jc w:val="center"/>
              <w:rPr>
                <w:kern w:val="0"/>
                <w:szCs w:val="21"/>
              </w:rPr>
            </w:pPr>
            <w:r>
              <w:rPr>
                <w:kern w:val="0"/>
                <w:szCs w:val="21"/>
              </w:rPr>
              <w:t>工程实践与毕业设计（论文）</w:t>
            </w:r>
          </w:p>
        </w:tc>
        <w:tc>
          <w:tcPr>
            <w:tcW w:w="1214" w:type="dxa"/>
            <w:vAlign w:val="center"/>
          </w:tcPr>
          <w:p>
            <w:pPr>
              <w:jc w:val="center"/>
              <w:rPr>
                <w:kern w:val="0"/>
                <w:szCs w:val="21"/>
              </w:rPr>
            </w:pPr>
            <w:r>
              <w:rPr>
                <w:kern w:val="0"/>
                <w:szCs w:val="21"/>
              </w:rPr>
              <w:t>英文名称</w:t>
            </w:r>
          </w:p>
        </w:tc>
        <w:tc>
          <w:tcPr>
            <w:tcW w:w="2978" w:type="dxa"/>
            <w:vAlign w:val="center"/>
          </w:tcPr>
          <w:p>
            <w:pPr>
              <w:jc w:val="center"/>
              <w:rPr>
                <w:kern w:val="0"/>
                <w:szCs w:val="21"/>
              </w:rPr>
            </w:pPr>
            <w:r>
              <w:rPr>
                <w:kern w:val="0"/>
                <w:szCs w:val="21"/>
              </w:rPr>
              <w:t>High-Frenquency Electronic Circuit Course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6" w:type="dxa"/>
            <w:vAlign w:val="center"/>
          </w:tcPr>
          <w:p>
            <w:pPr>
              <w:jc w:val="center"/>
              <w:rPr>
                <w:kern w:val="0"/>
                <w:szCs w:val="21"/>
              </w:rPr>
            </w:pPr>
            <w:r>
              <w:rPr>
                <w:kern w:val="0"/>
                <w:szCs w:val="21"/>
              </w:rPr>
              <w:t>学时学分</w:t>
            </w:r>
          </w:p>
        </w:tc>
        <w:tc>
          <w:tcPr>
            <w:tcW w:w="3143" w:type="dxa"/>
            <w:vAlign w:val="center"/>
          </w:tcPr>
          <w:p>
            <w:pPr>
              <w:jc w:val="center"/>
              <w:rPr>
                <w:kern w:val="0"/>
                <w:szCs w:val="21"/>
              </w:rPr>
            </w:pPr>
            <w:r>
              <w:rPr>
                <w:kern w:val="0"/>
                <w:szCs w:val="21"/>
              </w:rPr>
              <w:t>1</w:t>
            </w:r>
            <w:r>
              <w:rPr>
                <w:bCs/>
                <w:kern w:val="0"/>
                <w:szCs w:val="21"/>
              </w:rPr>
              <w:t xml:space="preserve"> </w:t>
            </w:r>
            <w:r>
              <w:rPr>
                <w:kern w:val="0"/>
                <w:szCs w:val="21"/>
              </w:rPr>
              <w:t>: 1周</w:t>
            </w:r>
          </w:p>
        </w:tc>
        <w:tc>
          <w:tcPr>
            <w:tcW w:w="1214" w:type="dxa"/>
            <w:vAlign w:val="center"/>
          </w:tcPr>
          <w:p>
            <w:pPr>
              <w:jc w:val="center"/>
              <w:rPr>
                <w:kern w:val="0"/>
                <w:szCs w:val="21"/>
              </w:rPr>
            </w:pPr>
            <w:r>
              <w:rPr>
                <w:kern w:val="0"/>
                <w:szCs w:val="21"/>
              </w:rPr>
              <w:t>任课教师</w:t>
            </w:r>
          </w:p>
        </w:tc>
        <w:tc>
          <w:tcPr>
            <w:tcW w:w="2978" w:type="dxa"/>
            <w:vAlign w:val="center"/>
          </w:tcPr>
          <w:p>
            <w:pPr>
              <w:jc w:val="center"/>
              <w:rPr>
                <w:kern w:val="0"/>
                <w:szCs w:val="21"/>
              </w:rPr>
            </w:pPr>
            <w:r>
              <w:rPr>
                <w:kern w:val="0"/>
                <w:szCs w:val="21"/>
              </w:rPr>
              <w:t>王骥、李依潼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6" w:type="dxa"/>
            <w:vAlign w:val="center"/>
          </w:tcPr>
          <w:p>
            <w:pPr>
              <w:jc w:val="center"/>
              <w:rPr>
                <w:kern w:val="0"/>
                <w:szCs w:val="21"/>
              </w:rPr>
            </w:pPr>
            <w:r>
              <w:rPr>
                <w:kern w:val="0"/>
                <w:szCs w:val="21"/>
              </w:rPr>
              <w:t>企业专家</w:t>
            </w:r>
          </w:p>
        </w:tc>
        <w:tc>
          <w:tcPr>
            <w:tcW w:w="3143" w:type="dxa"/>
            <w:vAlign w:val="center"/>
          </w:tcPr>
          <w:p>
            <w:pPr>
              <w:widowControl/>
              <w:jc w:val="center"/>
              <w:rPr>
                <w:kern w:val="0"/>
                <w:szCs w:val="21"/>
              </w:rPr>
            </w:pPr>
            <w:r>
              <w:rPr>
                <w:kern w:val="0"/>
                <w:szCs w:val="21"/>
              </w:rPr>
              <w:t>曾耿滨</w:t>
            </w:r>
          </w:p>
        </w:tc>
        <w:tc>
          <w:tcPr>
            <w:tcW w:w="1214" w:type="dxa"/>
            <w:vAlign w:val="center"/>
          </w:tcPr>
          <w:p>
            <w:pPr>
              <w:jc w:val="center"/>
              <w:rPr>
                <w:kern w:val="0"/>
                <w:szCs w:val="21"/>
              </w:rPr>
            </w:pPr>
            <w:r>
              <w:rPr>
                <w:kern w:val="0"/>
                <w:szCs w:val="21"/>
              </w:rPr>
              <w:t>行业专业</w:t>
            </w:r>
          </w:p>
        </w:tc>
        <w:tc>
          <w:tcPr>
            <w:tcW w:w="2978"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6" w:type="dxa"/>
            <w:vAlign w:val="center"/>
          </w:tcPr>
          <w:p>
            <w:pPr>
              <w:jc w:val="center"/>
              <w:rPr>
                <w:kern w:val="0"/>
                <w:szCs w:val="21"/>
              </w:rPr>
            </w:pPr>
            <w:r>
              <w:rPr>
                <w:kern w:val="0"/>
                <w:szCs w:val="21"/>
              </w:rPr>
              <w:t>执笔教师</w:t>
            </w:r>
          </w:p>
        </w:tc>
        <w:tc>
          <w:tcPr>
            <w:tcW w:w="3143" w:type="dxa"/>
            <w:vAlign w:val="center"/>
          </w:tcPr>
          <w:p>
            <w:pPr>
              <w:jc w:val="center"/>
              <w:rPr>
                <w:kern w:val="0"/>
                <w:szCs w:val="21"/>
              </w:rPr>
            </w:pPr>
            <w:r>
              <w:rPr>
                <w:kern w:val="0"/>
                <w:szCs w:val="21"/>
              </w:rPr>
              <w:t>李依潼</w:t>
            </w:r>
          </w:p>
        </w:tc>
        <w:tc>
          <w:tcPr>
            <w:tcW w:w="1214" w:type="dxa"/>
            <w:vAlign w:val="center"/>
          </w:tcPr>
          <w:p>
            <w:pPr>
              <w:jc w:val="center"/>
              <w:rPr>
                <w:kern w:val="0"/>
                <w:szCs w:val="21"/>
              </w:rPr>
            </w:pPr>
            <w:r>
              <w:rPr>
                <w:kern w:val="0"/>
                <w:szCs w:val="21"/>
              </w:rPr>
              <w:t>责任教授</w:t>
            </w:r>
          </w:p>
        </w:tc>
        <w:tc>
          <w:tcPr>
            <w:tcW w:w="2978" w:type="dxa"/>
            <w:vAlign w:val="center"/>
          </w:tcPr>
          <w:p>
            <w:pPr>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1346" w:type="dxa"/>
            <w:vAlign w:val="center"/>
          </w:tcPr>
          <w:p>
            <w:pPr>
              <w:jc w:val="center"/>
              <w:rPr>
                <w:kern w:val="0"/>
                <w:szCs w:val="21"/>
              </w:rPr>
            </w:pPr>
            <w:r>
              <w:rPr>
                <w:kern w:val="0"/>
                <w:szCs w:val="21"/>
              </w:rPr>
              <w:t>适用专业</w:t>
            </w:r>
          </w:p>
        </w:tc>
        <w:tc>
          <w:tcPr>
            <w:tcW w:w="3143" w:type="dxa"/>
            <w:vAlign w:val="center"/>
          </w:tcPr>
          <w:p>
            <w:pPr>
              <w:jc w:val="center"/>
              <w:rPr>
                <w:kern w:val="0"/>
                <w:szCs w:val="21"/>
              </w:rPr>
            </w:pPr>
            <w:r>
              <w:rPr>
                <w:kern w:val="0"/>
                <w:szCs w:val="21"/>
              </w:rPr>
              <w:t>电子信息工程</w:t>
            </w:r>
          </w:p>
        </w:tc>
        <w:tc>
          <w:tcPr>
            <w:tcW w:w="1214" w:type="dxa"/>
            <w:vAlign w:val="center"/>
          </w:tcPr>
          <w:p>
            <w:pPr>
              <w:jc w:val="center"/>
              <w:rPr>
                <w:kern w:val="0"/>
                <w:szCs w:val="21"/>
              </w:rPr>
            </w:pPr>
            <w:r>
              <w:rPr>
                <w:kern w:val="0"/>
                <w:szCs w:val="21"/>
              </w:rPr>
              <w:t>适用对象</w:t>
            </w:r>
          </w:p>
        </w:tc>
        <w:tc>
          <w:tcPr>
            <w:tcW w:w="2978"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1346" w:type="dxa"/>
            <w:vAlign w:val="center"/>
          </w:tcPr>
          <w:p>
            <w:pPr>
              <w:jc w:val="center"/>
              <w:rPr>
                <w:kern w:val="0"/>
                <w:szCs w:val="21"/>
              </w:rPr>
            </w:pPr>
            <w:r>
              <w:rPr>
                <w:kern w:val="0"/>
                <w:szCs w:val="21"/>
              </w:rPr>
              <w:t>先修课程</w:t>
            </w:r>
          </w:p>
        </w:tc>
        <w:tc>
          <w:tcPr>
            <w:tcW w:w="3143" w:type="dxa"/>
            <w:vAlign w:val="center"/>
          </w:tcPr>
          <w:p>
            <w:pPr>
              <w:widowControl/>
              <w:jc w:val="center"/>
              <w:rPr>
                <w:kern w:val="0"/>
                <w:szCs w:val="21"/>
              </w:rPr>
            </w:pPr>
            <w:r>
              <w:rPr>
                <w:kern w:val="0"/>
                <w:szCs w:val="21"/>
              </w:rPr>
              <w:t>电子信息类专业课程</w:t>
            </w:r>
          </w:p>
        </w:tc>
        <w:tc>
          <w:tcPr>
            <w:tcW w:w="1214" w:type="dxa"/>
            <w:vAlign w:val="center"/>
          </w:tcPr>
          <w:p>
            <w:pPr>
              <w:widowControl/>
              <w:jc w:val="center"/>
              <w:rPr>
                <w:kern w:val="0"/>
                <w:szCs w:val="21"/>
              </w:rPr>
            </w:pPr>
            <w:r>
              <w:rPr>
                <w:kern w:val="0"/>
                <w:szCs w:val="21"/>
              </w:rPr>
              <w:t>同修课程</w:t>
            </w:r>
          </w:p>
        </w:tc>
        <w:tc>
          <w:tcPr>
            <w:tcW w:w="2978" w:type="dxa"/>
            <w:vAlign w:val="center"/>
          </w:tcPr>
          <w:p>
            <w:pPr>
              <w:widowControl/>
              <w:jc w:val="center"/>
              <w:rPr>
                <w:kern w:val="0"/>
                <w:szCs w:val="21"/>
              </w:rPr>
            </w:pPr>
            <w:r>
              <w:rPr>
                <w:kern w:val="0"/>
                <w:szCs w:val="21"/>
              </w:rPr>
              <w:t>高频电子线路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6" w:type="dxa"/>
            <w:vAlign w:val="center"/>
          </w:tcPr>
          <w:p>
            <w:pPr>
              <w:jc w:val="center"/>
              <w:rPr>
                <w:kern w:val="0"/>
                <w:szCs w:val="21"/>
              </w:rPr>
            </w:pPr>
            <w:r>
              <w:rPr>
                <w:kern w:val="0"/>
                <w:szCs w:val="21"/>
              </w:rPr>
              <w:t>排斥课程</w:t>
            </w:r>
          </w:p>
        </w:tc>
        <w:tc>
          <w:tcPr>
            <w:tcW w:w="3143" w:type="dxa"/>
            <w:vAlign w:val="center"/>
          </w:tcPr>
          <w:p>
            <w:pPr>
              <w:jc w:val="center"/>
              <w:rPr>
                <w:kern w:val="0"/>
                <w:szCs w:val="21"/>
              </w:rPr>
            </w:pPr>
            <w:r>
              <w:rPr>
                <w:kern w:val="0"/>
                <w:szCs w:val="21"/>
              </w:rPr>
              <w:t>无</w:t>
            </w:r>
          </w:p>
        </w:tc>
        <w:tc>
          <w:tcPr>
            <w:tcW w:w="1214" w:type="dxa"/>
            <w:vAlign w:val="center"/>
          </w:tcPr>
          <w:p>
            <w:pPr>
              <w:jc w:val="center"/>
              <w:rPr>
                <w:kern w:val="0"/>
                <w:szCs w:val="21"/>
              </w:rPr>
            </w:pPr>
            <w:r>
              <w:rPr>
                <w:kern w:val="0"/>
                <w:szCs w:val="21"/>
              </w:rPr>
              <w:t>定稿日期</w:t>
            </w:r>
          </w:p>
        </w:tc>
        <w:tc>
          <w:tcPr>
            <w:tcW w:w="2978" w:type="dxa"/>
            <w:vAlign w:val="center"/>
          </w:tcPr>
          <w:p>
            <w:pPr>
              <w:jc w:val="center"/>
              <w:rPr>
                <w:kern w:val="0"/>
                <w:szCs w:val="21"/>
              </w:rPr>
            </w:pPr>
            <w:r>
              <w:rPr>
                <w:rFonts w:hint="eastAsia"/>
                <w:kern w:val="0"/>
                <w:szCs w:val="21"/>
              </w:rPr>
              <w:t>2022.5.10</w:t>
            </w:r>
          </w:p>
        </w:tc>
      </w:tr>
    </w:tbl>
    <w:p>
      <w:pPr>
        <w:snapToGrid w:val="0"/>
        <w:spacing w:line="300" w:lineRule="auto"/>
        <w:ind w:firstLine="420" w:firstLineChars="200"/>
        <w:rPr>
          <w:sz w:val="18"/>
          <w:szCs w:val="18"/>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315" w:firstLineChars="150"/>
        <w:rPr>
          <w:szCs w:val="21"/>
        </w:rPr>
      </w:pPr>
      <w:r>
        <w:rPr>
          <w:szCs w:val="21"/>
        </w:rPr>
        <w:t>《高频电子线路课程实习》是电子信息工程专业重要的实践课程，是在“高频电子线路”课程学习之后，集中安排的实践性教学环节。学生运用所学知识和分析方法，在教师指导下，结合某一专题独立地开展高频电子电路的设计、安装和调试。通过课程设计，使学生加强对高频电子线路的理解，学会查寻资料、方案比较、设计计算及制作调试。作为教学的重要环节,课程实习对于学生理解理论知识、增进学习兴趣、掌握核心要点、培养动手能力起到不可替代的作用，为毕业后从事设计开发、技术支持以及通信设备的安装、调试、维护升级等工作打好基础。</w:t>
      </w:r>
    </w:p>
    <w:p>
      <w:pPr>
        <w:snapToGrid w:val="0"/>
        <w:spacing w:before="159" w:beforeLines="50" w:after="159" w:afterLines="50" w:line="300" w:lineRule="auto"/>
        <w:rPr>
          <w:b/>
          <w:sz w:val="24"/>
        </w:rPr>
      </w:pPr>
      <w:r>
        <w:rPr>
          <w:b/>
          <w:sz w:val="24"/>
        </w:rPr>
        <w:t>二、课程教学目标</w:t>
      </w:r>
    </w:p>
    <w:p>
      <w:pPr>
        <w:spacing w:line="360" w:lineRule="exact"/>
        <w:ind w:firstLine="420" w:firstLineChars="200"/>
        <w:rPr>
          <w:bCs/>
          <w:szCs w:val="21"/>
        </w:rPr>
      </w:pPr>
      <w:r>
        <w:rPr>
          <w:bCs/>
          <w:szCs w:val="21"/>
        </w:rPr>
        <w:t>《高频电子线路课程实习》是电子信息类学生在学习高频电子线路过程中的一门至关重要的实践课程，是本科学习中一次熟悉实验流程的基础训练，是加强学生动手能力和自主学习能力的有效措施之一。通过本课程的学习，使学生重视硬件基础的学习与训练，提高学生的动手能力、设计能力和创新实践能力。培养学生具体问题具体分析，树立联系和矛盾的观点，运用已学知识设计电路和系统，在设计中能锻炼学生的协作精神。本课程的具体教学目标如下：</w:t>
      </w:r>
    </w:p>
    <w:p>
      <w:pPr>
        <w:spacing w:line="360" w:lineRule="exact"/>
        <w:ind w:firstLine="420" w:firstLineChars="200"/>
        <w:rPr>
          <w:szCs w:val="21"/>
        </w:rPr>
      </w:pPr>
      <w:r>
        <w:rPr>
          <w:szCs w:val="21"/>
        </w:rPr>
        <w:t xml:space="preserve">1.理解高频电子各单元电路的原理及分析方法，能够综合运用理论知识辨识、组装、调试各典型电路，合理设计内容、准确设计方案，并对使用器件做出正确选择。[1.2] </w:t>
      </w:r>
    </w:p>
    <w:p>
      <w:pPr>
        <w:spacing w:line="360" w:lineRule="exact"/>
        <w:ind w:firstLine="420" w:firstLineChars="200"/>
        <w:rPr>
          <w:szCs w:val="21"/>
        </w:rPr>
      </w:pPr>
      <w:r>
        <w:rPr>
          <w:szCs w:val="21"/>
        </w:rPr>
        <w:t>2.培养学生运用理论知识设计通信系统单元电路的初步能力，掌握查阅各种工程设计手册和设计规范的方法，查找设计中所使用的有关数据与公式，明确电路组装调试得以实现的措施，以精简的文字、清晰的图表来表达个人设计思想与理念，能够合理分析设计结果。[1.3]</w:t>
      </w:r>
    </w:p>
    <w:p>
      <w:pPr>
        <w:spacing w:line="360" w:lineRule="exact"/>
        <w:ind w:firstLine="420" w:firstLineChars="200"/>
        <w:rPr>
          <w:szCs w:val="21"/>
        </w:rPr>
      </w:pPr>
      <w:r>
        <w:rPr>
          <w:szCs w:val="21"/>
        </w:rPr>
        <w:t>3.训练学生从事无线通信类工作所必须的基本仪器使用技能和实践动手能力，</w:t>
      </w:r>
      <w:r>
        <w:rPr>
          <w:bCs/>
          <w:kern w:val="0"/>
          <w:szCs w:val="21"/>
        </w:rPr>
        <w:t>学习信息类成品制备方法与工艺，</w:t>
      </w:r>
      <w:r>
        <w:rPr>
          <w:szCs w:val="21"/>
        </w:rPr>
        <w:t>认知产品的工艺过程及工艺技术方法，能够发现实践过程中技术、资源、设备等客观条件上的局限性。[1.3]</w:t>
      </w:r>
    </w:p>
    <w:p>
      <w:pPr>
        <w:spacing w:line="360" w:lineRule="exact"/>
        <w:ind w:firstLine="420" w:firstLineChars="200"/>
        <w:rPr>
          <w:szCs w:val="21"/>
        </w:rPr>
      </w:pPr>
      <w:r>
        <w:rPr>
          <w:szCs w:val="21"/>
        </w:rPr>
        <w:t>4.训练学生在获得参考文献和研究资料的基础上，独立撰写论文和实习报告，</w:t>
      </w:r>
      <w:r>
        <w:t>培养学生具有良好的沟通能力、自我完善能力及勇于开拓的人文素质。</w:t>
      </w:r>
      <w:r>
        <w:rPr>
          <w:szCs w:val="21"/>
        </w:rPr>
        <w:t>[3.2]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pacing w:before="159" w:beforeLines="50" w:line="300" w:lineRule="auto"/>
        <w:ind w:firstLine="361" w:firstLineChars="200"/>
        <w:jc w:val="center"/>
        <w:rPr>
          <w:b/>
          <w:kern w:val="0"/>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5830"/>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8"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专业毕业要求</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专业毕业要求指标点</w:t>
            </w:r>
          </w:p>
        </w:tc>
        <w:tc>
          <w:tcPr>
            <w:tcW w:w="98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课程教学目标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 w:hRule="atLeast"/>
          <w:jc w:val="center"/>
        </w:trPr>
        <w:tc>
          <w:tcPr>
            <w:tcW w:w="918" w:type="pct"/>
            <w:vMerge w:val="restar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1.工程知识</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1.2掌握计算机、电子、信息、通信、测控及其它工程基础知识，并有效将其应用于电子信息领域工程问题的软硬件分析与设计</w:t>
            </w:r>
            <w:r>
              <w:rPr>
                <w:szCs w:val="21"/>
              </w:rPr>
              <w:t>。</w:t>
            </w:r>
          </w:p>
        </w:tc>
        <w:tc>
          <w:tcPr>
            <w:tcW w:w="981" w:type="pct"/>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3" w:hRule="atLeast"/>
          <w:jc w:val="center"/>
        </w:trPr>
        <w:tc>
          <w:tcPr>
            <w:tcW w:w="918" w:type="pct"/>
            <w:vMerge w:val="continue"/>
            <w:tcBorders>
              <w:left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1.3综合运用数学、自然科学、工程基础和专业知识，用于电子信息工程领域复杂工程问题（含海洋电子信息领域）的建模和求解及解决方案的评价。</w:t>
            </w:r>
          </w:p>
        </w:tc>
        <w:tc>
          <w:tcPr>
            <w:tcW w:w="9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2</w:t>
            </w:r>
            <w:r>
              <w:rPr>
                <w:rFonts w:hint="eastAsia"/>
                <w:sz w:val="18"/>
                <w:szCs w:val="18"/>
              </w:rPr>
              <w:t>，</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918"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3．设计/开发解决方案</w:t>
            </w:r>
          </w:p>
        </w:tc>
        <w:tc>
          <w:tcPr>
            <w:tcW w:w="3101" w:type="pct"/>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rPr>
            </w:pPr>
            <w:r>
              <w:rPr>
                <w:sz w:val="18"/>
                <w:szCs w:val="18"/>
              </w:rPr>
              <w:t>3.2在设计中综合利用电子信息工程的专业知识和新技术，体现创新意识。</w:t>
            </w:r>
          </w:p>
        </w:tc>
        <w:tc>
          <w:tcPr>
            <w:tcW w:w="9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4</w:t>
            </w:r>
          </w:p>
        </w:tc>
      </w:tr>
    </w:tbl>
    <w:p>
      <w:pPr>
        <w:snapToGrid w:val="0"/>
        <w:spacing w:before="159" w:beforeLines="50" w:after="159" w:afterLines="50" w:line="360" w:lineRule="auto"/>
        <w:rPr>
          <w:b/>
          <w:sz w:val="24"/>
        </w:rPr>
      </w:pPr>
      <w:r>
        <w:rPr>
          <w:b/>
          <w:sz w:val="24"/>
        </w:rPr>
        <w:t>三、课程教学目标达成途径（或教学设计）</w:t>
      </w:r>
    </w:p>
    <w:p>
      <w:pPr>
        <w:snapToGrid w:val="0"/>
        <w:spacing w:before="159" w:beforeLines="50" w:line="300" w:lineRule="auto"/>
        <w:ind w:firstLine="361" w:firstLineChars="200"/>
        <w:jc w:val="center"/>
        <w:rPr>
          <w:b/>
          <w:sz w:val="24"/>
        </w:rPr>
      </w:pPr>
      <w:r>
        <w:rPr>
          <w:b/>
          <w:kern w:val="0"/>
          <w:sz w:val="18"/>
          <w:szCs w:val="18"/>
        </w:rPr>
        <w:t>表2 教学目标达成途径</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1"/>
        <w:gridCol w:w="2282"/>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课程教学目标</w:t>
            </w:r>
          </w:p>
        </w:tc>
        <w:tc>
          <w:tcPr>
            <w:tcW w:w="12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达成途径</w:t>
            </w:r>
          </w:p>
        </w:tc>
        <w:tc>
          <w:tcPr>
            <w:tcW w:w="7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9"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1.理解高频电子各单元电路的原理及分析方法，能够综合运用理论知识辨识、组装、调试各典型电路，合理设计内容、准确设计方案，并对使用器件做出正确选择。</w:t>
            </w:r>
          </w:p>
        </w:tc>
        <w:tc>
          <w:tcPr>
            <w:tcW w:w="12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Cs/>
                <w:sz w:val="18"/>
                <w:szCs w:val="18"/>
              </w:rPr>
            </w:pPr>
            <w:r>
              <w:rPr>
                <w:bCs/>
                <w:sz w:val="18"/>
                <w:szCs w:val="18"/>
              </w:rPr>
              <w:t>通过课堂讲授、指定阅读、研讨达成。</w:t>
            </w:r>
          </w:p>
        </w:tc>
        <w:tc>
          <w:tcPr>
            <w:tcW w:w="7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Cs/>
                <w:sz w:val="18"/>
                <w:szCs w:val="18"/>
              </w:rPr>
            </w:pPr>
            <w:r>
              <w:rPr>
                <w:bCs/>
                <w:sz w:val="18"/>
                <w:szCs w:val="18"/>
              </w:rPr>
              <w:t>成果验收、现场提问。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9"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2.培养学生运用理论知识设计通信系统单元电路的初步能力，掌握查阅各种工程设计手册和设计规范的方法，查找设计中所使用的有关数据与公式，明确电路组装调试得以实现的措施，以精简的文字、清晰的图表来表达个人设计思想与理念，能够合理分析设计结果。</w:t>
            </w:r>
          </w:p>
        </w:tc>
        <w:tc>
          <w:tcPr>
            <w:tcW w:w="12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
                <w:sz w:val="18"/>
                <w:szCs w:val="18"/>
              </w:rPr>
            </w:pPr>
            <w:r>
              <w:rPr>
                <w:bCs/>
                <w:sz w:val="18"/>
                <w:szCs w:val="18"/>
              </w:rPr>
              <w:t>通过指定阅读、现场指导、研讨以及自学达成。</w:t>
            </w:r>
          </w:p>
        </w:tc>
        <w:tc>
          <w:tcPr>
            <w:tcW w:w="7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Cs/>
                <w:sz w:val="18"/>
                <w:szCs w:val="18"/>
              </w:rPr>
            </w:pPr>
            <w:r>
              <w:rPr>
                <w:bCs/>
                <w:sz w:val="18"/>
                <w:szCs w:val="18"/>
              </w:rPr>
              <w:t>实习报告、成果验收、现场汇报。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9"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3.训练学生从事无线通信类工作所必须的基本仪器使用技能和实践动手能力，学习信息类成品制备方法与工艺，认知产品的工艺过程及工艺技术方法，能够发现实践过程中技术、资源、设备等客观条件上的局限性。</w:t>
            </w:r>
          </w:p>
        </w:tc>
        <w:tc>
          <w:tcPr>
            <w:tcW w:w="12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
                <w:sz w:val="18"/>
                <w:szCs w:val="18"/>
              </w:rPr>
            </w:pPr>
            <w:r>
              <w:rPr>
                <w:bCs/>
                <w:sz w:val="18"/>
                <w:szCs w:val="18"/>
              </w:rPr>
              <w:t>通过指定阅读、现场指导、研讨以及自学达成。</w:t>
            </w:r>
          </w:p>
        </w:tc>
        <w:tc>
          <w:tcPr>
            <w:tcW w:w="7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Cs/>
                <w:sz w:val="18"/>
                <w:szCs w:val="18"/>
              </w:rPr>
            </w:pPr>
            <w:r>
              <w:rPr>
                <w:bCs/>
                <w:sz w:val="18"/>
                <w:szCs w:val="18"/>
              </w:rPr>
              <w:t>实习报告、成果验收、现场汇报。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9"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rPr>
              <w:t>4.训练学生在获得参考文献和研究资料的基础上，独立撰写论文和实习报告，培养学生具有良好的沟通能力、自我完善能力及勇于开拓的人文素质。</w:t>
            </w:r>
          </w:p>
        </w:tc>
        <w:tc>
          <w:tcPr>
            <w:tcW w:w="12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
                <w:sz w:val="18"/>
                <w:szCs w:val="18"/>
              </w:rPr>
            </w:pPr>
            <w:r>
              <w:rPr>
                <w:bCs/>
                <w:sz w:val="18"/>
                <w:szCs w:val="18"/>
              </w:rPr>
              <w:t>通过课堂讲授、报告撰写、研讨以及自学达成。</w:t>
            </w:r>
          </w:p>
        </w:tc>
        <w:tc>
          <w:tcPr>
            <w:tcW w:w="72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bCs/>
                <w:sz w:val="18"/>
                <w:szCs w:val="18"/>
              </w:rPr>
            </w:pPr>
            <w:r>
              <w:rPr>
                <w:bCs/>
                <w:sz w:val="18"/>
                <w:szCs w:val="18"/>
              </w:rPr>
              <w:t>实习报告、实习日志、现场汇报。</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20"/>
        </w:rPr>
        <w:t>表3 教学内容与要求</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629"/>
        <w:gridCol w:w="5282"/>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84"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1406" w:type="pct"/>
            <w:vAlign w:val="center"/>
          </w:tcPr>
          <w:p>
            <w:pPr>
              <w:snapToGrid w:val="0"/>
              <w:spacing w:line="300" w:lineRule="auto"/>
              <w:jc w:val="center"/>
              <w:rPr>
                <w:b/>
                <w:bCs/>
                <w:sz w:val="18"/>
                <w:szCs w:val="18"/>
              </w:rPr>
            </w:pPr>
            <w:r>
              <w:rPr>
                <w:b/>
                <w:bCs/>
                <w:sz w:val="18"/>
                <w:szCs w:val="18"/>
              </w:rPr>
              <w:t>教学内容与课程教学目标</w:t>
            </w:r>
          </w:p>
        </w:tc>
        <w:tc>
          <w:tcPr>
            <w:tcW w:w="2825" w:type="pct"/>
            <w:vAlign w:val="center"/>
          </w:tcPr>
          <w:p>
            <w:pPr>
              <w:snapToGrid w:val="0"/>
              <w:spacing w:line="300" w:lineRule="auto"/>
              <w:jc w:val="center"/>
              <w:rPr>
                <w:b/>
                <w:bCs/>
                <w:sz w:val="18"/>
                <w:szCs w:val="18"/>
              </w:rPr>
            </w:pPr>
            <w:r>
              <w:rPr>
                <w:b/>
                <w:bCs/>
                <w:sz w:val="18"/>
                <w:szCs w:val="18"/>
              </w:rPr>
              <w:t>教与学的要求</w:t>
            </w:r>
          </w:p>
        </w:tc>
        <w:tc>
          <w:tcPr>
            <w:tcW w:w="383" w:type="pct"/>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tcMar>
              <w:left w:w="57" w:type="dxa"/>
              <w:right w:w="57" w:type="dxa"/>
            </w:tcMar>
            <w:vAlign w:val="center"/>
          </w:tcPr>
          <w:p>
            <w:pPr>
              <w:widowControl/>
              <w:jc w:val="center"/>
              <w:rPr>
                <w:kern w:val="0"/>
                <w:sz w:val="18"/>
                <w:szCs w:val="18"/>
              </w:rPr>
            </w:pPr>
            <w:r>
              <w:rPr>
                <w:kern w:val="0"/>
                <w:sz w:val="18"/>
                <w:szCs w:val="18"/>
              </w:rPr>
              <w:t>1</w:t>
            </w:r>
          </w:p>
        </w:tc>
        <w:tc>
          <w:tcPr>
            <w:tcW w:w="1406" w:type="pct"/>
            <w:vAlign w:val="center"/>
          </w:tcPr>
          <w:p>
            <w:pPr>
              <w:adjustRightInd w:val="0"/>
              <w:snapToGrid w:val="0"/>
              <w:spacing w:line="300" w:lineRule="auto"/>
              <w:rPr>
                <w:sz w:val="18"/>
                <w:szCs w:val="18"/>
              </w:rPr>
            </w:pPr>
            <w:r>
              <w:rPr>
                <w:sz w:val="18"/>
                <w:szCs w:val="18"/>
              </w:rPr>
              <w:t>一、实习方式：集中实习。</w:t>
            </w:r>
          </w:p>
          <w:p>
            <w:pPr>
              <w:adjustRightInd w:val="0"/>
              <w:snapToGrid w:val="0"/>
              <w:spacing w:line="300" w:lineRule="auto"/>
              <w:rPr>
                <w:sz w:val="18"/>
                <w:szCs w:val="18"/>
              </w:rPr>
            </w:pPr>
            <w:r>
              <w:rPr>
                <w:sz w:val="18"/>
                <w:szCs w:val="18"/>
              </w:rPr>
              <w:t>二、场所要求：能容纳70名左右学生的学院或学校实验室。</w:t>
            </w:r>
          </w:p>
          <w:p>
            <w:pPr>
              <w:adjustRightInd w:val="0"/>
              <w:snapToGrid w:val="0"/>
              <w:spacing w:line="300" w:lineRule="auto"/>
              <w:rPr>
                <w:sz w:val="18"/>
                <w:szCs w:val="18"/>
              </w:rPr>
            </w:pPr>
            <w:r>
              <w:rPr>
                <w:sz w:val="18"/>
                <w:szCs w:val="18"/>
              </w:rPr>
              <w:t>三、实习内容：</w:t>
            </w:r>
          </w:p>
          <w:p>
            <w:pPr>
              <w:adjustRightInd w:val="0"/>
              <w:snapToGrid w:val="0"/>
              <w:spacing w:line="300" w:lineRule="auto"/>
              <w:rPr>
                <w:sz w:val="18"/>
                <w:szCs w:val="18"/>
              </w:rPr>
            </w:pPr>
            <w:r>
              <w:rPr>
                <w:sz w:val="18"/>
                <w:szCs w:val="18"/>
              </w:rPr>
              <w:t>(一)选定课题，下达任务。课题符合教学目标的要求，任务难度合理，提前一周公布课题任务书；</w:t>
            </w:r>
          </w:p>
          <w:p>
            <w:pPr>
              <w:adjustRightInd w:val="0"/>
              <w:snapToGrid w:val="0"/>
              <w:spacing w:line="300" w:lineRule="auto"/>
              <w:rPr>
                <w:sz w:val="18"/>
                <w:szCs w:val="18"/>
              </w:rPr>
            </w:pPr>
            <w:r>
              <w:rPr>
                <w:sz w:val="18"/>
                <w:szCs w:val="18"/>
              </w:rPr>
              <w:t>(二)查阅资料，充分准备。查阅相关资料，了解实习内容及实习要求,熟悉常用高频电路设计软件及使用方法；</w:t>
            </w:r>
          </w:p>
          <w:p>
            <w:pPr>
              <w:adjustRightInd w:val="0"/>
              <w:snapToGrid w:val="0"/>
              <w:spacing w:line="300" w:lineRule="auto"/>
              <w:rPr>
                <w:sz w:val="18"/>
                <w:szCs w:val="18"/>
              </w:rPr>
            </w:pPr>
            <w:r>
              <w:rPr>
                <w:sz w:val="18"/>
                <w:szCs w:val="18"/>
              </w:rPr>
              <w:t>(三)总体设计及论证。对课题进行总体设计，以小组为单位开展可行性论证；</w:t>
            </w:r>
          </w:p>
          <w:p>
            <w:pPr>
              <w:adjustRightInd w:val="0"/>
              <w:snapToGrid w:val="0"/>
              <w:spacing w:line="300" w:lineRule="auto"/>
              <w:rPr>
                <w:sz w:val="18"/>
                <w:szCs w:val="18"/>
              </w:rPr>
            </w:pPr>
            <w:r>
              <w:rPr>
                <w:sz w:val="18"/>
                <w:szCs w:val="18"/>
              </w:rPr>
              <w:t>(四)详细设计。对所选课题进行细化，根据设计方案，完成各功能模块的制板、调试、验收；</w:t>
            </w:r>
          </w:p>
          <w:p>
            <w:pPr>
              <w:adjustRightInd w:val="0"/>
              <w:snapToGrid w:val="0"/>
              <w:spacing w:line="300" w:lineRule="auto"/>
              <w:rPr>
                <w:sz w:val="18"/>
                <w:szCs w:val="18"/>
              </w:rPr>
            </w:pPr>
            <w:r>
              <w:rPr>
                <w:sz w:val="18"/>
                <w:szCs w:val="18"/>
              </w:rPr>
              <w:t>(五)撰写设计报告。报告应体现课程设计的各个环节，要求完整、规范、准确；</w:t>
            </w:r>
          </w:p>
          <w:p>
            <w:pPr>
              <w:adjustRightInd w:val="0"/>
              <w:snapToGrid w:val="0"/>
              <w:spacing w:line="300" w:lineRule="auto"/>
              <w:rPr>
                <w:sz w:val="18"/>
                <w:szCs w:val="18"/>
              </w:rPr>
            </w:pPr>
            <w:r>
              <w:rPr>
                <w:sz w:val="18"/>
                <w:szCs w:val="18"/>
              </w:rPr>
              <w:t>(六)验收与考核。根据课题任务书要求进行验收与考核，且留存考核和成绩评定的各种原始资料。[课程目标1,2,3,4]</w:t>
            </w:r>
          </w:p>
        </w:tc>
        <w:tc>
          <w:tcPr>
            <w:tcW w:w="2825" w:type="pct"/>
            <w:vAlign w:val="center"/>
          </w:tcPr>
          <w:p>
            <w:pPr>
              <w:adjustRightInd w:val="0"/>
              <w:snapToGrid w:val="0"/>
              <w:spacing w:line="300" w:lineRule="auto"/>
              <w:rPr>
                <w:sz w:val="18"/>
                <w:szCs w:val="18"/>
              </w:rPr>
            </w:pPr>
            <w:r>
              <w:rPr>
                <w:sz w:val="18"/>
                <w:szCs w:val="18"/>
              </w:rPr>
              <w:t>1.对学生的要求</w:t>
            </w:r>
          </w:p>
          <w:p>
            <w:pPr>
              <w:adjustRightInd w:val="0"/>
              <w:snapToGrid w:val="0"/>
              <w:spacing w:line="300" w:lineRule="auto"/>
              <w:rPr>
                <w:sz w:val="18"/>
                <w:szCs w:val="18"/>
              </w:rPr>
            </w:pPr>
            <w:r>
              <w:rPr>
                <w:sz w:val="18"/>
                <w:szCs w:val="18"/>
              </w:rPr>
              <w:t>(1)实习期间要服从指导教师安排，严格遵守实验室规章制度。</w:t>
            </w:r>
          </w:p>
          <w:p>
            <w:pPr>
              <w:adjustRightInd w:val="0"/>
              <w:snapToGrid w:val="0"/>
              <w:spacing w:line="300" w:lineRule="auto"/>
              <w:rPr>
                <w:sz w:val="18"/>
                <w:szCs w:val="18"/>
              </w:rPr>
            </w:pPr>
            <w:r>
              <w:rPr>
                <w:sz w:val="18"/>
                <w:szCs w:val="18"/>
              </w:rPr>
              <w:t>(2)理论与实践相结合，坚持严谨务实的学习态度，不得投机取巧、弄虚作假，违者严究。</w:t>
            </w:r>
          </w:p>
          <w:p>
            <w:pPr>
              <w:adjustRightInd w:val="0"/>
              <w:snapToGrid w:val="0"/>
              <w:spacing w:line="300" w:lineRule="auto"/>
              <w:rPr>
                <w:sz w:val="18"/>
                <w:szCs w:val="18"/>
              </w:rPr>
            </w:pPr>
            <w:r>
              <w:rPr>
                <w:sz w:val="18"/>
                <w:szCs w:val="18"/>
              </w:rPr>
              <w:t>(3)熟悉常用电子器件的使用及测试方法，独立完成选题的设计、组装及调试。</w:t>
            </w:r>
          </w:p>
          <w:p>
            <w:pPr>
              <w:adjustRightInd w:val="0"/>
              <w:snapToGrid w:val="0"/>
              <w:spacing w:line="300" w:lineRule="auto"/>
              <w:rPr>
                <w:sz w:val="18"/>
                <w:szCs w:val="18"/>
              </w:rPr>
            </w:pPr>
            <w:r>
              <w:rPr>
                <w:sz w:val="18"/>
                <w:szCs w:val="18"/>
              </w:rPr>
              <w:t>(4)严格考勤，非特殊情况不得请假，特殊情况需向指导教师请假。</w:t>
            </w:r>
          </w:p>
          <w:p>
            <w:pPr>
              <w:adjustRightInd w:val="0"/>
              <w:snapToGrid w:val="0"/>
              <w:spacing w:line="300" w:lineRule="auto"/>
              <w:rPr>
                <w:sz w:val="18"/>
                <w:szCs w:val="18"/>
              </w:rPr>
            </w:pPr>
            <w:r>
              <w:rPr>
                <w:sz w:val="18"/>
                <w:szCs w:val="18"/>
              </w:rPr>
              <w:t>(5)实习结束后，按时进行现场验收，提交实习报告及心得体会。</w:t>
            </w:r>
          </w:p>
          <w:p>
            <w:pPr>
              <w:adjustRightInd w:val="0"/>
              <w:snapToGrid w:val="0"/>
              <w:spacing w:line="300" w:lineRule="auto"/>
              <w:rPr>
                <w:sz w:val="18"/>
                <w:szCs w:val="18"/>
              </w:rPr>
            </w:pPr>
            <w:r>
              <w:rPr>
                <w:sz w:val="18"/>
                <w:szCs w:val="18"/>
              </w:rPr>
              <w:t>2.对指导教师的要求</w:t>
            </w:r>
          </w:p>
          <w:p>
            <w:pPr>
              <w:adjustRightInd w:val="0"/>
              <w:snapToGrid w:val="0"/>
              <w:spacing w:line="300" w:lineRule="auto"/>
              <w:rPr>
                <w:sz w:val="18"/>
                <w:szCs w:val="18"/>
              </w:rPr>
            </w:pPr>
            <w:r>
              <w:rPr>
                <w:sz w:val="18"/>
                <w:szCs w:val="18"/>
              </w:rPr>
              <w:t>(1)熟悉实习内容，能够组织学生有序开展实习，完成实习大纲、实习计划所规定的任务。</w:t>
            </w:r>
          </w:p>
          <w:p>
            <w:pPr>
              <w:adjustRightInd w:val="0"/>
              <w:snapToGrid w:val="0"/>
              <w:spacing w:line="300" w:lineRule="auto"/>
              <w:rPr>
                <w:sz w:val="18"/>
                <w:szCs w:val="18"/>
              </w:rPr>
            </w:pPr>
            <w:r>
              <w:rPr>
                <w:sz w:val="18"/>
                <w:szCs w:val="18"/>
              </w:rPr>
              <w:t>(2)实习过程中能够讲解必要的电路原理及设计方法，帮助学生明确任务、掌握工程设计方法。</w:t>
            </w:r>
          </w:p>
          <w:p>
            <w:pPr>
              <w:adjustRightInd w:val="0"/>
              <w:snapToGrid w:val="0"/>
              <w:spacing w:line="300" w:lineRule="auto"/>
              <w:rPr>
                <w:sz w:val="18"/>
                <w:szCs w:val="18"/>
              </w:rPr>
            </w:pPr>
            <w:r>
              <w:rPr>
                <w:sz w:val="18"/>
                <w:szCs w:val="18"/>
              </w:rPr>
              <w:t>(3)实习过程中要布置一定的作业和思考题，引导学生深入实际、调查研究获得有益知识并及时督促检查。</w:t>
            </w:r>
          </w:p>
          <w:p>
            <w:pPr>
              <w:adjustRightInd w:val="0"/>
              <w:snapToGrid w:val="0"/>
              <w:spacing w:line="300" w:lineRule="auto"/>
              <w:rPr>
                <w:sz w:val="18"/>
                <w:szCs w:val="18"/>
              </w:rPr>
            </w:pPr>
            <w:r>
              <w:rPr>
                <w:sz w:val="18"/>
                <w:szCs w:val="18"/>
              </w:rPr>
              <w:t>(4)加强对学生的指导，严格要求，强化案例教育和规范化操作。</w:t>
            </w:r>
          </w:p>
          <w:p>
            <w:pPr>
              <w:adjustRightInd w:val="0"/>
              <w:snapToGrid w:val="0"/>
              <w:spacing w:line="300" w:lineRule="auto"/>
              <w:rPr>
                <w:sz w:val="18"/>
                <w:szCs w:val="18"/>
              </w:rPr>
            </w:pPr>
            <w:r>
              <w:rPr>
                <w:sz w:val="18"/>
                <w:szCs w:val="18"/>
              </w:rPr>
              <w:t>(5)实习结束后，要认真审阅学生实习报告，验收学生实习作品，做好学生的成绩考核。</w:t>
            </w:r>
          </w:p>
          <w:p>
            <w:pPr>
              <w:adjustRightInd w:val="0"/>
              <w:snapToGrid w:val="0"/>
              <w:spacing w:line="300" w:lineRule="auto"/>
              <w:rPr>
                <w:sz w:val="18"/>
                <w:szCs w:val="18"/>
              </w:rPr>
            </w:pPr>
            <w:r>
              <w:rPr>
                <w:sz w:val="18"/>
                <w:szCs w:val="18"/>
              </w:rPr>
              <w:t>3.对实习报告的要求</w:t>
            </w:r>
          </w:p>
          <w:p>
            <w:pPr>
              <w:adjustRightInd w:val="0"/>
              <w:snapToGrid w:val="0"/>
              <w:spacing w:line="300" w:lineRule="auto"/>
              <w:rPr>
                <w:sz w:val="18"/>
                <w:szCs w:val="18"/>
              </w:rPr>
            </w:pPr>
            <w:r>
              <w:rPr>
                <w:sz w:val="18"/>
                <w:szCs w:val="18"/>
              </w:rPr>
              <w:t>课程实习报告包括以下部分：</w:t>
            </w:r>
          </w:p>
          <w:p>
            <w:pPr>
              <w:adjustRightInd w:val="0"/>
              <w:snapToGrid w:val="0"/>
              <w:spacing w:line="300" w:lineRule="auto"/>
              <w:rPr>
                <w:sz w:val="18"/>
                <w:szCs w:val="18"/>
              </w:rPr>
            </w:pPr>
            <w:r>
              <w:rPr>
                <w:sz w:val="18"/>
                <w:szCs w:val="18"/>
              </w:rPr>
              <w:t xml:space="preserve">(1)封面：包括“《高频电子线路课程设计》总结报告”、班级、姓名、学号、电话及完成日期。 </w:t>
            </w:r>
          </w:p>
          <w:p>
            <w:pPr>
              <w:adjustRightInd w:val="0"/>
              <w:snapToGrid w:val="0"/>
              <w:spacing w:line="300" w:lineRule="auto"/>
              <w:rPr>
                <w:sz w:val="18"/>
                <w:szCs w:val="18"/>
              </w:rPr>
            </w:pPr>
            <w:r>
              <w:rPr>
                <w:sz w:val="18"/>
                <w:szCs w:val="18"/>
              </w:rPr>
              <w:t>(2)目录</w:t>
            </w:r>
          </w:p>
          <w:p>
            <w:pPr>
              <w:adjustRightInd w:val="0"/>
              <w:snapToGrid w:val="0"/>
              <w:spacing w:line="300" w:lineRule="auto"/>
              <w:rPr>
                <w:sz w:val="18"/>
                <w:szCs w:val="18"/>
              </w:rPr>
            </w:pPr>
            <w:r>
              <w:rPr>
                <w:sz w:val="18"/>
                <w:szCs w:val="18"/>
              </w:rPr>
              <w:t xml:space="preserve">(3)正文：实习报告的主体，包括： </w:t>
            </w:r>
          </w:p>
          <w:p>
            <w:pPr>
              <w:adjustRightInd w:val="0"/>
              <w:snapToGrid w:val="0"/>
              <w:spacing w:line="300" w:lineRule="auto"/>
              <w:rPr>
                <w:sz w:val="18"/>
                <w:szCs w:val="18"/>
              </w:rPr>
            </w:pPr>
            <w:r>
              <w:rPr>
                <w:sz w:val="18"/>
                <w:szCs w:val="18"/>
              </w:rPr>
              <w:t xml:space="preserve">①课程设计题目； </w:t>
            </w:r>
            <w:r>
              <w:rPr>
                <w:sz w:val="18"/>
                <w:szCs w:val="18"/>
              </w:rPr>
              <w:br w:type="textWrapping"/>
            </w:r>
            <w:r>
              <w:rPr>
                <w:sz w:val="18"/>
                <w:szCs w:val="18"/>
              </w:rPr>
              <w:t xml:space="preserve">②课程设计目的、任务与要求； </w:t>
            </w:r>
            <w:r>
              <w:rPr>
                <w:sz w:val="18"/>
                <w:szCs w:val="18"/>
              </w:rPr>
              <w:br w:type="textWrapping"/>
            </w:r>
            <w:r>
              <w:rPr>
                <w:sz w:val="18"/>
                <w:szCs w:val="18"/>
              </w:rPr>
              <w:t>③设计内容；</w:t>
            </w:r>
            <w:r>
              <w:rPr>
                <w:sz w:val="18"/>
                <w:szCs w:val="18"/>
              </w:rPr>
              <w:br w:type="textWrapping"/>
            </w:r>
            <w:r>
              <w:rPr>
                <w:sz w:val="18"/>
                <w:szCs w:val="18"/>
              </w:rPr>
              <w:t>④设计过程（包括方案论证、设计原理、设计步骤等）；</w:t>
            </w:r>
            <w:r>
              <w:rPr>
                <w:sz w:val="18"/>
                <w:szCs w:val="18"/>
              </w:rPr>
              <w:br w:type="textWrapping"/>
            </w:r>
            <w:r>
              <w:rPr>
                <w:sz w:val="18"/>
                <w:szCs w:val="18"/>
              </w:rPr>
              <w:t xml:space="preserve">⑤工作总结（包括收获与体会；遇到的问题和解决方法；技术实现技巧和创新点；作品存在的问题和改进设想等）； </w:t>
            </w:r>
          </w:p>
          <w:p>
            <w:pPr>
              <w:adjustRightInd w:val="0"/>
              <w:snapToGrid w:val="0"/>
              <w:spacing w:line="300" w:lineRule="auto"/>
              <w:rPr>
                <w:sz w:val="18"/>
                <w:szCs w:val="18"/>
              </w:rPr>
            </w:pPr>
            <w:r>
              <w:rPr>
                <w:sz w:val="18"/>
                <w:szCs w:val="18"/>
              </w:rPr>
              <w:t xml:space="preserve">(4)附录 </w:t>
            </w:r>
            <w:r>
              <w:rPr>
                <w:sz w:val="18"/>
                <w:szCs w:val="18"/>
              </w:rPr>
              <w:br w:type="textWrapping"/>
            </w:r>
            <w:r>
              <w:rPr>
                <w:sz w:val="18"/>
                <w:szCs w:val="18"/>
              </w:rPr>
              <w:t xml:space="preserve">附录1：电路原理图 </w:t>
            </w:r>
            <w:r>
              <w:rPr>
                <w:sz w:val="18"/>
                <w:szCs w:val="18"/>
              </w:rPr>
              <w:br w:type="textWrapping"/>
            </w:r>
            <w:r>
              <w:rPr>
                <w:sz w:val="18"/>
                <w:szCs w:val="18"/>
              </w:rPr>
              <w:t xml:space="preserve">附录2：实物图 </w:t>
            </w:r>
            <w:r>
              <w:rPr>
                <w:sz w:val="18"/>
                <w:szCs w:val="18"/>
              </w:rPr>
              <w:br w:type="textWrapping"/>
            </w:r>
            <w:r>
              <w:rPr>
                <w:sz w:val="18"/>
                <w:szCs w:val="18"/>
              </w:rPr>
              <w:t>附录3：使用元器件一览表（序号、名称、型号、规格、数量、备注）</w:t>
            </w:r>
          </w:p>
        </w:tc>
        <w:tc>
          <w:tcPr>
            <w:tcW w:w="383" w:type="pct"/>
            <w:vAlign w:val="center"/>
          </w:tcPr>
          <w:p>
            <w:pPr>
              <w:widowControl/>
              <w:jc w:val="center"/>
              <w:rPr>
                <w:kern w:val="0"/>
                <w:sz w:val="18"/>
                <w:szCs w:val="18"/>
              </w:rPr>
            </w:pPr>
          </w:p>
          <w:p>
            <w:pPr>
              <w:widowControl/>
              <w:jc w:val="center"/>
              <w:rPr>
                <w:kern w:val="0"/>
                <w:sz w:val="18"/>
                <w:szCs w:val="18"/>
              </w:rPr>
            </w:pPr>
          </w:p>
          <w:p>
            <w:pPr>
              <w:widowControl/>
              <w:jc w:val="center"/>
              <w:rPr>
                <w:kern w:val="0"/>
                <w:sz w:val="18"/>
                <w:szCs w:val="18"/>
              </w:rPr>
            </w:pPr>
            <w:r>
              <w:rPr>
                <w:kern w:val="0"/>
                <w:sz w:val="18"/>
                <w:szCs w:val="18"/>
              </w:rPr>
              <w:t>1周</w:t>
            </w:r>
          </w:p>
          <w:p>
            <w:pPr>
              <w:widowControl/>
              <w:jc w:val="center"/>
              <w:rPr>
                <w:kern w:val="0"/>
                <w:sz w:val="18"/>
                <w:szCs w:val="18"/>
              </w:rPr>
            </w:pPr>
          </w:p>
          <w:p>
            <w:pPr>
              <w:widowControl/>
              <w:jc w:val="center"/>
              <w:rPr>
                <w:kern w:val="0"/>
                <w:sz w:val="18"/>
                <w:szCs w:val="18"/>
              </w:rPr>
            </w:pPr>
          </w:p>
          <w:p>
            <w:pPr>
              <w:widowControl/>
              <w:jc w:val="center"/>
              <w:rPr>
                <w:kern w:val="0"/>
                <w:sz w:val="18"/>
                <w:szCs w:val="18"/>
              </w:rPr>
            </w:pPr>
          </w:p>
        </w:tc>
      </w:tr>
    </w:tbl>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rPr>
          <w:bCs/>
          <w:szCs w:val="21"/>
        </w:rPr>
      </w:pPr>
      <w:r>
        <w:rPr>
          <w:bCs/>
          <w:szCs w:val="21"/>
        </w:rPr>
        <w:t>1.考核方式：按照实习表现（包括实习考勤）、系统设计、实习作品完成质量、实习文档撰写质量四个维度进行考核。</w:t>
      </w:r>
    </w:p>
    <w:p>
      <w:pPr>
        <w:snapToGrid w:val="0"/>
        <w:spacing w:line="300" w:lineRule="auto"/>
        <w:ind w:firstLine="420" w:firstLineChars="200"/>
        <w:rPr>
          <w:bCs/>
          <w:szCs w:val="21"/>
        </w:rPr>
      </w:pPr>
      <w:r>
        <w:rPr>
          <w:bCs/>
          <w:szCs w:val="21"/>
        </w:rPr>
        <w:t>2.成绩构成：</w:t>
      </w:r>
    </w:p>
    <w:p>
      <w:pPr>
        <w:snapToGrid w:val="0"/>
        <w:spacing w:line="300" w:lineRule="auto"/>
        <w:ind w:firstLine="420" w:firstLineChars="200"/>
        <w:rPr>
          <w:szCs w:val="21"/>
        </w:rPr>
      </w:pPr>
      <w:r>
        <w:rPr>
          <w:szCs w:val="21"/>
        </w:rPr>
        <w:t>（1）应根据实习表现、实习报告和成果验收进行评定，按优秀、良好、中等、及格和不及格五级评定。凡成绩不及格者，必须重修。</w:t>
      </w:r>
    </w:p>
    <w:p>
      <w:pPr>
        <w:snapToGrid w:val="0"/>
        <w:spacing w:line="300" w:lineRule="auto"/>
        <w:ind w:firstLine="420" w:firstLineChars="200"/>
        <w:rPr>
          <w:szCs w:val="21"/>
        </w:rPr>
      </w:pPr>
      <w:r>
        <w:rPr>
          <w:szCs w:val="21"/>
        </w:rPr>
        <w:t>（2）课程设计成绩根据平时考查和设计成果按五级记分方法评定。平时考查主要检查学生的出勤情况、学习态度、教师检查及提问情况、是否独立完成设计等方面综合进行。对分组完成的课程设计，应根据其在小组中所承担的任务和表现有所区分。设计成果着重检查设计报告、设计图纸的完整性、规范性和准确性，应有成绩评定的评语，且留存考核和成绩评定的各种原始资料。</w:t>
      </w:r>
    </w:p>
    <w:p>
      <w:pPr>
        <w:snapToGrid w:val="0"/>
        <w:spacing w:line="300" w:lineRule="auto"/>
        <w:ind w:firstLine="420" w:firstLineChars="200"/>
        <w:rPr>
          <w:szCs w:val="21"/>
        </w:rPr>
      </w:pPr>
      <w:r>
        <w:rPr>
          <w:szCs w:val="21"/>
        </w:rPr>
        <w:t>（3）成绩评定：成绩评定方式为综合以上各项评分，学期末评定对应考核等级：优秀：90-100分；良好：80-89分；中等：70-79分及格：60-69分；不及格：60分以下。</w:t>
      </w:r>
    </w:p>
    <w:p>
      <w:pPr>
        <w:snapToGrid w:val="0"/>
        <w:spacing w:line="300" w:lineRule="auto"/>
        <w:ind w:firstLine="420" w:firstLineChars="200"/>
        <w:rPr>
          <w:bCs/>
          <w:szCs w:val="21"/>
        </w:rPr>
      </w:pPr>
      <w:r>
        <w:rPr>
          <w:bCs/>
          <w:szCs w:val="21"/>
        </w:rPr>
        <w:t xml:space="preserve">3.考核评价标准： </w:t>
      </w:r>
    </w:p>
    <w:p>
      <w:pPr>
        <w:snapToGrid w:val="0"/>
        <w:spacing w:line="300" w:lineRule="auto"/>
        <w:ind w:firstLine="420" w:firstLineChars="200"/>
        <w:rPr>
          <w:szCs w:val="21"/>
        </w:rPr>
      </w:pPr>
      <w:r>
        <w:rPr>
          <w:szCs w:val="21"/>
        </w:rPr>
        <w:t>（1）考勤（10%）：遵守学校相关规定，是否全程参加。</w:t>
      </w:r>
    </w:p>
    <w:p>
      <w:pPr>
        <w:snapToGrid w:val="0"/>
        <w:spacing w:line="300" w:lineRule="auto"/>
        <w:ind w:firstLine="420" w:firstLineChars="200"/>
        <w:rPr>
          <w:szCs w:val="21"/>
        </w:rPr>
      </w:pPr>
      <w:r>
        <w:rPr>
          <w:szCs w:val="21"/>
        </w:rPr>
        <w:t>（2）课堂讨论</w:t>
      </w:r>
      <w:r>
        <w:rPr>
          <w:kern w:val="0"/>
          <w:szCs w:val="21"/>
        </w:rPr>
        <w:t>（占10%）：是否积极参与、</w:t>
      </w:r>
      <w:r>
        <w:rPr>
          <w:szCs w:val="21"/>
        </w:rPr>
        <w:t>勤于思考、</w:t>
      </w:r>
      <w:r>
        <w:rPr>
          <w:kern w:val="0"/>
          <w:szCs w:val="21"/>
        </w:rPr>
        <w:t>有创新性观点。</w:t>
      </w:r>
    </w:p>
    <w:p>
      <w:pPr>
        <w:snapToGrid w:val="0"/>
        <w:spacing w:line="300" w:lineRule="auto"/>
        <w:ind w:firstLine="420" w:firstLineChars="200"/>
        <w:rPr>
          <w:kern w:val="0"/>
          <w:szCs w:val="21"/>
        </w:rPr>
      </w:pPr>
      <w:r>
        <w:rPr>
          <w:szCs w:val="21"/>
        </w:rPr>
        <w:t>（3）成果提交（40%）：</w:t>
      </w:r>
      <w:r>
        <w:rPr>
          <w:kern w:val="0"/>
          <w:szCs w:val="21"/>
        </w:rPr>
        <w:t>按时按量完成30%，完成质量占10%。</w:t>
      </w:r>
    </w:p>
    <w:p>
      <w:pPr>
        <w:snapToGrid w:val="0"/>
        <w:spacing w:line="300" w:lineRule="auto"/>
        <w:ind w:firstLine="420" w:firstLineChars="200"/>
        <w:rPr>
          <w:szCs w:val="21"/>
        </w:rPr>
      </w:pPr>
      <w:r>
        <w:rPr>
          <w:szCs w:val="21"/>
        </w:rPr>
        <w:t>（4）实习报告撰写（40%）：</w:t>
      </w:r>
      <w:r>
        <w:rPr>
          <w:kern w:val="0"/>
          <w:szCs w:val="21"/>
        </w:rPr>
        <w:t>①报告撰写及规划的环节完整，格式规范（10%）；②报告内容与创新性好（20%）；③报告内容规划科学、可行性高（10%）。</w:t>
      </w:r>
    </w:p>
    <w:p>
      <w:pPr>
        <w:snapToGrid w:val="0"/>
        <w:spacing w:line="300" w:lineRule="auto"/>
        <w:ind w:firstLine="420" w:firstLineChars="200"/>
        <w:rPr>
          <w:bCs/>
          <w:szCs w:val="21"/>
        </w:rPr>
      </w:pPr>
      <w:r>
        <w:rPr>
          <w:bCs/>
          <w:szCs w:val="21"/>
        </w:rPr>
        <w:t>考核评价标准见表4：</w:t>
      </w:r>
    </w:p>
    <w:p>
      <w:pPr>
        <w:snapToGrid w:val="0"/>
        <w:spacing w:before="159" w:beforeLines="50" w:line="300" w:lineRule="auto"/>
        <w:jc w:val="center"/>
        <w:rPr>
          <w:b/>
          <w:bCs/>
          <w:sz w:val="18"/>
          <w:szCs w:val="20"/>
        </w:rPr>
      </w:pPr>
      <w:r>
        <w:rPr>
          <w:b/>
          <w:bCs/>
          <w:sz w:val="18"/>
          <w:szCs w:val="20"/>
        </w:rPr>
        <w:t>表4 教学目标评价标准</w:t>
      </w:r>
    </w:p>
    <w:tbl>
      <w:tblPr>
        <w:tblStyle w:val="22"/>
        <w:tblW w:w="4999" w:type="pct"/>
        <w:jc w:val="center"/>
        <w:tblLayout w:type="autofit"/>
        <w:tblCellMar>
          <w:top w:w="0" w:type="dxa"/>
          <w:left w:w="108" w:type="dxa"/>
          <w:bottom w:w="0" w:type="dxa"/>
          <w:right w:w="108" w:type="dxa"/>
        </w:tblCellMar>
      </w:tblPr>
      <w:tblGrid>
        <w:gridCol w:w="1563"/>
        <w:gridCol w:w="1555"/>
        <w:gridCol w:w="3158"/>
        <w:gridCol w:w="1561"/>
        <w:gridCol w:w="1561"/>
      </w:tblGrid>
      <w:tr>
        <w:tblPrEx>
          <w:tblCellMar>
            <w:top w:w="0" w:type="dxa"/>
            <w:left w:w="108" w:type="dxa"/>
            <w:bottom w:w="0" w:type="dxa"/>
            <w:right w:w="108" w:type="dxa"/>
          </w:tblCellMar>
        </w:tblPrEx>
        <w:trPr>
          <w:trHeight w:val="312" w:hRule="atLeast"/>
          <w:jc w:val="center"/>
        </w:trPr>
        <w:tc>
          <w:tcPr>
            <w:tcW w:w="831"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成绩类型</w:t>
            </w:r>
          </w:p>
        </w:tc>
        <w:tc>
          <w:tcPr>
            <w:tcW w:w="827"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权重</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考核/评价细则</w:t>
            </w:r>
          </w:p>
        </w:tc>
        <w:tc>
          <w:tcPr>
            <w:tcW w:w="830"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课程目标</w:t>
            </w:r>
          </w:p>
        </w:tc>
        <w:tc>
          <w:tcPr>
            <w:tcW w:w="830" w:type="pct"/>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18"/>
                <w:szCs w:val="18"/>
              </w:rPr>
            </w:pPr>
            <w:r>
              <w:rPr>
                <w:b/>
                <w:bCs/>
                <w:kern w:val="0"/>
                <w:sz w:val="18"/>
                <w:szCs w:val="18"/>
              </w:rPr>
              <w:t>毕业要求指标点</w:t>
            </w:r>
          </w:p>
        </w:tc>
      </w:tr>
      <w:tr>
        <w:tblPrEx>
          <w:tblCellMar>
            <w:top w:w="0" w:type="dxa"/>
            <w:left w:w="108" w:type="dxa"/>
            <w:bottom w:w="0" w:type="dxa"/>
            <w:right w:w="108" w:type="dxa"/>
          </w:tblCellMar>
        </w:tblPrEx>
        <w:trPr>
          <w:trHeight w:val="936" w:hRule="atLeast"/>
          <w:jc w:val="center"/>
        </w:trPr>
        <w:tc>
          <w:tcPr>
            <w:tcW w:w="831"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课堂表现</w:t>
            </w:r>
          </w:p>
        </w:tc>
        <w:tc>
          <w:tcPr>
            <w:tcW w:w="82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0.2</w:t>
            </w:r>
          </w:p>
        </w:tc>
        <w:tc>
          <w:tcPr>
            <w:tcW w:w="1679" w:type="pct"/>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能否足量查阅资料;能否熟练运用知识;能否阐明自己的观点;团队合作程度;出勤率。</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1，4</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1.2，</w:t>
            </w:r>
            <w:r>
              <w:rPr>
                <w:rFonts w:hint="eastAsia"/>
                <w:kern w:val="0"/>
                <w:sz w:val="18"/>
                <w:szCs w:val="18"/>
              </w:rPr>
              <w:t>3</w:t>
            </w:r>
            <w:r>
              <w:rPr>
                <w:kern w:val="0"/>
                <w:sz w:val="18"/>
                <w:szCs w:val="18"/>
              </w:rPr>
              <w:t>.2</w:t>
            </w:r>
          </w:p>
        </w:tc>
      </w:tr>
      <w:tr>
        <w:tblPrEx>
          <w:tblCellMar>
            <w:top w:w="0" w:type="dxa"/>
            <w:left w:w="108" w:type="dxa"/>
            <w:bottom w:w="0" w:type="dxa"/>
            <w:right w:w="108" w:type="dxa"/>
          </w:tblCellMar>
        </w:tblPrEx>
        <w:trPr>
          <w:trHeight w:val="696" w:hRule="atLeast"/>
          <w:jc w:val="center"/>
        </w:trPr>
        <w:tc>
          <w:tcPr>
            <w:tcW w:w="831"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作品验收</w:t>
            </w:r>
          </w:p>
        </w:tc>
        <w:tc>
          <w:tcPr>
            <w:tcW w:w="82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0.4</w:t>
            </w:r>
          </w:p>
        </w:tc>
        <w:tc>
          <w:tcPr>
            <w:tcW w:w="1679" w:type="pct"/>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实习过程能否合规;实习作品能否完整;作品验收能否准确、清晰。</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1，2，3</w:t>
            </w:r>
            <w:r>
              <w:rPr>
                <w:rFonts w:hint="eastAsia"/>
                <w:kern w:val="0"/>
                <w:sz w:val="18"/>
                <w:szCs w:val="18"/>
              </w:rPr>
              <w:t>，4</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1.2，</w:t>
            </w:r>
            <w:r>
              <w:rPr>
                <w:rFonts w:hint="eastAsia"/>
                <w:kern w:val="0"/>
                <w:sz w:val="18"/>
                <w:szCs w:val="18"/>
              </w:rPr>
              <w:t>1</w:t>
            </w:r>
            <w:r>
              <w:rPr>
                <w:kern w:val="0"/>
                <w:sz w:val="18"/>
                <w:szCs w:val="18"/>
              </w:rPr>
              <w:t>.3，</w:t>
            </w:r>
            <w:r>
              <w:rPr>
                <w:rFonts w:hint="eastAsia"/>
                <w:kern w:val="0"/>
                <w:sz w:val="18"/>
                <w:szCs w:val="18"/>
              </w:rPr>
              <w:t>3</w:t>
            </w:r>
            <w:r>
              <w:rPr>
                <w:kern w:val="0"/>
                <w:sz w:val="18"/>
                <w:szCs w:val="18"/>
              </w:rPr>
              <w:t>.2</w:t>
            </w:r>
          </w:p>
        </w:tc>
      </w:tr>
      <w:tr>
        <w:tblPrEx>
          <w:tblCellMar>
            <w:top w:w="0" w:type="dxa"/>
            <w:left w:w="108" w:type="dxa"/>
            <w:bottom w:w="0" w:type="dxa"/>
            <w:right w:w="108" w:type="dxa"/>
          </w:tblCellMar>
        </w:tblPrEx>
        <w:trPr>
          <w:trHeight w:val="864" w:hRule="atLeast"/>
          <w:jc w:val="center"/>
        </w:trPr>
        <w:tc>
          <w:tcPr>
            <w:tcW w:w="831"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实习报告</w:t>
            </w:r>
          </w:p>
        </w:tc>
        <w:tc>
          <w:tcPr>
            <w:tcW w:w="82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0.3</w:t>
            </w:r>
          </w:p>
        </w:tc>
        <w:tc>
          <w:tcPr>
            <w:tcW w:w="1679" w:type="pct"/>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实习报告能否完整、规范;能否体现分析设计全过程;分析设计是否合理。</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2，4</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1</w:t>
            </w:r>
            <w:r>
              <w:rPr>
                <w:kern w:val="0"/>
                <w:sz w:val="18"/>
                <w:szCs w:val="18"/>
              </w:rPr>
              <w:t>.3</w:t>
            </w:r>
            <w:r>
              <w:rPr>
                <w:rFonts w:hint="eastAsia"/>
                <w:kern w:val="0"/>
                <w:sz w:val="18"/>
                <w:szCs w:val="18"/>
              </w:rPr>
              <w:t>，3</w:t>
            </w:r>
            <w:r>
              <w:rPr>
                <w:kern w:val="0"/>
                <w:sz w:val="18"/>
                <w:szCs w:val="18"/>
              </w:rPr>
              <w:t>.2</w:t>
            </w:r>
          </w:p>
        </w:tc>
      </w:tr>
      <w:tr>
        <w:tblPrEx>
          <w:tblCellMar>
            <w:top w:w="0" w:type="dxa"/>
            <w:left w:w="108" w:type="dxa"/>
            <w:bottom w:w="0" w:type="dxa"/>
            <w:right w:w="108" w:type="dxa"/>
          </w:tblCellMar>
        </w:tblPrEx>
        <w:trPr>
          <w:trHeight w:val="612" w:hRule="atLeast"/>
          <w:jc w:val="center"/>
        </w:trPr>
        <w:tc>
          <w:tcPr>
            <w:tcW w:w="831"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实习日志</w:t>
            </w:r>
          </w:p>
        </w:tc>
        <w:tc>
          <w:tcPr>
            <w:tcW w:w="82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0.1</w:t>
            </w:r>
          </w:p>
        </w:tc>
        <w:tc>
          <w:tcPr>
            <w:tcW w:w="1679" w:type="pct"/>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实习日志能否完整、规范。</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3，4</w:t>
            </w:r>
          </w:p>
        </w:tc>
        <w:tc>
          <w:tcPr>
            <w:tcW w:w="830"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1.3</w:t>
            </w:r>
          </w:p>
        </w:tc>
      </w:tr>
    </w:tbl>
    <w:p>
      <w:pPr>
        <w:snapToGrid w:val="0"/>
        <w:spacing w:before="159" w:beforeLines="50" w:after="159" w:afterLines="50" w:line="300" w:lineRule="auto"/>
        <w:rPr>
          <w:b/>
          <w:sz w:val="24"/>
        </w:rPr>
      </w:pPr>
      <w:r>
        <w:rPr>
          <w:b/>
          <w:sz w:val="24"/>
        </w:rPr>
        <w:t>六、课程教学目标达成情况评价</w:t>
      </w:r>
    </w:p>
    <w:p>
      <w:pPr>
        <w:snapToGrid w:val="0"/>
        <w:spacing w:line="300" w:lineRule="auto"/>
        <w:ind w:firstLine="420" w:firstLineChars="200"/>
        <w:rPr>
          <w:szCs w:val="21"/>
        </w:rPr>
      </w:pPr>
      <w:r>
        <w:rPr>
          <w:szCs w:val="21"/>
        </w:rPr>
        <w:t>1.评价依据和方法</w:t>
      </w:r>
    </w:p>
    <w:p>
      <w:pPr>
        <w:snapToGrid w:val="0"/>
        <w:spacing w:line="300" w:lineRule="auto"/>
        <w:ind w:right="270" w:firstLine="420" w:firstLineChars="200"/>
        <w:rPr>
          <w:szCs w:val="21"/>
        </w:rPr>
      </w:pPr>
      <w:r>
        <w:rPr>
          <w:szCs w:val="21"/>
        </w:rPr>
        <w:t>课程各目标达成情况为该项目学生的平均得分率，其计算公式为：</w:t>
      </w:r>
    </w:p>
    <w:p>
      <w:pPr>
        <w:jc w:val="center"/>
      </w:pPr>
      <w:r>
        <w:rPr>
          <w:rFonts w:hint="eastAsia"/>
          <w:position w:val="-24"/>
        </w:rPr>
        <w:object>
          <v:shape id="_x0000_i1195" o:spt="75" type="#_x0000_t75" style="height:30pt;width:351pt;" o:ole="t" filled="f" o:preferrelative="t" stroked="f" coordsize="21600,21600">
            <v:path/>
            <v:fill on="f" focussize="0,0"/>
            <v:stroke on="f" joinstyle="miter"/>
            <v:imagedata r:id="rId90" o:title=""/>
            <o:lock v:ext="edit" aspectratio="t"/>
            <w10:wrap type="none"/>
            <w10:anchorlock/>
          </v:shape>
          <o:OLEObject Type="Embed" ProgID="Equation.3" ShapeID="_x0000_i1195" DrawAspect="Content" ObjectID="_1468075893" r:id="rId222">
            <o:LockedField>false</o:LockedField>
          </o:OLEObject>
        </w:object>
      </w:r>
    </w:p>
    <w:p>
      <w:pPr>
        <w:spacing w:before="70" w:line="153"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w:t>
      </w:r>
      <w:r>
        <w:rPr>
          <w:spacing w:val="-6"/>
          <w:position w:val="-1"/>
          <w:szCs w:val="21"/>
        </w:rPr>
        <w:t xml:space="preserve"> </w:t>
      </w:r>
      <w:r>
        <w:rPr>
          <w:position w:val="-1"/>
          <w:szCs w:val="21"/>
        </w:rPr>
        <w:t>4</w:t>
      </w:r>
      <w:r>
        <w:rPr>
          <w:spacing w:val="-2"/>
          <w:position w:val="-1"/>
          <w:szCs w:val="21"/>
        </w:rPr>
        <w:t>个</w:t>
      </w:r>
      <w:r>
        <w:rPr>
          <w:position w:val="-1"/>
          <w:szCs w:val="21"/>
        </w:rPr>
        <w:t>课程分</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pacing w:before="72"/>
        <w:ind w:right="-20"/>
        <w:jc w:val="center"/>
        <w:rPr>
          <w:sz w:val="24"/>
        </w:rPr>
      </w:pPr>
      <w:r>
        <w:rPr>
          <w:rFonts w:hint="eastAsia"/>
          <w:position w:val="-14"/>
        </w:rPr>
        <w:object>
          <v:shape id="_x0000_i1196" o:spt="75" type="#_x0000_t75" style="height:19.5pt;width:246pt;" o:ole="t" filled="f" o:preferrelative="t" stroked="f" coordsize="21600,21600">
            <v:path/>
            <v:fill on="f" focussize="0,0"/>
            <v:stroke on="f" joinstyle="miter"/>
            <v:imagedata r:id="rId92" o:title=""/>
            <o:lock v:ext="edit" aspectratio="t"/>
            <w10:wrap type="none"/>
            <w10:anchorlock/>
          </v:shape>
          <o:OLEObject Type="Embed" ProgID="Equation.3" ShapeID="_x0000_i1196" DrawAspect="Content" ObjectID="_1468075894" r:id="rId223">
            <o:LockedField>false</o:LockedField>
          </o:OLEObject>
        </w:object>
      </w:r>
    </w:p>
    <w:p>
      <w:pPr>
        <w:snapToGrid w:val="0"/>
        <w:spacing w:line="300" w:lineRule="auto"/>
        <w:ind w:right="-23"/>
        <w:rPr>
          <w:szCs w:val="21"/>
        </w:rPr>
      </w:pPr>
      <w:r>
        <w:rPr>
          <w:szCs w:val="21"/>
        </w:rPr>
        <w:t>其中权重系数按表5设定。</w:t>
      </w:r>
    </w:p>
    <w:p>
      <w:pPr>
        <w:snapToGrid w:val="0"/>
        <w:spacing w:before="159" w:beforeLines="50" w:line="300" w:lineRule="auto"/>
        <w:ind w:right="-23"/>
        <w:jc w:val="center"/>
        <w:rPr>
          <w:b/>
          <w:bCs/>
          <w:position w:val="-3"/>
          <w:sz w:val="18"/>
          <w:szCs w:val="18"/>
        </w:rPr>
      </w:pPr>
      <w:r>
        <w:rPr>
          <w:b/>
          <w:bCs/>
          <w:position w:val="-3"/>
          <w:sz w:val="18"/>
          <w:szCs w:val="18"/>
        </w:rPr>
        <w:t>表5 课程目标考核</w:t>
      </w:r>
      <w:r>
        <w:rPr>
          <w:b/>
          <w:bCs/>
          <w:spacing w:val="-2"/>
          <w:position w:val="-3"/>
          <w:sz w:val="18"/>
          <w:szCs w:val="18"/>
        </w:rPr>
        <w:t>权</w:t>
      </w:r>
      <w:r>
        <w:rPr>
          <w:b/>
          <w:bCs/>
          <w:position w:val="-3"/>
          <w:sz w:val="18"/>
          <w:szCs w:val="18"/>
        </w:rPr>
        <w:t>重</w:t>
      </w:r>
      <w:r>
        <w:rPr>
          <w:b/>
          <w:bCs/>
          <w:spacing w:val="-2"/>
          <w:position w:val="-3"/>
          <w:sz w:val="18"/>
          <w:szCs w:val="18"/>
        </w:rPr>
        <w:t>系</w:t>
      </w:r>
      <w:r>
        <w:rPr>
          <w:b/>
          <w:bCs/>
          <w:position w:val="-3"/>
          <w:sz w:val="18"/>
          <w:szCs w:val="18"/>
        </w:rPr>
        <w:t>数</w:t>
      </w:r>
    </w:p>
    <w:tbl>
      <w:tblPr>
        <w:tblStyle w:val="22"/>
        <w:tblW w:w="4999" w:type="pct"/>
        <w:jc w:val="center"/>
        <w:tblLayout w:type="autofit"/>
        <w:tblCellMar>
          <w:top w:w="0" w:type="dxa"/>
          <w:left w:w="0" w:type="dxa"/>
          <w:bottom w:w="0" w:type="dxa"/>
          <w:right w:w="0" w:type="dxa"/>
        </w:tblCellMar>
      </w:tblPr>
      <w:tblGrid>
        <w:gridCol w:w="2126"/>
        <w:gridCol w:w="1768"/>
        <w:gridCol w:w="1766"/>
        <w:gridCol w:w="1766"/>
        <w:gridCol w:w="1766"/>
      </w:tblGrid>
      <w:tr>
        <w:tblPrEx>
          <w:tblCellMar>
            <w:top w:w="0" w:type="dxa"/>
            <w:left w:w="0" w:type="dxa"/>
            <w:bottom w:w="0" w:type="dxa"/>
            <w:right w:w="0" w:type="dxa"/>
          </w:tblCellMar>
        </w:tblPrEx>
        <w:trPr>
          <w:trHeight w:val="347" w:hRule="exact"/>
          <w:jc w:val="center"/>
        </w:trPr>
        <w:tc>
          <w:tcPr>
            <w:tcW w:w="1156" w:type="pct"/>
            <w:tcBorders>
              <w:top w:val="single" w:color="000000" w:sz="4" w:space="0"/>
              <w:left w:val="single" w:color="000000" w:sz="4" w:space="0"/>
              <w:bottom w:val="single" w:color="000000" w:sz="4" w:space="0"/>
              <w:right w:val="single" w:color="000000" w:sz="4" w:space="0"/>
            </w:tcBorders>
            <w:vAlign w:val="center"/>
          </w:tcPr>
          <w:p>
            <w:pPr>
              <w:jc w:val="center"/>
              <w:rPr>
                <w:b/>
                <w:bCs/>
                <w:sz w:val="18"/>
                <w:szCs w:val="20"/>
              </w:rPr>
            </w:pPr>
            <w:r>
              <w:rPr>
                <w:b/>
                <w:bCs/>
                <w:sz w:val="18"/>
                <w:szCs w:val="20"/>
              </w:rPr>
              <w:t>课程目标</w:t>
            </w:r>
          </w:p>
        </w:tc>
        <w:tc>
          <w:tcPr>
            <w:tcW w:w="961"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1</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2</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3</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4</w:t>
            </w:r>
          </w:p>
        </w:tc>
      </w:tr>
      <w:tr>
        <w:tblPrEx>
          <w:tblCellMar>
            <w:top w:w="0" w:type="dxa"/>
            <w:left w:w="0" w:type="dxa"/>
            <w:bottom w:w="0" w:type="dxa"/>
            <w:right w:w="0" w:type="dxa"/>
          </w:tblCellMar>
        </w:tblPrEx>
        <w:trPr>
          <w:trHeight w:val="339" w:hRule="exact"/>
          <w:jc w:val="center"/>
        </w:trPr>
        <w:tc>
          <w:tcPr>
            <w:tcW w:w="1156" w:type="pct"/>
            <w:tcBorders>
              <w:top w:val="single" w:color="000000" w:sz="4" w:space="0"/>
              <w:left w:val="single" w:color="000000" w:sz="4" w:space="0"/>
              <w:bottom w:val="single" w:color="000000" w:sz="4" w:space="0"/>
              <w:right w:val="single" w:color="000000" w:sz="4" w:space="0"/>
            </w:tcBorders>
            <w:vAlign w:val="center"/>
          </w:tcPr>
          <w:p>
            <w:pPr>
              <w:jc w:val="center"/>
              <w:rPr>
                <w:b/>
                <w:bCs/>
                <w:sz w:val="18"/>
                <w:szCs w:val="20"/>
              </w:rPr>
            </w:pPr>
            <w:r>
              <w:rPr>
                <w:b/>
                <w:bCs/>
                <w:sz w:val="18"/>
                <w:szCs w:val="20"/>
              </w:rPr>
              <w:t>权重系数</w:t>
            </w:r>
          </w:p>
        </w:tc>
        <w:tc>
          <w:tcPr>
            <w:tcW w:w="961"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0.2</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0.3</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0.3</w:t>
            </w:r>
          </w:p>
        </w:tc>
        <w:tc>
          <w:tcPr>
            <w:tcW w:w="960" w:type="pct"/>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sz w:val="18"/>
                <w:szCs w:val="20"/>
              </w:rPr>
            </w:pPr>
            <w:r>
              <w:rPr>
                <w:sz w:val="18"/>
                <w:szCs w:val="20"/>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pacing w:before="72"/>
        <w:ind w:right="-20"/>
        <w:jc w:val="center"/>
        <w:rPr>
          <w:sz w:val="24"/>
        </w:rPr>
      </w:pPr>
      <w:r>
        <w:rPr>
          <w:rFonts w:hint="eastAsia"/>
          <w:position w:val="-14"/>
          <w:szCs w:val="21"/>
          <w:lang w:bidi="ar"/>
        </w:rPr>
        <w:object>
          <v:shape id="_x0000_i1197" o:spt="75" type="#_x0000_t75" style="height:19.5pt;width:267pt;" o:ole="t" filled="f" o:preferrelative="t" stroked="f" coordsize="21600,21600">
            <v:path/>
            <v:fill on="f" focussize="0,0"/>
            <v:stroke on="f" joinstyle="miter"/>
            <v:imagedata r:id="rId94" o:title=""/>
            <o:lock v:ext="edit" aspectratio="t"/>
            <w10:wrap type="none"/>
            <w10:anchorlock/>
          </v:shape>
          <o:OLEObject Type="Embed" ProgID="Equation.3" ShapeID="_x0000_i1197" DrawAspect="Content" ObjectID="_1468075895" r:id="rId224">
            <o:LockedField>false</o:LockedField>
          </o:OLEObject>
        </w:object>
      </w:r>
    </w:p>
    <w:p>
      <w:pPr>
        <w:snapToGrid w:val="0"/>
        <w:spacing w:line="300" w:lineRule="auto"/>
        <w:ind w:right="-20" w:firstLine="240" w:firstLineChars="100"/>
        <w:rPr>
          <w:sz w:val="24"/>
        </w:rPr>
      </w:pPr>
      <w:r>
        <w:rPr>
          <w:sz w:val="24"/>
        </w:rPr>
        <w:t xml:space="preserve"> </w:t>
      </w:r>
      <w:r>
        <w:rPr>
          <w:szCs w:val="21"/>
        </w:rPr>
        <w:t>2.课程总结要求</w:t>
      </w:r>
    </w:p>
    <w:p>
      <w:pPr>
        <w:snapToGrid w:val="0"/>
        <w:spacing w:line="300" w:lineRule="auto"/>
        <w:ind w:firstLine="420" w:firstLineChars="200"/>
        <w:rPr>
          <w:szCs w:val="21"/>
        </w:rPr>
      </w:pPr>
      <w:r>
        <w:rPr>
          <w:szCs w:val="21"/>
        </w:rPr>
        <w:t>依据达成情况评价、教师评价、督导专家评价，以及毕业论文情况、答辩情况，对毕业论文情况进行有针对性的总结，撰写毕业设计论文总结与报告，提出持续改进课程教学的措施。</w:t>
      </w:r>
    </w:p>
    <w:p>
      <w:pPr>
        <w:snapToGrid w:val="0"/>
        <w:spacing w:before="159" w:beforeLines="50" w:after="159" w:afterLines="50" w:line="300" w:lineRule="auto"/>
        <w:rPr>
          <w:szCs w:val="21"/>
        </w:rPr>
      </w:pPr>
      <w:r>
        <w:rPr>
          <w:b/>
          <w:sz w:val="24"/>
        </w:rPr>
        <w:t>七、教材及参考资料</w:t>
      </w:r>
    </w:p>
    <w:p>
      <w:pPr>
        <w:snapToGrid w:val="0"/>
        <w:spacing w:line="300" w:lineRule="auto"/>
        <w:ind w:firstLine="420" w:firstLineChars="200"/>
        <w:rPr>
          <w:szCs w:val="21"/>
        </w:rPr>
      </w:pPr>
      <w:bookmarkStart w:id="279" w:name="_Hlk102912932"/>
      <w:r>
        <w:rPr>
          <w:szCs w:val="21"/>
        </w:rPr>
        <w:t>不指定教材。参考资料如下：</w:t>
      </w:r>
    </w:p>
    <w:p>
      <w:pPr>
        <w:snapToGrid w:val="0"/>
        <w:spacing w:line="300" w:lineRule="auto"/>
        <w:ind w:firstLine="420" w:firstLineChars="200"/>
        <w:rPr>
          <w:bCs/>
          <w:szCs w:val="21"/>
        </w:rPr>
      </w:pPr>
      <w:r>
        <w:rPr>
          <w:szCs w:val="21"/>
        </w:rPr>
        <w:t xml:space="preserve">[1] </w:t>
      </w:r>
      <w:r>
        <w:rPr>
          <w:bCs/>
          <w:szCs w:val="21"/>
        </w:rPr>
        <w:t>杨力.电子技术课程设计</w:t>
      </w:r>
      <w:r>
        <w:rPr>
          <w:szCs w:val="21"/>
        </w:rPr>
        <w:t>[M]</w:t>
      </w:r>
      <w:r>
        <w:rPr>
          <w:bCs/>
          <w:szCs w:val="21"/>
        </w:rPr>
        <w:t xml:space="preserve">，武汉：中国电力出版社，2017.11.   </w:t>
      </w:r>
    </w:p>
    <w:p>
      <w:pPr>
        <w:snapToGrid w:val="0"/>
        <w:spacing w:line="300" w:lineRule="auto"/>
        <w:ind w:firstLine="420" w:firstLineChars="200"/>
        <w:rPr>
          <w:b/>
          <w:szCs w:val="21"/>
        </w:rPr>
      </w:pPr>
      <w:r>
        <w:rPr>
          <w:szCs w:val="21"/>
        </w:rPr>
        <w:t>[2] 钮文良,肖琳.高频电子线路[M],西安：西安电子科技大学出版社，2015.09.</w:t>
      </w:r>
    </w:p>
    <w:bookmarkEnd w:id="279"/>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420"/>
              <w:jc w:val="right"/>
              <w:rPr>
                <w:kern w:val="0"/>
                <w:sz w:val="20"/>
                <w:szCs w:val="21"/>
              </w:rPr>
            </w:pPr>
          </w:p>
        </w:tc>
      </w:tr>
    </w:tbl>
    <w:p/>
    <w:p/>
    <w:p>
      <w:pPr>
        <w:spacing w:line="360" w:lineRule="auto"/>
        <w:ind w:firstLine="440" w:firstLineChars="200"/>
        <w:rPr>
          <w:bCs/>
          <w:spacing w:val="5"/>
          <w:kern w:val="0"/>
          <w:szCs w:val="21"/>
        </w:rPr>
      </w:pPr>
    </w:p>
    <w:p>
      <w:pPr>
        <w:spacing w:line="360" w:lineRule="auto"/>
        <w:rPr>
          <w:szCs w:val="21"/>
        </w:rPr>
        <w:sectPr>
          <w:pgSz w:w="11906" w:h="16838"/>
          <w:pgMar w:top="1417" w:right="1361" w:bottom="1417" w:left="1361" w:header="851" w:footer="992" w:gutter="0"/>
          <w:cols w:space="720" w:num="1"/>
          <w:docGrid w:type="lines" w:linePitch="318" w:charSpace="0"/>
        </w:sectPr>
      </w:pPr>
    </w:p>
    <w:p>
      <w:pPr>
        <w:pStyle w:val="3"/>
        <w:jc w:val="center"/>
      </w:pPr>
      <w:bookmarkStart w:id="280" w:name="_Toc62652568"/>
      <w:bookmarkStart w:id="281" w:name="_Toc62571485"/>
      <w:bookmarkStart w:id="282" w:name="_Toc16408"/>
      <w:bookmarkStart w:id="283" w:name="_Toc765"/>
      <w:bookmarkStart w:id="284" w:name="_Toc1194"/>
      <w:r>
        <w:rPr>
          <w:rFonts w:hint="eastAsia"/>
        </w:rPr>
        <w:t>j3341703《通信原理课程实习》</w:t>
      </w:r>
      <w:bookmarkEnd w:id="280"/>
      <w:bookmarkEnd w:id="281"/>
      <w:r>
        <w:rPr>
          <w:rFonts w:hint="eastAsia"/>
        </w:rPr>
        <w:t>实习教学大纲</w:t>
      </w:r>
      <w:bookmarkEnd w:id="282"/>
      <w:bookmarkEnd w:id="283"/>
      <w:bookmarkEnd w:id="284"/>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3403"/>
        <w:gridCol w:w="1314"/>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76" w:type="pct"/>
          </w:tcPr>
          <w:p>
            <w:pPr>
              <w:jc w:val="center"/>
              <w:rPr>
                <w:kern w:val="0"/>
                <w:szCs w:val="21"/>
              </w:rPr>
            </w:pPr>
            <w:r>
              <w:rPr>
                <w:kern w:val="0"/>
                <w:szCs w:val="21"/>
              </w:rPr>
              <w:t>课程编号</w:t>
            </w:r>
          </w:p>
        </w:tc>
        <w:tc>
          <w:tcPr>
            <w:tcW w:w="1810" w:type="pct"/>
          </w:tcPr>
          <w:p>
            <w:pPr>
              <w:jc w:val="center"/>
              <w:rPr>
                <w:kern w:val="0"/>
                <w:szCs w:val="21"/>
              </w:rPr>
            </w:pPr>
            <w:r>
              <w:rPr>
                <w:kern w:val="0"/>
                <w:szCs w:val="21"/>
              </w:rPr>
              <w:t>j334</w:t>
            </w:r>
            <w:r>
              <w:rPr>
                <w:rFonts w:hint="eastAsia"/>
                <w:kern w:val="0"/>
                <w:szCs w:val="21"/>
              </w:rPr>
              <w:t>1703</w:t>
            </w:r>
          </w:p>
        </w:tc>
        <w:tc>
          <w:tcPr>
            <w:tcW w:w="699" w:type="pct"/>
          </w:tcPr>
          <w:p>
            <w:pPr>
              <w:jc w:val="center"/>
              <w:rPr>
                <w:kern w:val="0"/>
                <w:szCs w:val="21"/>
              </w:rPr>
            </w:pPr>
            <w:r>
              <w:rPr>
                <w:kern w:val="0"/>
                <w:szCs w:val="21"/>
              </w:rPr>
              <w:t>课程名称</w:t>
            </w:r>
          </w:p>
        </w:tc>
        <w:tc>
          <w:tcPr>
            <w:tcW w:w="1715" w:type="pct"/>
          </w:tcPr>
          <w:p>
            <w:pPr>
              <w:jc w:val="center"/>
              <w:rPr>
                <w:kern w:val="0"/>
                <w:szCs w:val="21"/>
              </w:rPr>
            </w:pPr>
            <w:r>
              <w:rPr>
                <w:rFonts w:hint="eastAsia"/>
                <w:szCs w:val="21"/>
              </w:rPr>
              <w:t>通信原理课程实习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76" w:type="pct"/>
          </w:tcPr>
          <w:p>
            <w:pPr>
              <w:jc w:val="center"/>
              <w:rPr>
                <w:kern w:val="0"/>
                <w:szCs w:val="21"/>
              </w:rPr>
            </w:pPr>
            <w:r>
              <w:rPr>
                <w:kern w:val="0"/>
                <w:szCs w:val="21"/>
              </w:rPr>
              <w:t>课程性质*</w:t>
            </w:r>
          </w:p>
        </w:tc>
        <w:tc>
          <w:tcPr>
            <w:tcW w:w="1810" w:type="pct"/>
          </w:tcPr>
          <w:p>
            <w:pPr>
              <w:jc w:val="center"/>
              <w:rPr>
                <w:kern w:val="0"/>
                <w:szCs w:val="21"/>
              </w:rPr>
            </w:pPr>
            <w:r>
              <w:rPr>
                <w:kern w:val="0"/>
                <w:szCs w:val="21"/>
              </w:rPr>
              <w:t>工程实践与毕业设计（论文）</w:t>
            </w:r>
          </w:p>
        </w:tc>
        <w:tc>
          <w:tcPr>
            <w:tcW w:w="699" w:type="pct"/>
          </w:tcPr>
          <w:p>
            <w:pPr>
              <w:jc w:val="center"/>
              <w:rPr>
                <w:kern w:val="0"/>
                <w:szCs w:val="21"/>
              </w:rPr>
            </w:pPr>
            <w:r>
              <w:rPr>
                <w:kern w:val="0"/>
                <w:szCs w:val="21"/>
              </w:rPr>
              <w:t>英文名称</w:t>
            </w:r>
          </w:p>
        </w:tc>
        <w:tc>
          <w:tcPr>
            <w:tcW w:w="1715" w:type="pct"/>
            <w:vAlign w:val="center"/>
          </w:tcPr>
          <w:p>
            <w:pPr>
              <w:jc w:val="center"/>
              <w:rPr>
                <w:bCs/>
                <w:kern w:val="0"/>
                <w:szCs w:val="21"/>
              </w:rPr>
            </w:pPr>
            <w:r>
              <w:fldChar w:fldCharType="begin"/>
            </w:r>
            <w:r>
              <w:instrText xml:space="preserve"> HYPERLINK "app:lj:%E9%80%9A%E4%BF%A1%E5%8E%9F%E7%90%86?ljtype=blng&amp;ljblngcont=0&amp;ljtran=communication%20theory" \t "_self" </w:instrText>
            </w:r>
            <w:r>
              <w:fldChar w:fldCharType="separate"/>
            </w:r>
            <w:r>
              <w:rPr>
                <w:szCs w:val="21"/>
              </w:rPr>
              <w:t>Communication Theory</w:t>
            </w:r>
            <w:r>
              <w:rPr>
                <w:szCs w:val="21"/>
              </w:rPr>
              <w:fldChar w:fldCharType="end"/>
            </w:r>
            <w:r>
              <w:rPr>
                <w:szCs w:val="21"/>
              </w:rPr>
              <w:t xml:space="preserve"> Course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76" w:type="pct"/>
          </w:tcPr>
          <w:p>
            <w:pPr>
              <w:jc w:val="center"/>
              <w:rPr>
                <w:kern w:val="0"/>
                <w:szCs w:val="21"/>
              </w:rPr>
            </w:pPr>
            <w:r>
              <w:rPr>
                <w:kern w:val="0"/>
                <w:szCs w:val="21"/>
              </w:rPr>
              <w:t>学分学时</w:t>
            </w:r>
          </w:p>
        </w:tc>
        <w:tc>
          <w:tcPr>
            <w:tcW w:w="1810" w:type="pct"/>
          </w:tcPr>
          <w:p>
            <w:pPr>
              <w:jc w:val="center"/>
              <w:rPr>
                <w:kern w:val="0"/>
                <w:szCs w:val="21"/>
              </w:rPr>
            </w:pPr>
            <w:r>
              <w:rPr>
                <w:kern w:val="0"/>
                <w:szCs w:val="21"/>
              </w:rPr>
              <w:t>1</w:t>
            </w:r>
            <w:r>
              <w:rPr>
                <w:bCs/>
                <w:kern w:val="0"/>
                <w:szCs w:val="21"/>
              </w:rPr>
              <w:t xml:space="preserve"> </w:t>
            </w:r>
            <w:r>
              <w:rPr>
                <w:kern w:val="0"/>
                <w:szCs w:val="21"/>
              </w:rPr>
              <w:t>: 1周</w:t>
            </w:r>
          </w:p>
        </w:tc>
        <w:tc>
          <w:tcPr>
            <w:tcW w:w="699" w:type="pct"/>
          </w:tcPr>
          <w:p>
            <w:pPr>
              <w:jc w:val="center"/>
              <w:rPr>
                <w:kern w:val="0"/>
                <w:szCs w:val="21"/>
                <w:highlight w:val="yellow"/>
              </w:rPr>
            </w:pPr>
            <w:r>
              <w:rPr>
                <w:kern w:val="0"/>
                <w:szCs w:val="21"/>
              </w:rPr>
              <w:t>任课教师</w:t>
            </w:r>
          </w:p>
        </w:tc>
        <w:tc>
          <w:tcPr>
            <w:tcW w:w="1715" w:type="pct"/>
          </w:tcPr>
          <w:p>
            <w:pPr>
              <w:jc w:val="center"/>
              <w:rPr>
                <w:kern w:val="0"/>
                <w:szCs w:val="21"/>
                <w:highlight w:val="yellow"/>
              </w:rPr>
            </w:pPr>
            <w:r>
              <w:rPr>
                <w:kern w:val="0"/>
                <w:szCs w:val="20"/>
              </w:rPr>
              <w:t>邓锐、冯青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6" w:type="pct"/>
          </w:tcPr>
          <w:p>
            <w:pPr>
              <w:jc w:val="center"/>
              <w:rPr>
                <w:bCs/>
                <w:kern w:val="0"/>
                <w:szCs w:val="21"/>
              </w:rPr>
            </w:pPr>
            <w:r>
              <w:rPr>
                <w:bCs/>
                <w:kern w:val="0"/>
                <w:szCs w:val="21"/>
              </w:rPr>
              <w:t>企业专家</w:t>
            </w:r>
          </w:p>
        </w:tc>
        <w:tc>
          <w:tcPr>
            <w:tcW w:w="1810" w:type="pct"/>
          </w:tcPr>
          <w:p>
            <w:pPr>
              <w:widowControl/>
              <w:jc w:val="center"/>
              <w:rPr>
                <w:kern w:val="0"/>
                <w:szCs w:val="21"/>
              </w:rPr>
            </w:pPr>
            <w:r>
              <w:rPr>
                <w:kern w:val="0"/>
                <w:szCs w:val="21"/>
              </w:rPr>
              <w:t>曾耿滨</w:t>
            </w:r>
          </w:p>
        </w:tc>
        <w:tc>
          <w:tcPr>
            <w:tcW w:w="699" w:type="pct"/>
          </w:tcPr>
          <w:p>
            <w:pPr>
              <w:jc w:val="center"/>
              <w:rPr>
                <w:bCs/>
                <w:kern w:val="0"/>
                <w:szCs w:val="21"/>
              </w:rPr>
            </w:pPr>
            <w:r>
              <w:rPr>
                <w:bCs/>
                <w:kern w:val="0"/>
                <w:szCs w:val="21"/>
              </w:rPr>
              <w:t>行业专家</w:t>
            </w:r>
          </w:p>
        </w:tc>
        <w:tc>
          <w:tcPr>
            <w:tcW w:w="1715" w:type="pct"/>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76" w:type="pct"/>
          </w:tcPr>
          <w:p>
            <w:pPr>
              <w:widowControl/>
              <w:jc w:val="center"/>
              <w:rPr>
                <w:bCs/>
                <w:kern w:val="0"/>
                <w:szCs w:val="21"/>
              </w:rPr>
            </w:pPr>
            <w:r>
              <w:rPr>
                <w:bCs/>
                <w:kern w:val="0"/>
                <w:szCs w:val="21"/>
              </w:rPr>
              <w:t>执笔教师</w:t>
            </w:r>
          </w:p>
        </w:tc>
        <w:tc>
          <w:tcPr>
            <w:tcW w:w="1810" w:type="pct"/>
          </w:tcPr>
          <w:p>
            <w:pPr>
              <w:widowControl/>
              <w:jc w:val="center"/>
              <w:rPr>
                <w:kern w:val="0"/>
                <w:szCs w:val="21"/>
              </w:rPr>
            </w:pPr>
            <w:r>
              <w:rPr>
                <w:rFonts w:hint="eastAsia"/>
                <w:kern w:val="0"/>
                <w:szCs w:val="21"/>
              </w:rPr>
              <w:t>冯青</w:t>
            </w:r>
          </w:p>
        </w:tc>
        <w:tc>
          <w:tcPr>
            <w:tcW w:w="699" w:type="pct"/>
          </w:tcPr>
          <w:p>
            <w:pPr>
              <w:widowControl/>
              <w:jc w:val="center"/>
              <w:rPr>
                <w:bCs/>
                <w:kern w:val="0"/>
                <w:szCs w:val="21"/>
              </w:rPr>
            </w:pPr>
            <w:r>
              <w:rPr>
                <w:bCs/>
                <w:kern w:val="0"/>
                <w:szCs w:val="21"/>
              </w:rPr>
              <w:t>责任教授</w:t>
            </w:r>
          </w:p>
        </w:tc>
        <w:tc>
          <w:tcPr>
            <w:tcW w:w="1715" w:type="pct"/>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76" w:type="pct"/>
          </w:tcPr>
          <w:p>
            <w:pPr>
              <w:widowControl/>
              <w:jc w:val="center"/>
              <w:rPr>
                <w:bCs/>
                <w:kern w:val="0"/>
                <w:szCs w:val="21"/>
              </w:rPr>
            </w:pPr>
            <w:r>
              <w:rPr>
                <w:bCs/>
                <w:kern w:val="0"/>
                <w:szCs w:val="21"/>
              </w:rPr>
              <w:t>适用专业</w:t>
            </w:r>
          </w:p>
        </w:tc>
        <w:tc>
          <w:tcPr>
            <w:tcW w:w="1810" w:type="pct"/>
          </w:tcPr>
          <w:p>
            <w:pPr>
              <w:widowControl/>
              <w:jc w:val="center"/>
              <w:rPr>
                <w:kern w:val="0"/>
                <w:szCs w:val="21"/>
              </w:rPr>
            </w:pPr>
            <w:r>
              <w:rPr>
                <w:kern w:val="0"/>
                <w:szCs w:val="21"/>
              </w:rPr>
              <w:t>电子信息工程</w:t>
            </w:r>
          </w:p>
        </w:tc>
        <w:tc>
          <w:tcPr>
            <w:tcW w:w="699" w:type="pct"/>
          </w:tcPr>
          <w:p>
            <w:pPr>
              <w:widowControl/>
              <w:jc w:val="center"/>
              <w:rPr>
                <w:bCs/>
                <w:kern w:val="0"/>
                <w:szCs w:val="21"/>
              </w:rPr>
            </w:pPr>
            <w:r>
              <w:rPr>
                <w:bCs/>
                <w:kern w:val="0"/>
                <w:szCs w:val="21"/>
              </w:rPr>
              <w:t>适用对象</w:t>
            </w:r>
          </w:p>
        </w:tc>
        <w:tc>
          <w:tcPr>
            <w:tcW w:w="1715" w:type="pct"/>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776" w:type="pct"/>
          </w:tcPr>
          <w:p>
            <w:pPr>
              <w:jc w:val="center"/>
              <w:rPr>
                <w:b/>
                <w:kern w:val="0"/>
                <w:szCs w:val="21"/>
              </w:rPr>
            </w:pPr>
            <w:r>
              <w:rPr>
                <w:kern w:val="0"/>
                <w:szCs w:val="21"/>
              </w:rPr>
              <w:t>先修课程</w:t>
            </w:r>
          </w:p>
        </w:tc>
        <w:tc>
          <w:tcPr>
            <w:tcW w:w="1810" w:type="pct"/>
            <w:vAlign w:val="center"/>
          </w:tcPr>
          <w:p>
            <w:pPr>
              <w:widowControl/>
              <w:jc w:val="center"/>
              <w:rPr>
                <w:bCs/>
                <w:kern w:val="0"/>
                <w:szCs w:val="21"/>
              </w:rPr>
            </w:pPr>
            <w:r>
              <w:rPr>
                <w:rFonts w:hint="eastAsia"/>
                <w:kern w:val="0"/>
                <w:szCs w:val="21"/>
              </w:rPr>
              <w:t>电子信息类基础课程</w:t>
            </w:r>
          </w:p>
        </w:tc>
        <w:tc>
          <w:tcPr>
            <w:tcW w:w="699" w:type="pct"/>
          </w:tcPr>
          <w:p>
            <w:pPr>
              <w:snapToGrid w:val="0"/>
              <w:spacing w:line="300" w:lineRule="auto"/>
              <w:jc w:val="center"/>
              <w:rPr>
                <w:b/>
                <w:kern w:val="0"/>
                <w:szCs w:val="21"/>
              </w:rPr>
            </w:pPr>
            <w:r>
              <w:rPr>
                <w:kern w:val="0"/>
                <w:szCs w:val="21"/>
              </w:rPr>
              <w:t>同修课程</w:t>
            </w:r>
          </w:p>
        </w:tc>
        <w:tc>
          <w:tcPr>
            <w:tcW w:w="1715" w:type="pct"/>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pct"/>
          </w:tcPr>
          <w:p>
            <w:pPr>
              <w:jc w:val="center"/>
              <w:rPr>
                <w:kern w:val="0"/>
                <w:szCs w:val="21"/>
              </w:rPr>
            </w:pPr>
            <w:r>
              <w:rPr>
                <w:kern w:val="0"/>
                <w:szCs w:val="21"/>
              </w:rPr>
              <w:t>排斥课程</w:t>
            </w:r>
          </w:p>
        </w:tc>
        <w:tc>
          <w:tcPr>
            <w:tcW w:w="1810" w:type="pct"/>
          </w:tcPr>
          <w:p>
            <w:pPr>
              <w:widowControl/>
              <w:jc w:val="center"/>
              <w:rPr>
                <w:kern w:val="0"/>
                <w:szCs w:val="21"/>
              </w:rPr>
            </w:pPr>
            <w:r>
              <w:rPr>
                <w:kern w:val="0"/>
                <w:szCs w:val="21"/>
              </w:rPr>
              <w:t>无</w:t>
            </w:r>
          </w:p>
        </w:tc>
        <w:tc>
          <w:tcPr>
            <w:tcW w:w="699" w:type="pct"/>
          </w:tcPr>
          <w:p>
            <w:pPr>
              <w:snapToGrid w:val="0"/>
              <w:spacing w:line="300" w:lineRule="auto"/>
              <w:jc w:val="center"/>
              <w:rPr>
                <w:kern w:val="0"/>
                <w:szCs w:val="21"/>
              </w:rPr>
            </w:pPr>
            <w:r>
              <w:rPr>
                <w:kern w:val="0"/>
                <w:szCs w:val="21"/>
              </w:rPr>
              <w:t>定稿日期</w:t>
            </w:r>
          </w:p>
        </w:tc>
        <w:tc>
          <w:tcPr>
            <w:tcW w:w="1715" w:type="pct"/>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pacing w:line="276" w:lineRule="auto"/>
        <w:ind w:firstLine="420" w:firstLineChars="200"/>
        <w:rPr>
          <w:szCs w:val="21"/>
        </w:rPr>
      </w:pPr>
      <w:r>
        <w:rPr>
          <w:rFonts w:hint="eastAsia"/>
          <w:szCs w:val="21"/>
        </w:rPr>
        <w:t>通信原理综合实验是电子信息、通信类专业通信原理后续实践环节。通过本综合实验，帮助学生进一步领会和深化课堂上学到的有关通信系统的基本概念、基本原理和通信技术特点。本综合实验通过集中的理论和实践相结合的环节，使学生在认真消化通信基本理论的基础上，对信息产生、变化和传输有进一步的了解，是电子信息、通信专业学生必修的一门综合实践性课程。课程思政方面旨在</w:t>
      </w:r>
      <w:r>
        <w:rPr>
          <w:szCs w:val="21"/>
        </w:rPr>
        <w:t>通过</w:t>
      </w:r>
      <w:r>
        <w:rPr>
          <w:rFonts w:hint="eastAsia"/>
          <w:szCs w:val="21"/>
        </w:rPr>
        <w:t>课程</w:t>
      </w:r>
      <w:r>
        <w:rPr>
          <w:szCs w:val="21"/>
        </w:rPr>
        <w:t>实习</w:t>
      </w:r>
      <w:r>
        <w:rPr>
          <w:rFonts w:hint="eastAsia"/>
          <w:szCs w:val="21"/>
        </w:rPr>
        <w:t>使学生充分感知“科技是国家强盛之基，创新是民族进步之魂”的科学思想，</w:t>
      </w:r>
      <w:r>
        <w:rPr>
          <w:szCs w:val="21"/>
        </w:rPr>
        <w:t>达到“联系实际、拓宽知识、锻炼思想”</w:t>
      </w:r>
      <w:r>
        <w:rPr>
          <w:rFonts w:hint="eastAsia"/>
          <w:szCs w:val="21"/>
        </w:rPr>
        <w:t>教育宗旨。通过综合实验，加强学生的实际动手能力、分析问题与解决问题能力, 培养学生创新意识，为毕业后从事通信系统设计方面的工作打下坚实的实践基础。</w:t>
      </w:r>
    </w:p>
    <w:p>
      <w:pPr>
        <w:snapToGrid w:val="0"/>
        <w:spacing w:before="159" w:beforeLines="50" w:after="159" w:afterLines="50" w:line="300" w:lineRule="auto"/>
        <w:rPr>
          <w:b/>
          <w:sz w:val="24"/>
        </w:rPr>
      </w:pPr>
      <w:r>
        <w:rPr>
          <w:b/>
          <w:sz w:val="24"/>
        </w:rPr>
        <w:t>二、课程教学目标</w:t>
      </w:r>
    </w:p>
    <w:p>
      <w:pPr>
        <w:spacing w:line="276" w:lineRule="auto"/>
        <w:ind w:firstLine="420" w:firstLineChars="200"/>
        <w:rPr>
          <w:szCs w:val="21"/>
        </w:rPr>
      </w:pPr>
      <w:r>
        <w:rPr>
          <w:rFonts w:hint="eastAsia"/>
          <w:szCs w:val="21"/>
        </w:rPr>
        <w:t>通过本综合实验巩固并扩展通信原理课程的基本概念、基本理论、分析方法和实现方法。结合MATLAB技术和数字通信技术，学习现代数字通信系统的仿真建模和设计方法，使学生能有效地将理论和实际紧密结合，培养创新思维和设计能力，增强软件编程实现能力和解决实际问题的能力。经过实验，学生应达到下列要求：</w:t>
      </w:r>
    </w:p>
    <w:p>
      <w:pPr>
        <w:spacing w:line="276" w:lineRule="auto"/>
        <w:ind w:firstLine="420" w:firstLineChars="200"/>
        <w:rPr>
          <w:kern w:val="0"/>
          <w:szCs w:val="21"/>
        </w:rPr>
      </w:pPr>
      <w:r>
        <w:rPr>
          <w:rFonts w:hint="eastAsia"/>
          <w:szCs w:val="21"/>
        </w:rPr>
        <w:t>l、进一步巩固和加深通信原理和系统知识的理解，提高综合运用所学知识来验证通信原理的能力；</w:t>
      </w:r>
      <w:r>
        <w:rPr>
          <w:kern w:val="0"/>
          <w:szCs w:val="21"/>
        </w:rPr>
        <w:t>能将</w:t>
      </w:r>
      <w:r>
        <w:rPr>
          <w:rFonts w:hint="eastAsia"/>
          <w:szCs w:val="21"/>
        </w:rPr>
        <w:t>通信原理</w:t>
      </w:r>
      <w:r>
        <w:rPr>
          <w:kern w:val="0"/>
          <w:szCs w:val="21"/>
        </w:rPr>
        <w:t>技术与模拟电路、嵌入式系统、计算机网络、人工智能等结合起来，在研究针对具体问题的解决方案中予以考虑，提出创新性解决方案。[3.2]</w:t>
      </w:r>
    </w:p>
    <w:p>
      <w:pPr>
        <w:spacing w:line="276" w:lineRule="auto"/>
        <w:ind w:firstLine="420" w:firstLineChars="200"/>
        <w:rPr>
          <w:szCs w:val="21"/>
        </w:rPr>
      </w:pPr>
      <w:r>
        <w:rPr>
          <w:szCs w:val="21"/>
        </w:rPr>
        <w:t>2</w:t>
      </w:r>
      <w:r>
        <w:rPr>
          <w:rFonts w:hint="eastAsia"/>
          <w:szCs w:val="21"/>
        </w:rPr>
        <w:t>、能正确使用仪器设备，掌握测试原理，熟练运用MATLAB仿真软件。</w:t>
      </w:r>
      <w:r>
        <w:rPr>
          <w:szCs w:val="21"/>
        </w:rPr>
        <w:t>[5</w:t>
      </w:r>
      <w:r>
        <w:rPr>
          <w:rFonts w:hint="eastAsia"/>
          <w:szCs w:val="21"/>
        </w:rPr>
        <w:t>.</w:t>
      </w:r>
      <w:r>
        <w:rPr>
          <w:szCs w:val="21"/>
        </w:rPr>
        <w:t>1]</w:t>
      </w:r>
    </w:p>
    <w:p>
      <w:pPr>
        <w:spacing w:line="276" w:lineRule="auto"/>
        <w:ind w:firstLine="420" w:firstLineChars="200"/>
        <w:rPr>
          <w:szCs w:val="21"/>
        </w:rPr>
      </w:pPr>
      <w:r>
        <w:rPr>
          <w:szCs w:val="21"/>
        </w:rPr>
        <w:t>3</w:t>
      </w:r>
      <w:r>
        <w:rPr>
          <w:rFonts w:hint="eastAsia"/>
          <w:szCs w:val="21"/>
        </w:rPr>
        <w:t>、能独立撰写设计说明，准确分析实验结果，正确绘制综合实验得出的各类图形。</w:t>
      </w:r>
      <w:r>
        <w:rPr>
          <w:szCs w:val="21"/>
        </w:rPr>
        <w:t>[</w:t>
      </w:r>
      <w:r>
        <w:rPr>
          <w:rFonts w:hint="eastAsia"/>
          <w:szCs w:val="21"/>
        </w:rPr>
        <w:t>10.</w:t>
      </w:r>
      <w:r>
        <w:rPr>
          <w:szCs w:val="21"/>
        </w:rPr>
        <w:t>1]</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6651"/>
        <w:gridCol w:w="74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687" w:type="pct"/>
            <w:vAlign w:val="center"/>
          </w:tcPr>
          <w:p>
            <w:pPr>
              <w:snapToGrid w:val="0"/>
              <w:spacing w:line="300" w:lineRule="auto"/>
              <w:rPr>
                <w:b/>
                <w:bCs/>
                <w:sz w:val="18"/>
                <w:szCs w:val="18"/>
              </w:rPr>
            </w:pPr>
            <w:r>
              <w:rPr>
                <w:b/>
                <w:bCs/>
                <w:sz w:val="18"/>
                <w:szCs w:val="18"/>
              </w:rPr>
              <w:t>毕业要求</w:t>
            </w:r>
          </w:p>
        </w:tc>
        <w:tc>
          <w:tcPr>
            <w:tcW w:w="3538" w:type="pct"/>
            <w:vAlign w:val="center"/>
          </w:tcPr>
          <w:p>
            <w:pPr>
              <w:snapToGrid w:val="0"/>
              <w:spacing w:line="300" w:lineRule="auto"/>
              <w:jc w:val="center"/>
              <w:rPr>
                <w:b/>
                <w:bCs/>
                <w:sz w:val="18"/>
                <w:szCs w:val="18"/>
              </w:rPr>
            </w:pPr>
            <w:r>
              <w:rPr>
                <w:b/>
                <w:bCs/>
                <w:sz w:val="18"/>
                <w:szCs w:val="18"/>
              </w:rPr>
              <w:t>毕业要求指标点</w:t>
            </w:r>
          </w:p>
        </w:tc>
        <w:tc>
          <w:tcPr>
            <w:tcW w:w="397" w:type="pct"/>
            <w:vAlign w:val="center"/>
          </w:tcPr>
          <w:p>
            <w:pPr>
              <w:snapToGrid w:val="0"/>
              <w:spacing w:line="300" w:lineRule="auto"/>
              <w:jc w:val="left"/>
              <w:rPr>
                <w:b/>
                <w:bCs/>
                <w:sz w:val="18"/>
                <w:szCs w:val="18"/>
              </w:rPr>
            </w:pPr>
            <w:r>
              <w:rPr>
                <w:b/>
                <w:bCs/>
                <w:sz w:val="18"/>
                <w:szCs w:val="18"/>
              </w:rPr>
              <w:t>课程目标</w:t>
            </w:r>
          </w:p>
        </w:tc>
        <w:tc>
          <w:tcPr>
            <w:tcW w:w="378" w:type="pct"/>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Align w:val="center"/>
          </w:tcPr>
          <w:p>
            <w:pPr>
              <w:adjustRightInd w:val="0"/>
              <w:snapToGrid w:val="0"/>
              <w:spacing w:line="300" w:lineRule="auto"/>
              <w:rPr>
                <w:sz w:val="18"/>
                <w:szCs w:val="18"/>
              </w:rPr>
            </w:pPr>
            <w:r>
              <w:rPr>
                <w:sz w:val="18"/>
                <w:szCs w:val="18"/>
              </w:rPr>
              <w:t>3.</w:t>
            </w:r>
            <w:r>
              <w:rPr>
                <w:rFonts w:hint="eastAsia"/>
                <w:sz w:val="18"/>
                <w:szCs w:val="18"/>
              </w:rPr>
              <w:t>设计/开发解决方案</w:t>
            </w:r>
          </w:p>
        </w:tc>
        <w:tc>
          <w:tcPr>
            <w:tcW w:w="3538" w:type="pct"/>
          </w:tcPr>
          <w:p>
            <w:pPr>
              <w:adjustRightInd w:val="0"/>
              <w:snapToGrid w:val="0"/>
              <w:spacing w:line="300" w:lineRule="auto"/>
              <w:rPr>
                <w:sz w:val="18"/>
                <w:szCs w:val="18"/>
              </w:rPr>
            </w:pPr>
            <w:r>
              <w:rPr>
                <w:sz w:val="18"/>
                <w:szCs w:val="18"/>
              </w:rPr>
              <w:t>3</w:t>
            </w:r>
            <w:r>
              <w:rPr>
                <w:rFonts w:hint="eastAsia"/>
                <w:sz w:val="18"/>
                <w:szCs w:val="18"/>
              </w:rPr>
              <w:t>.</w:t>
            </w:r>
            <w:r>
              <w:rPr>
                <w:sz w:val="18"/>
                <w:szCs w:val="18"/>
              </w:rPr>
              <w:t>2</w:t>
            </w:r>
            <w:r>
              <w:rPr>
                <w:rFonts w:hint="eastAsia"/>
                <w:sz w:val="18"/>
                <w:szCs w:val="18"/>
              </w:rPr>
              <w:t>能够</w:t>
            </w:r>
            <w:r>
              <w:rPr>
                <w:sz w:val="18"/>
                <w:szCs w:val="18"/>
              </w:rPr>
              <w:t>在设计中综合利用电子信息工程的专业知识和新技术，体现创新意识。</w:t>
            </w:r>
          </w:p>
        </w:tc>
        <w:tc>
          <w:tcPr>
            <w:tcW w:w="397" w:type="pct"/>
            <w:vAlign w:val="center"/>
          </w:tcPr>
          <w:p>
            <w:pPr>
              <w:adjustRightInd w:val="0"/>
              <w:snapToGrid w:val="0"/>
              <w:spacing w:line="300" w:lineRule="auto"/>
              <w:jc w:val="center"/>
              <w:rPr>
                <w:sz w:val="18"/>
                <w:szCs w:val="18"/>
              </w:rPr>
            </w:pPr>
            <w:r>
              <w:rPr>
                <w:sz w:val="18"/>
                <w:szCs w:val="18"/>
              </w:rPr>
              <w:t>1</w:t>
            </w:r>
          </w:p>
        </w:tc>
        <w:tc>
          <w:tcPr>
            <w:tcW w:w="378" w:type="pct"/>
            <w:vAlign w:val="center"/>
          </w:tcPr>
          <w:p>
            <w:pPr>
              <w:adjustRightInd w:val="0"/>
              <w:snapToGrid w:val="0"/>
              <w:spacing w:line="300" w:lineRule="auto"/>
              <w:rPr>
                <w:sz w:val="18"/>
                <w:szCs w:val="18"/>
              </w:rPr>
            </w:pPr>
            <w:r>
              <w:rPr>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87" w:type="pct"/>
            <w:vAlign w:val="center"/>
          </w:tcPr>
          <w:p>
            <w:pPr>
              <w:adjustRightInd w:val="0"/>
              <w:snapToGrid w:val="0"/>
              <w:spacing w:line="300" w:lineRule="auto"/>
              <w:rPr>
                <w:sz w:val="18"/>
                <w:szCs w:val="18"/>
              </w:rPr>
            </w:pPr>
            <w:r>
              <w:rPr>
                <w:sz w:val="18"/>
                <w:szCs w:val="18"/>
              </w:rPr>
              <w:t>5．现代工具使用</w:t>
            </w:r>
          </w:p>
        </w:tc>
        <w:tc>
          <w:tcPr>
            <w:tcW w:w="3538" w:type="pct"/>
          </w:tcPr>
          <w:p>
            <w:pPr>
              <w:adjustRightInd w:val="0"/>
              <w:snapToGrid w:val="0"/>
              <w:spacing w:line="300" w:lineRule="auto"/>
              <w:rPr>
                <w:sz w:val="18"/>
                <w:szCs w:val="18"/>
              </w:rPr>
            </w:pPr>
            <w:r>
              <w:rPr>
                <w:sz w:val="18"/>
                <w:szCs w:val="18"/>
              </w:rPr>
              <w:t>5</w:t>
            </w:r>
            <w:r>
              <w:rPr>
                <w:rFonts w:hint="eastAsia"/>
                <w:sz w:val="18"/>
                <w:szCs w:val="18"/>
              </w:rPr>
              <w:t>.</w:t>
            </w:r>
            <w:r>
              <w:rPr>
                <w:sz w:val="18"/>
                <w:szCs w:val="18"/>
              </w:rPr>
              <w:t>1掌握电子信息工程专业仪器、仪表等现代工程工具的基本原理、操作方法，理解其局限性，并在复杂工程问题中合理选择并使用。</w:t>
            </w:r>
          </w:p>
        </w:tc>
        <w:tc>
          <w:tcPr>
            <w:tcW w:w="397" w:type="pct"/>
            <w:vAlign w:val="center"/>
          </w:tcPr>
          <w:p>
            <w:pPr>
              <w:adjustRightInd w:val="0"/>
              <w:snapToGrid w:val="0"/>
              <w:spacing w:line="300" w:lineRule="auto"/>
              <w:jc w:val="center"/>
              <w:rPr>
                <w:sz w:val="18"/>
                <w:szCs w:val="18"/>
              </w:rPr>
            </w:pPr>
            <w:r>
              <w:rPr>
                <w:sz w:val="18"/>
                <w:szCs w:val="18"/>
              </w:rPr>
              <w:t>2</w:t>
            </w:r>
          </w:p>
        </w:tc>
        <w:tc>
          <w:tcPr>
            <w:tcW w:w="378" w:type="pct"/>
            <w:vAlign w:val="center"/>
          </w:tcPr>
          <w:p>
            <w:pPr>
              <w:widowControl/>
              <w:adjustRightInd w:val="0"/>
              <w:snapToGrid w:val="0"/>
              <w:spacing w:line="300" w:lineRule="auto"/>
              <w:jc w:val="left"/>
              <w:rPr>
                <w:sz w:val="18"/>
                <w:szCs w:val="18"/>
              </w:rPr>
            </w:pPr>
            <w:r>
              <w:rPr>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pct"/>
            <w:vAlign w:val="center"/>
          </w:tcPr>
          <w:p>
            <w:pPr>
              <w:numPr>
                <w:ilvl w:val="0"/>
                <w:numId w:val="82"/>
              </w:numPr>
              <w:adjustRightInd w:val="0"/>
              <w:snapToGrid w:val="0"/>
              <w:spacing w:line="300" w:lineRule="auto"/>
              <w:rPr>
                <w:sz w:val="18"/>
                <w:szCs w:val="18"/>
              </w:rPr>
            </w:pPr>
            <w:r>
              <w:rPr>
                <w:sz w:val="18"/>
                <w:szCs w:val="18"/>
              </w:rPr>
              <w:t>沟通</w:t>
            </w:r>
          </w:p>
        </w:tc>
        <w:tc>
          <w:tcPr>
            <w:tcW w:w="3538" w:type="pct"/>
            <w:vAlign w:val="center"/>
          </w:tcPr>
          <w:p>
            <w:pPr>
              <w:adjustRightInd w:val="0"/>
              <w:snapToGrid w:val="0"/>
              <w:spacing w:line="300" w:lineRule="auto"/>
              <w:ind w:right="-334"/>
              <w:rPr>
                <w:sz w:val="18"/>
                <w:szCs w:val="18"/>
              </w:rPr>
            </w:pPr>
            <w:r>
              <w:rPr>
                <w:sz w:val="18"/>
                <w:szCs w:val="18"/>
              </w:rPr>
              <w:t>10</w:t>
            </w:r>
            <w:r>
              <w:rPr>
                <w:rFonts w:hint="eastAsia"/>
                <w:sz w:val="18"/>
                <w:szCs w:val="18"/>
              </w:rPr>
              <w:t>.</w:t>
            </w:r>
            <w:r>
              <w:rPr>
                <w:sz w:val="18"/>
                <w:szCs w:val="18"/>
              </w:rPr>
              <w:t>1具有良好的口头和书面表达能力，能够撰写复杂工程问题的设计方案与报告并就电子信息（含海洋电子信息）领域的专业问题跟业界同行及社会公众进行沟通交流，准确表达观点、回应质疑；</w:t>
            </w:r>
          </w:p>
        </w:tc>
        <w:tc>
          <w:tcPr>
            <w:tcW w:w="397" w:type="pct"/>
            <w:vAlign w:val="center"/>
          </w:tcPr>
          <w:p>
            <w:pPr>
              <w:adjustRightInd w:val="0"/>
              <w:snapToGrid w:val="0"/>
              <w:spacing w:line="300" w:lineRule="auto"/>
              <w:jc w:val="center"/>
              <w:rPr>
                <w:sz w:val="18"/>
                <w:szCs w:val="18"/>
              </w:rPr>
            </w:pPr>
            <w:r>
              <w:rPr>
                <w:sz w:val="18"/>
                <w:szCs w:val="18"/>
              </w:rPr>
              <w:t>3</w:t>
            </w:r>
          </w:p>
        </w:tc>
        <w:tc>
          <w:tcPr>
            <w:tcW w:w="378" w:type="pct"/>
            <w:vAlign w:val="center"/>
          </w:tcPr>
          <w:p>
            <w:pPr>
              <w:adjustRightInd w:val="0"/>
              <w:snapToGrid w:val="0"/>
              <w:spacing w:line="300" w:lineRule="auto"/>
              <w:rPr>
                <w:sz w:val="18"/>
                <w:szCs w:val="18"/>
              </w:rPr>
            </w:pPr>
            <w:r>
              <w:rPr>
                <w:sz w:val="18"/>
                <w:szCs w:val="18"/>
              </w:rPr>
              <w:t>0.1</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0"/>
        <w:gridCol w:w="2602"/>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3"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384"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802"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rFonts w:hint="eastAsia"/>
                <w:szCs w:val="21"/>
              </w:rPr>
              <w:t>1、进一步巩固和加深通信原理和系统知识的理解，提高综合运用所学知识来验证通信原理的能力；</w:t>
            </w:r>
            <w:r>
              <w:rPr>
                <w:kern w:val="0"/>
                <w:szCs w:val="21"/>
              </w:rPr>
              <w:t>能将</w:t>
            </w:r>
            <w:r>
              <w:rPr>
                <w:rFonts w:hint="eastAsia"/>
                <w:szCs w:val="21"/>
              </w:rPr>
              <w:t>通信原理</w:t>
            </w:r>
            <w:r>
              <w:rPr>
                <w:kern w:val="0"/>
                <w:szCs w:val="21"/>
              </w:rPr>
              <w:t>技术与模拟电路、嵌入式系统、计算机网络、人工智能等结合起来，在研究针对具体问题的解决方案中予以考虑，提出创新性解决方案。</w:t>
            </w:r>
          </w:p>
        </w:tc>
        <w:tc>
          <w:tcPr>
            <w:tcW w:w="138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bCs/>
                <w:sz w:val="18"/>
                <w:szCs w:val="18"/>
              </w:rPr>
              <w:t>通过指定阅读、现场指导、研讨以及自学达成。</w:t>
            </w:r>
          </w:p>
        </w:tc>
        <w:tc>
          <w:tcPr>
            <w:tcW w:w="802"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实习表现与实习报告。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op w:val="single" w:color="auto" w:sz="4" w:space="0"/>
              <w:left w:val="single" w:color="auto" w:sz="4" w:space="0"/>
              <w:bottom w:val="single" w:color="auto" w:sz="4" w:space="0"/>
              <w:right w:val="single" w:color="auto" w:sz="4" w:space="0"/>
            </w:tcBorders>
            <w:shd w:val="clear" w:color="auto" w:fill="FFFFFF"/>
            <w:vAlign w:val="center"/>
          </w:tcPr>
          <w:p>
            <w:r>
              <w:rPr>
                <w:rFonts w:hint="eastAsia"/>
                <w:szCs w:val="21"/>
              </w:rPr>
              <w:t>2、能正确使用仪器设备，掌握测试原理，熟练运用MATLAB仿真软件。</w:t>
            </w:r>
          </w:p>
          <w:p>
            <w:pPr>
              <w:adjustRightInd w:val="0"/>
              <w:snapToGrid w:val="0"/>
              <w:spacing w:line="300" w:lineRule="auto"/>
              <w:rPr>
                <w:sz w:val="18"/>
                <w:szCs w:val="18"/>
              </w:rPr>
            </w:pPr>
          </w:p>
        </w:tc>
        <w:tc>
          <w:tcPr>
            <w:tcW w:w="138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bCs/>
                <w:sz w:val="18"/>
                <w:szCs w:val="18"/>
              </w:rPr>
              <w:t>通过指定阅读、现场指导、研讨以及自学达成。</w:t>
            </w:r>
          </w:p>
        </w:tc>
        <w:tc>
          <w:tcPr>
            <w:tcW w:w="802"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实习表现与实习报告。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813" w:type="pct"/>
            <w:tcBorders>
              <w:top w:val="single" w:color="auto" w:sz="4" w:space="0"/>
              <w:left w:val="single" w:color="auto" w:sz="4" w:space="0"/>
              <w:bottom w:val="single" w:color="auto" w:sz="4" w:space="0"/>
              <w:right w:val="single" w:color="auto" w:sz="4" w:space="0"/>
            </w:tcBorders>
            <w:shd w:val="clear" w:color="auto" w:fill="FFFFFF"/>
            <w:vAlign w:val="center"/>
          </w:tcPr>
          <w:p>
            <w:r>
              <w:rPr>
                <w:rFonts w:hint="eastAsia"/>
                <w:szCs w:val="21"/>
              </w:rPr>
              <w:t>3、能独立撰写设计说明，准确分析实验结果，正确绘制综合实验得出的各类图形。</w:t>
            </w:r>
          </w:p>
          <w:p>
            <w:pPr>
              <w:adjustRightInd w:val="0"/>
              <w:snapToGrid w:val="0"/>
              <w:spacing w:line="300" w:lineRule="auto"/>
              <w:rPr>
                <w:sz w:val="18"/>
                <w:szCs w:val="18"/>
              </w:rPr>
            </w:pPr>
          </w:p>
        </w:tc>
        <w:tc>
          <w:tcPr>
            <w:tcW w:w="138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bCs/>
                <w:sz w:val="18"/>
                <w:szCs w:val="18"/>
              </w:rPr>
              <w:t>通过指定阅读、现场指导、研讨以及自学达成。</w:t>
            </w:r>
          </w:p>
        </w:tc>
        <w:tc>
          <w:tcPr>
            <w:tcW w:w="802"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实习表现与实习报告。</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385"/>
        <w:gridCol w:w="352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86" w:type="pct"/>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2345" w:type="pct"/>
            <w:vAlign w:val="center"/>
          </w:tcPr>
          <w:p>
            <w:pPr>
              <w:snapToGrid w:val="0"/>
              <w:spacing w:line="300" w:lineRule="auto"/>
              <w:jc w:val="center"/>
              <w:rPr>
                <w:b/>
                <w:bCs/>
                <w:sz w:val="18"/>
                <w:szCs w:val="18"/>
              </w:rPr>
            </w:pPr>
            <w:r>
              <w:rPr>
                <w:b/>
                <w:bCs/>
                <w:sz w:val="18"/>
                <w:szCs w:val="18"/>
              </w:rPr>
              <w:t>教学内容与课程教学目标</w:t>
            </w:r>
          </w:p>
        </w:tc>
        <w:tc>
          <w:tcPr>
            <w:tcW w:w="1886" w:type="pct"/>
            <w:vAlign w:val="center"/>
          </w:tcPr>
          <w:p>
            <w:pPr>
              <w:snapToGrid w:val="0"/>
              <w:spacing w:line="300" w:lineRule="auto"/>
              <w:jc w:val="center"/>
              <w:rPr>
                <w:b/>
                <w:bCs/>
                <w:sz w:val="18"/>
                <w:szCs w:val="18"/>
              </w:rPr>
            </w:pPr>
            <w:r>
              <w:rPr>
                <w:b/>
                <w:bCs/>
                <w:sz w:val="18"/>
                <w:szCs w:val="18"/>
              </w:rPr>
              <w:t>教与学的要求</w:t>
            </w:r>
          </w:p>
        </w:tc>
        <w:tc>
          <w:tcPr>
            <w:tcW w:w="383" w:type="pct"/>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6" w:type="pct"/>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2345" w:type="pct"/>
            <w:vAlign w:val="center"/>
          </w:tcPr>
          <w:p>
            <w:pPr>
              <w:adjustRightInd w:val="0"/>
              <w:snapToGrid w:val="0"/>
              <w:spacing w:line="300" w:lineRule="auto"/>
              <w:rPr>
                <w:sz w:val="18"/>
                <w:szCs w:val="18"/>
              </w:rPr>
            </w:pPr>
            <w:r>
              <w:rPr>
                <w:rFonts w:hint="eastAsia"/>
                <w:sz w:val="18"/>
                <w:szCs w:val="18"/>
              </w:rPr>
              <w:t>第一章 模拟调制</w:t>
            </w:r>
          </w:p>
          <w:p>
            <w:pPr>
              <w:adjustRightInd w:val="0"/>
              <w:snapToGrid w:val="0"/>
              <w:spacing w:line="300" w:lineRule="auto"/>
              <w:rPr>
                <w:sz w:val="18"/>
                <w:szCs w:val="18"/>
              </w:rPr>
            </w:pPr>
            <w:r>
              <w:rPr>
                <w:rFonts w:hint="eastAsia"/>
                <w:sz w:val="18"/>
                <w:szCs w:val="18"/>
              </w:rPr>
              <w:t>1.1设计一个DSB调制与解调系统并利用现代通信实验箱进行搭建，观察记录实验波形，并进行实验分析；</w:t>
            </w:r>
          </w:p>
          <w:p>
            <w:pPr>
              <w:adjustRightInd w:val="0"/>
              <w:snapToGrid w:val="0"/>
              <w:spacing w:line="300" w:lineRule="auto"/>
              <w:rPr>
                <w:sz w:val="18"/>
                <w:szCs w:val="18"/>
              </w:rPr>
            </w:pPr>
            <w:r>
              <w:rPr>
                <w:sz w:val="18"/>
                <w:szCs w:val="18"/>
              </w:rPr>
              <w:t>1</w:t>
            </w:r>
            <w:r>
              <w:rPr>
                <w:rFonts w:hint="eastAsia"/>
                <w:sz w:val="18"/>
                <w:szCs w:val="18"/>
              </w:rPr>
              <w:t>.2利用Matlab/Simulink构建DSB调制与解调系统模型，包括信号源，调制器、信道、解调器及示波器等，观察记录仿真波形，并进行仿真分析；[课程目标1</w:t>
            </w:r>
            <w:r>
              <w:rPr>
                <w:sz w:val="18"/>
                <w:szCs w:val="18"/>
              </w:rPr>
              <w:t>]</w:t>
            </w:r>
          </w:p>
        </w:tc>
        <w:tc>
          <w:tcPr>
            <w:tcW w:w="1886" w:type="pct"/>
            <w:vAlign w:val="center"/>
          </w:tcPr>
          <w:p>
            <w:pPr>
              <w:adjustRightInd w:val="0"/>
              <w:snapToGrid w:val="0"/>
              <w:spacing w:line="300" w:lineRule="auto"/>
              <w:rPr>
                <w:sz w:val="18"/>
                <w:szCs w:val="18"/>
              </w:rPr>
            </w:pPr>
            <w:r>
              <w:rPr>
                <w:rFonts w:hint="eastAsia"/>
                <w:sz w:val="18"/>
                <w:szCs w:val="18"/>
              </w:rPr>
              <w:t>1.</w:t>
            </w:r>
            <w:r>
              <w:rPr>
                <w:sz w:val="18"/>
                <w:szCs w:val="18"/>
              </w:rPr>
              <w:t>掌握调制的目的和作用</w:t>
            </w:r>
          </w:p>
          <w:p>
            <w:pPr>
              <w:adjustRightInd w:val="0"/>
              <w:snapToGrid w:val="0"/>
              <w:spacing w:line="300" w:lineRule="auto"/>
              <w:rPr>
                <w:sz w:val="18"/>
                <w:szCs w:val="18"/>
              </w:rPr>
            </w:pPr>
            <w:r>
              <w:rPr>
                <w:rFonts w:hint="eastAsia"/>
                <w:sz w:val="18"/>
                <w:szCs w:val="18"/>
              </w:rPr>
              <w:t>2.</w:t>
            </w:r>
            <w:r>
              <w:rPr>
                <w:sz w:val="18"/>
                <w:szCs w:val="18"/>
              </w:rPr>
              <w:t xml:space="preserve">掌握DSB调制信号的实现方法（原理框图），已调调信号的频谱特性； </w:t>
            </w:r>
          </w:p>
          <w:p>
            <w:pPr>
              <w:adjustRightInd w:val="0"/>
              <w:snapToGrid w:val="0"/>
              <w:spacing w:line="300" w:lineRule="auto"/>
              <w:rPr>
                <w:sz w:val="18"/>
                <w:szCs w:val="18"/>
              </w:rPr>
            </w:pPr>
            <w:r>
              <w:rPr>
                <w:rFonts w:hint="eastAsia"/>
                <w:sz w:val="18"/>
                <w:szCs w:val="18"/>
              </w:rPr>
              <w:t>3.</w:t>
            </w:r>
            <w:r>
              <w:rPr>
                <w:sz w:val="18"/>
                <w:szCs w:val="18"/>
              </w:rPr>
              <w:t>掌握DSB解调实现方法（原理框图），学会分析解调前和解调后信噪比分析计算；</w:t>
            </w:r>
          </w:p>
          <w:p>
            <w:pPr>
              <w:adjustRightInd w:val="0"/>
              <w:snapToGrid w:val="0"/>
              <w:spacing w:line="300" w:lineRule="auto"/>
              <w:rPr>
                <w:sz w:val="18"/>
                <w:szCs w:val="18"/>
              </w:rPr>
            </w:pPr>
          </w:p>
        </w:tc>
        <w:tc>
          <w:tcPr>
            <w:tcW w:w="383" w:type="pct"/>
            <w:vMerge w:val="restart"/>
            <w:vAlign w:val="center"/>
          </w:tcPr>
          <w:p>
            <w:pPr>
              <w:snapToGrid w:val="0"/>
              <w:spacing w:line="300" w:lineRule="auto"/>
              <w:rPr>
                <w:sz w:val="18"/>
                <w:szCs w:val="18"/>
              </w:rPr>
            </w:pPr>
            <w:r>
              <w:rPr>
                <w:kern w:val="0"/>
                <w:sz w:val="18"/>
                <w:szCs w:val="18"/>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2345" w:type="pct"/>
            <w:vAlign w:val="center"/>
          </w:tcPr>
          <w:p>
            <w:pPr>
              <w:adjustRightInd w:val="0"/>
              <w:snapToGrid w:val="0"/>
              <w:spacing w:line="300" w:lineRule="auto"/>
              <w:rPr>
                <w:sz w:val="18"/>
                <w:szCs w:val="18"/>
              </w:rPr>
            </w:pPr>
            <w:r>
              <w:rPr>
                <w:sz w:val="18"/>
                <w:szCs w:val="18"/>
              </w:rPr>
              <w:t xml:space="preserve">第二章 </w:t>
            </w:r>
            <w:r>
              <w:rPr>
                <w:rFonts w:hint="eastAsia"/>
                <w:sz w:val="18"/>
                <w:szCs w:val="18"/>
              </w:rPr>
              <w:t>数字基带传输系统的实验验证</w:t>
            </w:r>
          </w:p>
          <w:p>
            <w:pPr>
              <w:adjustRightInd w:val="0"/>
              <w:snapToGrid w:val="0"/>
              <w:spacing w:line="300" w:lineRule="auto"/>
              <w:rPr>
                <w:sz w:val="18"/>
                <w:szCs w:val="18"/>
              </w:rPr>
            </w:pPr>
            <w:r>
              <w:rPr>
                <w:rFonts w:hint="eastAsia"/>
                <w:sz w:val="18"/>
                <w:szCs w:val="18"/>
              </w:rPr>
              <w:t>2.1设计一个模拟信源的数字基带传输系统，并利用现代通信实验箱进行实验验证和性能分析。</w:t>
            </w:r>
          </w:p>
          <w:p>
            <w:pPr>
              <w:adjustRightInd w:val="0"/>
              <w:snapToGrid w:val="0"/>
              <w:spacing w:line="300" w:lineRule="auto"/>
              <w:rPr>
                <w:sz w:val="18"/>
                <w:szCs w:val="18"/>
              </w:rPr>
            </w:pPr>
            <w:r>
              <w:rPr>
                <w:sz w:val="18"/>
                <w:szCs w:val="18"/>
              </w:rPr>
              <w:t>2</w:t>
            </w:r>
            <w:r>
              <w:rPr>
                <w:rFonts w:hint="eastAsia"/>
                <w:sz w:val="18"/>
                <w:szCs w:val="18"/>
              </w:rPr>
              <w:t>.2设计数字基带传输系统发送端并利用现代通信实验箱进行搭建，其中要求包括:信源PCM编码模块、时分复用模块等；观察记录实验波形，并进行实验分析。</w:t>
            </w:r>
          </w:p>
          <w:p>
            <w:pPr>
              <w:adjustRightInd w:val="0"/>
              <w:snapToGrid w:val="0"/>
              <w:spacing w:line="300" w:lineRule="auto"/>
              <w:rPr>
                <w:sz w:val="18"/>
                <w:szCs w:val="18"/>
              </w:rPr>
            </w:pPr>
            <w:r>
              <w:rPr>
                <w:rFonts w:hint="eastAsia"/>
                <w:sz w:val="18"/>
                <w:szCs w:val="18"/>
              </w:rPr>
              <w:t>2.3设计数字基带传输系统接收端并利用现代通信实验箱进行搭建，其中要求包括: 解复用模块、基带同步提取模块、PCM译码模块等；观察记录实验波形，并进行实验分析。</w:t>
            </w:r>
          </w:p>
          <w:p>
            <w:pPr>
              <w:adjustRightInd w:val="0"/>
              <w:snapToGrid w:val="0"/>
              <w:spacing w:line="300" w:lineRule="auto"/>
              <w:rPr>
                <w:sz w:val="18"/>
                <w:szCs w:val="18"/>
              </w:rPr>
            </w:pPr>
            <w:r>
              <w:rPr>
                <w:rFonts w:hint="eastAsia"/>
                <w:sz w:val="18"/>
                <w:szCs w:val="18"/>
              </w:rPr>
              <w:t>2.4信道选择高斯白噪声信道。[课程目标1,2]</w:t>
            </w:r>
          </w:p>
        </w:tc>
        <w:tc>
          <w:tcPr>
            <w:tcW w:w="1886" w:type="pct"/>
            <w:vAlign w:val="center"/>
          </w:tcPr>
          <w:p>
            <w:pPr>
              <w:numPr>
                <w:ilvl w:val="0"/>
                <w:numId w:val="83"/>
              </w:numPr>
              <w:adjustRightInd w:val="0"/>
              <w:snapToGrid w:val="0"/>
              <w:spacing w:line="300" w:lineRule="auto"/>
              <w:rPr>
                <w:sz w:val="18"/>
                <w:szCs w:val="18"/>
              </w:rPr>
            </w:pPr>
            <w:r>
              <w:rPr>
                <w:sz w:val="18"/>
                <w:szCs w:val="18"/>
              </w:rPr>
              <w:t>了解差分脉冲编码调制和增量调制的基本原理以及过载量化噪声。</w:t>
            </w:r>
          </w:p>
          <w:p>
            <w:pPr>
              <w:numPr>
                <w:ilvl w:val="0"/>
                <w:numId w:val="83"/>
              </w:numPr>
              <w:adjustRightInd w:val="0"/>
              <w:snapToGrid w:val="0"/>
              <w:spacing w:line="300" w:lineRule="auto"/>
              <w:rPr>
                <w:sz w:val="18"/>
                <w:szCs w:val="18"/>
              </w:rPr>
            </w:pPr>
            <w:r>
              <w:rPr>
                <w:sz w:val="18"/>
                <w:szCs w:val="18"/>
              </w:rPr>
              <w:t>重点学习模拟信号数字的步骤方法（抽样定理和方法、量化原理和方法、A律13折线法和m律15折线法、脉冲编码调制的原理，编码译码规则、抗噪声性能分析等）。</w:t>
            </w:r>
          </w:p>
          <w:p>
            <w:pPr>
              <w:numPr>
                <w:ilvl w:val="0"/>
                <w:numId w:val="83"/>
              </w:numPr>
              <w:adjustRightInd w:val="0"/>
              <w:snapToGrid w:val="0"/>
              <w:spacing w:line="300" w:lineRule="auto"/>
              <w:rPr>
                <w:sz w:val="18"/>
                <w:szCs w:val="18"/>
              </w:rPr>
            </w:pPr>
            <w:r>
              <w:rPr>
                <w:sz w:val="18"/>
                <w:szCs w:val="18"/>
              </w:rPr>
              <w:t>定性了解时分复用的基本原理及其在电话通信系统中的应用。</w:t>
            </w:r>
          </w:p>
          <w:p>
            <w:pPr>
              <w:adjustRightInd w:val="0"/>
              <w:snapToGrid w:val="0"/>
              <w:spacing w:line="300" w:lineRule="auto"/>
              <w:rPr>
                <w:sz w:val="18"/>
                <w:szCs w:val="18"/>
              </w:rPr>
            </w:pPr>
          </w:p>
          <w:p>
            <w:pPr>
              <w:adjustRightInd w:val="0"/>
              <w:snapToGrid w:val="0"/>
              <w:spacing w:line="300" w:lineRule="auto"/>
              <w:rPr>
                <w:sz w:val="18"/>
                <w:szCs w:val="18"/>
              </w:rPr>
            </w:pPr>
          </w:p>
        </w:tc>
        <w:tc>
          <w:tcPr>
            <w:tcW w:w="383" w:type="pct"/>
            <w:vMerge w:val="continue"/>
            <w:vAlign w:val="center"/>
          </w:tcPr>
          <w:p>
            <w:pPr>
              <w:snapToGrid w:val="0"/>
              <w:spacing w:line="300" w:lineRule="auto"/>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2345" w:type="pct"/>
            <w:vAlign w:val="center"/>
          </w:tcPr>
          <w:p>
            <w:pPr>
              <w:adjustRightInd w:val="0"/>
              <w:snapToGrid w:val="0"/>
              <w:spacing w:line="300" w:lineRule="auto"/>
              <w:rPr>
                <w:sz w:val="18"/>
                <w:szCs w:val="18"/>
              </w:rPr>
            </w:pPr>
            <w:r>
              <w:rPr>
                <w:rFonts w:hint="eastAsia"/>
                <w:sz w:val="18"/>
                <w:szCs w:val="18"/>
              </w:rPr>
              <w:t>第三章 数字带通传输系统的建模仿真</w:t>
            </w:r>
          </w:p>
          <w:p>
            <w:pPr>
              <w:adjustRightInd w:val="0"/>
              <w:snapToGrid w:val="0"/>
              <w:spacing w:line="300" w:lineRule="auto"/>
              <w:rPr>
                <w:sz w:val="18"/>
                <w:szCs w:val="18"/>
              </w:rPr>
            </w:pPr>
            <w:r>
              <w:rPr>
                <w:rFonts w:hint="eastAsia"/>
                <w:sz w:val="18"/>
                <w:szCs w:val="18"/>
              </w:rPr>
              <w:t>3.1利用Matlab/Simulink构建数字带通传输系统模型，包括信号源、调制器、信道、解调器、眼图及星座图等，观察记录仿真波形，并进行仿真分析。</w:t>
            </w:r>
          </w:p>
          <w:p>
            <w:pPr>
              <w:adjustRightInd w:val="0"/>
              <w:snapToGrid w:val="0"/>
              <w:spacing w:line="300" w:lineRule="auto"/>
              <w:rPr>
                <w:sz w:val="18"/>
                <w:szCs w:val="18"/>
              </w:rPr>
            </w:pPr>
            <w:r>
              <w:rPr>
                <w:rFonts w:hint="eastAsia"/>
                <w:sz w:val="18"/>
                <w:szCs w:val="18"/>
              </w:rPr>
              <w:t>3.2 设计一个2ASK传输系统，并利用Matlab/Simulink构建系统模型，观察记录仿真波形，并进行仿真分析。。</w:t>
            </w:r>
          </w:p>
          <w:p>
            <w:pPr>
              <w:adjustRightInd w:val="0"/>
              <w:snapToGrid w:val="0"/>
              <w:spacing w:line="300" w:lineRule="auto"/>
              <w:rPr>
                <w:sz w:val="18"/>
                <w:szCs w:val="18"/>
              </w:rPr>
            </w:pPr>
            <w:r>
              <w:rPr>
                <w:rFonts w:hint="eastAsia"/>
                <w:sz w:val="18"/>
                <w:szCs w:val="18"/>
              </w:rPr>
              <w:t>3.3设计一个2FSK传输系统，并利用Matlab/Simulink构建系统模型，观察记录仿真波形，并进行仿真分析。</w:t>
            </w:r>
          </w:p>
          <w:p>
            <w:pPr>
              <w:adjustRightInd w:val="0"/>
              <w:snapToGrid w:val="0"/>
              <w:spacing w:line="300" w:lineRule="auto"/>
              <w:rPr>
                <w:sz w:val="18"/>
                <w:szCs w:val="18"/>
              </w:rPr>
            </w:pPr>
            <w:r>
              <w:rPr>
                <w:rFonts w:hint="eastAsia"/>
                <w:sz w:val="18"/>
                <w:szCs w:val="18"/>
              </w:rPr>
              <w:t>3.4设计一个2PSK传输系统，并利用Matlab/Simulink构建系统模型，观察记录仿真波形，并进行仿真分析。</w:t>
            </w:r>
          </w:p>
          <w:p>
            <w:pPr>
              <w:adjustRightInd w:val="0"/>
              <w:snapToGrid w:val="0"/>
              <w:spacing w:line="300" w:lineRule="auto"/>
              <w:rPr>
                <w:sz w:val="18"/>
                <w:szCs w:val="18"/>
              </w:rPr>
            </w:pPr>
            <w:r>
              <w:rPr>
                <w:rFonts w:hint="eastAsia"/>
                <w:sz w:val="18"/>
                <w:szCs w:val="18"/>
              </w:rPr>
              <w:t>3.5 设计一个DPSK传输系统，并利用Matlab/Simulink构建系统模型，观察记录仿真波形，并进行仿真分析。[课程目标1,2]</w:t>
            </w:r>
          </w:p>
        </w:tc>
        <w:tc>
          <w:tcPr>
            <w:tcW w:w="1886" w:type="pct"/>
            <w:vAlign w:val="center"/>
          </w:tcPr>
          <w:p>
            <w:pPr>
              <w:adjustRightInd w:val="0"/>
              <w:snapToGrid w:val="0"/>
              <w:spacing w:line="300" w:lineRule="auto"/>
              <w:rPr>
                <w:sz w:val="18"/>
                <w:szCs w:val="18"/>
              </w:rPr>
            </w:pPr>
            <w:r>
              <w:rPr>
                <w:sz w:val="18"/>
                <w:szCs w:val="18"/>
              </w:rPr>
              <w:t>2  目标及要求：</w:t>
            </w:r>
          </w:p>
          <w:p>
            <w:pPr>
              <w:numPr>
                <w:ilvl w:val="0"/>
                <w:numId w:val="84"/>
              </w:numPr>
              <w:adjustRightInd w:val="0"/>
              <w:snapToGrid w:val="0"/>
              <w:spacing w:line="300" w:lineRule="auto"/>
              <w:rPr>
                <w:sz w:val="18"/>
                <w:szCs w:val="18"/>
              </w:rPr>
            </w:pPr>
            <w:r>
              <w:rPr>
                <w:sz w:val="18"/>
                <w:szCs w:val="18"/>
              </w:rPr>
              <w:t>重点学习二进制数字频带传输的调制原理（OOK、2FSK、2PSK和2DPSK的调制原理、相干/非相干解调方法、信号表达式、调制解调框图、信号波形、功率谱分析等）以及2PSK中的相位模糊问题；</w:t>
            </w:r>
          </w:p>
          <w:p>
            <w:pPr>
              <w:numPr>
                <w:ilvl w:val="0"/>
                <w:numId w:val="84"/>
              </w:numPr>
              <w:adjustRightInd w:val="0"/>
              <w:snapToGrid w:val="0"/>
              <w:spacing w:line="300" w:lineRule="auto"/>
              <w:rPr>
                <w:sz w:val="18"/>
                <w:szCs w:val="18"/>
              </w:rPr>
            </w:pPr>
            <w:r>
              <w:rPr>
                <w:sz w:val="18"/>
                <w:szCs w:val="18"/>
              </w:rPr>
              <w:t>学习分析二进制数字调制系统的抗噪声性能（采用不同调制技术，不同解调方法时的误码率分析和计算）；</w:t>
            </w:r>
          </w:p>
          <w:p>
            <w:pPr>
              <w:numPr>
                <w:ilvl w:val="0"/>
                <w:numId w:val="84"/>
              </w:numPr>
              <w:adjustRightInd w:val="0"/>
              <w:snapToGrid w:val="0"/>
              <w:spacing w:line="300" w:lineRule="auto"/>
              <w:rPr>
                <w:sz w:val="18"/>
                <w:szCs w:val="18"/>
              </w:rPr>
            </w:pPr>
            <w:r>
              <w:rPr>
                <w:sz w:val="18"/>
                <w:szCs w:val="18"/>
              </w:rPr>
              <w:t>能够对不同系统的有效性和可靠性以及对信道特性的敏感性等方面进行定性定量的分析比较；</w:t>
            </w:r>
          </w:p>
          <w:p>
            <w:pPr>
              <w:adjustRightInd w:val="0"/>
              <w:snapToGrid w:val="0"/>
              <w:spacing w:line="300" w:lineRule="auto"/>
              <w:rPr>
                <w:sz w:val="18"/>
                <w:szCs w:val="18"/>
              </w:rPr>
            </w:pPr>
          </w:p>
        </w:tc>
        <w:tc>
          <w:tcPr>
            <w:tcW w:w="383" w:type="pct"/>
            <w:vMerge w:val="continue"/>
            <w:vAlign w:val="center"/>
          </w:tcPr>
          <w:p>
            <w:pPr>
              <w:snapToGrid w:val="0"/>
              <w:spacing w:line="300" w:lineRule="auto"/>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6" w:type="pct"/>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2345" w:type="pct"/>
            <w:vAlign w:val="center"/>
          </w:tcPr>
          <w:p>
            <w:pPr>
              <w:adjustRightInd w:val="0"/>
              <w:snapToGrid w:val="0"/>
              <w:spacing w:line="300" w:lineRule="auto"/>
              <w:rPr>
                <w:sz w:val="18"/>
                <w:szCs w:val="18"/>
              </w:rPr>
            </w:pPr>
            <w:r>
              <w:rPr>
                <w:sz w:val="18"/>
                <w:szCs w:val="18"/>
              </w:rPr>
              <w:t>第四章 高级开发技术</w:t>
            </w:r>
          </w:p>
          <w:p>
            <w:pPr>
              <w:adjustRightInd w:val="0"/>
              <w:snapToGrid w:val="0"/>
              <w:spacing w:line="300" w:lineRule="auto"/>
              <w:rPr>
                <w:sz w:val="18"/>
                <w:szCs w:val="18"/>
              </w:rPr>
            </w:pPr>
            <w:r>
              <w:rPr>
                <w:rFonts w:hint="eastAsia"/>
                <w:sz w:val="18"/>
                <w:szCs w:val="18"/>
              </w:rPr>
              <w:t>4.1 设计一个脉冲编码调制系统并利用现代通信实验箱进行搭建，观察记录实验波形，并进行实验分析；</w:t>
            </w:r>
          </w:p>
          <w:p>
            <w:pPr>
              <w:adjustRightInd w:val="0"/>
              <w:snapToGrid w:val="0"/>
              <w:spacing w:line="300" w:lineRule="auto"/>
              <w:rPr>
                <w:sz w:val="18"/>
                <w:szCs w:val="18"/>
              </w:rPr>
            </w:pPr>
            <w:r>
              <w:rPr>
                <w:rFonts w:hint="eastAsia"/>
                <w:sz w:val="18"/>
                <w:szCs w:val="18"/>
              </w:rPr>
              <w:t>4.2 利用Matlab/Simulink构建脉冲编码调制系统模型，包括信号源，调制器、信道、解调器及示波器等，观察记录仿真波形，并进行仿真分析。</w:t>
            </w:r>
          </w:p>
          <w:p>
            <w:pPr>
              <w:adjustRightInd w:val="0"/>
              <w:snapToGrid w:val="0"/>
              <w:spacing w:line="300" w:lineRule="auto"/>
              <w:rPr>
                <w:sz w:val="18"/>
                <w:szCs w:val="18"/>
              </w:rPr>
            </w:pPr>
            <w:r>
              <w:rPr>
                <w:rFonts w:hint="eastAsia"/>
                <w:sz w:val="18"/>
                <w:szCs w:val="18"/>
              </w:rPr>
              <w:t>[课程目标1,2]</w:t>
            </w:r>
          </w:p>
        </w:tc>
        <w:tc>
          <w:tcPr>
            <w:tcW w:w="1886" w:type="pct"/>
            <w:vAlign w:val="center"/>
          </w:tcPr>
          <w:p>
            <w:pPr>
              <w:numPr>
                <w:ilvl w:val="0"/>
                <w:numId w:val="85"/>
              </w:numPr>
              <w:adjustRightInd w:val="0"/>
              <w:snapToGrid w:val="0"/>
              <w:spacing w:line="300" w:lineRule="auto"/>
              <w:rPr>
                <w:sz w:val="18"/>
                <w:szCs w:val="18"/>
              </w:rPr>
            </w:pPr>
            <w:r>
              <w:rPr>
                <w:sz w:val="18"/>
                <w:szCs w:val="18"/>
              </w:rPr>
              <w:t>了解通信系统的基本架构及各环节的作用，具有根据通信系统的设计指标进行需求分析与设计通信系统的结构（画出框图），清晰掌握通信过程、环节及其信号模型</w:t>
            </w:r>
          </w:p>
          <w:p>
            <w:pPr>
              <w:numPr>
                <w:ilvl w:val="0"/>
                <w:numId w:val="85"/>
              </w:numPr>
              <w:adjustRightInd w:val="0"/>
              <w:snapToGrid w:val="0"/>
              <w:spacing w:line="300" w:lineRule="auto"/>
              <w:rPr>
                <w:sz w:val="18"/>
                <w:szCs w:val="18"/>
              </w:rPr>
            </w:pPr>
            <w:r>
              <w:rPr>
                <w:rFonts w:hint="eastAsia"/>
                <w:sz w:val="18"/>
                <w:szCs w:val="18"/>
              </w:rPr>
              <w:t>掌握</w:t>
            </w:r>
            <w:r>
              <w:rPr>
                <w:sz w:val="18"/>
                <w:szCs w:val="18"/>
              </w:rPr>
              <w:t>通信系统基本的编码和调制原理</w:t>
            </w:r>
            <w:r>
              <w:rPr>
                <w:rFonts w:hint="eastAsia"/>
                <w:sz w:val="18"/>
                <w:szCs w:val="18"/>
              </w:rPr>
              <w:t>且</w:t>
            </w:r>
            <w:r>
              <w:rPr>
                <w:sz w:val="18"/>
                <w:szCs w:val="18"/>
              </w:rPr>
              <w:t>进行实验验证，并给出正确结论</w:t>
            </w:r>
            <w:r>
              <w:rPr>
                <w:rFonts w:hint="eastAsia"/>
                <w:sz w:val="18"/>
                <w:szCs w:val="18"/>
              </w:rPr>
              <w:t>。</w:t>
            </w:r>
          </w:p>
          <w:p>
            <w:pPr>
              <w:numPr>
                <w:ilvl w:val="0"/>
                <w:numId w:val="85"/>
              </w:numPr>
              <w:adjustRightInd w:val="0"/>
              <w:snapToGrid w:val="0"/>
              <w:spacing w:line="300" w:lineRule="auto"/>
              <w:rPr>
                <w:sz w:val="18"/>
                <w:szCs w:val="18"/>
              </w:rPr>
            </w:pPr>
            <w:r>
              <w:rPr>
                <w:rFonts w:hint="eastAsia"/>
                <w:sz w:val="18"/>
                <w:szCs w:val="18"/>
              </w:rPr>
              <w:t>利用工程理论对系统通信过程和环节进行分析，能根据给定条件对通信系统利用数学物理理论进行性能和可靠性分析。</w:t>
            </w:r>
          </w:p>
        </w:tc>
        <w:tc>
          <w:tcPr>
            <w:tcW w:w="383" w:type="pct"/>
            <w:vMerge w:val="continue"/>
            <w:vAlign w:val="center"/>
          </w:tcPr>
          <w:p>
            <w:pPr>
              <w:snapToGrid w:val="0"/>
              <w:spacing w:line="300" w:lineRule="auto"/>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6" w:type="pct"/>
            <w:tcMar>
              <w:left w:w="57" w:type="dxa"/>
              <w:right w:w="57" w:type="dxa"/>
            </w:tcMar>
            <w:vAlign w:val="center"/>
          </w:tcPr>
          <w:p>
            <w:pPr>
              <w:adjustRightInd w:val="0"/>
              <w:snapToGrid w:val="0"/>
              <w:spacing w:line="300" w:lineRule="auto"/>
              <w:jc w:val="center"/>
              <w:rPr>
                <w:sz w:val="18"/>
                <w:szCs w:val="18"/>
              </w:rPr>
            </w:pPr>
            <w:r>
              <w:rPr>
                <w:sz w:val="18"/>
                <w:szCs w:val="18"/>
              </w:rPr>
              <w:t>5</w:t>
            </w:r>
          </w:p>
        </w:tc>
        <w:tc>
          <w:tcPr>
            <w:tcW w:w="2345" w:type="pct"/>
            <w:vAlign w:val="center"/>
          </w:tcPr>
          <w:p>
            <w:pPr>
              <w:adjustRightInd w:val="0"/>
              <w:snapToGrid w:val="0"/>
              <w:spacing w:line="300" w:lineRule="auto"/>
              <w:rPr>
                <w:sz w:val="18"/>
                <w:szCs w:val="18"/>
              </w:rPr>
            </w:pPr>
            <w:r>
              <w:rPr>
                <w:sz w:val="18"/>
                <w:szCs w:val="18"/>
              </w:rPr>
              <w:t>撰写实习论文</w:t>
            </w:r>
            <w:r>
              <w:rPr>
                <w:rFonts w:hint="eastAsia"/>
                <w:sz w:val="18"/>
                <w:szCs w:val="18"/>
              </w:rPr>
              <w:t>[课程目标</w:t>
            </w:r>
            <w:r>
              <w:rPr>
                <w:sz w:val="18"/>
                <w:szCs w:val="18"/>
              </w:rPr>
              <w:t>3]</w:t>
            </w:r>
          </w:p>
        </w:tc>
        <w:tc>
          <w:tcPr>
            <w:tcW w:w="1886" w:type="pct"/>
            <w:vAlign w:val="center"/>
          </w:tcPr>
          <w:p>
            <w:pPr>
              <w:adjustRightInd w:val="0"/>
              <w:snapToGrid w:val="0"/>
              <w:spacing w:line="300" w:lineRule="auto"/>
              <w:rPr>
                <w:sz w:val="18"/>
                <w:szCs w:val="18"/>
              </w:rPr>
            </w:pPr>
            <w:r>
              <w:rPr>
                <w:sz w:val="18"/>
                <w:szCs w:val="18"/>
              </w:rPr>
              <w:t>1、了解：论文撰写规范</w:t>
            </w:r>
          </w:p>
          <w:p>
            <w:pPr>
              <w:adjustRightInd w:val="0"/>
              <w:snapToGrid w:val="0"/>
              <w:spacing w:line="300" w:lineRule="auto"/>
              <w:rPr>
                <w:sz w:val="18"/>
                <w:szCs w:val="18"/>
              </w:rPr>
            </w:pPr>
            <w:r>
              <w:rPr>
                <w:sz w:val="18"/>
                <w:szCs w:val="18"/>
              </w:rPr>
              <w:t>2、掌握：论文写作方法</w:t>
            </w:r>
          </w:p>
        </w:tc>
        <w:tc>
          <w:tcPr>
            <w:tcW w:w="383" w:type="pct"/>
            <w:vMerge w:val="continue"/>
            <w:vAlign w:val="center"/>
          </w:tcPr>
          <w:p>
            <w:pPr>
              <w:snapToGrid w:val="0"/>
              <w:spacing w:line="300" w:lineRule="auto"/>
              <w:rPr>
                <w:kern w:val="0"/>
                <w:sz w:val="18"/>
                <w:szCs w:val="18"/>
              </w:rPr>
            </w:pPr>
          </w:p>
        </w:tc>
      </w:tr>
    </w:tbl>
    <w:p>
      <w:pPr>
        <w:snapToGrid w:val="0"/>
        <w:spacing w:before="159" w:beforeLines="50" w:after="159" w:afterLines="50" w:line="300" w:lineRule="auto"/>
        <w:rPr>
          <w:b/>
          <w:sz w:val="24"/>
        </w:rPr>
      </w:pPr>
      <w:r>
        <w:rPr>
          <w:b/>
          <w:sz w:val="24"/>
        </w:rPr>
        <w:t>五、课程考核及成绩评定</w:t>
      </w:r>
    </w:p>
    <w:p>
      <w:pPr>
        <w:spacing w:line="276" w:lineRule="auto"/>
        <w:ind w:firstLine="420" w:firstLineChars="200"/>
        <w:rPr>
          <w:szCs w:val="21"/>
        </w:rPr>
      </w:pPr>
      <w:r>
        <w:rPr>
          <w:szCs w:val="21"/>
        </w:rPr>
        <w:t>1．考核方式：考察。</w:t>
      </w:r>
    </w:p>
    <w:p>
      <w:pPr>
        <w:spacing w:line="276" w:lineRule="auto"/>
        <w:ind w:firstLine="420" w:firstLineChars="200"/>
        <w:rPr>
          <w:szCs w:val="21"/>
        </w:rPr>
      </w:pPr>
      <w:r>
        <w:rPr>
          <w:szCs w:val="21"/>
        </w:rPr>
        <w:t>2．成绩构成：根据课程实习过程中的表现、设计任务完成质量、实习报告进行评定。实习成绩按照优秀、良好、中等、及格、不及格五级评定。成绩不及格者需要重修。。</w:t>
      </w:r>
    </w:p>
    <w:p>
      <w:pPr>
        <w:spacing w:line="276" w:lineRule="auto"/>
        <w:ind w:firstLine="420" w:firstLineChars="200"/>
        <w:rPr>
          <w:szCs w:val="21"/>
        </w:rPr>
      </w:pPr>
      <w:r>
        <w:rPr>
          <w:szCs w:val="21"/>
        </w:rPr>
        <w:t>成绩评定方式为综合考核方式的各项评分，给出总评成绩，学期末依据总评成绩评定对应考核等级：优秀：90-100分；良好：80-89分；中等：70-79分及格：60-69分；不及格：60分以下。</w:t>
      </w:r>
    </w:p>
    <w:p>
      <w:pPr>
        <w:spacing w:line="276" w:lineRule="auto"/>
        <w:ind w:firstLine="420" w:firstLineChars="200"/>
        <w:rPr>
          <w:szCs w:val="21"/>
        </w:rPr>
      </w:pPr>
      <w:r>
        <w:rPr>
          <w:szCs w:val="21"/>
        </w:rPr>
        <w:t>3．考核评价标准</w:t>
      </w:r>
    </w:p>
    <w:p>
      <w:pPr>
        <w:spacing w:line="276" w:lineRule="auto"/>
        <w:ind w:firstLine="420" w:firstLineChars="200"/>
        <w:rPr>
          <w:szCs w:val="21"/>
        </w:rPr>
      </w:pPr>
      <w:r>
        <w:rPr>
          <w:szCs w:val="21"/>
        </w:rPr>
        <w:t>实习表现由指导教师根据实习期间的积极性、遵守纪律情况等情况评定，应明确实习表现、设计任务完成质量和实习报告等环节权重，应具体写明对实习报告撰写要求及评价标准，应有成绩评定评语，应留存考核和成绩评定的各种原始资料。</w:t>
      </w:r>
    </w:p>
    <w:p>
      <w:pPr>
        <w:spacing w:line="276" w:lineRule="auto"/>
        <w:ind w:firstLine="420" w:firstLineChars="200"/>
        <w:rPr>
          <w:szCs w:val="21"/>
        </w:rPr>
      </w:pPr>
      <w:r>
        <w:rPr>
          <w:szCs w:val="21"/>
        </w:rPr>
        <w:t>具体考核评价标准见表4所示。</w:t>
      </w:r>
    </w:p>
    <w:p>
      <w:pPr>
        <w:spacing w:line="276" w:lineRule="auto"/>
        <w:ind w:firstLine="420" w:firstLineChars="200"/>
        <w:rPr>
          <w:szCs w:val="21"/>
        </w:rPr>
      </w:pPr>
    </w:p>
    <w:p>
      <w:pPr>
        <w:spacing w:line="276" w:lineRule="auto"/>
        <w:ind w:firstLine="420" w:firstLineChars="200"/>
        <w:rPr>
          <w:szCs w:val="21"/>
        </w:rPr>
      </w:pPr>
    </w:p>
    <w:p>
      <w:pPr>
        <w:spacing w:line="276" w:lineRule="auto"/>
        <w:ind w:firstLine="420" w:firstLineChars="200"/>
        <w:rPr>
          <w:szCs w:val="21"/>
        </w:rPr>
      </w:pPr>
    </w:p>
    <w:p>
      <w:pPr>
        <w:spacing w:line="276" w:lineRule="auto"/>
        <w:ind w:firstLine="420" w:firstLineChars="200"/>
        <w:rPr>
          <w:szCs w:val="21"/>
        </w:rPr>
      </w:pPr>
    </w:p>
    <w:p>
      <w:pPr>
        <w:spacing w:line="276" w:lineRule="auto"/>
        <w:ind w:firstLine="420" w:firstLineChars="200"/>
        <w:rPr>
          <w:szCs w:val="21"/>
        </w:rPr>
      </w:pP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567"/>
        <w:gridCol w:w="567"/>
        <w:gridCol w:w="567"/>
        <w:gridCol w:w="567"/>
        <w:gridCol w:w="3402"/>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572" w:type="dxa"/>
            <w:vAlign w:val="center"/>
          </w:tcPr>
          <w:p>
            <w:pPr>
              <w:jc w:val="center"/>
              <w:rPr>
                <w:b/>
                <w:bCs/>
                <w:sz w:val="18"/>
                <w:szCs w:val="18"/>
              </w:rPr>
            </w:pPr>
            <w:r>
              <w:rPr>
                <w:b/>
                <w:bCs/>
                <w:sz w:val="18"/>
                <w:szCs w:val="18"/>
              </w:rPr>
              <w:t>成绩</w:t>
            </w:r>
          </w:p>
        </w:tc>
        <w:tc>
          <w:tcPr>
            <w:tcW w:w="567" w:type="dxa"/>
            <w:vAlign w:val="center"/>
          </w:tcPr>
          <w:p>
            <w:pPr>
              <w:jc w:val="center"/>
              <w:rPr>
                <w:b/>
                <w:bCs/>
                <w:sz w:val="18"/>
                <w:szCs w:val="18"/>
              </w:rPr>
            </w:pPr>
            <w:r>
              <w:rPr>
                <w:b/>
                <w:bCs/>
                <w:sz w:val="18"/>
                <w:szCs w:val="18"/>
              </w:rPr>
              <w:t>分值</w:t>
            </w:r>
          </w:p>
        </w:tc>
        <w:tc>
          <w:tcPr>
            <w:tcW w:w="567" w:type="dxa"/>
            <w:vAlign w:val="center"/>
          </w:tcPr>
          <w:p>
            <w:pPr>
              <w:jc w:val="center"/>
              <w:rPr>
                <w:b/>
                <w:bCs/>
                <w:sz w:val="18"/>
                <w:szCs w:val="18"/>
              </w:rPr>
            </w:pPr>
            <w:r>
              <w:rPr>
                <w:b/>
                <w:bCs/>
                <w:sz w:val="18"/>
                <w:szCs w:val="18"/>
              </w:rPr>
              <w:t>权重</w:t>
            </w:r>
          </w:p>
        </w:tc>
        <w:tc>
          <w:tcPr>
            <w:tcW w:w="567" w:type="dxa"/>
            <w:vAlign w:val="center"/>
          </w:tcPr>
          <w:p>
            <w:pPr>
              <w:jc w:val="center"/>
              <w:rPr>
                <w:b/>
                <w:bCs/>
                <w:sz w:val="18"/>
                <w:szCs w:val="18"/>
              </w:rPr>
            </w:pPr>
            <w:r>
              <w:rPr>
                <w:b/>
                <w:bCs/>
                <w:sz w:val="18"/>
                <w:szCs w:val="18"/>
              </w:rPr>
              <w:t>类别</w:t>
            </w:r>
          </w:p>
        </w:tc>
        <w:tc>
          <w:tcPr>
            <w:tcW w:w="567" w:type="dxa"/>
            <w:vAlign w:val="center"/>
          </w:tcPr>
          <w:p>
            <w:pPr>
              <w:jc w:val="center"/>
              <w:rPr>
                <w:b/>
                <w:bCs/>
                <w:sz w:val="18"/>
                <w:szCs w:val="18"/>
              </w:rPr>
            </w:pPr>
            <w:r>
              <w:rPr>
                <w:b/>
                <w:bCs/>
                <w:sz w:val="18"/>
                <w:szCs w:val="18"/>
              </w:rPr>
              <w:t>权重</w:t>
            </w:r>
          </w:p>
        </w:tc>
        <w:tc>
          <w:tcPr>
            <w:tcW w:w="3402" w:type="dxa"/>
            <w:vAlign w:val="center"/>
          </w:tcPr>
          <w:p>
            <w:pPr>
              <w:jc w:val="center"/>
              <w:rPr>
                <w:b/>
                <w:bCs/>
                <w:sz w:val="18"/>
                <w:szCs w:val="18"/>
              </w:rPr>
            </w:pPr>
            <w:r>
              <w:rPr>
                <w:b/>
                <w:bCs/>
                <w:sz w:val="18"/>
                <w:szCs w:val="18"/>
              </w:rPr>
              <w:t>考核/评价细则</w:t>
            </w:r>
          </w:p>
        </w:tc>
        <w:tc>
          <w:tcPr>
            <w:tcW w:w="993" w:type="dxa"/>
            <w:vAlign w:val="center"/>
          </w:tcPr>
          <w:p>
            <w:pPr>
              <w:jc w:val="center"/>
              <w:rPr>
                <w:b/>
                <w:bCs/>
                <w:sz w:val="18"/>
                <w:szCs w:val="18"/>
              </w:rPr>
            </w:pPr>
            <w:r>
              <w:rPr>
                <w:b/>
                <w:bCs/>
                <w:sz w:val="18"/>
                <w:szCs w:val="18"/>
              </w:rPr>
              <w:t>课程目标</w:t>
            </w:r>
          </w:p>
        </w:tc>
        <w:tc>
          <w:tcPr>
            <w:tcW w:w="1134" w:type="dxa"/>
            <w:vAlign w:val="center"/>
          </w:tcPr>
          <w:p>
            <w:pPr>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72" w:type="dxa"/>
            <w:vMerge w:val="restart"/>
            <w:vAlign w:val="center"/>
          </w:tcPr>
          <w:p>
            <w:pPr>
              <w:jc w:val="center"/>
              <w:rPr>
                <w:sz w:val="18"/>
                <w:szCs w:val="18"/>
              </w:rPr>
            </w:pPr>
            <w:r>
              <w:rPr>
                <w:sz w:val="18"/>
                <w:szCs w:val="18"/>
              </w:rPr>
              <w:t>平时成绩</w:t>
            </w:r>
          </w:p>
        </w:tc>
        <w:tc>
          <w:tcPr>
            <w:tcW w:w="567"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0.4</w:t>
            </w:r>
          </w:p>
        </w:tc>
        <w:tc>
          <w:tcPr>
            <w:tcW w:w="567" w:type="dxa"/>
            <w:vAlign w:val="center"/>
          </w:tcPr>
          <w:p>
            <w:pPr>
              <w:jc w:val="center"/>
              <w:rPr>
                <w:sz w:val="18"/>
                <w:szCs w:val="18"/>
              </w:rPr>
            </w:pPr>
            <w:r>
              <w:rPr>
                <w:sz w:val="18"/>
                <w:szCs w:val="18"/>
              </w:rPr>
              <w:t>考勤</w:t>
            </w:r>
          </w:p>
        </w:tc>
        <w:tc>
          <w:tcPr>
            <w:tcW w:w="567" w:type="dxa"/>
            <w:vAlign w:val="center"/>
          </w:tcPr>
          <w:p>
            <w:pPr>
              <w:jc w:val="center"/>
              <w:rPr>
                <w:sz w:val="18"/>
                <w:szCs w:val="18"/>
              </w:rPr>
            </w:pPr>
            <w:r>
              <w:rPr>
                <w:sz w:val="18"/>
                <w:szCs w:val="18"/>
              </w:rPr>
              <w:t>0.2</w:t>
            </w:r>
          </w:p>
        </w:tc>
        <w:tc>
          <w:tcPr>
            <w:tcW w:w="3402" w:type="dxa"/>
            <w:vAlign w:val="center"/>
          </w:tcPr>
          <w:p>
            <w:pPr>
              <w:jc w:val="center"/>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分，按比例计入课程总评成绩；主要考核学生的实习出勤率</w:t>
            </w:r>
            <w:r>
              <w:rPr>
                <w:rFonts w:hint="eastAsia"/>
                <w:sz w:val="18"/>
                <w:szCs w:val="18"/>
              </w:rPr>
              <w:t>。</w:t>
            </w:r>
          </w:p>
        </w:tc>
        <w:tc>
          <w:tcPr>
            <w:tcW w:w="993" w:type="dxa"/>
            <w:vAlign w:val="center"/>
          </w:tcPr>
          <w:p>
            <w:pPr>
              <w:jc w:val="center"/>
              <w:rPr>
                <w:sz w:val="18"/>
                <w:szCs w:val="18"/>
              </w:rPr>
            </w:pPr>
            <w:r>
              <w:rPr>
                <w:sz w:val="18"/>
                <w:szCs w:val="18"/>
              </w:rPr>
              <w:t>1，2</w:t>
            </w:r>
          </w:p>
        </w:tc>
        <w:tc>
          <w:tcPr>
            <w:tcW w:w="1134" w:type="dxa"/>
            <w:vAlign w:val="center"/>
          </w:tcPr>
          <w:p>
            <w:pPr>
              <w:jc w:val="center"/>
              <w:rPr>
                <w:sz w:val="18"/>
                <w:szCs w:val="18"/>
              </w:rPr>
            </w:pPr>
            <w:r>
              <w:rPr>
                <w:sz w:val="18"/>
                <w:szCs w:val="18"/>
              </w:rPr>
              <w:t>3</w:t>
            </w:r>
            <w:r>
              <w:rPr>
                <w:rFonts w:hint="eastAsia"/>
                <w:sz w:val="18"/>
                <w:szCs w:val="18"/>
              </w:rPr>
              <w:t>，</w:t>
            </w: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Align w:val="center"/>
          </w:tcPr>
          <w:p>
            <w:pPr>
              <w:jc w:val="center"/>
              <w:rPr>
                <w:sz w:val="18"/>
                <w:szCs w:val="18"/>
              </w:rPr>
            </w:pPr>
            <w:r>
              <w:rPr>
                <w:sz w:val="18"/>
                <w:szCs w:val="18"/>
              </w:rPr>
              <w:t>实习表现</w:t>
            </w:r>
          </w:p>
        </w:tc>
        <w:tc>
          <w:tcPr>
            <w:tcW w:w="567" w:type="dxa"/>
            <w:vAlign w:val="center"/>
          </w:tcPr>
          <w:p>
            <w:pPr>
              <w:jc w:val="center"/>
              <w:rPr>
                <w:sz w:val="18"/>
                <w:szCs w:val="18"/>
              </w:rPr>
            </w:pPr>
            <w:r>
              <w:rPr>
                <w:sz w:val="18"/>
                <w:szCs w:val="18"/>
              </w:rPr>
              <w:t>0.8</w:t>
            </w:r>
          </w:p>
        </w:tc>
        <w:tc>
          <w:tcPr>
            <w:tcW w:w="3402" w:type="dxa"/>
            <w:vAlign w:val="center"/>
          </w:tcPr>
          <w:p>
            <w:pPr>
              <w:jc w:val="left"/>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分，按比例计入课程总评成绩；主要考核学生在实习过程中的学习态度、</w:t>
            </w:r>
            <w:r>
              <w:rPr>
                <w:rFonts w:hint="eastAsia"/>
                <w:sz w:val="18"/>
                <w:szCs w:val="18"/>
              </w:rPr>
              <w:t>对知识</w:t>
            </w:r>
            <w:r>
              <w:rPr>
                <w:sz w:val="18"/>
                <w:szCs w:val="18"/>
              </w:rPr>
              <w:t>的掌握程度等</w:t>
            </w:r>
            <w:r>
              <w:rPr>
                <w:rFonts w:hint="eastAsia"/>
                <w:sz w:val="18"/>
                <w:szCs w:val="18"/>
              </w:rPr>
              <w:t>。</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sz w:val="18"/>
                <w:szCs w:val="18"/>
              </w:rPr>
              <w:t>3</w:t>
            </w:r>
            <w:r>
              <w:rPr>
                <w:rFonts w:hint="eastAsia"/>
                <w:sz w:val="18"/>
                <w:szCs w:val="18"/>
              </w:rPr>
              <w:t>，</w:t>
            </w: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572" w:type="dxa"/>
            <w:vAlign w:val="center"/>
          </w:tcPr>
          <w:p>
            <w:pPr>
              <w:jc w:val="center"/>
              <w:rPr>
                <w:sz w:val="18"/>
                <w:szCs w:val="18"/>
              </w:rPr>
            </w:pPr>
            <w:r>
              <w:rPr>
                <w:sz w:val="18"/>
                <w:szCs w:val="18"/>
              </w:rPr>
              <w:t>论文评阅成绩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0.6</w:t>
            </w:r>
          </w:p>
        </w:tc>
        <w:tc>
          <w:tcPr>
            <w:tcW w:w="567" w:type="dxa"/>
            <w:vAlign w:val="center"/>
          </w:tcPr>
          <w:p>
            <w:pPr>
              <w:jc w:val="center"/>
              <w:rPr>
                <w:sz w:val="18"/>
                <w:szCs w:val="18"/>
              </w:rPr>
            </w:pPr>
            <w:r>
              <w:rPr>
                <w:sz w:val="18"/>
                <w:szCs w:val="18"/>
              </w:rPr>
              <w:t>实习论文</w:t>
            </w:r>
          </w:p>
        </w:tc>
        <w:tc>
          <w:tcPr>
            <w:tcW w:w="567" w:type="dxa"/>
            <w:vAlign w:val="center"/>
          </w:tcPr>
          <w:p>
            <w:pPr>
              <w:jc w:val="center"/>
              <w:rPr>
                <w:sz w:val="18"/>
                <w:szCs w:val="18"/>
              </w:rPr>
            </w:pPr>
            <w:r>
              <w:rPr>
                <w:sz w:val="18"/>
                <w:szCs w:val="18"/>
              </w:rPr>
              <w:t>1</w:t>
            </w:r>
          </w:p>
        </w:tc>
        <w:tc>
          <w:tcPr>
            <w:tcW w:w="3402" w:type="dxa"/>
            <w:vAlign w:val="center"/>
          </w:tcPr>
          <w:p>
            <w:pPr>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分，按比例计入课程总评成绩；主要考核学生实习论文完成质量：包括选题是否合适</w:t>
            </w:r>
            <w:r>
              <w:rPr>
                <w:rFonts w:hint="eastAsia"/>
                <w:sz w:val="18"/>
                <w:szCs w:val="18"/>
              </w:rPr>
              <w:t>、</w:t>
            </w:r>
            <w:r>
              <w:rPr>
                <w:sz w:val="18"/>
                <w:szCs w:val="18"/>
              </w:rPr>
              <w:t>内容是否详实</w:t>
            </w:r>
            <w:r>
              <w:rPr>
                <w:rFonts w:hint="eastAsia"/>
                <w:sz w:val="18"/>
                <w:szCs w:val="18"/>
              </w:rPr>
              <w:t>、</w:t>
            </w:r>
            <w:r>
              <w:rPr>
                <w:sz w:val="18"/>
                <w:szCs w:val="18"/>
              </w:rPr>
              <w:t>实习论文格式是否规范等。</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sz w:val="18"/>
                <w:szCs w:val="18"/>
              </w:rPr>
              <w:t>3</w:t>
            </w:r>
            <w:r>
              <w:rPr>
                <w:rFonts w:hint="eastAsia"/>
                <w:sz w:val="18"/>
                <w:szCs w:val="18"/>
              </w:rPr>
              <w:t>，</w:t>
            </w:r>
            <w:r>
              <w:rPr>
                <w:sz w:val="18"/>
                <w:szCs w:val="18"/>
              </w:rPr>
              <w:t>5</w:t>
            </w:r>
            <w:r>
              <w:rPr>
                <w:rFonts w:hint="eastAsia"/>
                <w:sz w:val="18"/>
                <w:szCs w:val="18"/>
              </w:rPr>
              <w:t>，10</w:t>
            </w:r>
          </w:p>
        </w:tc>
      </w:tr>
    </w:tbl>
    <w:p>
      <w:pPr>
        <w:spacing w:line="276" w:lineRule="auto"/>
        <w:rPr>
          <w:szCs w:val="21"/>
        </w:rPr>
      </w:pPr>
    </w:p>
    <w:p>
      <w:pPr>
        <w:snapToGrid w:val="0"/>
        <w:spacing w:before="159" w:beforeLines="50" w:after="159" w:afterLines="50" w:line="300" w:lineRule="auto"/>
        <w:rPr>
          <w:b/>
          <w:sz w:val="24"/>
        </w:rPr>
      </w:pPr>
      <w:r>
        <w:rPr>
          <w:b/>
          <w:sz w:val="24"/>
        </w:rPr>
        <w:t>六、课程教学目标达成度评价</w:t>
      </w:r>
    </w:p>
    <w:p>
      <w:pPr>
        <w:spacing w:line="300" w:lineRule="auto"/>
        <w:ind w:firstLine="420" w:firstLineChars="200"/>
        <w:rPr>
          <w:szCs w:val="21"/>
        </w:rPr>
      </w:pPr>
      <w:r>
        <w:rPr>
          <w:szCs w:val="21"/>
        </w:rPr>
        <w:t>1．达成度评价依据和方法</w:t>
      </w:r>
    </w:p>
    <w:p>
      <w:pPr>
        <w:spacing w:line="300" w:lineRule="auto"/>
        <w:ind w:firstLine="420" w:firstLineChars="200"/>
        <w:rPr>
          <w:szCs w:val="21"/>
        </w:rPr>
      </w:pPr>
      <w:r>
        <w:rPr>
          <w:szCs w:val="21"/>
        </w:rPr>
        <w:t>课程各目标达成情况为该项目学生的平均得分率，其计算公式为：</w:t>
      </w:r>
    </w:p>
    <w:p>
      <w:pPr>
        <w:spacing w:line="300" w:lineRule="auto"/>
        <w:jc w:val="center"/>
        <w:rPr>
          <w:szCs w:val="21"/>
        </w:rPr>
      </w:pPr>
      <w:r>
        <w:rPr>
          <w:szCs w:val="21"/>
        </w:rPr>
        <w:object>
          <v:shape id="_x0000_i1198" o:spt="75" type="#_x0000_t75" style="height:29.25pt;width:363pt;" o:ole="t" filled="f" o:preferrelative="t" stroked="f" coordsize="21600,21600">
            <v:path/>
            <v:fill on="f" focussize="0,0"/>
            <v:stroke on="f" joinstyle="miter"/>
            <v:imagedata r:id="rId36" o:title=""/>
            <o:lock v:ext="edit" aspectratio="t"/>
            <w10:wrap type="none"/>
            <w10:anchorlock/>
          </v:shape>
          <o:OLEObject Type="Embed" ProgID="Equation.3" ShapeID="_x0000_i1198" DrawAspect="Content" ObjectID="_1468075896" r:id="rId225">
            <o:LockedField>false</o:LockedField>
          </o:OLEObject>
        </w:object>
      </w:r>
    </w:p>
    <w:p>
      <w:pPr>
        <w:spacing w:line="300" w:lineRule="auto"/>
        <w:ind w:firstLine="420" w:firstLineChars="200"/>
        <w:rPr>
          <w:szCs w:val="21"/>
        </w:rPr>
      </w:pPr>
      <w:r>
        <w:rPr>
          <w:szCs w:val="21"/>
        </w:rPr>
        <w:t>课程总目标达成情况为4个课程目标的加权得分率，其计算公式为：</w:t>
      </w:r>
    </w:p>
    <w:p>
      <w:pPr>
        <w:spacing w:line="300" w:lineRule="auto"/>
        <w:jc w:val="center"/>
        <w:rPr>
          <w:szCs w:val="21"/>
        </w:rPr>
      </w:pPr>
      <w:r>
        <w:rPr>
          <w:szCs w:val="21"/>
        </w:rPr>
        <w:object>
          <v:shape id="_x0000_i1199"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199" DrawAspect="Content" ObjectID="_1468075897" r:id="rId226">
            <o:LockedField>false</o:LockedField>
          </o:OLEObject>
        </w:object>
      </w:r>
    </w:p>
    <w:p>
      <w:pPr>
        <w:spacing w:line="300" w:lineRule="auto"/>
        <w:rPr>
          <w:szCs w:val="21"/>
        </w:rPr>
      </w:pPr>
      <w:r>
        <w:rPr>
          <w:szCs w:val="21"/>
        </w:rP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4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065"/>
        <w:gridCol w:w="1774"/>
        <w:gridCol w:w="1813"/>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7" w:hRule="atLeast"/>
          <w:jc w:val="center"/>
        </w:trPr>
        <w:tc>
          <w:tcPr>
            <w:tcW w:w="1376" w:type="pct"/>
            <w:vAlign w:val="center"/>
          </w:tcPr>
          <w:p>
            <w:pPr>
              <w:adjustRightInd w:val="0"/>
              <w:snapToGrid w:val="0"/>
              <w:spacing w:line="300" w:lineRule="auto"/>
              <w:jc w:val="center"/>
              <w:rPr>
                <w:b/>
                <w:bCs/>
                <w:sz w:val="18"/>
                <w:szCs w:val="18"/>
              </w:rPr>
            </w:pPr>
            <w:r>
              <w:rPr>
                <w:b/>
                <w:bCs/>
                <w:sz w:val="18"/>
                <w:szCs w:val="18"/>
              </w:rPr>
              <w:t>课程目标</w:t>
            </w:r>
          </w:p>
        </w:tc>
        <w:tc>
          <w:tcPr>
            <w:tcW w:w="1182" w:type="pct"/>
            <w:vAlign w:val="center"/>
          </w:tcPr>
          <w:p>
            <w:pPr>
              <w:adjustRightInd w:val="0"/>
              <w:snapToGrid w:val="0"/>
              <w:spacing w:line="300" w:lineRule="auto"/>
              <w:jc w:val="center"/>
              <w:rPr>
                <w:sz w:val="18"/>
                <w:szCs w:val="18"/>
              </w:rPr>
            </w:pPr>
            <w:r>
              <w:rPr>
                <w:sz w:val="18"/>
                <w:szCs w:val="18"/>
              </w:rPr>
              <w:t>1</w:t>
            </w:r>
          </w:p>
        </w:tc>
        <w:tc>
          <w:tcPr>
            <w:tcW w:w="1208" w:type="pct"/>
            <w:vAlign w:val="center"/>
          </w:tcPr>
          <w:p>
            <w:pPr>
              <w:adjustRightInd w:val="0"/>
              <w:snapToGrid w:val="0"/>
              <w:spacing w:line="300" w:lineRule="auto"/>
              <w:jc w:val="center"/>
              <w:rPr>
                <w:sz w:val="18"/>
                <w:szCs w:val="18"/>
              </w:rPr>
            </w:pPr>
            <w:r>
              <w:rPr>
                <w:sz w:val="18"/>
                <w:szCs w:val="18"/>
              </w:rPr>
              <w:t>2</w:t>
            </w:r>
          </w:p>
        </w:tc>
        <w:tc>
          <w:tcPr>
            <w:tcW w:w="1234" w:type="pct"/>
            <w:vAlign w:val="center"/>
          </w:tcPr>
          <w:p>
            <w:pPr>
              <w:adjustRightInd w:val="0"/>
              <w:snapToGrid w:val="0"/>
              <w:spacing w:line="300" w:lineRule="auto"/>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74" w:hRule="atLeast"/>
          <w:jc w:val="center"/>
        </w:trPr>
        <w:tc>
          <w:tcPr>
            <w:tcW w:w="1376" w:type="pct"/>
            <w:vAlign w:val="center"/>
          </w:tcPr>
          <w:p>
            <w:pPr>
              <w:adjustRightInd w:val="0"/>
              <w:snapToGrid w:val="0"/>
              <w:spacing w:line="300" w:lineRule="auto"/>
              <w:jc w:val="center"/>
              <w:rPr>
                <w:b/>
                <w:bCs/>
                <w:sz w:val="18"/>
                <w:szCs w:val="18"/>
              </w:rPr>
            </w:pPr>
            <w:r>
              <w:rPr>
                <w:b/>
                <w:bCs/>
                <w:sz w:val="18"/>
                <w:szCs w:val="18"/>
              </w:rPr>
              <w:t>权重系数</w:t>
            </w:r>
          </w:p>
        </w:tc>
        <w:tc>
          <w:tcPr>
            <w:tcW w:w="1182" w:type="pct"/>
            <w:vAlign w:val="center"/>
          </w:tcPr>
          <w:p>
            <w:pPr>
              <w:adjustRightInd w:val="0"/>
              <w:snapToGrid w:val="0"/>
              <w:spacing w:line="300" w:lineRule="auto"/>
              <w:jc w:val="center"/>
              <w:rPr>
                <w:sz w:val="18"/>
                <w:szCs w:val="18"/>
              </w:rPr>
            </w:pPr>
            <w:r>
              <w:rPr>
                <w:sz w:val="18"/>
                <w:szCs w:val="18"/>
              </w:rPr>
              <w:t>0.6</w:t>
            </w:r>
          </w:p>
        </w:tc>
        <w:tc>
          <w:tcPr>
            <w:tcW w:w="1208" w:type="pct"/>
            <w:vAlign w:val="center"/>
          </w:tcPr>
          <w:p>
            <w:pPr>
              <w:adjustRightInd w:val="0"/>
              <w:snapToGrid w:val="0"/>
              <w:spacing w:line="300" w:lineRule="auto"/>
              <w:jc w:val="center"/>
              <w:rPr>
                <w:sz w:val="18"/>
                <w:szCs w:val="18"/>
              </w:rPr>
            </w:pPr>
            <w:r>
              <w:rPr>
                <w:sz w:val="18"/>
                <w:szCs w:val="18"/>
              </w:rPr>
              <w:t>0.3</w:t>
            </w:r>
          </w:p>
        </w:tc>
        <w:tc>
          <w:tcPr>
            <w:tcW w:w="1234" w:type="pct"/>
            <w:vAlign w:val="center"/>
          </w:tcPr>
          <w:p>
            <w:pPr>
              <w:adjustRightInd w:val="0"/>
              <w:snapToGrid w:val="0"/>
              <w:spacing w:line="300" w:lineRule="auto"/>
              <w:jc w:val="center"/>
              <w:rPr>
                <w:sz w:val="18"/>
                <w:szCs w:val="18"/>
              </w:rPr>
            </w:pPr>
            <w:r>
              <w:rPr>
                <w:sz w:val="18"/>
                <w:szCs w:val="18"/>
              </w:rPr>
              <w:t>0.</w:t>
            </w:r>
            <w:r>
              <w:rPr>
                <w:rFonts w:hint="eastAsia"/>
                <w:sz w:val="18"/>
                <w:szCs w:val="18"/>
              </w:rPr>
              <w:t>1</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200" o:spt="75" type="#_x0000_t75" style="height:18.75pt;width:284.25pt;" o:ole="t" filled="f" o:preferrelative="t" stroked="f" coordsize="21600,21600">
            <v:path/>
            <v:fill on="f" focussize="0,0"/>
            <v:stroke on="f" joinstyle="miter"/>
            <v:imagedata r:id="rId40" o:title=""/>
            <o:lock v:ext="edit" aspectratio="t"/>
            <w10:wrap type="none"/>
            <w10:anchorlock/>
          </v:shape>
          <o:OLEObject Type="Embed" ProgID="Equation.KSEE3" ShapeID="_x0000_i1200" DrawAspect="Content" ObjectID="_1468075898" r:id="rId227">
            <o:LockedField>false</o:LockedField>
          </o:OLEObject>
        </w:object>
      </w:r>
    </w:p>
    <w:p>
      <w:pPr>
        <w:adjustRightInd w:val="0"/>
        <w:snapToGrid w:val="0"/>
        <w:spacing w:line="300" w:lineRule="auto"/>
        <w:rPr>
          <w:szCs w:val="21"/>
        </w:rPr>
      </w:pPr>
      <w:r>
        <w:rPr>
          <w:szCs w:val="21"/>
        </w:rPr>
        <w:t>2</w:t>
      </w:r>
      <w:r>
        <w:t>．</w:t>
      </w:r>
      <w:r>
        <w:rPr>
          <w:szCs w:val="21"/>
        </w:rPr>
        <w:t>课程总结要求</w:t>
      </w:r>
    </w:p>
    <w:p>
      <w:pPr>
        <w:adjustRightInd w:val="0"/>
        <w:snapToGrid w:val="0"/>
        <w:spacing w:line="300" w:lineRule="auto"/>
        <w:ind w:firstLine="420" w:firstLineChars="200"/>
      </w:pPr>
      <w:r>
        <w:rPr>
          <w:szCs w:val="21"/>
        </w:rPr>
        <w:t>依据达成度评价、教师自评、学生评价，以及课程教学情况、考试情况，对课程进行有针对性的总结，每学年撰写试卷分析、课程总结与自我评价表，提出持续改进课程教学的措施。</w:t>
      </w:r>
    </w:p>
    <w:p>
      <w:pPr>
        <w:numPr>
          <w:ilvl w:val="0"/>
          <w:numId w:val="86"/>
        </w:numPr>
        <w:snapToGrid w:val="0"/>
        <w:spacing w:before="159" w:beforeLines="50" w:after="159" w:afterLines="50" w:line="300" w:lineRule="auto"/>
        <w:rPr>
          <w:b/>
          <w:sz w:val="24"/>
        </w:rPr>
      </w:pPr>
      <w:r>
        <w:rPr>
          <w:b/>
          <w:sz w:val="24"/>
        </w:rPr>
        <w:t>教材及参考资料</w:t>
      </w:r>
    </w:p>
    <w:p>
      <w:pPr>
        <w:snapToGrid w:val="0"/>
        <w:spacing w:line="300" w:lineRule="auto"/>
        <w:ind w:firstLine="420" w:firstLineChars="200"/>
        <w:rPr>
          <w:szCs w:val="21"/>
        </w:rPr>
      </w:pPr>
      <w:r>
        <w:rPr>
          <w:szCs w:val="21"/>
        </w:rPr>
        <w:t>1. 教材</w:t>
      </w:r>
    </w:p>
    <w:p>
      <w:pPr>
        <w:adjustRightInd w:val="0"/>
        <w:snapToGrid w:val="0"/>
        <w:spacing w:line="300" w:lineRule="auto"/>
        <w:ind w:firstLine="420"/>
        <w:rPr>
          <w:szCs w:val="21"/>
        </w:rPr>
      </w:pPr>
      <w:r>
        <w:rPr>
          <w:szCs w:val="21"/>
        </w:rPr>
        <w:t>无</w:t>
      </w:r>
    </w:p>
    <w:p>
      <w:pPr>
        <w:adjustRightInd w:val="0"/>
        <w:snapToGrid w:val="0"/>
        <w:spacing w:line="300" w:lineRule="auto"/>
        <w:ind w:firstLine="420"/>
        <w:rPr>
          <w:szCs w:val="21"/>
        </w:rPr>
      </w:pPr>
      <w:r>
        <w:rPr>
          <w:szCs w:val="21"/>
        </w:rPr>
        <w:t>2. 参考资料：</w:t>
      </w:r>
    </w:p>
    <w:p>
      <w:r>
        <w:rPr>
          <w:kern w:val="0"/>
          <w:szCs w:val="21"/>
        </w:rPr>
        <w:t>广东海洋大学本科毕业论文（设计）工作管理办法（校教务〔2015〕23 号）</w:t>
      </w:r>
    </w:p>
    <w:tbl>
      <w:tblPr>
        <w:tblStyle w:val="22"/>
        <w:tblpPr w:leftFromText="180" w:rightFromText="180" w:vertAnchor="text" w:horzAnchor="margin" w:tblpX="-39" w:tblpY="266"/>
        <w:tblW w:w="790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79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38" w:hRule="atLeast"/>
        </w:trPr>
        <w:tc>
          <w:tcPr>
            <w:tcW w:w="7900"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38" w:hRule="atLeast"/>
        </w:trPr>
        <w:tc>
          <w:tcPr>
            <w:tcW w:w="7900"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28" w:hRule="atLeast"/>
        </w:trPr>
        <w:tc>
          <w:tcPr>
            <w:tcW w:w="7900"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tc>
      </w:tr>
    </w:tbl>
    <w:p>
      <w:pPr>
        <w:spacing w:line="360" w:lineRule="auto"/>
        <w:rPr>
          <w:szCs w:val="21"/>
        </w:rPr>
      </w:pPr>
    </w:p>
    <w:p>
      <w:pPr>
        <w:spacing w:line="360" w:lineRule="auto"/>
      </w:pPr>
    </w:p>
    <w:p>
      <w:pPr>
        <w:spacing w:line="360" w:lineRule="auto"/>
        <w:rPr>
          <w:rFonts w:hAnsi="黑体" w:cs="黑体"/>
          <w:kern w:val="0"/>
          <w:szCs w:val="32"/>
        </w:rPr>
      </w:pPr>
    </w:p>
    <w:p/>
    <w:p>
      <w:pPr>
        <w:pStyle w:val="2"/>
        <w:spacing w:line="360" w:lineRule="auto"/>
        <w:jc w:val="center"/>
        <w:rPr>
          <w:rFonts w:ascii="Times New Roman" w:hAnsi="Times New Roman" w:cs="Times New Roman"/>
        </w:rPr>
        <w:sectPr>
          <w:pgSz w:w="11906" w:h="16838"/>
          <w:pgMar w:top="1417" w:right="1361" w:bottom="1417" w:left="1361" w:header="851" w:footer="992" w:gutter="0"/>
          <w:cols w:space="720" w:num="1"/>
          <w:docGrid w:type="lines" w:linePitch="318" w:charSpace="0"/>
        </w:sectPr>
      </w:pPr>
    </w:p>
    <w:p>
      <w:pPr>
        <w:pStyle w:val="3"/>
        <w:jc w:val="center"/>
      </w:pPr>
      <w:bookmarkStart w:id="285" w:name="_Toc62652570"/>
      <w:bookmarkStart w:id="286" w:name="_Toc62571487"/>
      <w:bookmarkStart w:id="287" w:name="_Toc13324"/>
      <w:bookmarkStart w:id="288" w:name="_Toc1600"/>
      <w:bookmarkStart w:id="289" w:name="_Toc18005"/>
      <w:r>
        <w:rPr>
          <w:rFonts w:hint="eastAsia"/>
        </w:rPr>
        <w:t>j3341705《海洋遥感与海洋物联网课程实习》</w:t>
      </w:r>
      <w:bookmarkEnd w:id="285"/>
      <w:bookmarkEnd w:id="286"/>
      <w:r>
        <w:rPr>
          <w:rFonts w:hint="eastAsia"/>
        </w:rPr>
        <w:t>实习教学大纲</w:t>
      </w:r>
      <w:bookmarkEnd w:id="287"/>
      <w:bookmarkEnd w:id="288"/>
      <w:bookmarkEnd w:id="28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42"/>
        <w:gridCol w:w="2410"/>
        <w:gridCol w:w="1134"/>
        <w:gridCol w:w="39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1242" w:type="dxa"/>
            <w:vAlign w:val="center"/>
          </w:tcPr>
          <w:p>
            <w:pPr>
              <w:jc w:val="center"/>
              <w:rPr>
                <w:kern w:val="0"/>
                <w:szCs w:val="21"/>
              </w:rPr>
            </w:pPr>
            <w:r>
              <w:rPr>
                <w:kern w:val="0"/>
                <w:szCs w:val="21"/>
              </w:rPr>
              <w:t>课程编号</w:t>
            </w:r>
          </w:p>
        </w:tc>
        <w:tc>
          <w:tcPr>
            <w:tcW w:w="2410" w:type="dxa"/>
            <w:vAlign w:val="center"/>
          </w:tcPr>
          <w:p>
            <w:pPr>
              <w:jc w:val="center"/>
              <w:rPr>
                <w:kern w:val="0"/>
                <w:szCs w:val="21"/>
              </w:rPr>
            </w:pPr>
            <w:r>
              <w:rPr>
                <w:kern w:val="0"/>
                <w:szCs w:val="21"/>
              </w:rPr>
              <w:t>j3341705</w:t>
            </w:r>
          </w:p>
        </w:tc>
        <w:tc>
          <w:tcPr>
            <w:tcW w:w="1134" w:type="dxa"/>
          </w:tcPr>
          <w:p>
            <w:pPr>
              <w:jc w:val="center"/>
              <w:rPr>
                <w:kern w:val="0"/>
                <w:szCs w:val="21"/>
              </w:rPr>
            </w:pPr>
            <w:r>
              <w:rPr>
                <w:kern w:val="0"/>
                <w:szCs w:val="21"/>
              </w:rPr>
              <w:t>课程名称</w:t>
            </w:r>
          </w:p>
        </w:tc>
        <w:tc>
          <w:tcPr>
            <w:tcW w:w="3985" w:type="dxa"/>
          </w:tcPr>
          <w:p>
            <w:pPr>
              <w:jc w:val="center"/>
              <w:rPr>
                <w:kern w:val="0"/>
                <w:szCs w:val="21"/>
              </w:rPr>
            </w:pPr>
            <w:r>
              <w:rPr>
                <w:kern w:val="0"/>
                <w:szCs w:val="21"/>
              </w:rPr>
              <w:t>海洋遥感与海洋物联网课程实习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jc w:val="center"/>
        </w:trPr>
        <w:tc>
          <w:tcPr>
            <w:tcW w:w="1242" w:type="dxa"/>
            <w:vAlign w:val="center"/>
          </w:tcPr>
          <w:p>
            <w:pPr>
              <w:jc w:val="center"/>
              <w:rPr>
                <w:kern w:val="0"/>
                <w:szCs w:val="21"/>
              </w:rPr>
            </w:pPr>
            <w:r>
              <w:rPr>
                <w:kern w:val="0"/>
                <w:szCs w:val="21"/>
              </w:rPr>
              <w:t>课程性质</w:t>
            </w:r>
          </w:p>
        </w:tc>
        <w:tc>
          <w:tcPr>
            <w:tcW w:w="2410" w:type="dxa"/>
            <w:vAlign w:val="center"/>
          </w:tcPr>
          <w:p>
            <w:pPr>
              <w:jc w:val="center"/>
              <w:rPr>
                <w:kern w:val="0"/>
                <w:szCs w:val="21"/>
              </w:rPr>
            </w:pPr>
            <w:r>
              <w:rPr>
                <w:kern w:val="0"/>
                <w:szCs w:val="21"/>
              </w:rPr>
              <w:t>工程实践与毕业设计（论文）</w:t>
            </w:r>
          </w:p>
        </w:tc>
        <w:tc>
          <w:tcPr>
            <w:tcW w:w="1134" w:type="dxa"/>
          </w:tcPr>
          <w:p>
            <w:pPr>
              <w:jc w:val="center"/>
              <w:rPr>
                <w:kern w:val="0"/>
                <w:szCs w:val="21"/>
              </w:rPr>
            </w:pPr>
            <w:r>
              <w:rPr>
                <w:kern w:val="0"/>
                <w:szCs w:val="21"/>
              </w:rPr>
              <w:t>英文名称</w:t>
            </w:r>
          </w:p>
        </w:tc>
        <w:tc>
          <w:tcPr>
            <w:tcW w:w="3985" w:type="dxa"/>
          </w:tcPr>
          <w:p>
            <w:pPr>
              <w:jc w:val="center"/>
              <w:rPr>
                <w:kern w:val="0"/>
                <w:szCs w:val="21"/>
              </w:rPr>
            </w:pPr>
            <w:r>
              <w:rPr>
                <w:kern w:val="0"/>
                <w:szCs w:val="21"/>
              </w:rPr>
              <w:t>Marine Remote Sensing and Marine Internet of Things Technology Course Practice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5" w:hRule="atLeast"/>
          <w:jc w:val="center"/>
        </w:trPr>
        <w:tc>
          <w:tcPr>
            <w:tcW w:w="1242" w:type="dxa"/>
          </w:tcPr>
          <w:p>
            <w:pPr>
              <w:jc w:val="center"/>
              <w:rPr>
                <w:kern w:val="0"/>
                <w:szCs w:val="21"/>
              </w:rPr>
            </w:pPr>
            <w:r>
              <w:rPr>
                <w:kern w:val="0"/>
                <w:szCs w:val="21"/>
              </w:rPr>
              <w:t>学分学时</w:t>
            </w:r>
          </w:p>
        </w:tc>
        <w:tc>
          <w:tcPr>
            <w:tcW w:w="2410" w:type="dxa"/>
          </w:tcPr>
          <w:p>
            <w:pPr>
              <w:jc w:val="center"/>
              <w:rPr>
                <w:kern w:val="0"/>
                <w:szCs w:val="21"/>
              </w:rPr>
            </w:pPr>
            <w:r>
              <w:rPr>
                <w:kern w:val="0"/>
                <w:szCs w:val="21"/>
              </w:rPr>
              <w:t>1；1周</w:t>
            </w:r>
          </w:p>
        </w:tc>
        <w:tc>
          <w:tcPr>
            <w:tcW w:w="1134" w:type="dxa"/>
          </w:tcPr>
          <w:p>
            <w:pPr>
              <w:jc w:val="center"/>
              <w:rPr>
                <w:kern w:val="0"/>
                <w:szCs w:val="21"/>
              </w:rPr>
            </w:pPr>
            <w:r>
              <w:rPr>
                <w:kern w:val="0"/>
                <w:szCs w:val="21"/>
              </w:rPr>
              <w:t>任课教师</w:t>
            </w:r>
          </w:p>
        </w:tc>
        <w:tc>
          <w:tcPr>
            <w:tcW w:w="3985" w:type="dxa"/>
          </w:tcPr>
          <w:p>
            <w:pPr>
              <w:jc w:val="center"/>
              <w:rPr>
                <w:kern w:val="0"/>
                <w:szCs w:val="21"/>
              </w:rPr>
            </w:pPr>
            <w:r>
              <w:rPr>
                <w:kern w:val="0"/>
                <w:szCs w:val="21"/>
              </w:rPr>
              <w:t>对应毕业设计导师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 w:hRule="atLeast"/>
          <w:jc w:val="center"/>
        </w:trPr>
        <w:tc>
          <w:tcPr>
            <w:tcW w:w="1242" w:type="dxa"/>
          </w:tcPr>
          <w:p>
            <w:pPr>
              <w:jc w:val="center"/>
              <w:rPr>
                <w:kern w:val="0"/>
                <w:szCs w:val="21"/>
              </w:rPr>
            </w:pPr>
            <w:r>
              <w:rPr>
                <w:kern w:val="0"/>
                <w:szCs w:val="21"/>
              </w:rPr>
              <w:t>企业专家</w:t>
            </w:r>
          </w:p>
        </w:tc>
        <w:tc>
          <w:tcPr>
            <w:tcW w:w="2410" w:type="dxa"/>
          </w:tcPr>
          <w:p>
            <w:pPr>
              <w:jc w:val="center"/>
              <w:rPr>
                <w:kern w:val="0"/>
                <w:szCs w:val="21"/>
              </w:rPr>
            </w:pPr>
            <w:r>
              <w:rPr>
                <w:kern w:val="0"/>
                <w:szCs w:val="21"/>
              </w:rPr>
              <w:t>曾耿滨</w:t>
            </w:r>
          </w:p>
        </w:tc>
        <w:tc>
          <w:tcPr>
            <w:tcW w:w="1134" w:type="dxa"/>
          </w:tcPr>
          <w:p>
            <w:pPr>
              <w:jc w:val="center"/>
              <w:rPr>
                <w:kern w:val="0"/>
                <w:szCs w:val="21"/>
              </w:rPr>
            </w:pPr>
            <w:r>
              <w:rPr>
                <w:kern w:val="0"/>
                <w:szCs w:val="21"/>
              </w:rPr>
              <w:t>行业专家</w:t>
            </w:r>
          </w:p>
        </w:tc>
        <w:tc>
          <w:tcPr>
            <w:tcW w:w="3985" w:type="dxa"/>
          </w:tcPr>
          <w:p>
            <w:pPr>
              <w:jc w:val="center"/>
              <w:rPr>
                <w:kern w:val="0"/>
                <w:szCs w:val="21"/>
              </w:rPr>
            </w:pPr>
            <w:r>
              <w:rPr>
                <w:kern w:val="0"/>
                <w:szCs w:val="21"/>
              </w:rPr>
              <w:t>闫敬文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8" w:hRule="atLeast"/>
          <w:jc w:val="center"/>
        </w:trPr>
        <w:tc>
          <w:tcPr>
            <w:tcW w:w="1242" w:type="dxa"/>
          </w:tcPr>
          <w:p>
            <w:pPr>
              <w:jc w:val="center"/>
              <w:rPr>
                <w:kern w:val="0"/>
                <w:szCs w:val="21"/>
              </w:rPr>
            </w:pPr>
            <w:r>
              <w:rPr>
                <w:kern w:val="0"/>
                <w:szCs w:val="21"/>
              </w:rPr>
              <w:t>执笔教师</w:t>
            </w:r>
          </w:p>
        </w:tc>
        <w:tc>
          <w:tcPr>
            <w:tcW w:w="2410" w:type="dxa"/>
          </w:tcPr>
          <w:p>
            <w:pPr>
              <w:jc w:val="center"/>
              <w:rPr>
                <w:kern w:val="0"/>
                <w:szCs w:val="21"/>
              </w:rPr>
            </w:pPr>
            <w:r>
              <w:rPr>
                <w:kern w:val="0"/>
                <w:szCs w:val="21"/>
              </w:rPr>
              <w:t>王骥/刘雯景</w:t>
            </w:r>
          </w:p>
        </w:tc>
        <w:tc>
          <w:tcPr>
            <w:tcW w:w="1134" w:type="dxa"/>
          </w:tcPr>
          <w:p>
            <w:pPr>
              <w:jc w:val="center"/>
              <w:rPr>
                <w:kern w:val="0"/>
                <w:szCs w:val="21"/>
              </w:rPr>
            </w:pPr>
            <w:r>
              <w:rPr>
                <w:kern w:val="0"/>
                <w:szCs w:val="21"/>
              </w:rPr>
              <w:t>责任教授</w:t>
            </w:r>
          </w:p>
        </w:tc>
        <w:tc>
          <w:tcPr>
            <w:tcW w:w="3985" w:type="dxa"/>
          </w:tcPr>
          <w:p>
            <w:pPr>
              <w:jc w:val="center"/>
              <w:rPr>
                <w:kern w:val="0"/>
                <w:szCs w:val="21"/>
              </w:rPr>
            </w:pPr>
            <w:r>
              <w:rPr>
                <w:kern w:val="0"/>
                <w:szCs w:val="21"/>
              </w:rPr>
              <w:t>王骥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1242" w:type="dxa"/>
            <w:tcBorders>
              <w:bottom w:val="single" w:color="auto" w:sz="4" w:space="0"/>
            </w:tcBorders>
          </w:tcPr>
          <w:p>
            <w:pPr>
              <w:jc w:val="center"/>
              <w:rPr>
                <w:kern w:val="0"/>
                <w:szCs w:val="21"/>
              </w:rPr>
            </w:pPr>
            <w:r>
              <w:rPr>
                <w:kern w:val="0"/>
                <w:szCs w:val="21"/>
              </w:rPr>
              <w:t>适用专业</w:t>
            </w:r>
          </w:p>
        </w:tc>
        <w:tc>
          <w:tcPr>
            <w:tcW w:w="2410" w:type="dxa"/>
            <w:tcBorders>
              <w:bottom w:val="single" w:color="auto" w:sz="4" w:space="0"/>
            </w:tcBorders>
          </w:tcPr>
          <w:p>
            <w:pPr>
              <w:jc w:val="center"/>
              <w:rPr>
                <w:kern w:val="0"/>
                <w:szCs w:val="21"/>
              </w:rPr>
            </w:pPr>
            <w:r>
              <w:rPr>
                <w:kern w:val="0"/>
                <w:szCs w:val="21"/>
              </w:rPr>
              <w:t>电子信息工程</w:t>
            </w:r>
          </w:p>
        </w:tc>
        <w:tc>
          <w:tcPr>
            <w:tcW w:w="1134" w:type="dxa"/>
            <w:tcBorders>
              <w:bottom w:val="single" w:color="auto" w:sz="4" w:space="0"/>
            </w:tcBorders>
          </w:tcPr>
          <w:p>
            <w:pPr>
              <w:jc w:val="center"/>
              <w:rPr>
                <w:kern w:val="0"/>
                <w:szCs w:val="21"/>
              </w:rPr>
            </w:pPr>
            <w:r>
              <w:rPr>
                <w:kern w:val="0"/>
                <w:szCs w:val="21"/>
              </w:rPr>
              <w:t>适用对象</w:t>
            </w:r>
          </w:p>
        </w:tc>
        <w:tc>
          <w:tcPr>
            <w:tcW w:w="3985" w:type="dxa"/>
            <w:tcBorders>
              <w:bottom w:val="single" w:color="auto" w:sz="4" w:space="0"/>
            </w:tcBorders>
          </w:tcPr>
          <w:p>
            <w:pPr>
              <w:jc w:val="center"/>
              <w:rPr>
                <w:kern w:val="0"/>
                <w:szCs w:val="21"/>
              </w:rPr>
            </w:pPr>
            <w:r>
              <w:rPr>
                <w:kern w:val="0"/>
                <w:szCs w:val="21"/>
              </w:rPr>
              <w:t>本科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9" w:hRule="atLeast"/>
          <w:jc w:val="center"/>
        </w:trPr>
        <w:tc>
          <w:tcPr>
            <w:tcW w:w="1242" w:type="dxa"/>
            <w:tcBorders>
              <w:top w:val="single" w:color="auto" w:sz="4" w:space="0"/>
              <w:bottom w:val="single" w:color="auto" w:sz="4" w:space="0"/>
            </w:tcBorders>
            <w:vAlign w:val="center"/>
          </w:tcPr>
          <w:p>
            <w:pPr>
              <w:jc w:val="center"/>
              <w:rPr>
                <w:kern w:val="0"/>
                <w:szCs w:val="21"/>
              </w:rPr>
            </w:pPr>
            <w:r>
              <w:rPr>
                <w:kern w:val="0"/>
                <w:szCs w:val="21"/>
              </w:rPr>
              <w:t>先修课程</w:t>
            </w:r>
          </w:p>
        </w:tc>
        <w:tc>
          <w:tcPr>
            <w:tcW w:w="2410" w:type="dxa"/>
            <w:tcBorders>
              <w:top w:val="single" w:color="auto" w:sz="4" w:space="0"/>
              <w:bottom w:val="single" w:color="auto" w:sz="4" w:space="0"/>
            </w:tcBorders>
            <w:vAlign w:val="center"/>
          </w:tcPr>
          <w:p>
            <w:pPr>
              <w:jc w:val="center"/>
              <w:rPr>
                <w:kern w:val="0"/>
                <w:szCs w:val="21"/>
              </w:rPr>
            </w:pPr>
            <w:r>
              <w:rPr>
                <w:kern w:val="0"/>
                <w:szCs w:val="21"/>
              </w:rPr>
              <w:t>电子信息类专业课程</w:t>
            </w:r>
          </w:p>
        </w:tc>
        <w:tc>
          <w:tcPr>
            <w:tcW w:w="1134" w:type="dxa"/>
            <w:tcBorders>
              <w:top w:val="single" w:color="auto" w:sz="4" w:space="0"/>
              <w:bottom w:val="single" w:color="auto" w:sz="4" w:space="0"/>
            </w:tcBorders>
            <w:vAlign w:val="center"/>
          </w:tcPr>
          <w:p>
            <w:pPr>
              <w:jc w:val="center"/>
              <w:rPr>
                <w:kern w:val="0"/>
                <w:szCs w:val="21"/>
              </w:rPr>
            </w:pPr>
            <w:r>
              <w:rPr>
                <w:kern w:val="0"/>
                <w:szCs w:val="21"/>
              </w:rPr>
              <w:t>同修课程</w:t>
            </w:r>
          </w:p>
        </w:tc>
        <w:tc>
          <w:tcPr>
            <w:tcW w:w="3985" w:type="dxa"/>
            <w:tcBorders>
              <w:top w:val="single" w:color="auto" w:sz="4" w:space="0"/>
              <w:bottom w:val="single" w:color="auto" w:sz="4" w:space="0"/>
            </w:tcBorders>
            <w:vAlign w:val="center"/>
          </w:tcPr>
          <w:p>
            <w:pPr>
              <w:jc w:val="center"/>
              <w:rPr>
                <w:kern w:val="0"/>
                <w:szCs w:val="21"/>
              </w:rPr>
            </w:pPr>
            <w:r>
              <w:rPr>
                <w:kern w:val="0"/>
                <w:szCs w:val="21"/>
              </w:rPr>
              <w:t>海洋前沿技术与物联网；海洋遥感与电子技术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 w:hRule="atLeast"/>
          <w:jc w:val="center"/>
        </w:trPr>
        <w:tc>
          <w:tcPr>
            <w:tcW w:w="1242" w:type="dxa"/>
            <w:tcBorders>
              <w:top w:val="single" w:color="auto" w:sz="4" w:space="0"/>
            </w:tcBorders>
          </w:tcPr>
          <w:p>
            <w:pPr>
              <w:jc w:val="center"/>
              <w:rPr>
                <w:kern w:val="0"/>
                <w:szCs w:val="21"/>
              </w:rPr>
            </w:pPr>
            <w:r>
              <w:rPr>
                <w:kern w:val="0"/>
                <w:szCs w:val="21"/>
              </w:rPr>
              <w:t>排斥课程</w:t>
            </w:r>
          </w:p>
        </w:tc>
        <w:tc>
          <w:tcPr>
            <w:tcW w:w="2410" w:type="dxa"/>
            <w:tcBorders>
              <w:top w:val="single" w:color="auto" w:sz="4" w:space="0"/>
            </w:tcBorders>
          </w:tcPr>
          <w:p>
            <w:pPr>
              <w:jc w:val="center"/>
              <w:rPr>
                <w:kern w:val="0"/>
                <w:szCs w:val="21"/>
              </w:rPr>
            </w:pPr>
            <w:r>
              <w:rPr>
                <w:kern w:val="0"/>
                <w:szCs w:val="21"/>
              </w:rPr>
              <w:t>无</w:t>
            </w:r>
          </w:p>
        </w:tc>
        <w:tc>
          <w:tcPr>
            <w:tcW w:w="1134" w:type="dxa"/>
            <w:tcBorders>
              <w:top w:val="single" w:color="auto" w:sz="4" w:space="0"/>
            </w:tcBorders>
          </w:tcPr>
          <w:p>
            <w:pPr>
              <w:jc w:val="center"/>
              <w:rPr>
                <w:kern w:val="0"/>
                <w:szCs w:val="21"/>
              </w:rPr>
            </w:pPr>
            <w:r>
              <w:rPr>
                <w:kern w:val="0"/>
                <w:szCs w:val="21"/>
              </w:rPr>
              <w:t>定稿日期</w:t>
            </w:r>
          </w:p>
        </w:tc>
        <w:tc>
          <w:tcPr>
            <w:tcW w:w="3985" w:type="dxa"/>
            <w:tcBorders>
              <w:top w:val="single" w:color="auto" w:sz="4" w:space="0"/>
            </w:tcBorders>
          </w:tcPr>
          <w:p>
            <w:pPr>
              <w:jc w:val="center"/>
              <w:rPr>
                <w:kern w:val="0"/>
                <w:szCs w:val="21"/>
              </w:rPr>
            </w:pPr>
            <w:r>
              <w:rPr>
                <w:rFonts w:hint="eastAsia"/>
                <w:kern w:val="0"/>
                <w:szCs w:val="21"/>
              </w:rPr>
              <w:t>2022.5.10</w:t>
            </w:r>
          </w:p>
        </w:tc>
      </w:tr>
    </w:tbl>
    <w:p>
      <w:pPr>
        <w:snapToGrid w:val="0"/>
        <w:rPr>
          <w:sz w:val="18"/>
          <w:szCs w:val="18"/>
        </w:rPr>
      </w:pPr>
      <w:r>
        <w:rPr>
          <w:kern w:val="0"/>
          <w:szCs w:val="20"/>
        </w:rPr>
        <w:t>*</w:t>
      </w:r>
      <w:r>
        <w:rPr>
          <w:sz w:val="18"/>
          <w:szCs w:val="18"/>
        </w:rPr>
        <w:t>数学与自然科学类、工程基础类、专业基础类、专业类、工程实践与毕业设计（论文）、人文社会科学类。</w:t>
      </w:r>
    </w:p>
    <w:p>
      <w:pPr>
        <w:snapToGrid w:val="0"/>
        <w:rPr>
          <w:b/>
        </w:rPr>
      </w:pPr>
    </w:p>
    <w:p>
      <w:pPr>
        <w:snapToGrid w:val="0"/>
        <w:spacing w:before="159" w:beforeLines="50" w:after="159" w:afterLines="50"/>
        <w:rPr>
          <w:b/>
        </w:rPr>
      </w:pPr>
      <w:r>
        <w:rPr>
          <w:b/>
        </w:rPr>
        <w:t>一、课程简介</w:t>
      </w:r>
    </w:p>
    <w:p>
      <w:pPr>
        <w:spacing w:line="276" w:lineRule="auto"/>
        <w:ind w:firstLine="420" w:firstLineChars="200"/>
      </w:pPr>
      <w:r>
        <w:rPr>
          <w:rFonts w:hint="eastAsia"/>
          <w:szCs w:val="21"/>
        </w:rPr>
        <w:t>海洋</w:t>
      </w:r>
      <w:r>
        <w:rPr>
          <w:szCs w:val="21"/>
        </w:rPr>
        <w:t>遥感与海洋物联网实习课程是立足海洋开发中的电子信息技术应用，面向我国在智慧海洋建设过程中遇到的水下信息传感、海面遥感、探测、传输、组网、处理、挖掘中的关键问题，培养理论联系实际的海洋电子信息类人才的重要途径与环节，是本专业教学计划中重要的实践性环节。课程思政方面旨在通过课程实习使学生充分感知</w:t>
      </w:r>
      <w:r>
        <w:rPr>
          <w:b/>
          <w:bCs/>
          <w:szCs w:val="21"/>
        </w:rPr>
        <w:t>“科技是国家强盛之基，创新是民族进步之魂”的科学思想，达到“联系实际、拓宽知识、锻炼思想”教育宗旨</w:t>
      </w:r>
      <w:r>
        <w:rPr>
          <w:szCs w:val="21"/>
        </w:rPr>
        <w:t>。最终目的是培养学生独立地综合运用所学的基础理论、专业知识和基本技能，分析与解决实际工作中遇到的工程问题能力，提高学生的沟通能力和职业道德素质。</w:t>
      </w:r>
    </w:p>
    <w:p>
      <w:pPr>
        <w:snapToGrid w:val="0"/>
        <w:spacing w:before="159" w:beforeLines="50" w:after="159" w:afterLines="50"/>
        <w:rPr>
          <w:b/>
        </w:rPr>
      </w:pPr>
      <w:r>
        <w:rPr>
          <w:b/>
        </w:rPr>
        <w:t>二、课程教学目标</w:t>
      </w:r>
    </w:p>
    <w:p>
      <w:pPr>
        <w:spacing w:line="276" w:lineRule="auto"/>
        <w:ind w:firstLine="315" w:firstLineChars="150"/>
        <w:rPr>
          <w:szCs w:val="21"/>
        </w:rPr>
      </w:pPr>
      <w:r>
        <w:rPr>
          <w:szCs w:val="21"/>
        </w:rPr>
        <w:t>本实习课程是电子信息工程专业的一门实践性很强的工程综合能力课。 本课程构建于“海洋前沿技术与物联网”、“海洋遥感与电子技术”等先修或同修课程的基础上，基于工程项目能力分析，以典型工作海洋感知信息任务为目标载体，通过完成具体工作任务，将海洋信息类基本理论与工程能力有机地融合，培养学生具有综合解决海洋信息领域工程问题的能力；</w:t>
      </w:r>
      <w:r>
        <w:rPr>
          <w:b/>
          <w:bCs/>
          <w:szCs w:val="21"/>
        </w:rPr>
        <w:t>课程思政目标在于实习过程坚持理论对实践的指导作用，尊重科学，强调实践，尊重知识，培养创新意识。</w:t>
      </w:r>
      <w:r>
        <w:rPr>
          <w:szCs w:val="21"/>
        </w:rPr>
        <w:t>初步的研究开发能力、分析问题和解决问题的能力，崇尚科学以及热衷海洋工程实践的情感。学生学习本课程应达到的具体明确的能力目标包括以下方：</w:t>
      </w:r>
    </w:p>
    <w:p>
      <w:pPr>
        <w:snapToGrid w:val="0"/>
        <w:spacing w:line="276" w:lineRule="auto"/>
        <w:ind w:firstLine="422" w:firstLineChars="200"/>
        <w:rPr>
          <w:b/>
          <w:szCs w:val="21"/>
        </w:rPr>
      </w:pPr>
      <w:r>
        <w:rPr>
          <w:b/>
          <w:szCs w:val="21"/>
        </w:rPr>
        <w:t>（一）、课程教学目标</w:t>
      </w:r>
    </w:p>
    <w:p>
      <w:pPr>
        <w:spacing w:line="276" w:lineRule="auto"/>
        <w:ind w:firstLine="315" w:firstLineChars="150"/>
        <w:rPr>
          <w:szCs w:val="21"/>
        </w:rPr>
      </w:pPr>
      <w:r>
        <w:rPr>
          <w:szCs w:val="21"/>
        </w:rPr>
        <w:t>1</w:t>
      </w:r>
      <w:r>
        <w:rPr>
          <w:rFonts w:hint="eastAsia"/>
          <w:szCs w:val="21"/>
        </w:rPr>
        <w:t>．使学生</w:t>
      </w:r>
      <w:r>
        <w:rPr>
          <w:szCs w:val="21"/>
        </w:rPr>
        <w:t>掌握海域信息采集、传输通信、信息处理以及设备维护使用过程中涉及的仪器、仪表等现代工程工具的基本原理、操作方法，</w:t>
      </w:r>
      <w:r>
        <w:rPr>
          <w:rFonts w:hint="eastAsia"/>
          <w:szCs w:val="21"/>
        </w:rPr>
        <w:t>并能综合运用数学、自然科学、工程基础和专业知识，用于电子信息工程领域复杂工程问题（含海洋电子信息领域）的建模和求解及解决方案的评价。</w:t>
      </w:r>
      <w:r>
        <w:rPr>
          <w:szCs w:val="21"/>
        </w:rPr>
        <w:t>[</w:t>
      </w:r>
      <w:r>
        <w:rPr>
          <w:rFonts w:hint="eastAsia"/>
          <w:szCs w:val="21"/>
        </w:rPr>
        <w:t>1.3</w:t>
      </w:r>
      <w:r>
        <w:rPr>
          <w:szCs w:val="21"/>
        </w:rPr>
        <w:t>]</w:t>
      </w:r>
    </w:p>
    <w:p>
      <w:pPr>
        <w:spacing w:line="276" w:lineRule="auto"/>
        <w:ind w:firstLine="315" w:firstLineChars="150"/>
        <w:rPr>
          <w:szCs w:val="21"/>
        </w:rPr>
      </w:pPr>
      <w:r>
        <w:rPr>
          <w:szCs w:val="21"/>
        </w:rPr>
        <w:t>2</w:t>
      </w:r>
      <w:r>
        <w:rPr>
          <w:rFonts w:hint="eastAsia"/>
          <w:szCs w:val="21"/>
        </w:rPr>
        <w:t>．</w:t>
      </w:r>
      <w:r>
        <w:rPr>
          <w:szCs w:val="21"/>
        </w:rPr>
        <w:t>培养学生综合运用所学基础知识和基本技能，分析实习从事的复杂工程问题和初步解决实际生产中复杂疑难问题的基本能力，增强就业竞争力</w:t>
      </w:r>
      <w:r>
        <w:rPr>
          <w:rFonts w:hint="eastAsia"/>
          <w:szCs w:val="21"/>
        </w:rPr>
        <w:t>。</w:t>
      </w:r>
      <w:r>
        <w:rPr>
          <w:szCs w:val="21"/>
        </w:rPr>
        <w:t>[2</w:t>
      </w:r>
      <w:r>
        <w:rPr>
          <w:rFonts w:hint="eastAsia"/>
          <w:szCs w:val="21"/>
        </w:rPr>
        <w:t>.</w:t>
      </w:r>
      <w:r>
        <w:rPr>
          <w:szCs w:val="21"/>
        </w:rPr>
        <w:t>3]</w:t>
      </w:r>
    </w:p>
    <w:p>
      <w:pPr>
        <w:snapToGrid w:val="0"/>
        <w:spacing w:line="276" w:lineRule="auto"/>
        <w:ind w:firstLine="420" w:firstLineChars="200"/>
        <w:rPr>
          <w:b/>
          <w:szCs w:val="21"/>
        </w:rPr>
      </w:pPr>
      <w:r>
        <w:rPr>
          <w:rFonts w:hint="eastAsia"/>
          <w:szCs w:val="21"/>
        </w:rPr>
        <w:t xml:space="preserve"> </w:t>
      </w:r>
      <w:r>
        <w:rPr>
          <w:b/>
          <w:szCs w:val="21"/>
        </w:rPr>
        <w:t>（二）、</w:t>
      </w:r>
      <w:bookmarkStart w:id="290" w:name="_Hlk32751379"/>
      <w:r>
        <w:rPr>
          <w:b/>
          <w:szCs w:val="21"/>
        </w:rPr>
        <w:t>课程教学目标与毕业要求的对应关系</w:t>
      </w:r>
    </w:p>
    <w:bookmarkEnd w:id="290"/>
    <w:p>
      <w:pPr>
        <w:snapToGrid w:val="0"/>
        <w:spacing w:line="276" w:lineRule="auto"/>
        <w:ind w:firstLine="420" w:firstLineChars="200"/>
        <w:rPr>
          <w:bCs/>
          <w:szCs w:val="21"/>
        </w:rPr>
      </w:pPr>
      <w:r>
        <w:rPr>
          <w:bCs/>
          <w:szCs w:val="21"/>
        </w:rPr>
        <w:t>课程教学目标与毕业要求的对应关系见表1。</w:t>
      </w:r>
    </w:p>
    <w:p>
      <w:pPr>
        <w:tabs>
          <w:tab w:val="left" w:pos="426"/>
          <w:tab w:val="left" w:pos="5245"/>
          <w:tab w:val="left" w:pos="5387"/>
        </w:tabs>
        <w:jc w:val="center"/>
        <w:rPr>
          <w:b/>
          <w:sz w:val="18"/>
          <w:szCs w:val="18"/>
        </w:rPr>
      </w:pPr>
      <w:r>
        <w:rPr>
          <w:b/>
          <w:sz w:val="18"/>
          <w:szCs w:val="18"/>
        </w:rPr>
        <w:t>表1毕业要求指标点实现矩阵</w:t>
      </w:r>
    </w:p>
    <w:tbl>
      <w:tblPr>
        <w:tblStyle w:val="22"/>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610"/>
        <w:gridCol w:w="5747"/>
        <w:gridCol w:w="709"/>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161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bCs/>
                <w:sz w:val="18"/>
                <w:szCs w:val="18"/>
              </w:rPr>
              <w:t>专业毕业要求</w:t>
            </w:r>
          </w:p>
        </w:tc>
        <w:tc>
          <w:tcPr>
            <w:tcW w:w="574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bCs/>
                <w:sz w:val="18"/>
                <w:szCs w:val="18"/>
              </w:rPr>
              <w:t>专业毕业要求指标点</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bCs/>
                <w:sz w:val="18"/>
                <w:szCs w:val="18"/>
              </w:rPr>
              <w:t>教学目标</w:t>
            </w: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bCs/>
                <w:sz w:val="18"/>
                <w:szCs w:val="18"/>
              </w:rPr>
              <w:t>权重系数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61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rPr>
                <w:sz w:val="18"/>
                <w:szCs w:val="18"/>
              </w:rPr>
            </w:pPr>
            <w:r>
              <w:rPr>
                <w:rFonts w:hint="eastAsia"/>
                <w:sz w:val="18"/>
                <w:szCs w:val="18"/>
              </w:rPr>
              <w:t>1工程（相关）知识</w:t>
            </w:r>
          </w:p>
        </w:tc>
        <w:tc>
          <w:tcPr>
            <w:tcW w:w="574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rPr>
                <w:sz w:val="18"/>
                <w:szCs w:val="18"/>
              </w:rPr>
            </w:pPr>
            <w:r>
              <w:rPr>
                <w:rFonts w:hint="eastAsia"/>
                <w:sz w:val="18"/>
                <w:szCs w:val="18"/>
              </w:rPr>
              <w:t>1.3</w:t>
            </w:r>
            <w:r>
              <w:rPr>
                <w:sz w:val="18"/>
                <w:szCs w:val="18"/>
              </w:rPr>
              <w:t>综合运用数学、自然科学、工程基础和专业知识，用于电子信息工程领域复杂工程问题</w:t>
            </w:r>
            <w:r>
              <w:rPr>
                <w:rFonts w:hint="eastAsia"/>
                <w:sz w:val="18"/>
                <w:szCs w:val="18"/>
              </w:rPr>
              <w:t>（含海洋电子信息领域）</w:t>
            </w:r>
            <w:r>
              <w:rPr>
                <w:sz w:val="18"/>
                <w:szCs w:val="18"/>
              </w:rPr>
              <w:t>的建模和求解及解决方案的评价。</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rFonts w:hint="eastAsia"/>
                <w:bCs/>
                <w:sz w:val="18"/>
                <w:szCs w:val="18"/>
              </w:rPr>
              <w:t>1</w:t>
            </w: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Cs/>
                <w:sz w:val="18"/>
                <w:szCs w:val="18"/>
              </w:rPr>
            </w:pPr>
            <w:r>
              <w:rPr>
                <w:rFonts w:hint="eastAsia"/>
                <w:bCs/>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941" w:hRule="atLeast"/>
          <w:jc w:val="center"/>
        </w:trPr>
        <w:tc>
          <w:tcPr>
            <w:tcW w:w="1610" w:type="dxa"/>
            <w:tcBorders>
              <w:top w:val="single" w:color="auto" w:sz="4" w:space="0"/>
              <w:left w:val="single" w:color="auto" w:sz="4" w:space="0"/>
              <w:right w:val="single" w:color="auto" w:sz="4" w:space="0"/>
            </w:tcBorders>
            <w:shd w:val="clear" w:color="auto" w:fill="FFFFFF"/>
            <w:vAlign w:val="center"/>
          </w:tcPr>
          <w:p>
            <w:pPr>
              <w:spacing w:line="276" w:lineRule="auto"/>
              <w:rPr>
                <w:sz w:val="18"/>
                <w:szCs w:val="18"/>
              </w:rPr>
            </w:pPr>
            <w:r>
              <w:rPr>
                <w:sz w:val="18"/>
                <w:szCs w:val="18"/>
              </w:rPr>
              <w:t>2问题分析</w:t>
            </w:r>
          </w:p>
        </w:tc>
        <w:tc>
          <w:tcPr>
            <w:tcW w:w="5747" w:type="dxa"/>
            <w:tcBorders>
              <w:top w:val="single" w:color="auto" w:sz="4" w:space="0"/>
              <w:left w:val="single" w:color="auto" w:sz="4" w:space="0"/>
              <w:right w:val="single" w:color="auto" w:sz="4" w:space="0"/>
            </w:tcBorders>
            <w:shd w:val="clear" w:color="auto" w:fill="FFFFFF"/>
            <w:vAlign w:val="center"/>
          </w:tcPr>
          <w:p>
            <w:pPr>
              <w:spacing w:line="276" w:lineRule="auto"/>
              <w:rPr>
                <w:sz w:val="18"/>
                <w:szCs w:val="18"/>
              </w:rPr>
            </w:pPr>
            <w:r>
              <w:rPr>
                <w:sz w:val="18"/>
                <w:szCs w:val="18"/>
              </w:rPr>
              <w:t>2</w:t>
            </w:r>
            <w:r>
              <w:rPr>
                <w:rFonts w:hint="eastAsia"/>
                <w:sz w:val="18"/>
                <w:szCs w:val="18"/>
              </w:rPr>
              <w:t>.</w:t>
            </w:r>
            <w:r>
              <w:rPr>
                <w:sz w:val="18"/>
                <w:szCs w:val="18"/>
              </w:rPr>
              <w:t>3</w:t>
            </w:r>
            <w:r>
              <w:rPr>
                <w:rFonts w:hint="eastAsia"/>
                <w:sz w:val="18"/>
                <w:szCs w:val="18"/>
              </w:rPr>
              <w:t>通晓文献、信息、资料的分类和一般检索方法，具备借助文献研究等方式客观分析和准确表达复杂工程问题，以获得有效结论的能力。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sz w:val="18"/>
                <w:szCs w:val="18"/>
              </w:rPr>
            </w:pPr>
            <w:r>
              <w:rPr>
                <w:rFonts w:hint="eastAsia"/>
                <w:sz w:val="18"/>
                <w:szCs w:val="18"/>
              </w:rPr>
              <w:t>2</w:t>
            </w: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sz w:val="18"/>
                <w:szCs w:val="18"/>
              </w:rPr>
            </w:pPr>
            <w:r>
              <w:rPr>
                <w:sz w:val="18"/>
                <w:szCs w:val="18"/>
              </w:rPr>
              <w:t>0.</w:t>
            </w:r>
            <w:r>
              <w:rPr>
                <w:rFonts w:hint="eastAsia"/>
                <w:sz w:val="18"/>
                <w:szCs w:val="18"/>
              </w:rPr>
              <w:t>5</w:t>
            </w:r>
          </w:p>
        </w:tc>
      </w:tr>
    </w:tbl>
    <w:p>
      <w:pPr>
        <w:snapToGrid w:val="0"/>
        <w:rPr>
          <w:b/>
        </w:rPr>
      </w:pPr>
    </w:p>
    <w:p>
      <w:pPr>
        <w:snapToGrid w:val="0"/>
        <w:spacing w:before="159" w:beforeLines="50" w:after="159" w:afterLines="50"/>
        <w:rPr>
          <w:b/>
        </w:rPr>
      </w:pPr>
      <w:r>
        <w:rPr>
          <w:b/>
        </w:rPr>
        <w:t>三、课程教学目标达成途径（或教学设计）</w:t>
      </w:r>
    </w:p>
    <w:p>
      <w:pPr>
        <w:adjustRightInd w:val="0"/>
        <w:snapToGrid w:val="0"/>
        <w:jc w:val="center"/>
        <w:rPr>
          <w:b/>
          <w:bCs/>
          <w:sz w:val="18"/>
          <w:szCs w:val="18"/>
          <w:shd w:val="clear" w:color="auto" w:fill="FEFEFF"/>
        </w:rPr>
      </w:pPr>
      <w:r>
        <w:rPr>
          <w:b/>
          <w:bCs/>
          <w:sz w:val="18"/>
          <w:szCs w:val="18"/>
          <w:shd w:val="clear" w:color="auto" w:fill="FEFEFF"/>
        </w:rPr>
        <w:t>表2教学目标达成途径</w:t>
      </w:r>
    </w:p>
    <w:tbl>
      <w:tblPr>
        <w:tblStyle w:val="2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227"/>
        <w:gridCol w:w="1765"/>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22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
                <w:sz w:val="18"/>
                <w:szCs w:val="18"/>
              </w:rPr>
            </w:pPr>
            <w:r>
              <w:rPr>
                <w:b/>
                <w:sz w:val="18"/>
                <w:szCs w:val="18"/>
              </w:rPr>
              <w:t>课程教学目标</w:t>
            </w:r>
          </w:p>
        </w:tc>
        <w:tc>
          <w:tcPr>
            <w:tcW w:w="17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
                <w:sz w:val="18"/>
                <w:szCs w:val="18"/>
              </w:rPr>
            </w:pPr>
            <w:r>
              <w:rPr>
                <w:b/>
                <w:sz w:val="18"/>
                <w:szCs w:val="18"/>
              </w:rPr>
              <w:t>达成途径与方法</w:t>
            </w:r>
          </w:p>
        </w:tc>
        <w:tc>
          <w:tcPr>
            <w:tcW w:w="17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76"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227" w:type="dxa"/>
            <w:tcBorders>
              <w:top w:val="single" w:color="auto" w:sz="4" w:space="0"/>
              <w:left w:val="single" w:color="auto" w:sz="4" w:space="0"/>
              <w:bottom w:val="single" w:color="auto" w:sz="4" w:space="0"/>
              <w:right w:val="single" w:color="auto" w:sz="4" w:space="0"/>
            </w:tcBorders>
            <w:shd w:val="clear" w:color="auto" w:fill="FFFFFF"/>
          </w:tcPr>
          <w:p>
            <w:pPr>
              <w:numPr>
                <w:ilvl w:val="0"/>
                <w:numId w:val="87"/>
              </w:numPr>
              <w:spacing w:line="276" w:lineRule="auto"/>
              <w:rPr>
                <w:sz w:val="18"/>
                <w:szCs w:val="18"/>
              </w:rPr>
            </w:pPr>
            <w:r>
              <w:rPr>
                <w:rFonts w:hint="eastAsia"/>
                <w:sz w:val="18"/>
                <w:szCs w:val="18"/>
              </w:rPr>
              <w:t>使学生</w:t>
            </w:r>
            <w:r>
              <w:rPr>
                <w:sz w:val="18"/>
                <w:szCs w:val="18"/>
              </w:rPr>
              <w:t>掌握海域信息采集、传输通信、信息处理以及设备维护使用过程中涉及的仪器、仪表等现代工程工具的基本原理、操作方法，</w:t>
            </w:r>
            <w:r>
              <w:rPr>
                <w:rFonts w:hint="eastAsia"/>
                <w:sz w:val="18"/>
                <w:szCs w:val="18"/>
              </w:rPr>
              <w:t>并能综合运用数学、自然科学、工程基础和专业知识，用于电子信息工程领域复杂工程问题（含海洋电子信息领域）的建模和求解及解决方案的评价。</w:t>
            </w:r>
          </w:p>
        </w:tc>
        <w:tc>
          <w:tcPr>
            <w:tcW w:w="1765" w:type="dxa"/>
            <w:tcBorders>
              <w:top w:val="single" w:color="auto" w:sz="4" w:space="0"/>
              <w:left w:val="single" w:color="auto" w:sz="4" w:space="0"/>
              <w:bottom w:val="single" w:color="auto" w:sz="4" w:space="0"/>
              <w:right w:val="single" w:color="auto" w:sz="4" w:space="0"/>
            </w:tcBorders>
            <w:shd w:val="clear" w:color="auto" w:fill="FFFFFF"/>
          </w:tcPr>
          <w:p>
            <w:pPr>
              <w:spacing w:line="276" w:lineRule="auto"/>
              <w:rPr>
                <w:b/>
                <w:sz w:val="18"/>
                <w:szCs w:val="18"/>
              </w:rPr>
            </w:pPr>
            <w:r>
              <w:rPr>
                <w:sz w:val="18"/>
                <w:szCs w:val="18"/>
                <w:shd w:val="clear" w:color="auto" w:fill="FEFEFF"/>
              </w:rPr>
              <w:t>指定阅读，现场汇报与指导、</w:t>
            </w:r>
            <w:r>
              <w:rPr>
                <w:bCs/>
                <w:sz w:val="18"/>
                <w:szCs w:val="18"/>
              </w:rPr>
              <w:t>网络汇报、研讨与</w:t>
            </w:r>
            <w:r>
              <w:rPr>
                <w:sz w:val="18"/>
                <w:szCs w:val="18"/>
                <w:shd w:val="clear" w:color="auto" w:fill="FEFEFF"/>
              </w:rPr>
              <w:t>自学等达成。</w:t>
            </w:r>
          </w:p>
        </w:tc>
        <w:tc>
          <w:tcPr>
            <w:tcW w:w="1792" w:type="dxa"/>
            <w:tcBorders>
              <w:top w:val="single" w:color="auto" w:sz="4" w:space="0"/>
              <w:left w:val="single" w:color="auto" w:sz="4" w:space="0"/>
              <w:bottom w:val="single" w:color="auto" w:sz="4" w:space="0"/>
              <w:right w:val="single" w:color="auto" w:sz="4" w:space="0"/>
            </w:tcBorders>
            <w:shd w:val="clear" w:color="auto" w:fill="FFFFFF"/>
          </w:tcPr>
          <w:p>
            <w:pPr>
              <w:spacing w:line="276" w:lineRule="auto"/>
              <w:rPr>
                <w:bCs/>
                <w:sz w:val="18"/>
                <w:szCs w:val="18"/>
              </w:rPr>
            </w:pPr>
            <w:r>
              <w:rPr>
                <w:bCs/>
                <w:sz w:val="18"/>
                <w:szCs w:val="18"/>
              </w:rPr>
              <w:t>网络或现场汇报、相关记录等原始材料考评</w:t>
            </w: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4" w:hRule="atLeast"/>
          <w:jc w:val="center"/>
        </w:trPr>
        <w:tc>
          <w:tcPr>
            <w:tcW w:w="5227" w:type="dxa"/>
            <w:tcBorders>
              <w:top w:val="single" w:color="auto" w:sz="4" w:space="0"/>
              <w:left w:val="single" w:color="auto" w:sz="4" w:space="0"/>
              <w:bottom w:val="single" w:color="auto" w:sz="4" w:space="0"/>
              <w:right w:val="single" w:color="auto" w:sz="4" w:space="0"/>
            </w:tcBorders>
            <w:shd w:val="clear" w:color="auto" w:fill="FFFFFF"/>
          </w:tcPr>
          <w:p>
            <w:pPr>
              <w:numPr>
                <w:ilvl w:val="0"/>
                <w:numId w:val="87"/>
              </w:numPr>
              <w:spacing w:line="276" w:lineRule="auto"/>
              <w:rPr>
                <w:sz w:val="18"/>
                <w:szCs w:val="18"/>
              </w:rPr>
            </w:pPr>
            <w:r>
              <w:rPr>
                <w:rFonts w:hint="eastAsia"/>
                <w:sz w:val="18"/>
                <w:szCs w:val="18"/>
              </w:rPr>
              <w:t>培养学生综合运用所学基础知识和基本技能，分析实习从事的复杂工程问题和初步解决实际生产中复杂疑难问题的基本能力，增强就业竞争力。</w:t>
            </w:r>
          </w:p>
        </w:tc>
        <w:tc>
          <w:tcPr>
            <w:tcW w:w="1765" w:type="dxa"/>
            <w:tcBorders>
              <w:top w:val="single" w:color="auto" w:sz="4" w:space="0"/>
              <w:left w:val="single" w:color="auto" w:sz="4" w:space="0"/>
              <w:bottom w:val="single" w:color="auto" w:sz="4" w:space="0"/>
              <w:right w:val="single" w:color="auto" w:sz="4" w:space="0"/>
            </w:tcBorders>
            <w:shd w:val="clear" w:color="auto" w:fill="FFFFFF"/>
          </w:tcPr>
          <w:p>
            <w:pPr>
              <w:spacing w:line="276" w:lineRule="auto"/>
              <w:rPr>
                <w:b/>
                <w:sz w:val="18"/>
                <w:szCs w:val="18"/>
              </w:rPr>
            </w:pPr>
            <w:r>
              <w:rPr>
                <w:sz w:val="18"/>
                <w:szCs w:val="18"/>
                <w:shd w:val="clear" w:color="auto" w:fill="FEFEFF"/>
              </w:rPr>
              <w:t>指定阅读，现场或</w:t>
            </w:r>
            <w:r>
              <w:rPr>
                <w:bCs/>
                <w:sz w:val="18"/>
                <w:szCs w:val="18"/>
              </w:rPr>
              <w:t>网络</w:t>
            </w:r>
            <w:r>
              <w:rPr>
                <w:sz w:val="18"/>
                <w:szCs w:val="18"/>
                <w:shd w:val="clear" w:color="auto" w:fill="FEFEFF"/>
              </w:rPr>
              <w:t>研讨与指导以及自学等达成。</w:t>
            </w:r>
          </w:p>
        </w:tc>
        <w:tc>
          <w:tcPr>
            <w:tcW w:w="1792" w:type="dxa"/>
            <w:tcBorders>
              <w:top w:val="single" w:color="auto" w:sz="4" w:space="0"/>
              <w:left w:val="single" w:color="auto" w:sz="4" w:space="0"/>
              <w:bottom w:val="single" w:color="auto" w:sz="4" w:space="0"/>
              <w:right w:val="single" w:color="auto" w:sz="4" w:space="0"/>
            </w:tcBorders>
            <w:shd w:val="clear" w:color="auto" w:fill="FFFFFF"/>
          </w:tcPr>
          <w:p>
            <w:pPr>
              <w:spacing w:line="276" w:lineRule="auto"/>
              <w:jc w:val="center"/>
              <w:rPr>
                <w:bCs/>
                <w:sz w:val="18"/>
                <w:szCs w:val="18"/>
              </w:rPr>
            </w:pPr>
            <w:r>
              <w:rPr>
                <w:bCs/>
                <w:sz w:val="18"/>
                <w:szCs w:val="18"/>
              </w:rPr>
              <w:t>网络或现场汇报、相关记录等原始材料考评</w:t>
            </w:r>
            <w:r>
              <w:rPr>
                <w:rFonts w:hint="eastAsia"/>
                <w:bCs/>
                <w:sz w:val="18"/>
                <w:szCs w:val="18"/>
              </w:rPr>
              <w:t>。</w:t>
            </w:r>
          </w:p>
        </w:tc>
      </w:tr>
    </w:tbl>
    <w:p>
      <w:pPr>
        <w:snapToGrid w:val="0"/>
        <w:rPr>
          <w:b/>
        </w:rPr>
      </w:pPr>
    </w:p>
    <w:p>
      <w:pPr>
        <w:snapToGrid w:val="0"/>
        <w:rPr>
          <w:b/>
        </w:rPr>
      </w:pPr>
      <w:r>
        <w:rPr>
          <w:b/>
        </w:rPr>
        <w:t>四、课程教学内容、教与学的要求</w:t>
      </w:r>
    </w:p>
    <w:p>
      <w:pPr>
        <w:snapToGrid w:val="0"/>
        <w:rPr>
          <w:b/>
        </w:rPr>
      </w:pPr>
    </w:p>
    <w:p>
      <w:pPr>
        <w:adjustRightInd w:val="0"/>
        <w:snapToGrid w:val="0"/>
        <w:jc w:val="center"/>
        <w:rPr>
          <w:b/>
          <w:sz w:val="18"/>
          <w:szCs w:val="18"/>
        </w:rPr>
      </w:pPr>
      <w:r>
        <w:rPr>
          <w:rFonts w:hint="eastAsia"/>
          <w:b/>
          <w:sz w:val="18"/>
          <w:szCs w:val="18"/>
        </w:rPr>
        <w:t>表3教学内容、要求与支撑的教学目标</w:t>
      </w:r>
    </w:p>
    <w:tbl>
      <w:tblPr>
        <w:tblStyle w:val="22"/>
        <w:tblpPr w:leftFromText="180" w:rightFromText="180" w:vertAnchor="text" w:horzAnchor="page" w:tblpX="1691" w:tblpY="2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67"/>
        <w:gridCol w:w="3515"/>
        <w:gridCol w:w="384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atLeast"/>
          <w:tblHeader/>
        </w:trPr>
        <w:tc>
          <w:tcPr>
            <w:tcW w:w="567" w:type="dxa"/>
            <w:shd w:val="clear" w:color="auto" w:fill="FFFFFF"/>
            <w:tcMar>
              <w:left w:w="57" w:type="dxa"/>
              <w:right w:w="57" w:type="dxa"/>
            </w:tcMar>
            <w:vAlign w:val="center"/>
          </w:tcPr>
          <w:p>
            <w:pPr>
              <w:snapToGrid w:val="0"/>
              <w:spacing w:line="276" w:lineRule="auto"/>
              <w:jc w:val="center"/>
              <w:rPr>
                <w:b/>
                <w:sz w:val="18"/>
                <w:szCs w:val="18"/>
              </w:rPr>
            </w:pPr>
            <w:r>
              <w:rPr>
                <w:b/>
                <w:sz w:val="18"/>
                <w:szCs w:val="18"/>
              </w:rPr>
              <w:t>序号</w:t>
            </w:r>
          </w:p>
        </w:tc>
        <w:tc>
          <w:tcPr>
            <w:tcW w:w="3515" w:type="dxa"/>
            <w:shd w:val="clear" w:color="auto" w:fill="FFFFFF"/>
            <w:vAlign w:val="center"/>
          </w:tcPr>
          <w:p>
            <w:pPr>
              <w:snapToGrid w:val="0"/>
              <w:spacing w:line="276" w:lineRule="auto"/>
              <w:jc w:val="center"/>
              <w:rPr>
                <w:bCs/>
                <w:sz w:val="18"/>
                <w:szCs w:val="18"/>
              </w:rPr>
            </w:pPr>
            <w:r>
              <w:rPr>
                <w:bCs/>
                <w:sz w:val="18"/>
                <w:szCs w:val="18"/>
              </w:rPr>
              <w:t>教学内容与课程目标</w:t>
            </w:r>
          </w:p>
        </w:tc>
        <w:tc>
          <w:tcPr>
            <w:tcW w:w="3843" w:type="dxa"/>
            <w:shd w:val="clear" w:color="auto" w:fill="FFFFFF"/>
            <w:vAlign w:val="center"/>
          </w:tcPr>
          <w:p>
            <w:pPr>
              <w:snapToGrid w:val="0"/>
              <w:spacing w:line="276" w:lineRule="auto"/>
              <w:jc w:val="center"/>
              <w:rPr>
                <w:b/>
                <w:sz w:val="18"/>
                <w:szCs w:val="18"/>
              </w:rPr>
            </w:pPr>
            <w:r>
              <w:rPr>
                <w:b/>
                <w:sz w:val="18"/>
                <w:szCs w:val="18"/>
              </w:rPr>
              <w:t>教与学的要求</w:t>
            </w:r>
          </w:p>
        </w:tc>
        <w:tc>
          <w:tcPr>
            <w:tcW w:w="709" w:type="dxa"/>
            <w:shd w:val="clear" w:color="auto" w:fill="FFFFFF"/>
            <w:vAlign w:val="center"/>
          </w:tcPr>
          <w:p>
            <w:pPr>
              <w:snapToGrid w:val="0"/>
              <w:spacing w:line="276" w:lineRule="auto"/>
              <w:jc w:val="center"/>
              <w:rPr>
                <w:b/>
                <w:sz w:val="18"/>
                <w:szCs w:val="18"/>
              </w:rPr>
            </w:pPr>
            <w:r>
              <w:rPr>
                <w:b/>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958" w:hRule="atLeast"/>
        </w:trPr>
        <w:tc>
          <w:tcPr>
            <w:tcW w:w="567" w:type="dxa"/>
            <w:shd w:val="clear" w:color="auto" w:fill="FFFFFF"/>
            <w:tcMar>
              <w:left w:w="57" w:type="dxa"/>
              <w:right w:w="57" w:type="dxa"/>
            </w:tcMar>
            <w:vAlign w:val="center"/>
          </w:tcPr>
          <w:p>
            <w:pPr>
              <w:spacing w:line="276" w:lineRule="auto"/>
              <w:jc w:val="center"/>
              <w:rPr>
                <w:sz w:val="18"/>
                <w:szCs w:val="18"/>
              </w:rPr>
            </w:pPr>
          </w:p>
        </w:tc>
        <w:tc>
          <w:tcPr>
            <w:tcW w:w="3515" w:type="dxa"/>
            <w:shd w:val="clear" w:color="auto" w:fill="FFFFFF"/>
            <w:vAlign w:val="center"/>
          </w:tcPr>
          <w:p>
            <w:pPr>
              <w:snapToGrid w:val="0"/>
              <w:spacing w:line="276" w:lineRule="auto"/>
              <w:rPr>
                <w:bCs/>
                <w:sz w:val="18"/>
                <w:szCs w:val="18"/>
              </w:rPr>
            </w:pPr>
            <w:r>
              <w:rPr>
                <w:bCs/>
                <w:sz w:val="18"/>
                <w:szCs w:val="18"/>
              </w:rPr>
              <w:t>一、实习方式：集中和分散实习相结合。</w:t>
            </w:r>
          </w:p>
          <w:p>
            <w:pPr>
              <w:snapToGrid w:val="0"/>
              <w:spacing w:line="276" w:lineRule="auto"/>
              <w:rPr>
                <w:bCs/>
                <w:sz w:val="18"/>
                <w:szCs w:val="18"/>
              </w:rPr>
            </w:pPr>
            <w:r>
              <w:rPr>
                <w:bCs/>
                <w:sz w:val="18"/>
                <w:szCs w:val="18"/>
              </w:rPr>
              <w:t>二、场所要求：本专业校内两个工程中心（智慧海洋传感网及其装备工程技术研究中心；海洋遥感与信息技术工程技术研究中心）</w:t>
            </w:r>
          </w:p>
          <w:p>
            <w:pPr>
              <w:snapToGrid w:val="0"/>
              <w:spacing w:line="276" w:lineRule="auto"/>
              <w:rPr>
                <w:bCs/>
                <w:sz w:val="18"/>
                <w:szCs w:val="18"/>
              </w:rPr>
            </w:pPr>
            <w:r>
              <w:rPr>
                <w:bCs/>
                <w:sz w:val="18"/>
                <w:szCs w:val="18"/>
              </w:rPr>
              <w:t>三、课程思政</w:t>
            </w:r>
          </w:p>
          <w:p>
            <w:pPr>
              <w:snapToGrid w:val="0"/>
              <w:spacing w:line="276" w:lineRule="auto"/>
              <w:rPr>
                <w:bCs/>
                <w:sz w:val="18"/>
                <w:szCs w:val="18"/>
              </w:rPr>
            </w:pPr>
            <w:r>
              <w:rPr>
                <w:bCs/>
                <w:sz w:val="18"/>
                <w:szCs w:val="18"/>
              </w:rPr>
              <w:t>培养大学生树立正确的世界观、人生观、劳动价值观的重要途径。</w:t>
            </w:r>
          </w:p>
          <w:p>
            <w:pPr>
              <w:snapToGrid w:val="0"/>
              <w:spacing w:line="276" w:lineRule="auto"/>
              <w:rPr>
                <w:bCs/>
                <w:sz w:val="18"/>
                <w:szCs w:val="18"/>
              </w:rPr>
            </w:pPr>
            <w:r>
              <w:rPr>
                <w:bCs/>
                <w:sz w:val="18"/>
                <w:szCs w:val="18"/>
              </w:rPr>
              <w:t>四、毕业实习内容</w:t>
            </w:r>
          </w:p>
          <w:p>
            <w:pPr>
              <w:snapToGrid w:val="0"/>
              <w:spacing w:line="276" w:lineRule="auto"/>
              <w:jc w:val="center"/>
              <w:rPr>
                <w:bCs/>
                <w:sz w:val="18"/>
                <w:szCs w:val="18"/>
              </w:rPr>
            </w:pPr>
            <w:r>
              <w:rPr>
                <w:b/>
                <w:sz w:val="18"/>
                <w:szCs w:val="18"/>
              </w:rPr>
              <w:t>注（）内数字为支撑课程目标。</w:t>
            </w:r>
          </w:p>
          <w:p>
            <w:pPr>
              <w:snapToGrid w:val="0"/>
              <w:spacing w:line="276" w:lineRule="auto"/>
              <w:rPr>
                <w:bCs/>
                <w:sz w:val="18"/>
                <w:szCs w:val="18"/>
              </w:rPr>
            </w:pPr>
            <w:r>
              <w:rPr>
                <w:bCs/>
                <w:sz w:val="18"/>
                <w:szCs w:val="18"/>
              </w:rPr>
              <w:t>（一）了解智慧海洋与物联网工程、海洋遥感领域我国研究状况与研究热点。</w:t>
            </w:r>
          </w:p>
          <w:p>
            <w:pPr>
              <w:snapToGrid w:val="0"/>
              <w:spacing w:line="276" w:lineRule="auto"/>
              <w:rPr>
                <w:bCs/>
                <w:sz w:val="18"/>
                <w:szCs w:val="18"/>
              </w:rPr>
            </w:pPr>
            <w:r>
              <w:rPr>
                <w:bCs/>
                <w:sz w:val="18"/>
                <w:szCs w:val="18"/>
              </w:rPr>
              <w:t xml:space="preserve">   </w:t>
            </w:r>
            <w:r>
              <w:rPr>
                <w:bCs/>
                <w:sz w:val="18"/>
                <w:szCs w:val="18"/>
              </w:rPr>
              <w:fldChar w:fldCharType="begin"/>
            </w:r>
            <w:r>
              <w:rPr>
                <w:bCs/>
                <w:sz w:val="18"/>
                <w:szCs w:val="18"/>
              </w:rPr>
              <w:instrText xml:space="preserve">= 1 \* GB3</w:instrText>
            </w:r>
            <w:r>
              <w:rPr>
                <w:bCs/>
                <w:sz w:val="18"/>
                <w:szCs w:val="18"/>
              </w:rPr>
              <w:fldChar w:fldCharType="separate"/>
            </w:r>
            <w:r>
              <w:rPr>
                <w:rFonts w:hint="eastAsia" w:ascii="宋体" w:hAnsi="宋体" w:cs="宋体"/>
                <w:bCs/>
                <w:sz w:val="18"/>
                <w:szCs w:val="18"/>
              </w:rPr>
              <w:t>①</w:t>
            </w:r>
            <w:r>
              <w:rPr>
                <w:bCs/>
                <w:sz w:val="18"/>
                <w:szCs w:val="18"/>
              </w:rPr>
              <w:fldChar w:fldCharType="end"/>
            </w:r>
            <w:r>
              <w:rPr>
                <w:bCs/>
                <w:sz w:val="18"/>
                <w:szCs w:val="18"/>
              </w:rPr>
              <w:t>分析我国海洋大国的地位，海洋领域特别是海洋电子信息领域研究状况与工程先进性；</w:t>
            </w:r>
            <w:r>
              <w:rPr>
                <w:bCs/>
                <w:sz w:val="18"/>
                <w:szCs w:val="18"/>
              </w:rPr>
              <w:fldChar w:fldCharType="begin"/>
            </w:r>
            <w:r>
              <w:rPr>
                <w:bCs/>
                <w:sz w:val="18"/>
                <w:szCs w:val="18"/>
              </w:rPr>
              <w:instrText xml:space="preserve">= 2 \* GB3</w:instrText>
            </w:r>
            <w:r>
              <w:rPr>
                <w:bCs/>
                <w:sz w:val="18"/>
                <w:szCs w:val="18"/>
              </w:rPr>
              <w:fldChar w:fldCharType="separate"/>
            </w:r>
            <w:r>
              <w:rPr>
                <w:rFonts w:hint="eastAsia" w:ascii="宋体" w:hAnsi="宋体" w:cs="宋体"/>
                <w:bCs/>
                <w:sz w:val="18"/>
                <w:szCs w:val="18"/>
              </w:rPr>
              <w:t>②</w:t>
            </w:r>
            <w:r>
              <w:rPr>
                <w:bCs/>
                <w:sz w:val="18"/>
                <w:szCs w:val="18"/>
              </w:rPr>
              <w:fldChar w:fldCharType="end"/>
            </w:r>
            <w:r>
              <w:rPr>
                <w:bCs/>
                <w:sz w:val="18"/>
                <w:szCs w:val="18"/>
              </w:rPr>
              <w:t>研究海洋装备的科技含量与国际地位，海洋工程科研方法与工程项目开发与实践；</w:t>
            </w:r>
            <w:r>
              <w:rPr>
                <w:bCs/>
                <w:sz w:val="18"/>
                <w:szCs w:val="18"/>
              </w:rPr>
              <w:fldChar w:fldCharType="begin"/>
            </w:r>
            <w:r>
              <w:rPr>
                <w:bCs/>
                <w:sz w:val="18"/>
                <w:szCs w:val="18"/>
              </w:rPr>
              <w:instrText xml:space="preserve">= 3 \* GB3</w:instrText>
            </w:r>
            <w:r>
              <w:rPr>
                <w:bCs/>
                <w:sz w:val="18"/>
                <w:szCs w:val="18"/>
              </w:rPr>
              <w:fldChar w:fldCharType="separate"/>
            </w:r>
            <w:r>
              <w:rPr>
                <w:rFonts w:hint="eastAsia" w:ascii="宋体" w:hAnsi="宋体" w:cs="宋体"/>
                <w:bCs/>
                <w:sz w:val="18"/>
                <w:szCs w:val="18"/>
              </w:rPr>
              <w:t>③</w:t>
            </w:r>
            <w:r>
              <w:rPr>
                <w:bCs/>
                <w:sz w:val="18"/>
                <w:szCs w:val="18"/>
              </w:rPr>
              <w:fldChar w:fldCharType="end"/>
            </w:r>
            <w:r>
              <w:rPr>
                <w:bCs/>
                <w:sz w:val="18"/>
                <w:szCs w:val="18"/>
              </w:rPr>
              <w:t>理解企业创业艰辛与家国情怀，树立为企业贡献力量的决心。（2、5）</w:t>
            </w:r>
          </w:p>
          <w:p>
            <w:pPr>
              <w:snapToGrid w:val="0"/>
              <w:spacing w:line="276" w:lineRule="auto"/>
              <w:rPr>
                <w:bCs/>
                <w:sz w:val="18"/>
                <w:szCs w:val="18"/>
              </w:rPr>
            </w:pPr>
            <w:r>
              <w:rPr>
                <w:bCs/>
                <w:sz w:val="18"/>
                <w:szCs w:val="18"/>
              </w:rPr>
              <w:t>（二）理解另个工程中心的组织结构与运营方式</w:t>
            </w:r>
          </w:p>
          <w:p>
            <w:pPr>
              <w:snapToGrid w:val="0"/>
              <w:spacing w:line="276" w:lineRule="auto"/>
              <w:rPr>
                <w:bCs/>
                <w:sz w:val="18"/>
                <w:szCs w:val="18"/>
              </w:rPr>
            </w:pPr>
            <w:r>
              <w:rPr>
                <w:bCs/>
                <w:sz w:val="18"/>
                <w:szCs w:val="18"/>
              </w:rPr>
              <w:t>掌握工程中心的组织结构，包括：</w:t>
            </w:r>
            <w:r>
              <w:rPr>
                <w:bCs/>
                <w:sz w:val="18"/>
                <w:szCs w:val="18"/>
              </w:rPr>
              <w:fldChar w:fldCharType="begin"/>
            </w:r>
            <w:r>
              <w:rPr>
                <w:bCs/>
                <w:sz w:val="18"/>
                <w:szCs w:val="18"/>
              </w:rPr>
              <w:instrText xml:space="preserve">= 1 \* GB3</w:instrText>
            </w:r>
            <w:r>
              <w:rPr>
                <w:bCs/>
                <w:sz w:val="18"/>
                <w:szCs w:val="18"/>
              </w:rPr>
              <w:fldChar w:fldCharType="separate"/>
            </w:r>
            <w:r>
              <w:rPr>
                <w:rFonts w:hint="eastAsia" w:ascii="宋体" w:hAnsi="宋体" w:cs="宋体"/>
                <w:bCs/>
                <w:sz w:val="18"/>
                <w:szCs w:val="18"/>
              </w:rPr>
              <w:t>①</w:t>
            </w:r>
            <w:r>
              <w:rPr>
                <w:bCs/>
                <w:sz w:val="18"/>
                <w:szCs w:val="18"/>
              </w:rPr>
              <w:fldChar w:fldCharType="end"/>
            </w:r>
            <w:r>
              <w:rPr>
                <w:bCs/>
                <w:sz w:val="18"/>
                <w:szCs w:val="18"/>
              </w:rPr>
              <w:t>工程中心的组织架构与部门职责；</w:t>
            </w:r>
            <w:r>
              <w:rPr>
                <w:bCs/>
                <w:sz w:val="18"/>
                <w:szCs w:val="18"/>
              </w:rPr>
              <w:fldChar w:fldCharType="begin"/>
            </w:r>
            <w:r>
              <w:rPr>
                <w:bCs/>
                <w:sz w:val="18"/>
                <w:szCs w:val="18"/>
              </w:rPr>
              <w:instrText xml:space="preserve">= 2 \* GB3</w:instrText>
            </w:r>
            <w:r>
              <w:rPr>
                <w:bCs/>
                <w:sz w:val="18"/>
                <w:szCs w:val="18"/>
              </w:rPr>
              <w:fldChar w:fldCharType="separate"/>
            </w:r>
            <w:r>
              <w:rPr>
                <w:rFonts w:hint="eastAsia" w:ascii="宋体" w:hAnsi="宋体" w:cs="宋体"/>
                <w:bCs/>
                <w:sz w:val="18"/>
                <w:szCs w:val="18"/>
              </w:rPr>
              <w:t>②</w:t>
            </w:r>
            <w:r>
              <w:rPr>
                <w:bCs/>
                <w:sz w:val="18"/>
                <w:szCs w:val="18"/>
              </w:rPr>
              <w:fldChar w:fldCharType="end"/>
            </w:r>
            <w:r>
              <w:rPr>
                <w:bCs/>
                <w:sz w:val="18"/>
                <w:szCs w:val="18"/>
              </w:rPr>
              <w:t>企工程中心的人员职称与学历与成果情况；</w:t>
            </w:r>
            <w:r>
              <w:rPr>
                <w:bCs/>
                <w:sz w:val="18"/>
                <w:szCs w:val="18"/>
              </w:rPr>
              <w:fldChar w:fldCharType="begin"/>
            </w:r>
            <w:r>
              <w:rPr>
                <w:bCs/>
                <w:sz w:val="18"/>
                <w:szCs w:val="18"/>
              </w:rPr>
              <w:instrText xml:space="preserve">= 5 \* GB3</w:instrText>
            </w:r>
            <w:r>
              <w:rPr>
                <w:bCs/>
                <w:sz w:val="18"/>
                <w:szCs w:val="18"/>
              </w:rPr>
              <w:fldChar w:fldCharType="separate"/>
            </w:r>
            <w:r>
              <w:rPr>
                <w:rFonts w:hint="eastAsia" w:ascii="宋体" w:hAnsi="宋体" w:cs="宋体"/>
                <w:bCs/>
                <w:sz w:val="18"/>
                <w:szCs w:val="18"/>
              </w:rPr>
              <w:t>⑤</w:t>
            </w:r>
            <w:r>
              <w:rPr>
                <w:bCs/>
                <w:sz w:val="18"/>
                <w:szCs w:val="18"/>
              </w:rPr>
              <w:fldChar w:fldCharType="end"/>
            </w:r>
            <w:r>
              <w:rPr>
                <w:bCs/>
                <w:sz w:val="18"/>
                <w:szCs w:val="18"/>
              </w:rPr>
              <w:t>了解海洋研究与开发过程与技术，为未来做海洋信息领域工程师奠定基础，树立扎根海洋的信心与决心。（10）</w:t>
            </w:r>
          </w:p>
          <w:p>
            <w:pPr>
              <w:snapToGrid w:val="0"/>
              <w:spacing w:line="276" w:lineRule="auto"/>
              <w:rPr>
                <w:bCs/>
                <w:sz w:val="18"/>
                <w:szCs w:val="18"/>
              </w:rPr>
            </w:pPr>
            <w:r>
              <w:rPr>
                <w:bCs/>
                <w:sz w:val="18"/>
                <w:szCs w:val="18"/>
              </w:rPr>
              <w:t>（三）参与工程中心工程科学研究与项目开发工作流程</w:t>
            </w:r>
          </w:p>
          <w:p>
            <w:pPr>
              <w:snapToGrid w:val="0"/>
              <w:spacing w:line="276" w:lineRule="auto"/>
              <w:rPr>
                <w:bCs/>
                <w:sz w:val="18"/>
                <w:szCs w:val="18"/>
              </w:rPr>
            </w:pPr>
            <w:r>
              <w:rPr>
                <w:bCs/>
                <w:sz w:val="18"/>
                <w:szCs w:val="18"/>
              </w:rPr>
              <w:t>具体包括以下几点内容：（2、5）</w:t>
            </w:r>
          </w:p>
          <w:p>
            <w:pPr>
              <w:snapToGrid w:val="0"/>
              <w:spacing w:line="276" w:lineRule="auto"/>
              <w:rPr>
                <w:bCs/>
                <w:sz w:val="18"/>
                <w:szCs w:val="18"/>
              </w:rPr>
            </w:pPr>
            <w:r>
              <w:rPr>
                <w:bCs/>
                <w:sz w:val="18"/>
                <w:szCs w:val="18"/>
              </w:rPr>
              <w:fldChar w:fldCharType="begin"/>
            </w:r>
            <w:r>
              <w:rPr>
                <w:bCs/>
                <w:sz w:val="18"/>
                <w:szCs w:val="18"/>
              </w:rPr>
              <w:instrText xml:space="preserve">= 1 \* GB3</w:instrText>
            </w:r>
            <w:r>
              <w:rPr>
                <w:bCs/>
                <w:sz w:val="18"/>
                <w:szCs w:val="18"/>
              </w:rPr>
              <w:fldChar w:fldCharType="separate"/>
            </w:r>
            <w:r>
              <w:rPr>
                <w:rFonts w:hint="eastAsia" w:ascii="宋体" w:hAnsi="宋体" w:cs="宋体"/>
                <w:bCs/>
                <w:sz w:val="18"/>
                <w:szCs w:val="18"/>
              </w:rPr>
              <w:t>①</w:t>
            </w:r>
            <w:r>
              <w:rPr>
                <w:bCs/>
                <w:sz w:val="18"/>
                <w:szCs w:val="18"/>
              </w:rPr>
              <w:fldChar w:fldCharType="end"/>
            </w:r>
            <w:r>
              <w:rPr>
                <w:bCs/>
                <w:sz w:val="18"/>
                <w:szCs w:val="18"/>
              </w:rPr>
              <w:t>熟悉工程中心研究方向与承担的海洋领域工程项目；</w:t>
            </w:r>
            <w:r>
              <w:rPr>
                <w:bCs/>
                <w:sz w:val="18"/>
                <w:szCs w:val="18"/>
              </w:rPr>
              <w:fldChar w:fldCharType="begin"/>
            </w:r>
            <w:r>
              <w:rPr>
                <w:bCs/>
                <w:sz w:val="18"/>
                <w:szCs w:val="18"/>
              </w:rPr>
              <w:instrText xml:space="preserve">= 2 \* GB3</w:instrText>
            </w:r>
            <w:r>
              <w:rPr>
                <w:bCs/>
                <w:sz w:val="18"/>
                <w:szCs w:val="18"/>
              </w:rPr>
              <w:fldChar w:fldCharType="separate"/>
            </w:r>
            <w:r>
              <w:rPr>
                <w:rFonts w:hint="eastAsia" w:ascii="宋体" w:hAnsi="宋体" w:cs="宋体"/>
                <w:bCs/>
                <w:sz w:val="18"/>
                <w:szCs w:val="18"/>
              </w:rPr>
              <w:t>②</w:t>
            </w:r>
            <w:r>
              <w:rPr>
                <w:bCs/>
                <w:sz w:val="18"/>
                <w:szCs w:val="18"/>
              </w:rPr>
              <w:fldChar w:fldCharType="end"/>
            </w:r>
            <w:r>
              <w:rPr>
                <w:bCs/>
                <w:sz w:val="18"/>
                <w:szCs w:val="18"/>
              </w:rPr>
              <w:t>海洋科学领域研究与项目开发工程中的经验和技巧；</w:t>
            </w:r>
            <w:r>
              <w:rPr>
                <w:bCs/>
                <w:sz w:val="18"/>
                <w:szCs w:val="18"/>
              </w:rPr>
              <w:fldChar w:fldCharType="begin"/>
            </w:r>
            <w:r>
              <w:rPr>
                <w:bCs/>
                <w:sz w:val="18"/>
                <w:szCs w:val="18"/>
              </w:rPr>
              <w:instrText xml:space="preserve">= 3 \* GB3</w:instrText>
            </w:r>
            <w:r>
              <w:rPr>
                <w:bCs/>
                <w:sz w:val="18"/>
                <w:szCs w:val="18"/>
              </w:rPr>
              <w:fldChar w:fldCharType="separate"/>
            </w:r>
            <w:r>
              <w:rPr>
                <w:rFonts w:hint="eastAsia" w:ascii="宋体" w:hAnsi="宋体" w:cs="宋体"/>
                <w:bCs/>
                <w:sz w:val="18"/>
                <w:szCs w:val="18"/>
              </w:rPr>
              <w:t>③</w:t>
            </w:r>
            <w:r>
              <w:rPr>
                <w:bCs/>
                <w:sz w:val="18"/>
                <w:szCs w:val="18"/>
              </w:rPr>
              <w:fldChar w:fldCharType="end"/>
            </w:r>
            <w:r>
              <w:rPr>
                <w:bCs/>
                <w:sz w:val="18"/>
                <w:szCs w:val="18"/>
              </w:rPr>
              <w:t>培养虚心向研究人员与工程师学习与认真做好每一件专业技术相关的事情的习惯，树立为企业创新做贡献的情感。</w:t>
            </w:r>
          </w:p>
          <w:p>
            <w:pPr>
              <w:snapToGrid w:val="0"/>
              <w:spacing w:line="276" w:lineRule="auto"/>
              <w:rPr>
                <w:bCs/>
                <w:sz w:val="18"/>
                <w:szCs w:val="18"/>
              </w:rPr>
            </w:pPr>
            <w:r>
              <w:rPr>
                <w:bCs/>
                <w:sz w:val="18"/>
                <w:szCs w:val="18"/>
              </w:rPr>
              <w:t>（五）理解海洋开发与工程实施在兴国安邦，创新引领企业生命的含义，立志作企业创新的领导者与责任担当企业家的远大理想。</w:t>
            </w:r>
          </w:p>
        </w:tc>
        <w:tc>
          <w:tcPr>
            <w:tcW w:w="3843" w:type="dxa"/>
            <w:shd w:val="clear" w:color="auto" w:fill="FFFFFF"/>
            <w:vAlign w:val="center"/>
          </w:tcPr>
          <w:p>
            <w:pPr>
              <w:snapToGrid w:val="0"/>
              <w:spacing w:line="276" w:lineRule="auto"/>
              <w:rPr>
                <w:bCs/>
                <w:sz w:val="18"/>
                <w:szCs w:val="18"/>
              </w:rPr>
            </w:pPr>
            <w:r>
              <w:rPr>
                <w:bCs/>
                <w:sz w:val="18"/>
                <w:szCs w:val="18"/>
              </w:rPr>
              <w:t>1、实习要求：</w:t>
            </w:r>
          </w:p>
          <w:p>
            <w:pPr>
              <w:snapToGrid w:val="0"/>
              <w:spacing w:line="276" w:lineRule="auto"/>
              <w:rPr>
                <w:bCs/>
                <w:sz w:val="18"/>
                <w:szCs w:val="18"/>
              </w:rPr>
            </w:pPr>
            <w:r>
              <w:rPr>
                <w:bCs/>
                <w:sz w:val="18"/>
                <w:szCs w:val="18"/>
              </w:rPr>
              <w:t>（1）对学生的要求</w:t>
            </w:r>
          </w:p>
          <w:p>
            <w:pPr>
              <w:snapToGrid w:val="0"/>
              <w:spacing w:line="276" w:lineRule="auto"/>
              <w:rPr>
                <w:bCs/>
                <w:sz w:val="18"/>
                <w:szCs w:val="18"/>
              </w:rPr>
            </w:pPr>
            <w:r>
              <w:rPr>
                <w:rFonts w:hint="eastAsia" w:ascii="宋体" w:hAnsi="宋体" w:cs="宋体"/>
                <w:bCs/>
                <w:sz w:val="18"/>
                <w:szCs w:val="18"/>
              </w:rPr>
              <w:t>①</w:t>
            </w:r>
            <w:r>
              <w:rPr>
                <w:bCs/>
                <w:sz w:val="18"/>
                <w:szCs w:val="18"/>
              </w:rPr>
              <w:t xml:space="preserve">一切行动听指挥，服从指导教师与实习单位的安排，严格遵守实习场所规章制度。 </w:t>
            </w:r>
          </w:p>
          <w:p>
            <w:pPr>
              <w:snapToGrid w:val="0"/>
              <w:spacing w:line="276" w:lineRule="auto"/>
              <w:rPr>
                <w:bCs/>
                <w:sz w:val="18"/>
                <w:szCs w:val="18"/>
              </w:rPr>
            </w:pPr>
            <w:r>
              <w:rPr>
                <w:rFonts w:hint="eastAsia" w:ascii="宋体" w:hAnsi="宋体" w:cs="宋体"/>
                <w:bCs/>
                <w:sz w:val="18"/>
                <w:szCs w:val="18"/>
              </w:rPr>
              <w:t>②</w:t>
            </w:r>
            <w:r>
              <w:rPr>
                <w:bCs/>
                <w:sz w:val="18"/>
                <w:szCs w:val="18"/>
              </w:rPr>
              <w:t>严格执行有关技术规范，理论与实践相结合，坚持严谨务实的工作态度，不得投机取巧，弄虚作假，违者严究。</w:t>
            </w:r>
          </w:p>
          <w:p>
            <w:pPr>
              <w:snapToGrid w:val="0"/>
              <w:spacing w:line="276" w:lineRule="auto"/>
              <w:rPr>
                <w:bCs/>
                <w:sz w:val="18"/>
                <w:szCs w:val="18"/>
              </w:rPr>
            </w:pPr>
            <w:r>
              <w:rPr>
                <w:rFonts w:hint="eastAsia" w:ascii="宋体" w:hAnsi="宋体" w:cs="宋体"/>
                <w:bCs/>
                <w:sz w:val="18"/>
                <w:szCs w:val="18"/>
              </w:rPr>
              <w:t>③</w:t>
            </w:r>
            <w:r>
              <w:rPr>
                <w:bCs/>
                <w:sz w:val="18"/>
                <w:szCs w:val="18"/>
              </w:rPr>
              <w:t>吃苦耐劳踏实工作，深入调查研究，具有高度的责任心，保质保量完成所承担的具体任务。</w:t>
            </w:r>
          </w:p>
          <w:p>
            <w:pPr>
              <w:snapToGrid w:val="0"/>
              <w:spacing w:line="276" w:lineRule="auto"/>
              <w:rPr>
                <w:bCs/>
                <w:sz w:val="18"/>
                <w:szCs w:val="18"/>
              </w:rPr>
            </w:pPr>
            <w:r>
              <w:rPr>
                <w:rFonts w:hint="eastAsia" w:ascii="宋体" w:hAnsi="宋体" w:cs="宋体"/>
                <w:bCs/>
                <w:sz w:val="18"/>
                <w:szCs w:val="18"/>
              </w:rPr>
              <w:t>④</w:t>
            </w:r>
            <w:r>
              <w:rPr>
                <w:bCs/>
                <w:sz w:val="18"/>
                <w:szCs w:val="18"/>
              </w:rPr>
              <w:t>尊敬指导老师，诚恳待人，虚心好学，文明礼貌，尊重知识，虚心向实践学习。</w:t>
            </w:r>
          </w:p>
          <w:p>
            <w:pPr>
              <w:snapToGrid w:val="0"/>
              <w:spacing w:line="276" w:lineRule="auto"/>
              <w:rPr>
                <w:bCs/>
                <w:sz w:val="18"/>
                <w:szCs w:val="18"/>
              </w:rPr>
            </w:pPr>
            <w:r>
              <w:rPr>
                <w:rFonts w:hint="eastAsia" w:ascii="宋体" w:hAnsi="宋体" w:cs="宋体"/>
                <w:bCs/>
                <w:sz w:val="18"/>
                <w:szCs w:val="18"/>
              </w:rPr>
              <w:t>⑤</w:t>
            </w:r>
            <w:r>
              <w:rPr>
                <w:bCs/>
                <w:sz w:val="18"/>
                <w:szCs w:val="18"/>
              </w:rPr>
              <w:t>非特殊情况任何人不得请假，特殊情况须向指导教师请假，经批准后方可离开实习岗位。</w:t>
            </w:r>
          </w:p>
          <w:p>
            <w:pPr>
              <w:snapToGrid w:val="0"/>
              <w:spacing w:line="276" w:lineRule="auto"/>
              <w:rPr>
                <w:bCs/>
                <w:sz w:val="18"/>
                <w:szCs w:val="18"/>
              </w:rPr>
            </w:pPr>
            <w:r>
              <w:rPr>
                <w:rFonts w:hint="eastAsia" w:ascii="宋体" w:hAnsi="宋体" w:cs="宋体"/>
                <w:bCs/>
                <w:sz w:val="18"/>
                <w:szCs w:val="18"/>
              </w:rPr>
              <w:t>⑥</w:t>
            </w:r>
            <w:r>
              <w:rPr>
                <w:bCs/>
                <w:sz w:val="18"/>
                <w:szCs w:val="18"/>
              </w:rPr>
              <w:t>学生在实习中有劳动或操作作业时，应进行安全技术培训，做好安全措施，未经允许不得擅自调换工种或设备，不得私自动用其它设备、仪器;毕业实习必须完成《毕业实习总结》一份，包括实习课题、内容、方法、工作过程和收获体会(思想、工作)以及对今后实习的建议等。</w:t>
            </w:r>
          </w:p>
          <w:p>
            <w:pPr>
              <w:snapToGrid w:val="0"/>
              <w:spacing w:line="276" w:lineRule="auto"/>
              <w:rPr>
                <w:bCs/>
                <w:sz w:val="18"/>
                <w:szCs w:val="18"/>
              </w:rPr>
            </w:pPr>
            <w:r>
              <w:rPr>
                <w:bCs/>
                <w:sz w:val="18"/>
                <w:szCs w:val="18"/>
              </w:rPr>
              <w:t>（2）对指导教师的要求</w:t>
            </w:r>
          </w:p>
          <w:p>
            <w:pPr>
              <w:snapToGrid w:val="0"/>
              <w:spacing w:line="276" w:lineRule="auto"/>
              <w:rPr>
                <w:bCs/>
                <w:sz w:val="18"/>
                <w:szCs w:val="18"/>
              </w:rPr>
            </w:pPr>
            <w:r>
              <w:rPr>
                <w:rFonts w:hint="eastAsia" w:ascii="宋体" w:hAnsi="宋体" w:cs="宋体"/>
                <w:bCs/>
                <w:sz w:val="18"/>
                <w:szCs w:val="18"/>
              </w:rPr>
              <w:t>①</w:t>
            </w:r>
            <w:r>
              <w:rPr>
                <w:bCs/>
                <w:sz w:val="18"/>
                <w:szCs w:val="18"/>
              </w:rPr>
              <w:t>熟悉实习，有一定组织能力，具有讲师（含讲师）以上职称的教师方可担任毕业实习责任指导教师。实习期间实行指导教师负责制。</w:t>
            </w:r>
          </w:p>
          <w:p>
            <w:pPr>
              <w:snapToGrid w:val="0"/>
              <w:spacing w:line="276" w:lineRule="auto"/>
              <w:rPr>
                <w:bCs/>
                <w:sz w:val="18"/>
                <w:szCs w:val="18"/>
              </w:rPr>
            </w:pPr>
            <w:r>
              <w:rPr>
                <w:rFonts w:hint="eastAsia" w:ascii="宋体" w:hAnsi="宋体" w:cs="宋体"/>
                <w:bCs/>
                <w:sz w:val="18"/>
                <w:szCs w:val="18"/>
              </w:rPr>
              <w:t>②</w:t>
            </w:r>
            <w:r>
              <w:rPr>
                <w:bCs/>
                <w:sz w:val="18"/>
                <w:szCs w:val="18"/>
              </w:rPr>
              <w:t>实习指导教师应完成实习大纲、实习计划所规定的任务。</w:t>
            </w:r>
          </w:p>
          <w:p>
            <w:pPr>
              <w:snapToGrid w:val="0"/>
              <w:spacing w:line="276" w:lineRule="auto"/>
              <w:rPr>
                <w:bCs/>
                <w:sz w:val="18"/>
                <w:szCs w:val="18"/>
              </w:rPr>
            </w:pPr>
            <w:r>
              <w:rPr>
                <w:rFonts w:hint="eastAsia" w:ascii="宋体" w:hAnsi="宋体" w:cs="宋体"/>
                <w:bCs/>
                <w:sz w:val="18"/>
                <w:szCs w:val="18"/>
              </w:rPr>
              <w:t>③</w:t>
            </w:r>
            <w:r>
              <w:rPr>
                <w:bCs/>
                <w:sz w:val="18"/>
                <w:szCs w:val="18"/>
              </w:rPr>
              <w:t>实习前，必须提前到实习场所了解和熟悉情况。制定实习实施计划，做好一切准备工作。</w:t>
            </w:r>
          </w:p>
          <w:p>
            <w:pPr>
              <w:snapToGrid w:val="0"/>
              <w:spacing w:line="276" w:lineRule="auto"/>
              <w:rPr>
                <w:bCs/>
                <w:sz w:val="18"/>
                <w:szCs w:val="18"/>
              </w:rPr>
            </w:pPr>
            <w:r>
              <w:rPr>
                <w:rFonts w:hint="eastAsia" w:ascii="宋体" w:hAnsi="宋体" w:cs="宋体"/>
                <w:bCs/>
                <w:sz w:val="18"/>
                <w:szCs w:val="18"/>
              </w:rPr>
              <w:t>④</w:t>
            </w:r>
            <w:r>
              <w:rPr>
                <w:bCs/>
                <w:sz w:val="18"/>
                <w:szCs w:val="18"/>
              </w:rPr>
              <w:t>实习中，教师要加强指导，严格要求，强化安全教育和规范化操作，严防未经检查私自通电，以免发生人身或设备安全事故。</w:t>
            </w:r>
          </w:p>
          <w:p>
            <w:pPr>
              <w:snapToGrid w:val="0"/>
              <w:spacing w:line="276" w:lineRule="auto"/>
              <w:rPr>
                <w:bCs/>
                <w:sz w:val="18"/>
                <w:szCs w:val="18"/>
              </w:rPr>
            </w:pPr>
            <w:r>
              <w:rPr>
                <w:rFonts w:hint="eastAsia" w:ascii="宋体" w:hAnsi="宋体" w:cs="宋体"/>
                <w:bCs/>
                <w:sz w:val="18"/>
                <w:szCs w:val="18"/>
              </w:rPr>
              <w:t>⑤</w:t>
            </w:r>
            <w:r>
              <w:rPr>
                <w:bCs/>
                <w:sz w:val="18"/>
                <w:szCs w:val="18"/>
              </w:rPr>
              <w:t>指导学生完成实习任务，要布置一定数量的作业或思考题，引导学生深入实际，调查研究获得有益知识并及时督促检查。</w:t>
            </w:r>
          </w:p>
          <w:p>
            <w:pPr>
              <w:snapToGrid w:val="0"/>
              <w:spacing w:line="276" w:lineRule="auto"/>
              <w:rPr>
                <w:bCs/>
                <w:sz w:val="18"/>
                <w:szCs w:val="18"/>
              </w:rPr>
            </w:pPr>
            <w:r>
              <w:rPr>
                <w:rFonts w:hint="eastAsia" w:ascii="宋体" w:hAnsi="宋体" w:cs="宋体"/>
                <w:bCs/>
                <w:sz w:val="18"/>
                <w:szCs w:val="18"/>
              </w:rPr>
              <w:t>⑥</w:t>
            </w:r>
            <w:r>
              <w:rPr>
                <w:bCs/>
                <w:sz w:val="18"/>
                <w:szCs w:val="18"/>
              </w:rPr>
              <w:t>实习结束后，教师要认真审阅学生实习报告，做好学生的成绩考核，写出书面实习总结报告。</w:t>
            </w:r>
          </w:p>
        </w:tc>
        <w:tc>
          <w:tcPr>
            <w:tcW w:w="709" w:type="dxa"/>
            <w:shd w:val="clear" w:color="auto" w:fill="FFFFFF"/>
            <w:vAlign w:val="center"/>
          </w:tcPr>
          <w:p>
            <w:pPr>
              <w:spacing w:line="276" w:lineRule="auto"/>
              <w:jc w:val="center"/>
              <w:rPr>
                <w:sz w:val="18"/>
                <w:szCs w:val="18"/>
              </w:rPr>
            </w:pPr>
            <w:r>
              <w:rPr>
                <w:sz w:val="18"/>
                <w:szCs w:val="18"/>
              </w:rPr>
              <w:t>2周</w:t>
            </w:r>
          </w:p>
        </w:tc>
      </w:tr>
    </w:tbl>
    <w:p>
      <w:pPr>
        <w:spacing w:before="159" w:beforeLines="50" w:after="159" w:afterLines="50"/>
        <w:ind w:firstLine="422" w:firstLineChars="200"/>
        <w:rPr>
          <w:b/>
          <w:szCs w:val="21"/>
        </w:rPr>
      </w:pPr>
      <w:r>
        <w:rPr>
          <w:b/>
          <w:szCs w:val="21"/>
        </w:rPr>
        <w:t>五、课程考核及成绩评定</w:t>
      </w:r>
    </w:p>
    <w:p>
      <w:pPr>
        <w:ind w:firstLine="422" w:firstLineChars="200"/>
        <w:rPr>
          <w:b/>
          <w:szCs w:val="21"/>
        </w:rPr>
      </w:pPr>
      <w:r>
        <w:rPr>
          <w:b/>
          <w:szCs w:val="21"/>
        </w:rPr>
        <w:t>1.考核方式</w:t>
      </w:r>
    </w:p>
    <w:p>
      <w:pPr>
        <w:ind w:firstLine="422" w:firstLineChars="200"/>
        <w:rPr>
          <w:b/>
          <w:szCs w:val="21"/>
        </w:rPr>
      </w:pPr>
      <w:r>
        <w:rPr>
          <w:b/>
          <w:szCs w:val="21"/>
        </w:rPr>
        <w:t>考查。</w:t>
      </w:r>
    </w:p>
    <w:p>
      <w:pPr>
        <w:ind w:firstLine="422" w:firstLineChars="200"/>
        <w:rPr>
          <w:b/>
          <w:szCs w:val="21"/>
        </w:rPr>
      </w:pPr>
      <w:r>
        <w:rPr>
          <w:b/>
          <w:szCs w:val="21"/>
        </w:rPr>
        <w:t>2.考核成绩组成</w:t>
      </w:r>
    </w:p>
    <w:p>
      <w:pPr>
        <w:ind w:firstLine="420" w:firstLineChars="200"/>
        <w:rPr>
          <w:szCs w:val="21"/>
        </w:rPr>
      </w:pPr>
      <w:r>
        <w:rPr>
          <w:szCs w:val="21"/>
        </w:rPr>
        <w:t>应根据实习表现、实习日记和实习报告。进行评定，实习成绩按优秀、良好、中等、及格和不及格五级评定。凡成绩不及格者，必须重修。</w:t>
      </w:r>
    </w:p>
    <w:p>
      <w:pPr>
        <w:ind w:firstLine="420" w:firstLineChars="200"/>
        <w:rPr>
          <w:szCs w:val="21"/>
        </w:rPr>
      </w:pPr>
      <w:r>
        <w:rPr>
          <w:szCs w:val="21"/>
        </w:rPr>
        <w:t>成绩评定方式为综合考核方式的各项评分，给出总评成绩，学期末依据总评成绩评定对应考核等级：优秀：</w:t>
      </w:r>
      <w:r>
        <w:rPr>
          <w:rFonts w:eastAsia="Times New Roman"/>
          <w:szCs w:val="21"/>
        </w:rPr>
        <w:t>90-100</w:t>
      </w:r>
      <w:r>
        <w:rPr>
          <w:szCs w:val="21"/>
        </w:rPr>
        <w:t>分；良好：</w:t>
      </w:r>
      <w:r>
        <w:rPr>
          <w:rFonts w:eastAsia="Times New Roman"/>
          <w:szCs w:val="21"/>
        </w:rPr>
        <w:t>80-89</w:t>
      </w:r>
      <w:r>
        <w:rPr>
          <w:szCs w:val="21"/>
        </w:rPr>
        <w:t>分；中等：</w:t>
      </w:r>
      <w:r>
        <w:rPr>
          <w:rFonts w:eastAsia="Times New Roman"/>
          <w:szCs w:val="21"/>
        </w:rPr>
        <w:t>70-79</w:t>
      </w:r>
      <w:r>
        <w:rPr>
          <w:szCs w:val="21"/>
        </w:rPr>
        <w:t>分及格：</w:t>
      </w:r>
      <w:r>
        <w:rPr>
          <w:rFonts w:eastAsia="Times New Roman"/>
          <w:szCs w:val="21"/>
        </w:rPr>
        <w:t>60-69</w:t>
      </w:r>
      <w:r>
        <w:rPr>
          <w:szCs w:val="21"/>
        </w:rPr>
        <w:t>分；不及格：</w:t>
      </w:r>
      <w:r>
        <w:rPr>
          <w:rFonts w:hint="eastAsia"/>
          <w:szCs w:val="21"/>
        </w:rPr>
        <w:t>0-</w:t>
      </w:r>
      <w:r>
        <w:rPr>
          <w:rFonts w:eastAsia="Times New Roman"/>
          <w:szCs w:val="21"/>
        </w:rPr>
        <w:t>60</w:t>
      </w:r>
      <w:r>
        <w:rPr>
          <w:szCs w:val="21"/>
        </w:rPr>
        <w:t>分。</w:t>
      </w:r>
    </w:p>
    <w:p>
      <w:pPr>
        <w:ind w:firstLine="420" w:firstLineChars="200"/>
        <w:rPr>
          <w:bCs/>
          <w:szCs w:val="21"/>
        </w:rPr>
      </w:pPr>
      <w:r>
        <w:rPr>
          <w:bCs/>
          <w:szCs w:val="21"/>
        </w:rPr>
        <w:t>（1）实习日志要每2-3天填写一篇，共10篇，把实习内容，实习目的和要求，实习完成情况，收获与体会</w:t>
      </w:r>
      <w:r>
        <w:rPr>
          <w:rFonts w:hint="eastAsia"/>
          <w:bCs/>
          <w:szCs w:val="21"/>
        </w:rPr>
        <w:t>等填写好</w:t>
      </w:r>
      <w:r>
        <w:rPr>
          <w:bCs/>
          <w:szCs w:val="21"/>
        </w:rPr>
        <w:t>。</w:t>
      </w:r>
    </w:p>
    <w:p>
      <w:pPr>
        <w:ind w:firstLine="525" w:firstLineChars="250"/>
        <w:rPr>
          <w:b/>
          <w:szCs w:val="21"/>
        </w:rPr>
      </w:pPr>
      <w:r>
        <w:rPr>
          <w:szCs w:val="21"/>
        </w:rPr>
        <w:t>（2）实习报告（总结）的内容。总结报告字数要求3000字左右。内容包括。</w:t>
      </w:r>
      <w:r>
        <w:rPr>
          <w:szCs w:val="21"/>
        </w:rPr>
        <w:fldChar w:fldCharType="begin"/>
      </w:r>
      <w:r>
        <w:rPr>
          <w:szCs w:val="21"/>
        </w:rPr>
        <w:instrText xml:space="preserve">= 1 \* GB3</w:instrText>
      </w:r>
      <w:r>
        <w:rPr>
          <w:szCs w:val="21"/>
        </w:rPr>
        <w:fldChar w:fldCharType="separate"/>
      </w:r>
      <w:r>
        <w:rPr>
          <w:rFonts w:hint="eastAsia" w:ascii="宋体" w:hAnsi="宋体" w:cs="宋体"/>
          <w:szCs w:val="21"/>
        </w:rPr>
        <w:t>①</w:t>
      </w:r>
      <w:r>
        <w:rPr>
          <w:szCs w:val="21"/>
        </w:rPr>
        <w:fldChar w:fldCharType="end"/>
      </w:r>
      <w:r>
        <w:rPr>
          <w:szCs w:val="21"/>
        </w:rPr>
        <w:t>时间、地点、描述；</w:t>
      </w:r>
      <w:r>
        <w:rPr>
          <w:szCs w:val="21"/>
        </w:rPr>
        <w:fldChar w:fldCharType="begin"/>
      </w:r>
      <w:r>
        <w:rPr>
          <w:szCs w:val="21"/>
        </w:rPr>
        <w:instrText xml:space="preserve">= 2 \* GB3</w:instrText>
      </w:r>
      <w:r>
        <w:rPr>
          <w:szCs w:val="21"/>
        </w:rPr>
        <w:fldChar w:fldCharType="separate"/>
      </w:r>
      <w:r>
        <w:rPr>
          <w:rFonts w:hint="eastAsia" w:ascii="宋体" w:hAnsi="宋体" w:cs="宋体"/>
          <w:szCs w:val="21"/>
        </w:rPr>
        <w:t>②</w:t>
      </w:r>
      <w:r>
        <w:rPr>
          <w:szCs w:val="21"/>
        </w:rPr>
        <w:fldChar w:fldCharType="end"/>
      </w:r>
      <w:r>
        <w:rPr>
          <w:szCs w:val="21"/>
        </w:rPr>
        <w:t>所实习单位的情况概述；</w:t>
      </w:r>
      <w:r>
        <w:rPr>
          <w:szCs w:val="21"/>
        </w:rPr>
        <w:fldChar w:fldCharType="begin"/>
      </w:r>
      <w:r>
        <w:rPr>
          <w:szCs w:val="21"/>
        </w:rPr>
        <w:instrText xml:space="preserve">= 3 \* GB3</w:instrText>
      </w:r>
      <w:r>
        <w:rPr>
          <w:szCs w:val="21"/>
        </w:rPr>
        <w:fldChar w:fldCharType="separate"/>
      </w:r>
      <w:r>
        <w:rPr>
          <w:rFonts w:hint="eastAsia" w:ascii="宋体" w:hAnsi="宋体" w:cs="宋体"/>
          <w:szCs w:val="21"/>
        </w:rPr>
        <w:t>③</w:t>
      </w:r>
      <w:r>
        <w:rPr>
          <w:szCs w:val="21"/>
        </w:rPr>
        <w:fldChar w:fldCharType="end"/>
      </w:r>
      <w:r>
        <w:rPr>
          <w:szCs w:val="21"/>
        </w:rPr>
        <w:t>实习过程及实习内容的叙述；</w:t>
      </w:r>
      <w:r>
        <w:rPr>
          <w:szCs w:val="21"/>
        </w:rPr>
        <w:fldChar w:fldCharType="begin"/>
      </w:r>
      <w:r>
        <w:rPr>
          <w:szCs w:val="21"/>
        </w:rPr>
        <w:instrText xml:space="preserve">= 4 \* GB3</w:instrText>
      </w:r>
      <w:r>
        <w:rPr>
          <w:szCs w:val="21"/>
        </w:rPr>
        <w:fldChar w:fldCharType="separate"/>
      </w:r>
      <w:r>
        <w:rPr>
          <w:rFonts w:hint="eastAsia" w:ascii="宋体" w:hAnsi="宋体" w:cs="宋体"/>
          <w:szCs w:val="21"/>
        </w:rPr>
        <w:t>④</w:t>
      </w:r>
      <w:r>
        <w:rPr>
          <w:szCs w:val="21"/>
        </w:rPr>
        <w:fldChar w:fldCharType="end"/>
      </w:r>
      <w:r>
        <w:rPr>
          <w:szCs w:val="21"/>
        </w:rPr>
        <w:t>收获、体会，学校教学与实际的差距，改进方向、内容与方法；</w:t>
      </w:r>
      <w:r>
        <w:rPr>
          <w:szCs w:val="21"/>
        </w:rPr>
        <w:fldChar w:fldCharType="begin"/>
      </w:r>
      <w:r>
        <w:rPr>
          <w:szCs w:val="21"/>
        </w:rPr>
        <w:instrText xml:space="preserve">= 5 \* GB3</w:instrText>
      </w:r>
      <w:r>
        <w:rPr>
          <w:szCs w:val="21"/>
        </w:rPr>
        <w:fldChar w:fldCharType="separate"/>
      </w:r>
      <w:r>
        <w:rPr>
          <w:rFonts w:hint="eastAsia" w:ascii="宋体" w:hAnsi="宋体" w:cs="宋体"/>
          <w:szCs w:val="21"/>
        </w:rPr>
        <w:t>⑤</w:t>
      </w:r>
      <w:r>
        <w:rPr>
          <w:szCs w:val="21"/>
        </w:rPr>
        <w:fldChar w:fldCharType="end"/>
      </w:r>
      <w:r>
        <w:rPr>
          <w:szCs w:val="21"/>
        </w:rPr>
        <w:t>不足、建议、教训。</w:t>
      </w:r>
    </w:p>
    <w:p>
      <w:pPr>
        <w:snapToGrid w:val="0"/>
        <w:ind w:firstLine="422" w:firstLineChars="200"/>
        <w:rPr>
          <w:b/>
          <w:szCs w:val="21"/>
        </w:rPr>
      </w:pPr>
      <w:r>
        <w:rPr>
          <w:b/>
          <w:szCs w:val="21"/>
        </w:rPr>
        <w:t>3.考核评价标准：</w:t>
      </w:r>
    </w:p>
    <w:p>
      <w:pPr>
        <w:snapToGrid w:val="0"/>
        <w:ind w:firstLine="420" w:firstLineChars="200"/>
        <w:rPr>
          <w:szCs w:val="21"/>
        </w:rPr>
      </w:pPr>
      <w:r>
        <w:rPr>
          <w:szCs w:val="21"/>
        </w:rPr>
        <w:t>实习表现由指导教师根据实习期间的操作情况、积极性、遵守纪律、是否独立完成实习成果等方面情况等评定；实习日记是对实习过程的记录，实习报告是对整个实习课程的总结。实习考核主要依据以下几方面的要求进行：是否遵守实习纪律，实习态度及大纲规定实习工作的完成情况；实习日记和实习报告的完成质量；是否遵守实习单位的制度及实习单位的鉴定意见。</w:t>
      </w:r>
    </w:p>
    <w:p>
      <w:pPr>
        <w:snapToGrid w:val="0"/>
        <w:ind w:firstLine="420" w:firstLineChars="200"/>
        <w:rPr>
          <w:szCs w:val="21"/>
        </w:rPr>
      </w:pPr>
      <w:r>
        <w:rPr>
          <w:szCs w:val="21"/>
        </w:rPr>
        <w:t>应明确实习表现、实习日记和实习报告等环节权重，应具体写明对实习日记和实习报告的写作要求及评价标准，应有成绩评定的评语，应留存考核和成绩评定的各种原始资料。</w:t>
      </w:r>
    </w:p>
    <w:p>
      <w:pPr>
        <w:snapToGrid w:val="0"/>
        <w:ind w:firstLine="360" w:firstLineChars="200"/>
        <w:jc w:val="center"/>
        <w:rPr>
          <w:sz w:val="18"/>
          <w:szCs w:val="18"/>
        </w:rPr>
      </w:pPr>
      <w:r>
        <w:rPr>
          <w:sz w:val="18"/>
          <w:szCs w:val="18"/>
        </w:rPr>
        <w:t>表4对每一个考核方式依据教学目标制定详细的评价标准</w:t>
      </w:r>
    </w:p>
    <w:tbl>
      <w:tblPr>
        <w:tblStyle w:val="22"/>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70"/>
        <w:gridCol w:w="6225"/>
        <w:gridCol w:w="708"/>
        <w:gridCol w:w="56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7" w:hRule="atLeast"/>
          <w:jc w:val="center"/>
        </w:trPr>
        <w:tc>
          <w:tcPr>
            <w:tcW w:w="470" w:type="dxa"/>
            <w:shd w:val="clear" w:color="auto" w:fill="FFFFFF"/>
            <w:vAlign w:val="center"/>
          </w:tcPr>
          <w:p>
            <w:pPr>
              <w:jc w:val="center"/>
              <w:rPr>
                <w:sz w:val="18"/>
                <w:szCs w:val="18"/>
              </w:rPr>
            </w:pPr>
            <w:r>
              <w:rPr>
                <w:sz w:val="18"/>
                <w:szCs w:val="18"/>
              </w:rPr>
              <w:t>序号</w:t>
            </w:r>
          </w:p>
        </w:tc>
        <w:tc>
          <w:tcPr>
            <w:tcW w:w="6225" w:type="dxa"/>
            <w:shd w:val="clear" w:color="auto" w:fill="FFFFFF"/>
            <w:vAlign w:val="center"/>
          </w:tcPr>
          <w:p>
            <w:pPr>
              <w:jc w:val="center"/>
              <w:rPr>
                <w:sz w:val="18"/>
                <w:szCs w:val="18"/>
              </w:rPr>
            </w:pPr>
            <w:r>
              <w:rPr>
                <w:sz w:val="18"/>
                <w:szCs w:val="18"/>
              </w:rPr>
              <w:t>教学目标</w:t>
            </w:r>
          </w:p>
        </w:tc>
        <w:tc>
          <w:tcPr>
            <w:tcW w:w="708" w:type="dxa"/>
            <w:shd w:val="clear" w:color="auto" w:fill="FFFFFF"/>
            <w:vAlign w:val="center"/>
          </w:tcPr>
          <w:p>
            <w:pPr>
              <w:jc w:val="center"/>
              <w:rPr>
                <w:sz w:val="18"/>
                <w:szCs w:val="18"/>
              </w:rPr>
            </w:pPr>
            <w:r>
              <w:rPr>
                <w:sz w:val="18"/>
                <w:szCs w:val="18"/>
              </w:rPr>
              <w:t>考核</w:t>
            </w:r>
            <w:r>
              <w:rPr>
                <w:rFonts w:hint="eastAsia"/>
                <w:sz w:val="18"/>
                <w:szCs w:val="18"/>
              </w:rPr>
              <w:t>类型</w:t>
            </w:r>
          </w:p>
        </w:tc>
        <w:tc>
          <w:tcPr>
            <w:tcW w:w="567" w:type="dxa"/>
            <w:shd w:val="clear" w:color="auto" w:fill="FFFFFF"/>
            <w:vAlign w:val="center"/>
          </w:tcPr>
          <w:p>
            <w:pPr>
              <w:jc w:val="center"/>
              <w:rPr>
                <w:sz w:val="18"/>
                <w:szCs w:val="18"/>
              </w:rPr>
            </w:pPr>
            <w:r>
              <w:rPr>
                <w:sz w:val="18"/>
                <w:szCs w:val="18"/>
              </w:rPr>
              <w:t>权重</w:t>
            </w:r>
          </w:p>
        </w:tc>
        <w:tc>
          <w:tcPr>
            <w:tcW w:w="786" w:type="dxa"/>
            <w:shd w:val="clear" w:color="auto" w:fill="FFFFFF"/>
            <w:vAlign w:val="center"/>
          </w:tcPr>
          <w:p>
            <w:pPr>
              <w:jc w:val="center"/>
              <w:rPr>
                <w:sz w:val="18"/>
                <w:szCs w:val="18"/>
              </w:rPr>
            </w:pPr>
            <w:r>
              <w:rPr>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70" w:type="dxa"/>
            <w:shd w:val="clear" w:color="auto" w:fill="FFFFFF"/>
            <w:vAlign w:val="center"/>
          </w:tcPr>
          <w:p>
            <w:pPr>
              <w:jc w:val="center"/>
              <w:rPr>
                <w:sz w:val="18"/>
                <w:szCs w:val="18"/>
              </w:rPr>
            </w:pPr>
            <w:r>
              <w:rPr>
                <w:rFonts w:hint="eastAsia"/>
                <w:sz w:val="18"/>
                <w:szCs w:val="18"/>
              </w:rPr>
              <w:t>1</w:t>
            </w:r>
          </w:p>
        </w:tc>
        <w:tc>
          <w:tcPr>
            <w:tcW w:w="6225" w:type="dxa"/>
            <w:shd w:val="clear" w:color="auto" w:fill="FFFFFF"/>
            <w:vAlign w:val="center"/>
          </w:tcPr>
          <w:p>
            <w:pPr>
              <w:numPr>
                <w:ilvl w:val="0"/>
                <w:numId w:val="88"/>
              </w:numPr>
              <w:rPr>
                <w:sz w:val="18"/>
                <w:szCs w:val="18"/>
              </w:rPr>
            </w:pPr>
            <w:r>
              <w:rPr>
                <w:rFonts w:hint="eastAsia"/>
                <w:sz w:val="18"/>
                <w:szCs w:val="18"/>
              </w:rPr>
              <w:t>使学生</w:t>
            </w:r>
            <w:r>
              <w:rPr>
                <w:sz w:val="18"/>
                <w:szCs w:val="18"/>
              </w:rPr>
              <w:t>掌握海域信息采集、传输通信、信息处理以及设备维护使用过程中涉及的仪器、仪表等现代工程工具的基本原理、操作方法，</w:t>
            </w:r>
            <w:r>
              <w:rPr>
                <w:rFonts w:hint="eastAsia"/>
                <w:sz w:val="18"/>
                <w:szCs w:val="18"/>
              </w:rPr>
              <w:t>并能综合运用数学、自然科学、工程基础和专业知识，用于电子信息工程领域复杂工程问题（含海洋电子信息领域）的建模和求解及解决方案的评价；</w:t>
            </w:r>
            <w:r>
              <w:rPr>
                <w:sz w:val="18"/>
                <w:szCs w:val="18"/>
              </w:rPr>
              <w:t>[</w:t>
            </w:r>
            <w:r>
              <w:rPr>
                <w:rFonts w:hint="eastAsia"/>
                <w:sz w:val="18"/>
                <w:szCs w:val="18"/>
              </w:rPr>
              <w:t>1</w:t>
            </w:r>
            <w:r>
              <w:rPr>
                <w:sz w:val="18"/>
                <w:szCs w:val="18"/>
              </w:rPr>
              <w:t>]</w:t>
            </w:r>
          </w:p>
        </w:tc>
        <w:tc>
          <w:tcPr>
            <w:tcW w:w="708" w:type="dxa"/>
            <w:shd w:val="clear" w:color="auto" w:fill="FFFFFF"/>
            <w:vAlign w:val="center"/>
          </w:tcPr>
          <w:p>
            <w:pPr>
              <w:jc w:val="center"/>
              <w:rPr>
                <w:sz w:val="18"/>
                <w:szCs w:val="18"/>
              </w:rPr>
            </w:pPr>
            <w:r>
              <w:rPr>
                <w:sz w:val="18"/>
                <w:szCs w:val="18"/>
              </w:rPr>
              <w:t>考查</w:t>
            </w:r>
          </w:p>
        </w:tc>
        <w:tc>
          <w:tcPr>
            <w:tcW w:w="567" w:type="dxa"/>
            <w:shd w:val="clear" w:color="auto" w:fill="FFFFFF"/>
            <w:vAlign w:val="center"/>
          </w:tcPr>
          <w:p>
            <w:pPr>
              <w:jc w:val="center"/>
              <w:rPr>
                <w:sz w:val="18"/>
                <w:szCs w:val="18"/>
              </w:rPr>
            </w:pPr>
            <w:r>
              <w:rPr>
                <w:sz w:val="18"/>
                <w:szCs w:val="18"/>
              </w:rPr>
              <w:t>0.</w:t>
            </w:r>
            <w:r>
              <w:rPr>
                <w:rFonts w:hint="eastAsia"/>
                <w:sz w:val="18"/>
                <w:szCs w:val="18"/>
              </w:rPr>
              <w:t>5</w:t>
            </w:r>
          </w:p>
        </w:tc>
        <w:tc>
          <w:tcPr>
            <w:tcW w:w="786" w:type="dxa"/>
            <w:shd w:val="clear" w:color="auto" w:fill="FFFFFF"/>
            <w:vAlign w:val="center"/>
          </w:tcPr>
          <w:p>
            <w:pPr>
              <w:jc w:val="center"/>
              <w:rPr>
                <w:sz w:val="18"/>
                <w:szCs w:val="18"/>
              </w:rPr>
            </w:pPr>
            <w:r>
              <w:rPr>
                <w:sz w:val="18"/>
                <w:szCs w:val="18"/>
              </w:rPr>
              <w:t>现场测试</w:t>
            </w:r>
            <w:r>
              <w:rPr>
                <w:rFonts w:hint="eastAsia"/>
                <w:sz w:val="18"/>
                <w:szCs w:val="18"/>
              </w:rPr>
              <w:t>、 功能测试、实习报告等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70" w:type="dxa"/>
            <w:shd w:val="clear" w:color="auto" w:fill="FFFFFF"/>
            <w:vAlign w:val="center"/>
          </w:tcPr>
          <w:p>
            <w:pPr>
              <w:jc w:val="center"/>
              <w:rPr>
                <w:sz w:val="18"/>
                <w:szCs w:val="18"/>
              </w:rPr>
            </w:pPr>
            <w:r>
              <w:rPr>
                <w:rFonts w:hint="eastAsia"/>
                <w:sz w:val="18"/>
                <w:szCs w:val="18"/>
              </w:rPr>
              <w:t>2</w:t>
            </w:r>
          </w:p>
        </w:tc>
        <w:tc>
          <w:tcPr>
            <w:tcW w:w="6225" w:type="dxa"/>
            <w:shd w:val="clear" w:color="auto" w:fill="FFFFFF"/>
          </w:tcPr>
          <w:p>
            <w:pPr>
              <w:rPr>
                <w:sz w:val="18"/>
                <w:szCs w:val="18"/>
              </w:rPr>
            </w:pPr>
          </w:p>
          <w:p>
            <w:pPr>
              <w:rPr>
                <w:sz w:val="18"/>
                <w:szCs w:val="18"/>
              </w:rPr>
            </w:pPr>
          </w:p>
          <w:p>
            <w:pPr>
              <w:numPr>
                <w:ilvl w:val="0"/>
                <w:numId w:val="88"/>
              </w:numPr>
              <w:rPr>
                <w:sz w:val="18"/>
                <w:szCs w:val="18"/>
              </w:rPr>
            </w:pPr>
            <w:r>
              <w:rPr>
                <w:rFonts w:hint="eastAsia"/>
                <w:sz w:val="18"/>
                <w:szCs w:val="18"/>
              </w:rPr>
              <w:t>培养学生综合运用所学基础知识和基本技能，分析实习从事的复杂工程问题和初步解决实际生产中复杂疑难问题的基本能力，增强就业竞争力。[2]</w:t>
            </w:r>
          </w:p>
        </w:tc>
        <w:tc>
          <w:tcPr>
            <w:tcW w:w="708" w:type="dxa"/>
            <w:shd w:val="clear" w:color="auto" w:fill="FFFFFF"/>
            <w:vAlign w:val="center"/>
          </w:tcPr>
          <w:p>
            <w:pPr>
              <w:jc w:val="center"/>
              <w:rPr>
                <w:sz w:val="18"/>
                <w:szCs w:val="18"/>
              </w:rPr>
            </w:pPr>
            <w:r>
              <w:rPr>
                <w:sz w:val="18"/>
                <w:szCs w:val="18"/>
              </w:rPr>
              <w:t>考查</w:t>
            </w:r>
          </w:p>
        </w:tc>
        <w:tc>
          <w:tcPr>
            <w:tcW w:w="567" w:type="dxa"/>
            <w:shd w:val="clear" w:color="auto" w:fill="FFFFFF"/>
            <w:vAlign w:val="center"/>
          </w:tcPr>
          <w:p>
            <w:pPr>
              <w:jc w:val="center"/>
              <w:rPr>
                <w:sz w:val="18"/>
                <w:szCs w:val="18"/>
              </w:rPr>
            </w:pPr>
            <w:r>
              <w:rPr>
                <w:sz w:val="18"/>
                <w:szCs w:val="18"/>
              </w:rPr>
              <w:t>0.</w:t>
            </w:r>
            <w:r>
              <w:rPr>
                <w:rFonts w:hint="eastAsia"/>
                <w:sz w:val="18"/>
                <w:szCs w:val="18"/>
              </w:rPr>
              <w:t>5</w:t>
            </w:r>
          </w:p>
        </w:tc>
        <w:tc>
          <w:tcPr>
            <w:tcW w:w="786" w:type="dxa"/>
            <w:shd w:val="clear" w:color="auto" w:fill="FFFFFF"/>
            <w:vAlign w:val="center"/>
          </w:tcPr>
          <w:p>
            <w:pPr>
              <w:jc w:val="center"/>
              <w:rPr>
                <w:sz w:val="18"/>
                <w:szCs w:val="18"/>
              </w:rPr>
            </w:pPr>
            <w:r>
              <w:rPr>
                <w:sz w:val="18"/>
                <w:szCs w:val="18"/>
              </w:rPr>
              <w:t>现场测试</w:t>
            </w:r>
            <w:r>
              <w:rPr>
                <w:rFonts w:hint="eastAsia"/>
                <w:sz w:val="18"/>
                <w:szCs w:val="18"/>
              </w:rPr>
              <w:t>、 功能测试、实习报告等</w:t>
            </w:r>
          </w:p>
        </w:tc>
      </w:tr>
    </w:tbl>
    <w:p>
      <w:pPr>
        <w:snapToGrid w:val="0"/>
        <w:spacing w:before="159" w:beforeLines="50" w:after="159" w:afterLines="50"/>
        <w:rPr>
          <w:b/>
        </w:rPr>
      </w:pPr>
      <w:r>
        <w:rPr>
          <w:b/>
        </w:rPr>
        <w:t>六、课程教学目标达成度评价</w:t>
      </w:r>
    </w:p>
    <w:p>
      <w:pPr>
        <w:snapToGrid w:val="0"/>
        <w:ind w:firstLine="420" w:firstLineChars="200"/>
        <w:rPr>
          <w:szCs w:val="21"/>
        </w:rPr>
      </w:pPr>
      <w:r>
        <w:rPr>
          <w:szCs w:val="21"/>
        </w:rPr>
        <w:t>1．达成度评价依据和方法</w:t>
      </w:r>
    </w:p>
    <w:p>
      <w:pPr>
        <w:snapToGrid w:val="0"/>
        <w:ind w:firstLine="420" w:firstLineChars="200"/>
        <w:rPr>
          <w:szCs w:val="21"/>
        </w:rPr>
      </w:pPr>
      <w:r>
        <w:rPr>
          <w:szCs w:val="21"/>
        </w:rPr>
        <w:t>课程各目标达成情况为该项目学生的平均得分率，其计算公式为：</w:t>
      </w:r>
    </w:p>
    <w:p>
      <w:pPr>
        <w:snapToGrid w:val="0"/>
        <w:ind w:firstLine="420" w:firstLineChars="200"/>
        <w:rPr>
          <w:szCs w:val="21"/>
        </w:rPr>
      </w:pPr>
      <w:r>
        <w:rPr>
          <w:szCs w:val="21"/>
        </w:rPr>
        <w:object>
          <v:shape id="_x0000_i1201" o:spt="75" type="#_x0000_t75" style="height:27.75pt;width:346.5pt;" o:ole="t" filled="f" o:preferrelative="t" stroked="f" coordsize="21600,21600">
            <v:path/>
            <v:fill on="f" focussize="0,0"/>
            <v:stroke on="f" joinstyle="miter"/>
            <v:imagedata r:id="rId36" o:title=""/>
            <o:lock v:ext="edit" aspectratio="t"/>
            <w10:wrap type="none"/>
            <w10:anchorlock/>
          </v:shape>
          <o:OLEObject Type="Embed" ProgID="Equation.3" ShapeID="_x0000_i1201" DrawAspect="Content" ObjectID="_1468075899" r:id="rId228">
            <o:LockedField>false</o:LockedField>
          </o:OLEObject>
        </w:object>
      </w:r>
    </w:p>
    <w:p>
      <w:pPr>
        <w:snapToGrid w:val="0"/>
        <w:ind w:firstLine="420" w:firstLineChars="200"/>
        <w:rPr>
          <w:szCs w:val="21"/>
        </w:rPr>
      </w:pPr>
      <w:r>
        <w:rPr>
          <w:szCs w:val="21"/>
        </w:rPr>
        <w:t>课程总目标达成情况为6个课程目标的加权得分率，其计算公式为：</w:t>
      </w:r>
    </w:p>
    <w:p>
      <w:pPr>
        <w:jc w:val="center"/>
      </w:pPr>
      <w:r>
        <w:object>
          <v:shape id="_x0000_i1202" o:spt="75" type="#_x0000_t75" style="height:16.5pt;width:266.25pt;" o:ole="t" filled="f" o:preferrelative="t" stroked="f" coordsize="21600,21600">
            <v:path/>
            <v:fill on="f" focussize="0,0"/>
            <v:stroke on="f" joinstyle="miter"/>
            <v:imagedata r:id="rId38" o:title=""/>
            <o:lock v:ext="edit" aspectratio="t"/>
            <w10:wrap type="none"/>
            <w10:anchorlock/>
          </v:shape>
          <o:OLEObject Type="Embed" ProgID="Equation.DSMT4" ShapeID="_x0000_i1202" DrawAspect="Content" ObjectID="_1468075900" r:id="rId229">
            <o:LockedField>false</o:LockedField>
          </o:OLEObject>
        </w:object>
      </w:r>
    </w:p>
    <w:p>
      <w:pPr>
        <w:snapToGrid w:val="0"/>
        <w:ind w:firstLine="420" w:firstLineChars="200"/>
        <w:rPr>
          <w:szCs w:val="21"/>
        </w:rPr>
      </w:pPr>
      <w:r>
        <w:rPr>
          <w:szCs w:val="21"/>
        </w:rPr>
        <w:t>其中权重系数按照表6设定。</w:t>
      </w:r>
    </w:p>
    <w:p>
      <w:pPr>
        <w:jc w:val="center"/>
        <w:rPr>
          <w:sz w:val="18"/>
          <w:szCs w:val="18"/>
        </w:rPr>
      </w:pPr>
      <w:r>
        <w:rPr>
          <w:sz w:val="18"/>
          <w:szCs w:val="18"/>
        </w:rPr>
        <w:t>表6课程目标权重系数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45"/>
        <w:gridCol w:w="2060"/>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99" w:hRule="atLeast"/>
          <w:jc w:val="center"/>
        </w:trPr>
        <w:tc>
          <w:tcPr>
            <w:tcW w:w="1945" w:type="dxa"/>
            <w:vAlign w:val="center"/>
          </w:tcPr>
          <w:p>
            <w:pPr>
              <w:jc w:val="center"/>
              <w:rPr>
                <w:sz w:val="18"/>
                <w:szCs w:val="18"/>
              </w:rPr>
            </w:pPr>
            <w:r>
              <w:rPr>
                <w:sz w:val="18"/>
                <w:szCs w:val="18"/>
              </w:rPr>
              <w:t>课程目标</w:t>
            </w:r>
          </w:p>
        </w:tc>
        <w:tc>
          <w:tcPr>
            <w:tcW w:w="2060" w:type="dxa"/>
            <w:vAlign w:val="center"/>
          </w:tcPr>
          <w:p>
            <w:pPr>
              <w:jc w:val="center"/>
              <w:rPr>
                <w:sz w:val="18"/>
                <w:szCs w:val="18"/>
              </w:rPr>
            </w:pPr>
            <w:r>
              <w:rPr>
                <w:sz w:val="18"/>
                <w:szCs w:val="18"/>
              </w:rPr>
              <w:t>1</w:t>
            </w:r>
          </w:p>
        </w:tc>
        <w:tc>
          <w:tcPr>
            <w:tcW w:w="2270" w:type="dxa"/>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jc w:val="center"/>
        </w:trPr>
        <w:tc>
          <w:tcPr>
            <w:tcW w:w="1945" w:type="dxa"/>
            <w:vAlign w:val="center"/>
          </w:tcPr>
          <w:p>
            <w:pPr>
              <w:jc w:val="center"/>
              <w:rPr>
                <w:sz w:val="18"/>
                <w:szCs w:val="18"/>
              </w:rPr>
            </w:pPr>
            <w:r>
              <w:rPr>
                <w:sz w:val="18"/>
                <w:szCs w:val="18"/>
              </w:rPr>
              <w:t>权重系数</w:t>
            </w:r>
          </w:p>
        </w:tc>
        <w:tc>
          <w:tcPr>
            <w:tcW w:w="2060" w:type="dxa"/>
            <w:vAlign w:val="center"/>
          </w:tcPr>
          <w:p>
            <w:pPr>
              <w:jc w:val="center"/>
              <w:rPr>
                <w:sz w:val="18"/>
                <w:szCs w:val="18"/>
              </w:rPr>
            </w:pPr>
            <w:r>
              <w:rPr>
                <w:sz w:val="18"/>
                <w:szCs w:val="18"/>
              </w:rPr>
              <w:t>0.</w:t>
            </w:r>
            <w:r>
              <w:rPr>
                <w:rFonts w:hint="eastAsia"/>
                <w:sz w:val="18"/>
                <w:szCs w:val="18"/>
              </w:rPr>
              <w:t>5</w:t>
            </w:r>
          </w:p>
        </w:tc>
        <w:tc>
          <w:tcPr>
            <w:tcW w:w="2270" w:type="dxa"/>
            <w:vAlign w:val="center"/>
          </w:tcPr>
          <w:p>
            <w:pPr>
              <w:jc w:val="center"/>
              <w:rPr>
                <w:sz w:val="18"/>
                <w:szCs w:val="18"/>
              </w:rPr>
            </w:pPr>
            <w:r>
              <w:rPr>
                <w:sz w:val="18"/>
                <w:szCs w:val="18"/>
              </w:rPr>
              <w:t>0.</w:t>
            </w:r>
            <w:r>
              <w:rPr>
                <w:rFonts w:hint="eastAsia"/>
                <w:sz w:val="18"/>
                <w:szCs w:val="18"/>
              </w:rPr>
              <w:t>5</w:t>
            </w:r>
          </w:p>
        </w:tc>
      </w:tr>
    </w:tbl>
    <w:p>
      <w:pPr>
        <w:rPr>
          <w:szCs w:val="21"/>
        </w:rPr>
      </w:pPr>
      <w:r>
        <w:rPr>
          <w:szCs w:val="21"/>
        </w:rPr>
        <w:t>课程毕业要求指标点达成情况评价：</w:t>
      </w:r>
    </w:p>
    <w:p>
      <w:pPr>
        <w:ind w:firstLine="420" w:firstLineChars="200"/>
        <w:rPr>
          <w:szCs w:val="21"/>
        </w:rPr>
      </w:pPr>
      <w:r>
        <w:rPr>
          <w:szCs w:val="21"/>
        </w:rPr>
        <w:t>课程支撑毕业要求指标点的达成情况为对应的课程目标达成情况的加权值，其计算公式为：</w:t>
      </w:r>
    </w:p>
    <w:p>
      <w:pPr>
        <w:jc w:val="center"/>
        <w:rPr>
          <w:szCs w:val="21"/>
        </w:rPr>
      </w:pPr>
      <w:r>
        <w:rPr>
          <w:szCs w:val="21"/>
        </w:rPr>
        <w:object>
          <v:shape id="_x0000_i1203"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203" DrawAspect="Content" ObjectID="_1468075901" r:id="rId230">
            <o:LockedField>false</o:LockedField>
          </o:OLEObject>
        </w:object>
      </w:r>
    </w:p>
    <w:p>
      <w:pPr>
        <w:pStyle w:val="55"/>
        <w:rPr>
          <w:rFonts w:ascii="Times New Roman" w:hAnsi="Times New Roman" w:cs="Times New Roman"/>
        </w:rPr>
      </w:pPr>
      <w:r>
        <w:rPr>
          <w:rFonts w:ascii="Times New Roman" w:hAnsi="Times New Roman" w:cs="Times New Roman"/>
        </w:rPr>
        <w:t>2.课程报告总结要求</w:t>
      </w:r>
    </w:p>
    <w:p>
      <w:pPr>
        <w:snapToGrid w:val="0"/>
        <w:ind w:firstLine="420" w:firstLineChars="200"/>
        <w:rPr>
          <w:szCs w:val="21"/>
        </w:rPr>
      </w:pPr>
      <w:r>
        <w:rPr>
          <w:szCs w:val="21"/>
        </w:rPr>
        <w:t>依据达成度评价、教师自评、学生评价，以及课程教学情况、考试情况，对课程进行有针对性的总结，持续改进课程教学，请给出明确的课程总结要求。</w:t>
      </w:r>
    </w:p>
    <w:p>
      <w:pPr>
        <w:snapToGrid w:val="0"/>
        <w:spacing w:before="159" w:beforeLines="50" w:after="159" w:afterLines="50"/>
        <w:rPr>
          <w:b/>
        </w:rPr>
      </w:pPr>
      <w:r>
        <w:rPr>
          <w:b/>
          <w:szCs w:val="21"/>
        </w:rPr>
        <w:t>七、教材及参考资料</w:t>
      </w:r>
    </w:p>
    <w:p>
      <w:pPr>
        <w:rPr>
          <w:szCs w:val="21"/>
        </w:rPr>
      </w:pPr>
      <w:r>
        <w:rPr>
          <w:szCs w:val="21"/>
        </w:rPr>
        <w:t xml:space="preserve">    不需要指定教材。</w:t>
      </w:r>
    </w:p>
    <w:p>
      <w:pPr>
        <w:wordWrap w:val="0"/>
        <w:snapToGrid w:val="0"/>
        <w:ind w:firstLine="424" w:firstLineChars="202"/>
        <w:jc w:val="right"/>
        <w:rPr>
          <w:szCs w:val="21"/>
        </w:rPr>
      </w:pPr>
      <w:r>
        <w:rPr>
          <w:szCs w:val="21"/>
        </w:rPr>
        <w:t>审定人（责任教授）：  王骥</w:t>
      </w:r>
    </w:p>
    <w:p>
      <w:pPr>
        <w:wordWrap w:val="0"/>
        <w:snapToGrid w:val="0"/>
        <w:ind w:firstLine="424" w:firstLineChars="202"/>
        <w:jc w:val="right"/>
        <w:rPr>
          <w:szCs w:val="21"/>
        </w:rPr>
      </w:pPr>
      <w:r>
        <w:rPr>
          <w:szCs w:val="21"/>
        </w:rPr>
        <w:t>批准人： 张炎生</w:t>
      </w:r>
    </w:p>
    <w:p>
      <w:pPr>
        <w:snapToGrid w:val="0"/>
        <w:ind w:firstLine="424" w:firstLineChars="202"/>
        <w:jc w:val="right"/>
        <w:rPr>
          <w:szCs w:val="21"/>
        </w:rPr>
      </w:pPr>
      <w:r>
        <w:rPr>
          <w:szCs w:val="21"/>
        </w:rPr>
        <w:t>日期：</w:t>
      </w:r>
      <w:r>
        <w:rPr>
          <w:rFonts w:ascii="Times New Roman" w:hAnsi="Times New Roman"/>
          <w:kern w:val="0"/>
          <w:sz w:val="20"/>
          <w:szCs w:val="21"/>
        </w:rPr>
        <w:t>202</w:t>
      </w:r>
      <w:r>
        <w:rPr>
          <w:rFonts w:hint="eastAsia" w:ascii="Times New Roman" w:hAnsi="Times New Roman"/>
          <w:kern w:val="0"/>
          <w:sz w:val="20"/>
          <w:szCs w:val="21"/>
        </w:rPr>
        <w:t>2.4.20</w:t>
      </w:r>
    </w:p>
    <w:p/>
    <w:p>
      <w:pPr>
        <w:spacing w:line="360" w:lineRule="auto"/>
        <w:ind w:firstLine="630" w:firstLineChars="300"/>
        <w:rPr>
          <w:rFonts w:cs="宋体"/>
          <w:bCs/>
        </w:rPr>
        <w:sectPr>
          <w:pgSz w:w="11906" w:h="16838"/>
          <w:pgMar w:top="1417" w:right="1361" w:bottom="1417" w:left="1361" w:header="851" w:footer="992" w:gutter="0"/>
          <w:cols w:space="720" w:num="1"/>
          <w:docGrid w:type="lines" w:linePitch="318" w:charSpace="0"/>
        </w:sectPr>
      </w:pPr>
    </w:p>
    <w:p>
      <w:pPr>
        <w:pStyle w:val="3"/>
        <w:jc w:val="center"/>
      </w:pPr>
      <w:bookmarkStart w:id="291" w:name="_Toc62571488"/>
      <w:bookmarkStart w:id="292" w:name="_Toc62651747"/>
      <w:bookmarkStart w:id="293" w:name="_Toc10329"/>
      <w:bookmarkStart w:id="294" w:name="_Toc537"/>
      <w:bookmarkStart w:id="295" w:name="_Toc21655"/>
      <w:r>
        <w:rPr>
          <w:rFonts w:hint="eastAsia"/>
        </w:rPr>
        <w:t>j3341706《大学生素质与技能训练》</w:t>
      </w:r>
      <w:bookmarkEnd w:id="291"/>
      <w:bookmarkEnd w:id="292"/>
      <w:r>
        <w:rPr>
          <w:rFonts w:hint="eastAsia"/>
        </w:rPr>
        <w:t>实习教学大纲</w:t>
      </w:r>
      <w:bookmarkEnd w:id="293"/>
      <w:bookmarkEnd w:id="294"/>
      <w:bookmarkEnd w:id="295"/>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324"/>
        <w:gridCol w:w="1781"/>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vAlign w:val="center"/>
          </w:tcPr>
          <w:p>
            <w:pPr>
              <w:jc w:val="center"/>
              <w:rPr>
                <w:kern w:val="0"/>
                <w:szCs w:val="21"/>
              </w:rPr>
            </w:pPr>
            <w:r>
              <w:rPr>
                <w:kern w:val="0"/>
                <w:szCs w:val="21"/>
              </w:rPr>
              <w:t>课程编号</w:t>
            </w:r>
          </w:p>
        </w:tc>
        <w:tc>
          <w:tcPr>
            <w:tcW w:w="2324" w:type="dxa"/>
            <w:vAlign w:val="center"/>
          </w:tcPr>
          <w:p>
            <w:pPr>
              <w:jc w:val="center"/>
              <w:rPr>
                <w:kern w:val="0"/>
                <w:szCs w:val="21"/>
              </w:rPr>
            </w:pPr>
            <w:r>
              <w:rPr>
                <w:rFonts w:hint="eastAsia"/>
                <w:kern w:val="0"/>
                <w:szCs w:val="21"/>
              </w:rPr>
              <w:t>j3341706</w:t>
            </w:r>
          </w:p>
        </w:tc>
        <w:tc>
          <w:tcPr>
            <w:tcW w:w="1781" w:type="dxa"/>
            <w:vAlign w:val="center"/>
          </w:tcPr>
          <w:p>
            <w:pPr>
              <w:jc w:val="center"/>
              <w:rPr>
                <w:kern w:val="0"/>
                <w:szCs w:val="21"/>
              </w:rPr>
            </w:pPr>
            <w:r>
              <w:rPr>
                <w:kern w:val="0"/>
                <w:szCs w:val="21"/>
              </w:rPr>
              <w:t>课程名称</w:t>
            </w:r>
          </w:p>
        </w:tc>
        <w:tc>
          <w:tcPr>
            <w:tcW w:w="3346" w:type="dxa"/>
            <w:vAlign w:val="center"/>
          </w:tcPr>
          <w:p>
            <w:pPr>
              <w:jc w:val="center"/>
              <w:rPr>
                <w:kern w:val="0"/>
                <w:szCs w:val="21"/>
              </w:rPr>
            </w:pPr>
            <w:r>
              <w:rPr>
                <w:kern w:val="0"/>
                <w:szCs w:val="21"/>
              </w:rPr>
              <w:t>大学生素质与技能训练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vAlign w:val="center"/>
          </w:tcPr>
          <w:p>
            <w:pPr>
              <w:jc w:val="center"/>
              <w:rPr>
                <w:kern w:val="0"/>
                <w:szCs w:val="21"/>
              </w:rPr>
            </w:pPr>
            <w:r>
              <w:rPr>
                <w:kern w:val="0"/>
                <w:szCs w:val="21"/>
              </w:rPr>
              <w:t>课程性质*</w:t>
            </w:r>
          </w:p>
        </w:tc>
        <w:tc>
          <w:tcPr>
            <w:tcW w:w="2324" w:type="dxa"/>
            <w:vAlign w:val="center"/>
          </w:tcPr>
          <w:p>
            <w:pPr>
              <w:jc w:val="center"/>
              <w:rPr>
                <w:kern w:val="0"/>
                <w:szCs w:val="21"/>
              </w:rPr>
            </w:pPr>
            <w:r>
              <w:rPr>
                <w:kern w:val="0"/>
                <w:szCs w:val="21"/>
              </w:rPr>
              <w:t>工程实践与毕业设计（论文）</w:t>
            </w:r>
          </w:p>
        </w:tc>
        <w:tc>
          <w:tcPr>
            <w:tcW w:w="1781" w:type="dxa"/>
            <w:vAlign w:val="center"/>
          </w:tcPr>
          <w:p>
            <w:pPr>
              <w:jc w:val="center"/>
              <w:rPr>
                <w:kern w:val="0"/>
                <w:szCs w:val="21"/>
              </w:rPr>
            </w:pPr>
            <w:r>
              <w:rPr>
                <w:kern w:val="0"/>
                <w:szCs w:val="21"/>
              </w:rPr>
              <w:t>英文名称</w:t>
            </w:r>
          </w:p>
        </w:tc>
        <w:tc>
          <w:tcPr>
            <w:tcW w:w="3346" w:type="dxa"/>
            <w:vAlign w:val="center"/>
          </w:tcPr>
          <w:p>
            <w:pPr>
              <w:spacing w:line="240" w:lineRule="exact"/>
              <w:jc w:val="center"/>
              <w:rPr>
                <w:sz w:val="18"/>
                <w:szCs w:val="18"/>
              </w:rPr>
            </w:pPr>
            <w:r>
              <w:rPr>
                <w:sz w:val="18"/>
                <w:szCs w:val="18"/>
              </w:rPr>
              <w:t xml:space="preserve">College Students' </w:t>
            </w:r>
            <w:r>
              <w:fldChar w:fldCharType="begin"/>
            </w:r>
            <w:r>
              <w:instrText xml:space="preserve"> HYPERLINK "app:ds:professional" </w:instrText>
            </w:r>
            <w:r>
              <w:fldChar w:fldCharType="separate"/>
            </w:r>
            <w:r>
              <w:rPr>
                <w:sz w:val="18"/>
                <w:szCs w:val="18"/>
              </w:rPr>
              <w:t>Professional</w:t>
            </w:r>
            <w:r>
              <w:rPr>
                <w:sz w:val="18"/>
                <w:szCs w:val="18"/>
              </w:rPr>
              <w:fldChar w:fldCharType="end"/>
            </w:r>
            <w:r>
              <w:rPr>
                <w:sz w:val="18"/>
                <w:szCs w:val="18"/>
              </w:rPr>
              <w:t xml:space="preserve"> </w:t>
            </w:r>
            <w:r>
              <w:fldChar w:fldCharType="begin"/>
            </w:r>
            <w:r>
              <w:instrText xml:space="preserve"> HYPERLINK "app:ds:quality" </w:instrText>
            </w:r>
            <w:r>
              <w:fldChar w:fldCharType="separate"/>
            </w:r>
            <w:r>
              <w:rPr>
                <w:sz w:val="18"/>
                <w:szCs w:val="18"/>
              </w:rPr>
              <w:t>Quality</w:t>
            </w:r>
            <w:r>
              <w:rPr>
                <w:sz w:val="18"/>
                <w:szCs w:val="18"/>
              </w:rPr>
              <w:fldChar w:fldCharType="end"/>
            </w:r>
          </w:p>
          <w:p>
            <w:pPr>
              <w:jc w:val="center"/>
              <w:rPr>
                <w:kern w:val="0"/>
                <w:szCs w:val="21"/>
              </w:rPr>
            </w:pPr>
            <w:r>
              <w:rPr>
                <w:sz w:val="18"/>
                <w:szCs w:val="18"/>
              </w:rPr>
              <w:t>and Skill Training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dxa"/>
            <w:vAlign w:val="center"/>
          </w:tcPr>
          <w:p>
            <w:pPr>
              <w:jc w:val="center"/>
              <w:rPr>
                <w:kern w:val="0"/>
                <w:szCs w:val="21"/>
              </w:rPr>
            </w:pPr>
            <w:r>
              <w:rPr>
                <w:kern w:val="0"/>
                <w:szCs w:val="21"/>
              </w:rPr>
              <w:t>学分学时</w:t>
            </w:r>
          </w:p>
        </w:tc>
        <w:tc>
          <w:tcPr>
            <w:tcW w:w="2324" w:type="dxa"/>
            <w:vAlign w:val="center"/>
          </w:tcPr>
          <w:p>
            <w:pPr>
              <w:jc w:val="center"/>
              <w:rPr>
                <w:kern w:val="0"/>
                <w:szCs w:val="21"/>
              </w:rPr>
            </w:pPr>
            <w:r>
              <w:rPr>
                <w:kern w:val="0"/>
                <w:szCs w:val="21"/>
              </w:rPr>
              <w:t>1</w:t>
            </w:r>
            <w:r>
              <w:rPr>
                <w:bCs/>
                <w:kern w:val="0"/>
                <w:szCs w:val="21"/>
              </w:rPr>
              <w:t xml:space="preserve"> </w:t>
            </w:r>
            <w:r>
              <w:rPr>
                <w:kern w:val="0"/>
                <w:szCs w:val="21"/>
              </w:rPr>
              <w:t>: 1周</w:t>
            </w:r>
          </w:p>
        </w:tc>
        <w:tc>
          <w:tcPr>
            <w:tcW w:w="1781" w:type="dxa"/>
            <w:vAlign w:val="center"/>
          </w:tcPr>
          <w:p>
            <w:pPr>
              <w:jc w:val="center"/>
              <w:rPr>
                <w:kern w:val="0"/>
                <w:szCs w:val="21"/>
              </w:rPr>
            </w:pPr>
            <w:r>
              <w:rPr>
                <w:kern w:val="0"/>
                <w:szCs w:val="21"/>
              </w:rPr>
              <w:t>任课教师</w:t>
            </w:r>
          </w:p>
        </w:tc>
        <w:tc>
          <w:tcPr>
            <w:tcW w:w="3346" w:type="dxa"/>
            <w:vAlign w:val="center"/>
          </w:tcPr>
          <w:p>
            <w:pPr>
              <w:widowControl/>
              <w:spacing w:line="312" w:lineRule="auto"/>
              <w:jc w:val="center"/>
              <w:textAlignment w:val="center"/>
              <w:rPr>
                <w:kern w:val="0"/>
                <w:szCs w:val="21"/>
              </w:rPr>
            </w:pPr>
            <w:r>
              <w:rPr>
                <w:kern w:val="0"/>
                <w:szCs w:val="21"/>
              </w:rPr>
              <w:t>邹阿金、刘雯景、郭磊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0" w:type="dxa"/>
            <w:vAlign w:val="center"/>
          </w:tcPr>
          <w:p>
            <w:pPr>
              <w:jc w:val="center"/>
              <w:rPr>
                <w:kern w:val="0"/>
                <w:szCs w:val="21"/>
              </w:rPr>
            </w:pPr>
            <w:r>
              <w:rPr>
                <w:kern w:val="0"/>
                <w:szCs w:val="21"/>
              </w:rPr>
              <w:t>企业专家</w:t>
            </w:r>
          </w:p>
        </w:tc>
        <w:tc>
          <w:tcPr>
            <w:tcW w:w="2324" w:type="dxa"/>
            <w:vAlign w:val="center"/>
          </w:tcPr>
          <w:p>
            <w:pPr>
              <w:widowControl/>
              <w:jc w:val="center"/>
              <w:rPr>
                <w:kern w:val="0"/>
                <w:szCs w:val="21"/>
              </w:rPr>
            </w:pPr>
            <w:r>
              <w:rPr>
                <w:kern w:val="0"/>
                <w:szCs w:val="21"/>
              </w:rPr>
              <w:t>曾耿滨</w:t>
            </w:r>
          </w:p>
        </w:tc>
        <w:tc>
          <w:tcPr>
            <w:tcW w:w="1781" w:type="dxa"/>
            <w:vAlign w:val="center"/>
          </w:tcPr>
          <w:p>
            <w:pPr>
              <w:jc w:val="center"/>
              <w:rPr>
                <w:kern w:val="0"/>
                <w:szCs w:val="21"/>
              </w:rPr>
            </w:pPr>
            <w:r>
              <w:rPr>
                <w:kern w:val="0"/>
                <w:szCs w:val="21"/>
              </w:rPr>
              <w:t>行业专家</w:t>
            </w:r>
          </w:p>
        </w:tc>
        <w:tc>
          <w:tcPr>
            <w:tcW w:w="3346" w:type="dxa"/>
            <w:vAlign w:val="center"/>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230" w:type="dxa"/>
            <w:vAlign w:val="center"/>
          </w:tcPr>
          <w:p>
            <w:pPr>
              <w:jc w:val="center"/>
              <w:rPr>
                <w:kern w:val="0"/>
                <w:szCs w:val="21"/>
              </w:rPr>
            </w:pPr>
            <w:r>
              <w:rPr>
                <w:kern w:val="0"/>
                <w:szCs w:val="21"/>
              </w:rPr>
              <w:t>执笔教师</w:t>
            </w:r>
          </w:p>
        </w:tc>
        <w:tc>
          <w:tcPr>
            <w:tcW w:w="2324" w:type="dxa"/>
            <w:vAlign w:val="center"/>
          </w:tcPr>
          <w:p>
            <w:pPr>
              <w:jc w:val="center"/>
              <w:rPr>
                <w:kern w:val="0"/>
                <w:szCs w:val="21"/>
              </w:rPr>
            </w:pPr>
            <w:r>
              <w:rPr>
                <w:kern w:val="0"/>
                <w:szCs w:val="21"/>
              </w:rPr>
              <w:t>邹阿金</w:t>
            </w:r>
          </w:p>
        </w:tc>
        <w:tc>
          <w:tcPr>
            <w:tcW w:w="1781" w:type="dxa"/>
            <w:vAlign w:val="center"/>
          </w:tcPr>
          <w:p>
            <w:pPr>
              <w:jc w:val="center"/>
              <w:rPr>
                <w:kern w:val="0"/>
                <w:szCs w:val="21"/>
              </w:rPr>
            </w:pPr>
            <w:r>
              <w:rPr>
                <w:kern w:val="0"/>
                <w:szCs w:val="21"/>
              </w:rPr>
              <w:t>责任教授</w:t>
            </w:r>
          </w:p>
        </w:tc>
        <w:tc>
          <w:tcPr>
            <w:tcW w:w="3346" w:type="dxa"/>
            <w:vAlign w:val="center"/>
          </w:tcPr>
          <w:p>
            <w:pPr>
              <w:jc w:val="center"/>
              <w:rPr>
                <w:kern w:val="0"/>
                <w:szCs w:val="21"/>
              </w:rPr>
            </w:pPr>
            <w:r>
              <w:rPr>
                <w:kern w:val="0"/>
                <w:szCs w:val="21"/>
              </w:rPr>
              <w:t>邹阿金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30" w:type="dxa"/>
            <w:vAlign w:val="center"/>
          </w:tcPr>
          <w:p>
            <w:pPr>
              <w:jc w:val="center"/>
              <w:rPr>
                <w:kern w:val="0"/>
                <w:szCs w:val="21"/>
              </w:rPr>
            </w:pPr>
            <w:r>
              <w:rPr>
                <w:kern w:val="0"/>
                <w:szCs w:val="21"/>
              </w:rPr>
              <w:t>适用专业</w:t>
            </w:r>
          </w:p>
        </w:tc>
        <w:tc>
          <w:tcPr>
            <w:tcW w:w="2324" w:type="dxa"/>
            <w:vAlign w:val="center"/>
          </w:tcPr>
          <w:p>
            <w:pPr>
              <w:jc w:val="center"/>
              <w:rPr>
                <w:kern w:val="0"/>
                <w:szCs w:val="21"/>
              </w:rPr>
            </w:pPr>
            <w:r>
              <w:rPr>
                <w:kern w:val="0"/>
                <w:szCs w:val="21"/>
              </w:rPr>
              <w:t>电子信息工程</w:t>
            </w:r>
          </w:p>
        </w:tc>
        <w:tc>
          <w:tcPr>
            <w:tcW w:w="1781" w:type="dxa"/>
            <w:vAlign w:val="center"/>
          </w:tcPr>
          <w:p>
            <w:pPr>
              <w:jc w:val="center"/>
              <w:rPr>
                <w:kern w:val="0"/>
                <w:szCs w:val="21"/>
              </w:rPr>
            </w:pPr>
            <w:r>
              <w:rPr>
                <w:kern w:val="0"/>
                <w:szCs w:val="21"/>
              </w:rPr>
              <w:t>适用对象</w:t>
            </w:r>
          </w:p>
        </w:tc>
        <w:tc>
          <w:tcPr>
            <w:tcW w:w="3346" w:type="dxa"/>
            <w:vAlign w:val="center"/>
          </w:tcPr>
          <w:p>
            <w:pPr>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230" w:type="dxa"/>
            <w:vAlign w:val="center"/>
          </w:tcPr>
          <w:p>
            <w:pPr>
              <w:jc w:val="center"/>
              <w:rPr>
                <w:kern w:val="0"/>
                <w:szCs w:val="21"/>
              </w:rPr>
            </w:pPr>
            <w:r>
              <w:rPr>
                <w:kern w:val="0"/>
                <w:szCs w:val="21"/>
              </w:rPr>
              <w:t>先修课程</w:t>
            </w:r>
          </w:p>
        </w:tc>
        <w:tc>
          <w:tcPr>
            <w:tcW w:w="2324" w:type="dxa"/>
            <w:vAlign w:val="center"/>
          </w:tcPr>
          <w:p>
            <w:pPr>
              <w:widowControl/>
              <w:jc w:val="center"/>
              <w:rPr>
                <w:kern w:val="0"/>
                <w:szCs w:val="21"/>
              </w:rPr>
            </w:pPr>
            <w:r>
              <w:rPr>
                <w:kern w:val="0"/>
                <w:szCs w:val="21"/>
              </w:rPr>
              <w:t>电子信息类基础课程</w:t>
            </w:r>
          </w:p>
        </w:tc>
        <w:tc>
          <w:tcPr>
            <w:tcW w:w="1781" w:type="dxa"/>
            <w:vAlign w:val="center"/>
          </w:tcPr>
          <w:p>
            <w:pPr>
              <w:snapToGrid w:val="0"/>
              <w:spacing w:line="300" w:lineRule="auto"/>
              <w:jc w:val="center"/>
              <w:rPr>
                <w:kern w:val="0"/>
                <w:szCs w:val="21"/>
              </w:rPr>
            </w:pPr>
            <w:r>
              <w:rPr>
                <w:kern w:val="0"/>
                <w:szCs w:val="21"/>
              </w:rPr>
              <w:t>同修或后续课程</w:t>
            </w:r>
          </w:p>
        </w:tc>
        <w:tc>
          <w:tcPr>
            <w:tcW w:w="3346" w:type="dxa"/>
            <w:vAlign w:val="center"/>
          </w:tcPr>
          <w:p>
            <w:pPr>
              <w:widowControl/>
              <w:jc w:val="center"/>
              <w:rPr>
                <w:kern w:val="0"/>
                <w:szCs w:val="21"/>
              </w:rPr>
            </w:pPr>
            <w:r>
              <w:rPr>
                <w:kern w:val="0"/>
                <w:szCs w:val="21"/>
              </w:rPr>
              <w:t>毕业设计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230" w:type="dxa"/>
            <w:vAlign w:val="center"/>
          </w:tcPr>
          <w:p>
            <w:pPr>
              <w:jc w:val="center"/>
              <w:rPr>
                <w:kern w:val="0"/>
                <w:szCs w:val="21"/>
              </w:rPr>
            </w:pPr>
            <w:r>
              <w:rPr>
                <w:kern w:val="0"/>
                <w:szCs w:val="21"/>
              </w:rPr>
              <w:t>排斥课程</w:t>
            </w:r>
          </w:p>
        </w:tc>
        <w:tc>
          <w:tcPr>
            <w:tcW w:w="2324" w:type="dxa"/>
            <w:vAlign w:val="center"/>
          </w:tcPr>
          <w:p>
            <w:pPr>
              <w:widowControl/>
              <w:jc w:val="center"/>
              <w:rPr>
                <w:kern w:val="0"/>
                <w:szCs w:val="21"/>
              </w:rPr>
            </w:pPr>
            <w:r>
              <w:rPr>
                <w:kern w:val="0"/>
                <w:szCs w:val="21"/>
              </w:rPr>
              <w:t>无</w:t>
            </w:r>
          </w:p>
        </w:tc>
        <w:tc>
          <w:tcPr>
            <w:tcW w:w="1781" w:type="dxa"/>
            <w:vAlign w:val="center"/>
          </w:tcPr>
          <w:p>
            <w:pPr>
              <w:snapToGrid w:val="0"/>
              <w:spacing w:line="300" w:lineRule="auto"/>
              <w:jc w:val="center"/>
              <w:rPr>
                <w:kern w:val="0"/>
                <w:szCs w:val="21"/>
              </w:rPr>
            </w:pPr>
            <w:r>
              <w:rPr>
                <w:kern w:val="0"/>
                <w:szCs w:val="21"/>
              </w:rPr>
              <w:t>定稿日期</w:t>
            </w:r>
          </w:p>
        </w:tc>
        <w:tc>
          <w:tcPr>
            <w:tcW w:w="3346" w:type="dxa"/>
            <w:vAlign w:val="center"/>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bCs/>
          <w:szCs w:val="21"/>
        </w:rPr>
      </w:pPr>
      <w:r>
        <w:rPr>
          <w:bCs/>
          <w:szCs w:val="21"/>
        </w:rPr>
        <w:t>《大学生素质与技能训练》是一种应用行为心理学、认知心理学、咨询心理学和社会心理学等学科的基本原理，通过创设情境，借助团队的力量，用以提高学生心理素质的训练方法。其中心理素质训练分为个人项目和团体项目两类，采取理论和训练相结合的教学方式；而专业技能训练是根据大学生心理素质发展的特点，突破传统的课堂专业教学模式，以丰富的内涵、新颖的形式、真实的体验来转变传统学习方法和理念，对大学生的认知、情绪、行为、专业技能综合能力进行有效的调整和提升，是对传统课堂教学模式的创新和发展。</w:t>
      </w:r>
    </w:p>
    <w:p>
      <w:pPr>
        <w:snapToGrid w:val="0"/>
        <w:spacing w:before="159" w:beforeLines="50" w:after="159" w:afterLines="50" w:line="300" w:lineRule="auto"/>
        <w:rPr>
          <w:b/>
          <w:sz w:val="24"/>
        </w:rPr>
      </w:pPr>
      <w:r>
        <w:rPr>
          <w:b/>
          <w:sz w:val="24"/>
        </w:rPr>
        <w:t>二、课程教学目标</w:t>
      </w:r>
    </w:p>
    <w:p>
      <w:pPr>
        <w:snapToGrid w:val="0"/>
        <w:spacing w:line="300" w:lineRule="auto"/>
        <w:ind w:firstLine="420" w:firstLineChars="200"/>
        <w:rPr>
          <w:bCs/>
          <w:szCs w:val="21"/>
        </w:rPr>
      </w:pPr>
      <w:r>
        <w:rPr>
          <w:bCs/>
          <w:szCs w:val="21"/>
        </w:rPr>
        <w:t>本课程介绍相应的成功案例，通过素质与技能训练，让学生了解成功所需要的基本技能；提高学生对成功的渴望，帮助学生走向成功的彼岸，扩大学生的知识面。</w:t>
      </w:r>
    </w:p>
    <w:p>
      <w:pPr>
        <w:snapToGrid w:val="0"/>
        <w:spacing w:line="300" w:lineRule="auto"/>
        <w:ind w:firstLine="420" w:firstLineChars="200"/>
        <w:rPr>
          <w:bCs/>
          <w:szCs w:val="21"/>
        </w:rPr>
      </w:pPr>
      <w:r>
        <w:rPr>
          <w:bCs/>
          <w:szCs w:val="21"/>
        </w:rPr>
        <w:t>1、通过相关工程相关背景知识和成功案例的示范，培养学生基本的工程规范与实践技能；为学生以后在相应领域的工作奠定良好的工程管理与决策基础；[6</w:t>
      </w:r>
      <w:r>
        <w:rPr>
          <w:rFonts w:hint="eastAsia"/>
          <w:bCs/>
          <w:szCs w:val="21"/>
        </w:rPr>
        <w:t>.</w:t>
      </w:r>
      <w:r>
        <w:rPr>
          <w:bCs/>
          <w:szCs w:val="21"/>
        </w:rPr>
        <w:t xml:space="preserve">2] </w:t>
      </w:r>
    </w:p>
    <w:p>
      <w:pPr>
        <w:snapToGrid w:val="0"/>
        <w:spacing w:line="300" w:lineRule="auto"/>
        <w:ind w:firstLine="420" w:firstLineChars="200"/>
        <w:rPr>
          <w:bCs/>
          <w:szCs w:val="21"/>
        </w:rPr>
      </w:pPr>
      <w:r>
        <w:rPr>
          <w:bCs/>
          <w:szCs w:val="21"/>
        </w:rPr>
        <w:t>2、以学生为中心，营造轻松愉快的实践环境提高学生的学习兴趣，培养学生严肃认真、实事求是的良好职业道德，有效地提升学生的认知、情绪、行为、专业素质等综合能力；[8</w:t>
      </w:r>
      <w:r>
        <w:rPr>
          <w:rFonts w:hint="eastAsia"/>
          <w:bCs/>
          <w:szCs w:val="21"/>
        </w:rPr>
        <w:t>.</w:t>
      </w:r>
      <w:r>
        <w:rPr>
          <w:bCs/>
          <w:szCs w:val="21"/>
        </w:rPr>
        <w:t>2]</w:t>
      </w:r>
    </w:p>
    <w:p>
      <w:pPr>
        <w:snapToGrid w:val="0"/>
        <w:spacing w:line="300" w:lineRule="auto"/>
        <w:ind w:firstLine="420" w:firstLineChars="200"/>
        <w:rPr>
          <w:bCs/>
          <w:szCs w:val="21"/>
        </w:rPr>
      </w:pPr>
      <w:r>
        <w:rPr>
          <w:bCs/>
          <w:szCs w:val="21"/>
        </w:rPr>
        <w:t>3、培养学生良好的表达能力和可持续发展的学习能力，从而进一步提高学生的沟通能力和团队协作精神。[10</w:t>
      </w:r>
      <w:r>
        <w:rPr>
          <w:rFonts w:hint="eastAsia"/>
          <w:bCs/>
          <w:szCs w:val="21"/>
        </w:rPr>
        <w:t>.</w:t>
      </w:r>
      <w:r>
        <w:rPr>
          <w:bCs/>
          <w:szCs w:val="21"/>
        </w:rPr>
        <w:t xml:space="preserve">1] </w:t>
      </w:r>
    </w:p>
    <w:p>
      <w:pPr>
        <w:snapToGrid w:val="0"/>
        <w:spacing w:line="300" w:lineRule="auto"/>
        <w:ind w:firstLine="420" w:firstLineChars="200"/>
        <w:rPr>
          <w:bCs/>
          <w:szCs w:val="21"/>
        </w:rPr>
      </w:pPr>
      <w:r>
        <w:rPr>
          <w:szCs w:val="21"/>
        </w:rPr>
        <w:t>课程教学目标与毕业要求的对应关系如表1所示</w:t>
      </w:r>
      <w:r>
        <w:rPr>
          <w:rFonts w:hint="eastAsia"/>
          <w:szCs w:val="21"/>
        </w:rPr>
        <w:t>。</w:t>
      </w:r>
    </w:p>
    <w:p>
      <w:pPr>
        <w:snapToGrid w:val="0"/>
        <w:spacing w:before="159" w:beforeLines="50" w:line="300" w:lineRule="auto"/>
        <w:jc w:val="center"/>
        <w:rPr>
          <w:b/>
          <w:bCs/>
          <w:sz w:val="18"/>
          <w:szCs w:val="18"/>
        </w:rPr>
      </w:pPr>
      <w:r>
        <w:rPr>
          <w:b/>
          <w:bCs/>
          <w:sz w:val="18"/>
          <w:szCs w:val="18"/>
        </w:rPr>
        <w:t>表1毕业要求指标点实现矩阵</w:t>
      </w:r>
    </w:p>
    <w:tbl>
      <w:tblPr>
        <w:tblStyle w:val="22"/>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81"/>
        <w:gridCol w:w="5916"/>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118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28" w:lineRule="auto"/>
              <w:jc w:val="center"/>
              <w:rPr>
                <w:b/>
                <w:sz w:val="18"/>
                <w:szCs w:val="18"/>
              </w:rPr>
            </w:pPr>
            <w:r>
              <w:rPr>
                <w:b/>
                <w:sz w:val="18"/>
                <w:szCs w:val="18"/>
              </w:rPr>
              <w:t>毕业要求</w:t>
            </w:r>
          </w:p>
        </w:tc>
        <w:tc>
          <w:tcPr>
            <w:tcW w:w="59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毕业要求指标点</w:t>
            </w:r>
          </w:p>
        </w:tc>
        <w:tc>
          <w:tcPr>
            <w:tcW w:w="9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6" w:hRule="atLeast"/>
          <w:jc w:val="center"/>
        </w:trPr>
        <w:tc>
          <w:tcPr>
            <w:tcW w:w="1181" w:type="dxa"/>
            <w:tcBorders>
              <w:top w:val="single" w:color="auto" w:sz="4" w:space="0"/>
              <w:left w:val="single" w:color="auto" w:sz="4" w:space="0"/>
              <w:right w:val="single" w:color="auto" w:sz="4" w:space="0"/>
            </w:tcBorders>
            <w:shd w:val="clear" w:color="auto" w:fill="FFFFFF"/>
            <w:vAlign w:val="center"/>
          </w:tcPr>
          <w:p>
            <w:pPr>
              <w:widowControl/>
              <w:spacing w:line="228" w:lineRule="auto"/>
              <w:jc w:val="center"/>
              <w:rPr>
                <w:sz w:val="18"/>
                <w:szCs w:val="18"/>
              </w:rPr>
            </w:pPr>
            <w:r>
              <w:rPr>
                <w:sz w:val="18"/>
                <w:szCs w:val="18"/>
              </w:rPr>
              <w:t>6．工程与社会</w:t>
            </w:r>
          </w:p>
        </w:tc>
        <w:tc>
          <w:tcPr>
            <w:tcW w:w="5916" w:type="dxa"/>
            <w:tcBorders>
              <w:top w:val="single" w:color="auto" w:sz="4" w:space="0"/>
              <w:left w:val="single" w:color="auto" w:sz="4" w:space="0"/>
              <w:right w:val="single" w:color="auto" w:sz="4" w:space="0"/>
            </w:tcBorders>
            <w:shd w:val="clear" w:color="auto" w:fill="FFFFFF"/>
            <w:vAlign w:val="center"/>
          </w:tcPr>
          <w:p>
            <w:pPr>
              <w:widowControl/>
              <w:spacing w:line="360" w:lineRule="exact"/>
              <w:jc w:val="left"/>
              <w:rPr>
                <w:sz w:val="18"/>
                <w:szCs w:val="18"/>
              </w:rPr>
            </w:pPr>
            <w:r>
              <w:rPr>
                <w:sz w:val="18"/>
                <w:szCs w:val="18"/>
              </w:rPr>
              <w:t>6</w:t>
            </w:r>
            <w:r>
              <w:rPr>
                <w:rFonts w:hint="eastAsia"/>
                <w:sz w:val="18"/>
                <w:szCs w:val="18"/>
              </w:rPr>
              <w:t>.</w:t>
            </w:r>
            <w:r>
              <w:rPr>
                <w:sz w:val="18"/>
                <w:szCs w:val="18"/>
              </w:rPr>
              <w:t>2能够基于工程相关背景知识，合理分析和评价专业工程实践和电子信息行业新产品、新技术的开发和应用对社会、健康、安全、法律以及文化的影响，并理解应承担的责任。</w:t>
            </w:r>
          </w:p>
        </w:tc>
        <w:tc>
          <w:tcPr>
            <w:tcW w:w="942" w:type="dxa"/>
            <w:tcBorders>
              <w:top w:val="single" w:color="auto" w:sz="4" w:space="0"/>
              <w:left w:val="single" w:color="auto" w:sz="4" w:space="0"/>
              <w:right w:val="single" w:color="auto" w:sz="4" w:space="0"/>
            </w:tcBorders>
            <w:shd w:val="clear" w:color="auto" w:fill="FFFFFF"/>
            <w:vAlign w:val="center"/>
          </w:tcPr>
          <w:p>
            <w:pPr>
              <w:widowControl/>
              <w:spacing w:line="360" w:lineRule="exact"/>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65" w:hRule="atLeast"/>
          <w:jc w:val="center"/>
        </w:trPr>
        <w:tc>
          <w:tcPr>
            <w:tcW w:w="1181" w:type="dxa"/>
            <w:tcBorders>
              <w:left w:val="single" w:color="auto" w:sz="4" w:space="0"/>
              <w:right w:val="single" w:color="auto" w:sz="4" w:space="0"/>
            </w:tcBorders>
            <w:shd w:val="clear" w:color="auto" w:fill="FFFFFF"/>
            <w:vAlign w:val="center"/>
          </w:tcPr>
          <w:p>
            <w:pPr>
              <w:widowControl/>
              <w:spacing w:line="228" w:lineRule="auto"/>
              <w:jc w:val="center"/>
              <w:rPr>
                <w:sz w:val="18"/>
                <w:szCs w:val="18"/>
              </w:rPr>
            </w:pPr>
            <w:r>
              <w:rPr>
                <w:sz w:val="18"/>
                <w:szCs w:val="18"/>
              </w:rPr>
              <w:t>8．职业规范</w:t>
            </w:r>
          </w:p>
        </w:tc>
        <w:tc>
          <w:tcPr>
            <w:tcW w:w="5916" w:type="dxa"/>
            <w:tcBorders>
              <w:left w:val="single" w:color="auto" w:sz="4" w:space="0"/>
              <w:right w:val="single" w:color="auto" w:sz="4" w:space="0"/>
            </w:tcBorders>
            <w:shd w:val="clear" w:color="auto" w:fill="FFFFFF"/>
            <w:vAlign w:val="center"/>
          </w:tcPr>
          <w:p>
            <w:pPr>
              <w:widowControl/>
              <w:spacing w:line="360" w:lineRule="exact"/>
              <w:jc w:val="left"/>
              <w:rPr>
                <w:sz w:val="18"/>
                <w:szCs w:val="18"/>
              </w:rPr>
            </w:pPr>
            <w:r>
              <w:rPr>
                <w:sz w:val="18"/>
                <w:szCs w:val="18"/>
              </w:rPr>
              <w:t>8</w:t>
            </w:r>
            <w:r>
              <w:rPr>
                <w:rFonts w:hint="eastAsia"/>
                <w:sz w:val="18"/>
                <w:szCs w:val="18"/>
              </w:rPr>
              <w:t>.</w:t>
            </w:r>
            <w:r>
              <w:rPr>
                <w:sz w:val="18"/>
                <w:szCs w:val="18"/>
              </w:rPr>
              <w:t>2理解工程师的职业道德规范，在工程实践中能自觉遵守职业道德和规范，履行责任</w:t>
            </w:r>
            <w:r>
              <w:rPr>
                <w:rFonts w:hint="eastAsia"/>
                <w:sz w:val="18"/>
                <w:szCs w:val="18"/>
              </w:rPr>
              <w:t>，成为中国特色社会主义事业合格的建设者</w:t>
            </w:r>
            <w:r>
              <w:rPr>
                <w:sz w:val="18"/>
                <w:szCs w:val="18"/>
              </w:rPr>
              <w:t>。</w:t>
            </w:r>
          </w:p>
        </w:tc>
        <w:tc>
          <w:tcPr>
            <w:tcW w:w="942" w:type="dxa"/>
            <w:tcBorders>
              <w:top w:val="single" w:color="auto" w:sz="4" w:space="0"/>
              <w:left w:val="single" w:color="auto" w:sz="4" w:space="0"/>
              <w:right w:val="single" w:color="auto" w:sz="4" w:space="0"/>
            </w:tcBorders>
            <w:shd w:val="clear" w:color="auto" w:fill="FFFFFF"/>
            <w:vAlign w:val="center"/>
          </w:tcPr>
          <w:p>
            <w:pPr>
              <w:widowControl/>
              <w:spacing w:line="360" w:lineRule="exact"/>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1" w:hRule="atLeast"/>
          <w:jc w:val="center"/>
        </w:trPr>
        <w:tc>
          <w:tcPr>
            <w:tcW w:w="1181" w:type="dxa"/>
            <w:tcBorders>
              <w:left w:val="single" w:color="auto" w:sz="4" w:space="0"/>
              <w:right w:val="single" w:color="auto" w:sz="4" w:space="0"/>
            </w:tcBorders>
            <w:shd w:val="clear" w:color="auto" w:fill="FFFFFF"/>
            <w:vAlign w:val="center"/>
          </w:tcPr>
          <w:p>
            <w:pPr>
              <w:widowControl/>
              <w:spacing w:line="228" w:lineRule="auto"/>
              <w:jc w:val="center"/>
              <w:rPr>
                <w:sz w:val="18"/>
                <w:szCs w:val="18"/>
              </w:rPr>
            </w:pPr>
            <w:r>
              <w:rPr>
                <w:sz w:val="18"/>
                <w:szCs w:val="18"/>
              </w:rPr>
              <w:t>10．沟通</w:t>
            </w:r>
          </w:p>
        </w:tc>
        <w:tc>
          <w:tcPr>
            <w:tcW w:w="5916" w:type="dxa"/>
            <w:tcBorders>
              <w:left w:val="single" w:color="auto" w:sz="4" w:space="0"/>
              <w:right w:val="single" w:color="auto" w:sz="4" w:space="0"/>
            </w:tcBorders>
            <w:shd w:val="clear" w:color="auto" w:fill="FFFFFF"/>
            <w:vAlign w:val="center"/>
          </w:tcPr>
          <w:p>
            <w:pPr>
              <w:widowControl/>
              <w:spacing w:line="228" w:lineRule="auto"/>
              <w:jc w:val="left"/>
              <w:rPr>
                <w:sz w:val="18"/>
                <w:szCs w:val="18"/>
              </w:rPr>
            </w:pPr>
            <w:r>
              <w:rPr>
                <w:sz w:val="18"/>
                <w:szCs w:val="18"/>
              </w:rPr>
              <w:t>10</w:t>
            </w:r>
            <w:r>
              <w:rPr>
                <w:rFonts w:hint="eastAsia"/>
                <w:sz w:val="18"/>
                <w:szCs w:val="18"/>
              </w:rPr>
              <w:t>.</w:t>
            </w:r>
            <w:r>
              <w:rPr>
                <w:sz w:val="18"/>
                <w:szCs w:val="18"/>
              </w:rPr>
              <w:t>1具有良好的口头和书面表达能力，能够撰写复杂工程问题的设计方案与报告并就电子信息（含海洋电子信息）领域的专业问题跟业界同行及社会公众进行沟通交流，准确表达观点、回应质疑。</w:t>
            </w:r>
          </w:p>
        </w:tc>
        <w:tc>
          <w:tcPr>
            <w:tcW w:w="942" w:type="dxa"/>
            <w:tcBorders>
              <w:left w:val="single" w:color="auto" w:sz="4" w:space="0"/>
              <w:bottom w:val="single" w:color="auto" w:sz="4" w:space="0"/>
              <w:right w:val="single" w:color="auto" w:sz="4" w:space="0"/>
            </w:tcBorders>
            <w:shd w:val="clear" w:color="auto" w:fill="FFFFFF"/>
            <w:vAlign w:val="center"/>
          </w:tcPr>
          <w:p>
            <w:pPr>
              <w:widowControl/>
              <w:spacing w:line="228" w:lineRule="auto"/>
              <w:jc w:val="center"/>
              <w:rPr>
                <w:sz w:val="18"/>
                <w:szCs w:val="18"/>
              </w:rPr>
            </w:pPr>
            <w:r>
              <w:rPr>
                <w:sz w:val="18"/>
                <w:szCs w:val="18"/>
              </w:rPr>
              <w:t>3</w:t>
            </w:r>
          </w:p>
        </w:tc>
      </w:tr>
    </w:tbl>
    <w:p>
      <w:pPr>
        <w:snapToGrid w:val="0"/>
        <w:spacing w:before="159" w:beforeLines="50" w:after="159" w:afterLines="50" w:line="300" w:lineRule="auto"/>
        <w:rPr>
          <w:b/>
          <w:sz w:val="24"/>
        </w:rPr>
      </w:pPr>
      <w:r>
        <w:rPr>
          <w:b/>
          <w:sz w:val="24"/>
        </w:rPr>
        <w:t>三、课程教学目标达成途径（或教学设计）</w:t>
      </w:r>
    </w:p>
    <w:p>
      <w:pPr>
        <w:snapToGrid w:val="0"/>
        <w:spacing w:line="300" w:lineRule="auto"/>
        <w:jc w:val="center"/>
        <w:rPr>
          <w:b/>
          <w:bCs/>
          <w:szCs w:val="21"/>
        </w:rPr>
      </w:pPr>
      <w:r>
        <w:rPr>
          <w:b/>
          <w:bCs/>
          <w:sz w:val="18"/>
          <w:szCs w:val="18"/>
        </w:rPr>
        <w:t>表2教学目标达成途径</w:t>
      </w:r>
    </w:p>
    <w:tbl>
      <w:tblPr>
        <w:tblStyle w:val="22"/>
        <w:tblW w:w="8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483"/>
        <w:gridCol w:w="193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54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课程教学目标</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达成途径</w:t>
            </w:r>
          </w:p>
        </w:tc>
        <w:tc>
          <w:tcPr>
            <w:tcW w:w="14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54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pacing w:line="276" w:lineRule="auto"/>
              <w:jc w:val="left"/>
              <w:textAlignment w:val="baseline"/>
              <w:rPr>
                <w:kern w:val="0"/>
                <w:sz w:val="18"/>
                <w:szCs w:val="18"/>
              </w:rPr>
            </w:pPr>
            <w:r>
              <w:rPr>
                <w:kern w:val="0"/>
                <w:sz w:val="18"/>
                <w:szCs w:val="18"/>
              </w:rPr>
              <w:t>1. 通过相关工程相关背景知识和成功案例的示范，培养学生基本的工程规范与实践技能；为学生以后在相应领域的工作奠定良好的工程管理与决策基础。</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pacing w:line="276" w:lineRule="auto"/>
              <w:jc w:val="left"/>
              <w:textAlignment w:val="baseline"/>
              <w:rPr>
                <w:kern w:val="0"/>
                <w:sz w:val="18"/>
                <w:szCs w:val="18"/>
              </w:rPr>
            </w:pPr>
            <w:r>
              <w:rPr>
                <w:kern w:val="0"/>
                <w:sz w:val="18"/>
                <w:szCs w:val="18"/>
              </w:rPr>
              <w:t>资料查询与调研，案例分析，团队组建与指导，研讨与自学等。</w:t>
            </w:r>
          </w:p>
        </w:tc>
        <w:tc>
          <w:tcPr>
            <w:tcW w:w="14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E w:val="0"/>
              <w:autoSpaceDN w:val="0"/>
              <w:adjustRightInd w:val="0"/>
              <w:jc w:val="left"/>
              <w:rPr>
                <w:sz w:val="18"/>
                <w:szCs w:val="18"/>
              </w:rPr>
            </w:pPr>
            <w:r>
              <w:rPr>
                <w:sz w:val="18"/>
                <w:szCs w:val="18"/>
              </w:rPr>
              <w:t>考勤记录，实习材料、总结与报告，论文撰写。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54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pacing w:line="276" w:lineRule="auto"/>
              <w:jc w:val="left"/>
              <w:textAlignment w:val="baseline"/>
              <w:rPr>
                <w:kern w:val="0"/>
                <w:sz w:val="18"/>
                <w:szCs w:val="18"/>
              </w:rPr>
            </w:pPr>
            <w:r>
              <w:rPr>
                <w:kern w:val="0"/>
                <w:sz w:val="18"/>
                <w:szCs w:val="18"/>
              </w:rPr>
              <w:t>2. 以学生为中心，营造轻松愉快的实践环境提高学生的学习兴趣，培养学生严肃认真、实事求是的良好职业道德，有效地提升学生的认知、情绪、行为、专业素质等综合能力。</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E w:val="0"/>
              <w:autoSpaceDN w:val="0"/>
              <w:adjustRightInd w:val="0"/>
              <w:jc w:val="left"/>
              <w:rPr>
                <w:sz w:val="18"/>
                <w:szCs w:val="18"/>
              </w:rPr>
            </w:pPr>
            <w:r>
              <w:rPr>
                <w:kern w:val="0"/>
                <w:sz w:val="18"/>
                <w:szCs w:val="18"/>
              </w:rPr>
              <w:t>资料查询与调研，</w:t>
            </w:r>
            <w:r>
              <w:rPr>
                <w:sz w:val="18"/>
                <w:szCs w:val="18"/>
              </w:rPr>
              <w:t>案例分析，现场汇报与指导，研讨与自学等。</w:t>
            </w:r>
          </w:p>
        </w:tc>
        <w:tc>
          <w:tcPr>
            <w:tcW w:w="14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E w:val="0"/>
              <w:autoSpaceDN w:val="0"/>
              <w:adjustRightInd w:val="0"/>
              <w:jc w:val="left"/>
              <w:rPr>
                <w:sz w:val="18"/>
                <w:szCs w:val="18"/>
              </w:rPr>
            </w:pPr>
            <w:r>
              <w:rPr>
                <w:sz w:val="18"/>
                <w:szCs w:val="18"/>
              </w:rPr>
              <w:t>考勤记录，实习材料、总结与报告，论文撰写。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54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pacing w:line="276" w:lineRule="auto"/>
              <w:jc w:val="left"/>
              <w:textAlignment w:val="baseline"/>
              <w:rPr>
                <w:kern w:val="0"/>
                <w:sz w:val="18"/>
                <w:szCs w:val="18"/>
              </w:rPr>
            </w:pPr>
            <w:r>
              <w:rPr>
                <w:kern w:val="0"/>
                <w:sz w:val="18"/>
                <w:szCs w:val="18"/>
              </w:rPr>
              <w:t>3. 培养学生良好的表达能力和可持续发展的学习能力，从而进一步提高学生的沟通能力和团队协作精神。</w:t>
            </w:r>
          </w:p>
        </w:tc>
        <w:tc>
          <w:tcPr>
            <w:tcW w:w="19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E w:val="0"/>
              <w:autoSpaceDN w:val="0"/>
              <w:adjustRightInd w:val="0"/>
              <w:jc w:val="left"/>
              <w:rPr>
                <w:sz w:val="18"/>
                <w:szCs w:val="18"/>
              </w:rPr>
            </w:pPr>
            <w:r>
              <w:rPr>
                <w:kern w:val="0"/>
                <w:sz w:val="18"/>
                <w:szCs w:val="18"/>
              </w:rPr>
              <w:t>资料查询与调研，</w:t>
            </w:r>
            <w:r>
              <w:rPr>
                <w:sz w:val="18"/>
                <w:szCs w:val="18"/>
              </w:rPr>
              <w:t>案例分析，团队协作与沟通，研讨与自学等。</w:t>
            </w:r>
          </w:p>
        </w:tc>
        <w:tc>
          <w:tcPr>
            <w:tcW w:w="14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utoSpaceDE w:val="0"/>
              <w:autoSpaceDN w:val="0"/>
              <w:adjustRightInd w:val="0"/>
              <w:jc w:val="left"/>
              <w:rPr>
                <w:sz w:val="18"/>
                <w:szCs w:val="18"/>
              </w:rPr>
            </w:pPr>
            <w:r>
              <w:rPr>
                <w:sz w:val="18"/>
                <w:szCs w:val="18"/>
              </w:rPr>
              <w:t>考勤记录，实习材料、总结与报告，论文撰写。</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95"/>
        <w:gridCol w:w="2069"/>
        <w:gridCol w:w="4226"/>
        <w:gridCol w:w="567"/>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07" w:hRule="atLeast"/>
          <w:tblHeader/>
          <w:jc w:val="center"/>
        </w:trPr>
        <w:tc>
          <w:tcPr>
            <w:tcW w:w="595" w:type="dxa"/>
            <w:shd w:val="clear" w:color="auto" w:fill="FFFFFF"/>
            <w:tcMar>
              <w:left w:w="57" w:type="dxa"/>
              <w:right w:w="57" w:type="dxa"/>
            </w:tcMar>
            <w:vAlign w:val="center"/>
          </w:tcPr>
          <w:p>
            <w:pPr>
              <w:widowControl/>
              <w:snapToGrid w:val="0"/>
              <w:jc w:val="center"/>
              <w:rPr>
                <w:b/>
                <w:kern w:val="0"/>
                <w:sz w:val="18"/>
                <w:szCs w:val="18"/>
              </w:rPr>
            </w:pPr>
            <w:r>
              <w:rPr>
                <w:b/>
                <w:kern w:val="0"/>
                <w:sz w:val="18"/>
                <w:szCs w:val="18"/>
              </w:rPr>
              <w:t>序号</w:t>
            </w:r>
          </w:p>
        </w:tc>
        <w:tc>
          <w:tcPr>
            <w:tcW w:w="2069" w:type="dxa"/>
            <w:shd w:val="clear" w:color="auto" w:fill="FFFFFF"/>
            <w:vAlign w:val="center"/>
          </w:tcPr>
          <w:p>
            <w:pPr>
              <w:widowControl/>
              <w:snapToGrid w:val="0"/>
              <w:jc w:val="center"/>
              <w:rPr>
                <w:b/>
                <w:kern w:val="0"/>
                <w:sz w:val="18"/>
                <w:szCs w:val="18"/>
              </w:rPr>
            </w:pPr>
            <w:r>
              <w:rPr>
                <w:b/>
                <w:bCs/>
                <w:sz w:val="18"/>
                <w:szCs w:val="18"/>
              </w:rPr>
              <w:t>教学内容</w:t>
            </w:r>
          </w:p>
        </w:tc>
        <w:tc>
          <w:tcPr>
            <w:tcW w:w="4226" w:type="dxa"/>
            <w:shd w:val="clear" w:color="auto" w:fill="FFFFFF"/>
            <w:vAlign w:val="center"/>
          </w:tcPr>
          <w:p>
            <w:pPr>
              <w:widowControl/>
              <w:snapToGrid w:val="0"/>
              <w:jc w:val="center"/>
              <w:rPr>
                <w:b/>
                <w:kern w:val="0"/>
                <w:sz w:val="18"/>
                <w:szCs w:val="18"/>
              </w:rPr>
            </w:pPr>
            <w:r>
              <w:rPr>
                <w:b/>
                <w:kern w:val="0"/>
                <w:sz w:val="18"/>
                <w:szCs w:val="18"/>
              </w:rPr>
              <w:t>教与学的要求</w:t>
            </w:r>
          </w:p>
        </w:tc>
        <w:tc>
          <w:tcPr>
            <w:tcW w:w="567" w:type="dxa"/>
            <w:shd w:val="clear" w:color="auto" w:fill="FFFFFF"/>
            <w:vAlign w:val="center"/>
          </w:tcPr>
          <w:p>
            <w:pPr>
              <w:widowControl/>
              <w:snapToGrid w:val="0"/>
              <w:jc w:val="center"/>
              <w:rPr>
                <w:b/>
                <w:kern w:val="0"/>
                <w:sz w:val="18"/>
                <w:szCs w:val="18"/>
              </w:rPr>
            </w:pPr>
            <w:r>
              <w:rPr>
                <w:b/>
                <w:kern w:val="0"/>
                <w:sz w:val="18"/>
                <w:szCs w:val="18"/>
              </w:rPr>
              <w:t>学时</w:t>
            </w:r>
          </w:p>
        </w:tc>
        <w:tc>
          <w:tcPr>
            <w:tcW w:w="1114" w:type="dxa"/>
            <w:shd w:val="clear" w:color="auto" w:fill="FFFFFF"/>
            <w:vAlign w:val="center"/>
          </w:tcPr>
          <w:p>
            <w:pPr>
              <w:widowControl/>
              <w:snapToGrid w:val="0"/>
              <w:jc w:val="center"/>
              <w:rPr>
                <w:b/>
                <w:kern w:val="0"/>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1</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1 组建团队</w:t>
            </w:r>
          </w:p>
          <w:p>
            <w:pPr>
              <w:widowControl/>
              <w:autoSpaceDE w:val="0"/>
              <w:autoSpaceDN w:val="0"/>
              <w:adjustRightInd w:val="0"/>
              <w:rPr>
                <w:kern w:val="0"/>
                <w:sz w:val="18"/>
                <w:szCs w:val="18"/>
              </w:rPr>
            </w:pPr>
            <w:r>
              <w:rPr>
                <w:kern w:val="0"/>
                <w:sz w:val="18"/>
                <w:szCs w:val="18"/>
              </w:rPr>
              <w:t>1.1团体心理训练与培养</w:t>
            </w:r>
          </w:p>
          <w:p>
            <w:pPr>
              <w:widowControl/>
              <w:autoSpaceDE w:val="0"/>
              <w:autoSpaceDN w:val="0"/>
              <w:adjustRightInd w:val="0"/>
              <w:rPr>
                <w:kern w:val="0"/>
                <w:sz w:val="18"/>
                <w:szCs w:val="18"/>
              </w:rPr>
            </w:pPr>
            <w:r>
              <w:rPr>
                <w:kern w:val="0"/>
                <w:sz w:val="18"/>
                <w:szCs w:val="18"/>
              </w:rPr>
              <w:t>1.2组建团队训练</w:t>
            </w:r>
          </w:p>
          <w:p>
            <w:r>
              <w:rPr>
                <w:sz w:val="18"/>
                <w:szCs w:val="18"/>
              </w:rPr>
              <w:t>课程思政主题：讲述志愿军在抗美援</w:t>
            </w:r>
            <w:r>
              <w:rPr>
                <w:rFonts w:hint="eastAsia"/>
                <w:sz w:val="18"/>
                <w:szCs w:val="18"/>
              </w:rPr>
              <w:t>朝发挥团队协作精神战胜</w:t>
            </w:r>
            <w:r>
              <w:rPr>
                <w:sz w:val="18"/>
                <w:szCs w:val="18"/>
              </w:rPr>
              <w:t>美军的事迹。</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（1）了解：团队理念</w:t>
            </w:r>
          </w:p>
          <w:p>
            <w:pPr>
              <w:widowControl/>
              <w:autoSpaceDE w:val="0"/>
              <w:autoSpaceDN w:val="0"/>
              <w:adjustRightInd w:val="0"/>
              <w:rPr>
                <w:kern w:val="0"/>
                <w:sz w:val="18"/>
                <w:szCs w:val="18"/>
              </w:rPr>
            </w:pPr>
            <w:r>
              <w:rPr>
                <w:kern w:val="0"/>
                <w:sz w:val="18"/>
                <w:szCs w:val="18"/>
              </w:rPr>
              <w:t>（2）理解：团队观念对成功的积极推动作用</w:t>
            </w:r>
          </w:p>
          <w:p>
            <w:pPr>
              <w:widowControl/>
              <w:autoSpaceDE w:val="0"/>
              <w:autoSpaceDN w:val="0"/>
              <w:adjustRightInd w:val="0"/>
              <w:rPr>
                <w:kern w:val="0"/>
                <w:sz w:val="18"/>
                <w:szCs w:val="18"/>
              </w:rPr>
            </w:pPr>
            <w:r>
              <w:rPr>
                <w:kern w:val="0"/>
                <w:sz w:val="18"/>
                <w:szCs w:val="18"/>
              </w:rPr>
              <w:t>（3）掌握：团队组建模式与方法</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（2）指导团队组建</w:t>
            </w:r>
          </w:p>
        </w:tc>
        <w:tc>
          <w:tcPr>
            <w:tcW w:w="567" w:type="dxa"/>
            <w:shd w:val="clear" w:color="auto" w:fill="FFFFFF"/>
            <w:vAlign w:val="center"/>
          </w:tcPr>
          <w:p>
            <w:pPr>
              <w:widowControl/>
              <w:jc w:val="center"/>
              <w:rPr>
                <w:kern w:val="0"/>
                <w:sz w:val="18"/>
                <w:szCs w:val="18"/>
              </w:rPr>
            </w:pPr>
            <w:r>
              <w:rPr>
                <w:kern w:val="0"/>
                <w:sz w:val="18"/>
                <w:szCs w:val="18"/>
              </w:rPr>
              <w:t>2</w:t>
            </w:r>
          </w:p>
        </w:tc>
        <w:tc>
          <w:tcPr>
            <w:tcW w:w="1114" w:type="dxa"/>
            <w:shd w:val="clear" w:color="auto" w:fill="FFFFFF"/>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2</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2 团队凝聚力</w:t>
            </w:r>
          </w:p>
          <w:p>
            <w:pPr>
              <w:widowControl/>
              <w:autoSpaceDE w:val="0"/>
              <w:autoSpaceDN w:val="0"/>
              <w:adjustRightInd w:val="0"/>
              <w:rPr>
                <w:kern w:val="0"/>
                <w:sz w:val="18"/>
                <w:szCs w:val="18"/>
              </w:rPr>
            </w:pPr>
            <w:r>
              <w:rPr>
                <w:kern w:val="0"/>
                <w:sz w:val="18"/>
                <w:szCs w:val="18"/>
              </w:rPr>
              <w:t>2.1热身游戏选择与实践</w:t>
            </w:r>
          </w:p>
          <w:p>
            <w:pPr>
              <w:widowControl/>
              <w:autoSpaceDE w:val="0"/>
              <w:autoSpaceDN w:val="0"/>
              <w:adjustRightInd w:val="0"/>
              <w:rPr>
                <w:kern w:val="0"/>
                <w:sz w:val="18"/>
                <w:szCs w:val="18"/>
              </w:rPr>
            </w:pPr>
            <w:r>
              <w:rPr>
                <w:kern w:val="0"/>
                <w:sz w:val="18"/>
                <w:szCs w:val="18"/>
              </w:rPr>
              <w:t>2.2足球游戏、篮球游戏（选出队长、副队长）</w:t>
            </w:r>
          </w:p>
          <w:p>
            <w:pPr>
              <w:widowControl/>
              <w:autoSpaceDE w:val="0"/>
              <w:autoSpaceDN w:val="0"/>
              <w:adjustRightInd w:val="0"/>
              <w:rPr>
                <w:kern w:val="0"/>
                <w:sz w:val="18"/>
                <w:szCs w:val="18"/>
              </w:rPr>
            </w:pPr>
            <w:r>
              <w:rPr>
                <w:kern w:val="0"/>
                <w:sz w:val="18"/>
                <w:szCs w:val="18"/>
              </w:rPr>
              <w:t>2.3组建创新创业团队</w:t>
            </w:r>
          </w:p>
          <w:p>
            <w:pPr>
              <w:widowControl/>
              <w:autoSpaceDE w:val="0"/>
              <w:autoSpaceDN w:val="0"/>
              <w:adjustRightInd w:val="0"/>
              <w:rPr>
                <w:kern w:val="0"/>
                <w:sz w:val="18"/>
                <w:szCs w:val="18"/>
              </w:rPr>
            </w:pPr>
            <w:r>
              <w:rPr>
                <w:kern w:val="0"/>
                <w:sz w:val="18"/>
                <w:szCs w:val="18"/>
              </w:rPr>
              <w:t>2.4专业团队建设研究</w:t>
            </w:r>
          </w:p>
          <w:p>
            <w:pPr>
              <w:widowControl/>
              <w:autoSpaceDE w:val="0"/>
              <w:autoSpaceDN w:val="0"/>
              <w:adjustRightInd w:val="0"/>
              <w:rPr>
                <w:kern w:val="0"/>
                <w:sz w:val="18"/>
                <w:szCs w:val="18"/>
              </w:rPr>
            </w:pPr>
            <w:r>
              <w:rPr>
                <w:kern w:val="0"/>
                <w:sz w:val="18"/>
                <w:szCs w:val="18"/>
              </w:rPr>
              <w:t>2.5团队实践</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（1）了解：团队集体力量对团队目标实现的作用</w:t>
            </w:r>
          </w:p>
          <w:p>
            <w:pPr>
              <w:widowControl/>
              <w:autoSpaceDE w:val="0"/>
              <w:autoSpaceDN w:val="0"/>
              <w:adjustRightInd w:val="0"/>
              <w:rPr>
                <w:kern w:val="0"/>
                <w:sz w:val="18"/>
                <w:szCs w:val="18"/>
              </w:rPr>
            </w:pPr>
            <w:r>
              <w:rPr>
                <w:kern w:val="0"/>
                <w:sz w:val="18"/>
                <w:szCs w:val="18"/>
              </w:rPr>
              <w:t>（2）理解：团队凝聚力建立的方法、方式</w:t>
            </w:r>
          </w:p>
          <w:p>
            <w:pPr>
              <w:widowControl/>
              <w:autoSpaceDE w:val="0"/>
              <w:autoSpaceDN w:val="0"/>
              <w:adjustRightInd w:val="0"/>
              <w:rPr>
                <w:kern w:val="0"/>
                <w:sz w:val="18"/>
                <w:szCs w:val="18"/>
              </w:rPr>
            </w:pPr>
            <w:r>
              <w:rPr>
                <w:kern w:val="0"/>
                <w:sz w:val="18"/>
                <w:szCs w:val="18"/>
              </w:rPr>
              <w:t>（3）掌握：组织学生共同完成具有一定难度的任务，从中体验到团队凝聚力的作用</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（2）指导团队活动</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3</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3 沟通风格</w:t>
            </w:r>
          </w:p>
          <w:p>
            <w:pPr>
              <w:widowControl/>
              <w:autoSpaceDE w:val="0"/>
              <w:autoSpaceDN w:val="0"/>
              <w:adjustRightInd w:val="0"/>
              <w:rPr>
                <w:kern w:val="0"/>
                <w:sz w:val="18"/>
                <w:szCs w:val="18"/>
              </w:rPr>
            </w:pPr>
            <w:r>
              <w:rPr>
                <w:kern w:val="0"/>
                <w:sz w:val="18"/>
                <w:szCs w:val="18"/>
              </w:rPr>
              <w:t>3.1人际沟通概述</w:t>
            </w:r>
          </w:p>
          <w:p>
            <w:pPr>
              <w:widowControl/>
              <w:autoSpaceDE w:val="0"/>
              <w:autoSpaceDN w:val="0"/>
              <w:adjustRightInd w:val="0"/>
              <w:rPr>
                <w:kern w:val="0"/>
                <w:sz w:val="18"/>
                <w:szCs w:val="18"/>
              </w:rPr>
            </w:pPr>
            <w:r>
              <w:rPr>
                <w:kern w:val="0"/>
                <w:sz w:val="18"/>
                <w:szCs w:val="18"/>
              </w:rPr>
              <w:t>3.2人际沟通风格测试</w:t>
            </w:r>
          </w:p>
          <w:p>
            <w:pPr>
              <w:widowControl/>
              <w:autoSpaceDE w:val="0"/>
              <w:autoSpaceDN w:val="0"/>
              <w:adjustRightInd w:val="0"/>
              <w:rPr>
                <w:kern w:val="0"/>
                <w:sz w:val="18"/>
                <w:szCs w:val="18"/>
              </w:rPr>
            </w:pPr>
            <w:r>
              <w:rPr>
                <w:kern w:val="0"/>
                <w:sz w:val="18"/>
                <w:szCs w:val="18"/>
              </w:rPr>
              <w:t>3.3生存与求生技能训练</w:t>
            </w:r>
          </w:p>
          <w:p>
            <w:pPr>
              <w:widowControl/>
              <w:autoSpaceDE w:val="0"/>
              <w:autoSpaceDN w:val="0"/>
              <w:adjustRightInd w:val="0"/>
              <w:rPr>
                <w:kern w:val="0"/>
                <w:sz w:val="18"/>
                <w:szCs w:val="18"/>
              </w:rPr>
            </w:pPr>
            <w:r>
              <w:rPr>
                <w:kern w:val="0"/>
                <w:sz w:val="18"/>
                <w:szCs w:val="18"/>
              </w:rPr>
              <w:t>3.4交流回顾</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（1）了解：一般概念上的沟通含义与沟通的原理与方法</w:t>
            </w:r>
          </w:p>
          <w:p>
            <w:pPr>
              <w:widowControl/>
              <w:autoSpaceDE w:val="0"/>
              <w:autoSpaceDN w:val="0"/>
              <w:adjustRightInd w:val="0"/>
              <w:rPr>
                <w:kern w:val="0"/>
                <w:sz w:val="18"/>
                <w:szCs w:val="18"/>
              </w:rPr>
            </w:pPr>
            <w:r>
              <w:rPr>
                <w:kern w:val="0"/>
                <w:sz w:val="18"/>
                <w:szCs w:val="18"/>
              </w:rPr>
              <w:t>（2）理解：沟通的重要性与不同人群的沟通风格</w:t>
            </w:r>
          </w:p>
          <w:p>
            <w:pPr>
              <w:widowControl/>
              <w:autoSpaceDE w:val="0"/>
              <w:autoSpaceDN w:val="0"/>
              <w:adjustRightInd w:val="0"/>
              <w:rPr>
                <w:kern w:val="0"/>
                <w:sz w:val="18"/>
                <w:szCs w:val="18"/>
              </w:rPr>
            </w:pPr>
            <w:r>
              <w:rPr>
                <w:kern w:val="0"/>
                <w:sz w:val="18"/>
                <w:szCs w:val="18"/>
              </w:rPr>
              <w:t>（3）掌握：专业团队间沟通方法、技巧，学会在激烈的竞争中获得双赢</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（2）组织团队沟通测试</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bCs/>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4</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4 抗挫折能力</w:t>
            </w:r>
          </w:p>
          <w:p>
            <w:pPr>
              <w:widowControl/>
              <w:autoSpaceDE w:val="0"/>
              <w:autoSpaceDN w:val="0"/>
              <w:adjustRightInd w:val="0"/>
              <w:rPr>
                <w:kern w:val="0"/>
                <w:sz w:val="18"/>
                <w:szCs w:val="18"/>
              </w:rPr>
            </w:pPr>
            <w:r>
              <w:rPr>
                <w:kern w:val="0"/>
                <w:sz w:val="18"/>
                <w:szCs w:val="18"/>
              </w:rPr>
              <w:t>4.1压力管理与抗挫折能力</w:t>
            </w:r>
          </w:p>
          <w:p>
            <w:pPr>
              <w:widowControl/>
              <w:autoSpaceDE w:val="0"/>
              <w:autoSpaceDN w:val="0"/>
              <w:adjustRightInd w:val="0"/>
              <w:rPr>
                <w:kern w:val="0"/>
                <w:sz w:val="18"/>
                <w:szCs w:val="18"/>
              </w:rPr>
            </w:pPr>
            <w:r>
              <w:rPr>
                <w:kern w:val="0"/>
                <w:sz w:val="18"/>
                <w:szCs w:val="18"/>
              </w:rPr>
              <w:t>4.2极限运动与挑战自我活动</w:t>
            </w:r>
          </w:p>
          <w:p>
            <w:pPr>
              <w:widowControl/>
              <w:autoSpaceDE w:val="0"/>
              <w:autoSpaceDN w:val="0"/>
              <w:adjustRightInd w:val="0"/>
              <w:rPr>
                <w:kern w:val="0"/>
                <w:sz w:val="18"/>
                <w:szCs w:val="18"/>
              </w:rPr>
            </w:pPr>
            <w:r>
              <w:rPr>
                <w:kern w:val="0"/>
                <w:sz w:val="18"/>
                <w:szCs w:val="18"/>
              </w:rPr>
              <w:t>4.3交流回顾</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（1）了解：工作学习生活容易产生压力的方面与因素</w:t>
            </w:r>
          </w:p>
          <w:p>
            <w:pPr>
              <w:widowControl/>
              <w:autoSpaceDE w:val="0"/>
              <w:autoSpaceDN w:val="0"/>
              <w:adjustRightInd w:val="0"/>
              <w:rPr>
                <w:kern w:val="0"/>
                <w:sz w:val="18"/>
                <w:szCs w:val="18"/>
              </w:rPr>
            </w:pPr>
            <w:r>
              <w:rPr>
                <w:kern w:val="0"/>
                <w:sz w:val="18"/>
                <w:szCs w:val="18"/>
              </w:rPr>
              <w:t>（2）理解：产生压力与挫折问题的成因</w:t>
            </w:r>
          </w:p>
          <w:p>
            <w:pPr>
              <w:widowControl/>
              <w:autoSpaceDE w:val="0"/>
              <w:autoSpaceDN w:val="0"/>
              <w:adjustRightInd w:val="0"/>
              <w:rPr>
                <w:kern w:val="0"/>
                <w:sz w:val="18"/>
                <w:szCs w:val="18"/>
              </w:rPr>
            </w:pPr>
            <w:r>
              <w:rPr>
                <w:kern w:val="0"/>
                <w:sz w:val="18"/>
                <w:szCs w:val="18"/>
              </w:rPr>
              <w:t>（3）掌握：抵抗压力与应对挫折的方法</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（2）指导团队极限运动</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5</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5 思维突破与创新</w:t>
            </w:r>
          </w:p>
          <w:p>
            <w:pPr>
              <w:widowControl/>
              <w:autoSpaceDE w:val="0"/>
              <w:autoSpaceDN w:val="0"/>
              <w:adjustRightInd w:val="0"/>
              <w:rPr>
                <w:kern w:val="0"/>
                <w:sz w:val="18"/>
                <w:szCs w:val="18"/>
              </w:rPr>
            </w:pPr>
            <w:r>
              <w:rPr>
                <w:kern w:val="0"/>
                <w:sz w:val="18"/>
                <w:szCs w:val="18"/>
              </w:rPr>
              <w:t>5.1思维定势与思维创新</w:t>
            </w:r>
          </w:p>
          <w:p>
            <w:pPr>
              <w:widowControl/>
              <w:autoSpaceDE w:val="0"/>
              <w:autoSpaceDN w:val="0"/>
              <w:adjustRightInd w:val="0"/>
              <w:rPr>
                <w:kern w:val="0"/>
                <w:sz w:val="18"/>
                <w:szCs w:val="18"/>
              </w:rPr>
            </w:pPr>
            <w:r>
              <w:rPr>
                <w:kern w:val="0"/>
                <w:sz w:val="18"/>
                <w:szCs w:val="18"/>
              </w:rPr>
              <w:t>5.2协同合作</w:t>
            </w:r>
          </w:p>
          <w:p>
            <w:pPr>
              <w:widowControl/>
              <w:autoSpaceDE w:val="0"/>
              <w:autoSpaceDN w:val="0"/>
              <w:adjustRightInd w:val="0"/>
              <w:rPr>
                <w:kern w:val="0"/>
                <w:sz w:val="18"/>
                <w:szCs w:val="18"/>
              </w:rPr>
            </w:pPr>
            <w:r>
              <w:rPr>
                <w:kern w:val="0"/>
                <w:sz w:val="18"/>
                <w:szCs w:val="18"/>
              </w:rPr>
              <w:t>5.3突破生活、学习、工作中的“雷阵”</w:t>
            </w:r>
          </w:p>
          <w:p>
            <w:pPr>
              <w:widowControl/>
              <w:autoSpaceDE w:val="0"/>
              <w:autoSpaceDN w:val="0"/>
              <w:adjustRightInd w:val="0"/>
              <w:rPr>
                <w:kern w:val="0"/>
                <w:sz w:val="18"/>
                <w:szCs w:val="18"/>
              </w:rPr>
            </w:pPr>
            <w:r>
              <w:rPr>
                <w:kern w:val="0"/>
                <w:sz w:val="18"/>
                <w:szCs w:val="18"/>
              </w:rPr>
              <w:t>5.4交流回顾</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（1）了解：思维创新的特点和途径</w:t>
            </w:r>
          </w:p>
          <w:p>
            <w:pPr>
              <w:widowControl/>
              <w:autoSpaceDE w:val="0"/>
              <w:autoSpaceDN w:val="0"/>
              <w:adjustRightInd w:val="0"/>
              <w:rPr>
                <w:kern w:val="0"/>
                <w:sz w:val="18"/>
                <w:szCs w:val="18"/>
              </w:rPr>
            </w:pPr>
            <w:r>
              <w:rPr>
                <w:kern w:val="0"/>
                <w:sz w:val="18"/>
                <w:szCs w:val="18"/>
              </w:rPr>
              <w:t>（2）理解：突破思维定势，发挥创造性，培养独创精神的必要性</w:t>
            </w:r>
          </w:p>
          <w:p>
            <w:pPr>
              <w:widowControl/>
              <w:autoSpaceDE w:val="0"/>
              <w:autoSpaceDN w:val="0"/>
              <w:adjustRightInd w:val="0"/>
              <w:rPr>
                <w:kern w:val="0"/>
                <w:sz w:val="18"/>
                <w:szCs w:val="18"/>
              </w:rPr>
            </w:pPr>
            <w:r>
              <w:rPr>
                <w:kern w:val="0"/>
                <w:sz w:val="18"/>
                <w:szCs w:val="18"/>
              </w:rPr>
              <w:t>（3）掌握：协同创新方法</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（2）指导团队协作</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bCs/>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6</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6 提升自信</w:t>
            </w:r>
          </w:p>
          <w:p>
            <w:pPr>
              <w:widowControl/>
              <w:autoSpaceDE w:val="0"/>
              <w:autoSpaceDN w:val="0"/>
              <w:adjustRightInd w:val="0"/>
              <w:rPr>
                <w:kern w:val="0"/>
                <w:sz w:val="18"/>
                <w:szCs w:val="18"/>
              </w:rPr>
            </w:pPr>
            <w:r>
              <w:rPr>
                <w:kern w:val="0"/>
                <w:sz w:val="18"/>
                <w:szCs w:val="18"/>
              </w:rPr>
              <w:t>6.1大学生自我意识特点</w:t>
            </w:r>
          </w:p>
          <w:p>
            <w:pPr>
              <w:widowControl/>
              <w:autoSpaceDE w:val="0"/>
              <w:autoSpaceDN w:val="0"/>
              <w:adjustRightInd w:val="0"/>
              <w:rPr>
                <w:kern w:val="0"/>
                <w:sz w:val="18"/>
                <w:szCs w:val="18"/>
              </w:rPr>
            </w:pPr>
            <w:r>
              <w:rPr>
                <w:kern w:val="0"/>
                <w:sz w:val="18"/>
                <w:szCs w:val="18"/>
              </w:rPr>
              <w:t>6.2交流回顾</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（1）了解：本人特质</w:t>
            </w:r>
          </w:p>
          <w:p>
            <w:pPr>
              <w:widowControl/>
              <w:autoSpaceDE w:val="0"/>
              <w:autoSpaceDN w:val="0"/>
              <w:adjustRightInd w:val="0"/>
              <w:rPr>
                <w:kern w:val="0"/>
                <w:sz w:val="18"/>
                <w:szCs w:val="18"/>
              </w:rPr>
            </w:pPr>
            <w:r>
              <w:rPr>
                <w:kern w:val="0"/>
                <w:sz w:val="18"/>
                <w:szCs w:val="18"/>
              </w:rPr>
              <w:t>（2）理解：自信心的基本特点</w:t>
            </w:r>
          </w:p>
          <w:p>
            <w:pPr>
              <w:widowControl/>
              <w:autoSpaceDE w:val="0"/>
              <w:autoSpaceDN w:val="0"/>
              <w:adjustRightInd w:val="0"/>
              <w:rPr>
                <w:kern w:val="0"/>
                <w:sz w:val="18"/>
                <w:szCs w:val="18"/>
              </w:rPr>
            </w:pPr>
            <w:r>
              <w:rPr>
                <w:kern w:val="0"/>
                <w:sz w:val="18"/>
                <w:szCs w:val="18"/>
              </w:rPr>
              <w:t>（3）掌握：提升自信心的方法</w:t>
            </w:r>
          </w:p>
          <w:p>
            <w:pPr>
              <w:widowControl/>
              <w:autoSpaceDE w:val="0"/>
              <w:autoSpaceDN w:val="0"/>
              <w:adjustRightInd w:val="0"/>
              <w:rPr>
                <w:kern w:val="0"/>
                <w:sz w:val="18"/>
                <w:szCs w:val="18"/>
              </w:rPr>
            </w:pPr>
            <w:r>
              <w:rPr>
                <w:kern w:val="0"/>
                <w:sz w:val="18"/>
                <w:szCs w:val="18"/>
              </w:rPr>
              <w:t>2、对教师的要求：</w:t>
            </w:r>
          </w:p>
          <w:p>
            <w:pPr>
              <w:widowControl/>
              <w:autoSpaceDE w:val="0"/>
              <w:autoSpaceDN w:val="0"/>
              <w:adjustRightInd w:val="0"/>
              <w:rPr>
                <w:kern w:val="0"/>
                <w:sz w:val="18"/>
                <w:szCs w:val="18"/>
              </w:rPr>
            </w:pPr>
            <w:r>
              <w:rPr>
                <w:kern w:val="0"/>
                <w:sz w:val="18"/>
                <w:szCs w:val="18"/>
              </w:rPr>
              <w:t>（1）案例教学</w:t>
            </w:r>
          </w:p>
          <w:p>
            <w:pPr>
              <w:widowControl/>
              <w:autoSpaceDE w:val="0"/>
              <w:autoSpaceDN w:val="0"/>
              <w:adjustRightInd w:val="0"/>
              <w:rPr>
                <w:kern w:val="0"/>
                <w:sz w:val="18"/>
                <w:szCs w:val="18"/>
              </w:rPr>
            </w:pPr>
            <w:r>
              <w:rPr>
                <w:kern w:val="0"/>
                <w:sz w:val="18"/>
                <w:szCs w:val="18"/>
              </w:rPr>
              <w:t>（2）指导团队交流</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rFonts w:hint="eastAsia"/>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13" w:hRule="atLeast"/>
          <w:jc w:val="center"/>
        </w:trPr>
        <w:tc>
          <w:tcPr>
            <w:tcW w:w="595" w:type="dxa"/>
            <w:shd w:val="clear" w:color="auto" w:fill="FFFFFF"/>
            <w:tcMar>
              <w:left w:w="57" w:type="dxa"/>
              <w:right w:w="57" w:type="dxa"/>
            </w:tcMar>
            <w:vAlign w:val="center"/>
          </w:tcPr>
          <w:p>
            <w:pPr>
              <w:widowControl/>
              <w:jc w:val="center"/>
              <w:rPr>
                <w:kern w:val="0"/>
                <w:sz w:val="18"/>
                <w:szCs w:val="18"/>
              </w:rPr>
            </w:pPr>
            <w:r>
              <w:rPr>
                <w:kern w:val="0"/>
                <w:sz w:val="18"/>
                <w:szCs w:val="18"/>
              </w:rPr>
              <w:t>7</w:t>
            </w:r>
          </w:p>
        </w:tc>
        <w:tc>
          <w:tcPr>
            <w:tcW w:w="2069" w:type="dxa"/>
            <w:shd w:val="clear" w:color="auto" w:fill="FFFFFF"/>
            <w:vAlign w:val="center"/>
          </w:tcPr>
          <w:p>
            <w:pPr>
              <w:widowControl/>
              <w:autoSpaceDE w:val="0"/>
              <w:autoSpaceDN w:val="0"/>
              <w:adjustRightInd w:val="0"/>
              <w:rPr>
                <w:kern w:val="0"/>
                <w:sz w:val="18"/>
                <w:szCs w:val="18"/>
              </w:rPr>
            </w:pPr>
            <w:r>
              <w:rPr>
                <w:kern w:val="0"/>
                <w:sz w:val="18"/>
                <w:szCs w:val="18"/>
              </w:rPr>
              <w:t>撰写实习论文</w:t>
            </w:r>
          </w:p>
        </w:tc>
        <w:tc>
          <w:tcPr>
            <w:tcW w:w="4226" w:type="dxa"/>
            <w:shd w:val="clear" w:color="auto" w:fill="FFFFFF"/>
          </w:tcPr>
          <w:p>
            <w:pPr>
              <w:widowControl/>
              <w:tabs>
                <w:tab w:val="left" w:pos="426"/>
                <w:tab w:val="left" w:pos="5245"/>
                <w:tab w:val="left" w:pos="5387"/>
              </w:tabs>
              <w:spacing w:line="300" w:lineRule="auto"/>
              <w:rPr>
                <w:kern w:val="0"/>
                <w:sz w:val="18"/>
                <w:szCs w:val="18"/>
              </w:rPr>
            </w:pPr>
            <w:r>
              <w:rPr>
                <w:kern w:val="0"/>
                <w:sz w:val="18"/>
                <w:szCs w:val="18"/>
              </w:rPr>
              <w:t>1、对学生的要求：</w:t>
            </w:r>
          </w:p>
          <w:p>
            <w:pPr>
              <w:widowControl/>
              <w:autoSpaceDE w:val="0"/>
              <w:autoSpaceDN w:val="0"/>
              <w:adjustRightInd w:val="0"/>
              <w:rPr>
                <w:kern w:val="0"/>
                <w:sz w:val="18"/>
                <w:szCs w:val="18"/>
              </w:rPr>
            </w:pPr>
            <w:r>
              <w:rPr>
                <w:kern w:val="0"/>
                <w:sz w:val="18"/>
                <w:szCs w:val="18"/>
              </w:rPr>
              <w:t>（1）了解：论文撰写规范</w:t>
            </w:r>
          </w:p>
          <w:p>
            <w:pPr>
              <w:widowControl/>
              <w:autoSpaceDE w:val="0"/>
              <w:autoSpaceDN w:val="0"/>
              <w:adjustRightInd w:val="0"/>
              <w:rPr>
                <w:kern w:val="0"/>
                <w:sz w:val="18"/>
                <w:szCs w:val="18"/>
              </w:rPr>
            </w:pPr>
            <w:r>
              <w:rPr>
                <w:kern w:val="0"/>
                <w:sz w:val="18"/>
                <w:szCs w:val="18"/>
              </w:rPr>
              <w:t>（2）掌握：论文写作方法</w:t>
            </w:r>
          </w:p>
          <w:p>
            <w:pPr>
              <w:widowControl/>
              <w:autoSpaceDE w:val="0"/>
              <w:autoSpaceDN w:val="0"/>
              <w:adjustRightInd w:val="0"/>
              <w:rPr>
                <w:kern w:val="0"/>
                <w:sz w:val="18"/>
                <w:szCs w:val="18"/>
              </w:rPr>
            </w:pPr>
            <w:r>
              <w:rPr>
                <w:kern w:val="0"/>
                <w:sz w:val="18"/>
                <w:szCs w:val="18"/>
              </w:rPr>
              <w:t>2、对教师的要求：案例教学</w:t>
            </w:r>
          </w:p>
        </w:tc>
        <w:tc>
          <w:tcPr>
            <w:tcW w:w="567" w:type="dxa"/>
            <w:shd w:val="clear" w:color="auto" w:fill="FFFFFF"/>
            <w:vAlign w:val="center"/>
          </w:tcPr>
          <w:p>
            <w:pPr>
              <w:widowControl/>
              <w:jc w:val="center"/>
              <w:rPr>
                <w:kern w:val="0"/>
                <w:sz w:val="18"/>
                <w:szCs w:val="18"/>
              </w:rPr>
            </w:pPr>
            <w:r>
              <w:rPr>
                <w:kern w:val="0"/>
                <w:sz w:val="18"/>
                <w:szCs w:val="18"/>
              </w:rPr>
              <w:t>1天</w:t>
            </w:r>
          </w:p>
        </w:tc>
        <w:tc>
          <w:tcPr>
            <w:tcW w:w="1114" w:type="dxa"/>
            <w:shd w:val="clear" w:color="auto" w:fill="FFFFFF"/>
            <w:vAlign w:val="center"/>
          </w:tcPr>
          <w:p>
            <w:pPr>
              <w:widowControl/>
              <w:jc w:val="center"/>
              <w:rPr>
                <w:kern w:val="0"/>
                <w:sz w:val="18"/>
                <w:szCs w:val="18"/>
              </w:rPr>
            </w:pPr>
            <w:r>
              <w:rPr>
                <w:bCs/>
                <w:kern w:val="0"/>
                <w:sz w:val="18"/>
                <w:szCs w:val="18"/>
              </w:rPr>
              <w:t>1，2，3</w:t>
            </w:r>
          </w:p>
        </w:tc>
      </w:tr>
    </w:tbl>
    <w:p>
      <w:pPr>
        <w:snapToGrid w:val="0"/>
        <w:spacing w:before="159" w:beforeLines="50" w:line="300" w:lineRule="auto"/>
        <w:ind w:firstLine="420" w:firstLineChars="200"/>
      </w:pPr>
      <w:r>
        <w:t>1、实习方式：集中实习和分散实习相结合。</w:t>
      </w:r>
    </w:p>
    <w:p>
      <w:pPr>
        <w:snapToGrid w:val="0"/>
        <w:spacing w:line="300" w:lineRule="auto"/>
        <w:ind w:firstLine="420" w:firstLineChars="200"/>
      </w:pPr>
      <w:r>
        <w:t>2、场所要求：教室与室外活动场地。</w:t>
      </w:r>
    </w:p>
    <w:p>
      <w:pPr>
        <w:snapToGrid w:val="0"/>
        <w:spacing w:line="300" w:lineRule="auto"/>
        <w:ind w:firstLine="420" w:firstLineChars="200"/>
      </w:pPr>
      <w:r>
        <w:t>3、实习论文撰写要求</w:t>
      </w:r>
    </w:p>
    <w:p>
      <w:pPr>
        <w:autoSpaceDE w:val="0"/>
        <w:autoSpaceDN w:val="0"/>
        <w:adjustRightInd w:val="0"/>
        <w:snapToGrid w:val="0"/>
        <w:spacing w:line="300" w:lineRule="auto"/>
        <w:ind w:firstLine="420" w:firstLineChars="200"/>
        <w:rPr>
          <w:kern w:val="0"/>
          <w:szCs w:val="21"/>
        </w:rPr>
      </w:pPr>
      <w:r>
        <w:rPr>
          <w:kern w:val="0"/>
          <w:szCs w:val="21"/>
        </w:rPr>
        <w:t>（1）课程论文基本格式如下：</w:t>
      </w:r>
    </w:p>
    <w:p>
      <w:pPr>
        <w:autoSpaceDE w:val="0"/>
        <w:autoSpaceDN w:val="0"/>
        <w:adjustRightInd w:val="0"/>
        <w:snapToGrid w:val="0"/>
        <w:spacing w:line="300" w:lineRule="auto"/>
        <w:ind w:firstLine="420" w:firstLineChars="200"/>
        <w:rPr>
          <w:kern w:val="0"/>
          <w:szCs w:val="21"/>
        </w:rPr>
      </w:pPr>
      <w:r>
        <w:rPr>
          <w:kern w:val="0"/>
          <w:szCs w:val="21"/>
        </w:rPr>
        <w:t>◆标题</w:t>
      </w:r>
    </w:p>
    <w:p>
      <w:pPr>
        <w:autoSpaceDE w:val="0"/>
        <w:autoSpaceDN w:val="0"/>
        <w:adjustRightInd w:val="0"/>
        <w:snapToGrid w:val="0"/>
        <w:spacing w:line="300" w:lineRule="auto"/>
        <w:ind w:firstLine="420" w:firstLineChars="200"/>
        <w:rPr>
          <w:kern w:val="0"/>
          <w:szCs w:val="21"/>
        </w:rPr>
      </w:pPr>
      <w:r>
        <w:rPr>
          <w:kern w:val="0"/>
          <w:szCs w:val="21"/>
        </w:rPr>
        <w:t>◆摘要及关键词</w:t>
      </w:r>
    </w:p>
    <w:p>
      <w:pPr>
        <w:autoSpaceDE w:val="0"/>
        <w:autoSpaceDN w:val="0"/>
        <w:adjustRightInd w:val="0"/>
        <w:snapToGrid w:val="0"/>
        <w:spacing w:line="300" w:lineRule="auto"/>
        <w:ind w:firstLine="420" w:firstLineChars="200"/>
        <w:rPr>
          <w:kern w:val="0"/>
          <w:szCs w:val="21"/>
        </w:rPr>
      </w:pPr>
      <w:r>
        <w:rPr>
          <w:kern w:val="0"/>
          <w:szCs w:val="21"/>
        </w:rPr>
        <w:t>◆正文</w:t>
      </w:r>
    </w:p>
    <w:p>
      <w:pPr>
        <w:autoSpaceDE w:val="0"/>
        <w:autoSpaceDN w:val="0"/>
        <w:adjustRightInd w:val="0"/>
        <w:snapToGrid w:val="0"/>
        <w:spacing w:line="300" w:lineRule="auto"/>
        <w:ind w:firstLine="420" w:firstLineChars="200"/>
        <w:rPr>
          <w:kern w:val="0"/>
          <w:szCs w:val="21"/>
        </w:rPr>
      </w:pPr>
      <w:r>
        <w:rPr>
          <w:kern w:val="0"/>
          <w:szCs w:val="21"/>
        </w:rPr>
        <w:t>◆鸣谢</w:t>
      </w:r>
    </w:p>
    <w:p>
      <w:pPr>
        <w:autoSpaceDE w:val="0"/>
        <w:autoSpaceDN w:val="0"/>
        <w:adjustRightInd w:val="0"/>
        <w:snapToGrid w:val="0"/>
        <w:spacing w:line="300" w:lineRule="auto"/>
        <w:ind w:firstLine="420" w:firstLineChars="200"/>
        <w:rPr>
          <w:kern w:val="0"/>
          <w:szCs w:val="21"/>
        </w:rPr>
      </w:pPr>
      <w:r>
        <w:rPr>
          <w:kern w:val="0"/>
          <w:szCs w:val="21"/>
        </w:rPr>
        <w:t>◆参考文献与附录</w:t>
      </w:r>
    </w:p>
    <w:p>
      <w:pPr>
        <w:autoSpaceDE w:val="0"/>
        <w:autoSpaceDN w:val="0"/>
        <w:adjustRightInd w:val="0"/>
        <w:snapToGrid w:val="0"/>
        <w:spacing w:line="300" w:lineRule="auto"/>
        <w:ind w:firstLine="420" w:firstLineChars="200"/>
        <w:rPr>
          <w:kern w:val="0"/>
          <w:szCs w:val="21"/>
        </w:rPr>
      </w:pPr>
      <w:r>
        <w:rPr>
          <w:kern w:val="0"/>
          <w:szCs w:val="21"/>
        </w:rPr>
        <w:t>（2）课程论文撰写规范：</w:t>
      </w:r>
    </w:p>
    <w:p>
      <w:pPr>
        <w:autoSpaceDE w:val="0"/>
        <w:autoSpaceDN w:val="0"/>
        <w:adjustRightInd w:val="0"/>
        <w:snapToGrid w:val="0"/>
        <w:spacing w:line="300" w:lineRule="auto"/>
        <w:ind w:firstLine="420" w:firstLineChars="200"/>
        <w:rPr>
          <w:kern w:val="0"/>
          <w:szCs w:val="21"/>
        </w:rPr>
      </w:pPr>
      <w:r>
        <w:rPr>
          <w:kern w:val="0"/>
          <w:szCs w:val="21"/>
        </w:rPr>
        <w:t>◆标题：应简短、明确、有概括性。标题字数要适当，不宜超过30个字。</w:t>
      </w:r>
    </w:p>
    <w:p>
      <w:pPr>
        <w:autoSpaceDE w:val="0"/>
        <w:autoSpaceDN w:val="0"/>
        <w:adjustRightInd w:val="0"/>
        <w:snapToGrid w:val="0"/>
        <w:spacing w:line="300" w:lineRule="auto"/>
        <w:ind w:firstLine="420" w:firstLineChars="200"/>
        <w:rPr>
          <w:kern w:val="0"/>
          <w:szCs w:val="21"/>
        </w:rPr>
      </w:pPr>
      <w:r>
        <w:rPr>
          <w:kern w:val="0"/>
          <w:szCs w:val="21"/>
        </w:rPr>
        <w:t>◆摘要与关键词：以浓缩的形式概括研究课题的内容。</w:t>
      </w:r>
    </w:p>
    <w:p>
      <w:pPr>
        <w:autoSpaceDE w:val="0"/>
        <w:autoSpaceDN w:val="0"/>
        <w:adjustRightInd w:val="0"/>
        <w:snapToGrid w:val="0"/>
        <w:spacing w:line="300" w:lineRule="auto"/>
        <w:ind w:firstLine="420" w:firstLineChars="200"/>
        <w:rPr>
          <w:kern w:val="0"/>
          <w:szCs w:val="21"/>
        </w:rPr>
      </w:pPr>
      <w:r>
        <w:rPr>
          <w:kern w:val="0"/>
          <w:szCs w:val="21"/>
        </w:rPr>
        <w:t>摘要以200字左右为宜，英文摘要应注意英文的转行规则；采用第三人称表达句，既要相对独立又要表达明确；摘要中不含图表和非公用的符号。</w:t>
      </w:r>
    </w:p>
    <w:p>
      <w:pPr>
        <w:autoSpaceDE w:val="0"/>
        <w:autoSpaceDN w:val="0"/>
        <w:adjustRightInd w:val="0"/>
        <w:snapToGrid w:val="0"/>
        <w:spacing w:line="300" w:lineRule="auto"/>
        <w:ind w:firstLine="420" w:firstLineChars="200"/>
        <w:rPr>
          <w:kern w:val="0"/>
          <w:szCs w:val="21"/>
        </w:rPr>
      </w:pPr>
      <w:r>
        <w:rPr>
          <w:kern w:val="0"/>
          <w:szCs w:val="21"/>
        </w:rPr>
        <w:t>关键词是反映论文主题内容的名词，选用3～5个，每个关键词之间用“；”隔开，排在摘要下方；英文关键词为中文关键词的英文译文。</w:t>
      </w:r>
    </w:p>
    <w:p>
      <w:pPr>
        <w:autoSpaceDE w:val="0"/>
        <w:autoSpaceDN w:val="0"/>
        <w:adjustRightInd w:val="0"/>
        <w:snapToGrid w:val="0"/>
        <w:spacing w:line="300" w:lineRule="auto"/>
        <w:ind w:firstLine="420" w:firstLineChars="200"/>
        <w:rPr>
          <w:kern w:val="0"/>
          <w:szCs w:val="21"/>
        </w:rPr>
      </w:pPr>
      <w:r>
        <w:rPr>
          <w:kern w:val="0"/>
          <w:szCs w:val="21"/>
        </w:rPr>
        <w:t>◆正文：包括作者姓名（学号）及单位[院（系）、班级]、绪论、正文主体结论。其内容分别如下：</w:t>
      </w:r>
    </w:p>
    <w:p>
      <w:pPr>
        <w:autoSpaceDE w:val="0"/>
        <w:autoSpaceDN w:val="0"/>
        <w:adjustRightInd w:val="0"/>
        <w:snapToGrid w:val="0"/>
        <w:spacing w:line="300" w:lineRule="auto"/>
        <w:ind w:firstLine="420" w:firstLineChars="200"/>
        <w:rPr>
          <w:kern w:val="0"/>
          <w:szCs w:val="21"/>
        </w:rPr>
      </w:pPr>
      <w:r>
        <w:rPr>
          <w:kern w:val="0"/>
          <w:szCs w:val="21"/>
        </w:rPr>
        <w:t>作者姓名是作者文责自负的表示和拥有版权的声明，单位应采用全称和正式名称。</w:t>
      </w:r>
    </w:p>
    <w:p>
      <w:pPr>
        <w:autoSpaceDE w:val="0"/>
        <w:autoSpaceDN w:val="0"/>
        <w:adjustRightInd w:val="0"/>
        <w:snapToGrid w:val="0"/>
        <w:spacing w:line="300" w:lineRule="auto"/>
        <w:ind w:firstLine="420" w:firstLineChars="200"/>
        <w:rPr>
          <w:kern w:val="0"/>
          <w:szCs w:val="21"/>
        </w:rPr>
      </w:pPr>
      <w:r>
        <w:rPr>
          <w:kern w:val="0"/>
          <w:szCs w:val="21"/>
        </w:rPr>
        <w:t>绪论应说明本课题的意义、目的、研究范围及要达到的技术要求；简述本课题在国内外的发展概况及存在的问题；说明本课题的指导思想；阐述本课题应解决的主要问题。</w:t>
      </w:r>
    </w:p>
    <w:p>
      <w:pPr>
        <w:autoSpaceDE w:val="0"/>
        <w:autoSpaceDN w:val="0"/>
        <w:adjustRightInd w:val="0"/>
        <w:snapToGrid w:val="0"/>
        <w:spacing w:line="300" w:lineRule="auto"/>
        <w:ind w:firstLine="420" w:firstLineChars="200"/>
        <w:rPr>
          <w:kern w:val="0"/>
          <w:szCs w:val="21"/>
        </w:rPr>
      </w:pPr>
      <w:r>
        <w:rPr>
          <w:kern w:val="0"/>
          <w:szCs w:val="21"/>
        </w:rPr>
        <w:t>正文主体是对研究工作的详细表述，其内容包括：问题的提出，研究工作的基本前提、假设和条件；模型的建立或实验方案的拟定；基本概念和理论基础；设计计算的主要方法和内容；实验方法、内容及其分析；理论论证，理论在课题中的应用，课题得出的结果，以及对结果的讨论等等。</w:t>
      </w:r>
    </w:p>
    <w:p>
      <w:pPr>
        <w:autoSpaceDE w:val="0"/>
        <w:autoSpaceDN w:val="0"/>
        <w:adjustRightInd w:val="0"/>
        <w:snapToGrid w:val="0"/>
        <w:spacing w:line="300" w:lineRule="auto"/>
        <w:ind w:firstLine="420" w:firstLineChars="200"/>
        <w:rPr>
          <w:kern w:val="0"/>
          <w:szCs w:val="21"/>
        </w:rPr>
      </w:pPr>
      <w:r>
        <w:rPr>
          <w:kern w:val="0"/>
          <w:szCs w:val="21"/>
        </w:rPr>
        <w:t>结论是对整个研究工作进行归纳和综合而得出的总结，概括了研究的主要成果。结论要写得扼要明确，精练完整，准确恰当，不可</w:t>
      </w:r>
      <w:r>
        <w:rPr>
          <w:rFonts w:hint="eastAsia"/>
          <w:kern w:val="0"/>
          <w:szCs w:val="21"/>
        </w:rPr>
        <w:t>含糊其辞</w:t>
      </w:r>
      <w:r>
        <w:rPr>
          <w:kern w:val="0"/>
          <w:szCs w:val="21"/>
        </w:rPr>
        <w:t>，模棱两可，具有简洁性、客观性和概括性，</w:t>
      </w:r>
      <w:r>
        <w:rPr>
          <w:rFonts w:hint="eastAsia"/>
          <w:kern w:val="0"/>
          <w:szCs w:val="21"/>
        </w:rPr>
        <w:t>应</w:t>
      </w:r>
      <w:r>
        <w:rPr>
          <w:kern w:val="0"/>
          <w:szCs w:val="21"/>
        </w:rPr>
        <w:t>限制在研究结果允许扩展的范围之内，要提炼和概括研究结果的理论价值和实际价值，而不能在结论中简单地重复主要研究结果。</w:t>
      </w:r>
    </w:p>
    <w:p>
      <w:pPr>
        <w:autoSpaceDE w:val="0"/>
        <w:autoSpaceDN w:val="0"/>
        <w:adjustRightInd w:val="0"/>
        <w:snapToGrid w:val="0"/>
        <w:spacing w:line="300" w:lineRule="auto"/>
        <w:ind w:firstLine="420" w:firstLineChars="200"/>
        <w:rPr>
          <w:kern w:val="0"/>
          <w:szCs w:val="21"/>
        </w:rPr>
      </w:pPr>
      <w:r>
        <w:rPr>
          <w:kern w:val="0"/>
          <w:szCs w:val="21"/>
        </w:rPr>
        <w:t>◆鸣谢：应以简短的文字对在课题研究和论文撰写过程中曾直接给予帮助却未能在作者名单上列出的组织或者个人（例如指导教师、答疑教师及其他人员）表示自己的谢意。</w:t>
      </w:r>
    </w:p>
    <w:p>
      <w:pPr>
        <w:autoSpaceDE w:val="0"/>
        <w:autoSpaceDN w:val="0"/>
        <w:adjustRightInd w:val="0"/>
        <w:snapToGrid w:val="0"/>
        <w:spacing w:line="300" w:lineRule="auto"/>
        <w:ind w:firstLine="420" w:firstLineChars="200"/>
        <w:rPr>
          <w:kern w:val="0"/>
          <w:szCs w:val="21"/>
        </w:rPr>
      </w:pPr>
      <w:r>
        <w:rPr>
          <w:kern w:val="0"/>
          <w:szCs w:val="21"/>
        </w:rPr>
        <w:t>◆参考文献是课程论文不可缺少的组成部分，它反映课程论文的取材来源、材料的广博程度和可靠程度，也是作者对他人知识成果的承认和尊重</w:t>
      </w:r>
      <w:r>
        <w:rPr>
          <w:rFonts w:hint="eastAsia"/>
          <w:kern w:val="0"/>
          <w:szCs w:val="21"/>
        </w:rPr>
        <w:t>。</w:t>
      </w:r>
      <w:r>
        <w:rPr>
          <w:kern w:val="0"/>
          <w:szCs w:val="21"/>
        </w:rPr>
        <w:t>参考文献应按在正文中的引用顺序依次列出。</w:t>
      </w:r>
    </w:p>
    <w:p>
      <w:pPr>
        <w:autoSpaceDE w:val="0"/>
        <w:autoSpaceDN w:val="0"/>
        <w:adjustRightInd w:val="0"/>
        <w:snapToGrid w:val="0"/>
        <w:spacing w:line="300" w:lineRule="auto"/>
        <w:ind w:firstLine="420" w:firstLineChars="200"/>
        <w:rPr>
          <w:kern w:val="0"/>
          <w:szCs w:val="21"/>
        </w:rPr>
      </w:pPr>
      <w:r>
        <w:rPr>
          <w:kern w:val="0"/>
          <w:szCs w:val="21"/>
        </w:rPr>
        <w:t>对于一些不宜放在正文中、但有参考价值的内容，可编入课程论文的附录中，例如公式的推演、编写的程序等；如果文章中引用的符号较多时，为便于读者查阅，可以编写一个符号说明，注明符号代表的意义。</w:t>
      </w:r>
    </w:p>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pPr>
      <w:r>
        <w:t>1. 考核方式：考勤，实习表现，实习论文。</w:t>
      </w:r>
    </w:p>
    <w:p>
      <w:pPr>
        <w:snapToGrid w:val="0"/>
        <w:spacing w:line="300" w:lineRule="auto"/>
        <w:ind w:firstLine="420" w:firstLineChars="200"/>
      </w:pPr>
      <w:r>
        <w:t>2. 成绩构成：考勤20 %+实习表现20 %+实习论文60 %。</w:t>
      </w:r>
    </w:p>
    <w:p>
      <w:pPr>
        <w:snapToGrid w:val="0"/>
        <w:spacing w:line="300" w:lineRule="auto"/>
        <w:ind w:firstLine="420" w:firstLineChars="200"/>
      </w:pPr>
      <w:r>
        <w:t>考核评价标准如表4所示：</w:t>
      </w:r>
    </w:p>
    <w:p>
      <w:pPr>
        <w:spacing w:before="159" w:beforeLines="50" w:line="370" w:lineRule="exact"/>
        <w:jc w:val="center"/>
        <w:rPr>
          <w:b/>
          <w:kern w:val="0"/>
          <w:sz w:val="18"/>
          <w:szCs w:val="18"/>
        </w:rPr>
      </w:pPr>
      <w:r>
        <w:rPr>
          <w:b/>
          <w:kern w:val="0"/>
          <w:sz w:val="18"/>
          <w:szCs w:val="18"/>
        </w:rPr>
        <w:t>表4教学目标评价标准</w:t>
      </w:r>
    </w:p>
    <w:tbl>
      <w:tblPr>
        <w:tblStyle w:val="22"/>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567"/>
        <w:gridCol w:w="567"/>
        <w:gridCol w:w="567"/>
        <w:gridCol w:w="567"/>
        <w:gridCol w:w="3402"/>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572" w:type="dxa"/>
            <w:vAlign w:val="center"/>
          </w:tcPr>
          <w:p>
            <w:pPr>
              <w:jc w:val="center"/>
              <w:rPr>
                <w:b/>
                <w:bCs/>
                <w:sz w:val="18"/>
                <w:szCs w:val="18"/>
              </w:rPr>
            </w:pPr>
            <w:r>
              <w:rPr>
                <w:b/>
                <w:bCs/>
                <w:sz w:val="18"/>
                <w:szCs w:val="18"/>
              </w:rPr>
              <w:t>成绩</w:t>
            </w:r>
          </w:p>
        </w:tc>
        <w:tc>
          <w:tcPr>
            <w:tcW w:w="567" w:type="dxa"/>
            <w:vAlign w:val="center"/>
          </w:tcPr>
          <w:p>
            <w:pPr>
              <w:jc w:val="center"/>
              <w:rPr>
                <w:b/>
                <w:bCs/>
                <w:sz w:val="18"/>
                <w:szCs w:val="18"/>
              </w:rPr>
            </w:pPr>
            <w:r>
              <w:rPr>
                <w:b/>
                <w:bCs/>
                <w:sz w:val="18"/>
                <w:szCs w:val="18"/>
              </w:rPr>
              <w:t>分值</w:t>
            </w:r>
          </w:p>
        </w:tc>
        <w:tc>
          <w:tcPr>
            <w:tcW w:w="567" w:type="dxa"/>
            <w:vAlign w:val="center"/>
          </w:tcPr>
          <w:p>
            <w:pPr>
              <w:jc w:val="center"/>
              <w:rPr>
                <w:b/>
                <w:bCs/>
                <w:sz w:val="18"/>
                <w:szCs w:val="18"/>
              </w:rPr>
            </w:pPr>
            <w:r>
              <w:rPr>
                <w:b/>
                <w:bCs/>
                <w:sz w:val="18"/>
                <w:szCs w:val="18"/>
              </w:rPr>
              <w:t>权重</w:t>
            </w:r>
          </w:p>
        </w:tc>
        <w:tc>
          <w:tcPr>
            <w:tcW w:w="567" w:type="dxa"/>
            <w:vAlign w:val="center"/>
          </w:tcPr>
          <w:p>
            <w:pPr>
              <w:jc w:val="center"/>
              <w:rPr>
                <w:b/>
                <w:bCs/>
                <w:sz w:val="18"/>
                <w:szCs w:val="18"/>
              </w:rPr>
            </w:pPr>
            <w:r>
              <w:rPr>
                <w:b/>
                <w:bCs/>
                <w:sz w:val="18"/>
                <w:szCs w:val="18"/>
              </w:rPr>
              <w:t>类别</w:t>
            </w:r>
          </w:p>
        </w:tc>
        <w:tc>
          <w:tcPr>
            <w:tcW w:w="567" w:type="dxa"/>
            <w:vAlign w:val="center"/>
          </w:tcPr>
          <w:p>
            <w:pPr>
              <w:jc w:val="center"/>
              <w:rPr>
                <w:b/>
                <w:bCs/>
                <w:sz w:val="18"/>
                <w:szCs w:val="18"/>
              </w:rPr>
            </w:pPr>
            <w:r>
              <w:rPr>
                <w:b/>
                <w:bCs/>
                <w:sz w:val="18"/>
                <w:szCs w:val="18"/>
              </w:rPr>
              <w:t>权重</w:t>
            </w:r>
          </w:p>
        </w:tc>
        <w:tc>
          <w:tcPr>
            <w:tcW w:w="3402" w:type="dxa"/>
            <w:vAlign w:val="center"/>
          </w:tcPr>
          <w:p>
            <w:pPr>
              <w:jc w:val="center"/>
              <w:rPr>
                <w:b/>
                <w:bCs/>
                <w:sz w:val="18"/>
                <w:szCs w:val="18"/>
              </w:rPr>
            </w:pPr>
            <w:r>
              <w:rPr>
                <w:b/>
                <w:bCs/>
                <w:sz w:val="18"/>
                <w:szCs w:val="18"/>
              </w:rPr>
              <w:t>考核/评价细则</w:t>
            </w:r>
          </w:p>
        </w:tc>
        <w:tc>
          <w:tcPr>
            <w:tcW w:w="993" w:type="dxa"/>
            <w:vAlign w:val="center"/>
          </w:tcPr>
          <w:p>
            <w:pPr>
              <w:jc w:val="center"/>
              <w:rPr>
                <w:b/>
                <w:bCs/>
                <w:sz w:val="18"/>
                <w:szCs w:val="18"/>
              </w:rPr>
            </w:pPr>
            <w:r>
              <w:rPr>
                <w:b/>
                <w:bCs/>
                <w:sz w:val="18"/>
                <w:szCs w:val="18"/>
              </w:rPr>
              <w:t>课程目标</w:t>
            </w:r>
          </w:p>
        </w:tc>
        <w:tc>
          <w:tcPr>
            <w:tcW w:w="1134" w:type="dxa"/>
            <w:vAlign w:val="center"/>
          </w:tcPr>
          <w:p>
            <w:pPr>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72" w:type="dxa"/>
            <w:vMerge w:val="restart"/>
            <w:vAlign w:val="center"/>
          </w:tcPr>
          <w:p>
            <w:pPr>
              <w:jc w:val="center"/>
              <w:rPr>
                <w:sz w:val="18"/>
                <w:szCs w:val="18"/>
              </w:rPr>
            </w:pPr>
            <w:r>
              <w:rPr>
                <w:sz w:val="18"/>
                <w:szCs w:val="18"/>
              </w:rPr>
              <w:t>平时成绩</w:t>
            </w:r>
          </w:p>
        </w:tc>
        <w:tc>
          <w:tcPr>
            <w:tcW w:w="567"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0.4</w:t>
            </w:r>
          </w:p>
        </w:tc>
        <w:tc>
          <w:tcPr>
            <w:tcW w:w="567" w:type="dxa"/>
            <w:vAlign w:val="center"/>
          </w:tcPr>
          <w:p>
            <w:pPr>
              <w:jc w:val="center"/>
              <w:rPr>
                <w:sz w:val="18"/>
                <w:szCs w:val="18"/>
              </w:rPr>
            </w:pPr>
            <w:r>
              <w:rPr>
                <w:sz w:val="18"/>
                <w:szCs w:val="18"/>
              </w:rPr>
              <w:t>考勤</w:t>
            </w:r>
          </w:p>
        </w:tc>
        <w:tc>
          <w:tcPr>
            <w:tcW w:w="567" w:type="dxa"/>
            <w:vAlign w:val="center"/>
          </w:tcPr>
          <w:p>
            <w:pPr>
              <w:jc w:val="center"/>
              <w:rPr>
                <w:sz w:val="18"/>
                <w:szCs w:val="18"/>
              </w:rPr>
            </w:pPr>
            <w:r>
              <w:rPr>
                <w:sz w:val="18"/>
                <w:szCs w:val="18"/>
              </w:rPr>
              <w:t>0.5</w:t>
            </w:r>
          </w:p>
        </w:tc>
        <w:tc>
          <w:tcPr>
            <w:tcW w:w="3402" w:type="dxa"/>
            <w:vAlign w:val="center"/>
          </w:tcPr>
          <w:p>
            <w:pPr>
              <w:jc w:val="center"/>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分，按比例计入课程总评成绩；主要考核学生学生的实习出勤率</w:t>
            </w:r>
            <w:r>
              <w:rPr>
                <w:rFonts w:hint="eastAsia"/>
                <w:sz w:val="18"/>
                <w:szCs w:val="18"/>
              </w:rPr>
              <w:t>。</w:t>
            </w:r>
          </w:p>
        </w:tc>
        <w:tc>
          <w:tcPr>
            <w:tcW w:w="993" w:type="dxa"/>
            <w:vAlign w:val="center"/>
          </w:tcPr>
          <w:p>
            <w:pPr>
              <w:jc w:val="center"/>
              <w:rPr>
                <w:sz w:val="18"/>
                <w:szCs w:val="18"/>
              </w:rPr>
            </w:pPr>
            <w:r>
              <w:rPr>
                <w:sz w:val="18"/>
                <w:szCs w:val="18"/>
              </w:rPr>
              <w:t>1，2</w:t>
            </w:r>
          </w:p>
        </w:tc>
        <w:tc>
          <w:tcPr>
            <w:tcW w:w="1134" w:type="dxa"/>
            <w:vAlign w:val="center"/>
          </w:tcPr>
          <w:p>
            <w:pPr>
              <w:jc w:val="center"/>
              <w:rPr>
                <w:sz w:val="18"/>
                <w:szCs w:val="18"/>
              </w:rPr>
            </w:pPr>
            <w:r>
              <w:rPr>
                <w:rFonts w:hint="eastAsia"/>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Align w:val="center"/>
          </w:tcPr>
          <w:p>
            <w:pPr>
              <w:jc w:val="center"/>
              <w:rPr>
                <w:sz w:val="18"/>
                <w:szCs w:val="18"/>
              </w:rPr>
            </w:pPr>
            <w:r>
              <w:rPr>
                <w:sz w:val="18"/>
                <w:szCs w:val="18"/>
              </w:rPr>
              <w:t>实习表现</w:t>
            </w:r>
          </w:p>
        </w:tc>
        <w:tc>
          <w:tcPr>
            <w:tcW w:w="567" w:type="dxa"/>
            <w:vAlign w:val="center"/>
          </w:tcPr>
          <w:p>
            <w:pPr>
              <w:jc w:val="center"/>
              <w:rPr>
                <w:sz w:val="18"/>
                <w:szCs w:val="18"/>
              </w:rPr>
            </w:pPr>
            <w:r>
              <w:rPr>
                <w:sz w:val="18"/>
                <w:szCs w:val="18"/>
              </w:rPr>
              <w:t>0.5</w:t>
            </w:r>
          </w:p>
        </w:tc>
        <w:tc>
          <w:tcPr>
            <w:tcW w:w="3402" w:type="dxa"/>
            <w:vAlign w:val="center"/>
          </w:tcPr>
          <w:p>
            <w:pPr>
              <w:jc w:val="left"/>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分，按比例计入课程总评成绩；主要考核学生在实习过程中的学习态度、认知水平、沟通能力和团队协作精神等</w:t>
            </w:r>
            <w:r>
              <w:rPr>
                <w:rFonts w:hint="eastAsia"/>
                <w:sz w:val="18"/>
                <w:szCs w:val="18"/>
              </w:rPr>
              <w:t>。</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rFonts w:hint="eastAsia"/>
                <w:sz w:val="18"/>
                <w:szCs w:val="18"/>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572" w:type="dxa"/>
            <w:vAlign w:val="center"/>
          </w:tcPr>
          <w:p>
            <w:pPr>
              <w:jc w:val="center"/>
              <w:rPr>
                <w:sz w:val="18"/>
                <w:szCs w:val="18"/>
              </w:rPr>
            </w:pPr>
            <w:r>
              <w:rPr>
                <w:sz w:val="18"/>
                <w:szCs w:val="18"/>
              </w:rPr>
              <w:t>论文评阅成绩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0.6</w:t>
            </w:r>
          </w:p>
        </w:tc>
        <w:tc>
          <w:tcPr>
            <w:tcW w:w="567" w:type="dxa"/>
            <w:vAlign w:val="center"/>
          </w:tcPr>
          <w:p>
            <w:pPr>
              <w:jc w:val="center"/>
              <w:rPr>
                <w:sz w:val="18"/>
                <w:szCs w:val="18"/>
              </w:rPr>
            </w:pPr>
            <w:r>
              <w:rPr>
                <w:sz w:val="18"/>
                <w:szCs w:val="18"/>
              </w:rPr>
              <w:t>实习论文</w:t>
            </w:r>
          </w:p>
        </w:tc>
        <w:tc>
          <w:tcPr>
            <w:tcW w:w="567" w:type="dxa"/>
            <w:vAlign w:val="center"/>
          </w:tcPr>
          <w:p>
            <w:pPr>
              <w:jc w:val="center"/>
              <w:rPr>
                <w:sz w:val="18"/>
                <w:szCs w:val="18"/>
              </w:rPr>
            </w:pPr>
            <w:r>
              <w:rPr>
                <w:sz w:val="18"/>
                <w:szCs w:val="18"/>
              </w:rPr>
              <w:t>1</w:t>
            </w:r>
          </w:p>
        </w:tc>
        <w:tc>
          <w:tcPr>
            <w:tcW w:w="3402" w:type="dxa"/>
            <w:vAlign w:val="center"/>
          </w:tcPr>
          <w:p>
            <w:pPr>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分，按比例计入课程总评成绩；主要考核学生实习论文完成质量：包括选题是否合适</w:t>
            </w:r>
            <w:r>
              <w:rPr>
                <w:rFonts w:hint="eastAsia"/>
                <w:sz w:val="18"/>
                <w:szCs w:val="18"/>
              </w:rPr>
              <w:t>、</w:t>
            </w:r>
            <w:r>
              <w:rPr>
                <w:sz w:val="18"/>
                <w:szCs w:val="18"/>
              </w:rPr>
              <w:t>内容是否详实</w:t>
            </w:r>
            <w:r>
              <w:rPr>
                <w:rFonts w:hint="eastAsia"/>
                <w:sz w:val="18"/>
                <w:szCs w:val="18"/>
              </w:rPr>
              <w:t>、</w:t>
            </w:r>
            <w:r>
              <w:rPr>
                <w:sz w:val="18"/>
                <w:szCs w:val="18"/>
              </w:rPr>
              <w:t>实习论文格式是否规范等。</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rFonts w:hint="eastAsia"/>
                <w:sz w:val="18"/>
                <w:szCs w:val="18"/>
              </w:rPr>
              <w:t>6，8，10</w:t>
            </w:r>
          </w:p>
        </w:tc>
      </w:tr>
    </w:tbl>
    <w:p>
      <w:pPr>
        <w:snapToGrid w:val="0"/>
        <w:spacing w:before="159" w:beforeLines="50" w:after="159"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1、达成度评价依据和方法：</w:t>
      </w:r>
    </w:p>
    <w:p>
      <w:pPr>
        <w:snapToGrid w:val="0"/>
        <w:spacing w:before="6" w:line="300" w:lineRule="auto"/>
        <w:ind w:right="270" w:firstLine="420" w:firstLineChars="200"/>
        <w:rPr>
          <w:szCs w:val="21"/>
        </w:rPr>
      </w:pPr>
      <w:r>
        <w:rPr>
          <w:szCs w:val="21"/>
        </w:rPr>
        <w:t>课程目标评价方式：课程</w:t>
      </w:r>
      <w:r>
        <w:rPr>
          <w:spacing w:val="2"/>
          <w:szCs w:val="21"/>
        </w:rPr>
        <w:t>目</w:t>
      </w:r>
      <w:r>
        <w:rPr>
          <w:szCs w:val="21"/>
        </w:rPr>
        <w:t>标达成度评价包括课程</w:t>
      </w:r>
      <w:r>
        <w:rPr>
          <w:spacing w:val="2"/>
          <w:szCs w:val="21"/>
        </w:rPr>
        <w:t>分</w:t>
      </w:r>
      <w:r>
        <w:rPr>
          <w:szCs w:val="21"/>
        </w:rPr>
        <w:t>目标达成度评价，以及</w:t>
      </w:r>
      <w:r>
        <w:rPr>
          <w:spacing w:val="2"/>
          <w:szCs w:val="21"/>
        </w:rPr>
        <w:t>课</w:t>
      </w:r>
      <w:r>
        <w:rPr>
          <w:szCs w:val="21"/>
        </w:rPr>
        <w:t>程总目标达成度评价，</w:t>
      </w:r>
      <w:r>
        <w:rPr>
          <w:spacing w:val="2"/>
          <w:szCs w:val="21"/>
        </w:rPr>
        <w:t>具</w:t>
      </w:r>
      <w:r>
        <w:rPr>
          <w:szCs w:val="21"/>
        </w:rPr>
        <w:t>体计算</w:t>
      </w:r>
      <w:r>
        <w:rPr>
          <w:spacing w:val="-2"/>
          <w:szCs w:val="21"/>
        </w:rPr>
        <w:t>公式如</w:t>
      </w:r>
      <w:r>
        <w:rPr>
          <w:szCs w:val="21"/>
        </w:rPr>
        <w:t>下：</w:t>
      </w:r>
    </w:p>
    <w:p>
      <w:pPr>
        <w:snapToGrid w:val="0"/>
        <w:spacing w:line="300" w:lineRule="auto"/>
        <w:jc w:val="center"/>
      </w:pPr>
      <w:r>
        <w:rPr>
          <w:position w:val="-26"/>
        </w:rPr>
        <w:object>
          <v:shape id="_x0000_i1204" o:spt="75" type="#_x0000_t75" style="height:29.25pt;width:361.5pt;" o:ole="t" filled="f" o:preferrelative="t" stroked="f" coordsize="21600,21600">
            <v:path/>
            <v:fill on="f" focussize="0,0"/>
            <v:stroke on="f" joinstyle="miter"/>
            <v:imagedata r:id="rId36" o:title=""/>
            <o:lock v:ext="edit" aspectratio="t"/>
            <w10:wrap type="none"/>
            <w10:anchorlock/>
          </v:shape>
          <o:OLEObject Type="Embed" ProgID="Equation.3" ShapeID="_x0000_i1204" DrawAspect="Content" ObjectID="_1468075902" r:id="rId231">
            <o:LockedField>false</o:LockedField>
          </o:OLEObject>
        </w:object>
      </w:r>
    </w:p>
    <w:p>
      <w:pPr>
        <w:snapToGrid w:val="0"/>
        <w:spacing w:before="70" w:line="300" w:lineRule="auto"/>
        <w:ind w:right="597" w:firstLine="420" w:firstLineChars="200"/>
        <w:rPr>
          <w:szCs w:val="21"/>
        </w:rPr>
      </w:pPr>
      <w:r>
        <w:rPr>
          <w:position w:val="-1"/>
          <w:szCs w:val="21"/>
        </w:rPr>
        <w:t>课程</w:t>
      </w:r>
      <w:r>
        <w:rPr>
          <w:spacing w:val="-2"/>
          <w:position w:val="-1"/>
          <w:szCs w:val="21"/>
        </w:rPr>
        <w:t>总</w:t>
      </w:r>
      <w:r>
        <w:rPr>
          <w:position w:val="-1"/>
          <w:szCs w:val="21"/>
        </w:rPr>
        <w:t>目</w:t>
      </w:r>
      <w:r>
        <w:rPr>
          <w:spacing w:val="-2"/>
          <w:position w:val="-1"/>
          <w:szCs w:val="21"/>
        </w:rPr>
        <w:t>标</w:t>
      </w:r>
      <w:r>
        <w:rPr>
          <w:position w:val="-1"/>
          <w:szCs w:val="21"/>
        </w:rPr>
        <w:t>达</w:t>
      </w:r>
      <w:r>
        <w:rPr>
          <w:spacing w:val="-2"/>
          <w:position w:val="-1"/>
          <w:szCs w:val="21"/>
        </w:rPr>
        <w:t>成度</w:t>
      </w:r>
      <w:r>
        <w:rPr>
          <w:position w:val="-1"/>
          <w:szCs w:val="21"/>
        </w:rPr>
        <w:t>为3</w:t>
      </w:r>
      <w:r>
        <w:rPr>
          <w:spacing w:val="-2"/>
          <w:position w:val="-1"/>
          <w:szCs w:val="21"/>
        </w:rPr>
        <w:t>个</w:t>
      </w:r>
      <w:r>
        <w:rPr>
          <w:position w:val="-1"/>
          <w:szCs w:val="21"/>
        </w:rPr>
        <w:t>课程分</w:t>
      </w:r>
      <w:r>
        <w:rPr>
          <w:spacing w:val="-2"/>
          <w:position w:val="-1"/>
          <w:szCs w:val="21"/>
        </w:rPr>
        <w:t>目</w:t>
      </w:r>
      <w:r>
        <w:rPr>
          <w:position w:val="-1"/>
          <w:szCs w:val="21"/>
        </w:rPr>
        <w:t>标</w:t>
      </w:r>
      <w:r>
        <w:rPr>
          <w:spacing w:val="-2"/>
          <w:position w:val="-1"/>
          <w:szCs w:val="21"/>
        </w:rPr>
        <w:t>的</w:t>
      </w:r>
      <w:r>
        <w:rPr>
          <w:position w:val="-1"/>
          <w:szCs w:val="21"/>
        </w:rPr>
        <w:t>加</w:t>
      </w:r>
      <w:r>
        <w:rPr>
          <w:spacing w:val="-2"/>
          <w:position w:val="-1"/>
          <w:szCs w:val="21"/>
        </w:rPr>
        <w:t>权</w:t>
      </w:r>
      <w:r>
        <w:rPr>
          <w:position w:val="-1"/>
          <w:szCs w:val="21"/>
        </w:rPr>
        <w:t>得</w:t>
      </w:r>
      <w:r>
        <w:rPr>
          <w:spacing w:val="-2"/>
          <w:position w:val="-1"/>
          <w:szCs w:val="21"/>
        </w:rPr>
        <w:t>分</w:t>
      </w:r>
      <w:r>
        <w:rPr>
          <w:position w:val="-1"/>
          <w:szCs w:val="21"/>
        </w:rPr>
        <w:t>率</w:t>
      </w:r>
      <w:r>
        <w:rPr>
          <w:spacing w:val="-2"/>
          <w:position w:val="-1"/>
          <w:szCs w:val="21"/>
        </w:rPr>
        <w:t>，</w:t>
      </w:r>
      <w:r>
        <w:rPr>
          <w:position w:val="-1"/>
          <w:szCs w:val="21"/>
        </w:rPr>
        <w:t>其计</w:t>
      </w:r>
      <w:r>
        <w:rPr>
          <w:spacing w:val="-2"/>
          <w:position w:val="-1"/>
          <w:szCs w:val="21"/>
        </w:rPr>
        <w:t>算</w:t>
      </w:r>
      <w:r>
        <w:rPr>
          <w:position w:val="-1"/>
          <w:szCs w:val="21"/>
        </w:rPr>
        <w:t>公</w:t>
      </w:r>
      <w:r>
        <w:rPr>
          <w:spacing w:val="-2"/>
          <w:position w:val="-1"/>
          <w:szCs w:val="21"/>
        </w:rPr>
        <w:t>式</w:t>
      </w:r>
      <w:r>
        <w:rPr>
          <w:position w:val="-1"/>
          <w:szCs w:val="21"/>
        </w:rPr>
        <w:t>为：</w:t>
      </w:r>
    </w:p>
    <w:p>
      <w:pPr>
        <w:snapToGrid w:val="0"/>
        <w:spacing w:before="72" w:line="300" w:lineRule="auto"/>
        <w:ind w:right="-20"/>
        <w:jc w:val="center"/>
        <w:rPr>
          <w:szCs w:val="21"/>
        </w:rPr>
      </w:pPr>
      <w:r>
        <w:object>
          <v:shape id="_x0000_i1205" o:spt="75" type="#_x0000_t75" style="height:17.25pt;width:292.5pt;" o:ole="t" filled="f" o:preferrelative="t" stroked="f" coordsize="21600,21600">
            <v:path/>
            <v:fill on="f" focussize="0,0"/>
            <v:stroke on="f" joinstyle="miter"/>
            <v:imagedata r:id="rId38" o:title=""/>
            <o:lock v:ext="edit" aspectratio="t"/>
            <w10:wrap type="none"/>
            <w10:anchorlock/>
          </v:shape>
          <o:OLEObject Type="Embed" ProgID="Equation.DSMT4" ShapeID="_x0000_i1205" DrawAspect="Content" ObjectID="_1468075903" r:id="rId232">
            <o:LockedField>false</o:LockedField>
          </o:OLEObject>
        </w:object>
      </w:r>
    </w:p>
    <w:p>
      <w:pPr>
        <w:snapToGrid w:val="0"/>
        <w:spacing w:line="300" w:lineRule="auto"/>
      </w:pPr>
      <w:r>
        <w:t>其中权重系数按照表5设定。</w:t>
      </w:r>
    </w:p>
    <w:p>
      <w:pPr>
        <w:snapToGrid w:val="0"/>
        <w:spacing w:before="159" w:beforeLines="50" w:line="300" w:lineRule="auto"/>
        <w:jc w:val="center"/>
        <w:rPr>
          <w:b/>
          <w:kern w:val="0"/>
          <w:sz w:val="18"/>
          <w:szCs w:val="18"/>
        </w:rPr>
      </w:pPr>
      <w:r>
        <w:rPr>
          <w:b/>
          <w:kern w:val="0"/>
          <w:sz w:val="18"/>
          <w:szCs w:val="18"/>
        </w:rPr>
        <w:t>表5课程目标权重系数</w:t>
      </w:r>
    </w:p>
    <w:tbl>
      <w:tblPr>
        <w:tblStyle w:val="22"/>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2083"/>
        <w:gridCol w:w="2083"/>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2" w:type="dxa"/>
          </w:tcPr>
          <w:p>
            <w:pPr>
              <w:spacing w:line="288" w:lineRule="exact"/>
              <w:ind w:right="-20"/>
              <w:jc w:val="center"/>
              <w:rPr>
                <w:b/>
                <w:sz w:val="18"/>
                <w:szCs w:val="18"/>
              </w:rPr>
            </w:pPr>
            <w:r>
              <w:rPr>
                <w:b/>
                <w:sz w:val="18"/>
                <w:szCs w:val="18"/>
              </w:rPr>
              <w:t>课程目标</w:t>
            </w:r>
          </w:p>
        </w:tc>
        <w:tc>
          <w:tcPr>
            <w:tcW w:w="2083" w:type="dxa"/>
          </w:tcPr>
          <w:p>
            <w:pPr>
              <w:spacing w:line="288" w:lineRule="exact"/>
              <w:ind w:right="-20"/>
              <w:jc w:val="center"/>
              <w:rPr>
                <w:sz w:val="18"/>
                <w:szCs w:val="18"/>
              </w:rPr>
            </w:pPr>
            <w:r>
              <w:rPr>
                <w:sz w:val="18"/>
                <w:szCs w:val="18"/>
              </w:rPr>
              <w:t>1</w:t>
            </w:r>
          </w:p>
        </w:tc>
        <w:tc>
          <w:tcPr>
            <w:tcW w:w="2083" w:type="dxa"/>
          </w:tcPr>
          <w:p>
            <w:pPr>
              <w:spacing w:line="288" w:lineRule="exact"/>
              <w:ind w:right="-20"/>
              <w:jc w:val="center"/>
              <w:rPr>
                <w:sz w:val="18"/>
                <w:szCs w:val="18"/>
              </w:rPr>
            </w:pPr>
            <w:r>
              <w:rPr>
                <w:sz w:val="18"/>
                <w:szCs w:val="18"/>
              </w:rPr>
              <w:t>2</w:t>
            </w:r>
          </w:p>
        </w:tc>
        <w:tc>
          <w:tcPr>
            <w:tcW w:w="1812" w:type="dxa"/>
          </w:tcPr>
          <w:p>
            <w:pPr>
              <w:spacing w:line="288" w:lineRule="exact"/>
              <w:ind w:right="-2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2" w:type="dxa"/>
          </w:tcPr>
          <w:p>
            <w:pPr>
              <w:spacing w:line="288" w:lineRule="exact"/>
              <w:ind w:right="-20"/>
              <w:jc w:val="center"/>
              <w:rPr>
                <w:b/>
                <w:sz w:val="18"/>
                <w:szCs w:val="18"/>
              </w:rPr>
            </w:pPr>
            <w:r>
              <w:rPr>
                <w:b/>
                <w:sz w:val="18"/>
                <w:szCs w:val="18"/>
              </w:rPr>
              <w:t>权重系数</w:t>
            </w:r>
          </w:p>
        </w:tc>
        <w:tc>
          <w:tcPr>
            <w:tcW w:w="2083" w:type="dxa"/>
          </w:tcPr>
          <w:p>
            <w:pPr>
              <w:spacing w:line="288" w:lineRule="exact"/>
              <w:ind w:right="-20"/>
              <w:jc w:val="center"/>
              <w:rPr>
                <w:sz w:val="18"/>
                <w:szCs w:val="18"/>
              </w:rPr>
            </w:pPr>
            <w:r>
              <w:rPr>
                <w:sz w:val="18"/>
                <w:szCs w:val="18"/>
              </w:rPr>
              <w:t>0.4</w:t>
            </w:r>
          </w:p>
        </w:tc>
        <w:tc>
          <w:tcPr>
            <w:tcW w:w="2083" w:type="dxa"/>
          </w:tcPr>
          <w:p>
            <w:pPr>
              <w:spacing w:line="288" w:lineRule="exact"/>
              <w:ind w:right="-20"/>
              <w:jc w:val="center"/>
              <w:rPr>
                <w:sz w:val="18"/>
                <w:szCs w:val="18"/>
              </w:rPr>
            </w:pPr>
            <w:r>
              <w:rPr>
                <w:sz w:val="18"/>
                <w:szCs w:val="18"/>
              </w:rPr>
              <w:t>0.4</w:t>
            </w:r>
          </w:p>
        </w:tc>
        <w:tc>
          <w:tcPr>
            <w:tcW w:w="1812" w:type="dxa"/>
          </w:tcPr>
          <w:p>
            <w:pPr>
              <w:spacing w:line="288" w:lineRule="exact"/>
              <w:ind w:right="-20"/>
              <w:jc w:val="center"/>
              <w:rPr>
                <w:sz w:val="18"/>
                <w:szCs w:val="18"/>
              </w:rPr>
            </w:pPr>
            <w:r>
              <w:rPr>
                <w:sz w:val="18"/>
                <w:szCs w:val="18"/>
              </w:rPr>
              <w:t>0.2</w:t>
            </w:r>
          </w:p>
        </w:tc>
      </w:tr>
    </w:tbl>
    <w:p>
      <w:pPr>
        <w:spacing w:before="9" w:line="40" w:lineRule="exact"/>
        <w:rPr>
          <w:sz w:val="4"/>
          <w:szCs w:val="4"/>
          <w:highlight w:val="yellow"/>
        </w:rPr>
      </w:pPr>
    </w:p>
    <w:p>
      <w:pPr>
        <w:snapToGrid w:val="0"/>
        <w:spacing w:before="6" w:line="300" w:lineRule="auto"/>
        <w:ind w:right="270" w:firstLine="428" w:firstLineChars="200"/>
        <w:rPr>
          <w:spacing w:val="2"/>
          <w:szCs w:val="21"/>
        </w:rPr>
      </w:pPr>
      <w:r>
        <w:rPr>
          <w:spacing w:val="2"/>
          <w:szCs w:val="21"/>
        </w:rPr>
        <w:t>课程毕业要求指标点达成情况评价：</w:t>
      </w:r>
    </w:p>
    <w:p>
      <w:pPr>
        <w:snapToGrid w:val="0"/>
        <w:spacing w:before="6" w:line="300" w:lineRule="auto"/>
        <w:ind w:right="270" w:firstLine="428" w:firstLineChars="200"/>
        <w:rPr>
          <w:spacing w:val="2"/>
          <w:szCs w:val="21"/>
        </w:rPr>
      </w:pPr>
      <w:r>
        <w:rPr>
          <w:spacing w:val="2"/>
          <w:szCs w:val="21"/>
        </w:rPr>
        <w:t>课程支撑毕业要求指标点的达成情况为对应的课程目标达成情况的加权值，其计算公式为：</w:t>
      </w:r>
    </w:p>
    <w:p>
      <w:pPr>
        <w:snapToGrid w:val="0"/>
        <w:spacing w:before="6" w:line="300" w:lineRule="auto"/>
        <w:ind w:right="270" w:firstLine="428" w:firstLineChars="200"/>
        <w:rPr>
          <w:spacing w:val="2"/>
          <w:szCs w:val="21"/>
        </w:rPr>
      </w:pPr>
      <w:r>
        <w:rPr>
          <w:spacing w:val="2"/>
          <w:position w:val="-14"/>
          <w:szCs w:val="21"/>
        </w:rPr>
        <w:object>
          <v:shape id="_x0000_i1206" o:spt="75" type="#_x0000_t75" style="height:17.25pt;width:310.5pt;" o:ole="t" filled="f" o:preferrelative="t" stroked="f" coordsize="21600,21600">
            <v:path/>
            <v:fill on="f" focussize="0,0"/>
            <v:stroke on="f" joinstyle="miter"/>
            <v:imagedata r:id="rId234" o:title=""/>
            <o:lock v:ext="edit" aspectratio="t"/>
            <w10:wrap type="none"/>
            <w10:anchorlock/>
          </v:shape>
          <o:OLEObject Type="Embed" ProgID="Equation.DSMT4" ShapeID="_x0000_i1206" DrawAspect="Content" ObjectID="_1468075904" r:id="rId233">
            <o:LockedField>false</o:LockedField>
          </o:OLEObject>
        </w:object>
      </w:r>
    </w:p>
    <w:p>
      <w:pPr>
        <w:snapToGrid w:val="0"/>
        <w:spacing w:before="6" w:line="300" w:lineRule="auto"/>
        <w:ind w:right="270" w:firstLine="428" w:firstLineChars="200"/>
        <w:rPr>
          <w:spacing w:val="2"/>
          <w:szCs w:val="21"/>
        </w:rPr>
      </w:pPr>
      <w:r>
        <w:rPr>
          <w:spacing w:val="2"/>
          <w:szCs w:val="21"/>
        </w:rPr>
        <w:t>2、课程总结要求：</w:t>
      </w:r>
    </w:p>
    <w:p>
      <w:pPr>
        <w:snapToGrid w:val="0"/>
        <w:spacing w:before="6" w:line="300" w:lineRule="auto"/>
        <w:ind w:right="270" w:firstLine="428" w:firstLineChars="200"/>
        <w:rPr>
          <w:spacing w:val="2"/>
          <w:szCs w:val="21"/>
        </w:rPr>
      </w:pPr>
      <w:r>
        <w:rPr>
          <w:spacing w:val="2"/>
          <w:szCs w:val="21"/>
        </w:rPr>
        <w:t> 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before="6" w:line="300" w:lineRule="auto"/>
        <w:ind w:right="270" w:firstLine="428" w:firstLineChars="200"/>
        <w:rPr>
          <w:spacing w:val="2"/>
          <w:szCs w:val="21"/>
        </w:rPr>
      </w:pPr>
      <w:r>
        <w:rPr>
          <w:spacing w:val="2"/>
          <w:szCs w:val="21"/>
        </w:rPr>
        <w:t>1. 教材</w:t>
      </w:r>
    </w:p>
    <w:p>
      <w:pPr>
        <w:snapToGrid w:val="0"/>
        <w:spacing w:before="6" w:line="300" w:lineRule="auto"/>
        <w:ind w:right="270" w:firstLine="420" w:firstLineChars="200"/>
        <w:rPr>
          <w:spacing w:val="2"/>
          <w:szCs w:val="21"/>
        </w:rPr>
      </w:pPr>
      <w:r>
        <w:rPr>
          <w:szCs w:val="21"/>
        </w:rPr>
        <w:t>不需要指定教材</w:t>
      </w:r>
    </w:p>
    <w:p>
      <w:pPr>
        <w:snapToGrid w:val="0"/>
        <w:spacing w:before="6" w:line="300" w:lineRule="auto"/>
        <w:ind w:right="270" w:firstLine="428" w:firstLineChars="200"/>
        <w:rPr>
          <w:spacing w:val="2"/>
          <w:szCs w:val="21"/>
        </w:rPr>
      </w:pPr>
      <w:r>
        <w:rPr>
          <w:spacing w:val="2"/>
          <w:szCs w:val="21"/>
        </w:rPr>
        <w:t xml:space="preserve">2. 参考资料 </w:t>
      </w:r>
    </w:p>
    <w:p>
      <w:pPr>
        <w:snapToGrid w:val="0"/>
        <w:spacing w:before="6" w:line="300" w:lineRule="auto"/>
        <w:ind w:right="270" w:firstLine="428" w:firstLineChars="200"/>
        <w:rPr>
          <w:spacing w:val="2"/>
          <w:szCs w:val="21"/>
        </w:rPr>
      </w:pPr>
      <w:r>
        <w:rPr>
          <w:spacing w:val="2"/>
          <w:szCs w:val="21"/>
        </w:rPr>
        <w:t>广东海洋大学本科毕业论文（设计）工作管理办法（校教务〔2015〕23 号）。</w:t>
      </w:r>
    </w:p>
    <w:tbl>
      <w:tblPr>
        <w:tblStyle w:val="22"/>
        <w:tblpPr w:leftFromText="180" w:rightFromText="180" w:vertAnchor="text" w:horzAnchor="margin" w:tblpX="-39" w:tblpY="266"/>
        <w:tblW w:w="8472" w:type="dxa"/>
        <w:tblInd w:w="0" w:type="dxa"/>
        <w:tblLayout w:type="fixed"/>
        <w:tblCellMar>
          <w:top w:w="0" w:type="dxa"/>
          <w:left w:w="108" w:type="dxa"/>
          <w:bottom w:w="0" w:type="dxa"/>
          <w:right w:w="108" w:type="dxa"/>
        </w:tblCellMar>
      </w:tblPr>
      <w:tblGrid>
        <w:gridCol w:w="8472"/>
      </w:tblGrid>
      <w:tr>
        <w:trPr>
          <w:trHeight w:val="283" w:hRule="atLeast"/>
        </w:trPr>
        <w:tc>
          <w:tcPr>
            <w:tcW w:w="8472"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CellMar>
            <w:top w:w="0" w:type="dxa"/>
            <w:left w:w="108" w:type="dxa"/>
            <w:bottom w:w="0" w:type="dxa"/>
            <w:right w:w="108" w:type="dxa"/>
          </w:tblCellMar>
        </w:tblPrEx>
        <w:trPr>
          <w:trHeight w:val="401" w:hRule="atLeast"/>
        </w:trPr>
        <w:tc>
          <w:tcPr>
            <w:tcW w:w="8472" w:type="dxa"/>
          </w:tcPr>
          <w:p>
            <w:pPr>
              <w:snapToGrid w:val="0"/>
              <w:spacing w:line="300" w:lineRule="auto"/>
              <w:ind w:right="420"/>
              <w:jc w:val="right"/>
              <w:rPr>
                <w:kern w:val="0"/>
                <w:sz w:val="20"/>
                <w:szCs w:val="21"/>
              </w:rPr>
            </w:pPr>
            <w:r>
              <w:rPr>
                <w:kern w:val="0"/>
                <w:sz w:val="20"/>
                <w:szCs w:val="21"/>
              </w:rPr>
              <w:t>批准人：张炎生</w:t>
            </w:r>
          </w:p>
        </w:tc>
      </w:tr>
      <w:tr>
        <w:tblPrEx>
          <w:tblCellMar>
            <w:top w:w="0" w:type="dxa"/>
            <w:left w:w="108" w:type="dxa"/>
            <w:bottom w:w="0" w:type="dxa"/>
            <w:right w:w="108" w:type="dxa"/>
          </w:tblCellMar>
        </w:tblPrEx>
        <w:trPr>
          <w:trHeight w:val="658" w:hRule="atLeast"/>
        </w:trPr>
        <w:tc>
          <w:tcPr>
            <w:tcW w:w="8472" w:type="dxa"/>
          </w:tcPr>
          <w:p>
            <w:pPr>
              <w:wordWrap w:val="0"/>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jc w:val="right"/>
              <w:rPr>
                <w:kern w:val="0"/>
                <w:sz w:val="20"/>
                <w:szCs w:val="21"/>
              </w:rPr>
            </w:pPr>
            <w:r>
              <w:rPr>
                <w:kern w:val="0"/>
                <w:sz w:val="20"/>
                <w:szCs w:val="21"/>
              </w:rPr>
              <w:t xml:space="preserve">       </w:t>
            </w:r>
          </w:p>
        </w:tc>
      </w:tr>
    </w:tbl>
    <w:p/>
    <w:p/>
    <w:p/>
    <w:p>
      <w:pPr>
        <w:pStyle w:val="2"/>
        <w:spacing w:line="360" w:lineRule="auto"/>
        <w:rPr>
          <w:rFonts w:ascii="Times New Roman" w:hAnsi="Times New Roman" w:cs="Times New Roman"/>
        </w:rPr>
        <w:sectPr>
          <w:pgSz w:w="11906" w:h="16838"/>
          <w:pgMar w:top="1417" w:right="1361" w:bottom="1417" w:left="1361" w:header="851" w:footer="992" w:gutter="0"/>
          <w:cols w:space="720" w:num="1"/>
          <w:docGrid w:type="lines" w:linePitch="318" w:charSpace="0"/>
        </w:sectPr>
      </w:pPr>
    </w:p>
    <w:p>
      <w:pPr>
        <w:pStyle w:val="3"/>
        <w:jc w:val="center"/>
      </w:pPr>
      <w:bookmarkStart w:id="296" w:name="_Toc18897"/>
      <w:bookmarkStart w:id="297" w:name="_Toc29425"/>
      <w:bookmarkStart w:id="298" w:name="_Toc17689"/>
      <w:bookmarkStart w:id="299" w:name="_Toc62652573"/>
      <w:bookmarkStart w:id="300" w:name="_Toc62571490"/>
      <w:r>
        <w:rPr>
          <w:rFonts w:hint="eastAsia"/>
        </w:rPr>
        <w:t>j3341704《嵌入式系统课程实习》实习教学大纲</w:t>
      </w:r>
      <w:bookmarkEnd w:id="296"/>
      <w:bookmarkEnd w:id="297"/>
      <w:bookmarkEnd w:id="298"/>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6" w:type="dxa"/>
          </w:tcPr>
          <w:p>
            <w:pPr>
              <w:jc w:val="center"/>
              <w:rPr>
                <w:kern w:val="0"/>
                <w:szCs w:val="21"/>
              </w:rPr>
            </w:pPr>
            <w:r>
              <w:rPr>
                <w:kern w:val="0"/>
                <w:szCs w:val="21"/>
              </w:rPr>
              <w:t>课程编号</w:t>
            </w:r>
          </w:p>
        </w:tc>
        <w:tc>
          <w:tcPr>
            <w:tcW w:w="3143" w:type="dxa"/>
          </w:tcPr>
          <w:p>
            <w:pPr>
              <w:jc w:val="center"/>
              <w:rPr>
                <w:kern w:val="0"/>
                <w:szCs w:val="21"/>
              </w:rPr>
            </w:pPr>
            <w:r>
              <w:rPr>
                <w:szCs w:val="21"/>
              </w:rPr>
              <w:t>j334</w:t>
            </w:r>
            <w:r>
              <w:rPr>
                <w:rFonts w:hint="eastAsia"/>
                <w:szCs w:val="21"/>
              </w:rPr>
              <w:t>1704</w:t>
            </w:r>
          </w:p>
        </w:tc>
        <w:tc>
          <w:tcPr>
            <w:tcW w:w="1214" w:type="dxa"/>
          </w:tcPr>
          <w:p>
            <w:pPr>
              <w:jc w:val="center"/>
              <w:rPr>
                <w:kern w:val="0"/>
                <w:szCs w:val="21"/>
              </w:rPr>
            </w:pPr>
            <w:r>
              <w:rPr>
                <w:kern w:val="0"/>
                <w:szCs w:val="21"/>
              </w:rPr>
              <w:t>课程名称</w:t>
            </w:r>
          </w:p>
        </w:tc>
        <w:tc>
          <w:tcPr>
            <w:tcW w:w="2978" w:type="dxa"/>
          </w:tcPr>
          <w:p>
            <w:pPr>
              <w:jc w:val="center"/>
              <w:rPr>
                <w:kern w:val="0"/>
                <w:szCs w:val="21"/>
              </w:rPr>
            </w:pPr>
            <w:r>
              <w:rPr>
                <w:szCs w:val="21"/>
              </w:rPr>
              <w:t>嵌入式系统课程实习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6" w:type="dxa"/>
          </w:tcPr>
          <w:p>
            <w:pPr>
              <w:jc w:val="center"/>
              <w:rPr>
                <w:kern w:val="0"/>
                <w:szCs w:val="21"/>
              </w:rPr>
            </w:pPr>
            <w:r>
              <w:rPr>
                <w:kern w:val="0"/>
                <w:szCs w:val="21"/>
              </w:rPr>
              <w:t>课程性质*</w:t>
            </w:r>
          </w:p>
        </w:tc>
        <w:tc>
          <w:tcPr>
            <w:tcW w:w="3143" w:type="dxa"/>
          </w:tcPr>
          <w:p>
            <w:pPr>
              <w:jc w:val="center"/>
              <w:rPr>
                <w:kern w:val="0"/>
                <w:szCs w:val="21"/>
              </w:rPr>
            </w:pPr>
            <w:r>
              <w:rPr>
                <w:kern w:val="0"/>
                <w:szCs w:val="21"/>
              </w:rPr>
              <w:t>工程实践与毕业设计（论文）</w:t>
            </w:r>
          </w:p>
        </w:tc>
        <w:tc>
          <w:tcPr>
            <w:tcW w:w="1214" w:type="dxa"/>
          </w:tcPr>
          <w:p>
            <w:pPr>
              <w:jc w:val="center"/>
              <w:rPr>
                <w:kern w:val="0"/>
                <w:szCs w:val="21"/>
              </w:rPr>
            </w:pPr>
            <w:r>
              <w:rPr>
                <w:kern w:val="0"/>
                <w:szCs w:val="21"/>
              </w:rPr>
              <w:t>英文名称</w:t>
            </w:r>
          </w:p>
        </w:tc>
        <w:tc>
          <w:tcPr>
            <w:tcW w:w="2978" w:type="dxa"/>
            <w:vAlign w:val="center"/>
          </w:tcPr>
          <w:p>
            <w:pPr>
              <w:jc w:val="center"/>
              <w:rPr>
                <w:bCs/>
                <w:kern w:val="0"/>
                <w:szCs w:val="21"/>
              </w:rPr>
            </w:pPr>
            <w:r>
              <w:rPr>
                <w:szCs w:val="21"/>
              </w:rPr>
              <w:t>Embedded System Course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6" w:type="dxa"/>
          </w:tcPr>
          <w:p>
            <w:pPr>
              <w:jc w:val="center"/>
              <w:rPr>
                <w:kern w:val="0"/>
                <w:szCs w:val="21"/>
              </w:rPr>
            </w:pPr>
            <w:r>
              <w:rPr>
                <w:kern w:val="0"/>
                <w:szCs w:val="21"/>
              </w:rPr>
              <w:t>学分学时</w:t>
            </w:r>
          </w:p>
        </w:tc>
        <w:tc>
          <w:tcPr>
            <w:tcW w:w="3143" w:type="dxa"/>
          </w:tcPr>
          <w:p>
            <w:pPr>
              <w:jc w:val="center"/>
              <w:rPr>
                <w:kern w:val="0"/>
                <w:szCs w:val="21"/>
              </w:rPr>
            </w:pPr>
            <w:r>
              <w:rPr>
                <w:kern w:val="0"/>
                <w:szCs w:val="21"/>
              </w:rPr>
              <w:t>1</w:t>
            </w:r>
            <w:r>
              <w:rPr>
                <w:bCs/>
                <w:kern w:val="0"/>
                <w:szCs w:val="21"/>
              </w:rPr>
              <w:t xml:space="preserve"> </w:t>
            </w:r>
            <w:r>
              <w:rPr>
                <w:kern w:val="0"/>
                <w:szCs w:val="21"/>
              </w:rPr>
              <w:t>: 1周</w:t>
            </w:r>
          </w:p>
        </w:tc>
        <w:tc>
          <w:tcPr>
            <w:tcW w:w="1214" w:type="dxa"/>
          </w:tcPr>
          <w:p>
            <w:pPr>
              <w:jc w:val="center"/>
              <w:rPr>
                <w:kern w:val="0"/>
                <w:szCs w:val="21"/>
                <w:highlight w:val="yellow"/>
              </w:rPr>
            </w:pPr>
            <w:r>
              <w:rPr>
                <w:kern w:val="0"/>
                <w:szCs w:val="21"/>
              </w:rPr>
              <w:t>任课教师</w:t>
            </w:r>
          </w:p>
        </w:tc>
        <w:tc>
          <w:tcPr>
            <w:tcW w:w="2978" w:type="dxa"/>
          </w:tcPr>
          <w:p>
            <w:pPr>
              <w:jc w:val="center"/>
              <w:rPr>
                <w:kern w:val="0"/>
                <w:szCs w:val="21"/>
                <w:highlight w:val="yellow"/>
              </w:rPr>
            </w:pPr>
            <w:r>
              <w:rPr>
                <w:kern w:val="0"/>
                <w:szCs w:val="20"/>
              </w:rPr>
              <w:t>邓锐、冯青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6" w:type="dxa"/>
          </w:tcPr>
          <w:p>
            <w:pPr>
              <w:jc w:val="center"/>
              <w:rPr>
                <w:bCs/>
                <w:kern w:val="0"/>
                <w:szCs w:val="21"/>
              </w:rPr>
            </w:pPr>
            <w:r>
              <w:rPr>
                <w:bCs/>
                <w:kern w:val="0"/>
                <w:szCs w:val="21"/>
              </w:rPr>
              <w:t>企业专家</w:t>
            </w:r>
          </w:p>
        </w:tc>
        <w:tc>
          <w:tcPr>
            <w:tcW w:w="3143" w:type="dxa"/>
          </w:tcPr>
          <w:p>
            <w:pPr>
              <w:widowControl/>
              <w:jc w:val="center"/>
              <w:rPr>
                <w:kern w:val="0"/>
                <w:szCs w:val="21"/>
              </w:rPr>
            </w:pPr>
            <w:r>
              <w:rPr>
                <w:kern w:val="0"/>
                <w:szCs w:val="21"/>
              </w:rPr>
              <w:t>曾耿滨</w:t>
            </w:r>
          </w:p>
        </w:tc>
        <w:tc>
          <w:tcPr>
            <w:tcW w:w="1214" w:type="dxa"/>
          </w:tcPr>
          <w:p>
            <w:pPr>
              <w:jc w:val="center"/>
              <w:rPr>
                <w:bCs/>
                <w:kern w:val="0"/>
                <w:szCs w:val="21"/>
              </w:rPr>
            </w:pPr>
            <w:r>
              <w:rPr>
                <w:bCs/>
                <w:kern w:val="0"/>
                <w:szCs w:val="21"/>
              </w:rPr>
              <w:t>行业专家</w:t>
            </w:r>
          </w:p>
        </w:tc>
        <w:tc>
          <w:tcPr>
            <w:tcW w:w="2978" w:type="dxa"/>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6" w:type="dxa"/>
          </w:tcPr>
          <w:p>
            <w:pPr>
              <w:widowControl/>
              <w:jc w:val="center"/>
              <w:rPr>
                <w:bCs/>
                <w:kern w:val="0"/>
                <w:szCs w:val="21"/>
              </w:rPr>
            </w:pPr>
            <w:r>
              <w:rPr>
                <w:bCs/>
                <w:kern w:val="0"/>
                <w:szCs w:val="21"/>
              </w:rPr>
              <w:t>执笔教师</w:t>
            </w:r>
          </w:p>
        </w:tc>
        <w:tc>
          <w:tcPr>
            <w:tcW w:w="3143" w:type="dxa"/>
          </w:tcPr>
          <w:p>
            <w:pPr>
              <w:widowControl/>
              <w:jc w:val="center"/>
              <w:rPr>
                <w:kern w:val="0"/>
                <w:szCs w:val="21"/>
              </w:rPr>
            </w:pPr>
            <w:r>
              <w:rPr>
                <w:kern w:val="0"/>
                <w:szCs w:val="21"/>
              </w:rPr>
              <w:t>邓锐</w:t>
            </w:r>
          </w:p>
        </w:tc>
        <w:tc>
          <w:tcPr>
            <w:tcW w:w="1214" w:type="dxa"/>
          </w:tcPr>
          <w:p>
            <w:pPr>
              <w:widowControl/>
              <w:jc w:val="center"/>
              <w:rPr>
                <w:bCs/>
                <w:kern w:val="0"/>
                <w:szCs w:val="21"/>
              </w:rPr>
            </w:pPr>
            <w:r>
              <w:rPr>
                <w:bCs/>
                <w:kern w:val="0"/>
                <w:szCs w:val="21"/>
              </w:rPr>
              <w:t>责任教授</w:t>
            </w:r>
          </w:p>
        </w:tc>
        <w:tc>
          <w:tcPr>
            <w:tcW w:w="2978" w:type="dxa"/>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6" w:type="dxa"/>
          </w:tcPr>
          <w:p>
            <w:pPr>
              <w:widowControl/>
              <w:jc w:val="center"/>
              <w:rPr>
                <w:bCs/>
                <w:kern w:val="0"/>
                <w:szCs w:val="21"/>
              </w:rPr>
            </w:pPr>
            <w:r>
              <w:rPr>
                <w:bCs/>
                <w:kern w:val="0"/>
                <w:szCs w:val="21"/>
              </w:rPr>
              <w:t>适用专业</w:t>
            </w:r>
          </w:p>
        </w:tc>
        <w:tc>
          <w:tcPr>
            <w:tcW w:w="3143" w:type="dxa"/>
          </w:tcPr>
          <w:p>
            <w:pPr>
              <w:widowControl/>
              <w:jc w:val="center"/>
              <w:rPr>
                <w:kern w:val="0"/>
                <w:szCs w:val="21"/>
              </w:rPr>
            </w:pPr>
            <w:r>
              <w:rPr>
                <w:kern w:val="0"/>
                <w:szCs w:val="21"/>
              </w:rPr>
              <w:t>电子信息工程</w:t>
            </w:r>
          </w:p>
        </w:tc>
        <w:tc>
          <w:tcPr>
            <w:tcW w:w="1214" w:type="dxa"/>
          </w:tcPr>
          <w:p>
            <w:pPr>
              <w:widowControl/>
              <w:jc w:val="center"/>
              <w:rPr>
                <w:bCs/>
                <w:kern w:val="0"/>
                <w:szCs w:val="21"/>
              </w:rPr>
            </w:pPr>
            <w:r>
              <w:rPr>
                <w:bCs/>
                <w:kern w:val="0"/>
                <w:szCs w:val="21"/>
              </w:rPr>
              <w:t>适用对象</w:t>
            </w:r>
          </w:p>
        </w:tc>
        <w:tc>
          <w:tcPr>
            <w:tcW w:w="2978" w:type="dxa"/>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6" w:type="dxa"/>
          </w:tcPr>
          <w:p>
            <w:pPr>
              <w:jc w:val="center"/>
              <w:rPr>
                <w:b/>
                <w:kern w:val="0"/>
                <w:szCs w:val="21"/>
              </w:rPr>
            </w:pPr>
            <w:r>
              <w:rPr>
                <w:kern w:val="0"/>
                <w:szCs w:val="21"/>
              </w:rPr>
              <w:t>先修课程</w:t>
            </w:r>
          </w:p>
        </w:tc>
        <w:tc>
          <w:tcPr>
            <w:tcW w:w="3143" w:type="dxa"/>
            <w:vAlign w:val="center"/>
          </w:tcPr>
          <w:p>
            <w:pPr>
              <w:widowControl/>
              <w:jc w:val="center"/>
              <w:rPr>
                <w:bCs/>
                <w:kern w:val="0"/>
                <w:szCs w:val="21"/>
              </w:rPr>
            </w:pPr>
            <w:r>
              <w:rPr>
                <w:kern w:val="0"/>
                <w:szCs w:val="21"/>
              </w:rPr>
              <w:t>电子信息类基础课程</w:t>
            </w:r>
          </w:p>
        </w:tc>
        <w:tc>
          <w:tcPr>
            <w:tcW w:w="1214" w:type="dxa"/>
          </w:tcPr>
          <w:p>
            <w:pPr>
              <w:snapToGrid w:val="0"/>
              <w:spacing w:line="300" w:lineRule="auto"/>
              <w:jc w:val="center"/>
              <w:rPr>
                <w:b/>
                <w:kern w:val="0"/>
                <w:szCs w:val="21"/>
              </w:rPr>
            </w:pPr>
            <w:r>
              <w:rPr>
                <w:kern w:val="0"/>
                <w:szCs w:val="21"/>
              </w:rPr>
              <w:t>同修课程</w:t>
            </w:r>
          </w:p>
        </w:tc>
        <w:tc>
          <w:tcPr>
            <w:tcW w:w="2978" w:type="dxa"/>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6" w:type="dxa"/>
          </w:tcPr>
          <w:p>
            <w:pPr>
              <w:jc w:val="center"/>
              <w:rPr>
                <w:kern w:val="0"/>
                <w:szCs w:val="21"/>
              </w:rPr>
            </w:pPr>
            <w:r>
              <w:rPr>
                <w:kern w:val="0"/>
                <w:szCs w:val="21"/>
              </w:rPr>
              <w:t>排斥课程</w:t>
            </w:r>
          </w:p>
        </w:tc>
        <w:tc>
          <w:tcPr>
            <w:tcW w:w="3143" w:type="dxa"/>
          </w:tcPr>
          <w:p>
            <w:pPr>
              <w:widowControl/>
              <w:jc w:val="center"/>
              <w:rPr>
                <w:kern w:val="0"/>
                <w:szCs w:val="21"/>
              </w:rPr>
            </w:pPr>
            <w:r>
              <w:rPr>
                <w:kern w:val="0"/>
                <w:szCs w:val="21"/>
              </w:rPr>
              <w:t>无</w:t>
            </w:r>
          </w:p>
        </w:tc>
        <w:tc>
          <w:tcPr>
            <w:tcW w:w="1214" w:type="dxa"/>
          </w:tcPr>
          <w:p>
            <w:pPr>
              <w:snapToGrid w:val="0"/>
              <w:spacing w:line="300" w:lineRule="auto"/>
              <w:jc w:val="center"/>
              <w:rPr>
                <w:kern w:val="0"/>
                <w:szCs w:val="21"/>
              </w:rPr>
            </w:pPr>
            <w:r>
              <w:rPr>
                <w:kern w:val="0"/>
                <w:szCs w:val="21"/>
              </w:rPr>
              <w:t>定稿日期</w:t>
            </w:r>
          </w:p>
        </w:tc>
        <w:tc>
          <w:tcPr>
            <w:tcW w:w="2978" w:type="dxa"/>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pacing w:line="276" w:lineRule="auto"/>
        <w:ind w:firstLine="420" w:firstLineChars="200"/>
        <w:rPr>
          <w:bCs/>
          <w:szCs w:val="21"/>
        </w:rPr>
      </w:pPr>
      <w:r>
        <w:rPr>
          <w:szCs w:val="21"/>
        </w:rPr>
        <w:t>为实现培养目标，本课程是电子信息工程专业高年级学生开设的专业选修课。嵌入式系统融合了计算机软/硬件技术、通信技术和半导体微电子技术；本课程主要学习将相应的计算机直接嵌入到应用系统中。通过本课程学习，使学生了解嵌入式处理器ARM7微处理器体系结构及指令系统。了解32位嵌入式处理器总体结构、存储器组织、系统控制模块和I/O外围控制模块。掌握嵌入式系统的分析与设计方法，了解各种嵌入式操作系统开发应用方法和嵌入式网络技术；能够进行实际系统的设计与分析。</w:t>
      </w:r>
    </w:p>
    <w:p>
      <w:pPr>
        <w:snapToGrid w:val="0"/>
        <w:spacing w:before="159" w:beforeLines="50" w:after="159" w:afterLines="50" w:line="300" w:lineRule="auto"/>
        <w:rPr>
          <w:b/>
          <w:sz w:val="24"/>
        </w:rPr>
      </w:pPr>
      <w:r>
        <w:rPr>
          <w:b/>
          <w:sz w:val="24"/>
        </w:rPr>
        <w:t>二、课程教学目标</w:t>
      </w:r>
    </w:p>
    <w:p>
      <w:pPr>
        <w:snapToGrid w:val="0"/>
        <w:spacing w:line="300" w:lineRule="auto"/>
        <w:ind w:firstLine="420" w:firstLineChars="200"/>
        <w:rPr>
          <w:szCs w:val="21"/>
        </w:rPr>
      </w:pPr>
      <w:r>
        <w:rPr>
          <w:szCs w:val="21"/>
        </w:rPr>
        <w:t>1、掌握STM32F103实验板的电路的基本原理，掌握焊接电路板的基本技能。要求在掌握电路原理的基础上进行电路板的焊接，要求能够焊接贴片0602电阻电容，能够焊接SOIC贴片芯片。在完成后可进行上电，下载代码运行测试验证电路板焊接的正确性；[</w:t>
      </w:r>
      <w:r>
        <w:rPr>
          <w:rFonts w:hint="eastAsia"/>
          <w:szCs w:val="21"/>
        </w:rPr>
        <w:t>4.2</w:t>
      </w:r>
      <w:r>
        <w:rPr>
          <w:szCs w:val="21"/>
        </w:rPr>
        <w:t>]</w:t>
      </w:r>
    </w:p>
    <w:p>
      <w:pPr>
        <w:snapToGrid w:val="0"/>
        <w:spacing w:line="300" w:lineRule="auto"/>
        <w:ind w:firstLine="420" w:firstLineChars="200"/>
        <w:rPr>
          <w:szCs w:val="21"/>
        </w:rPr>
      </w:pPr>
      <w:r>
        <w:rPr>
          <w:szCs w:val="21"/>
        </w:rPr>
        <w:t>2、掌握STM32开发环境，掌握从无到有的构建工程，学会GPIO及中断的基本操作。要求参考教材，编写代码下载到目标板，观察效果。如未达到理想效果，检查和修改代码，再次编译下载直到成功；</w:t>
      </w:r>
      <w:r>
        <w:rPr>
          <w:rFonts w:hint="eastAsia"/>
          <w:szCs w:val="21"/>
        </w:rPr>
        <w:t>[4.2]</w:t>
      </w:r>
    </w:p>
    <w:p>
      <w:pPr>
        <w:snapToGrid w:val="0"/>
        <w:spacing w:line="300" w:lineRule="auto"/>
        <w:ind w:firstLine="420" w:firstLineChars="200"/>
        <w:rPr>
          <w:szCs w:val="21"/>
        </w:rPr>
      </w:pPr>
      <w:r>
        <w:rPr>
          <w:rFonts w:hint="eastAsia"/>
          <w:szCs w:val="21"/>
        </w:rPr>
        <w:t>3</w:t>
      </w:r>
      <w:r>
        <w:rPr>
          <w:szCs w:val="21"/>
        </w:rPr>
        <w:t>、掌握STM32基本串口编程，进一步学习中断处理；要求参考教材，编写代码下载到目标板，观察效果。如未达到理想效果，与团队同</w:t>
      </w:r>
      <w:r>
        <w:rPr>
          <w:rFonts w:hint="eastAsia"/>
          <w:szCs w:val="21"/>
        </w:rPr>
        <w:t>学</w:t>
      </w:r>
      <w:r>
        <w:rPr>
          <w:szCs w:val="21"/>
        </w:rPr>
        <w:t>进行沟通和研讨，分担检查和修改代码任务，再次编译下载直到成功。[</w:t>
      </w:r>
      <w:r>
        <w:rPr>
          <w:rFonts w:hint="eastAsia"/>
          <w:szCs w:val="21"/>
        </w:rPr>
        <w:t>9.</w:t>
      </w:r>
      <w:r>
        <w:rPr>
          <w:szCs w:val="21"/>
        </w:rPr>
        <w:t>1]</w:t>
      </w:r>
    </w:p>
    <w:p>
      <w:pPr>
        <w:snapToGrid w:val="0"/>
        <w:spacing w:line="300" w:lineRule="auto"/>
        <w:ind w:firstLine="420" w:firstLineChars="200"/>
        <w:rPr>
          <w:szCs w:val="21"/>
        </w:rPr>
      </w:pPr>
      <w:r>
        <w:rPr>
          <w:szCs w:val="21"/>
        </w:rPr>
        <w:t>课程教学目标与毕业要求的对应关系如表1所示</w:t>
      </w:r>
      <w:r>
        <w:rPr>
          <w:rFonts w:hint="eastAsia"/>
          <w:szCs w:val="21"/>
        </w:rPr>
        <w:t>。</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5916"/>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20" w:type="dxa"/>
            <w:vAlign w:val="center"/>
          </w:tcPr>
          <w:p>
            <w:pPr>
              <w:snapToGrid w:val="0"/>
              <w:spacing w:line="300" w:lineRule="auto"/>
              <w:rPr>
                <w:b/>
                <w:bCs/>
                <w:sz w:val="18"/>
                <w:szCs w:val="18"/>
              </w:rPr>
            </w:pPr>
            <w:r>
              <w:rPr>
                <w:b/>
                <w:bCs/>
                <w:sz w:val="18"/>
                <w:szCs w:val="18"/>
              </w:rPr>
              <w:t>毕业要求</w:t>
            </w:r>
          </w:p>
        </w:tc>
        <w:tc>
          <w:tcPr>
            <w:tcW w:w="5916"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adjustRightInd w:val="0"/>
              <w:snapToGrid w:val="0"/>
              <w:spacing w:line="300" w:lineRule="auto"/>
              <w:rPr>
                <w:sz w:val="18"/>
                <w:szCs w:val="18"/>
              </w:rPr>
            </w:pPr>
            <w:r>
              <w:rPr>
                <w:rFonts w:hint="eastAsia"/>
                <w:sz w:val="18"/>
                <w:szCs w:val="18"/>
              </w:rPr>
              <w:t>4. 研究</w:t>
            </w:r>
          </w:p>
        </w:tc>
        <w:tc>
          <w:tcPr>
            <w:tcW w:w="5916" w:type="dxa"/>
          </w:tcPr>
          <w:p>
            <w:pPr>
              <w:adjustRightInd w:val="0"/>
              <w:snapToGrid w:val="0"/>
              <w:spacing w:line="300" w:lineRule="auto"/>
              <w:rPr>
                <w:szCs w:val="21"/>
              </w:rPr>
            </w:pPr>
            <w:r>
              <w:rPr>
                <w:rFonts w:hint="eastAsia"/>
                <w:sz w:val="18"/>
                <w:szCs w:val="18"/>
              </w:rPr>
              <w:t>4.2</w:t>
            </w:r>
            <w:r>
              <w:rPr>
                <w:sz w:val="18"/>
                <w:szCs w:val="18"/>
              </w:rPr>
              <w:t>针对电子信息工程的复杂工程问题，具备选择技术路线、设计实验方案</w:t>
            </w:r>
            <w:r>
              <w:rPr>
                <w:rFonts w:hint="eastAsia"/>
                <w:sz w:val="18"/>
                <w:szCs w:val="18"/>
              </w:rPr>
              <w:t>的</w:t>
            </w:r>
            <w:r>
              <w:rPr>
                <w:sz w:val="18"/>
                <w:szCs w:val="18"/>
              </w:rPr>
              <w:t>能力，并获取准确</w:t>
            </w:r>
            <w:r>
              <w:rPr>
                <w:rFonts w:hint="eastAsia"/>
                <w:sz w:val="18"/>
                <w:szCs w:val="18"/>
              </w:rPr>
              <w:t>的</w:t>
            </w:r>
            <w:r>
              <w:rPr>
                <w:sz w:val="18"/>
                <w:szCs w:val="18"/>
              </w:rPr>
              <w:t>实验数据。</w:t>
            </w:r>
          </w:p>
        </w:tc>
        <w:tc>
          <w:tcPr>
            <w:tcW w:w="689" w:type="dxa"/>
            <w:vAlign w:val="center"/>
          </w:tcPr>
          <w:p>
            <w:pPr>
              <w:adjustRightInd w:val="0"/>
              <w:snapToGrid w:val="0"/>
              <w:spacing w:line="300" w:lineRule="auto"/>
              <w:jc w:val="center"/>
              <w:rPr>
                <w:sz w:val="18"/>
                <w:szCs w:val="18"/>
              </w:rPr>
            </w:pPr>
            <w:r>
              <w:rPr>
                <w:sz w:val="18"/>
                <w:szCs w:val="18"/>
              </w:rPr>
              <w:t>1，</w:t>
            </w: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adjustRightInd w:val="0"/>
              <w:snapToGrid w:val="0"/>
              <w:spacing w:line="300" w:lineRule="auto"/>
              <w:rPr>
                <w:sz w:val="18"/>
                <w:szCs w:val="18"/>
              </w:rPr>
            </w:pPr>
            <w:r>
              <w:rPr>
                <w:rFonts w:hint="eastAsia"/>
                <w:sz w:val="18"/>
                <w:szCs w:val="18"/>
              </w:rPr>
              <w:t>9. 个人和团队</w:t>
            </w:r>
          </w:p>
        </w:tc>
        <w:tc>
          <w:tcPr>
            <w:tcW w:w="5916" w:type="dxa"/>
          </w:tcPr>
          <w:p>
            <w:pPr>
              <w:adjustRightInd w:val="0"/>
              <w:snapToGrid w:val="0"/>
              <w:spacing w:line="300" w:lineRule="auto"/>
              <w:rPr>
                <w:szCs w:val="21"/>
              </w:rPr>
            </w:pPr>
            <w:r>
              <w:rPr>
                <w:rFonts w:hint="eastAsia"/>
                <w:sz w:val="18"/>
                <w:szCs w:val="18"/>
              </w:rPr>
              <w:t>9.1</w:t>
            </w:r>
            <w:r>
              <w:rPr>
                <w:sz w:val="18"/>
                <w:szCs w:val="18"/>
              </w:rPr>
              <w:t>能够在多学科背景下的团队中分担任务，并承担责任。</w:t>
            </w:r>
          </w:p>
        </w:tc>
        <w:tc>
          <w:tcPr>
            <w:tcW w:w="689" w:type="dxa"/>
            <w:vAlign w:val="center"/>
          </w:tcPr>
          <w:p>
            <w:pPr>
              <w:adjustRightInd w:val="0"/>
              <w:snapToGrid w:val="0"/>
              <w:spacing w:line="300" w:lineRule="auto"/>
              <w:jc w:val="center"/>
              <w:rPr>
                <w:sz w:val="18"/>
                <w:szCs w:val="18"/>
              </w:rPr>
            </w:pPr>
            <w:r>
              <w:rPr>
                <w:rFonts w:hint="eastAsia"/>
                <w:sz w:val="18"/>
                <w:szCs w:val="18"/>
              </w:rPr>
              <w:t>3</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5"/>
        <w:gridCol w:w="1766"/>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8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76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203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 xml:space="preserve">1.掌握STM32F103实验板的电路的基本原理，掌握焊接电路板的基本技能。要求在掌握电路原理的基础上进行电路板的焊接，要求能够焊接贴片0602电阻电容，能够焊接SOIC贴片芯片。在完成后可进行上电，下载代码运行测试验证电路板焊接的正确性。 </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rFonts w:hint="eastAsia"/>
                <w:kern w:val="0"/>
                <w:sz w:val="18"/>
                <w:szCs w:val="18"/>
              </w:rPr>
              <w:t>通过课堂讲授、现场参观、指定阅读（小组成员自行分配阅读任务）</w:t>
            </w:r>
            <w:r>
              <w:rPr>
                <w:kern w:val="0"/>
                <w:sz w:val="18"/>
                <w:szCs w:val="18"/>
              </w:rPr>
              <w:t>、</w:t>
            </w:r>
            <w:r>
              <w:rPr>
                <w:rFonts w:hint="eastAsia"/>
                <w:kern w:val="0"/>
                <w:sz w:val="18"/>
                <w:szCs w:val="18"/>
              </w:rPr>
              <w:t>分组汇报对实习任务的理解和计划、实操实践等方式达成。</w:t>
            </w:r>
          </w:p>
        </w:tc>
        <w:tc>
          <w:tcPr>
            <w:tcW w:w="203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2.掌握STM32开发环境，掌握从无到有的构建工程，学会GPIO及中断的基本操作。要求参考教材，编写代码下载到目标板，观察效果。如未达到理想效果，检查和修改代码，再次编译下载直到成功。</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通过课堂讲授、</w:t>
            </w:r>
            <w:r>
              <w:rPr>
                <w:rFonts w:hint="eastAsia"/>
                <w:kern w:val="0"/>
                <w:sz w:val="18"/>
                <w:szCs w:val="18"/>
              </w:rPr>
              <w:t>指定阅读（小组成员自行分配阅读任务）</w:t>
            </w:r>
            <w:r>
              <w:rPr>
                <w:sz w:val="18"/>
                <w:szCs w:val="18"/>
              </w:rPr>
              <w:t>与课程实习等达成</w:t>
            </w:r>
          </w:p>
        </w:tc>
        <w:tc>
          <w:tcPr>
            <w:tcW w:w="203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kern w:val="0"/>
                <w:sz w:val="18"/>
                <w:szCs w:val="18"/>
              </w:rPr>
              <w:t>实习表现、现场汇报、现场验收、相关记录等原始材料考评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8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3. 掌握STM32基本串口编程，进一步学习中断处理；要求参考教材，编写代码下载到目标板，观察效果。如未达到理想效果，与</w:t>
            </w:r>
            <w:r>
              <w:rPr>
                <w:rFonts w:hint="eastAsia"/>
                <w:sz w:val="18"/>
                <w:szCs w:val="18"/>
              </w:rPr>
              <w:t>团队</w:t>
            </w:r>
            <w:r>
              <w:rPr>
                <w:sz w:val="18"/>
                <w:szCs w:val="18"/>
              </w:rPr>
              <w:t>中</w:t>
            </w:r>
            <w:r>
              <w:rPr>
                <w:rFonts w:hint="eastAsia"/>
                <w:sz w:val="18"/>
                <w:szCs w:val="18"/>
              </w:rPr>
              <w:t>其他</w:t>
            </w:r>
            <w:r>
              <w:rPr>
                <w:sz w:val="18"/>
                <w:szCs w:val="18"/>
              </w:rPr>
              <w:t>同</w:t>
            </w:r>
            <w:r>
              <w:rPr>
                <w:rFonts w:hint="eastAsia"/>
                <w:sz w:val="18"/>
                <w:szCs w:val="18"/>
              </w:rPr>
              <w:t>学</w:t>
            </w:r>
            <w:r>
              <w:rPr>
                <w:sz w:val="18"/>
                <w:szCs w:val="18"/>
              </w:rPr>
              <w:t>进行沟通和研讨，检查和修改代码，再次编译下载直到成功。</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rFonts w:hint="eastAsia"/>
                <w:kern w:val="0"/>
                <w:sz w:val="18"/>
                <w:szCs w:val="18"/>
              </w:rPr>
              <w:t>通过课堂讲授、指定阅读（小组成员自行分配任务）、方案研讨、实操实践、撰写报告等方式达成。</w:t>
            </w:r>
          </w:p>
        </w:tc>
        <w:tc>
          <w:tcPr>
            <w:tcW w:w="203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kern w:val="0"/>
                <w:sz w:val="18"/>
                <w:szCs w:val="18"/>
              </w:rPr>
              <w:t>实习表现、现场汇报、现场验收、</w:t>
            </w:r>
            <w:r>
              <w:rPr>
                <w:rFonts w:hint="eastAsia"/>
                <w:kern w:val="0"/>
                <w:sz w:val="18"/>
                <w:szCs w:val="18"/>
              </w:rPr>
              <w:t>实习报告、</w:t>
            </w:r>
            <w:r>
              <w:rPr>
                <w:kern w:val="0"/>
                <w:sz w:val="18"/>
                <w:szCs w:val="18"/>
              </w:rPr>
              <w:t>相关记录等原始材料考评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该课程实习内容覆盖较宽，教学要求应该结合相应课程的综合性设计为主进行。考虑到时间及安排的合理性等因素，结合实验室的具体情况宜由学生自由组合成小组进行，一般3~5人为一组较为适宜。</w:t>
      </w:r>
      <w:r>
        <w:rPr>
          <w:rFonts w:hint="eastAsia"/>
          <w:szCs w:val="21"/>
        </w:rPr>
        <w:t>具体安排</w:t>
      </w:r>
      <w:r>
        <w:rPr>
          <w:szCs w:val="21"/>
        </w:rPr>
        <w:t>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9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071"/>
        <w:gridCol w:w="3274"/>
        <w:gridCol w:w="665"/>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671"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4071" w:type="dxa"/>
            <w:vAlign w:val="center"/>
          </w:tcPr>
          <w:p>
            <w:pPr>
              <w:snapToGrid w:val="0"/>
              <w:spacing w:line="300" w:lineRule="auto"/>
              <w:jc w:val="center"/>
              <w:rPr>
                <w:b/>
                <w:bCs/>
                <w:sz w:val="18"/>
                <w:szCs w:val="18"/>
              </w:rPr>
            </w:pPr>
            <w:r>
              <w:rPr>
                <w:b/>
                <w:bCs/>
                <w:sz w:val="18"/>
                <w:szCs w:val="18"/>
              </w:rPr>
              <w:t>教学内容与课程教学目标</w:t>
            </w:r>
          </w:p>
        </w:tc>
        <w:tc>
          <w:tcPr>
            <w:tcW w:w="3274" w:type="dxa"/>
            <w:vAlign w:val="center"/>
          </w:tcPr>
          <w:p>
            <w:pPr>
              <w:snapToGrid w:val="0"/>
              <w:spacing w:line="300" w:lineRule="auto"/>
              <w:jc w:val="center"/>
              <w:rPr>
                <w:b/>
                <w:bCs/>
                <w:sz w:val="18"/>
                <w:szCs w:val="18"/>
              </w:rPr>
            </w:pPr>
            <w:r>
              <w:rPr>
                <w:b/>
                <w:bCs/>
                <w:sz w:val="18"/>
                <w:szCs w:val="18"/>
              </w:rPr>
              <w:t>教与学的要求</w:t>
            </w:r>
          </w:p>
        </w:tc>
        <w:tc>
          <w:tcPr>
            <w:tcW w:w="665" w:type="dxa"/>
            <w:vAlign w:val="center"/>
          </w:tcPr>
          <w:p>
            <w:pPr>
              <w:snapToGrid w:val="0"/>
              <w:spacing w:line="300" w:lineRule="auto"/>
              <w:jc w:val="center"/>
              <w:rPr>
                <w:b/>
                <w:bCs/>
                <w:sz w:val="18"/>
                <w:szCs w:val="18"/>
              </w:rPr>
            </w:pPr>
            <w:r>
              <w:rPr>
                <w:b/>
                <w:bCs/>
                <w:sz w:val="18"/>
                <w:szCs w:val="18"/>
              </w:rPr>
              <w:t>学时</w:t>
            </w:r>
          </w:p>
        </w:tc>
        <w:tc>
          <w:tcPr>
            <w:tcW w:w="590" w:type="dxa"/>
            <w:vAlign w:val="center"/>
          </w:tcPr>
          <w:p>
            <w:pPr>
              <w:widowControl/>
              <w:snapToGrid w:val="0"/>
              <w:jc w:val="center"/>
              <w:rPr>
                <w:b/>
                <w:kern w:val="0"/>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4071" w:type="dxa"/>
            <w:vAlign w:val="center"/>
          </w:tcPr>
          <w:p>
            <w:pPr>
              <w:adjustRightInd w:val="0"/>
              <w:snapToGrid w:val="0"/>
              <w:spacing w:line="300" w:lineRule="auto"/>
              <w:rPr>
                <w:sz w:val="18"/>
                <w:szCs w:val="18"/>
              </w:rPr>
            </w:pPr>
            <w:r>
              <w:rPr>
                <w:sz w:val="18"/>
                <w:szCs w:val="18"/>
              </w:rPr>
              <w:t>第一章 电路焊接与调试</w:t>
            </w:r>
          </w:p>
          <w:p>
            <w:pPr>
              <w:adjustRightInd w:val="0"/>
              <w:snapToGrid w:val="0"/>
              <w:spacing w:line="300" w:lineRule="auto"/>
              <w:rPr>
                <w:sz w:val="18"/>
                <w:szCs w:val="18"/>
              </w:rPr>
            </w:pPr>
            <w:r>
              <w:rPr>
                <w:sz w:val="18"/>
                <w:szCs w:val="18"/>
              </w:rPr>
              <w:t>1.1学习STM32F103实验板电路的原理图</w:t>
            </w:r>
          </w:p>
          <w:p>
            <w:pPr>
              <w:adjustRightInd w:val="0"/>
              <w:snapToGrid w:val="0"/>
              <w:spacing w:line="300" w:lineRule="auto"/>
              <w:rPr>
                <w:sz w:val="18"/>
                <w:szCs w:val="18"/>
              </w:rPr>
            </w:pPr>
            <w:r>
              <w:rPr>
                <w:sz w:val="18"/>
                <w:szCs w:val="18"/>
              </w:rPr>
              <w:t>1.2焊接电路板上部分电阻电容</w:t>
            </w:r>
          </w:p>
          <w:p>
            <w:pPr>
              <w:adjustRightInd w:val="0"/>
              <w:snapToGrid w:val="0"/>
              <w:spacing w:line="300" w:lineRule="auto"/>
              <w:rPr>
                <w:sz w:val="18"/>
                <w:szCs w:val="18"/>
              </w:rPr>
            </w:pPr>
            <w:r>
              <w:rPr>
                <w:sz w:val="18"/>
                <w:szCs w:val="18"/>
              </w:rPr>
              <w:t>1.3焊接LED和蜂鸣器</w:t>
            </w:r>
          </w:p>
          <w:p>
            <w:pPr>
              <w:adjustRightInd w:val="0"/>
              <w:snapToGrid w:val="0"/>
              <w:spacing w:line="300" w:lineRule="auto"/>
              <w:rPr>
                <w:sz w:val="18"/>
                <w:szCs w:val="18"/>
              </w:rPr>
            </w:pPr>
            <w:r>
              <w:rPr>
                <w:sz w:val="18"/>
                <w:szCs w:val="18"/>
              </w:rPr>
              <w:t>1.4焊接ASM1117芯片IIC芯片AT24C02</w:t>
            </w:r>
          </w:p>
          <w:p>
            <w:pPr>
              <w:adjustRightInd w:val="0"/>
              <w:snapToGrid w:val="0"/>
              <w:spacing w:line="300" w:lineRule="auto"/>
              <w:rPr>
                <w:sz w:val="18"/>
                <w:szCs w:val="18"/>
              </w:rPr>
            </w:pPr>
            <w:r>
              <w:rPr>
                <w:sz w:val="18"/>
                <w:szCs w:val="18"/>
              </w:rPr>
              <w:t>1.5下载测试代码到焊接好的STM32实验板，测试实验板是否工作正常。[课程目标1，</w:t>
            </w:r>
            <w:r>
              <w:rPr>
                <w:rFonts w:hint="eastAsia"/>
                <w:sz w:val="18"/>
                <w:szCs w:val="18"/>
              </w:rPr>
              <w:t>2</w:t>
            </w:r>
            <w:r>
              <w:rPr>
                <w:sz w:val="18"/>
                <w:szCs w:val="18"/>
              </w:rPr>
              <w:t>]</w:t>
            </w:r>
          </w:p>
        </w:tc>
        <w:tc>
          <w:tcPr>
            <w:tcW w:w="3274" w:type="dxa"/>
            <w:vAlign w:val="center"/>
          </w:tcPr>
          <w:p>
            <w:pPr>
              <w:adjustRightInd w:val="0"/>
              <w:snapToGrid w:val="0"/>
              <w:spacing w:line="300" w:lineRule="auto"/>
              <w:rPr>
                <w:sz w:val="18"/>
                <w:szCs w:val="18"/>
              </w:rPr>
            </w:pPr>
            <w:r>
              <w:rPr>
                <w:sz w:val="18"/>
                <w:szCs w:val="18"/>
              </w:rPr>
              <w:t>1、了解：焊接基本方法</w:t>
            </w:r>
          </w:p>
          <w:p>
            <w:pPr>
              <w:adjustRightInd w:val="0"/>
              <w:snapToGrid w:val="0"/>
              <w:spacing w:line="300" w:lineRule="auto"/>
              <w:rPr>
                <w:sz w:val="18"/>
                <w:szCs w:val="18"/>
              </w:rPr>
            </w:pPr>
            <w:r>
              <w:rPr>
                <w:sz w:val="18"/>
                <w:szCs w:val="18"/>
              </w:rPr>
              <w:t>2、理解：元件选择方法</w:t>
            </w:r>
          </w:p>
          <w:p>
            <w:pPr>
              <w:adjustRightInd w:val="0"/>
              <w:snapToGrid w:val="0"/>
              <w:spacing w:line="300" w:lineRule="auto"/>
              <w:rPr>
                <w:sz w:val="18"/>
                <w:szCs w:val="18"/>
              </w:rPr>
            </w:pPr>
            <w:r>
              <w:rPr>
                <w:sz w:val="18"/>
                <w:szCs w:val="18"/>
              </w:rPr>
              <w:t>3、掌握：下载与测试技术</w:t>
            </w:r>
          </w:p>
        </w:tc>
        <w:tc>
          <w:tcPr>
            <w:tcW w:w="665" w:type="dxa"/>
            <w:vAlign w:val="center"/>
          </w:tcPr>
          <w:p>
            <w:pPr>
              <w:snapToGrid w:val="0"/>
              <w:spacing w:line="300" w:lineRule="auto"/>
              <w:rPr>
                <w:kern w:val="0"/>
                <w:sz w:val="18"/>
                <w:szCs w:val="18"/>
              </w:rPr>
            </w:pPr>
            <w:r>
              <w:rPr>
                <w:kern w:val="0"/>
                <w:sz w:val="18"/>
                <w:szCs w:val="18"/>
              </w:rPr>
              <w:t>1天</w:t>
            </w:r>
          </w:p>
        </w:tc>
        <w:tc>
          <w:tcPr>
            <w:tcW w:w="590" w:type="dxa"/>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4071" w:type="dxa"/>
            <w:vAlign w:val="center"/>
          </w:tcPr>
          <w:p>
            <w:pPr>
              <w:adjustRightInd w:val="0"/>
              <w:snapToGrid w:val="0"/>
              <w:spacing w:line="300" w:lineRule="auto"/>
              <w:rPr>
                <w:sz w:val="18"/>
                <w:szCs w:val="18"/>
              </w:rPr>
            </w:pPr>
            <w:r>
              <w:rPr>
                <w:sz w:val="18"/>
                <w:szCs w:val="18"/>
              </w:rPr>
              <w:t>第二章 开发板调试技术</w:t>
            </w:r>
          </w:p>
          <w:p>
            <w:pPr>
              <w:adjustRightInd w:val="0"/>
              <w:snapToGrid w:val="0"/>
              <w:spacing w:line="300" w:lineRule="auto"/>
              <w:rPr>
                <w:sz w:val="18"/>
                <w:szCs w:val="18"/>
              </w:rPr>
            </w:pPr>
            <w:r>
              <w:rPr>
                <w:sz w:val="18"/>
                <w:szCs w:val="18"/>
              </w:rPr>
              <w:t>2.1熟悉MDK KEIL开发环境，构建基于固件库的工程</w:t>
            </w:r>
          </w:p>
          <w:p>
            <w:pPr>
              <w:adjustRightInd w:val="0"/>
              <w:snapToGrid w:val="0"/>
              <w:spacing w:line="300" w:lineRule="auto"/>
              <w:rPr>
                <w:sz w:val="18"/>
                <w:szCs w:val="18"/>
              </w:rPr>
            </w:pPr>
            <w:r>
              <w:rPr>
                <w:sz w:val="18"/>
                <w:szCs w:val="18"/>
              </w:rPr>
              <w:t>2.2编写代码实现流水灯工程，按键后能改变流水灯速度。</w:t>
            </w:r>
          </w:p>
          <w:p>
            <w:pPr>
              <w:adjustRightInd w:val="0"/>
              <w:snapToGrid w:val="0"/>
              <w:spacing w:line="300" w:lineRule="auto"/>
              <w:rPr>
                <w:sz w:val="18"/>
                <w:szCs w:val="18"/>
              </w:rPr>
            </w:pPr>
            <w:r>
              <w:rPr>
                <w:sz w:val="18"/>
                <w:szCs w:val="18"/>
              </w:rPr>
              <w:t>2.3通过ISP下载代码到实验板，查看运行结果。</w:t>
            </w:r>
          </w:p>
          <w:p>
            <w:pPr>
              <w:adjustRightInd w:val="0"/>
              <w:snapToGrid w:val="0"/>
              <w:spacing w:line="300" w:lineRule="auto"/>
              <w:rPr>
                <w:sz w:val="18"/>
                <w:szCs w:val="18"/>
              </w:rPr>
            </w:pPr>
            <w:r>
              <w:rPr>
                <w:sz w:val="18"/>
                <w:szCs w:val="18"/>
              </w:rPr>
              <w:t>2.4使用JLINK下载代码到目标板，查看运行结果，使用JLINK在线调试。[课程目标1,2]</w:t>
            </w:r>
          </w:p>
        </w:tc>
        <w:tc>
          <w:tcPr>
            <w:tcW w:w="3274" w:type="dxa"/>
            <w:vAlign w:val="center"/>
          </w:tcPr>
          <w:p>
            <w:pPr>
              <w:adjustRightInd w:val="0"/>
              <w:snapToGrid w:val="0"/>
              <w:spacing w:line="300" w:lineRule="auto"/>
              <w:rPr>
                <w:sz w:val="18"/>
                <w:szCs w:val="18"/>
              </w:rPr>
            </w:pPr>
            <w:r>
              <w:rPr>
                <w:sz w:val="18"/>
                <w:szCs w:val="18"/>
              </w:rPr>
              <w:t>1、了解：软件模块的功能</w:t>
            </w:r>
          </w:p>
          <w:p>
            <w:pPr>
              <w:adjustRightInd w:val="0"/>
              <w:snapToGrid w:val="0"/>
              <w:spacing w:line="300" w:lineRule="auto"/>
              <w:rPr>
                <w:sz w:val="18"/>
                <w:szCs w:val="18"/>
              </w:rPr>
            </w:pPr>
            <w:r>
              <w:rPr>
                <w:sz w:val="18"/>
                <w:szCs w:val="18"/>
              </w:rPr>
              <w:t>2、理解：程序开发流程</w:t>
            </w:r>
          </w:p>
          <w:p>
            <w:pPr>
              <w:adjustRightInd w:val="0"/>
              <w:snapToGrid w:val="0"/>
              <w:spacing w:line="300" w:lineRule="auto"/>
              <w:rPr>
                <w:sz w:val="18"/>
                <w:szCs w:val="18"/>
              </w:rPr>
            </w:pPr>
            <w:r>
              <w:rPr>
                <w:sz w:val="18"/>
                <w:szCs w:val="18"/>
              </w:rPr>
              <w:t>3、掌握：软件的使用与调试技巧</w:t>
            </w:r>
          </w:p>
        </w:tc>
        <w:tc>
          <w:tcPr>
            <w:tcW w:w="665" w:type="dxa"/>
            <w:vAlign w:val="center"/>
          </w:tcPr>
          <w:p>
            <w:pPr>
              <w:snapToGrid w:val="0"/>
              <w:spacing w:line="300" w:lineRule="auto"/>
              <w:rPr>
                <w:kern w:val="0"/>
                <w:sz w:val="18"/>
                <w:szCs w:val="18"/>
              </w:rPr>
            </w:pPr>
            <w:r>
              <w:rPr>
                <w:kern w:val="0"/>
                <w:sz w:val="18"/>
                <w:szCs w:val="18"/>
              </w:rPr>
              <w:t>1天</w:t>
            </w:r>
          </w:p>
        </w:tc>
        <w:tc>
          <w:tcPr>
            <w:tcW w:w="590" w:type="dxa"/>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4071" w:type="dxa"/>
            <w:vAlign w:val="center"/>
          </w:tcPr>
          <w:p>
            <w:pPr>
              <w:adjustRightInd w:val="0"/>
              <w:snapToGrid w:val="0"/>
              <w:spacing w:line="300" w:lineRule="auto"/>
              <w:rPr>
                <w:sz w:val="18"/>
                <w:szCs w:val="18"/>
              </w:rPr>
            </w:pPr>
            <w:r>
              <w:rPr>
                <w:sz w:val="18"/>
                <w:szCs w:val="18"/>
              </w:rPr>
              <w:t>第三章 串口程序开发</w:t>
            </w:r>
          </w:p>
          <w:p>
            <w:pPr>
              <w:adjustRightInd w:val="0"/>
              <w:snapToGrid w:val="0"/>
              <w:spacing w:line="300" w:lineRule="auto"/>
              <w:rPr>
                <w:sz w:val="18"/>
                <w:szCs w:val="18"/>
              </w:rPr>
            </w:pPr>
            <w:r>
              <w:rPr>
                <w:sz w:val="18"/>
                <w:szCs w:val="18"/>
              </w:rPr>
              <w:t>3.1编写主程序，初始化串口1，设置波特率为9600，无校验，数据位8位，停止位1位。写中断服务程序代码实现将发送过来的数据回送。</w:t>
            </w:r>
          </w:p>
          <w:p>
            <w:pPr>
              <w:adjustRightInd w:val="0"/>
              <w:snapToGrid w:val="0"/>
              <w:spacing w:line="300" w:lineRule="auto"/>
              <w:rPr>
                <w:sz w:val="18"/>
                <w:szCs w:val="18"/>
              </w:rPr>
            </w:pPr>
            <w:r>
              <w:rPr>
                <w:sz w:val="18"/>
                <w:szCs w:val="18"/>
              </w:rPr>
              <w:t>3.2下载代码到实验板，通过串口调试助手发送数据，查看实验板送回的数据。[课程目标1,2]</w:t>
            </w:r>
          </w:p>
        </w:tc>
        <w:tc>
          <w:tcPr>
            <w:tcW w:w="3274" w:type="dxa"/>
            <w:vAlign w:val="center"/>
          </w:tcPr>
          <w:p>
            <w:pPr>
              <w:adjustRightInd w:val="0"/>
              <w:snapToGrid w:val="0"/>
              <w:spacing w:line="300" w:lineRule="auto"/>
              <w:rPr>
                <w:sz w:val="18"/>
                <w:szCs w:val="18"/>
              </w:rPr>
            </w:pPr>
            <w:r>
              <w:rPr>
                <w:sz w:val="18"/>
                <w:szCs w:val="18"/>
              </w:rPr>
              <w:t>1、了解：串口工作原理</w:t>
            </w:r>
          </w:p>
          <w:p>
            <w:pPr>
              <w:adjustRightInd w:val="0"/>
              <w:snapToGrid w:val="0"/>
              <w:spacing w:line="300" w:lineRule="auto"/>
              <w:rPr>
                <w:sz w:val="18"/>
                <w:szCs w:val="18"/>
              </w:rPr>
            </w:pPr>
            <w:r>
              <w:rPr>
                <w:sz w:val="18"/>
                <w:szCs w:val="18"/>
              </w:rPr>
              <w:t>2、理解：串口开发的具体过程</w:t>
            </w:r>
          </w:p>
          <w:p>
            <w:pPr>
              <w:adjustRightInd w:val="0"/>
              <w:snapToGrid w:val="0"/>
              <w:spacing w:line="300" w:lineRule="auto"/>
              <w:rPr>
                <w:sz w:val="18"/>
                <w:szCs w:val="18"/>
              </w:rPr>
            </w:pPr>
            <w:r>
              <w:rPr>
                <w:sz w:val="18"/>
                <w:szCs w:val="18"/>
              </w:rPr>
              <w:t>3、掌握：基于串口通信的硬软件开发技术</w:t>
            </w:r>
          </w:p>
        </w:tc>
        <w:tc>
          <w:tcPr>
            <w:tcW w:w="665" w:type="dxa"/>
            <w:vAlign w:val="center"/>
          </w:tcPr>
          <w:p>
            <w:pPr>
              <w:snapToGrid w:val="0"/>
              <w:spacing w:line="300" w:lineRule="auto"/>
              <w:rPr>
                <w:kern w:val="0"/>
                <w:sz w:val="18"/>
                <w:szCs w:val="18"/>
              </w:rPr>
            </w:pPr>
            <w:r>
              <w:rPr>
                <w:kern w:val="0"/>
                <w:sz w:val="18"/>
                <w:szCs w:val="18"/>
              </w:rPr>
              <w:t>1天</w:t>
            </w:r>
          </w:p>
        </w:tc>
        <w:tc>
          <w:tcPr>
            <w:tcW w:w="590" w:type="dxa"/>
            <w:vAlign w:val="center"/>
          </w:tcPr>
          <w:p>
            <w:pPr>
              <w:widowControl/>
              <w:jc w:val="center"/>
              <w:rPr>
                <w:kern w:val="0"/>
                <w:sz w:val="18"/>
                <w:szCs w:val="18"/>
              </w:rPr>
            </w:pPr>
            <w:r>
              <w:rPr>
                <w:bCs/>
                <w:kern w:val="0"/>
                <w:sz w:val="18"/>
                <w:szCs w:val="18"/>
              </w:rPr>
              <w:t>1，</w:t>
            </w:r>
            <w:r>
              <w:rPr>
                <w:rFonts w:hint="eastAsia"/>
                <w:bCs/>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4071" w:type="dxa"/>
            <w:vAlign w:val="center"/>
          </w:tcPr>
          <w:p>
            <w:pPr>
              <w:adjustRightInd w:val="0"/>
              <w:snapToGrid w:val="0"/>
              <w:spacing w:line="300" w:lineRule="auto"/>
              <w:rPr>
                <w:sz w:val="18"/>
                <w:szCs w:val="18"/>
              </w:rPr>
            </w:pPr>
            <w:r>
              <w:rPr>
                <w:sz w:val="18"/>
                <w:szCs w:val="18"/>
              </w:rPr>
              <w:t>第四章 高级开发技术</w:t>
            </w:r>
          </w:p>
          <w:p>
            <w:pPr>
              <w:adjustRightInd w:val="0"/>
              <w:snapToGrid w:val="0"/>
              <w:spacing w:line="300" w:lineRule="auto"/>
              <w:rPr>
                <w:sz w:val="18"/>
                <w:szCs w:val="18"/>
              </w:rPr>
            </w:pPr>
            <w:r>
              <w:rPr>
                <w:sz w:val="18"/>
                <w:szCs w:val="18"/>
              </w:rPr>
              <w:t>4.1假设，有一个设备用RS232串行口以256000的波特率发送数据，并且大概每80毫秒发送8个字节的数据。使用串口调试助手，仿真这个设备。</w:t>
            </w:r>
          </w:p>
          <w:p>
            <w:pPr>
              <w:adjustRightInd w:val="0"/>
              <w:snapToGrid w:val="0"/>
              <w:spacing w:line="300" w:lineRule="auto"/>
              <w:rPr>
                <w:sz w:val="18"/>
                <w:szCs w:val="18"/>
              </w:rPr>
            </w:pPr>
            <w:r>
              <w:rPr>
                <w:sz w:val="18"/>
                <w:szCs w:val="18"/>
              </w:rPr>
              <w:t>4.2要求将该设备发送的数据求平均值后送回。</w:t>
            </w:r>
          </w:p>
          <w:p>
            <w:pPr>
              <w:adjustRightInd w:val="0"/>
              <w:snapToGrid w:val="0"/>
              <w:spacing w:line="300" w:lineRule="auto"/>
              <w:rPr>
                <w:sz w:val="18"/>
                <w:szCs w:val="18"/>
              </w:rPr>
            </w:pPr>
            <w:r>
              <w:rPr>
                <w:sz w:val="18"/>
                <w:szCs w:val="18"/>
              </w:rPr>
              <w:t>4.3采用DMA方式接收数据，接收完成后发生中断，然后DMA通道使用另一个缓冲区继续接收数据。而这时CPU可以处理数据，计算刚接收到数据的平均值。然后送回。这样，CPU和DMA并行工作。[课程目标1,2]</w:t>
            </w:r>
          </w:p>
        </w:tc>
        <w:tc>
          <w:tcPr>
            <w:tcW w:w="3274" w:type="dxa"/>
            <w:vAlign w:val="center"/>
          </w:tcPr>
          <w:p>
            <w:pPr>
              <w:adjustRightInd w:val="0"/>
              <w:snapToGrid w:val="0"/>
              <w:spacing w:line="300" w:lineRule="auto"/>
              <w:rPr>
                <w:sz w:val="18"/>
                <w:szCs w:val="18"/>
              </w:rPr>
            </w:pPr>
            <w:r>
              <w:rPr>
                <w:sz w:val="18"/>
                <w:szCs w:val="18"/>
              </w:rPr>
              <w:t>1、了解：嵌入式系统体DMA技术</w:t>
            </w:r>
          </w:p>
          <w:p>
            <w:pPr>
              <w:adjustRightInd w:val="0"/>
              <w:snapToGrid w:val="0"/>
              <w:spacing w:line="300" w:lineRule="auto"/>
              <w:rPr>
                <w:sz w:val="18"/>
                <w:szCs w:val="18"/>
              </w:rPr>
            </w:pPr>
            <w:r>
              <w:rPr>
                <w:sz w:val="18"/>
                <w:szCs w:val="18"/>
              </w:rPr>
              <w:t>2、理解：数据传输过程</w:t>
            </w:r>
          </w:p>
          <w:p>
            <w:pPr>
              <w:adjustRightInd w:val="0"/>
              <w:snapToGrid w:val="0"/>
              <w:spacing w:line="300" w:lineRule="auto"/>
              <w:rPr>
                <w:sz w:val="18"/>
                <w:szCs w:val="18"/>
              </w:rPr>
            </w:pPr>
            <w:r>
              <w:rPr>
                <w:sz w:val="18"/>
                <w:szCs w:val="18"/>
              </w:rPr>
              <w:t>3、掌握：DMA程序开发</w:t>
            </w:r>
          </w:p>
        </w:tc>
        <w:tc>
          <w:tcPr>
            <w:tcW w:w="665" w:type="dxa"/>
            <w:vAlign w:val="center"/>
          </w:tcPr>
          <w:p>
            <w:pPr>
              <w:snapToGrid w:val="0"/>
              <w:spacing w:line="300" w:lineRule="auto"/>
              <w:rPr>
                <w:kern w:val="0"/>
                <w:sz w:val="18"/>
                <w:szCs w:val="18"/>
              </w:rPr>
            </w:pPr>
            <w:r>
              <w:rPr>
                <w:kern w:val="0"/>
                <w:sz w:val="18"/>
                <w:szCs w:val="18"/>
              </w:rPr>
              <w:t>1天</w:t>
            </w:r>
          </w:p>
        </w:tc>
        <w:tc>
          <w:tcPr>
            <w:tcW w:w="590" w:type="dxa"/>
            <w:vAlign w:val="center"/>
          </w:tcPr>
          <w:p>
            <w:pPr>
              <w:widowControl/>
              <w:jc w:val="center"/>
              <w:rPr>
                <w:kern w:val="0"/>
                <w:sz w:val="18"/>
                <w:szCs w:val="18"/>
              </w:rPr>
            </w:pPr>
            <w:r>
              <w:rPr>
                <w:bCs/>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Mar>
              <w:left w:w="57" w:type="dxa"/>
              <w:right w:w="57" w:type="dxa"/>
            </w:tcMar>
            <w:vAlign w:val="center"/>
          </w:tcPr>
          <w:p>
            <w:pPr>
              <w:adjustRightInd w:val="0"/>
              <w:snapToGrid w:val="0"/>
              <w:spacing w:line="300" w:lineRule="auto"/>
              <w:jc w:val="center"/>
              <w:rPr>
                <w:sz w:val="18"/>
                <w:szCs w:val="18"/>
              </w:rPr>
            </w:pPr>
            <w:r>
              <w:rPr>
                <w:sz w:val="18"/>
                <w:szCs w:val="18"/>
              </w:rPr>
              <w:t>5</w:t>
            </w:r>
          </w:p>
        </w:tc>
        <w:tc>
          <w:tcPr>
            <w:tcW w:w="4071" w:type="dxa"/>
            <w:vAlign w:val="center"/>
          </w:tcPr>
          <w:p>
            <w:pPr>
              <w:adjustRightInd w:val="0"/>
              <w:snapToGrid w:val="0"/>
              <w:spacing w:line="300" w:lineRule="auto"/>
              <w:rPr>
                <w:sz w:val="18"/>
                <w:szCs w:val="18"/>
              </w:rPr>
            </w:pPr>
            <w:r>
              <w:rPr>
                <w:sz w:val="18"/>
                <w:szCs w:val="18"/>
              </w:rPr>
              <w:t>撰写实习</w:t>
            </w:r>
            <w:r>
              <w:rPr>
                <w:rFonts w:hint="eastAsia"/>
                <w:sz w:val="18"/>
                <w:szCs w:val="18"/>
              </w:rPr>
              <w:t>报告。</w:t>
            </w:r>
            <w:r>
              <w:rPr>
                <w:bCs/>
                <w:kern w:val="0"/>
                <w:sz w:val="18"/>
                <w:szCs w:val="18"/>
              </w:rPr>
              <w:t>实习完成后，</w:t>
            </w:r>
            <w:r>
              <w:rPr>
                <w:rFonts w:hint="eastAsia"/>
                <w:bCs/>
                <w:kern w:val="0"/>
                <w:sz w:val="18"/>
                <w:szCs w:val="18"/>
              </w:rPr>
              <w:t>各组进行总结和经验交流，教</w:t>
            </w:r>
            <w:r>
              <w:rPr>
                <w:bCs/>
                <w:kern w:val="0"/>
                <w:sz w:val="18"/>
                <w:szCs w:val="18"/>
              </w:rPr>
              <w:t>师</w:t>
            </w:r>
            <w:r>
              <w:rPr>
                <w:rFonts w:hint="eastAsia"/>
                <w:bCs/>
                <w:kern w:val="0"/>
                <w:sz w:val="18"/>
                <w:szCs w:val="18"/>
              </w:rPr>
              <w:t>结合汇报交流情况</w:t>
            </w:r>
            <w:r>
              <w:rPr>
                <w:bCs/>
                <w:kern w:val="0"/>
                <w:sz w:val="18"/>
                <w:szCs w:val="18"/>
              </w:rPr>
              <w:t>对实习进行总结，同时安排</w:t>
            </w:r>
            <w:r>
              <w:rPr>
                <w:rFonts w:hint="eastAsia"/>
                <w:bCs/>
                <w:kern w:val="0"/>
                <w:sz w:val="18"/>
                <w:szCs w:val="18"/>
              </w:rPr>
              <w:t>各组同学结合自己的分工和任务撰写实习报告。</w:t>
            </w:r>
            <w:r>
              <w:rPr>
                <w:sz w:val="18"/>
                <w:szCs w:val="18"/>
              </w:rPr>
              <w:t>[课程目标3]</w:t>
            </w:r>
          </w:p>
        </w:tc>
        <w:tc>
          <w:tcPr>
            <w:tcW w:w="3274" w:type="dxa"/>
            <w:vAlign w:val="center"/>
          </w:tcPr>
          <w:p>
            <w:pPr>
              <w:adjustRightInd w:val="0"/>
              <w:snapToGrid w:val="0"/>
              <w:spacing w:line="300" w:lineRule="auto"/>
              <w:rPr>
                <w:sz w:val="18"/>
                <w:szCs w:val="18"/>
              </w:rPr>
            </w:pPr>
            <w:r>
              <w:rPr>
                <w:sz w:val="18"/>
                <w:szCs w:val="18"/>
              </w:rPr>
              <w:t>1、了解：</w:t>
            </w:r>
            <w:r>
              <w:rPr>
                <w:rFonts w:hint="eastAsia"/>
                <w:sz w:val="18"/>
                <w:szCs w:val="18"/>
              </w:rPr>
              <w:t>实习报告</w:t>
            </w:r>
            <w:r>
              <w:rPr>
                <w:sz w:val="18"/>
                <w:szCs w:val="18"/>
              </w:rPr>
              <w:t>撰写规范</w:t>
            </w:r>
          </w:p>
          <w:p>
            <w:pPr>
              <w:adjustRightInd w:val="0"/>
              <w:snapToGrid w:val="0"/>
              <w:spacing w:line="300" w:lineRule="auto"/>
              <w:rPr>
                <w:sz w:val="18"/>
                <w:szCs w:val="18"/>
              </w:rPr>
            </w:pPr>
            <w:r>
              <w:rPr>
                <w:sz w:val="18"/>
                <w:szCs w:val="18"/>
              </w:rPr>
              <w:t>2、掌握：</w:t>
            </w:r>
            <w:r>
              <w:rPr>
                <w:rFonts w:hint="eastAsia"/>
                <w:sz w:val="18"/>
                <w:szCs w:val="18"/>
              </w:rPr>
              <w:t>实习报告</w:t>
            </w:r>
            <w:r>
              <w:rPr>
                <w:sz w:val="18"/>
                <w:szCs w:val="18"/>
              </w:rPr>
              <w:t>写作方法</w:t>
            </w:r>
          </w:p>
        </w:tc>
        <w:tc>
          <w:tcPr>
            <w:tcW w:w="665" w:type="dxa"/>
            <w:vAlign w:val="center"/>
          </w:tcPr>
          <w:p>
            <w:pPr>
              <w:snapToGrid w:val="0"/>
              <w:spacing w:line="300" w:lineRule="auto"/>
              <w:rPr>
                <w:kern w:val="0"/>
                <w:sz w:val="18"/>
                <w:szCs w:val="18"/>
              </w:rPr>
            </w:pPr>
            <w:r>
              <w:rPr>
                <w:kern w:val="0"/>
                <w:sz w:val="18"/>
                <w:szCs w:val="18"/>
              </w:rPr>
              <w:t>1天</w:t>
            </w:r>
          </w:p>
        </w:tc>
        <w:tc>
          <w:tcPr>
            <w:tcW w:w="590" w:type="dxa"/>
            <w:vAlign w:val="center"/>
          </w:tcPr>
          <w:p>
            <w:pPr>
              <w:widowControl/>
              <w:jc w:val="center"/>
              <w:rPr>
                <w:kern w:val="0"/>
                <w:sz w:val="18"/>
                <w:szCs w:val="18"/>
              </w:rPr>
            </w:pPr>
            <w:r>
              <w:rPr>
                <w:bCs/>
                <w:kern w:val="0"/>
                <w:sz w:val="18"/>
                <w:szCs w:val="18"/>
              </w:rPr>
              <w:t>3</w:t>
            </w:r>
          </w:p>
        </w:tc>
      </w:tr>
    </w:tbl>
    <w:p>
      <w:pPr>
        <w:snapToGrid w:val="0"/>
        <w:spacing w:before="159" w:beforeLines="50" w:after="159" w:afterLines="50" w:line="300" w:lineRule="auto"/>
        <w:rPr>
          <w:b/>
          <w:sz w:val="24"/>
        </w:rPr>
      </w:pPr>
      <w:r>
        <w:rPr>
          <w:b/>
          <w:sz w:val="24"/>
        </w:rPr>
        <w:t>五、课程考核及成绩评定</w:t>
      </w:r>
    </w:p>
    <w:p>
      <w:pPr>
        <w:spacing w:line="276" w:lineRule="auto"/>
        <w:ind w:firstLine="420" w:firstLineChars="200"/>
        <w:rPr>
          <w:szCs w:val="21"/>
        </w:rPr>
      </w:pPr>
      <w:r>
        <w:rPr>
          <w:szCs w:val="21"/>
        </w:rPr>
        <w:t>1．考核方式：考察。</w:t>
      </w:r>
    </w:p>
    <w:p>
      <w:pPr>
        <w:spacing w:line="276" w:lineRule="auto"/>
        <w:ind w:firstLine="420" w:firstLineChars="200"/>
        <w:rPr>
          <w:szCs w:val="21"/>
        </w:rPr>
      </w:pPr>
      <w:r>
        <w:rPr>
          <w:szCs w:val="21"/>
        </w:rPr>
        <w:t>2．成绩构成：根据课程实习过程中的表现、设计任务完成质量、实习</w:t>
      </w:r>
      <w:r>
        <w:rPr>
          <w:rFonts w:hint="eastAsia"/>
          <w:szCs w:val="21"/>
        </w:rPr>
        <w:t>报告</w:t>
      </w:r>
      <w:r>
        <w:rPr>
          <w:szCs w:val="21"/>
        </w:rPr>
        <w:t>进行评定。实习成绩按照优秀、良好、中等、及格、不及格五级评定。成绩不及格者需要重修。。</w:t>
      </w:r>
    </w:p>
    <w:p>
      <w:pPr>
        <w:spacing w:line="276" w:lineRule="auto"/>
        <w:ind w:firstLine="420" w:firstLineChars="200"/>
        <w:rPr>
          <w:szCs w:val="21"/>
        </w:rPr>
      </w:pPr>
      <w:r>
        <w:rPr>
          <w:szCs w:val="21"/>
        </w:rPr>
        <w:t>成绩评定方式为综合考核方式的各项评分，给出总评成绩，学期末依据总评成绩评定对应考核等级：优秀：90-100分；良好：80-89分；中等：70-79分及格：60-69分；不及格：60分以下。</w:t>
      </w:r>
    </w:p>
    <w:p>
      <w:pPr>
        <w:spacing w:line="276" w:lineRule="auto"/>
        <w:ind w:firstLine="420" w:firstLineChars="200"/>
        <w:rPr>
          <w:szCs w:val="21"/>
        </w:rPr>
      </w:pPr>
      <w:r>
        <w:rPr>
          <w:szCs w:val="21"/>
        </w:rPr>
        <w:t>3．考核评价标准</w:t>
      </w:r>
    </w:p>
    <w:p>
      <w:pPr>
        <w:spacing w:line="276" w:lineRule="auto"/>
        <w:ind w:firstLine="420" w:firstLineChars="200"/>
        <w:rPr>
          <w:szCs w:val="21"/>
        </w:rPr>
      </w:pPr>
      <w:r>
        <w:rPr>
          <w:szCs w:val="21"/>
        </w:rPr>
        <w:t>实习表现由指导教师根据实习期间的积极性、遵守纪律情况等情况评定，应明确实习表现、设计任务完成质量和实习报告等环节权重，应具体写明对实习报告撰写要求及评价标准，应有成绩评定评语，应留存考核和成绩评定的各种原始资料。</w:t>
      </w:r>
    </w:p>
    <w:p>
      <w:pPr>
        <w:spacing w:line="276" w:lineRule="auto"/>
        <w:ind w:firstLine="420" w:firstLineChars="200"/>
        <w:rPr>
          <w:szCs w:val="21"/>
        </w:rPr>
      </w:pPr>
      <w:r>
        <w:rPr>
          <w:szCs w:val="21"/>
        </w:rPr>
        <w:t>具体考核评价标准见表4所示。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567"/>
        <w:gridCol w:w="567"/>
        <w:gridCol w:w="567"/>
        <w:gridCol w:w="567"/>
        <w:gridCol w:w="3402"/>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572" w:type="dxa"/>
            <w:vAlign w:val="center"/>
          </w:tcPr>
          <w:p>
            <w:pPr>
              <w:jc w:val="center"/>
              <w:rPr>
                <w:b/>
                <w:bCs/>
                <w:sz w:val="18"/>
                <w:szCs w:val="18"/>
              </w:rPr>
            </w:pPr>
            <w:r>
              <w:rPr>
                <w:b/>
                <w:bCs/>
                <w:sz w:val="18"/>
                <w:szCs w:val="18"/>
              </w:rPr>
              <w:t>成绩</w:t>
            </w:r>
          </w:p>
        </w:tc>
        <w:tc>
          <w:tcPr>
            <w:tcW w:w="567" w:type="dxa"/>
            <w:vAlign w:val="center"/>
          </w:tcPr>
          <w:p>
            <w:pPr>
              <w:jc w:val="center"/>
              <w:rPr>
                <w:b/>
                <w:bCs/>
                <w:sz w:val="18"/>
                <w:szCs w:val="18"/>
              </w:rPr>
            </w:pPr>
            <w:r>
              <w:rPr>
                <w:b/>
                <w:bCs/>
                <w:sz w:val="18"/>
                <w:szCs w:val="18"/>
              </w:rPr>
              <w:t>分值</w:t>
            </w:r>
          </w:p>
        </w:tc>
        <w:tc>
          <w:tcPr>
            <w:tcW w:w="567" w:type="dxa"/>
            <w:vAlign w:val="center"/>
          </w:tcPr>
          <w:p>
            <w:pPr>
              <w:jc w:val="center"/>
              <w:rPr>
                <w:b/>
                <w:bCs/>
                <w:sz w:val="18"/>
                <w:szCs w:val="18"/>
              </w:rPr>
            </w:pPr>
            <w:r>
              <w:rPr>
                <w:b/>
                <w:bCs/>
                <w:sz w:val="18"/>
                <w:szCs w:val="18"/>
              </w:rPr>
              <w:t>权重</w:t>
            </w:r>
          </w:p>
        </w:tc>
        <w:tc>
          <w:tcPr>
            <w:tcW w:w="567" w:type="dxa"/>
            <w:vAlign w:val="center"/>
          </w:tcPr>
          <w:p>
            <w:pPr>
              <w:jc w:val="center"/>
              <w:rPr>
                <w:b/>
                <w:bCs/>
                <w:sz w:val="18"/>
                <w:szCs w:val="18"/>
              </w:rPr>
            </w:pPr>
            <w:r>
              <w:rPr>
                <w:b/>
                <w:bCs/>
                <w:sz w:val="18"/>
                <w:szCs w:val="18"/>
              </w:rPr>
              <w:t>类别</w:t>
            </w:r>
          </w:p>
        </w:tc>
        <w:tc>
          <w:tcPr>
            <w:tcW w:w="567" w:type="dxa"/>
            <w:vAlign w:val="center"/>
          </w:tcPr>
          <w:p>
            <w:pPr>
              <w:jc w:val="center"/>
              <w:rPr>
                <w:b/>
                <w:bCs/>
                <w:sz w:val="18"/>
                <w:szCs w:val="18"/>
              </w:rPr>
            </w:pPr>
            <w:r>
              <w:rPr>
                <w:b/>
                <w:bCs/>
                <w:sz w:val="18"/>
                <w:szCs w:val="18"/>
              </w:rPr>
              <w:t>权重</w:t>
            </w:r>
          </w:p>
        </w:tc>
        <w:tc>
          <w:tcPr>
            <w:tcW w:w="3402" w:type="dxa"/>
            <w:vAlign w:val="center"/>
          </w:tcPr>
          <w:p>
            <w:pPr>
              <w:jc w:val="center"/>
              <w:rPr>
                <w:b/>
                <w:bCs/>
                <w:sz w:val="18"/>
                <w:szCs w:val="18"/>
              </w:rPr>
            </w:pPr>
            <w:r>
              <w:rPr>
                <w:b/>
                <w:bCs/>
                <w:sz w:val="18"/>
                <w:szCs w:val="18"/>
              </w:rPr>
              <w:t>考核/评价细则</w:t>
            </w:r>
          </w:p>
        </w:tc>
        <w:tc>
          <w:tcPr>
            <w:tcW w:w="993" w:type="dxa"/>
            <w:vAlign w:val="center"/>
          </w:tcPr>
          <w:p>
            <w:pPr>
              <w:jc w:val="center"/>
              <w:rPr>
                <w:b/>
                <w:bCs/>
                <w:sz w:val="18"/>
                <w:szCs w:val="18"/>
              </w:rPr>
            </w:pPr>
            <w:r>
              <w:rPr>
                <w:b/>
                <w:bCs/>
                <w:sz w:val="18"/>
                <w:szCs w:val="18"/>
              </w:rPr>
              <w:t>课程目标</w:t>
            </w:r>
          </w:p>
        </w:tc>
        <w:tc>
          <w:tcPr>
            <w:tcW w:w="1134" w:type="dxa"/>
            <w:vAlign w:val="center"/>
          </w:tcPr>
          <w:p>
            <w:pPr>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72" w:type="dxa"/>
            <w:vMerge w:val="restart"/>
            <w:vAlign w:val="center"/>
          </w:tcPr>
          <w:p>
            <w:pPr>
              <w:jc w:val="center"/>
              <w:rPr>
                <w:sz w:val="18"/>
                <w:szCs w:val="18"/>
              </w:rPr>
            </w:pPr>
            <w:r>
              <w:rPr>
                <w:sz w:val="18"/>
                <w:szCs w:val="18"/>
              </w:rPr>
              <w:t>平时成绩</w:t>
            </w:r>
          </w:p>
        </w:tc>
        <w:tc>
          <w:tcPr>
            <w:tcW w:w="567" w:type="dxa"/>
            <w:vMerge w:val="restart"/>
            <w:vAlign w:val="center"/>
          </w:tcPr>
          <w:p>
            <w:pPr>
              <w:jc w:val="center"/>
              <w:rPr>
                <w:sz w:val="18"/>
                <w:szCs w:val="18"/>
              </w:rPr>
            </w:pPr>
            <w:r>
              <w:rPr>
                <w:sz w:val="18"/>
                <w:szCs w:val="18"/>
              </w:rPr>
              <w:t>100</w:t>
            </w:r>
          </w:p>
        </w:tc>
        <w:tc>
          <w:tcPr>
            <w:tcW w:w="567" w:type="dxa"/>
            <w:vMerge w:val="restart"/>
            <w:vAlign w:val="center"/>
          </w:tcPr>
          <w:p>
            <w:pPr>
              <w:jc w:val="center"/>
              <w:rPr>
                <w:sz w:val="18"/>
                <w:szCs w:val="18"/>
              </w:rPr>
            </w:pPr>
            <w:r>
              <w:rPr>
                <w:sz w:val="18"/>
                <w:szCs w:val="18"/>
              </w:rPr>
              <w:t>0.4</w:t>
            </w:r>
          </w:p>
        </w:tc>
        <w:tc>
          <w:tcPr>
            <w:tcW w:w="567" w:type="dxa"/>
            <w:vAlign w:val="center"/>
          </w:tcPr>
          <w:p>
            <w:pPr>
              <w:jc w:val="center"/>
              <w:rPr>
                <w:sz w:val="18"/>
                <w:szCs w:val="18"/>
              </w:rPr>
            </w:pPr>
            <w:r>
              <w:rPr>
                <w:sz w:val="18"/>
                <w:szCs w:val="18"/>
              </w:rPr>
              <w:t>考勤</w:t>
            </w:r>
          </w:p>
        </w:tc>
        <w:tc>
          <w:tcPr>
            <w:tcW w:w="567" w:type="dxa"/>
            <w:vAlign w:val="center"/>
          </w:tcPr>
          <w:p>
            <w:pPr>
              <w:jc w:val="center"/>
              <w:rPr>
                <w:sz w:val="18"/>
                <w:szCs w:val="18"/>
              </w:rPr>
            </w:pPr>
            <w:r>
              <w:rPr>
                <w:sz w:val="18"/>
                <w:szCs w:val="18"/>
              </w:rPr>
              <w:t>0.2</w:t>
            </w:r>
          </w:p>
        </w:tc>
        <w:tc>
          <w:tcPr>
            <w:tcW w:w="3402" w:type="dxa"/>
            <w:vAlign w:val="center"/>
          </w:tcPr>
          <w:p>
            <w:pPr>
              <w:jc w:val="left"/>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分，按比例计入课程总评成绩；主要考核学生的实习出勤率</w:t>
            </w:r>
            <w:r>
              <w:rPr>
                <w:rFonts w:hint="eastAsia"/>
                <w:sz w:val="18"/>
                <w:szCs w:val="18"/>
              </w:rPr>
              <w:t>。</w:t>
            </w:r>
          </w:p>
        </w:tc>
        <w:tc>
          <w:tcPr>
            <w:tcW w:w="993" w:type="dxa"/>
            <w:vAlign w:val="center"/>
          </w:tcPr>
          <w:p>
            <w:pPr>
              <w:jc w:val="center"/>
              <w:rPr>
                <w:sz w:val="18"/>
                <w:szCs w:val="18"/>
              </w:rPr>
            </w:pPr>
            <w:r>
              <w:rPr>
                <w:sz w:val="18"/>
                <w:szCs w:val="18"/>
              </w:rPr>
              <w:t>1，2</w:t>
            </w:r>
          </w:p>
        </w:tc>
        <w:tc>
          <w:tcPr>
            <w:tcW w:w="1134" w:type="dxa"/>
            <w:vAlign w:val="center"/>
          </w:tcPr>
          <w:p>
            <w:pPr>
              <w:jc w:val="center"/>
              <w:rPr>
                <w:sz w:val="18"/>
                <w:szCs w:val="18"/>
              </w:rPr>
            </w:pPr>
            <w:r>
              <w:rPr>
                <w:rFonts w:hint="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Merge w:val="continue"/>
            <w:vAlign w:val="center"/>
          </w:tcPr>
          <w:p>
            <w:pPr>
              <w:jc w:val="center"/>
              <w:rPr>
                <w:sz w:val="18"/>
                <w:szCs w:val="18"/>
              </w:rPr>
            </w:pPr>
          </w:p>
        </w:tc>
        <w:tc>
          <w:tcPr>
            <w:tcW w:w="567" w:type="dxa"/>
            <w:vAlign w:val="center"/>
          </w:tcPr>
          <w:p>
            <w:pPr>
              <w:jc w:val="center"/>
              <w:rPr>
                <w:sz w:val="18"/>
                <w:szCs w:val="18"/>
              </w:rPr>
            </w:pPr>
            <w:r>
              <w:rPr>
                <w:sz w:val="18"/>
                <w:szCs w:val="18"/>
              </w:rPr>
              <w:t>实习表现</w:t>
            </w:r>
          </w:p>
        </w:tc>
        <w:tc>
          <w:tcPr>
            <w:tcW w:w="567" w:type="dxa"/>
            <w:vAlign w:val="center"/>
          </w:tcPr>
          <w:p>
            <w:pPr>
              <w:jc w:val="center"/>
              <w:rPr>
                <w:sz w:val="18"/>
                <w:szCs w:val="18"/>
              </w:rPr>
            </w:pPr>
            <w:r>
              <w:rPr>
                <w:sz w:val="18"/>
                <w:szCs w:val="18"/>
              </w:rPr>
              <w:t>0.8</w:t>
            </w:r>
          </w:p>
        </w:tc>
        <w:tc>
          <w:tcPr>
            <w:tcW w:w="3402" w:type="dxa"/>
            <w:vAlign w:val="center"/>
          </w:tcPr>
          <w:p>
            <w:pPr>
              <w:jc w:val="left"/>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分，按比例计入课程总评成绩；主要根据实习过程中的遵守实验室规则制度</w:t>
            </w:r>
            <w:r>
              <w:rPr>
                <w:rFonts w:hint="eastAsia"/>
                <w:sz w:val="18"/>
                <w:szCs w:val="18"/>
              </w:rPr>
              <w:t>，团队协作时是否对设计任务正确理解、是否虚心接受他人意见和建议、是否积极配合有效完成辅助工作、是否从团队利益出发、是否和组内外成员有效沟通、是否清晰表达和讨论汇报有关问题等方面</w:t>
            </w:r>
            <w:r>
              <w:rPr>
                <w:sz w:val="18"/>
                <w:szCs w:val="18"/>
              </w:rPr>
              <w:t>给出评分。</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rFonts w:hint="eastAsia"/>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572" w:type="dxa"/>
            <w:vAlign w:val="center"/>
          </w:tcPr>
          <w:p>
            <w:pPr>
              <w:jc w:val="center"/>
              <w:rPr>
                <w:sz w:val="18"/>
                <w:szCs w:val="18"/>
              </w:rPr>
            </w:pPr>
            <w:r>
              <w:rPr>
                <w:sz w:val="18"/>
                <w:szCs w:val="18"/>
              </w:rPr>
              <w:t>论文评阅成绩</w:t>
            </w:r>
          </w:p>
        </w:tc>
        <w:tc>
          <w:tcPr>
            <w:tcW w:w="567" w:type="dxa"/>
            <w:vAlign w:val="center"/>
          </w:tcPr>
          <w:p>
            <w:pPr>
              <w:jc w:val="center"/>
              <w:rPr>
                <w:sz w:val="18"/>
                <w:szCs w:val="18"/>
              </w:rPr>
            </w:pPr>
            <w:r>
              <w:rPr>
                <w:sz w:val="18"/>
                <w:szCs w:val="18"/>
              </w:rPr>
              <w:t>100</w:t>
            </w:r>
          </w:p>
        </w:tc>
        <w:tc>
          <w:tcPr>
            <w:tcW w:w="567" w:type="dxa"/>
            <w:vAlign w:val="center"/>
          </w:tcPr>
          <w:p>
            <w:pPr>
              <w:jc w:val="center"/>
              <w:rPr>
                <w:sz w:val="18"/>
                <w:szCs w:val="18"/>
              </w:rPr>
            </w:pPr>
            <w:r>
              <w:rPr>
                <w:sz w:val="18"/>
                <w:szCs w:val="18"/>
              </w:rPr>
              <w:t>0.6</w:t>
            </w:r>
          </w:p>
        </w:tc>
        <w:tc>
          <w:tcPr>
            <w:tcW w:w="567" w:type="dxa"/>
            <w:vAlign w:val="center"/>
          </w:tcPr>
          <w:p>
            <w:pPr>
              <w:jc w:val="center"/>
              <w:rPr>
                <w:sz w:val="18"/>
                <w:szCs w:val="18"/>
              </w:rPr>
            </w:pPr>
            <w:r>
              <w:rPr>
                <w:sz w:val="18"/>
                <w:szCs w:val="18"/>
              </w:rPr>
              <w:t>实习</w:t>
            </w:r>
            <w:r>
              <w:rPr>
                <w:rFonts w:hint="eastAsia"/>
                <w:sz w:val="18"/>
                <w:szCs w:val="18"/>
              </w:rPr>
              <w:t>报告</w:t>
            </w:r>
          </w:p>
        </w:tc>
        <w:tc>
          <w:tcPr>
            <w:tcW w:w="567" w:type="dxa"/>
            <w:vAlign w:val="center"/>
          </w:tcPr>
          <w:p>
            <w:pPr>
              <w:jc w:val="center"/>
              <w:rPr>
                <w:sz w:val="18"/>
                <w:szCs w:val="18"/>
              </w:rPr>
            </w:pPr>
            <w:r>
              <w:rPr>
                <w:sz w:val="18"/>
                <w:szCs w:val="18"/>
              </w:rPr>
              <w:t>1</w:t>
            </w:r>
          </w:p>
        </w:tc>
        <w:tc>
          <w:tcPr>
            <w:tcW w:w="3402" w:type="dxa"/>
            <w:vAlign w:val="center"/>
          </w:tcPr>
          <w:p>
            <w:pPr>
              <w:rPr>
                <w:sz w:val="18"/>
                <w:szCs w:val="18"/>
              </w:rPr>
            </w:pPr>
            <w:r>
              <w:rPr>
                <w:rFonts w:hint="eastAsia"/>
                <w:sz w:val="18"/>
                <w:szCs w:val="18"/>
              </w:rPr>
              <w:t>以10</w:t>
            </w:r>
            <w:r>
              <w:rPr>
                <w:sz w:val="18"/>
                <w:szCs w:val="18"/>
              </w:rPr>
              <w:t>0分制</w:t>
            </w:r>
            <w:r>
              <w:rPr>
                <w:rFonts w:hint="eastAsia"/>
                <w:sz w:val="18"/>
                <w:szCs w:val="18"/>
              </w:rPr>
              <w:t>计</w:t>
            </w:r>
            <w:r>
              <w:rPr>
                <w:sz w:val="18"/>
                <w:szCs w:val="18"/>
              </w:rPr>
              <w:t>分，按比例计入课程总评成绩；主要考核学生实习</w:t>
            </w:r>
            <w:r>
              <w:rPr>
                <w:rFonts w:hint="eastAsia"/>
                <w:sz w:val="18"/>
                <w:szCs w:val="18"/>
              </w:rPr>
              <w:t>报告</w:t>
            </w:r>
            <w:r>
              <w:rPr>
                <w:sz w:val="18"/>
                <w:szCs w:val="18"/>
              </w:rPr>
              <w:t>完成质量：包括内容是否详实</w:t>
            </w:r>
            <w:r>
              <w:rPr>
                <w:rFonts w:hint="eastAsia"/>
                <w:sz w:val="18"/>
                <w:szCs w:val="18"/>
              </w:rPr>
              <w:t>、</w:t>
            </w:r>
            <w:r>
              <w:rPr>
                <w:sz w:val="18"/>
                <w:szCs w:val="18"/>
              </w:rPr>
              <w:t>格式是否规范等。实习报告（总结）的内容包括</w:t>
            </w:r>
            <w:r>
              <w:rPr>
                <w:rFonts w:hint="eastAsia"/>
                <w:sz w:val="18"/>
                <w:szCs w:val="18"/>
              </w:rPr>
              <w:t>：</w:t>
            </w:r>
            <w:r>
              <w:rPr>
                <w:rFonts w:hint="eastAsia" w:ascii="宋体" w:hAnsi="宋体" w:cs="宋体"/>
                <w:sz w:val="18"/>
                <w:szCs w:val="18"/>
              </w:rPr>
              <w:t>①</w:t>
            </w:r>
            <w:r>
              <w:rPr>
                <w:sz w:val="18"/>
                <w:szCs w:val="18"/>
              </w:rPr>
              <w:t>时间、地点、描述；</w:t>
            </w:r>
            <w:r>
              <w:rPr>
                <w:rFonts w:hint="eastAsia" w:ascii="宋体" w:hAnsi="宋体" w:cs="宋体"/>
                <w:sz w:val="18"/>
                <w:szCs w:val="18"/>
              </w:rPr>
              <w:t>②</w:t>
            </w:r>
            <w:r>
              <w:rPr>
                <w:sz w:val="18"/>
                <w:szCs w:val="18"/>
              </w:rPr>
              <w:t>实习目的及要求；</w:t>
            </w:r>
            <w:r>
              <w:rPr>
                <w:rFonts w:hint="eastAsia" w:ascii="宋体" w:hAnsi="宋体" w:cs="宋体"/>
                <w:sz w:val="18"/>
                <w:szCs w:val="18"/>
              </w:rPr>
              <w:t>③</w:t>
            </w:r>
            <w:r>
              <w:rPr>
                <w:sz w:val="18"/>
                <w:szCs w:val="18"/>
              </w:rPr>
              <w:t>实习过程及实习内容的叙述；</w:t>
            </w:r>
            <w:r>
              <w:rPr>
                <w:rFonts w:hint="eastAsia" w:ascii="宋体" w:hAnsi="宋体" w:cs="宋体"/>
                <w:sz w:val="18"/>
                <w:szCs w:val="18"/>
              </w:rPr>
              <w:t>④</w:t>
            </w:r>
            <w:r>
              <w:rPr>
                <w:sz w:val="18"/>
                <w:szCs w:val="18"/>
              </w:rPr>
              <w:t>收获</w:t>
            </w:r>
            <w:r>
              <w:rPr>
                <w:rFonts w:hint="eastAsia"/>
                <w:sz w:val="18"/>
                <w:szCs w:val="18"/>
              </w:rPr>
              <w:t>（包含团队合作能力方面）</w:t>
            </w:r>
            <w:r>
              <w:rPr>
                <w:sz w:val="18"/>
                <w:szCs w:val="18"/>
              </w:rPr>
              <w:t>、体会，学校教学与实际的差距，改进方向、内容与方法；</w:t>
            </w:r>
            <w:r>
              <w:rPr>
                <w:rFonts w:hint="eastAsia" w:ascii="宋体" w:hAnsi="宋体" w:cs="宋体"/>
                <w:sz w:val="18"/>
                <w:szCs w:val="18"/>
              </w:rPr>
              <w:t>⑤</w:t>
            </w:r>
            <w:r>
              <w:rPr>
                <w:sz w:val="18"/>
                <w:szCs w:val="18"/>
              </w:rPr>
              <w:t>不足、建议、教训。</w:t>
            </w:r>
          </w:p>
        </w:tc>
        <w:tc>
          <w:tcPr>
            <w:tcW w:w="993" w:type="dxa"/>
            <w:vAlign w:val="center"/>
          </w:tcPr>
          <w:p>
            <w:pPr>
              <w:jc w:val="center"/>
              <w:rPr>
                <w:sz w:val="18"/>
                <w:szCs w:val="18"/>
              </w:rPr>
            </w:pPr>
            <w:r>
              <w:rPr>
                <w:sz w:val="18"/>
                <w:szCs w:val="18"/>
              </w:rPr>
              <w:t>1，2，3</w:t>
            </w:r>
          </w:p>
        </w:tc>
        <w:tc>
          <w:tcPr>
            <w:tcW w:w="1134" w:type="dxa"/>
            <w:vAlign w:val="center"/>
          </w:tcPr>
          <w:p>
            <w:pPr>
              <w:jc w:val="center"/>
              <w:rPr>
                <w:sz w:val="18"/>
                <w:szCs w:val="18"/>
              </w:rPr>
            </w:pPr>
            <w:r>
              <w:rPr>
                <w:rFonts w:hint="eastAsia"/>
                <w:sz w:val="18"/>
                <w:szCs w:val="18"/>
              </w:rPr>
              <w:t>4，9</w:t>
            </w:r>
          </w:p>
        </w:tc>
      </w:tr>
    </w:tbl>
    <w:p>
      <w:pPr>
        <w:snapToGrid w:val="0"/>
        <w:spacing w:before="159" w:beforeLines="50" w:after="159" w:afterLines="50" w:line="300" w:lineRule="auto"/>
        <w:rPr>
          <w:b/>
          <w:sz w:val="24"/>
        </w:rPr>
      </w:pPr>
      <w:r>
        <w:rPr>
          <w:b/>
          <w:sz w:val="24"/>
        </w:rPr>
        <w:t>六、课程教学目标达成度评价</w:t>
      </w:r>
    </w:p>
    <w:p>
      <w:pPr>
        <w:spacing w:line="300" w:lineRule="auto"/>
        <w:ind w:firstLine="420" w:firstLineChars="200"/>
        <w:rPr>
          <w:szCs w:val="21"/>
        </w:rPr>
      </w:pPr>
      <w:r>
        <w:rPr>
          <w:szCs w:val="21"/>
        </w:rPr>
        <w:t>1．达成度评价依据和方法</w:t>
      </w:r>
    </w:p>
    <w:p>
      <w:pPr>
        <w:spacing w:line="300" w:lineRule="auto"/>
        <w:ind w:firstLine="420" w:firstLineChars="200"/>
        <w:rPr>
          <w:szCs w:val="21"/>
        </w:rPr>
      </w:pPr>
      <w:r>
        <w:rPr>
          <w:szCs w:val="21"/>
        </w:rPr>
        <w:t>课程各目标达成情况为该项目学生的平均得分率，其计算公式为：</w:t>
      </w:r>
    </w:p>
    <w:p>
      <w:pPr>
        <w:spacing w:line="300" w:lineRule="auto"/>
        <w:jc w:val="center"/>
        <w:rPr>
          <w:szCs w:val="21"/>
        </w:rPr>
      </w:pPr>
      <w:r>
        <w:rPr>
          <w:szCs w:val="21"/>
        </w:rPr>
        <w:object>
          <v:shape id="_x0000_i1207" o:spt="75" type="#_x0000_t75" style="height:29.25pt;width:362.25pt;" o:ole="t" filled="f" o:preferrelative="t" stroked="f" coordsize="21600,21600">
            <v:path/>
            <v:fill on="f" focussize="0,0"/>
            <v:stroke on="f" joinstyle="miter"/>
            <v:imagedata r:id="rId36" o:title=""/>
            <o:lock v:ext="edit" aspectratio="t"/>
            <w10:wrap type="none"/>
            <w10:anchorlock/>
          </v:shape>
          <o:OLEObject Type="Embed" ProgID="Equation.3" ShapeID="_x0000_i1207" DrawAspect="Content" ObjectID="_1468075905" r:id="rId235">
            <o:LockedField>false</o:LockedField>
          </o:OLEObject>
        </w:object>
      </w:r>
    </w:p>
    <w:p>
      <w:pPr>
        <w:spacing w:line="300" w:lineRule="auto"/>
        <w:ind w:firstLine="420" w:firstLineChars="200"/>
        <w:rPr>
          <w:szCs w:val="21"/>
        </w:rPr>
      </w:pPr>
      <w:r>
        <w:rPr>
          <w:szCs w:val="21"/>
        </w:rPr>
        <w:t>课程总目标达成情况为</w:t>
      </w:r>
      <w:r>
        <w:rPr>
          <w:rFonts w:hint="eastAsia"/>
          <w:szCs w:val="21"/>
        </w:rPr>
        <w:t>3</w:t>
      </w:r>
      <w:r>
        <w:rPr>
          <w:szCs w:val="21"/>
        </w:rPr>
        <w:t>个课程目标的加权得分率，其计算公式为：</w:t>
      </w:r>
    </w:p>
    <w:p>
      <w:pPr>
        <w:spacing w:line="300" w:lineRule="auto"/>
        <w:jc w:val="center"/>
        <w:rPr>
          <w:szCs w:val="21"/>
        </w:rPr>
      </w:pPr>
      <w:r>
        <w:rPr>
          <w:szCs w:val="21"/>
        </w:rPr>
        <w:object>
          <v:shape id="_x0000_i1208" o:spt="75" type="#_x0000_t75" style="height:18pt;width:291.75pt;" o:ole="t" filled="f" o:preferrelative="t" stroked="f" coordsize="21600,21600">
            <v:path/>
            <v:fill on="f" focussize="0,0"/>
            <v:stroke on="f" joinstyle="miter"/>
            <v:imagedata r:id="rId38" o:title=""/>
            <o:lock v:ext="edit" aspectratio="t"/>
            <w10:wrap type="none"/>
            <w10:anchorlock/>
          </v:shape>
          <o:OLEObject Type="Embed" ProgID="Equation.DSMT4" ShapeID="_x0000_i1208" DrawAspect="Content" ObjectID="_1468075906" r:id="rId236">
            <o:LockedField>false</o:LockedField>
          </o:OLEObject>
        </w:object>
      </w:r>
    </w:p>
    <w:p>
      <w:pPr>
        <w:spacing w:line="300" w:lineRule="auto"/>
        <w:rPr>
          <w:szCs w:val="21"/>
        </w:rPr>
      </w:pPr>
      <w:r>
        <w:rPr>
          <w:szCs w:val="21"/>
        </w:rP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6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7"/>
        <w:gridCol w:w="1646"/>
        <w:gridCol w:w="168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7" w:hRule="atLeast"/>
          <w:jc w:val="center"/>
        </w:trPr>
        <w:tc>
          <w:tcPr>
            <w:tcW w:w="1917" w:type="dxa"/>
            <w:vAlign w:val="center"/>
          </w:tcPr>
          <w:p>
            <w:pPr>
              <w:adjustRightInd w:val="0"/>
              <w:snapToGrid w:val="0"/>
              <w:spacing w:line="300" w:lineRule="auto"/>
              <w:jc w:val="center"/>
              <w:rPr>
                <w:b/>
                <w:bCs/>
                <w:sz w:val="18"/>
                <w:szCs w:val="18"/>
              </w:rPr>
            </w:pPr>
            <w:r>
              <w:rPr>
                <w:b/>
                <w:bCs/>
                <w:sz w:val="18"/>
                <w:szCs w:val="18"/>
              </w:rPr>
              <w:t>课程目标</w:t>
            </w:r>
          </w:p>
        </w:tc>
        <w:tc>
          <w:tcPr>
            <w:tcW w:w="1646" w:type="dxa"/>
            <w:vAlign w:val="center"/>
          </w:tcPr>
          <w:p>
            <w:pPr>
              <w:adjustRightInd w:val="0"/>
              <w:snapToGrid w:val="0"/>
              <w:spacing w:line="300" w:lineRule="auto"/>
              <w:jc w:val="center"/>
              <w:rPr>
                <w:sz w:val="18"/>
                <w:szCs w:val="18"/>
              </w:rPr>
            </w:pPr>
            <w:r>
              <w:rPr>
                <w:sz w:val="18"/>
                <w:szCs w:val="18"/>
              </w:rPr>
              <w:t>1</w:t>
            </w:r>
          </w:p>
        </w:tc>
        <w:tc>
          <w:tcPr>
            <w:tcW w:w="1682" w:type="dxa"/>
            <w:vAlign w:val="center"/>
          </w:tcPr>
          <w:p>
            <w:pPr>
              <w:adjustRightInd w:val="0"/>
              <w:snapToGrid w:val="0"/>
              <w:spacing w:line="300" w:lineRule="auto"/>
              <w:jc w:val="center"/>
              <w:rPr>
                <w:sz w:val="18"/>
                <w:szCs w:val="18"/>
              </w:rPr>
            </w:pPr>
            <w:r>
              <w:rPr>
                <w:sz w:val="18"/>
                <w:szCs w:val="18"/>
              </w:rPr>
              <w:t>2</w:t>
            </w:r>
          </w:p>
        </w:tc>
        <w:tc>
          <w:tcPr>
            <w:tcW w:w="1717" w:type="dxa"/>
            <w:vAlign w:val="center"/>
          </w:tcPr>
          <w:p>
            <w:pPr>
              <w:adjustRightInd w:val="0"/>
              <w:snapToGrid w:val="0"/>
              <w:spacing w:line="300" w:lineRule="auto"/>
              <w:jc w:val="center"/>
              <w:rPr>
                <w:sz w:val="18"/>
                <w:szCs w:val="18"/>
              </w:rPr>
            </w:pP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74" w:hRule="atLeast"/>
          <w:jc w:val="center"/>
        </w:trPr>
        <w:tc>
          <w:tcPr>
            <w:tcW w:w="1917" w:type="dxa"/>
            <w:vAlign w:val="center"/>
          </w:tcPr>
          <w:p>
            <w:pPr>
              <w:adjustRightInd w:val="0"/>
              <w:snapToGrid w:val="0"/>
              <w:spacing w:line="300" w:lineRule="auto"/>
              <w:jc w:val="center"/>
              <w:rPr>
                <w:b/>
                <w:bCs/>
                <w:sz w:val="18"/>
                <w:szCs w:val="18"/>
              </w:rPr>
            </w:pPr>
            <w:r>
              <w:rPr>
                <w:b/>
                <w:bCs/>
                <w:sz w:val="18"/>
                <w:szCs w:val="18"/>
              </w:rPr>
              <w:t>权重系数</w:t>
            </w:r>
          </w:p>
        </w:tc>
        <w:tc>
          <w:tcPr>
            <w:tcW w:w="1646" w:type="dxa"/>
            <w:vAlign w:val="center"/>
          </w:tcPr>
          <w:p>
            <w:pPr>
              <w:adjustRightInd w:val="0"/>
              <w:snapToGrid w:val="0"/>
              <w:spacing w:line="300" w:lineRule="auto"/>
              <w:jc w:val="center"/>
              <w:rPr>
                <w:sz w:val="18"/>
                <w:szCs w:val="18"/>
              </w:rPr>
            </w:pPr>
            <w:r>
              <w:rPr>
                <w:sz w:val="18"/>
                <w:szCs w:val="18"/>
              </w:rPr>
              <w:t>0.2</w:t>
            </w:r>
          </w:p>
        </w:tc>
        <w:tc>
          <w:tcPr>
            <w:tcW w:w="1682" w:type="dxa"/>
            <w:vAlign w:val="center"/>
          </w:tcPr>
          <w:p>
            <w:pPr>
              <w:adjustRightInd w:val="0"/>
              <w:snapToGrid w:val="0"/>
              <w:spacing w:line="300" w:lineRule="auto"/>
              <w:jc w:val="center"/>
              <w:rPr>
                <w:sz w:val="18"/>
                <w:szCs w:val="18"/>
              </w:rPr>
            </w:pPr>
            <w:r>
              <w:rPr>
                <w:sz w:val="18"/>
                <w:szCs w:val="18"/>
              </w:rPr>
              <w:t>0.2</w:t>
            </w:r>
          </w:p>
        </w:tc>
        <w:tc>
          <w:tcPr>
            <w:tcW w:w="1717" w:type="dxa"/>
            <w:vAlign w:val="center"/>
          </w:tcPr>
          <w:p>
            <w:pPr>
              <w:adjustRightInd w:val="0"/>
              <w:snapToGrid w:val="0"/>
              <w:spacing w:line="300" w:lineRule="auto"/>
              <w:jc w:val="center"/>
              <w:rPr>
                <w:sz w:val="18"/>
                <w:szCs w:val="18"/>
              </w:rPr>
            </w:pPr>
            <w:r>
              <w:rPr>
                <w:sz w:val="18"/>
                <w:szCs w:val="18"/>
              </w:rPr>
              <w:t>0.6</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209" o:spt="75" type="#_x0000_t75" style="height:18.75pt;width:284.25pt;" o:ole="t" filled="f" o:preferrelative="t" stroked="f" coordsize="21600,21600">
            <v:path/>
            <v:fill on="f" focussize="0,0"/>
            <v:stroke on="f" joinstyle="miter"/>
            <v:imagedata r:id="rId40" o:title=""/>
            <o:lock v:ext="edit" aspectratio="t"/>
            <w10:wrap type="none"/>
            <w10:anchorlock/>
          </v:shape>
          <o:OLEObject Type="Embed" ProgID="Equation.KSEE3" ShapeID="_x0000_i1209" DrawAspect="Content" ObjectID="_1468075907" r:id="rId237">
            <o:LockedField>false</o:LockedField>
          </o:OLEObject>
        </w:object>
      </w:r>
    </w:p>
    <w:p>
      <w:pPr>
        <w:adjustRightInd w:val="0"/>
        <w:snapToGrid w:val="0"/>
        <w:spacing w:line="300" w:lineRule="auto"/>
        <w:rPr>
          <w:szCs w:val="21"/>
        </w:rPr>
      </w:pPr>
      <w:r>
        <w:rPr>
          <w:szCs w:val="21"/>
        </w:rPr>
        <w:t>2</w:t>
      </w:r>
      <w:r>
        <w:t>．</w:t>
      </w:r>
      <w:r>
        <w:rPr>
          <w:szCs w:val="21"/>
        </w:rPr>
        <w:t>课程总结要求</w:t>
      </w:r>
    </w:p>
    <w:p>
      <w:pPr>
        <w:adjustRightInd w:val="0"/>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tbl>
      <w:tblPr>
        <w:tblStyle w:val="22"/>
        <w:tblpPr w:leftFromText="180" w:rightFromText="180" w:vertAnchor="text" w:horzAnchor="margin" w:tblpX="-39" w:tblpY="266"/>
        <w:tblW w:w="844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44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443" w:type="dxa"/>
          </w:tcPr>
          <w:p>
            <w:pPr>
              <w:snapToGrid w:val="0"/>
              <w:spacing w:before="159" w:beforeLines="50" w:after="159" w:afterLines="50" w:line="300" w:lineRule="auto"/>
              <w:rPr>
                <w:b/>
                <w:sz w:val="24"/>
              </w:rPr>
            </w:pPr>
            <w:r>
              <w:rPr>
                <w:rFonts w:hint="eastAsia"/>
                <w:b/>
                <w:sz w:val="24"/>
              </w:rPr>
              <w:t>七、</w:t>
            </w:r>
            <w:r>
              <w:rPr>
                <w:b/>
                <w:sz w:val="24"/>
              </w:rPr>
              <w:t>教材及参考资料</w:t>
            </w:r>
          </w:p>
          <w:p>
            <w:pPr>
              <w:snapToGrid w:val="0"/>
              <w:spacing w:line="300" w:lineRule="auto"/>
              <w:ind w:firstLine="420" w:firstLineChars="200"/>
              <w:rPr>
                <w:szCs w:val="21"/>
              </w:rPr>
            </w:pPr>
            <w:r>
              <w:rPr>
                <w:szCs w:val="21"/>
              </w:rPr>
              <w:t>1. 教材</w:t>
            </w:r>
          </w:p>
          <w:p>
            <w:pPr>
              <w:adjustRightInd w:val="0"/>
              <w:snapToGrid w:val="0"/>
              <w:spacing w:line="300" w:lineRule="auto"/>
              <w:ind w:firstLine="420"/>
              <w:rPr>
                <w:szCs w:val="21"/>
              </w:rPr>
            </w:pPr>
            <w:r>
              <w:rPr>
                <w:szCs w:val="21"/>
              </w:rPr>
              <w:t>无</w:t>
            </w:r>
          </w:p>
          <w:p>
            <w:pPr>
              <w:adjustRightInd w:val="0"/>
              <w:snapToGrid w:val="0"/>
              <w:spacing w:line="300" w:lineRule="auto"/>
              <w:ind w:firstLine="420"/>
              <w:rPr>
                <w:szCs w:val="21"/>
              </w:rPr>
            </w:pPr>
            <w:r>
              <w:rPr>
                <w:szCs w:val="21"/>
              </w:rPr>
              <w:t>2. 参考资料：</w:t>
            </w:r>
          </w:p>
          <w:p>
            <w:pPr>
              <w:adjustRightInd w:val="0"/>
              <w:snapToGrid w:val="0"/>
              <w:spacing w:line="300" w:lineRule="auto"/>
              <w:ind w:right="630" w:firstLine="420" w:firstLineChars="200"/>
              <w:rPr>
                <w:kern w:val="0"/>
                <w:sz w:val="20"/>
                <w:szCs w:val="21"/>
              </w:rPr>
            </w:pPr>
            <w:r>
              <w:rPr>
                <w:kern w:val="0"/>
                <w:szCs w:val="21"/>
              </w:rPr>
              <w:t>广东海洋大学本科毕业论文（设计）工作管理办法（校教务〔2015〕23 号）</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443" w:type="dxa"/>
          </w:tcPr>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期：202</w:t>
                  </w:r>
                  <w:r>
                    <w:rPr>
                      <w:rFonts w:hint="eastAsia"/>
                      <w:kern w:val="0"/>
                      <w:sz w:val="20"/>
                      <w:szCs w:val="21"/>
                    </w:rPr>
                    <w:t>2</w:t>
                  </w:r>
                  <w:r>
                    <w:rPr>
                      <w:kern w:val="0"/>
                      <w:sz w:val="20"/>
                      <w:szCs w:val="21"/>
                    </w:rPr>
                    <w:t>.0</w:t>
                  </w:r>
                  <w:r>
                    <w:rPr>
                      <w:rFonts w:hint="eastAsia"/>
                      <w:kern w:val="0"/>
                      <w:sz w:val="20"/>
                      <w:szCs w:val="21"/>
                    </w:rPr>
                    <w:t>4</w:t>
                  </w:r>
                  <w:r>
                    <w:rPr>
                      <w:kern w:val="0"/>
                      <w:sz w:val="20"/>
                      <w:szCs w:val="21"/>
                    </w:rPr>
                    <w:t>.</w:t>
                  </w:r>
                  <w:r>
                    <w:rPr>
                      <w:rFonts w:hint="eastAsia"/>
                      <w:kern w:val="0"/>
                      <w:sz w:val="20"/>
                      <w:szCs w:val="21"/>
                    </w:rPr>
                    <w:t>20</w:t>
                  </w:r>
                </w:p>
                <w:p>
                  <w:pPr>
                    <w:snapToGrid w:val="0"/>
                    <w:spacing w:line="300" w:lineRule="auto"/>
                    <w:ind w:right="200"/>
                    <w:jc w:val="right"/>
                    <w:rPr>
                      <w:kern w:val="0"/>
                      <w:sz w:val="20"/>
                      <w:szCs w:val="21"/>
                    </w:rPr>
                  </w:pPr>
                </w:p>
              </w:tc>
            </w:tr>
          </w:tbl>
          <w:p>
            <w:pPr>
              <w:snapToGrid w:val="0"/>
              <w:spacing w:line="300" w:lineRule="auto"/>
              <w:ind w:right="1220"/>
              <w:rPr>
                <w:kern w:val="0"/>
                <w:sz w:val="20"/>
                <w:szCs w:val="21"/>
              </w:rPr>
            </w:pPr>
          </w:p>
        </w:tc>
      </w:tr>
    </w:tbl>
    <w:p/>
    <w:p>
      <w:pPr>
        <w:pStyle w:val="2"/>
        <w:spacing w:line="360" w:lineRule="auto"/>
        <w:jc w:val="center"/>
        <w:rPr>
          <w:rFonts w:hAnsi="黑体" w:cs="黑体"/>
          <w:kern w:val="0"/>
          <w:szCs w:val="32"/>
        </w:rPr>
        <w:sectPr>
          <w:pgSz w:w="11906" w:h="16838"/>
          <w:pgMar w:top="1417" w:right="1361" w:bottom="1417" w:left="1361" w:header="851" w:footer="992" w:gutter="0"/>
          <w:cols w:space="720" w:num="1"/>
          <w:docGrid w:type="lines" w:linePitch="318" w:charSpace="0"/>
        </w:sectPr>
      </w:pPr>
    </w:p>
    <w:p>
      <w:pPr>
        <w:pStyle w:val="3"/>
        <w:jc w:val="center"/>
      </w:pPr>
      <w:bookmarkStart w:id="301" w:name="_Toc25900"/>
      <w:bookmarkStart w:id="302" w:name="_Toc14456"/>
      <w:bookmarkStart w:id="303" w:name="_Toc30051"/>
      <w:r>
        <w:rPr>
          <w:rFonts w:hint="eastAsia"/>
        </w:rPr>
        <w:t>j3341708《FPGA与DSP实习》</w:t>
      </w:r>
      <w:bookmarkEnd w:id="299"/>
      <w:bookmarkEnd w:id="300"/>
      <w:r>
        <w:rPr>
          <w:rFonts w:hint="eastAsia"/>
        </w:rPr>
        <w:t>实习教学大纲</w:t>
      </w:r>
      <w:bookmarkEnd w:id="301"/>
      <w:bookmarkEnd w:id="302"/>
      <w:bookmarkEnd w:id="303"/>
    </w:p>
    <w:tbl>
      <w:tblPr>
        <w:tblStyle w:val="2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977"/>
        <w:gridCol w:w="1149"/>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76" w:type="dxa"/>
            <w:vAlign w:val="center"/>
          </w:tcPr>
          <w:p>
            <w:pPr>
              <w:jc w:val="center"/>
              <w:rPr>
                <w:szCs w:val="21"/>
              </w:rPr>
            </w:pPr>
            <w:r>
              <w:rPr>
                <w:szCs w:val="21"/>
              </w:rPr>
              <w:t>课程编号</w:t>
            </w:r>
          </w:p>
        </w:tc>
        <w:tc>
          <w:tcPr>
            <w:tcW w:w="2977" w:type="dxa"/>
            <w:vAlign w:val="center"/>
          </w:tcPr>
          <w:p>
            <w:pPr>
              <w:jc w:val="center"/>
              <w:rPr>
                <w:szCs w:val="21"/>
              </w:rPr>
            </w:pPr>
            <w:r>
              <w:rPr>
                <w:szCs w:val="21"/>
              </w:rPr>
              <w:t>j334</w:t>
            </w:r>
            <w:r>
              <w:rPr>
                <w:rFonts w:hint="eastAsia"/>
                <w:szCs w:val="21"/>
              </w:rPr>
              <w:t>1708</w:t>
            </w:r>
          </w:p>
        </w:tc>
        <w:tc>
          <w:tcPr>
            <w:tcW w:w="1149" w:type="dxa"/>
            <w:vAlign w:val="center"/>
          </w:tcPr>
          <w:p>
            <w:pPr>
              <w:jc w:val="center"/>
              <w:rPr>
                <w:szCs w:val="21"/>
              </w:rPr>
            </w:pPr>
            <w:r>
              <w:rPr>
                <w:szCs w:val="21"/>
              </w:rPr>
              <w:t>课程名称</w:t>
            </w:r>
          </w:p>
        </w:tc>
        <w:tc>
          <w:tcPr>
            <w:tcW w:w="2820" w:type="dxa"/>
            <w:vAlign w:val="center"/>
          </w:tcPr>
          <w:p>
            <w:pPr>
              <w:jc w:val="center"/>
              <w:rPr>
                <w:szCs w:val="21"/>
              </w:rPr>
            </w:pPr>
            <w:r>
              <w:rPr>
                <w:szCs w:val="21"/>
              </w:rPr>
              <w:t>FPGA与DSP实习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76" w:type="dxa"/>
            <w:vAlign w:val="center"/>
          </w:tcPr>
          <w:p>
            <w:pPr>
              <w:jc w:val="center"/>
              <w:rPr>
                <w:szCs w:val="21"/>
              </w:rPr>
            </w:pPr>
            <w:r>
              <w:rPr>
                <w:szCs w:val="21"/>
              </w:rPr>
              <w:t>课程性质*</w:t>
            </w:r>
          </w:p>
        </w:tc>
        <w:tc>
          <w:tcPr>
            <w:tcW w:w="2977" w:type="dxa"/>
            <w:vAlign w:val="center"/>
          </w:tcPr>
          <w:p>
            <w:pPr>
              <w:jc w:val="center"/>
              <w:rPr>
                <w:szCs w:val="21"/>
              </w:rPr>
            </w:pPr>
            <w:r>
              <w:rPr>
                <w:szCs w:val="21"/>
              </w:rPr>
              <w:t>工程实践与毕业设计（论文）</w:t>
            </w:r>
          </w:p>
        </w:tc>
        <w:tc>
          <w:tcPr>
            <w:tcW w:w="1149" w:type="dxa"/>
            <w:vAlign w:val="center"/>
          </w:tcPr>
          <w:p>
            <w:pPr>
              <w:jc w:val="center"/>
              <w:rPr>
                <w:szCs w:val="21"/>
              </w:rPr>
            </w:pPr>
            <w:r>
              <w:rPr>
                <w:szCs w:val="21"/>
              </w:rPr>
              <w:t>英文名称</w:t>
            </w:r>
          </w:p>
        </w:tc>
        <w:tc>
          <w:tcPr>
            <w:tcW w:w="2820" w:type="dxa"/>
            <w:vAlign w:val="center"/>
          </w:tcPr>
          <w:p>
            <w:pPr>
              <w:jc w:val="center"/>
              <w:rPr>
                <w:bCs/>
                <w:szCs w:val="21"/>
              </w:rPr>
            </w:pPr>
            <w:r>
              <w:rPr>
                <w:szCs w:val="21"/>
              </w:rPr>
              <w:t>FPGA and DSP Course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76" w:type="dxa"/>
            <w:vAlign w:val="center"/>
          </w:tcPr>
          <w:p>
            <w:pPr>
              <w:jc w:val="center"/>
              <w:rPr>
                <w:szCs w:val="21"/>
              </w:rPr>
            </w:pPr>
            <w:r>
              <w:rPr>
                <w:szCs w:val="21"/>
              </w:rPr>
              <w:t>学分学时</w:t>
            </w:r>
          </w:p>
        </w:tc>
        <w:tc>
          <w:tcPr>
            <w:tcW w:w="2977" w:type="dxa"/>
            <w:vAlign w:val="center"/>
          </w:tcPr>
          <w:p>
            <w:pPr>
              <w:jc w:val="center"/>
              <w:rPr>
                <w:szCs w:val="21"/>
              </w:rPr>
            </w:pPr>
            <w:r>
              <w:rPr>
                <w:szCs w:val="21"/>
              </w:rPr>
              <w:t>1</w:t>
            </w:r>
            <w:r>
              <w:rPr>
                <w:bCs/>
                <w:szCs w:val="21"/>
              </w:rPr>
              <w:t xml:space="preserve"> </w:t>
            </w:r>
            <w:r>
              <w:rPr>
                <w:szCs w:val="21"/>
              </w:rPr>
              <w:t>; 1周</w:t>
            </w:r>
          </w:p>
        </w:tc>
        <w:tc>
          <w:tcPr>
            <w:tcW w:w="1149" w:type="dxa"/>
            <w:vAlign w:val="center"/>
          </w:tcPr>
          <w:p>
            <w:pPr>
              <w:jc w:val="center"/>
              <w:rPr>
                <w:szCs w:val="21"/>
                <w:highlight w:val="yellow"/>
              </w:rPr>
            </w:pPr>
            <w:r>
              <w:rPr>
                <w:szCs w:val="21"/>
              </w:rPr>
              <w:t>任课教师</w:t>
            </w:r>
          </w:p>
        </w:tc>
        <w:tc>
          <w:tcPr>
            <w:tcW w:w="2820" w:type="dxa"/>
            <w:vAlign w:val="center"/>
          </w:tcPr>
          <w:p>
            <w:pPr>
              <w:jc w:val="center"/>
              <w:rPr>
                <w:szCs w:val="21"/>
                <w:highlight w:val="yellow"/>
              </w:rPr>
            </w:pPr>
            <w:r>
              <w:rPr>
                <w:szCs w:val="21"/>
              </w:rPr>
              <w:t>郭晓云，刘畅，李小立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6" w:type="dxa"/>
            <w:vAlign w:val="center"/>
          </w:tcPr>
          <w:p>
            <w:pPr>
              <w:jc w:val="center"/>
              <w:rPr>
                <w:bCs/>
                <w:szCs w:val="21"/>
              </w:rPr>
            </w:pPr>
            <w:r>
              <w:rPr>
                <w:bCs/>
                <w:szCs w:val="21"/>
              </w:rPr>
              <w:t>企业专家</w:t>
            </w:r>
          </w:p>
        </w:tc>
        <w:tc>
          <w:tcPr>
            <w:tcW w:w="2977" w:type="dxa"/>
            <w:vAlign w:val="center"/>
          </w:tcPr>
          <w:p>
            <w:pPr>
              <w:widowControl/>
              <w:jc w:val="center"/>
              <w:rPr>
                <w:szCs w:val="21"/>
              </w:rPr>
            </w:pPr>
            <w:r>
              <w:rPr>
                <w:szCs w:val="21"/>
              </w:rPr>
              <w:t>曾耿滨</w:t>
            </w:r>
          </w:p>
        </w:tc>
        <w:tc>
          <w:tcPr>
            <w:tcW w:w="1149" w:type="dxa"/>
            <w:vAlign w:val="center"/>
          </w:tcPr>
          <w:p>
            <w:pPr>
              <w:jc w:val="center"/>
              <w:rPr>
                <w:bCs/>
                <w:szCs w:val="21"/>
              </w:rPr>
            </w:pPr>
            <w:r>
              <w:rPr>
                <w:bCs/>
                <w:szCs w:val="21"/>
              </w:rPr>
              <w:t>行业专家</w:t>
            </w:r>
          </w:p>
        </w:tc>
        <w:tc>
          <w:tcPr>
            <w:tcW w:w="2820" w:type="dxa"/>
            <w:vAlign w:val="center"/>
          </w:tcPr>
          <w:p>
            <w:pPr>
              <w:widowControl/>
              <w:jc w:val="center"/>
              <w:rPr>
                <w:szCs w:val="21"/>
              </w:rPr>
            </w:pPr>
            <w:r>
              <w:rPr>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76" w:type="dxa"/>
            <w:vAlign w:val="center"/>
          </w:tcPr>
          <w:p>
            <w:pPr>
              <w:widowControl/>
              <w:jc w:val="center"/>
              <w:rPr>
                <w:bCs/>
                <w:szCs w:val="21"/>
              </w:rPr>
            </w:pPr>
            <w:r>
              <w:rPr>
                <w:bCs/>
                <w:szCs w:val="21"/>
              </w:rPr>
              <w:t>执笔教师</w:t>
            </w:r>
          </w:p>
        </w:tc>
        <w:tc>
          <w:tcPr>
            <w:tcW w:w="2977" w:type="dxa"/>
            <w:vAlign w:val="center"/>
          </w:tcPr>
          <w:p>
            <w:pPr>
              <w:widowControl/>
              <w:jc w:val="center"/>
              <w:rPr>
                <w:szCs w:val="21"/>
              </w:rPr>
            </w:pPr>
            <w:r>
              <w:rPr>
                <w:szCs w:val="21"/>
              </w:rPr>
              <w:t>郭晓云</w:t>
            </w:r>
          </w:p>
        </w:tc>
        <w:tc>
          <w:tcPr>
            <w:tcW w:w="1149" w:type="dxa"/>
            <w:vAlign w:val="center"/>
          </w:tcPr>
          <w:p>
            <w:pPr>
              <w:widowControl/>
              <w:jc w:val="center"/>
              <w:rPr>
                <w:bCs/>
                <w:szCs w:val="21"/>
              </w:rPr>
            </w:pPr>
            <w:r>
              <w:rPr>
                <w:bCs/>
                <w:szCs w:val="21"/>
              </w:rPr>
              <w:t>责任教授</w:t>
            </w:r>
          </w:p>
        </w:tc>
        <w:tc>
          <w:tcPr>
            <w:tcW w:w="2820" w:type="dxa"/>
            <w:vAlign w:val="center"/>
          </w:tcPr>
          <w:p>
            <w:pPr>
              <w:widowControl/>
              <w:jc w:val="center"/>
              <w:rPr>
                <w:szCs w:val="21"/>
              </w:rPr>
            </w:pPr>
            <w:r>
              <w:rPr>
                <w:szCs w:val="21"/>
              </w:rPr>
              <w:t>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76" w:type="dxa"/>
            <w:vAlign w:val="center"/>
          </w:tcPr>
          <w:p>
            <w:pPr>
              <w:widowControl/>
              <w:jc w:val="center"/>
              <w:rPr>
                <w:bCs/>
                <w:szCs w:val="21"/>
              </w:rPr>
            </w:pPr>
            <w:r>
              <w:rPr>
                <w:bCs/>
                <w:szCs w:val="21"/>
              </w:rPr>
              <w:t>适用专业</w:t>
            </w:r>
          </w:p>
        </w:tc>
        <w:tc>
          <w:tcPr>
            <w:tcW w:w="2977" w:type="dxa"/>
            <w:vAlign w:val="center"/>
          </w:tcPr>
          <w:p>
            <w:pPr>
              <w:widowControl/>
              <w:jc w:val="center"/>
              <w:rPr>
                <w:szCs w:val="21"/>
              </w:rPr>
            </w:pPr>
            <w:r>
              <w:rPr>
                <w:szCs w:val="21"/>
              </w:rPr>
              <w:t>电子信息工程</w:t>
            </w:r>
          </w:p>
        </w:tc>
        <w:tc>
          <w:tcPr>
            <w:tcW w:w="1149" w:type="dxa"/>
            <w:vAlign w:val="center"/>
          </w:tcPr>
          <w:p>
            <w:pPr>
              <w:widowControl/>
              <w:jc w:val="center"/>
              <w:rPr>
                <w:bCs/>
                <w:szCs w:val="21"/>
              </w:rPr>
            </w:pPr>
            <w:r>
              <w:rPr>
                <w:bCs/>
                <w:szCs w:val="21"/>
              </w:rPr>
              <w:t>适用对象</w:t>
            </w:r>
          </w:p>
        </w:tc>
        <w:tc>
          <w:tcPr>
            <w:tcW w:w="2820" w:type="dxa"/>
            <w:vAlign w:val="center"/>
          </w:tcPr>
          <w:p>
            <w:pPr>
              <w:widowControl/>
              <w:jc w:val="center"/>
              <w:rPr>
                <w:szCs w:val="21"/>
              </w:rPr>
            </w:pPr>
            <w:r>
              <w:rPr>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6" w:type="dxa"/>
            <w:vAlign w:val="center"/>
          </w:tcPr>
          <w:p>
            <w:pPr>
              <w:jc w:val="center"/>
              <w:rPr>
                <w:b/>
                <w:szCs w:val="21"/>
              </w:rPr>
            </w:pPr>
            <w:r>
              <w:rPr>
                <w:szCs w:val="21"/>
              </w:rPr>
              <w:t>先修课程</w:t>
            </w:r>
          </w:p>
        </w:tc>
        <w:tc>
          <w:tcPr>
            <w:tcW w:w="2977" w:type="dxa"/>
            <w:vAlign w:val="center"/>
          </w:tcPr>
          <w:p>
            <w:pPr>
              <w:widowControl/>
              <w:jc w:val="center"/>
              <w:rPr>
                <w:szCs w:val="21"/>
              </w:rPr>
            </w:pPr>
            <w:r>
              <w:rPr>
                <w:szCs w:val="21"/>
              </w:rPr>
              <w:t>FPGA与硬件描述语言</w:t>
            </w:r>
          </w:p>
          <w:p>
            <w:pPr>
              <w:widowControl/>
              <w:jc w:val="center"/>
              <w:rPr>
                <w:bCs/>
                <w:szCs w:val="21"/>
              </w:rPr>
            </w:pPr>
            <w:r>
              <w:rPr>
                <w:szCs w:val="21"/>
              </w:rPr>
              <w:t>DSP技术与应用</w:t>
            </w:r>
          </w:p>
        </w:tc>
        <w:tc>
          <w:tcPr>
            <w:tcW w:w="1149" w:type="dxa"/>
            <w:vAlign w:val="center"/>
          </w:tcPr>
          <w:p>
            <w:pPr>
              <w:snapToGrid w:val="0"/>
              <w:spacing w:line="300" w:lineRule="auto"/>
              <w:jc w:val="center"/>
              <w:rPr>
                <w:b/>
                <w:szCs w:val="21"/>
              </w:rPr>
            </w:pPr>
            <w:r>
              <w:rPr>
                <w:szCs w:val="21"/>
              </w:rPr>
              <w:t>同修课程</w:t>
            </w:r>
          </w:p>
        </w:tc>
        <w:tc>
          <w:tcPr>
            <w:tcW w:w="2820" w:type="dxa"/>
            <w:vAlign w:val="center"/>
          </w:tcPr>
          <w:p>
            <w:pPr>
              <w:widowControl/>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6" w:type="dxa"/>
            <w:vAlign w:val="center"/>
          </w:tcPr>
          <w:p>
            <w:pPr>
              <w:jc w:val="center"/>
              <w:rPr>
                <w:szCs w:val="21"/>
              </w:rPr>
            </w:pPr>
            <w:r>
              <w:rPr>
                <w:szCs w:val="21"/>
              </w:rPr>
              <w:t>排斥课程</w:t>
            </w:r>
          </w:p>
        </w:tc>
        <w:tc>
          <w:tcPr>
            <w:tcW w:w="2977" w:type="dxa"/>
            <w:vAlign w:val="center"/>
          </w:tcPr>
          <w:p>
            <w:pPr>
              <w:widowControl/>
              <w:jc w:val="center"/>
              <w:rPr>
                <w:szCs w:val="21"/>
              </w:rPr>
            </w:pPr>
            <w:r>
              <w:rPr>
                <w:szCs w:val="21"/>
              </w:rPr>
              <w:t>无</w:t>
            </w:r>
          </w:p>
        </w:tc>
        <w:tc>
          <w:tcPr>
            <w:tcW w:w="1149" w:type="dxa"/>
            <w:vAlign w:val="center"/>
          </w:tcPr>
          <w:p>
            <w:pPr>
              <w:snapToGrid w:val="0"/>
              <w:spacing w:line="300" w:lineRule="auto"/>
              <w:jc w:val="center"/>
              <w:rPr>
                <w:szCs w:val="21"/>
              </w:rPr>
            </w:pPr>
            <w:r>
              <w:rPr>
                <w:szCs w:val="21"/>
              </w:rPr>
              <w:t>定稿日期</w:t>
            </w:r>
          </w:p>
        </w:tc>
        <w:tc>
          <w:tcPr>
            <w:tcW w:w="2820" w:type="dxa"/>
            <w:vAlign w:val="center"/>
          </w:tcPr>
          <w:p>
            <w:pPr>
              <w:widowControl/>
              <w:jc w:val="center"/>
              <w:rPr>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b/>
          <w:sz w:val="24"/>
        </w:rPr>
      </w:pPr>
      <w:r>
        <w:rPr>
          <w:szCs w:val="21"/>
        </w:rPr>
        <w:t>《FPGA与DSP实习》是针对大学三年级本科生的专业综合实践课，适用于电子与信息工程学院的电子信息工程，是针对先修的《FPGA与硬件描述语言》与《DSP技术与应用》这两门课程的后续实践训练课程。其教学目的：通过FPGA与DSP开发平台的基本编程技能训练、以及小型综合项目程序开发培养学生的编程实践能力。其主要实习要求：在指定的地点集中进行，由指导老师辅导，帮助学生通过团队协作完成一个完整的硬件产品开发项目。作为一门实践课程，在项目实践过程中，逐步培养团队意识，学习如何在网上收集资料,掌握电子系统设计的硬件测试与系统调试技术，熟悉项目的需求分析、总体设计、详细设计、模块实现等具体环节，培养学生的实践动手能力。</w:t>
      </w:r>
    </w:p>
    <w:p>
      <w:pPr>
        <w:snapToGrid w:val="0"/>
        <w:spacing w:before="159" w:beforeLines="50" w:after="159" w:afterLines="50" w:line="300" w:lineRule="auto"/>
        <w:rPr>
          <w:b/>
          <w:sz w:val="24"/>
        </w:rPr>
      </w:pPr>
      <w:r>
        <w:rPr>
          <w:b/>
          <w:sz w:val="24"/>
        </w:rPr>
        <w:t>二、课程教学目标</w:t>
      </w:r>
    </w:p>
    <w:p>
      <w:pPr>
        <w:snapToGrid w:val="0"/>
        <w:spacing w:line="300" w:lineRule="auto"/>
        <w:ind w:firstLine="420" w:firstLineChars="200"/>
        <w:rPr>
          <w:szCs w:val="21"/>
        </w:rPr>
      </w:pPr>
      <w:r>
        <w:rPr>
          <w:szCs w:val="21"/>
        </w:rPr>
        <w:t>《FPGA与DSP实习》以培养学生应用问题分析能力以及运用硬件开发平台、嵌入式编程语言以及硬件描述语言解决问题的能力为目的，综合应用先修课程《FPGA与硬件描述语言》和《DSP技术与应用》学习的VHDL语言知识、FPGA平台与DSP平台的使用技能等，针对实际问题，分析需求，编写应用程序，运用IDE软件进行软件调试与仿真，下载到FPGA平台或者DSP平台进行硬件实时数据调试与功能测试，帮助学生初步掌握FPGA与DSP平台的软件编程与硬件开发的基本知识与技能，并将其用于实际问题的分析与解决过程，培养学生的资料检索、需求分析、系统设计、代码编写、软件与硬件调试、以及项目文档书写等实践能力。在实习过程中不断强调FPGA与DSP实践在硬件开发学习中的重要性、项目管理思想对硬件开发实践的重要指导意义、以及团队合作对项目开发的重要性，大力培养学生的模块设计能力、项目管理思维、以及团队合作意识，为培养符合我国硬件研发行业需求的优秀人才奠定基础。本课程的具体教学目标如下：</w:t>
      </w:r>
    </w:p>
    <w:p>
      <w:pPr>
        <w:snapToGrid w:val="0"/>
        <w:spacing w:line="300" w:lineRule="auto"/>
        <w:ind w:firstLine="420" w:firstLineChars="200"/>
        <w:rPr>
          <w:szCs w:val="21"/>
        </w:rPr>
      </w:pPr>
      <w:r>
        <w:rPr>
          <w:szCs w:val="21"/>
        </w:rPr>
        <w:t>1．针对</w:t>
      </w:r>
      <w:r>
        <w:rPr>
          <w:rFonts w:hint="eastAsia"/>
          <w:szCs w:val="21"/>
        </w:rPr>
        <w:t>电子信息</w:t>
      </w:r>
      <w:r>
        <w:rPr>
          <w:szCs w:val="21"/>
        </w:rPr>
        <w:t>领域复杂工程问题设计出解决方案与满足特定需求的系统</w:t>
      </w:r>
      <w:r>
        <w:rPr>
          <w:rFonts w:hint="eastAsia"/>
          <w:szCs w:val="21"/>
        </w:rPr>
        <w:t>、</w:t>
      </w:r>
      <w:r>
        <w:rPr>
          <w:szCs w:val="21"/>
        </w:rPr>
        <w:t>单元电路</w:t>
      </w:r>
      <w:r>
        <w:rPr>
          <w:rFonts w:hint="eastAsia"/>
          <w:szCs w:val="21"/>
        </w:rPr>
        <w:t>或工艺流程</w:t>
      </w:r>
      <w:r>
        <w:rPr>
          <w:szCs w:val="21"/>
        </w:rPr>
        <w:t>，并能够在设计环节中体现创新意识，考虑社会、健康、安全、法律、文化以及环境等因素</w:t>
      </w:r>
      <w:r>
        <w:rPr>
          <w:rFonts w:hint="eastAsia"/>
          <w:szCs w:val="21"/>
        </w:rPr>
        <w:t>，能够</w:t>
      </w:r>
      <w:r>
        <w:rPr>
          <w:szCs w:val="21"/>
        </w:rPr>
        <w:t>在设计中综合利用电子信息工程的专业知识和新技术，体现创新意识。</w:t>
      </w:r>
    </w:p>
    <w:p>
      <w:pPr>
        <w:snapToGrid w:val="0"/>
        <w:spacing w:line="300" w:lineRule="auto"/>
        <w:ind w:firstLine="420" w:firstLineChars="200"/>
        <w:rPr>
          <w:szCs w:val="21"/>
        </w:rPr>
      </w:pPr>
      <w:r>
        <w:rPr>
          <w:rFonts w:hint="eastAsia"/>
          <w:szCs w:val="21"/>
        </w:rPr>
        <w:t>在</w:t>
      </w:r>
      <w:r>
        <w:rPr>
          <w:szCs w:val="21"/>
        </w:rPr>
        <w:t>FPGA与DSP复杂系统开发的各个环节（①需求分析；②概要设计；③详细设计；④代码实现；⑤基于IDE软件的调试；⑥功能模块的单元测试；⑦项目的系统测试；⑧项目文档撰写</w:t>
      </w:r>
      <w:r>
        <w:rPr>
          <w:rFonts w:hint="eastAsia"/>
          <w:szCs w:val="21"/>
        </w:rPr>
        <w:t>），</w:t>
      </w:r>
      <w:r>
        <w:rPr>
          <w:szCs w:val="21"/>
        </w:rPr>
        <w:t>以科学的项目工程管理思路开展设计流程：①首先，问题思维转换，即先考虑如何通过数学模型、通用协议或者现有解决方案的集成解决现实问题，然后再考虑如何实施软件设计；②接着，架构设计，即采用自顶向下思维设计功能模块架构树状图，并定义文件引用关系；③然后，数据结构设计，即定义变量、各模块接口、以及交换数据的结构；④再者，模块设计，即绘制模块的流程图、结构图或者书写伪程序代码；⑤最终，采用开发语言的编码技能完成代码编写、注释以及文档。</w:t>
      </w:r>
    </w:p>
    <w:p>
      <w:pPr>
        <w:snapToGrid w:val="0"/>
        <w:spacing w:line="300" w:lineRule="auto"/>
        <w:ind w:firstLine="420" w:firstLineChars="200"/>
        <w:rPr>
          <w:szCs w:val="21"/>
        </w:rPr>
      </w:pPr>
      <w:r>
        <w:rPr>
          <w:szCs w:val="21"/>
        </w:rPr>
        <w:t>熟练使用V</w:t>
      </w:r>
      <w:r>
        <w:rPr>
          <w:rFonts w:hint="eastAsia"/>
          <w:szCs w:val="21"/>
        </w:rPr>
        <w:t>erilog</w:t>
      </w:r>
      <w:r>
        <w:rPr>
          <w:szCs w:val="21"/>
        </w:rPr>
        <w:t>语言，理解目标器件FPGA和CPLD平台的结构原理；熟练使用DSP的指令系统，理解目标器件TI公司DSP平台的结构原理。TI公司DSP开发板的IDE工具是CCS集成开发环境。Alter公司FPGA开发板的IDE工具是Quartus软件。训练FPGA与DSP硬件平台的IDE软件的一系列辅助设计功能，例如：①语法检测与代码编译；②软件仿真测试;③开发板芯片适配与外部接口引脚配置；④基于“探针”读取芯片内部数据的硬件测试。[</w:t>
      </w:r>
      <w:r>
        <w:rPr>
          <w:rFonts w:hint="eastAsia"/>
          <w:szCs w:val="21"/>
        </w:rPr>
        <w:t>3.2</w:t>
      </w:r>
      <w:r>
        <w:rPr>
          <w:szCs w:val="21"/>
        </w:rPr>
        <w:t>]</w:t>
      </w:r>
    </w:p>
    <w:p>
      <w:pPr>
        <w:snapToGrid w:val="0"/>
        <w:spacing w:line="300" w:lineRule="auto"/>
        <w:ind w:firstLine="420" w:firstLineChars="200"/>
        <w:rPr>
          <w:szCs w:val="21"/>
        </w:rPr>
      </w:pPr>
      <w:r>
        <w:rPr>
          <w:rFonts w:hint="eastAsia"/>
          <w:szCs w:val="21"/>
        </w:rPr>
        <w:t>2</w:t>
      </w:r>
      <w:r>
        <w:rPr>
          <w:szCs w:val="21"/>
        </w:rPr>
        <w:t>．硬件项目开发过程沟通协调能力目标：具有良好的口头和书面表达能力，能够就硬件项目问题跟项目需求方与内部开发团队进行有序且有效的沟通交流。</w:t>
      </w:r>
    </w:p>
    <w:p>
      <w:pPr>
        <w:snapToGrid w:val="0"/>
        <w:spacing w:line="300" w:lineRule="auto"/>
        <w:ind w:firstLine="420" w:firstLineChars="200"/>
        <w:rPr>
          <w:szCs w:val="21"/>
        </w:rPr>
      </w:pPr>
      <w:r>
        <w:rPr>
          <w:szCs w:val="21"/>
        </w:rPr>
        <w:t>在项目实施的各个环节有序开展一系列有效沟通以及书面记录存档，例如：①首先，在需求分析环节，能够通过问卷调查、业务座谈、业务过程图绘制以及需求文档规范等沟通方式实现有效需求分析；②其次，在系统设计环节，能够组织项目开发专家级人员进行座谈以及绘制思维导图，实现从需求到设计的思维转换，即先考虑如何通过数学模型、通用协议或者现有解决方案的集成解决现实问题，然后再考虑如何实施软件设计；②接着，在架构设计环节，能够即采用自顶向下思维组织开发人员以座谈与文档的方式完成功能模块架构树状图的设计，并定义文件引用关系；③然后，在数据结构设计环节，组织开发人员提交各模块接口文档，然后由顶层设计专家完成全局变量与模块交换数据的定义；④再者，在模块设计环节，制定模块的流程图绘制或者伪程序代码书写的规范，以及组织会议开展阶段性项目成果管理；⑤最终，制定代码的书写规范文档、调试日志文档规范以及测试计划文档规范，并依据上述规范完成代码编写、注释、调试、测试以及存档。[10</w:t>
      </w:r>
      <w:r>
        <w:rPr>
          <w:rFonts w:hint="eastAsia"/>
          <w:szCs w:val="21"/>
        </w:rPr>
        <w:t>.</w:t>
      </w:r>
      <w:r>
        <w:rPr>
          <w:szCs w:val="21"/>
        </w:rPr>
        <w:t>1]</w:t>
      </w:r>
    </w:p>
    <w:p>
      <w:pPr>
        <w:snapToGrid w:val="0"/>
        <w:spacing w:line="300" w:lineRule="auto"/>
        <w:ind w:firstLine="420" w:firstLineChars="200"/>
        <w:rPr>
          <w:b/>
          <w:kern w:val="0"/>
          <w:sz w:val="18"/>
          <w:szCs w:val="18"/>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kern w:val="0"/>
          <w:sz w:val="18"/>
          <w:szCs w:val="18"/>
        </w:rPr>
      </w:pPr>
      <w:r>
        <w:rPr>
          <w:b/>
          <w:kern w:val="0"/>
          <w:sz w:val="18"/>
          <w:szCs w:val="18"/>
        </w:rPr>
        <w:t>表1专业毕业要求指标点与课程目标的对应关系</w:t>
      </w:r>
    </w:p>
    <w:tbl>
      <w:tblPr>
        <w:tblStyle w:val="22"/>
        <w:tblW w:w="8678" w:type="dxa"/>
        <w:jc w:val="center"/>
        <w:shd w:val="clear" w:color="auto" w:fill="FEFEFF"/>
        <w:tblLayout w:type="fixed"/>
        <w:tblCellMar>
          <w:top w:w="0" w:type="dxa"/>
          <w:left w:w="0" w:type="dxa"/>
          <w:bottom w:w="0" w:type="dxa"/>
          <w:right w:w="0" w:type="dxa"/>
        </w:tblCellMar>
      </w:tblPr>
      <w:tblGrid>
        <w:gridCol w:w="1632"/>
        <w:gridCol w:w="5866"/>
        <w:gridCol w:w="618"/>
        <w:gridCol w:w="562"/>
      </w:tblGrid>
      <w:tr>
        <w:tblPrEx>
          <w:shd w:val="clear" w:color="auto" w:fill="FEFEFF"/>
          <w:tblCellMar>
            <w:top w:w="0" w:type="dxa"/>
            <w:left w:w="0" w:type="dxa"/>
            <w:bottom w:w="0" w:type="dxa"/>
            <w:right w:w="0" w:type="dxa"/>
          </w:tblCellMar>
        </w:tblPrEx>
        <w:trPr>
          <w:trHeight w:val="451" w:hRule="atLeast"/>
          <w:jc w:val="center"/>
        </w:trPr>
        <w:tc>
          <w:tcPr>
            <w:tcW w:w="1632"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snapToGrid w:val="0"/>
              <w:spacing w:line="300" w:lineRule="auto"/>
              <w:jc w:val="center"/>
              <w:rPr>
                <w:b/>
                <w:bCs/>
                <w:kern w:val="0"/>
                <w:sz w:val="18"/>
                <w:lang w:val="zh-CN" w:bidi="zh-CN"/>
              </w:rPr>
            </w:pPr>
            <w:r>
              <w:rPr>
                <w:b/>
                <w:bCs/>
                <w:sz w:val="18"/>
                <w:szCs w:val="18"/>
              </w:rPr>
              <w:t>毕业要求</w:t>
            </w:r>
          </w:p>
        </w:tc>
        <w:tc>
          <w:tcPr>
            <w:tcW w:w="5866"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snapToGrid w:val="0"/>
              <w:spacing w:line="300" w:lineRule="auto"/>
              <w:jc w:val="center"/>
              <w:rPr>
                <w:b/>
                <w:bCs/>
                <w:kern w:val="0"/>
                <w:sz w:val="18"/>
                <w:lang w:val="zh-CN" w:bidi="zh-CN"/>
              </w:rPr>
            </w:pPr>
            <w:r>
              <w:rPr>
                <w:b/>
                <w:bCs/>
                <w:sz w:val="18"/>
                <w:szCs w:val="18"/>
              </w:rPr>
              <w:t>毕业要求指标点</w:t>
            </w:r>
          </w:p>
        </w:tc>
        <w:tc>
          <w:tcPr>
            <w:tcW w:w="618"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snapToGrid w:val="0"/>
              <w:spacing w:line="300" w:lineRule="auto"/>
              <w:jc w:val="center"/>
              <w:rPr>
                <w:b/>
                <w:bCs/>
                <w:kern w:val="0"/>
                <w:sz w:val="18"/>
                <w:lang w:val="zh-CN" w:bidi="zh-CN"/>
              </w:rPr>
            </w:pPr>
            <w:r>
              <w:rPr>
                <w:b/>
                <w:bCs/>
                <w:sz w:val="18"/>
                <w:szCs w:val="18"/>
              </w:rPr>
              <w:t>课程目标</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00" w:lineRule="auto"/>
              <w:jc w:val="center"/>
              <w:rPr>
                <w:b/>
                <w:bCs/>
                <w:kern w:val="0"/>
                <w:sz w:val="18"/>
                <w:lang w:val="zh-CN" w:bidi="zh-CN"/>
              </w:rPr>
            </w:pPr>
            <w:r>
              <w:rPr>
                <w:b/>
                <w:bCs/>
                <w:sz w:val="18"/>
                <w:szCs w:val="18"/>
              </w:rPr>
              <w:t>权重</w:t>
            </w:r>
          </w:p>
        </w:tc>
      </w:tr>
      <w:tr>
        <w:tblPrEx>
          <w:shd w:val="clear" w:color="auto" w:fill="FEFEFF"/>
          <w:tblCellMar>
            <w:top w:w="0" w:type="dxa"/>
            <w:left w:w="0" w:type="dxa"/>
            <w:bottom w:w="0" w:type="dxa"/>
            <w:right w:w="0" w:type="dxa"/>
          </w:tblCellMar>
        </w:tblPrEx>
        <w:trPr>
          <w:jc w:val="center"/>
        </w:trPr>
        <w:tc>
          <w:tcPr>
            <w:tcW w:w="1632"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rFonts w:hint="eastAsia"/>
                <w:sz w:val="18"/>
                <w:szCs w:val="18"/>
              </w:rPr>
              <w:t>3</w:t>
            </w:r>
            <w:r>
              <w:rPr>
                <w:sz w:val="18"/>
                <w:szCs w:val="18"/>
              </w:rPr>
              <w:t>．</w:t>
            </w:r>
            <w:r>
              <w:rPr>
                <w:rFonts w:hint="eastAsia"/>
                <w:sz w:val="18"/>
                <w:szCs w:val="18"/>
              </w:rPr>
              <w:t>设计/开发解决方案</w:t>
            </w:r>
          </w:p>
        </w:tc>
        <w:tc>
          <w:tcPr>
            <w:tcW w:w="5866"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snapToGrid w:val="0"/>
              <w:spacing w:line="300" w:lineRule="auto"/>
              <w:rPr>
                <w:sz w:val="18"/>
                <w:szCs w:val="18"/>
              </w:rPr>
            </w:pPr>
            <w:r>
              <w:rPr>
                <w:rFonts w:hint="eastAsia"/>
                <w:sz w:val="18"/>
                <w:szCs w:val="18"/>
              </w:rPr>
              <w:t>3.</w:t>
            </w:r>
            <w:r>
              <w:rPr>
                <w:sz w:val="18"/>
                <w:szCs w:val="18"/>
              </w:rPr>
              <w:t>2</w:t>
            </w:r>
            <w:r>
              <w:rPr>
                <w:rFonts w:hint="eastAsia"/>
                <w:sz w:val="18"/>
                <w:szCs w:val="18"/>
              </w:rPr>
              <w:t>能够在设计中综合利用电子信息工程的专业知识和新技术，体现创新意识</w:t>
            </w:r>
            <w:r>
              <w:rPr>
                <w:sz w:val="18"/>
                <w:szCs w:val="18"/>
              </w:rPr>
              <w:t>。</w:t>
            </w:r>
          </w:p>
        </w:tc>
        <w:tc>
          <w:tcPr>
            <w:tcW w:w="618" w:type="dxa"/>
            <w:tcBorders>
              <w:top w:val="single" w:color="auto" w:sz="4" w:space="0"/>
              <w:left w:val="single" w:color="auto" w:sz="4" w:space="0"/>
              <w:bottom w:val="single" w:color="auto" w:sz="4" w:space="0"/>
              <w:right w:val="single" w:color="auto" w:sz="4" w:space="0"/>
            </w:tcBorders>
            <w:shd w:val="clear" w:color="auto" w:fill="FEFEFF"/>
            <w:tcMar>
              <w:top w:w="30" w:type="dxa"/>
              <w:left w:w="60" w:type="dxa"/>
              <w:bottom w:w="30" w:type="dxa"/>
              <w:right w:w="60" w:type="dxa"/>
            </w:tcMar>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1</w:t>
            </w:r>
          </w:p>
        </w:tc>
        <w:tc>
          <w:tcPr>
            <w:tcW w:w="562" w:type="dxa"/>
            <w:tcBorders>
              <w:top w:val="single" w:color="auto" w:sz="4" w:space="0"/>
              <w:left w:val="single" w:color="auto" w:sz="4" w:space="0"/>
              <w:bottom w:val="single" w:color="auto" w:sz="4" w:space="0"/>
              <w:right w:val="single" w:color="auto" w:sz="4" w:space="0"/>
            </w:tcBorders>
            <w:shd w:val="clear" w:color="auto" w:fill="FEFEFF"/>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0.8</w:t>
            </w:r>
          </w:p>
        </w:tc>
      </w:tr>
      <w:tr>
        <w:tblPrEx>
          <w:shd w:val="clear" w:color="auto" w:fill="FEFEFF"/>
          <w:tblCellMar>
            <w:top w:w="0" w:type="dxa"/>
            <w:left w:w="0" w:type="dxa"/>
            <w:bottom w:w="0" w:type="dxa"/>
            <w:right w:w="0" w:type="dxa"/>
          </w:tblCellMar>
        </w:tblPrEx>
        <w:trPr>
          <w:trHeight w:val="809" w:hRule="atLeast"/>
          <w:jc w:val="center"/>
        </w:trPr>
        <w:tc>
          <w:tcPr>
            <w:tcW w:w="1632"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snapToGrid w:val="0"/>
              <w:spacing w:line="300" w:lineRule="auto"/>
              <w:rPr>
                <w:sz w:val="18"/>
                <w:szCs w:val="18"/>
              </w:rPr>
            </w:pPr>
            <w:r>
              <w:rPr>
                <w:sz w:val="18"/>
                <w:szCs w:val="18"/>
              </w:rPr>
              <w:t>10．沟通</w:t>
            </w:r>
          </w:p>
        </w:tc>
        <w:tc>
          <w:tcPr>
            <w:tcW w:w="5866"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snapToGrid w:val="0"/>
              <w:spacing w:line="300" w:lineRule="auto"/>
              <w:rPr>
                <w:sz w:val="18"/>
                <w:szCs w:val="18"/>
              </w:rPr>
            </w:pPr>
            <w:r>
              <w:rPr>
                <w:sz w:val="18"/>
                <w:szCs w:val="18"/>
              </w:rPr>
              <w:t>10</w:t>
            </w:r>
            <w:r>
              <w:rPr>
                <w:rFonts w:hint="eastAsia"/>
                <w:sz w:val="18"/>
                <w:szCs w:val="18"/>
              </w:rPr>
              <w:t>.</w:t>
            </w:r>
            <w:r>
              <w:rPr>
                <w:sz w:val="18"/>
                <w:szCs w:val="18"/>
              </w:rPr>
              <w:t>1</w:t>
            </w:r>
            <w:r>
              <w:rPr>
                <w:rFonts w:hint="eastAsia"/>
                <w:sz w:val="18"/>
                <w:szCs w:val="18"/>
              </w:rPr>
              <w:t>具有良好的口头和书面表达能力，能够撰写复杂工程问题的设计方案与报告并就电子信息（含海洋电子信息）领域的专业问题跟业界同行及社会公众进行沟通交流，准确表达观点、回应质疑</w:t>
            </w:r>
            <w:r>
              <w:rPr>
                <w:sz w:val="18"/>
                <w:szCs w:val="18"/>
              </w:rPr>
              <w:t>。</w:t>
            </w:r>
          </w:p>
        </w:tc>
        <w:tc>
          <w:tcPr>
            <w:tcW w:w="618" w:type="dxa"/>
            <w:tcBorders>
              <w:top w:val="single" w:color="auto" w:sz="4" w:space="0"/>
              <w:left w:val="single" w:color="auto" w:sz="4" w:space="0"/>
              <w:bottom w:val="single" w:color="auto" w:sz="4" w:space="0"/>
              <w:right w:val="single" w:color="auto" w:sz="4" w:space="0"/>
            </w:tcBorders>
            <w:shd w:val="clear" w:color="auto" w:fill="auto"/>
            <w:tcMar>
              <w:top w:w="30" w:type="dxa"/>
              <w:left w:w="60" w:type="dxa"/>
              <w:bottom w:w="30" w:type="dxa"/>
              <w:right w:w="60" w:type="dxa"/>
            </w:tcMar>
            <w:vAlign w:val="center"/>
          </w:tcPr>
          <w:p>
            <w:pPr>
              <w:widowControl/>
              <w:tabs>
                <w:tab w:val="left" w:pos="426"/>
                <w:tab w:val="left" w:pos="5245"/>
                <w:tab w:val="left" w:pos="5387"/>
              </w:tabs>
              <w:spacing w:line="300" w:lineRule="auto"/>
              <w:jc w:val="center"/>
              <w:rPr>
                <w:bCs/>
                <w:kern w:val="0"/>
                <w:sz w:val="18"/>
                <w:szCs w:val="18"/>
              </w:rPr>
            </w:pPr>
            <w:r>
              <w:rPr>
                <w:rFonts w:hint="eastAsia"/>
                <w:bCs/>
                <w:kern w:val="0"/>
                <w:sz w:val="18"/>
                <w:szCs w:val="18"/>
              </w:rPr>
              <w:t>2</w:t>
            </w:r>
          </w:p>
        </w:tc>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426"/>
                <w:tab w:val="left" w:pos="5245"/>
                <w:tab w:val="left" w:pos="5387"/>
              </w:tabs>
              <w:spacing w:line="300" w:lineRule="auto"/>
              <w:jc w:val="center"/>
              <w:rPr>
                <w:bCs/>
                <w:kern w:val="0"/>
                <w:sz w:val="18"/>
                <w:szCs w:val="18"/>
              </w:rPr>
            </w:pPr>
            <w:r>
              <w:rPr>
                <w:bCs/>
                <w:kern w:val="0"/>
                <w:sz w:val="18"/>
                <w:szCs w:val="18"/>
              </w:rPr>
              <w:t>0.2</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表2教学目标达成途径</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8"/>
        <w:gridCol w:w="1038"/>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0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03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shd w:val="clear" w:color="auto" w:fill="FEFEFF"/>
              </w:rPr>
            </w:pPr>
            <w:r>
              <w:rPr>
                <w:sz w:val="18"/>
                <w:szCs w:val="18"/>
                <w:shd w:val="clear" w:color="auto" w:fill="FEFEFF"/>
              </w:rPr>
              <w:t>1．</w:t>
            </w:r>
            <w:r>
              <w:rPr>
                <w:rFonts w:hint="eastAsia"/>
                <w:sz w:val="18"/>
                <w:szCs w:val="18"/>
                <w:shd w:val="clear" w:color="auto" w:fill="FEFEFF"/>
              </w:rPr>
              <w:t>针对电子信息领域复杂工程问题设计出解决方案与满足特定需求的系统、单元电路或工艺流程，并能够在设计环节中体现创新意识，考虑社会、健康、安全、法律、文化以及环境等因素，能够在设计中综合利用电子信息工程的专业知识和新技术，体现创新意识。</w:t>
            </w:r>
          </w:p>
          <w:p>
            <w:pPr>
              <w:adjustRightInd w:val="0"/>
              <w:snapToGrid w:val="0"/>
              <w:spacing w:line="300" w:lineRule="auto"/>
              <w:rPr>
                <w:sz w:val="18"/>
                <w:szCs w:val="18"/>
                <w:shd w:val="clear" w:color="auto" w:fill="FEFEFF"/>
              </w:rPr>
            </w:pPr>
            <w:r>
              <w:rPr>
                <w:rFonts w:hint="eastAsia"/>
                <w:sz w:val="18"/>
                <w:szCs w:val="18"/>
                <w:shd w:val="clear" w:color="auto" w:fill="FEFEFF"/>
              </w:rPr>
              <w:t>在FPGA与DSP复杂系统开发的各个环节（①需求分析；②概要设计；③详细设计；④代码实现；⑤基于IDE软件的调试；⑥功能模块的单元测试；⑦项目的系统测试；⑧项目文档撰写），以科学的项目工程管理思路开展设计流程：①首先，问题思维转换，即先考虑如何通过数学模型、通用协议或者现有解决方案的集成解决现实问题，然后再考虑如何实施软件设计；②接着，架构设计，即采用自顶向下思维设计功能模块架构树状图，并定义文件引用关系；③然后，数据结构设计，即定义变量、各模块接口、以及交换数据的结构；④再者，模块设计，即绘制模块的流程图、结构图或者书写伪程序代码；⑤最终，采用开发语言的编码技能完成代码编写、注释以及文档。</w:t>
            </w:r>
          </w:p>
          <w:p>
            <w:pPr>
              <w:adjustRightInd w:val="0"/>
              <w:snapToGrid w:val="0"/>
              <w:spacing w:line="300" w:lineRule="auto"/>
              <w:rPr>
                <w:sz w:val="18"/>
                <w:szCs w:val="18"/>
                <w:shd w:val="clear" w:color="auto" w:fill="FEFEFF"/>
              </w:rPr>
            </w:pPr>
            <w:r>
              <w:rPr>
                <w:rFonts w:hint="eastAsia"/>
                <w:sz w:val="18"/>
                <w:szCs w:val="18"/>
                <w:shd w:val="clear" w:color="auto" w:fill="FEFEFF"/>
              </w:rPr>
              <w:t>熟练使用Verilog语言，理解目标器件FPGA和CPLD平台的结构原理；熟练使用DSP的指令系统，理解目标器件TI公司DSP平台的结构原理。TI公司DSP开发板的IDE工具是CCS集成开发环境。Alter公司FPGA开发板的IDE工具是Quartus软件。训练FPGA与DSP硬件平台的IDE软件的一系列辅助设计功能，例如：①语法检测与代码编译；②软件仿真测试;③开发板芯片适配与外部接口引脚配置；④基于“探针”读取芯片内部数据的硬件测试。</w:t>
            </w:r>
            <w:r>
              <w:rPr>
                <w:sz w:val="18"/>
                <w:szCs w:val="18"/>
                <w:shd w:val="clear" w:color="auto" w:fill="FEFEFF"/>
              </w:rPr>
              <w:t>。</w:t>
            </w:r>
          </w:p>
        </w:tc>
        <w:tc>
          <w:tcPr>
            <w:tcW w:w="10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shd w:val="clear" w:color="auto" w:fill="FEFEFF"/>
              </w:rPr>
              <w:t>通过实习指导、学生学习、小组合作交流与网络检索等达成。</w:t>
            </w:r>
          </w:p>
        </w:tc>
        <w:tc>
          <w:tcPr>
            <w:tcW w:w="10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sz w:val="18"/>
                <w:szCs w:val="18"/>
                <w:shd w:val="clear" w:color="auto" w:fill="FEFEFF"/>
              </w:rPr>
            </w:pPr>
            <w:r>
              <w:rPr>
                <w:sz w:val="18"/>
                <w:szCs w:val="18"/>
                <w:shd w:val="clear" w:color="auto" w:fill="FEFEFF"/>
              </w:rPr>
              <w:t xml:space="preserve">实习作品的现场演示与汇报、实习日志与实习报告等记录材料考评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696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rFonts w:hint="eastAsia"/>
                <w:sz w:val="18"/>
                <w:szCs w:val="18"/>
                <w:shd w:val="clear" w:color="auto" w:fill="FEFEFF"/>
              </w:rPr>
              <w:t>2</w:t>
            </w:r>
            <w:r>
              <w:rPr>
                <w:sz w:val="18"/>
                <w:szCs w:val="18"/>
                <w:shd w:val="clear" w:color="auto" w:fill="FEFEFF"/>
              </w:rPr>
              <w:t>．硬件项目开发过程沟通协调能力目标：具有良好的口头和书面表达能力，能够就硬件项目问题跟项目需求方与内部开发团队进行有序且有效的沟通交流。</w:t>
            </w:r>
          </w:p>
          <w:p>
            <w:pPr>
              <w:snapToGrid w:val="0"/>
              <w:spacing w:line="300" w:lineRule="auto"/>
              <w:rPr>
                <w:sz w:val="18"/>
                <w:szCs w:val="18"/>
                <w:shd w:val="clear" w:color="auto" w:fill="FEFEFF"/>
              </w:rPr>
            </w:pPr>
            <w:r>
              <w:rPr>
                <w:sz w:val="18"/>
                <w:szCs w:val="18"/>
                <w:shd w:val="clear" w:color="auto" w:fill="FEFEFF"/>
              </w:rPr>
              <w:t>在项目实施的各个环节有序开展一系列有效沟通以及书面记录存档，例如：①首先，在需求分析环节，能够通过问卷调查、业务座谈、业务过程图绘制以及需求文档规范等沟通方式实现有效需求分析；②其次，在系统设计环节，能够组织项目开发专家级人员进行座谈以及绘制思维导图，实现从需求到设计的思维转换，即先考虑如何通过数学模型、通用协议或者现有解决方案的集成解决现实问题，然后再考虑如何实施软件设计；②接着，在架构设计环节，能够即采用自顶向下思维组织开发人员以座谈与文档的方式完成功能模块架构树状图的设计，并定义文件引用关系；③然后，在数据结构设计环节，组织开发人员提交各模块接口文档，然后由顶层设计专家完成全局变量与模块交换数据的定义；④再者，在模块设计环节，制定模块的流程图绘制或者伪程序代码书写的规范，以及组织会议开展阶段性项目成果管理；⑤最终，制定代码的书写规范文档、调试日志文档规范以及测试计划文档规范，并依据上述规范完成代码编写、注释、调试、测试以及存档。</w:t>
            </w:r>
          </w:p>
        </w:tc>
        <w:tc>
          <w:tcPr>
            <w:tcW w:w="10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shd w:val="clear" w:color="auto" w:fill="FEFEFF"/>
              </w:rPr>
            </w:pPr>
            <w:r>
              <w:rPr>
                <w:sz w:val="18"/>
                <w:szCs w:val="18"/>
                <w:shd w:val="clear" w:color="auto" w:fill="FEFEFF"/>
              </w:rPr>
              <w:t>通过实习指导、学生学习、小组合作交流与程序编码实践等达成。</w:t>
            </w:r>
          </w:p>
        </w:tc>
        <w:tc>
          <w:tcPr>
            <w:tcW w:w="10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sz w:val="18"/>
                <w:szCs w:val="18"/>
                <w:shd w:val="clear" w:color="auto" w:fill="FEFEFF"/>
              </w:rPr>
            </w:pPr>
            <w:r>
              <w:rPr>
                <w:sz w:val="18"/>
                <w:szCs w:val="18"/>
                <w:shd w:val="clear" w:color="auto" w:fill="FEFEFF"/>
              </w:rPr>
              <w:t xml:space="preserve">实习作品的现场演示与汇报、实习日志与实习报告等记录材料考评 </w:t>
            </w:r>
          </w:p>
        </w:tc>
      </w:tr>
    </w:tbl>
    <w:p>
      <w:pPr>
        <w:snapToGrid w:val="0"/>
        <w:spacing w:before="159" w:beforeLines="50" w:after="159" w:afterLines="50" w:line="300" w:lineRule="auto"/>
        <w:rPr>
          <w:b/>
          <w:sz w:val="24"/>
        </w:rPr>
      </w:pPr>
      <w:r>
        <w:rPr>
          <w:b/>
          <w:sz w:val="24"/>
        </w:rPr>
        <w:t>四、课程教学内容、教与学的要求</w:t>
      </w:r>
    </w:p>
    <w:p>
      <w:pPr>
        <w:spacing w:before="79" w:after="2"/>
        <w:ind w:right="3993" w:firstLine="42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w:t>
      </w:r>
    </w:p>
    <w:tbl>
      <w:tblPr>
        <w:tblStyle w:val="22"/>
        <w:tblW w:w="91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635"/>
        <w:gridCol w:w="3101"/>
        <w:gridCol w:w="4862"/>
        <w:gridCol w:w="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50" w:hRule="atLeast"/>
          <w:jc w:val="center"/>
        </w:trPr>
        <w:tc>
          <w:tcPr>
            <w:tcW w:w="635" w:type="dxa"/>
            <w:vAlign w:val="center"/>
          </w:tcPr>
          <w:p>
            <w:pPr>
              <w:snapToGrid w:val="0"/>
              <w:spacing w:line="300" w:lineRule="auto"/>
              <w:jc w:val="center"/>
              <w:rPr>
                <w:b/>
                <w:sz w:val="18"/>
              </w:rPr>
            </w:pPr>
            <w:r>
              <w:rPr>
                <w:b/>
                <w:bCs/>
                <w:sz w:val="18"/>
                <w:szCs w:val="18"/>
              </w:rPr>
              <w:t>序号</w:t>
            </w:r>
          </w:p>
        </w:tc>
        <w:tc>
          <w:tcPr>
            <w:tcW w:w="3101" w:type="dxa"/>
            <w:vAlign w:val="center"/>
          </w:tcPr>
          <w:p>
            <w:pPr>
              <w:snapToGrid w:val="0"/>
              <w:spacing w:line="300" w:lineRule="auto"/>
              <w:jc w:val="center"/>
              <w:rPr>
                <w:b/>
                <w:sz w:val="18"/>
              </w:rPr>
            </w:pPr>
            <w:r>
              <w:rPr>
                <w:b/>
                <w:bCs/>
                <w:sz w:val="18"/>
                <w:szCs w:val="18"/>
              </w:rPr>
              <w:t>教学内容与课程教学目标</w:t>
            </w:r>
          </w:p>
        </w:tc>
        <w:tc>
          <w:tcPr>
            <w:tcW w:w="4862" w:type="dxa"/>
            <w:vAlign w:val="center"/>
          </w:tcPr>
          <w:p>
            <w:pPr>
              <w:snapToGrid w:val="0"/>
              <w:spacing w:line="300" w:lineRule="auto"/>
              <w:jc w:val="center"/>
              <w:rPr>
                <w:b/>
                <w:sz w:val="18"/>
              </w:rPr>
            </w:pPr>
            <w:r>
              <w:rPr>
                <w:b/>
                <w:bCs/>
                <w:sz w:val="18"/>
                <w:szCs w:val="18"/>
              </w:rPr>
              <w:t>教与学的要求</w:t>
            </w:r>
          </w:p>
        </w:tc>
        <w:tc>
          <w:tcPr>
            <w:tcW w:w="593" w:type="dxa"/>
            <w:vAlign w:val="center"/>
          </w:tcPr>
          <w:p>
            <w:pPr>
              <w:snapToGrid w:val="0"/>
              <w:spacing w:line="300" w:lineRule="auto"/>
              <w:jc w:val="center"/>
              <w:rPr>
                <w:b/>
                <w:sz w:val="18"/>
              </w:rPr>
            </w:pPr>
            <w:r>
              <w:rPr>
                <w:b/>
                <w:bCs/>
                <w:sz w:val="18"/>
                <w:szCs w:val="18"/>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35" w:type="dxa"/>
            <w:vAlign w:val="center"/>
          </w:tcPr>
          <w:p>
            <w:pPr>
              <w:pStyle w:val="55"/>
              <w:jc w:val="center"/>
              <w:rPr>
                <w:rFonts w:ascii="Times New Roman" w:hAnsi="Times New Roman" w:cs="Times New Roman"/>
                <w:sz w:val="18"/>
              </w:rPr>
            </w:pPr>
            <w:r>
              <w:rPr>
                <w:rFonts w:ascii="Times New Roman" w:hAnsi="Times New Roman" w:cs="Times New Roman"/>
                <w:sz w:val="18"/>
              </w:rPr>
              <w:t>1</w:t>
            </w:r>
          </w:p>
        </w:tc>
        <w:tc>
          <w:tcPr>
            <w:tcW w:w="3101" w:type="dxa"/>
          </w:tcPr>
          <w:p>
            <w:pPr>
              <w:widowControl/>
              <w:adjustRightInd w:val="0"/>
              <w:snapToGrid w:val="0"/>
              <w:spacing w:line="300" w:lineRule="auto"/>
              <w:rPr>
                <w:bCs/>
                <w:kern w:val="0"/>
                <w:sz w:val="18"/>
                <w:szCs w:val="18"/>
              </w:rPr>
            </w:pPr>
            <w:r>
              <w:rPr>
                <w:bCs/>
                <w:kern w:val="0"/>
                <w:sz w:val="18"/>
                <w:szCs w:val="18"/>
              </w:rPr>
              <w:t>一、实习方式：集中实习。</w:t>
            </w:r>
          </w:p>
          <w:p>
            <w:pPr>
              <w:widowControl/>
              <w:adjustRightInd w:val="0"/>
              <w:snapToGrid w:val="0"/>
              <w:spacing w:line="300" w:lineRule="auto"/>
              <w:rPr>
                <w:bCs/>
                <w:kern w:val="0"/>
                <w:sz w:val="18"/>
                <w:szCs w:val="18"/>
              </w:rPr>
            </w:pPr>
            <w:r>
              <w:rPr>
                <w:bCs/>
                <w:kern w:val="0"/>
                <w:sz w:val="18"/>
                <w:szCs w:val="18"/>
              </w:rPr>
              <w:t>二、场所：学校科技楼四楼单片机实验室。</w:t>
            </w:r>
          </w:p>
          <w:p>
            <w:pPr>
              <w:widowControl/>
              <w:adjustRightInd w:val="0"/>
              <w:snapToGrid w:val="0"/>
              <w:spacing w:line="300" w:lineRule="auto"/>
              <w:rPr>
                <w:bCs/>
                <w:kern w:val="0"/>
                <w:sz w:val="18"/>
                <w:szCs w:val="18"/>
              </w:rPr>
            </w:pPr>
            <w:r>
              <w:rPr>
                <w:bCs/>
                <w:kern w:val="0"/>
                <w:sz w:val="18"/>
                <w:szCs w:val="18"/>
              </w:rPr>
              <w:t>三、实习内容</w:t>
            </w:r>
          </w:p>
          <w:p>
            <w:pPr>
              <w:widowControl/>
              <w:adjustRightInd w:val="0"/>
              <w:snapToGrid w:val="0"/>
              <w:spacing w:line="300" w:lineRule="auto"/>
              <w:rPr>
                <w:bCs/>
                <w:kern w:val="0"/>
                <w:sz w:val="18"/>
                <w:szCs w:val="18"/>
              </w:rPr>
            </w:pPr>
            <w:r>
              <w:rPr>
                <w:bCs/>
                <w:kern w:val="0"/>
                <w:sz w:val="18"/>
                <w:szCs w:val="18"/>
              </w:rPr>
              <w:t>（一）首先，依据项目需求，在网上检索参考资料；然后，按照项目开发流程完成复杂电子产品的研发；接着，进行系统测试；最终，完成课程设计论文。</w:t>
            </w:r>
          </w:p>
          <w:p>
            <w:pPr>
              <w:widowControl/>
              <w:adjustRightInd w:val="0"/>
              <w:snapToGrid w:val="0"/>
              <w:spacing w:line="300" w:lineRule="auto"/>
              <w:rPr>
                <w:bCs/>
                <w:kern w:val="0"/>
                <w:sz w:val="18"/>
                <w:szCs w:val="18"/>
              </w:rPr>
            </w:pPr>
            <w:r>
              <w:rPr>
                <w:bCs/>
                <w:kern w:val="0"/>
                <w:sz w:val="18"/>
                <w:szCs w:val="18"/>
              </w:rPr>
              <w:t>复杂电子产品项目开发流程，详细描述如下：</w:t>
            </w:r>
          </w:p>
          <w:p>
            <w:pPr>
              <w:widowControl/>
              <w:adjustRightInd w:val="0"/>
              <w:snapToGrid w:val="0"/>
              <w:spacing w:line="300" w:lineRule="auto"/>
              <w:rPr>
                <w:bCs/>
                <w:kern w:val="0"/>
                <w:sz w:val="18"/>
                <w:szCs w:val="18"/>
              </w:rPr>
            </w:pPr>
            <w:r>
              <w:rPr>
                <w:bCs/>
                <w:kern w:val="0"/>
                <w:sz w:val="18"/>
                <w:szCs w:val="18"/>
              </w:rPr>
              <w:t>1．需求分析——即问题分析</w:t>
            </w:r>
          </w:p>
          <w:p>
            <w:pPr>
              <w:widowControl/>
              <w:adjustRightInd w:val="0"/>
              <w:snapToGrid w:val="0"/>
              <w:spacing w:line="300" w:lineRule="auto"/>
              <w:rPr>
                <w:bCs/>
                <w:kern w:val="0"/>
                <w:sz w:val="18"/>
                <w:szCs w:val="18"/>
              </w:rPr>
            </w:pPr>
            <w:r>
              <w:rPr>
                <w:bCs/>
                <w:kern w:val="0"/>
                <w:sz w:val="18"/>
                <w:szCs w:val="18"/>
              </w:rPr>
              <w:t>2．概要设计——（1）系统架构设计；（2）系统业务流程设计。</w:t>
            </w:r>
          </w:p>
          <w:p>
            <w:pPr>
              <w:widowControl/>
              <w:adjustRightInd w:val="0"/>
              <w:snapToGrid w:val="0"/>
              <w:spacing w:line="300" w:lineRule="auto"/>
              <w:rPr>
                <w:bCs/>
                <w:kern w:val="0"/>
                <w:sz w:val="18"/>
                <w:szCs w:val="18"/>
              </w:rPr>
            </w:pPr>
            <w:r>
              <w:rPr>
                <w:bCs/>
                <w:kern w:val="0"/>
                <w:sz w:val="18"/>
                <w:szCs w:val="18"/>
              </w:rPr>
              <w:t>3．系统详细设计，以“FPGA数字电子钟”为例：(1)分频模块；(2)秒计数模块；(3)分计数模块；(4)小时计数模块;(5)闹铃模块；(6)设置模块；(7)数码管显示模块；(8)BCD译码模块；(9)按键控制模块；(10)顶层文件模块。</w:t>
            </w:r>
          </w:p>
          <w:p>
            <w:pPr>
              <w:widowControl/>
              <w:adjustRightInd w:val="0"/>
              <w:snapToGrid w:val="0"/>
              <w:spacing w:line="300" w:lineRule="auto"/>
              <w:rPr>
                <w:bCs/>
                <w:kern w:val="0"/>
                <w:sz w:val="18"/>
                <w:szCs w:val="18"/>
              </w:rPr>
            </w:pPr>
            <w:r>
              <w:rPr>
                <w:bCs/>
                <w:kern w:val="0"/>
                <w:sz w:val="18"/>
                <w:szCs w:val="18"/>
              </w:rPr>
              <w:t>4.电子产品测试/调试——依据业务流程进行独立的业务测试；在测试通过后依据业务流程提供用户使用说明。</w:t>
            </w:r>
          </w:p>
          <w:p>
            <w:pPr>
              <w:widowControl/>
              <w:adjustRightInd w:val="0"/>
              <w:snapToGrid w:val="0"/>
              <w:spacing w:line="300" w:lineRule="auto"/>
              <w:rPr>
                <w:bCs/>
                <w:kern w:val="0"/>
                <w:sz w:val="18"/>
                <w:szCs w:val="18"/>
              </w:rPr>
            </w:pPr>
            <w:r>
              <w:rPr>
                <w:bCs/>
                <w:kern w:val="0"/>
                <w:sz w:val="18"/>
                <w:szCs w:val="18"/>
              </w:rPr>
              <w:t>5.总结——（1）回顾软件编码过程中遇到了的问题及其解决方案；（2）对设计与实现的回顾讨论和分析；（3）经验总结。</w:t>
            </w:r>
          </w:p>
          <w:p>
            <w:pPr>
              <w:widowControl/>
              <w:adjustRightInd w:val="0"/>
              <w:snapToGrid w:val="0"/>
              <w:spacing w:line="300" w:lineRule="auto"/>
              <w:rPr>
                <w:bCs/>
                <w:kern w:val="0"/>
                <w:sz w:val="18"/>
                <w:szCs w:val="18"/>
              </w:rPr>
            </w:pPr>
            <w:r>
              <w:rPr>
                <w:bCs/>
                <w:kern w:val="0"/>
                <w:sz w:val="18"/>
                <w:szCs w:val="18"/>
              </w:rPr>
              <w:t>（二）拟定12个课题，每3或者4人一组，每组在</w:t>
            </w:r>
            <w:r>
              <w:rPr>
                <w:rFonts w:hint="eastAsia"/>
                <w:bCs/>
                <w:kern w:val="0"/>
                <w:sz w:val="18"/>
                <w:szCs w:val="18"/>
              </w:rPr>
              <w:t>备选</w:t>
            </w:r>
            <w:r>
              <w:rPr>
                <w:bCs/>
                <w:kern w:val="0"/>
                <w:sz w:val="18"/>
                <w:szCs w:val="18"/>
              </w:rPr>
              <w:t>题目中任选其一，</w:t>
            </w:r>
            <w:r>
              <w:rPr>
                <w:rFonts w:hint="eastAsia"/>
                <w:bCs/>
                <w:kern w:val="0"/>
                <w:sz w:val="18"/>
                <w:szCs w:val="18"/>
              </w:rPr>
              <w:t>也可以与老师协商拟定难度类似的的其他题目。</w:t>
            </w:r>
            <w:r>
              <w:rPr>
                <w:bCs/>
                <w:kern w:val="0"/>
                <w:sz w:val="18"/>
                <w:szCs w:val="18"/>
              </w:rPr>
              <w:t>每个班级内部选题尽量不重复。</w:t>
            </w:r>
            <w:r>
              <w:rPr>
                <w:rFonts w:hint="eastAsia"/>
                <w:bCs/>
                <w:kern w:val="0"/>
                <w:sz w:val="18"/>
                <w:szCs w:val="18"/>
              </w:rPr>
              <w:t>备选</w:t>
            </w:r>
            <w:r>
              <w:rPr>
                <w:bCs/>
                <w:kern w:val="0"/>
                <w:sz w:val="18"/>
                <w:szCs w:val="18"/>
              </w:rPr>
              <w:t>题目名称如下：</w:t>
            </w:r>
          </w:p>
          <w:p>
            <w:pPr>
              <w:widowControl/>
              <w:adjustRightInd w:val="0"/>
              <w:snapToGrid w:val="0"/>
              <w:spacing w:line="300" w:lineRule="auto"/>
              <w:rPr>
                <w:bCs/>
                <w:kern w:val="0"/>
                <w:sz w:val="18"/>
                <w:szCs w:val="18"/>
              </w:rPr>
            </w:pPr>
            <w:r>
              <w:rPr>
                <w:bCs/>
                <w:kern w:val="0"/>
                <w:sz w:val="18"/>
                <w:szCs w:val="18"/>
              </w:rPr>
              <w:t>（1）基于DSP平台实现正弦信号发生器；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2</w:t>
            </w:r>
            <w:r>
              <w:rPr>
                <w:bCs/>
                <w:kern w:val="0"/>
                <w:sz w:val="18"/>
                <w:szCs w:val="18"/>
              </w:rPr>
              <w:t>）基于DSP平台实现FIR滤波器；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3</w:t>
            </w:r>
            <w:r>
              <w:rPr>
                <w:bCs/>
                <w:kern w:val="0"/>
                <w:sz w:val="18"/>
                <w:szCs w:val="18"/>
              </w:rPr>
              <w:t>）基于DSP平台实现IIR滤波器；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4</w:t>
            </w:r>
            <w:r>
              <w:rPr>
                <w:bCs/>
                <w:kern w:val="0"/>
                <w:sz w:val="18"/>
                <w:szCs w:val="18"/>
              </w:rPr>
              <w:t>）基于DSP平台实现FFT；</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5</w:t>
            </w:r>
            <w:r>
              <w:rPr>
                <w:bCs/>
                <w:kern w:val="0"/>
                <w:sz w:val="18"/>
                <w:szCs w:val="18"/>
              </w:rPr>
              <w:t>）基于FPGA或者DSP平台实现可编程方波发生器；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6</w:t>
            </w:r>
            <w:r>
              <w:rPr>
                <w:bCs/>
                <w:kern w:val="0"/>
                <w:sz w:val="18"/>
                <w:szCs w:val="18"/>
              </w:rPr>
              <w:t>）基于FPGA或者DSP平台实现交通灯控制器；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7</w:t>
            </w:r>
            <w:r>
              <w:rPr>
                <w:bCs/>
                <w:kern w:val="0"/>
                <w:sz w:val="18"/>
                <w:szCs w:val="18"/>
              </w:rPr>
              <w:t>）基于FPGA平台实现数字电子钟；</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8</w:t>
            </w:r>
            <w:r>
              <w:rPr>
                <w:bCs/>
                <w:kern w:val="0"/>
                <w:sz w:val="18"/>
                <w:szCs w:val="18"/>
              </w:rPr>
              <w:t>）基于FPGA平台实现电子琴；</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9</w:t>
            </w:r>
            <w:r>
              <w:rPr>
                <w:bCs/>
                <w:kern w:val="0"/>
                <w:sz w:val="18"/>
                <w:szCs w:val="18"/>
              </w:rPr>
              <w:t>）基于FPGA平台实现可选乐曲演奏器；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10</w:t>
            </w:r>
            <w:r>
              <w:rPr>
                <w:bCs/>
                <w:kern w:val="0"/>
                <w:sz w:val="18"/>
                <w:szCs w:val="18"/>
              </w:rPr>
              <w:t>）基于FPGA平台实现数字频率计；</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11</w:t>
            </w:r>
            <w:r>
              <w:rPr>
                <w:bCs/>
                <w:kern w:val="0"/>
                <w:sz w:val="18"/>
                <w:szCs w:val="18"/>
              </w:rPr>
              <w:t>）基于FPGA平台实现直流电压放大器；</w:t>
            </w:r>
          </w:p>
          <w:p>
            <w:pPr>
              <w:widowControl/>
              <w:adjustRightInd w:val="0"/>
              <w:snapToGrid w:val="0"/>
              <w:spacing w:line="300" w:lineRule="auto"/>
              <w:rPr>
                <w:bCs/>
                <w:kern w:val="0"/>
                <w:sz w:val="18"/>
                <w:szCs w:val="18"/>
              </w:rPr>
            </w:pPr>
            <w:r>
              <w:rPr>
                <w:bCs/>
                <w:kern w:val="0"/>
                <w:sz w:val="18"/>
                <w:szCs w:val="18"/>
              </w:rPr>
              <w:t>（</w:t>
            </w:r>
            <w:r>
              <w:rPr>
                <w:rFonts w:hint="eastAsia"/>
                <w:bCs/>
                <w:kern w:val="0"/>
                <w:sz w:val="18"/>
                <w:szCs w:val="18"/>
              </w:rPr>
              <w:t>12</w:t>
            </w:r>
            <w:r>
              <w:rPr>
                <w:bCs/>
                <w:kern w:val="0"/>
                <w:sz w:val="18"/>
                <w:szCs w:val="18"/>
              </w:rPr>
              <w:t>）基于FPGA平台实现直流电机的遥控器。</w:t>
            </w:r>
          </w:p>
        </w:tc>
        <w:tc>
          <w:tcPr>
            <w:tcW w:w="4862" w:type="dxa"/>
          </w:tcPr>
          <w:p>
            <w:pPr>
              <w:widowControl/>
              <w:adjustRightInd w:val="0"/>
              <w:snapToGrid w:val="0"/>
              <w:spacing w:line="300" w:lineRule="auto"/>
              <w:rPr>
                <w:bCs/>
                <w:kern w:val="0"/>
                <w:sz w:val="18"/>
                <w:szCs w:val="18"/>
              </w:rPr>
            </w:pPr>
            <w:r>
              <w:rPr>
                <w:bCs/>
                <w:kern w:val="0"/>
                <w:sz w:val="18"/>
                <w:szCs w:val="18"/>
              </w:rPr>
              <w:t>一、实习活动要求：</w:t>
            </w:r>
          </w:p>
          <w:p>
            <w:pPr>
              <w:widowControl/>
              <w:adjustRightInd w:val="0"/>
              <w:snapToGrid w:val="0"/>
              <w:spacing w:line="300" w:lineRule="auto"/>
              <w:rPr>
                <w:bCs/>
                <w:kern w:val="0"/>
                <w:sz w:val="18"/>
                <w:szCs w:val="18"/>
              </w:rPr>
            </w:pPr>
            <w:r>
              <w:rPr>
                <w:bCs/>
                <w:kern w:val="0"/>
                <w:sz w:val="18"/>
                <w:szCs w:val="18"/>
              </w:rPr>
              <w:t>（一）周一，布置实习任务，在网上查找资料，确定项目实施方案，完成系统需求描述，并整理成文档；</w:t>
            </w:r>
          </w:p>
          <w:p>
            <w:pPr>
              <w:widowControl/>
              <w:adjustRightInd w:val="0"/>
              <w:snapToGrid w:val="0"/>
              <w:spacing w:line="300" w:lineRule="auto"/>
              <w:rPr>
                <w:bCs/>
                <w:kern w:val="0"/>
                <w:sz w:val="18"/>
                <w:szCs w:val="18"/>
              </w:rPr>
            </w:pPr>
            <w:r>
              <w:rPr>
                <w:bCs/>
                <w:kern w:val="0"/>
                <w:sz w:val="18"/>
                <w:szCs w:val="18"/>
              </w:rPr>
              <w:t>（二）周二，根据需求分析,完成系统总体设计，进行模块之间的接口设计，绘制功能模块组织结构图；</w:t>
            </w:r>
          </w:p>
          <w:p>
            <w:pPr>
              <w:widowControl/>
              <w:adjustRightInd w:val="0"/>
              <w:snapToGrid w:val="0"/>
              <w:spacing w:line="300" w:lineRule="auto"/>
              <w:rPr>
                <w:bCs/>
                <w:kern w:val="0"/>
                <w:sz w:val="18"/>
                <w:szCs w:val="18"/>
              </w:rPr>
            </w:pPr>
            <w:r>
              <w:rPr>
                <w:bCs/>
                <w:kern w:val="0"/>
                <w:sz w:val="18"/>
                <w:szCs w:val="18"/>
              </w:rPr>
              <w:t>（三）周三，根据功能模块组织结构图,设计函数模块，完成系统详细设计，完成顶层代码的书写；</w:t>
            </w:r>
          </w:p>
          <w:p>
            <w:pPr>
              <w:widowControl/>
              <w:adjustRightInd w:val="0"/>
              <w:snapToGrid w:val="0"/>
              <w:spacing w:line="300" w:lineRule="auto"/>
              <w:rPr>
                <w:bCs/>
                <w:kern w:val="0"/>
                <w:sz w:val="18"/>
                <w:szCs w:val="18"/>
              </w:rPr>
            </w:pPr>
            <w:r>
              <w:rPr>
                <w:bCs/>
                <w:kern w:val="0"/>
                <w:sz w:val="18"/>
                <w:szCs w:val="18"/>
              </w:rPr>
              <w:t xml:space="preserve">（四）周四，完成系统各模块的子函数代码的编写、调试、仿真以及测试。 </w:t>
            </w:r>
          </w:p>
          <w:p>
            <w:pPr>
              <w:widowControl/>
              <w:adjustRightInd w:val="0"/>
              <w:snapToGrid w:val="0"/>
              <w:spacing w:line="300" w:lineRule="auto"/>
              <w:rPr>
                <w:bCs/>
                <w:kern w:val="0"/>
                <w:sz w:val="18"/>
                <w:szCs w:val="18"/>
              </w:rPr>
            </w:pPr>
            <w:r>
              <w:rPr>
                <w:bCs/>
                <w:kern w:val="0"/>
                <w:sz w:val="18"/>
                <w:szCs w:val="18"/>
              </w:rPr>
              <w:t>（五）周五与周六，将系统整体代码下载至硬件开发平台，基于PC与开发平台的连接线采用“探针”读取硬件内部变量，实现硬件平台的实时调试，最终完成总体测试的验收通过。</w:t>
            </w:r>
          </w:p>
          <w:p>
            <w:pPr>
              <w:widowControl/>
              <w:adjustRightInd w:val="0"/>
              <w:snapToGrid w:val="0"/>
              <w:spacing w:line="300" w:lineRule="auto"/>
              <w:rPr>
                <w:bCs/>
                <w:kern w:val="0"/>
                <w:sz w:val="18"/>
                <w:szCs w:val="18"/>
              </w:rPr>
            </w:pPr>
            <w:r>
              <w:rPr>
                <w:bCs/>
                <w:kern w:val="0"/>
                <w:sz w:val="18"/>
                <w:szCs w:val="18"/>
              </w:rPr>
              <w:t>（六）周日，撰写实习报告。</w:t>
            </w:r>
          </w:p>
          <w:p>
            <w:pPr>
              <w:widowControl/>
              <w:adjustRightInd w:val="0"/>
              <w:snapToGrid w:val="0"/>
              <w:spacing w:line="300" w:lineRule="auto"/>
              <w:rPr>
                <w:bCs/>
                <w:kern w:val="0"/>
                <w:sz w:val="18"/>
                <w:szCs w:val="18"/>
              </w:rPr>
            </w:pPr>
          </w:p>
          <w:p>
            <w:pPr>
              <w:widowControl/>
              <w:adjustRightInd w:val="0"/>
              <w:snapToGrid w:val="0"/>
              <w:spacing w:line="300" w:lineRule="auto"/>
              <w:rPr>
                <w:bCs/>
                <w:kern w:val="0"/>
                <w:sz w:val="18"/>
                <w:szCs w:val="18"/>
              </w:rPr>
            </w:pPr>
            <w:r>
              <w:rPr>
                <w:bCs/>
                <w:kern w:val="0"/>
                <w:sz w:val="18"/>
                <w:szCs w:val="18"/>
              </w:rPr>
              <w:t>二、实习报告撰写的内容要求：</w:t>
            </w:r>
          </w:p>
          <w:p>
            <w:pPr>
              <w:widowControl/>
              <w:adjustRightInd w:val="0"/>
              <w:snapToGrid w:val="0"/>
              <w:spacing w:line="300" w:lineRule="auto"/>
              <w:rPr>
                <w:bCs/>
                <w:kern w:val="0"/>
                <w:sz w:val="18"/>
                <w:szCs w:val="18"/>
              </w:rPr>
            </w:pPr>
            <w:r>
              <w:rPr>
                <w:bCs/>
                <w:kern w:val="0"/>
                <w:sz w:val="18"/>
                <w:szCs w:val="18"/>
              </w:rPr>
              <w:t>（一）需求分析</w:t>
            </w:r>
          </w:p>
          <w:p>
            <w:pPr>
              <w:widowControl/>
              <w:adjustRightInd w:val="0"/>
              <w:snapToGrid w:val="0"/>
              <w:spacing w:line="300" w:lineRule="auto"/>
              <w:rPr>
                <w:bCs/>
                <w:kern w:val="0"/>
                <w:sz w:val="18"/>
                <w:szCs w:val="18"/>
              </w:rPr>
            </w:pPr>
            <w:r>
              <w:rPr>
                <w:bCs/>
                <w:kern w:val="0"/>
                <w:sz w:val="18"/>
                <w:szCs w:val="18"/>
              </w:rPr>
              <w:t>以用户的视角，以无歧义陈述方式说明项目任务，以简单和具体的语言描述项目需求，并明确规定：</w:t>
            </w:r>
          </w:p>
          <w:p>
            <w:pPr>
              <w:widowControl/>
              <w:adjustRightInd w:val="0"/>
              <w:snapToGrid w:val="0"/>
              <w:spacing w:line="300" w:lineRule="auto"/>
              <w:rPr>
                <w:bCs/>
                <w:kern w:val="0"/>
                <w:sz w:val="18"/>
                <w:szCs w:val="18"/>
              </w:rPr>
            </w:pPr>
            <w:r>
              <w:rPr>
                <w:bCs/>
                <w:kern w:val="0"/>
                <w:sz w:val="18"/>
                <w:szCs w:val="18"/>
              </w:rPr>
              <w:t>(1) 输入与输出的形式和数值范围；</w:t>
            </w:r>
          </w:p>
          <w:p>
            <w:pPr>
              <w:widowControl/>
              <w:adjustRightInd w:val="0"/>
              <w:snapToGrid w:val="0"/>
              <w:spacing w:line="300" w:lineRule="auto"/>
              <w:rPr>
                <w:bCs/>
                <w:kern w:val="0"/>
                <w:sz w:val="18"/>
                <w:szCs w:val="18"/>
              </w:rPr>
            </w:pPr>
            <w:r>
              <w:rPr>
                <w:bCs/>
                <w:kern w:val="0"/>
                <w:sz w:val="18"/>
                <w:szCs w:val="18"/>
              </w:rPr>
              <w:t>(2) 输入与输出的映射关系；</w:t>
            </w:r>
          </w:p>
          <w:p>
            <w:pPr>
              <w:widowControl/>
              <w:adjustRightInd w:val="0"/>
              <w:snapToGrid w:val="0"/>
              <w:spacing w:line="300" w:lineRule="auto"/>
              <w:rPr>
                <w:bCs/>
                <w:kern w:val="0"/>
                <w:sz w:val="18"/>
                <w:szCs w:val="18"/>
              </w:rPr>
            </w:pPr>
            <w:r>
              <w:rPr>
                <w:bCs/>
                <w:kern w:val="0"/>
                <w:sz w:val="18"/>
                <w:szCs w:val="18"/>
              </w:rPr>
              <w:t>(3) 电子产品所需要实现的功能；</w:t>
            </w:r>
          </w:p>
          <w:p>
            <w:pPr>
              <w:widowControl/>
              <w:adjustRightInd w:val="0"/>
              <w:snapToGrid w:val="0"/>
              <w:spacing w:line="300" w:lineRule="auto"/>
              <w:rPr>
                <w:bCs/>
                <w:kern w:val="0"/>
                <w:sz w:val="18"/>
                <w:szCs w:val="18"/>
              </w:rPr>
            </w:pPr>
            <w:r>
              <w:rPr>
                <w:bCs/>
                <w:kern w:val="0"/>
                <w:sz w:val="18"/>
                <w:szCs w:val="18"/>
              </w:rPr>
              <w:t>(4) 测试数据与测试脚本——正确的测试输入数据对应其预期的正确输出结果；错误的测试输入数据对应其预期的错误输出结果。</w:t>
            </w:r>
          </w:p>
          <w:p>
            <w:pPr>
              <w:widowControl/>
              <w:adjustRightInd w:val="0"/>
              <w:snapToGrid w:val="0"/>
              <w:spacing w:line="300" w:lineRule="auto"/>
              <w:rPr>
                <w:bCs/>
                <w:kern w:val="0"/>
                <w:sz w:val="18"/>
                <w:szCs w:val="18"/>
              </w:rPr>
            </w:pPr>
            <w:r>
              <w:rPr>
                <w:bCs/>
                <w:kern w:val="0"/>
                <w:sz w:val="18"/>
                <w:szCs w:val="18"/>
              </w:rPr>
              <w:t>（二）概要设计</w:t>
            </w:r>
          </w:p>
          <w:p>
            <w:pPr>
              <w:widowControl/>
              <w:adjustRightInd w:val="0"/>
              <w:snapToGrid w:val="0"/>
              <w:spacing w:line="300" w:lineRule="auto"/>
              <w:rPr>
                <w:bCs/>
                <w:kern w:val="0"/>
                <w:sz w:val="18"/>
                <w:szCs w:val="18"/>
              </w:rPr>
            </w:pPr>
            <w:r>
              <w:rPr>
                <w:bCs/>
                <w:kern w:val="0"/>
                <w:sz w:val="18"/>
                <w:szCs w:val="18"/>
              </w:rPr>
              <w:t>（1）说明本系统中用到的所有函数的定义、主程序的流程以及各程序模块之间的层次(调用)关系。</w:t>
            </w:r>
          </w:p>
          <w:p>
            <w:pPr>
              <w:widowControl/>
              <w:adjustRightInd w:val="0"/>
              <w:snapToGrid w:val="0"/>
              <w:spacing w:line="300" w:lineRule="auto"/>
              <w:rPr>
                <w:bCs/>
                <w:kern w:val="0"/>
                <w:sz w:val="18"/>
                <w:szCs w:val="18"/>
              </w:rPr>
            </w:pPr>
            <w:r>
              <w:rPr>
                <w:bCs/>
                <w:kern w:val="0"/>
                <w:sz w:val="18"/>
                <w:szCs w:val="18"/>
              </w:rPr>
              <w:t>（2）说明本系统中用到的硬件平台外部端口与顶层文件之间的映射关系。</w:t>
            </w:r>
          </w:p>
          <w:p>
            <w:pPr>
              <w:widowControl/>
              <w:adjustRightInd w:val="0"/>
              <w:snapToGrid w:val="0"/>
              <w:spacing w:line="300" w:lineRule="auto"/>
              <w:rPr>
                <w:bCs/>
                <w:kern w:val="0"/>
                <w:sz w:val="18"/>
                <w:szCs w:val="18"/>
              </w:rPr>
            </w:pPr>
            <w:r>
              <w:rPr>
                <w:bCs/>
                <w:kern w:val="0"/>
                <w:sz w:val="18"/>
                <w:szCs w:val="18"/>
              </w:rPr>
              <w:t>（三）详细设计</w:t>
            </w:r>
          </w:p>
          <w:p>
            <w:pPr>
              <w:widowControl/>
              <w:adjustRightInd w:val="0"/>
              <w:snapToGrid w:val="0"/>
              <w:spacing w:line="300" w:lineRule="auto"/>
              <w:rPr>
                <w:bCs/>
                <w:kern w:val="0"/>
                <w:sz w:val="18"/>
                <w:szCs w:val="18"/>
              </w:rPr>
            </w:pPr>
            <w:r>
              <w:rPr>
                <w:bCs/>
                <w:kern w:val="0"/>
                <w:sz w:val="18"/>
                <w:szCs w:val="18"/>
              </w:rPr>
              <w:t>描述概要设计中定义的所有模块，对每个操作需要写出算法；对顶层文件和其他模块也都需要写出算法；可采用流程图进行描述，画出函数和过程的调用关系图。</w:t>
            </w:r>
          </w:p>
          <w:p>
            <w:pPr>
              <w:widowControl/>
              <w:adjustRightInd w:val="0"/>
              <w:snapToGrid w:val="0"/>
              <w:spacing w:line="300" w:lineRule="auto"/>
              <w:rPr>
                <w:bCs/>
                <w:kern w:val="0"/>
                <w:sz w:val="18"/>
                <w:szCs w:val="18"/>
              </w:rPr>
            </w:pPr>
            <w:r>
              <w:rPr>
                <w:bCs/>
                <w:kern w:val="0"/>
                <w:sz w:val="18"/>
                <w:szCs w:val="18"/>
              </w:rPr>
              <w:t>（四）调试分析</w:t>
            </w:r>
          </w:p>
          <w:p>
            <w:pPr>
              <w:widowControl/>
              <w:adjustRightInd w:val="0"/>
              <w:snapToGrid w:val="0"/>
              <w:spacing w:line="300" w:lineRule="auto"/>
              <w:rPr>
                <w:bCs/>
                <w:kern w:val="0"/>
                <w:sz w:val="18"/>
                <w:szCs w:val="18"/>
              </w:rPr>
            </w:pPr>
            <w:r>
              <w:rPr>
                <w:bCs/>
                <w:kern w:val="0"/>
                <w:sz w:val="18"/>
                <w:szCs w:val="18"/>
              </w:rPr>
              <w:t>（1）调试过程中遇到的问题是如何解决的以及对设计与实现的回顾讨论和分析；</w:t>
            </w:r>
          </w:p>
          <w:p>
            <w:pPr>
              <w:widowControl/>
              <w:adjustRightInd w:val="0"/>
              <w:snapToGrid w:val="0"/>
              <w:spacing w:line="300" w:lineRule="auto"/>
              <w:rPr>
                <w:bCs/>
                <w:kern w:val="0"/>
                <w:sz w:val="18"/>
                <w:szCs w:val="18"/>
              </w:rPr>
            </w:pPr>
            <w:r>
              <w:rPr>
                <w:bCs/>
                <w:kern w:val="0"/>
                <w:sz w:val="18"/>
                <w:szCs w:val="18"/>
              </w:rPr>
              <w:t>（2）描述业务流程的合理性与便捷性的验证以及改善过程等。</w:t>
            </w:r>
          </w:p>
          <w:p>
            <w:pPr>
              <w:widowControl/>
              <w:adjustRightInd w:val="0"/>
              <w:snapToGrid w:val="0"/>
              <w:spacing w:line="300" w:lineRule="auto"/>
              <w:rPr>
                <w:bCs/>
                <w:kern w:val="0"/>
                <w:sz w:val="18"/>
                <w:szCs w:val="18"/>
              </w:rPr>
            </w:pPr>
            <w:r>
              <w:rPr>
                <w:bCs/>
                <w:kern w:val="0"/>
                <w:sz w:val="18"/>
                <w:szCs w:val="18"/>
              </w:rPr>
              <w:t>（五）用户使用说明</w:t>
            </w:r>
          </w:p>
          <w:p>
            <w:pPr>
              <w:widowControl/>
              <w:adjustRightInd w:val="0"/>
              <w:snapToGrid w:val="0"/>
              <w:spacing w:line="300" w:lineRule="auto"/>
              <w:rPr>
                <w:bCs/>
                <w:kern w:val="0"/>
                <w:sz w:val="18"/>
                <w:szCs w:val="18"/>
              </w:rPr>
            </w:pPr>
            <w:r>
              <w:rPr>
                <w:bCs/>
                <w:kern w:val="0"/>
                <w:sz w:val="18"/>
                <w:szCs w:val="18"/>
              </w:rPr>
              <w:t>说明如何使用所开发的电子产品，详细列出每一步的操作步骤。</w:t>
            </w:r>
          </w:p>
          <w:p>
            <w:pPr>
              <w:widowControl/>
              <w:adjustRightInd w:val="0"/>
              <w:snapToGrid w:val="0"/>
              <w:spacing w:line="300" w:lineRule="auto"/>
              <w:rPr>
                <w:bCs/>
                <w:kern w:val="0"/>
                <w:sz w:val="18"/>
                <w:szCs w:val="18"/>
              </w:rPr>
            </w:pPr>
            <w:r>
              <w:rPr>
                <w:bCs/>
                <w:kern w:val="0"/>
                <w:sz w:val="18"/>
                <w:szCs w:val="18"/>
              </w:rPr>
              <w:t>（六）测试结果</w:t>
            </w:r>
          </w:p>
          <w:p>
            <w:pPr>
              <w:widowControl/>
              <w:adjustRightInd w:val="0"/>
              <w:snapToGrid w:val="0"/>
              <w:spacing w:line="300" w:lineRule="auto"/>
              <w:rPr>
                <w:bCs/>
                <w:kern w:val="0"/>
                <w:sz w:val="18"/>
                <w:szCs w:val="18"/>
              </w:rPr>
            </w:pPr>
            <w:r>
              <w:rPr>
                <w:bCs/>
                <w:kern w:val="0"/>
                <w:sz w:val="18"/>
                <w:szCs w:val="18"/>
              </w:rPr>
              <w:t>列出系统的测试结果，包括输入和输出。这里的测试数据应该完整和严格，最好多于需求分析中所列。</w:t>
            </w:r>
          </w:p>
          <w:p>
            <w:pPr>
              <w:widowControl/>
              <w:adjustRightInd w:val="0"/>
              <w:snapToGrid w:val="0"/>
              <w:spacing w:line="300" w:lineRule="auto"/>
              <w:rPr>
                <w:bCs/>
                <w:kern w:val="0"/>
                <w:sz w:val="18"/>
                <w:szCs w:val="18"/>
              </w:rPr>
            </w:pPr>
            <w:r>
              <w:rPr>
                <w:bCs/>
                <w:kern w:val="0"/>
                <w:sz w:val="18"/>
                <w:szCs w:val="18"/>
              </w:rPr>
              <w:t>（七）总结</w:t>
            </w:r>
          </w:p>
          <w:p>
            <w:pPr>
              <w:widowControl/>
              <w:adjustRightInd w:val="0"/>
              <w:snapToGrid w:val="0"/>
              <w:spacing w:line="300" w:lineRule="auto"/>
              <w:rPr>
                <w:bCs/>
                <w:kern w:val="0"/>
                <w:sz w:val="18"/>
                <w:szCs w:val="18"/>
              </w:rPr>
            </w:pPr>
            <w:r>
              <w:rPr>
                <w:bCs/>
                <w:kern w:val="0"/>
                <w:sz w:val="18"/>
                <w:szCs w:val="18"/>
              </w:rPr>
              <w:t>总结所开发系统的优缺点，在设计过程中遇到的问题和解决办法，对于团队合作的经验和体会等。</w:t>
            </w:r>
          </w:p>
          <w:p>
            <w:pPr>
              <w:widowControl/>
              <w:adjustRightInd w:val="0"/>
              <w:snapToGrid w:val="0"/>
              <w:spacing w:line="300" w:lineRule="auto"/>
              <w:rPr>
                <w:bCs/>
                <w:kern w:val="0"/>
                <w:sz w:val="18"/>
                <w:szCs w:val="18"/>
              </w:rPr>
            </w:pPr>
            <w:r>
              <w:rPr>
                <w:bCs/>
                <w:kern w:val="0"/>
                <w:sz w:val="18"/>
                <w:szCs w:val="18"/>
              </w:rPr>
              <w:t>（八）参考文献</w:t>
            </w:r>
          </w:p>
          <w:p>
            <w:pPr>
              <w:widowControl/>
              <w:adjustRightInd w:val="0"/>
              <w:snapToGrid w:val="0"/>
              <w:spacing w:line="300" w:lineRule="auto"/>
              <w:rPr>
                <w:bCs/>
                <w:kern w:val="0"/>
                <w:sz w:val="18"/>
                <w:szCs w:val="18"/>
              </w:rPr>
            </w:pPr>
            <w:r>
              <w:rPr>
                <w:bCs/>
                <w:kern w:val="0"/>
                <w:sz w:val="18"/>
                <w:szCs w:val="18"/>
              </w:rPr>
              <w:t>列出参考的相关资料和书籍。</w:t>
            </w:r>
          </w:p>
          <w:p>
            <w:pPr>
              <w:widowControl/>
              <w:adjustRightInd w:val="0"/>
              <w:snapToGrid w:val="0"/>
              <w:spacing w:line="300" w:lineRule="auto"/>
              <w:rPr>
                <w:bCs/>
                <w:kern w:val="0"/>
                <w:sz w:val="18"/>
                <w:szCs w:val="18"/>
              </w:rPr>
            </w:pPr>
            <w:r>
              <w:rPr>
                <w:bCs/>
                <w:kern w:val="0"/>
                <w:sz w:val="18"/>
                <w:szCs w:val="18"/>
              </w:rPr>
              <w:t>（九）建议和设想 (此部分可选作)</w:t>
            </w:r>
          </w:p>
        </w:tc>
        <w:tc>
          <w:tcPr>
            <w:tcW w:w="593" w:type="dxa"/>
            <w:vAlign w:val="center"/>
          </w:tcPr>
          <w:p>
            <w:pPr>
              <w:pStyle w:val="55"/>
              <w:ind w:right="183"/>
              <w:jc w:val="center"/>
              <w:rPr>
                <w:rFonts w:ascii="Times New Roman" w:hAnsi="Times New Roman" w:cs="Times New Roman"/>
                <w:sz w:val="18"/>
              </w:rPr>
            </w:pPr>
            <w:r>
              <w:rPr>
                <w:rFonts w:ascii="Times New Roman" w:hAnsi="Times New Roman" w:cs="Times New Roman"/>
                <w:kern w:val="0"/>
                <w:sz w:val="18"/>
                <w:szCs w:val="18"/>
              </w:rPr>
              <w:t>1周</w:t>
            </w:r>
          </w:p>
        </w:tc>
      </w:tr>
    </w:tbl>
    <w:p>
      <w:pPr>
        <w:snapToGrid w:val="0"/>
        <w:spacing w:before="159" w:beforeLines="50" w:after="159" w:afterLines="50" w:line="300" w:lineRule="auto"/>
        <w:rPr>
          <w:b/>
          <w:sz w:val="24"/>
        </w:rPr>
      </w:pPr>
      <w:r>
        <w:rPr>
          <w:b/>
          <w:sz w:val="24"/>
        </w:rPr>
        <w:t xml:space="preserve">五、课程考核及成绩评定 </w:t>
      </w:r>
    </w:p>
    <w:p>
      <w:pPr>
        <w:snapToGrid w:val="0"/>
        <w:spacing w:line="300" w:lineRule="auto"/>
        <w:ind w:firstLine="420" w:firstLineChars="200"/>
      </w:pPr>
      <w:r>
        <w:rPr>
          <w:rFonts w:hint="eastAsia"/>
        </w:rPr>
        <w:t xml:space="preserve">1．考核方式：考查。 </w:t>
      </w:r>
    </w:p>
    <w:p>
      <w:pPr>
        <w:snapToGrid w:val="0"/>
        <w:spacing w:line="300" w:lineRule="auto"/>
        <w:ind w:firstLine="420" w:firstLineChars="200"/>
      </w:pPr>
      <w:r>
        <w:rPr>
          <w:rFonts w:hint="eastAsia"/>
        </w:rPr>
        <w:t>2．成绩构成：根据系统演示与答辩的表现、以及实习报告进行综合评定，给出优、良、中、及格、不及格五个等级。凡成绩不及格者，必须重修。</w:t>
      </w:r>
    </w:p>
    <w:p>
      <w:pPr>
        <w:snapToGrid w:val="0"/>
        <w:spacing w:line="300" w:lineRule="auto"/>
        <w:ind w:firstLine="420" w:firstLineChars="200"/>
      </w:pPr>
      <w:r>
        <w:rPr>
          <w:rFonts w:hint="eastAsia"/>
        </w:rPr>
        <w:t>总成绩 = 软件演示（60%）+ 实习文档（40%）</w:t>
      </w:r>
    </w:p>
    <w:p>
      <w:pPr>
        <w:snapToGrid w:val="0"/>
        <w:spacing w:line="300" w:lineRule="auto"/>
        <w:ind w:firstLine="420" w:firstLineChars="200"/>
      </w:pPr>
      <w:r>
        <w:rPr>
          <w:rFonts w:hint="eastAsia"/>
        </w:rPr>
        <w:t>（1）实习日志要每天填写一篇，共7篇，把实习内容，实习目的和要求，实习完成情况，收获与体会</w:t>
      </w:r>
      <w:r>
        <w:rPr>
          <w:rFonts w:hint="eastAsia"/>
          <w:bCs/>
          <w:szCs w:val="21"/>
        </w:rPr>
        <w:t>等填写好</w:t>
      </w:r>
      <w:r>
        <w:rPr>
          <w:rFonts w:hint="eastAsia"/>
        </w:rPr>
        <w:t>。</w:t>
      </w:r>
    </w:p>
    <w:p>
      <w:pPr>
        <w:snapToGrid w:val="0"/>
        <w:spacing w:line="300" w:lineRule="auto"/>
        <w:ind w:firstLine="420" w:firstLineChars="200"/>
      </w:pPr>
      <w:r>
        <w:rPr>
          <w:rFonts w:hint="eastAsia"/>
        </w:rPr>
        <w:t>（2）实习报告（总结）的内容符合表3中已经讲述的“实习报告撰写的内容要求”。</w:t>
      </w:r>
      <w:r>
        <w:t xml:space="preserve"> </w:t>
      </w:r>
    </w:p>
    <w:p>
      <w:pPr>
        <w:snapToGrid w:val="0"/>
        <w:spacing w:line="300" w:lineRule="auto"/>
        <w:ind w:firstLine="420" w:firstLineChars="200"/>
      </w:pPr>
      <w:r>
        <w:t xml:space="preserve">3.考核评价标准： </w:t>
      </w:r>
    </w:p>
    <w:p>
      <w:pPr>
        <w:snapToGrid w:val="0"/>
        <w:spacing w:line="300" w:lineRule="auto"/>
        <w:ind w:firstLine="420" w:firstLineChars="200"/>
      </w:pPr>
      <w:r>
        <w:t>实习表现由指导教师根据实习期间的操作情况、积极性、遵守纪律、是否独立完成实习成果等方面情况等评定；实习日记是对实习过程的记录，实习报告是对整个实习课程的总结。应明确实习表现、实习日记和实习报告等环节权重，应具体写明对实习日记和实习报告的写作要求及评价标准，应有成绩评定的评语，应留存考核和成绩评定的各种原始资料。</w:t>
      </w:r>
    </w:p>
    <w:p>
      <w:pPr>
        <w:snapToGrid w:val="0"/>
        <w:spacing w:line="300" w:lineRule="auto"/>
        <w:ind w:firstLine="420" w:firstLineChars="200"/>
      </w:pPr>
      <w:r>
        <w:t>电子产品以及实习报告内容主要依据以下8个方面的要求进行：(1)代码可读性是否良好；(2)电子产品是否易于操作；(3)产品功能演示结果是否正确；(4)需求分析是否充分与合理；(5)概要设计与详细设计的内容是否详实；(6)用户使用说明是否详细；(7)总结是否认真；(8)报告格式是否规范。</w:t>
      </w:r>
    </w:p>
    <w:p>
      <w:pPr>
        <w:snapToGrid w:val="0"/>
        <w:spacing w:line="300" w:lineRule="auto"/>
        <w:ind w:firstLine="420" w:firstLineChars="200"/>
        <w:rPr>
          <w:b/>
          <w:bCs/>
          <w:sz w:val="18"/>
          <w:szCs w:val="18"/>
        </w:rPr>
      </w:pPr>
      <w:r>
        <w:t>具体考核评价标准见表4所示。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538"/>
        <w:gridCol w:w="437"/>
        <w:gridCol w:w="543"/>
        <w:gridCol w:w="4990"/>
        <w:gridCol w:w="83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01" w:type="pct"/>
            <w:vAlign w:val="center"/>
          </w:tcPr>
          <w:p>
            <w:pPr>
              <w:adjustRightInd w:val="0"/>
              <w:snapToGrid w:val="0"/>
              <w:jc w:val="center"/>
              <w:rPr>
                <w:b/>
                <w:bCs/>
                <w:sz w:val="18"/>
                <w:szCs w:val="18"/>
              </w:rPr>
            </w:pPr>
            <w:r>
              <w:rPr>
                <w:b/>
                <w:bCs/>
                <w:sz w:val="18"/>
                <w:szCs w:val="18"/>
              </w:rPr>
              <w:t>成绩类型</w:t>
            </w:r>
          </w:p>
        </w:tc>
        <w:tc>
          <w:tcPr>
            <w:tcW w:w="289" w:type="pct"/>
            <w:vAlign w:val="center"/>
          </w:tcPr>
          <w:p>
            <w:pPr>
              <w:adjustRightInd w:val="0"/>
              <w:snapToGrid w:val="0"/>
              <w:jc w:val="center"/>
              <w:rPr>
                <w:b/>
                <w:bCs/>
                <w:sz w:val="18"/>
                <w:szCs w:val="18"/>
              </w:rPr>
            </w:pPr>
            <w:r>
              <w:rPr>
                <w:b/>
                <w:bCs/>
                <w:sz w:val="18"/>
                <w:szCs w:val="18"/>
              </w:rPr>
              <w:t>分值</w:t>
            </w:r>
          </w:p>
        </w:tc>
        <w:tc>
          <w:tcPr>
            <w:tcW w:w="235" w:type="pct"/>
            <w:vAlign w:val="center"/>
          </w:tcPr>
          <w:p>
            <w:pPr>
              <w:adjustRightInd w:val="0"/>
              <w:snapToGrid w:val="0"/>
              <w:jc w:val="center"/>
              <w:rPr>
                <w:b/>
                <w:bCs/>
                <w:sz w:val="18"/>
                <w:szCs w:val="18"/>
              </w:rPr>
            </w:pPr>
            <w:r>
              <w:rPr>
                <w:b/>
                <w:bCs/>
                <w:sz w:val="18"/>
                <w:szCs w:val="18"/>
              </w:rPr>
              <w:t>权重</w:t>
            </w:r>
          </w:p>
        </w:tc>
        <w:tc>
          <w:tcPr>
            <w:tcW w:w="292" w:type="pct"/>
            <w:vAlign w:val="center"/>
          </w:tcPr>
          <w:p>
            <w:pPr>
              <w:adjustRightInd w:val="0"/>
              <w:snapToGrid w:val="0"/>
              <w:jc w:val="center"/>
              <w:rPr>
                <w:b/>
                <w:bCs/>
                <w:sz w:val="18"/>
                <w:szCs w:val="18"/>
              </w:rPr>
            </w:pPr>
            <w:r>
              <w:rPr>
                <w:b/>
                <w:bCs/>
                <w:sz w:val="18"/>
                <w:szCs w:val="18"/>
              </w:rPr>
              <w:t>类别</w:t>
            </w:r>
          </w:p>
        </w:tc>
        <w:tc>
          <w:tcPr>
            <w:tcW w:w="2681" w:type="pct"/>
            <w:vAlign w:val="center"/>
          </w:tcPr>
          <w:p>
            <w:pPr>
              <w:adjustRightInd w:val="0"/>
              <w:snapToGrid w:val="0"/>
              <w:jc w:val="center"/>
              <w:rPr>
                <w:b/>
                <w:bCs/>
                <w:sz w:val="18"/>
                <w:szCs w:val="18"/>
              </w:rPr>
            </w:pPr>
            <w:r>
              <w:rPr>
                <w:b/>
                <w:bCs/>
                <w:sz w:val="18"/>
                <w:szCs w:val="18"/>
              </w:rPr>
              <w:t>考核/评价细则</w:t>
            </w:r>
          </w:p>
        </w:tc>
        <w:tc>
          <w:tcPr>
            <w:tcW w:w="449" w:type="pct"/>
            <w:vAlign w:val="center"/>
          </w:tcPr>
          <w:p>
            <w:pPr>
              <w:adjustRightInd w:val="0"/>
              <w:snapToGrid w:val="0"/>
              <w:jc w:val="center"/>
              <w:rPr>
                <w:b/>
                <w:bCs/>
                <w:sz w:val="18"/>
                <w:szCs w:val="18"/>
              </w:rPr>
            </w:pPr>
            <w:r>
              <w:rPr>
                <w:b/>
                <w:bCs/>
                <w:sz w:val="18"/>
                <w:szCs w:val="18"/>
              </w:rPr>
              <w:t>课程目标</w:t>
            </w:r>
          </w:p>
        </w:tc>
        <w:tc>
          <w:tcPr>
            <w:tcW w:w="750" w:type="pct"/>
            <w:vAlign w:val="center"/>
          </w:tcPr>
          <w:p>
            <w:pPr>
              <w:adjustRightInd w:val="0"/>
              <w:snapToGrid w:val="0"/>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1" w:type="pct"/>
            <w:vAlign w:val="center"/>
          </w:tcPr>
          <w:p>
            <w:pPr>
              <w:adjustRightInd w:val="0"/>
              <w:snapToGrid w:val="0"/>
              <w:spacing w:line="300" w:lineRule="auto"/>
              <w:rPr>
                <w:sz w:val="18"/>
                <w:szCs w:val="18"/>
              </w:rPr>
            </w:pPr>
            <w:r>
              <w:rPr>
                <w:rFonts w:hint="eastAsia"/>
                <w:sz w:val="18"/>
                <w:szCs w:val="18"/>
              </w:rPr>
              <w:t>软件演示</w:t>
            </w:r>
          </w:p>
        </w:tc>
        <w:tc>
          <w:tcPr>
            <w:tcW w:w="289" w:type="pct"/>
            <w:vAlign w:val="center"/>
          </w:tcPr>
          <w:p>
            <w:pPr>
              <w:adjustRightInd w:val="0"/>
              <w:snapToGrid w:val="0"/>
              <w:spacing w:line="300" w:lineRule="auto"/>
              <w:jc w:val="center"/>
              <w:rPr>
                <w:sz w:val="18"/>
                <w:szCs w:val="18"/>
              </w:rPr>
            </w:pPr>
            <w:r>
              <w:rPr>
                <w:sz w:val="18"/>
                <w:szCs w:val="18"/>
              </w:rPr>
              <w:t>100</w:t>
            </w:r>
          </w:p>
        </w:tc>
        <w:tc>
          <w:tcPr>
            <w:tcW w:w="235" w:type="pct"/>
            <w:vAlign w:val="center"/>
          </w:tcPr>
          <w:p>
            <w:pPr>
              <w:adjustRightInd w:val="0"/>
              <w:snapToGrid w:val="0"/>
              <w:spacing w:line="300" w:lineRule="auto"/>
              <w:jc w:val="center"/>
              <w:rPr>
                <w:sz w:val="18"/>
                <w:szCs w:val="18"/>
              </w:rPr>
            </w:pPr>
            <w:r>
              <w:rPr>
                <w:sz w:val="18"/>
                <w:szCs w:val="18"/>
              </w:rPr>
              <w:t>0.</w:t>
            </w:r>
            <w:r>
              <w:rPr>
                <w:rFonts w:hint="eastAsia"/>
                <w:sz w:val="18"/>
                <w:szCs w:val="18"/>
              </w:rPr>
              <w:t>6</w:t>
            </w:r>
          </w:p>
        </w:tc>
        <w:tc>
          <w:tcPr>
            <w:tcW w:w="292" w:type="pct"/>
            <w:vAlign w:val="center"/>
          </w:tcPr>
          <w:p>
            <w:pPr>
              <w:adjustRightInd w:val="0"/>
              <w:snapToGrid w:val="0"/>
              <w:spacing w:line="300" w:lineRule="auto"/>
              <w:rPr>
                <w:sz w:val="18"/>
                <w:szCs w:val="18"/>
              </w:rPr>
            </w:pPr>
            <w:r>
              <w:rPr>
                <w:sz w:val="18"/>
                <w:szCs w:val="18"/>
              </w:rPr>
              <w:t>实操</w:t>
            </w:r>
          </w:p>
        </w:tc>
        <w:tc>
          <w:tcPr>
            <w:tcW w:w="2681" w:type="pct"/>
            <w:vAlign w:val="center"/>
          </w:tcPr>
          <w:p>
            <w:pPr>
              <w:adjustRightInd w:val="0"/>
              <w:snapToGrid w:val="0"/>
              <w:spacing w:line="300" w:lineRule="auto"/>
              <w:rPr>
                <w:sz w:val="18"/>
                <w:szCs w:val="18"/>
              </w:rPr>
            </w:pPr>
            <w:r>
              <w:rPr>
                <w:sz w:val="18"/>
                <w:szCs w:val="18"/>
              </w:rPr>
              <w:t>依据现场验收演示的结果，</w:t>
            </w:r>
            <w:r>
              <w:rPr>
                <w:rFonts w:hint="eastAsia"/>
                <w:sz w:val="18"/>
                <w:szCs w:val="18"/>
              </w:rPr>
              <w:t>依据软件讲解、模块设计等分项指标打分，并</w:t>
            </w:r>
            <w:r>
              <w:rPr>
                <w:sz w:val="18"/>
                <w:szCs w:val="18"/>
              </w:rPr>
              <w:t>给出</w:t>
            </w:r>
            <w:r>
              <w:rPr>
                <w:rFonts w:hint="eastAsia"/>
                <w:sz w:val="18"/>
                <w:szCs w:val="18"/>
              </w:rPr>
              <w:t>总</w:t>
            </w:r>
            <w:r>
              <w:rPr>
                <w:sz w:val="18"/>
                <w:szCs w:val="18"/>
              </w:rPr>
              <w:t>评。</w:t>
            </w:r>
          </w:p>
          <w:p>
            <w:pPr>
              <w:adjustRightInd w:val="0"/>
              <w:snapToGrid w:val="0"/>
              <w:spacing w:line="300" w:lineRule="auto"/>
              <w:rPr>
                <w:sz w:val="18"/>
                <w:szCs w:val="18"/>
              </w:rPr>
            </w:pPr>
            <w:r>
              <w:rPr>
                <w:rFonts w:hint="eastAsia"/>
                <w:sz w:val="18"/>
                <w:szCs w:val="18"/>
              </w:rPr>
              <w:t>占</w:t>
            </w:r>
            <w:r>
              <w:rPr>
                <w:sz w:val="18"/>
                <w:szCs w:val="18"/>
              </w:rPr>
              <w:t>课程总评成绩</w:t>
            </w:r>
            <w:r>
              <w:rPr>
                <w:rFonts w:hint="eastAsia"/>
                <w:sz w:val="18"/>
                <w:szCs w:val="18"/>
              </w:rPr>
              <w:t>60分。</w:t>
            </w:r>
          </w:p>
        </w:tc>
        <w:tc>
          <w:tcPr>
            <w:tcW w:w="449" w:type="pct"/>
            <w:vAlign w:val="center"/>
          </w:tcPr>
          <w:p>
            <w:pPr>
              <w:adjustRightInd w:val="0"/>
              <w:snapToGrid w:val="0"/>
              <w:spacing w:line="300" w:lineRule="auto"/>
              <w:jc w:val="center"/>
              <w:rPr>
                <w:sz w:val="18"/>
                <w:szCs w:val="18"/>
              </w:rPr>
            </w:pPr>
            <w:r>
              <w:rPr>
                <w:rFonts w:hint="eastAsia"/>
                <w:sz w:val="18"/>
                <w:szCs w:val="18"/>
              </w:rPr>
              <w:t>1</w:t>
            </w:r>
          </w:p>
        </w:tc>
        <w:tc>
          <w:tcPr>
            <w:tcW w:w="750" w:type="pct"/>
            <w:vAlign w:val="center"/>
          </w:tcPr>
          <w:p>
            <w:pPr>
              <w:adjustRightInd w:val="0"/>
              <w:snapToGrid w:val="0"/>
              <w:spacing w:line="300" w:lineRule="auto"/>
              <w:jc w:val="center"/>
              <w:rPr>
                <w:sz w:val="18"/>
                <w:szCs w:val="18"/>
              </w:rPr>
            </w:pPr>
            <w:r>
              <w:rPr>
                <w:rFonts w:hint="eastAsia"/>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1" w:type="pct"/>
            <w:vAlign w:val="center"/>
          </w:tcPr>
          <w:p>
            <w:pPr>
              <w:adjustRightInd w:val="0"/>
              <w:snapToGrid w:val="0"/>
              <w:spacing w:line="300" w:lineRule="auto"/>
              <w:rPr>
                <w:sz w:val="18"/>
                <w:szCs w:val="18"/>
              </w:rPr>
            </w:pPr>
            <w:r>
              <w:rPr>
                <w:sz w:val="18"/>
                <w:szCs w:val="18"/>
              </w:rPr>
              <w:t>实习</w:t>
            </w:r>
          </w:p>
          <w:p>
            <w:pPr>
              <w:adjustRightInd w:val="0"/>
              <w:snapToGrid w:val="0"/>
              <w:spacing w:line="300" w:lineRule="auto"/>
              <w:rPr>
                <w:sz w:val="18"/>
                <w:szCs w:val="18"/>
              </w:rPr>
            </w:pPr>
            <w:r>
              <w:rPr>
                <w:rFonts w:hint="eastAsia"/>
                <w:sz w:val="18"/>
                <w:szCs w:val="18"/>
              </w:rPr>
              <w:t>文档</w:t>
            </w:r>
          </w:p>
        </w:tc>
        <w:tc>
          <w:tcPr>
            <w:tcW w:w="289" w:type="pct"/>
            <w:vAlign w:val="center"/>
          </w:tcPr>
          <w:p>
            <w:pPr>
              <w:adjustRightInd w:val="0"/>
              <w:snapToGrid w:val="0"/>
              <w:spacing w:line="300" w:lineRule="auto"/>
              <w:jc w:val="center"/>
              <w:rPr>
                <w:sz w:val="18"/>
                <w:szCs w:val="18"/>
              </w:rPr>
            </w:pPr>
            <w:r>
              <w:rPr>
                <w:sz w:val="18"/>
                <w:szCs w:val="18"/>
              </w:rPr>
              <w:t>100</w:t>
            </w:r>
          </w:p>
        </w:tc>
        <w:tc>
          <w:tcPr>
            <w:tcW w:w="235" w:type="pct"/>
            <w:vAlign w:val="center"/>
          </w:tcPr>
          <w:p>
            <w:pPr>
              <w:adjustRightInd w:val="0"/>
              <w:snapToGrid w:val="0"/>
              <w:spacing w:line="300" w:lineRule="auto"/>
              <w:jc w:val="center"/>
              <w:rPr>
                <w:sz w:val="18"/>
                <w:szCs w:val="18"/>
              </w:rPr>
            </w:pPr>
            <w:r>
              <w:rPr>
                <w:sz w:val="18"/>
                <w:szCs w:val="18"/>
              </w:rPr>
              <w:t>0.</w:t>
            </w:r>
            <w:r>
              <w:rPr>
                <w:rFonts w:hint="eastAsia"/>
                <w:sz w:val="18"/>
                <w:szCs w:val="18"/>
              </w:rPr>
              <w:t>4</w:t>
            </w:r>
          </w:p>
        </w:tc>
        <w:tc>
          <w:tcPr>
            <w:tcW w:w="292" w:type="pct"/>
            <w:vAlign w:val="center"/>
          </w:tcPr>
          <w:p>
            <w:pPr>
              <w:adjustRightInd w:val="0"/>
              <w:snapToGrid w:val="0"/>
              <w:spacing w:line="300" w:lineRule="auto"/>
              <w:rPr>
                <w:sz w:val="18"/>
                <w:szCs w:val="18"/>
              </w:rPr>
            </w:pPr>
            <w:r>
              <w:rPr>
                <w:sz w:val="18"/>
                <w:szCs w:val="18"/>
              </w:rPr>
              <w:t>报告和日志</w:t>
            </w:r>
          </w:p>
        </w:tc>
        <w:tc>
          <w:tcPr>
            <w:tcW w:w="2681" w:type="pct"/>
            <w:vAlign w:val="center"/>
          </w:tcPr>
          <w:p>
            <w:pPr>
              <w:adjustRightInd w:val="0"/>
              <w:snapToGrid w:val="0"/>
              <w:spacing w:line="300" w:lineRule="auto"/>
              <w:rPr>
                <w:sz w:val="18"/>
                <w:szCs w:val="18"/>
              </w:rPr>
            </w:pPr>
            <w:r>
              <w:rPr>
                <w:sz w:val="18"/>
                <w:szCs w:val="18"/>
              </w:rPr>
              <w:t xml:space="preserve">（1）实习日志要每天填写一篇，共 10 篇，把实习内容，实习目的和要求，实习完成情况，收获与体会。 </w:t>
            </w:r>
          </w:p>
          <w:p>
            <w:pPr>
              <w:adjustRightInd w:val="0"/>
              <w:snapToGrid w:val="0"/>
              <w:spacing w:line="300" w:lineRule="auto"/>
              <w:rPr>
                <w:sz w:val="18"/>
                <w:szCs w:val="18"/>
              </w:rPr>
            </w:pPr>
            <w:r>
              <w:rPr>
                <w:sz w:val="18"/>
                <w:szCs w:val="18"/>
              </w:rPr>
              <w:t>（2）实习报告（总结）的内容</w:t>
            </w:r>
            <w:r>
              <w:rPr>
                <w:rFonts w:hint="eastAsia"/>
                <w:sz w:val="18"/>
                <w:szCs w:val="18"/>
              </w:rPr>
              <w:t>符合表3中已经讲述的“实习报告撰写的内容要求”</w:t>
            </w:r>
            <w:r>
              <w:rPr>
                <w:sz w:val="18"/>
                <w:szCs w:val="18"/>
              </w:rPr>
              <w:t>。</w:t>
            </w:r>
          </w:p>
          <w:p>
            <w:pPr>
              <w:adjustRightInd w:val="0"/>
              <w:snapToGrid w:val="0"/>
              <w:spacing w:line="300" w:lineRule="auto"/>
              <w:rPr>
                <w:sz w:val="18"/>
                <w:szCs w:val="18"/>
              </w:rPr>
            </w:pPr>
            <w:r>
              <w:rPr>
                <w:rFonts w:hint="eastAsia"/>
                <w:sz w:val="18"/>
                <w:szCs w:val="18"/>
              </w:rPr>
              <w:t>占</w:t>
            </w:r>
            <w:r>
              <w:rPr>
                <w:sz w:val="18"/>
                <w:szCs w:val="18"/>
              </w:rPr>
              <w:t>课程总评成绩</w:t>
            </w:r>
            <w:r>
              <w:rPr>
                <w:rFonts w:hint="eastAsia"/>
                <w:sz w:val="18"/>
                <w:szCs w:val="18"/>
              </w:rPr>
              <w:t>40分。</w:t>
            </w:r>
          </w:p>
        </w:tc>
        <w:tc>
          <w:tcPr>
            <w:tcW w:w="449" w:type="pct"/>
            <w:vAlign w:val="center"/>
          </w:tcPr>
          <w:p>
            <w:pPr>
              <w:adjustRightInd w:val="0"/>
              <w:snapToGrid w:val="0"/>
              <w:spacing w:line="300" w:lineRule="auto"/>
              <w:jc w:val="center"/>
              <w:rPr>
                <w:sz w:val="18"/>
                <w:szCs w:val="18"/>
              </w:rPr>
            </w:pPr>
            <w:r>
              <w:rPr>
                <w:rFonts w:hint="eastAsia"/>
                <w:sz w:val="18"/>
                <w:szCs w:val="18"/>
              </w:rPr>
              <w:t>1，2</w:t>
            </w:r>
          </w:p>
        </w:tc>
        <w:tc>
          <w:tcPr>
            <w:tcW w:w="750" w:type="pct"/>
            <w:vAlign w:val="center"/>
          </w:tcPr>
          <w:p>
            <w:pPr>
              <w:adjustRightInd w:val="0"/>
              <w:snapToGrid w:val="0"/>
              <w:spacing w:line="300" w:lineRule="auto"/>
              <w:jc w:val="center"/>
              <w:rPr>
                <w:sz w:val="18"/>
                <w:szCs w:val="18"/>
              </w:rPr>
            </w:pPr>
            <w:r>
              <w:rPr>
                <w:rFonts w:hint="eastAsia"/>
                <w:sz w:val="18"/>
                <w:szCs w:val="18"/>
              </w:rPr>
              <w:t>3.2，10.1</w:t>
            </w:r>
          </w:p>
        </w:tc>
      </w:tr>
    </w:tbl>
    <w:p>
      <w:pPr>
        <w:snapToGrid w:val="0"/>
        <w:spacing w:before="159" w:beforeLines="50" w:after="159" w:afterLines="50" w:line="300" w:lineRule="auto"/>
        <w:rPr>
          <w:b/>
          <w:sz w:val="24"/>
        </w:rPr>
      </w:pPr>
      <w:r>
        <w:rPr>
          <w:b/>
          <w:sz w:val="24"/>
        </w:rPr>
        <w:t xml:space="preserve">六、课程教学目标达成度评价 </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210" o:spt="75" type="#_x0000_t75" style="height:28.5pt;width:361.5pt;" o:ole="t" filled="f" o:preferrelative="t" stroked="f" coordsize="21600,21600">
            <v:path/>
            <v:fill on="f" focussize="0,0"/>
            <v:stroke on="f" joinstyle="miter"/>
            <v:imagedata r:id="rId36" o:title=""/>
            <o:lock v:ext="edit" aspectratio="t"/>
            <w10:wrap type="none"/>
            <w10:anchorlock/>
          </v:shape>
          <o:OLEObject Type="Embed" ProgID="Equation.3" ShapeID="_x0000_i1210" DrawAspect="Content" ObjectID="_1468075908" r:id="rId238">
            <o:LockedField>false</o:LockedField>
          </o:OLEObject>
        </w:object>
      </w:r>
    </w:p>
    <w:p>
      <w:pPr>
        <w:snapToGrid w:val="0"/>
        <w:spacing w:line="300" w:lineRule="auto"/>
        <w:ind w:firstLine="420" w:firstLineChars="200"/>
      </w:pPr>
      <w:r>
        <w:t>课程总目标达成情况为</w:t>
      </w:r>
      <w:r>
        <w:rPr>
          <w:rFonts w:hint="eastAsia"/>
        </w:rPr>
        <w:t>4</w:t>
      </w:r>
      <w:r>
        <w:t>个课程目标的加权得分率，其计算公式为：</w:t>
      </w:r>
    </w:p>
    <w:p>
      <w:pPr>
        <w:snapToGrid w:val="0"/>
        <w:spacing w:line="300" w:lineRule="auto"/>
        <w:jc w:val="center"/>
      </w:pPr>
      <w:r>
        <w:t xml:space="preserve"> </w:t>
      </w:r>
      <w:r>
        <w:object>
          <v:shape id="_x0000_i1211" o:spt="75" type="#_x0000_t75" style="height:18pt;width:264pt;" o:ole="t" filled="f" o:preferrelative="t" stroked="f" coordsize="21600,21600">
            <v:path/>
            <v:fill on="f" focussize="0,0"/>
            <v:stroke on="f" joinstyle="miter"/>
            <v:imagedata r:id="rId38" o:title=""/>
            <o:lock v:ext="edit" aspectratio="t"/>
            <w10:wrap type="none"/>
            <w10:anchorlock/>
          </v:shape>
          <o:OLEObject Type="Embed" ProgID="Equation.DSMT4" ShapeID="_x0000_i1211" DrawAspect="Content" ObjectID="_1468075909" r:id="rId239">
            <o:LockedField>false</o:LockedField>
          </o:OLEObject>
        </w:object>
      </w:r>
    </w:p>
    <w:p>
      <w:pPr>
        <w:snapToGrid w:val="0"/>
        <w:spacing w:line="300" w:lineRule="auto"/>
      </w:pPr>
      <w:r>
        <w:t>其中权重系数按照表5设定。</w:t>
      </w:r>
    </w:p>
    <w:p>
      <w:pPr>
        <w:snapToGrid w:val="0"/>
        <w:spacing w:line="300" w:lineRule="auto"/>
        <w:jc w:val="center"/>
        <w:rPr>
          <w:b/>
          <w:bCs/>
          <w:sz w:val="18"/>
          <w:szCs w:val="18"/>
        </w:rPr>
      </w:pPr>
      <w:r>
        <w:rPr>
          <w:b/>
          <w:bCs/>
          <w:sz w:val="18"/>
          <w:szCs w:val="18"/>
        </w:rPr>
        <w:t>表5课程目标权重系数</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816"/>
        <w:gridCol w:w="2991"/>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06" w:type="pct"/>
            <w:vAlign w:val="center"/>
          </w:tcPr>
          <w:p>
            <w:pPr>
              <w:snapToGrid w:val="0"/>
              <w:spacing w:line="300" w:lineRule="auto"/>
              <w:jc w:val="center"/>
              <w:rPr>
                <w:b/>
                <w:bCs/>
                <w:sz w:val="18"/>
                <w:szCs w:val="18"/>
              </w:rPr>
            </w:pPr>
            <w:r>
              <w:rPr>
                <w:b/>
                <w:bCs/>
                <w:sz w:val="18"/>
                <w:szCs w:val="18"/>
              </w:rPr>
              <w:t>课程目标</w:t>
            </w:r>
          </w:p>
        </w:tc>
        <w:tc>
          <w:tcPr>
            <w:tcW w:w="1599" w:type="pct"/>
            <w:vAlign w:val="center"/>
          </w:tcPr>
          <w:p>
            <w:pPr>
              <w:snapToGrid w:val="0"/>
              <w:spacing w:line="300" w:lineRule="auto"/>
              <w:jc w:val="center"/>
              <w:rPr>
                <w:sz w:val="18"/>
                <w:szCs w:val="18"/>
              </w:rPr>
            </w:pPr>
            <w:r>
              <w:rPr>
                <w:sz w:val="18"/>
                <w:szCs w:val="18"/>
              </w:rPr>
              <w:t>1</w:t>
            </w:r>
          </w:p>
        </w:tc>
        <w:tc>
          <w:tcPr>
            <w:tcW w:w="1894" w:type="pct"/>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06" w:type="pct"/>
            <w:vAlign w:val="center"/>
          </w:tcPr>
          <w:p>
            <w:pPr>
              <w:snapToGrid w:val="0"/>
              <w:spacing w:line="300" w:lineRule="auto"/>
              <w:jc w:val="center"/>
              <w:rPr>
                <w:b/>
                <w:bCs/>
                <w:sz w:val="18"/>
                <w:szCs w:val="18"/>
              </w:rPr>
            </w:pPr>
            <w:r>
              <w:rPr>
                <w:b/>
                <w:bCs/>
                <w:sz w:val="18"/>
                <w:szCs w:val="18"/>
              </w:rPr>
              <w:t>权重系数</w:t>
            </w:r>
          </w:p>
        </w:tc>
        <w:tc>
          <w:tcPr>
            <w:tcW w:w="1599" w:type="pct"/>
            <w:vAlign w:val="center"/>
          </w:tcPr>
          <w:p>
            <w:pPr>
              <w:snapToGrid w:val="0"/>
              <w:spacing w:line="300" w:lineRule="auto"/>
              <w:jc w:val="center"/>
              <w:rPr>
                <w:sz w:val="18"/>
                <w:szCs w:val="18"/>
              </w:rPr>
            </w:pPr>
            <w:r>
              <w:rPr>
                <w:sz w:val="18"/>
                <w:szCs w:val="18"/>
              </w:rPr>
              <w:t>0.</w:t>
            </w:r>
            <w:r>
              <w:rPr>
                <w:rFonts w:hint="eastAsia"/>
                <w:sz w:val="18"/>
                <w:szCs w:val="18"/>
              </w:rPr>
              <w:t>8</w:t>
            </w:r>
          </w:p>
        </w:tc>
        <w:tc>
          <w:tcPr>
            <w:tcW w:w="1894" w:type="pct"/>
            <w:vAlign w:val="center"/>
          </w:tcPr>
          <w:p>
            <w:pPr>
              <w:snapToGrid w:val="0"/>
              <w:spacing w:line="300" w:lineRule="auto"/>
              <w:jc w:val="center"/>
              <w:rPr>
                <w:sz w:val="18"/>
                <w:szCs w:val="18"/>
              </w:rPr>
            </w:pPr>
            <w:r>
              <w:rPr>
                <w:sz w:val="18"/>
                <w:szCs w:val="18"/>
              </w:rPr>
              <w:t>0.</w:t>
            </w:r>
            <w:r>
              <w:rPr>
                <w:rFonts w:hint="eastAsia"/>
                <w:sz w:val="18"/>
                <w:szCs w:val="18"/>
              </w:rPr>
              <w:t>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212" o:spt="75" type="#_x0000_t75" style="height:18.75pt;width:283.5pt;" o:ole="t" filled="f" o:preferrelative="t" stroked="f" coordsize="21600,21600">
            <v:path/>
            <v:fill on="f" focussize="0,0"/>
            <v:stroke on="f" joinstyle="miter"/>
            <v:imagedata r:id="rId40" o:title=""/>
            <o:lock v:ext="edit" aspectratio="t"/>
            <w10:wrap type="none"/>
            <w10:anchorlock/>
          </v:shape>
          <o:OLEObject Type="Embed" ProgID="Equation.3" ShapeID="_x0000_i1212" DrawAspect="Content" ObjectID="_1468075910" r:id="rId240">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pPr>
      <w:r>
        <w:t>1．教材</w:t>
      </w:r>
    </w:p>
    <w:p>
      <w:pPr>
        <w:snapToGrid w:val="0"/>
        <w:spacing w:line="300" w:lineRule="auto"/>
        <w:ind w:firstLine="420"/>
        <w:rPr>
          <w:szCs w:val="21"/>
        </w:rPr>
      </w:pPr>
      <w:r>
        <w:rPr>
          <w:szCs w:val="21"/>
        </w:rPr>
        <w:t>[1]邹彦.DSP原理及应用[M]，北京：电子工业出版社，2013-05</w:t>
      </w:r>
    </w:p>
    <w:p>
      <w:pPr>
        <w:snapToGrid w:val="0"/>
        <w:spacing w:line="300" w:lineRule="auto"/>
        <w:ind w:firstLine="420"/>
        <w:rPr>
          <w:szCs w:val="21"/>
        </w:rPr>
      </w:pPr>
      <w:r>
        <w:rPr>
          <w:szCs w:val="21"/>
        </w:rPr>
        <w:t>[2]王振红.FPGA电子系统设计项目实战（VHDL语言）（第2版）[M]，北京：清华大学出版社，2017-04</w:t>
      </w:r>
    </w:p>
    <w:p>
      <w:pPr>
        <w:snapToGrid w:val="0"/>
        <w:spacing w:line="300" w:lineRule="auto"/>
        <w:ind w:firstLine="420" w:firstLineChars="200"/>
      </w:pPr>
      <w:r>
        <w:t>2．参考资料</w:t>
      </w:r>
    </w:p>
    <w:p>
      <w:pPr>
        <w:snapToGrid w:val="0"/>
        <w:spacing w:line="300" w:lineRule="auto"/>
        <w:ind w:firstLine="420"/>
        <w:rPr>
          <w:szCs w:val="21"/>
        </w:rPr>
      </w:pPr>
      <w:r>
        <w:rPr>
          <w:szCs w:val="21"/>
        </w:rPr>
        <w:t>[1]张勇等编.C/C++语言硬件程序设计—基于TMS320C5000系列DSP[M]，西安：西安电子科技大学出版社，2004-06</w:t>
      </w:r>
    </w:p>
    <w:p>
      <w:pPr>
        <w:snapToGrid w:val="0"/>
        <w:spacing w:line="300" w:lineRule="auto"/>
        <w:ind w:firstLine="420"/>
        <w:rPr>
          <w:szCs w:val="21"/>
        </w:rPr>
      </w:pPr>
      <w:r>
        <w:rPr>
          <w:szCs w:val="21"/>
        </w:rPr>
        <w:t>[2]张雄伟.DSP芯片的原理与开发应用(第四版)[M]，北京：电子工业出版社，2009-03</w:t>
      </w:r>
    </w:p>
    <w:p>
      <w:pPr>
        <w:snapToGrid w:val="0"/>
        <w:spacing w:line="300" w:lineRule="auto"/>
        <w:ind w:firstLine="420"/>
        <w:rPr>
          <w:szCs w:val="21"/>
        </w:rPr>
      </w:pPr>
      <w:r>
        <w:rPr>
          <w:szCs w:val="21"/>
        </w:rPr>
        <w:t>[3]范秋华.EDA技术及实验教程[M]，北京：电子工业出版社，2015-01</w:t>
      </w:r>
    </w:p>
    <w:p>
      <w:pPr>
        <w:snapToGrid w:val="0"/>
        <w:spacing w:line="300" w:lineRule="auto"/>
        <w:ind w:firstLine="420"/>
        <w:rPr>
          <w:szCs w:val="21"/>
        </w:rPr>
      </w:pPr>
      <w:r>
        <w:rPr>
          <w:szCs w:val="21"/>
        </w:rPr>
        <w:t>[4]吴厚航.FPGA/CPLD边学边练——快速入门Verilog/VHDL[M]，北京：北京航空航天大学，2017-05</w:t>
      </w:r>
    </w:p>
    <w:p>
      <w:pPr>
        <w:snapToGrid w:val="0"/>
        <w:spacing w:line="300" w:lineRule="auto"/>
        <w:ind w:firstLine="420"/>
        <w:rPr>
          <w:szCs w:val="21"/>
        </w:rPr>
      </w:pP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期：2021.01.27</w:t>
            </w:r>
          </w:p>
          <w:p>
            <w:pPr>
              <w:snapToGrid w:val="0"/>
              <w:spacing w:line="300" w:lineRule="auto"/>
              <w:ind w:right="200"/>
              <w:rPr>
                <w:kern w:val="0"/>
                <w:sz w:val="20"/>
                <w:szCs w:val="21"/>
              </w:rPr>
            </w:pPr>
          </w:p>
        </w:tc>
      </w:tr>
    </w:tbl>
    <w:p>
      <w:pPr>
        <w:spacing w:line="360" w:lineRule="auto"/>
        <w:ind w:firstLine="420" w:firstLineChars="200"/>
        <w:rPr>
          <w:bCs/>
        </w:rPr>
        <w:sectPr>
          <w:pgSz w:w="11906" w:h="16838"/>
          <w:pgMar w:top="1417" w:right="1361" w:bottom="1417" w:left="1361" w:header="851" w:footer="992" w:gutter="0"/>
          <w:cols w:space="720" w:num="1"/>
          <w:docGrid w:type="lines" w:linePitch="318" w:charSpace="0"/>
        </w:sectPr>
      </w:pPr>
      <w:r>
        <w:rPr>
          <w:rFonts w:hint="eastAsia"/>
          <w:bCs/>
        </w:rPr>
        <w:br w:type="textWrapping"/>
      </w:r>
    </w:p>
    <w:p>
      <w:pPr>
        <w:pStyle w:val="3"/>
        <w:jc w:val="center"/>
      </w:pPr>
      <w:bookmarkStart w:id="304" w:name="_Toc62651750"/>
      <w:bookmarkStart w:id="305" w:name="_Toc9501"/>
      <w:bookmarkStart w:id="306" w:name="_Toc62571491"/>
      <w:bookmarkStart w:id="307" w:name="_Toc16293"/>
      <w:bookmarkStart w:id="308" w:name="_Toc4621"/>
      <w:bookmarkStart w:id="309" w:name="_Toc1171"/>
      <w:r>
        <w:rPr>
          <w:rFonts w:hint="eastAsia"/>
        </w:rPr>
        <w:t>j3341709《语音与图像处理实习》</w:t>
      </w:r>
      <w:bookmarkEnd w:id="304"/>
      <w:bookmarkEnd w:id="305"/>
      <w:bookmarkEnd w:id="306"/>
      <w:r>
        <w:rPr>
          <w:rFonts w:hint="eastAsia"/>
        </w:rPr>
        <w:t>实习教学大纲</w:t>
      </w:r>
      <w:bookmarkEnd w:id="307"/>
      <w:bookmarkEnd w:id="308"/>
      <w:bookmarkEnd w:id="309"/>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6" w:type="dxa"/>
            <w:vAlign w:val="center"/>
          </w:tcPr>
          <w:p>
            <w:pPr>
              <w:jc w:val="center"/>
              <w:rPr>
                <w:szCs w:val="21"/>
              </w:rPr>
            </w:pPr>
            <w:r>
              <w:rPr>
                <w:szCs w:val="21"/>
              </w:rPr>
              <w:t>课程编号</w:t>
            </w:r>
          </w:p>
        </w:tc>
        <w:tc>
          <w:tcPr>
            <w:tcW w:w="3143" w:type="dxa"/>
            <w:vAlign w:val="center"/>
          </w:tcPr>
          <w:p>
            <w:pPr>
              <w:jc w:val="center"/>
              <w:rPr>
                <w:szCs w:val="21"/>
              </w:rPr>
            </w:pPr>
            <w:r>
              <w:rPr>
                <w:szCs w:val="21"/>
              </w:rPr>
              <w:t>j334</w:t>
            </w:r>
            <w:r>
              <w:rPr>
                <w:rFonts w:hint="eastAsia"/>
                <w:szCs w:val="21"/>
              </w:rPr>
              <w:t>1709</w:t>
            </w:r>
          </w:p>
        </w:tc>
        <w:tc>
          <w:tcPr>
            <w:tcW w:w="1214" w:type="dxa"/>
            <w:vAlign w:val="center"/>
          </w:tcPr>
          <w:p>
            <w:pPr>
              <w:jc w:val="center"/>
              <w:rPr>
                <w:szCs w:val="21"/>
              </w:rPr>
            </w:pPr>
            <w:r>
              <w:rPr>
                <w:szCs w:val="21"/>
              </w:rPr>
              <w:t>课程名称</w:t>
            </w:r>
          </w:p>
        </w:tc>
        <w:tc>
          <w:tcPr>
            <w:tcW w:w="2978" w:type="dxa"/>
            <w:vAlign w:val="center"/>
          </w:tcPr>
          <w:p>
            <w:pPr>
              <w:jc w:val="center"/>
              <w:rPr>
                <w:szCs w:val="21"/>
              </w:rPr>
            </w:pPr>
            <w:r>
              <w:rPr>
                <w:szCs w:val="21"/>
              </w:rPr>
              <w:t>语音与图像处理实习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6" w:type="dxa"/>
            <w:vAlign w:val="center"/>
          </w:tcPr>
          <w:p>
            <w:pPr>
              <w:jc w:val="center"/>
              <w:rPr>
                <w:szCs w:val="21"/>
              </w:rPr>
            </w:pPr>
            <w:r>
              <w:rPr>
                <w:szCs w:val="21"/>
              </w:rPr>
              <w:t>课程性质*</w:t>
            </w:r>
          </w:p>
        </w:tc>
        <w:tc>
          <w:tcPr>
            <w:tcW w:w="3143" w:type="dxa"/>
            <w:vAlign w:val="center"/>
          </w:tcPr>
          <w:p>
            <w:pPr>
              <w:jc w:val="center"/>
              <w:rPr>
                <w:szCs w:val="21"/>
              </w:rPr>
            </w:pPr>
            <w:r>
              <w:rPr>
                <w:szCs w:val="21"/>
              </w:rPr>
              <w:t>工程实践与毕业设计（论文）</w:t>
            </w:r>
          </w:p>
        </w:tc>
        <w:tc>
          <w:tcPr>
            <w:tcW w:w="1214" w:type="dxa"/>
            <w:vAlign w:val="center"/>
          </w:tcPr>
          <w:p>
            <w:pPr>
              <w:jc w:val="center"/>
              <w:rPr>
                <w:szCs w:val="21"/>
              </w:rPr>
            </w:pPr>
            <w:r>
              <w:rPr>
                <w:szCs w:val="21"/>
              </w:rPr>
              <w:t>英文名称</w:t>
            </w:r>
          </w:p>
        </w:tc>
        <w:tc>
          <w:tcPr>
            <w:tcW w:w="2978" w:type="dxa"/>
            <w:vAlign w:val="center"/>
          </w:tcPr>
          <w:p>
            <w:pPr>
              <w:jc w:val="center"/>
              <w:rPr>
                <w:szCs w:val="21"/>
              </w:rPr>
            </w:pPr>
            <w:r>
              <w:rPr>
                <w:szCs w:val="21"/>
              </w:rPr>
              <w:t>Speech and Image Processing Course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6" w:type="dxa"/>
            <w:vAlign w:val="center"/>
          </w:tcPr>
          <w:p>
            <w:pPr>
              <w:jc w:val="center"/>
              <w:rPr>
                <w:szCs w:val="21"/>
              </w:rPr>
            </w:pPr>
            <w:r>
              <w:rPr>
                <w:szCs w:val="21"/>
              </w:rPr>
              <w:t>学分学时</w:t>
            </w:r>
          </w:p>
        </w:tc>
        <w:tc>
          <w:tcPr>
            <w:tcW w:w="3143" w:type="dxa"/>
            <w:vAlign w:val="center"/>
          </w:tcPr>
          <w:p>
            <w:pPr>
              <w:jc w:val="center"/>
              <w:rPr>
                <w:szCs w:val="21"/>
              </w:rPr>
            </w:pPr>
            <w:r>
              <w:rPr>
                <w:szCs w:val="21"/>
              </w:rPr>
              <w:t>1</w:t>
            </w:r>
            <w:r>
              <w:rPr>
                <w:bCs/>
                <w:szCs w:val="21"/>
              </w:rPr>
              <w:t xml:space="preserve"> </w:t>
            </w:r>
            <w:r>
              <w:rPr>
                <w:szCs w:val="21"/>
              </w:rPr>
              <w:t>: 1周</w:t>
            </w:r>
          </w:p>
        </w:tc>
        <w:tc>
          <w:tcPr>
            <w:tcW w:w="1214" w:type="dxa"/>
            <w:vAlign w:val="center"/>
          </w:tcPr>
          <w:p>
            <w:pPr>
              <w:jc w:val="center"/>
              <w:rPr>
                <w:szCs w:val="21"/>
                <w:highlight w:val="yellow"/>
              </w:rPr>
            </w:pPr>
            <w:r>
              <w:rPr>
                <w:szCs w:val="21"/>
              </w:rPr>
              <w:t>任课教师</w:t>
            </w:r>
          </w:p>
        </w:tc>
        <w:tc>
          <w:tcPr>
            <w:tcW w:w="2978" w:type="dxa"/>
            <w:vAlign w:val="center"/>
          </w:tcPr>
          <w:p>
            <w:pPr>
              <w:jc w:val="center"/>
              <w:rPr>
                <w:szCs w:val="21"/>
                <w:highlight w:val="yellow"/>
              </w:rPr>
            </w:pPr>
            <w:r>
              <w:rPr>
                <w:szCs w:val="21"/>
              </w:rPr>
              <w:t>李颖、郭晓云、张培珍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6" w:type="dxa"/>
            <w:vAlign w:val="center"/>
          </w:tcPr>
          <w:p>
            <w:pPr>
              <w:jc w:val="center"/>
              <w:rPr>
                <w:szCs w:val="21"/>
              </w:rPr>
            </w:pPr>
            <w:r>
              <w:rPr>
                <w:szCs w:val="21"/>
              </w:rPr>
              <w:t>企业专家</w:t>
            </w:r>
          </w:p>
        </w:tc>
        <w:tc>
          <w:tcPr>
            <w:tcW w:w="3143" w:type="dxa"/>
            <w:vAlign w:val="center"/>
          </w:tcPr>
          <w:p>
            <w:pPr>
              <w:widowControl/>
              <w:jc w:val="center"/>
              <w:rPr>
                <w:szCs w:val="21"/>
              </w:rPr>
            </w:pPr>
            <w:r>
              <w:rPr>
                <w:szCs w:val="21"/>
              </w:rPr>
              <w:t>曾耿滨</w:t>
            </w:r>
          </w:p>
        </w:tc>
        <w:tc>
          <w:tcPr>
            <w:tcW w:w="1214" w:type="dxa"/>
            <w:vAlign w:val="center"/>
          </w:tcPr>
          <w:p>
            <w:pPr>
              <w:jc w:val="center"/>
              <w:rPr>
                <w:szCs w:val="21"/>
              </w:rPr>
            </w:pPr>
            <w:r>
              <w:rPr>
                <w:szCs w:val="21"/>
              </w:rPr>
              <w:t>行业专家</w:t>
            </w:r>
          </w:p>
        </w:tc>
        <w:tc>
          <w:tcPr>
            <w:tcW w:w="2978" w:type="dxa"/>
            <w:vAlign w:val="center"/>
          </w:tcPr>
          <w:p>
            <w:pPr>
              <w:widowControl/>
              <w:jc w:val="center"/>
              <w:rPr>
                <w:szCs w:val="21"/>
              </w:rPr>
            </w:pPr>
            <w:r>
              <w:rPr>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6" w:type="dxa"/>
            <w:vAlign w:val="center"/>
          </w:tcPr>
          <w:p>
            <w:pPr>
              <w:widowControl/>
              <w:jc w:val="center"/>
              <w:rPr>
                <w:szCs w:val="21"/>
              </w:rPr>
            </w:pPr>
            <w:r>
              <w:rPr>
                <w:szCs w:val="21"/>
              </w:rPr>
              <w:t>执笔教师</w:t>
            </w:r>
          </w:p>
        </w:tc>
        <w:tc>
          <w:tcPr>
            <w:tcW w:w="3143" w:type="dxa"/>
            <w:vAlign w:val="center"/>
          </w:tcPr>
          <w:p>
            <w:pPr>
              <w:widowControl/>
              <w:jc w:val="center"/>
              <w:rPr>
                <w:szCs w:val="21"/>
              </w:rPr>
            </w:pPr>
            <w:r>
              <w:rPr>
                <w:szCs w:val="21"/>
              </w:rPr>
              <w:t>李颖</w:t>
            </w:r>
          </w:p>
        </w:tc>
        <w:tc>
          <w:tcPr>
            <w:tcW w:w="1214" w:type="dxa"/>
            <w:vAlign w:val="center"/>
          </w:tcPr>
          <w:p>
            <w:pPr>
              <w:widowControl/>
              <w:jc w:val="center"/>
              <w:rPr>
                <w:szCs w:val="21"/>
              </w:rPr>
            </w:pPr>
            <w:r>
              <w:rPr>
                <w:szCs w:val="21"/>
              </w:rPr>
              <w:t>责任教授</w:t>
            </w:r>
          </w:p>
        </w:tc>
        <w:tc>
          <w:tcPr>
            <w:tcW w:w="2978" w:type="dxa"/>
            <w:vAlign w:val="center"/>
          </w:tcPr>
          <w:p>
            <w:pPr>
              <w:widowControl/>
              <w:jc w:val="center"/>
              <w:rPr>
                <w:szCs w:val="21"/>
              </w:rPr>
            </w:pPr>
            <w:r>
              <w:rPr>
                <w:szCs w:val="21"/>
              </w:rPr>
              <w:t>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6" w:type="dxa"/>
            <w:vAlign w:val="center"/>
          </w:tcPr>
          <w:p>
            <w:pPr>
              <w:widowControl/>
              <w:jc w:val="center"/>
              <w:rPr>
                <w:szCs w:val="21"/>
              </w:rPr>
            </w:pPr>
            <w:r>
              <w:rPr>
                <w:szCs w:val="21"/>
              </w:rPr>
              <w:t>适用专业</w:t>
            </w:r>
          </w:p>
        </w:tc>
        <w:tc>
          <w:tcPr>
            <w:tcW w:w="3143" w:type="dxa"/>
            <w:vAlign w:val="center"/>
          </w:tcPr>
          <w:p>
            <w:pPr>
              <w:widowControl/>
              <w:jc w:val="center"/>
              <w:rPr>
                <w:szCs w:val="21"/>
              </w:rPr>
            </w:pPr>
            <w:r>
              <w:rPr>
                <w:szCs w:val="21"/>
              </w:rPr>
              <w:t>电子信息工程</w:t>
            </w:r>
          </w:p>
        </w:tc>
        <w:tc>
          <w:tcPr>
            <w:tcW w:w="1214" w:type="dxa"/>
            <w:vAlign w:val="center"/>
          </w:tcPr>
          <w:p>
            <w:pPr>
              <w:widowControl/>
              <w:jc w:val="center"/>
              <w:rPr>
                <w:szCs w:val="21"/>
              </w:rPr>
            </w:pPr>
            <w:r>
              <w:rPr>
                <w:szCs w:val="21"/>
              </w:rPr>
              <w:t>适用对象</w:t>
            </w:r>
          </w:p>
        </w:tc>
        <w:tc>
          <w:tcPr>
            <w:tcW w:w="2978" w:type="dxa"/>
            <w:vAlign w:val="center"/>
          </w:tcPr>
          <w:p>
            <w:pPr>
              <w:widowControl/>
              <w:jc w:val="center"/>
              <w:rPr>
                <w:szCs w:val="21"/>
              </w:rPr>
            </w:pPr>
            <w:r>
              <w:rPr>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6" w:type="dxa"/>
            <w:vAlign w:val="center"/>
          </w:tcPr>
          <w:p>
            <w:pPr>
              <w:jc w:val="center"/>
              <w:rPr>
                <w:szCs w:val="21"/>
              </w:rPr>
            </w:pPr>
            <w:r>
              <w:rPr>
                <w:szCs w:val="21"/>
              </w:rPr>
              <w:t>先修课程</w:t>
            </w:r>
          </w:p>
        </w:tc>
        <w:tc>
          <w:tcPr>
            <w:tcW w:w="3143" w:type="dxa"/>
            <w:vAlign w:val="center"/>
          </w:tcPr>
          <w:p>
            <w:pPr>
              <w:widowControl/>
              <w:jc w:val="center"/>
              <w:rPr>
                <w:szCs w:val="21"/>
              </w:rPr>
            </w:pPr>
            <w:r>
              <w:rPr>
                <w:szCs w:val="21"/>
              </w:rPr>
              <w:t>数字图像处理，语音信号处理技术与应用</w:t>
            </w:r>
          </w:p>
        </w:tc>
        <w:tc>
          <w:tcPr>
            <w:tcW w:w="1214" w:type="dxa"/>
            <w:vAlign w:val="center"/>
          </w:tcPr>
          <w:p>
            <w:pPr>
              <w:snapToGrid w:val="0"/>
              <w:jc w:val="center"/>
              <w:rPr>
                <w:szCs w:val="21"/>
              </w:rPr>
            </w:pPr>
            <w:r>
              <w:rPr>
                <w:szCs w:val="21"/>
              </w:rPr>
              <w:t>同修课程</w:t>
            </w:r>
          </w:p>
        </w:tc>
        <w:tc>
          <w:tcPr>
            <w:tcW w:w="2978" w:type="dxa"/>
            <w:vAlign w:val="center"/>
          </w:tcPr>
          <w:p>
            <w:pPr>
              <w:widowControl/>
              <w:jc w:val="center"/>
              <w:rPr>
                <w:szCs w:val="21"/>
              </w:rPr>
            </w:pPr>
            <w:r>
              <w:rPr>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46" w:type="dxa"/>
            <w:vAlign w:val="center"/>
          </w:tcPr>
          <w:p>
            <w:pPr>
              <w:jc w:val="center"/>
              <w:rPr>
                <w:szCs w:val="21"/>
              </w:rPr>
            </w:pPr>
            <w:r>
              <w:rPr>
                <w:szCs w:val="21"/>
              </w:rPr>
              <w:t>排斥课程</w:t>
            </w:r>
          </w:p>
        </w:tc>
        <w:tc>
          <w:tcPr>
            <w:tcW w:w="3143" w:type="dxa"/>
            <w:vAlign w:val="center"/>
          </w:tcPr>
          <w:p>
            <w:pPr>
              <w:widowControl/>
              <w:jc w:val="center"/>
              <w:rPr>
                <w:szCs w:val="21"/>
              </w:rPr>
            </w:pPr>
            <w:r>
              <w:rPr>
                <w:szCs w:val="21"/>
              </w:rPr>
              <w:t>无</w:t>
            </w:r>
          </w:p>
        </w:tc>
        <w:tc>
          <w:tcPr>
            <w:tcW w:w="1214" w:type="dxa"/>
            <w:vAlign w:val="center"/>
          </w:tcPr>
          <w:p>
            <w:pPr>
              <w:snapToGrid w:val="0"/>
              <w:jc w:val="center"/>
              <w:rPr>
                <w:szCs w:val="21"/>
              </w:rPr>
            </w:pPr>
            <w:r>
              <w:rPr>
                <w:szCs w:val="21"/>
              </w:rPr>
              <w:t>定稿日期</w:t>
            </w:r>
          </w:p>
        </w:tc>
        <w:tc>
          <w:tcPr>
            <w:tcW w:w="2978" w:type="dxa"/>
            <w:vAlign w:val="center"/>
          </w:tcPr>
          <w:p>
            <w:pPr>
              <w:widowControl/>
              <w:jc w:val="center"/>
              <w:rPr>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pacing w:line="360" w:lineRule="exact"/>
        <w:ind w:firstLine="420" w:firstLineChars="200"/>
        <w:rPr>
          <w:b/>
          <w:sz w:val="24"/>
        </w:rPr>
      </w:pPr>
      <w:r>
        <w:rPr>
          <w:szCs w:val="21"/>
        </w:rPr>
        <w:t>语音与图像处理实习是语音信号处理和数字图像处理这两门课程的综合实习环节。语音信号处理和数字图像处理都是理论与实践并重的课程，开展语音与图像处理上机实习，是让学生将理论与实践结合起来，通过实习来巩固与理解理论知识，并拓展该课程的应用范围，培养学生的动手操作能力。</w:t>
      </w:r>
    </w:p>
    <w:p>
      <w:pPr>
        <w:snapToGrid w:val="0"/>
        <w:spacing w:before="159" w:beforeLines="50" w:after="159" w:afterLines="50" w:line="300" w:lineRule="auto"/>
        <w:rPr>
          <w:b/>
          <w:sz w:val="24"/>
        </w:rPr>
      </w:pPr>
      <w:r>
        <w:rPr>
          <w:b/>
          <w:sz w:val="24"/>
        </w:rPr>
        <w:t>二、课程教学目标</w:t>
      </w:r>
    </w:p>
    <w:p>
      <w:pPr>
        <w:widowControl/>
        <w:snapToGrid w:val="0"/>
        <w:spacing w:line="300" w:lineRule="auto"/>
        <w:ind w:firstLine="420" w:firstLineChars="200"/>
        <w:rPr>
          <w:szCs w:val="21"/>
        </w:rPr>
      </w:pPr>
      <w:r>
        <w:rPr>
          <w:szCs w:val="21"/>
        </w:rPr>
        <w:t>“语音与图像处理实习”旨在让学生掌握语音与图像处理的基本原理和方法的基础上，进一步熟悉语音和图像处理领域新成果及新技术，培养学生初步的研究开发能力、分析问题和解决问题的能力，并培养学生的实践能力和科研思维。本课程的具体教学目标如下：</w:t>
      </w:r>
    </w:p>
    <w:p>
      <w:pPr>
        <w:snapToGrid w:val="0"/>
        <w:spacing w:line="300" w:lineRule="auto"/>
        <w:ind w:firstLine="420" w:firstLineChars="200"/>
        <w:rPr>
          <w:szCs w:val="21"/>
        </w:rPr>
      </w:pPr>
      <w:r>
        <w:rPr>
          <w:szCs w:val="21"/>
        </w:rPr>
        <w:t>1. 掌握语音和图像的基本处理方法，能提出语音或图像处理系统设计方案，并编程实现。培养学生利用图书馆及网络资源独立查阅资料、文献，并能通过整合、分析文献资料，针对实际问题，选择技术路线、设计实验方案。[5</w:t>
      </w:r>
      <w:r>
        <w:rPr>
          <w:rFonts w:hint="eastAsia"/>
          <w:szCs w:val="21"/>
        </w:rPr>
        <w:t>.</w:t>
      </w:r>
      <w:r>
        <w:rPr>
          <w:szCs w:val="21"/>
        </w:rPr>
        <w:t>2]</w:t>
      </w:r>
    </w:p>
    <w:p>
      <w:pPr>
        <w:snapToGrid w:val="0"/>
        <w:spacing w:line="300" w:lineRule="auto"/>
        <w:ind w:firstLine="420" w:firstLineChars="200"/>
        <w:rPr>
          <w:szCs w:val="21"/>
        </w:rPr>
      </w:pPr>
      <w:r>
        <w:rPr>
          <w:rFonts w:hint="eastAsia"/>
          <w:szCs w:val="21"/>
        </w:rPr>
        <w:t>2</w:t>
      </w:r>
      <w:r>
        <w:rPr>
          <w:szCs w:val="21"/>
        </w:rPr>
        <w:t>. 培养学生</w:t>
      </w:r>
      <w:r>
        <w:rPr>
          <w:rFonts w:hint="eastAsia"/>
          <w:szCs w:val="21"/>
        </w:rPr>
        <w:t>良好的口头和书面表达能力，能清晰阐述语音和图像系统的设计流程、系统功能，具备撰写科技报告的能力</w:t>
      </w:r>
      <w:r>
        <w:rPr>
          <w:szCs w:val="21"/>
        </w:rPr>
        <w:t>。[ 10</w:t>
      </w:r>
      <w:r>
        <w:rPr>
          <w:rFonts w:hint="eastAsia"/>
          <w:szCs w:val="21"/>
        </w:rPr>
        <w:t>.</w:t>
      </w:r>
      <w:r>
        <w:rPr>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6135"/>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184" w:type="dxa"/>
            <w:vAlign w:val="center"/>
          </w:tcPr>
          <w:p>
            <w:pPr>
              <w:adjustRightInd w:val="0"/>
              <w:snapToGrid w:val="0"/>
              <w:spacing w:line="300" w:lineRule="auto"/>
              <w:rPr>
                <w:b/>
                <w:bCs/>
                <w:sz w:val="18"/>
                <w:szCs w:val="18"/>
              </w:rPr>
            </w:pPr>
            <w:r>
              <w:rPr>
                <w:b/>
                <w:bCs/>
                <w:sz w:val="18"/>
                <w:szCs w:val="18"/>
              </w:rPr>
              <w:t>毕业要求</w:t>
            </w:r>
          </w:p>
        </w:tc>
        <w:tc>
          <w:tcPr>
            <w:tcW w:w="6135" w:type="dxa"/>
            <w:vAlign w:val="center"/>
          </w:tcPr>
          <w:p>
            <w:pPr>
              <w:adjustRightInd w:val="0"/>
              <w:snapToGrid w:val="0"/>
              <w:spacing w:line="300" w:lineRule="auto"/>
              <w:jc w:val="center"/>
              <w:rPr>
                <w:b/>
                <w:bCs/>
                <w:sz w:val="18"/>
                <w:szCs w:val="18"/>
              </w:rPr>
            </w:pPr>
            <w:r>
              <w:rPr>
                <w:b/>
                <w:bCs/>
                <w:sz w:val="18"/>
                <w:szCs w:val="18"/>
              </w:rPr>
              <w:t>毕业要求指标点</w:t>
            </w:r>
          </w:p>
        </w:tc>
        <w:tc>
          <w:tcPr>
            <w:tcW w:w="714" w:type="dxa"/>
            <w:vAlign w:val="center"/>
          </w:tcPr>
          <w:p>
            <w:pPr>
              <w:adjustRightInd w:val="0"/>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84" w:type="dxa"/>
            <w:vAlign w:val="center"/>
          </w:tcPr>
          <w:p>
            <w:pPr>
              <w:adjustRightInd w:val="0"/>
              <w:snapToGrid w:val="0"/>
              <w:spacing w:line="300" w:lineRule="auto"/>
              <w:rPr>
                <w:sz w:val="18"/>
                <w:szCs w:val="18"/>
              </w:rPr>
            </w:pPr>
            <w:r>
              <w:rPr>
                <w:sz w:val="18"/>
                <w:szCs w:val="18"/>
              </w:rPr>
              <w:t>5．现代工具使用</w:t>
            </w:r>
          </w:p>
        </w:tc>
        <w:tc>
          <w:tcPr>
            <w:tcW w:w="6135" w:type="dxa"/>
            <w:vAlign w:val="center"/>
          </w:tcPr>
          <w:p>
            <w:pPr>
              <w:adjustRightInd w:val="0"/>
              <w:snapToGrid w:val="0"/>
              <w:spacing w:line="300" w:lineRule="auto"/>
              <w:rPr>
                <w:sz w:val="18"/>
                <w:szCs w:val="18"/>
              </w:rPr>
            </w:pPr>
            <w:r>
              <w:rPr>
                <w:sz w:val="18"/>
                <w:szCs w:val="18"/>
              </w:rPr>
              <w:t>5</w:t>
            </w:r>
            <w:r>
              <w:rPr>
                <w:rFonts w:hint="eastAsia"/>
                <w:sz w:val="18"/>
                <w:szCs w:val="18"/>
              </w:rPr>
              <w:t>.</w:t>
            </w:r>
            <w:r>
              <w:rPr>
                <w:sz w:val="18"/>
                <w:szCs w:val="18"/>
              </w:rPr>
              <w:t>2具备使用实验设备、软件和现代工程工具对复杂工程问题进行模拟或仿真的能力，并能够理解其局限性。</w:t>
            </w:r>
          </w:p>
        </w:tc>
        <w:tc>
          <w:tcPr>
            <w:tcW w:w="714" w:type="dxa"/>
            <w:vAlign w:val="center"/>
          </w:tcPr>
          <w:p>
            <w:pPr>
              <w:adjustRightInd w:val="0"/>
              <w:snapToGrid w:val="0"/>
              <w:spacing w:line="300" w:lineRule="auto"/>
              <w:jc w:val="center"/>
              <w:rPr>
                <w:sz w:val="18"/>
                <w:szCs w:val="18"/>
              </w:rPr>
            </w:pPr>
            <w:r>
              <w:rPr>
                <w:rFonts w:hint="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84" w:type="dxa"/>
            <w:vAlign w:val="center"/>
          </w:tcPr>
          <w:p>
            <w:pPr>
              <w:adjustRightInd w:val="0"/>
              <w:snapToGrid w:val="0"/>
              <w:spacing w:line="300" w:lineRule="auto"/>
              <w:rPr>
                <w:sz w:val="18"/>
                <w:szCs w:val="18"/>
              </w:rPr>
            </w:pPr>
            <w:r>
              <w:rPr>
                <w:sz w:val="18"/>
                <w:szCs w:val="18"/>
              </w:rPr>
              <w:t>10．沟通</w:t>
            </w:r>
          </w:p>
        </w:tc>
        <w:tc>
          <w:tcPr>
            <w:tcW w:w="6135" w:type="dxa"/>
            <w:vAlign w:val="center"/>
          </w:tcPr>
          <w:p>
            <w:pPr>
              <w:adjustRightInd w:val="0"/>
              <w:snapToGrid w:val="0"/>
              <w:spacing w:line="300" w:lineRule="auto"/>
              <w:rPr>
                <w:sz w:val="18"/>
                <w:szCs w:val="18"/>
              </w:rPr>
            </w:pPr>
            <w:r>
              <w:rPr>
                <w:sz w:val="18"/>
                <w:szCs w:val="18"/>
              </w:rPr>
              <w:t>10</w:t>
            </w:r>
            <w:r>
              <w:rPr>
                <w:rFonts w:hint="eastAsia"/>
                <w:sz w:val="18"/>
                <w:szCs w:val="18"/>
              </w:rPr>
              <w:t>.</w:t>
            </w:r>
            <w:r>
              <w:rPr>
                <w:sz w:val="18"/>
                <w:szCs w:val="18"/>
              </w:rPr>
              <w:t>1具有良好的口头和书面表达能力，能够撰写复杂工程问题的设计方案与报告并就电子信息（含海洋电子信息）领域的专业问题跟业界同行及社会公众进行沟通交流，准确表达观点、回应质疑。</w:t>
            </w:r>
          </w:p>
        </w:tc>
        <w:tc>
          <w:tcPr>
            <w:tcW w:w="714" w:type="dxa"/>
            <w:vAlign w:val="center"/>
          </w:tcPr>
          <w:p>
            <w:pPr>
              <w:adjustRightInd w:val="0"/>
              <w:snapToGrid w:val="0"/>
              <w:spacing w:line="300" w:lineRule="auto"/>
              <w:jc w:val="center"/>
              <w:rPr>
                <w:sz w:val="18"/>
                <w:szCs w:val="18"/>
              </w:rPr>
            </w:pPr>
            <w:r>
              <w:rPr>
                <w:rFonts w:hint="eastAsia"/>
                <w:bCs/>
                <w:kern w:val="0"/>
                <w:sz w:val="18"/>
                <w:szCs w:val="18"/>
              </w:rPr>
              <w:t>2</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2226"/>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22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1. 掌握语音和图像的基本处理方法，能提出语音或图像处理系统设计方案，并编程实现。培养学生利用图书馆及网络资源独立查阅资料、文献，并能通过整合、分析文献资料，针对实际问题，选择技术路线、设计实验方案。</w:t>
            </w:r>
          </w:p>
        </w:tc>
        <w:tc>
          <w:tcPr>
            <w:tcW w:w="2226"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指导老师讲授，查阅资料，小组讨论，项目实操实践等达成等达成。</w:t>
            </w:r>
          </w:p>
        </w:tc>
        <w:tc>
          <w:tcPr>
            <w:tcW w:w="23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 xml:space="preserve">相关实习记录考评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rFonts w:hint="eastAsia"/>
                <w:sz w:val="18"/>
                <w:szCs w:val="18"/>
              </w:rPr>
              <w:t>2</w:t>
            </w:r>
            <w:r>
              <w:rPr>
                <w:sz w:val="18"/>
                <w:szCs w:val="18"/>
              </w:rPr>
              <w:t>. 培养学生</w:t>
            </w:r>
            <w:r>
              <w:rPr>
                <w:rFonts w:hint="eastAsia"/>
                <w:sz w:val="18"/>
                <w:szCs w:val="18"/>
              </w:rPr>
              <w:t>良好的口头和书面表达能力，能清晰阐述语音和图像系统的设计流程、系统功能，具备撰写科技报告的能力</w:t>
            </w:r>
            <w:r>
              <w:rPr>
                <w:sz w:val="18"/>
                <w:szCs w:val="18"/>
              </w:rPr>
              <w:t>。</w:t>
            </w:r>
          </w:p>
        </w:tc>
        <w:tc>
          <w:tcPr>
            <w:tcW w:w="2226"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查阅资料，小组讨论，项目实操实践等达成。</w:t>
            </w:r>
          </w:p>
        </w:tc>
        <w:tc>
          <w:tcPr>
            <w:tcW w:w="2307"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现场验收答辩和实习报告考评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445"/>
        <w:gridCol w:w="489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blHeader/>
          <w:jc w:val="center"/>
        </w:trPr>
        <w:tc>
          <w:tcPr>
            <w:tcW w:w="668" w:type="dxa"/>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2445" w:type="dxa"/>
            <w:vAlign w:val="center"/>
          </w:tcPr>
          <w:p>
            <w:pPr>
              <w:adjustRightInd w:val="0"/>
              <w:snapToGrid w:val="0"/>
              <w:spacing w:line="300" w:lineRule="auto"/>
              <w:jc w:val="center"/>
              <w:rPr>
                <w:b/>
                <w:bCs/>
                <w:sz w:val="18"/>
                <w:szCs w:val="18"/>
              </w:rPr>
            </w:pPr>
            <w:r>
              <w:rPr>
                <w:b/>
                <w:bCs/>
                <w:sz w:val="18"/>
                <w:szCs w:val="18"/>
              </w:rPr>
              <w:t>教学内容与课程教学目标</w:t>
            </w:r>
          </w:p>
        </w:tc>
        <w:tc>
          <w:tcPr>
            <w:tcW w:w="4898" w:type="dxa"/>
            <w:vAlign w:val="center"/>
          </w:tcPr>
          <w:p>
            <w:pPr>
              <w:adjustRightInd w:val="0"/>
              <w:snapToGrid w:val="0"/>
              <w:spacing w:line="300" w:lineRule="auto"/>
              <w:jc w:val="center"/>
              <w:rPr>
                <w:b/>
                <w:bCs/>
                <w:sz w:val="18"/>
                <w:szCs w:val="18"/>
              </w:rPr>
            </w:pPr>
            <w:r>
              <w:rPr>
                <w:b/>
                <w:bCs/>
                <w:sz w:val="18"/>
                <w:szCs w:val="18"/>
              </w:rPr>
              <w:t>教与学的要求</w:t>
            </w:r>
          </w:p>
        </w:tc>
        <w:tc>
          <w:tcPr>
            <w:tcW w:w="670" w:type="dxa"/>
            <w:vAlign w:val="center"/>
          </w:tcPr>
          <w:p>
            <w:pPr>
              <w:adjustRightInd w:val="0"/>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2445" w:type="dxa"/>
            <w:vAlign w:val="center"/>
          </w:tcPr>
          <w:p>
            <w:pPr>
              <w:widowControl/>
              <w:adjustRightInd w:val="0"/>
              <w:snapToGrid w:val="0"/>
              <w:spacing w:line="300" w:lineRule="auto"/>
              <w:jc w:val="left"/>
              <w:rPr>
                <w:bCs/>
                <w:kern w:val="0"/>
                <w:sz w:val="18"/>
                <w:szCs w:val="18"/>
              </w:rPr>
            </w:pPr>
            <w:r>
              <w:rPr>
                <w:bCs/>
                <w:kern w:val="0"/>
                <w:sz w:val="18"/>
                <w:szCs w:val="18"/>
              </w:rPr>
              <w:t>一、实习方式：集中实习和分散实习相结合。</w:t>
            </w:r>
          </w:p>
          <w:p>
            <w:pPr>
              <w:widowControl/>
              <w:adjustRightInd w:val="0"/>
              <w:snapToGrid w:val="0"/>
              <w:spacing w:line="300" w:lineRule="auto"/>
              <w:jc w:val="left"/>
              <w:rPr>
                <w:bCs/>
                <w:kern w:val="0"/>
                <w:sz w:val="18"/>
                <w:szCs w:val="18"/>
              </w:rPr>
            </w:pPr>
            <w:r>
              <w:rPr>
                <w:bCs/>
                <w:kern w:val="0"/>
                <w:sz w:val="18"/>
                <w:szCs w:val="18"/>
              </w:rPr>
              <w:t>二、场所要求：</w:t>
            </w:r>
            <w:r>
              <w:rPr>
                <w:sz w:val="18"/>
                <w:szCs w:val="18"/>
              </w:rPr>
              <w:t>能容纳70名左右学生的学院或学校实验室。</w:t>
            </w:r>
          </w:p>
          <w:p>
            <w:pPr>
              <w:widowControl/>
              <w:adjustRightInd w:val="0"/>
              <w:snapToGrid w:val="0"/>
              <w:spacing w:line="300" w:lineRule="auto"/>
              <w:jc w:val="left"/>
              <w:rPr>
                <w:bCs/>
                <w:kern w:val="0"/>
                <w:sz w:val="18"/>
                <w:szCs w:val="18"/>
              </w:rPr>
            </w:pPr>
            <w:r>
              <w:rPr>
                <w:bCs/>
                <w:kern w:val="0"/>
                <w:sz w:val="18"/>
                <w:szCs w:val="18"/>
              </w:rPr>
              <w:t>三、实习内容</w:t>
            </w:r>
          </w:p>
          <w:p>
            <w:pPr>
              <w:widowControl/>
              <w:adjustRightInd w:val="0"/>
              <w:snapToGrid w:val="0"/>
              <w:spacing w:line="300" w:lineRule="auto"/>
              <w:jc w:val="left"/>
              <w:rPr>
                <w:sz w:val="18"/>
                <w:szCs w:val="18"/>
              </w:rPr>
            </w:pPr>
            <w:r>
              <w:rPr>
                <w:sz w:val="18"/>
                <w:szCs w:val="18"/>
              </w:rPr>
              <w:t>1. 了解课程实习内容及实习要求, 查阅相关资料，进行项目总体设计。</w:t>
            </w:r>
            <w:r>
              <w:rPr>
                <w:bCs/>
                <w:sz w:val="18"/>
                <w:szCs w:val="18"/>
              </w:rPr>
              <w:t>设计实现一个语音识别或图像识别系统。系统包括输入、预处理、识别、输出四个部分。</w:t>
            </w:r>
          </w:p>
          <w:p>
            <w:pPr>
              <w:adjustRightInd w:val="0"/>
              <w:snapToGrid w:val="0"/>
              <w:spacing w:line="300" w:lineRule="auto"/>
              <w:rPr>
                <w:sz w:val="18"/>
                <w:szCs w:val="18"/>
              </w:rPr>
            </w:pPr>
            <w:r>
              <w:rPr>
                <w:sz w:val="18"/>
                <w:szCs w:val="18"/>
              </w:rPr>
              <w:t>2.录制语音或拍摄图像，进行程序设计与编程，实现语音识别或图像识别。</w:t>
            </w:r>
          </w:p>
          <w:p>
            <w:pPr>
              <w:widowControl/>
              <w:adjustRightInd w:val="0"/>
              <w:snapToGrid w:val="0"/>
              <w:spacing w:line="300" w:lineRule="auto"/>
              <w:jc w:val="left"/>
              <w:rPr>
                <w:sz w:val="18"/>
                <w:szCs w:val="18"/>
              </w:rPr>
            </w:pPr>
            <w:r>
              <w:rPr>
                <w:bCs/>
                <w:kern w:val="0"/>
                <w:sz w:val="18"/>
                <w:szCs w:val="18"/>
              </w:rPr>
              <w:t>3.</w:t>
            </w:r>
            <w:r>
              <w:rPr>
                <w:sz w:val="18"/>
                <w:szCs w:val="18"/>
              </w:rPr>
              <w:t xml:space="preserve"> 答辩：现场演示并说明设计思路、算法原理。</w:t>
            </w:r>
          </w:p>
          <w:p>
            <w:pPr>
              <w:widowControl/>
              <w:adjustRightInd w:val="0"/>
              <w:snapToGrid w:val="0"/>
              <w:spacing w:line="300" w:lineRule="auto"/>
              <w:jc w:val="left"/>
              <w:rPr>
                <w:sz w:val="18"/>
                <w:szCs w:val="18"/>
              </w:rPr>
            </w:pPr>
            <w:r>
              <w:rPr>
                <w:sz w:val="18"/>
                <w:szCs w:val="18"/>
              </w:rPr>
              <w:t>4.撰写实习报告。</w:t>
            </w:r>
          </w:p>
        </w:tc>
        <w:tc>
          <w:tcPr>
            <w:tcW w:w="4898" w:type="dxa"/>
            <w:vAlign w:val="center"/>
          </w:tcPr>
          <w:p>
            <w:pPr>
              <w:widowControl/>
              <w:adjustRightInd w:val="0"/>
              <w:snapToGrid w:val="0"/>
              <w:spacing w:line="300" w:lineRule="auto"/>
              <w:jc w:val="left"/>
              <w:rPr>
                <w:bCs/>
                <w:kern w:val="0"/>
                <w:sz w:val="18"/>
                <w:szCs w:val="18"/>
              </w:rPr>
            </w:pPr>
            <w:r>
              <w:rPr>
                <w:bCs/>
                <w:kern w:val="0"/>
                <w:sz w:val="18"/>
                <w:szCs w:val="18"/>
              </w:rPr>
              <w:t>1、实习要求：</w:t>
            </w:r>
          </w:p>
          <w:p>
            <w:pPr>
              <w:widowControl/>
              <w:adjustRightInd w:val="0"/>
              <w:snapToGrid w:val="0"/>
              <w:spacing w:line="300" w:lineRule="auto"/>
              <w:jc w:val="left"/>
              <w:rPr>
                <w:bCs/>
                <w:kern w:val="0"/>
                <w:sz w:val="18"/>
                <w:szCs w:val="18"/>
              </w:rPr>
            </w:pPr>
            <w:r>
              <w:rPr>
                <w:bCs/>
                <w:kern w:val="0"/>
                <w:sz w:val="18"/>
                <w:szCs w:val="18"/>
              </w:rPr>
              <w:t>（1）对学生的要求</w:t>
            </w:r>
          </w:p>
          <w:p>
            <w:pPr>
              <w:adjustRightInd w:val="0"/>
              <w:snapToGrid w:val="0"/>
              <w:spacing w:line="300" w:lineRule="auto"/>
              <w:rPr>
                <w:sz w:val="18"/>
                <w:szCs w:val="18"/>
              </w:rPr>
            </w:pPr>
            <w:r>
              <w:rPr>
                <w:rFonts w:hint="eastAsia" w:ascii="宋体" w:hAnsi="宋体" w:cs="宋体"/>
                <w:bCs/>
                <w:kern w:val="0"/>
                <w:sz w:val="18"/>
                <w:szCs w:val="18"/>
              </w:rPr>
              <w:t>①</w:t>
            </w:r>
            <w:r>
              <w:rPr>
                <w:sz w:val="18"/>
                <w:szCs w:val="18"/>
              </w:rPr>
              <w:t>实习期间严格遵守实验室规章制度，严格考勤，原则上不允许请假。</w:t>
            </w:r>
          </w:p>
          <w:p>
            <w:pPr>
              <w:adjustRightInd w:val="0"/>
              <w:snapToGrid w:val="0"/>
              <w:spacing w:before="40" w:after="40" w:line="300" w:lineRule="auto"/>
              <w:rPr>
                <w:sz w:val="18"/>
                <w:szCs w:val="18"/>
              </w:rPr>
            </w:pPr>
            <w:r>
              <w:rPr>
                <w:rFonts w:hint="eastAsia" w:ascii="宋体" w:hAnsi="宋体" w:cs="宋体"/>
                <w:bCs/>
                <w:kern w:val="0"/>
                <w:sz w:val="18"/>
                <w:szCs w:val="18"/>
              </w:rPr>
              <w:t>②</w:t>
            </w:r>
            <w:r>
              <w:rPr>
                <w:sz w:val="18"/>
                <w:szCs w:val="18"/>
              </w:rPr>
              <w:t>独立完成语音识别系统或图像识别系统的设计、实现及调试。</w:t>
            </w:r>
          </w:p>
          <w:p>
            <w:pPr>
              <w:adjustRightInd w:val="0"/>
              <w:snapToGrid w:val="0"/>
              <w:spacing w:line="300" w:lineRule="auto"/>
              <w:rPr>
                <w:b/>
                <w:sz w:val="18"/>
                <w:szCs w:val="18"/>
              </w:rPr>
            </w:pPr>
            <w:r>
              <w:rPr>
                <w:rFonts w:hint="eastAsia" w:ascii="宋体" w:hAnsi="宋体" w:cs="宋体"/>
                <w:bCs/>
                <w:kern w:val="0"/>
                <w:sz w:val="18"/>
                <w:szCs w:val="18"/>
              </w:rPr>
              <w:t>③</w:t>
            </w:r>
            <w:r>
              <w:rPr>
                <w:sz w:val="18"/>
                <w:szCs w:val="18"/>
              </w:rPr>
              <w:t>按时进行现场验收和提交实习报告。</w:t>
            </w:r>
          </w:p>
          <w:p>
            <w:pPr>
              <w:widowControl/>
              <w:adjustRightInd w:val="0"/>
              <w:snapToGrid w:val="0"/>
              <w:spacing w:line="300" w:lineRule="auto"/>
              <w:jc w:val="left"/>
              <w:rPr>
                <w:bCs/>
                <w:kern w:val="0"/>
                <w:sz w:val="18"/>
                <w:szCs w:val="18"/>
              </w:rPr>
            </w:pPr>
            <w:r>
              <w:rPr>
                <w:bCs/>
                <w:kern w:val="0"/>
                <w:sz w:val="18"/>
                <w:szCs w:val="18"/>
              </w:rPr>
              <w:t>（2）实习日志、实习报告撰写的要求</w:t>
            </w:r>
          </w:p>
          <w:p>
            <w:pPr>
              <w:adjustRightInd w:val="0"/>
              <w:snapToGrid w:val="0"/>
              <w:spacing w:line="300" w:lineRule="auto"/>
              <w:rPr>
                <w:sz w:val="18"/>
                <w:szCs w:val="18"/>
              </w:rPr>
            </w:pPr>
            <w:r>
              <w:rPr>
                <w:sz w:val="18"/>
                <w:szCs w:val="18"/>
              </w:rPr>
              <w:t>课程实习报告的内容具体包括以下部分：</w:t>
            </w:r>
          </w:p>
          <w:p>
            <w:pPr>
              <w:adjustRightInd w:val="0"/>
              <w:snapToGrid w:val="0"/>
              <w:spacing w:line="300" w:lineRule="auto"/>
              <w:rPr>
                <w:sz w:val="18"/>
                <w:szCs w:val="18"/>
              </w:rPr>
            </w:pPr>
            <w:r>
              <w:rPr>
                <w:rFonts w:hint="eastAsia" w:ascii="宋体" w:hAnsi="宋体" w:cs="宋体"/>
                <w:sz w:val="18"/>
                <w:szCs w:val="18"/>
              </w:rPr>
              <w:t>①</w:t>
            </w:r>
            <w:r>
              <w:rPr>
                <w:sz w:val="18"/>
                <w:szCs w:val="18"/>
              </w:rPr>
              <w:t xml:space="preserve">封面：包括标题、班级、姓名、学号、电话及完成日期。 </w:t>
            </w:r>
          </w:p>
          <w:p>
            <w:pPr>
              <w:adjustRightInd w:val="0"/>
              <w:snapToGrid w:val="0"/>
              <w:spacing w:line="300" w:lineRule="auto"/>
              <w:rPr>
                <w:sz w:val="18"/>
                <w:szCs w:val="18"/>
              </w:rPr>
            </w:pPr>
            <w:r>
              <w:rPr>
                <w:rFonts w:hint="eastAsia" w:ascii="宋体" w:hAnsi="宋体" w:cs="宋体"/>
                <w:sz w:val="18"/>
                <w:szCs w:val="18"/>
              </w:rPr>
              <w:t>②</w:t>
            </w:r>
            <w:r>
              <w:rPr>
                <w:sz w:val="18"/>
                <w:szCs w:val="18"/>
              </w:rPr>
              <w:t>目录</w:t>
            </w:r>
            <w:r>
              <w:rPr>
                <w:sz w:val="18"/>
                <w:szCs w:val="18"/>
              </w:rPr>
              <w:br w:type="textWrapping"/>
            </w:r>
            <w:r>
              <w:rPr>
                <w:rFonts w:hint="eastAsia" w:ascii="宋体" w:hAnsi="宋体" w:cs="宋体"/>
                <w:sz w:val="18"/>
                <w:szCs w:val="18"/>
              </w:rPr>
              <w:t>③</w:t>
            </w:r>
            <w:r>
              <w:rPr>
                <w:sz w:val="18"/>
                <w:szCs w:val="18"/>
              </w:rPr>
              <w:t xml:space="preserve">正文：课程实习报告的主体，应包括： </w:t>
            </w:r>
          </w:p>
          <w:p>
            <w:pPr>
              <w:adjustRightInd w:val="0"/>
              <w:snapToGrid w:val="0"/>
              <w:spacing w:line="300" w:lineRule="auto"/>
              <w:rPr>
                <w:sz w:val="18"/>
                <w:szCs w:val="18"/>
              </w:rPr>
            </w:pPr>
            <w:r>
              <w:rPr>
                <w:sz w:val="18"/>
                <w:szCs w:val="18"/>
              </w:rPr>
              <w:t xml:space="preserve">课程实习题目； </w:t>
            </w:r>
          </w:p>
          <w:p>
            <w:pPr>
              <w:adjustRightInd w:val="0"/>
              <w:snapToGrid w:val="0"/>
              <w:spacing w:line="300" w:lineRule="auto"/>
              <w:rPr>
                <w:sz w:val="18"/>
                <w:szCs w:val="18"/>
              </w:rPr>
            </w:pPr>
            <w:r>
              <w:rPr>
                <w:sz w:val="18"/>
                <w:szCs w:val="18"/>
              </w:rPr>
              <w:t xml:space="preserve">课程实习目的、任务与要求； </w:t>
            </w:r>
          </w:p>
          <w:p>
            <w:pPr>
              <w:adjustRightInd w:val="0"/>
              <w:snapToGrid w:val="0"/>
              <w:spacing w:line="300" w:lineRule="auto"/>
              <w:rPr>
                <w:sz w:val="18"/>
                <w:szCs w:val="18"/>
              </w:rPr>
            </w:pPr>
            <w:r>
              <w:rPr>
                <w:sz w:val="18"/>
                <w:szCs w:val="18"/>
              </w:rPr>
              <w:t>算法原理；</w:t>
            </w:r>
          </w:p>
          <w:p>
            <w:pPr>
              <w:adjustRightInd w:val="0"/>
              <w:snapToGrid w:val="0"/>
              <w:spacing w:line="300" w:lineRule="auto"/>
              <w:rPr>
                <w:sz w:val="18"/>
                <w:szCs w:val="18"/>
              </w:rPr>
            </w:pPr>
            <w:r>
              <w:rPr>
                <w:sz w:val="18"/>
                <w:szCs w:val="18"/>
              </w:rPr>
              <w:t>程序设计；</w:t>
            </w:r>
          </w:p>
          <w:p>
            <w:pPr>
              <w:adjustRightInd w:val="0"/>
              <w:snapToGrid w:val="0"/>
              <w:spacing w:line="300" w:lineRule="auto"/>
              <w:rPr>
                <w:sz w:val="18"/>
                <w:szCs w:val="18"/>
              </w:rPr>
            </w:pPr>
            <w:r>
              <w:rPr>
                <w:sz w:val="18"/>
                <w:szCs w:val="18"/>
              </w:rPr>
              <w:t>运行效果</w:t>
            </w:r>
          </w:p>
          <w:p>
            <w:pPr>
              <w:adjustRightInd w:val="0"/>
              <w:snapToGrid w:val="0"/>
              <w:spacing w:line="300" w:lineRule="auto"/>
              <w:rPr>
                <w:sz w:val="18"/>
                <w:szCs w:val="18"/>
              </w:rPr>
            </w:pPr>
            <w:r>
              <w:rPr>
                <w:sz w:val="18"/>
                <w:szCs w:val="18"/>
              </w:rPr>
              <w:t xml:space="preserve">工作总结（包括收获与体会；遇到的问题和解决方法；技术实现技巧和创新点；作品存在的问题和改进设想等）； </w:t>
            </w:r>
          </w:p>
          <w:p>
            <w:pPr>
              <w:adjustRightInd w:val="0"/>
              <w:snapToGrid w:val="0"/>
              <w:spacing w:line="300" w:lineRule="auto"/>
              <w:rPr>
                <w:sz w:val="18"/>
                <w:szCs w:val="18"/>
              </w:rPr>
            </w:pPr>
            <w:r>
              <w:rPr>
                <w:rFonts w:hint="eastAsia" w:ascii="宋体" w:hAnsi="宋体" w:cs="宋体"/>
                <w:sz w:val="18"/>
                <w:szCs w:val="18"/>
              </w:rPr>
              <w:t>④</w:t>
            </w:r>
            <w:r>
              <w:rPr>
                <w:sz w:val="18"/>
                <w:szCs w:val="18"/>
              </w:rPr>
              <w:t xml:space="preserve">参考文献  </w:t>
            </w:r>
          </w:p>
          <w:p>
            <w:pPr>
              <w:widowControl/>
              <w:adjustRightInd w:val="0"/>
              <w:snapToGrid w:val="0"/>
              <w:spacing w:line="300" w:lineRule="auto"/>
              <w:jc w:val="left"/>
              <w:rPr>
                <w:sz w:val="18"/>
                <w:szCs w:val="18"/>
              </w:rPr>
            </w:pPr>
            <w:r>
              <w:rPr>
                <w:rFonts w:hint="eastAsia" w:ascii="宋体" w:hAnsi="宋体" w:cs="宋体"/>
                <w:sz w:val="18"/>
                <w:szCs w:val="18"/>
              </w:rPr>
              <w:t>⑤</w:t>
            </w:r>
            <w:r>
              <w:rPr>
                <w:sz w:val="18"/>
                <w:szCs w:val="18"/>
              </w:rPr>
              <w:t>附录：程序代码</w:t>
            </w:r>
          </w:p>
        </w:tc>
        <w:tc>
          <w:tcPr>
            <w:tcW w:w="670" w:type="dxa"/>
            <w:vAlign w:val="center"/>
          </w:tcPr>
          <w:p>
            <w:pPr>
              <w:adjustRightInd w:val="0"/>
              <w:snapToGrid w:val="0"/>
              <w:spacing w:line="300" w:lineRule="auto"/>
              <w:rPr>
                <w:sz w:val="18"/>
                <w:szCs w:val="18"/>
              </w:rPr>
            </w:pPr>
            <w:r>
              <w:rPr>
                <w:kern w:val="0"/>
                <w:sz w:val="18"/>
                <w:szCs w:val="18"/>
              </w:rPr>
              <w:t>1周</w:t>
            </w:r>
          </w:p>
        </w:tc>
      </w:tr>
    </w:tbl>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pPr>
      <w:r>
        <w:t>1．考核方式：考察。</w:t>
      </w:r>
    </w:p>
    <w:p>
      <w:pPr>
        <w:snapToGrid w:val="0"/>
        <w:spacing w:line="300" w:lineRule="auto"/>
        <w:ind w:firstLine="420" w:firstLineChars="200"/>
      </w:pPr>
      <w:r>
        <w:t>2．成绩构成：</w:t>
      </w:r>
      <w:r>
        <w:rPr>
          <w:szCs w:val="21"/>
        </w:rPr>
        <w:t>成绩评定的内容包括学生考勤、现场验收的完成情况和口头汇报以及书面实习报告。这三方面占总成绩比例分别为10%、60%和30%。实习成绩按优秀、良好、中等、及格和不及格五级评定。凡成绩不及格者，必须重修。</w:t>
      </w:r>
    </w:p>
    <w:p>
      <w:pPr>
        <w:snapToGrid w:val="0"/>
        <w:spacing w:line="300" w:lineRule="auto"/>
        <w:ind w:firstLine="420" w:firstLineChars="200"/>
      </w:pPr>
      <w:r>
        <w:t>成绩评定方式为综合考核方式的各项评分，给出总评成绩，学期末依据总评成绩评定对应考核等级：优秀：90-100分；良好：80-89分；中等：70-79分及格：60-69分；不及格：60分以下。</w:t>
      </w:r>
    </w:p>
    <w:p>
      <w:pPr>
        <w:snapToGrid w:val="0"/>
        <w:spacing w:line="300" w:lineRule="auto"/>
        <w:ind w:firstLine="420" w:firstLineChars="200"/>
      </w:pPr>
      <w:r>
        <w:rPr>
          <w:bCs/>
          <w:szCs w:val="21"/>
        </w:rPr>
        <w:t>（1）实习日志要每天填写一篇，共5篇，把实习内容，实习目的和要求，实习完成情况，收获与体会。</w:t>
      </w:r>
    </w:p>
    <w:p>
      <w:pPr>
        <w:snapToGrid w:val="0"/>
        <w:spacing w:line="300" w:lineRule="auto"/>
        <w:ind w:firstLine="420" w:firstLineChars="200"/>
      </w:pPr>
      <w:r>
        <w:rPr>
          <w:szCs w:val="21"/>
        </w:rPr>
        <w:t>（2）实习报告（总结）的内容。总结报告字数要求3000字左右。</w:t>
      </w:r>
    </w:p>
    <w:p>
      <w:pPr>
        <w:snapToGrid w:val="0"/>
        <w:spacing w:line="300" w:lineRule="auto"/>
        <w:ind w:firstLine="420" w:firstLineChars="200"/>
      </w:pPr>
      <w:r>
        <w:t>3．考核评价标准</w:t>
      </w:r>
    </w:p>
    <w:p>
      <w:pPr>
        <w:snapToGrid w:val="0"/>
        <w:spacing w:line="300" w:lineRule="auto"/>
        <w:ind w:firstLine="420" w:firstLineChars="200"/>
      </w:pPr>
      <w:r>
        <w:rPr>
          <w:szCs w:val="21"/>
        </w:rPr>
        <w:t>实习表现由指导教师根据实习期间的操作情况、积极性、遵守纪律、是否独立完成实习成果等方面情况等评定；实习日记是对实习过程的记录，实习报告是对整个实习课程的总结。</w:t>
      </w:r>
      <w:r>
        <w:rPr>
          <w:kern w:val="0"/>
          <w:szCs w:val="21"/>
        </w:rPr>
        <w:t>实习考核主要依据以下几方面的要求进行：是否遵守实习纪律，实习态度及大纲规定实习工作的完成情况；实习日记和实习报告的完成质量；是否遵守实习单位的规章制度及实习单位的鉴定意见。</w:t>
      </w:r>
    </w:p>
    <w:p>
      <w:pPr>
        <w:snapToGrid w:val="0"/>
        <w:spacing w:line="300" w:lineRule="auto"/>
        <w:ind w:firstLine="420" w:firstLineChars="200"/>
      </w:pPr>
      <w:r>
        <w:rPr>
          <w:szCs w:val="21"/>
        </w:rPr>
        <w:t>应明确实习表现、实习日记和实习报告等环节权重，应具体写明对实习日记和实习报告的写作要求及评价标准，应有成绩评定的评语，应留存考核和成绩评定的各种原始资料。</w:t>
      </w:r>
    </w:p>
    <w:p>
      <w:pPr>
        <w:snapToGrid w:val="0"/>
        <w:spacing w:line="300" w:lineRule="auto"/>
        <w:ind w:firstLine="420" w:firstLineChars="200"/>
      </w:pPr>
      <w:r>
        <w:t>具体考核评价标准见表4所示。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5002"/>
        <w:gridCol w:w="1000"/>
        <w:gridCol w:w="998"/>
        <w:gridCol w:w="1073"/>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blHeader/>
          <w:jc w:val="center"/>
        </w:trPr>
        <w:tc>
          <w:tcPr>
            <w:tcW w:w="608" w:type="dxa"/>
            <w:shd w:val="clear" w:color="auto" w:fill="FFFFFF"/>
            <w:vAlign w:val="center"/>
          </w:tcPr>
          <w:p>
            <w:pPr>
              <w:snapToGrid w:val="0"/>
              <w:spacing w:line="300" w:lineRule="auto"/>
              <w:jc w:val="center"/>
              <w:rPr>
                <w:b/>
                <w:bCs/>
                <w:sz w:val="18"/>
                <w:szCs w:val="18"/>
              </w:rPr>
            </w:pPr>
            <w:r>
              <w:rPr>
                <w:b/>
                <w:bCs/>
                <w:sz w:val="18"/>
                <w:szCs w:val="18"/>
              </w:rPr>
              <w:t>序号</w:t>
            </w:r>
          </w:p>
        </w:tc>
        <w:tc>
          <w:tcPr>
            <w:tcW w:w="5002" w:type="dxa"/>
            <w:shd w:val="clear" w:color="auto" w:fill="FFFFFF"/>
            <w:vAlign w:val="center"/>
          </w:tcPr>
          <w:p>
            <w:pPr>
              <w:snapToGrid w:val="0"/>
              <w:spacing w:line="300" w:lineRule="auto"/>
              <w:jc w:val="center"/>
              <w:rPr>
                <w:b/>
                <w:bCs/>
                <w:sz w:val="18"/>
                <w:szCs w:val="18"/>
              </w:rPr>
            </w:pPr>
            <w:r>
              <w:rPr>
                <w:b/>
                <w:bCs/>
                <w:sz w:val="18"/>
                <w:szCs w:val="18"/>
              </w:rPr>
              <w:t>教学目标</w:t>
            </w:r>
          </w:p>
        </w:tc>
        <w:tc>
          <w:tcPr>
            <w:tcW w:w="1000"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998" w:type="dxa"/>
            <w:shd w:val="clear" w:color="auto" w:fill="FFFFFF"/>
            <w:vAlign w:val="center"/>
          </w:tcPr>
          <w:p>
            <w:pPr>
              <w:snapToGrid w:val="0"/>
              <w:spacing w:line="300" w:lineRule="auto"/>
              <w:jc w:val="center"/>
              <w:rPr>
                <w:b/>
                <w:bCs/>
                <w:sz w:val="18"/>
                <w:szCs w:val="18"/>
              </w:rPr>
            </w:pPr>
            <w:r>
              <w:rPr>
                <w:b/>
                <w:bCs/>
                <w:sz w:val="18"/>
                <w:szCs w:val="18"/>
              </w:rPr>
              <w:t>权重系数</w:t>
            </w:r>
          </w:p>
        </w:tc>
        <w:tc>
          <w:tcPr>
            <w:tcW w:w="1073"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1073" w:type="dxa"/>
            <w:shd w:val="clear" w:color="auto" w:fill="FFFFFF"/>
          </w:tcPr>
          <w:p>
            <w:pPr>
              <w:snapToGrid w:val="0"/>
              <w:spacing w:line="300" w:lineRule="auto"/>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center"/>
              <w:rPr>
                <w:sz w:val="18"/>
                <w:szCs w:val="18"/>
              </w:rPr>
            </w:pPr>
            <w:r>
              <w:rPr>
                <w:rFonts w:hint="eastAsia"/>
                <w:sz w:val="18"/>
                <w:szCs w:val="18"/>
              </w:rPr>
              <w:t>1</w:t>
            </w:r>
          </w:p>
        </w:tc>
        <w:tc>
          <w:tcPr>
            <w:tcW w:w="5002" w:type="dxa"/>
            <w:shd w:val="clear" w:color="auto" w:fill="FFFFFF"/>
            <w:vAlign w:val="center"/>
          </w:tcPr>
          <w:p>
            <w:pPr>
              <w:snapToGrid w:val="0"/>
              <w:spacing w:line="300" w:lineRule="auto"/>
              <w:jc w:val="left"/>
              <w:rPr>
                <w:sz w:val="18"/>
                <w:szCs w:val="18"/>
              </w:rPr>
            </w:pPr>
            <w:r>
              <w:rPr>
                <w:sz w:val="18"/>
                <w:szCs w:val="18"/>
              </w:rPr>
              <w:t>掌握语音和图像的基本处理方法，能提出语音或图像处理系统设计方案，并编程实现。培养学生利用图书馆及网络资源独立查阅资料、文献，并能通过整合、分析文献资料，针对实际问题，选择技术路线、设计实验方案。</w:t>
            </w:r>
          </w:p>
        </w:tc>
        <w:tc>
          <w:tcPr>
            <w:tcW w:w="1000"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rFonts w:hint="eastAsia"/>
                <w:sz w:val="18"/>
                <w:szCs w:val="18"/>
              </w:rPr>
              <w:t>0.4</w:t>
            </w:r>
          </w:p>
        </w:tc>
        <w:tc>
          <w:tcPr>
            <w:tcW w:w="1073" w:type="dxa"/>
            <w:shd w:val="clear" w:color="auto" w:fill="FFFFFF"/>
            <w:vAlign w:val="center"/>
          </w:tcPr>
          <w:p>
            <w:pPr>
              <w:snapToGrid w:val="0"/>
              <w:spacing w:line="300" w:lineRule="auto"/>
              <w:jc w:val="left"/>
              <w:rPr>
                <w:sz w:val="18"/>
                <w:szCs w:val="18"/>
              </w:rPr>
            </w:pPr>
            <w:r>
              <w:rPr>
                <w:sz w:val="18"/>
                <w:szCs w:val="18"/>
                <w:shd w:val="clear" w:color="auto" w:fill="FEFEFF"/>
              </w:rPr>
              <w:t>实习日志、实习报告考评</w:t>
            </w:r>
          </w:p>
        </w:tc>
        <w:tc>
          <w:tcPr>
            <w:tcW w:w="1073" w:type="dxa"/>
            <w:shd w:val="clear" w:color="auto" w:fill="FFFFFF"/>
            <w:vAlign w:val="center"/>
          </w:tcPr>
          <w:p>
            <w:pPr>
              <w:snapToGrid w:val="0"/>
              <w:spacing w:line="300" w:lineRule="auto"/>
              <w:jc w:val="center"/>
              <w:rPr>
                <w:sz w:val="18"/>
                <w:szCs w:val="18"/>
              </w:rPr>
            </w:pPr>
            <w:r>
              <w:rPr>
                <w:rFonts w:hint="eastAsia"/>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center"/>
              <w:rPr>
                <w:sz w:val="18"/>
                <w:szCs w:val="18"/>
              </w:rPr>
            </w:pPr>
            <w:r>
              <w:rPr>
                <w:rFonts w:hint="eastAsia"/>
                <w:sz w:val="18"/>
                <w:szCs w:val="18"/>
              </w:rPr>
              <w:t>2</w:t>
            </w:r>
          </w:p>
        </w:tc>
        <w:tc>
          <w:tcPr>
            <w:tcW w:w="5002" w:type="dxa"/>
            <w:shd w:val="clear" w:color="auto" w:fill="FFFFFF"/>
            <w:vAlign w:val="center"/>
          </w:tcPr>
          <w:p>
            <w:pPr>
              <w:snapToGrid w:val="0"/>
              <w:spacing w:line="300" w:lineRule="auto"/>
              <w:jc w:val="left"/>
              <w:rPr>
                <w:sz w:val="18"/>
                <w:szCs w:val="18"/>
              </w:rPr>
            </w:pPr>
            <w:r>
              <w:rPr>
                <w:rFonts w:hint="eastAsia"/>
                <w:sz w:val="18"/>
                <w:szCs w:val="18"/>
              </w:rPr>
              <w:t>2</w:t>
            </w:r>
            <w:r>
              <w:rPr>
                <w:sz w:val="18"/>
                <w:szCs w:val="18"/>
              </w:rPr>
              <w:t>. 培养学生</w:t>
            </w:r>
            <w:r>
              <w:rPr>
                <w:rFonts w:hint="eastAsia"/>
                <w:sz w:val="18"/>
                <w:szCs w:val="18"/>
              </w:rPr>
              <w:t>良好的口头和书面表达能力，能清晰阐述语音和图像系统的设计流程、系统功能，具备撰写科技报告的能力</w:t>
            </w:r>
            <w:r>
              <w:rPr>
                <w:sz w:val="18"/>
                <w:szCs w:val="18"/>
              </w:rPr>
              <w:t>。</w:t>
            </w:r>
          </w:p>
        </w:tc>
        <w:tc>
          <w:tcPr>
            <w:tcW w:w="1000"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rFonts w:hint="eastAsia"/>
                <w:sz w:val="18"/>
                <w:szCs w:val="18"/>
              </w:rPr>
              <w:t>0.6</w:t>
            </w:r>
          </w:p>
        </w:tc>
        <w:tc>
          <w:tcPr>
            <w:tcW w:w="1073" w:type="dxa"/>
            <w:shd w:val="clear" w:color="auto" w:fill="FFFFFF"/>
            <w:vAlign w:val="center"/>
          </w:tcPr>
          <w:p>
            <w:pPr>
              <w:snapToGrid w:val="0"/>
              <w:spacing w:line="300" w:lineRule="auto"/>
              <w:jc w:val="left"/>
              <w:rPr>
                <w:sz w:val="18"/>
                <w:szCs w:val="18"/>
              </w:rPr>
            </w:pPr>
            <w:r>
              <w:rPr>
                <w:sz w:val="18"/>
                <w:szCs w:val="18"/>
                <w:shd w:val="clear" w:color="auto" w:fill="FEFEFF"/>
              </w:rPr>
              <w:t>现场验收答辩</w:t>
            </w:r>
            <w:r>
              <w:rPr>
                <w:sz w:val="18"/>
                <w:szCs w:val="18"/>
              </w:rPr>
              <w:t xml:space="preserve"> </w:t>
            </w:r>
          </w:p>
        </w:tc>
        <w:tc>
          <w:tcPr>
            <w:tcW w:w="1073" w:type="dxa"/>
            <w:shd w:val="clear" w:color="auto" w:fill="FFFFFF"/>
            <w:vAlign w:val="center"/>
          </w:tcPr>
          <w:p>
            <w:pPr>
              <w:snapToGrid w:val="0"/>
              <w:spacing w:line="300" w:lineRule="auto"/>
              <w:jc w:val="center"/>
              <w:rPr>
                <w:sz w:val="18"/>
                <w:szCs w:val="18"/>
              </w:rPr>
            </w:pPr>
            <w:r>
              <w:rPr>
                <w:rFonts w:hint="eastAsia"/>
                <w:sz w:val="18"/>
                <w:szCs w:val="18"/>
              </w:rPr>
              <w:t>10.1</w:t>
            </w:r>
          </w:p>
        </w:tc>
      </w:tr>
    </w:tbl>
    <w:p>
      <w:pPr>
        <w:snapToGrid w:val="0"/>
        <w:spacing w:before="159" w:beforeLines="50" w:after="159"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213" o:spt="75" type="#_x0000_t75" style="height:28.5pt;width:361.5pt;" o:ole="t" filled="f" o:preferrelative="t" stroked="f" coordsize="21600,21600">
            <v:path/>
            <v:fill on="f" focussize="0,0"/>
            <v:stroke on="f" joinstyle="miter"/>
            <v:imagedata r:id="rId36" o:title=""/>
            <o:lock v:ext="edit" aspectratio="t"/>
            <w10:wrap type="none"/>
            <w10:anchorlock/>
          </v:shape>
          <o:OLEObject Type="Embed" ProgID="Equation.3" ShapeID="_x0000_i1213" DrawAspect="Content" ObjectID="_1468075911" r:id="rId241">
            <o:LockedField>false</o:LockedField>
          </o:OLEObject>
        </w:object>
      </w:r>
    </w:p>
    <w:p>
      <w:pPr>
        <w:snapToGrid w:val="0"/>
        <w:spacing w:line="300" w:lineRule="auto"/>
        <w:ind w:firstLine="420" w:firstLineChars="200"/>
      </w:pPr>
      <w:r>
        <w:t>课程总目标达成情况为6个课程目标的加权得分率，其计算公式为：</w:t>
      </w:r>
    </w:p>
    <w:p>
      <w:pPr>
        <w:snapToGrid w:val="0"/>
        <w:spacing w:line="300" w:lineRule="auto"/>
        <w:jc w:val="center"/>
      </w:pPr>
      <w:r>
        <w:t xml:space="preserve"> </w:t>
      </w:r>
      <w:r>
        <w:object>
          <v:shape id="_x0000_i1214" o:spt="75" type="#_x0000_t75" style="height:18pt;width:264.75pt;" o:ole="t" filled="f" o:preferrelative="t" stroked="f" coordsize="21600,21600">
            <v:path/>
            <v:fill on="f" focussize="0,0"/>
            <v:stroke on="f" joinstyle="miter"/>
            <v:imagedata r:id="rId38" o:title=""/>
            <o:lock v:ext="edit" aspectratio="t"/>
            <w10:wrap type="none"/>
            <w10:anchorlock/>
          </v:shape>
          <o:OLEObject Type="Embed" ProgID="Equation.DSMT4" ShapeID="_x0000_i1214" DrawAspect="Content" ObjectID="_1468075912" r:id="rId242">
            <o:LockedField>false</o:LockedField>
          </o:OLEObject>
        </w:object>
      </w:r>
    </w:p>
    <w:p>
      <w:pPr>
        <w:snapToGrid w:val="0"/>
        <w:spacing w:line="300" w:lineRule="auto"/>
      </w:pPr>
      <w: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3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48"/>
        <w:gridCol w:w="110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048" w:type="dxa"/>
            <w:vAlign w:val="center"/>
          </w:tcPr>
          <w:p>
            <w:pPr>
              <w:snapToGrid w:val="0"/>
              <w:spacing w:line="300" w:lineRule="auto"/>
              <w:jc w:val="center"/>
              <w:rPr>
                <w:b/>
                <w:bCs/>
                <w:sz w:val="18"/>
                <w:szCs w:val="18"/>
              </w:rPr>
            </w:pPr>
            <w:r>
              <w:rPr>
                <w:b/>
                <w:bCs/>
                <w:sz w:val="18"/>
                <w:szCs w:val="18"/>
              </w:rPr>
              <w:t>课程目标</w:t>
            </w:r>
          </w:p>
        </w:tc>
        <w:tc>
          <w:tcPr>
            <w:tcW w:w="1108" w:type="dxa"/>
            <w:vAlign w:val="center"/>
          </w:tcPr>
          <w:p>
            <w:pPr>
              <w:snapToGrid w:val="0"/>
              <w:spacing w:line="300" w:lineRule="auto"/>
              <w:jc w:val="center"/>
              <w:rPr>
                <w:sz w:val="18"/>
                <w:szCs w:val="18"/>
              </w:rPr>
            </w:pPr>
            <w:r>
              <w:rPr>
                <w:sz w:val="18"/>
                <w:szCs w:val="18"/>
              </w:rPr>
              <w:t>1</w:t>
            </w:r>
          </w:p>
        </w:tc>
        <w:tc>
          <w:tcPr>
            <w:tcW w:w="1313" w:type="dxa"/>
            <w:vAlign w:val="center"/>
          </w:tcPr>
          <w:p>
            <w:pPr>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048" w:type="dxa"/>
            <w:vAlign w:val="center"/>
          </w:tcPr>
          <w:p>
            <w:pPr>
              <w:snapToGrid w:val="0"/>
              <w:spacing w:line="300" w:lineRule="auto"/>
              <w:jc w:val="center"/>
              <w:rPr>
                <w:b/>
                <w:bCs/>
                <w:sz w:val="18"/>
                <w:szCs w:val="18"/>
              </w:rPr>
            </w:pPr>
            <w:r>
              <w:rPr>
                <w:b/>
                <w:bCs/>
                <w:sz w:val="18"/>
                <w:szCs w:val="18"/>
              </w:rPr>
              <w:t>权重系数</w:t>
            </w:r>
          </w:p>
        </w:tc>
        <w:tc>
          <w:tcPr>
            <w:tcW w:w="1108" w:type="dxa"/>
            <w:vAlign w:val="center"/>
          </w:tcPr>
          <w:p>
            <w:pPr>
              <w:snapToGrid w:val="0"/>
              <w:spacing w:line="300" w:lineRule="auto"/>
              <w:jc w:val="center"/>
              <w:rPr>
                <w:sz w:val="18"/>
                <w:szCs w:val="18"/>
              </w:rPr>
            </w:pPr>
            <w:r>
              <w:rPr>
                <w:sz w:val="18"/>
                <w:szCs w:val="18"/>
              </w:rPr>
              <w:t>0.</w:t>
            </w:r>
            <w:r>
              <w:rPr>
                <w:rFonts w:hint="eastAsia"/>
                <w:sz w:val="18"/>
                <w:szCs w:val="18"/>
              </w:rPr>
              <w:t>4</w:t>
            </w:r>
          </w:p>
        </w:tc>
        <w:tc>
          <w:tcPr>
            <w:tcW w:w="1313" w:type="dxa"/>
            <w:vAlign w:val="center"/>
          </w:tcPr>
          <w:p>
            <w:pPr>
              <w:snapToGrid w:val="0"/>
              <w:spacing w:line="300" w:lineRule="auto"/>
              <w:jc w:val="center"/>
              <w:rPr>
                <w:sz w:val="18"/>
                <w:szCs w:val="18"/>
              </w:rPr>
            </w:pPr>
            <w:r>
              <w:rPr>
                <w:sz w:val="18"/>
                <w:szCs w:val="18"/>
              </w:rPr>
              <w:t>0.</w:t>
            </w:r>
            <w:r>
              <w:rPr>
                <w:rFonts w:hint="eastAsia"/>
                <w:sz w:val="18"/>
                <w:szCs w:val="18"/>
              </w:rPr>
              <w:t>6</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215" o:spt="75" type="#_x0000_t75" style="height:19.5pt;width:285.75pt;" o:ole="t" filled="f" o:preferrelative="t" stroked="f" coordsize="21600,21600">
            <v:path/>
            <v:fill on="f" focussize="0,0"/>
            <v:stroke on="f" joinstyle="miter"/>
            <v:imagedata r:id="rId40" o:title=""/>
            <o:lock v:ext="edit" aspectratio="t"/>
            <w10:wrap type="none"/>
            <w10:anchorlock/>
          </v:shape>
          <o:OLEObject Type="Embed" ProgID="Equation.3" ShapeID="_x0000_i1215" DrawAspect="Content" ObjectID="_1468075913" r:id="rId243">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rPr>
          <w:szCs w:val="21"/>
        </w:rPr>
      </w:pPr>
      <w:r>
        <w:rPr>
          <w:szCs w:val="21"/>
        </w:rPr>
        <w:t>不需要指定教材。</w:t>
      </w:r>
    </w:p>
    <w:tbl>
      <w:tblPr>
        <w:tblStyle w:val="22"/>
        <w:tblpPr w:leftFromText="180" w:rightFromText="180" w:vertAnchor="text" w:horzAnchor="page" w:tblpX="1385" w:tblpY="208"/>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rPr>
                <w:kern w:val="0"/>
                <w:sz w:val="20"/>
                <w:szCs w:val="21"/>
              </w:rPr>
            </w:pPr>
          </w:p>
        </w:tc>
      </w:tr>
    </w:tbl>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Pr>
        <w:snapToGrid w:val="0"/>
        <w:spacing w:line="300" w:lineRule="auto"/>
        <w:ind w:firstLine="420" w:firstLineChars="200"/>
        <w:rPr>
          <w:szCs w:val="21"/>
          <w:shd w:val="clear" w:color="auto" w:fill="FEFEFF"/>
        </w:rPr>
      </w:pPr>
    </w:p>
    <w:p/>
    <w:p>
      <w:pPr>
        <w:pStyle w:val="2"/>
        <w:spacing w:line="360" w:lineRule="auto"/>
        <w:jc w:val="center"/>
        <w:rPr>
          <w:rFonts w:ascii="Times New Roman" w:hAnsi="Times New Roman" w:cs="Times New Roman"/>
        </w:rPr>
        <w:sectPr>
          <w:pgSz w:w="11906" w:h="16838"/>
          <w:pgMar w:top="1417" w:right="1361" w:bottom="1417" w:left="1361" w:header="851" w:footer="992" w:gutter="0"/>
          <w:cols w:space="720" w:num="1"/>
          <w:docGrid w:type="lines" w:linePitch="318" w:charSpace="0"/>
        </w:sectPr>
      </w:pPr>
    </w:p>
    <w:p>
      <w:pPr>
        <w:pStyle w:val="3"/>
        <w:jc w:val="center"/>
      </w:pPr>
      <w:bookmarkStart w:id="310" w:name="_Toc16544"/>
      <w:bookmarkStart w:id="311" w:name="_Toc3161"/>
      <w:bookmarkStart w:id="312" w:name="_Toc22102"/>
      <w:r>
        <w:t>j3341710《生产实习》</w:t>
      </w:r>
      <w:r>
        <w:rPr>
          <w:rFonts w:hint="eastAsia"/>
        </w:rPr>
        <w:t>实训</w:t>
      </w:r>
      <w:r>
        <w:t>教学大纲</w:t>
      </w:r>
      <w:bookmarkEnd w:id="310"/>
      <w:bookmarkEnd w:id="311"/>
      <w:bookmarkEnd w:id="312"/>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2217"/>
        <w:gridCol w:w="1543"/>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693" w:type="dxa"/>
            <w:vAlign w:val="center"/>
          </w:tcPr>
          <w:p>
            <w:pPr>
              <w:widowControl/>
              <w:jc w:val="center"/>
              <w:rPr>
                <w:bCs/>
                <w:kern w:val="0"/>
                <w:szCs w:val="21"/>
              </w:rPr>
            </w:pPr>
            <w:r>
              <w:rPr>
                <w:bCs/>
                <w:kern w:val="0"/>
                <w:szCs w:val="21"/>
              </w:rPr>
              <w:t>课程编号</w:t>
            </w:r>
          </w:p>
        </w:tc>
        <w:tc>
          <w:tcPr>
            <w:tcW w:w="2217" w:type="dxa"/>
            <w:vAlign w:val="center"/>
          </w:tcPr>
          <w:p>
            <w:pPr>
              <w:widowControl/>
              <w:jc w:val="center"/>
              <w:rPr>
                <w:bCs/>
                <w:kern w:val="0"/>
                <w:szCs w:val="21"/>
              </w:rPr>
            </w:pPr>
            <w:r>
              <w:rPr>
                <w:szCs w:val="21"/>
              </w:rPr>
              <w:t>j3341710</w:t>
            </w:r>
          </w:p>
        </w:tc>
        <w:tc>
          <w:tcPr>
            <w:tcW w:w="1543" w:type="dxa"/>
            <w:vAlign w:val="center"/>
          </w:tcPr>
          <w:p>
            <w:pPr>
              <w:widowControl/>
              <w:jc w:val="center"/>
              <w:rPr>
                <w:bCs/>
                <w:kern w:val="0"/>
                <w:szCs w:val="21"/>
              </w:rPr>
            </w:pPr>
            <w:r>
              <w:rPr>
                <w:bCs/>
                <w:kern w:val="0"/>
                <w:szCs w:val="21"/>
              </w:rPr>
              <w:t>课程名称</w:t>
            </w:r>
          </w:p>
        </w:tc>
        <w:tc>
          <w:tcPr>
            <w:tcW w:w="3228" w:type="dxa"/>
            <w:vAlign w:val="center"/>
          </w:tcPr>
          <w:p>
            <w:pPr>
              <w:widowControl/>
              <w:jc w:val="center"/>
              <w:rPr>
                <w:bCs/>
                <w:kern w:val="0"/>
                <w:szCs w:val="21"/>
              </w:rPr>
            </w:pPr>
            <w:r>
              <w:rPr>
                <w:bCs/>
                <w:kern w:val="0"/>
                <w:szCs w:val="21"/>
              </w:rPr>
              <w:t>生产实习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693" w:type="dxa"/>
            <w:vAlign w:val="center"/>
          </w:tcPr>
          <w:p>
            <w:pPr>
              <w:widowControl/>
              <w:jc w:val="center"/>
              <w:rPr>
                <w:bCs/>
                <w:kern w:val="0"/>
                <w:szCs w:val="21"/>
              </w:rPr>
            </w:pPr>
            <w:r>
              <w:rPr>
                <w:bCs/>
                <w:kern w:val="0"/>
                <w:szCs w:val="21"/>
              </w:rPr>
              <w:t>课程性质*</w:t>
            </w:r>
          </w:p>
        </w:tc>
        <w:tc>
          <w:tcPr>
            <w:tcW w:w="2217" w:type="dxa"/>
            <w:vAlign w:val="center"/>
          </w:tcPr>
          <w:p>
            <w:pPr>
              <w:widowControl/>
              <w:jc w:val="center"/>
              <w:rPr>
                <w:bCs/>
                <w:kern w:val="0"/>
                <w:szCs w:val="21"/>
              </w:rPr>
            </w:pPr>
            <w:r>
              <w:rPr>
                <w:kern w:val="0"/>
                <w:szCs w:val="21"/>
              </w:rPr>
              <w:t>工程实践与毕业设计（论文）</w:t>
            </w:r>
          </w:p>
        </w:tc>
        <w:tc>
          <w:tcPr>
            <w:tcW w:w="1543" w:type="dxa"/>
            <w:vAlign w:val="center"/>
          </w:tcPr>
          <w:p>
            <w:pPr>
              <w:widowControl/>
              <w:jc w:val="center"/>
              <w:rPr>
                <w:bCs/>
                <w:kern w:val="0"/>
                <w:szCs w:val="21"/>
              </w:rPr>
            </w:pPr>
            <w:r>
              <w:rPr>
                <w:bCs/>
                <w:kern w:val="0"/>
                <w:szCs w:val="21"/>
              </w:rPr>
              <w:t>英文名称</w:t>
            </w:r>
          </w:p>
        </w:tc>
        <w:tc>
          <w:tcPr>
            <w:tcW w:w="3228" w:type="dxa"/>
            <w:vAlign w:val="center"/>
          </w:tcPr>
          <w:p>
            <w:pPr>
              <w:widowControl/>
              <w:jc w:val="center"/>
              <w:rPr>
                <w:bCs/>
                <w:kern w:val="0"/>
                <w:szCs w:val="21"/>
              </w:rPr>
            </w:pPr>
            <w:r>
              <w:rPr>
                <w:szCs w:val="21"/>
              </w:rPr>
              <w:t>Production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693" w:type="dxa"/>
            <w:vAlign w:val="center"/>
          </w:tcPr>
          <w:p>
            <w:pPr>
              <w:widowControl/>
              <w:jc w:val="center"/>
              <w:rPr>
                <w:bCs/>
                <w:kern w:val="0"/>
                <w:szCs w:val="21"/>
              </w:rPr>
            </w:pPr>
            <w:r>
              <w:rPr>
                <w:bCs/>
                <w:kern w:val="0"/>
                <w:szCs w:val="21"/>
              </w:rPr>
              <w:t>学分学时</w:t>
            </w:r>
          </w:p>
        </w:tc>
        <w:tc>
          <w:tcPr>
            <w:tcW w:w="2217" w:type="dxa"/>
            <w:vAlign w:val="center"/>
          </w:tcPr>
          <w:p>
            <w:pPr>
              <w:widowControl/>
              <w:jc w:val="center"/>
              <w:rPr>
                <w:bCs/>
                <w:kern w:val="0"/>
                <w:szCs w:val="21"/>
              </w:rPr>
            </w:pPr>
            <w:r>
              <w:rPr>
                <w:bCs/>
                <w:kern w:val="0"/>
                <w:szCs w:val="21"/>
              </w:rPr>
              <w:t xml:space="preserve">2 </w:t>
            </w:r>
            <w:r>
              <w:rPr>
                <w:kern w:val="0"/>
                <w:szCs w:val="21"/>
              </w:rPr>
              <w:t xml:space="preserve">: </w:t>
            </w:r>
            <w:r>
              <w:rPr>
                <w:bCs/>
                <w:kern w:val="0"/>
                <w:szCs w:val="21"/>
              </w:rPr>
              <w:t>4周</w:t>
            </w:r>
          </w:p>
        </w:tc>
        <w:tc>
          <w:tcPr>
            <w:tcW w:w="1543" w:type="dxa"/>
            <w:vAlign w:val="center"/>
          </w:tcPr>
          <w:p>
            <w:pPr>
              <w:widowControl/>
              <w:jc w:val="center"/>
              <w:rPr>
                <w:bCs/>
                <w:kern w:val="0"/>
                <w:szCs w:val="21"/>
              </w:rPr>
            </w:pPr>
            <w:r>
              <w:rPr>
                <w:bCs/>
                <w:kern w:val="0"/>
                <w:szCs w:val="21"/>
              </w:rPr>
              <w:t>任课教师</w:t>
            </w:r>
          </w:p>
        </w:tc>
        <w:tc>
          <w:tcPr>
            <w:tcW w:w="3228" w:type="dxa"/>
            <w:vAlign w:val="center"/>
          </w:tcPr>
          <w:p>
            <w:pPr>
              <w:widowControl/>
              <w:jc w:val="center"/>
              <w:rPr>
                <w:bCs/>
                <w:kern w:val="0"/>
                <w:szCs w:val="21"/>
              </w:rPr>
            </w:pPr>
            <w:r>
              <w:rPr>
                <w:bCs/>
                <w:kern w:val="0"/>
                <w:szCs w:val="21"/>
              </w:rPr>
              <w:t>王骥，</w:t>
            </w:r>
            <w:r>
              <w:rPr>
                <w:rFonts w:hint="eastAsia"/>
                <w:bCs/>
                <w:kern w:val="0"/>
                <w:szCs w:val="21"/>
              </w:rPr>
              <w:t>郭磊、彭银桥等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3" w:type="dxa"/>
            <w:vAlign w:val="center"/>
          </w:tcPr>
          <w:p>
            <w:pPr>
              <w:widowControl/>
              <w:jc w:val="center"/>
              <w:rPr>
                <w:bCs/>
                <w:kern w:val="0"/>
                <w:szCs w:val="21"/>
              </w:rPr>
            </w:pPr>
            <w:r>
              <w:rPr>
                <w:bCs/>
                <w:kern w:val="0"/>
                <w:szCs w:val="21"/>
              </w:rPr>
              <w:t>企业专家</w:t>
            </w:r>
          </w:p>
        </w:tc>
        <w:tc>
          <w:tcPr>
            <w:tcW w:w="2217" w:type="dxa"/>
            <w:vAlign w:val="center"/>
          </w:tcPr>
          <w:p>
            <w:pPr>
              <w:widowControl/>
              <w:jc w:val="center"/>
              <w:rPr>
                <w:bCs/>
                <w:kern w:val="0"/>
                <w:szCs w:val="21"/>
              </w:rPr>
            </w:pPr>
            <w:r>
              <w:rPr>
                <w:bCs/>
                <w:kern w:val="0"/>
                <w:szCs w:val="21"/>
              </w:rPr>
              <w:t>曾耿滨</w:t>
            </w:r>
          </w:p>
        </w:tc>
        <w:tc>
          <w:tcPr>
            <w:tcW w:w="1543" w:type="dxa"/>
            <w:vAlign w:val="center"/>
          </w:tcPr>
          <w:p>
            <w:pPr>
              <w:widowControl/>
              <w:jc w:val="center"/>
              <w:rPr>
                <w:bCs/>
                <w:kern w:val="0"/>
                <w:szCs w:val="21"/>
              </w:rPr>
            </w:pPr>
            <w:r>
              <w:rPr>
                <w:bCs/>
                <w:kern w:val="0"/>
                <w:szCs w:val="21"/>
              </w:rPr>
              <w:t>行业专家</w:t>
            </w:r>
          </w:p>
        </w:tc>
        <w:tc>
          <w:tcPr>
            <w:tcW w:w="3228" w:type="dxa"/>
            <w:vAlign w:val="center"/>
          </w:tcPr>
          <w:p>
            <w:pPr>
              <w:widowControl/>
              <w:jc w:val="center"/>
              <w:rPr>
                <w:bCs/>
                <w:kern w:val="0"/>
                <w:szCs w:val="21"/>
              </w:rPr>
            </w:pPr>
            <w:r>
              <w:rPr>
                <w:bCs/>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93" w:type="dxa"/>
            <w:vAlign w:val="center"/>
          </w:tcPr>
          <w:p>
            <w:pPr>
              <w:widowControl/>
              <w:jc w:val="center"/>
              <w:rPr>
                <w:bCs/>
                <w:kern w:val="0"/>
                <w:szCs w:val="21"/>
              </w:rPr>
            </w:pPr>
            <w:r>
              <w:rPr>
                <w:bCs/>
                <w:kern w:val="0"/>
                <w:szCs w:val="21"/>
              </w:rPr>
              <w:t>执笔教师</w:t>
            </w:r>
          </w:p>
        </w:tc>
        <w:tc>
          <w:tcPr>
            <w:tcW w:w="2217" w:type="dxa"/>
            <w:vAlign w:val="center"/>
          </w:tcPr>
          <w:p>
            <w:pPr>
              <w:widowControl/>
              <w:jc w:val="center"/>
              <w:rPr>
                <w:bCs/>
                <w:kern w:val="0"/>
                <w:szCs w:val="21"/>
              </w:rPr>
            </w:pPr>
            <w:r>
              <w:rPr>
                <w:bCs/>
                <w:kern w:val="0"/>
                <w:szCs w:val="21"/>
              </w:rPr>
              <w:t>王骥</w:t>
            </w:r>
          </w:p>
        </w:tc>
        <w:tc>
          <w:tcPr>
            <w:tcW w:w="1543" w:type="dxa"/>
            <w:vAlign w:val="center"/>
          </w:tcPr>
          <w:p>
            <w:pPr>
              <w:widowControl/>
              <w:jc w:val="center"/>
              <w:rPr>
                <w:bCs/>
                <w:kern w:val="0"/>
                <w:szCs w:val="21"/>
              </w:rPr>
            </w:pPr>
            <w:r>
              <w:rPr>
                <w:bCs/>
                <w:kern w:val="0"/>
                <w:szCs w:val="21"/>
              </w:rPr>
              <w:t>责任教授</w:t>
            </w:r>
          </w:p>
        </w:tc>
        <w:tc>
          <w:tcPr>
            <w:tcW w:w="3228" w:type="dxa"/>
            <w:vAlign w:val="center"/>
          </w:tcPr>
          <w:p>
            <w:pPr>
              <w:widowControl/>
              <w:jc w:val="center"/>
              <w:rPr>
                <w:bCs/>
                <w:kern w:val="0"/>
                <w:szCs w:val="21"/>
              </w:rPr>
            </w:pPr>
            <w:r>
              <w:rPr>
                <w:rFonts w:hint="eastAsia"/>
                <w:bCs/>
                <w:kern w:val="0"/>
                <w:szCs w:val="21"/>
              </w:rPr>
              <w:t>张培珍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93" w:type="dxa"/>
            <w:vAlign w:val="center"/>
          </w:tcPr>
          <w:p>
            <w:pPr>
              <w:widowControl/>
              <w:jc w:val="center"/>
              <w:rPr>
                <w:bCs/>
                <w:kern w:val="0"/>
                <w:szCs w:val="21"/>
              </w:rPr>
            </w:pPr>
            <w:r>
              <w:rPr>
                <w:bCs/>
                <w:kern w:val="0"/>
                <w:szCs w:val="21"/>
              </w:rPr>
              <w:t>适用专业</w:t>
            </w:r>
          </w:p>
        </w:tc>
        <w:tc>
          <w:tcPr>
            <w:tcW w:w="2217" w:type="dxa"/>
            <w:vAlign w:val="center"/>
          </w:tcPr>
          <w:p>
            <w:pPr>
              <w:widowControl/>
              <w:jc w:val="center"/>
              <w:rPr>
                <w:bCs/>
                <w:kern w:val="0"/>
                <w:szCs w:val="21"/>
              </w:rPr>
            </w:pPr>
            <w:r>
              <w:rPr>
                <w:bCs/>
                <w:kern w:val="0"/>
                <w:szCs w:val="21"/>
              </w:rPr>
              <w:t>电子信息工程</w:t>
            </w:r>
          </w:p>
        </w:tc>
        <w:tc>
          <w:tcPr>
            <w:tcW w:w="1543" w:type="dxa"/>
            <w:vAlign w:val="center"/>
          </w:tcPr>
          <w:p>
            <w:pPr>
              <w:widowControl/>
              <w:jc w:val="center"/>
              <w:rPr>
                <w:bCs/>
                <w:kern w:val="0"/>
                <w:szCs w:val="21"/>
              </w:rPr>
            </w:pPr>
            <w:r>
              <w:rPr>
                <w:bCs/>
                <w:kern w:val="0"/>
                <w:szCs w:val="21"/>
              </w:rPr>
              <w:t>适用对象</w:t>
            </w:r>
          </w:p>
        </w:tc>
        <w:tc>
          <w:tcPr>
            <w:tcW w:w="3228" w:type="dxa"/>
            <w:vAlign w:val="center"/>
          </w:tcPr>
          <w:p>
            <w:pPr>
              <w:widowControl/>
              <w:jc w:val="center"/>
              <w:rPr>
                <w:bCs/>
                <w:kern w:val="0"/>
                <w:szCs w:val="21"/>
              </w:rPr>
            </w:pPr>
            <w:r>
              <w:rPr>
                <w:bCs/>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3" w:type="dxa"/>
            <w:vAlign w:val="center"/>
          </w:tcPr>
          <w:p>
            <w:pPr>
              <w:widowControl/>
              <w:jc w:val="center"/>
              <w:rPr>
                <w:bCs/>
                <w:kern w:val="0"/>
                <w:szCs w:val="21"/>
              </w:rPr>
            </w:pPr>
            <w:r>
              <w:rPr>
                <w:bCs/>
                <w:kern w:val="0"/>
                <w:szCs w:val="21"/>
              </w:rPr>
              <w:t>先修课程</w:t>
            </w:r>
          </w:p>
        </w:tc>
        <w:tc>
          <w:tcPr>
            <w:tcW w:w="2217" w:type="dxa"/>
            <w:vAlign w:val="center"/>
          </w:tcPr>
          <w:p>
            <w:pPr>
              <w:widowControl/>
              <w:jc w:val="center"/>
              <w:rPr>
                <w:bCs/>
                <w:kern w:val="0"/>
                <w:szCs w:val="21"/>
              </w:rPr>
            </w:pPr>
            <w:r>
              <w:rPr>
                <w:bCs/>
                <w:kern w:val="0"/>
                <w:szCs w:val="21"/>
              </w:rPr>
              <w:t>电子信息类专业课程</w:t>
            </w:r>
          </w:p>
        </w:tc>
        <w:tc>
          <w:tcPr>
            <w:tcW w:w="1543" w:type="dxa"/>
            <w:vAlign w:val="center"/>
          </w:tcPr>
          <w:p>
            <w:pPr>
              <w:widowControl/>
              <w:jc w:val="center"/>
              <w:rPr>
                <w:bCs/>
                <w:kern w:val="0"/>
                <w:szCs w:val="21"/>
              </w:rPr>
            </w:pPr>
            <w:r>
              <w:rPr>
                <w:bCs/>
                <w:kern w:val="0"/>
                <w:szCs w:val="21"/>
              </w:rPr>
              <w:t>同修课程</w:t>
            </w:r>
          </w:p>
        </w:tc>
        <w:tc>
          <w:tcPr>
            <w:tcW w:w="3228" w:type="dxa"/>
            <w:vAlign w:val="center"/>
          </w:tcPr>
          <w:p>
            <w:pPr>
              <w:widowControl/>
              <w:jc w:val="center"/>
              <w:rPr>
                <w:bCs/>
                <w:kern w:val="0"/>
                <w:szCs w:val="21"/>
              </w:rPr>
            </w:pPr>
            <w:r>
              <w:rPr>
                <w:bCs/>
                <w:kern w:val="0"/>
                <w:szCs w:val="21"/>
              </w:rPr>
              <w:t>毕业实习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693" w:type="dxa"/>
            <w:vAlign w:val="center"/>
          </w:tcPr>
          <w:p>
            <w:pPr>
              <w:widowControl/>
              <w:jc w:val="center"/>
              <w:rPr>
                <w:bCs/>
                <w:kern w:val="0"/>
                <w:szCs w:val="21"/>
              </w:rPr>
            </w:pPr>
            <w:r>
              <w:rPr>
                <w:bCs/>
                <w:kern w:val="0"/>
                <w:szCs w:val="21"/>
              </w:rPr>
              <w:t>排斥课程</w:t>
            </w:r>
          </w:p>
        </w:tc>
        <w:tc>
          <w:tcPr>
            <w:tcW w:w="2217" w:type="dxa"/>
            <w:vAlign w:val="center"/>
          </w:tcPr>
          <w:p>
            <w:pPr>
              <w:widowControl/>
              <w:jc w:val="center"/>
              <w:rPr>
                <w:bCs/>
                <w:kern w:val="0"/>
                <w:szCs w:val="21"/>
              </w:rPr>
            </w:pPr>
            <w:r>
              <w:rPr>
                <w:bCs/>
                <w:kern w:val="0"/>
                <w:szCs w:val="21"/>
              </w:rPr>
              <w:t>无</w:t>
            </w:r>
          </w:p>
        </w:tc>
        <w:tc>
          <w:tcPr>
            <w:tcW w:w="1543" w:type="dxa"/>
            <w:vAlign w:val="center"/>
          </w:tcPr>
          <w:p>
            <w:pPr>
              <w:widowControl/>
              <w:jc w:val="center"/>
              <w:rPr>
                <w:bCs/>
                <w:kern w:val="0"/>
                <w:szCs w:val="21"/>
              </w:rPr>
            </w:pPr>
            <w:r>
              <w:rPr>
                <w:bCs/>
                <w:kern w:val="0"/>
                <w:szCs w:val="21"/>
              </w:rPr>
              <w:t>定稿日期</w:t>
            </w:r>
          </w:p>
        </w:tc>
        <w:tc>
          <w:tcPr>
            <w:tcW w:w="3228" w:type="dxa"/>
            <w:vAlign w:val="center"/>
          </w:tcPr>
          <w:p>
            <w:pPr>
              <w:widowControl/>
              <w:jc w:val="center"/>
              <w:rPr>
                <w:bCs/>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adjustRightInd w:val="0"/>
        <w:snapToGrid w:val="0"/>
        <w:spacing w:line="300" w:lineRule="auto"/>
        <w:ind w:firstLine="420" w:firstLineChars="200"/>
      </w:pPr>
      <w:r>
        <w:rPr>
          <w:szCs w:val="21"/>
        </w:rPr>
        <w:t>生产实习是全面贯彻党的教育方针，培养理论联系实际的社会主义建设人才的一项重要措施，通过生产实习须达到：“联系实际、拓宽知识、锻炼思想”的目的。生产实习是重要的教学实践性环节，是对学生的一次综合能力的训练和培养，其任务是：学习电子设备或生产过程的组织与管理方面的实际知识；了解有关新工艺和新技术；扩大专业知识面；培养观察问题、分析问题的独立工作能力，积累社会经验，为将来参加工作得到初步的锻炼；与生产第一线的工人师傅和技术人员密切接触，学习好思想、好作风和好经验，激发为我国现代化建设做贡献的热情。通过切身感受一线企业实践，使学生进一步了解企业、社会、国情，激励学生敬业、创业的精神，从而完成学生从学习岗位到工作岗位的初步过渡，并为毕业后从事相关行业岗位工作奠定坚实的职业基础。</w:t>
      </w:r>
    </w:p>
    <w:p>
      <w:pPr>
        <w:snapToGrid w:val="0"/>
        <w:spacing w:before="159" w:beforeLines="50" w:after="159" w:afterLines="50" w:line="300" w:lineRule="auto"/>
        <w:rPr>
          <w:b/>
          <w:sz w:val="24"/>
        </w:rPr>
      </w:pPr>
      <w:r>
        <w:rPr>
          <w:b/>
          <w:sz w:val="24"/>
        </w:rPr>
        <w:t>二、课程教学目标</w:t>
      </w:r>
    </w:p>
    <w:p>
      <w:pPr>
        <w:widowControl/>
        <w:adjustRightInd w:val="0"/>
        <w:snapToGrid w:val="0"/>
        <w:spacing w:line="300" w:lineRule="auto"/>
        <w:ind w:firstLine="420" w:firstLineChars="200"/>
        <w:jc w:val="left"/>
        <w:rPr>
          <w:szCs w:val="21"/>
        </w:rPr>
      </w:pPr>
      <w:r>
        <w:t>生产实习是本科教学的重要实践环节，是根据专业学习的需要，到相关企事业单位进行一线生产开发环节的岗位实习。通过实习，生产</w:t>
      </w:r>
      <w:r>
        <w:rPr>
          <w:szCs w:val="21"/>
        </w:rPr>
        <w:t>实习教学目标达到三个方面：其一，培养以爱岗敬业和诚信为重点的良好的职业道德，企业的一系列考核、安全、保密等规章制度及员工日常行为规范，使学生在实习期间便养成遵规守纪的习惯；其二，培养良好的职业素养，实习基地提供了当代电子信息类工程技术人员应具备的质量意识、安全意识、管理意识、合作意识、竞争意识等基本素质形成的真实氛围；其三，培养学生顶岗技能，提高学生的实际工作能力和就业竞赛能力。</w:t>
      </w:r>
      <w:r>
        <w:rPr>
          <w:b/>
          <w:bCs/>
          <w:szCs w:val="21"/>
        </w:rPr>
        <w:t>培养学生</w:t>
      </w:r>
      <w:r>
        <w:rPr>
          <w:rFonts w:hint="eastAsia"/>
          <w:b/>
          <w:bCs/>
          <w:szCs w:val="21"/>
        </w:rPr>
        <w:t>实习</w:t>
      </w:r>
      <w:r>
        <w:rPr>
          <w:b/>
          <w:bCs/>
          <w:szCs w:val="21"/>
        </w:rPr>
        <w:t>过程要怀着“仰望星空，塑造灵魂，志存高远”的清怀</w:t>
      </w:r>
      <w:r>
        <w:rPr>
          <w:rFonts w:hint="eastAsia"/>
          <w:b/>
          <w:bCs/>
          <w:szCs w:val="21"/>
        </w:rPr>
        <w:t>去创造</w:t>
      </w:r>
      <w:r>
        <w:rPr>
          <w:b/>
          <w:bCs/>
          <w:szCs w:val="21"/>
        </w:rPr>
        <w:t>，但在一线工作岗位上必须坚持在脚踏实地中追求崇高的理想。</w:t>
      </w:r>
    </w:p>
    <w:p>
      <w:pPr>
        <w:adjustRightInd w:val="0"/>
        <w:snapToGrid w:val="0"/>
        <w:spacing w:line="300" w:lineRule="auto"/>
        <w:ind w:firstLine="420" w:firstLineChars="200"/>
      </w:pPr>
      <w:r>
        <w:rPr>
          <w:szCs w:val="21"/>
        </w:rPr>
        <w:t>学生学习本课程应达到的具体明确的能力</w:t>
      </w:r>
      <w:r>
        <w:t>达到以下目标：</w:t>
      </w:r>
    </w:p>
    <w:p>
      <w:pPr>
        <w:adjustRightInd w:val="0"/>
        <w:snapToGrid w:val="0"/>
        <w:spacing w:line="300" w:lineRule="auto"/>
        <w:ind w:firstLine="420" w:firstLineChars="200"/>
        <w:rPr>
          <w:szCs w:val="21"/>
        </w:rPr>
      </w:pPr>
      <w:r>
        <w:rPr>
          <w:szCs w:val="21"/>
        </w:rPr>
        <w:t>1．能够利用本专业所学知识，认知企业业务范围内的现代电子信息工业生产组织形式、管理方式、工艺过程及工艺技术方法，企业产品方案，能够理解企业存在的专业合理</w:t>
      </w:r>
      <w:r>
        <w:rPr>
          <w:rFonts w:hint="eastAsia"/>
          <w:szCs w:val="21"/>
        </w:rPr>
        <w:t>与合法</w:t>
      </w:r>
      <w:r>
        <w:rPr>
          <w:szCs w:val="21"/>
        </w:rPr>
        <w:t>性；训练从事电子信息类企业一线工作及管理工作所必须的各种基本技能（仪器使用）和实践动手能力，能够发现企业在技术、资源、设备等客观条件上的局限性。[3</w:t>
      </w:r>
      <w:r>
        <w:rPr>
          <w:rFonts w:hint="eastAsia"/>
          <w:szCs w:val="21"/>
        </w:rPr>
        <w:t>.</w:t>
      </w:r>
      <w:r>
        <w:rPr>
          <w:szCs w:val="21"/>
        </w:rPr>
        <w:t>3] [5</w:t>
      </w:r>
      <w:r>
        <w:rPr>
          <w:rFonts w:hint="eastAsia"/>
          <w:szCs w:val="21"/>
        </w:rPr>
        <w:t>.</w:t>
      </w:r>
      <w:r>
        <w:rPr>
          <w:szCs w:val="21"/>
        </w:rPr>
        <w:t>1]</w:t>
      </w:r>
    </w:p>
    <w:p>
      <w:pPr>
        <w:adjustRightInd w:val="0"/>
        <w:snapToGrid w:val="0"/>
        <w:spacing w:line="300" w:lineRule="auto"/>
        <w:ind w:firstLine="420" w:firstLineChars="200"/>
        <w:rPr>
          <w:szCs w:val="21"/>
        </w:rPr>
      </w:pPr>
      <w:r>
        <w:rPr>
          <w:szCs w:val="21"/>
        </w:rPr>
        <w:t>2．巩固和运用所学的各门课程的基础知识，观察、分析企业产品与社会的关系，具备初步解决企业生产管理方式和实际生产的创新发展问题的能力，能够合理评价企业及其产品社会价值取向与创新发展方向，提出合理性建议；了解企业行为与电子产品对环境保护影响和社会可持续发展对企业及其行为的法律、道德约束以及面向可持续发展的改进方向，提出合理建议。</w:t>
      </w:r>
      <w:r>
        <w:rPr>
          <w:rFonts w:hint="eastAsia"/>
          <w:szCs w:val="21"/>
        </w:rPr>
        <w:t>[</w:t>
      </w:r>
      <w:r>
        <w:rPr>
          <w:szCs w:val="21"/>
        </w:rPr>
        <w:t>6</w:t>
      </w:r>
      <w:r>
        <w:rPr>
          <w:rFonts w:hint="eastAsia"/>
          <w:szCs w:val="21"/>
        </w:rPr>
        <w:t>.</w:t>
      </w:r>
      <w:r>
        <w:rPr>
          <w:szCs w:val="21"/>
        </w:rPr>
        <w:t>2]</w:t>
      </w:r>
    </w:p>
    <w:p>
      <w:pPr>
        <w:adjustRightInd w:val="0"/>
        <w:snapToGrid w:val="0"/>
        <w:spacing w:line="300" w:lineRule="auto"/>
        <w:ind w:firstLine="420" w:firstLineChars="200"/>
        <w:rPr>
          <w:szCs w:val="21"/>
        </w:rPr>
      </w:pPr>
      <w:r>
        <w:rPr>
          <w:szCs w:val="21"/>
        </w:rPr>
        <w:t>3．具有协作精神，能正确认识、理解个人在团体中的作用，具有在团队中有效发挥作用的能力，自觉承担个人在团体中的责任；具有一定的计划、组织、协调团队工作的能力。 [9</w:t>
      </w:r>
      <w:r>
        <w:rPr>
          <w:rFonts w:hint="eastAsia"/>
          <w:szCs w:val="21"/>
        </w:rPr>
        <w:t>.</w:t>
      </w:r>
      <w:r>
        <w:rPr>
          <w:szCs w:val="21"/>
        </w:rPr>
        <w:t>2]</w:t>
      </w:r>
    </w:p>
    <w:p>
      <w:pPr>
        <w:adjustRightInd w:val="0"/>
        <w:snapToGrid w:val="0"/>
        <w:spacing w:line="300" w:lineRule="auto"/>
        <w:ind w:firstLine="420" w:firstLineChars="200"/>
        <w:rPr>
          <w:szCs w:val="21"/>
        </w:rPr>
      </w:pPr>
      <w:r>
        <w:rPr>
          <w:rFonts w:hint="eastAsia"/>
          <w:szCs w:val="21"/>
        </w:rPr>
        <w:t xml:space="preserve">4. </w:t>
      </w:r>
      <w:r>
        <w:rPr>
          <w:szCs w:val="21"/>
        </w:rPr>
        <w:t>学会能够初步运用工程管理与技术经济的基本知识，进行合理的企业</w:t>
      </w:r>
      <w:r>
        <w:rPr>
          <w:rFonts w:hint="eastAsia"/>
          <w:szCs w:val="21"/>
        </w:rPr>
        <w:t>辅助</w:t>
      </w:r>
      <w:r>
        <w:rPr>
          <w:szCs w:val="21"/>
        </w:rPr>
        <w:t>决策</w:t>
      </w:r>
      <w:r>
        <w:rPr>
          <w:rFonts w:hint="eastAsia"/>
          <w:szCs w:val="21"/>
        </w:rPr>
        <w:t>，提出和理性建议</w:t>
      </w:r>
      <w:r>
        <w:rPr>
          <w:szCs w:val="21"/>
        </w:rPr>
        <w:t>；具有一定的组织项目开发的经历和基本的项目管理能力，能运用具体案例和实践经验来提高电子信息类项目管理实践能力。 [11</w:t>
      </w:r>
      <w:r>
        <w:rPr>
          <w:rFonts w:hint="eastAsia"/>
          <w:szCs w:val="21"/>
        </w:rPr>
        <w:t>.</w:t>
      </w:r>
      <w:r>
        <w:rPr>
          <w:szCs w:val="21"/>
        </w:rPr>
        <w:t>2]</w:t>
      </w:r>
    </w:p>
    <w:p>
      <w:pPr>
        <w:adjustRightInd w:val="0"/>
        <w:snapToGrid w:val="0"/>
        <w:spacing w:line="300" w:lineRule="auto"/>
        <w:ind w:firstLine="420" w:firstLineChars="200"/>
        <w:rPr>
          <w:szCs w:val="21"/>
        </w:rPr>
      </w:pPr>
      <w:r>
        <w:rPr>
          <w:rFonts w:hint="eastAsia"/>
          <w:szCs w:val="21"/>
        </w:rPr>
        <w:t xml:space="preserve">5. </w:t>
      </w:r>
      <w:r>
        <w:rPr>
          <w:szCs w:val="21"/>
        </w:rPr>
        <w:t>具有感知企业在社会主义建设中的主要作用的能力，培养自己正确的人生观、劳动观，挖掘劳动者创造美的本质，并认真学习与努力培养企业“工匠”精神；能够在工程实践中理解并遵守工程职业道德和规范，具有社会责任感，履行责任，具有肩负起祖国工程创新的意识与使命感。[8</w:t>
      </w:r>
      <w:r>
        <w:rPr>
          <w:rFonts w:hint="eastAsia"/>
          <w:szCs w:val="21"/>
        </w:rPr>
        <w:t>.</w:t>
      </w:r>
      <w:r>
        <w:rPr>
          <w:szCs w:val="21"/>
        </w:rPr>
        <w:t>2]</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kern w:val="0"/>
          <w:sz w:val="18"/>
          <w:szCs w:val="18"/>
        </w:rPr>
      </w:pPr>
      <w:r>
        <w:rPr>
          <w:b/>
          <w:kern w:val="0"/>
          <w:sz w:val="18"/>
          <w:szCs w:val="18"/>
        </w:rPr>
        <w:t>表1毕业要求指标点实现矩阵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33"/>
        <w:gridCol w:w="5659"/>
        <w:gridCol w:w="1014"/>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7" w:hRule="atLeast"/>
          <w:tblHeader/>
          <w:jc w:val="center"/>
        </w:trPr>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毕业要求</w:t>
            </w:r>
          </w:p>
        </w:tc>
        <w:tc>
          <w:tcPr>
            <w:tcW w:w="56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专业毕业要求指标点</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教学目标</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b/>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33"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3．设计/开发解决方案</w:t>
            </w:r>
          </w:p>
        </w:tc>
        <w:tc>
          <w:tcPr>
            <w:tcW w:w="5659"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3.3设计中充分考虑社会、健康、安全、法律、文化以及环境等因素。</w:t>
            </w:r>
          </w:p>
        </w:tc>
        <w:tc>
          <w:tcPr>
            <w:tcW w:w="1014" w:type="dxa"/>
            <w:vMerge w:val="restart"/>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bCs/>
                <w:sz w:val="18"/>
                <w:szCs w:val="18"/>
              </w:rPr>
            </w:pPr>
            <w:r>
              <w:rPr>
                <w:bCs/>
                <w:sz w:val="18"/>
                <w:szCs w:val="18"/>
              </w:rPr>
              <w:t>1</w:t>
            </w:r>
          </w:p>
        </w:tc>
        <w:tc>
          <w:tcPr>
            <w:tcW w:w="675" w:type="dxa"/>
            <w:tcBorders>
              <w:top w:val="single" w:color="auto" w:sz="4" w:space="0"/>
              <w:left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0.</w:t>
            </w:r>
            <w:r>
              <w:rPr>
                <w:rFonts w:hint="eastAsia"/>
                <w:bCs/>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33"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5．现代工具使用</w:t>
            </w:r>
          </w:p>
        </w:tc>
        <w:tc>
          <w:tcPr>
            <w:tcW w:w="5659"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5.1掌握电子信息工程专业仪器、仪表等现代工程工具的基本原理、操作方法，理解其局限性，并在复杂工程问题中合理选择并使用。</w:t>
            </w:r>
          </w:p>
        </w:tc>
        <w:tc>
          <w:tcPr>
            <w:tcW w:w="1014" w:type="dxa"/>
            <w:vMerge w:val="continue"/>
            <w:tcBorders>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p>
        </w:tc>
        <w:tc>
          <w:tcPr>
            <w:tcW w:w="675" w:type="dxa"/>
            <w:tcBorders>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bCs/>
                <w:sz w:val="18"/>
                <w:szCs w:val="18"/>
              </w:rPr>
            </w:pPr>
            <w:r>
              <w:rPr>
                <w:bCs/>
                <w:sz w:val="18"/>
                <w:szCs w:val="18"/>
              </w:rPr>
              <w:t>0.</w:t>
            </w:r>
            <w:r>
              <w:rPr>
                <w:rFonts w:hint="eastAsia"/>
                <w:bCs/>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333"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6．工程与社会</w:t>
            </w:r>
          </w:p>
        </w:tc>
        <w:tc>
          <w:tcPr>
            <w:tcW w:w="565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6.2能够基于工程相关背景知识，合理分析和评价专业工程实践和电子信息行业新产品、新技术的开发和应用对社会、健康、安全、法律以及文化的影响，并理解应承担的责任。</w:t>
            </w:r>
          </w:p>
        </w:tc>
        <w:tc>
          <w:tcPr>
            <w:tcW w:w="1014"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sz w:val="18"/>
                <w:szCs w:val="18"/>
              </w:rPr>
              <w:t>2</w:t>
            </w:r>
          </w:p>
        </w:tc>
        <w:tc>
          <w:tcPr>
            <w:tcW w:w="675" w:type="dxa"/>
            <w:tcBorders>
              <w:top w:val="single" w:color="auto" w:sz="4" w:space="0"/>
              <w:left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sz w:val="18"/>
                <w:szCs w:val="18"/>
              </w:rPr>
              <w:t>0.</w:t>
            </w:r>
            <w:r>
              <w:rPr>
                <w:rFonts w:hint="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4" w:hRule="atLeast"/>
          <w:jc w:val="center"/>
        </w:trPr>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8．职业规范</w:t>
            </w:r>
          </w:p>
        </w:tc>
        <w:tc>
          <w:tcPr>
            <w:tcW w:w="565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8.2理解工程师的职业道德规范，在工程实践中能自觉遵守职业道德和规范，履行责任。</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rFonts w:hint="eastAsia"/>
                <w:sz w:val="18"/>
                <w:szCs w:val="18"/>
              </w:rPr>
              <w:t>5</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3" w:hRule="atLeast"/>
          <w:jc w:val="center"/>
        </w:trPr>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9．个人与团队</w:t>
            </w:r>
          </w:p>
        </w:tc>
        <w:tc>
          <w:tcPr>
            <w:tcW w:w="565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9.2能够在多学科备选下的团队中胜任团队负责人或成员角色，具有团队合作意识和精神。</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sz w:val="18"/>
                <w:szCs w:val="18"/>
              </w:rPr>
              <w:t>3</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rFonts w:hint="eastAsia"/>
                <w:sz w:val="18"/>
                <w:szCs w:val="18"/>
              </w:rPr>
              <w:t>0</w:t>
            </w: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5" w:hRule="atLeast"/>
          <w:jc w:val="center"/>
        </w:trPr>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11．项目管理</w:t>
            </w:r>
          </w:p>
        </w:tc>
        <w:tc>
          <w:tcPr>
            <w:tcW w:w="565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11.2能够在多学科环境中应用工程管理原理与经济决策方法。</w:t>
            </w:r>
          </w:p>
        </w:tc>
        <w:tc>
          <w:tcPr>
            <w:tcW w:w="10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rFonts w:hint="eastAsia"/>
                <w:sz w:val="18"/>
                <w:szCs w:val="18"/>
              </w:rPr>
              <w:t>4</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center"/>
              <w:rPr>
                <w:sz w:val="18"/>
                <w:szCs w:val="18"/>
              </w:rPr>
            </w:pPr>
            <w:r>
              <w:rPr>
                <w:rFonts w:hint="eastAsia"/>
                <w:sz w:val="18"/>
                <w:szCs w:val="18"/>
              </w:rPr>
              <w:t>0</w:t>
            </w:r>
            <w:r>
              <w:rPr>
                <w:sz w:val="18"/>
                <w:szCs w:val="18"/>
              </w:rPr>
              <w:t>.1</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9"/>
        <w:gridCol w:w="1670"/>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4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167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9"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rPr>
              <w:t>1．能够利用本专业所学知识，认知企业业务范围内的现代电子信息工业生产组织形式、管理方式、工艺过程及工艺技术方法，企业产品方案，能够理解企业存在的专业合理性；训练从事电子信息类企业一线工作及管理工作所必须的各种基本技能（仪器使用）和实践动手能力，能够发现企业在技术、资源、设备等客观条件上的局限性。</w:t>
            </w:r>
          </w:p>
        </w:tc>
        <w:tc>
          <w:tcPr>
            <w:tcW w:w="167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指定阅读，现场汇报与指导、</w:t>
            </w:r>
            <w:r>
              <w:rPr>
                <w:bCs/>
                <w:sz w:val="18"/>
                <w:szCs w:val="18"/>
              </w:rPr>
              <w:t>网络汇报、研讨与</w:t>
            </w:r>
            <w:r>
              <w:rPr>
                <w:sz w:val="18"/>
                <w:szCs w:val="18"/>
                <w:shd w:val="clear" w:color="auto" w:fill="FEFEFF"/>
              </w:rPr>
              <w:t>自学等达成。</w:t>
            </w:r>
          </w:p>
        </w:tc>
        <w:tc>
          <w:tcPr>
            <w:tcW w:w="1582"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9" w:type="dxa"/>
            <w:tcBorders>
              <w:top w:val="single" w:color="auto" w:sz="4" w:space="0"/>
              <w:left w:val="single" w:color="auto" w:sz="4" w:space="0"/>
              <w:bottom w:val="single" w:color="auto" w:sz="4" w:space="0"/>
              <w:right w:val="single" w:color="auto" w:sz="4" w:space="0"/>
            </w:tcBorders>
            <w:shd w:val="clear" w:color="auto" w:fill="FFFFFF"/>
          </w:tcPr>
          <w:p>
            <w:pPr>
              <w:snapToGrid w:val="0"/>
              <w:spacing w:line="300" w:lineRule="auto"/>
              <w:jc w:val="left"/>
              <w:rPr>
                <w:sz w:val="18"/>
                <w:szCs w:val="18"/>
                <w:shd w:val="clear" w:color="auto" w:fill="FEFEFF"/>
              </w:rPr>
            </w:pPr>
            <w:r>
              <w:rPr>
                <w:sz w:val="18"/>
                <w:szCs w:val="18"/>
              </w:rPr>
              <w:t>2．巩固和运用所学的各门课程的基础知识，观察、分析企业产品与社会的关系，具备初步解决企业生产管理方式和实际生产的创新发展问题的能力，能够合理评价企业及其产品社会价值取向与创新发展方向，提出合理性建议；了解企业行为与电子产品对环境保护影响和社会可持续发展对企业及其行为的法律、道德约束以及面向可持续发展的改进方向，提出合理建议。</w:t>
            </w:r>
          </w:p>
        </w:tc>
        <w:tc>
          <w:tcPr>
            <w:tcW w:w="167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指定阅读，现场或</w:t>
            </w:r>
            <w:r>
              <w:rPr>
                <w:bCs/>
                <w:sz w:val="18"/>
                <w:szCs w:val="18"/>
              </w:rPr>
              <w:t>网络</w:t>
            </w:r>
            <w:r>
              <w:rPr>
                <w:sz w:val="18"/>
                <w:szCs w:val="18"/>
                <w:shd w:val="clear" w:color="auto" w:fill="FEFEFF"/>
              </w:rPr>
              <w:t>研讨与指导以及自学等达成。</w:t>
            </w:r>
          </w:p>
        </w:tc>
        <w:tc>
          <w:tcPr>
            <w:tcW w:w="1582"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429"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rPr>
              <w:t>3．具有协作精神，能正确认识、理解个人在团体中的作用，具有在团队中有效发挥作用的能力，自觉承担个人在团体中的责任；具有一定的计划、组织、协调团队工作的能力。</w:t>
            </w:r>
          </w:p>
        </w:tc>
        <w:tc>
          <w:tcPr>
            <w:tcW w:w="167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sz w:val="18"/>
                <w:szCs w:val="18"/>
                <w:shd w:val="clear" w:color="auto" w:fill="FEFEFF"/>
              </w:rPr>
              <w:t>，现场或</w:t>
            </w:r>
            <w:r>
              <w:rPr>
                <w:bCs/>
                <w:sz w:val="18"/>
                <w:szCs w:val="18"/>
              </w:rPr>
              <w:t>网络</w:t>
            </w:r>
            <w:r>
              <w:rPr>
                <w:sz w:val="18"/>
                <w:szCs w:val="18"/>
                <w:shd w:val="clear" w:color="auto" w:fill="FEFEFF"/>
              </w:rPr>
              <w:t>研讨与指导以及自学等达成。</w:t>
            </w:r>
          </w:p>
        </w:tc>
        <w:tc>
          <w:tcPr>
            <w:tcW w:w="1582"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429" w:type="dxa"/>
            <w:tcBorders>
              <w:top w:val="single" w:color="auto" w:sz="4" w:space="0"/>
              <w:left w:val="single" w:color="auto" w:sz="4" w:space="0"/>
              <w:bottom w:val="single" w:color="auto" w:sz="4" w:space="0"/>
              <w:right w:val="single" w:color="auto" w:sz="4" w:space="0"/>
            </w:tcBorders>
            <w:shd w:val="clear" w:color="auto" w:fill="FFFFFF"/>
          </w:tcPr>
          <w:p>
            <w:pPr>
              <w:snapToGrid w:val="0"/>
              <w:spacing w:line="300" w:lineRule="auto"/>
              <w:jc w:val="left"/>
              <w:rPr>
                <w:sz w:val="18"/>
                <w:szCs w:val="18"/>
                <w:shd w:val="clear" w:color="auto" w:fill="FEFEFF"/>
              </w:rPr>
            </w:pPr>
            <w:r>
              <w:rPr>
                <w:rFonts w:hint="eastAsia"/>
                <w:sz w:val="18"/>
                <w:szCs w:val="18"/>
              </w:rPr>
              <w:t>4</w:t>
            </w:r>
            <w:r>
              <w:rPr>
                <w:sz w:val="18"/>
                <w:szCs w:val="18"/>
              </w:rPr>
              <w:t>．学会能够初步运用工程管理与技术经济的基本知识，进行合理的企业决策；具有一定的组织项目开发的经历和基本的项目管理能力，能运用具体案例和实践经验来提高电子信息类项目管理实践能力。</w:t>
            </w:r>
          </w:p>
        </w:tc>
        <w:tc>
          <w:tcPr>
            <w:tcW w:w="167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指定阅读，现场或</w:t>
            </w:r>
            <w:r>
              <w:rPr>
                <w:bCs/>
                <w:sz w:val="18"/>
                <w:szCs w:val="18"/>
              </w:rPr>
              <w:t>网络</w:t>
            </w:r>
            <w:r>
              <w:rPr>
                <w:sz w:val="18"/>
                <w:szCs w:val="18"/>
                <w:shd w:val="clear" w:color="auto" w:fill="FEFEFF"/>
              </w:rPr>
              <w:t>研讨与指导以及自学等达成。</w:t>
            </w:r>
          </w:p>
        </w:tc>
        <w:tc>
          <w:tcPr>
            <w:tcW w:w="1582"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429" w:type="dxa"/>
            <w:tcBorders>
              <w:top w:val="single" w:color="auto" w:sz="4" w:space="0"/>
              <w:left w:val="single" w:color="auto" w:sz="4" w:space="0"/>
              <w:bottom w:val="single" w:color="auto" w:sz="4" w:space="0"/>
              <w:right w:val="single" w:color="auto" w:sz="4" w:space="0"/>
            </w:tcBorders>
            <w:shd w:val="clear" w:color="auto" w:fill="FFFFFF"/>
          </w:tcPr>
          <w:p>
            <w:pPr>
              <w:snapToGrid w:val="0"/>
              <w:spacing w:line="300" w:lineRule="auto"/>
              <w:jc w:val="left"/>
              <w:rPr>
                <w:sz w:val="18"/>
                <w:szCs w:val="18"/>
                <w:shd w:val="clear" w:color="auto" w:fill="FEFEFF"/>
              </w:rPr>
            </w:pPr>
            <w:r>
              <w:rPr>
                <w:rFonts w:hint="eastAsia"/>
                <w:sz w:val="18"/>
                <w:szCs w:val="18"/>
              </w:rPr>
              <w:t>5</w:t>
            </w:r>
            <w:r>
              <w:rPr>
                <w:sz w:val="18"/>
                <w:szCs w:val="18"/>
              </w:rPr>
              <w:t>.具有感知企业在社会主义建设中的主要作用的能力，培养自己正确的人生观、劳动观，挖掘劳动者创造美的本质，并认真学习与努力培养企业“工匠”精神；能够在工程实践中理解并遵守工程职业道德和规范，具有社会责任感，履行责任，具有肩负起民族工程创新的意识与使命。</w:t>
            </w:r>
          </w:p>
        </w:tc>
        <w:tc>
          <w:tcPr>
            <w:tcW w:w="1670"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sz w:val="18"/>
                <w:szCs w:val="18"/>
                <w:shd w:val="clear" w:color="auto" w:fill="FEFEFF"/>
              </w:rPr>
              <w:t>指定阅读，现场或</w:t>
            </w:r>
            <w:r>
              <w:rPr>
                <w:bCs/>
                <w:sz w:val="18"/>
                <w:szCs w:val="18"/>
              </w:rPr>
              <w:t>网络</w:t>
            </w:r>
            <w:r>
              <w:rPr>
                <w:sz w:val="18"/>
                <w:szCs w:val="18"/>
                <w:shd w:val="clear" w:color="auto" w:fill="FEFEFF"/>
              </w:rPr>
              <w:t>研讨与指导以及自学等达成。</w:t>
            </w:r>
          </w:p>
        </w:tc>
        <w:tc>
          <w:tcPr>
            <w:tcW w:w="1582"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bl>
    <w:p>
      <w:pPr>
        <w:snapToGrid w:val="0"/>
        <w:spacing w:before="159" w:beforeLines="50" w:after="159" w:afterLines="50" w:line="300" w:lineRule="auto"/>
        <w:rPr>
          <w:b/>
          <w:sz w:val="24"/>
        </w:rPr>
      </w:pPr>
      <w:r>
        <w:rPr>
          <w:b/>
          <w:sz w:val="24"/>
        </w:rPr>
        <w:t>四、课程教学内容、教与学的要求</w:t>
      </w:r>
    </w:p>
    <w:p>
      <w:pPr>
        <w:spacing w:before="79" w:after="2"/>
        <w:ind w:right="3993" w:firstLine="42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90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
        <w:gridCol w:w="4596"/>
        <w:gridCol w:w="3415"/>
        <w:gridCol w:w="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blHeader/>
          <w:jc w:val="center"/>
        </w:trPr>
        <w:tc>
          <w:tcPr>
            <w:tcW w:w="442" w:type="dxa"/>
            <w:vAlign w:val="center"/>
          </w:tcPr>
          <w:p>
            <w:pPr>
              <w:snapToGrid w:val="0"/>
              <w:spacing w:line="300" w:lineRule="auto"/>
              <w:jc w:val="center"/>
              <w:rPr>
                <w:b/>
                <w:sz w:val="18"/>
              </w:rPr>
            </w:pPr>
            <w:r>
              <w:rPr>
                <w:b/>
                <w:bCs/>
                <w:sz w:val="18"/>
                <w:szCs w:val="18"/>
              </w:rPr>
              <w:t>序号</w:t>
            </w:r>
          </w:p>
        </w:tc>
        <w:tc>
          <w:tcPr>
            <w:tcW w:w="4596" w:type="dxa"/>
            <w:vAlign w:val="center"/>
          </w:tcPr>
          <w:p>
            <w:pPr>
              <w:snapToGrid w:val="0"/>
              <w:spacing w:line="300" w:lineRule="auto"/>
              <w:jc w:val="center"/>
              <w:rPr>
                <w:b/>
                <w:sz w:val="18"/>
              </w:rPr>
            </w:pPr>
            <w:r>
              <w:rPr>
                <w:b/>
                <w:bCs/>
                <w:sz w:val="18"/>
                <w:szCs w:val="18"/>
              </w:rPr>
              <w:t>教学内容与课程教学目标</w:t>
            </w:r>
          </w:p>
        </w:tc>
        <w:tc>
          <w:tcPr>
            <w:tcW w:w="3415" w:type="dxa"/>
            <w:vAlign w:val="center"/>
          </w:tcPr>
          <w:p>
            <w:pPr>
              <w:snapToGrid w:val="0"/>
              <w:spacing w:line="300" w:lineRule="auto"/>
              <w:jc w:val="center"/>
              <w:rPr>
                <w:b/>
                <w:sz w:val="18"/>
              </w:rPr>
            </w:pPr>
            <w:r>
              <w:rPr>
                <w:b/>
                <w:bCs/>
                <w:sz w:val="18"/>
                <w:szCs w:val="18"/>
              </w:rPr>
              <w:t>教与学的要求</w:t>
            </w:r>
          </w:p>
        </w:tc>
        <w:tc>
          <w:tcPr>
            <w:tcW w:w="591" w:type="dxa"/>
            <w:vAlign w:val="center"/>
          </w:tcPr>
          <w:p>
            <w:pPr>
              <w:snapToGrid w:val="0"/>
              <w:spacing w:line="300" w:lineRule="auto"/>
              <w:jc w:val="center"/>
              <w:rPr>
                <w:b/>
                <w:sz w:val="18"/>
              </w:rPr>
            </w:pPr>
            <w:r>
              <w:rPr>
                <w:b/>
                <w:bCs/>
                <w:sz w:val="18"/>
                <w:szCs w:val="18"/>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42" w:type="dxa"/>
            <w:vAlign w:val="center"/>
          </w:tcPr>
          <w:p>
            <w:pPr>
              <w:jc w:val="center"/>
              <w:rPr>
                <w:sz w:val="18"/>
                <w:lang w:bidi="zh-CN"/>
              </w:rPr>
            </w:pPr>
            <w:r>
              <w:rPr>
                <w:sz w:val="18"/>
                <w:lang w:bidi="zh-CN"/>
              </w:rPr>
              <w:t>1</w:t>
            </w:r>
          </w:p>
        </w:tc>
        <w:tc>
          <w:tcPr>
            <w:tcW w:w="4596" w:type="dxa"/>
            <w:vAlign w:val="center"/>
          </w:tcPr>
          <w:p>
            <w:pPr>
              <w:widowControl/>
              <w:adjustRightInd w:val="0"/>
              <w:snapToGrid w:val="0"/>
              <w:spacing w:line="300" w:lineRule="auto"/>
              <w:jc w:val="left"/>
              <w:rPr>
                <w:bCs/>
                <w:kern w:val="0"/>
                <w:sz w:val="18"/>
                <w:szCs w:val="18"/>
              </w:rPr>
            </w:pPr>
            <w:r>
              <w:rPr>
                <w:bCs/>
                <w:kern w:val="0"/>
                <w:sz w:val="18"/>
                <w:szCs w:val="18"/>
              </w:rPr>
              <w:t>一、实习方式：集中和分散实习相结合。</w:t>
            </w:r>
          </w:p>
          <w:p>
            <w:pPr>
              <w:widowControl/>
              <w:adjustRightInd w:val="0"/>
              <w:snapToGrid w:val="0"/>
              <w:spacing w:line="300" w:lineRule="auto"/>
              <w:jc w:val="left"/>
              <w:rPr>
                <w:bCs/>
                <w:kern w:val="0"/>
                <w:sz w:val="18"/>
                <w:szCs w:val="18"/>
              </w:rPr>
            </w:pPr>
            <w:r>
              <w:rPr>
                <w:bCs/>
                <w:kern w:val="0"/>
                <w:sz w:val="18"/>
                <w:szCs w:val="18"/>
              </w:rPr>
              <w:t>二、场所要求：本专业相关的公司和企业，需要为同学安排食宿，为同学提供一定的补助。另外，需要保障同学的人身安全。</w:t>
            </w:r>
          </w:p>
          <w:p>
            <w:pPr>
              <w:widowControl/>
              <w:adjustRightInd w:val="0"/>
              <w:snapToGrid w:val="0"/>
              <w:spacing w:line="300" w:lineRule="auto"/>
              <w:jc w:val="left"/>
              <w:rPr>
                <w:bCs/>
                <w:kern w:val="0"/>
                <w:sz w:val="18"/>
                <w:szCs w:val="18"/>
              </w:rPr>
            </w:pPr>
            <w:r>
              <w:rPr>
                <w:bCs/>
                <w:kern w:val="0"/>
                <w:sz w:val="18"/>
                <w:szCs w:val="18"/>
              </w:rPr>
              <w:t>三、课程思政：培养学生爱岗敬业，尊重一线劳动者情感，通过实习，教育学生具有主人翁精神。</w:t>
            </w:r>
          </w:p>
          <w:p>
            <w:pPr>
              <w:widowControl/>
              <w:adjustRightInd w:val="0"/>
              <w:snapToGrid w:val="0"/>
              <w:spacing w:line="300" w:lineRule="auto"/>
              <w:jc w:val="left"/>
              <w:rPr>
                <w:bCs/>
                <w:kern w:val="0"/>
                <w:sz w:val="18"/>
                <w:szCs w:val="18"/>
              </w:rPr>
            </w:pPr>
            <w:r>
              <w:rPr>
                <w:bCs/>
                <w:kern w:val="0"/>
                <w:sz w:val="18"/>
                <w:szCs w:val="18"/>
              </w:rPr>
              <w:t>二、生产实习内容</w:t>
            </w:r>
          </w:p>
          <w:p>
            <w:pPr>
              <w:widowControl/>
              <w:adjustRightInd w:val="0"/>
              <w:snapToGrid w:val="0"/>
              <w:spacing w:line="300" w:lineRule="auto"/>
              <w:jc w:val="left"/>
              <w:rPr>
                <w:bCs/>
                <w:kern w:val="0"/>
                <w:sz w:val="18"/>
                <w:szCs w:val="18"/>
              </w:rPr>
            </w:pPr>
            <w:r>
              <w:rPr>
                <w:bCs/>
                <w:kern w:val="0"/>
                <w:sz w:val="18"/>
                <w:szCs w:val="18"/>
              </w:rPr>
              <w:t>（一）了解企业概</w:t>
            </w:r>
            <w:r>
              <w:rPr>
                <w:b/>
                <w:kern w:val="0"/>
                <w:sz w:val="18"/>
                <w:szCs w:val="18"/>
              </w:rPr>
              <w:t>[课程目标</w:t>
            </w:r>
            <w:r>
              <w:rPr>
                <w:rFonts w:hint="eastAsia"/>
                <w:b/>
                <w:kern w:val="0"/>
                <w:sz w:val="18"/>
                <w:szCs w:val="18"/>
              </w:rPr>
              <w:t>4</w:t>
            </w:r>
            <w:r>
              <w:rPr>
                <w:b/>
                <w:kern w:val="0"/>
                <w:sz w:val="18"/>
                <w:szCs w:val="18"/>
              </w:rPr>
              <w:t>]</w:t>
            </w:r>
          </w:p>
          <w:p>
            <w:pPr>
              <w:widowControl/>
              <w:adjustRightInd w:val="0"/>
              <w:snapToGrid w:val="0"/>
              <w:spacing w:line="300" w:lineRule="auto"/>
              <w:ind w:firstLine="360" w:firstLineChars="200"/>
              <w:jc w:val="left"/>
              <w:rPr>
                <w:bCs/>
                <w:kern w:val="0"/>
                <w:sz w:val="18"/>
                <w:szCs w:val="18"/>
              </w:rPr>
            </w:pPr>
            <w:r>
              <w:rPr>
                <w:bCs/>
                <w:kern w:val="0"/>
                <w:sz w:val="18"/>
                <w:szCs w:val="18"/>
              </w:rPr>
              <w:t>学生进入企业实习，首先应对企业的概况有些了解，了解企业概况大概包括以下几个方面：</w:t>
            </w:r>
          </w:p>
          <w:p>
            <w:pPr>
              <w:widowControl/>
              <w:adjustRightInd w:val="0"/>
              <w:snapToGrid w:val="0"/>
              <w:spacing w:line="300" w:lineRule="auto"/>
              <w:ind w:firstLine="360" w:firstLineChars="200"/>
              <w:jc w:val="left"/>
              <w:rPr>
                <w:bCs/>
                <w:kern w:val="0"/>
                <w:sz w:val="18"/>
                <w:szCs w:val="18"/>
              </w:rPr>
            </w:pPr>
            <w:r>
              <w:rPr>
                <w:rFonts w:hint="eastAsia" w:ascii="宋体" w:hAnsi="宋体" w:cs="宋体"/>
                <w:bCs/>
                <w:kern w:val="0"/>
                <w:sz w:val="18"/>
                <w:szCs w:val="18"/>
              </w:rPr>
              <w:t>①</w:t>
            </w:r>
            <w:r>
              <w:rPr>
                <w:bCs/>
                <w:kern w:val="0"/>
                <w:sz w:val="18"/>
                <w:szCs w:val="18"/>
              </w:rPr>
              <w:t>企业所在行业的特点；</w:t>
            </w:r>
          </w:p>
          <w:p>
            <w:pPr>
              <w:widowControl/>
              <w:adjustRightInd w:val="0"/>
              <w:snapToGrid w:val="0"/>
              <w:spacing w:line="300" w:lineRule="auto"/>
              <w:ind w:firstLine="360" w:firstLineChars="200"/>
              <w:jc w:val="left"/>
              <w:rPr>
                <w:bCs/>
                <w:kern w:val="0"/>
                <w:sz w:val="18"/>
                <w:szCs w:val="18"/>
              </w:rPr>
            </w:pPr>
            <w:r>
              <w:rPr>
                <w:rFonts w:hint="eastAsia" w:ascii="宋体" w:hAnsi="宋体" w:cs="宋体"/>
                <w:bCs/>
                <w:kern w:val="0"/>
                <w:sz w:val="18"/>
                <w:szCs w:val="18"/>
                <w:lang w:eastAsia="ja-JP"/>
              </w:rPr>
              <w:t>②</w:t>
            </w:r>
            <w:r>
              <w:rPr>
                <w:bCs/>
                <w:kern w:val="0"/>
                <w:sz w:val="18"/>
                <w:szCs w:val="18"/>
              </w:rPr>
              <w:t>企业在该行业中的排名、目前经营的状况；</w:t>
            </w:r>
          </w:p>
          <w:p>
            <w:pPr>
              <w:widowControl/>
              <w:adjustRightInd w:val="0"/>
              <w:snapToGrid w:val="0"/>
              <w:spacing w:line="300" w:lineRule="auto"/>
              <w:ind w:firstLine="360" w:firstLineChars="200"/>
              <w:jc w:val="left"/>
              <w:rPr>
                <w:bCs/>
                <w:kern w:val="0"/>
                <w:sz w:val="18"/>
                <w:szCs w:val="18"/>
              </w:rPr>
            </w:pPr>
            <w:r>
              <w:rPr>
                <w:rFonts w:hint="eastAsia" w:ascii="宋体" w:hAnsi="宋体" w:cs="宋体"/>
                <w:bCs/>
                <w:kern w:val="0"/>
                <w:sz w:val="18"/>
                <w:szCs w:val="18"/>
                <w:lang w:eastAsia="ja-JP"/>
              </w:rPr>
              <w:t>③</w:t>
            </w:r>
            <w:r>
              <w:rPr>
                <w:bCs/>
                <w:kern w:val="0"/>
                <w:sz w:val="18"/>
                <w:szCs w:val="18"/>
              </w:rPr>
              <w:t>了解企业生存所依赖的供需对象。</w:t>
            </w:r>
          </w:p>
          <w:p>
            <w:pPr>
              <w:widowControl/>
              <w:adjustRightInd w:val="0"/>
              <w:snapToGrid w:val="0"/>
              <w:spacing w:line="300" w:lineRule="auto"/>
              <w:ind w:firstLine="360" w:firstLineChars="200"/>
              <w:jc w:val="left"/>
              <w:rPr>
                <w:bCs/>
                <w:kern w:val="0"/>
                <w:sz w:val="18"/>
                <w:szCs w:val="18"/>
              </w:rPr>
            </w:pPr>
            <w:r>
              <w:rPr>
                <w:rFonts w:hint="eastAsia" w:ascii="宋体" w:hAnsi="宋体" w:cs="宋体"/>
                <w:bCs/>
                <w:kern w:val="0"/>
                <w:sz w:val="18"/>
                <w:szCs w:val="18"/>
                <w:lang w:eastAsia="ja-JP"/>
              </w:rPr>
              <w:t>④</w:t>
            </w:r>
            <w:r>
              <w:rPr>
                <w:bCs/>
                <w:kern w:val="0"/>
                <w:sz w:val="18"/>
                <w:szCs w:val="18"/>
              </w:rPr>
              <w:t>理解企业对社会贡献、责任，树立服务企业贡献企业实现人生价值的主人翁思想。</w:t>
            </w:r>
          </w:p>
          <w:p>
            <w:pPr>
              <w:adjustRightInd w:val="0"/>
              <w:snapToGrid w:val="0"/>
              <w:spacing w:line="300" w:lineRule="auto"/>
              <w:rPr>
                <w:bCs/>
                <w:kern w:val="0"/>
                <w:sz w:val="18"/>
                <w:szCs w:val="18"/>
              </w:rPr>
            </w:pPr>
            <w:r>
              <w:rPr>
                <w:bCs/>
                <w:kern w:val="0"/>
                <w:sz w:val="18"/>
                <w:szCs w:val="18"/>
              </w:rPr>
              <w:t>（二）熟悉企业的组织结构</w:t>
            </w:r>
            <w:r>
              <w:rPr>
                <w:b/>
                <w:kern w:val="0"/>
                <w:sz w:val="18"/>
                <w:szCs w:val="18"/>
              </w:rPr>
              <w:t>[课程目标1,2]</w:t>
            </w:r>
          </w:p>
          <w:p>
            <w:pPr>
              <w:adjustRightInd w:val="0"/>
              <w:snapToGrid w:val="0"/>
              <w:spacing w:line="300" w:lineRule="auto"/>
              <w:rPr>
                <w:bCs/>
                <w:kern w:val="0"/>
                <w:sz w:val="18"/>
                <w:szCs w:val="18"/>
              </w:rPr>
            </w:pPr>
            <w:r>
              <w:rPr>
                <w:bCs/>
                <w:kern w:val="0"/>
                <w:sz w:val="18"/>
                <w:szCs w:val="18"/>
              </w:rPr>
              <w:t>社会分工在企业中是一个很好的体现，几乎所有企业都有多个部门组成，各部门根据对本部门的要求各施其责，了解企业的组织结构，具体包括几点：</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1 \* GB3 </w:instrText>
            </w:r>
            <w:r>
              <w:rPr>
                <w:bCs/>
                <w:kern w:val="0"/>
                <w:sz w:val="18"/>
                <w:szCs w:val="18"/>
              </w:rPr>
              <w:fldChar w:fldCharType="separate"/>
            </w:r>
            <w:r>
              <w:rPr>
                <w:rFonts w:hint="eastAsia" w:ascii="宋体" w:hAnsi="宋体" w:cs="宋体"/>
                <w:bCs/>
                <w:kern w:val="0"/>
                <w:sz w:val="18"/>
                <w:szCs w:val="18"/>
              </w:rPr>
              <w:t>①</w:t>
            </w:r>
            <w:r>
              <w:rPr>
                <w:bCs/>
                <w:kern w:val="0"/>
                <w:sz w:val="18"/>
                <w:szCs w:val="18"/>
              </w:rPr>
              <w:fldChar w:fldCharType="end"/>
            </w:r>
            <w:r>
              <w:rPr>
                <w:bCs/>
                <w:kern w:val="0"/>
                <w:sz w:val="18"/>
                <w:szCs w:val="18"/>
              </w:rPr>
              <w:t>企业的组织架构情况；</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2 \* GB3 </w:instrText>
            </w:r>
            <w:r>
              <w:rPr>
                <w:bCs/>
                <w:kern w:val="0"/>
                <w:sz w:val="18"/>
                <w:szCs w:val="18"/>
              </w:rPr>
              <w:fldChar w:fldCharType="separate"/>
            </w:r>
            <w:r>
              <w:rPr>
                <w:rFonts w:hint="eastAsia" w:ascii="宋体" w:hAnsi="宋体" w:cs="宋体"/>
                <w:bCs/>
                <w:kern w:val="0"/>
                <w:sz w:val="18"/>
                <w:szCs w:val="18"/>
              </w:rPr>
              <w:t>②</w:t>
            </w:r>
            <w:r>
              <w:rPr>
                <w:bCs/>
                <w:kern w:val="0"/>
                <w:sz w:val="18"/>
                <w:szCs w:val="18"/>
              </w:rPr>
              <w:fldChar w:fldCharType="end"/>
            </w:r>
            <w:r>
              <w:rPr>
                <w:bCs/>
                <w:kern w:val="0"/>
                <w:sz w:val="18"/>
                <w:szCs w:val="18"/>
              </w:rPr>
              <w:t>企业各部门的职责；</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3 \* GB3 </w:instrText>
            </w:r>
            <w:r>
              <w:rPr>
                <w:bCs/>
                <w:kern w:val="0"/>
                <w:sz w:val="18"/>
                <w:szCs w:val="18"/>
              </w:rPr>
              <w:fldChar w:fldCharType="separate"/>
            </w:r>
            <w:r>
              <w:rPr>
                <w:rFonts w:hint="eastAsia" w:ascii="宋体" w:hAnsi="宋体" w:cs="宋体"/>
                <w:bCs/>
                <w:kern w:val="0"/>
                <w:sz w:val="18"/>
                <w:szCs w:val="18"/>
              </w:rPr>
              <w:t>③</w:t>
            </w:r>
            <w:r>
              <w:rPr>
                <w:bCs/>
                <w:kern w:val="0"/>
                <w:sz w:val="18"/>
                <w:szCs w:val="18"/>
              </w:rPr>
              <w:fldChar w:fldCharType="end"/>
            </w:r>
            <w:r>
              <w:rPr>
                <w:bCs/>
                <w:kern w:val="0"/>
                <w:sz w:val="18"/>
                <w:szCs w:val="18"/>
              </w:rPr>
              <w:t>企业各部门之间相互依存和相互制约的关系；</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4 \* GB3 </w:instrText>
            </w:r>
            <w:r>
              <w:rPr>
                <w:bCs/>
                <w:kern w:val="0"/>
                <w:sz w:val="18"/>
                <w:szCs w:val="18"/>
              </w:rPr>
              <w:fldChar w:fldCharType="separate"/>
            </w:r>
            <w:r>
              <w:rPr>
                <w:rFonts w:hint="eastAsia" w:ascii="宋体" w:hAnsi="宋体" w:cs="宋体"/>
                <w:bCs/>
                <w:kern w:val="0"/>
                <w:sz w:val="18"/>
                <w:szCs w:val="18"/>
              </w:rPr>
              <w:t>④</w:t>
            </w:r>
            <w:r>
              <w:rPr>
                <w:bCs/>
                <w:kern w:val="0"/>
                <w:sz w:val="18"/>
                <w:szCs w:val="18"/>
              </w:rPr>
              <w:fldChar w:fldCharType="end"/>
            </w:r>
            <w:r>
              <w:rPr>
                <w:bCs/>
                <w:kern w:val="0"/>
                <w:sz w:val="18"/>
                <w:szCs w:val="18"/>
              </w:rPr>
              <w:t>企业各部门的人员配备情况。</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5 \* GB3 </w:instrText>
            </w:r>
            <w:r>
              <w:rPr>
                <w:bCs/>
                <w:kern w:val="0"/>
                <w:sz w:val="18"/>
                <w:szCs w:val="18"/>
              </w:rPr>
              <w:fldChar w:fldCharType="separate"/>
            </w:r>
            <w:r>
              <w:rPr>
                <w:rFonts w:hint="eastAsia" w:ascii="宋体" w:hAnsi="宋体" w:cs="宋体"/>
                <w:bCs/>
                <w:kern w:val="0"/>
                <w:sz w:val="18"/>
                <w:szCs w:val="18"/>
              </w:rPr>
              <w:t>⑤</w:t>
            </w:r>
            <w:r>
              <w:rPr>
                <w:bCs/>
                <w:kern w:val="0"/>
                <w:sz w:val="18"/>
                <w:szCs w:val="18"/>
              </w:rPr>
              <w:fldChar w:fldCharType="end"/>
            </w:r>
            <w:r>
              <w:rPr>
                <w:bCs/>
                <w:kern w:val="0"/>
                <w:sz w:val="18"/>
                <w:szCs w:val="18"/>
              </w:rPr>
              <w:t>理解企业对社会建设中的作用与发展中的困难，树立爱岗敬业的高尚情操。</w:t>
            </w:r>
          </w:p>
          <w:p>
            <w:pPr>
              <w:adjustRightInd w:val="0"/>
              <w:snapToGrid w:val="0"/>
              <w:spacing w:line="300" w:lineRule="auto"/>
              <w:rPr>
                <w:bCs/>
                <w:kern w:val="0"/>
                <w:sz w:val="18"/>
                <w:szCs w:val="18"/>
              </w:rPr>
            </w:pPr>
            <w:r>
              <w:rPr>
                <w:bCs/>
                <w:kern w:val="0"/>
                <w:sz w:val="18"/>
                <w:szCs w:val="18"/>
              </w:rPr>
              <w:t>（三）掌握企业的规章制度</w:t>
            </w:r>
            <w:r>
              <w:rPr>
                <w:b/>
                <w:kern w:val="0"/>
                <w:sz w:val="18"/>
                <w:szCs w:val="18"/>
              </w:rPr>
              <w:t>[课程目标</w:t>
            </w:r>
            <w:r>
              <w:rPr>
                <w:rFonts w:hint="eastAsia"/>
                <w:b/>
                <w:kern w:val="0"/>
                <w:sz w:val="18"/>
                <w:szCs w:val="18"/>
              </w:rPr>
              <w:t>4</w:t>
            </w:r>
            <w:r>
              <w:rPr>
                <w:b/>
                <w:kern w:val="0"/>
                <w:sz w:val="18"/>
                <w:szCs w:val="18"/>
              </w:rPr>
              <w:t>，</w:t>
            </w:r>
            <w:r>
              <w:rPr>
                <w:rFonts w:hint="eastAsia"/>
                <w:b/>
                <w:kern w:val="0"/>
                <w:sz w:val="18"/>
                <w:szCs w:val="18"/>
              </w:rPr>
              <w:t>5</w:t>
            </w:r>
            <w:r>
              <w:rPr>
                <w:b/>
                <w:kern w:val="0"/>
                <w:sz w:val="18"/>
                <w:szCs w:val="18"/>
              </w:rPr>
              <w:t>]</w:t>
            </w:r>
          </w:p>
          <w:p>
            <w:pPr>
              <w:adjustRightInd w:val="0"/>
              <w:snapToGrid w:val="0"/>
              <w:spacing w:line="300" w:lineRule="auto"/>
              <w:rPr>
                <w:bCs/>
                <w:kern w:val="0"/>
                <w:sz w:val="18"/>
                <w:szCs w:val="18"/>
              </w:rPr>
            </w:pPr>
            <w:r>
              <w:rPr>
                <w:bCs/>
                <w:kern w:val="0"/>
                <w:sz w:val="18"/>
                <w:szCs w:val="18"/>
              </w:rPr>
              <w:t>不成规矩不成方圆，作为一个优秀的企业，对于企业内部员工应该有一套自身的管理规章制度。要了解企业规章制度的内容，有以下几个方面需要注意：</w:t>
            </w:r>
          </w:p>
          <w:p>
            <w:pPr>
              <w:adjustRightInd w:val="0"/>
              <w:snapToGrid w:val="0"/>
              <w:spacing w:line="300" w:lineRule="auto"/>
              <w:rPr>
                <w:bCs/>
                <w:kern w:val="0"/>
                <w:sz w:val="18"/>
                <w:szCs w:val="18"/>
              </w:rPr>
            </w:pPr>
            <w:r>
              <w:rPr>
                <w:bCs/>
                <w:kern w:val="0"/>
                <w:sz w:val="18"/>
                <w:szCs w:val="18"/>
              </w:rPr>
              <w:fldChar w:fldCharType="begin"/>
            </w:r>
            <w:r>
              <w:rPr>
                <w:bCs/>
                <w:kern w:val="0"/>
                <w:sz w:val="18"/>
                <w:szCs w:val="18"/>
              </w:rPr>
              <w:instrText xml:space="preserve"> = 1 \* GB3 </w:instrText>
            </w:r>
            <w:r>
              <w:rPr>
                <w:bCs/>
                <w:kern w:val="0"/>
                <w:sz w:val="18"/>
                <w:szCs w:val="18"/>
              </w:rPr>
              <w:fldChar w:fldCharType="separate"/>
            </w:r>
            <w:r>
              <w:rPr>
                <w:rFonts w:hint="eastAsia" w:ascii="宋体" w:hAnsi="宋体" w:cs="宋体"/>
                <w:bCs/>
                <w:kern w:val="0"/>
                <w:sz w:val="18"/>
                <w:szCs w:val="18"/>
              </w:rPr>
              <w:t>①</w:t>
            </w:r>
            <w:r>
              <w:rPr>
                <w:bCs/>
                <w:kern w:val="0"/>
                <w:sz w:val="18"/>
                <w:szCs w:val="18"/>
              </w:rPr>
              <w:fldChar w:fldCharType="end"/>
            </w:r>
            <w:r>
              <w:rPr>
                <w:bCs/>
                <w:kern w:val="0"/>
                <w:sz w:val="18"/>
                <w:szCs w:val="18"/>
              </w:rPr>
              <w:t>劳动纪律；</w:t>
            </w:r>
            <w:r>
              <w:rPr>
                <w:bCs/>
                <w:kern w:val="0"/>
                <w:sz w:val="18"/>
                <w:szCs w:val="18"/>
              </w:rPr>
              <w:fldChar w:fldCharType="begin"/>
            </w:r>
            <w:r>
              <w:rPr>
                <w:bCs/>
                <w:kern w:val="0"/>
                <w:sz w:val="18"/>
                <w:szCs w:val="18"/>
              </w:rPr>
              <w:instrText xml:space="preserve"> = 2 \* GB3 </w:instrText>
            </w:r>
            <w:r>
              <w:rPr>
                <w:bCs/>
                <w:kern w:val="0"/>
                <w:sz w:val="18"/>
                <w:szCs w:val="18"/>
              </w:rPr>
              <w:fldChar w:fldCharType="separate"/>
            </w:r>
            <w:r>
              <w:rPr>
                <w:rFonts w:hint="eastAsia" w:ascii="宋体" w:hAnsi="宋体" w:cs="宋体"/>
                <w:bCs/>
                <w:kern w:val="0"/>
                <w:sz w:val="18"/>
                <w:szCs w:val="18"/>
              </w:rPr>
              <w:t>②</w:t>
            </w:r>
            <w:r>
              <w:rPr>
                <w:bCs/>
                <w:kern w:val="0"/>
                <w:sz w:val="18"/>
                <w:szCs w:val="18"/>
              </w:rPr>
              <w:fldChar w:fldCharType="end"/>
            </w:r>
            <w:r>
              <w:rPr>
                <w:bCs/>
                <w:kern w:val="0"/>
                <w:sz w:val="18"/>
                <w:szCs w:val="18"/>
              </w:rPr>
              <w:t>激励政策；</w:t>
            </w:r>
            <w:r>
              <w:rPr>
                <w:bCs/>
                <w:kern w:val="0"/>
                <w:sz w:val="18"/>
                <w:szCs w:val="18"/>
              </w:rPr>
              <w:fldChar w:fldCharType="begin"/>
            </w:r>
            <w:r>
              <w:rPr>
                <w:bCs/>
                <w:kern w:val="0"/>
                <w:sz w:val="18"/>
                <w:szCs w:val="18"/>
              </w:rPr>
              <w:instrText xml:space="preserve"> = 3 \* GB3 </w:instrText>
            </w:r>
            <w:r>
              <w:rPr>
                <w:bCs/>
                <w:kern w:val="0"/>
                <w:sz w:val="18"/>
                <w:szCs w:val="18"/>
              </w:rPr>
              <w:fldChar w:fldCharType="separate"/>
            </w:r>
            <w:r>
              <w:rPr>
                <w:rFonts w:hint="eastAsia" w:ascii="宋体" w:hAnsi="宋体" w:cs="宋体"/>
                <w:bCs/>
                <w:kern w:val="0"/>
                <w:sz w:val="18"/>
                <w:szCs w:val="18"/>
              </w:rPr>
              <w:t>③</w:t>
            </w:r>
            <w:r>
              <w:rPr>
                <w:bCs/>
                <w:kern w:val="0"/>
                <w:sz w:val="18"/>
                <w:szCs w:val="18"/>
              </w:rPr>
              <w:fldChar w:fldCharType="end"/>
            </w:r>
            <w:r>
              <w:rPr>
                <w:bCs/>
                <w:kern w:val="0"/>
                <w:sz w:val="18"/>
                <w:szCs w:val="18"/>
              </w:rPr>
              <w:t>财产安全制度；</w:t>
            </w:r>
            <w:r>
              <w:rPr>
                <w:bCs/>
                <w:kern w:val="0"/>
                <w:sz w:val="18"/>
                <w:szCs w:val="18"/>
              </w:rPr>
              <w:fldChar w:fldCharType="begin"/>
            </w:r>
            <w:r>
              <w:rPr>
                <w:bCs/>
                <w:kern w:val="0"/>
                <w:sz w:val="18"/>
                <w:szCs w:val="18"/>
              </w:rPr>
              <w:instrText xml:space="preserve"> = 4 \* GB3 </w:instrText>
            </w:r>
            <w:r>
              <w:rPr>
                <w:bCs/>
                <w:kern w:val="0"/>
                <w:sz w:val="18"/>
                <w:szCs w:val="18"/>
              </w:rPr>
              <w:fldChar w:fldCharType="separate"/>
            </w:r>
            <w:r>
              <w:rPr>
                <w:rFonts w:hint="eastAsia" w:ascii="宋体" w:hAnsi="宋体" w:cs="宋体"/>
                <w:bCs/>
                <w:kern w:val="0"/>
                <w:sz w:val="18"/>
                <w:szCs w:val="18"/>
              </w:rPr>
              <w:t>④</w:t>
            </w:r>
            <w:r>
              <w:rPr>
                <w:bCs/>
                <w:kern w:val="0"/>
                <w:sz w:val="18"/>
                <w:szCs w:val="18"/>
              </w:rPr>
              <w:fldChar w:fldCharType="end"/>
            </w:r>
            <w:r>
              <w:rPr>
                <w:bCs/>
                <w:kern w:val="0"/>
                <w:sz w:val="18"/>
                <w:szCs w:val="18"/>
              </w:rPr>
              <w:t>企业有关的其他规章制度；</w:t>
            </w:r>
            <w:r>
              <w:rPr>
                <w:bCs/>
                <w:kern w:val="0"/>
                <w:sz w:val="18"/>
                <w:szCs w:val="18"/>
              </w:rPr>
              <w:fldChar w:fldCharType="begin"/>
            </w:r>
            <w:r>
              <w:rPr>
                <w:bCs/>
                <w:kern w:val="0"/>
                <w:sz w:val="18"/>
                <w:szCs w:val="18"/>
              </w:rPr>
              <w:instrText xml:space="preserve"> = 5 \* GB3 </w:instrText>
            </w:r>
            <w:r>
              <w:rPr>
                <w:bCs/>
                <w:kern w:val="0"/>
                <w:sz w:val="18"/>
                <w:szCs w:val="18"/>
              </w:rPr>
              <w:fldChar w:fldCharType="separate"/>
            </w:r>
            <w:r>
              <w:rPr>
                <w:rFonts w:hint="eastAsia" w:ascii="宋体" w:hAnsi="宋体" w:cs="宋体"/>
                <w:bCs/>
                <w:kern w:val="0"/>
                <w:sz w:val="18"/>
                <w:szCs w:val="18"/>
              </w:rPr>
              <w:t>⑤</w:t>
            </w:r>
            <w:r>
              <w:rPr>
                <w:bCs/>
                <w:kern w:val="0"/>
                <w:sz w:val="18"/>
                <w:szCs w:val="18"/>
              </w:rPr>
              <w:fldChar w:fldCharType="end"/>
            </w:r>
            <w:r>
              <w:rPr>
                <w:bCs/>
                <w:kern w:val="0"/>
                <w:sz w:val="18"/>
                <w:szCs w:val="18"/>
              </w:rPr>
              <w:t>学生养成遵法守纪的良好习惯，提高职业道德修养的必要性。</w:t>
            </w:r>
          </w:p>
          <w:p>
            <w:pPr>
              <w:widowControl/>
              <w:adjustRightInd w:val="0"/>
              <w:snapToGrid w:val="0"/>
              <w:spacing w:line="300" w:lineRule="auto"/>
              <w:jc w:val="left"/>
              <w:rPr>
                <w:b/>
                <w:kern w:val="0"/>
                <w:sz w:val="18"/>
                <w:szCs w:val="18"/>
              </w:rPr>
            </w:pPr>
            <w:r>
              <w:rPr>
                <w:bCs/>
                <w:kern w:val="0"/>
                <w:sz w:val="18"/>
                <w:szCs w:val="18"/>
              </w:rPr>
              <w:t>（四）熟悉企业的主要业务及工作流程</w:t>
            </w:r>
            <w:r>
              <w:rPr>
                <w:b/>
                <w:kern w:val="0"/>
                <w:sz w:val="18"/>
                <w:szCs w:val="18"/>
              </w:rPr>
              <w:t>[课程目标</w:t>
            </w:r>
            <w:r>
              <w:rPr>
                <w:rFonts w:hint="eastAsia"/>
                <w:b/>
                <w:kern w:val="0"/>
                <w:sz w:val="18"/>
                <w:szCs w:val="18"/>
              </w:rPr>
              <w:t>5</w:t>
            </w:r>
            <w:r>
              <w:rPr>
                <w:b/>
                <w:kern w:val="0"/>
                <w:sz w:val="18"/>
                <w:szCs w:val="18"/>
              </w:rPr>
              <w:t>]</w:t>
            </w:r>
          </w:p>
          <w:p>
            <w:pPr>
              <w:adjustRightInd w:val="0"/>
              <w:snapToGrid w:val="0"/>
              <w:spacing w:line="300" w:lineRule="auto"/>
              <w:rPr>
                <w:bCs/>
                <w:kern w:val="0"/>
                <w:sz w:val="18"/>
                <w:szCs w:val="18"/>
              </w:rPr>
            </w:pPr>
            <w:r>
              <w:rPr>
                <w:bCs/>
                <w:kern w:val="0"/>
                <w:sz w:val="18"/>
                <w:szCs w:val="18"/>
              </w:rPr>
              <w:t>企业要维持下去并进一步发展需要业务支持，企业的主要业务和工作流程可以反映出企业的实力。熟悉企业的主要业务与工作流程，是理论联系实际，提高业务能力，转变思想观念并在工作岗位上做出一定成绩的必经之路。熟悉企业的主要业务及工作流程，分组进入对应岗位实习，完成实习任务。具体包括以下几点内容：</w:t>
            </w:r>
          </w:p>
          <w:p>
            <w:pPr>
              <w:adjustRightInd w:val="0"/>
              <w:snapToGrid w:val="0"/>
              <w:spacing w:line="300" w:lineRule="auto"/>
              <w:ind w:firstLine="360" w:firstLineChars="200"/>
              <w:rPr>
                <w:bCs/>
                <w:kern w:val="0"/>
                <w:sz w:val="18"/>
                <w:szCs w:val="18"/>
              </w:rPr>
            </w:pPr>
            <w:r>
              <w:rPr>
                <w:bCs/>
                <w:kern w:val="0"/>
                <w:sz w:val="18"/>
                <w:szCs w:val="18"/>
              </w:rPr>
              <w:fldChar w:fldCharType="begin"/>
            </w:r>
            <w:r>
              <w:rPr>
                <w:bCs/>
                <w:kern w:val="0"/>
                <w:sz w:val="18"/>
                <w:szCs w:val="18"/>
              </w:rPr>
              <w:instrText xml:space="preserve"> = 1 \* GB3 </w:instrText>
            </w:r>
            <w:r>
              <w:rPr>
                <w:bCs/>
                <w:kern w:val="0"/>
                <w:sz w:val="18"/>
                <w:szCs w:val="18"/>
              </w:rPr>
              <w:fldChar w:fldCharType="separate"/>
            </w:r>
            <w:r>
              <w:rPr>
                <w:rFonts w:hint="eastAsia" w:ascii="宋体" w:hAnsi="宋体" w:cs="宋体"/>
                <w:bCs/>
                <w:kern w:val="0"/>
                <w:sz w:val="18"/>
                <w:szCs w:val="18"/>
              </w:rPr>
              <w:t>①</w:t>
            </w:r>
            <w:r>
              <w:rPr>
                <w:bCs/>
                <w:kern w:val="0"/>
                <w:sz w:val="18"/>
                <w:szCs w:val="18"/>
              </w:rPr>
              <w:fldChar w:fldCharType="end"/>
            </w:r>
            <w:r>
              <w:rPr>
                <w:bCs/>
                <w:kern w:val="0"/>
                <w:sz w:val="18"/>
                <w:szCs w:val="18"/>
              </w:rPr>
              <w:t>熟悉企业的生产和服务对象产品，以及社会意义；</w:t>
            </w:r>
          </w:p>
          <w:p>
            <w:pPr>
              <w:widowControl/>
              <w:adjustRightInd w:val="0"/>
              <w:snapToGrid w:val="0"/>
              <w:spacing w:line="300" w:lineRule="auto"/>
              <w:ind w:firstLine="360" w:firstLineChars="200"/>
              <w:jc w:val="left"/>
              <w:rPr>
                <w:bCs/>
                <w:kern w:val="0"/>
                <w:sz w:val="18"/>
                <w:szCs w:val="18"/>
              </w:rPr>
            </w:pPr>
            <w:r>
              <w:rPr>
                <w:bCs/>
                <w:kern w:val="0"/>
                <w:sz w:val="18"/>
                <w:szCs w:val="18"/>
              </w:rPr>
              <w:fldChar w:fldCharType="begin"/>
            </w:r>
            <w:r>
              <w:rPr>
                <w:bCs/>
                <w:kern w:val="0"/>
                <w:sz w:val="18"/>
                <w:szCs w:val="18"/>
              </w:rPr>
              <w:instrText xml:space="preserve"> = 2 \* GB3 </w:instrText>
            </w:r>
            <w:r>
              <w:rPr>
                <w:bCs/>
                <w:kern w:val="0"/>
                <w:sz w:val="18"/>
                <w:szCs w:val="18"/>
              </w:rPr>
              <w:fldChar w:fldCharType="separate"/>
            </w:r>
            <w:r>
              <w:rPr>
                <w:rFonts w:hint="eastAsia" w:ascii="宋体" w:hAnsi="宋体" w:cs="宋体"/>
                <w:bCs/>
                <w:kern w:val="0"/>
                <w:sz w:val="18"/>
                <w:szCs w:val="18"/>
              </w:rPr>
              <w:t>②</w:t>
            </w:r>
            <w:r>
              <w:rPr>
                <w:bCs/>
                <w:kern w:val="0"/>
                <w:sz w:val="18"/>
                <w:szCs w:val="18"/>
              </w:rPr>
              <w:fldChar w:fldCharType="end"/>
            </w:r>
            <w:r>
              <w:rPr>
                <w:bCs/>
                <w:kern w:val="0"/>
                <w:sz w:val="18"/>
                <w:szCs w:val="18"/>
              </w:rPr>
              <w:t>了解企业每天要处理哪些重要的业务，这些业务之间是如何联系的，可持续发展现状与未来；</w:t>
            </w:r>
          </w:p>
          <w:p>
            <w:pPr>
              <w:widowControl/>
              <w:adjustRightInd w:val="0"/>
              <w:snapToGrid w:val="0"/>
              <w:spacing w:line="300" w:lineRule="auto"/>
              <w:ind w:firstLine="360" w:firstLineChars="200"/>
              <w:jc w:val="left"/>
              <w:rPr>
                <w:bCs/>
                <w:kern w:val="0"/>
                <w:sz w:val="18"/>
                <w:szCs w:val="18"/>
              </w:rPr>
            </w:pPr>
            <w:r>
              <w:rPr>
                <w:bCs/>
                <w:kern w:val="0"/>
                <w:sz w:val="18"/>
                <w:szCs w:val="18"/>
              </w:rPr>
              <w:fldChar w:fldCharType="begin"/>
            </w:r>
            <w:r>
              <w:rPr>
                <w:bCs/>
                <w:kern w:val="0"/>
                <w:sz w:val="18"/>
                <w:szCs w:val="18"/>
              </w:rPr>
              <w:instrText xml:space="preserve"> = 3 \* GB3 </w:instrText>
            </w:r>
            <w:r>
              <w:rPr>
                <w:bCs/>
                <w:kern w:val="0"/>
                <w:sz w:val="18"/>
                <w:szCs w:val="18"/>
              </w:rPr>
              <w:fldChar w:fldCharType="separate"/>
            </w:r>
            <w:r>
              <w:rPr>
                <w:rFonts w:hint="eastAsia" w:ascii="宋体" w:hAnsi="宋体" w:cs="宋体"/>
                <w:bCs/>
                <w:kern w:val="0"/>
                <w:sz w:val="18"/>
                <w:szCs w:val="18"/>
              </w:rPr>
              <w:t>③</w:t>
            </w:r>
            <w:r>
              <w:rPr>
                <w:bCs/>
                <w:kern w:val="0"/>
                <w:sz w:val="18"/>
                <w:szCs w:val="18"/>
              </w:rPr>
              <w:fldChar w:fldCharType="end"/>
            </w:r>
            <w:r>
              <w:rPr>
                <w:bCs/>
                <w:kern w:val="0"/>
                <w:sz w:val="18"/>
                <w:szCs w:val="18"/>
              </w:rPr>
              <w:t>掌握企业在业务处理中的经验和技巧；</w:t>
            </w:r>
          </w:p>
          <w:p>
            <w:pPr>
              <w:widowControl/>
              <w:adjustRightInd w:val="0"/>
              <w:snapToGrid w:val="0"/>
              <w:spacing w:line="300" w:lineRule="auto"/>
              <w:ind w:firstLine="360" w:firstLineChars="200"/>
              <w:jc w:val="left"/>
              <w:rPr>
                <w:bCs/>
                <w:kern w:val="0"/>
                <w:sz w:val="18"/>
                <w:szCs w:val="18"/>
              </w:rPr>
            </w:pPr>
            <w:r>
              <w:rPr>
                <w:bCs/>
                <w:kern w:val="0"/>
                <w:sz w:val="18"/>
                <w:szCs w:val="18"/>
              </w:rPr>
              <w:fldChar w:fldCharType="begin"/>
            </w:r>
            <w:r>
              <w:rPr>
                <w:bCs/>
                <w:kern w:val="0"/>
                <w:sz w:val="18"/>
                <w:szCs w:val="18"/>
              </w:rPr>
              <w:instrText xml:space="preserve"> = 4 \* GB3 </w:instrText>
            </w:r>
            <w:r>
              <w:rPr>
                <w:bCs/>
                <w:kern w:val="0"/>
                <w:sz w:val="18"/>
                <w:szCs w:val="18"/>
              </w:rPr>
              <w:fldChar w:fldCharType="separate"/>
            </w:r>
            <w:r>
              <w:rPr>
                <w:rFonts w:hint="eastAsia" w:ascii="宋体" w:hAnsi="宋体" w:cs="宋体"/>
                <w:bCs/>
                <w:kern w:val="0"/>
                <w:sz w:val="18"/>
                <w:szCs w:val="18"/>
              </w:rPr>
              <w:t>④</w:t>
            </w:r>
            <w:r>
              <w:rPr>
                <w:bCs/>
                <w:kern w:val="0"/>
                <w:sz w:val="18"/>
                <w:szCs w:val="18"/>
              </w:rPr>
              <w:fldChar w:fldCharType="end"/>
            </w:r>
            <w:r>
              <w:rPr>
                <w:bCs/>
                <w:kern w:val="0"/>
                <w:sz w:val="18"/>
                <w:szCs w:val="18"/>
              </w:rPr>
              <w:t>掌握企业各部门以及各部门之间的运作流程；</w:t>
            </w:r>
          </w:p>
          <w:p>
            <w:pPr>
              <w:widowControl/>
              <w:adjustRightInd w:val="0"/>
              <w:snapToGrid w:val="0"/>
              <w:spacing w:line="300" w:lineRule="auto"/>
              <w:ind w:firstLine="360" w:firstLineChars="200"/>
              <w:jc w:val="left"/>
              <w:rPr>
                <w:bCs/>
                <w:kern w:val="0"/>
                <w:sz w:val="18"/>
                <w:szCs w:val="18"/>
              </w:rPr>
            </w:pPr>
            <w:r>
              <w:rPr>
                <w:bCs/>
                <w:kern w:val="0"/>
                <w:sz w:val="18"/>
                <w:szCs w:val="18"/>
              </w:rPr>
              <w:fldChar w:fldCharType="begin"/>
            </w:r>
            <w:r>
              <w:rPr>
                <w:bCs/>
                <w:kern w:val="0"/>
                <w:sz w:val="18"/>
                <w:szCs w:val="18"/>
              </w:rPr>
              <w:instrText xml:space="preserve"> = 5 \* GB3 </w:instrText>
            </w:r>
            <w:r>
              <w:rPr>
                <w:bCs/>
                <w:kern w:val="0"/>
                <w:sz w:val="18"/>
                <w:szCs w:val="18"/>
              </w:rPr>
              <w:fldChar w:fldCharType="separate"/>
            </w:r>
            <w:r>
              <w:rPr>
                <w:rFonts w:hint="eastAsia" w:ascii="宋体" w:hAnsi="宋体" w:cs="宋体"/>
                <w:bCs/>
                <w:kern w:val="0"/>
                <w:sz w:val="18"/>
                <w:szCs w:val="18"/>
              </w:rPr>
              <w:t>⑤</w:t>
            </w:r>
            <w:r>
              <w:rPr>
                <w:bCs/>
                <w:kern w:val="0"/>
                <w:sz w:val="18"/>
                <w:szCs w:val="18"/>
              </w:rPr>
              <w:fldChar w:fldCharType="end"/>
            </w:r>
            <w:r>
              <w:rPr>
                <w:bCs/>
                <w:kern w:val="0"/>
                <w:sz w:val="18"/>
                <w:szCs w:val="18"/>
              </w:rPr>
              <w:t>掌握企业工匠精神，主人翁精神的内涵，树立社会主义科学人生观。</w:t>
            </w:r>
          </w:p>
          <w:p>
            <w:pPr>
              <w:widowControl/>
              <w:adjustRightInd w:val="0"/>
              <w:snapToGrid w:val="0"/>
              <w:spacing w:line="300" w:lineRule="auto"/>
              <w:jc w:val="left"/>
              <w:rPr>
                <w:bCs/>
                <w:kern w:val="0"/>
                <w:sz w:val="18"/>
                <w:szCs w:val="18"/>
              </w:rPr>
            </w:pPr>
            <w:r>
              <w:rPr>
                <w:bCs/>
                <w:kern w:val="0"/>
                <w:sz w:val="18"/>
                <w:szCs w:val="18"/>
              </w:rPr>
              <w:t>（五）分岗实习内容</w:t>
            </w:r>
            <w:r>
              <w:rPr>
                <w:b/>
                <w:kern w:val="0"/>
                <w:sz w:val="18"/>
                <w:szCs w:val="18"/>
              </w:rPr>
              <w:t>[课程目标3,4]</w:t>
            </w:r>
          </w:p>
          <w:p>
            <w:pPr>
              <w:widowControl/>
              <w:adjustRightInd w:val="0"/>
              <w:snapToGrid w:val="0"/>
              <w:spacing w:line="300" w:lineRule="auto"/>
              <w:jc w:val="left"/>
              <w:rPr>
                <w:bCs/>
                <w:kern w:val="0"/>
                <w:sz w:val="18"/>
                <w:szCs w:val="18"/>
              </w:rPr>
            </w:pPr>
            <w:r>
              <w:rPr>
                <w:bCs/>
                <w:kern w:val="0"/>
                <w:sz w:val="18"/>
                <w:szCs w:val="18"/>
              </w:rPr>
              <w:t>企业各部门又有不同的岗位分工，岗位不同从事的具体工作又有所区别。分岗实习具体包括以下几个方面内容：</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1 \* GB3 </w:instrText>
            </w:r>
            <w:r>
              <w:rPr>
                <w:bCs/>
                <w:kern w:val="0"/>
                <w:sz w:val="18"/>
                <w:szCs w:val="18"/>
              </w:rPr>
              <w:fldChar w:fldCharType="separate"/>
            </w:r>
            <w:r>
              <w:rPr>
                <w:rFonts w:hint="eastAsia" w:ascii="宋体" w:hAnsi="宋体" w:cs="宋体"/>
                <w:bCs/>
                <w:kern w:val="0"/>
                <w:sz w:val="18"/>
                <w:szCs w:val="18"/>
              </w:rPr>
              <w:t>①</w:t>
            </w:r>
            <w:r>
              <w:rPr>
                <w:bCs/>
                <w:kern w:val="0"/>
                <w:sz w:val="18"/>
                <w:szCs w:val="18"/>
              </w:rPr>
              <w:fldChar w:fldCharType="end"/>
            </w:r>
            <w:r>
              <w:rPr>
                <w:bCs/>
                <w:kern w:val="0"/>
                <w:sz w:val="18"/>
                <w:szCs w:val="18"/>
              </w:rPr>
              <w:t>熟悉不同部门有哪些不同岗位分工；</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2 \* GB3 </w:instrText>
            </w:r>
            <w:r>
              <w:rPr>
                <w:bCs/>
                <w:kern w:val="0"/>
                <w:sz w:val="18"/>
                <w:szCs w:val="18"/>
              </w:rPr>
              <w:fldChar w:fldCharType="separate"/>
            </w:r>
            <w:r>
              <w:rPr>
                <w:rFonts w:hint="eastAsia" w:ascii="宋体" w:hAnsi="宋体" w:cs="宋体"/>
                <w:bCs/>
                <w:kern w:val="0"/>
                <w:sz w:val="18"/>
                <w:szCs w:val="18"/>
              </w:rPr>
              <w:t>②</w:t>
            </w:r>
            <w:r>
              <w:rPr>
                <w:bCs/>
                <w:kern w:val="0"/>
                <w:sz w:val="18"/>
                <w:szCs w:val="18"/>
              </w:rPr>
              <w:fldChar w:fldCharType="end"/>
            </w:r>
            <w:r>
              <w:rPr>
                <w:bCs/>
                <w:kern w:val="0"/>
                <w:sz w:val="18"/>
                <w:szCs w:val="18"/>
              </w:rPr>
              <w:t>了解不同岗位的工作内容性质与要求；</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3 \* GB3 </w:instrText>
            </w:r>
            <w:r>
              <w:rPr>
                <w:bCs/>
                <w:kern w:val="0"/>
                <w:sz w:val="18"/>
                <w:szCs w:val="18"/>
              </w:rPr>
              <w:fldChar w:fldCharType="separate"/>
            </w:r>
            <w:r>
              <w:rPr>
                <w:rFonts w:hint="eastAsia" w:ascii="宋体" w:hAnsi="宋体" w:cs="宋体"/>
                <w:bCs/>
                <w:kern w:val="0"/>
                <w:sz w:val="18"/>
                <w:szCs w:val="18"/>
              </w:rPr>
              <w:t>③</w:t>
            </w:r>
            <w:r>
              <w:rPr>
                <w:bCs/>
                <w:kern w:val="0"/>
                <w:sz w:val="18"/>
                <w:szCs w:val="18"/>
              </w:rPr>
              <w:fldChar w:fldCharType="end"/>
            </w:r>
            <w:r>
              <w:rPr>
                <w:bCs/>
                <w:kern w:val="0"/>
                <w:sz w:val="18"/>
                <w:szCs w:val="18"/>
              </w:rPr>
              <w:t>了解不同岗位之间相互依存与相互制约的关系；</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4 \* GB3 </w:instrText>
            </w:r>
            <w:r>
              <w:rPr>
                <w:bCs/>
                <w:kern w:val="0"/>
                <w:sz w:val="18"/>
                <w:szCs w:val="18"/>
              </w:rPr>
              <w:fldChar w:fldCharType="separate"/>
            </w:r>
            <w:r>
              <w:rPr>
                <w:rFonts w:hint="eastAsia" w:ascii="宋体" w:hAnsi="宋体" w:cs="宋体"/>
                <w:bCs/>
                <w:kern w:val="0"/>
                <w:sz w:val="18"/>
                <w:szCs w:val="18"/>
              </w:rPr>
              <w:t>④</w:t>
            </w:r>
            <w:r>
              <w:rPr>
                <w:bCs/>
                <w:kern w:val="0"/>
                <w:sz w:val="18"/>
                <w:szCs w:val="18"/>
              </w:rPr>
              <w:fldChar w:fldCharType="end"/>
            </w:r>
            <w:r>
              <w:rPr>
                <w:bCs/>
                <w:kern w:val="0"/>
                <w:sz w:val="18"/>
                <w:szCs w:val="18"/>
              </w:rPr>
              <w:t>熟悉实习岗位的具体工作内容和实际操作；</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5 \* GB3 </w:instrText>
            </w:r>
            <w:r>
              <w:rPr>
                <w:bCs/>
                <w:kern w:val="0"/>
                <w:sz w:val="18"/>
                <w:szCs w:val="18"/>
              </w:rPr>
              <w:fldChar w:fldCharType="separate"/>
            </w:r>
            <w:r>
              <w:rPr>
                <w:rFonts w:hint="eastAsia" w:ascii="宋体" w:hAnsi="宋体" w:cs="宋体"/>
                <w:bCs/>
                <w:kern w:val="0"/>
                <w:sz w:val="18"/>
                <w:szCs w:val="18"/>
              </w:rPr>
              <w:t>⑤</w:t>
            </w:r>
            <w:r>
              <w:rPr>
                <w:bCs/>
                <w:kern w:val="0"/>
                <w:sz w:val="18"/>
                <w:szCs w:val="18"/>
              </w:rPr>
              <w:fldChar w:fldCharType="end"/>
            </w:r>
            <w:r>
              <w:rPr>
                <w:bCs/>
                <w:kern w:val="0"/>
                <w:sz w:val="18"/>
                <w:szCs w:val="18"/>
              </w:rPr>
              <w:t>了解其他非实习岗位的工作内容；</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6 \* GB3 </w:instrText>
            </w:r>
            <w:r>
              <w:rPr>
                <w:bCs/>
                <w:kern w:val="0"/>
                <w:sz w:val="18"/>
                <w:szCs w:val="18"/>
              </w:rPr>
              <w:fldChar w:fldCharType="separate"/>
            </w:r>
            <w:r>
              <w:rPr>
                <w:rFonts w:hint="eastAsia" w:ascii="宋体" w:hAnsi="宋体" w:cs="宋体"/>
                <w:bCs/>
                <w:kern w:val="0"/>
                <w:sz w:val="18"/>
                <w:szCs w:val="18"/>
              </w:rPr>
              <w:t>⑥</w:t>
            </w:r>
            <w:r>
              <w:rPr>
                <w:bCs/>
                <w:kern w:val="0"/>
                <w:sz w:val="18"/>
                <w:szCs w:val="18"/>
              </w:rPr>
              <w:fldChar w:fldCharType="end"/>
            </w:r>
            <w:r>
              <w:rPr>
                <w:bCs/>
                <w:kern w:val="0"/>
                <w:sz w:val="18"/>
                <w:szCs w:val="18"/>
              </w:rPr>
              <w:t>能够理论与实践相结合，把所学知识经验运用到工作中去，能够具有工程创新的使命感；</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7 \* GB3 </w:instrText>
            </w:r>
            <w:r>
              <w:rPr>
                <w:bCs/>
                <w:kern w:val="0"/>
                <w:sz w:val="18"/>
                <w:szCs w:val="18"/>
              </w:rPr>
              <w:fldChar w:fldCharType="separate"/>
            </w:r>
            <w:r>
              <w:rPr>
                <w:rFonts w:hint="eastAsia" w:ascii="宋体" w:hAnsi="宋体" w:cs="宋体"/>
                <w:bCs/>
                <w:kern w:val="0"/>
                <w:sz w:val="18"/>
                <w:szCs w:val="18"/>
              </w:rPr>
              <w:t>⑦</w:t>
            </w:r>
            <w:r>
              <w:rPr>
                <w:bCs/>
                <w:kern w:val="0"/>
                <w:sz w:val="18"/>
                <w:szCs w:val="18"/>
              </w:rPr>
              <w:fldChar w:fldCharType="end"/>
            </w:r>
            <w:r>
              <w:rPr>
                <w:bCs/>
                <w:kern w:val="0"/>
                <w:sz w:val="18"/>
                <w:szCs w:val="18"/>
              </w:rPr>
              <w:t>提高自己的工作能力和融会贯通能力，能够举一反三，分析和解决工作中遇到的问题。</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w:instrText>
            </w:r>
            <w:r>
              <w:rPr>
                <w:rFonts w:hint="eastAsia"/>
                <w:bCs/>
                <w:kern w:val="0"/>
                <w:sz w:val="18"/>
                <w:szCs w:val="18"/>
              </w:rPr>
              <w:instrText xml:space="preserve">= 8 \* GB3</w:instrText>
            </w:r>
            <w:r>
              <w:rPr>
                <w:bCs/>
                <w:kern w:val="0"/>
                <w:sz w:val="18"/>
                <w:szCs w:val="18"/>
              </w:rPr>
              <w:instrText xml:space="preserve"> </w:instrText>
            </w:r>
            <w:r>
              <w:rPr>
                <w:bCs/>
                <w:kern w:val="0"/>
                <w:sz w:val="18"/>
                <w:szCs w:val="18"/>
              </w:rPr>
              <w:fldChar w:fldCharType="separate"/>
            </w:r>
            <w:r>
              <w:rPr>
                <w:rFonts w:hint="eastAsia"/>
                <w:bCs/>
                <w:kern w:val="0"/>
                <w:sz w:val="18"/>
                <w:szCs w:val="18"/>
              </w:rPr>
              <w:t>⑧</w:t>
            </w:r>
            <w:r>
              <w:rPr>
                <w:bCs/>
                <w:kern w:val="0"/>
                <w:sz w:val="18"/>
                <w:szCs w:val="18"/>
              </w:rPr>
              <w:fldChar w:fldCharType="end"/>
            </w:r>
            <w:r>
              <w:rPr>
                <w:bCs/>
                <w:kern w:val="0"/>
                <w:sz w:val="18"/>
                <w:szCs w:val="18"/>
              </w:rPr>
              <w:t>了解企业家奋斗历史，建立为企业国家科技担当的情感，立志做企业革新与创业的领军人物的个人情操。</w:t>
            </w:r>
          </w:p>
        </w:tc>
        <w:tc>
          <w:tcPr>
            <w:tcW w:w="3415" w:type="dxa"/>
            <w:vAlign w:val="center"/>
          </w:tcPr>
          <w:p>
            <w:pPr>
              <w:widowControl/>
              <w:adjustRightInd w:val="0"/>
              <w:snapToGrid w:val="0"/>
              <w:spacing w:line="300" w:lineRule="auto"/>
              <w:jc w:val="left"/>
              <w:rPr>
                <w:bCs/>
                <w:kern w:val="0"/>
                <w:sz w:val="18"/>
                <w:szCs w:val="18"/>
              </w:rPr>
            </w:pPr>
            <w:r>
              <w:rPr>
                <w:bCs/>
                <w:kern w:val="0"/>
                <w:sz w:val="18"/>
                <w:szCs w:val="18"/>
              </w:rPr>
              <w:t>1、实习要求：</w:t>
            </w:r>
          </w:p>
          <w:p>
            <w:pPr>
              <w:widowControl/>
              <w:adjustRightInd w:val="0"/>
              <w:snapToGrid w:val="0"/>
              <w:spacing w:line="300" w:lineRule="auto"/>
              <w:jc w:val="left"/>
              <w:rPr>
                <w:bCs/>
                <w:kern w:val="0"/>
                <w:sz w:val="18"/>
                <w:szCs w:val="18"/>
              </w:rPr>
            </w:pPr>
            <w:r>
              <w:rPr>
                <w:bCs/>
                <w:kern w:val="0"/>
                <w:sz w:val="18"/>
                <w:szCs w:val="18"/>
              </w:rPr>
              <w:t>（1）对学生的要求</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①</w:t>
            </w:r>
            <w:r>
              <w:rPr>
                <w:bCs/>
                <w:kern w:val="0"/>
                <w:sz w:val="18"/>
                <w:szCs w:val="18"/>
              </w:rPr>
              <w:t xml:space="preserve">一切行动听指挥，服从指导教师与实习单位的安排，严格遵守所在单位及校内规章制度。 </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②</w:t>
            </w:r>
            <w:r>
              <w:rPr>
                <w:bCs/>
                <w:kern w:val="0"/>
                <w:sz w:val="18"/>
                <w:szCs w:val="18"/>
              </w:rPr>
              <w:t>严格执行有关技术规范，理论与实践相结合，坚持严谨务实的工作态度，不得投机取巧，弄虚作假，违者严究。</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③</w:t>
            </w:r>
            <w:r>
              <w:rPr>
                <w:bCs/>
                <w:kern w:val="0"/>
                <w:sz w:val="18"/>
                <w:szCs w:val="18"/>
              </w:rPr>
              <w:t>吃苦耐劳踏实工作，深入调查研究，具有高度的责任心，保质保量完成所承担的具体任务。</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④</w:t>
            </w:r>
            <w:r>
              <w:rPr>
                <w:bCs/>
                <w:kern w:val="0"/>
                <w:sz w:val="18"/>
                <w:szCs w:val="18"/>
              </w:rPr>
              <w:t>尊敬校内、外指导老师，诚恳待人，虚心好学，文明礼貌，尊重地方群众干部，主动争取有关技术人员的帮助，向地方干部群众学习，向实践学习。</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⑤</w:t>
            </w:r>
            <w:r>
              <w:rPr>
                <w:bCs/>
                <w:kern w:val="0"/>
                <w:sz w:val="18"/>
                <w:szCs w:val="18"/>
              </w:rPr>
              <w:t>非特殊情况任何人不得请假，特殊情况须向指导教师请假，经批准后方可离开实习岗位。</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⑥</w:t>
            </w:r>
            <w:r>
              <w:rPr>
                <w:bCs/>
                <w:kern w:val="0"/>
                <w:sz w:val="18"/>
                <w:szCs w:val="18"/>
              </w:rPr>
              <w:t>注意人身安全，不得进入营业性文化娱乐场所，不准赌博、酗酒，不得打架骂人，不得下江河、池塘游泳。</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⑦</w:t>
            </w:r>
            <w:r>
              <w:rPr>
                <w:bCs/>
                <w:kern w:val="0"/>
                <w:sz w:val="18"/>
                <w:szCs w:val="18"/>
              </w:rPr>
              <w:t>学生要遵守实习单位的安全、保卫规定，严格遵守操作规程和劳动纪律。</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⑧</w:t>
            </w:r>
            <w:r>
              <w:rPr>
                <w:bCs/>
                <w:kern w:val="0"/>
                <w:sz w:val="18"/>
                <w:szCs w:val="18"/>
              </w:rPr>
              <w:t>学生在实习中有劳动或操作作业时，应进行安全技术培训，做好安全措施，未经允许不得擅自调换工种或设备，不得私自动用其它设备、仪器和车辆。</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⑨</w:t>
            </w:r>
            <w:r>
              <w:rPr>
                <w:bCs/>
                <w:kern w:val="0"/>
                <w:sz w:val="18"/>
                <w:szCs w:val="18"/>
              </w:rPr>
              <w:t>实习学生应遵守地方法规和规章，遵守社会公德。</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⑩</w:t>
            </w:r>
            <w:r>
              <w:rPr>
                <w:bCs/>
                <w:kern w:val="0"/>
                <w:sz w:val="18"/>
                <w:szCs w:val="18"/>
              </w:rPr>
              <w:t>注意饮食卫生及交通安全，妥善保管好自己的钱、财、物。</w:t>
            </w:r>
          </w:p>
          <w:p>
            <w:pPr>
              <w:widowControl/>
              <w:adjustRightInd w:val="0"/>
              <w:snapToGrid w:val="0"/>
              <w:spacing w:line="300" w:lineRule="auto"/>
              <w:jc w:val="left"/>
              <w:rPr>
                <w:bCs/>
                <w:kern w:val="0"/>
                <w:sz w:val="18"/>
                <w:szCs w:val="18"/>
              </w:rPr>
            </w:pPr>
            <w:r>
              <w:rPr>
                <w:rFonts w:ascii="Cambria Math" w:hAnsi="Cambria Math" w:cs="Cambria Math"/>
                <w:bCs/>
                <w:kern w:val="0"/>
                <w:sz w:val="18"/>
                <w:szCs w:val="18"/>
              </w:rPr>
              <w:t>⑪</w:t>
            </w:r>
            <w:r>
              <w:rPr>
                <w:bCs/>
                <w:kern w:val="0"/>
                <w:sz w:val="18"/>
                <w:szCs w:val="18"/>
              </w:rPr>
              <w:t>实习期间如发生事故，实习师生应及时向实习单位和学校报告。</w:t>
            </w:r>
          </w:p>
          <w:p>
            <w:pPr>
              <w:widowControl/>
              <w:adjustRightInd w:val="0"/>
              <w:snapToGrid w:val="0"/>
              <w:spacing w:line="300" w:lineRule="auto"/>
              <w:jc w:val="left"/>
              <w:rPr>
                <w:bCs/>
                <w:kern w:val="0"/>
                <w:sz w:val="18"/>
                <w:szCs w:val="18"/>
              </w:rPr>
            </w:pPr>
            <w:r>
              <w:rPr>
                <w:rFonts w:ascii="Cambria Math" w:hAnsi="Cambria Math" w:cs="Cambria Math"/>
                <w:bCs/>
                <w:kern w:val="0"/>
                <w:sz w:val="18"/>
                <w:szCs w:val="18"/>
              </w:rPr>
              <w:t>⑫</w:t>
            </w:r>
            <w:r>
              <w:rPr>
                <w:bCs/>
                <w:kern w:val="0"/>
                <w:sz w:val="18"/>
                <w:szCs w:val="18"/>
              </w:rPr>
              <w:t>生产实习必须完成《生产实习总结》一份，包括实习课题、内容、方法、工作过程和收获体会(思想、工作)以及对今后实习的建议等。</w:t>
            </w:r>
          </w:p>
          <w:p>
            <w:pPr>
              <w:widowControl/>
              <w:adjustRightInd w:val="0"/>
              <w:snapToGrid w:val="0"/>
              <w:spacing w:line="300" w:lineRule="auto"/>
              <w:jc w:val="left"/>
              <w:rPr>
                <w:bCs/>
                <w:kern w:val="0"/>
                <w:sz w:val="18"/>
                <w:szCs w:val="18"/>
              </w:rPr>
            </w:pPr>
            <w:r>
              <w:rPr>
                <w:bCs/>
                <w:kern w:val="0"/>
                <w:sz w:val="18"/>
                <w:szCs w:val="18"/>
              </w:rPr>
              <w:t>（2）对指导教师的要求</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①</w:t>
            </w:r>
            <w:r>
              <w:rPr>
                <w:bCs/>
                <w:kern w:val="0"/>
                <w:sz w:val="18"/>
                <w:szCs w:val="18"/>
              </w:rPr>
              <w:t>熟悉实习，有一定组织能力，具有讲师（含讲师）以上职称的教师方可担任生产实习责任指导教师。实习期间实行指导教师负责制。</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②</w:t>
            </w:r>
            <w:r>
              <w:rPr>
                <w:bCs/>
                <w:kern w:val="0"/>
                <w:sz w:val="18"/>
                <w:szCs w:val="18"/>
              </w:rPr>
              <w:t>实习指导教师应完成实习大纲、实习计划所规定的任务。</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③</w:t>
            </w:r>
            <w:r>
              <w:rPr>
                <w:bCs/>
                <w:kern w:val="0"/>
                <w:sz w:val="18"/>
                <w:szCs w:val="18"/>
              </w:rPr>
              <w:t>实习前，必须提前到实习场所了解和熟悉情况。制定实习实施计划，做好一切准备工作。</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④</w:t>
            </w:r>
            <w:r>
              <w:rPr>
                <w:bCs/>
                <w:kern w:val="0"/>
                <w:sz w:val="18"/>
                <w:szCs w:val="18"/>
              </w:rPr>
              <w:t>实习中，教师要加强指导，严格要求，强化安全教育和规范化操作，严防未经检查私自通电，以免发生人身或设备安全事故。</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⑤</w:t>
            </w:r>
            <w:r>
              <w:rPr>
                <w:bCs/>
                <w:kern w:val="0"/>
                <w:sz w:val="18"/>
                <w:szCs w:val="18"/>
              </w:rPr>
              <w:t>指导学生完成实习任务，要布置一定数量的作业或思考题，引导学生深入实际，调查研究获得有益知识并及时督促检查。</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⑥</w:t>
            </w:r>
            <w:r>
              <w:rPr>
                <w:bCs/>
                <w:kern w:val="0"/>
                <w:sz w:val="18"/>
                <w:szCs w:val="18"/>
              </w:rPr>
              <w:t>实习结束后，教师要认真审阅学生实习报告，做好学生的成绩考核，写出书面实习总结报告。</w:t>
            </w:r>
          </w:p>
          <w:p>
            <w:pPr>
              <w:widowControl/>
              <w:adjustRightInd w:val="0"/>
              <w:snapToGrid w:val="0"/>
              <w:spacing w:line="300" w:lineRule="auto"/>
              <w:jc w:val="left"/>
              <w:rPr>
                <w:bCs/>
                <w:kern w:val="0"/>
                <w:sz w:val="18"/>
                <w:szCs w:val="18"/>
              </w:rPr>
            </w:pPr>
            <w:r>
              <w:rPr>
                <w:bCs/>
                <w:kern w:val="0"/>
                <w:sz w:val="18"/>
                <w:szCs w:val="18"/>
              </w:rPr>
              <w:t>毕业学习主要通过联系生产实践达到实习的目的，实习期间，学生以见习技术员的身份参加所在实习工厂交予的实际工作。</w:t>
            </w:r>
          </w:p>
        </w:tc>
        <w:tc>
          <w:tcPr>
            <w:tcW w:w="591" w:type="dxa"/>
            <w:vAlign w:val="center"/>
          </w:tcPr>
          <w:p>
            <w:pPr>
              <w:ind w:right="183"/>
              <w:jc w:val="center"/>
              <w:rPr>
                <w:sz w:val="18"/>
                <w:lang w:val="zh-CN" w:bidi="zh-CN"/>
              </w:rPr>
            </w:pPr>
            <w:r>
              <w:rPr>
                <w:kern w:val="0"/>
                <w:sz w:val="18"/>
                <w:szCs w:val="18"/>
                <w:lang w:bidi="zh-CN"/>
              </w:rPr>
              <w:t>1</w:t>
            </w:r>
            <w:r>
              <w:rPr>
                <w:kern w:val="0"/>
                <w:sz w:val="18"/>
                <w:szCs w:val="18"/>
                <w:lang w:val="zh-CN" w:bidi="zh-CN"/>
              </w:rPr>
              <w:t>周</w:t>
            </w:r>
          </w:p>
        </w:tc>
      </w:tr>
    </w:tbl>
    <w:p>
      <w:pPr>
        <w:snapToGrid w:val="0"/>
        <w:spacing w:before="159" w:beforeLines="50" w:after="159" w:afterLines="50" w:line="300" w:lineRule="auto"/>
        <w:rPr>
          <w:b/>
          <w:sz w:val="24"/>
        </w:rPr>
      </w:pPr>
      <w:r>
        <w:rPr>
          <w:b/>
          <w:sz w:val="24"/>
        </w:rPr>
        <w:t>五、课程考核及成绩评定</w:t>
      </w:r>
    </w:p>
    <w:p>
      <w:pPr>
        <w:adjustRightInd w:val="0"/>
        <w:snapToGrid w:val="0"/>
        <w:spacing w:line="300" w:lineRule="auto"/>
        <w:ind w:firstLine="420" w:firstLineChars="200"/>
        <w:jc w:val="left"/>
        <w:rPr>
          <w:bCs/>
          <w:szCs w:val="21"/>
        </w:rPr>
      </w:pPr>
      <w:r>
        <w:rPr>
          <w:bCs/>
          <w:szCs w:val="21"/>
        </w:rPr>
        <w:t>1.考核方式：考查。</w:t>
      </w:r>
    </w:p>
    <w:p>
      <w:pPr>
        <w:adjustRightInd w:val="0"/>
        <w:snapToGrid w:val="0"/>
        <w:spacing w:line="300" w:lineRule="auto"/>
        <w:ind w:firstLine="420" w:firstLineChars="200"/>
        <w:jc w:val="left"/>
        <w:rPr>
          <w:bCs/>
          <w:szCs w:val="21"/>
        </w:rPr>
      </w:pPr>
      <w:r>
        <w:rPr>
          <w:bCs/>
          <w:szCs w:val="21"/>
        </w:rPr>
        <w:t>2.考核成绩组成</w:t>
      </w:r>
    </w:p>
    <w:p>
      <w:pPr>
        <w:adjustRightInd w:val="0"/>
        <w:snapToGrid w:val="0"/>
        <w:spacing w:line="300" w:lineRule="auto"/>
        <w:ind w:firstLine="420" w:firstLineChars="200"/>
        <w:rPr>
          <w:szCs w:val="21"/>
        </w:rPr>
      </w:pPr>
      <w:r>
        <w:rPr>
          <w:szCs w:val="21"/>
        </w:rPr>
        <w:t>应根据实习表现、实习日记和实习报告。进行评定，实习成绩按优秀、良好、中等、及格和不及格五级评定。凡成绩不及格者，必须重修。</w:t>
      </w:r>
    </w:p>
    <w:p>
      <w:pPr>
        <w:adjustRightInd w:val="0"/>
        <w:snapToGrid w:val="0"/>
        <w:spacing w:line="300" w:lineRule="auto"/>
        <w:ind w:firstLine="420" w:firstLineChars="200"/>
        <w:rPr>
          <w:szCs w:val="21"/>
        </w:rPr>
      </w:pPr>
      <w:r>
        <w:t>成绩评定方式为综合考核方式的各项评分，给出总评成绩，学期末依据总评成绩评定对应考核等级：优秀：90-100分；良好：80-89分；中等：70-79分及格：60-69分；不及格：60分以下。</w:t>
      </w:r>
    </w:p>
    <w:p>
      <w:pPr>
        <w:adjustRightInd w:val="0"/>
        <w:snapToGrid w:val="0"/>
        <w:spacing w:line="300" w:lineRule="auto"/>
        <w:ind w:firstLine="420" w:firstLineChars="200"/>
        <w:rPr>
          <w:b/>
          <w:sz w:val="24"/>
        </w:rPr>
      </w:pPr>
      <w:r>
        <w:rPr>
          <w:bCs/>
          <w:szCs w:val="21"/>
        </w:rPr>
        <w:t>（1）实习日志要每2-3天填写一篇，共10篇，</w:t>
      </w:r>
      <w:r>
        <w:rPr>
          <w:rFonts w:hint="eastAsia"/>
        </w:rPr>
        <w:t>包含</w:t>
      </w:r>
      <w:r>
        <w:t>实习内容，实习目的和要求，实习完成情况，</w:t>
      </w:r>
      <w:r>
        <w:rPr>
          <w:rFonts w:hint="eastAsia"/>
        </w:rPr>
        <w:t>自身在团队中的分工、</w:t>
      </w:r>
      <w:r>
        <w:t>收获与体会</w:t>
      </w:r>
      <w:r>
        <w:rPr>
          <w:rFonts w:hint="eastAsia"/>
        </w:rPr>
        <w:t>等内容</w:t>
      </w:r>
      <w:r>
        <w:t>。</w:t>
      </w:r>
      <w:r>
        <w:rPr>
          <w:szCs w:val="21"/>
        </w:rPr>
        <w:t>（2）实习报告（总结）的内容。总结报告字数要求3000字左右。内容包括。</w:t>
      </w:r>
      <w:r>
        <w:rPr>
          <w:szCs w:val="21"/>
        </w:rPr>
        <w:fldChar w:fldCharType="begin"/>
      </w:r>
      <w:r>
        <w:rPr>
          <w:szCs w:val="21"/>
        </w:rPr>
        <w:instrText xml:space="preserve"> = 1 \* GB3 </w:instrText>
      </w:r>
      <w:r>
        <w:rPr>
          <w:szCs w:val="21"/>
        </w:rPr>
        <w:fldChar w:fldCharType="separate"/>
      </w:r>
      <w:r>
        <w:rPr>
          <w:rFonts w:hint="eastAsia" w:ascii="宋体" w:hAnsi="宋体" w:cs="宋体"/>
          <w:szCs w:val="21"/>
        </w:rPr>
        <w:t>①</w:t>
      </w:r>
      <w:r>
        <w:rPr>
          <w:szCs w:val="21"/>
        </w:rPr>
        <w:fldChar w:fldCharType="end"/>
      </w:r>
      <w:r>
        <w:rPr>
          <w:szCs w:val="21"/>
        </w:rPr>
        <w:t>时间、地点、描述；</w:t>
      </w: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szCs w:val="21"/>
        </w:rPr>
        <w:t>所实习单位的情况概述；</w:t>
      </w:r>
      <w:r>
        <w:rPr>
          <w:szCs w:val="21"/>
        </w:rPr>
        <w:fldChar w:fldCharType="begin"/>
      </w:r>
      <w:r>
        <w:rPr>
          <w:szCs w:val="21"/>
        </w:rPr>
        <w:instrText xml:space="preserve"> = 3 \* GB3 </w:instrText>
      </w:r>
      <w:r>
        <w:rPr>
          <w:szCs w:val="21"/>
        </w:rPr>
        <w:fldChar w:fldCharType="separate"/>
      </w:r>
      <w:r>
        <w:rPr>
          <w:rFonts w:hint="eastAsia" w:ascii="宋体" w:hAnsi="宋体" w:cs="宋体"/>
          <w:szCs w:val="21"/>
        </w:rPr>
        <w:t>③</w:t>
      </w:r>
      <w:r>
        <w:rPr>
          <w:szCs w:val="21"/>
        </w:rPr>
        <w:fldChar w:fldCharType="end"/>
      </w:r>
      <w:r>
        <w:rPr>
          <w:szCs w:val="21"/>
        </w:rPr>
        <w:t>实习过程及实习内容的叙述；</w:t>
      </w:r>
      <w:r>
        <w:rPr>
          <w:szCs w:val="21"/>
        </w:rPr>
        <w:fldChar w:fldCharType="begin"/>
      </w:r>
      <w:r>
        <w:rPr>
          <w:szCs w:val="21"/>
        </w:rPr>
        <w:instrText xml:space="preserve"> = 4 \* GB3 </w:instrText>
      </w:r>
      <w:r>
        <w:rPr>
          <w:szCs w:val="21"/>
        </w:rPr>
        <w:fldChar w:fldCharType="separate"/>
      </w:r>
      <w:r>
        <w:rPr>
          <w:rFonts w:hint="eastAsia" w:ascii="宋体" w:hAnsi="宋体" w:cs="宋体"/>
          <w:szCs w:val="21"/>
        </w:rPr>
        <w:t>④</w:t>
      </w:r>
      <w:r>
        <w:rPr>
          <w:szCs w:val="21"/>
        </w:rPr>
        <w:fldChar w:fldCharType="end"/>
      </w:r>
      <w:r>
        <w:rPr>
          <w:szCs w:val="21"/>
        </w:rPr>
        <w:t>收获</w:t>
      </w:r>
      <w:r>
        <w:rPr>
          <w:rFonts w:hint="eastAsia"/>
        </w:rPr>
        <w:t>（包含团队合作能力方面）</w:t>
      </w:r>
      <w:r>
        <w:rPr>
          <w:szCs w:val="21"/>
        </w:rPr>
        <w:t>、体会，学校教学与实际的差距，改进方向、内容与方法；</w:t>
      </w:r>
      <w:r>
        <w:rPr>
          <w:szCs w:val="21"/>
        </w:rPr>
        <w:fldChar w:fldCharType="begin"/>
      </w:r>
      <w:r>
        <w:rPr>
          <w:szCs w:val="21"/>
        </w:rPr>
        <w:instrText xml:space="preserve"> = 5 \* GB3 </w:instrText>
      </w:r>
      <w:r>
        <w:rPr>
          <w:szCs w:val="21"/>
        </w:rPr>
        <w:fldChar w:fldCharType="separate"/>
      </w:r>
      <w:r>
        <w:rPr>
          <w:rFonts w:hint="eastAsia" w:ascii="宋体" w:hAnsi="宋体" w:cs="宋体"/>
          <w:szCs w:val="21"/>
        </w:rPr>
        <w:t>⑤</w:t>
      </w:r>
      <w:r>
        <w:rPr>
          <w:szCs w:val="21"/>
        </w:rPr>
        <w:fldChar w:fldCharType="end"/>
      </w:r>
      <w:r>
        <w:rPr>
          <w:szCs w:val="21"/>
        </w:rPr>
        <w:t>不足、建议、教训。</w:t>
      </w:r>
    </w:p>
    <w:p>
      <w:pPr>
        <w:snapToGrid w:val="0"/>
        <w:ind w:firstLine="422" w:firstLineChars="200"/>
        <w:rPr>
          <w:b/>
          <w:szCs w:val="21"/>
        </w:rPr>
      </w:pPr>
      <w:r>
        <w:rPr>
          <w:b/>
          <w:szCs w:val="21"/>
        </w:rPr>
        <w:t>3.考核评价标准：</w:t>
      </w:r>
    </w:p>
    <w:p>
      <w:pPr>
        <w:adjustRightInd w:val="0"/>
        <w:snapToGrid w:val="0"/>
        <w:spacing w:line="300" w:lineRule="auto"/>
        <w:ind w:firstLine="420" w:firstLineChars="200"/>
        <w:rPr>
          <w:szCs w:val="21"/>
        </w:rPr>
      </w:pPr>
      <w:r>
        <w:rPr>
          <w:szCs w:val="21"/>
        </w:rPr>
        <w:t>实习表现由指导教师根据实习期间的操作情况、积极性、遵守纪律</w:t>
      </w:r>
      <w:r>
        <w:rPr>
          <w:rFonts w:hint="eastAsia"/>
          <w:szCs w:val="21"/>
        </w:rPr>
        <w:t>，</w:t>
      </w:r>
      <w:r>
        <w:rPr>
          <w:rFonts w:hint="eastAsia"/>
          <w:sz w:val="18"/>
          <w:szCs w:val="18"/>
        </w:rPr>
        <w:t>团队协作时是否对设计任务正确理解、是否虚心接受他人意见和建议、是否积极配合有效完成辅助工作、是否从团队利益出发、是否和组内外成员有效沟通、是否清晰表达和讨论汇报有关问题等方面</w:t>
      </w:r>
      <w:r>
        <w:rPr>
          <w:rFonts w:hint="eastAsia"/>
          <w:szCs w:val="21"/>
        </w:rPr>
        <w:t>给出</w:t>
      </w:r>
      <w:r>
        <w:rPr>
          <w:szCs w:val="21"/>
        </w:rPr>
        <w:t>评定；实习日记是对实习过程的记录，实习报告是对整个实习课程的总结。</w:t>
      </w:r>
      <w:r>
        <w:rPr>
          <w:kern w:val="0"/>
          <w:szCs w:val="21"/>
        </w:rPr>
        <w:t>实习考核主要依据以下几方面的要求进行：是否遵守实习纪律，实习态度及大纲规定实习工作的完成情况；实习日记和实习报告的完成质量；是否遵守实习单位的规章制度及实习单位的鉴定意见。</w:t>
      </w:r>
    </w:p>
    <w:p>
      <w:pPr>
        <w:adjustRightInd w:val="0"/>
        <w:snapToGrid w:val="0"/>
        <w:spacing w:line="300" w:lineRule="auto"/>
        <w:ind w:firstLine="420" w:firstLineChars="200"/>
        <w:rPr>
          <w:szCs w:val="21"/>
        </w:rPr>
      </w:pPr>
      <w:r>
        <w:rPr>
          <w:szCs w:val="21"/>
        </w:rPr>
        <w:t>应明确实习表现、实习日记和实习报告等环节权重，应具体写明对实习日记和实习报告的写作要求及评价标准，应有成绩评定的评语，应留存考核和成绩评定的各种原始资料。</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5966"/>
        <w:gridCol w:w="410"/>
        <w:gridCol w:w="408"/>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Header/>
          <w:jc w:val="center"/>
        </w:trPr>
        <w:tc>
          <w:tcPr>
            <w:tcW w:w="560" w:type="dxa"/>
            <w:shd w:val="clear" w:color="auto" w:fill="FFFFFF"/>
            <w:vAlign w:val="center"/>
          </w:tcPr>
          <w:p>
            <w:pPr>
              <w:snapToGrid w:val="0"/>
              <w:spacing w:line="300" w:lineRule="auto"/>
              <w:jc w:val="center"/>
              <w:rPr>
                <w:b/>
                <w:bCs/>
                <w:sz w:val="18"/>
                <w:szCs w:val="18"/>
              </w:rPr>
            </w:pPr>
            <w:r>
              <w:rPr>
                <w:b/>
                <w:bCs/>
                <w:sz w:val="18"/>
                <w:szCs w:val="18"/>
              </w:rPr>
              <w:t>序号</w:t>
            </w:r>
          </w:p>
        </w:tc>
        <w:tc>
          <w:tcPr>
            <w:tcW w:w="5966" w:type="dxa"/>
            <w:shd w:val="clear" w:color="auto" w:fill="FFFFFF"/>
            <w:vAlign w:val="center"/>
          </w:tcPr>
          <w:p>
            <w:pPr>
              <w:snapToGrid w:val="0"/>
              <w:spacing w:line="300" w:lineRule="auto"/>
              <w:jc w:val="center"/>
              <w:rPr>
                <w:b/>
                <w:bCs/>
                <w:sz w:val="18"/>
                <w:szCs w:val="18"/>
              </w:rPr>
            </w:pPr>
            <w:r>
              <w:rPr>
                <w:b/>
                <w:bCs/>
                <w:sz w:val="18"/>
                <w:szCs w:val="18"/>
              </w:rPr>
              <w:t>教学目标</w:t>
            </w:r>
          </w:p>
        </w:tc>
        <w:tc>
          <w:tcPr>
            <w:tcW w:w="410"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408" w:type="dxa"/>
            <w:shd w:val="clear" w:color="auto" w:fill="FFFFFF"/>
            <w:vAlign w:val="center"/>
          </w:tcPr>
          <w:p>
            <w:pPr>
              <w:snapToGrid w:val="0"/>
              <w:spacing w:line="300" w:lineRule="auto"/>
              <w:jc w:val="center"/>
              <w:rPr>
                <w:b/>
                <w:bCs/>
                <w:sz w:val="18"/>
                <w:szCs w:val="18"/>
              </w:rPr>
            </w:pPr>
            <w:r>
              <w:rPr>
                <w:b/>
                <w:bCs/>
                <w:sz w:val="18"/>
                <w:szCs w:val="18"/>
              </w:rPr>
              <w:t>权重系数</w:t>
            </w:r>
          </w:p>
        </w:tc>
        <w:tc>
          <w:tcPr>
            <w:tcW w:w="952" w:type="dxa"/>
            <w:shd w:val="clear" w:color="auto" w:fill="FFFFFF"/>
            <w:vAlign w:val="center"/>
          </w:tcPr>
          <w:p>
            <w:pPr>
              <w:snapToGrid w:val="0"/>
              <w:spacing w:line="300" w:lineRule="auto"/>
              <w:jc w:val="center"/>
              <w:rPr>
                <w:b/>
                <w:bCs/>
                <w:sz w:val="18"/>
                <w:szCs w:val="18"/>
              </w:rPr>
            </w:pPr>
            <w:r>
              <w:rPr>
                <w:b/>
                <w:bCs/>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560" w:type="dxa"/>
            <w:shd w:val="clear" w:color="auto" w:fill="FFFFFF"/>
            <w:vAlign w:val="center"/>
          </w:tcPr>
          <w:p>
            <w:pPr>
              <w:adjustRightInd w:val="0"/>
              <w:snapToGrid w:val="0"/>
              <w:spacing w:line="300" w:lineRule="auto"/>
              <w:jc w:val="center"/>
              <w:rPr>
                <w:sz w:val="18"/>
                <w:szCs w:val="18"/>
              </w:rPr>
            </w:pPr>
            <w:r>
              <w:rPr>
                <w:sz w:val="18"/>
                <w:szCs w:val="18"/>
              </w:rPr>
              <w:t>1</w:t>
            </w:r>
          </w:p>
        </w:tc>
        <w:tc>
          <w:tcPr>
            <w:tcW w:w="5966" w:type="dxa"/>
            <w:shd w:val="clear" w:color="auto" w:fill="FFFFFF"/>
          </w:tcPr>
          <w:p>
            <w:pPr>
              <w:adjustRightInd w:val="0"/>
              <w:snapToGrid w:val="0"/>
              <w:spacing w:line="300" w:lineRule="auto"/>
              <w:rPr>
                <w:sz w:val="18"/>
                <w:szCs w:val="18"/>
              </w:rPr>
            </w:pPr>
            <w:r>
              <w:rPr>
                <w:sz w:val="18"/>
                <w:szCs w:val="18"/>
              </w:rPr>
              <w:t>能够利用本专业所学知识，认知企业业务范围内的现代电子信息工业生产组织形式、管理方式、工艺过程及工艺技术方法，企业产品方案，能够理解企业存在的专业合理性；训练从事电子信息类企业一线工作及管理工作所必须的各种基本技能（仪器使用）和实践动手能力，能够发现企业在技术、资源、设备等客观条件上的局限性。</w:t>
            </w:r>
          </w:p>
        </w:tc>
        <w:tc>
          <w:tcPr>
            <w:tcW w:w="410" w:type="dxa"/>
            <w:shd w:val="clear" w:color="auto" w:fill="FFFFFF"/>
            <w:vAlign w:val="center"/>
          </w:tcPr>
          <w:p>
            <w:pPr>
              <w:adjustRightInd w:val="0"/>
              <w:snapToGrid w:val="0"/>
              <w:spacing w:line="300" w:lineRule="auto"/>
              <w:jc w:val="center"/>
              <w:rPr>
                <w:sz w:val="18"/>
                <w:szCs w:val="18"/>
              </w:rPr>
            </w:pPr>
            <w:r>
              <w:rPr>
                <w:sz w:val="18"/>
                <w:szCs w:val="18"/>
              </w:rPr>
              <w:t>考查</w:t>
            </w:r>
          </w:p>
        </w:tc>
        <w:tc>
          <w:tcPr>
            <w:tcW w:w="408" w:type="dxa"/>
            <w:shd w:val="clear" w:color="auto" w:fill="FFFFFF"/>
            <w:vAlign w:val="center"/>
          </w:tcPr>
          <w:p>
            <w:pPr>
              <w:adjustRightInd w:val="0"/>
              <w:snapToGrid w:val="0"/>
              <w:spacing w:line="300" w:lineRule="auto"/>
              <w:jc w:val="center"/>
              <w:rPr>
                <w:sz w:val="18"/>
                <w:szCs w:val="18"/>
              </w:rPr>
            </w:pPr>
          </w:p>
          <w:p>
            <w:pPr>
              <w:adjustRightInd w:val="0"/>
              <w:snapToGrid w:val="0"/>
              <w:spacing w:line="300" w:lineRule="auto"/>
              <w:jc w:val="center"/>
              <w:rPr>
                <w:sz w:val="18"/>
                <w:szCs w:val="18"/>
              </w:rPr>
            </w:pPr>
            <w:r>
              <w:rPr>
                <w:sz w:val="18"/>
                <w:szCs w:val="18"/>
              </w:rPr>
              <w:t>0.4</w:t>
            </w:r>
          </w:p>
        </w:tc>
        <w:tc>
          <w:tcPr>
            <w:tcW w:w="952" w:type="dxa"/>
            <w:shd w:val="clear" w:color="auto" w:fill="FFFFFF"/>
            <w:vAlign w:val="center"/>
          </w:tcPr>
          <w:p>
            <w:pPr>
              <w:adjustRightInd w:val="0"/>
              <w:snapToGrid w:val="0"/>
              <w:spacing w:line="300" w:lineRule="auto"/>
              <w:jc w:val="center"/>
              <w:rPr>
                <w:sz w:val="18"/>
                <w:szCs w:val="18"/>
              </w:rPr>
            </w:pPr>
            <w:r>
              <w:rPr>
                <w:sz w:val="18"/>
                <w:szCs w:val="18"/>
              </w:rPr>
              <w:t>现场考察测试</w:t>
            </w:r>
            <w:r>
              <w:rPr>
                <w:rFonts w:hint="eastAsia"/>
                <w:sz w:val="18"/>
                <w:szCs w:val="18"/>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560" w:type="dxa"/>
            <w:shd w:val="clear" w:color="auto" w:fill="FFFFFF"/>
            <w:vAlign w:val="center"/>
          </w:tcPr>
          <w:p>
            <w:pPr>
              <w:adjustRightInd w:val="0"/>
              <w:snapToGrid w:val="0"/>
              <w:spacing w:line="300" w:lineRule="auto"/>
              <w:jc w:val="center"/>
              <w:rPr>
                <w:sz w:val="18"/>
                <w:szCs w:val="18"/>
              </w:rPr>
            </w:pPr>
            <w:r>
              <w:rPr>
                <w:sz w:val="18"/>
                <w:szCs w:val="18"/>
              </w:rPr>
              <w:t>2</w:t>
            </w:r>
          </w:p>
        </w:tc>
        <w:tc>
          <w:tcPr>
            <w:tcW w:w="5966" w:type="dxa"/>
            <w:shd w:val="clear" w:color="auto" w:fill="FFFFFF"/>
          </w:tcPr>
          <w:p>
            <w:pPr>
              <w:adjustRightInd w:val="0"/>
              <w:snapToGrid w:val="0"/>
              <w:spacing w:line="300" w:lineRule="auto"/>
              <w:rPr>
                <w:sz w:val="18"/>
                <w:szCs w:val="18"/>
              </w:rPr>
            </w:pPr>
            <w:r>
              <w:rPr>
                <w:sz w:val="18"/>
                <w:szCs w:val="18"/>
              </w:rPr>
              <w:t>巩固和运用所学的各门课程的基础知识，观察、分析企业产品与社会的关系，具备初步解决企业生产管理方式和实际生产的创新发展问题的能力，能够合理评价企业及其产品社会价值取向与创新发展方向，提出合理性建议；了解企业行为与电子产品对环境保护影响和社会可持续发展对企业及其行为的法律、道德约束以及面向可持续发展的改进方向，提出合理建议。</w:t>
            </w:r>
          </w:p>
        </w:tc>
        <w:tc>
          <w:tcPr>
            <w:tcW w:w="410" w:type="dxa"/>
            <w:shd w:val="clear" w:color="auto" w:fill="FFFFFF"/>
            <w:vAlign w:val="center"/>
          </w:tcPr>
          <w:p>
            <w:pPr>
              <w:adjustRightInd w:val="0"/>
              <w:snapToGrid w:val="0"/>
              <w:spacing w:line="300" w:lineRule="auto"/>
              <w:jc w:val="center"/>
              <w:rPr>
                <w:sz w:val="18"/>
                <w:szCs w:val="18"/>
              </w:rPr>
            </w:pPr>
            <w:r>
              <w:rPr>
                <w:sz w:val="18"/>
                <w:szCs w:val="18"/>
              </w:rPr>
              <w:t>考查</w:t>
            </w:r>
          </w:p>
        </w:tc>
        <w:tc>
          <w:tcPr>
            <w:tcW w:w="408" w:type="dxa"/>
            <w:shd w:val="clear" w:color="auto" w:fill="FFFFFF"/>
            <w:vAlign w:val="center"/>
          </w:tcPr>
          <w:p>
            <w:pPr>
              <w:adjustRightInd w:val="0"/>
              <w:snapToGrid w:val="0"/>
              <w:spacing w:line="300" w:lineRule="auto"/>
              <w:jc w:val="center"/>
              <w:rPr>
                <w:sz w:val="18"/>
                <w:szCs w:val="18"/>
              </w:rPr>
            </w:pPr>
            <w:r>
              <w:rPr>
                <w:sz w:val="18"/>
                <w:szCs w:val="18"/>
              </w:rPr>
              <w:t>0.15</w:t>
            </w:r>
          </w:p>
        </w:tc>
        <w:tc>
          <w:tcPr>
            <w:tcW w:w="952" w:type="dxa"/>
            <w:shd w:val="clear" w:color="auto" w:fill="FFFFFF"/>
            <w:vAlign w:val="center"/>
          </w:tcPr>
          <w:p>
            <w:pPr>
              <w:adjustRightInd w:val="0"/>
              <w:snapToGrid w:val="0"/>
              <w:spacing w:line="300" w:lineRule="auto"/>
              <w:jc w:val="center"/>
              <w:rPr>
                <w:sz w:val="18"/>
                <w:szCs w:val="18"/>
              </w:rPr>
            </w:pPr>
            <w:r>
              <w:rPr>
                <w:sz w:val="18"/>
                <w:szCs w:val="18"/>
              </w:rPr>
              <w:t>答辩</w:t>
            </w:r>
            <w:r>
              <w:rPr>
                <w:rFonts w:hint="eastAsia"/>
                <w:sz w:val="18"/>
                <w:szCs w:val="18"/>
              </w:rPr>
              <w:t>；研讨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560" w:type="dxa"/>
            <w:shd w:val="clear" w:color="auto" w:fill="FFFFFF"/>
            <w:vAlign w:val="center"/>
          </w:tcPr>
          <w:p>
            <w:pPr>
              <w:adjustRightInd w:val="0"/>
              <w:snapToGrid w:val="0"/>
              <w:spacing w:line="300" w:lineRule="auto"/>
              <w:jc w:val="center"/>
              <w:rPr>
                <w:sz w:val="18"/>
                <w:szCs w:val="18"/>
              </w:rPr>
            </w:pPr>
            <w:r>
              <w:rPr>
                <w:sz w:val="18"/>
                <w:szCs w:val="18"/>
              </w:rPr>
              <w:t>3</w:t>
            </w:r>
          </w:p>
        </w:tc>
        <w:tc>
          <w:tcPr>
            <w:tcW w:w="5966" w:type="dxa"/>
            <w:shd w:val="clear" w:color="auto" w:fill="FFFFFF"/>
          </w:tcPr>
          <w:p>
            <w:pPr>
              <w:adjustRightInd w:val="0"/>
              <w:snapToGrid w:val="0"/>
              <w:spacing w:line="300" w:lineRule="auto"/>
              <w:rPr>
                <w:sz w:val="18"/>
                <w:szCs w:val="18"/>
              </w:rPr>
            </w:pPr>
            <w:r>
              <w:rPr>
                <w:sz w:val="18"/>
                <w:szCs w:val="18"/>
              </w:rPr>
              <w:t>具有协作精神，能正确认识、理解个人在团体中的作用，具有在团队中有效发挥作用的能力，自觉承担个人在团体中的责任；具有一定的计划、组织、协调团队工作的能力</w:t>
            </w:r>
            <w:r>
              <w:rPr>
                <w:rFonts w:hint="eastAsia"/>
                <w:sz w:val="18"/>
                <w:szCs w:val="18"/>
              </w:rPr>
              <w:t>。</w:t>
            </w:r>
          </w:p>
        </w:tc>
        <w:tc>
          <w:tcPr>
            <w:tcW w:w="410" w:type="dxa"/>
            <w:shd w:val="clear" w:color="auto" w:fill="FFFFFF"/>
            <w:vAlign w:val="center"/>
          </w:tcPr>
          <w:p>
            <w:pPr>
              <w:adjustRightInd w:val="0"/>
              <w:snapToGrid w:val="0"/>
              <w:spacing w:line="300" w:lineRule="auto"/>
              <w:jc w:val="center"/>
              <w:rPr>
                <w:sz w:val="18"/>
                <w:szCs w:val="18"/>
              </w:rPr>
            </w:pPr>
            <w:r>
              <w:rPr>
                <w:sz w:val="18"/>
                <w:szCs w:val="18"/>
              </w:rPr>
              <w:t>考查</w:t>
            </w:r>
          </w:p>
        </w:tc>
        <w:tc>
          <w:tcPr>
            <w:tcW w:w="408" w:type="dxa"/>
            <w:shd w:val="clear" w:color="auto" w:fill="FFFFFF"/>
            <w:vAlign w:val="center"/>
          </w:tcPr>
          <w:p>
            <w:pPr>
              <w:adjustRightInd w:val="0"/>
              <w:snapToGrid w:val="0"/>
              <w:spacing w:line="300" w:lineRule="auto"/>
              <w:jc w:val="center"/>
              <w:rPr>
                <w:sz w:val="18"/>
                <w:szCs w:val="18"/>
              </w:rPr>
            </w:pPr>
            <w:r>
              <w:rPr>
                <w:sz w:val="18"/>
                <w:szCs w:val="18"/>
              </w:rPr>
              <w:t>0.1</w:t>
            </w:r>
            <w:r>
              <w:rPr>
                <w:rFonts w:hint="eastAsia"/>
                <w:sz w:val="18"/>
                <w:szCs w:val="18"/>
              </w:rPr>
              <w:t>5</w:t>
            </w:r>
          </w:p>
        </w:tc>
        <w:tc>
          <w:tcPr>
            <w:tcW w:w="952" w:type="dxa"/>
            <w:shd w:val="clear" w:color="auto" w:fill="FFFFFF"/>
            <w:vAlign w:val="center"/>
          </w:tcPr>
          <w:p>
            <w:pPr>
              <w:adjustRightInd w:val="0"/>
              <w:snapToGrid w:val="0"/>
              <w:spacing w:line="300" w:lineRule="auto"/>
              <w:jc w:val="center"/>
              <w:rPr>
                <w:sz w:val="18"/>
                <w:szCs w:val="18"/>
              </w:rPr>
            </w:pPr>
            <w:r>
              <w:rPr>
                <w:sz w:val="18"/>
                <w:szCs w:val="18"/>
              </w:rPr>
              <w:t>现场考察</w:t>
            </w:r>
          </w:p>
          <w:p>
            <w:pPr>
              <w:adjustRightInd w:val="0"/>
              <w:snapToGrid w:val="0"/>
              <w:spacing w:line="300" w:lineRule="auto"/>
              <w:jc w:val="center"/>
              <w:rPr>
                <w:sz w:val="18"/>
                <w:szCs w:val="18"/>
              </w:rPr>
            </w:pPr>
            <w:r>
              <w:rPr>
                <w:sz w:val="18"/>
                <w:szCs w:val="18"/>
              </w:rPr>
              <w:t>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60" w:type="dxa"/>
            <w:shd w:val="clear" w:color="auto" w:fill="FFFFFF"/>
            <w:vAlign w:val="center"/>
          </w:tcPr>
          <w:p>
            <w:pPr>
              <w:adjustRightInd w:val="0"/>
              <w:snapToGrid w:val="0"/>
              <w:spacing w:line="300" w:lineRule="auto"/>
              <w:jc w:val="center"/>
              <w:rPr>
                <w:sz w:val="18"/>
                <w:szCs w:val="18"/>
              </w:rPr>
            </w:pPr>
            <w:r>
              <w:rPr>
                <w:rFonts w:hint="eastAsia"/>
              </w:rPr>
              <w:t>4</w:t>
            </w:r>
          </w:p>
        </w:tc>
        <w:tc>
          <w:tcPr>
            <w:tcW w:w="5966" w:type="dxa"/>
            <w:shd w:val="clear" w:color="auto" w:fill="FFFFFF"/>
          </w:tcPr>
          <w:p>
            <w:pPr>
              <w:adjustRightInd w:val="0"/>
              <w:snapToGrid w:val="0"/>
              <w:spacing w:line="300" w:lineRule="auto"/>
              <w:rPr>
                <w:sz w:val="18"/>
                <w:szCs w:val="18"/>
              </w:rPr>
            </w:pPr>
            <w:r>
              <w:rPr>
                <w:sz w:val="18"/>
                <w:szCs w:val="18"/>
              </w:rPr>
              <w:t>学会能够初步运用工程管理与技术经济的基本知识，进行合理的企业决策；具有一定的组织项目开发的经历和基本的项目管理能力，能运用具体案例和实践经验来提高电子信息类项目管理实践能力。</w:t>
            </w:r>
          </w:p>
        </w:tc>
        <w:tc>
          <w:tcPr>
            <w:tcW w:w="410" w:type="dxa"/>
            <w:shd w:val="clear" w:color="auto" w:fill="FFFFFF"/>
            <w:vAlign w:val="center"/>
          </w:tcPr>
          <w:p>
            <w:pPr>
              <w:adjustRightInd w:val="0"/>
              <w:snapToGrid w:val="0"/>
              <w:spacing w:line="300" w:lineRule="auto"/>
              <w:jc w:val="center"/>
            </w:pPr>
            <w:r>
              <w:rPr>
                <w:sz w:val="18"/>
                <w:szCs w:val="18"/>
              </w:rPr>
              <w:t>考查</w:t>
            </w:r>
          </w:p>
        </w:tc>
        <w:tc>
          <w:tcPr>
            <w:tcW w:w="408" w:type="dxa"/>
            <w:shd w:val="clear" w:color="auto" w:fill="FFFFFF"/>
            <w:vAlign w:val="center"/>
          </w:tcPr>
          <w:p>
            <w:pPr>
              <w:adjustRightInd w:val="0"/>
              <w:snapToGrid w:val="0"/>
              <w:spacing w:line="300" w:lineRule="auto"/>
              <w:jc w:val="center"/>
              <w:rPr>
                <w:sz w:val="18"/>
                <w:szCs w:val="18"/>
              </w:rPr>
            </w:pPr>
            <w:r>
              <w:rPr>
                <w:sz w:val="18"/>
                <w:szCs w:val="18"/>
              </w:rPr>
              <w:t>0.1</w:t>
            </w:r>
          </w:p>
        </w:tc>
        <w:tc>
          <w:tcPr>
            <w:tcW w:w="952" w:type="dxa"/>
            <w:shd w:val="clear" w:color="auto" w:fill="FFFFFF"/>
            <w:vAlign w:val="center"/>
          </w:tcPr>
          <w:p>
            <w:pPr>
              <w:adjustRightInd w:val="0"/>
              <w:snapToGrid w:val="0"/>
              <w:spacing w:line="300" w:lineRule="auto"/>
              <w:jc w:val="center"/>
              <w:rPr>
                <w:sz w:val="18"/>
                <w:szCs w:val="18"/>
              </w:rPr>
            </w:pPr>
            <w:r>
              <w:rPr>
                <w:sz w:val="18"/>
                <w:szCs w:val="18"/>
              </w:rPr>
              <w:t>口头报告</w:t>
            </w:r>
            <w:r>
              <w:rPr>
                <w:rFonts w:hint="eastAsia"/>
                <w:sz w:val="18"/>
                <w:szCs w:val="18"/>
              </w:rPr>
              <w:t>；研讨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60" w:type="dxa"/>
            <w:shd w:val="clear" w:color="auto" w:fill="FFFFFF"/>
            <w:vAlign w:val="center"/>
          </w:tcPr>
          <w:p>
            <w:pPr>
              <w:adjustRightInd w:val="0"/>
              <w:snapToGrid w:val="0"/>
              <w:spacing w:line="300" w:lineRule="auto"/>
              <w:jc w:val="center"/>
              <w:rPr>
                <w:sz w:val="18"/>
                <w:szCs w:val="18"/>
              </w:rPr>
            </w:pPr>
            <w:r>
              <w:rPr>
                <w:rFonts w:hint="eastAsia"/>
              </w:rPr>
              <w:t>5</w:t>
            </w:r>
          </w:p>
        </w:tc>
        <w:tc>
          <w:tcPr>
            <w:tcW w:w="5966" w:type="dxa"/>
            <w:shd w:val="clear" w:color="auto" w:fill="FFFFFF"/>
          </w:tcPr>
          <w:p>
            <w:pPr>
              <w:adjustRightInd w:val="0"/>
              <w:snapToGrid w:val="0"/>
              <w:spacing w:line="300" w:lineRule="auto"/>
              <w:rPr>
                <w:sz w:val="18"/>
                <w:szCs w:val="18"/>
              </w:rPr>
            </w:pPr>
            <w:r>
              <w:rPr>
                <w:sz w:val="18"/>
                <w:szCs w:val="18"/>
              </w:rPr>
              <w:t>具有感知企业在社会主义建设中的主要作用的能力，培养自己正确的人生观、劳动观，挖掘劳动者创造美的本质，并认真学习与努力培养企业</w:t>
            </w:r>
            <w:r>
              <w:rPr>
                <w:rFonts w:hint="eastAsia"/>
                <w:b/>
                <w:bCs/>
                <w:sz w:val="18"/>
                <w:szCs w:val="18"/>
              </w:rPr>
              <w:t>“</w:t>
            </w:r>
            <w:r>
              <w:rPr>
                <w:b/>
                <w:bCs/>
                <w:sz w:val="18"/>
                <w:szCs w:val="18"/>
              </w:rPr>
              <w:t>工匠</w:t>
            </w:r>
            <w:r>
              <w:rPr>
                <w:rFonts w:hint="eastAsia"/>
                <w:b/>
                <w:bCs/>
                <w:sz w:val="18"/>
                <w:szCs w:val="18"/>
              </w:rPr>
              <w:t>”</w:t>
            </w:r>
            <w:r>
              <w:rPr>
                <w:sz w:val="18"/>
                <w:szCs w:val="18"/>
              </w:rPr>
              <w:t>精神；能够在工程实践中理解并遵守工程职业道德和规范，具有社会责任感，履行责任，具有肩负起祖国工程创新的意识与使命。</w:t>
            </w:r>
          </w:p>
        </w:tc>
        <w:tc>
          <w:tcPr>
            <w:tcW w:w="410" w:type="dxa"/>
            <w:shd w:val="clear" w:color="auto" w:fill="FFFFFF"/>
            <w:vAlign w:val="center"/>
          </w:tcPr>
          <w:p>
            <w:pPr>
              <w:adjustRightInd w:val="0"/>
              <w:snapToGrid w:val="0"/>
              <w:spacing w:line="300" w:lineRule="auto"/>
              <w:jc w:val="center"/>
            </w:pPr>
            <w:r>
              <w:rPr>
                <w:sz w:val="18"/>
                <w:szCs w:val="18"/>
              </w:rPr>
              <w:t>考查</w:t>
            </w:r>
          </w:p>
        </w:tc>
        <w:tc>
          <w:tcPr>
            <w:tcW w:w="408" w:type="dxa"/>
            <w:shd w:val="clear" w:color="auto" w:fill="FFFFFF"/>
            <w:vAlign w:val="center"/>
          </w:tcPr>
          <w:p>
            <w:pPr>
              <w:adjustRightInd w:val="0"/>
              <w:snapToGrid w:val="0"/>
              <w:spacing w:line="300" w:lineRule="auto"/>
              <w:jc w:val="center"/>
              <w:rPr>
                <w:sz w:val="18"/>
                <w:szCs w:val="18"/>
              </w:rPr>
            </w:pPr>
            <w:r>
              <w:rPr>
                <w:sz w:val="18"/>
                <w:szCs w:val="18"/>
              </w:rPr>
              <w:t>0.2</w:t>
            </w:r>
          </w:p>
        </w:tc>
        <w:tc>
          <w:tcPr>
            <w:tcW w:w="952" w:type="dxa"/>
            <w:shd w:val="clear" w:color="auto" w:fill="FFFFFF"/>
            <w:vAlign w:val="center"/>
          </w:tcPr>
          <w:p>
            <w:pPr>
              <w:adjustRightInd w:val="0"/>
              <w:snapToGrid w:val="0"/>
              <w:spacing w:line="300" w:lineRule="auto"/>
              <w:jc w:val="center"/>
              <w:rPr>
                <w:sz w:val="18"/>
                <w:szCs w:val="18"/>
              </w:rPr>
            </w:pPr>
            <w:r>
              <w:rPr>
                <w:sz w:val="18"/>
                <w:szCs w:val="18"/>
              </w:rPr>
              <w:t>口头报告</w:t>
            </w:r>
            <w:r>
              <w:rPr>
                <w:rFonts w:hint="eastAsia"/>
                <w:sz w:val="18"/>
                <w:szCs w:val="18"/>
              </w:rPr>
              <w:t>、讲授</w:t>
            </w:r>
          </w:p>
        </w:tc>
      </w:tr>
    </w:tbl>
    <w:p>
      <w:pPr>
        <w:snapToGrid w:val="0"/>
        <w:spacing w:before="159" w:beforeLines="50" w:after="159" w:afterLines="50" w:line="300" w:lineRule="auto"/>
        <w:rPr>
          <w:b/>
          <w:sz w:val="24"/>
        </w:rPr>
      </w:pPr>
      <w:r>
        <w:rPr>
          <w:b/>
          <w:sz w:val="24"/>
        </w:rPr>
        <w:t>六、课程教学目标</w:t>
      </w:r>
      <w:r>
        <w:rPr>
          <w:rFonts w:hint="eastAsia"/>
          <w:b/>
          <w:sz w:val="24"/>
        </w:rPr>
        <w:t>达成情况</w:t>
      </w:r>
      <w:r>
        <w:rPr>
          <w:b/>
          <w:sz w:val="24"/>
        </w:rPr>
        <w:t>评价</w:t>
      </w:r>
    </w:p>
    <w:p>
      <w:pPr>
        <w:spacing w:line="300" w:lineRule="auto"/>
        <w:rPr>
          <w:szCs w:val="21"/>
        </w:rPr>
      </w:pPr>
      <w:r>
        <w:rPr>
          <w:szCs w:val="21"/>
        </w:rPr>
        <w:t>1</w:t>
      </w:r>
      <w:r>
        <w:rPr>
          <w:rFonts w:hint="eastAsia"/>
          <w:szCs w:val="21"/>
        </w:rPr>
        <w:t>.</w:t>
      </w:r>
      <w:r>
        <w:rPr>
          <w:szCs w:val="21"/>
        </w:rPr>
        <w:t>评价依据和方法</w:t>
      </w:r>
    </w:p>
    <w:p>
      <w:pPr>
        <w:spacing w:line="300" w:lineRule="auto"/>
        <w:ind w:firstLine="420" w:firstLineChars="200"/>
        <w:rPr>
          <w:szCs w:val="21"/>
        </w:rPr>
      </w:pPr>
      <w:r>
        <w:rPr>
          <w:szCs w:val="21"/>
        </w:rPr>
        <w:t>课程各目标达成情况为该项目学生的平均得分率，其计算公式为：</w:t>
      </w:r>
    </w:p>
    <w:p>
      <w:pPr>
        <w:spacing w:line="300" w:lineRule="auto"/>
        <w:jc w:val="center"/>
        <w:rPr>
          <w:position w:val="-26"/>
          <w:szCs w:val="21"/>
        </w:rPr>
      </w:pPr>
      <w:r>
        <w:rPr>
          <w:position w:val="-26"/>
        </w:rPr>
        <w:object>
          <v:shape id="_x0000_i1216" o:spt="75" type="#_x0000_t75" style="height:32.25pt;width:378pt;" o:ole="t" filled="f" o:preferrelative="t" stroked="f" coordsize="21600,21600">
            <v:path/>
            <v:fill on="f" focussize="0,0"/>
            <v:stroke on="f" joinstyle="miter"/>
            <v:imagedata r:id="rId245" o:title=""/>
            <o:lock v:ext="edit" aspectratio="t"/>
            <w10:wrap type="none"/>
            <w10:anchorlock/>
          </v:shape>
          <o:OLEObject Type="Embed" ProgID="Equation.3" ShapeID="_x0000_i1216" DrawAspect="Content" ObjectID="_1468075914" r:id="rId244">
            <o:LockedField>false</o:LockedField>
          </o:OLEObject>
        </w:object>
      </w:r>
    </w:p>
    <w:p>
      <w:pPr>
        <w:spacing w:line="300" w:lineRule="auto"/>
        <w:rPr>
          <w:szCs w:val="21"/>
        </w:rPr>
      </w:pPr>
      <w:r>
        <w:rPr>
          <w:szCs w:val="21"/>
        </w:rPr>
        <w:t>课程总目标达成情况为6个课程目标的加权得分率，其计算公式为：</w:t>
      </w:r>
    </w:p>
    <w:p>
      <w:pPr>
        <w:spacing w:line="300" w:lineRule="auto"/>
        <w:jc w:val="center"/>
        <w:rPr>
          <w:szCs w:val="21"/>
        </w:rPr>
      </w:pPr>
      <w:r>
        <w:rPr>
          <w:position w:val="-16"/>
        </w:rPr>
        <w:object>
          <v:shape id="_x0000_i1217" o:spt="75" type="#_x0000_t75" style="height:18pt;width:261.75pt;" o:ole="t" filled="f" o:preferrelative="t" stroked="f" coordsize="21600,21600">
            <v:path/>
            <v:fill on="f" focussize="0,0"/>
            <v:stroke on="f" joinstyle="miter"/>
            <v:imagedata r:id="rId247" o:title=""/>
            <o:lock v:ext="edit" aspectratio="t"/>
            <w10:wrap type="none"/>
            <w10:anchorlock/>
          </v:shape>
          <o:OLEObject Type="Embed" ProgID="Equation.DSMT4" ShapeID="_x0000_i1217" DrawAspect="Content" ObjectID="_1468075915" r:id="rId246">
            <o:LockedField>false</o:LockedField>
          </o:OLEObject>
        </w:object>
      </w:r>
    </w:p>
    <w:p>
      <w:pPr>
        <w:spacing w:line="300" w:lineRule="auto"/>
      </w:pPr>
      <w:r>
        <w:rPr>
          <w:szCs w:val="21"/>
        </w:rPr>
        <w:t>其中权重系数按照表5设定。</w:t>
      </w:r>
    </w:p>
    <w:p>
      <w:pPr>
        <w:widowControl/>
        <w:tabs>
          <w:tab w:val="left" w:pos="426"/>
          <w:tab w:val="left" w:pos="5245"/>
          <w:tab w:val="left" w:pos="5387"/>
        </w:tabs>
        <w:snapToGrid w:val="0"/>
        <w:spacing w:before="159" w:beforeLines="50" w:line="300" w:lineRule="auto"/>
        <w:ind w:firstLine="361" w:firstLineChars="200"/>
        <w:jc w:val="center"/>
        <w:rPr>
          <w:b/>
          <w:kern w:val="0"/>
          <w:sz w:val="18"/>
          <w:szCs w:val="18"/>
        </w:rPr>
      </w:pPr>
      <w:r>
        <w:rPr>
          <w:b/>
          <w:kern w:val="0"/>
          <w:sz w:val="18"/>
          <w:szCs w:val="18"/>
        </w:rPr>
        <w:t>表5 课程目标权重系数</w:t>
      </w:r>
    </w:p>
    <w:tbl>
      <w:tblPr>
        <w:tblStyle w:val="22"/>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7"/>
        <w:gridCol w:w="1313"/>
        <w:gridCol w:w="1313"/>
        <w:gridCol w:w="1313"/>
        <w:gridCol w:w="1313"/>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1497" w:type="dxa"/>
            <w:vAlign w:val="center"/>
          </w:tcPr>
          <w:p>
            <w:pPr>
              <w:adjustRightInd w:val="0"/>
              <w:snapToGrid w:val="0"/>
              <w:spacing w:line="300" w:lineRule="auto"/>
              <w:jc w:val="center"/>
              <w:rPr>
                <w:b/>
                <w:bCs/>
                <w:sz w:val="18"/>
                <w:szCs w:val="18"/>
              </w:rPr>
            </w:pPr>
            <w:r>
              <w:rPr>
                <w:b/>
                <w:bCs/>
                <w:sz w:val="18"/>
                <w:szCs w:val="18"/>
              </w:rPr>
              <w:t>课程目标</w:t>
            </w:r>
          </w:p>
        </w:tc>
        <w:tc>
          <w:tcPr>
            <w:tcW w:w="1313" w:type="dxa"/>
            <w:vAlign w:val="center"/>
          </w:tcPr>
          <w:p>
            <w:pPr>
              <w:adjustRightInd w:val="0"/>
              <w:snapToGrid w:val="0"/>
              <w:spacing w:line="300" w:lineRule="auto"/>
              <w:jc w:val="center"/>
              <w:rPr>
                <w:sz w:val="18"/>
                <w:szCs w:val="18"/>
              </w:rPr>
            </w:pPr>
            <w:r>
              <w:rPr>
                <w:sz w:val="18"/>
                <w:szCs w:val="18"/>
              </w:rPr>
              <w:t>1</w:t>
            </w:r>
          </w:p>
        </w:tc>
        <w:tc>
          <w:tcPr>
            <w:tcW w:w="1313" w:type="dxa"/>
            <w:vAlign w:val="center"/>
          </w:tcPr>
          <w:p>
            <w:pPr>
              <w:adjustRightInd w:val="0"/>
              <w:snapToGrid w:val="0"/>
              <w:spacing w:line="300" w:lineRule="auto"/>
              <w:jc w:val="center"/>
              <w:rPr>
                <w:sz w:val="18"/>
                <w:szCs w:val="18"/>
              </w:rPr>
            </w:pPr>
            <w:r>
              <w:rPr>
                <w:sz w:val="18"/>
                <w:szCs w:val="18"/>
              </w:rPr>
              <w:t>2</w:t>
            </w:r>
          </w:p>
        </w:tc>
        <w:tc>
          <w:tcPr>
            <w:tcW w:w="1313" w:type="dxa"/>
            <w:vAlign w:val="center"/>
          </w:tcPr>
          <w:p>
            <w:pPr>
              <w:adjustRightInd w:val="0"/>
              <w:snapToGrid w:val="0"/>
              <w:spacing w:line="300" w:lineRule="auto"/>
              <w:jc w:val="center"/>
              <w:rPr>
                <w:sz w:val="18"/>
                <w:szCs w:val="18"/>
              </w:rPr>
            </w:pPr>
            <w:r>
              <w:rPr>
                <w:sz w:val="18"/>
                <w:szCs w:val="18"/>
              </w:rPr>
              <w:t>3</w:t>
            </w:r>
          </w:p>
        </w:tc>
        <w:tc>
          <w:tcPr>
            <w:tcW w:w="1313" w:type="dxa"/>
            <w:vAlign w:val="center"/>
          </w:tcPr>
          <w:p>
            <w:pPr>
              <w:adjustRightInd w:val="0"/>
              <w:snapToGrid w:val="0"/>
              <w:spacing w:line="300" w:lineRule="auto"/>
              <w:jc w:val="center"/>
              <w:rPr>
                <w:sz w:val="18"/>
                <w:szCs w:val="18"/>
              </w:rPr>
            </w:pPr>
            <w:r>
              <w:rPr>
                <w:sz w:val="18"/>
                <w:szCs w:val="18"/>
              </w:rPr>
              <w:t>4</w:t>
            </w:r>
          </w:p>
        </w:tc>
        <w:tc>
          <w:tcPr>
            <w:tcW w:w="1313" w:type="dxa"/>
            <w:vAlign w:val="center"/>
          </w:tcPr>
          <w:p>
            <w:pPr>
              <w:adjustRightInd w:val="0"/>
              <w:snapToGrid w:val="0"/>
              <w:spacing w:line="30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1497" w:type="dxa"/>
            <w:vAlign w:val="center"/>
          </w:tcPr>
          <w:p>
            <w:pPr>
              <w:adjustRightInd w:val="0"/>
              <w:snapToGrid w:val="0"/>
              <w:spacing w:line="300" w:lineRule="auto"/>
              <w:jc w:val="center"/>
              <w:rPr>
                <w:b/>
                <w:bCs/>
                <w:sz w:val="18"/>
                <w:szCs w:val="18"/>
              </w:rPr>
            </w:pPr>
            <w:r>
              <w:rPr>
                <w:b/>
                <w:bCs/>
                <w:sz w:val="18"/>
                <w:szCs w:val="18"/>
              </w:rPr>
              <w:t>权重系数</w:t>
            </w:r>
          </w:p>
        </w:tc>
        <w:tc>
          <w:tcPr>
            <w:tcW w:w="1313" w:type="dxa"/>
            <w:vAlign w:val="center"/>
          </w:tcPr>
          <w:p>
            <w:pPr>
              <w:adjustRightInd w:val="0"/>
              <w:snapToGrid w:val="0"/>
              <w:spacing w:line="300" w:lineRule="auto"/>
              <w:jc w:val="center"/>
              <w:rPr>
                <w:sz w:val="18"/>
                <w:szCs w:val="18"/>
              </w:rPr>
            </w:pPr>
            <w:r>
              <w:rPr>
                <w:sz w:val="18"/>
                <w:szCs w:val="18"/>
              </w:rPr>
              <w:t>0.</w:t>
            </w:r>
            <w:r>
              <w:rPr>
                <w:rFonts w:hint="eastAsia"/>
                <w:sz w:val="18"/>
                <w:szCs w:val="18"/>
              </w:rPr>
              <w:t>4</w:t>
            </w:r>
          </w:p>
        </w:tc>
        <w:tc>
          <w:tcPr>
            <w:tcW w:w="1313" w:type="dxa"/>
            <w:vAlign w:val="center"/>
          </w:tcPr>
          <w:p>
            <w:pPr>
              <w:adjustRightInd w:val="0"/>
              <w:snapToGrid w:val="0"/>
              <w:spacing w:line="300" w:lineRule="auto"/>
              <w:jc w:val="center"/>
              <w:rPr>
                <w:sz w:val="18"/>
                <w:szCs w:val="18"/>
              </w:rPr>
            </w:pPr>
            <w:r>
              <w:rPr>
                <w:sz w:val="18"/>
                <w:szCs w:val="18"/>
              </w:rPr>
              <w:t>0.</w:t>
            </w:r>
            <w:r>
              <w:rPr>
                <w:rFonts w:hint="eastAsia"/>
                <w:sz w:val="18"/>
                <w:szCs w:val="18"/>
              </w:rPr>
              <w:t>15</w:t>
            </w:r>
          </w:p>
        </w:tc>
        <w:tc>
          <w:tcPr>
            <w:tcW w:w="1313" w:type="dxa"/>
            <w:vAlign w:val="center"/>
          </w:tcPr>
          <w:p>
            <w:pPr>
              <w:adjustRightInd w:val="0"/>
              <w:snapToGrid w:val="0"/>
              <w:spacing w:line="300" w:lineRule="auto"/>
              <w:jc w:val="center"/>
              <w:rPr>
                <w:sz w:val="18"/>
                <w:szCs w:val="18"/>
              </w:rPr>
            </w:pPr>
            <w:r>
              <w:rPr>
                <w:sz w:val="18"/>
                <w:szCs w:val="18"/>
              </w:rPr>
              <w:t>0.1</w:t>
            </w:r>
            <w:r>
              <w:rPr>
                <w:rFonts w:hint="eastAsia"/>
                <w:sz w:val="18"/>
                <w:szCs w:val="18"/>
              </w:rPr>
              <w:t>5</w:t>
            </w:r>
          </w:p>
        </w:tc>
        <w:tc>
          <w:tcPr>
            <w:tcW w:w="1313" w:type="dxa"/>
            <w:vAlign w:val="center"/>
          </w:tcPr>
          <w:p>
            <w:pPr>
              <w:adjustRightInd w:val="0"/>
              <w:snapToGrid w:val="0"/>
              <w:spacing w:line="300" w:lineRule="auto"/>
              <w:jc w:val="center"/>
              <w:rPr>
                <w:sz w:val="18"/>
                <w:szCs w:val="18"/>
              </w:rPr>
            </w:pPr>
            <w:r>
              <w:rPr>
                <w:sz w:val="18"/>
                <w:szCs w:val="18"/>
              </w:rPr>
              <w:t>0.1</w:t>
            </w:r>
          </w:p>
        </w:tc>
        <w:tc>
          <w:tcPr>
            <w:tcW w:w="1313" w:type="dxa"/>
            <w:vAlign w:val="center"/>
          </w:tcPr>
          <w:p>
            <w:pPr>
              <w:adjustRightInd w:val="0"/>
              <w:snapToGrid w:val="0"/>
              <w:spacing w:line="300" w:lineRule="auto"/>
              <w:jc w:val="center"/>
              <w:rPr>
                <w:sz w:val="18"/>
                <w:szCs w:val="18"/>
              </w:rPr>
            </w:pPr>
            <w:r>
              <w:rPr>
                <w:sz w:val="18"/>
                <w:szCs w:val="18"/>
              </w:rPr>
              <w:t>0.2</w:t>
            </w:r>
          </w:p>
        </w:tc>
      </w:tr>
    </w:tbl>
    <w:p>
      <w:pPr>
        <w:adjustRightInd w:val="0"/>
        <w:snapToGrid w:val="0"/>
        <w:spacing w:before="159" w:beforeLines="50" w:line="300" w:lineRule="auto"/>
        <w:rPr>
          <w:szCs w:val="21"/>
        </w:rPr>
      </w:pPr>
      <w:r>
        <w:rPr>
          <w:szCs w:val="21"/>
        </w:rPr>
        <w:t>课程毕业要求指标点达成情况评价：</w:t>
      </w:r>
    </w:p>
    <w:p>
      <w:pPr>
        <w:adjustRightInd w:val="0"/>
        <w:snapToGrid w:val="0"/>
        <w:spacing w:line="300" w:lineRule="auto"/>
        <w:ind w:firstLine="420" w:firstLineChars="200"/>
        <w:rPr>
          <w:szCs w:val="21"/>
        </w:rPr>
      </w:pPr>
      <w:r>
        <w:rPr>
          <w:szCs w:val="21"/>
        </w:rPr>
        <w:t>课程支撑毕业要求指标点的达成情况为对应的课程目标达成情况的加权值，其计算公式为：</w:t>
      </w:r>
    </w:p>
    <w:p>
      <w:pPr>
        <w:adjustRightInd w:val="0"/>
        <w:snapToGrid w:val="0"/>
        <w:spacing w:line="300" w:lineRule="auto"/>
        <w:jc w:val="center"/>
        <w:rPr>
          <w:szCs w:val="21"/>
        </w:rPr>
      </w:pPr>
      <w:r>
        <w:rPr>
          <w:position w:val="-14"/>
        </w:rPr>
        <w:object>
          <v:shape id="_x0000_i1218" o:spt="75" type="#_x0000_t75" style="height:18pt;width:270.75pt;" o:ole="t" filled="f" o:preferrelative="t" stroked="f" coordsize="21600,21600">
            <v:path/>
            <v:fill on="f" focussize="0,0"/>
            <v:stroke on="f" joinstyle="miter"/>
            <v:imagedata r:id="rId209" o:title=""/>
            <o:lock v:ext="edit" aspectratio="t"/>
            <w10:wrap type="none"/>
            <w10:anchorlock/>
          </v:shape>
          <o:OLEObject Type="Embed" ProgID="Equation.3" ShapeID="_x0000_i1218" DrawAspect="Content" ObjectID="_1468075916" r:id="rId248">
            <o:LockedField>false</o:LockedField>
          </o:OLEObject>
        </w:object>
      </w:r>
    </w:p>
    <w:p>
      <w:pPr>
        <w:adjustRightInd w:val="0"/>
        <w:snapToGrid w:val="0"/>
        <w:spacing w:line="300" w:lineRule="auto"/>
        <w:rPr>
          <w:szCs w:val="21"/>
        </w:rPr>
      </w:pPr>
      <w:r>
        <w:rPr>
          <w:szCs w:val="21"/>
        </w:rPr>
        <w:t>2.课程总结要求</w:t>
      </w:r>
    </w:p>
    <w:p>
      <w:pPr>
        <w:adjustRightInd w:val="0"/>
        <w:snapToGrid w:val="0"/>
        <w:spacing w:line="300" w:lineRule="auto"/>
        <w:ind w:firstLine="420" w:firstLineChars="200"/>
        <w:rPr>
          <w:szCs w:val="21"/>
        </w:rPr>
      </w:pPr>
      <w:r>
        <w:rPr>
          <w:szCs w:val="21"/>
        </w:rPr>
        <w:t>依据</w:t>
      </w:r>
      <w:r>
        <w:rPr>
          <w:rFonts w:hint="eastAsia"/>
          <w:szCs w:val="21"/>
        </w:rPr>
        <w:t>达成情况</w:t>
      </w:r>
      <w:r>
        <w:rPr>
          <w:szCs w:val="21"/>
        </w:rPr>
        <w:t>评价、教师自评、学生评价，以及课程教学情况、考试情况，对课程进行有针对性的总结，持续改进课程教学，请给出明确的课程总结要求。</w:t>
      </w:r>
    </w:p>
    <w:p>
      <w:pPr>
        <w:snapToGrid w:val="0"/>
        <w:spacing w:before="159" w:beforeLines="50" w:after="159" w:afterLines="50" w:line="300" w:lineRule="auto"/>
        <w:rPr>
          <w:b/>
          <w:sz w:val="24"/>
        </w:rPr>
      </w:pPr>
      <w:r>
        <w:rPr>
          <w:b/>
          <w:sz w:val="24"/>
        </w:rPr>
        <w:t>七、教材及参考资料</w:t>
      </w:r>
    </w:p>
    <w:p>
      <w:r>
        <w:rPr>
          <w:szCs w:val="21"/>
          <w:shd w:val="clear" w:color="auto" w:fill="FEFEFF"/>
        </w:rPr>
        <w:t xml:space="preserve">不需要指定教材。 </w:t>
      </w:r>
    </w:p>
    <w:tbl>
      <w:tblPr>
        <w:tblStyle w:val="22"/>
        <w:tblpPr w:leftFromText="180" w:rightFromText="180" w:vertAnchor="text" w:horzAnchor="margin" w:tblpX="-39" w:tblpY="266"/>
        <w:tblW w:w="790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79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38" w:hRule="atLeast"/>
        </w:trPr>
        <w:tc>
          <w:tcPr>
            <w:tcW w:w="7900"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38" w:hRule="atLeast"/>
        </w:trPr>
        <w:tc>
          <w:tcPr>
            <w:tcW w:w="7900"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28" w:hRule="atLeast"/>
        </w:trPr>
        <w:tc>
          <w:tcPr>
            <w:tcW w:w="7900"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tc>
      </w:tr>
    </w:tbl>
    <w:p>
      <w:pPr>
        <w:spacing w:line="360" w:lineRule="auto"/>
        <w:rPr>
          <w:szCs w:val="21"/>
        </w:rPr>
      </w:pPr>
    </w:p>
    <w:p>
      <w:pPr>
        <w:spacing w:line="360" w:lineRule="auto"/>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spacing w:line="360" w:lineRule="auto"/>
        <w:rPr>
          <w:rFonts w:hAnsi="黑体" w:cs="黑体"/>
          <w:kern w:val="0"/>
          <w:szCs w:val="32"/>
        </w:rPr>
      </w:pPr>
    </w:p>
    <w:p>
      <w:pPr>
        <w:pStyle w:val="3"/>
        <w:jc w:val="center"/>
      </w:pPr>
      <w:bookmarkStart w:id="313" w:name="_Toc2785"/>
      <w:bookmarkStart w:id="314" w:name="_Toc29752"/>
      <w:bookmarkStart w:id="315" w:name="_Toc16175"/>
      <w:r>
        <w:t>j3340109《毕业实习》</w:t>
      </w:r>
      <w:r>
        <w:rPr>
          <w:rFonts w:hint="eastAsia"/>
        </w:rPr>
        <w:t>实训教学大纲</w:t>
      </w:r>
      <w:bookmarkEnd w:id="313"/>
      <w:bookmarkEnd w:id="314"/>
      <w:bookmarkEnd w:id="315"/>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143"/>
        <w:gridCol w:w="12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6" w:type="dxa"/>
            <w:vAlign w:val="center"/>
          </w:tcPr>
          <w:p>
            <w:pPr>
              <w:jc w:val="center"/>
              <w:rPr>
                <w:kern w:val="0"/>
                <w:szCs w:val="21"/>
              </w:rPr>
            </w:pPr>
            <w:r>
              <w:rPr>
                <w:kern w:val="0"/>
                <w:szCs w:val="21"/>
              </w:rPr>
              <w:t>课程编号</w:t>
            </w:r>
          </w:p>
        </w:tc>
        <w:tc>
          <w:tcPr>
            <w:tcW w:w="3143" w:type="dxa"/>
            <w:vAlign w:val="center"/>
          </w:tcPr>
          <w:p>
            <w:pPr>
              <w:jc w:val="center"/>
              <w:rPr>
                <w:kern w:val="0"/>
                <w:szCs w:val="21"/>
              </w:rPr>
            </w:pPr>
            <w:r>
              <w:rPr>
                <w:kern w:val="0"/>
                <w:szCs w:val="21"/>
              </w:rPr>
              <w:t>j3340109</w:t>
            </w:r>
          </w:p>
        </w:tc>
        <w:tc>
          <w:tcPr>
            <w:tcW w:w="1214" w:type="dxa"/>
            <w:vAlign w:val="center"/>
          </w:tcPr>
          <w:p>
            <w:pPr>
              <w:jc w:val="center"/>
              <w:rPr>
                <w:kern w:val="0"/>
                <w:szCs w:val="21"/>
              </w:rPr>
            </w:pPr>
            <w:r>
              <w:rPr>
                <w:kern w:val="0"/>
                <w:szCs w:val="21"/>
              </w:rPr>
              <w:t>课程名称</w:t>
            </w:r>
          </w:p>
        </w:tc>
        <w:tc>
          <w:tcPr>
            <w:tcW w:w="2978" w:type="dxa"/>
            <w:vAlign w:val="center"/>
          </w:tcPr>
          <w:p>
            <w:pPr>
              <w:jc w:val="center"/>
              <w:rPr>
                <w:kern w:val="0"/>
                <w:szCs w:val="21"/>
              </w:rPr>
            </w:pPr>
            <w:r>
              <w:rPr>
                <w:kern w:val="0"/>
                <w:szCs w:val="21"/>
              </w:rPr>
              <w:t>毕业实习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6" w:type="dxa"/>
            <w:vAlign w:val="center"/>
          </w:tcPr>
          <w:p>
            <w:pPr>
              <w:jc w:val="center"/>
              <w:rPr>
                <w:kern w:val="0"/>
                <w:szCs w:val="21"/>
              </w:rPr>
            </w:pPr>
            <w:r>
              <w:rPr>
                <w:kern w:val="0"/>
                <w:szCs w:val="21"/>
              </w:rPr>
              <w:t>课程性质*</w:t>
            </w:r>
          </w:p>
        </w:tc>
        <w:tc>
          <w:tcPr>
            <w:tcW w:w="3143" w:type="dxa"/>
            <w:vAlign w:val="center"/>
          </w:tcPr>
          <w:p>
            <w:pPr>
              <w:jc w:val="center"/>
              <w:rPr>
                <w:kern w:val="0"/>
                <w:szCs w:val="21"/>
              </w:rPr>
            </w:pPr>
            <w:r>
              <w:rPr>
                <w:kern w:val="0"/>
                <w:szCs w:val="21"/>
              </w:rPr>
              <w:t>工程实践与毕业设计（论文）</w:t>
            </w:r>
          </w:p>
        </w:tc>
        <w:tc>
          <w:tcPr>
            <w:tcW w:w="1214" w:type="dxa"/>
            <w:vAlign w:val="center"/>
          </w:tcPr>
          <w:p>
            <w:pPr>
              <w:jc w:val="center"/>
              <w:rPr>
                <w:kern w:val="0"/>
                <w:szCs w:val="21"/>
              </w:rPr>
            </w:pPr>
            <w:r>
              <w:rPr>
                <w:kern w:val="0"/>
                <w:szCs w:val="21"/>
              </w:rPr>
              <w:t>英文名称</w:t>
            </w:r>
          </w:p>
        </w:tc>
        <w:tc>
          <w:tcPr>
            <w:tcW w:w="2978" w:type="dxa"/>
            <w:vAlign w:val="center"/>
          </w:tcPr>
          <w:p>
            <w:pPr>
              <w:jc w:val="center"/>
              <w:rPr>
                <w:bCs/>
                <w:kern w:val="0"/>
                <w:szCs w:val="21"/>
              </w:rPr>
            </w:pPr>
            <w:r>
              <w:rPr>
                <w:kern w:val="0"/>
                <w:szCs w:val="21"/>
              </w:rPr>
              <w:t>Graduation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6" w:type="dxa"/>
            <w:vAlign w:val="center"/>
          </w:tcPr>
          <w:p>
            <w:pPr>
              <w:jc w:val="center"/>
              <w:rPr>
                <w:kern w:val="0"/>
                <w:szCs w:val="21"/>
              </w:rPr>
            </w:pPr>
            <w:r>
              <w:rPr>
                <w:kern w:val="0"/>
                <w:szCs w:val="21"/>
              </w:rPr>
              <w:t>学分学时</w:t>
            </w:r>
          </w:p>
        </w:tc>
        <w:tc>
          <w:tcPr>
            <w:tcW w:w="3143" w:type="dxa"/>
            <w:vAlign w:val="center"/>
          </w:tcPr>
          <w:p>
            <w:pPr>
              <w:jc w:val="center"/>
              <w:rPr>
                <w:kern w:val="0"/>
                <w:szCs w:val="21"/>
              </w:rPr>
            </w:pPr>
            <w:r>
              <w:rPr>
                <w:kern w:val="0"/>
                <w:szCs w:val="21"/>
              </w:rPr>
              <w:t>2</w:t>
            </w:r>
            <w:r>
              <w:rPr>
                <w:bCs/>
                <w:kern w:val="0"/>
                <w:szCs w:val="21"/>
              </w:rPr>
              <w:t xml:space="preserve"> </w:t>
            </w:r>
            <w:r>
              <w:rPr>
                <w:kern w:val="0"/>
                <w:szCs w:val="21"/>
              </w:rPr>
              <w:t>: 4周</w:t>
            </w:r>
          </w:p>
        </w:tc>
        <w:tc>
          <w:tcPr>
            <w:tcW w:w="1214" w:type="dxa"/>
            <w:vAlign w:val="center"/>
          </w:tcPr>
          <w:p>
            <w:pPr>
              <w:jc w:val="center"/>
              <w:rPr>
                <w:kern w:val="0"/>
                <w:szCs w:val="21"/>
                <w:highlight w:val="yellow"/>
              </w:rPr>
            </w:pPr>
            <w:r>
              <w:rPr>
                <w:kern w:val="0"/>
                <w:szCs w:val="21"/>
              </w:rPr>
              <w:t>任课教师</w:t>
            </w:r>
          </w:p>
        </w:tc>
        <w:tc>
          <w:tcPr>
            <w:tcW w:w="2978" w:type="dxa"/>
            <w:vAlign w:val="center"/>
          </w:tcPr>
          <w:p>
            <w:pPr>
              <w:jc w:val="center"/>
              <w:rPr>
                <w:kern w:val="0"/>
                <w:szCs w:val="21"/>
                <w:highlight w:val="yellow"/>
              </w:rPr>
            </w:pPr>
            <w:r>
              <w:rPr>
                <w:kern w:val="0"/>
                <w:szCs w:val="21"/>
              </w:rPr>
              <w:t>承担毕业设计指导教师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6" w:type="dxa"/>
          </w:tcPr>
          <w:p>
            <w:pPr>
              <w:jc w:val="center"/>
              <w:rPr>
                <w:bCs/>
                <w:kern w:val="0"/>
                <w:szCs w:val="21"/>
              </w:rPr>
            </w:pPr>
            <w:r>
              <w:rPr>
                <w:bCs/>
                <w:kern w:val="0"/>
                <w:szCs w:val="21"/>
              </w:rPr>
              <w:t>企业专家</w:t>
            </w:r>
          </w:p>
        </w:tc>
        <w:tc>
          <w:tcPr>
            <w:tcW w:w="3143" w:type="dxa"/>
          </w:tcPr>
          <w:p>
            <w:pPr>
              <w:widowControl/>
              <w:jc w:val="center"/>
              <w:rPr>
                <w:kern w:val="0"/>
                <w:szCs w:val="21"/>
              </w:rPr>
            </w:pPr>
            <w:r>
              <w:rPr>
                <w:kern w:val="0"/>
                <w:szCs w:val="21"/>
              </w:rPr>
              <w:t>曾耿滨</w:t>
            </w:r>
          </w:p>
        </w:tc>
        <w:tc>
          <w:tcPr>
            <w:tcW w:w="1214" w:type="dxa"/>
          </w:tcPr>
          <w:p>
            <w:pPr>
              <w:jc w:val="center"/>
              <w:rPr>
                <w:bCs/>
                <w:kern w:val="0"/>
                <w:szCs w:val="21"/>
              </w:rPr>
            </w:pPr>
            <w:r>
              <w:rPr>
                <w:bCs/>
                <w:kern w:val="0"/>
                <w:szCs w:val="21"/>
              </w:rPr>
              <w:t>行业专家</w:t>
            </w:r>
          </w:p>
        </w:tc>
        <w:tc>
          <w:tcPr>
            <w:tcW w:w="2978" w:type="dxa"/>
          </w:tcPr>
          <w:p>
            <w:pPr>
              <w:widowControl/>
              <w:jc w:val="center"/>
              <w:rPr>
                <w:kern w:val="0"/>
                <w:szCs w:val="21"/>
              </w:rPr>
            </w:pPr>
            <w:r>
              <w:rPr>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6" w:type="dxa"/>
          </w:tcPr>
          <w:p>
            <w:pPr>
              <w:widowControl/>
              <w:jc w:val="center"/>
              <w:rPr>
                <w:bCs/>
                <w:kern w:val="0"/>
                <w:szCs w:val="21"/>
              </w:rPr>
            </w:pPr>
            <w:r>
              <w:rPr>
                <w:bCs/>
                <w:kern w:val="0"/>
                <w:szCs w:val="21"/>
              </w:rPr>
              <w:t>执笔教师</w:t>
            </w:r>
          </w:p>
        </w:tc>
        <w:tc>
          <w:tcPr>
            <w:tcW w:w="3143" w:type="dxa"/>
          </w:tcPr>
          <w:p>
            <w:pPr>
              <w:widowControl/>
              <w:jc w:val="center"/>
              <w:rPr>
                <w:kern w:val="0"/>
                <w:szCs w:val="21"/>
              </w:rPr>
            </w:pPr>
            <w:r>
              <w:rPr>
                <w:rFonts w:hint="eastAsia"/>
                <w:kern w:val="0"/>
                <w:szCs w:val="21"/>
              </w:rPr>
              <w:t>张培珍、</w:t>
            </w:r>
            <w:r>
              <w:rPr>
                <w:kern w:val="0"/>
                <w:szCs w:val="21"/>
              </w:rPr>
              <w:t>王骥</w:t>
            </w:r>
          </w:p>
        </w:tc>
        <w:tc>
          <w:tcPr>
            <w:tcW w:w="1214" w:type="dxa"/>
          </w:tcPr>
          <w:p>
            <w:pPr>
              <w:widowControl/>
              <w:jc w:val="center"/>
              <w:rPr>
                <w:bCs/>
                <w:kern w:val="0"/>
                <w:szCs w:val="21"/>
              </w:rPr>
            </w:pPr>
            <w:r>
              <w:rPr>
                <w:bCs/>
                <w:kern w:val="0"/>
                <w:szCs w:val="21"/>
              </w:rPr>
              <w:t>责任教授</w:t>
            </w:r>
          </w:p>
        </w:tc>
        <w:tc>
          <w:tcPr>
            <w:tcW w:w="2978" w:type="dxa"/>
          </w:tcPr>
          <w:p>
            <w:pPr>
              <w:widowControl/>
              <w:jc w:val="center"/>
              <w:rPr>
                <w:kern w:val="0"/>
                <w:szCs w:val="21"/>
              </w:rPr>
            </w:pPr>
            <w:r>
              <w:rPr>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6" w:type="dxa"/>
          </w:tcPr>
          <w:p>
            <w:pPr>
              <w:widowControl/>
              <w:jc w:val="center"/>
              <w:rPr>
                <w:bCs/>
                <w:kern w:val="0"/>
                <w:szCs w:val="21"/>
              </w:rPr>
            </w:pPr>
            <w:r>
              <w:rPr>
                <w:bCs/>
                <w:kern w:val="0"/>
                <w:szCs w:val="21"/>
              </w:rPr>
              <w:t>适用专业</w:t>
            </w:r>
          </w:p>
        </w:tc>
        <w:tc>
          <w:tcPr>
            <w:tcW w:w="3143" w:type="dxa"/>
          </w:tcPr>
          <w:p>
            <w:pPr>
              <w:widowControl/>
              <w:jc w:val="center"/>
              <w:rPr>
                <w:kern w:val="0"/>
                <w:szCs w:val="21"/>
              </w:rPr>
            </w:pPr>
            <w:r>
              <w:rPr>
                <w:kern w:val="0"/>
                <w:szCs w:val="21"/>
              </w:rPr>
              <w:t>电子信息工程</w:t>
            </w:r>
          </w:p>
        </w:tc>
        <w:tc>
          <w:tcPr>
            <w:tcW w:w="1214" w:type="dxa"/>
          </w:tcPr>
          <w:p>
            <w:pPr>
              <w:widowControl/>
              <w:jc w:val="center"/>
              <w:rPr>
                <w:bCs/>
                <w:kern w:val="0"/>
                <w:szCs w:val="21"/>
              </w:rPr>
            </w:pPr>
            <w:r>
              <w:rPr>
                <w:bCs/>
                <w:kern w:val="0"/>
                <w:szCs w:val="21"/>
              </w:rPr>
              <w:t>适用对象</w:t>
            </w:r>
          </w:p>
        </w:tc>
        <w:tc>
          <w:tcPr>
            <w:tcW w:w="2978" w:type="dxa"/>
          </w:tcPr>
          <w:p>
            <w:pPr>
              <w:widowControl/>
              <w:jc w:val="center"/>
              <w:rPr>
                <w:kern w:val="0"/>
                <w:szCs w:val="21"/>
              </w:rPr>
            </w:pPr>
            <w:r>
              <w:rPr>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6" w:type="dxa"/>
          </w:tcPr>
          <w:p>
            <w:pPr>
              <w:jc w:val="center"/>
              <w:rPr>
                <w:b/>
                <w:kern w:val="0"/>
                <w:szCs w:val="21"/>
              </w:rPr>
            </w:pPr>
            <w:r>
              <w:rPr>
                <w:kern w:val="0"/>
                <w:szCs w:val="21"/>
              </w:rPr>
              <w:t>先修课程</w:t>
            </w:r>
          </w:p>
        </w:tc>
        <w:tc>
          <w:tcPr>
            <w:tcW w:w="3143" w:type="dxa"/>
            <w:vAlign w:val="center"/>
          </w:tcPr>
          <w:p>
            <w:pPr>
              <w:widowControl/>
              <w:jc w:val="center"/>
              <w:rPr>
                <w:bCs/>
                <w:kern w:val="0"/>
                <w:szCs w:val="21"/>
              </w:rPr>
            </w:pPr>
            <w:r>
              <w:rPr>
                <w:kern w:val="0"/>
                <w:szCs w:val="21"/>
              </w:rPr>
              <w:t>电子信息类专业课程</w:t>
            </w:r>
          </w:p>
        </w:tc>
        <w:tc>
          <w:tcPr>
            <w:tcW w:w="1214" w:type="dxa"/>
          </w:tcPr>
          <w:p>
            <w:pPr>
              <w:snapToGrid w:val="0"/>
              <w:spacing w:line="300" w:lineRule="auto"/>
              <w:jc w:val="center"/>
              <w:rPr>
                <w:b/>
                <w:kern w:val="0"/>
                <w:szCs w:val="21"/>
              </w:rPr>
            </w:pPr>
            <w:r>
              <w:rPr>
                <w:kern w:val="0"/>
                <w:szCs w:val="21"/>
              </w:rPr>
              <w:t>同修课程</w:t>
            </w:r>
          </w:p>
        </w:tc>
        <w:tc>
          <w:tcPr>
            <w:tcW w:w="2978" w:type="dxa"/>
          </w:tcPr>
          <w:p>
            <w:pPr>
              <w:widowControl/>
              <w:jc w:val="center"/>
              <w:rPr>
                <w:kern w:val="0"/>
                <w:szCs w:val="21"/>
              </w:rPr>
            </w:pPr>
            <w:r>
              <w:rPr>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346" w:type="dxa"/>
          </w:tcPr>
          <w:p>
            <w:pPr>
              <w:jc w:val="center"/>
              <w:rPr>
                <w:kern w:val="0"/>
                <w:szCs w:val="21"/>
              </w:rPr>
            </w:pPr>
            <w:r>
              <w:rPr>
                <w:kern w:val="0"/>
                <w:szCs w:val="21"/>
              </w:rPr>
              <w:t>排斥课程</w:t>
            </w:r>
          </w:p>
        </w:tc>
        <w:tc>
          <w:tcPr>
            <w:tcW w:w="3143" w:type="dxa"/>
          </w:tcPr>
          <w:p>
            <w:pPr>
              <w:widowControl/>
              <w:jc w:val="center"/>
              <w:rPr>
                <w:kern w:val="0"/>
                <w:szCs w:val="21"/>
              </w:rPr>
            </w:pPr>
            <w:r>
              <w:rPr>
                <w:kern w:val="0"/>
                <w:szCs w:val="21"/>
              </w:rPr>
              <w:t>无</w:t>
            </w:r>
          </w:p>
        </w:tc>
        <w:tc>
          <w:tcPr>
            <w:tcW w:w="1214" w:type="dxa"/>
          </w:tcPr>
          <w:p>
            <w:pPr>
              <w:snapToGrid w:val="0"/>
              <w:spacing w:line="300" w:lineRule="auto"/>
              <w:jc w:val="center"/>
              <w:rPr>
                <w:kern w:val="0"/>
                <w:szCs w:val="21"/>
              </w:rPr>
            </w:pPr>
            <w:r>
              <w:rPr>
                <w:kern w:val="0"/>
                <w:szCs w:val="21"/>
              </w:rPr>
              <w:t>定稿日期</w:t>
            </w:r>
          </w:p>
        </w:tc>
        <w:tc>
          <w:tcPr>
            <w:tcW w:w="2978" w:type="dxa"/>
          </w:tcPr>
          <w:p>
            <w:pPr>
              <w:widowControl/>
              <w:jc w:val="center"/>
              <w:rPr>
                <w:kern w:val="0"/>
                <w:szCs w:val="21"/>
              </w:rPr>
            </w:pPr>
            <w:r>
              <w:rPr>
                <w:rFonts w:hint="eastAsia"/>
                <w:kern w:val="0"/>
                <w:szCs w:val="21"/>
              </w:rPr>
              <w:t>2022.5.10</w:t>
            </w:r>
          </w:p>
        </w:tc>
      </w:tr>
    </w:tbl>
    <w:p>
      <w:pPr>
        <w:snapToGrid w:val="0"/>
        <w:spacing w:line="300" w:lineRule="auto"/>
        <w:ind w:firstLine="420" w:firstLineChars="200"/>
        <w:rPr>
          <w:szCs w:val="21"/>
        </w:rPr>
      </w:pPr>
      <w:r>
        <w:rPr>
          <w:kern w:val="0"/>
          <w:szCs w:val="20"/>
        </w:rPr>
        <w:t>*</w:t>
      </w:r>
      <w:r>
        <w:rPr>
          <w:sz w:val="18"/>
          <w:szCs w:val="18"/>
        </w:rPr>
        <w:t>数学与自然科学类、工程基础类、专业基础类、专业类、工程实践与毕业设计（论文）、人文社会科学类。</w:t>
      </w:r>
    </w:p>
    <w:p>
      <w:pPr>
        <w:snapToGrid w:val="0"/>
        <w:spacing w:before="159" w:beforeLines="50" w:after="159" w:afterLines="50" w:line="300" w:lineRule="auto"/>
        <w:rPr>
          <w:b/>
          <w:sz w:val="24"/>
        </w:rPr>
      </w:pPr>
      <w:r>
        <w:rPr>
          <w:b/>
          <w:sz w:val="24"/>
        </w:rPr>
        <w:t>一、课程简介</w:t>
      </w:r>
    </w:p>
    <w:p>
      <w:pPr>
        <w:snapToGrid w:val="0"/>
        <w:spacing w:line="300" w:lineRule="auto"/>
        <w:ind w:firstLine="420" w:firstLineChars="200"/>
        <w:rPr>
          <w:szCs w:val="21"/>
        </w:rPr>
      </w:pPr>
      <w:r>
        <w:rPr>
          <w:szCs w:val="21"/>
        </w:rPr>
        <w:t>毕业实习是学生在校学习期间最后一个重要的综合性实践教学环节，目的是培养学生独立地综合运用所学的基础理论、专业知识和基本技能，分析与解决实际工作中遇到的问题的能力；提高学生的沟通能力和职业道德素质。通过考察和实践，使学生进一步了解企业、社会、国情，激励学生敬业、创业的精神，从而完成学生从学习岗位到工作岗位的初步过渡，并为毕业后从事相关行业岗位工作奠定坚实的职业基础。毕业实习是理论联系实际，全面贯彻党的教育方针，培养社会主义建设人才的一项重要措施，是本专业教学计划中的一个重要的实践性环节，是一门必修课。通过生产实习须达到：</w:t>
      </w:r>
      <w:r>
        <w:rPr>
          <w:rFonts w:hint="eastAsia"/>
          <w:szCs w:val="21"/>
        </w:rPr>
        <w:t>“</w:t>
      </w:r>
      <w:r>
        <w:rPr>
          <w:szCs w:val="21"/>
        </w:rPr>
        <w:t>联系实际、拓宽知识、锻炼思想</w:t>
      </w:r>
      <w:r>
        <w:rPr>
          <w:rFonts w:hint="eastAsia"/>
          <w:szCs w:val="21"/>
        </w:rPr>
        <w:t>”</w:t>
      </w:r>
      <w:r>
        <w:rPr>
          <w:szCs w:val="21"/>
        </w:rPr>
        <w:t>的目的。</w:t>
      </w:r>
    </w:p>
    <w:p>
      <w:pPr>
        <w:snapToGrid w:val="0"/>
        <w:spacing w:before="159" w:beforeLines="50" w:after="159" w:afterLines="50" w:line="300" w:lineRule="auto"/>
        <w:rPr>
          <w:b/>
          <w:sz w:val="24"/>
        </w:rPr>
      </w:pPr>
      <w:r>
        <w:rPr>
          <w:b/>
          <w:sz w:val="24"/>
        </w:rPr>
        <w:t>二、课程教学目标</w:t>
      </w:r>
    </w:p>
    <w:p>
      <w:pPr>
        <w:widowControl/>
        <w:snapToGrid w:val="0"/>
        <w:spacing w:line="300" w:lineRule="auto"/>
        <w:ind w:firstLine="420" w:firstLineChars="200"/>
        <w:rPr>
          <w:kern w:val="0"/>
          <w:szCs w:val="21"/>
        </w:rPr>
      </w:pPr>
      <w:r>
        <w:rPr>
          <w:kern w:val="0"/>
          <w:szCs w:val="21"/>
        </w:rPr>
        <w:t>“毕业实习”课程是电子信息工程专业的一门实践性很强的工程综合能力课。 本课程构建于“工程科研训练”、“生产实习”等先修或同修课程的基础上，基于工程项目能力分析，以典型工作任务或企业产品设计开发为目标载体，通过完成项目具体工作任务或产品系统开发、工艺的设计和制作，将基本知识理论与工程能力有机地融合，配合或承担企业或公司研发部门工程师实习，培养学生具有综合解决工程问题的能力。即初步的研究开发能力、分析问题和解决问题的能力。</w:t>
      </w:r>
    </w:p>
    <w:p>
      <w:pPr>
        <w:widowControl/>
        <w:snapToGrid w:val="0"/>
        <w:spacing w:line="300" w:lineRule="auto"/>
        <w:ind w:firstLine="420" w:firstLineChars="200"/>
        <w:rPr>
          <w:kern w:val="0"/>
          <w:szCs w:val="21"/>
        </w:rPr>
      </w:pPr>
      <w:r>
        <w:rPr>
          <w:kern w:val="0"/>
          <w:szCs w:val="21"/>
        </w:rPr>
        <w:t>本课程的具体教学目标如下：</w:t>
      </w:r>
    </w:p>
    <w:p>
      <w:pPr>
        <w:widowControl/>
        <w:snapToGrid w:val="0"/>
        <w:spacing w:line="300" w:lineRule="auto"/>
        <w:ind w:firstLine="420" w:firstLineChars="200"/>
        <w:rPr>
          <w:kern w:val="0"/>
          <w:szCs w:val="21"/>
        </w:rPr>
      </w:pPr>
      <w:r>
        <w:rPr>
          <w:kern w:val="0"/>
          <w:szCs w:val="21"/>
        </w:rPr>
        <w:t>1．培养学生综合运用所学基础知识和基本技能，分析实习从事的复杂工程问题和初步解决实际生产中复杂疑难问题，具备选择技术路线、设计实验方案能力，并获取准确实验数据的基本能力</w:t>
      </w:r>
      <w:r>
        <w:rPr>
          <w:rFonts w:hint="eastAsia"/>
          <w:kern w:val="0"/>
          <w:szCs w:val="21"/>
        </w:rPr>
        <w:t>，</w:t>
      </w:r>
      <w:r>
        <w:rPr>
          <w:kern w:val="0"/>
          <w:szCs w:val="21"/>
        </w:rPr>
        <w:t>增强就业竞争力。</w:t>
      </w:r>
      <w:r>
        <w:rPr>
          <w:rFonts w:hint="eastAsia"/>
          <w:kern w:val="0"/>
          <w:szCs w:val="21"/>
        </w:rPr>
        <w:t>[</w:t>
      </w:r>
      <w:r>
        <w:rPr>
          <w:kern w:val="0"/>
          <w:szCs w:val="21"/>
        </w:rPr>
        <w:t>4</w:t>
      </w:r>
      <w:r>
        <w:rPr>
          <w:rFonts w:hint="eastAsia"/>
          <w:kern w:val="0"/>
          <w:szCs w:val="21"/>
        </w:rPr>
        <w:t>.</w:t>
      </w:r>
      <w:r>
        <w:rPr>
          <w:kern w:val="0"/>
          <w:szCs w:val="21"/>
        </w:rPr>
        <w:t>2]</w:t>
      </w:r>
    </w:p>
    <w:p>
      <w:pPr>
        <w:widowControl/>
        <w:snapToGrid w:val="0"/>
        <w:spacing w:line="300" w:lineRule="auto"/>
        <w:ind w:firstLine="420" w:firstLineChars="200"/>
        <w:rPr>
          <w:kern w:val="0"/>
          <w:szCs w:val="21"/>
        </w:rPr>
      </w:pPr>
      <w:r>
        <w:rPr>
          <w:kern w:val="0"/>
          <w:szCs w:val="21"/>
        </w:rPr>
        <w:t>2．加深对实习企业知识产权、产品国家质量标准与质量、企业所在地产业政策与新兴技术的鼓励支持力度了解，了解社会对本专业的人才需要状况以及电子信息行业与企业产品的社会价值。 [6</w:t>
      </w:r>
      <w:r>
        <w:rPr>
          <w:rFonts w:hint="eastAsia"/>
          <w:kern w:val="0"/>
          <w:szCs w:val="21"/>
        </w:rPr>
        <w:t>.</w:t>
      </w:r>
      <w:r>
        <w:rPr>
          <w:kern w:val="0"/>
          <w:szCs w:val="21"/>
        </w:rPr>
        <w:t>1]</w:t>
      </w:r>
    </w:p>
    <w:p>
      <w:pPr>
        <w:snapToGrid w:val="0"/>
        <w:spacing w:line="300" w:lineRule="auto"/>
        <w:ind w:firstLine="420" w:firstLineChars="200"/>
        <w:rPr>
          <w:szCs w:val="21"/>
        </w:rPr>
      </w:pPr>
      <w:r>
        <w:rPr>
          <w:szCs w:val="21"/>
        </w:rPr>
        <w:t>3．培养虚心向企业工程师请教与独立解决问题的能力，在实习过程中，在了解企业项目与产品基础上，具备优化设计企业所承担项目、电子系统软硬件或产品性能的能力，并能在设计、测试、总结在计中综合利用电子信息工程的专业知识和新技术，体现创新意识,考虑法律、环保、安全等社会因素。[7</w:t>
      </w:r>
      <w:r>
        <w:rPr>
          <w:rFonts w:hint="eastAsia"/>
          <w:szCs w:val="21"/>
        </w:rPr>
        <w:t>.</w:t>
      </w:r>
      <w:r>
        <w:rPr>
          <w:szCs w:val="21"/>
        </w:rPr>
        <w:t>1]</w:t>
      </w:r>
    </w:p>
    <w:p>
      <w:pPr>
        <w:snapToGrid w:val="0"/>
        <w:spacing w:line="300" w:lineRule="auto"/>
        <w:ind w:firstLine="420" w:firstLineChars="200"/>
        <w:rPr>
          <w:szCs w:val="21"/>
        </w:rPr>
      </w:pPr>
      <w:r>
        <w:rPr>
          <w:szCs w:val="21"/>
        </w:rPr>
        <w:t>4．掌握电子信息工程专业仪器、仪表等现代工程工具的基本原理、操作方法，理解其局限性，并在复杂工程问题中合理选择并使用其进行生产试验的基本方法。[7</w:t>
      </w:r>
      <w:r>
        <w:rPr>
          <w:rFonts w:hint="eastAsia"/>
          <w:szCs w:val="21"/>
        </w:rPr>
        <w:t>.</w:t>
      </w:r>
      <w:r>
        <w:rPr>
          <w:szCs w:val="21"/>
        </w:rPr>
        <w:t>2]</w:t>
      </w:r>
    </w:p>
    <w:p>
      <w:pPr>
        <w:adjustRightInd w:val="0"/>
        <w:snapToGrid w:val="0"/>
        <w:spacing w:line="300" w:lineRule="auto"/>
        <w:ind w:firstLine="420" w:firstLineChars="200"/>
        <w:rPr>
          <w:szCs w:val="21"/>
        </w:rPr>
      </w:pPr>
    </w:p>
    <w:p>
      <w:pPr>
        <w:adjustRightInd w:val="0"/>
        <w:snapToGrid w:val="0"/>
        <w:spacing w:line="300" w:lineRule="auto"/>
        <w:ind w:firstLine="420" w:firstLineChars="200"/>
        <w:rPr>
          <w:szCs w:val="21"/>
        </w:rPr>
      </w:pPr>
      <w:r>
        <w:rPr>
          <w:szCs w:val="21"/>
        </w:rPr>
        <w:t>5．具有协作精神，能正确认识、理解个人在团体中的作用，具有在团队中有效发挥作用的能力，自觉承担个人在团体中的责任；具有一定的计划、组织、协调团队工作的能力。 [9</w:t>
      </w:r>
      <w:r>
        <w:rPr>
          <w:rFonts w:hint="eastAsia"/>
          <w:szCs w:val="21"/>
        </w:rPr>
        <w:t>.</w:t>
      </w:r>
      <w:r>
        <w:rPr>
          <w:szCs w:val="21"/>
        </w:rPr>
        <w:t>2]</w:t>
      </w:r>
    </w:p>
    <w:p>
      <w:pPr>
        <w:snapToGrid w:val="0"/>
        <w:spacing w:line="300" w:lineRule="auto"/>
        <w:ind w:firstLine="420" w:firstLineChars="200"/>
        <w:rPr>
          <w:szCs w:val="21"/>
        </w:rPr>
      </w:pPr>
      <w:r>
        <w:rPr>
          <w:szCs w:val="21"/>
        </w:rPr>
        <w:t>6．学会科学研究与复杂系统工程设计方法，培养论文与报告撰写方面得到较好的训练，在获得文献资料和研究资料的基础上，独立撰写实习报告，并积累工作经验增强适应社会综合能力，特别是沟通能力。[11</w:t>
      </w:r>
      <w:r>
        <w:rPr>
          <w:rFonts w:hint="eastAsia"/>
          <w:szCs w:val="21"/>
        </w:rPr>
        <w:t>.</w:t>
      </w:r>
      <w:r>
        <w:rPr>
          <w:szCs w:val="21"/>
        </w:rPr>
        <w:t>1]</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9" w:beforeLines="50" w:line="300" w:lineRule="auto"/>
        <w:ind w:firstLine="361" w:firstLineChars="200"/>
        <w:jc w:val="center"/>
        <w:rPr>
          <w:b/>
          <w:sz w:val="18"/>
          <w:szCs w:val="18"/>
        </w:rPr>
      </w:pPr>
      <w:r>
        <w:rPr>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5882"/>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1454" w:type="dxa"/>
            <w:vAlign w:val="center"/>
          </w:tcPr>
          <w:p>
            <w:pPr>
              <w:snapToGrid w:val="0"/>
              <w:spacing w:line="300" w:lineRule="auto"/>
              <w:jc w:val="center"/>
              <w:rPr>
                <w:b/>
                <w:bCs/>
                <w:sz w:val="18"/>
                <w:szCs w:val="18"/>
              </w:rPr>
            </w:pPr>
            <w:r>
              <w:rPr>
                <w:b/>
                <w:bCs/>
                <w:sz w:val="18"/>
                <w:szCs w:val="18"/>
              </w:rPr>
              <w:t>毕业要求</w:t>
            </w:r>
          </w:p>
        </w:tc>
        <w:tc>
          <w:tcPr>
            <w:tcW w:w="5882" w:type="dxa"/>
            <w:vAlign w:val="center"/>
          </w:tcPr>
          <w:p>
            <w:pPr>
              <w:snapToGrid w:val="0"/>
              <w:spacing w:line="300" w:lineRule="auto"/>
              <w:jc w:val="center"/>
              <w:rPr>
                <w:b/>
                <w:bCs/>
                <w:sz w:val="18"/>
                <w:szCs w:val="18"/>
              </w:rPr>
            </w:pPr>
            <w:r>
              <w:rPr>
                <w:b/>
                <w:bCs/>
                <w:sz w:val="18"/>
                <w:szCs w:val="18"/>
              </w:rPr>
              <w:t>毕业要求指标点</w:t>
            </w:r>
          </w:p>
        </w:tc>
        <w:tc>
          <w:tcPr>
            <w:tcW w:w="689" w:type="dxa"/>
            <w:vAlign w:val="center"/>
          </w:tcPr>
          <w:p>
            <w:pPr>
              <w:snapToGrid w:val="0"/>
              <w:spacing w:line="300" w:lineRule="auto"/>
              <w:jc w:val="left"/>
              <w:rPr>
                <w:b/>
                <w:bCs/>
                <w:sz w:val="18"/>
                <w:szCs w:val="18"/>
              </w:rPr>
            </w:pPr>
            <w:r>
              <w:rPr>
                <w:b/>
                <w:bCs/>
                <w:sz w:val="18"/>
                <w:szCs w:val="18"/>
              </w:rPr>
              <w:t>课程目标</w:t>
            </w:r>
          </w:p>
        </w:tc>
        <w:tc>
          <w:tcPr>
            <w:tcW w:w="656" w:type="dxa"/>
            <w:vAlign w:val="center"/>
          </w:tcPr>
          <w:p>
            <w:pPr>
              <w:snapToGrid w:val="0"/>
              <w:spacing w:line="300" w:lineRule="auto"/>
              <w:rPr>
                <w:b/>
                <w:bCs/>
                <w:sz w:val="18"/>
                <w:szCs w:val="18"/>
              </w:rPr>
            </w:pPr>
            <w:r>
              <w:rPr>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pPr>
              <w:snapToGrid w:val="0"/>
              <w:spacing w:line="300" w:lineRule="auto"/>
              <w:jc w:val="center"/>
              <w:rPr>
                <w:sz w:val="18"/>
                <w:szCs w:val="18"/>
              </w:rPr>
            </w:pPr>
            <w:r>
              <w:rPr>
                <w:sz w:val="18"/>
                <w:szCs w:val="18"/>
              </w:rPr>
              <w:t>4．研究</w:t>
            </w:r>
          </w:p>
        </w:tc>
        <w:tc>
          <w:tcPr>
            <w:tcW w:w="5882" w:type="dxa"/>
          </w:tcPr>
          <w:p>
            <w:pPr>
              <w:snapToGrid w:val="0"/>
              <w:spacing w:line="300" w:lineRule="auto"/>
              <w:rPr>
                <w:sz w:val="18"/>
                <w:szCs w:val="18"/>
              </w:rPr>
            </w:pPr>
            <w:r>
              <w:rPr>
                <w:sz w:val="18"/>
                <w:szCs w:val="18"/>
              </w:rPr>
              <w:t>4.2针对电子信息工程的复杂工程问题，具备选择技术路线、设计实验方案能力，并获取准确实验数据。</w:t>
            </w:r>
          </w:p>
        </w:tc>
        <w:tc>
          <w:tcPr>
            <w:tcW w:w="689" w:type="dxa"/>
            <w:vAlign w:val="center"/>
          </w:tcPr>
          <w:p>
            <w:pPr>
              <w:snapToGrid w:val="0"/>
              <w:spacing w:line="300" w:lineRule="auto"/>
              <w:jc w:val="center"/>
              <w:rPr>
                <w:sz w:val="18"/>
                <w:szCs w:val="18"/>
              </w:rPr>
            </w:pPr>
            <w:r>
              <w:rPr>
                <w:sz w:val="18"/>
                <w:szCs w:val="18"/>
              </w:rPr>
              <w:t>1</w:t>
            </w:r>
          </w:p>
        </w:tc>
        <w:tc>
          <w:tcPr>
            <w:tcW w:w="656" w:type="dxa"/>
            <w:vAlign w:val="center"/>
          </w:tcPr>
          <w:p>
            <w:pPr>
              <w:snapToGrid w:val="0"/>
              <w:spacing w:line="300" w:lineRule="auto"/>
              <w:rPr>
                <w:sz w:val="18"/>
                <w:szCs w:val="18"/>
              </w:rPr>
            </w:pPr>
            <w:r>
              <w:rPr>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454" w:type="dxa"/>
            <w:vAlign w:val="center"/>
          </w:tcPr>
          <w:p>
            <w:pPr>
              <w:snapToGrid w:val="0"/>
              <w:spacing w:line="300" w:lineRule="auto"/>
              <w:jc w:val="center"/>
              <w:rPr>
                <w:sz w:val="18"/>
                <w:szCs w:val="18"/>
              </w:rPr>
            </w:pPr>
            <w:r>
              <w:rPr>
                <w:sz w:val="18"/>
                <w:szCs w:val="18"/>
              </w:rPr>
              <w:t>6．工程与社会</w:t>
            </w:r>
          </w:p>
        </w:tc>
        <w:tc>
          <w:tcPr>
            <w:tcW w:w="5882" w:type="dxa"/>
          </w:tcPr>
          <w:p>
            <w:pPr>
              <w:snapToGrid w:val="0"/>
              <w:spacing w:line="300" w:lineRule="auto"/>
              <w:rPr>
                <w:sz w:val="18"/>
                <w:szCs w:val="18"/>
              </w:rPr>
            </w:pPr>
            <w:r>
              <w:rPr>
                <w:sz w:val="18"/>
                <w:szCs w:val="18"/>
              </w:rPr>
              <w:t>6.1具有工程实践经历，了解电子信息行业相关的技术标准、知识产权、产业政策和法律法规，了解工程实践和电子信息行业新产品、新技术的开发和应用与社会、健康、安全、法律以及文化的关系。</w:t>
            </w:r>
          </w:p>
        </w:tc>
        <w:tc>
          <w:tcPr>
            <w:tcW w:w="689" w:type="dxa"/>
            <w:vAlign w:val="center"/>
          </w:tcPr>
          <w:p>
            <w:pPr>
              <w:snapToGrid w:val="0"/>
              <w:spacing w:line="300" w:lineRule="auto"/>
              <w:jc w:val="center"/>
              <w:rPr>
                <w:sz w:val="18"/>
                <w:szCs w:val="18"/>
              </w:rPr>
            </w:pPr>
            <w:r>
              <w:rPr>
                <w:sz w:val="18"/>
                <w:szCs w:val="18"/>
              </w:rPr>
              <w:t>2</w:t>
            </w:r>
          </w:p>
        </w:tc>
        <w:tc>
          <w:tcPr>
            <w:tcW w:w="656" w:type="dxa"/>
            <w:vAlign w:val="center"/>
          </w:tcPr>
          <w:p>
            <w:pPr>
              <w:widowControl/>
              <w:snapToGrid w:val="0"/>
              <w:spacing w:line="300" w:lineRule="auto"/>
              <w:jc w:val="left"/>
              <w:rPr>
                <w:sz w:val="18"/>
                <w:szCs w:val="18"/>
              </w:rPr>
            </w:pPr>
            <w:r>
              <w:rPr>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54" w:type="dxa"/>
            <w:vMerge w:val="restart"/>
            <w:vAlign w:val="center"/>
          </w:tcPr>
          <w:p>
            <w:pPr>
              <w:snapToGrid w:val="0"/>
              <w:spacing w:line="300" w:lineRule="auto"/>
              <w:jc w:val="center"/>
              <w:rPr>
                <w:sz w:val="18"/>
                <w:szCs w:val="18"/>
              </w:rPr>
            </w:pPr>
            <w:r>
              <w:rPr>
                <w:sz w:val="18"/>
                <w:szCs w:val="18"/>
              </w:rPr>
              <w:t>7．环境和可持续发展</w:t>
            </w:r>
          </w:p>
        </w:tc>
        <w:tc>
          <w:tcPr>
            <w:tcW w:w="5882" w:type="dxa"/>
            <w:vAlign w:val="center"/>
          </w:tcPr>
          <w:p>
            <w:pPr>
              <w:snapToGrid w:val="0"/>
              <w:spacing w:line="300" w:lineRule="auto"/>
              <w:ind w:right="-334"/>
              <w:rPr>
                <w:sz w:val="18"/>
                <w:szCs w:val="18"/>
              </w:rPr>
            </w:pPr>
            <w:r>
              <w:rPr>
                <w:sz w:val="18"/>
                <w:szCs w:val="18"/>
              </w:rPr>
              <w:t>7.1理解环境保护和社会可持续发展的内涵与意义。</w:t>
            </w:r>
          </w:p>
        </w:tc>
        <w:tc>
          <w:tcPr>
            <w:tcW w:w="689" w:type="dxa"/>
            <w:vAlign w:val="center"/>
          </w:tcPr>
          <w:p>
            <w:pPr>
              <w:snapToGrid w:val="0"/>
              <w:spacing w:line="300" w:lineRule="auto"/>
              <w:jc w:val="center"/>
              <w:rPr>
                <w:sz w:val="18"/>
                <w:szCs w:val="18"/>
              </w:rPr>
            </w:pPr>
            <w:r>
              <w:rPr>
                <w:sz w:val="18"/>
                <w:szCs w:val="18"/>
              </w:rPr>
              <w:t>3</w:t>
            </w:r>
          </w:p>
        </w:tc>
        <w:tc>
          <w:tcPr>
            <w:tcW w:w="656" w:type="dxa"/>
            <w:vAlign w:val="center"/>
          </w:tcPr>
          <w:p>
            <w:pPr>
              <w:snapToGrid w:val="0"/>
              <w:spacing w:line="300" w:lineRule="auto"/>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54" w:type="dxa"/>
            <w:vMerge w:val="continue"/>
            <w:vAlign w:val="center"/>
          </w:tcPr>
          <w:p>
            <w:pPr>
              <w:snapToGrid w:val="0"/>
              <w:spacing w:line="300" w:lineRule="auto"/>
              <w:jc w:val="center"/>
              <w:rPr>
                <w:sz w:val="18"/>
                <w:szCs w:val="18"/>
              </w:rPr>
            </w:pPr>
          </w:p>
        </w:tc>
        <w:tc>
          <w:tcPr>
            <w:tcW w:w="5882" w:type="dxa"/>
            <w:vAlign w:val="center"/>
          </w:tcPr>
          <w:p>
            <w:pPr>
              <w:snapToGrid w:val="0"/>
              <w:spacing w:line="300" w:lineRule="auto"/>
              <w:ind w:right="-334"/>
              <w:rPr>
                <w:sz w:val="18"/>
                <w:szCs w:val="18"/>
              </w:rPr>
            </w:pPr>
            <w:r>
              <w:rPr>
                <w:sz w:val="18"/>
                <w:szCs w:val="18"/>
              </w:rPr>
              <w:t>7.2了解环境和社会可持续发展的相关政策及法律、法规，能够理解电子信息行业新产品和新技术的开发和应用对环境、社会可持续发展的影响。</w:t>
            </w:r>
          </w:p>
        </w:tc>
        <w:tc>
          <w:tcPr>
            <w:tcW w:w="689" w:type="dxa"/>
            <w:vAlign w:val="center"/>
          </w:tcPr>
          <w:p>
            <w:pPr>
              <w:snapToGrid w:val="0"/>
              <w:spacing w:line="300" w:lineRule="auto"/>
              <w:jc w:val="center"/>
              <w:rPr>
                <w:sz w:val="18"/>
                <w:szCs w:val="18"/>
              </w:rPr>
            </w:pPr>
            <w:r>
              <w:rPr>
                <w:sz w:val="18"/>
                <w:szCs w:val="18"/>
              </w:rPr>
              <w:t>4</w:t>
            </w:r>
          </w:p>
        </w:tc>
        <w:tc>
          <w:tcPr>
            <w:tcW w:w="656" w:type="dxa"/>
            <w:vAlign w:val="center"/>
          </w:tcPr>
          <w:p>
            <w:pPr>
              <w:snapToGrid w:val="0"/>
              <w:spacing w:line="300" w:lineRule="auto"/>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54" w:type="dxa"/>
            <w:vAlign w:val="center"/>
          </w:tcPr>
          <w:p>
            <w:pPr>
              <w:snapToGrid w:val="0"/>
              <w:spacing w:line="300" w:lineRule="auto"/>
              <w:jc w:val="center"/>
              <w:rPr>
                <w:sz w:val="18"/>
                <w:szCs w:val="18"/>
              </w:rPr>
            </w:pPr>
            <w:r>
              <w:rPr>
                <w:sz w:val="18"/>
                <w:szCs w:val="18"/>
              </w:rPr>
              <w:t>9．个人与团队</w:t>
            </w:r>
          </w:p>
        </w:tc>
        <w:tc>
          <w:tcPr>
            <w:tcW w:w="5882" w:type="dxa"/>
            <w:vAlign w:val="center"/>
          </w:tcPr>
          <w:p>
            <w:pPr>
              <w:snapToGrid w:val="0"/>
              <w:spacing w:line="300" w:lineRule="auto"/>
              <w:rPr>
                <w:sz w:val="18"/>
                <w:szCs w:val="18"/>
              </w:rPr>
            </w:pPr>
            <w:r>
              <w:rPr>
                <w:sz w:val="18"/>
                <w:szCs w:val="18"/>
              </w:rPr>
              <w:t>9.2能够在多学科备选下的团队中胜任团队负责人或成员角色，具有团队合作意识和精神。</w:t>
            </w:r>
          </w:p>
        </w:tc>
        <w:tc>
          <w:tcPr>
            <w:tcW w:w="689" w:type="dxa"/>
            <w:vAlign w:val="center"/>
          </w:tcPr>
          <w:p>
            <w:pPr>
              <w:snapToGrid w:val="0"/>
              <w:spacing w:line="300" w:lineRule="auto"/>
              <w:jc w:val="center"/>
              <w:rPr>
                <w:sz w:val="18"/>
                <w:szCs w:val="18"/>
              </w:rPr>
            </w:pPr>
            <w:r>
              <w:rPr>
                <w:sz w:val="18"/>
                <w:szCs w:val="18"/>
              </w:rPr>
              <w:t>5</w:t>
            </w:r>
          </w:p>
        </w:tc>
        <w:tc>
          <w:tcPr>
            <w:tcW w:w="656" w:type="dxa"/>
            <w:vAlign w:val="center"/>
          </w:tcPr>
          <w:p>
            <w:pPr>
              <w:snapToGrid w:val="0"/>
              <w:spacing w:line="300" w:lineRule="auto"/>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pPr>
              <w:snapToGrid w:val="0"/>
              <w:spacing w:line="300" w:lineRule="auto"/>
              <w:jc w:val="center"/>
              <w:rPr>
                <w:sz w:val="18"/>
                <w:szCs w:val="18"/>
              </w:rPr>
            </w:pPr>
            <w:r>
              <w:rPr>
                <w:sz w:val="18"/>
                <w:szCs w:val="18"/>
              </w:rPr>
              <w:t>11．项目管理</w:t>
            </w:r>
          </w:p>
        </w:tc>
        <w:tc>
          <w:tcPr>
            <w:tcW w:w="5882" w:type="dxa"/>
            <w:vAlign w:val="center"/>
          </w:tcPr>
          <w:p>
            <w:pPr>
              <w:snapToGrid w:val="0"/>
              <w:spacing w:line="300" w:lineRule="auto"/>
              <w:rPr>
                <w:sz w:val="18"/>
                <w:szCs w:val="18"/>
              </w:rPr>
            </w:pPr>
            <w:r>
              <w:rPr>
                <w:sz w:val="18"/>
                <w:szCs w:val="18"/>
              </w:rPr>
              <w:t>11.1理解工程实践中工程管理的基本原理与经济决策方法。</w:t>
            </w:r>
          </w:p>
        </w:tc>
        <w:tc>
          <w:tcPr>
            <w:tcW w:w="689" w:type="dxa"/>
            <w:vAlign w:val="center"/>
          </w:tcPr>
          <w:p>
            <w:pPr>
              <w:snapToGrid w:val="0"/>
              <w:spacing w:line="300" w:lineRule="auto"/>
              <w:jc w:val="center"/>
              <w:rPr>
                <w:sz w:val="18"/>
                <w:szCs w:val="18"/>
              </w:rPr>
            </w:pPr>
            <w:r>
              <w:rPr>
                <w:sz w:val="18"/>
                <w:szCs w:val="18"/>
              </w:rPr>
              <w:t>6</w:t>
            </w:r>
          </w:p>
        </w:tc>
        <w:tc>
          <w:tcPr>
            <w:tcW w:w="656" w:type="dxa"/>
            <w:vAlign w:val="center"/>
          </w:tcPr>
          <w:p>
            <w:pPr>
              <w:snapToGrid w:val="0"/>
              <w:spacing w:line="300" w:lineRule="auto"/>
              <w:rPr>
                <w:sz w:val="18"/>
                <w:szCs w:val="18"/>
              </w:rPr>
            </w:pPr>
            <w:r>
              <w:rPr>
                <w:sz w:val="18"/>
                <w:szCs w:val="18"/>
              </w:rPr>
              <w:t>0.2</w:t>
            </w:r>
          </w:p>
        </w:tc>
      </w:tr>
    </w:tbl>
    <w:p>
      <w:pPr>
        <w:snapToGrid w:val="0"/>
        <w:spacing w:before="159" w:beforeLines="50" w:after="159" w:afterLines="50" w:line="300" w:lineRule="auto"/>
        <w:rPr>
          <w:b/>
          <w:sz w:val="24"/>
        </w:rPr>
      </w:pPr>
      <w:r>
        <w:rPr>
          <w:b/>
          <w:sz w:val="24"/>
        </w:rPr>
        <w:t>三、课程教学目标达成途径（或教学设计）</w:t>
      </w:r>
    </w:p>
    <w:p>
      <w:pPr>
        <w:widowControl/>
        <w:snapToGrid w:val="0"/>
        <w:spacing w:before="159"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0"/>
        <w:gridCol w:w="2126"/>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5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课程教学目标</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达成途径</w:t>
            </w:r>
          </w:p>
        </w:tc>
        <w:tc>
          <w:tcPr>
            <w:tcW w:w="140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rPr>
              <w:t>1．培养学生综合运用所学基础知识和基本技能，分析实习从事的复杂工程问题和初步解决实际生产中复杂疑难问题的基本能力，增强就业竞争力</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sz w:val="18"/>
                <w:szCs w:val="18"/>
                <w:shd w:val="clear" w:color="auto" w:fill="FEFEFF"/>
              </w:rPr>
              <w:t>，现场汇报与指导、</w:t>
            </w:r>
            <w:r>
              <w:rPr>
                <w:bCs/>
                <w:sz w:val="18"/>
                <w:szCs w:val="18"/>
              </w:rPr>
              <w:t>网络汇报、研讨与</w:t>
            </w:r>
            <w:r>
              <w:rPr>
                <w:sz w:val="18"/>
                <w:szCs w:val="18"/>
                <w:shd w:val="clear" w:color="auto" w:fill="FEFEFF"/>
              </w:rPr>
              <w:t>自学等达成。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rPr>
              <w:t>2．加深对实习企业知识产权、产品国家质量标准与质量、企业所在地产业政策与新兴技术的鼓励支持力度了解，了解社会对本专业的人才需要状况以及电子信息行业与企业产品的社会价值。</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sz w:val="18"/>
                <w:szCs w:val="18"/>
                <w:shd w:val="clear" w:color="auto" w:fill="FEFEFF"/>
              </w:rPr>
              <w:t>，现场或</w:t>
            </w:r>
            <w:r>
              <w:rPr>
                <w:bCs/>
                <w:sz w:val="18"/>
                <w:szCs w:val="18"/>
              </w:rPr>
              <w:t>网络</w:t>
            </w:r>
            <w:r>
              <w:rPr>
                <w:sz w:val="18"/>
                <w:szCs w:val="18"/>
                <w:shd w:val="clear" w:color="auto" w:fill="FEFEFF"/>
              </w:rPr>
              <w:t>研讨与指导以及自学等达成。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sz w:val="18"/>
                <w:szCs w:val="18"/>
                <w:shd w:val="clear" w:color="auto" w:fill="FEFEFF"/>
              </w:rPr>
              <w:t>3．</w:t>
            </w:r>
            <w:r>
              <w:rPr>
                <w:sz w:val="18"/>
                <w:szCs w:val="18"/>
              </w:rPr>
              <w:t>培养虚心向企业工程师请教与独立解决问题的能力，在实习过程中，在了解企业项目与产品基础上，具备优化设计企业所承担项目、电子系统软硬件或产品性能的能力，并能在设计、测试、总结在计中综合利用电子信息工程的专业知识和新技术，体现创新意识,考虑法律、环保、安全等社会因素。</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sz w:val="18"/>
                <w:szCs w:val="18"/>
                <w:shd w:val="clear" w:color="auto" w:fill="FEFEFF"/>
              </w:rPr>
              <w:t>，现场或</w:t>
            </w:r>
            <w:r>
              <w:rPr>
                <w:bCs/>
                <w:sz w:val="18"/>
                <w:szCs w:val="18"/>
              </w:rPr>
              <w:t>网络</w:t>
            </w:r>
            <w:r>
              <w:rPr>
                <w:sz w:val="18"/>
                <w:szCs w:val="18"/>
                <w:shd w:val="clear" w:color="auto" w:fill="FEFEFF"/>
              </w:rPr>
              <w:t>研讨与指导以及自学等达成。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网络或现场汇报、相关记录等原始材料考评</w:t>
            </w:r>
            <w:r>
              <w:rPr>
                <w:rFonts w:hint="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4</w:t>
            </w:r>
            <w:r>
              <w:rPr>
                <w:sz w:val="18"/>
                <w:szCs w:val="18"/>
              </w:rPr>
              <w:t>．掌握电子信息工程专业仪器、仪表等现代工程工具的基本原理、操作方法，理解其局限性，并在复杂工程问题中合理选择并使用其进行生产试验的基本方法。</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sz w:val="18"/>
                <w:szCs w:val="18"/>
                <w:shd w:val="clear" w:color="auto" w:fill="FEFEFF"/>
              </w:rPr>
              <w:t>，现场或</w:t>
            </w:r>
            <w:r>
              <w:rPr>
                <w:bCs/>
                <w:sz w:val="18"/>
                <w:szCs w:val="18"/>
              </w:rPr>
              <w:t>网络</w:t>
            </w:r>
            <w:r>
              <w:rPr>
                <w:sz w:val="18"/>
                <w:szCs w:val="18"/>
                <w:shd w:val="clear" w:color="auto" w:fill="FEFEFF"/>
              </w:rPr>
              <w:t>研讨与指导以及自学等达成。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bCs/>
                <w:sz w:val="18"/>
                <w:szCs w:val="18"/>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5</w:t>
            </w:r>
            <w:r>
              <w:rPr>
                <w:sz w:val="18"/>
                <w:szCs w:val="18"/>
              </w:rPr>
              <w:t>．具有协作精神，能正确认识、理解个人在团体中的作用，具有在团队中有效发挥作用的能力，自觉承担个人在团体中的责任；具有一定的计划、组织、协调团队工作的能力</w:t>
            </w:r>
            <w:r>
              <w:rPr>
                <w:rFonts w:hint="eastAsia"/>
                <w:sz w:val="18"/>
                <w:szCs w:val="18"/>
              </w:rPr>
              <w:t>。</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rFonts w:hint="eastAsia"/>
                <w:sz w:val="18"/>
                <w:szCs w:val="18"/>
                <w:shd w:val="clear" w:color="auto" w:fill="FEFEFF"/>
              </w:rPr>
              <w:t>、</w:t>
            </w:r>
            <w:r>
              <w:rPr>
                <w:sz w:val="18"/>
                <w:szCs w:val="18"/>
                <w:shd w:val="clear" w:color="auto" w:fill="FEFEFF"/>
              </w:rPr>
              <w:t>现场或</w:t>
            </w:r>
            <w:r>
              <w:rPr>
                <w:bCs/>
                <w:sz w:val="18"/>
                <w:szCs w:val="18"/>
              </w:rPr>
              <w:t>网络</w:t>
            </w:r>
            <w:r>
              <w:rPr>
                <w:sz w:val="18"/>
                <w:szCs w:val="18"/>
                <w:shd w:val="clear" w:color="auto" w:fill="FEFEFF"/>
              </w:rPr>
              <w:t>研讨</w:t>
            </w:r>
            <w:r>
              <w:rPr>
                <w:rFonts w:hint="eastAsia"/>
                <w:sz w:val="18"/>
                <w:szCs w:val="18"/>
                <w:shd w:val="clear" w:color="auto" w:fill="FEFEFF"/>
              </w:rPr>
              <w:t>、</w:t>
            </w:r>
            <w:r>
              <w:rPr>
                <w:rFonts w:hint="eastAsia"/>
                <w:kern w:val="0"/>
                <w:sz w:val="18"/>
                <w:szCs w:val="18"/>
              </w:rPr>
              <w:t>实操实践等方式达成。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实习表现、现场汇报、现场验收、</w:t>
            </w:r>
            <w:r>
              <w:rPr>
                <w:rFonts w:hint="eastAsia"/>
                <w:kern w:val="0"/>
                <w:sz w:val="18"/>
                <w:szCs w:val="18"/>
              </w:rPr>
              <w:t>实习报告、</w:t>
            </w:r>
            <w:r>
              <w:rPr>
                <w:kern w:val="0"/>
                <w:sz w:val="18"/>
                <w:szCs w:val="18"/>
              </w:rPr>
              <w:t>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15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left"/>
              <w:rPr>
                <w:sz w:val="18"/>
                <w:szCs w:val="18"/>
                <w:shd w:val="clear" w:color="auto" w:fill="FEFEFF"/>
              </w:rPr>
            </w:pPr>
            <w:r>
              <w:rPr>
                <w:sz w:val="18"/>
                <w:szCs w:val="18"/>
                <w:shd w:val="clear" w:color="auto" w:fill="FEFEFF"/>
              </w:rPr>
              <w:t>6</w:t>
            </w:r>
            <w:r>
              <w:rPr>
                <w:sz w:val="18"/>
                <w:szCs w:val="18"/>
              </w:rPr>
              <w:t>．学会科学研究与复杂系统工程设计方法，培养论文与报告撰写方面得到较好的训练，在获得文献资料和研究资料的基础上，独立撰写实习报告，并积累工作经验增强适应社会综合能力，特别是沟通能力。</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rFonts w:hint="eastAsia"/>
                <w:kern w:val="0"/>
                <w:sz w:val="18"/>
                <w:szCs w:val="18"/>
              </w:rPr>
              <w:t>指定阅读（小组成员自行分配任务）</w:t>
            </w:r>
            <w:r>
              <w:rPr>
                <w:rFonts w:hint="eastAsia"/>
                <w:sz w:val="18"/>
                <w:szCs w:val="18"/>
                <w:shd w:val="clear" w:color="auto" w:fill="FEFEFF"/>
              </w:rPr>
              <w:t>、</w:t>
            </w:r>
            <w:r>
              <w:rPr>
                <w:sz w:val="18"/>
                <w:szCs w:val="18"/>
                <w:shd w:val="clear" w:color="auto" w:fill="FEFEFF"/>
              </w:rPr>
              <w:t>现场或</w:t>
            </w:r>
            <w:r>
              <w:rPr>
                <w:bCs/>
                <w:sz w:val="18"/>
                <w:szCs w:val="18"/>
              </w:rPr>
              <w:t>网络</w:t>
            </w:r>
            <w:r>
              <w:rPr>
                <w:sz w:val="18"/>
                <w:szCs w:val="18"/>
                <w:shd w:val="clear" w:color="auto" w:fill="FEFEFF"/>
              </w:rPr>
              <w:t>研讨</w:t>
            </w:r>
            <w:r>
              <w:rPr>
                <w:rFonts w:hint="eastAsia"/>
                <w:sz w:val="18"/>
                <w:szCs w:val="18"/>
                <w:shd w:val="clear" w:color="auto" w:fill="FEFEFF"/>
              </w:rPr>
              <w:t>、</w:t>
            </w:r>
            <w:r>
              <w:rPr>
                <w:rFonts w:hint="eastAsia"/>
                <w:kern w:val="0"/>
                <w:sz w:val="18"/>
                <w:szCs w:val="18"/>
              </w:rPr>
              <w:t>实操实践、撰写报告等方式达成。</w:t>
            </w:r>
          </w:p>
        </w:tc>
        <w:tc>
          <w:tcPr>
            <w:tcW w:w="140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sz w:val="18"/>
                <w:szCs w:val="18"/>
                <w:shd w:val="clear" w:color="auto" w:fill="FEFEFF"/>
              </w:rPr>
            </w:pPr>
            <w:r>
              <w:rPr>
                <w:kern w:val="0"/>
                <w:sz w:val="18"/>
                <w:szCs w:val="18"/>
              </w:rPr>
              <w:t>实习表现、现场汇报、现场验收、</w:t>
            </w:r>
            <w:r>
              <w:rPr>
                <w:rFonts w:hint="eastAsia"/>
                <w:kern w:val="0"/>
                <w:sz w:val="18"/>
                <w:szCs w:val="18"/>
              </w:rPr>
              <w:t>实习报告、</w:t>
            </w:r>
            <w:r>
              <w:rPr>
                <w:kern w:val="0"/>
                <w:sz w:val="18"/>
                <w:szCs w:val="18"/>
              </w:rPr>
              <w:t>相关记录等原始材料考评</w:t>
            </w:r>
          </w:p>
        </w:tc>
      </w:tr>
    </w:tbl>
    <w:p>
      <w:pPr>
        <w:snapToGrid w:val="0"/>
        <w:spacing w:before="159" w:beforeLines="50" w:after="159" w:afterLines="50" w:line="300" w:lineRule="auto"/>
        <w:rPr>
          <w:b/>
          <w:sz w:val="24"/>
        </w:rPr>
      </w:pPr>
      <w:r>
        <w:rPr>
          <w:b/>
          <w:sz w:val="24"/>
        </w:rPr>
        <w:t>四、课程教学内容、教与学的要求</w:t>
      </w:r>
    </w:p>
    <w:p>
      <w:pPr>
        <w:snapToGrid w:val="0"/>
        <w:spacing w:line="300" w:lineRule="auto"/>
        <w:ind w:firstLine="420" w:firstLineChars="200"/>
        <w:rPr>
          <w:sz w:val="18"/>
          <w:szCs w:val="18"/>
        </w:rPr>
      </w:pPr>
      <w:r>
        <w:rPr>
          <w:szCs w:val="21"/>
        </w:rPr>
        <w:t>本课程教学内容与教学要求见表</w:t>
      </w:r>
      <w:r>
        <w:t>3</w:t>
      </w:r>
      <w:r>
        <w:rPr>
          <w:sz w:val="18"/>
          <w:szCs w:val="18"/>
        </w:rPr>
        <w:t>。</w:t>
      </w:r>
    </w:p>
    <w:p>
      <w:pPr>
        <w:snapToGrid w:val="0"/>
        <w:spacing w:before="159" w:beforeLines="50" w:line="300" w:lineRule="auto"/>
        <w:jc w:val="center"/>
        <w:rPr>
          <w:sz w:val="18"/>
          <w:szCs w:val="18"/>
        </w:rPr>
      </w:pPr>
      <w:r>
        <w:rPr>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894"/>
        <w:gridCol w:w="344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669" w:type="dxa"/>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3894" w:type="dxa"/>
            <w:vAlign w:val="center"/>
          </w:tcPr>
          <w:p>
            <w:pPr>
              <w:snapToGrid w:val="0"/>
              <w:spacing w:line="300" w:lineRule="auto"/>
              <w:jc w:val="center"/>
              <w:rPr>
                <w:b/>
                <w:bCs/>
                <w:sz w:val="18"/>
                <w:szCs w:val="18"/>
              </w:rPr>
            </w:pPr>
            <w:r>
              <w:rPr>
                <w:b/>
                <w:bCs/>
                <w:sz w:val="18"/>
                <w:szCs w:val="18"/>
              </w:rPr>
              <w:t>教学内容与课程教学目标</w:t>
            </w:r>
          </w:p>
        </w:tc>
        <w:tc>
          <w:tcPr>
            <w:tcW w:w="3448" w:type="dxa"/>
            <w:vAlign w:val="center"/>
          </w:tcPr>
          <w:p>
            <w:pPr>
              <w:snapToGrid w:val="0"/>
              <w:spacing w:line="300" w:lineRule="auto"/>
              <w:jc w:val="center"/>
              <w:rPr>
                <w:b/>
                <w:bCs/>
                <w:sz w:val="18"/>
                <w:szCs w:val="18"/>
              </w:rPr>
            </w:pPr>
            <w:r>
              <w:rPr>
                <w:b/>
                <w:bCs/>
                <w:sz w:val="18"/>
                <w:szCs w:val="18"/>
              </w:rPr>
              <w:t>教与学的要求</w:t>
            </w:r>
          </w:p>
        </w:tc>
        <w:tc>
          <w:tcPr>
            <w:tcW w:w="670" w:type="dxa"/>
            <w:vAlign w:val="center"/>
          </w:tcPr>
          <w:p>
            <w:pPr>
              <w:snapToGrid w:val="0"/>
              <w:spacing w:line="300" w:lineRule="auto"/>
              <w:jc w:val="center"/>
              <w:rPr>
                <w:b/>
                <w:bCs/>
                <w:sz w:val="18"/>
                <w:szCs w:val="18"/>
              </w:rPr>
            </w:pPr>
            <w:r>
              <w:rPr>
                <w:b/>
                <w:bCs/>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Mar>
              <w:left w:w="57" w:type="dxa"/>
              <w:right w:w="57" w:type="dxa"/>
            </w:tcMar>
            <w:vAlign w:val="center"/>
          </w:tcPr>
          <w:p>
            <w:pPr>
              <w:snapToGrid w:val="0"/>
              <w:spacing w:line="300" w:lineRule="auto"/>
              <w:rPr>
                <w:sz w:val="18"/>
                <w:szCs w:val="18"/>
              </w:rPr>
            </w:pPr>
            <w:r>
              <w:rPr>
                <w:sz w:val="18"/>
                <w:szCs w:val="18"/>
              </w:rPr>
              <w:t>1</w:t>
            </w:r>
          </w:p>
        </w:tc>
        <w:tc>
          <w:tcPr>
            <w:tcW w:w="3894" w:type="dxa"/>
            <w:vAlign w:val="center"/>
          </w:tcPr>
          <w:p>
            <w:pPr>
              <w:widowControl/>
              <w:adjustRightInd w:val="0"/>
              <w:snapToGrid w:val="0"/>
              <w:spacing w:line="300" w:lineRule="auto"/>
              <w:jc w:val="left"/>
              <w:rPr>
                <w:bCs/>
                <w:kern w:val="0"/>
                <w:sz w:val="18"/>
                <w:szCs w:val="18"/>
              </w:rPr>
            </w:pPr>
            <w:r>
              <w:rPr>
                <w:bCs/>
                <w:kern w:val="0"/>
                <w:sz w:val="18"/>
                <w:szCs w:val="18"/>
              </w:rPr>
              <w:t>一、实习方式：集中实习和分散实习相结合。</w:t>
            </w:r>
          </w:p>
          <w:p>
            <w:pPr>
              <w:widowControl/>
              <w:adjustRightInd w:val="0"/>
              <w:snapToGrid w:val="0"/>
              <w:spacing w:line="300" w:lineRule="auto"/>
              <w:jc w:val="left"/>
              <w:rPr>
                <w:bCs/>
                <w:kern w:val="0"/>
                <w:sz w:val="18"/>
                <w:szCs w:val="18"/>
              </w:rPr>
            </w:pPr>
            <w:r>
              <w:rPr>
                <w:bCs/>
                <w:kern w:val="0"/>
                <w:sz w:val="18"/>
                <w:szCs w:val="18"/>
              </w:rPr>
              <w:t>二、场所要求：本专业相关的公司和企业，需要为同学安排食宿，为同学提供一定的补助。另外，需要保障同学的人身安全。</w:t>
            </w:r>
          </w:p>
          <w:p>
            <w:pPr>
              <w:widowControl/>
              <w:adjustRightInd w:val="0"/>
              <w:snapToGrid w:val="0"/>
              <w:spacing w:line="300" w:lineRule="auto"/>
              <w:jc w:val="left"/>
              <w:rPr>
                <w:bCs/>
                <w:kern w:val="0"/>
                <w:sz w:val="18"/>
                <w:szCs w:val="18"/>
              </w:rPr>
            </w:pPr>
            <w:r>
              <w:rPr>
                <w:bCs/>
                <w:kern w:val="0"/>
                <w:sz w:val="18"/>
                <w:szCs w:val="18"/>
              </w:rPr>
              <w:t>二、毕业实习内容</w:t>
            </w:r>
          </w:p>
          <w:p>
            <w:pPr>
              <w:widowControl/>
              <w:adjustRightInd w:val="0"/>
              <w:snapToGrid w:val="0"/>
              <w:spacing w:line="300" w:lineRule="auto"/>
              <w:jc w:val="left"/>
              <w:rPr>
                <w:bCs/>
                <w:kern w:val="0"/>
                <w:sz w:val="18"/>
                <w:szCs w:val="18"/>
              </w:rPr>
            </w:pPr>
            <w:r>
              <w:rPr>
                <w:bCs/>
                <w:kern w:val="0"/>
                <w:sz w:val="18"/>
                <w:szCs w:val="18"/>
              </w:rPr>
              <w:t>（一）了解公司业务与主要业绩</w:t>
            </w:r>
            <w:r>
              <w:rPr>
                <w:b/>
                <w:kern w:val="0"/>
                <w:sz w:val="18"/>
                <w:szCs w:val="18"/>
              </w:rPr>
              <w:t>[教学目标1]</w:t>
            </w:r>
          </w:p>
          <w:p>
            <w:pPr>
              <w:widowControl/>
              <w:adjustRightInd w:val="0"/>
              <w:snapToGrid w:val="0"/>
              <w:spacing w:line="300" w:lineRule="auto"/>
              <w:ind w:firstLine="360" w:firstLineChars="200"/>
              <w:jc w:val="left"/>
              <w:rPr>
                <w:bCs/>
                <w:kern w:val="0"/>
                <w:sz w:val="18"/>
                <w:szCs w:val="18"/>
              </w:rPr>
            </w:pPr>
            <w:r>
              <w:rPr>
                <w:bCs/>
                <w:kern w:val="0"/>
                <w:sz w:val="18"/>
                <w:szCs w:val="18"/>
              </w:rPr>
              <w:t>学生在生产实习基础上主要进入电子信息类科技公司实习，首先应对企业的业务要了解，了解企业研究水平。包括以下几个方面：</w:t>
            </w:r>
          </w:p>
          <w:p>
            <w:pPr>
              <w:widowControl/>
              <w:adjustRightInd w:val="0"/>
              <w:snapToGrid w:val="0"/>
              <w:spacing w:line="300" w:lineRule="auto"/>
              <w:ind w:firstLine="360" w:firstLineChars="200"/>
              <w:jc w:val="left"/>
              <w:rPr>
                <w:sz w:val="18"/>
                <w:szCs w:val="18"/>
              </w:rPr>
            </w:pPr>
            <w:r>
              <w:rPr>
                <w:bCs/>
                <w:kern w:val="0"/>
                <w:sz w:val="18"/>
                <w:szCs w:val="18"/>
              </w:rPr>
              <w:t>1.企业所在行业的地位，企业在该行业中的排名、目前经营的状况；2.</w:t>
            </w:r>
            <w:r>
              <w:rPr>
                <w:sz w:val="18"/>
                <w:szCs w:val="18"/>
              </w:rPr>
              <w:t>了解企业生存所依赖的内外条件与对象。公司或企业科研方向与产品科技含量。</w:t>
            </w:r>
          </w:p>
          <w:p>
            <w:pPr>
              <w:adjustRightInd w:val="0"/>
              <w:snapToGrid w:val="0"/>
              <w:spacing w:line="300" w:lineRule="auto"/>
              <w:rPr>
                <w:sz w:val="18"/>
                <w:szCs w:val="18"/>
              </w:rPr>
            </w:pPr>
            <w:r>
              <w:rPr>
                <w:sz w:val="18"/>
                <w:szCs w:val="18"/>
              </w:rPr>
              <w:t>（二）了解企业的组织结构与运营方式</w:t>
            </w:r>
            <w:r>
              <w:rPr>
                <w:b/>
                <w:kern w:val="0"/>
                <w:sz w:val="18"/>
                <w:szCs w:val="18"/>
              </w:rPr>
              <w:t>[教学目标2]</w:t>
            </w:r>
          </w:p>
          <w:p>
            <w:pPr>
              <w:adjustRightInd w:val="0"/>
              <w:snapToGrid w:val="0"/>
              <w:spacing w:line="300" w:lineRule="auto"/>
              <w:rPr>
                <w:sz w:val="18"/>
                <w:szCs w:val="18"/>
              </w:rPr>
            </w:pPr>
            <w:r>
              <w:rPr>
                <w:sz w:val="18"/>
                <w:szCs w:val="18"/>
              </w:rPr>
              <w:t>掌握企业的组织结构，包括以下几点：</w:t>
            </w:r>
          </w:p>
          <w:p>
            <w:pPr>
              <w:adjustRightInd w:val="0"/>
              <w:snapToGrid w:val="0"/>
              <w:spacing w:line="300" w:lineRule="auto"/>
              <w:rPr>
                <w:sz w:val="18"/>
                <w:szCs w:val="18"/>
              </w:rPr>
            </w:pPr>
            <w:r>
              <w:rPr>
                <w:sz w:val="18"/>
                <w:szCs w:val="18"/>
              </w:rPr>
              <w:fldChar w:fldCharType="begin"/>
            </w:r>
            <w:r>
              <w:rPr>
                <w:sz w:val="18"/>
                <w:szCs w:val="18"/>
              </w:rPr>
              <w:instrText xml:space="preserve"> = 1 \* GB3 </w:instrText>
            </w:r>
            <w:r>
              <w:rPr>
                <w:sz w:val="18"/>
                <w:szCs w:val="18"/>
              </w:rPr>
              <w:fldChar w:fldCharType="separate"/>
            </w:r>
            <w:r>
              <w:rPr>
                <w:rFonts w:hint="eastAsia" w:ascii="宋体" w:hAnsi="宋体" w:cs="宋体"/>
                <w:sz w:val="18"/>
                <w:szCs w:val="18"/>
              </w:rPr>
              <w:t>①</w:t>
            </w:r>
            <w:r>
              <w:rPr>
                <w:sz w:val="18"/>
                <w:szCs w:val="18"/>
              </w:rPr>
              <w:fldChar w:fldCharType="end"/>
            </w:r>
            <w:r>
              <w:rPr>
                <w:sz w:val="18"/>
                <w:szCs w:val="18"/>
              </w:rPr>
              <w:t>企业的组织架构与部门职责；</w:t>
            </w:r>
          </w:p>
          <w:p>
            <w:pPr>
              <w:adjustRightInd w:val="0"/>
              <w:snapToGrid w:val="0"/>
              <w:spacing w:line="300" w:lineRule="auto"/>
              <w:rPr>
                <w:sz w:val="18"/>
                <w:szCs w:val="18"/>
              </w:rPr>
            </w:pPr>
            <w:r>
              <w:rPr>
                <w:sz w:val="18"/>
                <w:szCs w:val="18"/>
              </w:rPr>
              <w:fldChar w:fldCharType="begin"/>
            </w:r>
            <w:r>
              <w:rPr>
                <w:sz w:val="18"/>
                <w:szCs w:val="18"/>
              </w:rPr>
              <w:instrText xml:space="preserve"> = 2 \* GB3 </w:instrText>
            </w:r>
            <w:r>
              <w:rPr>
                <w:sz w:val="18"/>
                <w:szCs w:val="18"/>
              </w:rPr>
              <w:fldChar w:fldCharType="separate"/>
            </w:r>
            <w:r>
              <w:rPr>
                <w:rFonts w:hint="eastAsia" w:ascii="宋体" w:hAnsi="宋体" w:cs="宋体"/>
                <w:sz w:val="18"/>
                <w:szCs w:val="18"/>
              </w:rPr>
              <w:t>②</w:t>
            </w:r>
            <w:r>
              <w:rPr>
                <w:sz w:val="18"/>
                <w:szCs w:val="18"/>
              </w:rPr>
              <w:fldChar w:fldCharType="end"/>
            </w:r>
            <w:r>
              <w:rPr>
                <w:sz w:val="18"/>
                <w:szCs w:val="18"/>
              </w:rPr>
              <w:t>企业各部门的业务与创新方向；</w:t>
            </w:r>
          </w:p>
          <w:p>
            <w:pPr>
              <w:adjustRightInd w:val="0"/>
              <w:snapToGrid w:val="0"/>
              <w:spacing w:line="300" w:lineRule="auto"/>
              <w:rPr>
                <w:sz w:val="18"/>
                <w:szCs w:val="18"/>
              </w:rPr>
            </w:pPr>
            <w:r>
              <w:rPr>
                <w:sz w:val="18"/>
                <w:szCs w:val="18"/>
              </w:rPr>
              <w:fldChar w:fldCharType="begin"/>
            </w:r>
            <w:r>
              <w:rPr>
                <w:sz w:val="18"/>
                <w:szCs w:val="18"/>
              </w:rPr>
              <w:instrText xml:space="preserve"> = 3 \* GB3 </w:instrText>
            </w:r>
            <w:r>
              <w:rPr>
                <w:sz w:val="18"/>
                <w:szCs w:val="18"/>
              </w:rPr>
              <w:fldChar w:fldCharType="separate"/>
            </w:r>
            <w:r>
              <w:rPr>
                <w:rFonts w:hint="eastAsia" w:ascii="宋体" w:hAnsi="宋体" w:cs="宋体"/>
                <w:sz w:val="18"/>
                <w:szCs w:val="18"/>
              </w:rPr>
              <w:t>③</w:t>
            </w:r>
            <w:r>
              <w:rPr>
                <w:sz w:val="18"/>
                <w:szCs w:val="18"/>
              </w:rPr>
              <w:fldChar w:fldCharType="end"/>
            </w:r>
            <w:r>
              <w:rPr>
                <w:sz w:val="18"/>
                <w:szCs w:val="18"/>
              </w:rPr>
              <w:t>企业各部门之间相互依存和相互制约的关系、合作情况；</w:t>
            </w:r>
          </w:p>
          <w:p>
            <w:pPr>
              <w:adjustRightInd w:val="0"/>
              <w:snapToGrid w:val="0"/>
              <w:spacing w:line="300" w:lineRule="auto"/>
              <w:rPr>
                <w:sz w:val="18"/>
                <w:szCs w:val="18"/>
              </w:rPr>
            </w:pPr>
            <w:r>
              <w:rPr>
                <w:sz w:val="18"/>
                <w:szCs w:val="18"/>
              </w:rPr>
              <w:fldChar w:fldCharType="begin"/>
            </w:r>
            <w:r>
              <w:rPr>
                <w:sz w:val="18"/>
                <w:szCs w:val="18"/>
              </w:rPr>
              <w:instrText xml:space="preserve"> = 4 \* GB3 </w:instrText>
            </w:r>
            <w:r>
              <w:rPr>
                <w:sz w:val="18"/>
                <w:szCs w:val="18"/>
              </w:rPr>
              <w:fldChar w:fldCharType="separate"/>
            </w:r>
            <w:r>
              <w:rPr>
                <w:rFonts w:hint="eastAsia" w:ascii="宋体" w:hAnsi="宋体" w:cs="宋体"/>
                <w:sz w:val="18"/>
                <w:szCs w:val="18"/>
              </w:rPr>
              <w:t>④</w:t>
            </w:r>
            <w:r>
              <w:rPr>
                <w:sz w:val="18"/>
                <w:szCs w:val="18"/>
              </w:rPr>
              <w:fldChar w:fldCharType="end"/>
            </w:r>
            <w:r>
              <w:rPr>
                <w:sz w:val="18"/>
                <w:szCs w:val="18"/>
              </w:rPr>
              <w:t>企业各部门的人员职称与学历情况。</w:t>
            </w:r>
          </w:p>
          <w:p>
            <w:pPr>
              <w:adjustRightInd w:val="0"/>
              <w:snapToGrid w:val="0"/>
              <w:spacing w:line="300" w:lineRule="auto"/>
              <w:rPr>
                <w:sz w:val="18"/>
                <w:szCs w:val="18"/>
              </w:rPr>
            </w:pPr>
            <w:r>
              <w:rPr>
                <w:sz w:val="18"/>
                <w:szCs w:val="18"/>
              </w:rPr>
              <w:t>（三）了解企业的规章制度</w:t>
            </w:r>
            <w:r>
              <w:rPr>
                <w:b/>
                <w:kern w:val="0"/>
                <w:sz w:val="18"/>
                <w:szCs w:val="18"/>
              </w:rPr>
              <w:t>[教学目标3]</w:t>
            </w:r>
          </w:p>
          <w:p>
            <w:pPr>
              <w:adjustRightInd w:val="0"/>
              <w:snapToGrid w:val="0"/>
              <w:spacing w:line="300" w:lineRule="auto"/>
              <w:rPr>
                <w:sz w:val="18"/>
                <w:szCs w:val="18"/>
              </w:rPr>
            </w:pPr>
            <w:r>
              <w:rPr>
                <w:sz w:val="18"/>
                <w:szCs w:val="18"/>
              </w:rPr>
              <w:t>不成规矩不成方圆，作为一个优秀的企业，对于企业内部员工应该有一套自身的管理规章制度。要了解企业规章制度的内容，有以下几个方面需要注意：</w:t>
            </w:r>
          </w:p>
          <w:p>
            <w:pPr>
              <w:adjustRightInd w:val="0"/>
              <w:snapToGrid w:val="0"/>
              <w:spacing w:line="300" w:lineRule="auto"/>
              <w:rPr>
                <w:sz w:val="18"/>
                <w:szCs w:val="18"/>
              </w:rPr>
            </w:pPr>
            <w:r>
              <w:rPr>
                <w:sz w:val="18"/>
                <w:szCs w:val="18"/>
              </w:rPr>
              <w:fldChar w:fldCharType="begin"/>
            </w:r>
            <w:r>
              <w:rPr>
                <w:sz w:val="18"/>
                <w:szCs w:val="18"/>
              </w:rPr>
              <w:instrText xml:space="preserve"> = 1 \* GB3 </w:instrText>
            </w:r>
            <w:r>
              <w:rPr>
                <w:sz w:val="18"/>
                <w:szCs w:val="18"/>
              </w:rPr>
              <w:fldChar w:fldCharType="separate"/>
            </w:r>
            <w:r>
              <w:rPr>
                <w:rFonts w:hint="eastAsia" w:ascii="宋体" w:hAnsi="宋体" w:cs="宋体"/>
                <w:sz w:val="18"/>
                <w:szCs w:val="18"/>
              </w:rPr>
              <w:t>①</w:t>
            </w:r>
            <w:r>
              <w:rPr>
                <w:sz w:val="18"/>
                <w:szCs w:val="18"/>
              </w:rPr>
              <w:fldChar w:fldCharType="end"/>
            </w:r>
            <w:r>
              <w:rPr>
                <w:sz w:val="18"/>
                <w:szCs w:val="18"/>
              </w:rPr>
              <w:t>劳动纪律；</w:t>
            </w:r>
          </w:p>
          <w:p>
            <w:pPr>
              <w:adjustRightInd w:val="0"/>
              <w:snapToGrid w:val="0"/>
              <w:spacing w:line="300" w:lineRule="auto"/>
              <w:rPr>
                <w:sz w:val="18"/>
                <w:szCs w:val="18"/>
              </w:rPr>
            </w:pPr>
            <w:r>
              <w:rPr>
                <w:sz w:val="18"/>
                <w:szCs w:val="18"/>
              </w:rPr>
              <w:fldChar w:fldCharType="begin"/>
            </w:r>
            <w:r>
              <w:rPr>
                <w:sz w:val="18"/>
                <w:szCs w:val="18"/>
              </w:rPr>
              <w:instrText xml:space="preserve"> = 2 \* GB3 </w:instrText>
            </w:r>
            <w:r>
              <w:rPr>
                <w:sz w:val="18"/>
                <w:szCs w:val="18"/>
              </w:rPr>
              <w:fldChar w:fldCharType="separate"/>
            </w:r>
            <w:r>
              <w:rPr>
                <w:rFonts w:hint="eastAsia" w:ascii="宋体" w:hAnsi="宋体" w:cs="宋体"/>
                <w:sz w:val="18"/>
                <w:szCs w:val="18"/>
              </w:rPr>
              <w:t>②</w:t>
            </w:r>
            <w:r>
              <w:rPr>
                <w:sz w:val="18"/>
                <w:szCs w:val="18"/>
              </w:rPr>
              <w:fldChar w:fldCharType="end"/>
            </w:r>
            <w:r>
              <w:rPr>
                <w:sz w:val="18"/>
                <w:szCs w:val="18"/>
              </w:rPr>
              <w:t>激励政策；</w:t>
            </w:r>
          </w:p>
          <w:p>
            <w:pPr>
              <w:adjustRightInd w:val="0"/>
              <w:snapToGrid w:val="0"/>
              <w:spacing w:line="300" w:lineRule="auto"/>
              <w:rPr>
                <w:sz w:val="18"/>
                <w:szCs w:val="18"/>
              </w:rPr>
            </w:pPr>
            <w:r>
              <w:rPr>
                <w:sz w:val="18"/>
                <w:szCs w:val="18"/>
              </w:rPr>
              <w:fldChar w:fldCharType="begin"/>
            </w:r>
            <w:r>
              <w:rPr>
                <w:sz w:val="18"/>
                <w:szCs w:val="18"/>
              </w:rPr>
              <w:instrText xml:space="preserve"> = 3 \* GB3 </w:instrText>
            </w:r>
            <w:r>
              <w:rPr>
                <w:sz w:val="18"/>
                <w:szCs w:val="18"/>
              </w:rPr>
              <w:fldChar w:fldCharType="separate"/>
            </w:r>
            <w:r>
              <w:rPr>
                <w:rFonts w:hint="eastAsia" w:ascii="宋体" w:hAnsi="宋体" w:cs="宋体"/>
                <w:sz w:val="18"/>
                <w:szCs w:val="18"/>
              </w:rPr>
              <w:t>③</w:t>
            </w:r>
            <w:r>
              <w:rPr>
                <w:sz w:val="18"/>
                <w:szCs w:val="18"/>
              </w:rPr>
              <w:fldChar w:fldCharType="end"/>
            </w:r>
            <w:r>
              <w:rPr>
                <w:sz w:val="18"/>
                <w:szCs w:val="18"/>
              </w:rPr>
              <w:t>财产安全制度；</w:t>
            </w:r>
          </w:p>
          <w:p>
            <w:pPr>
              <w:adjustRightInd w:val="0"/>
              <w:snapToGrid w:val="0"/>
              <w:spacing w:line="300" w:lineRule="auto"/>
              <w:rPr>
                <w:sz w:val="18"/>
                <w:szCs w:val="18"/>
              </w:rPr>
            </w:pPr>
            <w:r>
              <w:rPr>
                <w:sz w:val="18"/>
                <w:szCs w:val="18"/>
              </w:rPr>
              <w:fldChar w:fldCharType="begin"/>
            </w:r>
            <w:r>
              <w:rPr>
                <w:sz w:val="18"/>
                <w:szCs w:val="18"/>
              </w:rPr>
              <w:instrText xml:space="preserve"> = 4 \* GB3 </w:instrText>
            </w:r>
            <w:r>
              <w:rPr>
                <w:sz w:val="18"/>
                <w:szCs w:val="18"/>
              </w:rPr>
              <w:fldChar w:fldCharType="separate"/>
            </w:r>
            <w:r>
              <w:rPr>
                <w:rFonts w:hint="eastAsia" w:ascii="宋体" w:hAnsi="宋体" w:cs="宋体"/>
                <w:sz w:val="18"/>
                <w:szCs w:val="18"/>
              </w:rPr>
              <w:t>④</w:t>
            </w:r>
            <w:r>
              <w:rPr>
                <w:sz w:val="18"/>
                <w:szCs w:val="18"/>
              </w:rPr>
              <w:fldChar w:fldCharType="end"/>
            </w:r>
            <w:r>
              <w:rPr>
                <w:sz w:val="18"/>
                <w:szCs w:val="18"/>
              </w:rPr>
              <w:t>企业有关的其他规章制度；</w:t>
            </w:r>
          </w:p>
          <w:p>
            <w:pPr>
              <w:adjustRightInd w:val="0"/>
              <w:snapToGrid w:val="0"/>
              <w:spacing w:line="300" w:lineRule="auto"/>
              <w:rPr>
                <w:sz w:val="18"/>
                <w:szCs w:val="18"/>
              </w:rPr>
            </w:pPr>
            <w:r>
              <w:rPr>
                <w:sz w:val="18"/>
                <w:szCs w:val="18"/>
              </w:rPr>
              <w:fldChar w:fldCharType="begin"/>
            </w:r>
            <w:r>
              <w:rPr>
                <w:sz w:val="18"/>
                <w:szCs w:val="18"/>
              </w:rPr>
              <w:instrText xml:space="preserve"> = 5 \* GB3 </w:instrText>
            </w:r>
            <w:r>
              <w:rPr>
                <w:sz w:val="18"/>
                <w:szCs w:val="18"/>
              </w:rPr>
              <w:fldChar w:fldCharType="separate"/>
            </w:r>
            <w:r>
              <w:rPr>
                <w:rFonts w:hint="eastAsia" w:ascii="宋体" w:hAnsi="宋体" w:cs="宋体"/>
                <w:sz w:val="18"/>
                <w:szCs w:val="18"/>
              </w:rPr>
              <w:t>⑤</w:t>
            </w:r>
            <w:r>
              <w:rPr>
                <w:sz w:val="18"/>
                <w:szCs w:val="18"/>
              </w:rPr>
              <w:fldChar w:fldCharType="end"/>
            </w:r>
            <w:r>
              <w:rPr>
                <w:sz w:val="18"/>
                <w:szCs w:val="18"/>
              </w:rPr>
              <w:t>学生养成遵法守纪的良好习惯，提高职业道德修养的必要性。</w:t>
            </w:r>
          </w:p>
          <w:p>
            <w:pPr>
              <w:widowControl/>
              <w:adjustRightInd w:val="0"/>
              <w:snapToGrid w:val="0"/>
              <w:spacing w:line="300" w:lineRule="auto"/>
              <w:jc w:val="left"/>
              <w:rPr>
                <w:bCs/>
                <w:kern w:val="0"/>
                <w:sz w:val="18"/>
                <w:szCs w:val="18"/>
              </w:rPr>
            </w:pPr>
            <w:r>
              <w:rPr>
                <w:bCs/>
                <w:kern w:val="0"/>
                <w:sz w:val="18"/>
                <w:szCs w:val="18"/>
              </w:rPr>
              <w:t>（四）熟悉企业的主要业务及工作流程</w:t>
            </w:r>
          </w:p>
          <w:p>
            <w:pPr>
              <w:widowControl/>
              <w:adjustRightInd w:val="0"/>
              <w:snapToGrid w:val="0"/>
              <w:spacing w:line="300" w:lineRule="auto"/>
              <w:jc w:val="left"/>
              <w:rPr>
                <w:bCs/>
                <w:kern w:val="0"/>
                <w:sz w:val="18"/>
                <w:szCs w:val="18"/>
              </w:rPr>
            </w:pPr>
            <w:r>
              <w:rPr>
                <w:bCs/>
                <w:kern w:val="0"/>
                <w:sz w:val="18"/>
                <w:szCs w:val="18"/>
              </w:rPr>
              <w:t>企业要维持下去并进一步发展需要业务支持，企业的主要业务和工作流程可以反映出企业的实力。熟悉企业的主要业务与工作流程，是理论联系实际，提高业务能力，转变思想观念并在工作岗位上做出一定成绩的必经之路。熟悉企业的主要业务及工作流程，具体包括以下几点内容：</w:t>
            </w:r>
            <w:r>
              <w:rPr>
                <w:b/>
                <w:kern w:val="0"/>
                <w:sz w:val="18"/>
                <w:szCs w:val="18"/>
              </w:rPr>
              <w:t>[教学目标4]</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1 \* GB3 </w:instrText>
            </w:r>
            <w:r>
              <w:rPr>
                <w:bCs/>
                <w:kern w:val="0"/>
                <w:sz w:val="18"/>
                <w:szCs w:val="18"/>
              </w:rPr>
              <w:fldChar w:fldCharType="separate"/>
            </w:r>
            <w:r>
              <w:rPr>
                <w:rFonts w:hint="eastAsia" w:ascii="宋体" w:hAnsi="宋体" w:cs="宋体"/>
                <w:bCs/>
                <w:kern w:val="0"/>
                <w:sz w:val="18"/>
                <w:szCs w:val="18"/>
              </w:rPr>
              <w:t>①</w:t>
            </w:r>
            <w:r>
              <w:rPr>
                <w:bCs/>
                <w:kern w:val="0"/>
                <w:sz w:val="18"/>
                <w:szCs w:val="18"/>
              </w:rPr>
              <w:fldChar w:fldCharType="end"/>
            </w:r>
            <w:r>
              <w:rPr>
                <w:bCs/>
                <w:kern w:val="0"/>
                <w:sz w:val="18"/>
                <w:szCs w:val="18"/>
              </w:rPr>
              <w:t>熟悉企业的生产和服务对象，了解企业科技与专业上的局限性；</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2 \* GB3 </w:instrText>
            </w:r>
            <w:r>
              <w:rPr>
                <w:bCs/>
                <w:kern w:val="0"/>
                <w:sz w:val="18"/>
                <w:szCs w:val="18"/>
              </w:rPr>
              <w:fldChar w:fldCharType="separate"/>
            </w:r>
            <w:r>
              <w:rPr>
                <w:rFonts w:hint="eastAsia" w:ascii="宋体" w:hAnsi="宋体" w:cs="宋体"/>
                <w:bCs/>
                <w:kern w:val="0"/>
                <w:sz w:val="18"/>
                <w:szCs w:val="18"/>
              </w:rPr>
              <w:t>②</w:t>
            </w:r>
            <w:r>
              <w:rPr>
                <w:bCs/>
                <w:kern w:val="0"/>
                <w:sz w:val="18"/>
                <w:szCs w:val="18"/>
              </w:rPr>
              <w:fldChar w:fldCharType="end"/>
            </w:r>
            <w:r>
              <w:rPr>
                <w:bCs/>
                <w:kern w:val="0"/>
                <w:sz w:val="18"/>
                <w:szCs w:val="18"/>
              </w:rPr>
              <w:t>与企业研发部门沟通，参与企业每天重要的业务，业务的专业创新解决方法，承担或模拟研发企业主要研发项目；</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3 \* GB3 </w:instrText>
            </w:r>
            <w:r>
              <w:rPr>
                <w:bCs/>
                <w:kern w:val="0"/>
                <w:sz w:val="18"/>
                <w:szCs w:val="18"/>
              </w:rPr>
              <w:fldChar w:fldCharType="separate"/>
            </w:r>
            <w:r>
              <w:rPr>
                <w:rFonts w:hint="eastAsia" w:ascii="宋体" w:hAnsi="宋体" w:cs="宋体"/>
                <w:bCs/>
                <w:kern w:val="0"/>
                <w:sz w:val="18"/>
                <w:szCs w:val="18"/>
              </w:rPr>
              <w:t>③</w:t>
            </w:r>
            <w:r>
              <w:rPr>
                <w:bCs/>
                <w:kern w:val="0"/>
                <w:sz w:val="18"/>
                <w:szCs w:val="18"/>
              </w:rPr>
              <w:fldChar w:fldCharType="end"/>
            </w:r>
            <w:r>
              <w:rPr>
                <w:bCs/>
                <w:kern w:val="0"/>
                <w:sz w:val="18"/>
                <w:szCs w:val="18"/>
              </w:rPr>
              <w:t>企业在业务处理中的经验和技巧；</w:t>
            </w:r>
          </w:p>
          <w:p>
            <w:pPr>
              <w:widowControl/>
              <w:adjustRightInd w:val="0"/>
              <w:snapToGrid w:val="0"/>
              <w:spacing w:line="300" w:lineRule="auto"/>
              <w:jc w:val="left"/>
              <w:rPr>
                <w:bCs/>
                <w:kern w:val="0"/>
                <w:sz w:val="18"/>
                <w:szCs w:val="18"/>
              </w:rPr>
            </w:pPr>
            <w:r>
              <w:rPr>
                <w:bCs/>
                <w:kern w:val="0"/>
                <w:sz w:val="18"/>
                <w:szCs w:val="18"/>
              </w:rPr>
              <w:fldChar w:fldCharType="begin"/>
            </w:r>
            <w:r>
              <w:rPr>
                <w:bCs/>
                <w:kern w:val="0"/>
                <w:sz w:val="18"/>
                <w:szCs w:val="18"/>
              </w:rPr>
              <w:instrText xml:space="preserve"> = 4 \* GB3 </w:instrText>
            </w:r>
            <w:r>
              <w:rPr>
                <w:bCs/>
                <w:kern w:val="0"/>
                <w:sz w:val="18"/>
                <w:szCs w:val="18"/>
              </w:rPr>
              <w:fldChar w:fldCharType="separate"/>
            </w:r>
            <w:r>
              <w:rPr>
                <w:rFonts w:hint="eastAsia" w:ascii="宋体" w:hAnsi="宋体" w:cs="宋体"/>
                <w:bCs/>
                <w:kern w:val="0"/>
                <w:sz w:val="18"/>
                <w:szCs w:val="18"/>
              </w:rPr>
              <w:t>④</w:t>
            </w:r>
            <w:r>
              <w:rPr>
                <w:bCs/>
                <w:kern w:val="0"/>
                <w:sz w:val="18"/>
                <w:szCs w:val="18"/>
              </w:rPr>
              <w:fldChar w:fldCharType="end"/>
            </w:r>
            <w:r>
              <w:rPr>
                <w:bCs/>
                <w:kern w:val="0"/>
                <w:sz w:val="18"/>
                <w:szCs w:val="18"/>
              </w:rPr>
              <w:t>掌握企业各部门以及各部门之间的运作流程；</w:t>
            </w:r>
          </w:p>
          <w:p>
            <w:pPr>
              <w:widowControl/>
              <w:adjustRightInd w:val="0"/>
              <w:snapToGrid w:val="0"/>
              <w:spacing w:line="300" w:lineRule="auto"/>
              <w:jc w:val="left"/>
              <w:rPr>
                <w:bCs/>
                <w:kern w:val="0"/>
                <w:sz w:val="18"/>
                <w:szCs w:val="18"/>
              </w:rPr>
            </w:pPr>
            <w:r>
              <w:rPr>
                <w:bCs/>
                <w:kern w:val="0"/>
                <w:sz w:val="18"/>
                <w:szCs w:val="18"/>
              </w:rPr>
              <w:t>（五）企业产品研发与创新</w:t>
            </w:r>
            <w:r>
              <w:rPr>
                <w:b/>
                <w:kern w:val="0"/>
                <w:sz w:val="18"/>
                <w:szCs w:val="18"/>
              </w:rPr>
              <w:t>[教学目标5、6]</w:t>
            </w:r>
          </w:p>
          <w:p>
            <w:pPr>
              <w:adjustRightInd w:val="0"/>
              <w:snapToGrid w:val="0"/>
              <w:spacing w:line="300" w:lineRule="auto"/>
              <w:rPr>
                <w:sz w:val="18"/>
                <w:szCs w:val="18"/>
              </w:rPr>
            </w:pPr>
            <w:r>
              <w:rPr>
                <w:bCs/>
                <w:kern w:val="0"/>
                <w:sz w:val="18"/>
                <w:szCs w:val="18"/>
              </w:rPr>
              <w:t>从企业技术战略入手，设计企业产品发展规划，提出企业产品策略必须是生产一代、研制一代、预研一代，研究如何避免因产品的生命周期而导致企业效益起伏。模拟制定了电子信息行业生命力评价因子。根据发展趋势提出电子信息新产品研发创新项目(课题)与产生办法——利用问题分析法设计企业公司创新问题树，以及创意筛选与评审办法。确立了电子信息新产品研发创新项目立项原则、程序、标准及评审办法。采用矩阵组织模式模拟建立项目研发团队，对项目经理的责、权、利、项目组成员的挑选及沟通进行研究。</w:t>
            </w:r>
          </w:p>
        </w:tc>
        <w:tc>
          <w:tcPr>
            <w:tcW w:w="3448" w:type="dxa"/>
            <w:vAlign w:val="center"/>
          </w:tcPr>
          <w:p>
            <w:pPr>
              <w:widowControl/>
              <w:adjustRightInd w:val="0"/>
              <w:snapToGrid w:val="0"/>
              <w:spacing w:line="300" w:lineRule="auto"/>
              <w:jc w:val="left"/>
              <w:rPr>
                <w:bCs/>
                <w:kern w:val="0"/>
                <w:sz w:val="18"/>
                <w:szCs w:val="18"/>
              </w:rPr>
            </w:pPr>
            <w:r>
              <w:rPr>
                <w:bCs/>
                <w:kern w:val="0"/>
                <w:sz w:val="18"/>
                <w:szCs w:val="18"/>
              </w:rPr>
              <w:t>1、实习要求：</w:t>
            </w:r>
          </w:p>
          <w:p>
            <w:pPr>
              <w:widowControl/>
              <w:adjustRightInd w:val="0"/>
              <w:snapToGrid w:val="0"/>
              <w:spacing w:line="300" w:lineRule="auto"/>
              <w:jc w:val="left"/>
              <w:rPr>
                <w:bCs/>
                <w:kern w:val="0"/>
                <w:sz w:val="18"/>
                <w:szCs w:val="18"/>
              </w:rPr>
            </w:pPr>
            <w:r>
              <w:rPr>
                <w:bCs/>
                <w:kern w:val="0"/>
                <w:sz w:val="18"/>
                <w:szCs w:val="18"/>
              </w:rPr>
              <w:t>（1）对学生的要求</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①</w:t>
            </w:r>
            <w:r>
              <w:rPr>
                <w:bCs/>
                <w:kern w:val="0"/>
                <w:sz w:val="18"/>
                <w:szCs w:val="18"/>
              </w:rPr>
              <w:t xml:space="preserve">一切行动听指挥，服从指导教师与实习单位的安排，严格遵守所在单位及校内规章制度。 </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②</w:t>
            </w:r>
            <w:r>
              <w:rPr>
                <w:bCs/>
                <w:kern w:val="0"/>
                <w:sz w:val="18"/>
                <w:szCs w:val="18"/>
              </w:rPr>
              <w:t>严格执行有关技术规范，理论与实践相结合，坚持严谨务实的工作态度，不得投机取巧，弄虚作假，违者严究。</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③</w:t>
            </w:r>
            <w:r>
              <w:rPr>
                <w:bCs/>
                <w:kern w:val="0"/>
                <w:sz w:val="18"/>
                <w:szCs w:val="18"/>
              </w:rPr>
              <w:t>吃苦耐劳踏实工作，深入调查研究，具有高度的责任心，保质保量完成所承担的具体任务。</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④</w:t>
            </w:r>
            <w:r>
              <w:rPr>
                <w:bCs/>
                <w:kern w:val="0"/>
                <w:sz w:val="18"/>
                <w:szCs w:val="18"/>
              </w:rPr>
              <w:t>尊敬校内、外指导老师，诚恳待人，虚心好学，文明礼貌，尊重地方群众干部，主动争取有关技术人员的帮助，向地方干部群众学习，向实践学习。</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⑤</w:t>
            </w:r>
            <w:r>
              <w:rPr>
                <w:bCs/>
                <w:kern w:val="0"/>
                <w:sz w:val="18"/>
                <w:szCs w:val="18"/>
              </w:rPr>
              <w:t>非特殊情况任何人不得请假，特殊情况须向指导教师请假，经批准后方可离开实习岗位。</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⑥</w:t>
            </w:r>
            <w:r>
              <w:rPr>
                <w:bCs/>
                <w:kern w:val="0"/>
                <w:sz w:val="18"/>
                <w:szCs w:val="18"/>
              </w:rPr>
              <w:t>注意人身安全，不得进入营业性文化娱乐场所，不准赌博、酗酒，不得打架骂人，不得下江河、池塘游泳。</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⑦</w:t>
            </w:r>
            <w:r>
              <w:rPr>
                <w:bCs/>
                <w:kern w:val="0"/>
                <w:sz w:val="18"/>
                <w:szCs w:val="18"/>
              </w:rPr>
              <w:t>学生要遵守实习单位的安全、保卫规定，严格遵守操作规程和劳动纪律。</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⑧</w:t>
            </w:r>
            <w:r>
              <w:rPr>
                <w:bCs/>
                <w:kern w:val="0"/>
                <w:sz w:val="18"/>
                <w:szCs w:val="18"/>
              </w:rPr>
              <w:t>学生在实习中有劳动或操作作业时，应进行安全技术培训，做好安全措施，未经允许不得擅自调换工种或设备，不得私自动用其它设备、仪器和车辆。</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⑨</w:t>
            </w:r>
            <w:r>
              <w:rPr>
                <w:bCs/>
                <w:kern w:val="0"/>
                <w:sz w:val="18"/>
                <w:szCs w:val="18"/>
              </w:rPr>
              <w:t>实习学生应遵守地方法规和规章，遵守社会公德。</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⑩</w:t>
            </w:r>
            <w:r>
              <w:rPr>
                <w:bCs/>
                <w:kern w:val="0"/>
                <w:sz w:val="18"/>
                <w:szCs w:val="18"/>
              </w:rPr>
              <w:t>注意饮食卫生及交通安全，妥善保管好自己的钱、财、物。</w:t>
            </w:r>
          </w:p>
          <w:p>
            <w:pPr>
              <w:widowControl/>
              <w:adjustRightInd w:val="0"/>
              <w:snapToGrid w:val="0"/>
              <w:spacing w:line="300" w:lineRule="auto"/>
              <w:jc w:val="left"/>
              <w:rPr>
                <w:bCs/>
                <w:kern w:val="0"/>
                <w:sz w:val="18"/>
                <w:szCs w:val="18"/>
              </w:rPr>
            </w:pPr>
            <w:r>
              <w:rPr>
                <w:rFonts w:ascii="Cambria Math" w:hAnsi="Cambria Math" w:cs="Cambria Math"/>
                <w:bCs/>
                <w:kern w:val="0"/>
                <w:sz w:val="18"/>
                <w:szCs w:val="18"/>
              </w:rPr>
              <w:t>⑪</w:t>
            </w:r>
            <w:r>
              <w:rPr>
                <w:bCs/>
                <w:kern w:val="0"/>
                <w:sz w:val="18"/>
                <w:szCs w:val="18"/>
              </w:rPr>
              <w:t>实习期间如发生事故，实习师生应及时向实习单位和学校报告。</w:t>
            </w:r>
          </w:p>
          <w:p>
            <w:pPr>
              <w:widowControl/>
              <w:adjustRightInd w:val="0"/>
              <w:snapToGrid w:val="0"/>
              <w:spacing w:line="300" w:lineRule="auto"/>
              <w:jc w:val="left"/>
              <w:rPr>
                <w:bCs/>
                <w:kern w:val="0"/>
                <w:sz w:val="18"/>
                <w:szCs w:val="18"/>
              </w:rPr>
            </w:pPr>
            <w:r>
              <w:rPr>
                <w:rFonts w:ascii="Cambria Math" w:hAnsi="Cambria Math" w:cs="Cambria Math"/>
                <w:bCs/>
                <w:kern w:val="0"/>
                <w:sz w:val="18"/>
                <w:szCs w:val="18"/>
              </w:rPr>
              <w:t>⑫</w:t>
            </w:r>
            <w:r>
              <w:rPr>
                <w:bCs/>
                <w:kern w:val="0"/>
                <w:sz w:val="18"/>
                <w:szCs w:val="18"/>
              </w:rPr>
              <w:t>毕业实习必须完成《毕业实习总结》一份，包括实习课题、内容、方法、工作过程和收获</w:t>
            </w:r>
            <w:r>
              <w:rPr>
                <w:rFonts w:hint="eastAsia"/>
                <w:bCs/>
                <w:kern w:val="0"/>
                <w:sz w:val="18"/>
                <w:szCs w:val="18"/>
              </w:rPr>
              <w:t>（包含团队合作能力方面）、</w:t>
            </w:r>
            <w:r>
              <w:rPr>
                <w:bCs/>
                <w:kern w:val="0"/>
                <w:sz w:val="18"/>
                <w:szCs w:val="18"/>
              </w:rPr>
              <w:t>体会(思想、工作)以及对今后实习的建议等。</w:t>
            </w:r>
          </w:p>
          <w:p>
            <w:pPr>
              <w:widowControl/>
              <w:adjustRightInd w:val="0"/>
              <w:snapToGrid w:val="0"/>
              <w:spacing w:line="300" w:lineRule="auto"/>
              <w:jc w:val="left"/>
              <w:rPr>
                <w:bCs/>
                <w:kern w:val="0"/>
                <w:sz w:val="18"/>
                <w:szCs w:val="18"/>
              </w:rPr>
            </w:pPr>
            <w:r>
              <w:rPr>
                <w:bCs/>
                <w:kern w:val="0"/>
                <w:sz w:val="18"/>
                <w:szCs w:val="18"/>
              </w:rPr>
              <w:t>（2）对指导教师的要求</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①</w:t>
            </w:r>
            <w:r>
              <w:rPr>
                <w:bCs/>
                <w:kern w:val="0"/>
                <w:sz w:val="18"/>
                <w:szCs w:val="18"/>
              </w:rPr>
              <w:t>熟悉实习，有一定组织能力，具有讲师（含讲师）以上职称的教师方可担任毕业实习责任指导教师。实习期间实行指导教师负责制。</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②</w:t>
            </w:r>
            <w:r>
              <w:rPr>
                <w:bCs/>
                <w:kern w:val="0"/>
                <w:sz w:val="18"/>
                <w:szCs w:val="18"/>
              </w:rPr>
              <w:t>实习指导教师应完成实习大纲、实习计划所规定的任务。</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③</w:t>
            </w:r>
            <w:r>
              <w:rPr>
                <w:bCs/>
                <w:kern w:val="0"/>
                <w:sz w:val="18"/>
                <w:szCs w:val="18"/>
              </w:rPr>
              <w:t>实习前，必须提前到实习场所了解和熟悉情况。制定实习实施计划，做好一切准备工作。</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④</w:t>
            </w:r>
            <w:r>
              <w:rPr>
                <w:bCs/>
                <w:kern w:val="0"/>
                <w:sz w:val="18"/>
                <w:szCs w:val="18"/>
              </w:rPr>
              <w:t>实习中，教师要加强指导，严格要求，强化安全教育和规范化操作，严防未经检查私自通电，以免发生人身或设备安全事故。</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⑤</w:t>
            </w:r>
            <w:r>
              <w:rPr>
                <w:bCs/>
                <w:kern w:val="0"/>
                <w:sz w:val="18"/>
                <w:szCs w:val="18"/>
              </w:rPr>
              <w:t>指导学生完成实习任务，要布置一定数量的作业或思考题，引导学生深入实际，调查研究获得有益知识并及时督促检查。</w:t>
            </w:r>
          </w:p>
          <w:p>
            <w:pPr>
              <w:widowControl/>
              <w:adjustRightInd w:val="0"/>
              <w:snapToGrid w:val="0"/>
              <w:spacing w:line="300" w:lineRule="auto"/>
              <w:jc w:val="left"/>
              <w:rPr>
                <w:bCs/>
                <w:kern w:val="0"/>
                <w:sz w:val="18"/>
                <w:szCs w:val="18"/>
              </w:rPr>
            </w:pPr>
            <w:r>
              <w:rPr>
                <w:rFonts w:hint="eastAsia" w:ascii="宋体" w:hAnsi="宋体" w:cs="宋体"/>
                <w:bCs/>
                <w:kern w:val="0"/>
                <w:sz w:val="18"/>
                <w:szCs w:val="18"/>
              </w:rPr>
              <w:t>⑥</w:t>
            </w:r>
            <w:r>
              <w:rPr>
                <w:bCs/>
                <w:kern w:val="0"/>
                <w:sz w:val="18"/>
                <w:szCs w:val="18"/>
              </w:rPr>
              <w:t>实习结束后，教师要认真审阅学生实习报告，做好学生的成绩考核，写出书面实习总结报告。</w:t>
            </w:r>
          </w:p>
          <w:p>
            <w:pPr>
              <w:widowControl/>
              <w:adjustRightInd w:val="0"/>
              <w:snapToGrid w:val="0"/>
              <w:spacing w:line="300" w:lineRule="auto"/>
              <w:jc w:val="left"/>
              <w:rPr>
                <w:sz w:val="18"/>
                <w:szCs w:val="18"/>
              </w:rPr>
            </w:pPr>
            <w:r>
              <w:rPr>
                <w:bCs/>
                <w:kern w:val="0"/>
                <w:sz w:val="18"/>
                <w:szCs w:val="18"/>
              </w:rPr>
              <w:t>毕业学习主要通过联系生产实践达到实习的目的，实习期间，学生以见习技术员的身份参加所在实习工厂交予的实际工作。</w:t>
            </w:r>
          </w:p>
        </w:tc>
        <w:tc>
          <w:tcPr>
            <w:tcW w:w="670" w:type="dxa"/>
            <w:vAlign w:val="center"/>
          </w:tcPr>
          <w:p>
            <w:pPr>
              <w:snapToGrid w:val="0"/>
              <w:spacing w:line="300" w:lineRule="auto"/>
              <w:rPr>
                <w:sz w:val="18"/>
                <w:szCs w:val="18"/>
              </w:rPr>
            </w:pPr>
            <w:r>
              <w:rPr>
                <w:kern w:val="0"/>
                <w:sz w:val="18"/>
                <w:szCs w:val="18"/>
              </w:rPr>
              <w:t>2周</w:t>
            </w:r>
          </w:p>
        </w:tc>
      </w:tr>
    </w:tbl>
    <w:p>
      <w:pPr>
        <w:snapToGrid w:val="0"/>
        <w:spacing w:before="159" w:beforeLines="50" w:after="159" w:afterLines="50" w:line="300" w:lineRule="auto"/>
        <w:rPr>
          <w:b/>
          <w:sz w:val="24"/>
        </w:rPr>
      </w:pPr>
      <w:r>
        <w:rPr>
          <w:b/>
          <w:sz w:val="24"/>
        </w:rPr>
        <w:t>五、课程考核及成绩评定</w:t>
      </w:r>
    </w:p>
    <w:p>
      <w:pPr>
        <w:snapToGrid w:val="0"/>
        <w:spacing w:line="300" w:lineRule="auto"/>
        <w:ind w:firstLine="420" w:firstLineChars="200"/>
      </w:pPr>
      <w:r>
        <w:t>1．考核方式：考察。</w:t>
      </w:r>
    </w:p>
    <w:p>
      <w:pPr>
        <w:snapToGrid w:val="0"/>
        <w:spacing w:line="300" w:lineRule="auto"/>
        <w:ind w:firstLine="420" w:firstLineChars="200"/>
      </w:pPr>
      <w:r>
        <w:t>2．成绩构成：</w:t>
      </w:r>
      <w:r>
        <w:rPr>
          <w:szCs w:val="21"/>
        </w:rPr>
        <w:t>应根据实习表现、实习日记和实习报告。进行评定，实习成绩按优秀、良好、中等、及格和不及格五级评定。凡成绩不及格者，必须重修。</w:t>
      </w:r>
    </w:p>
    <w:p>
      <w:pPr>
        <w:snapToGrid w:val="0"/>
        <w:spacing w:line="300" w:lineRule="auto"/>
        <w:ind w:firstLine="420" w:firstLineChars="200"/>
      </w:pPr>
      <w:r>
        <w:t>成绩评定方式为综合考核方式的各项评分，给出总评成绩，学期末依据总评成绩评定对应考核等级：优秀：90-100分；良好：80-89分；中等：70-79分及格：60-69分；不及格：60分以下。</w:t>
      </w:r>
    </w:p>
    <w:p>
      <w:pPr>
        <w:snapToGrid w:val="0"/>
        <w:spacing w:line="300" w:lineRule="auto"/>
        <w:ind w:firstLine="420" w:firstLineChars="200"/>
      </w:pPr>
      <w:r>
        <w:rPr>
          <w:bCs/>
          <w:szCs w:val="21"/>
        </w:rPr>
        <w:t>（1）实习日志要每2-3天填写一篇，共10篇，</w:t>
      </w:r>
      <w:r>
        <w:rPr>
          <w:rFonts w:hint="eastAsia"/>
        </w:rPr>
        <w:t>包含</w:t>
      </w:r>
      <w:r>
        <w:t>实习内容，实习目的和要求，实习完成情况，</w:t>
      </w:r>
      <w:r>
        <w:rPr>
          <w:rFonts w:hint="eastAsia"/>
        </w:rPr>
        <w:t>自身在团队中的分工、</w:t>
      </w:r>
      <w:r>
        <w:t>收获与体会</w:t>
      </w:r>
      <w:r>
        <w:rPr>
          <w:rFonts w:hint="eastAsia"/>
        </w:rPr>
        <w:t>等内容</w:t>
      </w:r>
      <w:r>
        <w:t>。</w:t>
      </w:r>
    </w:p>
    <w:p>
      <w:pPr>
        <w:snapToGrid w:val="0"/>
        <w:spacing w:line="300" w:lineRule="auto"/>
        <w:ind w:firstLine="420" w:firstLineChars="200"/>
      </w:pPr>
      <w:r>
        <w:rPr>
          <w:szCs w:val="21"/>
        </w:rPr>
        <w:t>（2）实习报告（总结）的内容。总结报告字数要求3000字左右。内容包括。</w:t>
      </w:r>
      <w:r>
        <w:rPr>
          <w:szCs w:val="21"/>
        </w:rPr>
        <w:fldChar w:fldCharType="begin"/>
      </w:r>
      <w:r>
        <w:rPr>
          <w:szCs w:val="21"/>
        </w:rPr>
        <w:instrText xml:space="preserve"> = 1 \* GB3 </w:instrText>
      </w:r>
      <w:r>
        <w:rPr>
          <w:szCs w:val="21"/>
        </w:rPr>
        <w:fldChar w:fldCharType="separate"/>
      </w:r>
      <w:r>
        <w:rPr>
          <w:rFonts w:hint="eastAsia" w:ascii="宋体" w:hAnsi="宋体" w:cs="宋体"/>
          <w:szCs w:val="21"/>
        </w:rPr>
        <w:t>①</w:t>
      </w:r>
      <w:r>
        <w:rPr>
          <w:szCs w:val="21"/>
        </w:rPr>
        <w:fldChar w:fldCharType="end"/>
      </w:r>
      <w:r>
        <w:rPr>
          <w:szCs w:val="21"/>
        </w:rPr>
        <w:t>时间、地点、描述；</w:t>
      </w: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szCs w:val="21"/>
        </w:rPr>
        <w:t>所实习单位的情况概述；</w:t>
      </w:r>
      <w:r>
        <w:rPr>
          <w:szCs w:val="21"/>
        </w:rPr>
        <w:fldChar w:fldCharType="begin"/>
      </w:r>
      <w:r>
        <w:rPr>
          <w:szCs w:val="21"/>
        </w:rPr>
        <w:instrText xml:space="preserve"> = 3 \* GB3 </w:instrText>
      </w:r>
      <w:r>
        <w:rPr>
          <w:szCs w:val="21"/>
        </w:rPr>
        <w:fldChar w:fldCharType="separate"/>
      </w:r>
      <w:r>
        <w:rPr>
          <w:rFonts w:hint="eastAsia" w:ascii="宋体" w:hAnsi="宋体" w:cs="宋体"/>
          <w:szCs w:val="21"/>
        </w:rPr>
        <w:t>③</w:t>
      </w:r>
      <w:r>
        <w:rPr>
          <w:szCs w:val="21"/>
        </w:rPr>
        <w:fldChar w:fldCharType="end"/>
      </w:r>
      <w:r>
        <w:rPr>
          <w:szCs w:val="21"/>
        </w:rPr>
        <w:t>实习过程及实习内容的叙述；</w:t>
      </w:r>
      <w:r>
        <w:rPr>
          <w:szCs w:val="21"/>
        </w:rPr>
        <w:fldChar w:fldCharType="begin"/>
      </w:r>
      <w:r>
        <w:rPr>
          <w:szCs w:val="21"/>
        </w:rPr>
        <w:instrText xml:space="preserve"> = 4 \* GB3 </w:instrText>
      </w:r>
      <w:r>
        <w:rPr>
          <w:szCs w:val="21"/>
        </w:rPr>
        <w:fldChar w:fldCharType="separate"/>
      </w:r>
      <w:r>
        <w:rPr>
          <w:rFonts w:hint="eastAsia" w:ascii="宋体" w:hAnsi="宋体" w:cs="宋体"/>
          <w:szCs w:val="21"/>
        </w:rPr>
        <w:t>④</w:t>
      </w:r>
      <w:r>
        <w:rPr>
          <w:szCs w:val="21"/>
        </w:rPr>
        <w:fldChar w:fldCharType="end"/>
      </w:r>
      <w:r>
        <w:rPr>
          <w:szCs w:val="21"/>
        </w:rPr>
        <w:t>收获</w:t>
      </w:r>
      <w:r>
        <w:rPr>
          <w:rFonts w:hint="eastAsia"/>
        </w:rPr>
        <w:t>（包含团队合作能力方面）</w:t>
      </w:r>
      <w:r>
        <w:rPr>
          <w:szCs w:val="21"/>
        </w:rPr>
        <w:t>、体会，学校教学与实际的差距，改进方向、内容与方法；</w:t>
      </w:r>
      <w:r>
        <w:rPr>
          <w:szCs w:val="21"/>
        </w:rPr>
        <w:fldChar w:fldCharType="begin"/>
      </w:r>
      <w:r>
        <w:rPr>
          <w:szCs w:val="21"/>
        </w:rPr>
        <w:instrText xml:space="preserve"> = 5 \* GB3 </w:instrText>
      </w:r>
      <w:r>
        <w:rPr>
          <w:szCs w:val="21"/>
        </w:rPr>
        <w:fldChar w:fldCharType="separate"/>
      </w:r>
      <w:r>
        <w:rPr>
          <w:rFonts w:hint="eastAsia" w:ascii="宋体" w:hAnsi="宋体" w:cs="宋体"/>
          <w:szCs w:val="21"/>
        </w:rPr>
        <w:t>⑤</w:t>
      </w:r>
      <w:r>
        <w:rPr>
          <w:szCs w:val="21"/>
        </w:rPr>
        <w:fldChar w:fldCharType="end"/>
      </w:r>
      <w:r>
        <w:rPr>
          <w:szCs w:val="21"/>
        </w:rPr>
        <w:t>不足、建议、教训。</w:t>
      </w:r>
    </w:p>
    <w:p>
      <w:pPr>
        <w:snapToGrid w:val="0"/>
        <w:spacing w:line="300" w:lineRule="auto"/>
        <w:ind w:firstLine="420" w:firstLineChars="200"/>
      </w:pPr>
      <w:r>
        <w:t>3．考核评价标准</w:t>
      </w:r>
    </w:p>
    <w:p>
      <w:pPr>
        <w:snapToGrid w:val="0"/>
        <w:spacing w:line="300" w:lineRule="auto"/>
        <w:ind w:firstLine="420" w:firstLineChars="200"/>
      </w:pPr>
      <w:r>
        <w:rPr>
          <w:szCs w:val="21"/>
        </w:rPr>
        <w:t>实习表现由指导教师根据实习期间的操作情况、积极性、遵守纪律、是否独立完成实习成果等方面情况等评定；实习日记是对实习过程的记录，实习报告是对整个实习课程的总结。</w:t>
      </w:r>
      <w:r>
        <w:rPr>
          <w:kern w:val="0"/>
          <w:szCs w:val="21"/>
        </w:rPr>
        <w:t>实习考核主要依据以下几方面的要求进行：是否遵守实习纪律，实习态度及大纲规定实习工作的完成情况；实习日记和实习报告的完成质量；是否遵守实习单位的规章制度及实习单位的鉴定意见。</w:t>
      </w:r>
    </w:p>
    <w:p>
      <w:pPr>
        <w:snapToGrid w:val="0"/>
        <w:spacing w:line="300" w:lineRule="auto"/>
        <w:ind w:firstLine="420" w:firstLineChars="200"/>
      </w:pPr>
      <w:r>
        <w:rPr>
          <w:szCs w:val="21"/>
        </w:rPr>
        <w:t>应明确实习表现、实习日记和实习报告等环节权重，应具体写明对实习日记和实习报告的写作要求及评价标准，应有成绩评定的评语，应留存考核和成绩评定的各种原始资料。</w:t>
      </w:r>
    </w:p>
    <w:p>
      <w:pPr>
        <w:snapToGrid w:val="0"/>
        <w:spacing w:line="300" w:lineRule="auto"/>
        <w:ind w:firstLine="420" w:firstLineChars="200"/>
      </w:pPr>
      <w:r>
        <w:t>具体考核评价标准见表4所示。</w:t>
      </w:r>
    </w:p>
    <w:p>
      <w:pPr>
        <w:snapToGrid w:val="0"/>
        <w:spacing w:before="159" w:beforeLines="50" w:line="300" w:lineRule="auto"/>
        <w:ind w:firstLine="361" w:firstLineChars="200"/>
        <w:jc w:val="center"/>
        <w:rPr>
          <w:b/>
          <w:bCs/>
          <w:sz w:val="18"/>
          <w:szCs w:val="18"/>
        </w:rPr>
      </w:pPr>
      <w:r>
        <w:rPr>
          <w:b/>
          <w:bCs/>
          <w:sz w:val="18"/>
          <w:szCs w:val="18"/>
        </w:rPr>
        <w:t>表4教学目标评价标准</w:t>
      </w:r>
    </w:p>
    <w:tbl>
      <w:tblPr>
        <w:tblStyle w:val="22"/>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905"/>
        <w:gridCol w:w="1097"/>
        <w:gridCol w:w="998"/>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608" w:type="dxa"/>
            <w:shd w:val="clear" w:color="auto" w:fill="FFFFFF"/>
            <w:vAlign w:val="center"/>
          </w:tcPr>
          <w:p>
            <w:pPr>
              <w:snapToGrid w:val="0"/>
              <w:spacing w:line="300" w:lineRule="auto"/>
              <w:jc w:val="center"/>
              <w:rPr>
                <w:b/>
                <w:bCs/>
                <w:sz w:val="18"/>
                <w:szCs w:val="18"/>
              </w:rPr>
            </w:pPr>
            <w:r>
              <w:rPr>
                <w:b/>
                <w:bCs/>
                <w:sz w:val="18"/>
                <w:szCs w:val="18"/>
              </w:rPr>
              <w:t>序号</w:t>
            </w:r>
          </w:p>
        </w:tc>
        <w:tc>
          <w:tcPr>
            <w:tcW w:w="4905" w:type="dxa"/>
            <w:shd w:val="clear" w:color="auto" w:fill="FFFFFF"/>
            <w:vAlign w:val="center"/>
          </w:tcPr>
          <w:p>
            <w:pPr>
              <w:snapToGrid w:val="0"/>
              <w:spacing w:line="300" w:lineRule="auto"/>
              <w:jc w:val="center"/>
              <w:rPr>
                <w:b/>
                <w:bCs/>
                <w:sz w:val="18"/>
                <w:szCs w:val="18"/>
              </w:rPr>
            </w:pPr>
            <w:r>
              <w:rPr>
                <w:b/>
                <w:bCs/>
                <w:sz w:val="18"/>
                <w:szCs w:val="18"/>
              </w:rPr>
              <w:t>教学目标</w:t>
            </w:r>
          </w:p>
        </w:tc>
        <w:tc>
          <w:tcPr>
            <w:tcW w:w="1097" w:type="dxa"/>
            <w:shd w:val="clear" w:color="auto" w:fill="FFFFFF"/>
            <w:vAlign w:val="center"/>
          </w:tcPr>
          <w:p>
            <w:pPr>
              <w:snapToGrid w:val="0"/>
              <w:spacing w:line="300" w:lineRule="auto"/>
              <w:jc w:val="center"/>
              <w:rPr>
                <w:b/>
                <w:bCs/>
                <w:sz w:val="18"/>
                <w:szCs w:val="18"/>
              </w:rPr>
            </w:pPr>
            <w:r>
              <w:rPr>
                <w:b/>
                <w:bCs/>
                <w:sz w:val="18"/>
                <w:szCs w:val="18"/>
              </w:rPr>
              <w:t>考核方式</w:t>
            </w:r>
          </w:p>
        </w:tc>
        <w:tc>
          <w:tcPr>
            <w:tcW w:w="998" w:type="dxa"/>
            <w:shd w:val="clear" w:color="auto" w:fill="FFFFFF"/>
            <w:vAlign w:val="center"/>
          </w:tcPr>
          <w:p>
            <w:pPr>
              <w:snapToGrid w:val="0"/>
              <w:spacing w:line="300" w:lineRule="auto"/>
              <w:jc w:val="center"/>
              <w:rPr>
                <w:b/>
                <w:bCs/>
                <w:sz w:val="18"/>
                <w:szCs w:val="18"/>
              </w:rPr>
            </w:pPr>
            <w:r>
              <w:rPr>
                <w:b/>
                <w:bCs/>
                <w:sz w:val="18"/>
                <w:szCs w:val="18"/>
              </w:rPr>
              <w:t>权重系数</w:t>
            </w:r>
          </w:p>
        </w:tc>
        <w:tc>
          <w:tcPr>
            <w:tcW w:w="1233" w:type="dxa"/>
            <w:shd w:val="clear" w:color="auto" w:fill="FFFFFF"/>
            <w:vAlign w:val="center"/>
          </w:tcPr>
          <w:p>
            <w:pPr>
              <w:snapToGrid w:val="0"/>
              <w:spacing w:line="300" w:lineRule="auto"/>
              <w:jc w:val="center"/>
              <w:rPr>
                <w:b/>
                <w:bCs/>
                <w:sz w:val="18"/>
                <w:szCs w:val="18"/>
              </w:rPr>
            </w:pPr>
            <w:r>
              <w:rPr>
                <w:b/>
                <w:bCs/>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08" w:type="dxa"/>
            <w:shd w:val="clear" w:color="auto" w:fill="FFFFFF"/>
            <w:vAlign w:val="center"/>
          </w:tcPr>
          <w:p>
            <w:pPr>
              <w:snapToGrid w:val="0"/>
              <w:spacing w:line="300" w:lineRule="auto"/>
              <w:jc w:val="left"/>
              <w:rPr>
                <w:sz w:val="18"/>
                <w:szCs w:val="18"/>
              </w:rPr>
            </w:pPr>
            <w:r>
              <w:rPr>
                <w:sz w:val="18"/>
                <w:szCs w:val="18"/>
              </w:rPr>
              <w:t>1</w:t>
            </w:r>
          </w:p>
        </w:tc>
        <w:tc>
          <w:tcPr>
            <w:tcW w:w="4905" w:type="dxa"/>
            <w:shd w:val="clear" w:color="auto" w:fill="FFFFFF"/>
            <w:vAlign w:val="center"/>
          </w:tcPr>
          <w:p>
            <w:pPr>
              <w:snapToGrid w:val="0"/>
              <w:spacing w:line="300" w:lineRule="auto"/>
              <w:jc w:val="left"/>
              <w:rPr>
                <w:sz w:val="18"/>
                <w:szCs w:val="18"/>
              </w:rPr>
            </w:pPr>
            <w:r>
              <w:rPr>
                <w:sz w:val="18"/>
                <w:szCs w:val="18"/>
              </w:rPr>
              <w:t>培养学生综合运用所学基础知识和基本技能，分析实习从事的复杂工程问题和初步解决实际生产中复杂疑难问题的基本能力，增强就业竞争力。</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0.15</w:t>
            </w:r>
          </w:p>
        </w:tc>
        <w:tc>
          <w:tcPr>
            <w:tcW w:w="1233" w:type="dxa"/>
            <w:shd w:val="clear" w:color="auto" w:fill="FFFFFF"/>
            <w:vAlign w:val="center"/>
          </w:tcPr>
          <w:p>
            <w:pPr>
              <w:snapToGrid w:val="0"/>
              <w:spacing w:line="300" w:lineRule="auto"/>
              <w:jc w:val="left"/>
              <w:rPr>
                <w:sz w:val="18"/>
                <w:szCs w:val="18"/>
              </w:rPr>
            </w:pPr>
            <w:r>
              <w:rPr>
                <w:sz w:val="18"/>
                <w:szCs w:val="18"/>
              </w:rPr>
              <w:t>现场</w:t>
            </w:r>
            <w:r>
              <w:rPr>
                <w:rFonts w:hint="eastAsia"/>
                <w:sz w:val="18"/>
                <w:szCs w:val="18"/>
              </w:rPr>
              <w:t>答辩与</w:t>
            </w:r>
          </w:p>
          <w:p>
            <w:pPr>
              <w:snapToGrid w:val="0"/>
              <w:spacing w:line="300" w:lineRule="auto"/>
              <w:jc w:val="left"/>
              <w:rPr>
                <w:sz w:val="18"/>
                <w:szCs w:val="18"/>
              </w:rPr>
            </w:pPr>
            <w:r>
              <w:rPr>
                <w:rFonts w:hint="eastAsia"/>
                <w:sz w:val="18"/>
                <w:szCs w:val="18"/>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608" w:type="dxa"/>
            <w:shd w:val="clear" w:color="auto" w:fill="FFFFFF"/>
            <w:vAlign w:val="center"/>
          </w:tcPr>
          <w:p>
            <w:pPr>
              <w:snapToGrid w:val="0"/>
              <w:spacing w:line="300" w:lineRule="auto"/>
              <w:jc w:val="left"/>
              <w:rPr>
                <w:sz w:val="18"/>
                <w:szCs w:val="18"/>
              </w:rPr>
            </w:pPr>
            <w:r>
              <w:rPr>
                <w:sz w:val="18"/>
                <w:szCs w:val="18"/>
              </w:rPr>
              <w:t>2</w:t>
            </w:r>
          </w:p>
        </w:tc>
        <w:tc>
          <w:tcPr>
            <w:tcW w:w="4905" w:type="dxa"/>
            <w:shd w:val="clear" w:color="auto" w:fill="FFFFFF"/>
            <w:vAlign w:val="center"/>
          </w:tcPr>
          <w:p>
            <w:pPr>
              <w:snapToGrid w:val="0"/>
              <w:spacing w:line="300" w:lineRule="auto"/>
              <w:jc w:val="left"/>
              <w:rPr>
                <w:sz w:val="18"/>
                <w:szCs w:val="18"/>
              </w:rPr>
            </w:pPr>
            <w:r>
              <w:rPr>
                <w:sz w:val="18"/>
                <w:szCs w:val="18"/>
              </w:rPr>
              <w:t>加深对实习企业知识产权、产品国家质量标准与质量、企业所在地产业政策与新兴技术的鼓励支持力度了解，了解社会对本专业的人才需要状况以及电子信息行业与企业产品的社会价值。</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0.15</w:t>
            </w:r>
          </w:p>
        </w:tc>
        <w:tc>
          <w:tcPr>
            <w:tcW w:w="1233" w:type="dxa"/>
            <w:shd w:val="clear" w:color="auto" w:fill="FFFFFF"/>
            <w:vAlign w:val="center"/>
          </w:tcPr>
          <w:p>
            <w:pPr>
              <w:snapToGrid w:val="0"/>
              <w:spacing w:line="300" w:lineRule="auto"/>
              <w:jc w:val="left"/>
              <w:rPr>
                <w:sz w:val="18"/>
                <w:szCs w:val="18"/>
              </w:rPr>
            </w:pPr>
            <w:r>
              <w:rPr>
                <w:rFonts w:hint="eastAsia"/>
                <w:sz w:val="18"/>
                <w:szCs w:val="18"/>
              </w:rPr>
              <w:t>讲授、讨论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08" w:type="dxa"/>
            <w:shd w:val="clear" w:color="auto" w:fill="FFFFFF"/>
            <w:vAlign w:val="center"/>
          </w:tcPr>
          <w:p>
            <w:pPr>
              <w:snapToGrid w:val="0"/>
              <w:spacing w:line="300" w:lineRule="auto"/>
              <w:jc w:val="left"/>
              <w:rPr>
                <w:sz w:val="18"/>
                <w:szCs w:val="18"/>
              </w:rPr>
            </w:pPr>
            <w:r>
              <w:rPr>
                <w:sz w:val="18"/>
                <w:szCs w:val="18"/>
              </w:rPr>
              <w:t>3</w:t>
            </w:r>
          </w:p>
        </w:tc>
        <w:tc>
          <w:tcPr>
            <w:tcW w:w="4905" w:type="dxa"/>
            <w:shd w:val="clear" w:color="auto" w:fill="FFFFFF"/>
            <w:vAlign w:val="center"/>
          </w:tcPr>
          <w:p>
            <w:pPr>
              <w:snapToGrid w:val="0"/>
              <w:spacing w:line="300" w:lineRule="auto"/>
              <w:jc w:val="left"/>
              <w:rPr>
                <w:sz w:val="18"/>
                <w:szCs w:val="18"/>
              </w:rPr>
            </w:pPr>
            <w:r>
              <w:rPr>
                <w:sz w:val="18"/>
                <w:szCs w:val="18"/>
              </w:rPr>
              <w:t>培养虚心向企业工程师请教与独立解决问题的能力，在实习过程中，在了解企业项目与产品基础上，具备优化设计企业所承担项目、电子系统软硬件或产品性能的能力，并能在设计、测试、总结在计中综合利用电子信息工程的专业知识和新技术，体现创新意识,考虑法律、环保、安全等社会因素。</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0.2</w:t>
            </w:r>
          </w:p>
        </w:tc>
        <w:tc>
          <w:tcPr>
            <w:tcW w:w="1233" w:type="dxa"/>
            <w:shd w:val="clear" w:color="auto" w:fill="FFFFFF"/>
            <w:vAlign w:val="center"/>
          </w:tcPr>
          <w:p>
            <w:pPr>
              <w:snapToGrid w:val="0"/>
              <w:spacing w:line="300" w:lineRule="auto"/>
              <w:jc w:val="left"/>
              <w:rPr>
                <w:sz w:val="18"/>
                <w:szCs w:val="18"/>
              </w:rPr>
            </w:pPr>
            <w:r>
              <w:rPr>
                <w:sz w:val="18"/>
                <w:szCs w:val="18"/>
              </w:rPr>
              <w:t>现场考察</w:t>
            </w:r>
          </w:p>
          <w:p>
            <w:pPr>
              <w:snapToGrid w:val="0"/>
              <w:spacing w:line="300" w:lineRule="auto"/>
              <w:jc w:val="left"/>
              <w:rPr>
                <w:sz w:val="18"/>
                <w:szCs w:val="18"/>
              </w:rPr>
            </w:pPr>
            <w:r>
              <w:rPr>
                <w:sz w:val="18"/>
                <w:szCs w:val="18"/>
              </w:rPr>
              <w:t>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left"/>
              <w:rPr>
                <w:sz w:val="18"/>
                <w:szCs w:val="18"/>
              </w:rPr>
            </w:pPr>
            <w:r>
              <w:rPr>
                <w:sz w:val="18"/>
                <w:szCs w:val="18"/>
              </w:rPr>
              <w:t>4</w:t>
            </w:r>
          </w:p>
          <w:p>
            <w:pPr>
              <w:snapToGrid w:val="0"/>
              <w:spacing w:line="300" w:lineRule="auto"/>
              <w:jc w:val="left"/>
              <w:rPr>
                <w:sz w:val="18"/>
                <w:szCs w:val="18"/>
              </w:rPr>
            </w:pPr>
          </w:p>
        </w:tc>
        <w:tc>
          <w:tcPr>
            <w:tcW w:w="4905" w:type="dxa"/>
            <w:shd w:val="clear" w:color="auto" w:fill="FFFFFF"/>
            <w:vAlign w:val="center"/>
          </w:tcPr>
          <w:p>
            <w:pPr>
              <w:snapToGrid w:val="0"/>
              <w:spacing w:line="300" w:lineRule="auto"/>
              <w:jc w:val="left"/>
              <w:rPr>
                <w:sz w:val="18"/>
                <w:szCs w:val="18"/>
              </w:rPr>
            </w:pPr>
            <w:r>
              <w:rPr>
                <w:sz w:val="18"/>
                <w:szCs w:val="18"/>
              </w:rPr>
              <w:t>掌握电子信息工程专业仪器、仪表等现代工程工具的基本原理、操作方法，理解其局限性，并在复杂工程问题中合理选择并使用其进行生产试验的基本方法。</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0.1</w:t>
            </w:r>
          </w:p>
        </w:tc>
        <w:tc>
          <w:tcPr>
            <w:tcW w:w="1233" w:type="dxa"/>
            <w:shd w:val="clear" w:color="auto" w:fill="FFFFFF"/>
            <w:vAlign w:val="center"/>
          </w:tcPr>
          <w:p>
            <w:pPr>
              <w:snapToGrid w:val="0"/>
              <w:spacing w:line="300" w:lineRule="auto"/>
              <w:jc w:val="left"/>
              <w:rPr>
                <w:sz w:val="18"/>
                <w:szCs w:val="18"/>
              </w:rPr>
            </w:pPr>
            <w:r>
              <w:rPr>
                <w:sz w:val="18"/>
                <w:szCs w:val="18"/>
              </w:rPr>
              <w:t>现场考察</w:t>
            </w:r>
          </w:p>
          <w:p>
            <w:pPr>
              <w:snapToGrid w:val="0"/>
              <w:spacing w:line="300" w:lineRule="auto"/>
              <w:jc w:val="left"/>
              <w:rPr>
                <w:sz w:val="18"/>
                <w:szCs w:val="18"/>
              </w:rPr>
            </w:pPr>
            <w:r>
              <w:rPr>
                <w:rFonts w:hint="eastAsia"/>
                <w:sz w:val="18"/>
                <w:szCs w:val="18"/>
              </w:rPr>
              <w:t>使用</w:t>
            </w:r>
            <w:r>
              <w:rPr>
                <w:sz w:val="18"/>
                <w:szCs w:val="18"/>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left"/>
              <w:rPr>
                <w:sz w:val="18"/>
                <w:szCs w:val="18"/>
              </w:rPr>
            </w:pPr>
            <w:r>
              <w:rPr>
                <w:sz w:val="18"/>
                <w:szCs w:val="18"/>
              </w:rPr>
              <w:t>5</w:t>
            </w:r>
          </w:p>
        </w:tc>
        <w:tc>
          <w:tcPr>
            <w:tcW w:w="4905" w:type="dxa"/>
            <w:shd w:val="clear" w:color="auto" w:fill="FFFFFF"/>
            <w:vAlign w:val="center"/>
          </w:tcPr>
          <w:p>
            <w:pPr>
              <w:snapToGrid w:val="0"/>
              <w:spacing w:line="300" w:lineRule="auto"/>
              <w:jc w:val="left"/>
              <w:rPr>
                <w:sz w:val="18"/>
                <w:szCs w:val="18"/>
              </w:rPr>
            </w:pPr>
            <w:r>
              <w:rPr>
                <w:sz w:val="18"/>
                <w:szCs w:val="18"/>
              </w:rPr>
              <w:t>具有协作精神，能正确认识、理解个人在团体中的作用，具有在团队中有效发挥作用的能力，自觉承担个人在团体中的责任；具有一定的计划、组织、协调团队工作的能力</w:t>
            </w:r>
            <w:r>
              <w:rPr>
                <w:rFonts w:hint="eastAsia"/>
                <w:sz w:val="18"/>
                <w:szCs w:val="18"/>
              </w:rPr>
              <w:t>。</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0.2</w:t>
            </w:r>
          </w:p>
        </w:tc>
        <w:tc>
          <w:tcPr>
            <w:tcW w:w="1233" w:type="dxa"/>
            <w:shd w:val="clear" w:color="auto" w:fill="FFFFFF"/>
            <w:vAlign w:val="center"/>
          </w:tcPr>
          <w:p>
            <w:pPr>
              <w:snapToGrid w:val="0"/>
              <w:spacing w:line="300" w:lineRule="auto"/>
              <w:jc w:val="left"/>
              <w:rPr>
                <w:sz w:val="18"/>
                <w:szCs w:val="18"/>
              </w:rPr>
            </w:pPr>
            <w:r>
              <w:rPr>
                <w:rFonts w:hint="eastAsia"/>
                <w:sz w:val="18"/>
                <w:szCs w:val="18"/>
              </w:rPr>
              <w:t>分组汇报、座谈与</w:t>
            </w:r>
            <w:r>
              <w:rPr>
                <w:sz w:val="18"/>
                <w:szCs w:val="18"/>
              </w:rPr>
              <w:t>口头报告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8" w:type="dxa"/>
            <w:shd w:val="clear" w:color="auto" w:fill="FFFFFF"/>
            <w:vAlign w:val="center"/>
          </w:tcPr>
          <w:p>
            <w:pPr>
              <w:snapToGrid w:val="0"/>
              <w:spacing w:line="300" w:lineRule="auto"/>
              <w:jc w:val="left"/>
              <w:rPr>
                <w:sz w:val="18"/>
                <w:szCs w:val="18"/>
              </w:rPr>
            </w:pPr>
            <w:r>
              <w:rPr>
                <w:sz w:val="18"/>
                <w:szCs w:val="18"/>
              </w:rPr>
              <w:t>6</w:t>
            </w:r>
          </w:p>
        </w:tc>
        <w:tc>
          <w:tcPr>
            <w:tcW w:w="4905" w:type="dxa"/>
            <w:shd w:val="clear" w:color="auto" w:fill="FFFFFF"/>
            <w:vAlign w:val="center"/>
          </w:tcPr>
          <w:p>
            <w:pPr>
              <w:snapToGrid w:val="0"/>
              <w:spacing w:line="300" w:lineRule="auto"/>
              <w:jc w:val="left"/>
              <w:rPr>
                <w:sz w:val="18"/>
                <w:szCs w:val="18"/>
              </w:rPr>
            </w:pPr>
            <w:r>
              <w:rPr>
                <w:sz w:val="18"/>
                <w:szCs w:val="18"/>
              </w:rPr>
              <w:t>学会科学研究与复杂系统工程设计方法，培养论文与报告撰写方面得到较好的训练，在获得文献资料和研究资料的基础上，独立撰写实习报告，并积累工作经验增强适应社会综合能力，特别是沟通能力。</w:t>
            </w:r>
          </w:p>
        </w:tc>
        <w:tc>
          <w:tcPr>
            <w:tcW w:w="1097" w:type="dxa"/>
            <w:shd w:val="clear" w:color="auto" w:fill="FFFFFF"/>
            <w:vAlign w:val="center"/>
          </w:tcPr>
          <w:p>
            <w:pPr>
              <w:snapToGrid w:val="0"/>
              <w:spacing w:line="300" w:lineRule="auto"/>
              <w:jc w:val="center"/>
              <w:rPr>
                <w:sz w:val="18"/>
                <w:szCs w:val="18"/>
              </w:rPr>
            </w:pPr>
            <w:r>
              <w:rPr>
                <w:sz w:val="18"/>
                <w:szCs w:val="18"/>
              </w:rPr>
              <w:t>考查</w:t>
            </w:r>
          </w:p>
        </w:tc>
        <w:tc>
          <w:tcPr>
            <w:tcW w:w="998" w:type="dxa"/>
            <w:shd w:val="clear" w:color="auto" w:fill="FFFFFF"/>
            <w:vAlign w:val="center"/>
          </w:tcPr>
          <w:p>
            <w:pPr>
              <w:snapToGrid w:val="0"/>
              <w:spacing w:line="300" w:lineRule="auto"/>
              <w:jc w:val="center"/>
              <w:rPr>
                <w:sz w:val="18"/>
                <w:szCs w:val="18"/>
              </w:rPr>
            </w:pPr>
            <w:r>
              <w:rPr>
                <w:sz w:val="18"/>
                <w:szCs w:val="18"/>
              </w:rPr>
              <w:t>0.2</w:t>
            </w:r>
          </w:p>
        </w:tc>
        <w:tc>
          <w:tcPr>
            <w:tcW w:w="1233" w:type="dxa"/>
            <w:shd w:val="clear" w:color="auto" w:fill="FFFFFF"/>
            <w:vAlign w:val="center"/>
          </w:tcPr>
          <w:p>
            <w:pPr>
              <w:snapToGrid w:val="0"/>
              <w:spacing w:line="300" w:lineRule="auto"/>
              <w:jc w:val="left"/>
              <w:rPr>
                <w:sz w:val="18"/>
                <w:szCs w:val="18"/>
              </w:rPr>
            </w:pPr>
            <w:r>
              <w:rPr>
                <w:rFonts w:hint="eastAsia"/>
                <w:sz w:val="18"/>
                <w:szCs w:val="18"/>
              </w:rPr>
              <w:t>书面报告</w:t>
            </w:r>
          </w:p>
          <w:p>
            <w:pPr>
              <w:snapToGrid w:val="0"/>
              <w:spacing w:line="300" w:lineRule="auto"/>
              <w:jc w:val="left"/>
              <w:rPr>
                <w:sz w:val="18"/>
                <w:szCs w:val="18"/>
              </w:rPr>
            </w:pPr>
            <w:r>
              <w:rPr>
                <w:rFonts w:hint="eastAsia"/>
                <w:sz w:val="18"/>
                <w:szCs w:val="18"/>
              </w:rPr>
              <w:t>答辩</w:t>
            </w:r>
          </w:p>
        </w:tc>
      </w:tr>
    </w:tbl>
    <w:p>
      <w:pPr>
        <w:snapToGrid w:val="0"/>
        <w:spacing w:before="159" w:beforeLines="50" w:after="159" w:afterLines="50" w:line="300" w:lineRule="auto"/>
        <w:rPr>
          <w:b/>
          <w:sz w:val="24"/>
        </w:rPr>
      </w:pPr>
      <w:r>
        <w:rPr>
          <w:b/>
          <w:sz w:val="24"/>
        </w:rPr>
        <w:t>六、课程教学目标</w:t>
      </w:r>
      <w:r>
        <w:rPr>
          <w:rFonts w:hint="eastAsia"/>
          <w:b/>
          <w:sz w:val="24"/>
        </w:rPr>
        <w:t>达成情况</w:t>
      </w:r>
      <w:r>
        <w:rPr>
          <w:b/>
          <w:sz w:val="24"/>
        </w:rPr>
        <w:t>评价</w:t>
      </w:r>
    </w:p>
    <w:p>
      <w:pPr>
        <w:snapToGrid w:val="0"/>
        <w:spacing w:line="300" w:lineRule="auto"/>
        <w:ind w:firstLine="420" w:firstLineChars="200"/>
        <w:rPr>
          <w:szCs w:val="21"/>
        </w:rPr>
      </w:pPr>
      <w:r>
        <w:rPr>
          <w:szCs w:val="21"/>
        </w:rPr>
        <w:t>1</w:t>
      </w:r>
      <w:r>
        <w:t>．</w:t>
      </w:r>
      <w:r>
        <w:rPr>
          <w:szCs w:val="21"/>
        </w:rPr>
        <w:t>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rPr>
          <w:position w:val="-26"/>
        </w:rPr>
      </w:pPr>
      <w:r>
        <w:rPr>
          <w:position w:val="-26"/>
        </w:rPr>
        <w:object>
          <v:shape id="_x0000_i1219" o:spt="75" type="#_x0000_t75" style="height:32.25pt;width:378pt;" o:ole="t" filled="f" o:preferrelative="t" stroked="f" coordsize="21600,21600">
            <v:path/>
            <v:fill on="f" focussize="0,0"/>
            <v:stroke on="f" joinstyle="miter"/>
            <v:imagedata r:id="rId199" o:title=""/>
            <o:lock v:ext="edit" aspectratio="t"/>
            <w10:wrap type="none"/>
            <w10:anchorlock/>
          </v:shape>
          <o:OLEObject Type="Embed" ProgID="Equation.3" ShapeID="_x0000_i1219" DrawAspect="Content" ObjectID="_1468075917" r:id="rId249">
            <o:LockedField>false</o:LockedField>
          </o:OLEObject>
        </w:object>
      </w:r>
    </w:p>
    <w:p>
      <w:pPr>
        <w:snapToGrid w:val="0"/>
        <w:spacing w:line="300" w:lineRule="auto"/>
        <w:ind w:firstLine="420" w:firstLineChars="200"/>
      </w:pPr>
      <w:r>
        <w:t>课程总目标达成情况为6个课程目标的加权得分率，其计算公式为：</w:t>
      </w:r>
    </w:p>
    <w:p>
      <w:pPr>
        <w:snapToGrid w:val="0"/>
        <w:spacing w:line="300" w:lineRule="auto"/>
        <w:jc w:val="center"/>
      </w:pPr>
      <w:r>
        <w:t xml:space="preserve"> </w:t>
      </w:r>
      <w:r>
        <w:rPr>
          <w:position w:val="-16"/>
        </w:rPr>
        <w:object>
          <v:shape id="_x0000_i1220" o:spt="75" type="#_x0000_t75" style="height:18pt;width:261.75pt;" o:ole="t" filled="f" o:preferrelative="t" stroked="f" coordsize="21600,21600">
            <v:path/>
            <v:fill on="f" focussize="0,0"/>
            <v:stroke on="f" joinstyle="miter"/>
            <v:imagedata r:id="rId247" o:title=""/>
            <o:lock v:ext="edit" aspectratio="t"/>
            <w10:wrap type="none"/>
            <w10:anchorlock/>
          </v:shape>
          <o:OLEObject Type="Embed" ProgID="Equation.DSMT4" ShapeID="_x0000_i1220" DrawAspect="Content" ObjectID="_1468075918" r:id="rId250">
            <o:LockedField>false</o:LockedField>
          </o:OLEObject>
        </w:object>
      </w:r>
    </w:p>
    <w:p>
      <w:pPr>
        <w:snapToGrid w:val="0"/>
        <w:spacing w:line="300" w:lineRule="auto"/>
      </w:pPr>
      <w:r>
        <w:t>其中权重系数按照表5设定。</w:t>
      </w:r>
    </w:p>
    <w:p>
      <w:pPr>
        <w:snapToGrid w:val="0"/>
        <w:spacing w:before="159" w:beforeLines="50" w:line="300" w:lineRule="auto"/>
        <w:jc w:val="center"/>
        <w:rPr>
          <w:b/>
          <w:bCs/>
          <w:sz w:val="18"/>
          <w:szCs w:val="18"/>
        </w:rPr>
      </w:pPr>
      <w:r>
        <w:rPr>
          <w:b/>
          <w:bCs/>
          <w:sz w:val="18"/>
          <w:szCs w:val="18"/>
        </w:rPr>
        <w:t>表5课程目标权重系数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48"/>
        <w:gridCol w:w="1108"/>
        <w:gridCol w:w="1313"/>
        <w:gridCol w:w="1300"/>
        <w:gridCol w:w="130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048" w:type="dxa"/>
            <w:vAlign w:val="center"/>
          </w:tcPr>
          <w:p>
            <w:pPr>
              <w:snapToGrid w:val="0"/>
              <w:spacing w:line="300" w:lineRule="auto"/>
              <w:jc w:val="center"/>
              <w:rPr>
                <w:b/>
                <w:bCs/>
                <w:sz w:val="18"/>
                <w:szCs w:val="18"/>
              </w:rPr>
            </w:pPr>
            <w:r>
              <w:rPr>
                <w:b/>
                <w:bCs/>
                <w:sz w:val="18"/>
                <w:szCs w:val="18"/>
              </w:rPr>
              <w:t>课程目标</w:t>
            </w:r>
          </w:p>
        </w:tc>
        <w:tc>
          <w:tcPr>
            <w:tcW w:w="1108" w:type="dxa"/>
            <w:vAlign w:val="center"/>
          </w:tcPr>
          <w:p>
            <w:pPr>
              <w:snapToGrid w:val="0"/>
              <w:spacing w:line="300" w:lineRule="auto"/>
              <w:jc w:val="center"/>
              <w:rPr>
                <w:sz w:val="18"/>
                <w:szCs w:val="18"/>
              </w:rPr>
            </w:pPr>
            <w:r>
              <w:rPr>
                <w:sz w:val="18"/>
                <w:szCs w:val="18"/>
              </w:rPr>
              <w:t>1</w:t>
            </w:r>
          </w:p>
        </w:tc>
        <w:tc>
          <w:tcPr>
            <w:tcW w:w="1313" w:type="dxa"/>
            <w:vAlign w:val="center"/>
          </w:tcPr>
          <w:p>
            <w:pPr>
              <w:snapToGrid w:val="0"/>
              <w:spacing w:line="300" w:lineRule="auto"/>
              <w:jc w:val="center"/>
              <w:rPr>
                <w:sz w:val="18"/>
                <w:szCs w:val="18"/>
              </w:rPr>
            </w:pPr>
            <w:r>
              <w:rPr>
                <w:sz w:val="18"/>
                <w:szCs w:val="18"/>
              </w:rPr>
              <w:t>2</w:t>
            </w:r>
          </w:p>
        </w:tc>
        <w:tc>
          <w:tcPr>
            <w:tcW w:w="1300" w:type="dxa"/>
            <w:vAlign w:val="center"/>
          </w:tcPr>
          <w:p>
            <w:pPr>
              <w:snapToGrid w:val="0"/>
              <w:spacing w:line="300" w:lineRule="auto"/>
              <w:jc w:val="center"/>
              <w:rPr>
                <w:sz w:val="18"/>
                <w:szCs w:val="18"/>
              </w:rPr>
            </w:pPr>
            <w:r>
              <w:rPr>
                <w:sz w:val="18"/>
                <w:szCs w:val="18"/>
              </w:rPr>
              <w:t>3</w:t>
            </w:r>
          </w:p>
        </w:tc>
        <w:tc>
          <w:tcPr>
            <w:tcW w:w="1304" w:type="dxa"/>
            <w:vAlign w:val="center"/>
          </w:tcPr>
          <w:p>
            <w:pPr>
              <w:snapToGrid w:val="0"/>
              <w:spacing w:line="300" w:lineRule="auto"/>
              <w:jc w:val="center"/>
              <w:rPr>
                <w:sz w:val="18"/>
                <w:szCs w:val="18"/>
              </w:rPr>
            </w:pPr>
            <w:r>
              <w:rPr>
                <w:sz w:val="18"/>
                <w:szCs w:val="18"/>
              </w:rPr>
              <w:t>4</w:t>
            </w:r>
          </w:p>
        </w:tc>
        <w:tc>
          <w:tcPr>
            <w:tcW w:w="1304" w:type="dxa"/>
            <w:vAlign w:val="center"/>
          </w:tcPr>
          <w:p>
            <w:pPr>
              <w:snapToGrid w:val="0"/>
              <w:spacing w:line="300" w:lineRule="auto"/>
              <w:jc w:val="center"/>
              <w:rPr>
                <w:sz w:val="18"/>
                <w:szCs w:val="18"/>
              </w:rPr>
            </w:pPr>
            <w:r>
              <w:rPr>
                <w:sz w:val="18"/>
                <w:szCs w:val="18"/>
              </w:rPr>
              <w:t>5</w:t>
            </w:r>
          </w:p>
        </w:tc>
        <w:tc>
          <w:tcPr>
            <w:tcW w:w="1304" w:type="dxa"/>
            <w:vAlign w:val="center"/>
          </w:tcPr>
          <w:p>
            <w:pPr>
              <w:snapToGrid w:val="0"/>
              <w:spacing w:line="300" w:lineRule="auto"/>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048" w:type="dxa"/>
            <w:vAlign w:val="center"/>
          </w:tcPr>
          <w:p>
            <w:pPr>
              <w:snapToGrid w:val="0"/>
              <w:spacing w:line="300" w:lineRule="auto"/>
              <w:jc w:val="center"/>
              <w:rPr>
                <w:b/>
                <w:bCs/>
                <w:sz w:val="18"/>
                <w:szCs w:val="18"/>
              </w:rPr>
            </w:pPr>
            <w:r>
              <w:rPr>
                <w:b/>
                <w:bCs/>
                <w:sz w:val="18"/>
                <w:szCs w:val="18"/>
              </w:rPr>
              <w:t>权重系数</w:t>
            </w:r>
          </w:p>
        </w:tc>
        <w:tc>
          <w:tcPr>
            <w:tcW w:w="1108" w:type="dxa"/>
            <w:vAlign w:val="center"/>
          </w:tcPr>
          <w:p>
            <w:pPr>
              <w:snapToGrid w:val="0"/>
              <w:spacing w:line="300" w:lineRule="auto"/>
              <w:jc w:val="center"/>
              <w:rPr>
                <w:sz w:val="18"/>
                <w:szCs w:val="18"/>
              </w:rPr>
            </w:pPr>
            <w:r>
              <w:rPr>
                <w:sz w:val="18"/>
                <w:szCs w:val="18"/>
              </w:rPr>
              <w:t>0.15</w:t>
            </w:r>
          </w:p>
        </w:tc>
        <w:tc>
          <w:tcPr>
            <w:tcW w:w="1313" w:type="dxa"/>
            <w:vAlign w:val="center"/>
          </w:tcPr>
          <w:p>
            <w:pPr>
              <w:snapToGrid w:val="0"/>
              <w:spacing w:line="300" w:lineRule="auto"/>
              <w:jc w:val="center"/>
              <w:rPr>
                <w:sz w:val="18"/>
                <w:szCs w:val="18"/>
              </w:rPr>
            </w:pPr>
            <w:r>
              <w:rPr>
                <w:sz w:val="18"/>
                <w:szCs w:val="18"/>
              </w:rPr>
              <w:t>0.15</w:t>
            </w:r>
          </w:p>
        </w:tc>
        <w:tc>
          <w:tcPr>
            <w:tcW w:w="1300" w:type="dxa"/>
            <w:vAlign w:val="center"/>
          </w:tcPr>
          <w:p>
            <w:pPr>
              <w:snapToGrid w:val="0"/>
              <w:spacing w:line="300" w:lineRule="auto"/>
              <w:jc w:val="center"/>
              <w:rPr>
                <w:sz w:val="18"/>
                <w:szCs w:val="18"/>
              </w:rPr>
            </w:pPr>
            <w:r>
              <w:rPr>
                <w:sz w:val="18"/>
                <w:szCs w:val="18"/>
              </w:rPr>
              <w:t>0.2</w:t>
            </w:r>
          </w:p>
        </w:tc>
        <w:tc>
          <w:tcPr>
            <w:tcW w:w="1304" w:type="dxa"/>
            <w:vAlign w:val="center"/>
          </w:tcPr>
          <w:p>
            <w:pPr>
              <w:snapToGrid w:val="0"/>
              <w:spacing w:line="300" w:lineRule="auto"/>
              <w:jc w:val="center"/>
              <w:rPr>
                <w:sz w:val="18"/>
                <w:szCs w:val="18"/>
              </w:rPr>
            </w:pPr>
            <w:r>
              <w:rPr>
                <w:sz w:val="18"/>
                <w:szCs w:val="18"/>
              </w:rPr>
              <w:t>0.1</w:t>
            </w:r>
          </w:p>
        </w:tc>
        <w:tc>
          <w:tcPr>
            <w:tcW w:w="1304" w:type="dxa"/>
            <w:vAlign w:val="center"/>
          </w:tcPr>
          <w:p>
            <w:pPr>
              <w:snapToGrid w:val="0"/>
              <w:spacing w:line="300" w:lineRule="auto"/>
              <w:jc w:val="center"/>
              <w:rPr>
                <w:sz w:val="18"/>
                <w:szCs w:val="18"/>
              </w:rPr>
            </w:pPr>
            <w:r>
              <w:rPr>
                <w:sz w:val="18"/>
                <w:szCs w:val="18"/>
              </w:rPr>
              <w:t>0.2</w:t>
            </w:r>
          </w:p>
        </w:tc>
        <w:tc>
          <w:tcPr>
            <w:tcW w:w="1304" w:type="dxa"/>
            <w:vAlign w:val="center"/>
          </w:tcPr>
          <w:p>
            <w:pPr>
              <w:snapToGrid w:val="0"/>
              <w:spacing w:line="300" w:lineRule="auto"/>
              <w:jc w:val="center"/>
              <w:rPr>
                <w:sz w:val="18"/>
                <w:szCs w:val="18"/>
              </w:rPr>
            </w:pPr>
            <w:r>
              <w:rPr>
                <w:sz w:val="18"/>
                <w:szCs w:val="18"/>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rPr>
          <w:position w:val="-14"/>
        </w:rPr>
        <w:object>
          <v:shape id="_x0000_i1221" o:spt="75" type="#_x0000_t75" style="height:18pt;width:270.75pt;" o:ole="t" filled="f" o:preferrelative="t" stroked="f" coordsize="21600,21600">
            <v:path/>
            <v:fill on="f" focussize="0,0"/>
            <v:stroke on="f" joinstyle="miter"/>
            <v:imagedata r:id="rId209" o:title=""/>
            <o:lock v:ext="edit" aspectratio="t"/>
            <w10:wrap type="none"/>
            <w10:anchorlock/>
          </v:shape>
          <o:OLEObject Type="Embed" ProgID="Equation.3" ShapeID="_x0000_i1221" DrawAspect="Content" ObjectID="_1468075919" r:id="rId251">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w:t>
      </w:r>
      <w:r>
        <w:rPr>
          <w:rFonts w:hint="eastAsia"/>
          <w:szCs w:val="21"/>
        </w:rPr>
        <w:t>达成情况</w:t>
      </w:r>
      <w:r>
        <w:rPr>
          <w:szCs w:val="21"/>
        </w:rPr>
        <w:t>评价、教师自评、学生评价，以及课程教学情况、考试情况，对课程进行有针对性的总结，每学年撰写试卷分析、课程总结与自我评价表，提出持续改进课程教学的措施。</w:t>
      </w:r>
    </w:p>
    <w:p>
      <w:pPr>
        <w:snapToGrid w:val="0"/>
        <w:spacing w:before="159" w:beforeLines="50" w:after="159" w:afterLines="50" w:line="300" w:lineRule="auto"/>
        <w:rPr>
          <w:b/>
          <w:sz w:val="24"/>
        </w:rPr>
      </w:pPr>
      <w:r>
        <w:rPr>
          <w:b/>
          <w:sz w:val="24"/>
        </w:rPr>
        <w:t>七、教材及参考资料</w:t>
      </w:r>
    </w:p>
    <w:p>
      <w:pPr>
        <w:snapToGrid w:val="0"/>
        <w:spacing w:line="300" w:lineRule="auto"/>
        <w:ind w:firstLine="420" w:firstLineChars="200"/>
        <w:rPr>
          <w:szCs w:val="21"/>
        </w:rPr>
      </w:pPr>
      <w:r>
        <w:rPr>
          <w:szCs w:val="21"/>
        </w:rPr>
        <w:t>不需要指定教材。</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04" w:firstLineChars="202"/>
              <w:jc w:val="right"/>
              <w:rPr>
                <w:kern w:val="0"/>
                <w:sz w:val="20"/>
                <w:szCs w:val="21"/>
              </w:rPr>
            </w:pPr>
            <w:r>
              <w:rPr>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kern w:val="0"/>
                <w:sz w:val="20"/>
                <w:szCs w:val="21"/>
              </w:rPr>
            </w:pPr>
            <w:r>
              <w:rPr>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kern w:val="0"/>
                <w:sz w:val="20"/>
                <w:szCs w:val="21"/>
              </w:rPr>
            </w:pPr>
            <w:r>
              <w:rPr>
                <w:kern w:val="0"/>
                <w:sz w:val="20"/>
                <w:szCs w:val="21"/>
              </w:rPr>
              <w:t>日 期：</w:t>
            </w:r>
            <w:r>
              <w:rPr>
                <w:rFonts w:ascii="Times New Roman" w:hAnsi="Times New Roman"/>
                <w:kern w:val="0"/>
                <w:sz w:val="20"/>
                <w:szCs w:val="21"/>
              </w:rPr>
              <w:t>202</w:t>
            </w:r>
            <w:r>
              <w:rPr>
                <w:rFonts w:hint="eastAsia" w:ascii="Times New Roman" w:hAnsi="Times New Roman"/>
                <w:kern w:val="0"/>
                <w:sz w:val="20"/>
                <w:szCs w:val="21"/>
              </w:rPr>
              <w:t>2.4.20</w:t>
            </w:r>
          </w:p>
          <w:p>
            <w:pPr>
              <w:snapToGrid w:val="0"/>
              <w:spacing w:line="300" w:lineRule="auto"/>
              <w:ind w:right="200"/>
              <w:rPr>
                <w:kern w:val="0"/>
                <w:sz w:val="20"/>
                <w:szCs w:val="21"/>
              </w:rPr>
            </w:pPr>
          </w:p>
        </w:tc>
      </w:tr>
    </w:tbl>
    <w:p/>
    <w:p>
      <w:pPr>
        <w:keepNext/>
        <w:keepLines/>
        <w:tabs>
          <w:tab w:val="left" w:pos="0"/>
          <w:tab w:val="left" w:pos="420"/>
        </w:tabs>
        <w:spacing w:before="159" w:beforeLines="50" w:after="159" w:afterLines="50" w:line="360" w:lineRule="auto"/>
        <w:jc w:val="center"/>
        <w:outlineLvl w:val="0"/>
        <w:rPr>
          <w:b/>
          <w:sz w:val="32"/>
        </w:rPr>
        <w:sectPr>
          <w:pgSz w:w="11906" w:h="16838"/>
          <w:pgMar w:top="1417" w:right="1361" w:bottom="1417" w:left="1361" w:header="851" w:footer="992" w:gutter="0"/>
          <w:cols w:space="720" w:num="1"/>
          <w:docGrid w:type="lines" w:linePitch="318" w:charSpace="0"/>
        </w:sectPr>
      </w:pPr>
    </w:p>
    <w:p>
      <w:pPr>
        <w:pStyle w:val="3"/>
        <w:jc w:val="center"/>
      </w:pPr>
      <w:bookmarkStart w:id="316" w:name="_Toc30311"/>
      <w:bookmarkStart w:id="317" w:name="_Toc76387550"/>
      <w:bookmarkStart w:id="318" w:name="_Toc62571495"/>
      <w:bookmarkStart w:id="319" w:name="_Toc22833"/>
      <w:r>
        <w:t>j3340110</w:t>
      </w:r>
      <w:r>
        <w:rPr>
          <w:rFonts w:hint="eastAsia"/>
        </w:rPr>
        <w:t>《毕业设计》教学大纲</w:t>
      </w:r>
      <w:bookmarkEnd w:id="316"/>
      <w:bookmarkEnd w:id="317"/>
      <w:bookmarkEnd w:id="318"/>
      <w:bookmarkEnd w:id="319"/>
    </w:p>
    <w:tbl>
      <w:tblPr>
        <w:tblStyle w:val="22"/>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2216"/>
        <w:gridCol w:w="1542"/>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课程编号</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bCs/>
                <w:kern w:val="0"/>
                <w:szCs w:val="21"/>
                <w:lang w:bidi="ar"/>
              </w:rPr>
              <w:t>j3340110</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课程名称</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毕业设计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课程性质</w:t>
            </w:r>
            <w:r>
              <w:rPr>
                <w:bCs/>
                <w:kern w:val="0"/>
                <w:szCs w:val="21"/>
                <w:lang w:bidi="ar"/>
              </w:rPr>
              <w:t>*</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kern w:val="0"/>
                <w:szCs w:val="21"/>
                <w:lang w:bidi="ar"/>
              </w:rPr>
              <w:t>工程实践与毕业设计（论文）</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英文名称</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szCs w:val="21"/>
                <w:lang w:bidi="ar"/>
              </w:rPr>
              <w:t>Graduation 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学分学时</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bCs/>
                <w:kern w:val="0"/>
                <w:szCs w:val="21"/>
                <w:lang w:bidi="ar"/>
              </w:rPr>
              <w:t xml:space="preserve">5 </w:t>
            </w:r>
            <w:r>
              <w:rPr>
                <w:kern w:val="0"/>
                <w:szCs w:val="21"/>
                <w:lang w:bidi="ar"/>
              </w:rPr>
              <w:t xml:space="preserve">: </w:t>
            </w:r>
            <w:r>
              <w:rPr>
                <w:bCs/>
                <w:kern w:val="0"/>
                <w:szCs w:val="21"/>
                <w:lang w:bidi="ar"/>
              </w:rPr>
              <w:t>10</w:t>
            </w:r>
            <w:r>
              <w:rPr>
                <w:rFonts w:hint="eastAsia"/>
                <w:bCs/>
                <w:kern w:val="0"/>
                <w:szCs w:val="21"/>
                <w:lang w:bidi="ar"/>
              </w:rPr>
              <w:t>周</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任课教师</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具有毕业指导资格的教师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企业专家</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曾耿滨</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行业专家</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执笔教师</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王骥</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责任教授</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适用专业</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电子信息工程</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适用对象</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先修课程</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电子信息类专业课程</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同修课程</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毕业实习</w:t>
            </w:r>
            <w:r>
              <w:rPr>
                <w:bCs/>
                <w:kern w:val="0"/>
                <w:szCs w:val="21"/>
                <w:lang w:bidi="ar"/>
              </w:rPr>
              <w:t>/</w:t>
            </w:r>
            <w:r>
              <w:rPr>
                <w:rFonts w:hint="eastAsia"/>
                <w:bCs/>
                <w:kern w:val="0"/>
                <w:szCs w:val="21"/>
                <w:lang w:bidi="ar"/>
              </w:rPr>
              <w:t>生产实习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排斥课程</w:t>
            </w:r>
          </w:p>
        </w:tc>
        <w:tc>
          <w:tcPr>
            <w:tcW w:w="2216"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无</w:t>
            </w:r>
          </w:p>
        </w:tc>
        <w:tc>
          <w:tcPr>
            <w:tcW w:w="1542"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bCs/>
                <w:kern w:val="0"/>
                <w:szCs w:val="21"/>
                <w:lang w:bidi="ar"/>
              </w:rPr>
              <w:t>定稿日期</w:t>
            </w:r>
          </w:p>
        </w:tc>
        <w:tc>
          <w:tcPr>
            <w:tcW w:w="3227" w:type="dxa"/>
            <w:tcBorders>
              <w:top w:val="single" w:color="auto" w:sz="4" w:space="0"/>
              <w:left w:val="single" w:color="auto" w:sz="4" w:space="0"/>
              <w:bottom w:val="single" w:color="auto" w:sz="4" w:space="0"/>
              <w:right w:val="single" w:color="auto" w:sz="4" w:space="0"/>
            </w:tcBorders>
            <w:vAlign w:val="center"/>
          </w:tcPr>
          <w:p>
            <w:pPr>
              <w:widowControl/>
              <w:jc w:val="center"/>
              <w:rPr>
                <w:bCs/>
                <w:kern w:val="0"/>
                <w:szCs w:val="21"/>
              </w:rPr>
            </w:pPr>
            <w:r>
              <w:rPr>
                <w:rFonts w:hint="eastAsia"/>
                <w:kern w:val="0"/>
                <w:szCs w:val="21"/>
              </w:rPr>
              <w:t>2022.7.20</w:t>
            </w:r>
          </w:p>
        </w:tc>
      </w:tr>
    </w:tbl>
    <w:p>
      <w:pPr>
        <w:snapToGrid w:val="0"/>
        <w:ind w:firstLine="210" w:firstLineChars="100"/>
        <w:rPr>
          <w:sz w:val="18"/>
          <w:szCs w:val="18"/>
          <w:lang w:bidi="ar"/>
        </w:rPr>
      </w:pPr>
      <w:r>
        <w:rPr>
          <w:kern w:val="0"/>
          <w:szCs w:val="20"/>
          <w:lang w:bidi="ar"/>
        </w:rPr>
        <w:t>*</w:t>
      </w:r>
      <w:r>
        <w:rPr>
          <w:rFonts w:hint="eastAsia"/>
          <w:sz w:val="18"/>
          <w:szCs w:val="18"/>
          <w:lang w:bidi="ar"/>
        </w:rPr>
        <w:t>数学与自然科学类、工程基础类、专业基础类、专业类、工程实践与毕业设计（论文）、人文社会科学类。</w:t>
      </w:r>
    </w:p>
    <w:p>
      <w:pPr>
        <w:snapToGrid w:val="0"/>
        <w:spacing w:before="156" w:beforeLines="50" w:after="156" w:afterLines="50" w:line="300" w:lineRule="auto"/>
        <w:rPr>
          <w:b/>
          <w:sz w:val="24"/>
        </w:rPr>
      </w:pPr>
      <w:r>
        <w:rPr>
          <w:rFonts w:hint="eastAsia"/>
          <w:b/>
          <w:sz w:val="24"/>
          <w:lang w:bidi="ar"/>
        </w:rPr>
        <w:t>一、课程简介</w:t>
      </w:r>
    </w:p>
    <w:p>
      <w:pPr>
        <w:adjustRightInd w:val="0"/>
        <w:snapToGrid w:val="0"/>
        <w:spacing w:line="300" w:lineRule="auto"/>
        <w:ind w:firstLine="420" w:firstLineChars="200"/>
      </w:pPr>
      <w:r>
        <w:rPr>
          <w:rFonts w:hint="eastAsia"/>
          <w:szCs w:val="21"/>
          <w:lang w:bidi="ar"/>
        </w:rPr>
        <w:t>毕业实习是电子信息工程专业本科生必修的专业实践教学环节，是培养学生学会资料查阅，掌握工程设计的一般程序规范和方法，也是培养学生勇于开拓、勇于探索、勇于实践、严谨推理、实事求是、认真负责的工作态度，激发学生向实践学习和探索的积极性，提高分析问题、解决问题的能力，为圆满完成毕业设计任务及即将从事的工作打下坚实的基础。</w:t>
      </w:r>
      <w:r>
        <w:rPr>
          <w:rFonts w:hint="eastAsia"/>
          <w:lang w:bidi="ar"/>
        </w:rPr>
        <w:t>。</w:t>
      </w:r>
    </w:p>
    <w:p>
      <w:pPr>
        <w:snapToGrid w:val="0"/>
        <w:spacing w:before="156" w:beforeLines="50" w:after="156" w:afterLines="50" w:line="300" w:lineRule="auto"/>
        <w:rPr>
          <w:b/>
          <w:sz w:val="24"/>
        </w:rPr>
      </w:pPr>
      <w:r>
        <w:rPr>
          <w:rFonts w:hint="eastAsia"/>
          <w:b/>
          <w:sz w:val="24"/>
          <w:lang w:bidi="ar"/>
        </w:rPr>
        <w:t>二、课程教学目标</w:t>
      </w:r>
    </w:p>
    <w:p>
      <w:pPr>
        <w:adjustRightInd w:val="0"/>
        <w:snapToGrid w:val="0"/>
        <w:spacing w:line="300" w:lineRule="auto"/>
        <w:ind w:firstLine="420" w:firstLineChars="200"/>
        <w:rPr>
          <w:szCs w:val="21"/>
          <w:lang w:bidi="ar"/>
        </w:rPr>
      </w:pPr>
      <w:r>
        <w:rPr>
          <w:rFonts w:hint="eastAsia"/>
          <w:szCs w:val="21"/>
          <w:lang w:bidi="ar"/>
        </w:rPr>
        <w:t>通过毕业设计（论文），每个学生在指导教师的指导下，完成下达的任务，受到一次综合运用所学知识、独立完成电子信息领域相关技术工作的训练，全面提高学生调查研究、查阅文献、收集资料、问题分析、方案设计、论文撰写、口头表达与交流、英文综合应用等能力，提高学生独立思考能力、创新能力、沟通能力和终身学习能力，从而使学生受到工程师所必需的综合训练。</w:t>
      </w:r>
    </w:p>
    <w:p>
      <w:pPr>
        <w:adjustRightInd w:val="0"/>
        <w:snapToGrid w:val="0"/>
        <w:spacing w:line="300" w:lineRule="auto"/>
        <w:ind w:firstLine="420" w:firstLineChars="200"/>
        <w:rPr>
          <w:szCs w:val="21"/>
          <w:lang w:bidi="ar"/>
        </w:rPr>
      </w:pPr>
      <w:r>
        <w:rPr>
          <w:rFonts w:hint="eastAsia"/>
          <w:szCs w:val="21"/>
          <w:lang w:bidi="ar"/>
        </w:rPr>
        <w:t>本课程的具体教学目标如下：</w:t>
      </w:r>
      <w:r>
        <w:rPr>
          <w:szCs w:val="21"/>
          <w:lang w:bidi="ar"/>
        </w:rPr>
        <w:t xml:space="preserve"> </w:t>
      </w:r>
    </w:p>
    <w:p>
      <w:pPr>
        <w:adjustRightInd w:val="0"/>
        <w:snapToGrid w:val="0"/>
        <w:spacing w:line="300" w:lineRule="auto"/>
        <w:ind w:firstLine="420" w:firstLineChars="200"/>
        <w:rPr>
          <w:szCs w:val="21"/>
          <w:lang w:bidi="ar"/>
        </w:rPr>
      </w:pPr>
      <w:r>
        <w:rPr>
          <w:szCs w:val="21"/>
          <w:lang w:bidi="ar"/>
        </w:rPr>
        <w:t xml:space="preserve">1. </w:t>
      </w:r>
      <w:r>
        <w:rPr>
          <w:rFonts w:hint="eastAsia"/>
          <w:szCs w:val="21"/>
          <w:lang w:bidi="ar"/>
        </w:rPr>
        <w:t>具有文献检索、整理和整理的能力，并通过文献表达复杂工程问题，并得到解决方法。[</w:t>
      </w:r>
      <w:r>
        <w:rPr>
          <w:szCs w:val="21"/>
          <w:lang w:bidi="ar"/>
        </w:rPr>
        <w:t>2</w:t>
      </w:r>
      <w:r>
        <w:rPr>
          <w:rFonts w:hint="eastAsia"/>
          <w:szCs w:val="21"/>
          <w:lang w:bidi="ar"/>
        </w:rPr>
        <w:t>.</w:t>
      </w:r>
      <w:r>
        <w:rPr>
          <w:szCs w:val="21"/>
          <w:lang w:bidi="ar"/>
        </w:rPr>
        <w:t>3</w:t>
      </w:r>
      <w:r>
        <w:rPr>
          <w:rFonts w:hint="eastAsia"/>
          <w:szCs w:val="21"/>
          <w:lang w:bidi="ar"/>
        </w:rPr>
        <w:t>]</w:t>
      </w:r>
    </w:p>
    <w:p>
      <w:pPr>
        <w:adjustRightInd w:val="0"/>
        <w:snapToGrid w:val="0"/>
        <w:spacing w:line="300" w:lineRule="auto"/>
        <w:ind w:firstLine="420" w:firstLineChars="200"/>
        <w:rPr>
          <w:szCs w:val="21"/>
          <w:lang w:bidi="ar"/>
        </w:rPr>
      </w:pPr>
      <w:r>
        <w:rPr>
          <w:rFonts w:hint="eastAsia"/>
          <w:szCs w:val="21"/>
          <w:lang w:bidi="ar"/>
        </w:rPr>
        <w:t>2. 针对毕业设计题目中的电子信息工程的复杂工程问题，能够设计出解决方案与满足特定需求的系统等，并具备采用科学方法对复杂工程问题的技术路线、实验方案、软/硬件模块和存在的问题进行研究的能力；具有对实验数据进行分析、处理得到合理有效的结论的研究能力；具备选择最佳方案开展课题研发能力，且方案或设计中能适当考虑社会、健康、安全、法律、文化及环境因素。[3.1][3.2][3.3] [4.1] [4.3]</w:t>
      </w:r>
    </w:p>
    <w:p>
      <w:pPr>
        <w:adjustRightInd w:val="0"/>
        <w:snapToGrid w:val="0"/>
        <w:spacing w:line="300" w:lineRule="auto"/>
        <w:ind w:firstLine="420" w:firstLineChars="200"/>
        <w:rPr>
          <w:szCs w:val="21"/>
          <w:lang w:bidi="ar"/>
        </w:rPr>
      </w:pPr>
      <w:r>
        <w:rPr>
          <w:rFonts w:hint="eastAsia"/>
          <w:szCs w:val="21"/>
          <w:lang w:bidi="ar"/>
        </w:rPr>
        <w:t xml:space="preserve">3. </w:t>
      </w:r>
      <w:r>
        <w:rPr>
          <w:szCs w:val="21"/>
          <w:lang w:bidi="ar"/>
        </w:rPr>
        <w:t>加深对实习企业知识产权、产品国家质量标准与质量、企业所在地产业政策与新兴技术的鼓励支持力度了解，了解社会对本专业的人才需要状况以及电子信息行业与企业产品的社会价值。[6</w:t>
      </w:r>
      <w:r>
        <w:rPr>
          <w:rFonts w:hint="eastAsia"/>
          <w:szCs w:val="21"/>
          <w:lang w:bidi="ar"/>
        </w:rPr>
        <w:t>.</w:t>
      </w:r>
      <w:r>
        <w:rPr>
          <w:szCs w:val="21"/>
          <w:lang w:bidi="ar"/>
        </w:rPr>
        <w:t>1]</w:t>
      </w:r>
    </w:p>
    <w:p>
      <w:pPr>
        <w:adjustRightInd w:val="0"/>
        <w:snapToGrid w:val="0"/>
        <w:spacing w:line="300" w:lineRule="auto"/>
        <w:ind w:firstLine="420" w:firstLineChars="200"/>
        <w:rPr>
          <w:szCs w:val="21"/>
          <w:lang w:bidi="ar"/>
        </w:rPr>
      </w:pPr>
      <w:r>
        <w:rPr>
          <w:szCs w:val="21"/>
          <w:lang w:bidi="ar"/>
        </w:rPr>
        <w:t>4．掌握电子信息工程专业仪器、仪表等现代工程工具的基本原理、操作方法，理解其局限性，并在复杂工程问题中合理选择并使用其进行生产试验的基本方法。[7</w:t>
      </w:r>
      <w:r>
        <w:rPr>
          <w:rFonts w:hint="eastAsia"/>
          <w:szCs w:val="21"/>
          <w:lang w:bidi="ar"/>
        </w:rPr>
        <w:t>.</w:t>
      </w:r>
      <w:r>
        <w:rPr>
          <w:szCs w:val="21"/>
          <w:lang w:bidi="ar"/>
        </w:rPr>
        <w:t>2]</w:t>
      </w:r>
    </w:p>
    <w:p>
      <w:pPr>
        <w:adjustRightInd w:val="0"/>
        <w:snapToGrid w:val="0"/>
        <w:spacing w:line="300" w:lineRule="auto"/>
        <w:ind w:firstLine="420" w:firstLineChars="200"/>
        <w:rPr>
          <w:szCs w:val="21"/>
          <w:lang w:bidi="ar"/>
        </w:rPr>
      </w:pPr>
      <w:r>
        <w:rPr>
          <w:rFonts w:hint="eastAsia"/>
          <w:szCs w:val="21"/>
          <w:lang w:bidi="ar"/>
        </w:rPr>
        <w:t xml:space="preserve">5. </w:t>
      </w:r>
      <w:r>
        <w:rPr>
          <w:szCs w:val="21"/>
          <w:lang w:bidi="ar"/>
        </w:rPr>
        <w:t>学会能够初步运用工程管理与技术经济的基本知识，进行合理的企业</w:t>
      </w:r>
      <w:r>
        <w:rPr>
          <w:rFonts w:hint="eastAsia"/>
          <w:szCs w:val="21"/>
          <w:lang w:bidi="ar"/>
        </w:rPr>
        <w:t>辅助</w:t>
      </w:r>
      <w:r>
        <w:rPr>
          <w:szCs w:val="21"/>
          <w:lang w:bidi="ar"/>
        </w:rPr>
        <w:t>决策</w:t>
      </w:r>
      <w:r>
        <w:rPr>
          <w:rFonts w:hint="eastAsia"/>
          <w:szCs w:val="21"/>
          <w:lang w:bidi="ar"/>
        </w:rPr>
        <w:t>，提出和理性建议</w:t>
      </w:r>
      <w:r>
        <w:rPr>
          <w:szCs w:val="21"/>
          <w:lang w:bidi="ar"/>
        </w:rPr>
        <w:t>；具有一定的组织项目开发的经历和基本的项目管理能力，能运用具体案例和实践经验来提高电子信息类项目管理实践能力。 [11</w:t>
      </w:r>
      <w:r>
        <w:rPr>
          <w:rFonts w:hint="eastAsia"/>
          <w:szCs w:val="21"/>
          <w:lang w:bidi="ar"/>
        </w:rPr>
        <w:t>.</w:t>
      </w:r>
      <w:r>
        <w:rPr>
          <w:szCs w:val="21"/>
          <w:lang w:bidi="ar"/>
        </w:rPr>
        <w:t>2]</w:t>
      </w:r>
    </w:p>
    <w:p>
      <w:pPr>
        <w:adjustRightInd w:val="0"/>
        <w:snapToGrid w:val="0"/>
        <w:spacing w:line="300" w:lineRule="auto"/>
        <w:ind w:firstLine="420" w:firstLineChars="200"/>
        <w:rPr>
          <w:szCs w:val="21"/>
          <w:lang w:bidi="ar"/>
        </w:rPr>
      </w:pPr>
      <w:r>
        <w:rPr>
          <w:rFonts w:hint="eastAsia"/>
          <w:szCs w:val="21"/>
          <w:lang w:bidi="ar"/>
        </w:rPr>
        <w:t xml:space="preserve">6. </w:t>
      </w:r>
      <w:r>
        <w:rPr>
          <w:szCs w:val="21"/>
          <w:lang w:bidi="ar"/>
        </w:rPr>
        <w:t>具有感知企业在社会主义建设中的主要作用的能力，培养自己正确的人生观、劳动观，挖掘劳动者创造美的本质，并认真学习与努力培养企业“工匠”精神；能够在工程实践中理解并遵守工程职业道德和规范，具有社会责任感，履行责任，具有肩负起祖国工程创新的意识与使命感。[8</w:t>
      </w:r>
      <w:r>
        <w:rPr>
          <w:rFonts w:hint="eastAsia"/>
          <w:szCs w:val="21"/>
          <w:lang w:bidi="ar"/>
        </w:rPr>
        <w:t>.</w:t>
      </w:r>
      <w:r>
        <w:rPr>
          <w:szCs w:val="21"/>
          <w:lang w:bidi="ar"/>
        </w:rPr>
        <w:t>2]</w:t>
      </w:r>
    </w:p>
    <w:p>
      <w:pPr>
        <w:adjustRightInd w:val="0"/>
        <w:snapToGrid w:val="0"/>
        <w:spacing w:line="300" w:lineRule="auto"/>
        <w:ind w:firstLine="420" w:firstLineChars="200"/>
        <w:rPr>
          <w:szCs w:val="21"/>
          <w:lang w:bidi="ar"/>
        </w:rPr>
      </w:pPr>
      <w:r>
        <w:rPr>
          <w:rFonts w:hint="eastAsia"/>
          <w:szCs w:val="21"/>
          <w:lang w:bidi="ar"/>
        </w:rPr>
        <w:t>课程教学目标与毕业要求的对应关系如表</w:t>
      </w:r>
      <w:r>
        <w:rPr>
          <w:szCs w:val="21"/>
          <w:lang w:bidi="ar"/>
        </w:rPr>
        <w:t>1</w:t>
      </w:r>
      <w:r>
        <w:rPr>
          <w:rFonts w:hint="eastAsia"/>
          <w:szCs w:val="21"/>
          <w:lang w:bidi="ar"/>
        </w:rPr>
        <w:t>：</w:t>
      </w:r>
    </w:p>
    <w:p>
      <w:pPr>
        <w:widowControl/>
        <w:tabs>
          <w:tab w:val="left" w:pos="426"/>
          <w:tab w:val="left" w:pos="5245"/>
          <w:tab w:val="left" w:pos="5387"/>
        </w:tabs>
        <w:snapToGrid w:val="0"/>
        <w:spacing w:before="156" w:beforeLines="50" w:line="300" w:lineRule="auto"/>
        <w:ind w:firstLine="361" w:firstLineChars="200"/>
        <w:jc w:val="center"/>
        <w:rPr>
          <w:b/>
          <w:kern w:val="0"/>
          <w:szCs w:val="20"/>
        </w:rPr>
      </w:pPr>
      <w:r>
        <w:rPr>
          <w:rFonts w:hint="eastAsia"/>
          <w:b/>
          <w:kern w:val="0"/>
          <w:sz w:val="18"/>
          <w:szCs w:val="18"/>
          <w:lang w:bidi="ar"/>
        </w:rPr>
        <w:t>表</w:t>
      </w:r>
      <w:r>
        <w:rPr>
          <w:b/>
          <w:kern w:val="0"/>
          <w:sz w:val="18"/>
          <w:szCs w:val="18"/>
          <w:lang w:bidi="ar"/>
        </w:rPr>
        <w:t xml:space="preserve">1 </w:t>
      </w:r>
      <w:r>
        <w:rPr>
          <w:rFonts w:hint="eastAsia"/>
          <w:b/>
          <w:kern w:val="0"/>
          <w:sz w:val="18"/>
          <w:szCs w:val="18"/>
          <w:lang w:bidi="ar"/>
        </w:rPr>
        <w:t>毕业要求指标点实现矩阵</w:t>
      </w:r>
    </w:p>
    <w:tbl>
      <w:tblPr>
        <w:tblStyle w:val="22"/>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01"/>
        <w:gridCol w:w="5811"/>
        <w:gridCol w:w="992"/>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3" w:hRule="atLeast"/>
          <w:tblHeader/>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rFonts w:hint="eastAsia"/>
                <w:b/>
                <w:sz w:val="18"/>
                <w:szCs w:val="18"/>
                <w:lang w:bidi="ar"/>
              </w:rPr>
              <w:t>毕业要求</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rFonts w:hint="eastAsia"/>
                <w:b/>
                <w:sz w:val="18"/>
                <w:szCs w:val="18"/>
                <w:lang w:bidi="ar"/>
              </w:rPr>
              <w:t>专业毕业要求指标点</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rFonts w:hint="eastAsia"/>
                <w:b/>
                <w:sz w:val="18"/>
                <w:szCs w:val="18"/>
                <w:lang w:bidi="ar"/>
              </w:rPr>
              <w:t>课程目标</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b/>
                <w:sz w:val="18"/>
                <w:szCs w:val="18"/>
              </w:rPr>
            </w:pPr>
            <w:r>
              <w:rPr>
                <w:rFonts w:hint="eastAsia"/>
                <w:b/>
                <w:sz w:val="18"/>
                <w:szCs w:val="18"/>
                <w:lang w:bidi="ar"/>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3"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lang w:bidi="ar"/>
              </w:rPr>
              <w:t>2</w:t>
            </w:r>
            <w:r>
              <w:rPr>
                <w:rFonts w:hint="eastAsia"/>
                <w:sz w:val="18"/>
                <w:szCs w:val="18"/>
                <w:lang w:bidi="ar"/>
              </w:rPr>
              <w:t>．问题分析</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lang w:bidi="ar"/>
              </w:rPr>
              <w:t>2</w:t>
            </w:r>
            <w:r>
              <w:rPr>
                <w:rFonts w:hint="eastAsia"/>
                <w:sz w:val="18"/>
                <w:szCs w:val="18"/>
                <w:lang w:bidi="ar"/>
              </w:rPr>
              <w:t>.</w:t>
            </w:r>
            <w:r>
              <w:rPr>
                <w:sz w:val="18"/>
                <w:szCs w:val="18"/>
                <w:lang w:bidi="ar"/>
              </w:rPr>
              <w:t>3</w:t>
            </w:r>
            <w:r>
              <w:rPr>
                <w:rFonts w:hint="eastAsia"/>
                <w:sz w:val="18"/>
                <w:szCs w:val="18"/>
                <w:lang w:bidi="ar"/>
              </w:rPr>
              <w:t>通晓文献、信息、资料的分类和一般检索方法，具备借助文献研究等方式客观分析和准确表达复杂工程问题，以获得有效结论的能力。</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center"/>
              <w:rPr>
                <w:sz w:val="18"/>
                <w:szCs w:val="18"/>
              </w:rPr>
            </w:pPr>
            <w:r>
              <w:rPr>
                <w:sz w:val="18"/>
                <w:szCs w:val="18"/>
                <w:lang w:bidi="ar"/>
              </w:rPr>
              <w:t>1</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rFonts w:ascii="Times New Roman" w:hAnsi="Times New Roman"/>
                <w:sz w:val="18"/>
                <w:szCs w:val="18"/>
                <w:lang w:bidi="ar"/>
              </w:rPr>
              <w:t>0.</w:t>
            </w:r>
            <w:r>
              <w:rPr>
                <w:rFonts w:hint="eastAsia" w:ascii="Times New Roman" w:hAnsi="Times New Roman"/>
                <w:sz w:val="18"/>
                <w:szCs w:val="18"/>
                <w:lang w:bidi="ar"/>
              </w:rPr>
              <w:t>1</w:t>
            </w:r>
            <w:r>
              <w:rPr>
                <w:rFonts w:ascii="Times New Roman" w:hAnsi="Times New Roman"/>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01"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lang w:bidi="ar"/>
              </w:rPr>
              <w:t>3</w:t>
            </w:r>
            <w:r>
              <w:rPr>
                <w:rFonts w:hint="eastAsia"/>
                <w:sz w:val="18"/>
                <w:szCs w:val="18"/>
                <w:lang w:bidi="ar"/>
              </w:rPr>
              <w:t>．设计</w:t>
            </w:r>
            <w:r>
              <w:rPr>
                <w:sz w:val="18"/>
                <w:szCs w:val="18"/>
                <w:lang w:bidi="ar"/>
              </w:rPr>
              <w:t>/</w:t>
            </w:r>
            <w:r>
              <w:rPr>
                <w:rFonts w:hint="eastAsia"/>
                <w:sz w:val="18"/>
                <w:szCs w:val="18"/>
                <w:lang w:bidi="ar"/>
              </w:rPr>
              <w:t>开发解决方案</w:t>
            </w:r>
          </w:p>
        </w:tc>
        <w:tc>
          <w:tcPr>
            <w:tcW w:w="5811" w:type="dxa"/>
            <w:tcBorders>
              <w:top w:val="single" w:color="auto" w:sz="4" w:space="0"/>
              <w:left w:val="single" w:color="auto" w:sz="4" w:space="0"/>
              <w:right w:val="single" w:color="auto" w:sz="4" w:space="0"/>
            </w:tcBorders>
            <w:shd w:val="clear" w:color="auto" w:fill="FFFFFF"/>
          </w:tcPr>
          <w:p>
            <w:pPr>
              <w:snapToGrid w:val="0"/>
              <w:spacing w:line="300" w:lineRule="auto"/>
              <w:rPr>
                <w:sz w:val="18"/>
                <w:szCs w:val="18"/>
                <w:lang w:bidi="ar"/>
              </w:rPr>
            </w:pPr>
            <w:r>
              <w:rPr>
                <w:rFonts w:hint="eastAsia" w:ascii="Times New Roman" w:hAnsi="Times New Roman"/>
                <w:sz w:val="18"/>
                <w:szCs w:val="18"/>
                <w:lang w:bidi="ar"/>
              </w:rPr>
              <w:t>3.1</w:t>
            </w:r>
            <w:r>
              <w:rPr>
                <w:rFonts w:ascii="Times New Roman" w:hAnsi="Times New Roman"/>
                <w:sz w:val="18"/>
                <w:szCs w:val="18"/>
                <w:lang w:bidi="ar"/>
              </w:rPr>
              <w:t>能够利用专业知识，针对给定需求，设计出满足要求的系统总体方案与系统拓扑图、单元子系统（或单元电路）、软硬件模块或工艺</w:t>
            </w:r>
            <w:r>
              <w:rPr>
                <w:rFonts w:hint="eastAsia" w:ascii="Times New Roman" w:hAnsi="Times New Roman"/>
                <w:sz w:val="18"/>
                <w:szCs w:val="18"/>
                <w:lang w:bidi="ar"/>
              </w:rPr>
              <w:t>流程</w:t>
            </w:r>
            <w:r>
              <w:rPr>
                <w:rFonts w:ascii="Times New Roman" w:hAnsi="Times New Roman"/>
                <w:sz w:val="18"/>
                <w:szCs w:val="18"/>
                <w:lang w:bidi="ar"/>
              </w:rPr>
              <w:t>。</w:t>
            </w:r>
          </w:p>
        </w:tc>
        <w:tc>
          <w:tcPr>
            <w:tcW w:w="992"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jc w:val="center"/>
              <w:rPr>
                <w:sz w:val="18"/>
                <w:szCs w:val="18"/>
              </w:rPr>
            </w:pPr>
            <w:r>
              <w:rPr>
                <w:sz w:val="18"/>
                <w:szCs w:val="18"/>
                <w:lang w:bidi="ar"/>
              </w:rPr>
              <w:t>2</w:t>
            </w:r>
          </w:p>
        </w:tc>
        <w:tc>
          <w:tcPr>
            <w:tcW w:w="775"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rPr>
                <w:sz w:val="18"/>
                <w:szCs w:val="18"/>
              </w:rPr>
            </w:pPr>
            <w:r>
              <w:rPr>
                <w:rFonts w:hint="eastAsia" w:ascii="Times New Roman" w:hAnsi="Times New Roman"/>
                <w:sz w:val="18"/>
                <w:szCs w:val="18"/>
                <w:lang w:bidi="ar"/>
              </w:rPr>
              <w:t>0.</w:t>
            </w:r>
            <w:r>
              <w:rPr>
                <w:rFonts w:ascii="Times New Roman" w:hAnsi="Times New Roman"/>
                <w:sz w:val="18"/>
                <w:szCs w:val="18"/>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8" w:hRule="atLeast"/>
          <w:jc w:val="center"/>
        </w:trPr>
        <w:tc>
          <w:tcPr>
            <w:tcW w:w="1101" w:type="dxa"/>
            <w:vMerge w:val="continue"/>
            <w:tcBorders>
              <w:left w:val="single" w:color="auto" w:sz="4" w:space="0"/>
              <w:right w:val="single" w:color="auto" w:sz="4" w:space="0"/>
            </w:tcBorders>
            <w:shd w:val="clear" w:color="auto" w:fill="FFFFFF"/>
            <w:vAlign w:val="center"/>
          </w:tcPr>
          <w:p>
            <w:pPr>
              <w:snapToGrid w:val="0"/>
              <w:spacing w:line="300" w:lineRule="auto"/>
            </w:pPr>
          </w:p>
        </w:tc>
        <w:tc>
          <w:tcPr>
            <w:tcW w:w="5811" w:type="dxa"/>
            <w:tcBorders>
              <w:top w:val="single" w:color="auto" w:sz="4" w:space="0"/>
              <w:left w:val="single" w:color="auto" w:sz="4" w:space="0"/>
              <w:right w:val="single" w:color="auto" w:sz="4" w:space="0"/>
            </w:tcBorders>
            <w:shd w:val="clear" w:color="auto" w:fill="FFFFFF"/>
          </w:tcPr>
          <w:p>
            <w:pPr>
              <w:snapToGrid w:val="0"/>
              <w:spacing w:line="300" w:lineRule="auto"/>
              <w:rPr>
                <w:sz w:val="18"/>
                <w:szCs w:val="18"/>
                <w:lang w:bidi="ar"/>
              </w:rPr>
            </w:pPr>
            <w:r>
              <w:rPr>
                <w:rFonts w:hint="eastAsia" w:ascii="Times New Roman" w:hAnsi="Times New Roman"/>
                <w:sz w:val="18"/>
                <w:szCs w:val="18"/>
                <w:lang w:bidi="ar"/>
              </w:rPr>
              <w:t>3.2能够</w:t>
            </w:r>
            <w:r>
              <w:rPr>
                <w:rFonts w:ascii="Times New Roman" w:hAnsi="Times New Roman"/>
                <w:sz w:val="18"/>
                <w:szCs w:val="18"/>
                <w:lang w:bidi="ar"/>
              </w:rPr>
              <w:t>在设计中综合利用电子信息工程的专业知识和新技术，体现创新意识。</w:t>
            </w:r>
          </w:p>
        </w:tc>
        <w:tc>
          <w:tcPr>
            <w:tcW w:w="992" w:type="dxa"/>
            <w:vMerge w:val="continue"/>
            <w:tcBorders>
              <w:left w:val="single" w:color="auto" w:sz="4" w:space="0"/>
              <w:right w:val="single" w:color="auto" w:sz="4" w:space="0"/>
            </w:tcBorders>
            <w:shd w:val="clear" w:color="auto" w:fill="FFFFFF"/>
            <w:vAlign w:val="center"/>
          </w:tcPr>
          <w:p>
            <w:pPr>
              <w:snapToGrid w:val="0"/>
              <w:spacing w:line="300" w:lineRule="auto"/>
              <w:rPr>
                <w:sz w:val="18"/>
                <w:szCs w:val="18"/>
                <w:lang w:bidi="ar"/>
              </w:rPr>
            </w:pPr>
          </w:p>
        </w:tc>
        <w:tc>
          <w:tcPr>
            <w:tcW w:w="775" w:type="dxa"/>
            <w:vMerge w:val="continue"/>
            <w:tcBorders>
              <w:left w:val="single" w:color="auto" w:sz="4" w:space="0"/>
              <w:right w:val="single" w:color="auto" w:sz="4" w:space="0"/>
            </w:tcBorders>
            <w:shd w:val="clear" w:color="auto" w:fill="FFFFFF"/>
            <w:vAlign w:val="center"/>
          </w:tcPr>
          <w:p>
            <w:pPr>
              <w:snapToGrid w:val="0"/>
              <w:spacing w:line="300" w:lineRule="auto"/>
              <w:rPr>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8" w:hRule="atLeast"/>
          <w:jc w:val="center"/>
        </w:trPr>
        <w:tc>
          <w:tcPr>
            <w:tcW w:w="1101"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p>
        </w:tc>
        <w:tc>
          <w:tcPr>
            <w:tcW w:w="5811" w:type="dxa"/>
            <w:tcBorders>
              <w:top w:val="single" w:color="auto" w:sz="4" w:space="0"/>
              <w:left w:val="single" w:color="auto" w:sz="4" w:space="0"/>
              <w:right w:val="single" w:color="auto" w:sz="4" w:space="0"/>
            </w:tcBorders>
            <w:shd w:val="clear" w:color="auto" w:fill="FFFFFF"/>
          </w:tcPr>
          <w:p>
            <w:pPr>
              <w:snapToGrid w:val="0"/>
              <w:spacing w:line="300" w:lineRule="auto"/>
              <w:rPr>
                <w:sz w:val="18"/>
                <w:szCs w:val="18"/>
                <w:lang w:bidi="ar"/>
              </w:rPr>
            </w:pPr>
            <w:r>
              <w:rPr>
                <w:rFonts w:hint="eastAsia" w:ascii="Times New Roman" w:hAnsi="Times New Roman"/>
                <w:sz w:val="18"/>
                <w:szCs w:val="18"/>
                <w:lang w:bidi="ar"/>
              </w:rPr>
              <w:t>3.3能够在设计中充分考虑社会、健康、安全、法律、文化以及环境等因素。</w:t>
            </w:r>
          </w:p>
        </w:tc>
        <w:tc>
          <w:tcPr>
            <w:tcW w:w="992"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p>
        </w:tc>
        <w:tc>
          <w:tcPr>
            <w:tcW w:w="775"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6" w:hRule="atLeast"/>
          <w:jc w:val="center"/>
        </w:trPr>
        <w:tc>
          <w:tcPr>
            <w:tcW w:w="1101"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rPr>
                <w:sz w:val="18"/>
                <w:szCs w:val="18"/>
                <w:lang w:bidi="ar"/>
              </w:rPr>
            </w:pPr>
            <w:r>
              <w:rPr>
                <w:sz w:val="18"/>
                <w:szCs w:val="18"/>
                <w:lang w:bidi="ar"/>
              </w:rPr>
              <w:t>4</w:t>
            </w:r>
            <w:r>
              <w:rPr>
                <w:rFonts w:hint="eastAsia"/>
                <w:sz w:val="18"/>
                <w:szCs w:val="18"/>
                <w:lang w:bidi="ar"/>
              </w:rPr>
              <w:t>．研究</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sz w:val="18"/>
                <w:szCs w:val="18"/>
                <w:lang w:bidi="ar"/>
              </w:rPr>
              <w:t>4.</w:t>
            </w:r>
            <w:r>
              <w:rPr>
                <w:rFonts w:hint="eastAsia"/>
                <w:sz w:val="18"/>
                <w:szCs w:val="18"/>
                <w:lang w:bidi="ar"/>
              </w:rPr>
              <w:t>1具备基于电子信息科学原理采用科学方法对复杂工程问题的技术路线、实验方案、软/硬件模块和存在的问题进行研究的能力。</w:t>
            </w:r>
          </w:p>
        </w:tc>
        <w:tc>
          <w:tcPr>
            <w:tcW w:w="992"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jc w:val="center"/>
              <w:rPr>
                <w:sz w:val="18"/>
                <w:szCs w:val="18"/>
              </w:rPr>
            </w:pPr>
            <w:r>
              <w:rPr>
                <w:rFonts w:hint="eastAsia"/>
                <w:sz w:val="18"/>
                <w:szCs w:val="18"/>
                <w:lang w:bidi="ar"/>
              </w:rPr>
              <w:t>2</w:t>
            </w:r>
          </w:p>
        </w:tc>
        <w:tc>
          <w:tcPr>
            <w:tcW w:w="775" w:type="dxa"/>
            <w:vMerge w:val="restart"/>
            <w:tcBorders>
              <w:top w:val="single" w:color="auto" w:sz="4" w:space="0"/>
              <w:left w:val="single" w:color="auto" w:sz="4" w:space="0"/>
              <w:right w:val="single" w:color="auto" w:sz="4" w:space="0"/>
            </w:tcBorders>
            <w:shd w:val="clear" w:color="auto" w:fill="FFFFFF"/>
            <w:vAlign w:val="center"/>
          </w:tcPr>
          <w:p>
            <w:pPr>
              <w:snapToGrid w:val="0"/>
              <w:spacing w:line="300" w:lineRule="auto"/>
              <w:rPr>
                <w:sz w:val="18"/>
                <w:szCs w:val="18"/>
              </w:rPr>
            </w:pPr>
            <w:r>
              <w:rPr>
                <w:rFonts w:ascii="Times New Roman" w:hAnsi="Times New Roman"/>
                <w:sz w:val="18"/>
                <w:szCs w:val="18"/>
                <w:lang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6" w:hRule="atLeast"/>
          <w:jc w:val="center"/>
        </w:trPr>
        <w:tc>
          <w:tcPr>
            <w:tcW w:w="1101"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pP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sz w:val="18"/>
                <w:szCs w:val="18"/>
                <w:lang w:bidi="ar"/>
              </w:rPr>
              <w:t>4.</w:t>
            </w:r>
            <w:r>
              <w:rPr>
                <w:rFonts w:hint="eastAsia"/>
                <w:sz w:val="18"/>
                <w:szCs w:val="18"/>
                <w:lang w:bidi="ar"/>
              </w:rPr>
              <w:t>3能够</w:t>
            </w:r>
            <w:r>
              <w:rPr>
                <w:sz w:val="18"/>
                <w:szCs w:val="18"/>
                <w:lang w:bidi="ar"/>
              </w:rPr>
              <w:t>对实验数据进行分析、解释，并通过信息综合得到合理有效结论。</w:t>
            </w:r>
          </w:p>
        </w:tc>
        <w:tc>
          <w:tcPr>
            <w:tcW w:w="992"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p>
        </w:tc>
        <w:tc>
          <w:tcPr>
            <w:tcW w:w="775" w:type="dxa"/>
            <w:vMerge w:val="continue"/>
            <w:tcBorders>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4"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rFonts w:hint="eastAsia"/>
                <w:sz w:val="18"/>
                <w:szCs w:val="18"/>
                <w:lang w:bidi="ar"/>
              </w:rPr>
              <w:t>6工程与社会</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6.1具有工程实践经历，了解电子信息行业相关的技术标准、知识产权、产业政策和法律法规，了解工程实践和电子信息复杂工程问题解决方案与社会、健康、安全、法律以及文化的关系。</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center"/>
              <w:rPr>
                <w:sz w:val="18"/>
                <w:szCs w:val="18"/>
              </w:rPr>
            </w:pPr>
            <w:r>
              <w:rPr>
                <w:rFonts w:hint="eastAsia"/>
                <w:sz w:val="18"/>
                <w:szCs w:val="18"/>
                <w:lang w:bidi="ar"/>
              </w:rPr>
              <w:t>3</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rFonts w:ascii="Times New Roman" w:hAnsi="Times New Roman"/>
                <w:sz w:val="18"/>
                <w:szCs w:val="18"/>
                <w:lang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6"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rFonts w:hint="eastAsia"/>
                <w:sz w:val="18"/>
                <w:szCs w:val="18"/>
                <w:lang w:bidi="ar"/>
              </w:rPr>
              <w:t>7环境和可持续发展</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7.2能够理解和评价电子信息领域复杂工程问题对环境、社会可持续发展的影响。</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center"/>
              <w:rPr>
                <w:sz w:val="18"/>
                <w:szCs w:val="18"/>
              </w:rPr>
            </w:pPr>
            <w:r>
              <w:rPr>
                <w:rFonts w:hint="eastAsia"/>
                <w:sz w:val="18"/>
                <w:szCs w:val="18"/>
                <w:lang w:bidi="ar"/>
              </w:rPr>
              <w:t>4</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rPr>
            </w:pPr>
            <w:r>
              <w:rPr>
                <w:rFonts w:ascii="Times New Roman" w:hAnsi="Times New Roman"/>
                <w:sz w:val="18"/>
                <w:szCs w:val="18"/>
                <w:lang w:bidi="ar"/>
              </w:rPr>
              <w:t>0.</w:t>
            </w:r>
            <w:r>
              <w:rPr>
                <w:rFonts w:hint="eastAsia" w:ascii="Times New Roman" w:hAnsi="Times New Roman"/>
                <w:sz w:val="18"/>
                <w:szCs w:val="18"/>
                <w:lang w:bidi="ar"/>
              </w:rPr>
              <w:t>1</w:t>
            </w:r>
            <w:r>
              <w:rPr>
                <w:rFonts w:ascii="Times New Roman" w:hAnsi="Times New Roman"/>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6"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8职业规范</w:t>
            </w:r>
          </w:p>
          <w:p>
            <w:pPr>
              <w:snapToGrid w:val="0"/>
              <w:spacing w:line="300" w:lineRule="auto"/>
              <w:rPr>
                <w:sz w:val="18"/>
                <w:szCs w:val="18"/>
                <w:lang w:bidi="ar"/>
              </w:rPr>
            </w:pP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8.2理解工程师的职业道德规范，在工程实践中能自觉遵守职业道德和规范，履行责任，成为中国特色社会主义事业合格的建设者。</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center"/>
              <w:rPr>
                <w:sz w:val="18"/>
                <w:szCs w:val="18"/>
                <w:lang w:bidi="ar"/>
              </w:rPr>
            </w:pPr>
            <w:r>
              <w:rPr>
                <w:rFonts w:hint="eastAsia"/>
                <w:sz w:val="18"/>
                <w:szCs w:val="18"/>
                <w:lang w:bidi="ar"/>
              </w:rPr>
              <w:t>5</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ascii="Times New Roman" w:hAnsi="Times New Roman"/>
                <w:sz w:val="18"/>
                <w:szCs w:val="18"/>
                <w:lang w:bidi="ar"/>
              </w:rPr>
              <w:t>0.</w:t>
            </w:r>
            <w:r>
              <w:rPr>
                <w:rFonts w:ascii="Times New Roman" w:hAnsi="Times New Roman"/>
                <w:sz w:val="18"/>
                <w:szCs w:val="18"/>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6"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11项目管理</w:t>
            </w:r>
          </w:p>
        </w:tc>
        <w:tc>
          <w:tcPr>
            <w:tcW w:w="581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sz w:val="18"/>
                <w:szCs w:val="18"/>
                <w:lang w:bidi="ar"/>
              </w:rPr>
              <w:t>11.2能够在多学科环境中应用工程管理原理与经济决策方法。</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jc w:val="center"/>
              <w:rPr>
                <w:sz w:val="18"/>
                <w:szCs w:val="18"/>
                <w:lang w:bidi="ar"/>
              </w:rPr>
            </w:pPr>
            <w:r>
              <w:rPr>
                <w:rFonts w:hint="eastAsia"/>
                <w:sz w:val="18"/>
                <w:szCs w:val="18"/>
                <w:lang w:bidi="ar"/>
              </w:rPr>
              <w:t>6</w:t>
            </w:r>
          </w:p>
        </w:tc>
        <w:tc>
          <w:tcPr>
            <w:tcW w:w="775"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lang w:bidi="ar"/>
              </w:rPr>
            </w:pPr>
            <w:r>
              <w:rPr>
                <w:rFonts w:hint="eastAsia" w:ascii="Times New Roman" w:hAnsi="Times New Roman"/>
                <w:sz w:val="18"/>
                <w:szCs w:val="18"/>
                <w:lang w:bidi="ar"/>
              </w:rPr>
              <w:t>0.</w:t>
            </w:r>
            <w:r>
              <w:rPr>
                <w:rFonts w:ascii="Times New Roman" w:hAnsi="Times New Roman"/>
                <w:sz w:val="18"/>
                <w:szCs w:val="18"/>
                <w:lang w:bidi="ar"/>
              </w:rPr>
              <w:t>05</w:t>
            </w:r>
          </w:p>
        </w:tc>
      </w:tr>
    </w:tbl>
    <w:p>
      <w:pPr>
        <w:snapToGrid w:val="0"/>
        <w:spacing w:before="156" w:beforeLines="50" w:after="156" w:afterLines="50" w:line="300" w:lineRule="auto"/>
        <w:rPr>
          <w:b/>
          <w:sz w:val="24"/>
          <w:lang w:bidi="ar"/>
        </w:rPr>
      </w:pPr>
      <w:r>
        <w:rPr>
          <w:rFonts w:hint="eastAsia"/>
          <w:b/>
          <w:sz w:val="24"/>
          <w:lang w:bidi="ar"/>
        </w:rPr>
        <w:t>三、课程教学目标达成途径（或教学设计）</w:t>
      </w:r>
    </w:p>
    <w:p>
      <w:pPr>
        <w:widowControl/>
        <w:snapToGrid w:val="0"/>
        <w:spacing w:before="156" w:beforeLines="50" w:line="300" w:lineRule="auto"/>
        <w:jc w:val="center"/>
        <w:rPr>
          <w:b/>
          <w:sz w:val="18"/>
          <w:szCs w:val="18"/>
          <w:shd w:val="clear" w:color="auto" w:fill="FEFEFF"/>
        </w:rPr>
      </w:pPr>
      <w:r>
        <w:rPr>
          <w:rFonts w:hint="eastAsia"/>
          <w:b/>
          <w:sz w:val="18"/>
          <w:szCs w:val="18"/>
          <w:shd w:val="clear" w:color="auto" w:fill="FEFEFF"/>
          <w:lang w:bidi="ar"/>
        </w:rPr>
        <w:t>表</w:t>
      </w:r>
      <w:r>
        <w:rPr>
          <w:b/>
          <w:sz w:val="18"/>
          <w:szCs w:val="18"/>
          <w:shd w:val="clear" w:color="auto" w:fill="FEFEFF"/>
          <w:lang w:bidi="ar"/>
        </w:rPr>
        <w:t xml:space="preserve">2 </w:t>
      </w:r>
      <w:r>
        <w:rPr>
          <w:rFonts w:hint="eastAsia"/>
          <w:b/>
          <w:sz w:val="18"/>
          <w:szCs w:val="18"/>
          <w:shd w:val="clear" w:color="auto" w:fill="FEFEFF"/>
          <w:lang w:bidi="ar"/>
        </w:rPr>
        <w:t>教学目标达成途径</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7"/>
        <w:gridCol w:w="2293"/>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9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rFonts w:hint="eastAsia"/>
                <w:b/>
                <w:sz w:val="18"/>
                <w:szCs w:val="18"/>
                <w:lang w:bidi="ar"/>
              </w:rPr>
              <w:t>课程目标</w:t>
            </w:r>
          </w:p>
        </w:tc>
        <w:tc>
          <w:tcPr>
            <w:tcW w:w="229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rFonts w:hint="eastAsia"/>
                <w:b/>
                <w:sz w:val="18"/>
                <w:szCs w:val="18"/>
                <w:lang w:bidi="ar"/>
              </w:rPr>
              <w:t>达成途径</w:t>
            </w:r>
          </w:p>
        </w:tc>
        <w:tc>
          <w:tcPr>
            <w:tcW w:w="168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b/>
                <w:sz w:val="18"/>
                <w:szCs w:val="18"/>
              </w:rPr>
            </w:pPr>
            <w:r>
              <w:rPr>
                <w:rFonts w:hint="eastAsia"/>
                <w:b/>
                <w:sz w:val="18"/>
                <w:szCs w:val="18"/>
                <w:lang w:bidi="ar"/>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numPr>
                <w:ilvl w:val="0"/>
                <w:numId w:val="89"/>
              </w:numPr>
              <w:snapToGrid w:val="0"/>
              <w:spacing w:line="300" w:lineRule="auto"/>
              <w:jc w:val="left"/>
              <w:rPr>
                <w:sz w:val="18"/>
                <w:szCs w:val="18"/>
                <w:shd w:val="clear" w:color="auto" w:fill="FEFEFF"/>
              </w:rPr>
            </w:pPr>
            <w:r>
              <w:rPr>
                <w:rFonts w:hint="eastAsia"/>
                <w:szCs w:val="21"/>
                <w:lang w:bidi="ar"/>
              </w:rPr>
              <w:t>具有文献检索、整理和整理的能力，并通过文献表达复杂工程问题，并得到解决方法。[</w:t>
            </w:r>
            <w:r>
              <w:rPr>
                <w:szCs w:val="21"/>
                <w:lang w:bidi="ar"/>
              </w:rPr>
              <w:t>2</w:t>
            </w:r>
            <w:r>
              <w:rPr>
                <w:rFonts w:hint="eastAsia"/>
                <w:szCs w:val="21"/>
                <w:lang w:bidi="ar"/>
              </w:rPr>
              <w:t>.</w:t>
            </w:r>
            <w:r>
              <w:rPr>
                <w:szCs w:val="21"/>
                <w:lang w:bidi="ar"/>
              </w:rPr>
              <w:t>3</w:t>
            </w:r>
            <w:r>
              <w:rPr>
                <w:rFonts w:hint="eastAsia"/>
                <w:szCs w:val="21"/>
                <w:lang w:bidi="ar"/>
              </w:rPr>
              <w:t>]</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指定阅读，现场汇报与指导、网络汇报、研讨与自学等达成。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网络或现场汇报、相关记录、大作业等原始材料考评。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Cs w:val="21"/>
                <w:lang w:bidi="ar"/>
              </w:rPr>
            </w:pPr>
            <w:r>
              <w:rPr>
                <w:rFonts w:hint="eastAsia" w:ascii="Times New Roman" w:hAnsi="Times New Roman"/>
                <w:szCs w:val="21"/>
                <w:lang w:bidi="ar"/>
              </w:rPr>
              <w:t>2</w:t>
            </w:r>
            <w:r>
              <w:rPr>
                <w:rFonts w:ascii="Times New Roman" w:hAnsi="Times New Roman"/>
                <w:szCs w:val="21"/>
                <w:lang w:bidi="ar"/>
              </w:rPr>
              <w:t xml:space="preserve">. </w:t>
            </w:r>
            <w:r>
              <w:rPr>
                <w:rFonts w:hint="eastAsia" w:ascii="Times New Roman" w:hAnsi="Times New Roman"/>
                <w:szCs w:val="21"/>
                <w:lang w:bidi="ar"/>
              </w:rPr>
              <w:t>针对毕业设计题目中的电子信息工程的复杂工程问题，能够设计</w:t>
            </w:r>
            <w:r>
              <w:rPr>
                <w:rFonts w:ascii="Times New Roman" w:hAnsi="Times New Roman"/>
                <w:szCs w:val="21"/>
                <w:lang w:bidi="ar"/>
              </w:rPr>
              <w:t>出解决方案</w:t>
            </w:r>
            <w:r>
              <w:rPr>
                <w:rFonts w:hint="eastAsia" w:ascii="Times New Roman" w:hAnsi="Times New Roman"/>
                <w:szCs w:val="21"/>
                <w:lang w:bidi="ar"/>
              </w:rPr>
              <w:t>与满足</w:t>
            </w:r>
            <w:r>
              <w:rPr>
                <w:rFonts w:ascii="Times New Roman" w:hAnsi="Times New Roman"/>
                <w:szCs w:val="21"/>
                <w:lang w:bidi="ar"/>
              </w:rPr>
              <w:t>特定需求的系统等，并</w:t>
            </w:r>
            <w:r>
              <w:rPr>
                <w:rFonts w:hint="eastAsia" w:ascii="Times New Roman" w:hAnsi="Times New Roman"/>
                <w:szCs w:val="21"/>
                <w:lang w:bidi="ar"/>
              </w:rPr>
              <w:t>具备</w:t>
            </w:r>
            <w:r>
              <w:rPr>
                <w:szCs w:val="21"/>
              </w:rPr>
              <w:t>采用科学方法对复杂工程问题的技术路线</w:t>
            </w:r>
            <w:r>
              <w:rPr>
                <w:rFonts w:hint="eastAsia"/>
                <w:szCs w:val="21"/>
              </w:rPr>
              <w:t>、</w:t>
            </w:r>
            <w:r>
              <w:rPr>
                <w:szCs w:val="21"/>
              </w:rPr>
              <w:t>实验方案、软/硬件模块和存在的问题进行研究的能力</w:t>
            </w:r>
            <w:r>
              <w:rPr>
                <w:rFonts w:hint="eastAsia" w:ascii="Times New Roman" w:hAnsi="Times New Roman"/>
                <w:szCs w:val="21"/>
                <w:lang w:bidi="ar"/>
              </w:rPr>
              <w:t>；具有对实验数据进行分析、处理得到合理有效的结论的研究能力；具备选择最佳方案开展课题研发能力，且方案或设计中能适当考虑社会、健康、安全、法律、文化及环境因素。[</w:t>
            </w:r>
            <w:r>
              <w:rPr>
                <w:rFonts w:ascii="Times New Roman" w:hAnsi="Times New Roman"/>
                <w:szCs w:val="21"/>
                <w:lang w:bidi="ar"/>
              </w:rPr>
              <w:t>3.1][3.2]</w:t>
            </w:r>
            <w:r>
              <w:rPr>
                <w:rFonts w:hint="eastAsia" w:ascii="Times New Roman" w:hAnsi="Times New Roman"/>
                <w:szCs w:val="21"/>
                <w:lang w:bidi="ar"/>
              </w:rPr>
              <w:t xml:space="preserve">[3.3] </w:t>
            </w:r>
            <w:r>
              <w:rPr>
                <w:rFonts w:ascii="Times New Roman" w:hAnsi="Times New Roman"/>
                <w:szCs w:val="21"/>
                <w:lang w:bidi="ar"/>
              </w:rPr>
              <w:t>[4</w:t>
            </w:r>
            <w:r>
              <w:rPr>
                <w:rFonts w:hint="eastAsia" w:ascii="Times New Roman" w:hAnsi="Times New Roman"/>
                <w:szCs w:val="21"/>
                <w:lang w:bidi="ar"/>
              </w:rPr>
              <w:t>.1</w:t>
            </w:r>
            <w:r>
              <w:rPr>
                <w:rFonts w:ascii="Times New Roman" w:hAnsi="Times New Roman"/>
                <w:szCs w:val="21"/>
                <w:lang w:bidi="ar"/>
              </w:rPr>
              <w:t>]</w:t>
            </w:r>
            <w:r>
              <w:rPr>
                <w:rFonts w:hint="eastAsia" w:ascii="Times New Roman" w:hAnsi="Times New Roman"/>
                <w:szCs w:val="21"/>
                <w:lang w:bidi="ar"/>
              </w:rPr>
              <w:t xml:space="preserve"> </w:t>
            </w:r>
            <w:r>
              <w:rPr>
                <w:rFonts w:ascii="Times New Roman" w:hAnsi="Times New Roman"/>
                <w:szCs w:val="21"/>
                <w:lang w:bidi="ar"/>
              </w:rPr>
              <w:t>[4</w:t>
            </w:r>
            <w:r>
              <w:rPr>
                <w:rFonts w:hint="eastAsia" w:ascii="Times New Roman" w:hAnsi="Times New Roman"/>
                <w:szCs w:val="21"/>
                <w:lang w:bidi="ar"/>
              </w:rPr>
              <w:t>.3</w:t>
            </w:r>
            <w:r>
              <w:rPr>
                <w:rFonts w:ascii="Times New Roman" w:hAnsi="Times New Roman"/>
                <w:szCs w:val="21"/>
                <w:lang w:bidi="ar"/>
              </w:rPr>
              <w:t>]</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指定阅读，现场或网络研讨与指导以及自学等达成。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numPr>
                <w:ilvl w:val="0"/>
                <w:numId w:val="90"/>
              </w:numPr>
              <w:snapToGrid w:val="0"/>
              <w:spacing w:line="300" w:lineRule="auto"/>
              <w:jc w:val="left"/>
              <w:rPr>
                <w:szCs w:val="21"/>
                <w:lang w:bidi="ar"/>
              </w:rPr>
            </w:pPr>
            <w:r>
              <w:rPr>
                <w:szCs w:val="21"/>
                <w:lang w:bidi="ar"/>
              </w:rPr>
              <w:t>加深对实习企业知识产权、产品国家质量标准与质量、企业所在地产业政策与新兴技术的鼓励支持力度了解，了解社会对本专业的人才需要状况以及电子信息行业与企业产品的社会价值。[6</w:t>
            </w:r>
            <w:r>
              <w:rPr>
                <w:rFonts w:hint="eastAsia"/>
                <w:szCs w:val="21"/>
                <w:lang w:bidi="ar"/>
              </w:rPr>
              <w:t>.</w:t>
            </w:r>
            <w:r>
              <w:rPr>
                <w:szCs w:val="21"/>
                <w:lang w:bidi="ar"/>
              </w:rPr>
              <w:t>1]</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指定阅读，现场或网络研讨与指导以及自学等达成。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网络或答辩、报告等原始材料考评。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Cs w:val="21"/>
                <w:lang w:bidi="ar"/>
              </w:rPr>
            </w:pPr>
            <w:r>
              <w:rPr>
                <w:szCs w:val="21"/>
                <w:lang w:bidi="ar"/>
              </w:rPr>
              <w:t>4</w:t>
            </w:r>
            <w:r>
              <w:rPr>
                <w:rFonts w:hint="eastAsia"/>
                <w:szCs w:val="21"/>
                <w:lang w:bidi="ar"/>
              </w:rPr>
              <w:t>．</w:t>
            </w:r>
            <w:r>
              <w:rPr>
                <w:szCs w:val="21"/>
                <w:lang w:bidi="ar"/>
              </w:rPr>
              <w:t>掌握电子信息工程专业仪器、仪表等现代工程工具的基本原理、操作方法，理解其局限性，并在复杂工程问题中合理选择并使用其进行生产试验的基本方法。[7</w:t>
            </w:r>
            <w:r>
              <w:rPr>
                <w:rFonts w:hint="eastAsia"/>
                <w:szCs w:val="21"/>
                <w:lang w:bidi="ar"/>
              </w:rPr>
              <w:t>.</w:t>
            </w:r>
            <w:r>
              <w:rPr>
                <w:szCs w:val="21"/>
                <w:lang w:bidi="ar"/>
              </w:rPr>
              <w:t>2]</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指定阅读，现场或网络研讨与指导以及自学等达成。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网络或现场汇报、相关记录等原始材料考评。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Cs w:val="21"/>
                <w:lang w:bidi="ar"/>
              </w:rPr>
            </w:pPr>
            <w:r>
              <w:rPr>
                <w:rFonts w:hint="eastAsia"/>
                <w:szCs w:val="21"/>
                <w:lang w:bidi="ar"/>
              </w:rPr>
              <w:t>5.</w:t>
            </w:r>
            <w:r>
              <w:rPr>
                <w:szCs w:val="21"/>
                <w:lang w:bidi="ar"/>
              </w:rPr>
              <w:t>学会能够初步运用工程管理与技术经济的基本知识，进行合理的企业</w:t>
            </w:r>
            <w:r>
              <w:rPr>
                <w:rFonts w:hint="eastAsia"/>
                <w:szCs w:val="21"/>
                <w:lang w:bidi="ar"/>
              </w:rPr>
              <w:t>辅助</w:t>
            </w:r>
            <w:r>
              <w:rPr>
                <w:szCs w:val="21"/>
                <w:lang w:bidi="ar"/>
              </w:rPr>
              <w:t>决策</w:t>
            </w:r>
            <w:r>
              <w:rPr>
                <w:rFonts w:hint="eastAsia"/>
                <w:szCs w:val="21"/>
                <w:lang w:bidi="ar"/>
              </w:rPr>
              <w:t>，提出和理性建议</w:t>
            </w:r>
            <w:r>
              <w:rPr>
                <w:szCs w:val="21"/>
                <w:lang w:bidi="ar"/>
              </w:rPr>
              <w:t>；具有一定的组织项目开发的经历和基本的项目管理能力，能运用具体案例和实践经验来提高电子信息类项目管理实践能力。 [11</w:t>
            </w:r>
            <w:r>
              <w:rPr>
                <w:rFonts w:hint="eastAsia"/>
                <w:szCs w:val="21"/>
                <w:lang w:bidi="ar"/>
              </w:rPr>
              <w:t>.</w:t>
            </w:r>
            <w:r>
              <w:rPr>
                <w:szCs w:val="21"/>
                <w:lang w:bidi="ar"/>
              </w:rPr>
              <w:t>2]</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指定阅读，现场或网络研讨与指导以及自学等达成。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shd w:val="clear" w:color="auto" w:fill="FEFEFF"/>
              </w:rPr>
            </w:pPr>
            <w:r>
              <w:rPr>
                <w:rFonts w:hint="eastAsia"/>
                <w:sz w:val="18"/>
                <w:szCs w:val="18"/>
                <w:lang w:bidi="ar"/>
              </w:rPr>
              <w:t>网络或现场汇报、相关记录等材料考评。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697"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Cs w:val="21"/>
                <w:lang w:bidi="ar"/>
              </w:rPr>
            </w:pPr>
            <w:r>
              <w:rPr>
                <w:rFonts w:hint="eastAsia"/>
                <w:szCs w:val="21"/>
                <w:lang w:bidi="ar"/>
              </w:rPr>
              <w:t>6.具有感知企业在社会主义建设中的主要作用的能力，培养自己正确的人生观、劳动观，挖掘劳动者创造美的本质，并认真学习与努力培养企业“工匠”精神；能够在工程实践中理解并遵守工程职业道德和规范，具有社会责任感，履行责任，具有肩负起祖国工程创新的意识与使命感。[8.2]</w:t>
            </w:r>
          </w:p>
        </w:tc>
        <w:tc>
          <w:tcPr>
            <w:tcW w:w="2293"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lang w:bidi="ar"/>
              </w:rPr>
            </w:pPr>
            <w:r>
              <w:rPr>
                <w:rFonts w:hint="eastAsia"/>
                <w:sz w:val="18"/>
                <w:szCs w:val="18"/>
                <w:lang w:bidi="ar"/>
              </w:rPr>
              <w:t>指定阅读，现场或网络研讨与指导以及自学等达成。</w:t>
            </w:r>
          </w:p>
        </w:tc>
        <w:tc>
          <w:tcPr>
            <w:tcW w:w="1688" w:type="dxa"/>
            <w:tcBorders>
              <w:top w:val="single" w:color="auto" w:sz="4" w:space="0"/>
              <w:left w:val="single" w:color="auto" w:sz="4" w:space="0"/>
              <w:bottom w:val="single" w:color="auto" w:sz="4" w:space="0"/>
              <w:right w:val="single" w:color="auto" w:sz="4" w:space="0"/>
            </w:tcBorders>
            <w:shd w:val="clear" w:color="auto" w:fill="FFFFFF"/>
          </w:tcPr>
          <w:p>
            <w:pPr>
              <w:widowControl/>
              <w:snapToGrid w:val="0"/>
              <w:spacing w:line="300" w:lineRule="auto"/>
              <w:jc w:val="left"/>
              <w:rPr>
                <w:sz w:val="18"/>
                <w:szCs w:val="18"/>
                <w:lang w:bidi="ar"/>
              </w:rPr>
            </w:pPr>
            <w:r>
              <w:rPr>
                <w:rFonts w:hint="eastAsia"/>
                <w:sz w:val="18"/>
                <w:szCs w:val="18"/>
                <w:lang w:bidi="ar"/>
              </w:rPr>
              <w:t>网络或现场汇报、相关记录等材料考评。</w:t>
            </w:r>
          </w:p>
        </w:tc>
      </w:tr>
    </w:tbl>
    <w:p>
      <w:pPr>
        <w:snapToGrid w:val="0"/>
        <w:spacing w:before="156" w:beforeLines="50" w:after="156" w:afterLines="50" w:line="300" w:lineRule="auto"/>
        <w:rPr>
          <w:b/>
          <w:sz w:val="24"/>
        </w:rPr>
      </w:pPr>
      <w:r>
        <w:rPr>
          <w:rFonts w:hint="eastAsia"/>
          <w:b/>
          <w:sz w:val="24"/>
          <w:lang w:bidi="ar"/>
        </w:rPr>
        <w:t>四、课程教学内容、教与学的要求</w:t>
      </w:r>
    </w:p>
    <w:p>
      <w:pPr>
        <w:adjustRightInd w:val="0"/>
        <w:snapToGrid w:val="0"/>
        <w:spacing w:line="300" w:lineRule="auto"/>
        <w:ind w:firstLine="420" w:firstLineChars="200"/>
        <w:rPr>
          <w:szCs w:val="21"/>
        </w:rPr>
      </w:pPr>
      <w:r>
        <w:rPr>
          <w:rFonts w:hint="eastAsia"/>
          <w:szCs w:val="21"/>
          <w:lang w:bidi="ar"/>
        </w:rPr>
        <w:t>毕业设计（论文）是学生本科阶段最后一个重要的教学环节，毕业设计（论文）内容应从本专业的培养目标出发，能有效支撑本专业的毕业要求指标点，保证复杂工程问题解决能力的训练。本专业毕业设计（论文）的选题应尽量结合通信工程与电子信息领域生产、科研、工程项目的实际任务，其中工程类题目应确保占总数的</w:t>
      </w:r>
      <w:r>
        <w:rPr>
          <w:szCs w:val="21"/>
          <w:lang w:bidi="ar"/>
        </w:rPr>
        <w:t>40%</w:t>
      </w:r>
      <w:r>
        <w:rPr>
          <w:rFonts w:hint="eastAsia"/>
          <w:szCs w:val="21"/>
          <w:lang w:bidi="ar"/>
        </w:rPr>
        <w:t>以上。选题应注意有一定的理论深度和实际价值。选题应具有运用知识和培养能力的综合性，又要符合学生的实际，题目不宜过大，难度适中。选题应贯彻因材施教的原则，让每位学生在原有的水平和能力上有较大的提高，鼓励学生创新。毕业设计（论文）题目原则上一人一题，每位指导教师指导本科生人数在</w:t>
      </w:r>
      <w:r>
        <w:rPr>
          <w:szCs w:val="21"/>
          <w:lang w:bidi="ar"/>
        </w:rPr>
        <w:t>6</w:t>
      </w:r>
      <w:r>
        <w:rPr>
          <w:rFonts w:hint="eastAsia"/>
          <w:szCs w:val="21"/>
          <w:lang w:bidi="ar"/>
        </w:rPr>
        <w:t>人以内，鼓励多个指导教师联合共同指导多名学生，组成毕业设计（论文）团队，鼓励企业</w:t>
      </w:r>
      <w:r>
        <w:rPr>
          <w:szCs w:val="21"/>
          <w:lang w:bidi="ar"/>
        </w:rPr>
        <w:t>/</w:t>
      </w:r>
      <w:r>
        <w:rPr>
          <w:rFonts w:hint="eastAsia"/>
          <w:szCs w:val="21"/>
          <w:lang w:bidi="ar"/>
        </w:rPr>
        <w:t>行业导师参与学生指导。具体内容见表</w:t>
      </w:r>
      <w:r>
        <w:rPr>
          <w:szCs w:val="21"/>
          <w:lang w:bidi="ar"/>
        </w:rPr>
        <w:t>3</w:t>
      </w:r>
      <w:r>
        <w:rPr>
          <w:rFonts w:hint="eastAsia"/>
          <w:szCs w:val="21"/>
          <w:lang w:bidi="ar"/>
        </w:rPr>
        <w:t>。</w:t>
      </w:r>
    </w:p>
    <w:p>
      <w:pPr>
        <w:snapToGrid w:val="0"/>
        <w:spacing w:before="156" w:beforeLines="50" w:line="300" w:lineRule="auto"/>
        <w:jc w:val="center"/>
        <w:rPr>
          <w:sz w:val="18"/>
          <w:szCs w:val="18"/>
        </w:rPr>
      </w:pPr>
      <w:r>
        <w:rPr>
          <w:rFonts w:hint="eastAsia"/>
          <w:b/>
          <w:sz w:val="18"/>
          <w:szCs w:val="18"/>
          <w:lang w:bidi="ar"/>
        </w:rPr>
        <w:t>表</w:t>
      </w:r>
      <w:r>
        <w:rPr>
          <w:b/>
          <w:sz w:val="18"/>
          <w:szCs w:val="18"/>
          <w:lang w:bidi="ar"/>
        </w:rPr>
        <w:t>3</w:t>
      </w:r>
      <w:r>
        <w:rPr>
          <w:rFonts w:hint="eastAsia"/>
          <w:b/>
          <w:sz w:val="18"/>
          <w:szCs w:val="18"/>
          <w:lang w:bidi="ar"/>
        </w:rPr>
        <w:t>教学内容与教学要求</w:t>
      </w:r>
    </w:p>
    <w:tbl>
      <w:tblPr>
        <w:tblStyle w:val="22"/>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0"/>
        <w:gridCol w:w="3259"/>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blHeade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snapToGrid w:val="0"/>
              <w:spacing w:line="300" w:lineRule="auto"/>
              <w:jc w:val="center"/>
              <w:rPr>
                <w:b/>
                <w:sz w:val="18"/>
                <w:szCs w:val="18"/>
              </w:rPr>
            </w:pPr>
            <w:r>
              <w:rPr>
                <w:rFonts w:hint="eastAsia"/>
                <w:b/>
                <w:sz w:val="18"/>
                <w:szCs w:val="18"/>
                <w:lang w:bidi="ar"/>
              </w:rPr>
              <w:t>序号</w:t>
            </w:r>
          </w:p>
        </w:tc>
        <w:tc>
          <w:tcPr>
            <w:tcW w:w="3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教学内容与课程教学目标</w:t>
            </w:r>
            <w:r>
              <w:rPr>
                <w:rFonts w:hint="eastAsia"/>
                <w:b/>
                <w:kern w:val="0"/>
                <w:sz w:val="18"/>
                <w:szCs w:val="18"/>
                <w:lang w:bidi="ar"/>
              </w:rPr>
              <w:t>【目标序号】</w:t>
            </w:r>
          </w:p>
        </w:tc>
        <w:tc>
          <w:tcPr>
            <w:tcW w:w="3259"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教与学的要求</w:t>
            </w:r>
          </w:p>
        </w:tc>
        <w:tc>
          <w:tcPr>
            <w:tcW w:w="103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1</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选题与审核阶段</w:t>
            </w:r>
          </w:p>
          <w:p>
            <w:pPr>
              <w:adjustRightInd w:val="0"/>
              <w:snapToGrid w:val="0"/>
              <w:spacing w:line="300" w:lineRule="auto"/>
              <w:rPr>
                <w:sz w:val="18"/>
                <w:szCs w:val="18"/>
              </w:rPr>
            </w:pPr>
            <w:r>
              <w:rPr>
                <w:rFonts w:hint="eastAsia"/>
                <w:sz w:val="18"/>
                <w:szCs w:val="18"/>
                <w:lang w:bidi="ar"/>
              </w:rPr>
              <w:t>（</w:t>
            </w:r>
            <w:r>
              <w:rPr>
                <w:sz w:val="18"/>
                <w:szCs w:val="18"/>
                <w:lang w:bidi="ar"/>
              </w:rPr>
              <w:t>1</w:t>
            </w:r>
            <w:r>
              <w:rPr>
                <w:rFonts w:hint="eastAsia"/>
                <w:sz w:val="18"/>
                <w:szCs w:val="18"/>
                <w:lang w:bidi="ar"/>
              </w:rPr>
              <w:t>）工程设计类。电子信息工程设计类课题紧密结合经济建设和生产实际中的问题，运用逻辑分析、判断，结合信息科学技术的最新成果，从综合经济意识出发设计新产品、新的电子信息、通信以及控制系统、新的工艺方法及装备，从而提高信息化产品的质量、数量和经济效益；（</w:t>
            </w:r>
            <w:r>
              <w:rPr>
                <w:sz w:val="18"/>
                <w:szCs w:val="18"/>
                <w:lang w:bidi="ar"/>
              </w:rPr>
              <w:t>2</w:t>
            </w:r>
            <w:r>
              <w:rPr>
                <w:rFonts w:hint="eastAsia"/>
                <w:sz w:val="18"/>
                <w:szCs w:val="18"/>
                <w:lang w:bidi="ar"/>
              </w:rPr>
              <w:t>）工程技术研究类。工程技术研究类课题可使电子工程知识和技术有机结合，探索现代新兴信息产业生产制造的新方法、新工艺、新技术；研制新设备、新仪器，研究新机构的工作原理与机理；探讨影响信息产品生产的具体工艺问题。这类课题综合性强，学科间相互渗透，涉及的知识面范围广，为激发学生的创新精神提供了选题的广阔空间；（</w:t>
            </w:r>
            <w:r>
              <w:rPr>
                <w:sz w:val="18"/>
                <w:szCs w:val="18"/>
                <w:lang w:bidi="ar"/>
              </w:rPr>
              <w:t>3</w:t>
            </w:r>
            <w:r>
              <w:rPr>
                <w:rFonts w:hint="eastAsia"/>
                <w:sz w:val="18"/>
                <w:szCs w:val="18"/>
                <w:lang w:bidi="ar"/>
              </w:rPr>
              <w:t>）软件工程类。软件工程类课题侧重于培养学生具备在本专业领域操作、使用计算机的能力，利用计算机软硬件技术解决本专业实际问题，使学生得到全面培养和训练；（</w:t>
            </w:r>
            <w:r>
              <w:rPr>
                <w:sz w:val="18"/>
                <w:szCs w:val="18"/>
                <w:lang w:bidi="ar"/>
              </w:rPr>
              <w:t>4</w:t>
            </w:r>
            <w:r>
              <w:rPr>
                <w:rFonts w:hint="eastAsia"/>
                <w:sz w:val="18"/>
                <w:szCs w:val="18"/>
                <w:lang w:bidi="ar"/>
              </w:rPr>
              <w:t>）培养学生理解论文选题的规范性，严肃性，严守学术道德意义，端正毕业设计任务的态度。</w:t>
            </w:r>
            <w:r>
              <w:rPr>
                <w:sz w:val="18"/>
                <w:szCs w:val="18"/>
                <w:lang w:bidi="ar"/>
              </w:rPr>
              <w:t>[1]</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．毕业设计（论文）选题要求</w:t>
            </w:r>
          </w:p>
          <w:p>
            <w:pPr>
              <w:adjustRightInd w:val="0"/>
              <w:snapToGrid w:val="0"/>
              <w:spacing w:line="300" w:lineRule="auto"/>
              <w:rPr>
                <w:sz w:val="18"/>
                <w:szCs w:val="18"/>
              </w:rPr>
            </w:pPr>
            <w:r>
              <w:rPr>
                <w:rFonts w:hint="eastAsia"/>
                <w:sz w:val="18"/>
                <w:szCs w:val="18"/>
                <w:lang w:bidi="ar"/>
              </w:rPr>
              <w:t>（</w:t>
            </w:r>
            <w:r>
              <w:rPr>
                <w:sz w:val="18"/>
                <w:szCs w:val="18"/>
                <w:lang w:bidi="ar"/>
              </w:rPr>
              <w:t>1</w:t>
            </w:r>
            <w:r>
              <w:rPr>
                <w:rFonts w:hint="eastAsia"/>
                <w:sz w:val="18"/>
                <w:szCs w:val="18"/>
                <w:lang w:bidi="ar"/>
              </w:rPr>
              <w:t>）从本专业的人才培养目标出发，保证学生获得科学研究的初步训练和综合能力训练，满足教学基本要求；（</w:t>
            </w:r>
            <w:r>
              <w:rPr>
                <w:sz w:val="18"/>
                <w:szCs w:val="18"/>
                <w:lang w:bidi="ar"/>
              </w:rPr>
              <w:t>2</w:t>
            </w:r>
            <w:r>
              <w:rPr>
                <w:rFonts w:hint="eastAsia"/>
                <w:sz w:val="18"/>
                <w:szCs w:val="18"/>
                <w:lang w:bidi="ar"/>
              </w:rPr>
              <w:t>）在满足教学基本要求的前提下，选题应尽量结合生产、科研、项目的实际任务，以进一步促进教学、科研、生产的有机结合；（</w:t>
            </w:r>
            <w:r>
              <w:rPr>
                <w:sz w:val="18"/>
                <w:szCs w:val="18"/>
                <w:lang w:bidi="ar"/>
              </w:rPr>
              <w:t>3</w:t>
            </w:r>
            <w:r>
              <w:rPr>
                <w:rFonts w:hint="eastAsia"/>
                <w:sz w:val="18"/>
                <w:szCs w:val="18"/>
                <w:lang w:bidi="ar"/>
              </w:rPr>
              <w:t>）选题应注意有理论深度和实际价值。要求具有运用知识和培养能力的综合性，又要符合学生的实际，题目不宜过大，难度要适中，其任务量要保证中等水平的学生按培养方案中规定的毕业设计（论文）时间和基本要求，经过努力可以完成为宜；（</w:t>
            </w:r>
            <w:r>
              <w:rPr>
                <w:sz w:val="18"/>
                <w:szCs w:val="18"/>
                <w:lang w:bidi="ar"/>
              </w:rPr>
              <w:t>4</w:t>
            </w:r>
            <w:r>
              <w:rPr>
                <w:rFonts w:hint="eastAsia"/>
                <w:sz w:val="18"/>
                <w:szCs w:val="18"/>
                <w:lang w:bidi="ar"/>
              </w:rPr>
              <w:t>）贯彻因材施教的原则，使各类学生在原有的水平和能力上有较大提高，鼓励优秀学生有所创新。毕业设计（论文）题目原则上一人一题，个别须采用同一大题目，则分列出小题，要求每一个学生独立完成一个专题，每个学生都有工作量独立完成。（</w:t>
            </w:r>
            <w:r>
              <w:rPr>
                <w:sz w:val="18"/>
                <w:szCs w:val="18"/>
                <w:lang w:bidi="ar"/>
              </w:rPr>
              <w:t>5</w:t>
            </w:r>
            <w:r>
              <w:rPr>
                <w:rFonts w:hint="eastAsia"/>
                <w:sz w:val="18"/>
                <w:szCs w:val="18"/>
                <w:lang w:bidi="ar"/>
              </w:rPr>
              <w:t>）同一毕业设计（论文）课题不能多次使用，除非有明显创新。（</w:t>
            </w:r>
            <w:r>
              <w:rPr>
                <w:sz w:val="18"/>
                <w:szCs w:val="18"/>
                <w:lang w:bidi="ar"/>
              </w:rPr>
              <w:t>6</w:t>
            </w:r>
            <w:r>
              <w:rPr>
                <w:rFonts w:hint="eastAsia"/>
                <w:sz w:val="18"/>
                <w:szCs w:val="18"/>
                <w:lang w:bidi="ar"/>
              </w:rPr>
              <w:t>）鼓励学生自主命题，按规定程序审定。</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2</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fldChar w:fldCharType="begin"/>
            </w:r>
            <w:r>
              <w:rPr>
                <w:sz w:val="18"/>
                <w:szCs w:val="18"/>
                <w:lang w:bidi="ar"/>
              </w:rPr>
              <w:instrText xml:space="preserve"> = 1 \* GB2 </w:instrText>
            </w:r>
            <w:r>
              <w:rPr>
                <w:sz w:val="18"/>
                <w:szCs w:val="18"/>
                <w:lang w:bidi="ar"/>
              </w:rPr>
              <w:fldChar w:fldCharType="separate"/>
            </w:r>
            <w:r>
              <w:rPr>
                <w:rFonts w:hint="eastAsia" w:ascii="宋体" w:hAnsi="宋体" w:cs="宋体"/>
                <w:sz w:val="18"/>
                <w:szCs w:val="18"/>
                <w:lang w:bidi="ar"/>
              </w:rPr>
              <w:t>⑴</w:t>
            </w:r>
            <w:r>
              <w:rPr>
                <w:sz w:val="18"/>
                <w:szCs w:val="18"/>
                <w:lang w:bidi="ar"/>
              </w:rPr>
              <w:fldChar w:fldCharType="end"/>
            </w:r>
            <w:r>
              <w:rPr>
                <w:rFonts w:hint="eastAsia"/>
                <w:sz w:val="18"/>
                <w:szCs w:val="18"/>
                <w:lang w:bidi="ar"/>
              </w:rPr>
              <w:t>选题阶段：各系专业负责人</w:t>
            </w:r>
            <w:r>
              <w:rPr>
                <w:sz w:val="18"/>
                <w:szCs w:val="18"/>
                <w:lang w:bidi="ar"/>
              </w:rPr>
              <w:t>/</w:t>
            </w:r>
            <w:r>
              <w:rPr>
                <w:rFonts w:hint="eastAsia"/>
                <w:sz w:val="18"/>
                <w:szCs w:val="18"/>
                <w:lang w:bidi="ar"/>
              </w:rPr>
              <w:t>系主任组织开展毕业设计动员会，指导学生进行毕业设计（论文）选题，明确指导教师，为保证毕业设计质量，每位教师指导学生人数一般在</w:t>
            </w:r>
            <w:r>
              <w:rPr>
                <w:sz w:val="18"/>
                <w:szCs w:val="18"/>
                <w:lang w:bidi="ar"/>
              </w:rPr>
              <w:t>6</w:t>
            </w:r>
            <w:r>
              <w:rPr>
                <w:rFonts w:hint="eastAsia"/>
                <w:sz w:val="18"/>
                <w:szCs w:val="18"/>
                <w:lang w:bidi="ar"/>
              </w:rPr>
              <w:t>人以内；</w:t>
            </w:r>
            <w:r>
              <w:rPr>
                <w:sz w:val="18"/>
                <w:szCs w:val="18"/>
                <w:lang w:bidi="ar"/>
              </w:rPr>
              <w:fldChar w:fldCharType="begin"/>
            </w:r>
            <w:r>
              <w:rPr>
                <w:sz w:val="18"/>
                <w:szCs w:val="18"/>
                <w:lang w:bidi="ar"/>
              </w:rPr>
              <w:instrText xml:space="preserve"> = 2 \* GB2 </w:instrText>
            </w:r>
            <w:r>
              <w:rPr>
                <w:sz w:val="18"/>
                <w:szCs w:val="18"/>
                <w:lang w:bidi="ar"/>
              </w:rPr>
              <w:fldChar w:fldCharType="separate"/>
            </w:r>
            <w:r>
              <w:rPr>
                <w:rFonts w:hint="eastAsia" w:ascii="宋体" w:hAnsi="宋体" w:cs="宋体"/>
                <w:sz w:val="18"/>
                <w:szCs w:val="18"/>
                <w:lang w:bidi="ar"/>
              </w:rPr>
              <w:t>⑵</w:t>
            </w:r>
            <w:r>
              <w:rPr>
                <w:sz w:val="18"/>
                <w:szCs w:val="18"/>
                <w:lang w:bidi="ar"/>
              </w:rPr>
              <w:fldChar w:fldCharType="end"/>
            </w:r>
            <w:r>
              <w:rPr>
                <w:rFonts w:hint="eastAsia"/>
                <w:sz w:val="18"/>
                <w:szCs w:val="18"/>
                <w:lang w:bidi="ar"/>
              </w:rPr>
              <w:t>指导教师按课题要求编制毕业设计（论文）任务书，向学生宣布毕业设计（论文）要求及有关管理规定后，下达任务书，阐述毕业设计（论文）课题的目的、性质、内容和要求；</w:t>
            </w:r>
            <w:r>
              <w:rPr>
                <w:sz w:val="18"/>
                <w:szCs w:val="18"/>
                <w:lang w:bidi="ar"/>
              </w:rPr>
              <w:fldChar w:fldCharType="begin"/>
            </w:r>
            <w:r>
              <w:rPr>
                <w:sz w:val="18"/>
                <w:szCs w:val="18"/>
                <w:lang w:bidi="ar"/>
              </w:rPr>
              <w:instrText xml:space="preserve"> = 3 \* GB2 </w:instrText>
            </w:r>
            <w:r>
              <w:rPr>
                <w:sz w:val="18"/>
                <w:szCs w:val="18"/>
                <w:lang w:bidi="ar"/>
              </w:rPr>
              <w:fldChar w:fldCharType="separate"/>
            </w:r>
            <w:r>
              <w:rPr>
                <w:rFonts w:hint="eastAsia" w:ascii="宋体" w:hAnsi="宋体" w:cs="宋体"/>
                <w:sz w:val="18"/>
                <w:szCs w:val="18"/>
                <w:lang w:bidi="ar"/>
              </w:rPr>
              <w:t>⑶</w:t>
            </w:r>
            <w:r>
              <w:rPr>
                <w:sz w:val="18"/>
                <w:szCs w:val="18"/>
                <w:lang w:bidi="ar"/>
              </w:rPr>
              <w:fldChar w:fldCharType="end"/>
            </w:r>
            <w:r>
              <w:rPr>
                <w:rFonts w:hint="eastAsia"/>
                <w:sz w:val="18"/>
                <w:szCs w:val="18"/>
                <w:lang w:bidi="ar"/>
              </w:rPr>
              <w:t>课程思政：做好学生的思想动员工作通过把握，选题符合社会工程发展方向，选择适合新技术具有挑战性课题，培养学生振兴国家民族的责任感。</w:t>
            </w:r>
            <w:r>
              <w:rPr>
                <w:sz w:val="18"/>
                <w:szCs w:val="18"/>
                <w:lang w:bidi="ar"/>
              </w:rPr>
              <w:t>[</w:t>
            </w:r>
            <w:r>
              <w:rPr>
                <w:rFonts w:hint="eastAsia"/>
                <w:sz w:val="18"/>
                <w:szCs w:val="18"/>
                <w:lang w:bidi="ar"/>
              </w:rPr>
              <w:t>1</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要求：对于毕业设计（论文）题目确需调整或更改的情形，学生应填写《广东海洋大学毕业设计（论文）选题变动申请表》，经指导教师和学院（部）分管教学副院长批准后方可调整或更改。在校外单位做毕业设计（论文）的学生向学院提出校外毕设申请，并提交有关单位的接受证明、外单位指导教师的相关信息，经毕业设计（论文）教学指导小组审核通过后，方可进行，同时实行毕业设计（论文）</w:t>
            </w:r>
            <w:r>
              <w:rPr>
                <w:sz w:val="18"/>
                <w:szCs w:val="18"/>
                <w:lang w:bidi="ar"/>
              </w:rPr>
              <w:t>“</w:t>
            </w:r>
            <w:r>
              <w:rPr>
                <w:rFonts w:hint="eastAsia"/>
                <w:sz w:val="18"/>
                <w:szCs w:val="18"/>
                <w:lang w:bidi="ar"/>
              </w:rPr>
              <w:t>双导师制</w:t>
            </w:r>
            <w:r>
              <w:rPr>
                <w:sz w:val="18"/>
                <w:szCs w:val="18"/>
                <w:lang w:bidi="ar"/>
              </w:rPr>
              <w:t>”</w:t>
            </w:r>
            <w:r>
              <w:rPr>
                <w:rFonts w:hint="eastAsia"/>
                <w:sz w:val="18"/>
                <w:szCs w:val="18"/>
                <w:lang w:bidi="ar"/>
              </w:rPr>
              <w:t>，聘请相关单位相当于讲师以上职称的科研、工程技术、管理人员担任校外指导教师。</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3</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撰写开题报告。（</w:t>
            </w:r>
            <w:r>
              <w:rPr>
                <w:sz w:val="18"/>
                <w:szCs w:val="18"/>
                <w:lang w:bidi="ar"/>
              </w:rPr>
              <w:t>1</w:t>
            </w:r>
            <w:r>
              <w:rPr>
                <w:rFonts w:hint="eastAsia"/>
                <w:sz w:val="18"/>
                <w:szCs w:val="18"/>
                <w:lang w:bidi="ar"/>
              </w:rPr>
              <w:t>）题目和任务确定之后，指导教师指导学生查阅文献，收集资料，撰写开题报告，包括文献综述、设计研究方案（或技术路线）、实验方案，有创新意识。（</w:t>
            </w:r>
            <w:r>
              <w:rPr>
                <w:sz w:val="18"/>
                <w:szCs w:val="18"/>
                <w:lang w:bidi="ar"/>
              </w:rPr>
              <w:t>2</w:t>
            </w:r>
            <w:r>
              <w:rPr>
                <w:rFonts w:hint="eastAsia"/>
                <w:sz w:val="18"/>
                <w:szCs w:val="18"/>
                <w:lang w:bidi="ar"/>
              </w:rPr>
              <w:t>）课程思政：帮助和教育独立自主完成报告撰写，建立学术诚信体系与意识。</w:t>
            </w:r>
            <w:r>
              <w:rPr>
                <w:sz w:val="18"/>
                <w:szCs w:val="18"/>
                <w:lang w:bidi="ar"/>
              </w:rPr>
              <w:t>[</w:t>
            </w:r>
            <w:r>
              <w:rPr>
                <w:rFonts w:hint="eastAsia"/>
                <w:sz w:val="18"/>
                <w:szCs w:val="18"/>
                <w:lang w:bidi="ar"/>
              </w:rPr>
              <w:t>1，5，6</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要求：要着手查找、收集各种资料（文献资料查阅不得少于</w:t>
            </w:r>
            <w:r>
              <w:rPr>
                <w:sz w:val="18"/>
                <w:szCs w:val="18"/>
                <w:lang w:bidi="ar"/>
              </w:rPr>
              <w:t>15</w:t>
            </w:r>
            <w:r>
              <w:rPr>
                <w:rFonts w:hint="eastAsia"/>
                <w:sz w:val="18"/>
                <w:szCs w:val="18"/>
                <w:lang w:bidi="ar"/>
              </w:rPr>
              <w:t>篇，其中外文文献应在两篇以上），从文献和资料中进一步了解在此问题上前人研究的程度，最新发现和当前研究的重点，并进一步形成自己的观点和见解。</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4</w:t>
            </w:r>
            <w:r>
              <w:rPr>
                <w:rFonts w:hint="eastAsia"/>
                <w:sz w:val="18"/>
                <w:szCs w:val="18"/>
                <w:lang w:bidi="ar"/>
              </w:rPr>
              <w:t>．</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文献加工：（</w:t>
            </w:r>
            <w:r>
              <w:rPr>
                <w:sz w:val="18"/>
                <w:szCs w:val="18"/>
                <w:lang w:bidi="ar"/>
              </w:rPr>
              <w:t>1</w:t>
            </w:r>
            <w:r>
              <w:rPr>
                <w:rFonts w:hint="eastAsia"/>
                <w:sz w:val="18"/>
                <w:szCs w:val="18"/>
                <w:lang w:bidi="ar"/>
              </w:rPr>
              <w:t>）毕业设计（论文）开始两周内，学生撰写不少于</w:t>
            </w:r>
            <w:r>
              <w:rPr>
                <w:sz w:val="18"/>
                <w:szCs w:val="18"/>
                <w:lang w:bidi="ar"/>
              </w:rPr>
              <w:t>1000</w:t>
            </w:r>
            <w:r>
              <w:rPr>
                <w:rFonts w:hint="eastAsia"/>
                <w:sz w:val="18"/>
                <w:szCs w:val="18"/>
                <w:lang w:bidi="ar"/>
              </w:rPr>
              <w:t>字的文献综述报告（包含对毕业设计（论文）题目的认识、文献资料查阅情况及毕业设计（论文）进度计划等内容等），同时还需参阅不少于</w:t>
            </w:r>
            <w:r>
              <w:rPr>
                <w:sz w:val="18"/>
                <w:szCs w:val="18"/>
                <w:lang w:bidi="ar"/>
              </w:rPr>
              <w:t>3000</w:t>
            </w:r>
            <w:r>
              <w:rPr>
                <w:rFonts w:hint="eastAsia"/>
                <w:sz w:val="18"/>
                <w:szCs w:val="18"/>
                <w:lang w:bidi="ar"/>
              </w:rPr>
              <w:t>个外文单词的外文文献资料，并译成中文。指导教师审核文献综述报告后下达毕业设计（论文）任务书；（</w:t>
            </w:r>
            <w:r>
              <w:rPr>
                <w:sz w:val="18"/>
                <w:szCs w:val="18"/>
                <w:lang w:bidi="ar"/>
              </w:rPr>
              <w:t>2</w:t>
            </w:r>
            <w:r>
              <w:rPr>
                <w:rFonts w:hint="eastAsia"/>
                <w:sz w:val="18"/>
                <w:szCs w:val="18"/>
                <w:lang w:bidi="ar"/>
              </w:rPr>
              <w:t>）课程思政：谨慎评价科技成果，客观整理文献并撰写有学术道德高度感的文献报告，充分给予引用文献的作者以尊重。</w:t>
            </w:r>
            <w:r>
              <w:rPr>
                <w:sz w:val="18"/>
                <w:szCs w:val="18"/>
                <w:lang w:bidi="ar"/>
              </w:rPr>
              <w:t>[2]</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学生撰写开题报告并分组进行开题答辩。每个开题组有专业教师和企业专家构成的开题答辩小组现场指导；毕业设计进程过半时，学生填写中期检查表，提交指导教师审核。毕业设计（论文）教学指导小组组织中期检查小组对所有学生（包括校外毕设学生）的毕业设计（论文）进度和质量进行现场检查，中期检查小组及时反馈毕业设计（论文）过程中存在的问题。</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0.5周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5</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课题研究和程序设计阶段。（</w:t>
            </w:r>
            <w:r>
              <w:rPr>
                <w:sz w:val="18"/>
                <w:szCs w:val="18"/>
                <w:lang w:bidi="ar"/>
              </w:rPr>
              <w:t>1</w:t>
            </w:r>
            <w:r>
              <w:rPr>
                <w:rFonts w:hint="eastAsia"/>
                <w:sz w:val="18"/>
                <w:szCs w:val="18"/>
                <w:lang w:bidi="ar"/>
              </w:rPr>
              <w:t>）设计（研究）方案的确定</w:t>
            </w:r>
            <w:r>
              <w:rPr>
                <w:sz w:val="18"/>
                <w:szCs w:val="18"/>
                <w:lang w:bidi="ar"/>
              </w:rPr>
              <w:t>——</w:t>
            </w:r>
            <w:r>
              <w:rPr>
                <w:rFonts w:hint="eastAsia"/>
                <w:sz w:val="18"/>
                <w:szCs w:val="18"/>
                <w:lang w:bidi="ar"/>
              </w:rPr>
              <w:t>学生综合运用知识、全面考虑有关科学的、经济的及社会的情况，根据任务书规定的需求，进行多种方案的比较，确定最优方案，完成概念设计和总体方案的确定；（</w:t>
            </w:r>
            <w:r>
              <w:rPr>
                <w:sz w:val="18"/>
                <w:szCs w:val="18"/>
                <w:lang w:bidi="ar"/>
              </w:rPr>
              <w:t>2</w:t>
            </w:r>
            <w:r>
              <w:rPr>
                <w:rFonts w:hint="eastAsia"/>
                <w:sz w:val="18"/>
                <w:szCs w:val="18"/>
                <w:lang w:bidi="ar"/>
              </w:rPr>
              <w:t>）设计计算（实验研究）</w:t>
            </w:r>
            <w:r>
              <w:rPr>
                <w:sz w:val="18"/>
                <w:szCs w:val="18"/>
                <w:lang w:bidi="ar"/>
              </w:rPr>
              <w:t>——</w:t>
            </w:r>
            <w:r>
              <w:rPr>
                <w:rFonts w:hint="eastAsia"/>
                <w:sz w:val="18"/>
                <w:szCs w:val="18"/>
                <w:lang w:bidi="ar"/>
              </w:rPr>
              <w:t>这是设计研究过程中工作量最大的阶段，它包括系统结构设计与计算、单元电路设计开发、系统集成、系统软件设计开发、系统调试与实验验证等等；（</w:t>
            </w:r>
            <w:r>
              <w:rPr>
                <w:sz w:val="18"/>
                <w:szCs w:val="18"/>
                <w:lang w:bidi="ar"/>
              </w:rPr>
              <w:t>3</w:t>
            </w:r>
            <w:r>
              <w:rPr>
                <w:rFonts w:hint="eastAsia"/>
                <w:sz w:val="18"/>
                <w:szCs w:val="18"/>
                <w:lang w:bidi="ar"/>
              </w:rPr>
              <w:t>）课程思政：培养学生要树立正确的工程价值观，在撰写毕业论文或毕业设计过程做到</w:t>
            </w:r>
            <w:r>
              <w:rPr>
                <w:sz w:val="18"/>
                <w:szCs w:val="18"/>
                <w:lang w:bidi="ar"/>
              </w:rPr>
              <w:t>“</w:t>
            </w:r>
            <w:r>
              <w:rPr>
                <w:rFonts w:hint="eastAsia"/>
                <w:sz w:val="18"/>
                <w:szCs w:val="18"/>
                <w:lang w:bidi="ar"/>
              </w:rPr>
              <w:t>严谨、求实、诚信、挑战</w:t>
            </w:r>
            <w:r>
              <w:rPr>
                <w:sz w:val="18"/>
                <w:szCs w:val="18"/>
                <w:lang w:bidi="ar"/>
              </w:rPr>
              <w:t>”</w:t>
            </w:r>
            <w:r>
              <w:rPr>
                <w:rFonts w:hint="eastAsia"/>
                <w:sz w:val="18"/>
                <w:szCs w:val="18"/>
                <w:lang w:bidi="ar"/>
              </w:rPr>
              <w:t>。</w:t>
            </w:r>
            <w:r>
              <w:rPr>
                <w:sz w:val="18"/>
                <w:szCs w:val="18"/>
                <w:lang w:bidi="ar"/>
              </w:rPr>
              <w:t>[</w:t>
            </w:r>
            <w:r>
              <w:rPr>
                <w:rFonts w:hint="eastAsia"/>
                <w:sz w:val="18"/>
                <w:szCs w:val="18"/>
                <w:lang w:bidi="ar"/>
              </w:rPr>
              <w:t>2，</w:t>
            </w:r>
            <w:r>
              <w:rPr>
                <w:sz w:val="18"/>
                <w:szCs w:val="18"/>
                <w:lang w:bidi="ar"/>
              </w:rPr>
              <w:t>3</w:t>
            </w:r>
            <w:r>
              <w:rPr>
                <w:rFonts w:hint="eastAsia"/>
                <w:sz w:val="18"/>
                <w:szCs w:val="18"/>
                <w:lang w:bidi="ar"/>
              </w:rPr>
              <w:t>，</w:t>
            </w:r>
            <w:r>
              <w:rPr>
                <w:sz w:val="18"/>
                <w:szCs w:val="18"/>
                <w:lang w:bidi="ar"/>
              </w:rPr>
              <w:t>4</w:t>
            </w:r>
            <w:r>
              <w:rPr>
                <w:rFonts w:hint="eastAsia"/>
                <w:sz w:val="18"/>
                <w:szCs w:val="18"/>
                <w:lang w:bidi="ar"/>
              </w:rPr>
              <w:t>，6</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导师做好指导工作，定期检查学生的工作进度和工作质量，及时解答和处理学生提出的问题。最终获得系统成品。</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4</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6</w:t>
            </w:r>
            <w:r>
              <w:rPr>
                <w:rFonts w:hint="eastAsia"/>
                <w:sz w:val="18"/>
                <w:szCs w:val="18"/>
                <w:lang w:bidi="ar"/>
              </w:rPr>
              <w:t>．</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论文撰写阶段：撰写论文或设计说明书阶段在完成了课题研究或程序设计之后，学生在教师的指导下按《广东海洋大学毕业设计（论文）撰写要求》与电子工程系毕业论文要求撰写毕业设计（论文），并交与指导老师审定；课程思政：培养学生规范的学术行为习惯以及学术创新，崇尚科学精神，加强为国家学风建设，营造创新的学术氛围，保障学士学位授予质量的自豪感与责任心。</w:t>
            </w:r>
            <w:r>
              <w:rPr>
                <w:sz w:val="18"/>
                <w:szCs w:val="18"/>
                <w:lang w:bidi="ar"/>
              </w:rPr>
              <w:t>[</w:t>
            </w:r>
            <w:r>
              <w:rPr>
                <w:rFonts w:hint="eastAsia"/>
                <w:sz w:val="18"/>
                <w:szCs w:val="18"/>
                <w:lang w:bidi="ar"/>
              </w:rPr>
              <w:t>3，6</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指导教师定期对学生指导、检查和答疑，随时掌握学生毕业设计的进度和质量，指导学生完成毕业设计论文。本专业要求学生登录</w:t>
            </w:r>
            <w:r>
              <w:rPr>
                <w:sz w:val="18"/>
                <w:szCs w:val="18"/>
                <w:lang w:bidi="ar"/>
              </w:rPr>
              <w:t>“</w:t>
            </w:r>
            <w:r>
              <w:rPr>
                <w:rFonts w:hint="eastAsia"/>
                <w:sz w:val="18"/>
                <w:szCs w:val="18"/>
                <w:lang w:bidi="ar"/>
              </w:rPr>
              <w:t>中国知网</w:t>
            </w:r>
            <w:r>
              <w:rPr>
                <w:sz w:val="18"/>
                <w:szCs w:val="18"/>
                <w:lang w:bidi="ar"/>
              </w:rPr>
              <w:t>”</w:t>
            </w:r>
            <w:r>
              <w:rPr>
                <w:rFonts w:hint="eastAsia"/>
                <w:sz w:val="18"/>
                <w:szCs w:val="18"/>
                <w:lang w:bidi="ar"/>
              </w:rPr>
              <w:t>大学生论文管理系统进行论文抄袭检测，检测结果</w:t>
            </w:r>
            <w:r>
              <w:rPr>
                <w:sz w:val="18"/>
                <w:szCs w:val="18"/>
                <w:lang w:bidi="ar"/>
              </w:rPr>
              <w:t>“</w:t>
            </w:r>
            <w:r>
              <w:rPr>
                <w:rFonts w:hint="eastAsia"/>
                <w:sz w:val="18"/>
                <w:szCs w:val="18"/>
                <w:lang w:bidi="ar"/>
              </w:rPr>
              <w:t>总文字复制比</w:t>
            </w:r>
            <w:r>
              <w:rPr>
                <w:sz w:val="18"/>
                <w:szCs w:val="18"/>
                <w:lang w:bidi="ar"/>
              </w:rPr>
              <w:t>”</w:t>
            </w:r>
            <w:r>
              <w:rPr>
                <w:rFonts w:hint="eastAsia"/>
                <w:sz w:val="18"/>
                <w:szCs w:val="18"/>
                <w:lang w:bidi="ar"/>
              </w:rPr>
              <w:t>大于</w:t>
            </w:r>
            <w:r>
              <w:rPr>
                <w:sz w:val="18"/>
                <w:szCs w:val="18"/>
                <w:lang w:bidi="ar"/>
              </w:rPr>
              <w:t>15%</w:t>
            </w:r>
            <w:r>
              <w:rPr>
                <w:rFonts w:hint="eastAsia"/>
                <w:sz w:val="18"/>
                <w:szCs w:val="18"/>
                <w:lang w:bidi="ar"/>
              </w:rPr>
              <w:t>的不得进入答辩环节。（学校</w:t>
            </w:r>
            <w:r>
              <w:rPr>
                <w:sz w:val="18"/>
                <w:szCs w:val="18"/>
                <w:lang w:bidi="ar"/>
              </w:rPr>
              <w:t>30%</w:t>
            </w:r>
            <w:r>
              <w:rPr>
                <w:rFonts w:hint="eastAsia"/>
                <w:sz w:val="18"/>
                <w:szCs w:val="18"/>
                <w:lang w:bidi="ar"/>
              </w:rPr>
              <w:t>）。</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7</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毕业设计答辩和成绩评定阶段。学院毕业设计（论文）教学指导小组设立毕业设计答辩委员会及若干答辩小组，答辩小组由三名以上教师和企业专家组成。答辩小组指定评阅教师对学生毕业论文进行评阅。</w:t>
            </w:r>
            <w:r>
              <w:rPr>
                <w:sz w:val="18"/>
                <w:szCs w:val="18"/>
                <w:lang w:bidi="ar"/>
              </w:rPr>
              <w:t xml:space="preserve"> </w:t>
            </w:r>
            <w:r>
              <w:rPr>
                <w:rFonts w:hint="eastAsia"/>
                <w:sz w:val="18"/>
                <w:szCs w:val="18"/>
                <w:lang w:bidi="ar"/>
              </w:rPr>
              <w:t>答辩小组对学生毕业设计成果进行现场检查，组织本组学生开展毕业设计（论文）答辩，现场给出答辩意见并评定成绩，该成绩由指导教师评分、评阅教师评分、答辩小组评分三部分组成</w:t>
            </w:r>
            <w:r>
              <w:rPr>
                <w:sz w:val="18"/>
                <w:szCs w:val="18"/>
                <w:lang w:bidi="ar"/>
              </w:rPr>
              <w:t xml:space="preserve"> </w:t>
            </w:r>
            <w:r>
              <w:rPr>
                <w:rFonts w:hint="eastAsia"/>
                <w:sz w:val="18"/>
                <w:szCs w:val="18"/>
                <w:lang w:bidi="ar"/>
              </w:rPr>
              <w:t>，答辩由答辩委员会组织开展；课程思政：答辩简明扼要，层次分明，吐字清晰，逻辑性强，与答辩老师观点不同时，可以与之展开辩论，要注意态度诚恳，文明礼貌，重在展示工作成绩。</w:t>
            </w:r>
            <w:r>
              <w:rPr>
                <w:sz w:val="18"/>
                <w:szCs w:val="18"/>
                <w:lang w:bidi="ar"/>
              </w:rPr>
              <w:t>[</w:t>
            </w:r>
            <w:r>
              <w:rPr>
                <w:rFonts w:hint="eastAsia"/>
                <w:sz w:val="18"/>
                <w:szCs w:val="18"/>
                <w:lang w:bidi="ar"/>
              </w:rPr>
              <w:t>3，4，5</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答毕业设计（论文）答辩是把设计（论文）工作进一步深化，使学生进一步学习提高的重要过程，是检验毕业设计（论文）质量的有效措施。答辩工作在</w:t>
            </w:r>
            <w:r>
              <w:rPr>
                <w:sz w:val="18"/>
                <w:szCs w:val="18"/>
                <w:lang w:bidi="ar"/>
              </w:rPr>
              <w:t xml:space="preserve"> “</w:t>
            </w:r>
            <w:r>
              <w:rPr>
                <w:rFonts w:hint="eastAsia"/>
                <w:sz w:val="18"/>
                <w:szCs w:val="18"/>
                <w:lang w:bidi="ar"/>
              </w:rPr>
              <w:t>毕业设计（论文）答辩委员会</w:t>
            </w:r>
            <w:r>
              <w:rPr>
                <w:sz w:val="18"/>
                <w:szCs w:val="18"/>
                <w:lang w:bidi="ar"/>
              </w:rPr>
              <w:t>”</w:t>
            </w:r>
            <w:r>
              <w:rPr>
                <w:rFonts w:hint="eastAsia"/>
                <w:sz w:val="18"/>
                <w:szCs w:val="18"/>
                <w:lang w:bidi="ar"/>
              </w:rPr>
              <w:t>领导下完成。辩小组将毕业设计论文和成绩提交答辩委员会审定。答辩委员会审定成绩并发布，推荐校级优秀毕业设计。</w:t>
            </w:r>
            <w:r>
              <w:rPr>
                <w:sz w:val="18"/>
                <w:szCs w:val="18"/>
                <w:lang w:bidi="ar"/>
              </w:rPr>
              <w:t xml:space="preserve"> </w:t>
            </w:r>
            <w:r>
              <w:rPr>
                <w:rFonts w:hint="eastAsia"/>
                <w:sz w:val="18"/>
                <w:szCs w:val="18"/>
                <w:lang w:bidi="ar"/>
              </w:rPr>
              <w:t>第一次毕业设计答辩中未通过的学生，通过</w:t>
            </w:r>
            <w:r>
              <w:rPr>
                <w:sz w:val="18"/>
                <w:szCs w:val="18"/>
                <w:lang w:bidi="ar"/>
              </w:rPr>
              <w:t>2-3</w:t>
            </w:r>
            <w:r>
              <w:rPr>
                <w:rFonts w:hint="eastAsia"/>
                <w:sz w:val="18"/>
                <w:szCs w:val="18"/>
                <w:lang w:bidi="ar"/>
              </w:rPr>
              <w:t>周的时间进行修改、完善，经审核通过申请进行二次答辩，通过二次答辩后方可毕业。</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sz w:val="18"/>
                <w:szCs w:val="18"/>
                <w:lang w:bidi="ar"/>
              </w:rPr>
              <w:t>1</w:t>
            </w:r>
            <w:r>
              <w:rPr>
                <w:rFonts w:hint="eastAsia"/>
                <w:sz w:val="18"/>
                <w:szCs w:val="18"/>
                <w:lang w:bidi="ar"/>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spacing w:line="300" w:lineRule="auto"/>
              <w:rPr>
                <w:sz w:val="18"/>
                <w:szCs w:val="18"/>
              </w:rPr>
            </w:pPr>
            <w:r>
              <w:rPr>
                <w:sz w:val="18"/>
                <w:szCs w:val="18"/>
                <w:lang w:bidi="ar"/>
              </w:rPr>
              <w:t>8</w:t>
            </w:r>
          </w:p>
        </w:tc>
        <w:tc>
          <w:tcPr>
            <w:tcW w:w="3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总结阶段：毕业设计（论文）教学指导小组按照专业培养目标对毕业设计（论文）的各个环节进行评估，总结。认真进行自检自评，鉴定本年度毕业设计（论文）教学质量的层次与水平。</w:t>
            </w:r>
            <w:r>
              <w:rPr>
                <w:sz w:val="18"/>
                <w:szCs w:val="18"/>
                <w:lang w:bidi="ar"/>
              </w:rPr>
              <w:t>[</w:t>
            </w:r>
            <w:r>
              <w:rPr>
                <w:rFonts w:hint="eastAsia"/>
                <w:sz w:val="18"/>
                <w:szCs w:val="18"/>
                <w:lang w:bidi="ar"/>
              </w:rPr>
              <w:t>2，3，4</w:t>
            </w:r>
            <w:r>
              <w:rPr>
                <w:sz w:val="18"/>
                <w:szCs w:val="18"/>
                <w:lang w:bidi="ar"/>
              </w:rPr>
              <w:t>]</w:t>
            </w:r>
          </w:p>
        </w:tc>
        <w:tc>
          <w:tcPr>
            <w:tcW w:w="3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专业负责人提交专业毕业论文总结报告，汇总成绩，找出差距，提出改进意见，撰写毕业设计工作得失与改进方向。</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hint="eastAsia"/>
                <w:sz w:val="18"/>
                <w:szCs w:val="18"/>
                <w:lang w:bidi="ar"/>
              </w:rPr>
              <w:t>0.5周</w:t>
            </w:r>
          </w:p>
        </w:tc>
      </w:tr>
    </w:tbl>
    <w:p>
      <w:pPr>
        <w:snapToGrid w:val="0"/>
        <w:spacing w:before="156" w:beforeLines="50" w:after="156" w:afterLines="50" w:line="300" w:lineRule="auto"/>
        <w:rPr>
          <w:b/>
          <w:sz w:val="24"/>
        </w:rPr>
      </w:pPr>
      <w:r>
        <w:rPr>
          <w:rFonts w:hint="eastAsia"/>
          <w:b/>
          <w:sz w:val="24"/>
          <w:lang w:bidi="ar"/>
        </w:rPr>
        <w:t>五、课程考核及成绩评定</w:t>
      </w:r>
    </w:p>
    <w:p>
      <w:pPr>
        <w:adjustRightInd w:val="0"/>
        <w:snapToGrid w:val="0"/>
        <w:spacing w:line="300" w:lineRule="auto"/>
        <w:ind w:firstLine="420" w:firstLineChars="200"/>
        <w:rPr>
          <w:szCs w:val="21"/>
        </w:rPr>
      </w:pPr>
      <w:r>
        <w:rPr>
          <w:szCs w:val="21"/>
          <w:lang w:bidi="ar"/>
        </w:rPr>
        <w:t>1</w:t>
      </w:r>
      <w:r>
        <w:rPr>
          <w:rFonts w:hint="eastAsia"/>
          <w:szCs w:val="21"/>
          <w:lang w:bidi="ar"/>
        </w:rPr>
        <w:t>．考核方式</w:t>
      </w:r>
    </w:p>
    <w:p>
      <w:pPr>
        <w:adjustRightInd w:val="0"/>
        <w:snapToGrid w:val="0"/>
        <w:spacing w:line="300" w:lineRule="auto"/>
        <w:ind w:firstLine="420" w:firstLineChars="200"/>
        <w:rPr>
          <w:szCs w:val="21"/>
        </w:rPr>
      </w:pPr>
      <w:r>
        <w:rPr>
          <w:rFonts w:hint="eastAsia"/>
          <w:szCs w:val="21"/>
          <w:lang w:bidi="ar"/>
        </w:rPr>
        <w:t>审阅论文，答辩，实物与学术部学术创新考评。依据</w:t>
      </w:r>
      <w:r>
        <w:rPr>
          <w:szCs w:val="21"/>
          <w:lang w:bidi="ar"/>
        </w:rPr>
        <w:t>——</w:t>
      </w:r>
      <w:r>
        <w:rPr>
          <w:rFonts w:hint="eastAsia"/>
          <w:szCs w:val="21"/>
          <w:lang w:bidi="ar"/>
        </w:rPr>
        <w:t>开题报告，中期报告，实物、毕业论文及毕业答辩结果。</w:t>
      </w:r>
    </w:p>
    <w:p>
      <w:pPr>
        <w:adjustRightInd w:val="0"/>
        <w:snapToGrid w:val="0"/>
        <w:spacing w:line="300" w:lineRule="auto"/>
        <w:ind w:firstLine="420" w:firstLineChars="200"/>
        <w:rPr>
          <w:szCs w:val="21"/>
        </w:rPr>
      </w:pPr>
      <w:r>
        <w:rPr>
          <w:szCs w:val="21"/>
          <w:lang w:bidi="ar"/>
        </w:rPr>
        <w:t>2</w:t>
      </w:r>
      <w:r>
        <w:rPr>
          <w:rFonts w:hint="eastAsia"/>
          <w:szCs w:val="21"/>
          <w:lang w:bidi="ar"/>
        </w:rPr>
        <w:t>．成绩构成</w:t>
      </w:r>
    </w:p>
    <w:p>
      <w:pPr>
        <w:adjustRightInd w:val="0"/>
        <w:snapToGrid w:val="0"/>
        <w:spacing w:line="300" w:lineRule="auto"/>
        <w:ind w:firstLine="420" w:firstLineChars="200"/>
        <w:rPr>
          <w:szCs w:val="21"/>
        </w:rPr>
      </w:pPr>
      <w:r>
        <w:rPr>
          <w:rFonts w:hint="eastAsia"/>
          <w:szCs w:val="21"/>
          <w:lang w:bidi="ar"/>
        </w:rPr>
        <w:t>总评成绩</w:t>
      </w:r>
      <w:r>
        <w:rPr>
          <w:szCs w:val="21"/>
          <w:lang w:bidi="ar"/>
        </w:rPr>
        <w:t>=</w:t>
      </w:r>
      <w:r>
        <w:rPr>
          <w:rFonts w:hint="eastAsia"/>
          <w:szCs w:val="21"/>
          <w:lang w:bidi="ar"/>
        </w:rPr>
        <w:t>指导教师成绩30</w:t>
      </w:r>
      <w:r>
        <w:rPr>
          <w:szCs w:val="21"/>
          <w:lang w:bidi="ar"/>
        </w:rPr>
        <w:t>%+</w:t>
      </w:r>
      <w:r>
        <w:rPr>
          <w:rFonts w:hint="eastAsia"/>
          <w:szCs w:val="21"/>
          <w:lang w:bidi="ar"/>
        </w:rPr>
        <w:t>评阅教师成绩20</w:t>
      </w:r>
      <w:r>
        <w:rPr>
          <w:szCs w:val="21"/>
          <w:lang w:bidi="ar"/>
        </w:rPr>
        <w:t>%+</w:t>
      </w:r>
      <w:r>
        <w:rPr>
          <w:rFonts w:hint="eastAsia"/>
          <w:szCs w:val="21"/>
          <w:lang w:bidi="ar"/>
        </w:rPr>
        <w:t>答辩成绩</w:t>
      </w:r>
      <w:r>
        <w:rPr>
          <w:szCs w:val="21"/>
          <w:lang w:bidi="ar"/>
        </w:rPr>
        <w:t>50%</w:t>
      </w:r>
      <w:r>
        <w:rPr>
          <w:rFonts w:hint="eastAsia"/>
          <w:szCs w:val="21"/>
          <w:lang w:bidi="ar"/>
        </w:rPr>
        <w:t>。</w:t>
      </w:r>
    </w:p>
    <w:p>
      <w:pPr>
        <w:adjustRightInd w:val="0"/>
        <w:snapToGrid w:val="0"/>
        <w:spacing w:line="300" w:lineRule="auto"/>
        <w:ind w:firstLine="420" w:firstLineChars="200"/>
        <w:rPr>
          <w:szCs w:val="21"/>
        </w:rPr>
      </w:pPr>
      <w:r>
        <w:rPr>
          <w:szCs w:val="21"/>
          <w:lang w:bidi="ar"/>
        </w:rPr>
        <w:t xml:space="preserve"> </w:t>
      </w:r>
      <w:r>
        <w:rPr>
          <w:rFonts w:hint="eastAsia"/>
          <w:szCs w:val="21"/>
          <w:lang w:bidi="ar"/>
        </w:rPr>
        <w:t>毕业论文（设计）的成绩评定，应根据学生完成工作任务的情况、业务水平、工作态度、论文（设计）的图纸、实物的质量以及答辩情况等，全面考察，客观评分。最终成绩由以下几部分组成：</w:t>
      </w:r>
      <w:r>
        <w:rPr>
          <w:szCs w:val="21"/>
          <w:lang w:bidi="ar"/>
        </w:rPr>
        <w:fldChar w:fldCharType="begin"/>
      </w:r>
      <w:r>
        <w:rPr>
          <w:szCs w:val="21"/>
          <w:lang w:bidi="ar"/>
        </w:rPr>
        <w:instrText xml:space="preserve"> = 1 \* GB3 </w:instrText>
      </w:r>
      <w:r>
        <w:rPr>
          <w:szCs w:val="21"/>
          <w:lang w:bidi="ar"/>
        </w:rPr>
        <w:fldChar w:fldCharType="separate"/>
      </w:r>
      <w:r>
        <w:rPr>
          <w:rFonts w:hint="eastAsia" w:ascii="宋体" w:hAnsi="宋体" w:cs="宋体"/>
          <w:szCs w:val="21"/>
          <w:lang w:bidi="ar"/>
        </w:rPr>
        <w:t>①</w:t>
      </w:r>
      <w:r>
        <w:rPr>
          <w:szCs w:val="21"/>
          <w:lang w:bidi="ar"/>
        </w:rPr>
        <w:fldChar w:fldCharType="end"/>
      </w:r>
      <w:r>
        <w:rPr>
          <w:rFonts w:hint="eastAsia"/>
          <w:szCs w:val="21"/>
          <w:lang w:bidi="ar"/>
        </w:rPr>
        <w:t>指导教师主要就论文（设计）准备和过程中的表现及论文（设计）的质量与水平给出的建议成绩；</w:t>
      </w:r>
      <w:r>
        <w:rPr>
          <w:szCs w:val="21"/>
          <w:lang w:bidi="ar"/>
        </w:rPr>
        <w:fldChar w:fldCharType="begin"/>
      </w:r>
      <w:r>
        <w:rPr>
          <w:szCs w:val="21"/>
          <w:lang w:bidi="ar"/>
        </w:rPr>
        <w:instrText xml:space="preserve"> = 2 \* GB3 </w:instrText>
      </w:r>
      <w:r>
        <w:rPr>
          <w:szCs w:val="21"/>
          <w:lang w:bidi="ar"/>
        </w:rPr>
        <w:fldChar w:fldCharType="separate"/>
      </w:r>
      <w:r>
        <w:rPr>
          <w:rFonts w:hint="eastAsia" w:ascii="宋体" w:hAnsi="宋体" w:cs="宋体"/>
          <w:szCs w:val="21"/>
          <w:lang w:bidi="ar"/>
        </w:rPr>
        <w:t>②</w:t>
      </w:r>
      <w:r>
        <w:rPr>
          <w:szCs w:val="21"/>
          <w:lang w:bidi="ar"/>
        </w:rPr>
        <w:fldChar w:fldCharType="end"/>
      </w:r>
      <w:r>
        <w:rPr>
          <w:rFonts w:hint="eastAsia"/>
          <w:szCs w:val="21"/>
          <w:lang w:bidi="ar"/>
        </w:rPr>
        <w:t>评阅教师主要就论文（设计）的质量与水平给出的建议成绩；</w:t>
      </w:r>
      <w:r>
        <w:rPr>
          <w:szCs w:val="21"/>
          <w:lang w:bidi="ar"/>
        </w:rPr>
        <w:fldChar w:fldCharType="begin"/>
      </w:r>
      <w:r>
        <w:rPr>
          <w:szCs w:val="21"/>
          <w:lang w:bidi="ar"/>
        </w:rPr>
        <w:instrText xml:space="preserve"> = 3 \* GB3 </w:instrText>
      </w:r>
      <w:r>
        <w:rPr>
          <w:szCs w:val="21"/>
          <w:lang w:bidi="ar"/>
        </w:rPr>
        <w:fldChar w:fldCharType="separate"/>
      </w:r>
      <w:r>
        <w:rPr>
          <w:rFonts w:hint="eastAsia" w:ascii="宋体" w:hAnsi="宋体" w:cs="宋体"/>
          <w:szCs w:val="21"/>
          <w:lang w:bidi="ar"/>
        </w:rPr>
        <w:t>③</w:t>
      </w:r>
      <w:r>
        <w:rPr>
          <w:szCs w:val="21"/>
          <w:lang w:bidi="ar"/>
        </w:rPr>
        <w:fldChar w:fldCharType="end"/>
      </w:r>
      <w:r>
        <w:rPr>
          <w:rFonts w:hint="eastAsia"/>
          <w:szCs w:val="21"/>
          <w:lang w:bidi="ar"/>
        </w:rPr>
        <w:t>答辩小组主要就论文（设计）答辩过程的表现及论文（设计）的质量与水平给出的建议成绩；</w:t>
      </w:r>
      <w:r>
        <w:rPr>
          <w:szCs w:val="21"/>
          <w:lang w:bidi="ar"/>
        </w:rPr>
        <w:fldChar w:fldCharType="begin"/>
      </w:r>
      <w:r>
        <w:rPr>
          <w:szCs w:val="21"/>
          <w:lang w:bidi="ar"/>
        </w:rPr>
        <w:instrText xml:space="preserve"> = 4 \* GB3 </w:instrText>
      </w:r>
      <w:r>
        <w:rPr>
          <w:szCs w:val="21"/>
          <w:lang w:bidi="ar"/>
        </w:rPr>
        <w:fldChar w:fldCharType="separate"/>
      </w:r>
      <w:r>
        <w:rPr>
          <w:rFonts w:hint="eastAsia" w:ascii="宋体" w:hAnsi="宋体" w:cs="宋体"/>
          <w:szCs w:val="21"/>
          <w:lang w:bidi="ar"/>
        </w:rPr>
        <w:t>④</w:t>
      </w:r>
      <w:r>
        <w:rPr>
          <w:szCs w:val="21"/>
          <w:lang w:bidi="ar"/>
        </w:rPr>
        <w:fldChar w:fldCharType="end"/>
      </w:r>
      <w:r>
        <w:rPr>
          <w:rFonts w:hint="eastAsia"/>
          <w:szCs w:val="21"/>
          <w:lang w:bidi="ar"/>
        </w:rPr>
        <w:t>答辩委员会根据指导教师、评阅教师和答辩小组的建议成绩按30</w:t>
      </w:r>
      <w:r>
        <w:rPr>
          <w:szCs w:val="21"/>
          <w:lang w:bidi="ar"/>
        </w:rPr>
        <w:t>%</w:t>
      </w:r>
      <w:r>
        <w:rPr>
          <w:rFonts w:hint="eastAsia"/>
          <w:szCs w:val="21"/>
          <w:lang w:bidi="ar"/>
        </w:rPr>
        <w:t>、</w:t>
      </w:r>
      <w:r>
        <w:rPr>
          <w:szCs w:val="21"/>
          <w:lang w:bidi="ar"/>
        </w:rPr>
        <w:t>2</w:t>
      </w:r>
      <w:r>
        <w:rPr>
          <w:rFonts w:hint="eastAsia"/>
          <w:szCs w:val="21"/>
          <w:lang w:bidi="ar"/>
        </w:rPr>
        <w:t>0</w:t>
      </w:r>
      <w:r>
        <w:rPr>
          <w:szCs w:val="21"/>
          <w:lang w:bidi="ar"/>
        </w:rPr>
        <w:t>%</w:t>
      </w:r>
      <w:r>
        <w:rPr>
          <w:rFonts w:hint="eastAsia"/>
          <w:szCs w:val="21"/>
          <w:lang w:bidi="ar"/>
        </w:rPr>
        <w:t>、</w:t>
      </w:r>
      <w:r>
        <w:rPr>
          <w:szCs w:val="21"/>
          <w:lang w:bidi="ar"/>
        </w:rPr>
        <w:t>50%</w:t>
      </w:r>
      <w:r>
        <w:rPr>
          <w:rFonts w:hint="eastAsia"/>
          <w:szCs w:val="21"/>
          <w:lang w:bidi="ar"/>
        </w:rPr>
        <w:t>的比重加权算出得分，并折算成等级成绩。</w:t>
      </w:r>
    </w:p>
    <w:p>
      <w:pPr>
        <w:numPr>
          <w:ilvl w:val="0"/>
          <w:numId w:val="91"/>
        </w:numPr>
        <w:adjustRightInd w:val="0"/>
        <w:snapToGrid w:val="0"/>
        <w:spacing w:line="300" w:lineRule="auto"/>
        <w:ind w:firstLine="420" w:firstLineChars="200"/>
        <w:rPr>
          <w:szCs w:val="21"/>
        </w:rPr>
      </w:pPr>
      <w:r>
        <w:rPr>
          <w:rFonts w:hint="eastAsia"/>
          <w:szCs w:val="21"/>
          <w:lang w:bidi="ar"/>
        </w:rPr>
        <w:t>考核评价标准</w:t>
      </w:r>
    </w:p>
    <w:p>
      <w:pPr>
        <w:adjustRightInd w:val="0"/>
        <w:snapToGrid w:val="0"/>
        <w:spacing w:line="300" w:lineRule="auto"/>
        <w:ind w:firstLine="420" w:firstLineChars="200"/>
        <w:rPr>
          <w:szCs w:val="21"/>
        </w:rPr>
      </w:pPr>
      <w:r>
        <w:rPr>
          <w:rFonts w:hint="eastAsia"/>
          <w:szCs w:val="21"/>
          <w:lang w:bidi="ar"/>
        </w:rPr>
        <w:t>毕业设计（论文）必须经过</w:t>
      </w:r>
      <w:r>
        <w:rPr>
          <w:szCs w:val="21"/>
          <w:lang w:bidi="ar"/>
        </w:rPr>
        <w:t>“</w:t>
      </w:r>
      <w:r>
        <w:rPr>
          <w:rFonts w:hint="eastAsia"/>
          <w:szCs w:val="21"/>
          <w:lang w:bidi="ar"/>
        </w:rPr>
        <w:t>审阅</w:t>
      </w:r>
      <w:r>
        <w:rPr>
          <w:szCs w:val="21"/>
          <w:lang w:bidi="ar"/>
        </w:rPr>
        <w:t>”</w:t>
      </w:r>
      <w:r>
        <w:rPr>
          <w:rFonts w:hint="eastAsia"/>
          <w:szCs w:val="21"/>
          <w:lang w:bidi="ar"/>
        </w:rPr>
        <w:t>、</w:t>
      </w:r>
      <w:r>
        <w:rPr>
          <w:szCs w:val="21"/>
          <w:lang w:bidi="ar"/>
        </w:rPr>
        <w:t>“</w:t>
      </w:r>
      <w:r>
        <w:rPr>
          <w:rFonts w:hint="eastAsia"/>
          <w:szCs w:val="21"/>
          <w:lang w:bidi="ar"/>
        </w:rPr>
        <w:t>评阅</w:t>
      </w:r>
      <w:r>
        <w:rPr>
          <w:szCs w:val="21"/>
          <w:lang w:bidi="ar"/>
        </w:rPr>
        <w:t>”</w:t>
      </w:r>
      <w:r>
        <w:rPr>
          <w:rFonts w:hint="eastAsia"/>
          <w:szCs w:val="21"/>
          <w:lang w:bidi="ar"/>
        </w:rPr>
        <w:t>、</w:t>
      </w:r>
      <w:r>
        <w:rPr>
          <w:szCs w:val="21"/>
          <w:lang w:bidi="ar"/>
        </w:rPr>
        <w:t>“</w:t>
      </w:r>
      <w:r>
        <w:rPr>
          <w:rFonts w:hint="eastAsia"/>
          <w:szCs w:val="21"/>
          <w:lang w:bidi="ar"/>
        </w:rPr>
        <w:t>答辩</w:t>
      </w:r>
      <w:r>
        <w:rPr>
          <w:szCs w:val="21"/>
          <w:lang w:bidi="ar"/>
        </w:rPr>
        <w:t>”</w:t>
      </w:r>
      <w:r>
        <w:rPr>
          <w:rFonts w:hint="eastAsia"/>
          <w:szCs w:val="21"/>
          <w:lang w:bidi="ar"/>
        </w:rPr>
        <w:t>三个环节，由指导教师、评阅教师、答辩小组分别写出评语并给出成绩，然后根据学生在各个环节的成绩和其的权值计算出每个学生以百分记分制的成绩以后，最后转换成五级记分制，综合评定学生成绩。</w:t>
      </w:r>
      <w:r>
        <w:rPr>
          <w:szCs w:val="21"/>
          <w:lang w:bidi="ar"/>
        </w:rPr>
        <w:t>“</w:t>
      </w:r>
      <w:r>
        <w:rPr>
          <w:rFonts w:hint="eastAsia"/>
          <w:szCs w:val="21"/>
          <w:lang w:bidi="ar"/>
        </w:rPr>
        <w:t>审阅</w:t>
      </w:r>
      <w:r>
        <w:rPr>
          <w:szCs w:val="21"/>
          <w:lang w:bidi="ar"/>
        </w:rPr>
        <w:t>”</w:t>
      </w:r>
      <w:r>
        <w:rPr>
          <w:rFonts w:hint="eastAsia"/>
          <w:szCs w:val="21"/>
          <w:lang w:bidi="ar"/>
        </w:rPr>
        <w:t>、</w:t>
      </w:r>
      <w:r>
        <w:rPr>
          <w:szCs w:val="21"/>
          <w:lang w:bidi="ar"/>
        </w:rPr>
        <w:t>“</w:t>
      </w:r>
      <w:r>
        <w:rPr>
          <w:rFonts w:hint="eastAsia"/>
          <w:szCs w:val="21"/>
          <w:lang w:bidi="ar"/>
        </w:rPr>
        <w:t>评阅</w:t>
      </w:r>
      <w:r>
        <w:rPr>
          <w:szCs w:val="21"/>
          <w:lang w:bidi="ar"/>
        </w:rPr>
        <w:t>”</w:t>
      </w:r>
      <w:r>
        <w:rPr>
          <w:rFonts w:hint="eastAsia"/>
          <w:szCs w:val="21"/>
          <w:lang w:bidi="ar"/>
        </w:rPr>
        <w:t>、</w:t>
      </w:r>
      <w:r>
        <w:rPr>
          <w:szCs w:val="21"/>
          <w:lang w:bidi="ar"/>
        </w:rPr>
        <w:t>“</w:t>
      </w:r>
      <w:r>
        <w:rPr>
          <w:rFonts w:hint="eastAsia"/>
          <w:szCs w:val="21"/>
          <w:lang w:bidi="ar"/>
        </w:rPr>
        <w:t>答辩</w:t>
      </w:r>
      <w:r>
        <w:rPr>
          <w:szCs w:val="21"/>
          <w:lang w:bidi="ar"/>
        </w:rPr>
        <w:t>”</w:t>
      </w:r>
      <w:r>
        <w:rPr>
          <w:rFonts w:hint="eastAsia"/>
          <w:szCs w:val="21"/>
          <w:lang w:bidi="ar"/>
        </w:rPr>
        <w:t>三个环节成绩占毕业设计（论文）总成绩的比例分别为3</w:t>
      </w:r>
      <w:r>
        <w:rPr>
          <w:szCs w:val="21"/>
          <w:lang w:bidi="ar"/>
        </w:rPr>
        <w:t>0%</w:t>
      </w:r>
      <w:r>
        <w:rPr>
          <w:rFonts w:hint="eastAsia"/>
          <w:szCs w:val="21"/>
          <w:lang w:bidi="ar"/>
        </w:rPr>
        <w:t>、2</w:t>
      </w:r>
      <w:r>
        <w:rPr>
          <w:szCs w:val="21"/>
          <w:lang w:bidi="ar"/>
        </w:rPr>
        <w:t>0%</w:t>
      </w:r>
      <w:r>
        <w:rPr>
          <w:rFonts w:hint="eastAsia"/>
          <w:szCs w:val="21"/>
          <w:lang w:bidi="ar"/>
        </w:rPr>
        <w:t>、5</w:t>
      </w:r>
      <w:r>
        <w:rPr>
          <w:szCs w:val="21"/>
          <w:lang w:bidi="ar"/>
        </w:rPr>
        <w:t>0%</w:t>
      </w:r>
      <w:r>
        <w:rPr>
          <w:rFonts w:hint="eastAsia"/>
          <w:szCs w:val="21"/>
          <w:lang w:bidi="ar"/>
        </w:rPr>
        <w:t>。毕业设计（论文）总成绩采用优秀、良好、中等、及格、不及格五级记分制。百分制成绩与五级记分制成绩转换标准见表</w:t>
      </w:r>
      <w:r>
        <w:rPr>
          <w:szCs w:val="21"/>
          <w:lang w:bidi="ar"/>
        </w:rPr>
        <w:t>4</w:t>
      </w:r>
      <w:r>
        <w:rPr>
          <w:rFonts w:hint="eastAsia"/>
          <w:szCs w:val="21"/>
          <w:lang w:bidi="ar"/>
        </w:rPr>
        <w:t>所示。</w:t>
      </w:r>
    </w:p>
    <w:p>
      <w:pPr>
        <w:widowControl/>
        <w:tabs>
          <w:tab w:val="left" w:pos="426"/>
          <w:tab w:val="left" w:pos="5245"/>
          <w:tab w:val="left" w:pos="5387"/>
        </w:tabs>
        <w:snapToGrid w:val="0"/>
        <w:spacing w:before="156" w:beforeLines="50" w:line="300" w:lineRule="auto"/>
        <w:ind w:firstLine="361" w:firstLineChars="200"/>
        <w:jc w:val="center"/>
        <w:rPr>
          <w:bCs/>
          <w:kern w:val="0"/>
          <w:sz w:val="18"/>
          <w:szCs w:val="18"/>
        </w:rPr>
      </w:pPr>
      <w:r>
        <w:rPr>
          <w:rFonts w:hint="eastAsia"/>
          <w:b/>
          <w:kern w:val="0"/>
          <w:sz w:val="18"/>
          <w:szCs w:val="18"/>
          <w:lang w:bidi="ar"/>
        </w:rPr>
        <w:t>表</w:t>
      </w:r>
      <w:r>
        <w:rPr>
          <w:b/>
          <w:kern w:val="0"/>
          <w:sz w:val="18"/>
          <w:szCs w:val="18"/>
          <w:lang w:bidi="ar"/>
        </w:rPr>
        <w:t>4</w:t>
      </w:r>
      <w:r>
        <w:rPr>
          <w:rFonts w:hint="eastAsia"/>
          <w:b/>
          <w:kern w:val="0"/>
          <w:sz w:val="18"/>
          <w:szCs w:val="18"/>
          <w:lang w:bidi="ar"/>
        </w:rPr>
        <w:t>百分制成绩与五级记分制成绩转换标准</w:t>
      </w:r>
    </w:p>
    <w:tbl>
      <w:tblPr>
        <w:tblStyle w:val="22"/>
        <w:tblW w:w="8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445"/>
        <w:gridCol w:w="1447"/>
        <w:gridCol w:w="1445"/>
        <w:gridCol w:w="144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46" w:type="dxa"/>
            <w:tcBorders>
              <w:top w:val="single" w:color="auto" w:sz="4" w:space="0"/>
              <w:left w:val="single" w:color="auto" w:sz="4" w:space="0"/>
              <w:bottom w:val="single" w:color="auto" w:sz="4" w:space="0"/>
              <w:right w:val="single" w:color="auto" w:sz="4" w:space="0"/>
            </w:tcBorders>
          </w:tcPr>
          <w:p>
            <w:pPr>
              <w:snapToGrid w:val="0"/>
              <w:spacing w:line="300" w:lineRule="auto"/>
              <w:rPr>
                <w:b/>
                <w:sz w:val="18"/>
                <w:szCs w:val="18"/>
              </w:rPr>
            </w:pPr>
            <w:r>
              <w:rPr>
                <w:rFonts w:hint="eastAsia"/>
                <w:b/>
                <w:sz w:val="18"/>
                <w:szCs w:val="18"/>
                <w:lang w:bidi="ar"/>
              </w:rPr>
              <w:t>百分制成绩</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bCs/>
                <w:sz w:val="18"/>
                <w:szCs w:val="18"/>
              </w:rPr>
            </w:pPr>
            <w:r>
              <w:rPr>
                <w:bCs/>
                <w:sz w:val="18"/>
                <w:szCs w:val="18"/>
                <w:lang w:bidi="ar"/>
              </w:rPr>
              <w:t>60</w:t>
            </w:r>
            <w:r>
              <w:rPr>
                <w:rFonts w:hint="eastAsia"/>
                <w:bCs/>
                <w:sz w:val="18"/>
                <w:szCs w:val="18"/>
                <w:lang w:bidi="ar"/>
              </w:rPr>
              <w:t>分以下</w:t>
            </w:r>
          </w:p>
        </w:tc>
        <w:tc>
          <w:tcPr>
            <w:tcW w:w="1447"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bCs/>
                <w:sz w:val="18"/>
                <w:szCs w:val="18"/>
              </w:rPr>
            </w:pPr>
            <w:r>
              <w:rPr>
                <w:bCs/>
                <w:sz w:val="18"/>
                <w:szCs w:val="18"/>
                <w:lang w:bidi="ar"/>
              </w:rPr>
              <w:t>60-69</w:t>
            </w:r>
            <w:r>
              <w:rPr>
                <w:rFonts w:hint="eastAsia"/>
                <w:bCs/>
                <w:sz w:val="18"/>
                <w:szCs w:val="18"/>
                <w:lang w:bidi="ar"/>
              </w:rPr>
              <w:t>分</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bCs/>
                <w:sz w:val="18"/>
                <w:szCs w:val="18"/>
              </w:rPr>
            </w:pPr>
            <w:r>
              <w:rPr>
                <w:bCs/>
                <w:sz w:val="18"/>
                <w:szCs w:val="18"/>
                <w:lang w:bidi="ar"/>
              </w:rPr>
              <w:t>70-79</w:t>
            </w:r>
            <w:r>
              <w:rPr>
                <w:rFonts w:hint="eastAsia"/>
                <w:bCs/>
                <w:sz w:val="18"/>
                <w:szCs w:val="18"/>
                <w:lang w:bidi="ar"/>
              </w:rPr>
              <w:t>分</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bCs/>
                <w:sz w:val="18"/>
                <w:szCs w:val="18"/>
              </w:rPr>
            </w:pPr>
            <w:r>
              <w:rPr>
                <w:bCs/>
                <w:sz w:val="18"/>
                <w:szCs w:val="18"/>
                <w:lang w:bidi="ar"/>
              </w:rPr>
              <w:t>80-89</w:t>
            </w:r>
            <w:r>
              <w:rPr>
                <w:rFonts w:hint="eastAsia"/>
                <w:bCs/>
                <w:sz w:val="18"/>
                <w:szCs w:val="18"/>
                <w:lang w:bidi="ar"/>
              </w:rPr>
              <w:t>分</w:t>
            </w:r>
          </w:p>
        </w:tc>
        <w:tc>
          <w:tcPr>
            <w:tcW w:w="1447"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bCs/>
                <w:sz w:val="18"/>
                <w:szCs w:val="18"/>
              </w:rPr>
            </w:pPr>
            <w:r>
              <w:rPr>
                <w:bCs/>
                <w:sz w:val="18"/>
                <w:szCs w:val="18"/>
                <w:lang w:bidi="ar"/>
              </w:rPr>
              <w:t>90-100</w:t>
            </w:r>
            <w:r>
              <w:rPr>
                <w:rFonts w:hint="eastAsia"/>
                <w:bCs/>
                <w:sz w:val="18"/>
                <w:szCs w:val="18"/>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op w:val="single" w:color="auto" w:sz="4" w:space="0"/>
              <w:left w:val="single" w:color="auto" w:sz="4" w:space="0"/>
              <w:bottom w:val="single" w:color="auto" w:sz="4" w:space="0"/>
              <w:right w:val="single" w:color="auto" w:sz="4" w:space="0"/>
            </w:tcBorders>
          </w:tcPr>
          <w:p>
            <w:pPr>
              <w:snapToGrid w:val="0"/>
              <w:spacing w:line="300" w:lineRule="auto"/>
              <w:rPr>
                <w:b/>
                <w:sz w:val="18"/>
                <w:szCs w:val="18"/>
              </w:rPr>
            </w:pPr>
            <w:r>
              <w:rPr>
                <w:rFonts w:hint="eastAsia"/>
                <w:b/>
                <w:sz w:val="18"/>
                <w:szCs w:val="18"/>
                <w:lang w:bidi="ar"/>
              </w:rPr>
              <w:t>五级制成绩</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sz w:val="18"/>
                <w:szCs w:val="18"/>
              </w:rPr>
            </w:pPr>
            <w:r>
              <w:rPr>
                <w:rFonts w:hint="eastAsia"/>
                <w:sz w:val="18"/>
                <w:szCs w:val="18"/>
                <w:lang w:bidi="ar"/>
              </w:rPr>
              <w:t>不及格</w:t>
            </w:r>
          </w:p>
        </w:tc>
        <w:tc>
          <w:tcPr>
            <w:tcW w:w="1447"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sz w:val="18"/>
                <w:szCs w:val="18"/>
              </w:rPr>
            </w:pPr>
            <w:r>
              <w:rPr>
                <w:rFonts w:hint="eastAsia"/>
                <w:sz w:val="18"/>
                <w:szCs w:val="18"/>
                <w:lang w:bidi="ar"/>
              </w:rPr>
              <w:t>及格</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sz w:val="18"/>
                <w:szCs w:val="18"/>
              </w:rPr>
            </w:pPr>
            <w:r>
              <w:rPr>
                <w:rFonts w:hint="eastAsia"/>
                <w:sz w:val="18"/>
                <w:szCs w:val="18"/>
                <w:lang w:bidi="ar"/>
              </w:rPr>
              <w:t>中</w:t>
            </w:r>
          </w:p>
        </w:tc>
        <w:tc>
          <w:tcPr>
            <w:tcW w:w="1445"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sz w:val="18"/>
                <w:szCs w:val="18"/>
              </w:rPr>
            </w:pPr>
            <w:r>
              <w:rPr>
                <w:rFonts w:hint="eastAsia"/>
                <w:sz w:val="18"/>
                <w:szCs w:val="18"/>
                <w:lang w:bidi="ar"/>
              </w:rPr>
              <w:t>良</w:t>
            </w:r>
          </w:p>
        </w:tc>
        <w:tc>
          <w:tcPr>
            <w:tcW w:w="1447" w:type="dxa"/>
            <w:tcBorders>
              <w:top w:val="single" w:color="auto" w:sz="4" w:space="0"/>
              <w:left w:val="single" w:color="auto" w:sz="4" w:space="0"/>
              <w:bottom w:val="single" w:color="auto" w:sz="4" w:space="0"/>
              <w:right w:val="single" w:color="auto" w:sz="4" w:space="0"/>
            </w:tcBorders>
          </w:tcPr>
          <w:p>
            <w:pPr>
              <w:snapToGrid w:val="0"/>
              <w:spacing w:line="300" w:lineRule="auto"/>
              <w:jc w:val="center"/>
              <w:rPr>
                <w:sz w:val="18"/>
                <w:szCs w:val="18"/>
              </w:rPr>
            </w:pPr>
            <w:r>
              <w:rPr>
                <w:rFonts w:hint="eastAsia"/>
                <w:sz w:val="18"/>
                <w:szCs w:val="18"/>
                <w:lang w:bidi="ar"/>
              </w:rPr>
              <w:t>优</w:t>
            </w:r>
          </w:p>
        </w:tc>
      </w:tr>
    </w:tbl>
    <w:p>
      <w:pPr>
        <w:adjustRightInd w:val="0"/>
        <w:snapToGrid w:val="0"/>
        <w:spacing w:line="300" w:lineRule="auto"/>
        <w:ind w:firstLine="420" w:firstLineChars="200"/>
        <w:rPr>
          <w:szCs w:val="21"/>
        </w:rPr>
      </w:pPr>
      <w:r>
        <w:rPr>
          <w:rFonts w:hint="eastAsia"/>
          <w:szCs w:val="21"/>
          <w:lang w:bidi="ar"/>
        </w:rPr>
        <w:t>（</w:t>
      </w:r>
      <w:r>
        <w:rPr>
          <w:szCs w:val="21"/>
          <w:lang w:bidi="ar"/>
        </w:rPr>
        <w:t>1</w:t>
      </w:r>
      <w:r>
        <w:rPr>
          <w:rFonts w:hint="eastAsia"/>
          <w:szCs w:val="21"/>
          <w:lang w:bidi="ar"/>
        </w:rPr>
        <w:t>）审阅（评定</w:t>
      </w:r>
      <w:r>
        <w:rPr>
          <w:szCs w:val="21"/>
          <w:lang w:bidi="ar"/>
        </w:rPr>
        <w:t>“</w:t>
      </w:r>
      <w:r>
        <w:rPr>
          <w:rFonts w:hint="eastAsia"/>
          <w:szCs w:val="21"/>
          <w:lang w:bidi="ar"/>
        </w:rPr>
        <w:t>平时成绩</w:t>
      </w:r>
      <w:r>
        <w:rPr>
          <w:szCs w:val="21"/>
          <w:lang w:bidi="ar"/>
        </w:rPr>
        <w:t>”</w:t>
      </w:r>
      <w:r>
        <w:rPr>
          <w:rFonts w:hint="eastAsia"/>
          <w:szCs w:val="21"/>
          <w:lang w:bidi="ar"/>
        </w:rPr>
        <w:t>）。学生将完成的毕业设计（论文）及附件（包括设计任务书、开题报告、外文翻译等）交与指导老师审阅。指导教师评定成绩参考标准如表</w:t>
      </w:r>
      <w:r>
        <w:rPr>
          <w:szCs w:val="21"/>
          <w:lang w:bidi="ar"/>
        </w:rPr>
        <w:t>5</w:t>
      </w:r>
      <w:r>
        <w:rPr>
          <w:rFonts w:hint="eastAsia"/>
          <w:szCs w:val="21"/>
          <w:lang w:bidi="ar"/>
        </w:rPr>
        <w:t>。</w:t>
      </w:r>
    </w:p>
    <w:p>
      <w:pPr>
        <w:widowControl/>
        <w:spacing w:before="156" w:beforeLines="50"/>
        <w:jc w:val="center"/>
        <w:rPr>
          <w:kern w:val="0"/>
          <w:sz w:val="18"/>
          <w:szCs w:val="18"/>
        </w:rPr>
      </w:pPr>
      <w:r>
        <w:rPr>
          <w:rFonts w:hint="eastAsia"/>
          <w:b/>
          <w:kern w:val="0"/>
          <w:sz w:val="18"/>
          <w:szCs w:val="18"/>
          <w:lang w:bidi="ar"/>
        </w:rPr>
        <w:t>表</w:t>
      </w:r>
      <w:r>
        <w:rPr>
          <w:b/>
          <w:kern w:val="0"/>
          <w:sz w:val="18"/>
          <w:szCs w:val="18"/>
          <w:lang w:bidi="ar"/>
        </w:rPr>
        <w:t>5</w:t>
      </w:r>
      <w:r>
        <w:rPr>
          <w:rFonts w:hint="eastAsia"/>
          <w:b/>
          <w:kern w:val="0"/>
          <w:sz w:val="18"/>
          <w:szCs w:val="18"/>
          <w:lang w:bidi="ar"/>
        </w:rPr>
        <w:t>指导教师评定成绩参考标准</w:t>
      </w:r>
    </w:p>
    <w:tbl>
      <w:tblPr>
        <w:tblStyle w:val="2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97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项</w:t>
            </w:r>
            <w:r>
              <w:rPr>
                <w:b/>
                <w:sz w:val="18"/>
                <w:szCs w:val="18"/>
                <w:lang w:bidi="ar"/>
              </w:rPr>
              <w:t xml:space="preserve">  </w:t>
            </w:r>
            <w:r>
              <w:rPr>
                <w:rFonts w:hint="eastAsia"/>
                <w:b/>
                <w:sz w:val="18"/>
                <w:szCs w:val="18"/>
                <w:lang w:bidi="ar"/>
              </w:rPr>
              <w:t>目</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内</w:t>
            </w:r>
            <w:r>
              <w:rPr>
                <w:b/>
                <w:sz w:val="18"/>
                <w:szCs w:val="18"/>
                <w:lang w:bidi="ar"/>
              </w:rPr>
              <w:t xml:space="preserve">      </w:t>
            </w:r>
            <w:r>
              <w:rPr>
                <w:rFonts w:hint="eastAsia"/>
                <w:b/>
                <w:sz w:val="18"/>
                <w:szCs w:val="18"/>
                <w:lang w:bidi="ar"/>
              </w:rPr>
              <w:t>容</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学习态度</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学习态度认真，科学作风严谨，严格保证设计时间并按规定进度开展各项工作。</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调研论证</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认真阅读教师指定的参考文献，能独立查阅文献以及从事其它形式的调研，能较好地理解课题任务并提出实施方案，有分析整理各类信息、从中获取新知识的能力，按要求填写选题登记表。</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外文应用能力</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能阅读、翻译一定量的本专业外文资料、外文摘要和外文参考书目，体现一定外语水平。</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水平与实际能力</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设计类：设计合理、理论分析与计算正确，实验数据准确可靠，有较强的实际动手能力、经济分析能力和计算机应用能力。</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5"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论文类：论点鲜明，有创见；论据确凿，论文表现出对实际问题有较强的分析能力和概括能力，文章材料详实可靠，有说服力。</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理论与专业知识</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反映出作者很好地掌握了有关基础理论与专业知识</w:t>
            </w:r>
            <w:r>
              <w:rPr>
                <w:sz w:val="18"/>
                <w:szCs w:val="18"/>
                <w:lang w:bidi="ar"/>
              </w:rPr>
              <w:t>,</w:t>
            </w:r>
            <w:r>
              <w:rPr>
                <w:rFonts w:hint="eastAsia"/>
                <w:sz w:val="18"/>
                <w:szCs w:val="18"/>
                <w:lang w:bidi="ar"/>
              </w:rPr>
              <w:t>并对研究的问题能较深刻分析或有独到之处。</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创新</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有重大改进或独特见解，富有新意，有一定学术价值或应用价值。</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论文撰写质量</w:t>
            </w:r>
          </w:p>
        </w:tc>
        <w:tc>
          <w:tcPr>
            <w:tcW w:w="697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rFonts w:hint="eastAsia"/>
                <w:sz w:val="18"/>
                <w:szCs w:val="18"/>
                <w:lang w:bidi="ar"/>
              </w:rPr>
              <w:t>结构严谨，逻辑性强，论述层次清晰，语言准确，文字流畅，完全符合规范化要求。标点、符号、计量单位使用准确，图纸、框图、表格、曲线等符合国家标准或工程要求。</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总分</w:t>
            </w:r>
          </w:p>
        </w:tc>
        <w:tc>
          <w:tcPr>
            <w:tcW w:w="7693"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100</w:t>
            </w:r>
          </w:p>
        </w:tc>
      </w:tr>
    </w:tbl>
    <w:p>
      <w:pPr>
        <w:adjustRightInd w:val="0"/>
        <w:snapToGrid w:val="0"/>
        <w:spacing w:before="156" w:beforeLines="50" w:line="300" w:lineRule="auto"/>
        <w:ind w:firstLine="420" w:firstLineChars="200"/>
        <w:rPr>
          <w:szCs w:val="21"/>
        </w:rPr>
      </w:pPr>
      <w:r>
        <w:rPr>
          <w:rFonts w:hint="eastAsia"/>
          <w:szCs w:val="21"/>
          <w:lang w:bidi="ar"/>
        </w:rPr>
        <w:t>审阅老师必须至少在答辩前</w:t>
      </w:r>
      <w:r>
        <w:rPr>
          <w:szCs w:val="21"/>
          <w:lang w:bidi="ar"/>
        </w:rPr>
        <w:t>5</w:t>
      </w:r>
      <w:r>
        <w:rPr>
          <w:rFonts w:hint="eastAsia"/>
          <w:szCs w:val="21"/>
          <w:lang w:bidi="ar"/>
        </w:rPr>
        <w:t>天完成审阅，并将已经审阅过的论文和审阅意见、审阅成绩送交答辩委员会（小组）负责人（或秘书），由秘书登记好审阅意见和成绩后，按照答辩委员会（小组）负责人的安排，将论文及时分发到评阅老师，由评阅老师进行论文评阅。</w:t>
      </w:r>
    </w:p>
    <w:p>
      <w:pPr>
        <w:adjustRightInd w:val="0"/>
        <w:snapToGrid w:val="0"/>
        <w:spacing w:line="300" w:lineRule="auto"/>
        <w:ind w:firstLine="420" w:firstLineChars="200"/>
        <w:rPr>
          <w:szCs w:val="21"/>
        </w:rPr>
      </w:pPr>
      <w:r>
        <w:rPr>
          <w:rFonts w:hint="eastAsia"/>
          <w:szCs w:val="21"/>
          <w:lang w:bidi="ar"/>
        </w:rPr>
        <w:t>注意：审阅老师的审阅意见和审阅成绩不能与评阅老师见面。</w:t>
      </w:r>
    </w:p>
    <w:p>
      <w:pPr>
        <w:adjustRightInd w:val="0"/>
        <w:snapToGrid w:val="0"/>
        <w:spacing w:line="300" w:lineRule="auto"/>
        <w:ind w:firstLine="420" w:firstLineChars="200"/>
        <w:rPr>
          <w:szCs w:val="21"/>
        </w:rPr>
      </w:pPr>
      <w:r>
        <w:rPr>
          <w:rFonts w:hint="eastAsia"/>
          <w:szCs w:val="21"/>
          <w:lang w:bidi="ar"/>
        </w:rPr>
        <w:t>（</w:t>
      </w:r>
      <w:r>
        <w:rPr>
          <w:szCs w:val="21"/>
          <w:lang w:bidi="ar"/>
        </w:rPr>
        <w:t>2</w:t>
      </w:r>
      <w:r>
        <w:rPr>
          <w:rFonts w:hint="eastAsia"/>
          <w:szCs w:val="21"/>
          <w:lang w:bidi="ar"/>
        </w:rPr>
        <w:t>）评阅</w:t>
      </w:r>
      <w:r>
        <w:rPr>
          <w:szCs w:val="21"/>
          <w:lang w:bidi="ar"/>
        </w:rPr>
        <w:t>(</w:t>
      </w:r>
      <w:r>
        <w:rPr>
          <w:rFonts w:hint="eastAsia"/>
          <w:szCs w:val="21"/>
          <w:lang w:bidi="ar"/>
        </w:rPr>
        <w:t>评定</w:t>
      </w:r>
      <w:r>
        <w:rPr>
          <w:szCs w:val="21"/>
          <w:lang w:bidi="ar"/>
        </w:rPr>
        <w:t>“</w:t>
      </w:r>
      <w:r>
        <w:rPr>
          <w:rFonts w:hint="eastAsia"/>
          <w:szCs w:val="21"/>
          <w:lang w:bidi="ar"/>
        </w:rPr>
        <w:t>评阅成绩</w:t>
      </w:r>
      <w:r>
        <w:rPr>
          <w:szCs w:val="21"/>
          <w:lang w:bidi="ar"/>
        </w:rPr>
        <w:t>”)</w:t>
      </w:r>
      <w:r>
        <w:rPr>
          <w:rFonts w:hint="eastAsia"/>
          <w:szCs w:val="21"/>
          <w:lang w:bidi="ar"/>
        </w:rPr>
        <w:t>。学生的毕业设计（论文）及附件经指导教师审阅后，由指导教师在答辩前五天交与答辩委员会（小组）负责人（秘书），再由答辩委员会（小组）负责人落实本学科或相关学科的具有讲师职称及其以上的人员进行评阅，严禁指导老师同时作为审阅或评阅人。评阅老师须认真、客观地进行评阅，写出评阅意见，给出评阅成绩。未通过评阅环节者，不得进入答辩环节。评阅人评定成绩参考标准见表</w:t>
      </w:r>
      <w:r>
        <w:rPr>
          <w:szCs w:val="21"/>
          <w:lang w:bidi="ar"/>
        </w:rPr>
        <w:t>6</w:t>
      </w:r>
      <w:r>
        <w:rPr>
          <w:rFonts w:hint="eastAsia"/>
          <w:szCs w:val="21"/>
          <w:lang w:bidi="ar"/>
        </w:rPr>
        <w:t>所示。</w:t>
      </w:r>
    </w:p>
    <w:p>
      <w:pPr>
        <w:widowControl/>
        <w:spacing w:before="156" w:beforeLines="50"/>
        <w:jc w:val="center"/>
        <w:rPr>
          <w:b/>
          <w:kern w:val="0"/>
          <w:sz w:val="18"/>
          <w:szCs w:val="18"/>
        </w:rPr>
      </w:pPr>
      <w:r>
        <w:rPr>
          <w:rFonts w:hint="eastAsia"/>
          <w:b/>
          <w:kern w:val="0"/>
          <w:sz w:val="18"/>
          <w:szCs w:val="18"/>
          <w:lang w:bidi="ar"/>
        </w:rPr>
        <w:t>表</w:t>
      </w:r>
      <w:r>
        <w:rPr>
          <w:b/>
          <w:kern w:val="0"/>
          <w:sz w:val="18"/>
          <w:szCs w:val="18"/>
          <w:lang w:bidi="ar"/>
        </w:rPr>
        <w:t>6</w:t>
      </w:r>
      <w:r>
        <w:rPr>
          <w:rFonts w:hint="eastAsia"/>
          <w:b/>
          <w:kern w:val="0"/>
          <w:sz w:val="18"/>
          <w:szCs w:val="18"/>
          <w:lang w:bidi="ar"/>
        </w:rPr>
        <w:t>评阅人评定成绩参考标准</w:t>
      </w:r>
    </w:p>
    <w:tbl>
      <w:tblPr>
        <w:tblStyle w:val="22"/>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666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blHeader/>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项</w:t>
            </w:r>
            <w:r>
              <w:rPr>
                <w:b/>
                <w:sz w:val="18"/>
                <w:szCs w:val="18"/>
                <w:lang w:bidi="ar"/>
              </w:rPr>
              <w:t xml:space="preserve">  </w:t>
            </w:r>
            <w:r>
              <w:rPr>
                <w:rFonts w:hint="eastAsia"/>
                <w:b/>
                <w:sz w:val="18"/>
                <w:szCs w:val="18"/>
                <w:lang w:bidi="ar"/>
              </w:rPr>
              <w:t>目</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内</w:t>
            </w:r>
            <w:r>
              <w:rPr>
                <w:b/>
                <w:sz w:val="18"/>
                <w:szCs w:val="18"/>
                <w:lang w:bidi="ar"/>
              </w:rPr>
              <w:t xml:space="preserve">      </w:t>
            </w:r>
            <w:r>
              <w:rPr>
                <w:rFonts w:hint="eastAsia"/>
                <w:b/>
                <w:sz w:val="18"/>
                <w:szCs w:val="18"/>
                <w:lang w:bidi="ar"/>
              </w:rPr>
              <w:t>容</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b/>
                <w:sz w:val="18"/>
                <w:szCs w:val="18"/>
              </w:rPr>
            </w:pPr>
            <w:r>
              <w:rPr>
                <w:rFonts w:hint="eastAsia"/>
                <w:b/>
                <w:sz w:val="18"/>
                <w:szCs w:val="18"/>
                <w:lang w:bidi="ar"/>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选题质量</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选题符合专业培养目标，体现学科、专业特点和综合训练的基本要求；符合本学科的发展，有一定的学术意义和实际价值；规模适当；难度适中。</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撰写规范</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开题报告的填写、题目、摘要、关键词、目录、正文、致谢、附录、参考文献等符合规范，篇幅符合规定。</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资料综合</w:t>
            </w:r>
            <w:r>
              <w:rPr>
                <w:sz w:val="18"/>
                <w:szCs w:val="18"/>
                <w:lang w:bidi="ar"/>
              </w:rPr>
              <w:t xml:space="preserve">    </w:t>
            </w:r>
            <w:r>
              <w:rPr>
                <w:rFonts w:hint="eastAsia"/>
                <w:sz w:val="18"/>
                <w:szCs w:val="18"/>
                <w:lang w:bidi="ar"/>
              </w:rPr>
              <w:t>归纳能力</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sz w:val="18"/>
                <w:szCs w:val="18"/>
                <w:lang w:bidi="ar"/>
              </w:rPr>
              <w:t xml:space="preserve"> </w:t>
            </w:r>
            <w:r>
              <w:rPr>
                <w:rFonts w:hint="eastAsia"/>
                <w:sz w:val="18"/>
                <w:szCs w:val="18"/>
                <w:lang w:bidi="ar"/>
              </w:rPr>
              <w:t>查阅文献有一定广泛性；能较好从中获取与课题有关的内容；有较强综合归纳资料的能力和自己的见解。</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综合运用</w:t>
            </w:r>
            <w:r>
              <w:rPr>
                <w:sz w:val="18"/>
                <w:szCs w:val="18"/>
                <w:lang w:bidi="ar"/>
              </w:rPr>
              <w:t xml:space="preserve">    </w:t>
            </w:r>
            <w:r>
              <w:rPr>
                <w:rFonts w:hint="eastAsia"/>
                <w:sz w:val="18"/>
                <w:szCs w:val="18"/>
                <w:lang w:bidi="ar"/>
              </w:rPr>
              <w:t>知识能力</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能运用所学专业知识阐述问题；论文</w:t>
            </w:r>
            <w:r>
              <w:rPr>
                <w:sz w:val="18"/>
                <w:szCs w:val="18"/>
                <w:lang w:bidi="ar"/>
              </w:rPr>
              <w:t>(</w:t>
            </w:r>
            <w:r>
              <w:rPr>
                <w:rFonts w:hint="eastAsia"/>
                <w:sz w:val="18"/>
                <w:szCs w:val="18"/>
                <w:lang w:bidi="ar"/>
              </w:rPr>
              <w:t>设计</w:t>
            </w:r>
            <w:r>
              <w:rPr>
                <w:sz w:val="18"/>
                <w:szCs w:val="18"/>
                <w:lang w:bidi="ar"/>
              </w:rPr>
              <w:t>)</w:t>
            </w:r>
            <w:r>
              <w:rPr>
                <w:rFonts w:hint="eastAsia"/>
                <w:sz w:val="18"/>
                <w:szCs w:val="18"/>
                <w:lang w:bidi="ar"/>
              </w:rPr>
              <w:t>内容有适当的深度、广度和难度。</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38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设</w:t>
            </w:r>
            <w:r>
              <w:rPr>
                <w:sz w:val="18"/>
                <w:szCs w:val="18"/>
                <w:lang w:bidi="ar"/>
              </w:rPr>
              <w:t xml:space="preserve">  </w:t>
            </w:r>
            <w:r>
              <w:rPr>
                <w:rFonts w:hint="eastAsia"/>
                <w:sz w:val="18"/>
                <w:szCs w:val="18"/>
                <w:lang w:bidi="ar"/>
              </w:rPr>
              <w:t>计</w:t>
            </w:r>
            <w:r>
              <w:rPr>
                <w:sz w:val="18"/>
                <w:szCs w:val="18"/>
                <w:lang w:bidi="ar"/>
              </w:rPr>
              <w:t xml:space="preserve">           </w:t>
            </w:r>
            <w:r>
              <w:rPr>
                <w:rFonts w:hint="eastAsia"/>
                <w:sz w:val="18"/>
                <w:szCs w:val="18"/>
                <w:lang w:bidi="ar"/>
              </w:rPr>
              <w:t>（论</w:t>
            </w:r>
            <w:r>
              <w:rPr>
                <w:sz w:val="18"/>
                <w:szCs w:val="18"/>
                <w:lang w:bidi="ar"/>
              </w:rPr>
              <w:t xml:space="preserve">  </w:t>
            </w:r>
            <w:r>
              <w:rPr>
                <w:rFonts w:hint="eastAsia"/>
                <w:sz w:val="18"/>
                <w:szCs w:val="18"/>
                <w:lang w:bidi="ar"/>
              </w:rPr>
              <w:t>文）</w:t>
            </w:r>
            <w:r>
              <w:rPr>
                <w:sz w:val="18"/>
                <w:szCs w:val="18"/>
                <w:lang w:bidi="ar"/>
              </w:rPr>
              <w:t xml:space="preserve">       </w:t>
            </w:r>
            <w:r>
              <w:rPr>
                <w:rFonts w:hint="eastAsia"/>
                <w:sz w:val="18"/>
                <w:szCs w:val="18"/>
                <w:lang w:bidi="ar"/>
              </w:rPr>
              <w:t>质</w:t>
            </w:r>
            <w:r>
              <w:rPr>
                <w:sz w:val="18"/>
                <w:szCs w:val="18"/>
                <w:lang w:bidi="ar"/>
              </w:rPr>
              <w:t xml:space="preserve">  </w:t>
            </w:r>
            <w:r>
              <w:rPr>
                <w:rFonts w:hint="eastAsia"/>
                <w:sz w:val="18"/>
                <w:szCs w:val="18"/>
                <w:lang w:bidi="ar"/>
              </w:rPr>
              <w:t>量</w:t>
            </w:r>
            <w:r>
              <w:rPr>
                <w:sz w:val="18"/>
                <w:szCs w:val="18"/>
                <w:lang w:bidi="ar"/>
              </w:rPr>
              <w:t xml:space="preserve"> </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设计类：设计合理、理论分析与计算正确，实验数据准确可靠，有较强的实际动手能力、经济分析能力和计算机应用能力。</w:t>
            </w:r>
            <w:r>
              <w:rPr>
                <w:sz w:val="18"/>
                <w:szCs w:val="18"/>
                <w:lang w:bidi="ar"/>
              </w:rPr>
              <w:t xml:space="preserve">                                                                                                    </w:t>
            </w:r>
          </w:p>
        </w:tc>
        <w:tc>
          <w:tcPr>
            <w:tcW w:w="80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1388"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论文类：论点鲜明，有创见；论据确凿，论文表现出对实际问题有较强的分析能力和概括能力，文章材料详实可靠，有说服力。</w:t>
            </w:r>
          </w:p>
        </w:tc>
        <w:tc>
          <w:tcPr>
            <w:tcW w:w="804"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学术水平</w:t>
            </w:r>
            <w:r>
              <w:rPr>
                <w:sz w:val="18"/>
                <w:szCs w:val="18"/>
                <w:lang w:bidi="ar"/>
              </w:rPr>
              <w:t xml:space="preserve">   </w:t>
            </w:r>
          </w:p>
          <w:p>
            <w:pPr>
              <w:snapToGrid w:val="0"/>
              <w:spacing w:line="300" w:lineRule="auto"/>
              <w:rPr>
                <w:sz w:val="18"/>
                <w:szCs w:val="18"/>
              </w:rPr>
            </w:pPr>
            <w:r>
              <w:rPr>
                <w:sz w:val="18"/>
                <w:szCs w:val="18"/>
                <w:lang w:bidi="ar"/>
              </w:rPr>
              <w:t xml:space="preserve"> </w:t>
            </w:r>
            <w:r>
              <w:rPr>
                <w:rFonts w:hint="eastAsia"/>
                <w:sz w:val="18"/>
                <w:szCs w:val="18"/>
                <w:lang w:bidi="ar"/>
              </w:rPr>
              <w:t>与创新</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论文有独到的见解，富有新意或对某些问题有较深刻的分析，有较高的学术水平或较大的实用价值。</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完成情况</w:t>
            </w:r>
          </w:p>
        </w:tc>
        <w:tc>
          <w:tcPr>
            <w:tcW w:w="6663"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内容充实，完成情况较好。</w:t>
            </w:r>
          </w:p>
        </w:tc>
        <w:tc>
          <w:tcPr>
            <w:tcW w:w="80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sz w:val="18"/>
                <w:szCs w:val="18"/>
              </w:rPr>
            </w:pPr>
            <w:r>
              <w:rPr>
                <w:rFonts w:hint="eastAsia"/>
                <w:sz w:val="18"/>
                <w:szCs w:val="18"/>
                <w:lang w:bidi="ar"/>
              </w:rPr>
              <w:t>总</w:t>
            </w:r>
            <w:r>
              <w:rPr>
                <w:sz w:val="18"/>
                <w:szCs w:val="18"/>
                <w:lang w:bidi="ar"/>
              </w:rPr>
              <w:t xml:space="preserve">   </w:t>
            </w:r>
            <w:r>
              <w:rPr>
                <w:rFonts w:hint="eastAsia"/>
                <w:sz w:val="18"/>
                <w:szCs w:val="18"/>
                <w:lang w:bidi="ar"/>
              </w:rPr>
              <w:t>分</w:t>
            </w:r>
          </w:p>
        </w:tc>
        <w:tc>
          <w:tcPr>
            <w:tcW w:w="746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18"/>
                <w:szCs w:val="18"/>
              </w:rPr>
            </w:pPr>
            <w:r>
              <w:rPr>
                <w:sz w:val="18"/>
                <w:szCs w:val="18"/>
                <w:lang w:bidi="ar"/>
              </w:rPr>
              <w:t>100</w:t>
            </w:r>
          </w:p>
        </w:tc>
      </w:tr>
    </w:tbl>
    <w:p>
      <w:pPr>
        <w:adjustRightInd w:val="0"/>
        <w:snapToGrid w:val="0"/>
        <w:spacing w:before="156" w:beforeLines="50" w:line="300" w:lineRule="auto"/>
        <w:ind w:firstLine="420" w:firstLineChars="200"/>
        <w:rPr>
          <w:szCs w:val="21"/>
        </w:rPr>
      </w:pPr>
      <w:r>
        <w:rPr>
          <w:rFonts w:hint="eastAsia"/>
          <w:szCs w:val="21"/>
          <w:lang w:bidi="ar"/>
        </w:rPr>
        <w:t>评阅教师必须在答辩前</w:t>
      </w:r>
      <w:r>
        <w:rPr>
          <w:szCs w:val="21"/>
          <w:lang w:bidi="ar"/>
        </w:rPr>
        <w:t>2</w:t>
      </w:r>
      <w:r>
        <w:rPr>
          <w:rFonts w:hint="eastAsia"/>
          <w:szCs w:val="21"/>
          <w:lang w:bidi="ar"/>
        </w:rPr>
        <w:t>天完成评阅，并将已经评阅过的论文和评阅意见、评阅成绩送交答辩委员会（小组）负责人（或秘书），由秘书登记好评阅意见和成绩后，将论文发还学生，供学生进行答辩准备。</w:t>
      </w:r>
    </w:p>
    <w:p>
      <w:pPr>
        <w:adjustRightInd w:val="0"/>
        <w:snapToGrid w:val="0"/>
        <w:spacing w:line="300" w:lineRule="auto"/>
        <w:ind w:firstLine="420" w:firstLineChars="200"/>
      </w:pPr>
      <w:r>
        <w:rPr>
          <w:rFonts w:hint="eastAsia"/>
          <w:szCs w:val="21"/>
          <w:lang w:bidi="ar"/>
        </w:rPr>
        <w:t>（</w:t>
      </w:r>
      <w:r>
        <w:rPr>
          <w:szCs w:val="21"/>
          <w:lang w:bidi="ar"/>
        </w:rPr>
        <w:t>3</w:t>
      </w:r>
      <w:r>
        <w:rPr>
          <w:rFonts w:hint="eastAsia"/>
          <w:szCs w:val="21"/>
          <w:lang w:bidi="ar"/>
        </w:rPr>
        <w:t>）答辩</w:t>
      </w:r>
      <w:r>
        <w:rPr>
          <w:szCs w:val="21"/>
          <w:lang w:bidi="ar"/>
        </w:rPr>
        <w:t>(</w:t>
      </w:r>
      <w:r>
        <w:rPr>
          <w:rFonts w:hint="eastAsia"/>
          <w:szCs w:val="21"/>
          <w:lang w:bidi="ar"/>
        </w:rPr>
        <w:t>评定</w:t>
      </w:r>
      <w:r>
        <w:rPr>
          <w:szCs w:val="21"/>
          <w:lang w:bidi="ar"/>
        </w:rPr>
        <w:t>“</w:t>
      </w:r>
      <w:r>
        <w:rPr>
          <w:rFonts w:hint="eastAsia"/>
          <w:szCs w:val="21"/>
          <w:lang w:bidi="ar"/>
        </w:rPr>
        <w:t>答辩成绩</w:t>
      </w:r>
      <w:r>
        <w:rPr>
          <w:szCs w:val="21"/>
          <w:lang w:bidi="ar"/>
        </w:rPr>
        <w:t>”)</w:t>
      </w:r>
      <w:r>
        <w:rPr>
          <w:rFonts w:hint="eastAsia"/>
          <w:szCs w:val="21"/>
          <w:lang w:bidi="ar"/>
        </w:rPr>
        <w:t>。按照学校的要求，学生的毕业设计（论文）答辩均在毕业设计（论文）答辩会上公开进行。系成立以系主任为组长的毕业设计（论文）答辩委员会（小组），负责组织自动化专业的毕业设计（论文）的答辩工作，根据毕业学生的多少和题目的类型，</w:t>
      </w:r>
      <w:r>
        <w:rPr>
          <w:rFonts w:hint="eastAsia"/>
          <w:b/>
          <w:szCs w:val="21"/>
          <w:lang w:bidi="ar"/>
        </w:rPr>
        <w:t>适当组成答辩小组分组进行答辩，</w:t>
      </w:r>
      <w:r>
        <w:rPr>
          <w:rFonts w:hint="eastAsia"/>
          <w:szCs w:val="21"/>
          <w:lang w:bidi="ar"/>
        </w:rPr>
        <w:t>并将答辩委员会及分组的名单应提前报学院教务处备案。答辩完成后，由答辩委员会（小组）写出评语及评定学生的</w:t>
      </w:r>
      <w:r>
        <w:rPr>
          <w:szCs w:val="21"/>
          <w:lang w:bidi="ar"/>
        </w:rPr>
        <w:t>“</w:t>
      </w:r>
      <w:r>
        <w:rPr>
          <w:rFonts w:hint="eastAsia"/>
          <w:szCs w:val="21"/>
          <w:lang w:bidi="ar"/>
        </w:rPr>
        <w:t>答辩成绩</w:t>
      </w:r>
      <w:r>
        <w:rPr>
          <w:szCs w:val="21"/>
          <w:lang w:bidi="ar"/>
        </w:rPr>
        <w:t>”</w:t>
      </w:r>
      <w:r>
        <w:rPr>
          <w:rFonts w:hint="eastAsia"/>
          <w:szCs w:val="21"/>
          <w:lang w:bidi="ar"/>
        </w:rPr>
        <w:t>。答辩时间安排在毕业设计环节的最后</w:t>
      </w:r>
      <w:r>
        <w:rPr>
          <w:szCs w:val="21"/>
          <w:lang w:bidi="ar"/>
        </w:rPr>
        <w:t>—</w:t>
      </w:r>
      <w:r>
        <w:rPr>
          <w:rFonts w:hint="eastAsia"/>
          <w:szCs w:val="21"/>
          <w:lang w:bidi="ar"/>
        </w:rPr>
        <w:t>周内进行，答辩委员会应将参加毕业答辩学生的名单及日程安排表提前</w:t>
      </w:r>
      <w:r>
        <w:rPr>
          <w:szCs w:val="21"/>
          <w:lang w:bidi="ar"/>
        </w:rPr>
        <w:t>3</w:t>
      </w:r>
      <w:r>
        <w:rPr>
          <w:rFonts w:hint="eastAsia"/>
          <w:szCs w:val="21"/>
          <w:lang w:bidi="ar"/>
        </w:rPr>
        <w:t>天报学院和学校教务处，并向学生公布。最迟应在答辩前两天发还学生做答辩准备。答辩委员评定标准如表</w:t>
      </w:r>
      <w:r>
        <w:rPr>
          <w:szCs w:val="21"/>
          <w:lang w:bidi="ar"/>
        </w:rPr>
        <w:t>7</w:t>
      </w:r>
      <w:r>
        <w:rPr>
          <w:rFonts w:hint="eastAsia"/>
          <w:szCs w:val="21"/>
          <w:lang w:bidi="ar"/>
        </w:rPr>
        <w:t>。</w:t>
      </w:r>
    </w:p>
    <w:p>
      <w:pPr>
        <w:widowControl/>
        <w:spacing w:before="156" w:beforeLines="50"/>
        <w:jc w:val="center"/>
        <w:rPr>
          <w:b/>
          <w:kern w:val="0"/>
          <w:sz w:val="18"/>
          <w:szCs w:val="18"/>
        </w:rPr>
      </w:pPr>
      <w:r>
        <w:rPr>
          <w:rFonts w:hint="eastAsia"/>
          <w:b/>
          <w:kern w:val="0"/>
          <w:sz w:val="18"/>
          <w:szCs w:val="18"/>
          <w:lang w:bidi="ar"/>
        </w:rPr>
        <w:t>表</w:t>
      </w:r>
      <w:r>
        <w:rPr>
          <w:b/>
          <w:kern w:val="0"/>
          <w:sz w:val="18"/>
          <w:szCs w:val="18"/>
          <w:lang w:bidi="ar"/>
        </w:rPr>
        <w:t>7</w:t>
      </w:r>
      <w:r>
        <w:rPr>
          <w:rFonts w:hint="eastAsia"/>
          <w:b/>
          <w:kern w:val="0"/>
          <w:sz w:val="18"/>
          <w:szCs w:val="18"/>
          <w:lang w:bidi="ar"/>
        </w:rPr>
        <w:t>答辩委员评定标准</w:t>
      </w:r>
    </w:p>
    <w:tbl>
      <w:tblPr>
        <w:tblStyle w:val="22"/>
        <w:tblW w:w="8677" w:type="dxa"/>
        <w:jc w:val="center"/>
        <w:tblLayout w:type="fixed"/>
        <w:tblCellMar>
          <w:top w:w="0" w:type="dxa"/>
          <w:left w:w="108" w:type="dxa"/>
          <w:bottom w:w="0" w:type="dxa"/>
          <w:right w:w="108" w:type="dxa"/>
        </w:tblCellMar>
      </w:tblPr>
      <w:tblGrid>
        <w:gridCol w:w="542"/>
        <w:gridCol w:w="1204"/>
        <w:gridCol w:w="6343"/>
        <w:gridCol w:w="588"/>
      </w:tblGrid>
      <w:tr>
        <w:tblPrEx>
          <w:tblCellMar>
            <w:top w:w="0" w:type="dxa"/>
            <w:left w:w="108" w:type="dxa"/>
            <w:bottom w:w="0" w:type="dxa"/>
            <w:right w:w="108" w:type="dxa"/>
          </w:tblCellMar>
        </w:tblPrEx>
        <w:trPr>
          <w:trHeight w:val="255" w:hRule="exact"/>
          <w:jc w:val="center"/>
        </w:trPr>
        <w:tc>
          <w:tcPr>
            <w:tcW w:w="542" w:type="dxa"/>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r>
              <w:rPr>
                <w:rFonts w:hint="eastAsia"/>
                <w:kern w:val="0"/>
                <w:sz w:val="18"/>
                <w:szCs w:val="18"/>
                <w:lang w:bidi="ar"/>
              </w:rPr>
              <w:t>　</w:t>
            </w:r>
          </w:p>
        </w:tc>
        <w:tc>
          <w:tcPr>
            <w:tcW w:w="1204" w:type="dxa"/>
            <w:tcBorders>
              <w:top w:val="single" w:color="auto" w:sz="4" w:space="0"/>
              <w:left w:val="nil"/>
              <w:bottom w:val="single" w:color="auto" w:sz="4" w:space="0"/>
              <w:right w:val="single" w:color="auto" w:sz="4" w:space="0"/>
            </w:tcBorders>
          </w:tcPr>
          <w:p>
            <w:pPr>
              <w:widowControl/>
              <w:jc w:val="center"/>
              <w:rPr>
                <w:b/>
                <w:kern w:val="0"/>
                <w:sz w:val="18"/>
                <w:szCs w:val="18"/>
              </w:rPr>
            </w:pPr>
            <w:r>
              <w:rPr>
                <w:rFonts w:hint="eastAsia"/>
                <w:b/>
                <w:kern w:val="0"/>
                <w:sz w:val="18"/>
                <w:szCs w:val="18"/>
                <w:lang w:bidi="ar"/>
              </w:rPr>
              <w:t>项</w:t>
            </w:r>
            <w:r>
              <w:rPr>
                <w:b/>
                <w:kern w:val="0"/>
                <w:sz w:val="18"/>
                <w:szCs w:val="18"/>
                <w:lang w:bidi="ar"/>
              </w:rPr>
              <w:t xml:space="preserve">  </w:t>
            </w:r>
            <w:r>
              <w:rPr>
                <w:rFonts w:hint="eastAsia"/>
                <w:b/>
                <w:kern w:val="0"/>
                <w:sz w:val="18"/>
                <w:szCs w:val="18"/>
                <w:lang w:bidi="ar"/>
              </w:rPr>
              <w:t>目</w:t>
            </w:r>
          </w:p>
        </w:tc>
        <w:tc>
          <w:tcPr>
            <w:tcW w:w="6343" w:type="dxa"/>
            <w:tcBorders>
              <w:top w:val="single" w:color="auto" w:sz="4" w:space="0"/>
              <w:left w:val="nil"/>
              <w:bottom w:val="single" w:color="auto" w:sz="4" w:space="0"/>
              <w:right w:val="single" w:color="auto" w:sz="4" w:space="0"/>
            </w:tcBorders>
          </w:tcPr>
          <w:p>
            <w:pPr>
              <w:widowControl/>
              <w:jc w:val="center"/>
              <w:rPr>
                <w:b/>
                <w:kern w:val="0"/>
                <w:sz w:val="18"/>
                <w:szCs w:val="18"/>
              </w:rPr>
            </w:pPr>
            <w:r>
              <w:rPr>
                <w:rFonts w:hint="eastAsia"/>
                <w:b/>
                <w:kern w:val="0"/>
                <w:sz w:val="18"/>
                <w:szCs w:val="18"/>
                <w:lang w:bidi="ar"/>
              </w:rPr>
              <w:t>内</w:t>
            </w:r>
            <w:r>
              <w:rPr>
                <w:b/>
                <w:kern w:val="0"/>
                <w:sz w:val="18"/>
                <w:szCs w:val="18"/>
                <w:lang w:bidi="ar"/>
              </w:rPr>
              <w:t xml:space="preserve">      </w:t>
            </w:r>
            <w:r>
              <w:rPr>
                <w:rFonts w:hint="eastAsia"/>
                <w:b/>
                <w:kern w:val="0"/>
                <w:sz w:val="18"/>
                <w:szCs w:val="18"/>
                <w:lang w:bidi="ar"/>
              </w:rPr>
              <w:t>容</w:t>
            </w:r>
          </w:p>
        </w:tc>
        <w:tc>
          <w:tcPr>
            <w:tcW w:w="588" w:type="dxa"/>
            <w:tcBorders>
              <w:top w:val="single" w:color="auto" w:sz="4" w:space="0"/>
              <w:left w:val="nil"/>
              <w:bottom w:val="single" w:color="auto" w:sz="4" w:space="0"/>
              <w:right w:val="single" w:color="auto" w:sz="4" w:space="0"/>
            </w:tcBorders>
          </w:tcPr>
          <w:p>
            <w:pPr>
              <w:widowControl/>
              <w:jc w:val="center"/>
              <w:rPr>
                <w:b/>
                <w:kern w:val="0"/>
                <w:sz w:val="18"/>
                <w:szCs w:val="18"/>
              </w:rPr>
            </w:pPr>
            <w:r>
              <w:rPr>
                <w:rFonts w:hint="eastAsia"/>
                <w:b/>
                <w:kern w:val="0"/>
                <w:sz w:val="18"/>
                <w:szCs w:val="18"/>
                <w:lang w:bidi="ar"/>
              </w:rPr>
              <w:t>满分</w:t>
            </w:r>
          </w:p>
        </w:tc>
      </w:tr>
      <w:tr>
        <w:tblPrEx>
          <w:tblCellMar>
            <w:top w:w="0" w:type="dxa"/>
            <w:left w:w="108" w:type="dxa"/>
            <w:bottom w:w="0" w:type="dxa"/>
            <w:right w:w="108" w:type="dxa"/>
          </w:tblCellMar>
        </w:tblPrEx>
        <w:trPr>
          <w:trHeight w:val="692" w:hRule="atLeast"/>
          <w:jc w:val="center"/>
        </w:trPr>
        <w:tc>
          <w:tcPr>
            <w:tcW w:w="542"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spacing w:val="60"/>
                <w:kern w:val="0"/>
                <w:sz w:val="18"/>
                <w:szCs w:val="18"/>
              </w:rPr>
            </w:pPr>
            <w:r>
              <w:rPr>
                <w:rFonts w:hint="eastAsia"/>
                <w:spacing w:val="60"/>
                <w:kern w:val="0"/>
                <w:sz w:val="18"/>
                <w:szCs w:val="18"/>
                <w:lang w:bidi="ar"/>
              </w:rPr>
              <w:t>评</w:t>
            </w:r>
            <w:r>
              <w:rPr>
                <w:spacing w:val="60"/>
                <w:kern w:val="0"/>
                <w:sz w:val="18"/>
                <w:szCs w:val="18"/>
                <w:lang w:bidi="ar"/>
              </w:rPr>
              <w:t xml:space="preserve">  </w:t>
            </w:r>
            <w:r>
              <w:rPr>
                <w:rFonts w:hint="eastAsia"/>
                <w:spacing w:val="60"/>
                <w:kern w:val="0"/>
                <w:sz w:val="18"/>
                <w:szCs w:val="18"/>
                <w:lang w:bidi="ar"/>
              </w:rPr>
              <w:t>阅</w:t>
            </w:r>
            <w:r>
              <w:rPr>
                <w:spacing w:val="60"/>
                <w:kern w:val="0"/>
                <w:sz w:val="18"/>
                <w:szCs w:val="18"/>
                <w:lang w:bidi="ar"/>
              </w:rPr>
              <w:t xml:space="preserve">  </w:t>
            </w:r>
            <w:r>
              <w:rPr>
                <w:rFonts w:hint="eastAsia"/>
                <w:spacing w:val="60"/>
                <w:kern w:val="0"/>
                <w:sz w:val="18"/>
                <w:szCs w:val="18"/>
                <w:lang w:bidi="ar"/>
              </w:rPr>
              <w:t>评</w:t>
            </w:r>
            <w:r>
              <w:rPr>
                <w:spacing w:val="60"/>
                <w:kern w:val="0"/>
                <w:sz w:val="18"/>
                <w:szCs w:val="18"/>
                <w:lang w:bidi="ar"/>
              </w:rPr>
              <w:t xml:space="preserve">  </w:t>
            </w:r>
            <w:r>
              <w:rPr>
                <w:rFonts w:hint="eastAsia"/>
                <w:spacing w:val="60"/>
                <w:kern w:val="0"/>
                <w:sz w:val="18"/>
                <w:szCs w:val="18"/>
                <w:lang w:bidi="ar"/>
              </w:rPr>
              <w:t>分</w:t>
            </w: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选题质量</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选题符合专业培养目标，体现学科、专业特点和综合训练的基本要求；符合本学科的发展，有一定的学术意义和实际价值；规模适当；难度适中。</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10</w:t>
            </w:r>
          </w:p>
        </w:tc>
      </w:tr>
      <w:tr>
        <w:tblPrEx>
          <w:tblCellMar>
            <w:top w:w="0" w:type="dxa"/>
            <w:left w:w="108" w:type="dxa"/>
            <w:bottom w:w="0" w:type="dxa"/>
            <w:right w:w="108" w:type="dxa"/>
          </w:tblCellMar>
        </w:tblPrEx>
        <w:trPr>
          <w:trHeight w:val="720"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撰写规范</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开题报告的填写、题目、摘要、关键词、目录、正文、致谢、附录、参考文献等符合规范，篇幅符合规定。</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5</w:t>
            </w:r>
          </w:p>
        </w:tc>
      </w:tr>
      <w:tr>
        <w:tblPrEx>
          <w:tblCellMar>
            <w:top w:w="0" w:type="dxa"/>
            <w:left w:w="108" w:type="dxa"/>
            <w:bottom w:w="0" w:type="dxa"/>
            <w:right w:w="108" w:type="dxa"/>
          </w:tblCellMar>
        </w:tblPrEx>
        <w:trPr>
          <w:trHeight w:val="529"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资料综合</w:t>
            </w:r>
            <w:r>
              <w:rPr>
                <w:kern w:val="0"/>
                <w:sz w:val="18"/>
                <w:szCs w:val="18"/>
                <w:lang w:bidi="ar"/>
              </w:rPr>
              <w:t xml:space="preserve">    </w:t>
            </w:r>
            <w:r>
              <w:rPr>
                <w:rFonts w:hint="eastAsia"/>
                <w:kern w:val="0"/>
                <w:sz w:val="18"/>
                <w:szCs w:val="18"/>
                <w:lang w:bidi="ar"/>
              </w:rPr>
              <w:t>归纳能力</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查阅文献有一定广泛性；能较好从中获取与课题有关的内容；有较强综合归纳资料的能力和自己的见解。</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5</w:t>
            </w:r>
          </w:p>
        </w:tc>
      </w:tr>
      <w:tr>
        <w:tblPrEx>
          <w:tblCellMar>
            <w:top w:w="0" w:type="dxa"/>
            <w:left w:w="108" w:type="dxa"/>
            <w:bottom w:w="0" w:type="dxa"/>
            <w:right w:w="108" w:type="dxa"/>
          </w:tblCellMar>
        </w:tblPrEx>
        <w:trPr>
          <w:trHeight w:val="720"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综合运用</w:t>
            </w:r>
            <w:r>
              <w:rPr>
                <w:kern w:val="0"/>
                <w:sz w:val="18"/>
                <w:szCs w:val="18"/>
                <w:lang w:bidi="ar"/>
              </w:rPr>
              <w:t xml:space="preserve">    </w:t>
            </w:r>
            <w:r>
              <w:rPr>
                <w:rFonts w:hint="eastAsia"/>
                <w:kern w:val="0"/>
                <w:sz w:val="18"/>
                <w:szCs w:val="18"/>
                <w:lang w:bidi="ar"/>
              </w:rPr>
              <w:t>知识能力</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能运用所学专业知识阐述问题；论文</w:t>
            </w:r>
            <w:r>
              <w:rPr>
                <w:kern w:val="0"/>
                <w:sz w:val="18"/>
                <w:szCs w:val="18"/>
                <w:lang w:bidi="ar"/>
              </w:rPr>
              <w:t>(</w:t>
            </w:r>
            <w:r>
              <w:rPr>
                <w:rFonts w:hint="eastAsia"/>
                <w:kern w:val="0"/>
                <w:sz w:val="18"/>
                <w:szCs w:val="18"/>
                <w:lang w:bidi="ar"/>
              </w:rPr>
              <w:t>设计</w:t>
            </w:r>
            <w:r>
              <w:rPr>
                <w:kern w:val="0"/>
                <w:sz w:val="18"/>
                <w:szCs w:val="18"/>
                <w:lang w:bidi="ar"/>
              </w:rPr>
              <w:t>)</w:t>
            </w:r>
            <w:r>
              <w:rPr>
                <w:rFonts w:hint="eastAsia"/>
                <w:kern w:val="0"/>
                <w:sz w:val="18"/>
                <w:szCs w:val="18"/>
                <w:lang w:bidi="ar"/>
              </w:rPr>
              <w:t>内容有适当的深度、广度和难度。</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5</w:t>
            </w:r>
          </w:p>
        </w:tc>
      </w:tr>
      <w:tr>
        <w:tblPrEx>
          <w:tblCellMar>
            <w:top w:w="0" w:type="dxa"/>
            <w:left w:w="108" w:type="dxa"/>
            <w:bottom w:w="0" w:type="dxa"/>
            <w:right w:w="108" w:type="dxa"/>
          </w:tblCellMar>
        </w:tblPrEx>
        <w:trPr>
          <w:trHeight w:val="841"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设</w:t>
            </w:r>
            <w:r>
              <w:rPr>
                <w:kern w:val="0"/>
                <w:sz w:val="18"/>
                <w:szCs w:val="18"/>
                <w:lang w:bidi="ar"/>
              </w:rPr>
              <w:t xml:space="preserve">  </w:t>
            </w:r>
            <w:r>
              <w:rPr>
                <w:rFonts w:hint="eastAsia"/>
                <w:kern w:val="0"/>
                <w:sz w:val="18"/>
                <w:szCs w:val="18"/>
                <w:lang w:bidi="ar"/>
              </w:rPr>
              <w:t>计</w:t>
            </w:r>
          </w:p>
          <w:p>
            <w:pPr>
              <w:widowControl/>
              <w:jc w:val="center"/>
              <w:rPr>
                <w:kern w:val="0"/>
                <w:sz w:val="18"/>
                <w:szCs w:val="18"/>
              </w:rPr>
            </w:pPr>
            <w:r>
              <w:rPr>
                <w:rFonts w:hint="eastAsia"/>
                <w:kern w:val="0"/>
                <w:sz w:val="18"/>
                <w:szCs w:val="18"/>
                <w:lang w:bidi="ar"/>
              </w:rPr>
              <w:t>（论</w:t>
            </w:r>
            <w:r>
              <w:rPr>
                <w:kern w:val="0"/>
                <w:sz w:val="18"/>
                <w:szCs w:val="18"/>
                <w:lang w:bidi="ar"/>
              </w:rPr>
              <w:t xml:space="preserve">  </w:t>
            </w:r>
            <w:r>
              <w:rPr>
                <w:rFonts w:hint="eastAsia"/>
                <w:kern w:val="0"/>
                <w:sz w:val="18"/>
                <w:szCs w:val="18"/>
                <w:lang w:bidi="ar"/>
              </w:rPr>
              <w:t>文）</w:t>
            </w:r>
          </w:p>
          <w:p>
            <w:pPr>
              <w:widowControl/>
              <w:jc w:val="center"/>
              <w:rPr>
                <w:kern w:val="0"/>
                <w:sz w:val="18"/>
                <w:szCs w:val="18"/>
              </w:rPr>
            </w:pPr>
            <w:r>
              <w:rPr>
                <w:rFonts w:hint="eastAsia"/>
                <w:kern w:val="0"/>
                <w:sz w:val="18"/>
                <w:szCs w:val="18"/>
                <w:lang w:bidi="ar"/>
              </w:rPr>
              <w:t>质</w:t>
            </w:r>
            <w:r>
              <w:rPr>
                <w:kern w:val="0"/>
                <w:sz w:val="18"/>
                <w:szCs w:val="18"/>
                <w:lang w:bidi="ar"/>
              </w:rPr>
              <w:t xml:space="preserve">  </w:t>
            </w:r>
            <w:r>
              <w:rPr>
                <w:rFonts w:hint="eastAsia"/>
                <w:kern w:val="0"/>
                <w:sz w:val="18"/>
                <w:szCs w:val="18"/>
                <w:lang w:bidi="ar"/>
              </w:rPr>
              <w:t>量</w:t>
            </w:r>
            <w:r>
              <w:rPr>
                <w:kern w:val="0"/>
                <w:sz w:val="18"/>
                <w:szCs w:val="18"/>
                <w:lang w:bidi="ar"/>
              </w:rPr>
              <w:t xml:space="preserve"> </w:t>
            </w:r>
          </w:p>
        </w:tc>
        <w:tc>
          <w:tcPr>
            <w:tcW w:w="6343" w:type="dxa"/>
            <w:tcBorders>
              <w:top w:val="nil"/>
              <w:left w:val="nil"/>
              <w:bottom w:val="single" w:color="auto" w:sz="4" w:space="0"/>
              <w:right w:val="single" w:color="auto" w:sz="4" w:space="0"/>
            </w:tcBorders>
            <w:vAlign w:val="center"/>
          </w:tcPr>
          <w:p>
            <w:pPr>
              <w:widowControl/>
              <w:jc w:val="left"/>
              <w:rPr>
                <w:b/>
                <w:kern w:val="0"/>
                <w:sz w:val="18"/>
                <w:szCs w:val="18"/>
              </w:rPr>
            </w:pPr>
            <w:r>
              <w:rPr>
                <w:rFonts w:hint="eastAsia"/>
                <w:b/>
                <w:kern w:val="0"/>
                <w:sz w:val="18"/>
                <w:szCs w:val="18"/>
                <w:lang w:bidi="ar"/>
              </w:rPr>
              <w:t>设计类：</w:t>
            </w:r>
            <w:r>
              <w:rPr>
                <w:rFonts w:hint="eastAsia"/>
                <w:kern w:val="0"/>
                <w:sz w:val="18"/>
                <w:szCs w:val="18"/>
                <w:lang w:bidi="ar"/>
              </w:rPr>
              <w:t>设计合理、理论分析与计算正确，实验数据准确可靠，有较强的实际动手能力、经济分析能力和计算机应用能力。</w:t>
            </w:r>
            <w:r>
              <w:rPr>
                <w:rFonts w:hint="eastAsia"/>
                <w:b/>
                <w:kern w:val="0"/>
                <w:sz w:val="18"/>
                <w:szCs w:val="18"/>
                <w:lang w:bidi="ar"/>
              </w:rPr>
              <w:t>论文类：</w:t>
            </w:r>
            <w:r>
              <w:rPr>
                <w:rFonts w:hint="eastAsia"/>
                <w:kern w:val="0"/>
                <w:sz w:val="18"/>
                <w:szCs w:val="18"/>
                <w:lang w:bidi="ar"/>
              </w:rPr>
              <w:t>论点鲜明，有创见；论据确凿，论文表现出对实际问题有较强的分析能力和概括能力，文章材料详实可靠，有说服力。</w:t>
            </w:r>
            <w:r>
              <w:rPr>
                <w:b/>
                <w:kern w:val="0"/>
                <w:sz w:val="18"/>
                <w:szCs w:val="18"/>
                <w:lang w:bidi="ar"/>
              </w:rPr>
              <w:t xml:space="preserve">  </w:t>
            </w:r>
          </w:p>
        </w:tc>
        <w:tc>
          <w:tcPr>
            <w:tcW w:w="588" w:type="dxa"/>
            <w:tcBorders>
              <w:top w:val="nil"/>
              <w:left w:val="single" w:color="auto" w:sz="4" w:space="0"/>
              <w:bottom w:val="single" w:color="000000" w:sz="4" w:space="0"/>
              <w:right w:val="single" w:color="auto" w:sz="4" w:space="0"/>
            </w:tcBorders>
            <w:vAlign w:val="center"/>
          </w:tcPr>
          <w:p>
            <w:pPr>
              <w:widowControl/>
              <w:jc w:val="center"/>
              <w:rPr>
                <w:kern w:val="0"/>
                <w:sz w:val="18"/>
                <w:szCs w:val="18"/>
              </w:rPr>
            </w:pPr>
            <w:r>
              <w:rPr>
                <w:kern w:val="0"/>
                <w:sz w:val="18"/>
                <w:szCs w:val="18"/>
                <w:lang w:bidi="ar"/>
              </w:rPr>
              <w:t>20</w:t>
            </w:r>
          </w:p>
        </w:tc>
      </w:tr>
      <w:tr>
        <w:tblPrEx>
          <w:tblCellMar>
            <w:top w:w="0" w:type="dxa"/>
            <w:left w:w="108" w:type="dxa"/>
            <w:bottom w:w="0" w:type="dxa"/>
            <w:right w:w="108" w:type="dxa"/>
          </w:tblCellMar>
        </w:tblPrEx>
        <w:trPr>
          <w:trHeight w:val="720"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学术水平</w:t>
            </w:r>
          </w:p>
          <w:p>
            <w:pPr>
              <w:widowControl/>
              <w:jc w:val="center"/>
              <w:rPr>
                <w:kern w:val="0"/>
                <w:sz w:val="18"/>
                <w:szCs w:val="18"/>
              </w:rPr>
            </w:pPr>
            <w:r>
              <w:rPr>
                <w:rFonts w:hint="eastAsia"/>
                <w:kern w:val="0"/>
                <w:sz w:val="18"/>
                <w:szCs w:val="18"/>
                <w:lang w:bidi="ar"/>
              </w:rPr>
              <w:t>与</w:t>
            </w:r>
            <w:r>
              <w:rPr>
                <w:kern w:val="0"/>
                <w:sz w:val="18"/>
                <w:szCs w:val="18"/>
                <w:lang w:bidi="ar"/>
              </w:rPr>
              <w:t xml:space="preserve"> </w:t>
            </w:r>
            <w:r>
              <w:rPr>
                <w:rFonts w:hint="eastAsia"/>
                <w:kern w:val="0"/>
                <w:sz w:val="18"/>
                <w:szCs w:val="18"/>
                <w:lang w:bidi="ar"/>
              </w:rPr>
              <w:t>创</w:t>
            </w:r>
            <w:r>
              <w:rPr>
                <w:kern w:val="0"/>
                <w:sz w:val="18"/>
                <w:szCs w:val="18"/>
                <w:lang w:bidi="ar"/>
              </w:rPr>
              <w:t xml:space="preserve"> </w:t>
            </w:r>
            <w:r>
              <w:rPr>
                <w:rFonts w:hint="eastAsia"/>
                <w:kern w:val="0"/>
                <w:sz w:val="18"/>
                <w:szCs w:val="18"/>
                <w:lang w:bidi="ar"/>
              </w:rPr>
              <w:t>新</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论文有独到的见解，富有新意或对某些问题有较深刻的分析，有较高的学术水平或较大的实用价值。</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5</w:t>
            </w:r>
          </w:p>
        </w:tc>
      </w:tr>
      <w:tr>
        <w:tblPrEx>
          <w:tblCellMar>
            <w:top w:w="0" w:type="dxa"/>
            <w:left w:w="108" w:type="dxa"/>
            <w:bottom w:w="0" w:type="dxa"/>
            <w:right w:w="108" w:type="dxa"/>
          </w:tblCellMar>
        </w:tblPrEx>
        <w:trPr>
          <w:trHeight w:val="402"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完成情况</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内容充实，完成情况较好。</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10</w:t>
            </w:r>
          </w:p>
        </w:tc>
      </w:tr>
      <w:tr>
        <w:tblPrEx>
          <w:tblCellMar>
            <w:top w:w="0" w:type="dxa"/>
            <w:left w:w="108" w:type="dxa"/>
            <w:bottom w:w="0" w:type="dxa"/>
            <w:right w:w="108" w:type="dxa"/>
          </w:tblCellMar>
        </w:tblPrEx>
        <w:trPr>
          <w:trHeight w:val="391" w:hRule="atLeast"/>
          <w:jc w:val="center"/>
        </w:trPr>
        <w:tc>
          <w:tcPr>
            <w:tcW w:w="542"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spacing w:val="40"/>
                <w:kern w:val="0"/>
                <w:sz w:val="18"/>
                <w:szCs w:val="18"/>
              </w:rPr>
            </w:pPr>
            <w:r>
              <w:rPr>
                <w:rFonts w:hint="eastAsia"/>
                <w:spacing w:val="40"/>
                <w:kern w:val="0"/>
                <w:sz w:val="18"/>
                <w:szCs w:val="18"/>
                <w:lang w:bidi="ar"/>
              </w:rPr>
              <w:t>答辩评分</w:t>
            </w: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阐述情况</w:t>
            </w:r>
          </w:p>
        </w:tc>
        <w:tc>
          <w:tcPr>
            <w:tcW w:w="63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能够简明和正确地阐述设计（论文）的主要内容，思路清晰，论点正确。</w:t>
            </w:r>
          </w:p>
        </w:tc>
        <w:tc>
          <w:tcPr>
            <w:tcW w:w="588" w:type="dxa"/>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lang w:bidi="ar"/>
              </w:rPr>
              <w:t>15</w:t>
            </w:r>
          </w:p>
        </w:tc>
      </w:tr>
      <w:tr>
        <w:tblPrEx>
          <w:tblCellMar>
            <w:top w:w="0" w:type="dxa"/>
            <w:left w:w="108" w:type="dxa"/>
            <w:bottom w:w="0" w:type="dxa"/>
            <w:right w:w="108" w:type="dxa"/>
          </w:tblCellMar>
        </w:tblPrEx>
        <w:trPr>
          <w:trHeight w:val="402"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回答问题</w:t>
            </w:r>
          </w:p>
        </w:tc>
        <w:tc>
          <w:tcPr>
            <w:tcW w:w="6343" w:type="dxa"/>
            <w:tcBorders>
              <w:top w:val="nil"/>
              <w:left w:val="nil"/>
              <w:bottom w:val="single" w:color="auto" w:sz="4" w:space="0"/>
              <w:right w:val="nil"/>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回答问题准确、深入，有自己的见解，应变能力较强。</w:t>
            </w:r>
          </w:p>
        </w:tc>
        <w:tc>
          <w:tcPr>
            <w:tcW w:w="588" w:type="dxa"/>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lang w:bidi="ar"/>
              </w:rPr>
              <w:t>15</w:t>
            </w:r>
          </w:p>
        </w:tc>
      </w:tr>
      <w:tr>
        <w:tblPrEx>
          <w:tblCellMar>
            <w:top w:w="0" w:type="dxa"/>
            <w:left w:w="108" w:type="dxa"/>
            <w:bottom w:w="0" w:type="dxa"/>
            <w:right w:w="108" w:type="dxa"/>
          </w:tblCellMar>
        </w:tblPrEx>
        <w:trPr>
          <w:trHeight w:val="402" w:hRule="atLeast"/>
          <w:jc w:val="center"/>
        </w:trPr>
        <w:tc>
          <w:tcPr>
            <w:tcW w:w="542" w:type="dxa"/>
            <w:vMerge w:val="continue"/>
            <w:tcBorders>
              <w:top w:val="nil"/>
              <w:left w:val="single" w:color="auto" w:sz="4" w:space="0"/>
              <w:bottom w:val="single" w:color="auto" w:sz="4" w:space="0"/>
              <w:right w:val="single" w:color="auto" w:sz="4" w:space="0"/>
            </w:tcBorders>
            <w:textDirection w:val="tbRlV"/>
            <w:vAlign w:val="center"/>
          </w:tcPr>
          <w:p>
            <w:pPr>
              <w:rPr>
                <w:sz w:val="20"/>
                <w:szCs w:val="20"/>
              </w:rPr>
            </w:pPr>
          </w:p>
        </w:tc>
        <w:tc>
          <w:tcPr>
            <w:tcW w:w="1204" w:type="dxa"/>
            <w:tcBorders>
              <w:top w:val="nil"/>
              <w:left w:val="nil"/>
              <w:bottom w:val="single" w:color="auto" w:sz="4" w:space="0"/>
              <w:right w:val="single" w:color="auto" w:sz="4" w:space="0"/>
            </w:tcBorders>
            <w:vAlign w:val="center"/>
          </w:tcPr>
          <w:p>
            <w:pPr>
              <w:widowControl/>
              <w:jc w:val="center"/>
              <w:rPr>
                <w:kern w:val="0"/>
                <w:sz w:val="18"/>
                <w:szCs w:val="18"/>
              </w:rPr>
            </w:pPr>
            <w:r>
              <w:rPr>
                <w:rFonts w:hint="eastAsia"/>
                <w:kern w:val="0"/>
                <w:sz w:val="18"/>
                <w:szCs w:val="18"/>
                <w:lang w:bidi="ar"/>
              </w:rPr>
              <w:t>语言表达</w:t>
            </w:r>
          </w:p>
        </w:tc>
        <w:tc>
          <w:tcPr>
            <w:tcW w:w="6343" w:type="dxa"/>
            <w:tcBorders>
              <w:top w:val="nil"/>
              <w:left w:val="nil"/>
              <w:bottom w:val="single" w:color="auto" w:sz="4" w:space="0"/>
              <w:right w:val="nil"/>
            </w:tcBorders>
            <w:vAlign w:val="center"/>
          </w:tcPr>
          <w:p>
            <w:pPr>
              <w:widowControl/>
              <w:jc w:val="left"/>
              <w:rPr>
                <w:kern w:val="0"/>
                <w:sz w:val="18"/>
                <w:szCs w:val="18"/>
              </w:rPr>
            </w:pPr>
            <w:r>
              <w:rPr>
                <w:kern w:val="0"/>
                <w:sz w:val="18"/>
                <w:szCs w:val="18"/>
                <w:lang w:bidi="ar"/>
              </w:rPr>
              <w:t xml:space="preserve">    </w:t>
            </w:r>
            <w:r>
              <w:rPr>
                <w:rFonts w:hint="eastAsia"/>
                <w:kern w:val="0"/>
                <w:sz w:val="18"/>
                <w:szCs w:val="18"/>
                <w:lang w:bidi="ar"/>
              </w:rPr>
              <w:t>有较强的语言表达能力。</w:t>
            </w:r>
          </w:p>
        </w:tc>
        <w:tc>
          <w:tcPr>
            <w:tcW w:w="588" w:type="dxa"/>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lang w:bidi="ar"/>
              </w:rPr>
              <w:t>10</w:t>
            </w:r>
          </w:p>
        </w:tc>
      </w:tr>
      <w:tr>
        <w:tblPrEx>
          <w:tblCellMar>
            <w:top w:w="0" w:type="dxa"/>
            <w:left w:w="108" w:type="dxa"/>
            <w:bottom w:w="0" w:type="dxa"/>
            <w:right w:w="108" w:type="dxa"/>
          </w:tblCellMar>
        </w:tblPrEx>
        <w:trPr>
          <w:trHeight w:val="402" w:hRule="atLeast"/>
          <w:jc w:val="center"/>
        </w:trPr>
        <w:tc>
          <w:tcPr>
            <w:tcW w:w="1746"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kern w:val="0"/>
                <w:sz w:val="18"/>
                <w:szCs w:val="18"/>
              </w:rPr>
            </w:pPr>
            <w:r>
              <w:rPr>
                <w:rFonts w:hint="eastAsia"/>
                <w:kern w:val="0"/>
                <w:sz w:val="18"/>
                <w:szCs w:val="18"/>
                <w:lang w:bidi="ar"/>
              </w:rPr>
              <w:t>总</w:t>
            </w:r>
            <w:r>
              <w:rPr>
                <w:kern w:val="0"/>
                <w:sz w:val="18"/>
                <w:szCs w:val="18"/>
                <w:lang w:bidi="ar"/>
              </w:rPr>
              <w:t xml:space="preserve">   </w:t>
            </w:r>
            <w:r>
              <w:rPr>
                <w:rFonts w:hint="eastAsia"/>
                <w:kern w:val="0"/>
                <w:sz w:val="18"/>
                <w:szCs w:val="18"/>
                <w:lang w:bidi="ar"/>
              </w:rPr>
              <w:t>分</w:t>
            </w:r>
          </w:p>
        </w:tc>
        <w:tc>
          <w:tcPr>
            <w:tcW w:w="6931" w:type="dxa"/>
            <w:gridSpan w:val="2"/>
            <w:tcBorders>
              <w:top w:val="single" w:color="auto" w:sz="4" w:space="0"/>
              <w:left w:val="nil"/>
              <w:bottom w:val="single" w:color="000000" w:sz="4" w:space="0"/>
              <w:right w:val="single" w:color="auto" w:sz="4" w:space="0"/>
            </w:tcBorders>
            <w:vAlign w:val="center"/>
          </w:tcPr>
          <w:p>
            <w:pPr>
              <w:widowControl/>
              <w:jc w:val="center"/>
              <w:rPr>
                <w:kern w:val="0"/>
                <w:sz w:val="18"/>
                <w:szCs w:val="18"/>
              </w:rPr>
            </w:pPr>
            <w:r>
              <w:rPr>
                <w:rFonts w:hint="eastAsia"/>
                <w:kern w:val="0"/>
                <w:sz w:val="18"/>
                <w:szCs w:val="18"/>
                <w:lang w:bidi="ar"/>
              </w:rPr>
              <w:t>　</w:t>
            </w:r>
            <w:r>
              <w:rPr>
                <w:kern w:val="0"/>
                <w:sz w:val="18"/>
                <w:szCs w:val="18"/>
                <w:lang w:bidi="ar"/>
              </w:rPr>
              <w:t>100</w:t>
            </w:r>
          </w:p>
        </w:tc>
      </w:tr>
    </w:tbl>
    <w:p>
      <w:pPr>
        <w:adjustRightInd w:val="0"/>
        <w:snapToGrid w:val="0"/>
        <w:spacing w:before="156" w:beforeLines="50" w:line="300" w:lineRule="auto"/>
        <w:ind w:firstLine="420" w:firstLineChars="200"/>
        <w:rPr>
          <w:szCs w:val="21"/>
        </w:rPr>
      </w:pPr>
      <w:r>
        <w:rPr>
          <w:lang w:bidi="ar"/>
        </w:rPr>
        <w:t> </w:t>
      </w:r>
      <w:r>
        <w:rPr>
          <w:rFonts w:hint="eastAsia"/>
          <w:szCs w:val="21"/>
          <w:lang w:bidi="ar"/>
        </w:rPr>
        <w:t>（</w:t>
      </w:r>
      <w:r>
        <w:rPr>
          <w:szCs w:val="21"/>
          <w:lang w:bidi="ar"/>
        </w:rPr>
        <w:t>4</w:t>
      </w:r>
      <w:r>
        <w:rPr>
          <w:rFonts w:hint="eastAsia"/>
          <w:szCs w:val="21"/>
          <w:lang w:bidi="ar"/>
        </w:rPr>
        <w:t>）答辩的进行方式：答辩的顺序由答辩委员会（小组）确定；每个学生在答辩时，用</w:t>
      </w:r>
      <w:r>
        <w:rPr>
          <w:szCs w:val="21"/>
          <w:lang w:bidi="ar"/>
        </w:rPr>
        <w:t>10</w:t>
      </w:r>
      <w:r>
        <w:rPr>
          <w:rFonts w:hint="eastAsia"/>
          <w:szCs w:val="21"/>
          <w:lang w:bidi="ar"/>
        </w:rPr>
        <w:t>分钟的时间进行叙述，简要介绍设计（论文）的主要内容，内容包括：</w:t>
      </w:r>
      <w:r>
        <w:rPr>
          <w:rFonts w:hint="eastAsia" w:ascii="宋体" w:hAnsi="宋体" w:cs="宋体"/>
          <w:szCs w:val="21"/>
          <w:lang w:bidi="ar"/>
        </w:rPr>
        <w:t>①</w:t>
      </w:r>
      <w:r>
        <w:rPr>
          <w:szCs w:val="21"/>
          <w:lang w:bidi="ar"/>
        </w:rPr>
        <w:t xml:space="preserve"> </w:t>
      </w:r>
      <w:r>
        <w:rPr>
          <w:rFonts w:hint="eastAsia"/>
          <w:szCs w:val="21"/>
          <w:lang w:bidi="ar"/>
        </w:rPr>
        <w:t>题目任务、目的与意义；</w:t>
      </w:r>
      <w:r>
        <w:rPr>
          <w:rFonts w:hint="eastAsia" w:ascii="宋体" w:hAnsi="宋体" w:cs="宋体"/>
          <w:szCs w:val="21"/>
          <w:lang w:bidi="ar"/>
        </w:rPr>
        <w:t>②</w:t>
      </w:r>
      <w:r>
        <w:rPr>
          <w:szCs w:val="21"/>
          <w:lang w:bidi="ar"/>
        </w:rPr>
        <w:t xml:space="preserve"> </w:t>
      </w:r>
      <w:r>
        <w:rPr>
          <w:rFonts w:hint="eastAsia"/>
          <w:szCs w:val="21"/>
          <w:lang w:bidi="ar"/>
        </w:rPr>
        <w:t>所采用的原始资料及参考文献等；</w:t>
      </w:r>
      <w:r>
        <w:rPr>
          <w:rFonts w:hint="eastAsia" w:ascii="宋体" w:hAnsi="宋体" w:cs="宋体"/>
          <w:szCs w:val="21"/>
          <w:lang w:bidi="ar"/>
        </w:rPr>
        <w:t>③</w:t>
      </w:r>
      <w:r>
        <w:rPr>
          <w:szCs w:val="21"/>
          <w:lang w:bidi="ar"/>
        </w:rPr>
        <w:t xml:space="preserve"> </w:t>
      </w:r>
      <w:r>
        <w:rPr>
          <w:rFonts w:hint="eastAsia"/>
          <w:szCs w:val="21"/>
          <w:lang w:bidi="ar"/>
        </w:rPr>
        <w:t>设计（论文）的基本内容及主要方法；</w:t>
      </w:r>
      <w:r>
        <w:rPr>
          <w:rFonts w:hint="eastAsia" w:ascii="宋体" w:hAnsi="宋体" w:cs="宋体"/>
          <w:szCs w:val="21"/>
          <w:lang w:bidi="ar"/>
        </w:rPr>
        <w:t>④</w:t>
      </w:r>
      <w:r>
        <w:rPr>
          <w:rFonts w:hint="eastAsia"/>
          <w:szCs w:val="21"/>
          <w:lang w:bidi="ar"/>
        </w:rPr>
        <w:t>论文的评价。</w:t>
      </w:r>
    </w:p>
    <w:p>
      <w:pPr>
        <w:adjustRightInd w:val="0"/>
        <w:snapToGrid w:val="0"/>
        <w:spacing w:line="300" w:lineRule="auto"/>
        <w:ind w:firstLine="420" w:firstLineChars="200"/>
        <w:rPr>
          <w:szCs w:val="21"/>
          <w:lang w:bidi="ar"/>
        </w:rPr>
      </w:pPr>
      <w:r>
        <w:rPr>
          <w:rFonts w:hint="eastAsia"/>
          <w:szCs w:val="21"/>
          <w:lang w:bidi="ar"/>
        </w:rPr>
        <w:t>（</w:t>
      </w:r>
      <w:r>
        <w:rPr>
          <w:szCs w:val="21"/>
          <w:lang w:bidi="ar"/>
        </w:rPr>
        <w:t>5</w:t>
      </w:r>
      <w:r>
        <w:rPr>
          <w:rFonts w:hint="eastAsia"/>
          <w:szCs w:val="21"/>
          <w:lang w:bidi="ar"/>
        </w:rPr>
        <w:t>）</w:t>
      </w:r>
      <w:r>
        <w:rPr>
          <w:szCs w:val="21"/>
          <w:lang w:bidi="ar"/>
        </w:rPr>
        <w:t xml:space="preserve"> </w:t>
      </w:r>
      <w:r>
        <w:rPr>
          <w:rFonts w:hint="eastAsia"/>
          <w:szCs w:val="21"/>
          <w:lang w:bidi="ar"/>
        </w:rPr>
        <w:t>答辩老师提问时间一般为</w:t>
      </w:r>
      <w:r>
        <w:rPr>
          <w:szCs w:val="21"/>
          <w:lang w:bidi="ar"/>
        </w:rPr>
        <w:t>5-10</w:t>
      </w:r>
      <w:r>
        <w:rPr>
          <w:rFonts w:hint="eastAsia"/>
          <w:szCs w:val="21"/>
          <w:lang w:bidi="ar"/>
        </w:rPr>
        <w:t>分钟，所提问题</w:t>
      </w:r>
      <w:r>
        <w:rPr>
          <w:szCs w:val="21"/>
          <w:lang w:bidi="ar"/>
        </w:rPr>
        <w:t>3-5</w:t>
      </w:r>
      <w:r>
        <w:rPr>
          <w:rFonts w:hint="eastAsia"/>
          <w:szCs w:val="21"/>
          <w:lang w:bidi="ar"/>
        </w:rPr>
        <w:t>个，提问内容应该包括：</w:t>
      </w:r>
      <w:r>
        <w:rPr>
          <w:rFonts w:hint="eastAsia" w:ascii="宋体" w:hAnsi="宋体" w:cs="宋体"/>
          <w:szCs w:val="21"/>
          <w:lang w:bidi="ar"/>
        </w:rPr>
        <w:t>①</w:t>
      </w:r>
      <w:r>
        <w:rPr>
          <w:szCs w:val="21"/>
          <w:lang w:bidi="ar"/>
        </w:rPr>
        <w:t xml:space="preserve"> </w:t>
      </w:r>
      <w:r>
        <w:rPr>
          <w:rFonts w:hint="eastAsia"/>
          <w:szCs w:val="21"/>
          <w:lang w:bidi="ar"/>
        </w:rPr>
        <w:t>要求进一步说明的问题；</w:t>
      </w:r>
      <w:r>
        <w:rPr>
          <w:rFonts w:hint="eastAsia" w:ascii="宋体" w:hAnsi="宋体" w:cs="宋体"/>
          <w:szCs w:val="21"/>
          <w:lang w:bidi="ar"/>
        </w:rPr>
        <w:t>②</w:t>
      </w:r>
      <w:r>
        <w:rPr>
          <w:szCs w:val="21"/>
          <w:lang w:bidi="ar"/>
        </w:rPr>
        <w:t xml:space="preserve"> </w:t>
      </w:r>
      <w:r>
        <w:rPr>
          <w:rFonts w:hint="eastAsia"/>
          <w:szCs w:val="21"/>
          <w:lang w:bidi="ar"/>
        </w:rPr>
        <w:t>与题目有关的基本理论、方法和原理；</w:t>
      </w:r>
      <w:r>
        <w:rPr>
          <w:rFonts w:hint="eastAsia" w:ascii="宋体" w:hAnsi="宋体" w:cs="宋体"/>
          <w:szCs w:val="21"/>
          <w:lang w:bidi="ar"/>
        </w:rPr>
        <w:t>③</w:t>
      </w:r>
      <w:r>
        <w:rPr>
          <w:szCs w:val="21"/>
          <w:lang w:bidi="ar"/>
        </w:rPr>
        <w:t xml:space="preserve"> </w:t>
      </w:r>
      <w:r>
        <w:rPr>
          <w:rFonts w:hint="eastAsia"/>
          <w:szCs w:val="21"/>
          <w:lang w:bidi="ar"/>
        </w:rPr>
        <w:t>考察鉴别学生独立工作能力的问题；</w:t>
      </w:r>
      <w:r>
        <w:rPr>
          <w:szCs w:val="21"/>
          <w:lang w:bidi="ar"/>
        </w:rPr>
        <w:fldChar w:fldCharType="begin"/>
      </w:r>
      <w:r>
        <w:rPr>
          <w:szCs w:val="21"/>
          <w:lang w:bidi="ar"/>
        </w:rPr>
        <w:instrText xml:space="preserve"> = 4 \* GB3 </w:instrText>
      </w:r>
      <w:r>
        <w:rPr>
          <w:szCs w:val="21"/>
          <w:lang w:bidi="ar"/>
        </w:rPr>
        <w:fldChar w:fldCharType="separate"/>
      </w:r>
      <w:r>
        <w:rPr>
          <w:rFonts w:hint="eastAsia" w:ascii="宋体" w:hAnsi="宋体" w:cs="宋体"/>
          <w:szCs w:val="21"/>
          <w:lang w:bidi="ar"/>
        </w:rPr>
        <w:t>④</w:t>
      </w:r>
      <w:r>
        <w:rPr>
          <w:szCs w:val="21"/>
          <w:lang w:bidi="ar"/>
        </w:rPr>
        <w:fldChar w:fldCharType="end"/>
      </w:r>
      <w:r>
        <w:rPr>
          <w:rFonts w:hint="eastAsia"/>
          <w:szCs w:val="21"/>
          <w:lang w:bidi="ar"/>
        </w:rPr>
        <w:t>学生答辩时，其他非答辩的毕业生参加旁听，是否可以提问或者发表意见，由答辩委员会（小组）决定；</w:t>
      </w:r>
      <w:r>
        <w:rPr>
          <w:szCs w:val="21"/>
          <w:lang w:bidi="ar"/>
        </w:rPr>
        <w:fldChar w:fldCharType="begin"/>
      </w:r>
      <w:r>
        <w:rPr>
          <w:szCs w:val="21"/>
          <w:lang w:bidi="ar"/>
        </w:rPr>
        <w:instrText xml:space="preserve"> = 5 \* GB3 </w:instrText>
      </w:r>
      <w:r>
        <w:rPr>
          <w:szCs w:val="21"/>
          <w:lang w:bidi="ar"/>
        </w:rPr>
        <w:fldChar w:fldCharType="separate"/>
      </w:r>
      <w:r>
        <w:rPr>
          <w:rFonts w:hint="eastAsia" w:ascii="宋体" w:hAnsi="宋体" w:cs="宋体"/>
          <w:szCs w:val="21"/>
          <w:lang w:bidi="ar"/>
        </w:rPr>
        <w:t>⑤</w:t>
      </w:r>
      <w:r>
        <w:rPr>
          <w:szCs w:val="21"/>
          <w:lang w:bidi="ar"/>
        </w:rPr>
        <w:fldChar w:fldCharType="end"/>
      </w:r>
      <w:r>
        <w:rPr>
          <w:szCs w:val="21"/>
          <w:lang w:bidi="ar"/>
        </w:rPr>
        <w:t xml:space="preserve"> </w:t>
      </w:r>
      <w:r>
        <w:rPr>
          <w:rFonts w:hint="eastAsia"/>
          <w:szCs w:val="21"/>
          <w:lang w:bidi="ar"/>
        </w:rPr>
        <w:t>答辩成绩的产生：由参加答辩的老师按照无记名打分的办法给出每个老师的评定成绩，然后当场交答辩委员会（小组）秘书登记，最后由秘书计算出平均值作为最后的答辩成绩；</w:t>
      </w:r>
      <w:r>
        <w:rPr>
          <w:szCs w:val="21"/>
          <w:lang w:bidi="ar"/>
        </w:rPr>
        <w:fldChar w:fldCharType="begin"/>
      </w:r>
      <w:r>
        <w:rPr>
          <w:szCs w:val="21"/>
          <w:lang w:bidi="ar"/>
        </w:rPr>
        <w:instrText xml:space="preserve"> = 6 \* GB3 </w:instrText>
      </w:r>
      <w:r>
        <w:rPr>
          <w:szCs w:val="21"/>
          <w:lang w:bidi="ar"/>
        </w:rPr>
        <w:fldChar w:fldCharType="separate"/>
      </w:r>
      <w:r>
        <w:rPr>
          <w:rFonts w:hint="eastAsia" w:ascii="宋体" w:hAnsi="宋体" w:cs="宋体"/>
          <w:szCs w:val="21"/>
          <w:lang w:bidi="ar"/>
        </w:rPr>
        <w:t>⑥</w:t>
      </w:r>
      <w:r>
        <w:rPr>
          <w:szCs w:val="21"/>
          <w:lang w:bidi="ar"/>
        </w:rPr>
        <w:fldChar w:fldCharType="end"/>
      </w:r>
      <w:r>
        <w:rPr>
          <w:rFonts w:hint="eastAsia"/>
          <w:szCs w:val="21"/>
          <w:lang w:bidi="ar"/>
        </w:rPr>
        <w:t>对毕业答辩不合格者，论文整改后，给予一次复答机会。毕业目标评价标准见表</w:t>
      </w:r>
      <w:r>
        <w:rPr>
          <w:szCs w:val="21"/>
          <w:lang w:bidi="ar"/>
        </w:rPr>
        <w:t>8</w:t>
      </w:r>
      <w:r>
        <w:rPr>
          <w:rFonts w:hint="eastAsia"/>
          <w:szCs w:val="21"/>
          <w:lang w:bidi="ar"/>
        </w:rPr>
        <w:t>所示：</w:t>
      </w:r>
    </w:p>
    <w:p>
      <w:pPr>
        <w:widowControl/>
        <w:spacing w:before="156" w:beforeLines="50"/>
        <w:jc w:val="center"/>
        <w:rPr>
          <w:b/>
          <w:kern w:val="0"/>
          <w:sz w:val="18"/>
          <w:szCs w:val="18"/>
          <w:lang w:bidi="ar"/>
        </w:rPr>
      </w:pPr>
      <w:r>
        <w:rPr>
          <w:rFonts w:hint="eastAsia"/>
          <w:b/>
          <w:kern w:val="0"/>
          <w:sz w:val="18"/>
          <w:szCs w:val="18"/>
          <w:lang w:bidi="ar"/>
        </w:rPr>
        <w:t>表8教学目标评价标准</w:t>
      </w:r>
    </w:p>
    <w:tbl>
      <w:tblPr>
        <w:tblStyle w:val="22"/>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659"/>
        <w:gridCol w:w="742"/>
        <w:gridCol w:w="1030"/>
        <w:gridCol w:w="676"/>
        <w:gridCol w:w="2269"/>
        <w:gridCol w:w="101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366" w:type="dxa"/>
            <w:gridSpan w:val="3"/>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课程成绩</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考核方式</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权重系数</w:t>
            </w:r>
          </w:p>
        </w:tc>
        <w:tc>
          <w:tcPr>
            <w:tcW w:w="2269"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考核</w:t>
            </w:r>
            <w:r>
              <w:rPr>
                <w:b/>
                <w:sz w:val="18"/>
                <w:szCs w:val="18"/>
                <w:lang w:bidi="ar"/>
              </w:rPr>
              <w:t>/</w:t>
            </w:r>
            <w:r>
              <w:rPr>
                <w:rFonts w:hint="eastAsia"/>
                <w:b/>
                <w:sz w:val="18"/>
                <w:szCs w:val="18"/>
                <w:lang w:bidi="ar"/>
              </w:rPr>
              <w:t>评价细则</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课程目标</w:t>
            </w:r>
          </w:p>
        </w:tc>
        <w:tc>
          <w:tcPr>
            <w:tcW w:w="1108"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lang w:bidi="ar"/>
              </w:rPr>
              <w:t>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类型</w:t>
            </w:r>
          </w:p>
        </w:tc>
        <w:tc>
          <w:tcPr>
            <w:tcW w:w="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分值</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权重</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项目</w:t>
            </w: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2269"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108"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6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导师评阅成绩</w:t>
            </w:r>
          </w:p>
        </w:tc>
        <w:tc>
          <w:tcPr>
            <w:tcW w:w="65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100</w:t>
            </w:r>
          </w:p>
        </w:tc>
        <w:tc>
          <w:tcPr>
            <w:tcW w:w="74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0.3</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开题报告</w:t>
            </w:r>
          </w:p>
        </w:tc>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rPr>
              <w:t>0.</w:t>
            </w:r>
            <w:r>
              <w:rPr>
                <w:rFonts w:hint="eastAsia"/>
                <w:sz w:val="18"/>
                <w:szCs w:val="18"/>
              </w:rPr>
              <w:t>05</w:t>
            </w:r>
          </w:p>
        </w:tc>
        <w:tc>
          <w:tcPr>
            <w:tcW w:w="2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开题报告质量与文献整理、搜集过程与结果</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1</w:t>
            </w:r>
            <w:r>
              <w:rPr>
                <w:rFonts w:hint="eastAsia" w:cs="宋体"/>
                <w:sz w:val="18"/>
                <w:szCs w:val="18"/>
                <w:lang w:bidi="ar"/>
              </w:rPr>
              <w:t>，</w:t>
            </w:r>
            <w:r>
              <w:rPr>
                <w:sz w:val="18"/>
                <w:szCs w:val="18"/>
                <w:lang w:bidi="ar"/>
              </w:rPr>
              <w:t>5</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eastAsia="宋体" w:cs="Times New Roman"/>
                <w:sz w:val="18"/>
                <w:szCs w:val="18"/>
                <w:lang w:bidi="ar"/>
              </w:rPr>
              <w:t>2</w:t>
            </w:r>
            <w:r>
              <w:rPr>
                <w:rFonts w:hint="eastAsia" w:ascii="Times New Roman" w:hAnsi="Times New Roman" w:eastAsia="宋体" w:cs="Times New Roman"/>
                <w:sz w:val="18"/>
                <w:szCs w:val="18"/>
                <w:lang w:bidi="ar"/>
              </w:rPr>
              <w:t>.3，</w:t>
            </w:r>
            <w:r>
              <w:rPr>
                <w:rFonts w:ascii="Times New Roman" w:hAnsi="Times New Roman" w:eastAsia="宋体" w:cs="Times New Roman"/>
                <w:sz w:val="18"/>
                <w:szCs w:val="18"/>
                <w:lang w:bidi="ar"/>
              </w:rPr>
              <w:t>1</w:t>
            </w:r>
            <w:r>
              <w:rPr>
                <w:rFonts w:hint="eastAsia" w:ascii="Times New Roman" w:hAnsi="Times New Roman" w:eastAsia="宋体" w:cs="Times New Roman"/>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65"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742"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中期报告</w:t>
            </w:r>
          </w:p>
        </w:tc>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rPr>
              <w:t>0.</w:t>
            </w:r>
            <w:r>
              <w:rPr>
                <w:rFonts w:hint="eastAsia"/>
                <w:sz w:val="18"/>
                <w:szCs w:val="18"/>
              </w:rPr>
              <w:t>05</w:t>
            </w:r>
          </w:p>
        </w:tc>
        <w:tc>
          <w:tcPr>
            <w:tcW w:w="2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前期工作效率与提供的开题报告与提供文件质量</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2，</w:t>
            </w:r>
            <w:r>
              <w:rPr>
                <w:sz w:val="18"/>
                <w:szCs w:val="18"/>
                <w:lang w:bidi="ar"/>
              </w:rPr>
              <w:t>5</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eastAsia="宋体" w:cs="Times New Roman"/>
                <w:sz w:val="18"/>
                <w:szCs w:val="18"/>
                <w:lang w:bidi="ar"/>
              </w:rPr>
              <w:t>3.1</w:t>
            </w:r>
            <w:r>
              <w:rPr>
                <w:rFonts w:hint="eastAsia" w:cs="Times New Roman"/>
                <w:sz w:val="18"/>
                <w:szCs w:val="18"/>
                <w:lang w:bidi="ar"/>
              </w:rPr>
              <w:t>，</w:t>
            </w:r>
            <w:r>
              <w:rPr>
                <w:rFonts w:ascii="Times New Roman" w:hAnsi="Times New Roman" w:eastAsia="宋体" w:cs="Times New Roman"/>
                <w:sz w:val="18"/>
                <w:szCs w:val="18"/>
                <w:lang w:bidi="ar"/>
              </w:rPr>
              <w:t>3.2</w:t>
            </w:r>
            <w:r>
              <w:rPr>
                <w:rFonts w:hint="eastAsia" w:cs="Times New Roman"/>
                <w:sz w:val="18"/>
                <w:szCs w:val="18"/>
                <w:lang w:bidi="ar"/>
              </w:rPr>
              <w:t>，</w:t>
            </w:r>
            <w:r>
              <w:rPr>
                <w:rFonts w:ascii="Times New Roman" w:hAnsi="Times New Roman" w:eastAsia="宋体" w:cs="Times New Roman"/>
                <w:sz w:val="18"/>
                <w:szCs w:val="18"/>
                <w:lang w:bidi="ar"/>
              </w:rPr>
              <w:t xml:space="preserve"> </w:t>
            </w:r>
            <w:r>
              <w:rPr>
                <w:rFonts w:hint="eastAsia" w:ascii="Times New Roman" w:hAnsi="Times New Roman" w:eastAsia="宋体" w:cs="Times New Roman"/>
                <w:sz w:val="18"/>
                <w:szCs w:val="18"/>
                <w:lang w:bidi="ar"/>
              </w:rPr>
              <w:t>3.3</w:t>
            </w:r>
            <w:r>
              <w:rPr>
                <w:rFonts w:hint="eastAsia" w:cs="Times New Roman"/>
                <w:sz w:val="18"/>
                <w:szCs w:val="18"/>
                <w:lang w:bidi="ar"/>
              </w:rPr>
              <w:t>，</w:t>
            </w:r>
            <w:r>
              <w:rPr>
                <w:rFonts w:hint="eastAsia" w:ascii="Times New Roman" w:hAnsi="Times New Roman" w:eastAsia="宋体" w:cs="Times New Roman"/>
                <w:sz w:val="18"/>
                <w:szCs w:val="18"/>
                <w:lang w:bidi="ar"/>
              </w:rPr>
              <w:t>4.1</w:t>
            </w:r>
            <w:r>
              <w:rPr>
                <w:rFonts w:hint="eastAsia" w:cs="Times New Roman"/>
                <w:sz w:val="18"/>
                <w:szCs w:val="18"/>
                <w:lang w:bidi="ar"/>
              </w:rPr>
              <w:t>，</w:t>
            </w:r>
            <w:r>
              <w:rPr>
                <w:rFonts w:hint="eastAsia" w:ascii="Times New Roman" w:hAnsi="Times New Roman" w:eastAsia="宋体" w:cs="Times New Roman"/>
                <w:sz w:val="18"/>
                <w:szCs w:val="18"/>
                <w:lang w:bidi="ar"/>
              </w:rPr>
              <w:t>4.3</w:t>
            </w:r>
            <w:r>
              <w:rPr>
                <w:rFonts w:hint="eastAsia" w:cs="Times New Roman"/>
                <w:sz w:val="18"/>
                <w:szCs w:val="18"/>
                <w:lang w:bidi="ar"/>
              </w:rPr>
              <w:t>，</w:t>
            </w:r>
            <w:r>
              <w:rPr>
                <w:rFonts w:ascii="Times New Roman" w:hAnsi="Times New Roman" w:eastAsia="宋体" w:cs="Times New Roman"/>
                <w:sz w:val="18"/>
                <w:szCs w:val="18"/>
                <w:lang w:bidi="ar"/>
              </w:rPr>
              <w:t>1</w:t>
            </w:r>
            <w:r>
              <w:rPr>
                <w:rFonts w:hint="eastAsia" w:ascii="Times New Roman" w:hAnsi="Times New Roman" w:eastAsia="宋体" w:cs="Times New Roman"/>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65"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742"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论文实物</w:t>
            </w:r>
          </w:p>
        </w:tc>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rPr>
              <w:t>0.</w:t>
            </w:r>
            <w:r>
              <w:rPr>
                <w:rFonts w:hint="eastAsia"/>
                <w:sz w:val="18"/>
                <w:szCs w:val="18"/>
              </w:rPr>
              <w:t>2</w:t>
            </w:r>
          </w:p>
        </w:tc>
        <w:tc>
          <w:tcPr>
            <w:tcW w:w="2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以小组为单位选题，并撰写报告，设计</w:t>
            </w:r>
            <w:r>
              <w:rPr>
                <w:sz w:val="18"/>
                <w:szCs w:val="18"/>
                <w:lang w:bidi="ar"/>
              </w:rPr>
              <w:t>PPT</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3</w:t>
            </w:r>
            <w:r>
              <w:rPr>
                <w:rFonts w:hint="eastAsia"/>
                <w:sz w:val="18"/>
                <w:szCs w:val="18"/>
                <w:lang w:bidi="ar"/>
              </w:rPr>
              <w:t>，</w:t>
            </w:r>
            <w:r>
              <w:rPr>
                <w:sz w:val="18"/>
                <w:szCs w:val="18"/>
                <w:lang w:bidi="ar"/>
              </w:rPr>
              <w:t>5</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ascii="Times New Roman" w:hAnsi="Times New Roman" w:eastAsia="宋体" w:cs="Times New Roman"/>
                <w:sz w:val="18"/>
                <w:szCs w:val="18"/>
                <w:lang w:bidi="ar"/>
              </w:rPr>
              <w:t>6.1，</w:t>
            </w:r>
            <w:r>
              <w:rPr>
                <w:rFonts w:ascii="Times New Roman" w:hAnsi="Times New Roman" w:eastAsia="宋体" w:cs="Times New Roman"/>
                <w:sz w:val="18"/>
                <w:szCs w:val="18"/>
                <w:lang w:bidi="ar"/>
              </w:rPr>
              <w:t>1</w:t>
            </w:r>
            <w:r>
              <w:rPr>
                <w:rFonts w:hint="eastAsia" w:ascii="Times New Roman" w:hAnsi="Times New Roman" w:eastAsia="宋体" w:cs="Times New Roman"/>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评阅教师成绩</w:t>
            </w:r>
          </w:p>
        </w:tc>
        <w:tc>
          <w:tcPr>
            <w:tcW w:w="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100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0.2</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eastAsia="宋体"/>
                <w:sz w:val="18"/>
                <w:szCs w:val="18"/>
              </w:rPr>
            </w:pPr>
            <w:r>
              <w:rPr>
                <w:rFonts w:hint="eastAsia"/>
                <w:sz w:val="18"/>
                <w:szCs w:val="18"/>
                <w:lang w:bidi="ar"/>
              </w:rPr>
              <w:t>盲审</w:t>
            </w:r>
          </w:p>
        </w:tc>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0.2</w:t>
            </w:r>
          </w:p>
        </w:tc>
        <w:tc>
          <w:tcPr>
            <w:tcW w:w="2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论文质量与系统实物</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2，3，4，</w:t>
            </w:r>
            <w:r>
              <w:rPr>
                <w:sz w:val="18"/>
                <w:szCs w:val="18"/>
                <w:lang w:bidi="ar"/>
              </w:rPr>
              <w:t>5</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sz w:val="18"/>
                <w:szCs w:val="18"/>
              </w:rPr>
            </w:pPr>
            <w:r>
              <w:rPr>
                <w:rFonts w:ascii="Times New Roman" w:hAnsi="Times New Roman" w:eastAsia="宋体" w:cs="Times New Roman"/>
                <w:sz w:val="18"/>
                <w:szCs w:val="18"/>
                <w:lang w:bidi="ar"/>
              </w:rPr>
              <w:t>3.1</w:t>
            </w:r>
            <w:r>
              <w:rPr>
                <w:rFonts w:hint="eastAsia" w:cs="Times New Roman"/>
                <w:sz w:val="18"/>
                <w:szCs w:val="18"/>
                <w:lang w:bidi="ar"/>
              </w:rPr>
              <w:t>，</w:t>
            </w:r>
            <w:r>
              <w:rPr>
                <w:rFonts w:ascii="Times New Roman" w:hAnsi="Times New Roman" w:eastAsia="宋体" w:cs="Times New Roman"/>
                <w:sz w:val="18"/>
                <w:szCs w:val="18"/>
                <w:lang w:bidi="ar"/>
              </w:rPr>
              <w:t>3.2</w:t>
            </w:r>
            <w:r>
              <w:rPr>
                <w:rFonts w:hint="eastAsia" w:cs="Times New Roman"/>
                <w:sz w:val="18"/>
                <w:szCs w:val="18"/>
                <w:lang w:bidi="ar"/>
              </w:rPr>
              <w:t>，</w:t>
            </w:r>
            <w:r>
              <w:rPr>
                <w:rFonts w:ascii="Times New Roman" w:hAnsi="Times New Roman" w:eastAsia="宋体" w:cs="Times New Roman"/>
                <w:sz w:val="18"/>
                <w:szCs w:val="18"/>
                <w:lang w:bidi="ar"/>
              </w:rPr>
              <w:t xml:space="preserve"> </w:t>
            </w:r>
            <w:r>
              <w:rPr>
                <w:rFonts w:hint="eastAsia" w:ascii="Times New Roman" w:hAnsi="Times New Roman" w:eastAsia="宋体" w:cs="Times New Roman"/>
                <w:sz w:val="18"/>
                <w:szCs w:val="18"/>
                <w:lang w:bidi="ar"/>
              </w:rPr>
              <w:t>3.3，4.1，4.3，6.1，7.2，</w:t>
            </w:r>
            <w:r>
              <w:rPr>
                <w:rFonts w:ascii="Times New Roman" w:hAnsi="Times New Roman" w:eastAsia="宋体" w:cs="Times New Roman"/>
                <w:sz w:val="18"/>
                <w:szCs w:val="18"/>
                <w:lang w:bidi="ar"/>
              </w:rPr>
              <w:t>1</w:t>
            </w:r>
            <w:r>
              <w:rPr>
                <w:rFonts w:hint="eastAsia" w:ascii="Times New Roman" w:hAnsi="Times New Roman" w:eastAsia="宋体" w:cs="Times New Roman"/>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答辩成绩</w:t>
            </w:r>
          </w:p>
        </w:tc>
        <w:tc>
          <w:tcPr>
            <w:tcW w:w="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10</w:t>
            </w:r>
            <w:r>
              <w:rPr>
                <w:sz w:val="18"/>
                <w:szCs w:val="18"/>
                <w:lang w:bidi="ar"/>
              </w:rPr>
              <w:t>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0.5</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eastAsia="宋体"/>
                <w:sz w:val="18"/>
                <w:szCs w:val="18"/>
              </w:rPr>
            </w:pPr>
            <w:r>
              <w:rPr>
                <w:rFonts w:hint="eastAsia"/>
                <w:sz w:val="18"/>
                <w:szCs w:val="18"/>
              </w:rPr>
              <w:t>考查</w:t>
            </w:r>
          </w:p>
        </w:tc>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0.5</w:t>
            </w:r>
          </w:p>
        </w:tc>
        <w:tc>
          <w:tcPr>
            <w:tcW w:w="2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1.</w:t>
            </w:r>
            <w:r>
              <w:rPr>
                <w:rFonts w:hint="eastAsia"/>
                <w:sz w:val="18"/>
                <w:szCs w:val="18"/>
                <w:lang w:bidi="ar"/>
              </w:rPr>
              <w:t>论文、成果水平与内容描述水平；</w:t>
            </w:r>
            <w:r>
              <w:rPr>
                <w:sz w:val="18"/>
                <w:szCs w:val="18"/>
                <w:lang w:bidi="ar"/>
              </w:rPr>
              <w:t>2.</w:t>
            </w:r>
            <w:r>
              <w:rPr>
                <w:rFonts w:hint="eastAsia"/>
                <w:sz w:val="18"/>
                <w:szCs w:val="18"/>
                <w:lang w:bidi="ar"/>
              </w:rPr>
              <w:t>表达与问题分析能力；</w:t>
            </w:r>
            <w:r>
              <w:rPr>
                <w:sz w:val="18"/>
                <w:szCs w:val="18"/>
                <w:lang w:bidi="ar"/>
              </w:rPr>
              <w:t>3.</w:t>
            </w:r>
            <w:r>
              <w:rPr>
                <w:rFonts w:hint="eastAsia"/>
                <w:sz w:val="18"/>
                <w:szCs w:val="18"/>
                <w:lang w:bidi="ar"/>
              </w:rPr>
              <w:t>回答问题质量与水平</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sz w:val="18"/>
                <w:szCs w:val="18"/>
                <w:lang w:bidi="ar"/>
              </w:rPr>
              <w:t xml:space="preserve">1，6 </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b/>
                <w:bCs/>
                <w:sz w:val="18"/>
                <w:szCs w:val="18"/>
              </w:rPr>
            </w:pPr>
            <w:r>
              <w:rPr>
                <w:rFonts w:hint="eastAsia" w:ascii="Times New Roman" w:hAnsi="Times New Roman" w:eastAsia="宋体" w:cs="Times New Roman"/>
                <w:sz w:val="18"/>
                <w:szCs w:val="18"/>
                <w:lang w:bidi="ar"/>
              </w:rPr>
              <w:t>2.3，8.2</w:t>
            </w:r>
          </w:p>
        </w:tc>
      </w:tr>
    </w:tbl>
    <w:p>
      <w:pPr>
        <w:snapToGrid w:val="0"/>
        <w:spacing w:before="156" w:beforeLines="50" w:after="156" w:afterLines="50" w:line="300" w:lineRule="auto"/>
        <w:rPr>
          <w:b/>
          <w:sz w:val="24"/>
        </w:rPr>
      </w:pPr>
      <w:r>
        <w:rPr>
          <w:rFonts w:hint="eastAsia"/>
          <w:b/>
          <w:sz w:val="24"/>
          <w:lang w:bidi="ar"/>
        </w:rPr>
        <w:t>六、课程教学目标达成情况评价</w:t>
      </w:r>
    </w:p>
    <w:p>
      <w:pPr>
        <w:adjustRightInd w:val="0"/>
        <w:snapToGrid w:val="0"/>
        <w:spacing w:line="300" w:lineRule="auto"/>
        <w:ind w:firstLine="420" w:firstLineChars="200"/>
        <w:rPr>
          <w:szCs w:val="21"/>
        </w:rPr>
      </w:pPr>
      <w:r>
        <w:rPr>
          <w:szCs w:val="21"/>
          <w:lang w:bidi="ar"/>
        </w:rPr>
        <w:t xml:space="preserve">1. </w:t>
      </w:r>
      <w:r>
        <w:rPr>
          <w:rFonts w:hint="eastAsia"/>
          <w:szCs w:val="21"/>
          <w:lang w:bidi="ar"/>
        </w:rPr>
        <w:t>评价依据和方法。课程各目标达成情况为该项目学生的平均得分率，计算公式为：</w:t>
      </w:r>
    </w:p>
    <w:p>
      <w:pPr>
        <w:adjustRightInd w:val="0"/>
        <w:snapToGrid w:val="0"/>
        <w:spacing w:line="300" w:lineRule="auto"/>
        <w:ind w:firstLine="420" w:firstLineChars="200"/>
        <w:rPr>
          <w:szCs w:val="21"/>
          <w:lang w:bidi="ar"/>
        </w:rPr>
      </w:pPr>
      <w:r>
        <w:rPr>
          <w:position w:val="-26"/>
        </w:rPr>
        <w:object>
          <v:shape id="_x0000_i1222" o:spt="75" type="#_x0000_t75" style="height:32.25pt;width:417.75pt;" o:ole="t" filled="f" o:preferrelative="t" stroked="f" coordsize="21600,21600">
            <v:path/>
            <v:fill on="f" focussize="0,0"/>
            <v:stroke on="f" joinstyle="miter"/>
            <v:imagedata r:id="rId199" o:title=""/>
            <o:lock v:ext="edit" aspectratio="t"/>
            <w10:wrap type="none"/>
            <w10:anchorlock/>
          </v:shape>
          <o:OLEObject Type="Embed" ProgID="Equation.3" ShapeID="_x0000_i1222" DrawAspect="Content" ObjectID="_1468075920" r:id="rId252">
            <o:LockedField>false</o:LockedField>
          </o:OLEObject>
        </w:object>
      </w:r>
    </w:p>
    <w:p>
      <w:pPr>
        <w:adjustRightInd w:val="0"/>
        <w:snapToGrid w:val="0"/>
        <w:spacing w:line="300" w:lineRule="auto"/>
        <w:ind w:firstLine="420" w:firstLineChars="200"/>
        <w:rPr>
          <w:szCs w:val="21"/>
        </w:rPr>
      </w:pPr>
      <w:r>
        <w:rPr>
          <w:rFonts w:hint="eastAsia"/>
          <w:szCs w:val="21"/>
          <w:lang w:bidi="ar"/>
        </w:rPr>
        <w:t>课程总目标达成情况为</w:t>
      </w:r>
      <w:r>
        <w:rPr>
          <w:szCs w:val="21"/>
          <w:lang w:bidi="ar"/>
        </w:rPr>
        <w:t>8</w:t>
      </w:r>
      <w:r>
        <w:rPr>
          <w:rFonts w:hint="eastAsia"/>
          <w:szCs w:val="21"/>
          <w:lang w:bidi="ar"/>
        </w:rPr>
        <w:t>个课程目标的加权得分率，其计算公式为：</w:t>
      </w:r>
    </w:p>
    <w:p>
      <w:pPr>
        <w:adjustRightInd w:val="0"/>
        <w:snapToGrid w:val="0"/>
        <w:spacing w:line="300" w:lineRule="auto"/>
        <w:jc w:val="center"/>
        <w:rPr>
          <w:szCs w:val="21"/>
          <w:lang w:bidi="ar"/>
        </w:rPr>
      </w:pPr>
      <w:r>
        <w:rPr>
          <w:position w:val="-16"/>
        </w:rPr>
        <w:object>
          <v:shape id="_x0000_i1223" o:spt="75" type="#_x0000_t75" style="height:18pt;width:261.75pt;" o:ole="t" filled="f" o:preferrelative="t" stroked="f" coordsize="21600,21600">
            <v:path/>
            <v:fill on="f" focussize="0,0"/>
            <v:stroke on="f" joinstyle="miter"/>
            <v:imagedata r:id="rId247" o:title=""/>
            <o:lock v:ext="edit" aspectratio="t"/>
            <w10:wrap type="none"/>
            <w10:anchorlock/>
          </v:shape>
          <o:OLEObject Type="Embed" ProgID="Equation.DSMT4" ShapeID="_x0000_i1223" DrawAspect="Content" ObjectID="_1468075921" r:id="rId253">
            <o:LockedField>false</o:LockedField>
          </o:OLEObject>
        </w:object>
      </w:r>
    </w:p>
    <w:p>
      <w:pPr>
        <w:adjustRightInd w:val="0"/>
        <w:snapToGrid w:val="0"/>
        <w:spacing w:line="300" w:lineRule="auto"/>
        <w:rPr>
          <w:szCs w:val="21"/>
        </w:rPr>
      </w:pPr>
      <w:r>
        <w:rPr>
          <w:rFonts w:hint="eastAsia"/>
          <w:szCs w:val="21"/>
          <w:lang w:bidi="ar"/>
        </w:rPr>
        <w:t>其中权重系数按照表</w:t>
      </w:r>
      <w:r>
        <w:rPr>
          <w:szCs w:val="21"/>
          <w:lang w:bidi="ar"/>
        </w:rPr>
        <w:t>9</w:t>
      </w:r>
      <w:r>
        <w:rPr>
          <w:rFonts w:hint="eastAsia"/>
          <w:szCs w:val="21"/>
          <w:lang w:bidi="ar"/>
        </w:rPr>
        <w:t>设定。</w:t>
      </w:r>
    </w:p>
    <w:p>
      <w:pPr>
        <w:widowControl/>
        <w:spacing w:before="156" w:beforeLines="50"/>
        <w:jc w:val="center"/>
        <w:rPr>
          <w:b/>
          <w:kern w:val="0"/>
          <w:sz w:val="18"/>
          <w:szCs w:val="18"/>
        </w:rPr>
      </w:pPr>
      <w:r>
        <w:rPr>
          <w:rFonts w:hint="eastAsia"/>
          <w:b/>
          <w:kern w:val="0"/>
          <w:sz w:val="18"/>
          <w:szCs w:val="18"/>
          <w:lang w:bidi="ar"/>
        </w:rPr>
        <w:t>表</w:t>
      </w:r>
      <w:r>
        <w:rPr>
          <w:b/>
          <w:kern w:val="0"/>
          <w:sz w:val="18"/>
          <w:szCs w:val="18"/>
          <w:lang w:bidi="ar"/>
        </w:rPr>
        <w:t>9</w:t>
      </w:r>
      <w:r>
        <w:rPr>
          <w:rFonts w:hint="eastAsia"/>
          <w:b/>
          <w:kern w:val="0"/>
          <w:sz w:val="18"/>
          <w:szCs w:val="18"/>
          <w:lang w:bidi="ar"/>
        </w:rPr>
        <w:t>课程目标权重系数</w:t>
      </w:r>
    </w:p>
    <w:tbl>
      <w:tblPr>
        <w:tblStyle w:val="22"/>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207"/>
        <w:gridCol w:w="1524"/>
        <w:gridCol w:w="1101"/>
        <w:gridCol w:w="1101"/>
        <w:gridCol w:w="1101"/>
        <w:gridCol w:w="109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2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b/>
                <w:sz w:val="18"/>
                <w:szCs w:val="18"/>
              </w:rPr>
            </w:pPr>
            <w:r>
              <w:rPr>
                <w:rFonts w:hint="eastAsia"/>
                <w:b/>
                <w:sz w:val="18"/>
                <w:szCs w:val="18"/>
                <w:lang w:bidi="ar"/>
              </w:rPr>
              <w:t>课程目标</w:t>
            </w:r>
          </w:p>
        </w:tc>
        <w:tc>
          <w:tcPr>
            <w:tcW w:w="1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1</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2</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3</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4</w:t>
            </w:r>
          </w:p>
        </w:tc>
        <w:tc>
          <w:tcPr>
            <w:tcW w:w="10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sz w:val="18"/>
                <w:szCs w:val="18"/>
                <w:lang w:bidi="ar"/>
              </w:rPr>
              <w:t>5</w:t>
            </w:r>
          </w:p>
        </w:tc>
        <w:tc>
          <w:tcPr>
            <w:tcW w:w="10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lang w:bidi="ar"/>
              </w:rPr>
            </w:pPr>
            <w:r>
              <w:rPr>
                <w:rFonts w:hint="eastAsia"/>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22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b/>
                <w:sz w:val="18"/>
                <w:szCs w:val="18"/>
              </w:rPr>
            </w:pPr>
            <w:r>
              <w:rPr>
                <w:rFonts w:hint="eastAsia"/>
                <w:b/>
                <w:sz w:val="18"/>
                <w:szCs w:val="18"/>
                <w:lang w:bidi="ar"/>
              </w:rPr>
              <w:t>权重系数</w:t>
            </w:r>
          </w:p>
        </w:tc>
        <w:tc>
          <w:tcPr>
            <w:tcW w:w="15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sz w:val="18"/>
                <w:szCs w:val="18"/>
                <w:lang w:bidi="ar"/>
              </w:rPr>
              <w:t>0.12</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sz w:val="18"/>
                <w:szCs w:val="18"/>
                <w:lang w:bidi="ar"/>
              </w:rPr>
              <w:t>0.54</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sz w:val="18"/>
                <w:szCs w:val="18"/>
                <w:lang w:bidi="ar"/>
              </w:rPr>
              <w:t>0.</w:t>
            </w:r>
            <w:r>
              <w:rPr>
                <w:rFonts w:hint="eastAsia" w:ascii="Times New Roman" w:hAnsi="Times New Roman"/>
                <w:sz w:val="18"/>
                <w:szCs w:val="18"/>
                <w:lang w:bidi="ar"/>
              </w:rPr>
              <w:t>1</w:t>
            </w:r>
            <w:r>
              <w:rPr>
                <w:rFonts w:ascii="Times New Roman" w:hAnsi="Times New Roman"/>
                <w:sz w:val="18"/>
                <w:szCs w:val="18"/>
                <w:lang w:bidi="ar"/>
              </w:rPr>
              <w:t>2</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ascii="Times New Roman" w:hAnsi="Times New Roman"/>
                <w:sz w:val="18"/>
                <w:szCs w:val="18"/>
                <w:lang w:bidi="ar"/>
              </w:rPr>
              <w:t>0.</w:t>
            </w:r>
            <w:r>
              <w:rPr>
                <w:rFonts w:hint="eastAsia" w:ascii="Times New Roman" w:hAnsi="Times New Roman"/>
                <w:sz w:val="18"/>
                <w:szCs w:val="18"/>
                <w:lang w:bidi="ar"/>
              </w:rPr>
              <w:t>1</w:t>
            </w:r>
            <w:r>
              <w:rPr>
                <w:rFonts w:ascii="Times New Roman" w:hAnsi="Times New Roman"/>
                <w:sz w:val="18"/>
                <w:szCs w:val="18"/>
                <w:lang w:bidi="ar"/>
              </w:rPr>
              <w:t>2</w:t>
            </w:r>
          </w:p>
        </w:tc>
        <w:tc>
          <w:tcPr>
            <w:tcW w:w="10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rPr>
            </w:pPr>
            <w:r>
              <w:rPr>
                <w:rFonts w:hint="eastAsia" w:ascii="Times New Roman" w:hAnsi="Times New Roman"/>
                <w:sz w:val="18"/>
                <w:szCs w:val="18"/>
                <w:lang w:bidi="ar"/>
              </w:rPr>
              <w:t>0.</w:t>
            </w:r>
            <w:r>
              <w:rPr>
                <w:rFonts w:ascii="Times New Roman" w:hAnsi="Times New Roman"/>
                <w:sz w:val="18"/>
                <w:szCs w:val="18"/>
                <w:lang w:bidi="ar"/>
              </w:rPr>
              <w:t>05</w:t>
            </w:r>
          </w:p>
        </w:tc>
        <w:tc>
          <w:tcPr>
            <w:tcW w:w="10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sz w:val="18"/>
                <w:szCs w:val="18"/>
                <w:lang w:bidi="ar"/>
              </w:rPr>
            </w:pPr>
            <w:r>
              <w:rPr>
                <w:rFonts w:hint="eastAsia" w:ascii="Times New Roman" w:hAnsi="Times New Roman"/>
                <w:sz w:val="18"/>
                <w:szCs w:val="18"/>
                <w:lang w:bidi="ar"/>
              </w:rPr>
              <w:t>0.</w:t>
            </w:r>
            <w:r>
              <w:rPr>
                <w:rFonts w:ascii="Times New Roman" w:hAnsi="Times New Roman"/>
                <w:sz w:val="18"/>
                <w:szCs w:val="18"/>
                <w:lang w:bidi="ar"/>
              </w:rPr>
              <w:t>05</w:t>
            </w:r>
          </w:p>
        </w:tc>
      </w:tr>
    </w:tbl>
    <w:p>
      <w:pPr>
        <w:adjustRightInd w:val="0"/>
        <w:snapToGrid w:val="0"/>
        <w:spacing w:line="300" w:lineRule="auto"/>
        <w:rPr>
          <w:szCs w:val="21"/>
        </w:rPr>
      </w:pPr>
      <w:r>
        <w:rPr>
          <w:rFonts w:hint="eastAsia"/>
          <w:szCs w:val="21"/>
          <w:lang w:bidi="ar"/>
        </w:rPr>
        <w:t>课程毕业要求指标点达成情况评价：</w:t>
      </w:r>
    </w:p>
    <w:p>
      <w:pPr>
        <w:adjustRightInd w:val="0"/>
        <w:snapToGrid w:val="0"/>
        <w:spacing w:line="300" w:lineRule="auto"/>
        <w:ind w:firstLine="420" w:firstLineChars="200"/>
        <w:rPr>
          <w:szCs w:val="21"/>
        </w:rPr>
      </w:pPr>
      <w:r>
        <w:rPr>
          <w:rFonts w:hint="eastAsia"/>
          <w:szCs w:val="21"/>
          <w:lang w:bidi="ar"/>
        </w:rPr>
        <w:t>课程支撑毕业要求指标点的达成情况为对应的课程目标达成情况的加权值，其计算公式为：</w:t>
      </w:r>
    </w:p>
    <w:p>
      <w:pPr>
        <w:adjustRightInd w:val="0"/>
        <w:snapToGrid w:val="0"/>
        <w:spacing w:line="300" w:lineRule="auto"/>
        <w:ind w:firstLine="420" w:firstLineChars="200"/>
        <w:rPr>
          <w:szCs w:val="21"/>
          <w:lang w:bidi="ar"/>
        </w:rPr>
      </w:pPr>
      <w:r>
        <w:rPr>
          <w:position w:val="-14"/>
        </w:rPr>
        <w:object>
          <v:shape id="_x0000_i1224" o:spt="75" type="#_x0000_t75" style="height:18pt;width:270.75pt;" o:ole="t" filled="f" o:preferrelative="t" stroked="f" coordsize="21600,21600">
            <v:path/>
            <v:fill on="f" focussize="0,0"/>
            <v:stroke on="f" joinstyle="miter"/>
            <v:imagedata r:id="rId209" o:title=""/>
            <o:lock v:ext="edit" aspectratio="t"/>
            <w10:wrap type="none"/>
            <w10:anchorlock/>
          </v:shape>
          <o:OLEObject Type="Embed" ProgID="Equation.3" ShapeID="_x0000_i1224" DrawAspect="Content" ObjectID="_1468075922" r:id="rId254">
            <o:LockedField>false</o:LockedField>
          </o:OLEObject>
        </w:object>
      </w:r>
    </w:p>
    <w:p>
      <w:pPr>
        <w:adjustRightInd w:val="0"/>
        <w:snapToGrid w:val="0"/>
        <w:spacing w:line="300" w:lineRule="auto"/>
        <w:ind w:firstLine="420" w:firstLineChars="200"/>
        <w:rPr>
          <w:szCs w:val="21"/>
        </w:rPr>
      </w:pPr>
      <w:r>
        <w:rPr>
          <w:szCs w:val="21"/>
          <w:lang w:bidi="ar"/>
        </w:rPr>
        <w:t xml:space="preserve">2. </w:t>
      </w:r>
      <w:r>
        <w:rPr>
          <w:rFonts w:hint="eastAsia"/>
          <w:szCs w:val="21"/>
          <w:lang w:bidi="ar"/>
        </w:rPr>
        <w:t>课程总结要求：</w:t>
      </w:r>
      <w:r>
        <w:rPr>
          <w:szCs w:val="21"/>
          <w:lang w:bidi="ar"/>
        </w:rPr>
        <w:t> </w:t>
      </w:r>
    </w:p>
    <w:p>
      <w:pPr>
        <w:adjustRightInd w:val="0"/>
        <w:snapToGrid w:val="0"/>
        <w:spacing w:line="300" w:lineRule="auto"/>
        <w:ind w:firstLine="420" w:firstLineChars="200"/>
        <w:rPr>
          <w:szCs w:val="21"/>
        </w:rPr>
      </w:pPr>
      <w:r>
        <w:rPr>
          <w:rFonts w:hint="eastAsia"/>
          <w:szCs w:val="21"/>
          <w:lang w:bidi="ar"/>
        </w:rPr>
        <w:t>依据达成情况评价、教师评价、督导专家评价，以及毕业论文情况、答辩情况，对毕业论文情况进行有针对性的总结，撰写毕业设计论文总结与报告，提出持续改进课程教学的措施。</w:t>
      </w:r>
    </w:p>
    <w:p>
      <w:pPr>
        <w:snapToGrid w:val="0"/>
        <w:spacing w:before="156" w:beforeLines="50" w:after="156" w:afterLines="50" w:line="300" w:lineRule="auto"/>
        <w:rPr>
          <w:b/>
          <w:sz w:val="24"/>
        </w:rPr>
      </w:pPr>
      <w:r>
        <w:rPr>
          <w:rFonts w:hint="eastAsia"/>
          <w:b/>
          <w:sz w:val="24"/>
          <w:lang w:bidi="ar"/>
        </w:rPr>
        <w:t>七、教材及参考资料</w:t>
      </w:r>
    </w:p>
    <w:p>
      <w:pPr>
        <w:adjustRightInd w:val="0"/>
        <w:snapToGrid w:val="0"/>
        <w:spacing w:line="300" w:lineRule="auto"/>
        <w:ind w:firstLine="420" w:firstLineChars="200"/>
        <w:rPr>
          <w:szCs w:val="21"/>
        </w:rPr>
      </w:pPr>
      <w:r>
        <w:rPr>
          <w:szCs w:val="21"/>
          <w:lang w:bidi="ar"/>
        </w:rPr>
        <w:t>1.</w:t>
      </w:r>
      <w:r>
        <w:rPr>
          <w:rFonts w:hint="eastAsia"/>
          <w:szCs w:val="21"/>
          <w:lang w:bidi="ar"/>
        </w:rPr>
        <w:t>教材</w:t>
      </w:r>
    </w:p>
    <w:p>
      <w:pPr>
        <w:adjustRightInd w:val="0"/>
        <w:snapToGrid w:val="0"/>
        <w:spacing w:line="300" w:lineRule="auto"/>
        <w:ind w:firstLine="420" w:firstLineChars="200"/>
        <w:rPr>
          <w:szCs w:val="21"/>
        </w:rPr>
      </w:pPr>
      <w:r>
        <w:rPr>
          <w:szCs w:val="21"/>
          <w:lang w:bidi="ar"/>
        </w:rPr>
        <w:t xml:space="preserve">[1] </w:t>
      </w:r>
      <w:r>
        <w:fldChar w:fldCharType="begin"/>
      </w:r>
      <w:r>
        <w:instrText xml:space="preserve"> HYPERLINK "http://search.dangdang.com/?key2=%C1%F8%B1%FE%CF%E9&amp;medium=01&amp;category_path=01.00.00.00.00.00" \o "柳炳祥" </w:instrText>
      </w:r>
      <w:r>
        <w:fldChar w:fldCharType="separate"/>
      </w:r>
      <w:r>
        <w:rPr>
          <w:rStyle w:val="26"/>
          <w:rFonts w:hint="eastAsia"/>
          <w:color w:val="auto"/>
          <w:szCs w:val="21"/>
          <w:u w:val="none"/>
        </w:rPr>
        <w:t>柳炳祥</w:t>
      </w:r>
      <w:r>
        <w:rPr>
          <w:rStyle w:val="26"/>
          <w:rFonts w:hint="eastAsia"/>
          <w:color w:val="auto"/>
          <w:szCs w:val="21"/>
          <w:u w:val="none"/>
        </w:rPr>
        <w:fldChar w:fldCharType="end"/>
      </w:r>
      <w:r>
        <w:rPr>
          <w:szCs w:val="21"/>
          <w:lang w:bidi="ar"/>
        </w:rPr>
        <w:t>. </w:t>
      </w:r>
      <w:r>
        <w:fldChar w:fldCharType="begin"/>
      </w:r>
      <w:r>
        <w:instrText xml:space="preserve"> HYPERLINK "http://product.dangdang.com/26511760.html" \t "C:UsersHPDocumentsWeChat%20FilesjingruiWJFileStorageFile2021-06_blank" \o " 信息类学生专业毕业设计（论文）指导 " </w:instrText>
      </w:r>
      <w:r>
        <w:fldChar w:fldCharType="separate"/>
      </w:r>
      <w:r>
        <w:rPr>
          <w:rStyle w:val="26"/>
          <w:rFonts w:hint="eastAsia"/>
          <w:color w:val="auto"/>
          <w:szCs w:val="21"/>
          <w:u w:val="none"/>
        </w:rPr>
        <w:t>信息类学生专业毕业设计（论文）指导</w:t>
      </w:r>
      <w:r>
        <w:rPr>
          <w:rStyle w:val="26"/>
          <w:rFonts w:hint="eastAsia"/>
          <w:color w:val="auto"/>
          <w:szCs w:val="21"/>
          <w:u w:val="none"/>
        </w:rPr>
        <w:fldChar w:fldCharType="end"/>
      </w:r>
      <w:r>
        <w:rPr>
          <w:szCs w:val="21"/>
          <w:lang w:bidi="ar"/>
        </w:rPr>
        <w:t>[M]</w:t>
      </w:r>
      <w:r>
        <w:rPr>
          <w:rFonts w:hint="eastAsia"/>
          <w:szCs w:val="21"/>
          <w:lang w:bidi="ar"/>
        </w:rPr>
        <w:t>，北京：</w:t>
      </w:r>
      <w:r>
        <w:fldChar w:fldCharType="begin"/>
      </w:r>
      <w:r>
        <w:instrText xml:space="preserve"> HYPERLINK "http://search.dangdang.com/?key=&amp;key3=%B5%E7%D7%D3%B9%A4%D2%B5%B3%F6%B0%E6%C9%E7&amp;medium=01&amp;category_path=01.00.00.00.00.00" \o "电子工业出版社" </w:instrText>
      </w:r>
      <w:r>
        <w:fldChar w:fldCharType="separate"/>
      </w:r>
      <w:r>
        <w:rPr>
          <w:rStyle w:val="26"/>
          <w:rFonts w:hint="eastAsia" w:cs="宋体"/>
          <w:color w:val="auto"/>
          <w:szCs w:val="21"/>
          <w:u w:val="none"/>
        </w:rPr>
        <w:t>电子工业出版社</w:t>
      </w:r>
      <w:r>
        <w:rPr>
          <w:rStyle w:val="26"/>
          <w:rFonts w:hint="eastAsia" w:cs="宋体"/>
          <w:color w:val="auto"/>
          <w:szCs w:val="21"/>
          <w:u w:val="none"/>
        </w:rPr>
        <w:fldChar w:fldCharType="end"/>
      </w:r>
      <w:r>
        <w:rPr>
          <w:szCs w:val="21"/>
          <w:lang w:bidi="ar"/>
        </w:rPr>
        <w:t>2019-01</w:t>
      </w:r>
      <w:r>
        <w:rPr>
          <w:rFonts w:hint="eastAsia"/>
          <w:szCs w:val="21"/>
          <w:lang w:bidi="ar"/>
        </w:rPr>
        <w:t>。</w:t>
      </w:r>
    </w:p>
    <w:p>
      <w:pPr>
        <w:tabs>
          <w:tab w:val="left" w:pos="738"/>
        </w:tabs>
        <w:adjustRightInd w:val="0"/>
        <w:snapToGrid w:val="0"/>
        <w:spacing w:line="300" w:lineRule="auto"/>
        <w:ind w:left="420"/>
        <w:rPr>
          <w:szCs w:val="21"/>
        </w:rPr>
      </w:pPr>
      <w:r>
        <w:rPr>
          <w:szCs w:val="21"/>
          <w:lang w:bidi="ar"/>
        </w:rPr>
        <w:t>2.</w:t>
      </w:r>
      <w:r>
        <w:rPr>
          <w:rFonts w:hint="eastAsia"/>
          <w:szCs w:val="21"/>
          <w:lang w:bidi="ar"/>
        </w:rPr>
        <w:t>参考资料：</w:t>
      </w:r>
    </w:p>
    <w:p>
      <w:pPr>
        <w:adjustRightInd w:val="0"/>
        <w:snapToGrid w:val="0"/>
        <w:spacing w:line="300" w:lineRule="auto"/>
        <w:ind w:firstLine="420" w:firstLineChars="200"/>
        <w:rPr>
          <w:w w:val="90"/>
          <w:szCs w:val="21"/>
        </w:rPr>
      </w:pPr>
      <w:r>
        <w:rPr>
          <w:szCs w:val="21"/>
          <w:lang w:bidi="ar"/>
        </w:rPr>
        <w:t xml:space="preserve">[1] </w:t>
      </w:r>
      <w:r>
        <w:rPr>
          <w:rFonts w:hint="eastAsia"/>
          <w:szCs w:val="21"/>
          <w:lang w:bidi="ar"/>
        </w:rPr>
        <w:t>广东海洋大学本科毕业论文（设计）工作管理办法（校教务〔</w:t>
      </w:r>
      <w:r>
        <w:rPr>
          <w:szCs w:val="21"/>
          <w:lang w:bidi="ar"/>
        </w:rPr>
        <w:t>2015</w:t>
      </w:r>
      <w:r>
        <w:rPr>
          <w:rFonts w:hint="eastAsia"/>
          <w:szCs w:val="21"/>
          <w:lang w:bidi="ar"/>
        </w:rPr>
        <w:t>〕</w:t>
      </w:r>
      <w:r>
        <w:rPr>
          <w:szCs w:val="21"/>
          <w:lang w:bidi="ar"/>
        </w:rPr>
        <w:t>23</w:t>
      </w:r>
      <w:r>
        <w:rPr>
          <w:rFonts w:hint="eastAsia"/>
          <w:szCs w:val="21"/>
          <w:lang w:bidi="ar"/>
        </w:rPr>
        <w:t>号）。</w:t>
      </w:r>
    </w:p>
    <w:p>
      <w:pPr>
        <w:snapToGrid w:val="0"/>
        <w:spacing w:before="156" w:beforeLines="50" w:after="156" w:afterLines="50" w:line="300" w:lineRule="auto"/>
        <w:rPr>
          <w:szCs w:val="21"/>
        </w:rPr>
      </w:pPr>
      <w:r>
        <w:rPr>
          <w:rFonts w:hint="eastAsia"/>
          <w:b/>
          <w:sz w:val="24"/>
          <w:lang w:bidi="ar"/>
        </w:rPr>
        <w:t>附录</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A</w:t>
      </w:r>
      <w:r>
        <w:rPr>
          <w:rFonts w:hint="eastAsia"/>
          <w:szCs w:val="21"/>
          <w:lang w:bidi="ar"/>
        </w:rPr>
        <w:t>广东海洋大学电子信息工程毕业设计（论文）指导教师评价意见及评分表</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B</w:t>
      </w:r>
      <w:r>
        <w:rPr>
          <w:rFonts w:hint="eastAsia"/>
          <w:szCs w:val="21"/>
          <w:lang w:bidi="ar"/>
        </w:rPr>
        <w:t>广东海洋大学学生毕业答辩资格审查表</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C</w:t>
      </w:r>
      <w:r>
        <w:rPr>
          <w:rFonts w:hint="eastAsia"/>
          <w:szCs w:val="21"/>
          <w:lang w:bidi="ar"/>
        </w:rPr>
        <w:t>广东海洋大学毕业设计（论文）评阅意见及评分表</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D</w:t>
      </w:r>
      <w:r>
        <w:rPr>
          <w:rFonts w:hint="eastAsia"/>
          <w:szCs w:val="21"/>
          <w:lang w:bidi="ar"/>
        </w:rPr>
        <w:t>广东海洋大学毕业设计（论文）答辩评价表</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E</w:t>
      </w:r>
      <w:r>
        <w:rPr>
          <w:rFonts w:hint="eastAsia"/>
          <w:szCs w:val="21"/>
          <w:lang w:bidi="ar"/>
        </w:rPr>
        <w:t>广东海洋大学毕业设计（论文）总评成绩审定表</w:t>
      </w:r>
    </w:p>
    <w:p>
      <w:pPr>
        <w:tabs>
          <w:tab w:val="left" w:pos="3119"/>
        </w:tabs>
        <w:adjustRightInd w:val="0"/>
        <w:snapToGrid w:val="0"/>
        <w:spacing w:line="300" w:lineRule="auto"/>
        <w:ind w:firstLine="420" w:firstLineChars="200"/>
        <w:rPr>
          <w:szCs w:val="21"/>
        </w:rPr>
      </w:pPr>
      <w:r>
        <w:rPr>
          <w:rFonts w:hint="eastAsia"/>
          <w:szCs w:val="21"/>
          <w:lang w:bidi="ar"/>
        </w:rPr>
        <w:t>附录</w:t>
      </w:r>
      <w:r>
        <w:rPr>
          <w:szCs w:val="21"/>
          <w:lang w:bidi="ar"/>
        </w:rPr>
        <w:t>F</w:t>
      </w:r>
      <w:r>
        <w:rPr>
          <w:rFonts w:hint="eastAsia"/>
          <w:szCs w:val="21"/>
          <w:lang w:bidi="ar"/>
        </w:rPr>
        <w:t>广东海洋大学电子工程系论文学术规范</w:t>
      </w:r>
    </w:p>
    <w:tbl>
      <w:tblPr>
        <w:tblStyle w:val="22"/>
        <w:tblpPr w:leftFromText="180" w:rightFromText="180" w:vertAnchor="text" w:horzAnchor="margin" w:tblpX="-40" w:tblpY="266"/>
        <w:tblW w:w="8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ind w:right="630" w:firstLine="404" w:firstLineChars="202"/>
              <w:jc w:val="right"/>
              <w:rPr>
                <w:kern w:val="0"/>
                <w:sz w:val="20"/>
                <w:szCs w:val="21"/>
              </w:rPr>
            </w:pPr>
            <w:r>
              <w:rPr>
                <w:rFonts w:hint="eastAsia"/>
                <w:kern w:val="0"/>
                <w:sz w:val="20"/>
                <w:szCs w:val="21"/>
                <w:lang w:bidi="ar"/>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ind w:right="420"/>
              <w:jc w:val="right"/>
              <w:rPr>
                <w:kern w:val="0"/>
                <w:sz w:val="20"/>
                <w:szCs w:val="21"/>
              </w:rPr>
            </w:pPr>
            <w:r>
              <w:rPr>
                <w:rFonts w:hint="eastAsia"/>
                <w:kern w:val="0"/>
                <w:sz w:val="20"/>
                <w:szCs w:val="21"/>
                <w:lang w:bidi="ar"/>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20" w:type="dxa"/>
            <w:tcBorders>
              <w:top w:val="single" w:color="FFFFFF" w:sz="4" w:space="0"/>
              <w:left w:val="single" w:color="FFFFFF" w:sz="4" w:space="0"/>
              <w:bottom w:val="single" w:color="FFFFFF" w:sz="4" w:space="0"/>
              <w:right w:val="single" w:color="FFFFFF" w:sz="4" w:space="0"/>
            </w:tcBorders>
          </w:tcPr>
          <w:p>
            <w:pPr>
              <w:snapToGrid w:val="0"/>
              <w:spacing w:line="300" w:lineRule="auto"/>
              <w:jc w:val="right"/>
              <w:rPr>
                <w:kern w:val="0"/>
                <w:sz w:val="20"/>
                <w:szCs w:val="21"/>
              </w:rPr>
            </w:pPr>
            <w:r>
              <w:rPr>
                <w:rFonts w:hint="eastAsia"/>
                <w:kern w:val="0"/>
                <w:sz w:val="20"/>
                <w:szCs w:val="21"/>
                <w:lang w:bidi="ar"/>
              </w:rPr>
              <w:t>日</w:t>
            </w:r>
            <w:r>
              <w:rPr>
                <w:kern w:val="0"/>
                <w:sz w:val="20"/>
                <w:szCs w:val="21"/>
                <w:lang w:bidi="ar"/>
              </w:rPr>
              <w:t xml:space="preserve">  </w:t>
            </w:r>
            <w:r>
              <w:rPr>
                <w:rFonts w:hint="eastAsia"/>
                <w:kern w:val="0"/>
                <w:sz w:val="20"/>
                <w:szCs w:val="21"/>
                <w:lang w:bidi="ar"/>
              </w:rPr>
              <w:t>期：</w:t>
            </w:r>
            <w:r>
              <w:rPr>
                <w:kern w:val="0"/>
                <w:sz w:val="20"/>
                <w:szCs w:val="21"/>
                <w:lang w:bidi="ar"/>
              </w:rPr>
              <w:t xml:space="preserve"> </w:t>
            </w:r>
            <w:r>
              <w:rPr>
                <w:kern w:val="0"/>
                <w:sz w:val="20"/>
                <w:szCs w:val="21"/>
              </w:rPr>
              <w:t>2022.0</w:t>
            </w:r>
            <w:r>
              <w:rPr>
                <w:rFonts w:hint="eastAsia"/>
                <w:kern w:val="0"/>
                <w:sz w:val="20"/>
                <w:szCs w:val="21"/>
              </w:rPr>
              <w:t>4.20</w:t>
            </w:r>
          </w:p>
        </w:tc>
      </w:tr>
    </w:tbl>
    <w:p>
      <w:pPr>
        <w:snapToGrid w:val="0"/>
        <w:ind w:firstLine="210" w:firstLineChars="100"/>
        <w:rPr>
          <w:szCs w:val="21"/>
        </w:rPr>
      </w:pPr>
    </w:p>
    <w:p/>
    <w:p>
      <w:pPr>
        <w:rPr>
          <w:rFonts w:ascii="Times New Roman" w:hAnsi="Times New Roman"/>
        </w:rPr>
      </w:pPr>
    </w:p>
    <w:p>
      <w:pPr>
        <w:widowControl/>
        <w:jc w:val="left"/>
        <w:rPr>
          <w:rFonts w:ascii="Times New Roman" w:hAnsi="Times New Roman" w:cs="Times New Roman"/>
        </w:rPr>
      </w:pPr>
    </w:p>
    <w:p>
      <w:pPr>
        <w:tabs>
          <w:tab w:val="left" w:pos="698"/>
        </w:tabs>
        <w:rPr>
          <w:rFonts w:ascii="Times New Roman" w:hAnsi="Times New Roman" w:cs="Times New Roman"/>
        </w:rPr>
        <w:sectPr>
          <w:footerReference r:id="rId18" w:type="default"/>
          <w:pgSz w:w="11906" w:h="16838"/>
          <w:pgMar w:top="1440" w:right="1800" w:bottom="1440" w:left="1800" w:header="851" w:footer="992" w:gutter="0"/>
          <w:cols w:space="425" w:num="1"/>
          <w:docGrid w:type="lines" w:linePitch="312" w:charSpace="0"/>
        </w:sectPr>
      </w:pPr>
    </w:p>
    <w:p>
      <w:pPr>
        <w:pStyle w:val="16"/>
        <w:tabs>
          <w:tab w:val="right" w:leader="dot" w:pos="8296"/>
        </w:tabs>
        <w:spacing w:line="360" w:lineRule="auto"/>
        <w:jc w:val="center"/>
        <w:rPr>
          <w:rFonts w:ascii="Times New Roman" w:hAnsi="Times New Roman" w:cs="Times New Roman"/>
          <w:szCs w:val="32"/>
        </w:rPr>
      </w:pPr>
      <w:bookmarkStart w:id="320" w:name="_Toc10060"/>
      <w:bookmarkStart w:id="321" w:name="_Toc62654268"/>
      <w:r>
        <w:rPr>
          <w:rFonts w:hint="eastAsia" w:ascii="楷体" w:hAnsi="楷体" w:eastAsia="楷体" w:cs="楷体"/>
          <w:sz w:val="32"/>
          <w:szCs w:val="32"/>
        </w:rPr>
        <w:t>目 录</w:t>
      </w:r>
      <w:bookmarkEnd w:id="320"/>
      <w:bookmarkEnd w:id="321"/>
      <w:r>
        <w:rPr>
          <w:rFonts w:ascii="Times New Roman" w:hAnsi="Times New Roman" w:cs="Times New Roman"/>
          <w:sz w:val="32"/>
          <w:szCs w:val="32"/>
        </w:rPr>
        <w:fldChar w:fldCharType="begin"/>
      </w:r>
      <w:r>
        <w:rPr>
          <w:rFonts w:ascii="Times New Roman" w:hAnsi="Times New Roman" w:cs="Times New Roman"/>
          <w:sz w:val="32"/>
          <w:szCs w:val="32"/>
        </w:rPr>
        <w:instrText xml:space="preserve">TOC \o "1-2" \h \u </w:instrText>
      </w:r>
      <w:r>
        <w:rPr>
          <w:rFonts w:ascii="Times New Roman" w:hAnsi="Times New Roman" w:cs="Times New Roman"/>
          <w:sz w:val="32"/>
          <w:szCs w:val="32"/>
        </w:rPr>
        <w:fldChar w:fldCharType="separate"/>
      </w:r>
    </w:p>
    <w:p>
      <w:pPr>
        <w:pStyle w:val="16"/>
        <w:tabs>
          <w:tab w:val="right" w:leader="dot" w:pos="8306"/>
        </w:tabs>
        <w:spacing w:line="360" w:lineRule="auto"/>
        <w:rPr>
          <w:rFonts w:ascii="Times New Roman" w:hAnsi="Times New Roman" w:cs="Times New Roman"/>
          <w:sz w:val="24"/>
        </w:rPr>
      </w:pPr>
      <w:r>
        <w:fldChar w:fldCharType="begin"/>
      </w:r>
      <w:r>
        <w:instrText xml:space="preserve"> HYPERLINK \l "_Toc23337" </w:instrText>
      </w:r>
      <w:r>
        <w:fldChar w:fldCharType="separate"/>
      </w:r>
      <w:r>
        <w:rPr>
          <w:rFonts w:ascii="Times New Roman" w:hAnsi="Times New Roman" w:cs="Times New Roman"/>
          <w:sz w:val="24"/>
        </w:rPr>
        <w:t>1用于评价毕业要求达成情况的相关课程的教学大纲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_Toc23337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"_Toc2035" </w:instrText>
      </w:r>
      <w:r>
        <w:fldChar w:fldCharType="separate"/>
      </w:r>
      <w:r>
        <w:rPr>
          <w:rFonts w:ascii="Times New Roman" w:hAnsi="Times New Roman" w:eastAsia="宋体" w:cs="Times New Roman"/>
          <w:sz w:val="24"/>
        </w:rPr>
        <w:t>28111401《思想道德与法治》课程教学大纲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_Toc2035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"_Toc2550" </w:instrText>
      </w:r>
      <w:r>
        <w:fldChar w:fldCharType="separate"/>
      </w:r>
      <w:r>
        <w:rPr>
          <w:rFonts w:ascii="Times New Roman" w:hAnsi="Times New Roman" w:eastAsia="宋体" w:cs="Times New Roman"/>
          <w:sz w:val="24"/>
        </w:rPr>
        <w:t>28411401《中国近现代史纲要》课程教学大纲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_Toc2550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"_Toc22711" </w:instrText>
      </w:r>
      <w:r>
        <w:fldChar w:fldCharType="separate"/>
      </w:r>
      <w:r>
        <w:rPr>
          <w:rFonts w:ascii="Times New Roman" w:hAnsi="Times New Roman" w:eastAsia="宋体" w:cs="Times New Roman"/>
          <w:sz w:val="24"/>
        </w:rPr>
        <w:t>27111301《马克思主义基本原理》课程教学大纲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_Toc22711 \h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"_Toc25675" </w:instrText>
      </w:r>
      <w:r>
        <w:fldChar w:fldCharType="separate"/>
      </w:r>
      <w:r>
        <w:rPr>
          <w:rFonts w:ascii="Times New Roman" w:hAnsi="Times New Roman" w:eastAsia="宋体" w:cs="Times New Roman"/>
          <w:sz w:val="24"/>
        </w:rPr>
        <w:t>27111302《毛泽东思想和中国特色社会主义理论体系概论》课程教学大纲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_Toc25675 \h </w:instrText>
      </w:r>
      <w:r>
        <w:rPr>
          <w:rFonts w:ascii="Times New Roman" w:hAnsi="Times New Roman" w:cs="Times New Roman"/>
          <w:sz w:val="24"/>
        </w:rPr>
        <w:fldChar w:fldCharType="separate"/>
      </w:r>
      <w:r>
        <w:rPr>
          <w:rFonts w:ascii="Times New Roman" w:hAnsi="Times New Roman" w:cs="Times New Roman"/>
          <w:sz w:val="24"/>
        </w:rPr>
        <w:t>16</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"_Toc14197" </w:instrText>
      </w:r>
      <w:r>
        <w:fldChar w:fldCharType="separate"/>
      </w:r>
      <w:r>
        <w:rPr>
          <w:rFonts w:ascii="Times New Roman" w:hAnsi="Times New Roman" w:eastAsia="宋体" w:cs="Times New Roman"/>
          <w:sz w:val="24"/>
        </w:rPr>
        <w:t>28511401《形势与政策教育》课程教学大纲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_Toc14197 \h </w:instrText>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"_Toc1013" </w:instrText>
      </w:r>
      <w:r>
        <w:fldChar w:fldCharType="separate"/>
      </w:r>
      <w:r>
        <w:rPr>
          <w:rFonts w:ascii="Times New Roman" w:hAnsi="Times New Roman" w:eastAsia="宋体" w:cs="Times New Roman"/>
          <w:sz w:val="24"/>
        </w:rPr>
        <w:t>28300000《马克思主义中国化进程与青年学生使命担当》课程教学大纲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_Toc1013 \h </w:instrText>
      </w:r>
      <w:r>
        <w:rPr>
          <w:rFonts w:ascii="Times New Roman" w:hAnsi="Times New Roman" w:cs="Times New Roman"/>
          <w:sz w:val="24"/>
        </w:rPr>
        <w:fldChar w:fldCharType="separate"/>
      </w:r>
      <w:r>
        <w:rPr>
          <w:rFonts w:ascii="Times New Roman" w:hAnsi="Times New Roman" w:cs="Times New Roman"/>
          <w:sz w:val="24"/>
        </w:rPr>
        <w:t>31</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"_Toc5486" </w:instrText>
      </w:r>
      <w:r>
        <w:fldChar w:fldCharType="separate"/>
      </w:r>
      <w:r>
        <w:rPr>
          <w:rFonts w:ascii="Times New Roman" w:hAnsi="Times New Roman" w:eastAsia="宋体" w:cs="Times New Roman"/>
          <w:sz w:val="24"/>
        </w:rPr>
        <w:t>56011106《军事理论》课程教学大纲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_Toc5486 \h </w:instrText>
      </w:r>
      <w:r>
        <w:rPr>
          <w:rFonts w:ascii="Times New Roman" w:hAnsi="Times New Roman" w:cs="Times New Roman"/>
          <w:sz w:val="24"/>
        </w:rPr>
        <w:fldChar w:fldCharType="separate"/>
      </w:r>
      <w:r>
        <w:rPr>
          <w:rFonts w:ascii="Times New Roman" w:hAnsi="Times New Roman" w:cs="Times New Roman"/>
          <w:sz w:val="24"/>
        </w:rPr>
        <w:t>38</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"_Toc24907" </w:instrText>
      </w:r>
      <w:r>
        <w:fldChar w:fldCharType="separate"/>
      </w:r>
      <w:r>
        <w:rPr>
          <w:rFonts w:ascii="Times New Roman" w:hAnsi="Times New Roman" w:eastAsia="宋体" w:cs="Times New Roman"/>
          <w:sz w:val="24"/>
        </w:rPr>
        <w:t>56011107《青年学生健康教育》课程教学大纲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_Toc24907 \h </w:instrText>
      </w:r>
      <w:r>
        <w:rPr>
          <w:rFonts w:ascii="Times New Roman" w:hAnsi="Times New Roman" w:cs="Times New Roman"/>
          <w:sz w:val="24"/>
        </w:rPr>
        <w:fldChar w:fldCharType="separate"/>
      </w:r>
      <w:r>
        <w:rPr>
          <w:rFonts w:ascii="Times New Roman" w:hAnsi="Times New Roman" w:cs="Times New Roman"/>
          <w:sz w:val="24"/>
        </w:rPr>
        <w:t>43</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"_Toc3400" </w:instrText>
      </w:r>
      <w:r>
        <w:fldChar w:fldCharType="separate"/>
      </w:r>
      <w:r>
        <w:rPr>
          <w:rFonts w:ascii="Times New Roman" w:hAnsi="Times New Roman" w:eastAsia="宋体" w:cs="Times New Roman"/>
          <w:sz w:val="24"/>
        </w:rPr>
        <w:t>56011109《大学生心理健康教育》课程教学大纲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_Toc3400 \h </w:instrText>
      </w:r>
      <w:r>
        <w:rPr>
          <w:rFonts w:ascii="Times New Roman" w:hAnsi="Times New Roman" w:cs="Times New Roman"/>
          <w:sz w:val="24"/>
        </w:rPr>
        <w:fldChar w:fldCharType="separate"/>
      </w:r>
      <w:r>
        <w:rPr>
          <w:rFonts w:ascii="Times New Roman" w:hAnsi="Times New Roman" w:cs="Times New Roman"/>
          <w:sz w:val="24"/>
        </w:rPr>
        <w:t>49</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"_Toc26950" </w:instrText>
      </w:r>
      <w:r>
        <w:fldChar w:fldCharType="separate"/>
      </w:r>
      <w:r>
        <w:rPr>
          <w:rFonts w:ascii="Times New Roman" w:hAnsi="Times New Roman" w:eastAsia="宋体" w:cs="Times New Roman"/>
          <w:sz w:val="24"/>
        </w:rPr>
        <w:t>56011103《大学生职业发展与就业指导》课程教学大纲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_Toc26950 \h </w:instrText>
      </w:r>
      <w:r>
        <w:rPr>
          <w:rFonts w:ascii="Times New Roman" w:hAnsi="Times New Roman" w:cs="Times New Roman"/>
          <w:sz w:val="24"/>
        </w:rPr>
        <w:fldChar w:fldCharType="separate"/>
      </w:r>
      <w:r>
        <w:rPr>
          <w:rFonts w:ascii="Times New Roman" w:hAnsi="Times New Roman" w:cs="Times New Roman"/>
          <w:sz w:val="24"/>
        </w:rPr>
        <w:t>56</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"_Toc18782" </w:instrText>
      </w:r>
      <w:r>
        <w:fldChar w:fldCharType="separate"/>
      </w:r>
      <w:r>
        <w:rPr>
          <w:rFonts w:ascii="Times New Roman" w:hAnsi="Times New Roman" w:eastAsia="宋体" w:cs="Times New Roman"/>
          <w:sz w:val="24"/>
        </w:rPr>
        <w:t>57000000《创新创业教育》课程教学大纲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_Toc18782 \h </w:instrText>
      </w:r>
      <w:r>
        <w:rPr>
          <w:rFonts w:ascii="Times New Roman" w:hAnsi="Times New Roman" w:cs="Times New Roman"/>
          <w:sz w:val="24"/>
        </w:rPr>
        <w:fldChar w:fldCharType="separate"/>
      </w:r>
      <w:r>
        <w:rPr>
          <w:rFonts w:ascii="Times New Roman" w:hAnsi="Times New Roman" w:cs="Times New Roman"/>
          <w:sz w:val="24"/>
        </w:rPr>
        <w:t>62</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"_Toc20748" </w:instrText>
      </w:r>
      <w:r>
        <w:fldChar w:fldCharType="separate"/>
      </w:r>
      <w:r>
        <w:rPr>
          <w:rFonts w:ascii="Times New Roman" w:hAnsi="Times New Roman" w:eastAsia="宋体" w:cs="Times New Roman"/>
          <w:sz w:val="24"/>
        </w:rPr>
        <w:t>23112301《大学英语读写（І,Ⅱ,Ⅲ）》课程教学大纲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_Toc20748 \h </w:instrText>
      </w:r>
      <w:r>
        <w:rPr>
          <w:rFonts w:ascii="Times New Roman" w:hAnsi="Times New Roman" w:cs="Times New Roman"/>
          <w:sz w:val="24"/>
        </w:rPr>
        <w:fldChar w:fldCharType="separate"/>
      </w:r>
      <w:r>
        <w:rPr>
          <w:rFonts w:ascii="Times New Roman" w:hAnsi="Times New Roman" w:cs="Times New Roman"/>
          <w:sz w:val="24"/>
        </w:rPr>
        <w:t>66</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"_Toc30095" </w:instrText>
      </w:r>
      <w:r>
        <w:fldChar w:fldCharType="separate"/>
      </w:r>
      <w:r>
        <w:rPr>
          <w:rFonts w:ascii="Times New Roman" w:hAnsi="Times New Roman" w:eastAsia="宋体" w:cs="Times New Roman"/>
          <w:sz w:val="24"/>
        </w:rPr>
        <w:t>23112401《大学英语听说（І,Ⅱ,Ⅲ）》课程教学大纲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_Toc30095 \h </w:instrText>
      </w:r>
      <w:r>
        <w:rPr>
          <w:rFonts w:ascii="Times New Roman" w:hAnsi="Times New Roman" w:cs="Times New Roman"/>
          <w:sz w:val="24"/>
        </w:rPr>
        <w:fldChar w:fldCharType="separate"/>
      </w:r>
      <w:r>
        <w:rPr>
          <w:rFonts w:ascii="Times New Roman" w:hAnsi="Times New Roman" w:cs="Times New Roman"/>
          <w:sz w:val="24"/>
        </w:rPr>
        <w:t>70</w:t>
      </w:r>
      <w:r>
        <w:rPr>
          <w:rFonts w:ascii="Times New Roman" w:hAnsi="Times New Roman" w:cs="Times New Roman"/>
          <w:sz w:val="24"/>
        </w:rPr>
        <w:fldChar w:fldCharType="end"/>
      </w:r>
      <w:r>
        <w:rPr>
          <w:rFonts w:ascii="Times New Roman" w:hAnsi="Times New Roman" w:cs="Times New Roman"/>
          <w:sz w:val="24"/>
        </w:rPr>
        <w:fldChar w:fldCharType="end"/>
      </w:r>
    </w:p>
    <w:p>
      <w:pPr>
        <w:pStyle w:val="19"/>
        <w:tabs>
          <w:tab w:val="right" w:leader="dot" w:pos="8306"/>
        </w:tabs>
        <w:spacing w:line="360" w:lineRule="auto"/>
        <w:rPr>
          <w:rFonts w:ascii="Times New Roman" w:hAnsi="Times New Roman" w:cs="Times New Roman"/>
          <w:sz w:val="24"/>
        </w:rPr>
      </w:pPr>
      <w:r>
        <w:fldChar w:fldCharType="begin"/>
      </w:r>
      <w:r>
        <w:instrText xml:space="preserve"> HYPERLINK \l "_Toc31502" </w:instrText>
      </w:r>
      <w:r>
        <w:fldChar w:fldCharType="separate"/>
      </w:r>
      <w:r>
        <w:rPr>
          <w:rFonts w:ascii="Times New Roman" w:hAnsi="Times New Roman" w:eastAsia="宋体" w:cs="Times New Roman"/>
          <w:kern w:val="0"/>
          <w:sz w:val="24"/>
        </w:rPr>
        <w:t>33431506</w:t>
      </w:r>
      <w:r>
        <w:rPr>
          <w:rFonts w:ascii="Times New Roman" w:hAnsi="Times New Roman" w:eastAsia="宋体" w:cs="Times New Roman"/>
          <w:sz w:val="24"/>
        </w:rPr>
        <w:t>《管理经济学概论》课程教学大纲</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_Toc31502 \h </w:instrText>
      </w:r>
      <w:r>
        <w:rPr>
          <w:rFonts w:ascii="Times New Roman" w:hAnsi="Times New Roman" w:cs="Times New Roman"/>
          <w:sz w:val="24"/>
        </w:rPr>
        <w:fldChar w:fldCharType="separate"/>
      </w:r>
      <w:r>
        <w:rPr>
          <w:rFonts w:ascii="Times New Roman" w:hAnsi="Times New Roman" w:cs="Times New Roman"/>
          <w:sz w:val="24"/>
        </w:rPr>
        <w:t>76</w:t>
      </w:r>
      <w:r>
        <w:rPr>
          <w:rFonts w:ascii="Times New Roman" w:hAnsi="Times New Roman" w:cs="Times New Roman"/>
          <w:sz w:val="24"/>
        </w:rPr>
        <w:fldChar w:fldCharType="end"/>
      </w:r>
      <w:r>
        <w:rPr>
          <w:rFonts w:ascii="Times New Roman" w:hAnsi="Times New Roman" w:cs="Times New Roman"/>
          <w:sz w:val="24"/>
        </w:rPr>
        <w:fldChar w:fldCharType="end"/>
      </w:r>
    </w:p>
    <w:p>
      <w:pPr>
        <w:pStyle w:val="16"/>
        <w:tabs>
          <w:tab w:val="right" w:leader="dot" w:pos="8306"/>
        </w:tabs>
        <w:spacing w:line="360" w:lineRule="auto"/>
        <w:rPr>
          <w:rFonts w:ascii="Times New Roman" w:hAnsi="Times New Roman" w:cs="Times New Roman"/>
          <w:sz w:val="24"/>
        </w:rPr>
      </w:pPr>
      <w:r>
        <w:fldChar w:fldCharType="begin"/>
      </w:r>
      <w:r>
        <w:instrText xml:space="preserve"> HYPERLINK \l "_Toc24685" </w:instrText>
      </w:r>
      <w:r>
        <w:fldChar w:fldCharType="separate"/>
      </w:r>
      <w:r>
        <w:rPr>
          <w:rFonts w:ascii="Times New Roman" w:hAnsi="Times New Roman" w:cs="Times New Roman"/>
          <w:sz w:val="24"/>
        </w:rPr>
        <w:t>2用于评价毕业要求达成情况的相关课程的教案</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_Toc24685 \h </w:instrText>
      </w:r>
      <w:r>
        <w:rPr>
          <w:rFonts w:ascii="Times New Roman" w:hAnsi="Times New Roman" w:cs="Times New Roman"/>
          <w:sz w:val="24"/>
        </w:rPr>
        <w:fldChar w:fldCharType="separate"/>
      </w:r>
      <w:r>
        <w:rPr>
          <w:rFonts w:ascii="Times New Roman" w:hAnsi="Times New Roman" w:cs="Times New Roman"/>
          <w:sz w:val="24"/>
        </w:rPr>
        <w:t>83</w:t>
      </w:r>
      <w:r>
        <w:rPr>
          <w:rFonts w:ascii="Times New Roman" w:hAnsi="Times New Roman" w:cs="Times New Roman"/>
          <w:sz w:val="24"/>
        </w:rPr>
        <w:fldChar w:fldCharType="end"/>
      </w:r>
      <w:r>
        <w:rPr>
          <w:rFonts w:ascii="Times New Roman" w:hAnsi="Times New Roman" w:cs="Times New Roman"/>
          <w:sz w:val="24"/>
        </w:rPr>
        <w:fldChar w:fldCharType="end"/>
      </w:r>
    </w:p>
    <w:p>
      <w:pPr>
        <w:pStyle w:val="16"/>
        <w:tabs>
          <w:tab w:val="right" w:leader="dot" w:pos="8306"/>
        </w:tabs>
        <w:spacing w:line="360" w:lineRule="auto"/>
        <w:rPr>
          <w:rFonts w:ascii="Times New Roman" w:hAnsi="Times New Roman" w:cs="Times New Roman"/>
          <w:sz w:val="24"/>
        </w:rPr>
      </w:pPr>
      <w:r>
        <w:fldChar w:fldCharType="begin"/>
      </w:r>
      <w:r>
        <w:instrText xml:space="preserve"> HYPERLINK \l "_Toc20219" </w:instrText>
      </w:r>
      <w:r>
        <w:fldChar w:fldCharType="separate"/>
      </w:r>
      <w:r>
        <w:rPr>
          <w:rFonts w:ascii="Times New Roman" w:hAnsi="Times New Roman" w:cs="Times New Roman"/>
          <w:sz w:val="24"/>
        </w:rPr>
        <w:t>3用于评价毕业要求达成情况的相关课程的考核资料</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_Toc20219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pStyle w:val="16"/>
        <w:tabs>
          <w:tab w:val="right" w:leader="dot" w:pos="8306"/>
        </w:tabs>
        <w:spacing w:line="360" w:lineRule="auto"/>
        <w:rPr>
          <w:rFonts w:ascii="Times New Roman" w:hAnsi="Times New Roman" w:cs="Times New Roman"/>
          <w:sz w:val="24"/>
        </w:rPr>
      </w:pPr>
      <w:r>
        <w:fldChar w:fldCharType="begin"/>
      </w:r>
      <w:r>
        <w:instrText xml:space="preserve"> HYPERLINK \l "_Toc24420" </w:instrText>
      </w:r>
      <w:r>
        <w:fldChar w:fldCharType="separate"/>
      </w:r>
      <w:r>
        <w:rPr>
          <w:rFonts w:ascii="Times New Roman" w:hAnsi="Times New Roman" w:cs="Times New Roman"/>
          <w:sz w:val="24"/>
        </w:rPr>
        <w:t>4用于评价毕业要求达成情况的相关课程的课程目标评价报告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_Toc24420 \h </w:instrText>
      </w:r>
      <w:r>
        <w:rPr>
          <w:rFonts w:ascii="Times New Roman" w:hAnsi="Times New Roman" w:cs="Times New Roman"/>
          <w:sz w:val="24"/>
        </w:rPr>
        <w:fldChar w:fldCharType="separate"/>
      </w:r>
      <w:r>
        <w:rPr>
          <w:rFonts w:ascii="Times New Roman" w:hAnsi="Times New Roman" w:cs="Times New Roman"/>
          <w:sz w:val="24"/>
        </w:rPr>
        <w:t>85</w:t>
      </w:r>
      <w:r>
        <w:rPr>
          <w:rFonts w:ascii="Times New Roman" w:hAnsi="Times New Roman" w:cs="Times New Roman"/>
          <w:sz w:val="24"/>
        </w:rPr>
        <w:fldChar w:fldCharType="end"/>
      </w:r>
      <w:r>
        <w:rPr>
          <w:rFonts w:ascii="Times New Roman" w:hAnsi="Times New Roman" w:cs="Times New Roman"/>
          <w:sz w:val="24"/>
        </w:rPr>
        <w:fldChar w:fldCharType="end"/>
      </w:r>
    </w:p>
    <w:p>
      <w:pPr>
        <w:pStyle w:val="2"/>
        <w:numPr>
          <w:ilvl w:val="0"/>
          <w:numId w:val="0"/>
        </w:numPr>
        <w:spacing w:before="0" w:after="0" w:line="360" w:lineRule="auto"/>
        <w:jc w:val="center"/>
        <w:rPr>
          <w:rFonts w:ascii="Times New Roman" w:hAnsi="Times New Roman" w:cs="Times New Roman"/>
          <w:sz w:val="32"/>
          <w:szCs w:val="32"/>
        </w:rPr>
        <w:sectPr>
          <w:footerReference r:id="rId19" w:type="default"/>
          <w:pgSz w:w="11906" w:h="16838"/>
          <w:pgMar w:top="1440" w:right="1800" w:bottom="1440" w:left="1800" w:header="851" w:footer="992" w:gutter="0"/>
          <w:cols w:space="425" w:num="1"/>
          <w:docGrid w:type="lines" w:linePitch="312" w:charSpace="0"/>
        </w:sectPr>
      </w:pPr>
      <w:r>
        <w:rPr>
          <w:rFonts w:ascii="Times New Roman" w:hAnsi="Times New Roman" w:cs="Times New Roman"/>
          <w:szCs w:val="32"/>
        </w:rPr>
        <w:fldChar w:fldCharType="end"/>
      </w:r>
    </w:p>
    <w:p>
      <w:pPr>
        <w:pStyle w:val="2"/>
        <w:numPr>
          <w:ilvl w:val="0"/>
          <w:numId w:val="0"/>
        </w:numPr>
        <w:spacing w:before="0" w:after="0" w:line="360" w:lineRule="auto"/>
        <w:rPr>
          <w:rFonts w:ascii="Times New Roman" w:hAnsi="Times New Roman" w:cs="Times New Roman"/>
          <w:sz w:val="32"/>
          <w:szCs w:val="32"/>
        </w:rPr>
      </w:pPr>
      <w:bookmarkStart w:id="322" w:name="_Toc23337"/>
      <w:bookmarkStart w:id="323" w:name="_Toc20241"/>
      <w:r>
        <w:rPr>
          <w:rFonts w:hint="eastAsia" w:ascii="Times New Roman" w:hAnsi="Times New Roman" w:cs="Times New Roman"/>
          <w:sz w:val="32"/>
          <w:szCs w:val="32"/>
        </w:rPr>
        <w:t>4人文社会科学类通识教育课程</w:t>
      </w:r>
      <w:r>
        <w:rPr>
          <w:rFonts w:ascii="Times New Roman" w:hAnsi="Times New Roman" w:cs="Times New Roman"/>
          <w:sz w:val="32"/>
          <w:szCs w:val="32"/>
        </w:rPr>
        <w:t>教学大纲</w:t>
      </w:r>
      <w:bookmarkEnd w:id="322"/>
      <w:bookmarkEnd w:id="323"/>
    </w:p>
    <w:p>
      <w:pPr>
        <w:pStyle w:val="3"/>
        <w:jc w:val="center"/>
        <w:rPr>
          <w:rFonts w:ascii="Times New Roman" w:hAnsi="Times New Roman" w:eastAsia="宋体" w:cs="Times New Roman"/>
        </w:rPr>
      </w:pPr>
      <w:bookmarkStart w:id="324" w:name="_Toc47719717"/>
      <w:bookmarkStart w:id="325" w:name="_Toc2035"/>
      <w:bookmarkStart w:id="326" w:name="_Toc47718745"/>
      <w:bookmarkStart w:id="327" w:name="_Toc47774674"/>
      <w:bookmarkStart w:id="328" w:name="_Toc22680"/>
      <w:r>
        <w:rPr>
          <w:rFonts w:ascii="Times New Roman" w:hAnsi="Times New Roman" w:eastAsia="宋体" w:cs="Times New Roman"/>
        </w:rPr>
        <w:t>28111</w:t>
      </w:r>
      <w:r>
        <w:rPr>
          <w:rFonts w:hint="eastAsia" w:ascii="Times New Roman" w:hAnsi="Times New Roman" w:eastAsia="宋体" w:cs="Times New Roman"/>
        </w:rPr>
        <w:t>401</w:t>
      </w:r>
      <w:r>
        <w:rPr>
          <w:rFonts w:ascii="Times New Roman" w:hAnsi="Times New Roman" w:eastAsia="宋体" w:cs="Times New Roman"/>
        </w:rPr>
        <w:t>《</w:t>
      </w:r>
      <w:r>
        <w:rPr>
          <w:rFonts w:hint="eastAsia" w:ascii="Times New Roman" w:hAnsi="Times New Roman" w:eastAsia="宋体" w:cs="Times New Roman"/>
        </w:rPr>
        <w:t>思想道德与法治</w:t>
      </w:r>
      <w:r>
        <w:rPr>
          <w:rFonts w:ascii="Times New Roman" w:hAnsi="Times New Roman" w:eastAsia="宋体" w:cs="Times New Roman"/>
        </w:rPr>
        <w:t>》课程教学大纲</w:t>
      </w:r>
      <w:bookmarkEnd w:id="324"/>
      <w:bookmarkEnd w:id="325"/>
      <w:bookmarkEnd w:id="326"/>
      <w:bookmarkEnd w:id="327"/>
      <w:bookmarkEnd w:id="328"/>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课程编号</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28111</w:t>
            </w:r>
            <w:r>
              <w:rPr>
                <w:rFonts w:hint="eastAsia" w:ascii="Times New Roman" w:hAnsi="Times New Roman" w:eastAsia="宋体" w:cs="Times New Roman"/>
                <w:szCs w:val="21"/>
              </w:rPr>
              <w:t>401</w:t>
            </w:r>
          </w:p>
        </w:tc>
        <w:tc>
          <w:tcPr>
            <w:tcW w:w="1198"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课程名称</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思想道德与</w:t>
            </w:r>
            <w:r>
              <w:rPr>
                <w:rFonts w:hint="eastAsia" w:ascii="Times New Roman" w:hAnsi="Times New Roman" w:eastAsia="宋体" w:cs="Times New Roman"/>
                <w:szCs w:val="21"/>
              </w:rPr>
              <w:t>法治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课程性质*</w:t>
            </w:r>
          </w:p>
        </w:tc>
        <w:tc>
          <w:tcPr>
            <w:tcW w:w="3441" w:type="dxa"/>
            <w:shd w:val="clear" w:color="auto" w:fill="auto"/>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人文社会科学类</w:t>
            </w:r>
          </w:p>
        </w:tc>
        <w:tc>
          <w:tcPr>
            <w:tcW w:w="1198"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英文名称</w:t>
            </w:r>
          </w:p>
        </w:tc>
        <w:tc>
          <w:tcPr>
            <w:tcW w:w="2695" w:type="dxa"/>
            <w:shd w:val="clear" w:color="auto" w:fill="auto"/>
            <w:vAlign w:val="center"/>
          </w:tcPr>
          <w:p>
            <w:pPr>
              <w:jc w:val="center"/>
              <w:rPr>
                <w:rFonts w:ascii="Times New Roman" w:hAnsi="Times New Roman" w:eastAsia="宋体" w:cs="Times New Roman"/>
                <w:szCs w:val="21"/>
              </w:rPr>
            </w:pPr>
            <w:r>
              <w:rPr>
                <w:rFonts w:ascii="Times New Roman" w:hAnsi="Times New Roman" w:cs="Times New Roman"/>
                <w:szCs w:val="21"/>
              </w:rPr>
              <w:t>Morality and Rule of Law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学分学时</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2.5 : 40（0）</w:t>
            </w:r>
          </w:p>
        </w:tc>
        <w:tc>
          <w:tcPr>
            <w:tcW w:w="1198"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任课教师</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汪树民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企业专家</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曾耿滨</w:t>
            </w:r>
          </w:p>
        </w:tc>
        <w:tc>
          <w:tcPr>
            <w:tcW w:w="1198"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行业专家</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执笔教师</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汪树民</w:t>
            </w:r>
          </w:p>
        </w:tc>
        <w:tc>
          <w:tcPr>
            <w:tcW w:w="1198"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责任教授</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适用专业</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全体本科专业</w:t>
            </w:r>
          </w:p>
        </w:tc>
        <w:tc>
          <w:tcPr>
            <w:tcW w:w="1198"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适用对象</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先修课程</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szCs w:val="21"/>
              </w:rPr>
            </w:pPr>
            <w:r>
              <w:rPr>
                <w:rFonts w:ascii="Times New Roman" w:hAnsi="Times New Roman" w:eastAsia="宋体" w:cs="Times New Roman"/>
                <w:szCs w:val="21"/>
              </w:rPr>
              <w:t>同修课程</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排斥课程</w:t>
            </w:r>
          </w:p>
        </w:tc>
        <w:tc>
          <w:tcPr>
            <w:tcW w:w="3441"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szCs w:val="21"/>
              </w:rPr>
            </w:pPr>
            <w:r>
              <w:rPr>
                <w:rFonts w:ascii="Times New Roman" w:hAnsi="Times New Roman" w:eastAsia="宋体" w:cs="Times New Roman"/>
                <w:szCs w:val="21"/>
              </w:rPr>
              <w:t>定稿日期</w:t>
            </w:r>
          </w:p>
        </w:tc>
        <w:tc>
          <w:tcPr>
            <w:tcW w:w="2695" w:type="dxa"/>
            <w:shd w:val="clear" w:color="auto" w:fill="auto"/>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before="156" w:beforeLines="50" w:after="156" w:afterLines="50"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大学生进入大学之后的思想道德修养的必修课，是大学生的入门思想政治教育课程。主要讲授大学生应该具备的思想修养、道德修养及法律修养，做一个有理想、有道德、有文化、有纪律的四有新人。</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以马列主义、毛泽东思想、邓小平理论和“三个代表”重要思想、科学发展观、新时代中国特色社会主义思想为指导，针对大学生成长成才过程中面临的思想道德和法律问题，有效地开展马克思主义的世界观、人生观、价值观和道德观、法制观的教育，引导大学生树立社会主义荣辱观，树立高尚的理想情操，养成良好的道德素质，树立体现中华民族优秀传统和时代精神的价值标准和行为规范。   </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本课程的具体教学目标如下： </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1．培养学生在应用电子信息工程专业知识进行开发设计中充分考虑社会、健康、安全、法律、文化以及环境等因素的能力。[3</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3]</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2．通过马列主义、毛泽东思想、邓小平理论和“三个代表”重要思想、科学发展观、新时代中国特色社会主义思想学习，理解环境保护和社会可持续发展的内涵与意义。[7</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3．培养学生正确的世界观、人生观、价值观和道德观、法制观，遵守职业道德规范，在工程实践中能自觉遵守职业道德和规范，履行责任。[8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4．引导大学生树立社会主义荣辱观，树立高尚的理想情操，养成良好的道德素质，不断学习、自我完善。[12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line="300" w:lineRule="auto"/>
        <w:ind w:firstLine="420" w:firstLineChars="200"/>
        <w:rPr>
          <w:rFonts w:ascii="Times New Roman" w:hAnsi="Times New Roman" w:eastAsia="宋体" w:cs="Times New Roman"/>
          <w:szCs w:val="21"/>
        </w:rPr>
      </w:pP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5266"/>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207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26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snapToGrid w:val="0"/>
              <w:spacing w:line="300" w:lineRule="auto"/>
              <w:jc w:val="left"/>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55" w:type="dxa"/>
            <w:vAlign w:val="center"/>
          </w:tcPr>
          <w:p>
            <w:pPr>
              <w:snapToGrid w:val="0"/>
              <w:spacing w:line="300" w:lineRule="auto"/>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1"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3．设计/开发解决方案</w:t>
            </w:r>
          </w:p>
        </w:tc>
        <w:tc>
          <w:tcPr>
            <w:tcW w:w="5266" w:type="dxa"/>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3设计中充分考虑社会、健康、安全、法律、文化以及环境等因素。</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071"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7．环境和可持续发展</w:t>
            </w:r>
          </w:p>
        </w:tc>
        <w:tc>
          <w:tcPr>
            <w:tcW w:w="5266"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1</w:t>
            </w:r>
            <w:r>
              <w:rPr>
                <w:rFonts w:hint="eastAsia" w:ascii="Times New Roman" w:hAnsi="Times New Roman" w:eastAsia="宋体" w:cs="Times New Roman"/>
                <w:sz w:val="18"/>
                <w:szCs w:val="18"/>
                <w:shd w:val="clear" w:color="auto" w:fill="FEFEFF"/>
              </w:rPr>
              <w:t>理解环境保护和社会可持续发展的内涵与意义，了解环境和社会可持续发展的相关政策及法律、法规。</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071"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8．职业规范</w:t>
            </w:r>
          </w:p>
        </w:tc>
        <w:tc>
          <w:tcPr>
            <w:tcW w:w="5266"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2</w:t>
            </w:r>
            <w:r>
              <w:rPr>
                <w:rFonts w:hint="eastAsia" w:ascii="Times New Roman" w:hAnsi="Times New Roman" w:eastAsia="宋体" w:cs="Times New Roman"/>
                <w:sz w:val="18"/>
                <w:szCs w:val="18"/>
                <w:shd w:val="clear" w:color="auto" w:fill="FEFEFF"/>
              </w:rPr>
              <w:t>理解工程师的职业道德规范，在工程实践中能自觉遵守职业道德和规范，履行责任，成为中国特色社会主义事业合格的建设者</w:t>
            </w:r>
            <w:r>
              <w:rPr>
                <w:rFonts w:ascii="Times New Roman" w:hAnsi="Times New Roman" w:eastAsia="宋体" w:cs="Times New Roman"/>
                <w:sz w:val="18"/>
                <w:szCs w:val="18"/>
                <w:shd w:val="clear" w:color="auto" w:fill="FEFEFF"/>
              </w:rPr>
              <w:t>。</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071"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12．终身学习</w:t>
            </w:r>
          </w:p>
        </w:tc>
        <w:tc>
          <w:tcPr>
            <w:tcW w:w="5266"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2针对个人和职业发展的需求，具有不断学习、自我完善能力和可持续发展的身体素质和学习能力。</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2"/>
        <w:gridCol w:w="2076"/>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4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07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8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1．培养学生在应用电子信息工程专业知识进行开发设计中充分考虑社会、健康、安全、法律、文化以及环境等因素的能力。</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2．通过马列主义、毛泽东思想、邓小平理论和“三个代表”重要思想、科学发展观、新时代中国特色社会主义思想学习，理解环境保护和社会可持续发展的内涵与意义。</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3．培养学生正确的世界观、人生观、价值观和道德观、法制观，遵守职业道德规范，在工程实践中能自觉遵守职业道德和规范，履行责任。</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4．引导大学生树立社会主义荣辱观，树立高尚的理想情操，养成良好的道德素质，不断学习、自我完善。</w:t>
            </w:r>
          </w:p>
        </w:tc>
        <w:tc>
          <w:tcPr>
            <w:tcW w:w="2076"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1．课堂讲授为主，网络多媒体教学为辅，注重案例教学，案例由浅入深，结合课程中的相应知识点进行分析。</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2．根据课程特点采用启发式教学、案例教学法进行教学方法创新。</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3．树立新的学习理念，培养优良学风。认识当代大学生的历史使命。明确当代大学生的成才目标。塑造当代大学生的崭新形象。</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060"/>
        <w:gridCol w:w="4271"/>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6" w:type="dxa"/>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060" w:type="dxa"/>
            <w:vAlign w:val="center"/>
          </w:tcPr>
          <w:p>
            <w:pPr>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271"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 绪论</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1.1中国新时代的大学生</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1.2社会主义新时代</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1.3时代新人的责任、理想</w:t>
            </w:r>
          </w:p>
          <w:p>
            <w:pPr>
              <w:adjustRightInd w:val="0"/>
              <w:snapToGrid w:val="0"/>
              <w:spacing w:line="300" w:lineRule="auto"/>
              <w:rPr>
                <w:rFonts w:ascii="Times New Roman" w:hAnsi="Times New Roman" w:eastAsia="宋体" w:cs="Times New Roman"/>
                <w:kern w:val="0"/>
                <w:sz w:val="18"/>
                <w:szCs w:val="18"/>
              </w:rPr>
            </w:pP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（1）了解大学生活特点，尽快适应大学生活，自觉培养优良学风。认清大学生的历史使命，明确成才目标。</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（2）重点掌握树立新的学习理念，培养优良学风。认识当代大学生的历史使命。明确当代大学生的成才目标。塑造当代大学生的崭新形象。</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shd w:val="clear" w:color="auto" w:fill="FEFEFF"/>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（1）完成教材第1章作业及老师布置的实践。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p>
            <w:pPr>
              <w:adjustRightInd w:val="0"/>
              <w:snapToGrid w:val="0"/>
              <w:spacing w:line="300" w:lineRule="auto"/>
              <w:jc w:val="center"/>
              <w:rPr>
                <w:rFonts w:ascii="Times New Roman" w:hAnsi="Times New Roman" w:eastAsia="宋体" w:cs="Times New Roman"/>
                <w:kern w:val="0"/>
                <w:sz w:val="18"/>
                <w:szCs w:val="18"/>
              </w:rPr>
            </w:pP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1，2，3，4</w:t>
            </w: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 人生的青春之问</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2.1人生观是对人生的总看法</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2.2.正确的人生观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2.3.正确对待人生矛盾</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（1）了解人生观的基本概念、正确的人生观对于成长的重要意义。</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（2）重点掌握人的本质、人生观的主要内容。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（1）完成教材第2章作业及老师布置的实践。。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 坚定理想信念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3.1 理想信念的内涵及重要性</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3.2 崇高的理想信念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3.3 在实现中国梦的实践中放飞青春梦想</w:t>
            </w:r>
          </w:p>
          <w:p>
            <w:pPr>
              <w:adjustRightInd w:val="0"/>
              <w:snapToGrid w:val="0"/>
              <w:spacing w:line="300" w:lineRule="auto"/>
              <w:rPr>
                <w:rFonts w:ascii="Times New Roman" w:hAnsi="Times New Roman" w:eastAsia="宋体" w:cs="Times New Roman"/>
                <w:kern w:val="0"/>
                <w:sz w:val="18"/>
                <w:szCs w:val="18"/>
              </w:rPr>
            </w:pP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（1）了解并掌握理想信念的内涵及重要性，树立崇高的理想信念，在实践中国梦的过程中放飞青春梦想。</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（2）重点掌握崇高的理想信念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（1）完成教材第3章作业及老师布置的实践。。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 弘扬中国精神</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4.1 中国精神是兴国强国之魂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4.2 爱国主义及其时代要求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4.3 让改革创新成为青春远航的动力</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（1）了解并掌握中国精神的主要内容，爱国主义的内涵及其传统，中国当前弘扬爱国主义的必要性，改革创新时代精神的内涵及相关要求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（2）重点掌握爱国主义。</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（1）完成教材第4章作业及老师布置的实践。。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 践行社会主义核心价值观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5.1 全体人民共同的价值追求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5.2 坚定价值观自信</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5.3 做社会主义核心价值观的积极践行者</w:t>
            </w:r>
          </w:p>
          <w:p>
            <w:pPr>
              <w:adjustRightInd w:val="0"/>
              <w:snapToGrid w:val="0"/>
              <w:spacing w:line="300" w:lineRule="auto"/>
              <w:rPr>
                <w:rFonts w:ascii="Times New Roman" w:hAnsi="Times New Roman" w:eastAsia="宋体" w:cs="Times New Roman"/>
                <w:kern w:val="0"/>
                <w:sz w:val="18"/>
                <w:szCs w:val="18"/>
              </w:rPr>
            </w:pP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（1）了解社会主义核心价值观的基本内容，并做社会主义核心价值观的积极践行者。</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（2）重点掌握社会主义核心价值观的内容。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（1）完成教材第5章作业及老师布置的实践。。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 明大德守公德严私德</w:t>
            </w:r>
            <w:r>
              <w:rPr>
                <w:rFonts w:ascii="Times New Roman" w:hAnsi="Times New Roman" w:eastAsia="宋体" w:cs="Times New Roman"/>
                <w:kern w:val="0"/>
                <w:sz w:val="18"/>
                <w:szCs w:val="18"/>
              </w:rPr>
              <w:tab/>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6.1 道德及其历史发展</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6.2 吸收借鉴优秀道德成果</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6.3 遵守公民道德行为准则，向上向善、知行合一</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（1）了解道德及其历史发展。</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（2）重点掌握遵守公民道德行为准则。</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（1）完成教材第6章作业及老师布置的实践。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 尊法学法守法用法</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7.1 社会主义法律的特征及运行</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7.2 以宪法为核心的中国特色社会主义法律体系</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7.3 建设中国特色社会主义法治体系</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7.4 坚持走中国特色社会主义法治道路</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7.5 培养社会主义法治思维</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7.6 依法行使权利与履行义务</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（1）了解法的含义及历史发展、我国宪法的发展历程及主要内容、民法基本内容、刑法基本内容、行政法的基本内容、民事诉讼法的基本内容、刑事诉讼法的基本内容等。。</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（2）重点掌握法律的含义和历史发展。社会主义法律的本质。我国宪法的特征和基本原则。民法、刑法等相关内容。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（1）完成教材第7章作业及老师布置的实践。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1．考核方式：闭卷笔试，平时测验及作业，调查报告。</w:t>
      </w:r>
    </w:p>
    <w:p>
      <w:pPr>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2．成绩构成：笔试成绩60%，平时成绩40%（课后作业、课堂表现、随堂测验、实验等）。</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3．考核评价标准见表4所示。</w:t>
      </w:r>
    </w:p>
    <w:p>
      <w:pPr>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7"/>
        <w:gridCol w:w="657"/>
        <w:gridCol w:w="640"/>
        <w:gridCol w:w="539"/>
        <w:gridCol w:w="3541"/>
        <w:gridCol w:w="92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4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3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54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2"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54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3.3，7</w:t>
            </w:r>
            <w:r>
              <w:rPr>
                <w:rFonts w:ascii="Times New Roman" w:hAnsi="Times New Roman" w:eastAsia="宋体" w:cs="Times New Roman"/>
                <w:sz w:val="18"/>
                <w:szCs w:val="18"/>
              </w:rPr>
              <w:t>.1</w:t>
            </w:r>
            <w:r>
              <w:rPr>
                <w:rFonts w:hint="eastAsia" w:ascii="Times New Roman" w:hAnsi="Times New Roman" w:eastAsia="宋体" w:cs="Times New Roman"/>
                <w:sz w:val="18"/>
                <w:szCs w:val="18"/>
              </w:rPr>
              <w:t>， 8</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主要考核学生对每章节知识点的理解和掌握程度；每次作业按100分制单独评分，取各次成绩的平均值作为书面作业成绩。</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3.3，7</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调查报告</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根据实验完成质量，以及实验报告质量评分，满分100分。</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8</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平时测验</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做两三次平时测验，每次满分100分。</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.3</w:t>
            </w:r>
            <w:r>
              <w:rPr>
                <w:rFonts w:hint="eastAsia" w:ascii="Times New Roman" w:hAnsi="Times New Roman" w:eastAsia="宋体" w:cs="Times New Roman"/>
                <w:sz w:val="18"/>
                <w:szCs w:val="18"/>
              </w:rPr>
              <w:t>，7</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56"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考试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64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4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(2)考核重在考核学生掌握基本理论知识和理解、运用基本理论认识问题、分析问题、解决问题的能力。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(3)建议考试题型包括：单项选择题、多项选择题、材料分析题等。</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.3</w:t>
            </w:r>
            <w:r>
              <w:rPr>
                <w:rFonts w:hint="eastAsia" w:ascii="Times New Roman" w:hAnsi="Times New Roman" w:eastAsia="宋体" w:cs="Times New Roman"/>
                <w:sz w:val="18"/>
                <w:szCs w:val="18"/>
              </w:rPr>
              <w:t>，7</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25"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25" DrawAspect="Content" ObjectID="_1468075923" r:id="rId255">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课程总目标达成情况为4个课程目标的加权得分率，其计算公式为：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26"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26" DrawAspect="Content" ObjectID="_1468075924" r:id="rId256">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9"/>
        <w:gridCol w:w="1584"/>
        <w:gridCol w:w="1878"/>
        <w:gridCol w:w="1859"/>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49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58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7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5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86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49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58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87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85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86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27"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27" DrawAspect="Content" ObjectID="_1468075925" r:id="rId257">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1．参考资料</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[1] </w:t>
      </w:r>
      <w:r>
        <w:rPr>
          <w:rFonts w:ascii="Times New Roman" w:hAnsi="Times New Roman" w:eastAsia="宋体" w:cs="Times New Roman"/>
          <w:szCs w:val="20"/>
        </w:rPr>
        <w:t>习近平</w:t>
      </w:r>
      <w:r>
        <w:rPr>
          <w:rFonts w:ascii="Times New Roman" w:hAnsi="Times New Roman" w:eastAsia="宋体" w:cs="Times New Roman"/>
          <w:szCs w:val="21"/>
        </w:rPr>
        <w:t xml:space="preserve">. </w:t>
      </w:r>
      <w:r>
        <w:rPr>
          <w:rFonts w:ascii="Times New Roman" w:hAnsi="Times New Roman" w:eastAsia="宋体" w:cs="Times New Roman"/>
          <w:szCs w:val="20"/>
        </w:rPr>
        <w:t>青年要自觉践行社会主义核心价值观</w:t>
      </w:r>
      <w:r>
        <w:rPr>
          <w:rFonts w:ascii="Times New Roman" w:hAnsi="Times New Roman" w:eastAsia="宋体" w:cs="Times New Roman"/>
          <w:szCs w:val="21"/>
        </w:rPr>
        <w:t>[M].</w:t>
      </w:r>
      <w:r>
        <w:rPr>
          <w:rFonts w:ascii="Times New Roman" w:hAnsi="Times New Roman" w:eastAsia="宋体" w:cs="Times New Roman"/>
          <w:bCs/>
          <w:szCs w:val="21"/>
        </w:rPr>
        <w:t xml:space="preserve"> 北京：</w:t>
      </w:r>
      <w:r>
        <w:rPr>
          <w:rFonts w:ascii="Times New Roman" w:hAnsi="Times New Roman" w:eastAsia="宋体" w:cs="Times New Roman"/>
          <w:szCs w:val="21"/>
        </w:rPr>
        <w:t>外文出版社.2014。</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[2] </w:t>
      </w:r>
      <w:r>
        <w:rPr>
          <w:rFonts w:ascii="Times New Roman" w:hAnsi="Times New Roman" w:eastAsia="宋体" w:cs="Times New Roman"/>
          <w:szCs w:val="20"/>
        </w:rPr>
        <w:t>毛泽东，邓小平，江泽民</w:t>
      </w:r>
      <w:r>
        <w:rPr>
          <w:rFonts w:ascii="Times New Roman" w:hAnsi="Times New Roman" w:eastAsia="宋体" w:cs="Times New Roman"/>
          <w:szCs w:val="21"/>
        </w:rPr>
        <w:t>.</w:t>
      </w:r>
      <w:r>
        <w:rPr>
          <w:rFonts w:ascii="Times New Roman" w:hAnsi="Times New Roman" w:eastAsia="宋体" w:cs="Times New Roman"/>
          <w:szCs w:val="20"/>
        </w:rPr>
        <w:t>毛泽东邓小平江泽民论世界观人生观价值观</w:t>
      </w:r>
      <w:r>
        <w:rPr>
          <w:rFonts w:ascii="Times New Roman" w:hAnsi="Times New Roman" w:eastAsia="宋体" w:cs="Times New Roman"/>
          <w:szCs w:val="21"/>
        </w:rPr>
        <w:t>[M]</w:t>
      </w:r>
      <w:r>
        <w:rPr>
          <w:rFonts w:ascii="Times New Roman" w:hAnsi="Times New Roman" w:eastAsia="宋体" w:cs="Times New Roman"/>
          <w:bCs/>
          <w:szCs w:val="21"/>
        </w:rPr>
        <w:t>. 北京：</w:t>
      </w:r>
      <w:r>
        <w:rPr>
          <w:rFonts w:ascii="Times New Roman" w:hAnsi="Times New Roman" w:eastAsia="宋体" w:cs="Times New Roman"/>
          <w:szCs w:val="21"/>
        </w:rPr>
        <w:t>清华大学出版社,2009.第二版。</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[3] </w:t>
      </w:r>
      <w:r>
        <w:rPr>
          <w:rFonts w:ascii="Times New Roman" w:hAnsi="Times New Roman" w:eastAsia="宋体" w:cs="Times New Roman"/>
          <w:szCs w:val="20"/>
        </w:rPr>
        <w:t>习近平</w:t>
      </w:r>
      <w:r>
        <w:rPr>
          <w:rFonts w:ascii="Times New Roman" w:hAnsi="Times New Roman" w:eastAsia="宋体" w:cs="Times New Roman"/>
          <w:szCs w:val="21"/>
        </w:rPr>
        <w:t>.</w:t>
      </w:r>
      <w:r>
        <w:rPr>
          <w:rFonts w:ascii="Times New Roman" w:hAnsi="Times New Roman" w:eastAsia="宋体" w:cs="Times New Roman"/>
          <w:szCs w:val="20"/>
        </w:rPr>
        <w:t>习近平谈治国理政（第一、二卷）</w:t>
      </w:r>
      <w:r>
        <w:rPr>
          <w:rFonts w:ascii="Times New Roman" w:hAnsi="Times New Roman" w:eastAsia="宋体" w:cs="Times New Roman"/>
          <w:szCs w:val="21"/>
        </w:rPr>
        <w:t>[M].</w:t>
      </w:r>
      <w:r>
        <w:rPr>
          <w:rFonts w:ascii="Times New Roman" w:hAnsi="Times New Roman" w:eastAsia="宋体" w:cs="Times New Roman"/>
          <w:bCs/>
          <w:szCs w:val="21"/>
        </w:rPr>
        <w:t xml:space="preserve"> 北京：</w:t>
      </w:r>
      <w:r>
        <w:rPr>
          <w:rFonts w:ascii="Times New Roman" w:hAnsi="Times New Roman" w:eastAsia="宋体" w:cs="Times New Roman"/>
          <w:szCs w:val="21"/>
        </w:rPr>
        <w:t>外文出版社,2014，2017。</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[4] </w:t>
      </w:r>
      <w:r>
        <w:rPr>
          <w:rFonts w:ascii="Times New Roman" w:hAnsi="Times New Roman" w:eastAsia="宋体" w:cs="Times New Roman"/>
          <w:szCs w:val="20"/>
        </w:rPr>
        <w:t>习近平谈治国理政</w:t>
      </w:r>
      <w:r>
        <w:rPr>
          <w:rFonts w:ascii="Times New Roman" w:hAnsi="Times New Roman" w:eastAsia="宋体" w:cs="Times New Roman"/>
          <w:szCs w:val="21"/>
        </w:rPr>
        <w:t xml:space="preserve">[M]. </w:t>
      </w:r>
      <w:r>
        <w:rPr>
          <w:rFonts w:ascii="Times New Roman" w:hAnsi="Times New Roman" w:eastAsia="宋体" w:cs="Times New Roman"/>
          <w:bCs/>
          <w:szCs w:val="21"/>
        </w:rPr>
        <w:t>北京：</w:t>
      </w:r>
      <w:r>
        <w:rPr>
          <w:rFonts w:ascii="Times New Roman" w:hAnsi="Times New Roman" w:eastAsia="宋体" w:cs="Times New Roman"/>
          <w:szCs w:val="21"/>
        </w:rPr>
        <w:t>长安出版社,2009。</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 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widowControl/>
        <w:jc w:val="left"/>
        <w:rPr>
          <w:rFonts w:ascii="Times New Roman" w:hAnsi="Times New Roman" w:eastAsia="宋体" w:cs="Times New Roman"/>
          <w:b/>
          <w:sz w:val="32"/>
        </w:rPr>
      </w:pPr>
      <w:bookmarkStart w:id="329" w:name="_Toc38126079"/>
      <w:bookmarkStart w:id="330" w:name="_Toc47719718"/>
      <w:bookmarkStart w:id="331" w:name="_Toc46489625"/>
      <w:bookmarkStart w:id="332" w:name="_Toc47718746"/>
      <w:bookmarkStart w:id="333" w:name="_Toc47774675"/>
      <w:r>
        <w:rPr>
          <w:rFonts w:ascii="Times New Roman" w:hAnsi="Times New Roman" w:eastAsia="宋体" w:cs="Times New Roman"/>
        </w:rPr>
        <w:br w:type="page"/>
      </w:r>
    </w:p>
    <w:p>
      <w:pPr>
        <w:pStyle w:val="3"/>
        <w:jc w:val="center"/>
        <w:rPr>
          <w:rFonts w:ascii="Times New Roman" w:hAnsi="Times New Roman" w:eastAsia="宋体" w:cs="Times New Roman"/>
        </w:rPr>
      </w:pPr>
      <w:bookmarkStart w:id="334" w:name="_Toc26865"/>
      <w:bookmarkStart w:id="335" w:name="_Toc2550"/>
      <w:r>
        <w:rPr>
          <w:rFonts w:hint="eastAsia" w:ascii="Times New Roman" w:hAnsi="Times New Roman" w:eastAsia="宋体" w:cs="Times New Roman"/>
        </w:rPr>
        <w:t>28411401</w:t>
      </w:r>
      <w:r>
        <w:rPr>
          <w:rFonts w:ascii="Times New Roman" w:hAnsi="Times New Roman" w:eastAsia="宋体" w:cs="Times New Roman"/>
        </w:rPr>
        <w:t>《中国近现代史纲要》课程教学大纲</w:t>
      </w:r>
      <w:bookmarkEnd w:id="329"/>
      <w:bookmarkEnd w:id="330"/>
      <w:bookmarkEnd w:id="331"/>
      <w:bookmarkEnd w:id="332"/>
      <w:bookmarkEnd w:id="333"/>
      <w:bookmarkEnd w:id="334"/>
      <w:bookmarkEnd w:id="335"/>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28411401</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中国近现代史纲要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人文社会科学类</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shd w:val="clear" w:color="auto" w:fill="auto"/>
            <w:vAlign w:val="center"/>
          </w:tcPr>
          <w:p>
            <w:pPr>
              <w:rPr>
                <w:rFonts w:ascii="Times New Roman" w:hAnsi="Times New Roman" w:eastAsia="宋体" w:cs="Times New Roman"/>
                <w:bCs/>
                <w:kern w:val="0"/>
                <w:szCs w:val="21"/>
              </w:rPr>
            </w:pPr>
            <w:r>
              <w:rPr>
                <w:rFonts w:hint="eastAsia" w:ascii="Times New Roman" w:hAnsi="Times New Roman" w:eastAsia="宋体" w:cs="Times New Roman"/>
                <w:szCs w:val="21"/>
              </w:rPr>
              <w:t>Outline of Modern and Contemporary History of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2</w:t>
            </w:r>
            <w:r>
              <w:rPr>
                <w:rFonts w:ascii="Times New Roman" w:hAnsi="Times New Roman" w:eastAsia="宋体" w:cs="Times New Roman"/>
                <w:kern w:val="0"/>
                <w:szCs w:val="21"/>
              </w:rPr>
              <w:t xml:space="preserve">.5: </w:t>
            </w:r>
            <w:r>
              <w:rPr>
                <w:rFonts w:ascii="Times New Roman" w:hAnsi="Times New Roman" w:eastAsia="宋体" w:cs="Times New Roman"/>
                <w:szCs w:val="21"/>
              </w:rPr>
              <w:t>40（6）</w:t>
            </w:r>
          </w:p>
        </w:tc>
        <w:tc>
          <w:tcPr>
            <w:tcW w:w="1198"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szCs w:val="21"/>
              </w:rPr>
              <w:t>王爱云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kern w:val="0"/>
                <w:szCs w:val="20"/>
              </w:rPr>
              <w:t>企业专家</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0"/>
              </w:rPr>
              <w:t>曾耿滨</w:t>
            </w:r>
          </w:p>
        </w:tc>
        <w:tc>
          <w:tcPr>
            <w:tcW w:w="1198"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kern w:val="0"/>
                <w:szCs w:val="20"/>
              </w:rPr>
              <w:t>行业专家</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0"/>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王爱云</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王爱云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szCs w:val="21"/>
              </w:rPr>
              <w:t>中国古代史、世界近现代史</w:t>
            </w:r>
          </w:p>
        </w:tc>
        <w:tc>
          <w:tcPr>
            <w:tcW w:w="1198" w:type="dxa"/>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b/>
          <w:sz w:val="24"/>
        </w:rPr>
      </w:pPr>
      <w:r>
        <w:rPr>
          <w:rFonts w:ascii="Times New Roman" w:hAnsi="Times New Roman" w:eastAsia="宋体" w:cs="Times New Roman"/>
          <w:bCs/>
          <w:szCs w:val="21"/>
        </w:rPr>
        <w:t>《中国近现代史纲要》课程是全国高等学校本科生的一门公共政治理论基础课，是国家对高校学生进行马克思主义基本理论、中国化的马克思主义教育教学的一门必修课，而不是历史学本科生的专业课。它是一门集历史性、政治性、思想性为一体学科。</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通过本课程的学习，使学生了解外国资本—帝国主义入侵中国及其与中国封建势力相结合给中华民族和中国人民带来的深重苦难，了解近代以来中国所面临的争取民族独立、人民解放和实现国家富强、人民富裕这两项历史任务；懂得必须首先推翻半殖民地半封建的社会制度，争得民族独立、人民解放，才能为集中力量进行现代化建设开辟道路，认识革命的必要性、正义性、进步性；自觉地继承近代以来中国人民的爱国主义传统和革命传统，发扬中华民族的民族精神，进一步增强民族自尊心、自信心和自豪感。</w:t>
      </w:r>
    </w:p>
    <w:p>
      <w:pPr>
        <w:adjustRightInd w:val="0"/>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kern w:val="0"/>
          <w:szCs w:val="21"/>
        </w:rPr>
        <w:t>本课程的具体教学目标如下：</w:t>
      </w:r>
    </w:p>
    <w:p>
      <w:pPr>
        <w:widowControl/>
        <w:numPr>
          <w:ilvl w:val="0"/>
          <w:numId w:val="92"/>
        </w:numPr>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使学生了解近代以来中国的先进分子和人民群众为救亡图存而进行的艰苦探索、顽强奋斗的历程及其经验教训；认识历史和人民怎样选择了中国共产党、选择了马克思主义，进一步增强拥护共产党领导和接受马克思主义指导的自觉性</w:t>
      </w:r>
      <w:r>
        <w:rPr>
          <w:rFonts w:hint="eastAsia" w:ascii="Times New Roman" w:hAnsi="Times New Roman" w:eastAsia="宋体" w:cs="Times New Roman"/>
          <w:kern w:val="0"/>
          <w:szCs w:val="21"/>
        </w:rPr>
        <w:t>；</w:t>
      </w:r>
      <w:r>
        <w:rPr>
          <w:szCs w:val="21"/>
        </w:rPr>
        <w:t>了解环境和社会可持续发展的相关政策及法律、法规</w:t>
      </w:r>
      <w:r>
        <w:rPr>
          <w:rFonts w:hint="eastAsia"/>
          <w:szCs w:val="21"/>
        </w:rPr>
        <w: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7.1</w:t>
      </w:r>
      <w:r>
        <w:rPr>
          <w:rFonts w:ascii="Times New Roman" w:hAnsi="Times New Roman" w:eastAsia="宋体" w:cs="Times New Roman"/>
          <w:kern w:val="0"/>
          <w:szCs w:val="21"/>
        </w:rPr>
        <w:t>]</w:t>
      </w:r>
    </w:p>
    <w:p>
      <w:pPr>
        <w:widowControl/>
        <w:numPr>
          <w:ilvl w:val="0"/>
          <w:numId w:val="92"/>
        </w:numPr>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让学生了解中国人民走上以共产党为领导力量的社会主义道路的历史必然性</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坚定走中国特色社会主义道路的信心紧密结合中国近现代的历史实际，通过对有关历史进程、事件和人物的分析，提高运用科学的历史观和方法论分析历史问题、辨别历史是非的能力，增强执行党的基本路线和基本纲领的自觉性和坚定性，积极投身全面建设小康社会的伟大实践</w:t>
      </w:r>
      <w:r>
        <w:rPr>
          <w:rFonts w:hint="eastAsia" w:ascii="Times New Roman" w:hAnsi="Times New Roman" w:eastAsia="宋体" w:cs="Times New Roman"/>
          <w:kern w:val="0"/>
          <w:szCs w:val="21"/>
        </w:rPr>
        <w:t>；</w:t>
      </w:r>
      <w:r>
        <w:rPr>
          <w:rFonts w:hint="eastAsia" w:ascii="Arial" w:hAnsi="Arial" w:cs="Arial"/>
          <w:szCs w:val="21"/>
          <w:shd w:val="clear" w:color="auto" w:fill="FFFFFF"/>
        </w:rPr>
        <w:t>树立</w:t>
      </w:r>
      <w:r>
        <w:rPr>
          <w:szCs w:val="21"/>
        </w:rPr>
        <w:t>正确的人生观、</w:t>
      </w:r>
      <w:r>
        <w:rPr>
          <w:rFonts w:hint="eastAsia" w:ascii="Arial" w:hAnsi="Arial" w:cs="Arial"/>
          <w:szCs w:val="21"/>
          <w:shd w:val="clear" w:color="auto" w:fill="FFFFFF"/>
        </w:rPr>
        <w:t>民族观、国家观和</w:t>
      </w:r>
      <w:r>
        <w:rPr>
          <w:szCs w:val="21"/>
        </w:rPr>
        <w:t>价值观</w:t>
      </w:r>
      <w:r>
        <w:rPr>
          <w:rFonts w:hint="eastAsia"/>
          <w:szCs w:val="21"/>
        </w:rPr>
        <w:t>，具有</w:t>
      </w:r>
      <w:r>
        <w:rPr>
          <w:szCs w:val="21"/>
        </w:rPr>
        <w:t>良好的人文社会科学素养和社会责任感</w:t>
      </w:r>
      <w:r>
        <w:rPr>
          <w:rFonts w:hint="eastAsia"/>
          <w:szCs w:val="21"/>
        </w:rPr>
        <w:t>。</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[8</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adjustRightInd w:val="0"/>
        <w:snapToGrid w:val="0"/>
        <w:spacing w:line="300" w:lineRule="auto"/>
        <w:ind w:firstLine="420" w:firstLineChars="200"/>
        <w:rPr>
          <w:rFonts w:ascii="Times New Roman" w:hAnsi="Times New Roman" w:eastAsia="宋体" w:cs="Times New Roman"/>
          <w:szCs w:val="21"/>
        </w:rPr>
      </w:pPr>
    </w:p>
    <w:p>
      <w:pPr>
        <w:widowControl/>
        <w:tabs>
          <w:tab w:val="left" w:pos="426"/>
          <w:tab w:val="left" w:pos="5245"/>
          <w:tab w:val="left" w:pos="5387"/>
        </w:tabs>
        <w:adjustRightInd w:val="0"/>
        <w:snapToGrid w:val="0"/>
        <w:spacing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4810"/>
        <w:gridCol w:w="1101"/>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884"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2822"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46"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46"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884" w:type="pct"/>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7环境和可持续发展</w:t>
            </w:r>
          </w:p>
        </w:tc>
        <w:tc>
          <w:tcPr>
            <w:tcW w:w="2822" w:type="pct"/>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7.1理解环境保护和社会可持续发展的内涵与意义，了解环境和社会可持续发展的相关政策及法律、法规。</w:t>
            </w:r>
          </w:p>
        </w:tc>
        <w:tc>
          <w:tcPr>
            <w:tcW w:w="646"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646"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84" w:type="pc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w:t>
            </w:r>
            <w:r>
              <w:rPr>
                <w:rFonts w:ascii="Times New Roman" w:hAnsi="Times New Roman" w:eastAsia="宋体" w:cs="Times New Roman"/>
                <w:kern w:val="0"/>
                <w:sz w:val="18"/>
                <w:szCs w:val="18"/>
              </w:rPr>
              <w:t>职业规范</w:t>
            </w:r>
          </w:p>
        </w:tc>
        <w:tc>
          <w:tcPr>
            <w:tcW w:w="2822" w:type="pct"/>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r>
              <w:rPr>
                <w:rFonts w:hint="eastAsia" w:ascii="Times New Roman" w:hAnsi="Times New Roman" w:eastAsia="宋体" w:cs="Times New Roman"/>
                <w:kern w:val="0"/>
                <w:sz w:val="18"/>
                <w:szCs w:val="18"/>
              </w:rPr>
              <w:t>.1坚持以德立身、以德立学，树立</w:t>
            </w:r>
            <w:r>
              <w:rPr>
                <w:rFonts w:ascii="Times New Roman" w:hAnsi="Times New Roman" w:eastAsia="宋体" w:cs="Times New Roman"/>
                <w:kern w:val="0"/>
                <w:sz w:val="18"/>
                <w:szCs w:val="18"/>
              </w:rPr>
              <w:t>正确的人生观、</w:t>
            </w:r>
            <w:r>
              <w:rPr>
                <w:rFonts w:hint="eastAsia" w:ascii="Times New Roman" w:hAnsi="Times New Roman" w:eastAsia="宋体" w:cs="Times New Roman"/>
                <w:kern w:val="0"/>
                <w:sz w:val="18"/>
                <w:szCs w:val="18"/>
              </w:rPr>
              <w:t>民族观、国家观和</w:t>
            </w:r>
            <w:r>
              <w:rPr>
                <w:rFonts w:ascii="Times New Roman" w:hAnsi="Times New Roman" w:eastAsia="宋体" w:cs="Times New Roman"/>
                <w:kern w:val="0"/>
                <w:sz w:val="18"/>
                <w:szCs w:val="18"/>
              </w:rPr>
              <w:t>价值观</w:t>
            </w:r>
            <w:r>
              <w:rPr>
                <w:rFonts w:hint="eastAsia" w:ascii="Times New Roman" w:hAnsi="Times New Roman" w:eastAsia="宋体" w:cs="Times New Roman"/>
                <w:kern w:val="0"/>
                <w:sz w:val="18"/>
                <w:szCs w:val="18"/>
              </w:rPr>
              <w:t>，具有</w:t>
            </w:r>
            <w:r>
              <w:rPr>
                <w:rFonts w:ascii="Times New Roman" w:hAnsi="Times New Roman" w:eastAsia="宋体" w:cs="Times New Roman"/>
                <w:kern w:val="0"/>
                <w:sz w:val="18"/>
                <w:szCs w:val="18"/>
              </w:rPr>
              <w:t>良好的人文社会科学素养和社会责任感</w:t>
            </w:r>
            <w:r>
              <w:rPr>
                <w:rFonts w:hint="eastAsia" w:ascii="Times New Roman" w:hAnsi="Times New Roman" w:eastAsia="宋体" w:cs="Times New Roman"/>
                <w:kern w:val="0"/>
                <w:sz w:val="18"/>
                <w:szCs w:val="18"/>
              </w:rPr>
              <w:t>。</w:t>
            </w:r>
          </w:p>
        </w:tc>
        <w:tc>
          <w:tcPr>
            <w:tcW w:w="646"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646"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0.6</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2"/>
        <w:gridCol w:w="1115"/>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02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numPr>
                <w:ilvl w:val="0"/>
                <w:numId w:val="93"/>
              </w:num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使学生了解近代以来中国的先进分子和人民群众为救亡图存而进行的艰苦探索、顽强奋斗的历程及其经验教训；认识历史和人民怎样选择了中国共产党、选择了马克思主义，进一步增强拥护共产党领导和接受马克思主义指导的自觉性</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了解环境和社会可持续发展的相关政策及法律、法规</w:t>
            </w:r>
            <w:r>
              <w:rPr>
                <w:rFonts w:hint="eastAsia" w:ascii="Times New Roman" w:hAnsi="Times New Roman" w:eastAsia="宋体" w:cs="Times New Roman"/>
                <w:kern w:val="0"/>
                <w:sz w:val="18"/>
                <w:szCs w:val="18"/>
              </w:rPr>
              <w:t>。</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过程考核与理论考核。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numPr>
                <w:ilvl w:val="0"/>
                <w:numId w:val="93"/>
              </w:num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让学生了解中国人民走上以共产党为领导力量的社会主义道路的历史必然性</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坚定走中国特色社会主义道路的信心紧密结合中国近现代的历史实际，通过对有关历史进程、事件和人物的分析，提高运用科学的历史观和方法论分析历史问题、辨别历史是非的能力，增强执行党的基本路线和基本纲领的自觉性和坚定性，积极投身全面建设小康社会的伟大实践</w:t>
            </w:r>
            <w:r>
              <w:rPr>
                <w:rFonts w:hint="eastAsia" w:ascii="Times New Roman" w:hAnsi="Times New Roman" w:eastAsia="宋体" w:cs="Times New Roman"/>
                <w:kern w:val="0"/>
                <w:sz w:val="18"/>
                <w:szCs w:val="18"/>
              </w:rPr>
              <w:t>；树立</w:t>
            </w:r>
            <w:r>
              <w:rPr>
                <w:rFonts w:ascii="Times New Roman" w:hAnsi="Times New Roman" w:eastAsia="宋体" w:cs="Times New Roman"/>
                <w:kern w:val="0"/>
                <w:sz w:val="18"/>
                <w:szCs w:val="18"/>
              </w:rPr>
              <w:t>正确的人生观、</w:t>
            </w:r>
            <w:r>
              <w:rPr>
                <w:rFonts w:hint="eastAsia" w:ascii="Times New Roman" w:hAnsi="Times New Roman" w:eastAsia="宋体" w:cs="Times New Roman"/>
                <w:kern w:val="0"/>
                <w:sz w:val="18"/>
                <w:szCs w:val="18"/>
              </w:rPr>
              <w:t>民族观、国家观和</w:t>
            </w:r>
            <w:r>
              <w:rPr>
                <w:rFonts w:ascii="Times New Roman" w:hAnsi="Times New Roman" w:eastAsia="宋体" w:cs="Times New Roman"/>
                <w:kern w:val="0"/>
                <w:sz w:val="18"/>
                <w:szCs w:val="18"/>
              </w:rPr>
              <w:t>价值观</w:t>
            </w:r>
            <w:r>
              <w:rPr>
                <w:rFonts w:hint="eastAsia" w:ascii="Times New Roman" w:hAnsi="Times New Roman" w:eastAsia="宋体" w:cs="Times New Roman"/>
                <w:kern w:val="0"/>
                <w:sz w:val="18"/>
                <w:szCs w:val="18"/>
              </w:rPr>
              <w:t>，具有</w:t>
            </w:r>
            <w:r>
              <w:rPr>
                <w:rFonts w:ascii="Times New Roman" w:hAnsi="Times New Roman" w:eastAsia="宋体" w:cs="Times New Roman"/>
                <w:kern w:val="0"/>
                <w:sz w:val="18"/>
                <w:szCs w:val="18"/>
              </w:rPr>
              <w:t>良好的人文社会科学素养和社会责任感</w:t>
            </w:r>
            <w:r>
              <w:rPr>
                <w:rFonts w:hint="eastAsia" w:ascii="Times New Roman" w:hAnsi="Times New Roman" w:eastAsia="宋体" w:cs="Times New Roman"/>
                <w:kern w:val="0"/>
                <w:sz w:val="18"/>
                <w:szCs w:val="18"/>
              </w:rPr>
              <w:t xml:space="preserve">。 </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过程考核与理论考核。</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559"/>
        <w:gridCol w:w="2769"/>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3559"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2769"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风云变幻的八十年：鸦片战争前的中国与世界，帝国主义入侵，近代中国的主要矛盾和历史任务</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了解鸦片战争前中国与世界关系的变化；</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掌握鸦片战争后，西方列强入侵与近代中国社会半殖民地半封建性质形成的关系；</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重点理解近代中国社会的主要矛盾和历史任务。</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反对外国侵略的斗争：资本－帝国主义对中国的侵略，抵御外国武装侵略、争取民族独立的斗争，反侵略战争的失败与民族意识的觉醒</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掌握资本—帝国主义对中国的侵略的史实；</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了解中国人民的反抗；</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了解民族意识的觉醒。</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对国家出路的早期探索：农民群众斗争风暴的起落，洋务运动的兴衰，维新运动的兴起和夭折</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了解太平天国农民起义；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了解洋务运动，了解中国人民的反抗和对国家出路的探索；</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掌握维新运动失败的原因。</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3559"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辛亥革命与君主专制制度的终结：举起近代民族民主革命的旗帜，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辛亥革命与建立民国，</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辛亥革命的失败</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掌握辛亥革命与中国封建专制制度终结的历史；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理解辛亥革命的意义；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了解辛亥革命失败的原因。</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开天辟地的大事变：</w:t>
            </w:r>
            <w:r>
              <w:rPr>
                <w:rFonts w:ascii="Times New Roman" w:hAnsi="Times New Roman" w:eastAsia="宋体" w:cs="Times New Roman"/>
                <w:bCs/>
                <w:kern w:val="0"/>
                <w:sz w:val="18"/>
                <w:szCs w:val="18"/>
              </w:rPr>
              <w:t xml:space="preserve">新文化运动和五四运动 ；马克思主义进一步传播与中国共产党诞生；中国革命的新局面  </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掌握共产党的成立及其创立中国革命新局面的历史；重点理解历史和人民选择了马克思主义、选择了共产党。</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中国革命的新道路：</w:t>
            </w:r>
            <w:r>
              <w:rPr>
                <w:rFonts w:ascii="Times New Roman" w:hAnsi="Times New Roman" w:eastAsia="宋体" w:cs="Times New Roman"/>
                <w:bCs/>
                <w:kern w:val="0"/>
                <w:sz w:val="18"/>
                <w:szCs w:val="18"/>
              </w:rPr>
              <w:t>对革命新道路的艰苦探索；中国革命在探索中曲折前进</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掌握中国革命新道路形成过程及其理论成果。</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中华民族的抗日战争：</w:t>
            </w:r>
            <w:r>
              <w:rPr>
                <w:rFonts w:ascii="Times New Roman" w:hAnsi="Times New Roman" w:eastAsia="宋体" w:cs="Times New Roman"/>
                <w:bCs/>
                <w:kern w:val="0"/>
                <w:sz w:val="18"/>
                <w:szCs w:val="18"/>
              </w:rPr>
              <w:t>日本发动灭亡中国的侵略战争；中国人民奋起抗击日本侵略者；国民党与抗日的正面战场；中国共产党成为抗日战争的中流砥柱；抗日战争的胜利及其原因和意义</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了解中华民族的抗日历史。</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为新中国而奋斗：</w:t>
            </w:r>
            <w:r>
              <w:rPr>
                <w:rFonts w:ascii="Times New Roman" w:hAnsi="Times New Roman" w:eastAsia="宋体" w:cs="Times New Roman"/>
                <w:bCs/>
                <w:kern w:val="0"/>
                <w:sz w:val="18"/>
                <w:szCs w:val="18"/>
              </w:rPr>
              <w:t xml:space="preserve">从争取和平民主到进行自卫战争；国民党政府处在全民的包围中；中国共产党与民主党派的合作；创建人民民主专政的新中国  </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着重掌握新、旧两个中国之命运的抗争历史。</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社会主义基本制度在中国的确立：</w:t>
            </w:r>
            <w:r>
              <w:rPr>
                <w:rFonts w:ascii="Times New Roman" w:hAnsi="Times New Roman" w:eastAsia="宋体" w:cs="Times New Roman"/>
                <w:bCs/>
                <w:kern w:val="0"/>
                <w:sz w:val="18"/>
                <w:szCs w:val="18"/>
              </w:rPr>
              <w:t xml:space="preserve">社会主义道路，历史和人民的选择，有中国特点的向社会主义过渡的道路   </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掌握社会主义基本制度在中国确立的历史。</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社会主义建设在探索中曲折发展：良好的开局，探索中的严重曲折，建设的成就，探索的成果</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了解社会主义建设在探索中的曲折发展。</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中国特色社会主义的开创与接续发展：历史性的伟大转折和改革开放的起步，改革开放和现代化建设新局面的展开，中国特色社会主义事业的跨世纪发展，在新的历史起点上推进中国特色社会主义</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掌握改革开放与现代化建设新时期的历史。</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58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35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中国特色社会主义进入新时代：开拓中国特色社会主义更为广阔的发展前景，党和国家事业的历史性成就和历史性变革，夺取新时代中国特色社会主义伟大胜利</w:t>
            </w:r>
          </w:p>
        </w:tc>
        <w:tc>
          <w:tcPr>
            <w:tcW w:w="27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kern w:val="0"/>
                <w:sz w:val="18"/>
                <w:szCs w:val="18"/>
              </w:rPr>
              <w:t>重点掌握新中国取得的成就和前进的动力。</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bl>
    <w:p>
      <w:pPr>
        <w:adjustRightInd w:val="0"/>
        <w:snapToGrid w:val="0"/>
        <w:spacing w:before="156" w:beforeLines="50" w:after="156" w:afterLines="50" w:line="300" w:lineRule="auto"/>
        <w:ind w:firstLine="420" w:firstLineChars="200"/>
        <w:jc w:val="left"/>
        <w:rPr>
          <w:rFonts w:ascii="Times New Roman" w:hAnsi="Times New Roman" w:eastAsia="宋体" w:cs="Times New Roman"/>
          <w:b/>
          <w:bCs/>
          <w:sz w:val="18"/>
          <w:szCs w:val="20"/>
        </w:rPr>
      </w:pPr>
      <w:r>
        <w:rPr>
          <w:rFonts w:ascii="Times New Roman" w:hAnsi="Times New Roman" w:eastAsia="宋体" w:cs="Times New Roman"/>
        </w:rPr>
        <w:t>实验内容见表4所示。</w:t>
      </w:r>
    </w:p>
    <w:p>
      <w:pPr>
        <w:adjustRightInd w:val="0"/>
        <w:snapToGrid w:val="0"/>
        <w:spacing w:before="156" w:beforeLines="50" w:line="300" w:lineRule="auto"/>
        <w:jc w:val="center"/>
        <w:rPr>
          <w:rFonts w:ascii="Times New Roman" w:hAnsi="Times New Roman" w:eastAsia="宋体" w:cs="Times New Roman"/>
          <w:b/>
          <w:bCs/>
          <w:sz w:val="18"/>
          <w:szCs w:val="20"/>
        </w:rPr>
      </w:pPr>
      <w:r>
        <w:rPr>
          <w:rFonts w:ascii="Times New Roman" w:hAnsi="Times New Roman" w:eastAsia="宋体" w:cs="Times New Roman"/>
          <w:b/>
          <w:bCs/>
          <w:sz w:val="18"/>
          <w:szCs w:val="20"/>
        </w:rPr>
        <w:t>表4 实验安排情况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163"/>
        <w:gridCol w:w="2521"/>
        <w:gridCol w:w="686"/>
        <w:gridCol w:w="651"/>
        <w:gridCol w:w="651"/>
        <w:gridCol w:w="651"/>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序号</w:t>
            </w:r>
          </w:p>
        </w:tc>
        <w:tc>
          <w:tcPr>
            <w:tcW w:w="21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实验项目名称</w:t>
            </w:r>
          </w:p>
        </w:tc>
        <w:tc>
          <w:tcPr>
            <w:tcW w:w="2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实验目的要求</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学时分配</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实验类型</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每组人数</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必开选开</w:t>
            </w:r>
          </w:p>
        </w:tc>
        <w:tc>
          <w:tcPr>
            <w:tcW w:w="707"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1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b/>
                <w:sz w:val="18"/>
                <w:szCs w:val="18"/>
              </w:rPr>
            </w:pPr>
            <w:r>
              <w:rPr>
                <w:rFonts w:ascii="Times New Roman" w:hAnsi="Times New Roman" w:eastAsia="宋体" w:cs="Times New Roman"/>
                <w:sz w:val="18"/>
                <w:szCs w:val="18"/>
              </w:rPr>
              <w:t>参观红色基地</w:t>
            </w:r>
          </w:p>
        </w:tc>
        <w:tc>
          <w:tcPr>
            <w:tcW w:w="252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掌握红色基地的历史和意义</w:t>
            </w:r>
          </w:p>
        </w:tc>
        <w:tc>
          <w:tcPr>
            <w:tcW w:w="68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6</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验证</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w:t>
            </w:r>
          </w:p>
        </w:tc>
        <w:tc>
          <w:tcPr>
            <w:tcW w:w="65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必开</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bCs/>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考核：分“过程考核”与“理论考核”两部分构成。过程考核，由学生自主学习考核和平时课堂表现考核予以体现，主要包括考察学、语言表达、社会实践等内容；目标考核，以理论教学考核为主要内容，考察学生对课程教学内容的基本知识、基本理论的掌握与理解程度。</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（1）理论教学考核</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第一、课程考核依据，依据本课程的总体教学目标和对学生的培养目标和要求，依据广东海洋大学考试规定，结合本课程的性质和特点。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第二、课程考核性质，目标考核，考察学生对课程教学内容的基本知识、基本理论的掌握与理解程度，考察学生的知识结构、人文素养、理论水平。</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第三、具体的考核方式，统一命题，闭卷考试。</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（2）学生自主学习考核</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第一、课程考核依据</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第二、课程考核性质</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过程考核，考察学生的实践能力、逻辑分析能力。</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第三、具体的考核方式</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学生课外搜集资料、社会调研，撰写一篇课程论文或实践报告。论文或报告字数不得少于3000字，不能网上抄袭，一律手写。论文雷同者一经发现，成绩减分。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（3）课上考核</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第一、课程考核依据，依据本课程的总体教学目标和对学生的培养目标和要求，依据广东海洋大学考试规定，结合本课程的性质和特点。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第二课程考核性质，过程考核，考察学生出勤率、学习态度、语言表达能力。</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第三、具体的考核方式，统计学生的出勤、课堂发言、互动等情况。旷课3次以上，本项成绩为0分；迟到或旷课1-2次，酌情扣分。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 xml:space="preserve"> 2．成绩构成：</w:t>
      </w:r>
      <w:r>
        <w:rPr>
          <w:rFonts w:ascii="Times New Roman" w:hAnsi="Times New Roman" w:eastAsia="宋体" w:cs="Times New Roman"/>
          <w:szCs w:val="21"/>
        </w:rPr>
        <w:t>课程考核总成绩由平时成绩和期末成绩组成，平时成绩占40%，包括课程论文或实践报告成绩占总成绩的20%，平时表现成绩占总成绩的20%，期末成绩占60%，通过期末统一闭卷考试获得。</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3．考核评价标准见表5所示。</w:t>
      </w:r>
    </w:p>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31"/>
        <w:gridCol w:w="569"/>
        <w:gridCol w:w="964"/>
        <w:gridCol w:w="591"/>
        <w:gridCol w:w="3410"/>
        <w:gridCol w:w="64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80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3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56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96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9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41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64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89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0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31"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6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964"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410"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896"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7.1， 8</w:t>
            </w:r>
            <w:r>
              <w:rPr>
                <w:rFonts w:ascii="Times New Roman" w:hAnsi="Times New Roman" w:eastAsia="宋体" w:cs="Times New Roman"/>
                <w:sz w:val="18"/>
                <w:szCs w:val="18"/>
              </w:rPr>
              <w:t>.</w:t>
            </w:r>
            <w:r>
              <w:rPr>
                <w:rFonts w:hint="eastAsia"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09" w:type="dxa"/>
            <w:vMerge w:val="continue"/>
            <w:vAlign w:val="center"/>
          </w:tcPr>
          <w:p>
            <w:pPr>
              <w:adjustRightInd w:val="0"/>
              <w:snapToGrid w:val="0"/>
              <w:spacing w:line="300" w:lineRule="auto"/>
              <w:jc w:val="left"/>
            </w:pPr>
          </w:p>
        </w:tc>
        <w:tc>
          <w:tcPr>
            <w:tcW w:w="631" w:type="dxa"/>
            <w:vMerge w:val="continue"/>
            <w:vAlign w:val="center"/>
          </w:tcPr>
          <w:p>
            <w:pPr>
              <w:adjustRightInd w:val="0"/>
              <w:snapToGrid w:val="0"/>
              <w:spacing w:line="300" w:lineRule="auto"/>
              <w:jc w:val="left"/>
            </w:pPr>
          </w:p>
        </w:tc>
        <w:tc>
          <w:tcPr>
            <w:tcW w:w="569" w:type="dxa"/>
            <w:vMerge w:val="continue"/>
            <w:vAlign w:val="center"/>
          </w:tcPr>
          <w:p>
            <w:pPr>
              <w:adjustRightInd w:val="0"/>
              <w:snapToGrid w:val="0"/>
              <w:spacing w:line="300" w:lineRule="auto"/>
              <w:jc w:val="left"/>
            </w:pPr>
          </w:p>
        </w:tc>
        <w:tc>
          <w:tcPr>
            <w:tcW w:w="964" w:type="dxa"/>
            <w:vMerge w:val="continue"/>
            <w:vAlign w:val="center"/>
          </w:tcPr>
          <w:p>
            <w:pPr>
              <w:adjustRightInd w:val="0"/>
              <w:snapToGrid w:val="0"/>
              <w:spacing w:line="300" w:lineRule="auto"/>
              <w:jc w:val="left"/>
            </w:pP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410" w:type="dxa"/>
            <w:vMerge w:val="continue"/>
            <w:vAlign w:val="center"/>
          </w:tcPr>
          <w:p>
            <w:pPr>
              <w:adjustRightInd w:val="0"/>
              <w:snapToGrid w:val="0"/>
              <w:spacing w:line="300" w:lineRule="auto"/>
              <w:jc w:val="left"/>
            </w:pP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89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1"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6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964"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410"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主要考核学生对中国近现代历史的总体认识和把握，对历史规律性的认识和分析，满分100分。</w:t>
            </w: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896"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7.1， 8</w:t>
            </w:r>
            <w:r>
              <w:rPr>
                <w:rFonts w:ascii="Times New Roman" w:hAnsi="Times New Roman" w:eastAsia="宋体" w:cs="Times New Roman"/>
                <w:sz w:val="18"/>
                <w:szCs w:val="18"/>
              </w:rPr>
              <w:t>.</w:t>
            </w:r>
            <w:r>
              <w:rPr>
                <w:rFonts w:hint="eastAsia"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9" w:type="dxa"/>
            <w:vMerge w:val="continue"/>
            <w:vAlign w:val="center"/>
          </w:tcPr>
          <w:p>
            <w:pPr>
              <w:adjustRightInd w:val="0"/>
              <w:snapToGrid w:val="0"/>
              <w:spacing w:line="300" w:lineRule="auto"/>
              <w:jc w:val="left"/>
            </w:pPr>
          </w:p>
        </w:tc>
        <w:tc>
          <w:tcPr>
            <w:tcW w:w="631" w:type="dxa"/>
            <w:vMerge w:val="continue"/>
            <w:vAlign w:val="center"/>
          </w:tcPr>
          <w:p>
            <w:pPr>
              <w:adjustRightInd w:val="0"/>
              <w:snapToGrid w:val="0"/>
              <w:spacing w:line="300" w:lineRule="auto"/>
              <w:jc w:val="left"/>
            </w:pPr>
          </w:p>
        </w:tc>
        <w:tc>
          <w:tcPr>
            <w:tcW w:w="569" w:type="dxa"/>
            <w:vMerge w:val="continue"/>
            <w:vAlign w:val="center"/>
          </w:tcPr>
          <w:p>
            <w:pPr>
              <w:adjustRightInd w:val="0"/>
              <w:snapToGrid w:val="0"/>
              <w:spacing w:line="300" w:lineRule="auto"/>
              <w:jc w:val="left"/>
            </w:pPr>
          </w:p>
        </w:tc>
        <w:tc>
          <w:tcPr>
            <w:tcW w:w="964" w:type="dxa"/>
            <w:vMerge w:val="continue"/>
            <w:vAlign w:val="center"/>
          </w:tcPr>
          <w:p>
            <w:pPr>
              <w:adjustRightInd w:val="0"/>
              <w:snapToGrid w:val="0"/>
              <w:spacing w:line="300" w:lineRule="auto"/>
              <w:jc w:val="left"/>
            </w:pP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410" w:type="dxa"/>
            <w:vMerge w:val="continue"/>
            <w:vAlign w:val="center"/>
          </w:tcPr>
          <w:p>
            <w:pPr>
              <w:adjustRightInd w:val="0"/>
              <w:snapToGrid w:val="0"/>
              <w:spacing w:line="300" w:lineRule="auto"/>
              <w:jc w:val="left"/>
            </w:pP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89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0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1"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6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964"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集体研究型学习报告</w:t>
            </w: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3410"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sz w:val="18"/>
                <w:szCs w:val="18"/>
              </w:rPr>
              <w:t>主要考查对各章知识点的理解程度，学习态度，自主学习能力，合作能力，课堂沟通和表达能力等，满分100分。</w:t>
            </w: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896"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7.1， 8</w:t>
            </w:r>
            <w:r>
              <w:rPr>
                <w:rFonts w:ascii="Times New Roman" w:hAnsi="Times New Roman" w:eastAsia="宋体" w:cs="Times New Roman"/>
                <w:sz w:val="18"/>
                <w:szCs w:val="18"/>
              </w:rPr>
              <w:t>.</w:t>
            </w:r>
            <w:r>
              <w:rPr>
                <w:rFonts w:hint="eastAsia"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09" w:type="dxa"/>
            <w:vMerge w:val="continue"/>
            <w:vAlign w:val="center"/>
          </w:tcPr>
          <w:p>
            <w:pPr>
              <w:adjustRightInd w:val="0"/>
              <w:snapToGrid w:val="0"/>
              <w:spacing w:line="300" w:lineRule="auto"/>
              <w:jc w:val="left"/>
            </w:pPr>
          </w:p>
        </w:tc>
        <w:tc>
          <w:tcPr>
            <w:tcW w:w="631" w:type="dxa"/>
            <w:vMerge w:val="continue"/>
            <w:vAlign w:val="center"/>
          </w:tcPr>
          <w:p>
            <w:pPr>
              <w:adjustRightInd w:val="0"/>
              <w:snapToGrid w:val="0"/>
              <w:spacing w:line="300" w:lineRule="auto"/>
              <w:jc w:val="left"/>
            </w:pPr>
          </w:p>
        </w:tc>
        <w:tc>
          <w:tcPr>
            <w:tcW w:w="569" w:type="dxa"/>
            <w:vMerge w:val="continue"/>
            <w:vAlign w:val="center"/>
          </w:tcPr>
          <w:p>
            <w:pPr>
              <w:adjustRightInd w:val="0"/>
              <w:snapToGrid w:val="0"/>
              <w:spacing w:line="300" w:lineRule="auto"/>
              <w:jc w:val="left"/>
            </w:pPr>
          </w:p>
        </w:tc>
        <w:tc>
          <w:tcPr>
            <w:tcW w:w="964" w:type="dxa"/>
            <w:vMerge w:val="continue"/>
            <w:vAlign w:val="center"/>
          </w:tcPr>
          <w:p>
            <w:pPr>
              <w:adjustRightInd w:val="0"/>
              <w:snapToGrid w:val="0"/>
              <w:spacing w:line="300" w:lineRule="auto"/>
              <w:jc w:val="left"/>
            </w:pP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3410" w:type="dxa"/>
            <w:vMerge w:val="continue"/>
            <w:vAlign w:val="center"/>
          </w:tcPr>
          <w:p>
            <w:pPr>
              <w:adjustRightInd w:val="0"/>
              <w:snapToGrid w:val="0"/>
              <w:spacing w:line="300" w:lineRule="auto"/>
              <w:jc w:val="left"/>
            </w:pP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89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631"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6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964"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w:t>
            </w:r>
          </w:p>
        </w:tc>
        <w:tc>
          <w:tcPr>
            <w:tcW w:w="3410"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(2)考试题型：简答题、论述题、材料分析题、辨析题。</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(3)考核内容：包括重大历史事件的基本概念及意义，占总分比例24%；对重大历史事件的分析、评判，占总分比例26%。</w:t>
            </w: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896"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7.1， 8</w:t>
            </w:r>
            <w:r>
              <w:rPr>
                <w:rFonts w:ascii="Times New Roman" w:hAnsi="Times New Roman" w:eastAsia="宋体" w:cs="Times New Roman"/>
                <w:sz w:val="18"/>
                <w:szCs w:val="18"/>
              </w:rPr>
              <w:t>.</w:t>
            </w:r>
            <w:r>
              <w:rPr>
                <w:rFonts w:hint="eastAsia"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9" w:type="dxa"/>
            <w:vMerge w:val="continue"/>
            <w:vAlign w:val="center"/>
          </w:tcPr>
          <w:p>
            <w:pPr>
              <w:adjustRightInd w:val="0"/>
              <w:snapToGrid w:val="0"/>
              <w:spacing w:line="300" w:lineRule="auto"/>
              <w:jc w:val="left"/>
            </w:pPr>
          </w:p>
        </w:tc>
        <w:tc>
          <w:tcPr>
            <w:tcW w:w="631" w:type="dxa"/>
            <w:vMerge w:val="continue"/>
            <w:vAlign w:val="center"/>
          </w:tcPr>
          <w:p>
            <w:pPr>
              <w:adjustRightInd w:val="0"/>
              <w:snapToGrid w:val="0"/>
              <w:spacing w:line="300" w:lineRule="auto"/>
              <w:jc w:val="left"/>
            </w:pPr>
          </w:p>
        </w:tc>
        <w:tc>
          <w:tcPr>
            <w:tcW w:w="569" w:type="dxa"/>
            <w:vMerge w:val="continue"/>
            <w:vAlign w:val="center"/>
          </w:tcPr>
          <w:p>
            <w:pPr>
              <w:adjustRightInd w:val="0"/>
              <w:snapToGrid w:val="0"/>
              <w:spacing w:line="300" w:lineRule="auto"/>
              <w:jc w:val="left"/>
            </w:pPr>
          </w:p>
        </w:tc>
        <w:tc>
          <w:tcPr>
            <w:tcW w:w="964" w:type="dxa"/>
            <w:vMerge w:val="continue"/>
            <w:vAlign w:val="center"/>
          </w:tcPr>
          <w:p>
            <w:pPr>
              <w:adjustRightInd w:val="0"/>
              <w:snapToGrid w:val="0"/>
              <w:spacing w:line="300" w:lineRule="auto"/>
              <w:jc w:val="left"/>
            </w:pPr>
          </w:p>
        </w:tc>
        <w:tc>
          <w:tcPr>
            <w:tcW w:w="59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0.4</w:t>
            </w:r>
          </w:p>
        </w:tc>
        <w:tc>
          <w:tcPr>
            <w:tcW w:w="3410" w:type="dxa"/>
            <w:vMerge w:val="continue"/>
            <w:vAlign w:val="center"/>
          </w:tcPr>
          <w:p>
            <w:pPr>
              <w:adjustRightInd w:val="0"/>
              <w:snapToGrid w:val="0"/>
              <w:spacing w:line="300" w:lineRule="auto"/>
              <w:jc w:val="left"/>
            </w:pPr>
          </w:p>
        </w:tc>
        <w:tc>
          <w:tcPr>
            <w:tcW w:w="64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89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课程目标由课程考核获得的数据进行评价，课程目标达成度为该课程目标学生的平均得分率，其计算公式为：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28"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28" DrawAspect="Content" ObjectID="_1468075926" r:id="rId258">
            <o:LockedField>false</o:LockedField>
          </o:OLEObject>
        </w:object>
      </w:r>
    </w:p>
    <w:p>
      <w:pPr>
        <w:adjustRightInd w:val="0"/>
        <w:snapToGrid w:val="0"/>
        <w:spacing w:line="300" w:lineRule="auto"/>
        <w:jc w:val="left"/>
        <w:rPr>
          <w:rFonts w:ascii="Times New Roman" w:hAnsi="Times New Roman" w:eastAsia="宋体" w:cs="Times New Roman"/>
          <w:szCs w:val="21"/>
        </w:rPr>
      </w:pPr>
      <w:r>
        <w:rPr>
          <w:rFonts w:ascii="Times New Roman" w:hAnsi="Times New Roman" w:eastAsia="宋体" w:cs="Times New Roman"/>
          <w:szCs w:val="21"/>
        </w:rPr>
        <w:t>课程支撑毕业要求指标点的评价方式</w:t>
      </w:r>
    </w:p>
    <w:p>
      <w:pPr>
        <w:adjustRightInd w:val="0"/>
        <w:snapToGrid w:val="0"/>
        <w:spacing w:line="300" w:lineRule="auto"/>
        <w:ind w:firstLine="420" w:firstLineChars="200"/>
        <w:jc w:val="left"/>
        <w:rPr>
          <w:rFonts w:ascii="Times New Roman" w:hAnsi="Times New Roman" w:eastAsia="宋体" w:cs="Times New Roman"/>
          <w:bCs/>
        </w:rPr>
      </w:pPr>
      <w:r>
        <w:rPr>
          <w:rFonts w:ascii="Times New Roman" w:hAnsi="Times New Roman" w:eastAsia="宋体" w:cs="Times New Roman"/>
          <w:bCs/>
        </w:rPr>
        <w:t>课程支撑毕业要求指标点的达成度为对应的课程目标达成度的加权值，其计算公式及系数为：</w:t>
      </w:r>
    </w:p>
    <w:p>
      <w:pPr>
        <w:adjustRightInd w:val="0"/>
        <w:snapToGrid w:val="0"/>
        <w:spacing w:line="300" w:lineRule="auto"/>
        <w:jc w:val="center"/>
        <w:rPr>
          <w:rFonts w:ascii="Times New Roman" w:hAnsi="Times New Roman" w:eastAsia="宋体" w:cs="Times New Roman"/>
          <w:bCs/>
        </w:rPr>
      </w:pPr>
      <w:r>
        <w:rPr>
          <w:rFonts w:hint="eastAsia" w:ascii="Times New Roman" w:hAnsi="Times New Roman" w:eastAsia="宋体" w:cs="Times New Roman"/>
          <w:position w:val="-10"/>
        </w:rPr>
        <w:object>
          <v:shape id="_x0000_i1229"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29" DrawAspect="Content" ObjectID="_1468075927" r:id="rId259">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19"/>
        <w:gridCol w:w="2877"/>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604"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697" w:type="pc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697"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604" w:type="pct"/>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697"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0.4</w:t>
            </w:r>
          </w:p>
        </w:tc>
        <w:tc>
          <w:tcPr>
            <w:tcW w:w="1697" w:type="pc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0.6</w:t>
            </w:r>
          </w:p>
        </w:tc>
      </w:tr>
    </w:tbl>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30"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30" DrawAspect="Content" ObjectID="_1468075928" r:id="rId260">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4" w:firstLineChars="202"/>
        <w:rPr>
          <w:rFonts w:ascii="Times New Roman" w:hAnsi="Times New Roman" w:eastAsia="宋体" w:cs="Times New Roman"/>
          <w:bCs/>
          <w:szCs w:val="21"/>
        </w:rPr>
      </w:pPr>
      <w:r>
        <w:rPr>
          <w:rFonts w:ascii="Times New Roman" w:hAnsi="Times New Roman" w:eastAsia="宋体" w:cs="Times New Roman"/>
          <w:bCs/>
          <w:szCs w:val="21"/>
        </w:rPr>
        <w:t>根据《教育部、中共中央宣传部关于高校哲学社会科学相关专业统一使用马克思主义理论研究和建设工程重点教材的通知》，确保权威教材进课堂，选用了“马克思主义理论研究和建设工程”重点教材：中国近现代史纲要编写组：《中国近现代史纲要》，高等教育出版社，2018年。</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秦英君主编：《简编中国现代史》，河南大学出版社，1987年。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中国近代史编写组：《中国近代史》，中华书局，1994年。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上海大学等编：《新编中国现代史》，江西人民出版社，1987年。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胡华主编：《中国革命史讲义》，中国人民大学出版社，1987年。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军事科学院：《中国抗日战争》，解放军出版社，1991年。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胡德坤、宋俭：《中国近现代史纲要》，湖北人民出版社，2006年。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bCs/>
          <w:szCs w:val="21"/>
        </w:rPr>
        <w:t>刘大年：《中国近代史诸问题》，人民出版社，1965年。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翦伯赞、郑天挺主编：《中国通史参考资料》（近代部分上、下），中华书局，1980年。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胡绳:《从鸦片战争到五四运动》（上、下）,人民出版社，1982年。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毛泽东：《毛泽东选集》，第1－5卷），人民出版社，1991年。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邓小平：《邓小平文选》，第1、2、3卷，人民出版社，1983、1989、1993年。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江泽民：《江泽民文选》，第1－3卷，人民出版社，2003年。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习近平：《习近平谈治国理政》第二卷，外文出版社，2017年。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《关于建国以来若干历史问题的决议》中共中央文献室，人民出版社，1981年。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《中国共产党的九十年》中共中央党史研究室，中共出版社，2016年。</w:t>
      </w:r>
    </w:p>
    <w:p>
      <w:pPr>
        <w:numPr>
          <w:ilvl w:val="0"/>
          <w:numId w:val="9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《中国近现代史纲要》精品资源共享课网站</w:t>
      </w:r>
      <w:r>
        <w:fldChar w:fldCharType="begin"/>
      </w:r>
      <w:r>
        <w:instrText xml:space="preserve"> HYPERLINK "http://210.38.136.69:8038/index.html" </w:instrText>
      </w:r>
      <w:r>
        <w:fldChar w:fldCharType="separate"/>
      </w:r>
      <w:r>
        <w:rPr>
          <w:rFonts w:ascii="Times New Roman" w:hAnsi="Times New Roman" w:eastAsia="宋体" w:cs="Times New Roman"/>
          <w:u w:val="single"/>
        </w:rPr>
        <w:t>http://210.38.136.69:8038/index.html</w:t>
      </w:r>
      <w:r>
        <w:rPr>
          <w:rFonts w:ascii="Times New Roman" w:hAnsi="Times New Roman" w:eastAsia="宋体" w:cs="Times New Roman"/>
          <w:u w:val="single"/>
        </w:rPr>
        <w:fldChar w:fldCharType="end"/>
      </w:r>
      <w:r>
        <w:rPr>
          <w:rFonts w:ascii="Times New Roman" w:hAnsi="Times New Roman" w:eastAsia="宋体" w:cs="Times New Roman"/>
        </w:rPr>
        <w:t>。</w:t>
      </w: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adjustRightInd w:val="0"/>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adjustRightInd w:val="0"/>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shd w:val="clear" w:color="auto" w:fill="auto"/>
          </w:tcPr>
          <w:p>
            <w:pPr>
              <w:adjustRightInd w:val="0"/>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44"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p>
        </w:tc>
      </w:tr>
    </w:tbl>
    <w:p>
      <w:pPr>
        <w:jc w:val="center"/>
        <w:rPr>
          <w:rFonts w:ascii="Times New Roman" w:hAnsi="Times New Roman" w:eastAsia="宋体" w:cs="Times New Roman"/>
        </w:rPr>
      </w:pPr>
      <w:bookmarkStart w:id="336" w:name="_Toc38126080"/>
      <w:bookmarkStart w:id="337" w:name="_Toc47774676"/>
      <w:bookmarkStart w:id="338" w:name="_Toc46489626"/>
      <w:bookmarkStart w:id="339" w:name="_Toc47718747"/>
      <w:bookmarkStart w:id="340" w:name="_Toc47719719"/>
      <w:r>
        <w:rPr>
          <w:rFonts w:ascii="Times New Roman" w:hAnsi="Times New Roman" w:eastAsia="宋体" w:cs="Times New Roman"/>
        </w:rPr>
        <w:br w:type="page"/>
      </w:r>
    </w:p>
    <w:p>
      <w:pPr>
        <w:pStyle w:val="3"/>
        <w:jc w:val="center"/>
        <w:rPr>
          <w:rFonts w:ascii="Times New Roman" w:hAnsi="Times New Roman" w:eastAsia="宋体" w:cs="Times New Roman"/>
        </w:rPr>
      </w:pPr>
      <w:bookmarkStart w:id="341" w:name="_Toc18191"/>
      <w:bookmarkStart w:id="342" w:name="_Toc22711"/>
      <w:r>
        <w:rPr>
          <w:rFonts w:ascii="Times New Roman" w:hAnsi="Times New Roman" w:eastAsia="宋体" w:cs="Times New Roman"/>
        </w:rPr>
        <w:t>27111301《马克思主义基本原理》课程教学大纲</w:t>
      </w:r>
      <w:bookmarkEnd w:id="336"/>
      <w:bookmarkEnd w:id="337"/>
      <w:bookmarkEnd w:id="338"/>
      <w:bookmarkEnd w:id="339"/>
      <w:bookmarkEnd w:id="340"/>
      <w:bookmarkEnd w:id="341"/>
      <w:bookmarkEnd w:id="342"/>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27111301</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马克思主义基本原理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人文社会科学类</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shd w:val="clear" w:color="auto" w:fill="auto"/>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Fundamental Principles of Marxism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2.5</w:t>
            </w:r>
            <w:r>
              <w:rPr>
                <w:rFonts w:ascii="Times New Roman" w:hAnsi="Times New Roman" w:eastAsia="宋体" w:cs="Times New Roman"/>
                <w:kern w:val="0"/>
                <w:szCs w:val="21"/>
              </w:rPr>
              <w:t xml:space="preserve"> : 40（0）</w:t>
            </w:r>
          </w:p>
        </w:tc>
        <w:tc>
          <w:tcPr>
            <w:tcW w:w="1198"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szCs w:val="21"/>
              </w:rPr>
              <w:t>李林杰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34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
                <w:kern w:val="0"/>
                <w:szCs w:val="20"/>
              </w:rPr>
              <w:t>企业专家</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0"/>
              </w:rPr>
              <w:t>曾耿滨</w:t>
            </w:r>
          </w:p>
        </w:tc>
        <w:tc>
          <w:tcPr>
            <w:tcW w:w="1198"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
                <w:kern w:val="0"/>
                <w:szCs w:val="20"/>
              </w:rPr>
              <w:t>行业专家</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0"/>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李林杰</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王爱云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shd w:val="clear" w:color="auto" w:fill="auto"/>
            <w:vAlign w:val="center"/>
          </w:tcPr>
          <w:p>
            <w:pPr>
              <w:widowControl/>
              <w:snapToGrid w:val="0"/>
              <w:spacing w:line="300" w:lineRule="auto"/>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思想道德修养与法律基础、</w:t>
            </w:r>
          </w:p>
          <w:p>
            <w:pPr>
              <w:widowControl/>
              <w:snapToGrid w:val="0"/>
              <w:spacing w:line="300" w:lineRule="auto"/>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中国近现代史纲要</w:t>
            </w:r>
          </w:p>
        </w:tc>
        <w:tc>
          <w:tcPr>
            <w:tcW w:w="1198" w:type="dxa"/>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马克思主义基本原理》是一门系统讲授马克思主义基本理论的课程，旨在对学生进行系统的马克思主义理论、马克思主义世界观和方法论的教育，帮助学生从整体上把握马克思主义，帮助学生树立马克思主义的人生观和价值观，培养和提高学生运用马克思主义理论分析和解决实际问题的能力。</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使学生全面掌握马克思主义的基本观点，帮助学生树立科学的世界观、人生观和价值观，培养和提高学生运用马克思主义理论去分析和解决实际问题的能力。为学生确立建设有中国特色社会主义的理想信念，增强马克思主义的理论自信，自觉地坚持党的基本路线，方针和政策打下扎实的理论基础。</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课程目标及能力要求具体如下：</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 掌握辩证唯物主义与历史唯物主义以及马克思主义政治经济学的基本知识和原理，学会运用发展的观点、普遍联系的观点、全面的观点看待问题和分析问题。[6</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 理解并能运用市场经济的基本知识来分析和解决现实问题。[8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 懂得资本主义的实质，掌握资本主义政治和经济的基本特征，了解资本主义在当代的新变化。[</w:t>
      </w:r>
      <w:r>
        <w:rPr>
          <w:rFonts w:hint="eastAsia" w:ascii="Times New Roman" w:hAnsi="Times New Roman" w:eastAsia="宋体" w:cs="Times New Roman"/>
          <w:kern w:val="0"/>
          <w:szCs w:val="21"/>
        </w:rPr>
        <w:t>8.1</w:t>
      </w:r>
      <w:r>
        <w:rPr>
          <w:rFonts w:ascii="Times New Roman" w:hAnsi="Times New Roman" w:eastAsia="宋体" w:cs="Times New Roman"/>
          <w:kern w:val="0"/>
          <w:szCs w:val="21"/>
        </w:rPr>
        <w:t>]</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4. 理解社会主义的本质及其规律，树立社会主义核心价值观，建立推动中华民族伟大复兴的崇高信仰。 [</w:t>
      </w:r>
      <w:r>
        <w:rPr>
          <w:rFonts w:hint="eastAsia" w:ascii="Times New Roman" w:hAnsi="Times New Roman" w:eastAsia="宋体" w:cs="Times New Roman"/>
          <w:kern w:val="0"/>
          <w:szCs w:val="21"/>
        </w:rPr>
        <w:t>8.1</w:t>
      </w:r>
      <w:r>
        <w:rPr>
          <w:rFonts w:ascii="Times New Roman" w:hAnsi="Times New Roman" w:eastAsia="宋体" w:cs="Times New Roman"/>
          <w:kern w:val="0"/>
          <w:szCs w:val="21"/>
        </w:rPr>
        <w:t>]</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5341"/>
        <w:gridCol w:w="741"/>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62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34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74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972"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w:t>
            </w:r>
            <w:r>
              <w:rPr>
                <w:rFonts w:ascii="Times New Roman" w:hAnsi="Times New Roman" w:eastAsia="宋体" w:cs="Times New Roman"/>
                <w:kern w:val="0"/>
                <w:sz w:val="18"/>
                <w:szCs w:val="18"/>
              </w:rPr>
              <w:t>工程与社会</w:t>
            </w:r>
          </w:p>
        </w:tc>
        <w:tc>
          <w:tcPr>
            <w:tcW w:w="53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6</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1具有工程实践经历，了解电子信息行业相关的技术标准、知识产权、产业政策和法律法规，了解工程实践和电子信息</w:t>
            </w:r>
            <w:r>
              <w:rPr>
                <w:rFonts w:hint="eastAsia" w:ascii="Times New Roman" w:hAnsi="Times New Roman" w:eastAsia="宋体" w:cs="Times New Roman"/>
                <w:kern w:val="0"/>
                <w:sz w:val="18"/>
                <w:szCs w:val="18"/>
              </w:rPr>
              <w:t>复杂工程问题解决方案</w:t>
            </w:r>
            <w:r>
              <w:rPr>
                <w:rFonts w:ascii="Times New Roman" w:hAnsi="Times New Roman" w:eastAsia="宋体" w:cs="Times New Roman"/>
                <w:kern w:val="0"/>
                <w:sz w:val="18"/>
                <w:szCs w:val="18"/>
              </w:rPr>
              <w:t>与社会、健康、安全、法律以及文化的关系</w:t>
            </w:r>
            <w:r>
              <w:rPr>
                <w:rFonts w:hint="eastAsia" w:ascii="Times New Roman" w:hAnsi="Times New Roman" w:eastAsia="宋体" w:cs="Times New Roman"/>
                <w:kern w:val="0"/>
                <w:sz w:val="18"/>
                <w:szCs w:val="18"/>
              </w:rPr>
              <w:t>。</w:t>
            </w:r>
          </w:p>
        </w:tc>
        <w:tc>
          <w:tcPr>
            <w:tcW w:w="74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97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2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w:t>
            </w:r>
            <w:r>
              <w:rPr>
                <w:rFonts w:ascii="Times New Roman" w:hAnsi="Times New Roman" w:eastAsia="宋体" w:cs="Times New Roman"/>
                <w:kern w:val="0"/>
                <w:sz w:val="18"/>
                <w:szCs w:val="18"/>
              </w:rPr>
              <w:t>职业规范</w:t>
            </w:r>
          </w:p>
        </w:tc>
        <w:tc>
          <w:tcPr>
            <w:tcW w:w="5341"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坚持以德立身、以德立学，树立正确的人生观、民族观、国家观和价值观，具有良好的人文社会科学素养和社会责任感。</w:t>
            </w:r>
          </w:p>
        </w:tc>
        <w:tc>
          <w:tcPr>
            <w:tcW w:w="74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，3，4</w:t>
            </w:r>
          </w:p>
        </w:tc>
        <w:tc>
          <w:tcPr>
            <w:tcW w:w="972"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75</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06"/>
        <w:gridCol w:w="3114"/>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4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3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1. 掌握辩证唯物主义与历史唯物主义以及马克思主义政治经济学的基本知识和原理，学会运用发展的观点、普遍联系的观点、全面的观点看待问题和分析问题。</w:t>
            </w:r>
          </w:p>
        </w:tc>
        <w:tc>
          <w:tcPr>
            <w:tcW w:w="31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采用讲授式教学方法，兼有课堂讨论及课堂提问，采用多媒体的方式达成。</w:t>
            </w:r>
          </w:p>
        </w:tc>
        <w:tc>
          <w:tcPr>
            <w:tcW w:w="26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课堂考勤、课堂讨论、课堂提问，计算机网络考试（闭卷）或随堂开卷考试</w:t>
            </w:r>
            <w:r>
              <w:rPr>
                <w:rFonts w:ascii="Times New Roman" w:hAnsi="Times New Roman" w:eastAsia="宋体" w:cs="Times New Roman"/>
                <w:sz w:val="18"/>
                <w:szCs w:val="18"/>
                <w:shd w:val="clear" w:color="auto" w:fill="FEFE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2. 理解并能运用市场经济的基本知识来分析和解决现实问题。</w:t>
            </w:r>
          </w:p>
        </w:tc>
        <w:tc>
          <w:tcPr>
            <w:tcW w:w="31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采用讲授兼讨论式教学方法，讲授基本概念、基本原理。指导学生查阅有关资料。</w:t>
            </w:r>
          </w:p>
        </w:tc>
        <w:tc>
          <w:tcPr>
            <w:tcW w:w="26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课堂考勤、课堂讨论、课堂提问，计算机网络考试（闭卷）或随堂开卷考试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3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3. 懂得资本主义的实质，掌握资本主义政治和经济的基本特征，了解资本主义在当代的新变化。</w:t>
            </w:r>
          </w:p>
        </w:tc>
        <w:tc>
          <w:tcPr>
            <w:tcW w:w="31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采用讲授式教学方法，兼有课堂讨论及课堂提问，采用多媒体的方式，指导学生了解课程相关主要网站内容。</w:t>
            </w:r>
          </w:p>
        </w:tc>
        <w:tc>
          <w:tcPr>
            <w:tcW w:w="26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课堂考勤、课堂讨论、课堂提问，计算机网络考试（闭卷）或随堂开卷考试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3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4. 理解社会主义的本质及其规律，树立社会主义核心价值观，建立推动中华民族伟大复兴的崇高信仰。</w:t>
            </w:r>
          </w:p>
        </w:tc>
        <w:tc>
          <w:tcPr>
            <w:tcW w:w="311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采用讲授式教学方法，兼有课堂讨论及课堂提问，采用多媒体的方式，指导学生了解课程相关主要网站内容。</w:t>
            </w:r>
          </w:p>
        </w:tc>
        <w:tc>
          <w:tcPr>
            <w:tcW w:w="267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课堂考勤、课堂讨论、课堂提问，计算机网络考试（闭卷）或随堂开卷考试</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919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9"/>
        <w:gridCol w:w="2963"/>
        <w:gridCol w:w="4747"/>
        <w:gridCol w:w="445"/>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963"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747"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44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443"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0马克思主义诞生的时代背景、马克思与恩格斯创立马克思主义的过程、马克思主义的基本特征、学习马克思主义的基本方法</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熟练掌握马克思主义诞生的时代背景，了解马克思和恩格斯创立马克思主义的艰苦过程，熟悉马克思主义的基本特征，掌握学习马克思主义的基本方法</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1世界的物质性及发展规律，哲学的基本问题、唯物主义与唯心主义、辩证法</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掌握哲学的基本问题，理解唯物主义与唯心主义的根本区别，学会运用辩证法分析和解决现实问题</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963"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 认识的本质及发展规律，实践对认识的决定作用、认识的本质、认识的基本规律、真理与价值</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实践对认识的决定作用、认识的本质、认识的基本规律，熟悉实践是检验认识真理性的唯一标准、真理与价值之间的区别，理解并能运用认识的基本规律的知识解决现实问题，了解价值观的重要性，树立社会主义核心价值观</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人类社会及其发展规律，社会历史观的基本问题、社会的基本矛盾、社会形态更替的规律性与多样性</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掌握社会历史观的基本问题、社会存在与社会意识的定义及其关系、社会的基本矛盾，熟悉和理解社会形态更替的规律性与多样性</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资本的本质及规律，商品经济的基本矛盾、价值规律的基本内容及其表现形式、资本主义的本质、资本主义的政治制度和文化意识形态特征</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掌握商品的定义、价值与使用价值的定义及其关系、劳动的二重性、商品经济的基本规律、价值规律及其作用、资本主义的本质，了解价值规律发生作用的表现形式、资本主义的政治制度和文化意识形态特征</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 资本主义的发展及其趋势，垄断的定义、垄断资本主义产生的原因及其本质、国家垄断资本主义、经济全球化、当代资本主义的新变化、资本主义向社会主义的过渡</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掌握垄断的定义、垄断资本主义产生的原因及本质、国家垄断资本主义的本质及特征、经济全球化的影响、当代资本主义新变化的体现，熟悉资本主义的历史地位及其向社会主义过渡的必然性</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 社会主义的发展及其规律，空想社会主义、科学社会主义的创立、社会主义制度的建立</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掌握空想社会主义的缺陷、科学社会主义的特征，了解空想社会主义的代表人物，社会主义制度建立的过程</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trPr>
        <w:tc>
          <w:tcPr>
            <w:tcW w:w="599"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96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 共产主义是人类最崇高的社会理想，共产主义社会的基本特征</w:t>
            </w:r>
          </w:p>
        </w:tc>
        <w:tc>
          <w:tcPr>
            <w:tcW w:w="4747"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了解共产主义的基本特征，树立社会主义核心价值观，维护国家利益，具有推动中华民族伟大复兴和社会进步的责任感</w:t>
            </w:r>
          </w:p>
        </w:tc>
        <w:tc>
          <w:tcPr>
            <w:tcW w:w="4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4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1，2，4</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w:t>
      </w:r>
      <w:r>
        <w:rPr>
          <w:rFonts w:ascii="Times New Roman" w:hAnsi="Times New Roman" w:eastAsia="宋体" w:cs="Times New Roman"/>
          <w:szCs w:val="21"/>
        </w:rPr>
        <w:t>期末考试采用计算机网络考试（闭卷）或随堂开卷考试的方式。</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w:t>
      </w:r>
      <w:r>
        <w:rPr>
          <w:rFonts w:ascii="Times New Roman" w:hAnsi="Times New Roman" w:eastAsia="宋体" w:cs="Times New Roman"/>
          <w:szCs w:val="21"/>
        </w:rPr>
        <w:t>总评成绩构成比例为：平时成绩占总成绩占30-40%，课程期末考试成绩占60-70%，具体比例由各任课教师根据自己的情况适当灵活掌握。</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4"/>
        <w:gridCol w:w="634"/>
        <w:gridCol w:w="617"/>
        <w:gridCol w:w="523"/>
        <w:gridCol w:w="3738"/>
        <w:gridCol w:w="87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3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3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3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1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23"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73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87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26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restart"/>
            <w:vAlign w:val="center"/>
          </w:tcPr>
          <w:p>
            <w:pPr>
              <w:adjustRightInd w:val="0"/>
              <w:snapToGrid w:val="0"/>
              <w:spacing w:line="300" w:lineRule="auto"/>
              <w:rPr>
                <w:rFonts w:ascii="Times New Roman" w:hAnsi="Times New Roman" w:eastAsia="宋体" w:cs="Times New Roman"/>
                <w:sz w:val="18"/>
                <w:szCs w:val="18"/>
              </w:rPr>
            </w:pP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34"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34"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61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523"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73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学生在课堂上的口头参与（课堂讨论、回答或提出问题及其他形式的口头交际情况）、学习态度、与教师和同学交往的情况等。鼓励学生积极参与课堂教学，其评价对象可以包括但不限于学生出勤、参与课堂学习过程如回答问题、课堂讨论等。</w:t>
            </w:r>
          </w:p>
        </w:tc>
        <w:tc>
          <w:tcPr>
            <w:tcW w:w="87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267"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w:t>
            </w:r>
            <w:r>
              <w:rPr>
                <w:rFonts w:hint="eastAsia" w:ascii="Times New Roman" w:hAnsi="Times New Roman" w:eastAsia="宋体" w:cs="Times New Roman"/>
                <w:sz w:val="18"/>
                <w:szCs w:val="18"/>
              </w:rPr>
              <w:t>1，8</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3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34"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4"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1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随堂测验</w:t>
            </w:r>
          </w:p>
        </w:tc>
        <w:tc>
          <w:tcPr>
            <w:tcW w:w="523"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73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在上课时间内任课教师对学生进行的非正式的测验。及时检查学生对课程知识掌握情况，促进学生的课前预习与课堂听课。</w:t>
            </w:r>
          </w:p>
        </w:tc>
        <w:tc>
          <w:tcPr>
            <w:tcW w:w="87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267"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w:t>
            </w:r>
            <w:r>
              <w:rPr>
                <w:rFonts w:hint="eastAsia" w:ascii="Times New Roman" w:hAnsi="Times New Roman" w:eastAsia="宋体" w:cs="Times New Roman"/>
                <w:sz w:val="18"/>
                <w:szCs w:val="18"/>
              </w:rPr>
              <w:t>1，8</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34"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4"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1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bCs/>
                <w:sz w:val="18"/>
                <w:szCs w:val="18"/>
              </w:rPr>
              <w:t>课后作业</w:t>
            </w:r>
          </w:p>
        </w:tc>
        <w:tc>
          <w:tcPr>
            <w:tcW w:w="523"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373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任课教师完成一定教学内容之后安排的常规作业。帮助学生巩固学习内容。</w:t>
            </w:r>
          </w:p>
        </w:tc>
        <w:tc>
          <w:tcPr>
            <w:tcW w:w="87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267"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w:t>
            </w:r>
            <w:r>
              <w:rPr>
                <w:rFonts w:hint="eastAsia" w:ascii="Times New Roman" w:hAnsi="Times New Roman" w:eastAsia="宋体" w:cs="Times New Roman"/>
                <w:sz w:val="18"/>
                <w:szCs w:val="18"/>
              </w:rPr>
              <w:t>1，8</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jc w:val="center"/>
        </w:trPr>
        <w:tc>
          <w:tcPr>
            <w:tcW w:w="63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6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61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523" w:type="dxa"/>
            <w:vAlign w:val="center"/>
          </w:tcPr>
          <w:p>
            <w:pPr>
              <w:adjustRightInd w:val="0"/>
              <w:snapToGrid w:val="0"/>
              <w:spacing w:line="300" w:lineRule="auto"/>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73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卷面成绩100分。卷面成绩按比例计入课程总评成绩。</w:t>
            </w:r>
          </w:p>
        </w:tc>
        <w:tc>
          <w:tcPr>
            <w:tcW w:w="87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267"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w:t>
            </w:r>
            <w:r>
              <w:rPr>
                <w:rFonts w:hint="eastAsia" w:ascii="Times New Roman" w:hAnsi="Times New Roman" w:eastAsia="宋体" w:cs="Times New Roman"/>
                <w:sz w:val="18"/>
                <w:szCs w:val="18"/>
              </w:rPr>
              <w:t>1，8</w:t>
            </w:r>
            <w:r>
              <w:rPr>
                <w:rFonts w:ascii="Times New Roman" w:hAnsi="Times New Roman" w:eastAsia="宋体" w:cs="Times New Roman"/>
                <w:sz w:val="18"/>
                <w:szCs w:val="18"/>
              </w:rPr>
              <w:t>.1</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szCs w:val="21"/>
        </w:rPr>
        <w:t>课程目标达成度评价包括课程分目标达成度评价，以及课程总目标达成度评价，具体计算方法如下：</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position w:val="-16"/>
        </w:rPr>
        <w:object>
          <v:shape id="_x0000_i1231"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31" DrawAspect="Content" ObjectID="_1468075929" r:id="rId261">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课程总目标达成度为1个课程目标的加权得分率，其计算公式为：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32"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32" DrawAspect="Content" ObjectID="_1468075930" r:id="rId262">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664"/>
        <w:gridCol w:w="1755"/>
        <w:gridCol w:w="1755"/>
        <w:gridCol w:w="175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66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7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66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25</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25</w:t>
            </w:r>
          </w:p>
        </w:tc>
        <w:tc>
          <w:tcPr>
            <w:tcW w:w="17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25</w:t>
            </w:r>
          </w:p>
        </w:tc>
        <w:tc>
          <w:tcPr>
            <w:tcW w:w="17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25</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33"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33" DrawAspect="Content" ObjectID="_1468075931" r:id="rId263">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4" w:firstLineChars="202"/>
        <w:rPr>
          <w:rFonts w:ascii="Times New Roman" w:hAnsi="Times New Roman" w:eastAsia="宋体" w:cs="Times New Roman"/>
          <w:szCs w:val="21"/>
        </w:rPr>
      </w:pPr>
      <w:r>
        <w:rPr>
          <w:rFonts w:ascii="Times New Roman" w:hAnsi="Times New Roman" w:eastAsia="宋体" w:cs="Times New Roman"/>
        </w:rPr>
        <w:t>[1] 马</w:t>
      </w:r>
      <w:r>
        <w:rPr>
          <w:rFonts w:ascii="Times New Roman" w:hAnsi="Times New Roman" w:eastAsia="宋体" w:cs="Times New Roman"/>
          <w:szCs w:val="21"/>
        </w:rPr>
        <w:t>克思主义基本原理概论编写组，马克思主义基本原理概论</w:t>
      </w:r>
      <w:r>
        <w:rPr>
          <w:rFonts w:ascii="Times New Roman" w:hAnsi="Times New Roman" w:eastAsia="宋体" w:cs="Times New Roman"/>
        </w:rPr>
        <w:t>[M]</w:t>
      </w:r>
      <w:r>
        <w:rPr>
          <w:rFonts w:ascii="Times New Roman" w:hAnsi="Times New Roman" w:eastAsia="宋体" w:cs="Times New Roman"/>
          <w:szCs w:val="21"/>
        </w:rPr>
        <w:t>，</w:t>
      </w:r>
      <w:r>
        <w:rPr>
          <w:rFonts w:ascii="Times New Roman" w:hAnsi="Times New Roman" w:eastAsia="宋体" w:cs="Times New Roman"/>
        </w:rPr>
        <w:t>北京：高等教育出版社</w:t>
      </w:r>
      <w:r>
        <w:rPr>
          <w:rFonts w:ascii="Times New Roman" w:hAnsi="Times New Roman" w:eastAsia="宋体" w:cs="Times New Roman"/>
          <w:szCs w:val="21"/>
        </w:rPr>
        <w:t>。</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马克思：《关于费尔巴哈的提纲》、《＜政治经济学批判＞序言》、《社会主义从空想到科学的发展》、《政治经济学批判》第一册、《资本论》第一卷第一篇。</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恩格斯：《路德维希•费尔巴哈和德国古典哲学的终结》第二、四节、《致约•布洛赫的信》。</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列宁：《马克思主义三个来源和三个主要组成部分》、《谈谈辩证法问题》、《国家与革命》</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毛泽东：《实践论》、《矛盾论》、《人的正确思想是从哪里来的?》、《论十大关系》。</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邓小平：《解放思想，实事求是，团结一致向前看》、《在全国科学大会开幕式上的讲话》、《高举毛泽东思想旗帜，坚持实事求是的原则》、《在中国共产党全国代表会议上的讲话》第四点、《在武昌、深圳、珠海、上海等地的谈话要点》。</w:t>
      </w:r>
    </w:p>
    <w:p>
      <w:pPr>
        <w:numPr>
          <w:ilvl w:val="0"/>
          <w:numId w:val="95"/>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习近平：《习近平谈治国理政》第一卷</w:t>
      </w:r>
      <w:r>
        <w:rPr>
          <w:rFonts w:hint="eastAsia" w:ascii="Times New Roman" w:hAnsi="Times New Roman" w:eastAsia="宋体" w:cs="Times New Roman"/>
        </w:rPr>
        <w:t>、</w:t>
      </w:r>
      <w:r>
        <w:rPr>
          <w:rFonts w:ascii="Times New Roman" w:hAnsi="Times New Roman" w:eastAsia="宋体" w:cs="Times New Roman"/>
        </w:rPr>
        <w:t>第二卷等，外文出版社。</w:t>
      </w:r>
    </w:p>
    <w:p>
      <w:pPr>
        <w:snapToGrid w:val="0"/>
        <w:spacing w:line="300" w:lineRule="auto"/>
        <w:ind w:firstLine="420" w:firstLineChars="200"/>
        <w:rPr>
          <w:rFonts w:ascii="Times New Roman" w:hAnsi="Times New Roman" w:eastAsia="宋体" w:cs="Times New Roman"/>
          <w:szCs w:val="21"/>
        </w:rPr>
      </w:pPr>
    </w:p>
    <w:tbl>
      <w:tblPr>
        <w:tblStyle w:val="22"/>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snapToGrid w:val="0"/>
        <w:spacing w:before="156" w:beforeLines="50" w:after="156" w:afterLines="50" w:line="300" w:lineRule="auto"/>
        <w:rPr>
          <w:rFonts w:ascii="Times New Roman" w:hAnsi="Times New Roman" w:eastAsia="宋体" w:cs="Times New Roman"/>
          <w:b/>
          <w:sz w:val="32"/>
          <w:szCs w:val="32"/>
        </w:rPr>
      </w:pPr>
      <w:bookmarkStart w:id="343" w:name="_Toc46489627"/>
      <w:bookmarkStart w:id="344" w:name="_Toc38126081"/>
      <w:bookmarkStart w:id="345" w:name="_Toc3504"/>
    </w:p>
    <w:p>
      <w:pPr>
        <w:pStyle w:val="3"/>
        <w:jc w:val="center"/>
        <w:rPr>
          <w:rFonts w:ascii="Times New Roman" w:hAnsi="Times New Roman" w:eastAsia="宋体" w:cs="Times New Roman"/>
        </w:rPr>
      </w:pPr>
      <w:bookmarkStart w:id="346" w:name="_Toc47718748"/>
      <w:bookmarkStart w:id="347" w:name="_Toc32104"/>
      <w:bookmarkStart w:id="348" w:name="_Toc25675"/>
      <w:bookmarkStart w:id="349" w:name="_Toc47774677"/>
      <w:bookmarkStart w:id="350" w:name="_Toc47719720"/>
      <w:r>
        <w:rPr>
          <w:rFonts w:ascii="Times New Roman" w:hAnsi="Times New Roman" w:eastAsia="宋体" w:cs="Times New Roman"/>
        </w:rPr>
        <w:t>27111302《毛泽东思想和中国特色社会主义理论体系概论》课程教学大纲</w:t>
      </w:r>
      <w:bookmarkEnd w:id="343"/>
      <w:bookmarkEnd w:id="344"/>
      <w:bookmarkEnd w:id="345"/>
      <w:bookmarkEnd w:id="346"/>
      <w:bookmarkEnd w:id="347"/>
      <w:bookmarkEnd w:id="348"/>
      <w:bookmarkEnd w:id="349"/>
      <w:bookmarkEnd w:id="350"/>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800"/>
        <w:gridCol w:w="1634"/>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2800"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27111302</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899"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毛泽东思想和中国特色社会主义理论体系概论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p>
        </w:tc>
        <w:tc>
          <w:tcPr>
            <w:tcW w:w="2800"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人文社会科学类</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899"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Mao Zedong Thought and Theoretical System of Chinese Characteristic Socialism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4.5 : 72（8）</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任课教师</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窦春芳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企业专家</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行业专家</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执笔教师</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窦春芳</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责任教授</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适用专业</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全体本科专业</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适用对象</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先修课程</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思想道德修养和法律基础，中国近现代史纲要</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同修课程</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2800"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634"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899"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rPr>
        <w:t>《毛泽东思想和中国特色社会主义理论体系概论》是根据2005年中宣部、教育部《关于进一步加强和改进高等学校思想政治理论课的意见》及实施方案确定的思想政治理论课4门必修课之一,为培养高等学校学生掌握毛泽东思想、邓小平理论的科学体系和“三个代表”重要思想、科学发展观和习近平新时代中国特色社会主义思想的精神实质而开设的通识必修基础理论课,是大学生学习和掌握马克思主义基本理论知识的主渠道,是大学生学习和掌握马克思主义理论中国化的重要途径。</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kern w:val="0"/>
        </w:rPr>
      </w:pPr>
      <w:r>
        <w:rPr>
          <w:rFonts w:ascii="Times New Roman" w:hAnsi="Times New Roman" w:eastAsia="宋体" w:cs="Times New Roman"/>
          <w:kern w:val="0"/>
        </w:rPr>
        <w:t xml:space="preserve">本课程以中国化的马克思主义为主题，以马克思主义中国化为主线，以建设中国特色社会主义为重点。通过本课程的学习，学生可以从理论上搞清楚近代以来解决中国面临的两大历史任务、实现中华民族伟大复兴的唯一出路，只能是而且必须是在中国共产党的领导下，以马克思主义作为指导思想的理论基础，并把马克思主义同中国的具体实际结合起来，坚定不移地选择社会主义和坚持不懈地建设和发展社会主义。而这又要求从中国实际出发真正搞清楚什么是社会主义，怎样建设社会主义；建设什么样的党，怎样建设党；实现什么样的发展，怎样发展；坚持和发展什么样的中国特色社会主义，怎样坚持和发展中国特色社会主义。本课程旨在培养学生把握毛泽东思想和中国特色社会主义理论体系的精神实质，运用其基本观点和方法分析问题、解决问题；坚定中国特色社会主义的道路自信、理论自信、制度自信、文化自信，确保建设有中国特色社会主义事业的胜利。   </w:t>
      </w:r>
    </w:p>
    <w:p>
      <w:pPr>
        <w:adjustRightInd w:val="0"/>
        <w:snapToGrid w:val="0"/>
        <w:spacing w:line="300" w:lineRule="auto"/>
        <w:ind w:firstLine="420" w:firstLineChars="200"/>
        <w:rPr>
          <w:rFonts w:ascii="Times New Roman" w:hAnsi="Times New Roman" w:eastAsia="宋体" w:cs="Times New Roman"/>
          <w:kern w:val="0"/>
        </w:rPr>
      </w:pPr>
      <w:r>
        <w:rPr>
          <w:rFonts w:ascii="Times New Roman" w:hAnsi="Times New Roman" w:eastAsia="宋体" w:cs="Times New Roman"/>
          <w:kern w:val="0"/>
        </w:rPr>
        <w:t xml:space="preserve">本课程的具体教学目标如下： </w:t>
      </w:r>
    </w:p>
    <w:p>
      <w:pPr>
        <w:adjustRightInd w:val="0"/>
        <w:snapToGrid w:val="0"/>
        <w:spacing w:line="300" w:lineRule="auto"/>
        <w:ind w:firstLine="420" w:firstLineChars="200"/>
        <w:rPr>
          <w:rFonts w:ascii="Times New Roman" w:hAnsi="Times New Roman" w:eastAsia="宋体" w:cs="Times New Roman"/>
          <w:kern w:val="0"/>
        </w:rPr>
      </w:pPr>
      <w:r>
        <w:rPr>
          <w:rFonts w:ascii="Times New Roman" w:hAnsi="Times New Roman" w:eastAsia="宋体" w:cs="Times New Roman"/>
          <w:kern w:val="0"/>
        </w:rPr>
        <w:t>1．培养学生把握毛泽东思想和中国特色社会主义理论体系的精神实质，坚定中国特色社会主义的道路自信、理论自信、制度自信、文化自信，树立正确的人生观、世界观、价值观，具有良好的人文社会科学素养和社会责任感。[8</w:t>
      </w:r>
      <w:r>
        <w:rPr>
          <w:rFonts w:hint="eastAsia" w:ascii="Times New Roman" w:hAnsi="Times New Roman" w:eastAsia="宋体" w:cs="Times New Roman"/>
          <w:kern w:val="0"/>
        </w:rPr>
        <w:t>.</w:t>
      </w:r>
      <w:r>
        <w:rPr>
          <w:rFonts w:ascii="Times New Roman" w:hAnsi="Times New Roman" w:eastAsia="宋体" w:cs="Times New Roman"/>
          <w:kern w:val="0"/>
        </w:rPr>
        <w:t>1]</w:t>
      </w:r>
    </w:p>
    <w:p>
      <w:pPr>
        <w:adjustRightInd w:val="0"/>
        <w:snapToGrid w:val="0"/>
        <w:spacing w:line="300" w:lineRule="auto"/>
        <w:ind w:firstLine="420" w:firstLineChars="200"/>
        <w:rPr>
          <w:rFonts w:ascii="Times New Roman" w:hAnsi="Times New Roman" w:eastAsia="宋体" w:cs="Times New Roman"/>
          <w:kern w:val="0"/>
        </w:rPr>
      </w:pPr>
      <w:r>
        <w:rPr>
          <w:rFonts w:ascii="Times New Roman" w:hAnsi="Times New Roman" w:eastAsia="宋体" w:cs="Times New Roman"/>
          <w:kern w:val="0"/>
        </w:rPr>
        <w:t>2．以马克思主义作为指导思想的理论基础，并把马克思主义同中国的具体实际结合起来，坚定不移地选择社会主义和坚持不懈地建设和发展社会主义，不断学习、自我完善。[12</w:t>
      </w:r>
      <w:r>
        <w:rPr>
          <w:rFonts w:hint="eastAsia" w:ascii="Times New Roman" w:hAnsi="Times New Roman" w:eastAsia="宋体" w:cs="Times New Roman"/>
          <w:kern w:val="0"/>
        </w:rPr>
        <w:t>.</w:t>
      </w:r>
      <w:r>
        <w:rPr>
          <w:rFonts w:ascii="Times New Roman" w:hAnsi="Times New Roman" w:eastAsia="宋体" w:cs="Times New Roman"/>
          <w:kern w:val="0"/>
        </w:rPr>
        <w:t>2]</w:t>
      </w:r>
    </w:p>
    <w:p>
      <w:pPr>
        <w:adjustRightInd w:val="0"/>
        <w:snapToGrid w:val="0"/>
        <w:spacing w:line="300" w:lineRule="auto"/>
        <w:ind w:firstLine="420" w:firstLineChars="200"/>
        <w:rPr>
          <w:rFonts w:ascii="Times New Roman" w:hAnsi="Times New Roman" w:eastAsia="宋体" w:cs="Times New Roman"/>
          <w:kern w:val="0"/>
        </w:rPr>
      </w:pPr>
      <w:r>
        <w:rPr>
          <w:rFonts w:ascii="Times New Roman" w:hAnsi="Times New Roman" w:eastAsia="宋体" w:cs="Times New Roman"/>
          <w:kern w:val="0"/>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5858"/>
        <w:gridCol w:w="68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7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85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5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8．职业规范</w:t>
            </w:r>
          </w:p>
        </w:tc>
        <w:tc>
          <w:tcPr>
            <w:tcW w:w="5858" w:type="dxa"/>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1</w:t>
            </w:r>
            <w:r>
              <w:rPr>
                <w:rFonts w:hint="eastAsia" w:ascii="Times New Roman" w:hAnsi="Times New Roman" w:eastAsia="宋体" w:cs="Times New Roman"/>
                <w:sz w:val="18"/>
                <w:szCs w:val="18"/>
                <w:shd w:val="clear" w:color="auto" w:fill="FEFEFF"/>
              </w:rPr>
              <w:t>坚持以德立身、以德立学，树立正确的人生观、民族观、国家观和价值观，具有良好的人文社会科学素养和社会责任感</w:t>
            </w:r>
            <w:r>
              <w:rPr>
                <w:rFonts w:ascii="Times New Roman" w:hAnsi="Times New Roman" w:eastAsia="宋体" w:cs="Times New Roman"/>
                <w:sz w:val="18"/>
                <w:szCs w:val="18"/>
                <w:shd w:val="clear" w:color="auto" w:fill="FEFEFF"/>
              </w:rPr>
              <w:t>。</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479"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12．终身学习</w:t>
            </w:r>
          </w:p>
        </w:tc>
        <w:tc>
          <w:tcPr>
            <w:tcW w:w="5858"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12.2</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针对个人和职业发展的需求，具有不断学习、自我完善能力和可持续发展的身体素质和学习能力。</w:t>
            </w:r>
          </w:p>
        </w:tc>
        <w:tc>
          <w:tcPr>
            <w:tcW w:w="689"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w:t>
            </w:r>
          </w:p>
        </w:tc>
        <w:tc>
          <w:tcPr>
            <w:tcW w:w="655"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0.5</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0"/>
        <w:gridCol w:w="23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39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培养学生把握毛泽东思想和中国特色社会主义理论体系的精神实质，坚定中国特色社会主义的道路自信、理论自信、制度自信、文化自信，树立正确的人生观、世界观、价值观，具有良好的人文社会科学素养和社会责任感。</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2．以马克思主义作为指导思想的理论基础，并把马克思主义同中国的具体实际结合起来，坚定不移地选择社会主义和坚持不懈地建设和发展社会主义，不断学习、自我完善。</w:t>
            </w:r>
          </w:p>
        </w:tc>
        <w:tc>
          <w:tcPr>
            <w:tcW w:w="23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1．课堂讲授为主，网络多媒体教学为辅，注重案例教学，案例由浅入深，结合课程中的相应知识点进行分析。</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2．根据课程特点采用启发式教学、案例教学法进行教学方法创新。</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 树立新的学习理念，培养优良学风。认识当代大学生的历史使命。明确当代大学生的成才目标。塑造当代大学生的崭新形象。</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120"/>
        <w:gridCol w:w="3214"/>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blHeader/>
        </w:trPr>
        <w:tc>
          <w:tcPr>
            <w:tcW w:w="583" w:type="dxa"/>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3120"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3214" w:type="dxa"/>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b/>
                <w:sz w:val="18"/>
                <w:szCs w:val="18"/>
                <w:shd w:val="clear" w:color="auto" w:fill="FEFEFF"/>
              </w:rPr>
            </w:pPr>
            <w:r>
              <w:rPr>
                <w:rFonts w:ascii="Times New Roman" w:hAnsi="Times New Roman" w:eastAsia="宋体" w:cs="Times New Roman"/>
                <w:b/>
                <w:sz w:val="18"/>
                <w:szCs w:val="18"/>
                <w:shd w:val="clear" w:color="auto" w:fill="FEFEFF"/>
              </w:rPr>
              <w:t>1</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 毛泽东思想及其历史地位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1.1. 毛泽东思想的形成和发展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（1）毛泽东思想形成发展的历史条件</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（2）毛泽东思想形成发展的过程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 毛泽东思想的主要内容和活的灵魂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（1）毛泽东思想的主要内容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（2）毛泽东思想活的灵魂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1.3 毛泽东思想的历史地位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（1）马克思主义中国化的第一个重大理论成果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（2）中国革命和建设的科学指南</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三、中国共产党和中国人民宝贵的精神财富</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（1）了解毛泽东思想形成发展的历史条件、毛泽东思想形成发展的过程。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（2）重点掌握毛泽东思想的主要内容、毛泽东思想活的灵魂。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（1）结合教材里讲述的有关理论，了解这两篇报告的出台背景、内容和意义。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（2）阅读：毛泽东所作《论新阶段》《论十大关系》。</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讲授式、讨论式、案例式与启发式相结合。</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 新民主主义革命理论</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2.1 新民主主义革命理论形成的依据</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（1）近代中国国情和中国革命的时代特征</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（2）新民主主义革命理论的实践基础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2.2 新民主主义革命的总路线和基本纲领</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（1）新民主主义革命的总路线</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（2）新民主主义的基本纲领</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2.3 新民主主义革命的道路和基本经验</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（1）新民主主义革命的道路</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（2）新民主主义革命的三大法宝</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（3）新民主主义革命理论的意义</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（1）了解新民主主义革命理论的形成、基本内容及其意义。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（2）重点掌握中国革命的历史，认识中国革命的发展规律。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（1）结合教材里讲述的有关理论，了解这两篇文章的写作背景、内容和意义。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（2）阅读：毛泽东《中国革命战争的战略问题》《新民主主义论》。</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讲授式、讨论式、案例式与启发式相结合。</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 社会主义改造理论</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3.1 从新民主主义到社会主义的转变</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（1）新民主主义社会是一个过渡性的社会</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（2）党在过渡时期的总路线及其理论依据</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3.2 社会主义改造道路和历史经验</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（1）适合中国特点的社会主义改造道路</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（2）社会主义改造的历史经验</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3.3 社会主义制度在中国的确立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（1）社会主义基本制度的确立及其理论依据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（2）确立社会主义基本制度的重大意义</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（1）了解社会主义改造道路和历史经验</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（2）重点掌握社会主义基本制度的确立及其理论依据及确立社会主义基本制度的重大意义。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（1）结合教材里讲述的有关理论，了解这两篇文章/报告的出台背景、内容和意义。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（2）阅读：毛泽东《关于农业互助合作的两次谈话》《关于国家资本主义经济》。</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讲授式、讨论式、案例式与启发式相结合。</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 社会主义建设道路初步探索的理论成果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4.1 初步探索的重要理论成果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（1）调动一切积极因素为社会主义事业服务的思想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（2）正确认识和处理社会主义社会矛盾的思想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（3）走中国工业化道路的思想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4.2 初步探索的意义和经验教训</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（1）社会主义建设道路初步探索的意义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（2）社会主义建设道路初步探索的经验教训</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（1）了解并掌握中国精神的主要内容，爱国主义的内涵及其传统，中国当前弘扬爱国主义的必要性，改革创新时代精神的内涵及相关要求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（2）重点掌握社会主义建设道路初步探索的意义及社会主义建设道路初步探索的经验教训。</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（1）结合教材里讲述的有关理论，了解这篇文章的写作背景、内容和意义。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（2）阅读：毛泽东《关于正确处理人民内部矛盾的问题》。</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讲授式、讨论式、案例式与启发式相结合。</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1"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 邓小平理论</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5.1 邓小平理论的形成</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（1）邓小平理论的形成条件</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（2）邓小平理论的形成过程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5.2 邓小平理论的基本问题和主要内容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（1）邓小平理论回答的基本问题</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（2）邓小平理论的主要内容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5.3 邓小平理论的历史地位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（1）马克思列宁主义、毛泽东思想的继承和发展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（2）中国特色社会主义理论体系的开篇之作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（3）改革开放和社会主义现代化建设的科学指南</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（1）了解邓小平社会主义本质理论提出的背景，深刻理解社会主义本质的科学内涵。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（2）重点掌握社会主义本质理论对于中国特色社会主义建设事业所具有的重大意义。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（1）了解邓小平文选有关两手抓理论、社会主义初级阶段理论、改革开放论、一国两制理论等问题的有关论述。</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（2）阅读：《邓小平文选》第三卷，人民出版社，1993年版。</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讲授式、讨论式、案例式与启发式相结合。</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 “三个代表”重要思想</w:t>
            </w:r>
            <w:r>
              <w:rPr>
                <w:rFonts w:ascii="Times New Roman" w:hAnsi="Times New Roman" w:eastAsia="宋体" w:cs="Times New Roman"/>
                <w:sz w:val="18"/>
                <w:szCs w:val="18"/>
                <w:shd w:val="clear" w:color="auto" w:fill="FEFEFF"/>
              </w:rPr>
              <w:tab/>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6.1 “三个代表”重要思想的形成</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（1）“三个代表”重要思想的形成条件</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（2）“三个代表”重要思想的形成过程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6.2 “三个代表”重要思想的核心观点和主要内容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（1）“三个代表”重要思想的核心观点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（2）“三个代表”重要思想的主要内容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6.3 “三个代表”重要思想的历史地位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（1）中国特色社会主义理论体系的接续发展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（2）加强和改进党的建设，推进中国特色社会主义事业的强大理论武器</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理解“三个代表”重要思想的本质意义在于进一步回答了什么是社会主义、怎样建设社会主义的问题，创造性地回答了建设什么样的党、怎样建设党的问题，丰富和发展了中国特色社会主义理论体系，开创全面改革开放新局面，推进党的建设新的伟大工程，成功把中国特色社会主义推向21世纪。</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 科学发展观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7.1 科学发展观的形成</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（1）科学发展观形成的条件</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（2）科学发展观形成的过程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7.2 科学发展观的科学内涵和主要内容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（1）科学发展观形成的内涵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（2）科学发展观形成的主要内容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7.3 科学发展观的历史地位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（1）中国特色社会主义理论体系的接续发展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（2）发展中国特色社会主义必须长期坚持的指导思想</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（1）理解科学发展观提出的背景，深谙其科学内涵。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（2）重点掌握科学发展观之于新时期建构中国特色社会主义伟大工程所内蕴之理论价值、现实意义。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课堂讲授，视频播放，问题讨论法。</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p>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 习近平新时代中国特色社会主义思想及其历史地位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8.1中国特色社会主义进入新时代</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（1）历史性成就和历史性变革</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（2）社会主要矛盾的变化</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（3）新时代的内涵和意义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8.2 习近平新时代中国特色社会主义思想的主要内容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（1）习近平新时代中国特色社会主义思想的核心要义和丰富内涵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（2）坚持和发展中国特色社会主义的基本方略</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8.3 习近平新时代中国特色社会主义思想的历史地位</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（1）马克思主义中国化的最新成果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（2）新时代的精神旗帜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（3）实现中华民族伟大复兴的行动指南</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（1）理解习近平新时代中国特色社会主义思想孕育的背景，澄明新时代之内涵及其与新思想之间的关系，使学生切实领会这一思想的主要开创性内容及其开辟马克思主义理论新境界的贡献、当代意义。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（1）了解习近平理论风格和语言风格。</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（2）阅读：《习近平谈治国理政》，外文出版社，2013年版。</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课堂讲授，结合视频播放，问题讨论法。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9</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9 坚持和发展中国特色社会主义的总任务</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9.1 实现中华民族伟大复兴的中国梦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（1）中华民族近代以来最伟大的梦想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（2）中国梦的科学内涵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（3）奋力实现中国梦</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9.2 建成社会主义现代化强国的战略安排</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（1）开启全面建设社会主义现代化强国的新征程</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（2）实现社会主义现代化强国“两步走”战略的具体安排</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（1）了解实现中华民族伟大复兴是近代以来中华民族最伟大的梦想。中国梦的本质是国家富强、民族振兴、人民幸福。实现中国梦必须走中国道路，弘扬中国精神，凝聚中国力量。</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（2）重点掌握社会主义本质理论对于中国特色社会主义建设事业所具有的重大意义。</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（1）观看后思考为什么说“实现中华民族伟大复兴，就是中华民族近代以来最伟大的梦想”。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（2）上网观看《复兴之路》展览。</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课堂讲授，结合视频播放，问题讨论法。</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 “五位一体”总体布局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10.1 建设现代化经济体系</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（1）贯彻新发展理念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（2）深化供给侧结构性改革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（3）建设现代化经济体系的主要任务</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10.2 发展社会主义民主政治</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（1）坚持中国特色社会主义政治发展道路</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（2）健全人民当家作主制度体系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（3）巩固和发展爱国统一战线</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（4）坚持“一国两制”，推进祖国统一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10.3 推动社会主义文化繁荣兴盛</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（1）牢牢掌握意识形态工作领导权</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（2）培育和践行社会主义核心价值观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（3）坚定文化自信，建设社会主义文化强国</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10.4 坚持在发展中保障和改善民生</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（1）提高保障和改善民生水平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（2）加强和创新社会治理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（3）坚持总体国家安全观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10.5 建设美丽中国</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（1）坚持人与自然和谐共生</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（2）形成人与自然和谐发展新格局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（3）加快生态文明体制改革</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贯彻新发展理念，建设现代化经济体系是中国特色社会主义经济建设的重要内容，进一步明确以深化供给侧结构性改革为主线，推动经济发展质量变革、效率变革、动力变革，实现高质量增长的必要性。</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健全人民当家作主的制度体系是中国特色社会主义民主政治的最重要内容。坚持走中国特色社会主义政治发展道路，坚持人民当家作主，充分发挥社会主义协商民主和爱国统一战线的重要作用。坚持“一国两制”，推进祖国统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（1）结合阅读，了解我国实施的“精准扶贫”战略的成就，思考该战略取得伟大成就的原因。</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（2）阅读：习近平：《摆脱贫困》，福建人民出版社，2014年版。</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课堂讲授，结合视频播放，问题讨论法。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8</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11</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11 全面推进国防和军队现代化</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11.1 坚持走中国特色强军之路</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（1）习近平强军思想</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（2）坚持党对人民军队的绝对领导</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（3）建设世界一流军队</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11.2 推动军民深度融合发展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（1）坚持富国和强军相统一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（2）加快形成军民融合深度发展格局</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（1）理解军民深度融合发展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（2）掌握习近平强军思想、坚持党对人民军队的绝对领导。</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2.作业内容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（1）了解邓小平文选有关两手抓理论、社会主义初级阶段理论、改革开放论、一国两制理论等问题的有关论述。</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（2）阅读：《邓小平文选》第三卷，人民出版社，1993年版。</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3.教学方法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 中国特色大国外交</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12.1 坚持和平发展道路</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（1）世界正处于大发展大变革大调整时期</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（2）坚持独立自主和平外交政策</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（3）推动建立新型国际关系</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12.2 推动构建人类命运共同体</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（1）构建人类命运共同体思想的内涵</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（2）促进“一带一路”国际合作</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（3）共商共建人类命运共同体</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（1）了解当今世界正处于大发展大变革大调整时期，维护世界和平、促进共同发展是中国外交政策的宗旨，中国将坚定不移奉行独立自主的和平外交政策，推动建立新型国际关系。</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理解“一带一路”建设顺应时代潮流，适应发展规律，符合各国人民利益，具有广阔前景。理解构建人类命运共同体既是中国外交的崇高目标，也是世界各国的共同责任和历史使命，世界各国应携手合作，共同努力构建人类命运共同体，建设一个更加美好的世界。</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课堂讲授，结合视频播放，问题讨论法。</w:t>
            </w: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3" w:type="dxa"/>
            <w:tcMar>
              <w:left w:w="57" w:type="dxa"/>
              <w:right w:w="57" w:type="dxa"/>
            </w:tcMar>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13</w:t>
            </w:r>
          </w:p>
        </w:tc>
        <w:tc>
          <w:tcPr>
            <w:tcW w:w="312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13 坚持和加强党的领导</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13.1 实现中华民族伟大复兴关键在党</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（1）中国共产党的领导地位是历史和人民的选择</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（2）中国特色社会主义最本质的特征</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（3）新时代中国共产党的历史使命</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13.2 坚持党对一切工作的领导</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（1）党是最高政治领导力量</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（2）确保党始终总览全局协调各方</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（3）全面增强党的执政本领</w:t>
            </w:r>
          </w:p>
        </w:tc>
        <w:tc>
          <w:tcPr>
            <w:tcW w:w="3214"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1.要求</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（1）理解中国特色社会主义最本质的特征。</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（2）重点掌握中国共产党的领导地位是历史和人民的选择。</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 xml:space="preserve">2.教学方法 </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课堂讲授，问题讨论法。</w:t>
            </w:r>
          </w:p>
          <w:p>
            <w:pPr>
              <w:widowControl/>
              <w:adjustRightInd w:val="0"/>
              <w:snapToGrid w:val="0"/>
              <w:spacing w:line="300" w:lineRule="auto"/>
              <w:jc w:val="left"/>
              <w:rPr>
                <w:rFonts w:ascii="Times New Roman" w:hAnsi="Times New Roman" w:eastAsia="宋体" w:cs="Times New Roman"/>
                <w:sz w:val="18"/>
                <w:szCs w:val="18"/>
                <w:shd w:val="clear" w:color="auto" w:fill="FEFEFF"/>
              </w:rPr>
            </w:pPr>
          </w:p>
        </w:tc>
        <w:tc>
          <w:tcPr>
            <w:tcW w:w="734"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w:t>
            </w:r>
          </w:p>
        </w:tc>
        <w:tc>
          <w:tcPr>
            <w:tcW w:w="1030" w:type="dxa"/>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1，2</w:t>
            </w:r>
          </w:p>
        </w:tc>
      </w:tr>
    </w:tbl>
    <w:p>
      <w:pPr>
        <w:adjustRightInd w:val="0"/>
        <w:snapToGrid w:val="0"/>
        <w:spacing w:before="156" w:beforeLines="50" w:line="300" w:lineRule="auto"/>
        <w:ind w:firstLine="420" w:firstLineChars="200"/>
        <w:rPr>
          <w:rFonts w:ascii="Times New Roman" w:hAnsi="Times New Roman" w:eastAsia="宋体" w:cs="Times New Roman"/>
        </w:rPr>
      </w:pPr>
      <w:r>
        <w:rPr>
          <w:rFonts w:ascii="Times New Roman" w:hAnsi="Times New Roman" w:eastAsia="宋体" w:cs="Times New Roman"/>
        </w:rPr>
        <w:t>实践内容见表4所示。</w:t>
      </w: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 实践安排表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58"/>
        <w:gridCol w:w="2254"/>
        <w:gridCol w:w="752"/>
        <w:gridCol w:w="752"/>
        <w:gridCol w:w="752"/>
        <w:gridCol w:w="752"/>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7" w:type="dxa"/>
            <w:vAlign w:val="center"/>
          </w:tcPr>
          <w:p>
            <w:pPr>
              <w:adjustRightInd w:val="0"/>
              <w:snapToGrid w:val="0"/>
              <w:spacing w:line="300" w:lineRule="auto"/>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序号</w:t>
            </w:r>
          </w:p>
        </w:tc>
        <w:tc>
          <w:tcPr>
            <w:tcW w:w="195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实践项目名称</w:t>
            </w:r>
          </w:p>
        </w:tc>
        <w:tc>
          <w:tcPr>
            <w:tcW w:w="225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目的要求</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学时</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分配</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实践</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类型</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每组</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人数</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必开</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选开</w:t>
            </w:r>
          </w:p>
        </w:tc>
        <w:tc>
          <w:tcPr>
            <w:tcW w:w="754" w:type="dxa"/>
            <w:vAlign w:val="center"/>
          </w:tcPr>
          <w:p>
            <w:pPr>
              <w:adjustRightInd w:val="0"/>
              <w:snapToGrid w:val="0"/>
              <w:spacing w:line="300" w:lineRule="auto"/>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课程</w:t>
            </w:r>
          </w:p>
          <w:p>
            <w:pPr>
              <w:adjustRightInd w:val="0"/>
              <w:snapToGrid w:val="0"/>
              <w:spacing w:line="300" w:lineRule="auto"/>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958"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《论新阶段》《论十大关系》阅读</w:t>
            </w:r>
          </w:p>
        </w:tc>
        <w:tc>
          <w:tcPr>
            <w:tcW w:w="2254"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了解毛泽东思想的主要内容</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验证</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75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7"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958"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《中国革命战争的战略问题》《新民主主义论》阅读</w:t>
            </w:r>
          </w:p>
        </w:tc>
        <w:tc>
          <w:tcPr>
            <w:tcW w:w="2254"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了解新民主主义革命理论</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验证</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75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707"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958"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《关于正确处理人民内部矛盾的问题》</w:t>
            </w:r>
          </w:p>
        </w:tc>
        <w:tc>
          <w:tcPr>
            <w:tcW w:w="2254"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正确认识和处理社会主义社会矛盾的思想</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验证</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75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07"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958"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sz w:val="18"/>
                <w:szCs w:val="18"/>
                <w:shd w:val="clear" w:color="auto" w:fill="FEFEFF"/>
              </w:rPr>
              <w:t>《复兴之路》视频观看</w:t>
            </w:r>
          </w:p>
        </w:tc>
        <w:tc>
          <w:tcPr>
            <w:tcW w:w="2254" w:type="dxa"/>
            <w:vAlign w:val="center"/>
          </w:tcPr>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shd w:val="clear" w:color="auto" w:fill="FEFEFF"/>
              </w:rPr>
              <w:t>了解中华民族伟大复兴之路</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验证</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75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1．考核方式：闭卷笔试，平时测验及作业，课堂实践。</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2．成绩构成：笔试成绩60%，平时成绩40%（课后作业、课堂表现、随堂测验、课堂实践等）。</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3．考核评价标准见表5所示。</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7"/>
        <w:gridCol w:w="657"/>
        <w:gridCol w:w="640"/>
        <w:gridCol w:w="539"/>
        <w:gridCol w:w="3541"/>
        <w:gridCol w:w="92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4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3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54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2"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3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54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8.1，12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主要考核学生对每章节知识点的理解和掌握程度；每次作业按100分制单独评分，取各次成绩的平均值作为书面作业成绩。</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8.1，12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课堂实践</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根据实验完成质量，以及实验报告质量评分，满分100分。</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8.1，12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平时测验</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541"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做两三次平时测验，每次满分100分。</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8.1，12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56"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考试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64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4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(2)考核重在考核学生掌握基本理论知识和理解、运用基本理论认识问题、分析问题、解决问题的能力。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(3)建议考试题型包括：单项选择题、多项选择题、材料分析题等。</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3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8.1，12</w:t>
            </w:r>
            <w:r>
              <w:rPr>
                <w:rFonts w:ascii="Times New Roman" w:hAnsi="Times New Roman" w:eastAsia="宋体" w:cs="Times New Roman"/>
                <w:sz w:val="18"/>
                <w:szCs w:val="18"/>
              </w:rPr>
              <w:t>.2</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34"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34" DrawAspect="Content" ObjectID="_1468075932" r:id="rId264">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课程总目标达成情况为2个课程目标的加权得分率，其计算公式为：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35"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35" DrawAspect="Content" ObjectID="_1468075933" r:id="rId265">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其中权重系数按照表6设定。</w:t>
      </w: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表6课程目标权重系数</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620"/>
        <w:gridCol w:w="2771"/>
        <w:gridCol w:w="3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262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277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28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262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277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328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36"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36" DrawAspect="Content" ObjectID="_1468075934" r:id="rId266">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1．参考资料</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马克思恩格斯文集(第 1—10 卷). 北京：人民出版社. 2009 .</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毛泽东文集 (第 1.2 卷) [M]. 北京：人民出版社. 1993.</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 xml:space="preserve">毛泽东文集(第 3.4.5 卷) [M]. 北京：人民出版社. 1996. </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毛泽东文集(第 6.7.8 卷) [M]. 北京：人民出版社. 1999.</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毛泽东选集(第 1—4 卷)[M]. 北京：人民出版社. 1991.</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邓小平文选(第 1.2 卷) [M]. 北京：人民出版社. 1994.</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邓小平文选(第 3 卷) [M]. 北京：人民出版社. 1993.</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江泽民文选(第 1.2.3 卷) [M]. 北京：人民出版社. 2006.</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胡锦涛文选(第 1.2.3 卷)[M]. 北京：人民出版社. 2016.</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习近平.摆脱贫困[M]. 福建福州：福建人民出版社. 2014.</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习近平.之江新语[M]. 浙江杭州：浙江人民出版社. 2013.</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习近平.习近平谈治国理政[M]. 北京：外文出版社. 2013.</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习近平.知之深 爱之初[M]. 河北石家庄：河北人民出版社. 2015.</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习近平.福州市20年经济社会发展战略设想[M]. 福建福州：福 建美术出版社. 1993.</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习近平.干在实处 走在前列---推进浙江新发展的思考与实践 [M]. 北京：中央党校出版社. 2006.</w:t>
      </w:r>
    </w:p>
    <w:p>
      <w:pPr>
        <w:numPr>
          <w:ilvl w:val="0"/>
          <w:numId w:val="96"/>
        </w:numPr>
        <w:adjustRightInd w:val="0"/>
        <w:snapToGrid w:val="0"/>
        <w:spacing w:line="300" w:lineRule="auto"/>
        <w:rPr>
          <w:rFonts w:ascii="Times New Roman" w:hAnsi="Times New Roman" w:eastAsia="宋体" w:cs="Times New Roman"/>
        </w:rPr>
      </w:pPr>
      <w:r>
        <w:rPr>
          <w:rFonts w:ascii="Times New Roman" w:hAnsi="Times New Roman" w:eastAsia="宋体" w:cs="Times New Roman"/>
          <w:szCs w:val="21"/>
        </w:rPr>
        <w:t>党的一大至十九大政治报告。</w:t>
      </w:r>
    </w:p>
    <w:tbl>
      <w:tblPr>
        <w:tblStyle w:val="65"/>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jc w:val="right"/>
              <w:rPr>
                <w:rFonts w:ascii="Times New Roman" w:hAnsi="Times New Roman" w:cs="Times New Roman"/>
                <w:szCs w:val="21"/>
              </w:rPr>
            </w:pPr>
            <w:r>
              <w:rPr>
                <w:rFonts w:ascii="Times New Roman" w:hAnsi="Times New Roman" w:cs="Times New Roman"/>
                <w:szCs w:val="21"/>
              </w:rPr>
              <w:t xml:space="preserve">日  期： </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p>
            <w:pPr>
              <w:snapToGrid w:val="0"/>
              <w:spacing w:line="300" w:lineRule="auto"/>
              <w:jc w:val="right"/>
              <w:rPr>
                <w:rFonts w:ascii="Times New Roman" w:hAnsi="Times New Roman" w:cs="Times New Roman"/>
                <w:szCs w:val="21"/>
              </w:rPr>
            </w:pPr>
          </w:p>
        </w:tc>
      </w:tr>
    </w:tbl>
    <w:p>
      <w:pPr>
        <w:snapToGrid w:val="0"/>
        <w:spacing w:before="156" w:beforeLines="50" w:after="156" w:afterLines="50" w:line="300" w:lineRule="auto"/>
        <w:jc w:val="center"/>
        <w:rPr>
          <w:rFonts w:ascii="Times New Roman" w:hAnsi="Times New Roman" w:eastAsia="宋体" w:cs="Times New Roman"/>
          <w:b/>
          <w:bCs/>
          <w:sz w:val="32"/>
          <w:szCs w:val="32"/>
        </w:rPr>
      </w:pPr>
      <w:bookmarkStart w:id="351" w:name="_Toc29824970"/>
      <w:bookmarkStart w:id="352" w:name="_Toc22007"/>
      <w:bookmarkStart w:id="353" w:name="_Toc38126082"/>
      <w:bookmarkStart w:id="354" w:name="_Toc46489628"/>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snapToGrid w:val="0"/>
        <w:spacing w:before="156" w:beforeLines="50" w:after="156" w:afterLines="50" w:line="300" w:lineRule="auto"/>
        <w:jc w:val="center"/>
        <w:rPr>
          <w:rFonts w:ascii="Times New Roman" w:hAnsi="Times New Roman" w:eastAsia="宋体" w:cs="Times New Roman"/>
          <w:b/>
          <w:bCs/>
          <w:sz w:val="32"/>
          <w:szCs w:val="32"/>
        </w:rPr>
      </w:pPr>
    </w:p>
    <w:p>
      <w:pPr>
        <w:pStyle w:val="3"/>
        <w:jc w:val="center"/>
        <w:rPr>
          <w:rFonts w:ascii="Times New Roman" w:hAnsi="Times New Roman" w:eastAsia="宋体" w:cs="Times New Roman"/>
          <w:bCs/>
          <w:szCs w:val="32"/>
        </w:rPr>
      </w:pPr>
      <w:bookmarkStart w:id="355" w:name="_Toc47718749"/>
      <w:bookmarkStart w:id="356" w:name="_Toc47719721"/>
      <w:bookmarkStart w:id="357" w:name="_Toc47774678"/>
      <w:r>
        <w:rPr>
          <w:rFonts w:ascii="Times New Roman" w:hAnsi="Times New Roman" w:eastAsia="宋体" w:cs="Times New Roman"/>
          <w:bCs/>
          <w:szCs w:val="32"/>
        </w:rPr>
        <w:br w:type="page"/>
      </w:r>
      <w:bookmarkStart w:id="358" w:name="_Toc14197"/>
      <w:bookmarkStart w:id="359" w:name="_Toc11701"/>
      <w:r>
        <w:rPr>
          <w:rFonts w:hint="eastAsia" w:ascii="Times New Roman" w:hAnsi="Times New Roman" w:eastAsia="宋体" w:cs="Times New Roman"/>
        </w:rPr>
        <w:t>28511401</w:t>
      </w:r>
      <w:r>
        <w:rPr>
          <w:rFonts w:ascii="Times New Roman" w:hAnsi="Times New Roman" w:eastAsia="宋体" w:cs="Times New Roman"/>
        </w:rPr>
        <w:t>《形势与政策教育》课程教学大纲</w:t>
      </w:r>
      <w:bookmarkEnd w:id="351"/>
      <w:bookmarkEnd w:id="352"/>
      <w:bookmarkEnd w:id="353"/>
      <w:bookmarkEnd w:id="354"/>
      <w:bookmarkEnd w:id="355"/>
      <w:bookmarkEnd w:id="356"/>
      <w:bookmarkEnd w:id="357"/>
      <w:bookmarkEnd w:id="358"/>
      <w:bookmarkEnd w:id="359"/>
    </w:p>
    <w:tbl>
      <w:tblPr>
        <w:tblStyle w:val="66"/>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800"/>
        <w:gridCol w:w="1335"/>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2800" w:type="dxa"/>
            <w:vAlign w:val="center"/>
          </w:tcPr>
          <w:p>
            <w:pPr>
              <w:jc w:val="center"/>
              <w:rPr>
                <w:rFonts w:ascii="Times New Roman" w:hAnsi="Times New Roman" w:cs="Times New Roman"/>
                <w:szCs w:val="21"/>
              </w:rPr>
            </w:pPr>
            <w:r>
              <w:rPr>
                <w:rFonts w:hint="eastAsia" w:ascii="Times New Roman" w:hAnsi="Times New Roman" w:cs="Times New Roman"/>
                <w:bCs/>
                <w:szCs w:val="21"/>
              </w:rPr>
              <w:t>28511401</w:t>
            </w:r>
          </w:p>
        </w:tc>
        <w:tc>
          <w:tcPr>
            <w:tcW w:w="1335"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3198" w:type="dxa"/>
            <w:vAlign w:val="center"/>
          </w:tcPr>
          <w:p>
            <w:pPr>
              <w:jc w:val="center"/>
              <w:rPr>
                <w:rFonts w:ascii="Times New Roman" w:hAnsi="Times New Roman" w:cs="Times New Roman"/>
                <w:szCs w:val="21"/>
              </w:rPr>
            </w:pPr>
            <w:r>
              <w:rPr>
                <w:rFonts w:ascii="Times New Roman" w:hAnsi="Times New Roman" w:cs="Times New Roman"/>
                <w:szCs w:val="21"/>
              </w:rPr>
              <w:t>形势与政策教育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课程性质</w:t>
            </w:r>
            <w:r>
              <w:rPr>
                <w:rFonts w:ascii="Times New Roman" w:hAnsi="Times New Roman" w:cs="Times New Roman"/>
              </w:rPr>
              <w:t>*</w:t>
            </w:r>
          </w:p>
        </w:tc>
        <w:tc>
          <w:tcPr>
            <w:tcW w:w="2800"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335"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3198"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Current Situation and Policy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2800" w:type="dxa"/>
            <w:vAlign w:val="center"/>
          </w:tcPr>
          <w:p>
            <w:pPr>
              <w:jc w:val="center"/>
              <w:rPr>
                <w:rFonts w:ascii="Times New Roman" w:hAnsi="Times New Roman" w:cs="Times New Roman"/>
                <w:szCs w:val="21"/>
              </w:rPr>
            </w:pPr>
            <w:r>
              <w:rPr>
                <w:rFonts w:ascii="Times New Roman" w:hAnsi="Times New Roman" w:cs="Times New Roman"/>
                <w:bCs/>
                <w:szCs w:val="21"/>
              </w:rPr>
              <w:t>2</w:t>
            </w:r>
            <w:r>
              <w:rPr>
                <w:rFonts w:ascii="Times New Roman" w:hAnsi="Times New Roman" w:cs="Times New Roman"/>
                <w:szCs w:val="21"/>
              </w:rPr>
              <w:t xml:space="preserve"> : 64（8）</w:t>
            </w:r>
          </w:p>
        </w:tc>
        <w:tc>
          <w:tcPr>
            <w:tcW w:w="1335"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3198" w:type="dxa"/>
            <w:vAlign w:val="center"/>
          </w:tcPr>
          <w:p>
            <w:pPr>
              <w:jc w:val="center"/>
              <w:rPr>
                <w:rFonts w:ascii="Times New Roman" w:hAnsi="Times New Roman" w:cs="Times New Roman"/>
                <w:szCs w:val="21"/>
              </w:rPr>
            </w:pPr>
            <w:r>
              <w:rPr>
                <w:rFonts w:ascii="Times New Roman" w:hAnsi="Times New Roman" w:cs="Times New Roman"/>
                <w:szCs w:val="21"/>
              </w:rPr>
              <w:t>马克思主义基础教研室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348" w:type="dxa"/>
            <w:vAlign w:val="center"/>
          </w:tcPr>
          <w:p>
            <w:pPr>
              <w:jc w:val="center"/>
              <w:rPr>
                <w:rFonts w:ascii="Times New Roman" w:hAnsi="Times New Roman" w:cs="Times New Roman"/>
                <w:bCs/>
                <w:szCs w:val="21"/>
              </w:rPr>
            </w:pPr>
            <w:r>
              <w:rPr>
                <w:rFonts w:ascii="Times New Roman" w:hAnsi="Times New Roman" w:cs="Times New Roman"/>
                <w:bCs/>
                <w:szCs w:val="21"/>
              </w:rPr>
              <w:t>企业专家</w:t>
            </w:r>
          </w:p>
        </w:tc>
        <w:tc>
          <w:tcPr>
            <w:tcW w:w="2800" w:type="dxa"/>
            <w:vAlign w:val="center"/>
          </w:tcPr>
          <w:p>
            <w:pPr>
              <w:widowControl/>
              <w:jc w:val="center"/>
              <w:rPr>
                <w:rFonts w:ascii="Times New Roman" w:hAnsi="Times New Roman" w:cs="Times New Roman"/>
                <w:szCs w:val="21"/>
              </w:rPr>
            </w:pPr>
            <w:r>
              <w:rPr>
                <w:rFonts w:ascii="Times New Roman" w:hAnsi="Times New Roman" w:cs="Times New Roman"/>
                <w:szCs w:val="21"/>
              </w:rPr>
              <w:t>曾耿滨</w:t>
            </w:r>
          </w:p>
        </w:tc>
        <w:tc>
          <w:tcPr>
            <w:tcW w:w="1335" w:type="dxa"/>
            <w:vAlign w:val="center"/>
          </w:tcPr>
          <w:p>
            <w:pPr>
              <w:jc w:val="center"/>
              <w:rPr>
                <w:rFonts w:ascii="Times New Roman" w:hAnsi="Times New Roman" w:cs="Times New Roman"/>
                <w:bCs/>
                <w:szCs w:val="21"/>
              </w:rPr>
            </w:pPr>
            <w:r>
              <w:rPr>
                <w:rFonts w:ascii="Times New Roman" w:hAnsi="Times New Roman" w:cs="Times New Roman"/>
                <w:bCs/>
                <w:szCs w:val="21"/>
              </w:rPr>
              <w:t>行业专家</w:t>
            </w:r>
          </w:p>
        </w:tc>
        <w:tc>
          <w:tcPr>
            <w:tcW w:w="3198" w:type="dxa"/>
            <w:vAlign w:val="center"/>
          </w:tcPr>
          <w:p>
            <w:pPr>
              <w:widowControl/>
              <w:jc w:val="center"/>
              <w:rPr>
                <w:rFonts w:ascii="Times New Roman" w:hAnsi="Times New Roman" w:cs="Times New Roman"/>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2800" w:type="dxa"/>
            <w:vAlign w:val="center"/>
          </w:tcPr>
          <w:p>
            <w:pPr>
              <w:widowControl/>
              <w:jc w:val="center"/>
              <w:rPr>
                <w:rFonts w:ascii="Times New Roman" w:hAnsi="Times New Roman" w:cs="Times New Roman"/>
                <w:szCs w:val="21"/>
              </w:rPr>
            </w:pPr>
            <w:r>
              <w:rPr>
                <w:rFonts w:ascii="Times New Roman" w:hAnsi="Times New Roman" w:cs="Times New Roman"/>
                <w:szCs w:val="21"/>
              </w:rPr>
              <w:t>黄沙</w:t>
            </w:r>
          </w:p>
        </w:tc>
        <w:tc>
          <w:tcPr>
            <w:tcW w:w="1335"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3198" w:type="dxa"/>
            <w:vAlign w:val="center"/>
          </w:tcPr>
          <w:p>
            <w:pPr>
              <w:widowControl/>
              <w:jc w:val="center"/>
              <w:rPr>
                <w:rFonts w:ascii="Times New Roman" w:hAnsi="Times New Roman" w:cs="Times New Roman"/>
                <w:szCs w:val="21"/>
              </w:rPr>
            </w:pPr>
            <w:r>
              <w:rPr>
                <w:rFonts w:ascii="Times New Roman" w:hAnsi="Times New Roman" w:cs="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2800" w:type="dxa"/>
            <w:vAlign w:val="center"/>
          </w:tcPr>
          <w:p>
            <w:pPr>
              <w:widowControl/>
              <w:jc w:val="center"/>
              <w:rPr>
                <w:rFonts w:ascii="Times New Roman" w:hAnsi="Times New Roman" w:cs="Times New Roman"/>
                <w:szCs w:val="21"/>
              </w:rPr>
            </w:pPr>
            <w:r>
              <w:rPr>
                <w:rFonts w:ascii="Times New Roman" w:hAnsi="Times New Roman" w:cs="Times New Roman"/>
                <w:szCs w:val="21"/>
              </w:rPr>
              <w:t>电子信息工程</w:t>
            </w:r>
          </w:p>
        </w:tc>
        <w:tc>
          <w:tcPr>
            <w:tcW w:w="1335"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3198" w:type="dxa"/>
            <w:vAlign w:val="center"/>
          </w:tcPr>
          <w:p>
            <w:pPr>
              <w:widowControl/>
              <w:jc w:val="center"/>
              <w:rPr>
                <w:rFonts w:ascii="Times New Roman" w:hAnsi="Times New Roman" w:cs="Times New Roman"/>
                <w:szCs w:val="21"/>
              </w:rPr>
            </w:pPr>
            <w:r>
              <w:rPr>
                <w:rFonts w:ascii="Times New Roman" w:hAnsi="Times New Roman" w:cs="Times New Roman"/>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8"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2800" w:type="dxa"/>
            <w:vAlign w:val="center"/>
          </w:tcPr>
          <w:p>
            <w:pPr>
              <w:widowControl/>
              <w:jc w:val="center"/>
              <w:rPr>
                <w:rFonts w:ascii="Times New Roman" w:hAnsi="Times New Roman" w:cs="Times New Roman"/>
                <w:bCs/>
                <w:szCs w:val="21"/>
              </w:rPr>
            </w:pPr>
            <w:r>
              <w:rPr>
                <w:rFonts w:ascii="Times New Roman" w:hAnsi="Times New Roman" w:cs="Times New Roman"/>
                <w:szCs w:val="21"/>
              </w:rPr>
              <w:t>无</w:t>
            </w:r>
          </w:p>
        </w:tc>
        <w:tc>
          <w:tcPr>
            <w:tcW w:w="1335" w:type="dxa"/>
            <w:vAlign w:val="center"/>
          </w:tcPr>
          <w:p>
            <w:pPr>
              <w:snapToGrid w:val="0"/>
              <w:spacing w:line="300" w:lineRule="auto"/>
              <w:jc w:val="center"/>
              <w:rPr>
                <w:rFonts w:ascii="Times New Roman" w:hAnsi="Times New Roman" w:cs="Times New Roman"/>
                <w:b/>
                <w:szCs w:val="21"/>
              </w:rPr>
            </w:pPr>
            <w:r>
              <w:rPr>
                <w:rFonts w:ascii="Times New Roman" w:hAnsi="Times New Roman" w:cs="Times New Roman"/>
                <w:szCs w:val="21"/>
              </w:rPr>
              <w:t>同修课程</w:t>
            </w:r>
          </w:p>
        </w:tc>
        <w:tc>
          <w:tcPr>
            <w:tcW w:w="3198"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2800"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335" w:type="dxa"/>
            <w:vAlign w:val="center"/>
          </w:tcPr>
          <w:p>
            <w:pPr>
              <w:snapToGrid w:val="0"/>
              <w:spacing w:line="300" w:lineRule="auto"/>
              <w:jc w:val="center"/>
              <w:rPr>
                <w:rFonts w:ascii="Times New Roman" w:hAnsi="Times New Roman" w:cs="Times New Roman"/>
                <w:szCs w:val="21"/>
              </w:rPr>
            </w:pPr>
            <w:r>
              <w:rPr>
                <w:rFonts w:ascii="Times New Roman" w:hAnsi="Times New Roman" w:cs="Times New Roman"/>
                <w:szCs w:val="21"/>
              </w:rPr>
              <w:t>定稿日期</w:t>
            </w:r>
          </w:p>
        </w:tc>
        <w:tc>
          <w:tcPr>
            <w:tcW w:w="3198"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adjustRightInd w:val="0"/>
        <w:snapToGrid w:val="0"/>
        <w:spacing w:before="156" w:beforeLines="50" w:after="156" w:afterLines="50" w:line="300" w:lineRule="auto"/>
        <w:rPr>
          <w:b/>
          <w:sz w:val="24"/>
        </w:rPr>
      </w:pPr>
      <w:r>
        <w:rPr>
          <w:b/>
          <w:sz w:val="24"/>
        </w:rPr>
        <w:t>一、课程简介</w:t>
      </w:r>
    </w:p>
    <w:p>
      <w:pPr>
        <w:adjustRightInd w:val="0"/>
        <w:snapToGrid w:val="0"/>
        <w:spacing w:line="300" w:lineRule="auto"/>
        <w:ind w:firstLine="420" w:firstLineChars="200"/>
        <w:rPr>
          <w:szCs w:val="21"/>
        </w:rPr>
      </w:pPr>
      <w:r>
        <w:rPr>
          <w:szCs w:val="21"/>
        </w:rPr>
        <w:t>“形势与政策教育”课程是高等学校学生思想政治教育的重要内容。它是高校思想政治理论课的重要组成部分，是对学生进行形势与政策教育的主渠道、主阵地，是每个在校大学生的必修课程，在大学生思想政治教育中担负着重要使命，具有不可代替的重要作用。</w:t>
      </w:r>
    </w:p>
    <w:p>
      <w:pPr>
        <w:adjustRightInd w:val="0"/>
        <w:snapToGrid w:val="0"/>
        <w:spacing w:line="300" w:lineRule="auto"/>
        <w:rPr>
          <w:szCs w:val="21"/>
        </w:rPr>
      </w:pPr>
      <w:r>
        <w:rPr>
          <w:szCs w:val="21"/>
        </w:rPr>
        <w:t>“形势与政策教育”课程坚持以马列主义、毛泽东思想、邓小平理论和“三个代表”重要思想为指导，牢固树立和认真落实科学发展观，紧密结合全面建设小康社会和实现中华民族伟大复兴的中国梦的现实要求，针对学生关注的热点问题和思想特点，帮助学生认清国内外形势，教育和引导学生全面准确在理解党的路线、方针和政策，坚定在中国共产党领导下走中国特色社会主义道路的信心和决心，积极投身改革开放和现代化建设伟大事业。</w:t>
      </w:r>
    </w:p>
    <w:p>
      <w:pPr>
        <w:adjustRightInd w:val="0"/>
        <w:snapToGrid w:val="0"/>
        <w:spacing w:line="300" w:lineRule="auto"/>
        <w:ind w:firstLine="420" w:firstLineChars="200"/>
        <w:rPr>
          <w:szCs w:val="21"/>
        </w:rPr>
      </w:pPr>
      <w:r>
        <w:rPr>
          <w:szCs w:val="21"/>
        </w:rPr>
        <w:t>“形势与政策教育”课程要根据新世纪新阶段面临的新情况新问题，加强教育教学的针对性，要着重进行党的基本理论、基本路线、基本纲领和基本经验教育；进行我国改革开放和社会主义现代化建设的形势、任务和发展成就教育；进行党和国家重大方针政策、重大活动和重大改革措施教育；进行当前国际形势与国际关系的状况、发展趋势教育。</w:t>
      </w:r>
    </w:p>
    <w:p>
      <w:pPr>
        <w:adjustRightInd w:val="0"/>
        <w:snapToGrid w:val="0"/>
        <w:spacing w:before="156" w:beforeLines="50" w:after="156" w:afterLines="50" w:line="300" w:lineRule="auto"/>
        <w:rPr>
          <w:b/>
          <w:sz w:val="24"/>
        </w:rPr>
      </w:pPr>
      <w:r>
        <w:rPr>
          <w:b/>
          <w:sz w:val="24"/>
        </w:rPr>
        <w:t>二、课程教学目标</w:t>
      </w:r>
    </w:p>
    <w:p>
      <w:pPr>
        <w:widowControl/>
        <w:adjustRightInd w:val="0"/>
        <w:snapToGrid w:val="0"/>
        <w:spacing w:line="300" w:lineRule="auto"/>
        <w:ind w:firstLine="420" w:firstLineChars="200"/>
        <w:rPr>
          <w:szCs w:val="21"/>
          <w:shd w:val="clear" w:color="auto" w:fill="FEFEFF"/>
        </w:rPr>
      </w:pPr>
      <w:r>
        <w:rPr>
          <w:szCs w:val="21"/>
          <w:shd w:val="clear" w:color="auto" w:fill="FEFEFF"/>
        </w:rPr>
        <w:t xml:space="preserve">形势与政策课是高校思想政治理论课的重要组成部分，是对学生进行形势与政策教育的主渠道、主阵地，是每个学生的必修课程，在大学生思想政治教育工作中担负着重要使命，具有不可替代的重要作用。本课程的具体教学目标如下： </w:t>
      </w:r>
    </w:p>
    <w:p>
      <w:pPr>
        <w:adjustRightInd w:val="0"/>
        <w:snapToGrid w:val="0"/>
        <w:spacing w:line="300" w:lineRule="auto"/>
        <w:ind w:firstLine="420" w:firstLineChars="200"/>
        <w:rPr>
          <w:szCs w:val="21"/>
          <w:shd w:val="clear" w:color="auto" w:fill="FEFEFF"/>
        </w:rPr>
      </w:pPr>
      <w:r>
        <w:rPr>
          <w:szCs w:val="21"/>
          <w:shd w:val="clear" w:color="auto" w:fill="FEFEFF"/>
        </w:rPr>
        <w:t>1．帮助学生</w:t>
      </w:r>
      <w:r>
        <w:rPr>
          <w:szCs w:val="21"/>
        </w:rPr>
        <w:t>了解国内外重大时事，学习党和国家的路线、方针、政策认清形势和任务。</w:t>
      </w:r>
      <w:r>
        <w:rPr>
          <w:szCs w:val="21"/>
          <w:shd w:val="clear" w:color="auto" w:fill="FEFEFF"/>
        </w:rPr>
        <w:t>[8</w:t>
      </w:r>
      <w:r>
        <w:rPr>
          <w:rFonts w:hint="eastAsia"/>
          <w:szCs w:val="21"/>
          <w:shd w:val="clear" w:color="auto" w:fill="FEFEFF"/>
        </w:rPr>
        <w:t>.</w:t>
      </w:r>
      <w:r>
        <w:rPr>
          <w:szCs w:val="21"/>
          <w:shd w:val="clear" w:color="auto" w:fill="FEFEFF"/>
        </w:rPr>
        <w:t>2]</w:t>
      </w:r>
    </w:p>
    <w:p>
      <w:pPr>
        <w:adjustRightInd w:val="0"/>
        <w:snapToGrid w:val="0"/>
        <w:spacing w:line="300" w:lineRule="auto"/>
        <w:ind w:firstLine="420" w:firstLineChars="200"/>
        <w:rPr>
          <w:szCs w:val="21"/>
          <w:shd w:val="clear" w:color="auto" w:fill="FEFEFF"/>
        </w:rPr>
      </w:pPr>
      <w:r>
        <w:rPr>
          <w:szCs w:val="21"/>
          <w:shd w:val="clear" w:color="auto" w:fill="FEFEFF"/>
        </w:rPr>
        <w:t>2．</w:t>
      </w:r>
      <w:r>
        <w:rPr>
          <w:szCs w:val="21"/>
        </w:rPr>
        <w:t>激发学生的爱国主义精神，增强民族自尊心和社会责任感，提高广大学生的政治敏锐性和政策判别力，为强大祖国而奋发学习，健康成长，为实现中国梦的伟大奋斗目标而努力学习各种科学文化知识，增强自己的本领。</w:t>
      </w:r>
      <w:r>
        <w:rPr>
          <w:szCs w:val="21"/>
          <w:shd w:val="clear" w:color="auto" w:fill="FEFEFF"/>
        </w:rPr>
        <w:t>[8</w:t>
      </w:r>
      <w:r>
        <w:rPr>
          <w:rFonts w:hint="eastAsia"/>
          <w:szCs w:val="21"/>
          <w:shd w:val="clear" w:color="auto" w:fill="FEFEFF"/>
        </w:rPr>
        <w:t>.</w:t>
      </w:r>
      <w:r>
        <w:rPr>
          <w:szCs w:val="21"/>
          <w:shd w:val="clear" w:color="auto" w:fill="FEFEFF"/>
        </w:rPr>
        <w:t xml:space="preserve">2] </w:t>
      </w:r>
    </w:p>
    <w:p>
      <w:pPr>
        <w:adjustRightInd w:val="0"/>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b/>
          <w:kern w:val="0"/>
          <w:sz w:val="18"/>
          <w:szCs w:val="18"/>
        </w:rPr>
      </w:pPr>
    </w:p>
    <w:p>
      <w:pPr>
        <w:widowControl/>
        <w:tabs>
          <w:tab w:val="left" w:pos="426"/>
          <w:tab w:val="left" w:pos="5245"/>
          <w:tab w:val="left" w:pos="5387"/>
        </w:tabs>
        <w:adjustRightInd w:val="0"/>
        <w:snapToGrid w:val="0"/>
        <w:spacing w:before="156" w:beforeLines="50" w:line="300" w:lineRule="auto"/>
        <w:ind w:firstLine="361" w:firstLineChars="200"/>
        <w:jc w:val="center"/>
        <w:rPr>
          <w:b/>
          <w:kern w:val="0"/>
          <w:sz w:val="18"/>
          <w:szCs w:val="18"/>
        </w:rPr>
      </w:pPr>
    </w:p>
    <w:p>
      <w:pPr>
        <w:widowControl/>
        <w:tabs>
          <w:tab w:val="left" w:pos="426"/>
          <w:tab w:val="left" w:pos="5245"/>
          <w:tab w:val="left" w:pos="5387"/>
        </w:tabs>
        <w:adjustRightInd w:val="0"/>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6219"/>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922" w:type="pct"/>
            <w:vAlign w:val="center"/>
          </w:tcPr>
          <w:p>
            <w:pPr>
              <w:adjustRightInd w:val="0"/>
              <w:snapToGrid w:val="0"/>
              <w:spacing w:line="300" w:lineRule="auto"/>
              <w:jc w:val="center"/>
              <w:rPr>
                <w:b/>
                <w:bCs/>
                <w:sz w:val="18"/>
                <w:szCs w:val="18"/>
              </w:rPr>
            </w:pPr>
            <w:r>
              <w:rPr>
                <w:b/>
                <w:bCs/>
                <w:sz w:val="18"/>
                <w:szCs w:val="18"/>
              </w:rPr>
              <w:t>毕业要求</w:t>
            </w:r>
          </w:p>
        </w:tc>
        <w:tc>
          <w:tcPr>
            <w:tcW w:w="3649" w:type="pct"/>
            <w:vAlign w:val="center"/>
          </w:tcPr>
          <w:p>
            <w:pPr>
              <w:adjustRightInd w:val="0"/>
              <w:snapToGrid w:val="0"/>
              <w:spacing w:line="300" w:lineRule="auto"/>
              <w:jc w:val="center"/>
              <w:rPr>
                <w:b/>
                <w:bCs/>
                <w:sz w:val="18"/>
                <w:szCs w:val="18"/>
              </w:rPr>
            </w:pPr>
            <w:r>
              <w:rPr>
                <w:b/>
                <w:bCs/>
                <w:sz w:val="18"/>
                <w:szCs w:val="18"/>
              </w:rPr>
              <w:t>毕业要求指标点</w:t>
            </w:r>
          </w:p>
        </w:tc>
        <w:tc>
          <w:tcPr>
            <w:tcW w:w="429" w:type="pct"/>
            <w:vAlign w:val="center"/>
          </w:tcPr>
          <w:p>
            <w:pPr>
              <w:adjustRightInd w:val="0"/>
              <w:snapToGrid w:val="0"/>
              <w:spacing w:line="300" w:lineRule="auto"/>
              <w:jc w:val="center"/>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922" w:type="pct"/>
            <w:vAlign w:val="center"/>
          </w:tcPr>
          <w:p>
            <w:pPr>
              <w:adjustRightInd w:val="0"/>
              <w:snapToGrid w:val="0"/>
              <w:spacing w:line="300" w:lineRule="auto"/>
              <w:rPr>
                <w:sz w:val="18"/>
                <w:szCs w:val="18"/>
              </w:rPr>
            </w:pPr>
            <w:r>
              <w:rPr>
                <w:sz w:val="18"/>
                <w:szCs w:val="18"/>
              </w:rPr>
              <w:t>8．职业规范</w:t>
            </w:r>
          </w:p>
        </w:tc>
        <w:tc>
          <w:tcPr>
            <w:tcW w:w="3649" w:type="pct"/>
            <w:vAlign w:val="center"/>
          </w:tcPr>
          <w:p>
            <w:pPr>
              <w:adjustRightInd w:val="0"/>
              <w:snapToGrid w:val="0"/>
              <w:spacing w:line="300" w:lineRule="auto"/>
              <w:rPr>
                <w:sz w:val="18"/>
                <w:szCs w:val="18"/>
              </w:rPr>
            </w:pPr>
            <w:r>
              <w:rPr>
                <w:sz w:val="18"/>
                <w:szCs w:val="18"/>
              </w:rPr>
              <w:t>8</w:t>
            </w:r>
            <w:r>
              <w:rPr>
                <w:rFonts w:hint="eastAsia"/>
                <w:sz w:val="18"/>
                <w:szCs w:val="18"/>
              </w:rPr>
              <w:t>.</w:t>
            </w:r>
            <w:r>
              <w:rPr>
                <w:sz w:val="18"/>
                <w:szCs w:val="18"/>
              </w:rPr>
              <w:t>2</w:t>
            </w:r>
            <w:r>
              <w:rPr>
                <w:rFonts w:hint="eastAsia"/>
                <w:sz w:val="18"/>
                <w:szCs w:val="18"/>
              </w:rPr>
              <w:t>理解工程师的职业道德规范，在工程实践中能自觉遵守职业道德和规范，履行责任，成为中国特色社会主义事业合格的建设者</w:t>
            </w:r>
            <w:r>
              <w:rPr>
                <w:sz w:val="18"/>
                <w:szCs w:val="18"/>
              </w:rPr>
              <w:t>。</w:t>
            </w:r>
          </w:p>
        </w:tc>
        <w:tc>
          <w:tcPr>
            <w:tcW w:w="429" w:type="pct"/>
            <w:vAlign w:val="center"/>
          </w:tcPr>
          <w:p>
            <w:pPr>
              <w:adjustRightInd w:val="0"/>
              <w:snapToGrid w:val="0"/>
              <w:spacing w:line="300" w:lineRule="auto"/>
              <w:jc w:val="center"/>
              <w:rPr>
                <w:sz w:val="18"/>
                <w:szCs w:val="18"/>
              </w:rPr>
            </w:pPr>
            <w:r>
              <w:rPr>
                <w:sz w:val="18"/>
                <w:szCs w:val="18"/>
              </w:rPr>
              <w:t>1</w:t>
            </w:r>
            <w:r>
              <w:rPr>
                <w:rFonts w:hint="eastAsia"/>
                <w:sz w:val="18"/>
                <w:szCs w:val="18"/>
              </w:rPr>
              <w:t>、</w:t>
            </w:r>
            <w:r>
              <w:rPr>
                <w:sz w:val="18"/>
                <w:szCs w:val="18"/>
              </w:rPr>
              <w:t>2</w:t>
            </w:r>
          </w:p>
        </w:tc>
      </w:tr>
    </w:tbl>
    <w:p>
      <w:pPr>
        <w:adjustRightInd w:val="0"/>
        <w:snapToGrid w:val="0"/>
        <w:spacing w:before="156" w:beforeLines="50" w:after="156" w:afterLines="50" w:line="300" w:lineRule="auto"/>
        <w:rPr>
          <w:b/>
          <w:sz w:val="24"/>
        </w:rPr>
      </w:pPr>
      <w:r>
        <w:rPr>
          <w:b/>
          <w:sz w:val="24"/>
        </w:rPr>
        <w:t>三、课程教学目标达成途径（或教学设计）</w:t>
      </w:r>
    </w:p>
    <w:p>
      <w:pPr>
        <w:widowControl/>
        <w:adjustRightInd w:val="0"/>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6"/>
        <w:gridCol w:w="2330"/>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b/>
                <w:sz w:val="18"/>
                <w:szCs w:val="18"/>
              </w:rPr>
            </w:pPr>
            <w:r>
              <w:rPr>
                <w:b/>
                <w:sz w:val="18"/>
                <w:szCs w:val="18"/>
              </w:rPr>
              <w:t>课程教学目标</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b/>
                <w:sz w:val="18"/>
                <w:szCs w:val="18"/>
              </w:rPr>
            </w:pPr>
            <w:r>
              <w:rPr>
                <w:b/>
                <w:sz w:val="18"/>
                <w:szCs w:val="18"/>
              </w:rPr>
              <w:t>达成途径</w:t>
            </w:r>
          </w:p>
        </w:tc>
        <w:tc>
          <w:tcPr>
            <w:tcW w:w="7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1．帮助学生</w:t>
            </w:r>
            <w:r>
              <w:rPr>
                <w:sz w:val="18"/>
                <w:szCs w:val="18"/>
              </w:rPr>
              <w:t>了解国内外重大时事，学习党和国家的路线、方针、政策认清形势和任务。</w:t>
            </w:r>
          </w:p>
        </w:tc>
        <w:tc>
          <w:tcPr>
            <w:tcW w:w="136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通过课堂讲授、学生学习（指定阅读）等达成。</w:t>
            </w:r>
          </w:p>
        </w:tc>
        <w:tc>
          <w:tcPr>
            <w:tcW w:w="73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课堂表现、习题作业与阅读报告。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2"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sz w:val="18"/>
                <w:szCs w:val="18"/>
                <w:shd w:val="clear" w:color="auto" w:fill="FEFEFF"/>
              </w:rPr>
            </w:pPr>
            <w:r>
              <w:rPr>
                <w:sz w:val="18"/>
                <w:szCs w:val="18"/>
                <w:shd w:val="clear" w:color="auto" w:fill="FEFEFF"/>
              </w:rPr>
              <w:t>2．</w:t>
            </w:r>
            <w:r>
              <w:rPr>
                <w:sz w:val="18"/>
                <w:szCs w:val="18"/>
              </w:rPr>
              <w:t>激发学生的爱国主义精神，增强民族自尊心和社会责任感，提高广大学生的政治敏锐性和政策判别力，为强大祖国而奋发学习，健康成长，为实现中国梦的伟大奋斗目标而努力学习各种科学文化知识，增强自己的本领。</w:t>
            </w:r>
          </w:p>
        </w:tc>
        <w:tc>
          <w:tcPr>
            <w:tcW w:w="136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通过前导课程回顾与课堂讲授并结合学生学习（网络学习）等达成。</w:t>
            </w:r>
          </w:p>
        </w:tc>
        <w:tc>
          <w:tcPr>
            <w:tcW w:w="73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sz w:val="18"/>
                <w:szCs w:val="18"/>
                <w:shd w:val="clear" w:color="auto" w:fill="FEFEFF"/>
              </w:rPr>
            </w:pPr>
            <w:r>
              <w:rPr>
                <w:sz w:val="18"/>
                <w:szCs w:val="18"/>
                <w:shd w:val="clear" w:color="auto" w:fill="FEFEFF"/>
              </w:rPr>
              <w:t>课堂表现、习题作业与考试。</w:t>
            </w:r>
          </w:p>
        </w:tc>
      </w:tr>
    </w:tbl>
    <w:p>
      <w:pPr>
        <w:adjustRightInd w:val="0"/>
        <w:snapToGrid w:val="0"/>
        <w:spacing w:before="156" w:beforeLines="50" w:after="156" w:afterLines="50" w:line="300" w:lineRule="auto"/>
        <w:rPr>
          <w:b/>
          <w:sz w:val="24"/>
        </w:rPr>
      </w:pPr>
      <w:r>
        <w:rPr>
          <w:b/>
          <w:sz w:val="24"/>
        </w:rPr>
        <w:t>四、课程教学内容、教与学的要求</w:t>
      </w:r>
    </w:p>
    <w:p>
      <w:pPr>
        <w:adjustRightInd w:val="0"/>
        <w:snapToGrid w:val="0"/>
        <w:spacing w:line="300" w:lineRule="auto"/>
        <w:ind w:firstLine="420"/>
        <w:rPr>
          <w:szCs w:val="21"/>
        </w:rPr>
      </w:pPr>
      <w:r>
        <w:rPr>
          <w:szCs w:val="21"/>
        </w:rPr>
        <w:t>本课程以理论教学为主，通过课堂讲授、课外阅读、讨论的形式达成教学目标。</w:t>
      </w:r>
    </w:p>
    <w:p>
      <w:pPr>
        <w:adjustRightInd w:val="0"/>
        <w:snapToGrid w:val="0"/>
        <w:spacing w:line="300" w:lineRule="auto"/>
        <w:ind w:firstLine="420" w:firstLineChars="200"/>
        <w:rPr>
          <w:szCs w:val="21"/>
        </w:rPr>
      </w:pPr>
      <w:r>
        <w:rPr>
          <w:szCs w:val="21"/>
        </w:rPr>
        <w:t>本课程理论教学内容与教学要求见表3。</w:t>
      </w:r>
    </w:p>
    <w:p>
      <w:pPr>
        <w:adjustRightInd w:val="0"/>
        <w:snapToGrid w:val="0"/>
        <w:spacing w:before="156" w:beforeLines="50" w:line="300" w:lineRule="auto"/>
        <w:jc w:val="center"/>
        <w:rPr>
          <w:sz w:val="18"/>
          <w:szCs w:val="18"/>
        </w:rPr>
      </w:pPr>
      <w:r>
        <w:rPr>
          <w:b/>
          <w:bCs/>
          <w:sz w:val="18"/>
          <w:szCs w:val="18"/>
        </w:rPr>
        <w:t>表3教学内容与教学要求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013"/>
        <w:gridCol w:w="5162"/>
        <w:gridCol w:w="717"/>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39" w:type="pct"/>
            <w:shd w:val="clear" w:color="auto" w:fill="auto"/>
            <w:tcMar>
              <w:left w:w="57" w:type="dxa"/>
              <w:right w:w="57" w:type="dxa"/>
            </w:tcMar>
            <w:vAlign w:val="center"/>
          </w:tcPr>
          <w:p>
            <w:pPr>
              <w:adjustRightInd w:val="0"/>
              <w:snapToGrid w:val="0"/>
              <w:spacing w:line="300" w:lineRule="auto"/>
              <w:jc w:val="center"/>
              <w:rPr>
                <w:b/>
                <w:bCs/>
                <w:sz w:val="18"/>
                <w:szCs w:val="18"/>
              </w:rPr>
            </w:pPr>
            <w:r>
              <w:rPr>
                <w:b/>
                <w:bCs/>
                <w:sz w:val="18"/>
                <w:szCs w:val="18"/>
              </w:rPr>
              <w:t>序号</w:t>
            </w:r>
          </w:p>
        </w:tc>
        <w:tc>
          <w:tcPr>
            <w:tcW w:w="598" w:type="pct"/>
            <w:shd w:val="clear" w:color="auto" w:fill="auto"/>
            <w:vAlign w:val="center"/>
          </w:tcPr>
          <w:p>
            <w:pPr>
              <w:adjustRightInd w:val="0"/>
              <w:snapToGrid w:val="0"/>
              <w:spacing w:line="300" w:lineRule="auto"/>
              <w:rPr>
                <w:b/>
                <w:bCs/>
                <w:sz w:val="18"/>
                <w:szCs w:val="18"/>
              </w:rPr>
            </w:pPr>
            <w:r>
              <w:rPr>
                <w:b/>
                <w:bCs/>
                <w:sz w:val="18"/>
                <w:szCs w:val="18"/>
              </w:rPr>
              <w:t>教学内容</w:t>
            </w:r>
          </w:p>
        </w:tc>
        <w:tc>
          <w:tcPr>
            <w:tcW w:w="3047" w:type="pct"/>
            <w:shd w:val="clear" w:color="auto" w:fill="auto"/>
            <w:vAlign w:val="center"/>
          </w:tcPr>
          <w:p>
            <w:pPr>
              <w:adjustRightInd w:val="0"/>
              <w:snapToGrid w:val="0"/>
              <w:spacing w:line="300" w:lineRule="auto"/>
              <w:jc w:val="center"/>
              <w:rPr>
                <w:b/>
                <w:bCs/>
                <w:sz w:val="18"/>
                <w:szCs w:val="18"/>
              </w:rPr>
            </w:pPr>
            <w:r>
              <w:rPr>
                <w:b/>
                <w:bCs/>
                <w:sz w:val="18"/>
                <w:szCs w:val="18"/>
              </w:rPr>
              <w:t>教与学的要求</w:t>
            </w:r>
          </w:p>
        </w:tc>
        <w:tc>
          <w:tcPr>
            <w:tcW w:w="423" w:type="pct"/>
            <w:shd w:val="clear" w:color="auto" w:fill="auto"/>
            <w:vAlign w:val="center"/>
          </w:tcPr>
          <w:p>
            <w:pPr>
              <w:adjustRightInd w:val="0"/>
              <w:snapToGrid w:val="0"/>
              <w:spacing w:line="300" w:lineRule="auto"/>
              <w:jc w:val="center"/>
              <w:rPr>
                <w:b/>
                <w:bCs/>
                <w:sz w:val="18"/>
                <w:szCs w:val="18"/>
              </w:rPr>
            </w:pPr>
            <w:r>
              <w:rPr>
                <w:b/>
                <w:bCs/>
                <w:sz w:val="18"/>
                <w:szCs w:val="18"/>
              </w:rPr>
              <w:t>学时</w:t>
            </w:r>
          </w:p>
        </w:tc>
        <w:tc>
          <w:tcPr>
            <w:tcW w:w="593" w:type="pct"/>
            <w:shd w:val="clear" w:color="auto" w:fill="auto"/>
            <w:vAlign w:val="center"/>
          </w:tcPr>
          <w:p>
            <w:pPr>
              <w:adjustRightInd w:val="0"/>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tcMar>
              <w:left w:w="57" w:type="dxa"/>
              <w:right w:w="57" w:type="dxa"/>
            </w:tcMar>
            <w:vAlign w:val="center"/>
          </w:tcPr>
          <w:p>
            <w:pPr>
              <w:adjustRightInd w:val="0"/>
              <w:snapToGrid w:val="0"/>
              <w:spacing w:line="300" w:lineRule="auto"/>
              <w:jc w:val="center"/>
              <w:rPr>
                <w:sz w:val="18"/>
                <w:szCs w:val="18"/>
              </w:rPr>
            </w:pPr>
            <w:r>
              <w:rPr>
                <w:sz w:val="18"/>
                <w:szCs w:val="18"/>
              </w:rPr>
              <w:t>1</w:t>
            </w:r>
          </w:p>
        </w:tc>
        <w:tc>
          <w:tcPr>
            <w:tcW w:w="598" w:type="pct"/>
            <w:vAlign w:val="center"/>
          </w:tcPr>
          <w:p>
            <w:pPr>
              <w:adjustRightInd w:val="0"/>
              <w:snapToGrid w:val="0"/>
              <w:spacing w:line="300" w:lineRule="auto"/>
              <w:rPr>
                <w:sz w:val="18"/>
                <w:szCs w:val="18"/>
              </w:rPr>
            </w:pPr>
            <w:r>
              <w:rPr>
                <w:sz w:val="18"/>
                <w:szCs w:val="18"/>
              </w:rPr>
              <w:t>1经济全球化的退与进</w:t>
            </w:r>
          </w:p>
          <w:p>
            <w:pPr>
              <w:adjustRightInd w:val="0"/>
              <w:snapToGrid w:val="0"/>
              <w:spacing w:line="300" w:lineRule="auto"/>
              <w:rPr>
                <w:sz w:val="18"/>
                <w:szCs w:val="18"/>
              </w:rPr>
            </w:pPr>
            <w:r>
              <w:rPr>
                <w:sz w:val="18"/>
                <w:szCs w:val="18"/>
              </w:rPr>
              <w:t>1.1经济全球化的内涵</w:t>
            </w:r>
          </w:p>
          <w:p>
            <w:pPr>
              <w:adjustRightInd w:val="0"/>
              <w:snapToGrid w:val="0"/>
              <w:spacing w:line="300" w:lineRule="auto"/>
              <w:rPr>
                <w:sz w:val="18"/>
                <w:szCs w:val="18"/>
              </w:rPr>
            </w:pPr>
            <w:r>
              <w:rPr>
                <w:sz w:val="18"/>
                <w:szCs w:val="18"/>
              </w:rPr>
              <w:t>1.2经济全球化的进程与现状</w:t>
            </w:r>
          </w:p>
          <w:p>
            <w:pPr>
              <w:adjustRightInd w:val="0"/>
              <w:snapToGrid w:val="0"/>
              <w:spacing w:line="300" w:lineRule="auto"/>
              <w:rPr>
                <w:sz w:val="18"/>
                <w:szCs w:val="18"/>
              </w:rPr>
            </w:pPr>
            <w:r>
              <w:rPr>
                <w:sz w:val="18"/>
                <w:szCs w:val="18"/>
              </w:rPr>
              <w:t>1.3经济全球化的困境及挑战</w:t>
            </w:r>
          </w:p>
          <w:p>
            <w:pPr>
              <w:adjustRightInd w:val="0"/>
              <w:snapToGrid w:val="0"/>
              <w:spacing w:line="300" w:lineRule="auto"/>
              <w:rPr>
                <w:sz w:val="18"/>
                <w:szCs w:val="18"/>
              </w:rPr>
            </w:pPr>
            <w:r>
              <w:rPr>
                <w:sz w:val="18"/>
                <w:szCs w:val="18"/>
              </w:rPr>
              <w:t>1.4经济全球化与中国</w:t>
            </w:r>
          </w:p>
        </w:tc>
        <w:tc>
          <w:tcPr>
            <w:tcW w:w="3047"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学生要掌握如下内容：进入21世纪以后，经济全球化高歌猛进，自由贸易大步流星，带来全球经济繁荣、财富激增、民众生活的普遍改善。然而，当前美国贸易保护主义、地方主义抬头，挑起了与中国等多国的贸易摩擦。因此，要让学生深刻认识到经济全化进程中鲜花与荆棘同在。随着国际合作关系不断深入，全球经济越来越成为真正的休戚与共的“命运共同体”。没有哪个国家能够独自应对人类面临的各挑战，也没有哪个国家能够退回到自我封闭的孤岛。当前经济全球化的遭遇寒流、暗流、逆流，但改变不了主流。要让学生认识到中国是经济全球化的坚定捍卫者，无论是风和日丽，还是凄风苦雨，中国都和国际社会守望相助，不离不弃，为全球经济的稳定和健康发展做出了重要贡献。这正是经济全球化的要义所在。</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1）课外阅读资料</w:t>
            </w:r>
          </w:p>
          <w:p>
            <w:pPr>
              <w:adjustRightInd w:val="0"/>
              <w:snapToGrid w:val="0"/>
              <w:spacing w:line="300" w:lineRule="auto"/>
              <w:rPr>
                <w:sz w:val="18"/>
                <w:szCs w:val="18"/>
              </w:rPr>
            </w:pPr>
            <w:r>
              <w:rPr>
                <w:sz w:val="18"/>
                <w:szCs w:val="18"/>
              </w:rPr>
              <w:t>（1）《乘历史大势 走人间正道》，钟轩理，2018年11月21日 《人民日报》。</w:t>
            </w:r>
          </w:p>
          <w:p>
            <w:pPr>
              <w:adjustRightInd w:val="0"/>
              <w:snapToGrid w:val="0"/>
              <w:spacing w:line="300" w:lineRule="auto"/>
              <w:rPr>
                <w:sz w:val="18"/>
                <w:szCs w:val="18"/>
              </w:rPr>
            </w:pPr>
            <w:r>
              <w:rPr>
                <w:sz w:val="18"/>
                <w:szCs w:val="18"/>
              </w:rPr>
              <w:t>（2）《不畏浮云遮望眼——经济全球化趋势不可阻挡》，钟轩理，2018年10月12日 《人民日报》。</w:t>
            </w:r>
          </w:p>
          <w:p>
            <w:pPr>
              <w:adjustRightInd w:val="0"/>
              <w:snapToGrid w:val="0"/>
              <w:spacing w:line="300" w:lineRule="auto"/>
              <w:rPr>
                <w:sz w:val="18"/>
                <w:szCs w:val="18"/>
              </w:rPr>
            </w:pPr>
            <w:r>
              <w:rPr>
                <w:sz w:val="18"/>
                <w:szCs w:val="18"/>
              </w:rPr>
              <w:t>（3）《逆全球化违背时代潮流》，任理轩，2018年10月17日 《人民日报》。</w:t>
            </w:r>
          </w:p>
          <w:p>
            <w:pPr>
              <w:adjustRightInd w:val="0"/>
              <w:snapToGrid w:val="0"/>
              <w:spacing w:line="300" w:lineRule="auto"/>
              <w:rPr>
                <w:sz w:val="18"/>
                <w:szCs w:val="18"/>
              </w:rPr>
            </w:pPr>
            <w:r>
              <w:rPr>
                <w:sz w:val="18"/>
                <w:szCs w:val="18"/>
              </w:rPr>
              <w:t>（4）《全球化进退中的中国选择》，傅莹，2018年3月1日 《中国新闻周刊》。</w:t>
            </w:r>
          </w:p>
          <w:p>
            <w:pPr>
              <w:adjustRightInd w:val="0"/>
              <w:snapToGrid w:val="0"/>
              <w:spacing w:line="300" w:lineRule="auto"/>
              <w:rPr>
                <w:sz w:val="18"/>
                <w:szCs w:val="18"/>
              </w:rPr>
            </w:pPr>
            <w:r>
              <w:rPr>
                <w:sz w:val="18"/>
                <w:szCs w:val="18"/>
              </w:rPr>
              <w:t>2）课外作业</w:t>
            </w:r>
          </w:p>
          <w:p>
            <w:pPr>
              <w:adjustRightInd w:val="0"/>
              <w:snapToGrid w:val="0"/>
              <w:spacing w:line="300" w:lineRule="auto"/>
              <w:rPr>
                <w:sz w:val="18"/>
                <w:szCs w:val="18"/>
              </w:rPr>
            </w:pPr>
            <w:r>
              <w:rPr>
                <w:sz w:val="18"/>
                <w:szCs w:val="18"/>
              </w:rPr>
              <w:t>（1）当前阻碍经济全球化深入发展的政治经济动因是什么？</w:t>
            </w:r>
          </w:p>
          <w:p>
            <w:pPr>
              <w:adjustRightInd w:val="0"/>
              <w:snapToGrid w:val="0"/>
              <w:spacing w:line="300" w:lineRule="auto"/>
              <w:rPr>
                <w:sz w:val="18"/>
                <w:szCs w:val="18"/>
              </w:rPr>
            </w:pPr>
            <w:r>
              <w:rPr>
                <w:sz w:val="18"/>
                <w:szCs w:val="18"/>
              </w:rPr>
              <w:t>（2）你如何看待中国在维护和推动经济全球化发展方面的作用和主张？</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kern w:val="0"/>
                <w:sz w:val="18"/>
                <w:szCs w:val="18"/>
              </w:rPr>
              <w:t>本课程教学以课堂讲授为主，采用多媒体教学和启发式教学方法，通过课堂提问，引导学生思考，通过对相关知识点的讨论，让学生参与到课堂教学中来。</w:t>
            </w:r>
          </w:p>
        </w:tc>
        <w:tc>
          <w:tcPr>
            <w:tcW w:w="423" w:type="pct"/>
            <w:vAlign w:val="center"/>
          </w:tcPr>
          <w:p>
            <w:pPr>
              <w:adjustRightInd w:val="0"/>
              <w:snapToGrid w:val="0"/>
              <w:spacing w:line="300" w:lineRule="auto"/>
              <w:jc w:val="center"/>
              <w:rPr>
                <w:sz w:val="18"/>
                <w:szCs w:val="18"/>
              </w:rPr>
            </w:pPr>
            <w:r>
              <w:rPr>
                <w:sz w:val="18"/>
                <w:szCs w:val="18"/>
              </w:rPr>
              <w:t>14</w:t>
            </w:r>
          </w:p>
        </w:tc>
        <w:tc>
          <w:tcPr>
            <w:tcW w:w="593" w:type="pct"/>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9" w:type="pct"/>
            <w:tcMar>
              <w:left w:w="57" w:type="dxa"/>
              <w:right w:w="57" w:type="dxa"/>
            </w:tcMar>
            <w:vAlign w:val="center"/>
          </w:tcPr>
          <w:p>
            <w:pPr>
              <w:adjustRightInd w:val="0"/>
              <w:snapToGrid w:val="0"/>
              <w:spacing w:line="300" w:lineRule="auto"/>
              <w:jc w:val="center"/>
              <w:rPr>
                <w:sz w:val="18"/>
                <w:szCs w:val="18"/>
              </w:rPr>
            </w:pPr>
            <w:r>
              <w:rPr>
                <w:sz w:val="18"/>
                <w:szCs w:val="18"/>
              </w:rPr>
              <w:t>2</w:t>
            </w:r>
          </w:p>
        </w:tc>
        <w:tc>
          <w:tcPr>
            <w:tcW w:w="598" w:type="pct"/>
            <w:vAlign w:val="center"/>
          </w:tcPr>
          <w:p>
            <w:pPr>
              <w:adjustRightInd w:val="0"/>
              <w:snapToGrid w:val="0"/>
              <w:spacing w:line="300" w:lineRule="auto"/>
              <w:rPr>
                <w:sz w:val="18"/>
                <w:szCs w:val="18"/>
              </w:rPr>
            </w:pPr>
            <w:r>
              <w:rPr>
                <w:sz w:val="18"/>
                <w:szCs w:val="18"/>
              </w:rPr>
              <w:t>2乡村振兴的时代意义与规划蓝图</w:t>
            </w:r>
          </w:p>
          <w:p>
            <w:pPr>
              <w:adjustRightInd w:val="0"/>
              <w:snapToGrid w:val="0"/>
              <w:spacing w:line="300" w:lineRule="auto"/>
              <w:rPr>
                <w:sz w:val="18"/>
                <w:szCs w:val="18"/>
              </w:rPr>
            </w:pPr>
            <w:r>
              <w:rPr>
                <w:sz w:val="18"/>
                <w:szCs w:val="18"/>
              </w:rPr>
              <w:t>2.1实施乡村振兴战略的重大意义</w:t>
            </w:r>
          </w:p>
          <w:p>
            <w:pPr>
              <w:adjustRightInd w:val="0"/>
              <w:snapToGrid w:val="0"/>
              <w:spacing w:line="300" w:lineRule="auto"/>
              <w:rPr>
                <w:sz w:val="18"/>
                <w:szCs w:val="18"/>
              </w:rPr>
            </w:pPr>
            <w:r>
              <w:rPr>
                <w:sz w:val="18"/>
                <w:szCs w:val="18"/>
              </w:rPr>
              <w:t>2.2实施</w:t>
            </w:r>
            <w:r>
              <w:rPr>
                <w:rFonts w:hint="eastAsia"/>
                <w:sz w:val="18"/>
                <w:szCs w:val="18"/>
                <w:lang w:val="en-US" w:eastAsia="zh-CN"/>
              </w:rPr>
              <w:t>乡村振兴</w:t>
            </w:r>
            <w:r>
              <w:rPr>
                <w:sz w:val="18"/>
                <w:szCs w:val="18"/>
              </w:rPr>
              <w:t>战略的总要求和主要原则</w:t>
            </w:r>
          </w:p>
          <w:p>
            <w:pPr>
              <w:adjustRightInd w:val="0"/>
              <w:snapToGrid w:val="0"/>
              <w:spacing w:line="300" w:lineRule="auto"/>
              <w:rPr>
                <w:kern w:val="0"/>
                <w:sz w:val="18"/>
                <w:szCs w:val="18"/>
              </w:rPr>
            </w:pPr>
            <w:r>
              <w:rPr>
                <w:sz w:val="18"/>
                <w:szCs w:val="18"/>
              </w:rPr>
              <w:t>2.3乡村振兴五大中心任务</w:t>
            </w:r>
          </w:p>
          <w:p>
            <w:pPr>
              <w:adjustRightInd w:val="0"/>
              <w:snapToGrid w:val="0"/>
              <w:spacing w:line="300" w:lineRule="auto"/>
              <w:rPr>
                <w:sz w:val="18"/>
                <w:szCs w:val="18"/>
              </w:rPr>
            </w:pPr>
          </w:p>
        </w:tc>
        <w:tc>
          <w:tcPr>
            <w:tcW w:w="3047"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学生要掌握如下内容：施乡村振兴战略是党的十九大作出的重大决策部署。2018年“中央一号文件”即《中共中央国务院关于实施乡村振兴战略的意见》，对实施乡村振兴战略进行了全面部署，第一个五年规划即《乡村振兴战略规划（2018－2022年）》作出具体部署。要引导学生认识到，实施乡村振兴战略是决胜全面建成小康社会全面建设社会主义现代化国家的重大历史任务，是新时代“三农”工作的总抓手，是解决人民日益增长的美好生活需要和不平衡不充分的发展之间矛盾的必然要求，是实现“两个一百年”奋斗目标的必然要求，是实现全体人民共同富裕的必然要求。</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1）课外阅读资料</w:t>
            </w:r>
          </w:p>
          <w:p>
            <w:pPr>
              <w:adjustRightInd w:val="0"/>
              <w:snapToGrid w:val="0"/>
              <w:spacing w:line="300" w:lineRule="auto"/>
              <w:rPr>
                <w:sz w:val="18"/>
                <w:szCs w:val="18"/>
              </w:rPr>
            </w:pPr>
            <w:r>
              <w:rPr>
                <w:sz w:val="18"/>
                <w:szCs w:val="18"/>
              </w:rPr>
              <w:t>（1）《重塑工农城乡关系 推进乡村全面振兴》，韩长赋，《求是》，2018年第21期</w:t>
            </w:r>
          </w:p>
          <w:p>
            <w:pPr>
              <w:adjustRightInd w:val="0"/>
              <w:snapToGrid w:val="0"/>
              <w:spacing w:line="300" w:lineRule="auto"/>
              <w:rPr>
                <w:sz w:val="18"/>
                <w:szCs w:val="18"/>
              </w:rPr>
            </w:pPr>
            <w:r>
              <w:rPr>
                <w:sz w:val="18"/>
                <w:szCs w:val="18"/>
              </w:rPr>
              <w:t>（2）《从农村改革四十年看乡村振兴战略的提出》，陈锡文，人民网，2018年4月18日。</w:t>
            </w:r>
          </w:p>
          <w:p>
            <w:pPr>
              <w:adjustRightInd w:val="0"/>
              <w:snapToGrid w:val="0"/>
              <w:spacing w:line="300" w:lineRule="auto"/>
              <w:rPr>
                <w:sz w:val="18"/>
                <w:szCs w:val="18"/>
              </w:rPr>
            </w:pPr>
            <w:r>
              <w:rPr>
                <w:sz w:val="18"/>
                <w:szCs w:val="18"/>
              </w:rPr>
              <w:t>（3）《从“七条道路”到“五个振兴”——乡村振兴战略的时代意义》，张红宇，中国网，2018年4月2日。</w:t>
            </w:r>
          </w:p>
          <w:p>
            <w:pPr>
              <w:adjustRightInd w:val="0"/>
              <w:snapToGrid w:val="0"/>
              <w:spacing w:line="300" w:lineRule="auto"/>
              <w:rPr>
                <w:sz w:val="18"/>
                <w:szCs w:val="18"/>
              </w:rPr>
            </w:pPr>
            <w:r>
              <w:rPr>
                <w:sz w:val="18"/>
                <w:szCs w:val="18"/>
              </w:rPr>
              <w:t>2）课外作业</w:t>
            </w:r>
          </w:p>
          <w:p>
            <w:pPr>
              <w:adjustRightInd w:val="0"/>
              <w:snapToGrid w:val="0"/>
              <w:spacing w:line="300" w:lineRule="auto"/>
              <w:rPr>
                <w:sz w:val="18"/>
                <w:szCs w:val="18"/>
              </w:rPr>
            </w:pPr>
            <w:r>
              <w:rPr>
                <w:sz w:val="18"/>
                <w:szCs w:val="18"/>
              </w:rPr>
              <w:t xml:space="preserve">（1）40年前，我们通过农村改革拉开了改革开放大幕。40年来，我国乡村发生了哪些巨变？ </w:t>
            </w:r>
          </w:p>
          <w:p>
            <w:pPr>
              <w:adjustRightInd w:val="0"/>
              <w:snapToGrid w:val="0"/>
              <w:spacing w:line="300" w:lineRule="auto"/>
              <w:rPr>
                <w:sz w:val="18"/>
                <w:szCs w:val="18"/>
              </w:rPr>
            </w:pPr>
            <w:r>
              <w:rPr>
                <w:sz w:val="18"/>
                <w:szCs w:val="18"/>
              </w:rPr>
              <w:t>（2）“任何时候都不能忽视农业、忘记农民、淡漠农村。”你如何理解这句话？</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kern w:val="0"/>
                <w:sz w:val="18"/>
                <w:szCs w:val="18"/>
              </w:rPr>
              <w:t>本课程教学以课堂讲授为主，采用多媒体教学和启发式教学方法，通过课堂提问，引导学生思考，通过对相关知识点的讨论，让学生参与到课堂教学中来。</w:t>
            </w:r>
          </w:p>
        </w:tc>
        <w:tc>
          <w:tcPr>
            <w:tcW w:w="423" w:type="pct"/>
            <w:vAlign w:val="center"/>
          </w:tcPr>
          <w:p>
            <w:pPr>
              <w:adjustRightInd w:val="0"/>
              <w:snapToGrid w:val="0"/>
              <w:spacing w:line="300" w:lineRule="auto"/>
              <w:jc w:val="center"/>
              <w:rPr>
                <w:sz w:val="18"/>
                <w:szCs w:val="18"/>
              </w:rPr>
            </w:pPr>
            <w:r>
              <w:rPr>
                <w:sz w:val="18"/>
                <w:szCs w:val="18"/>
              </w:rPr>
              <w:t>14</w:t>
            </w:r>
          </w:p>
        </w:tc>
        <w:tc>
          <w:tcPr>
            <w:tcW w:w="593" w:type="pct"/>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39" w:type="pct"/>
            <w:tcMar>
              <w:left w:w="57" w:type="dxa"/>
              <w:right w:w="57" w:type="dxa"/>
            </w:tcMar>
            <w:vAlign w:val="center"/>
          </w:tcPr>
          <w:p>
            <w:pPr>
              <w:adjustRightInd w:val="0"/>
              <w:snapToGrid w:val="0"/>
              <w:spacing w:line="300" w:lineRule="auto"/>
              <w:jc w:val="center"/>
              <w:rPr>
                <w:sz w:val="18"/>
                <w:szCs w:val="18"/>
              </w:rPr>
            </w:pPr>
            <w:r>
              <w:rPr>
                <w:sz w:val="18"/>
                <w:szCs w:val="18"/>
              </w:rPr>
              <w:t>3</w:t>
            </w:r>
          </w:p>
        </w:tc>
        <w:tc>
          <w:tcPr>
            <w:tcW w:w="598" w:type="pct"/>
            <w:vAlign w:val="center"/>
          </w:tcPr>
          <w:p>
            <w:pPr>
              <w:adjustRightInd w:val="0"/>
              <w:snapToGrid w:val="0"/>
              <w:spacing w:line="300" w:lineRule="auto"/>
              <w:rPr>
                <w:sz w:val="18"/>
                <w:szCs w:val="18"/>
              </w:rPr>
            </w:pPr>
            <w:r>
              <w:rPr>
                <w:sz w:val="18"/>
                <w:szCs w:val="18"/>
              </w:rPr>
              <w:t>3坚定实施区域协调发展战略</w:t>
            </w:r>
          </w:p>
          <w:p>
            <w:pPr>
              <w:adjustRightInd w:val="0"/>
              <w:snapToGrid w:val="0"/>
              <w:spacing w:line="300" w:lineRule="auto"/>
              <w:rPr>
                <w:sz w:val="18"/>
                <w:szCs w:val="18"/>
              </w:rPr>
            </w:pPr>
            <w:r>
              <w:rPr>
                <w:sz w:val="18"/>
                <w:szCs w:val="18"/>
              </w:rPr>
              <w:t>3.1四大区城发展取得新成效</w:t>
            </w:r>
          </w:p>
          <w:p>
            <w:pPr>
              <w:adjustRightInd w:val="0"/>
              <w:snapToGrid w:val="0"/>
              <w:spacing w:line="300" w:lineRule="auto"/>
              <w:rPr>
                <w:sz w:val="18"/>
                <w:szCs w:val="18"/>
              </w:rPr>
            </w:pPr>
            <w:r>
              <w:rPr>
                <w:sz w:val="18"/>
                <w:szCs w:val="18"/>
              </w:rPr>
              <w:t>3.2正确认识区域</w:t>
            </w:r>
            <w:r>
              <w:rPr>
                <w:rFonts w:hint="eastAsia"/>
                <w:sz w:val="18"/>
                <w:szCs w:val="18"/>
                <w:lang w:val="en-US" w:eastAsia="zh-CN"/>
              </w:rPr>
              <w:t>间</w:t>
            </w:r>
            <w:r>
              <w:rPr>
                <w:sz w:val="18"/>
                <w:szCs w:val="18"/>
              </w:rPr>
              <w:t>发展不均衡现状</w:t>
            </w:r>
          </w:p>
          <w:p>
            <w:pPr>
              <w:adjustRightInd w:val="0"/>
              <w:snapToGrid w:val="0"/>
              <w:spacing w:line="300" w:lineRule="auto"/>
              <w:rPr>
                <w:sz w:val="18"/>
                <w:szCs w:val="18"/>
              </w:rPr>
            </w:pPr>
            <w:r>
              <w:rPr>
                <w:sz w:val="18"/>
                <w:szCs w:val="18"/>
              </w:rPr>
              <w:t>3.3新时代促进区域协调发展战略</w:t>
            </w:r>
          </w:p>
        </w:tc>
        <w:tc>
          <w:tcPr>
            <w:tcW w:w="3047"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shd w:val="clear" w:color="auto" w:fill="FEFEFF"/>
              </w:rPr>
            </w:pPr>
            <w:r>
              <w:rPr>
                <w:sz w:val="18"/>
                <w:szCs w:val="18"/>
              </w:rPr>
              <w:t>学生要掌握如下内容：区城差异大、发展不平衡是我国的基本国情。为解决日益凸显的区城发展不平衡问题，党中央、国务院先后提出统筹推进东部率先发展、西部大开发、中部崛起和东北振兴区域发展战略，促进区域协调发展、协同发展、共同发展。要让学生认识到随着一系列区域协调发展的重大决策部署陆续实施，各区域呈现出增长较快、结构优化、协调性增强的良好态势。要让学生认识到由于外部环境、基础条件、发展阶段等多重因素影响，我国区域发展面临着区域人口分布与经济活动分布失衡、基础设施建设水平参差不齐等新</w:t>
            </w:r>
            <w:r>
              <w:rPr>
                <w:rFonts w:hint="eastAsia"/>
                <w:sz w:val="18"/>
                <w:szCs w:val="18"/>
                <w:lang w:val="en-US" w:eastAsia="zh-CN"/>
              </w:rPr>
              <w:t>挑战</w:t>
            </w:r>
            <w:r>
              <w:rPr>
                <w:sz w:val="18"/>
                <w:szCs w:val="18"/>
              </w:rPr>
              <w:t>。要让学生认识到党的十九大报告明确提出了区域协调发展战略的主要任务和战略取向，“全国一盘棋”的经济社会发展新蓝图正在被勾勒。</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1）课外阅读资料</w:t>
            </w:r>
          </w:p>
          <w:p>
            <w:pPr>
              <w:adjustRightInd w:val="0"/>
              <w:snapToGrid w:val="0"/>
              <w:spacing w:line="300" w:lineRule="auto"/>
              <w:rPr>
                <w:sz w:val="18"/>
                <w:szCs w:val="18"/>
              </w:rPr>
            </w:pPr>
            <w:r>
              <w:rPr>
                <w:sz w:val="18"/>
                <w:szCs w:val="18"/>
              </w:rPr>
              <w:t>（1）《走中国特色区域协调发展道路》，魏后凯，《经济日报》2018年10月11日。</w:t>
            </w:r>
          </w:p>
          <w:p>
            <w:pPr>
              <w:adjustRightInd w:val="0"/>
              <w:snapToGrid w:val="0"/>
              <w:spacing w:line="300" w:lineRule="auto"/>
              <w:rPr>
                <w:sz w:val="18"/>
                <w:szCs w:val="18"/>
              </w:rPr>
            </w:pPr>
            <w:r>
              <w:rPr>
                <w:sz w:val="18"/>
                <w:szCs w:val="18"/>
              </w:rPr>
              <w:t>（2）《建立区域协调发展新机制》，孙久文，中国经济网，2018年1月2日。</w:t>
            </w:r>
          </w:p>
          <w:p>
            <w:pPr>
              <w:adjustRightInd w:val="0"/>
              <w:snapToGrid w:val="0"/>
              <w:spacing w:line="300" w:lineRule="auto"/>
              <w:rPr>
                <w:sz w:val="18"/>
                <w:szCs w:val="18"/>
              </w:rPr>
            </w:pPr>
            <w:r>
              <w:rPr>
                <w:sz w:val="18"/>
                <w:szCs w:val="18"/>
              </w:rPr>
              <w:t>（3）《探索区域协调发展新路径》，范恒山，《中国经济时报》2017年12月21日。</w:t>
            </w:r>
          </w:p>
          <w:p>
            <w:pPr>
              <w:adjustRightInd w:val="0"/>
              <w:snapToGrid w:val="0"/>
              <w:spacing w:line="300" w:lineRule="auto"/>
              <w:rPr>
                <w:sz w:val="18"/>
                <w:szCs w:val="18"/>
              </w:rPr>
            </w:pPr>
            <w:r>
              <w:rPr>
                <w:sz w:val="18"/>
                <w:szCs w:val="18"/>
              </w:rPr>
              <w:t>2）课外作业</w:t>
            </w:r>
          </w:p>
          <w:p>
            <w:pPr>
              <w:adjustRightInd w:val="0"/>
              <w:snapToGrid w:val="0"/>
              <w:spacing w:line="300" w:lineRule="auto"/>
              <w:rPr>
                <w:sz w:val="18"/>
                <w:szCs w:val="18"/>
              </w:rPr>
            </w:pPr>
            <w:r>
              <w:rPr>
                <w:sz w:val="18"/>
                <w:szCs w:val="18"/>
              </w:rPr>
              <w:t>（1）随着东部率先发展、西部大开发、中部崛起、东北振兴等区域发展战略的实施，我国区域协调发展取得哪些成效？</w:t>
            </w:r>
          </w:p>
          <w:p>
            <w:pPr>
              <w:adjustRightInd w:val="0"/>
              <w:snapToGrid w:val="0"/>
              <w:spacing w:line="300" w:lineRule="auto"/>
              <w:rPr>
                <w:sz w:val="18"/>
                <w:szCs w:val="18"/>
              </w:rPr>
            </w:pPr>
            <w:r>
              <w:rPr>
                <w:sz w:val="18"/>
                <w:szCs w:val="18"/>
              </w:rPr>
              <w:t>（2）区域发展不平衡是我国的基本国情，主要体现在哪些方面？</w:t>
            </w:r>
          </w:p>
          <w:p>
            <w:pPr>
              <w:adjustRightInd w:val="0"/>
              <w:snapToGrid w:val="0"/>
              <w:spacing w:line="300" w:lineRule="auto"/>
              <w:rPr>
                <w:sz w:val="18"/>
                <w:szCs w:val="18"/>
              </w:rPr>
            </w:pPr>
            <w:r>
              <w:rPr>
                <w:sz w:val="18"/>
                <w:szCs w:val="18"/>
              </w:rPr>
              <w:t xml:space="preserve">3.教学方法 </w:t>
            </w:r>
          </w:p>
          <w:p>
            <w:pPr>
              <w:adjustRightInd w:val="0"/>
              <w:snapToGrid w:val="0"/>
              <w:spacing w:line="300" w:lineRule="auto"/>
              <w:rPr>
                <w:sz w:val="18"/>
                <w:szCs w:val="18"/>
              </w:rPr>
            </w:pPr>
            <w:r>
              <w:rPr>
                <w:kern w:val="0"/>
                <w:sz w:val="18"/>
                <w:szCs w:val="18"/>
              </w:rPr>
              <w:t>本课程教学以课堂讲授为主，采用多媒体教学和启发式教学方法，通过课堂提问，引导学生思考，通过对相关知识点的讨论，让学生参与到课堂教学中来。</w:t>
            </w:r>
          </w:p>
        </w:tc>
        <w:tc>
          <w:tcPr>
            <w:tcW w:w="423" w:type="pct"/>
            <w:vAlign w:val="center"/>
          </w:tcPr>
          <w:p>
            <w:pPr>
              <w:adjustRightInd w:val="0"/>
              <w:snapToGrid w:val="0"/>
              <w:spacing w:line="300" w:lineRule="auto"/>
              <w:jc w:val="center"/>
              <w:rPr>
                <w:sz w:val="18"/>
                <w:szCs w:val="18"/>
              </w:rPr>
            </w:pPr>
            <w:r>
              <w:rPr>
                <w:sz w:val="18"/>
                <w:szCs w:val="18"/>
              </w:rPr>
              <w:t>14</w:t>
            </w:r>
          </w:p>
        </w:tc>
        <w:tc>
          <w:tcPr>
            <w:tcW w:w="593" w:type="pct"/>
            <w:vAlign w:val="center"/>
          </w:tcPr>
          <w:p>
            <w:pPr>
              <w:adjustRightInd w:val="0"/>
              <w:snapToGrid w:val="0"/>
              <w:spacing w:line="300" w:lineRule="auto"/>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9" w:type="pct"/>
            <w:tcMar>
              <w:left w:w="57" w:type="dxa"/>
              <w:right w:w="57" w:type="dxa"/>
            </w:tcMar>
            <w:vAlign w:val="center"/>
          </w:tcPr>
          <w:p>
            <w:pPr>
              <w:adjustRightInd w:val="0"/>
              <w:snapToGrid w:val="0"/>
              <w:spacing w:line="300" w:lineRule="auto"/>
              <w:jc w:val="center"/>
              <w:rPr>
                <w:sz w:val="18"/>
                <w:szCs w:val="18"/>
              </w:rPr>
            </w:pPr>
            <w:r>
              <w:rPr>
                <w:sz w:val="18"/>
                <w:szCs w:val="18"/>
              </w:rPr>
              <w:t>4</w:t>
            </w:r>
          </w:p>
        </w:tc>
        <w:tc>
          <w:tcPr>
            <w:tcW w:w="598" w:type="pct"/>
            <w:vAlign w:val="center"/>
          </w:tcPr>
          <w:p>
            <w:pPr>
              <w:adjustRightInd w:val="0"/>
              <w:snapToGrid w:val="0"/>
              <w:spacing w:line="300" w:lineRule="auto"/>
              <w:rPr>
                <w:sz w:val="18"/>
                <w:szCs w:val="18"/>
              </w:rPr>
            </w:pPr>
            <w:r>
              <w:rPr>
                <w:sz w:val="18"/>
                <w:szCs w:val="18"/>
              </w:rPr>
              <w:t>4港澳与内地融合   共享发展机遇</w:t>
            </w:r>
          </w:p>
          <w:p>
            <w:pPr>
              <w:adjustRightInd w:val="0"/>
              <w:snapToGrid w:val="0"/>
              <w:spacing w:line="300" w:lineRule="auto"/>
              <w:rPr>
                <w:sz w:val="18"/>
                <w:szCs w:val="18"/>
              </w:rPr>
            </w:pPr>
            <w:r>
              <w:rPr>
                <w:sz w:val="18"/>
                <w:szCs w:val="18"/>
              </w:rPr>
              <w:t>4.1</w:t>
            </w:r>
            <w:r>
              <w:rPr>
                <w:kern w:val="0"/>
                <w:sz w:val="18"/>
                <w:szCs w:val="18"/>
              </w:rPr>
              <w:t>港澳与内地优势互补、互利共赢</w:t>
            </w:r>
          </w:p>
          <w:p>
            <w:pPr>
              <w:adjustRightInd w:val="0"/>
              <w:snapToGrid w:val="0"/>
              <w:spacing w:line="300" w:lineRule="auto"/>
              <w:rPr>
                <w:sz w:val="18"/>
                <w:szCs w:val="18"/>
              </w:rPr>
            </w:pPr>
            <w:r>
              <w:rPr>
                <w:sz w:val="18"/>
                <w:szCs w:val="18"/>
              </w:rPr>
              <w:t>4.2</w:t>
            </w:r>
            <w:r>
              <w:rPr>
                <w:kern w:val="0"/>
                <w:sz w:val="18"/>
                <w:szCs w:val="18"/>
              </w:rPr>
              <w:t>推动港澳与内地融合发展的重大举措</w:t>
            </w:r>
          </w:p>
          <w:p>
            <w:pPr>
              <w:adjustRightInd w:val="0"/>
              <w:snapToGrid w:val="0"/>
              <w:spacing w:line="300" w:lineRule="auto"/>
              <w:rPr>
                <w:sz w:val="18"/>
                <w:szCs w:val="18"/>
              </w:rPr>
            </w:pPr>
            <w:r>
              <w:rPr>
                <w:sz w:val="18"/>
                <w:szCs w:val="18"/>
              </w:rPr>
              <w:t>4.3</w:t>
            </w:r>
            <w:r>
              <w:rPr>
                <w:kern w:val="0"/>
                <w:sz w:val="18"/>
                <w:szCs w:val="18"/>
              </w:rPr>
              <w:t>确保港澳与内地融合发展行稳致远</w:t>
            </w:r>
          </w:p>
        </w:tc>
        <w:tc>
          <w:tcPr>
            <w:tcW w:w="3047" w:type="pct"/>
            <w:vAlign w:val="center"/>
          </w:tcPr>
          <w:p>
            <w:pPr>
              <w:adjustRightInd w:val="0"/>
              <w:snapToGrid w:val="0"/>
              <w:spacing w:line="300" w:lineRule="auto"/>
              <w:rPr>
                <w:sz w:val="18"/>
                <w:szCs w:val="18"/>
              </w:rPr>
            </w:pPr>
            <w:r>
              <w:rPr>
                <w:sz w:val="18"/>
                <w:szCs w:val="18"/>
              </w:rPr>
              <w:t>1.要求</w:t>
            </w:r>
          </w:p>
          <w:p>
            <w:pPr>
              <w:adjustRightInd w:val="0"/>
              <w:snapToGrid w:val="0"/>
              <w:spacing w:line="300" w:lineRule="auto"/>
              <w:rPr>
                <w:sz w:val="18"/>
                <w:szCs w:val="18"/>
              </w:rPr>
            </w:pPr>
            <w:r>
              <w:rPr>
                <w:sz w:val="18"/>
                <w:szCs w:val="18"/>
              </w:rPr>
              <w:t>学生要掌握如下内容：</w:t>
            </w:r>
            <w:r>
              <w:rPr>
                <w:kern w:val="0"/>
                <w:sz w:val="18"/>
                <w:szCs w:val="18"/>
              </w:rPr>
              <w:t>国家改革开放的历程就是香港、澳门同内地优势互补、一起发展的历程，是港澳同胞和祖国人民同心协力、一起打拼的历程，也是香港、澳门日益融入国家发展大局、共享祖国繁荣富强伟大荣光的历程。要让学生认识到，对香港、澳门来说，“一国两制”是最大的优势，国家改革开放是最大的舞台，共建“一带一路”、粤港澳大湾区建设等国家战略实施是新的重大机遇。在新时代国家改革开放进程中，香港、澳门要充分发挥其独特的优势和作用，积极主动融入国家发展中来。</w:t>
            </w:r>
          </w:p>
          <w:p>
            <w:pPr>
              <w:adjustRightInd w:val="0"/>
              <w:snapToGrid w:val="0"/>
              <w:spacing w:line="300" w:lineRule="auto"/>
              <w:rPr>
                <w:sz w:val="18"/>
                <w:szCs w:val="18"/>
              </w:rPr>
            </w:pPr>
            <w:r>
              <w:rPr>
                <w:sz w:val="18"/>
                <w:szCs w:val="18"/>
              </w:rPr>
              <w:t>2.作业内容</w:t>
            </w:r>
          </w:p>
          <w:p>
            <w:pPr>
              <w:adjustRightInd w:val="0"/>
              <w:snapToGrid w:val="0"/>
              <w:spacing w:line="300" w:lineRule="auto"/>
              <w:rPr>
                <w:sz w:val="18"/>
                <w:szCs w:val="18"/>
              </w:rPr>
            </w:pPr>
            <w:r>
              <w:rPr>
                <w:sz w:val="18"/>
                <w:szCs w:val="18"/>
              </w:rPr>
              <w:t>1）课外阅读资料</w:t>
            </w:r>
          </w:p>
          <w:p>
            <w:pPr>
              <w:adjustRightInd w:val="0"/>
              <w:snapToGrid w:val="0"/>
              <w:spacing w:line="300" w:lineRule="auto"/>
              <w:rPr>
                <w:sz w:val="18"/>
                <w:szCs w:val="18"/>
              </w:rPr>
            </w:pPr>
            <w:r>
              <w:rPr>
                <w:sz w:val="18"/>
                <w:szCs w:val="18"/>
              </w:rPr>
              <w:t>（1）《会见香港澳门各界庆祝国家改革开放40周年访问团时的讲话》，习近平，《人民日报》2018年11月13日。</w:t>
            </w:r>
          </w:p>
          <w:p>
            <w:pPr>
              <w:adjustRightInd w:val="0"/>
              <w:snapToGrid w:val="0"/>
              <w:spacing w:line="300" w:lineRule="auto"/>
              <w:rPr>
                <w:sz w:val="18"/>
                <w:szCs w:val="18"/>
              </w:rPr>
            </w:pPr>
            <w:r>
              <w:rPr>
                <w:sz w:val="18"/>
                <w:szCs w:val="18"/>
              </w:rPr>
              <w:t>（2）《在融入国家发展大局中实现更好发展》，张庆波、苏 宁，《人民日报海外版》2018年11月14日。</w:t>
            </w:r>
          </w:p>
          <w:p>
            <w:pPr>
              <w:adjustRightInd w:val="0"/>
              <w:snapToGrid w:val="0"/>
              <w:spacing w:line="300" w:lineRule="auto"/>
              <w:rPr>
                <w:sz w:val="18"/>
                <w:szCs w:val="18"/>
              </w:rPr>
            </w:pPr>
            <w:r>
              <w:rPr>
                <w:sz w:val="18"/>
                <w:szCs w:val="18"/>
              </w:rPr>
              <w:t>（3）《抓住机遇乘势而上 开创“一国两制”事业新局面》，丁梓懿、郭鑫、苏晓，新华网2018年11月16日。</w:t>
            </w:r>
          </w:p>
          <w:p>
            <w:pPr>
              <w:adjustRightInd w:val="0"/>
              <w:snapToGrid w:val="0"/>
              <w:spacing w:line="300" w:lineRule="auto"/>
              <w:rPr>
                <w:sz w:val="18"/>
                <w:szCs w:val="18"/>
              </w:rPr>
            </w:pPr>
            <w:r>
              <w:rPr>
                <w:sz w:val="18"/>
                <w:szCs w:val="18"/>
              </w:rPr>
              <w:t>（4）《三地同心 拥抱大湾区》，冯学知、张庆波、苏宁，《人民日报》2018年10月29日。</w:t>
            </w:r>
          </w:p>
          <w:p>
            <w:pPr>
              <w:adjustRightInd w:val="0"/>
              <w:snapToGrid w:val="0"/>
              <w:spacing w:line="300" w:lineRule="auto"/>
              <w:rPr>
                <w:sz w:val="18"/>
                <w:szCs w:val="18"/>
              </w:rPr>
            </w:pPr>
            <w:r>
              <w:rPr>
                <w:sz w:val="18"/>
                <w:szCs w:val="18"/>
              </w:rPr>
              <w:t>2）课外作业</w:t>
            </w:r>
          </w:p>
          <w:p>
            <w:pPr>
              <w:adjustRightInd w:val="0"/>
              <w:snapToGrid w:val="0"/>
              <w:spacing w:line="300" w:lineRule="auto"/>
              <w:rPr>
                <w:sz w:val="18"/>
                <w:szCs w:val="18"/>
              </w:rPr>
            </w:pPr>
            <w:r>
              <w:rPr>
                <w:sz w:val="18"/>
                <w:szCs w:val="18"/>
              </w:rPr>
              <w:t xml:space="preserve">（1）改革开放以来，香港、澳门在祖国内地发展进程中发挥了不可替代的作用，主要体现在哪些方面？ </w:t>
            </w:r>
          </w:p>
          <w:p>
            <w:pPr>
              <w:adjustRightInd w:val="0"/>
              <w:snapToGrid w:val="0"/>
              <w:spacing w:line="300" w:lineRule="auto"/>
              <w:rPr>
                <w:sz w:val="18"/>
                <w:szCs w:val="18"/>
              </w:rPr>
            </w:pPr>
            <w:r>
              <w:rPr>
                <w:sz w:val="18"/>
                <w:szCs w:val="18"/>
              </w:rPr>
              <w:t>（2）你如何理解习近平主席提出的四个“更加积极主动”？</w:t>
            </w:r>
          </w:p>
        </w:tc>
        <w:tc>
          <w:tcPr>
            <w:tcW w:w="423" w:type="pct"/>
            <w:vAlign w:val="center"/>
          </w:tcPr>
          <w:p>
            <w:pPr>
              <w:adjustRightInd w:val="0"/>
              <w:snapToGrid w:val="0"/>
              <w:spacing w:line="300" w:lineRule="auto"/>
              <w:jc w:val="center"/>
              <w:rPr>
                <w:sz w:val="18"/>
                <w:szCs w:val="18"/>
              </w:rPr>
            </w:pPr>
            <w:r>
              <w:rPr>
                <w:sz w:val="18"/>
                <w:szCs w:val="18"/>
              </w:rPr>
              <w:t>14</w:t>
            </w:r>
          </w:p>
        </w:tc>
        <w:tc>
          <w:tcPr>
            <w:tcW w:w="593" w:type="pct"/>
            <w:vAlign w:val="center"/>
          </w:tcPr>
          <w:p>
            <w:pPr>
              <w:adjustRightInd w:val="0"/>
              <w:snapToGrid w:val="0"/>
              <w:spacing w:line="300" w:lineRule="auto"/>
              <w:jc w:val="center"/>
              <w:rPr>
                <w:sz w:val="18"/>
                <w:szCs w:val="18"/>
              </w:rPr>
            </w:pPr>
            <w:r>
              <w:rPr>
                <w:sz w:val="18"/>
                <w:szCs w:val="18"/>
              </w:rPr>
              <w:t>1，2</w:t>
            </w:r>
          </w:p>
        </w:tc>
      </w:tr>
    </w:tbl>
    <w:p>
      <w:pPr>
        <w:adjustRightInd w:val="0"/>
        <w:snapToGrid w:val="0"/>
        <w:spacing w:before="156" w:beforeLines="50" w:after="156" w:afterLines="50" w:line="300" w:lineRule="auto"/>
        <w:ind w:firstLine="420" w:firstLineChars="200"/>
        <w:jc w:val="left"/>
        <w:rPr>
          <w:b/>
          <w:bCs/>
          <w:sz w:val="18"/>
          <w:szCs w:val="20"/>
        </w:rPr>
      </w:pPr>
      <w:r>
        <w:t>自主学习内容见表4所示。</w:t>
      </w:r>
    </w:p>
    <w:p>
      <w:pPr>
        <w:adjustRightInd w:val="0"/>
        <w:snapToGrid w:val="0"/>
        <w:spacing w:before="156" w:beforeLines="50" w:line="300" w:lineRule="auto"/>
        <w:jc w:val="center"/>
        <w:rPr>
          <w:b/>
          <w:bCs/>
          <w:sz w:val="18"/>
          <w:szCs w:val="20"/>
        </w:rPr>
      </w:pPr>
      <w:r>
        <w:rPr>
          <w:b/>
          <w:bCs/>
          <w:sz w:val="18"/>
          <w:szCs w:val="20"/>
        </w:rPr>
        <w:t>表4 自主学习安排情况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124"/>
        <w:gridCol w:w="2475"/>
        <w:gridCol w:w="673"/>
        <w:gridCol w:w="639"/>
        <w:gridCol w:w="639"/>
        <w:gridCol w:w="63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序号</w:t>
            </w:r>
          </w:p>
        </w:tc>
        <w:tc>
          <w:tcPr>
            <w:tcW w:w="124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自主学习项目名称</w:t>
            </w:r>
          </w:p>
        </w:tc>
        <w:tc>
          <w:tcPr>
            <w:tcW w:w="145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自主学习的要求</w:t>
            </w:r>
          </w:p>
        </w:tc>
        <w:tc>
          <w:tcPr>
            <w:tcW w:w="39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学时分配</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实验类型</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每组人数</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
                <w:sz w:val="18"/>
                <w:szCs w:val="18"/>
              </w:rPr>
            </w:pPr>
            <w:r>
              <w:rPr>
                <w:b/>
                <w:sz w:val="18"/>
                <w:szCs w:val="18"/>
              </w:rPr>
              <w:t>必开选开</w:t>
            </w:r>
          </w:p>
        </w:tc>
        <w:tc>
          <w:tcPr>
            <w:tcW w:w="407" w:type="pct"/>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b/>
                <w:sz w:val="18"/>
                <w:szCs w:val="18"/>
              </w:rPr>
            </w:pPr>
            <w:r>
              <w:rPr>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w:t>
            </w:r>
          </w:p>
        </w:tc>
        <w:tc>
          <w:tcPr>
            <w:tcW w:w="124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b/>
                <w:sz w:val="18"/>
                <w:szCs w:val="18"/>
              </w:rPr>
            </w:pPr>
            <w:r>
              <w:rPr>
                <w:sz w:val="18"/>
                <w:szCs w:val="18"/>
              </w:rPr>
              <w:t>经济全球化与中国</w:t>
            </w:r>
          </w:p>
        </w:tc>
        <w:tc>
          <w:tcPr>
            <w:tcW w:w="1452"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sz w:val="18"/>
                <w:szCs w:val="18"/>
              </w:rPr>
            </w:pPr>
            <w:r>
              <w:rPr>
                <w:sz w:val="18"/>
                <w:szCs w:val="18"/>
              </w:rPr>
              <w:t>理解经济全球化对中国的影响及其对策</w:t>
            </w:r>
          </w:p>
        </w:tc>
        <w:tc>
          <w:tcPr>
            <w:tcW w:w="39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8</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自主学习</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1</w:t>
            </w:r>
          </w:p>
        </w:tc>
        <w:tc>
          <w:tcPr>
            <w:tcW w:w="37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bCs/>
                <w:sz w:val="18"/>
                <w:szCs w:val="18"/>
              </w:rPr>
            </w:pPr>
            <w:r>
              <w:rPr>
                <w:bCs/>
                <w:sz w:val="18"/>
                <w:szCs w:val="18"/>
              </w:rPr>
              <w:t>必开</w:t>
            </w:r>
          </w:p>
        </w:tc>
        <w:tc>
          <w:tcPr>
            <w:tcW w:w="40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sz w:val="18"/>
                <w:szCs w:val="18"/>
              </w:rPr>
            </w:pPr>
            <w:r>
              <w:rPr>
                <w:sz w:val="18"/>
                <w:szCs w:val="18"/>
              </w:rPr>
              <w:t>1，2</w:t>
            </w:r>
          </w:p>
        </w:tc>
      </w:tr>
    </w:tbl>
    <w:p>
      <w:pPr>
        <w:adjustRightInd w:val="0"/>
        <w:snapToGrid w:val="0"/>
        <w:spacing w:before="156" w:beforeLines="50" w:after="156" w:afterLines="50" w:line="300" w:lineRule="auto"/>
        <w:rPr>
          <w:b/>
          <w:sz w:val="24"/>
        </w:rPr>
      </w:pPr>
      <w:r>
        <w:rPr>
          <w:b/>
          <w:sz w:val="24"/>
        </w:rPr>
        <w:t>五、课程考核及成绩评定</w:t>
      </w:r>
    </w:p>
    <w:p>
      <w:pPr>
        <w:adjustRightInd w:val="0"/>
        <w:snapToGrid w:val="0"/>
        <w:spacing w:line="300" w:lineRule="auto"/>
        <w:ind w:firstLine="420" w:firstLineChars="200"/>
      </w:pPr>
      <w:r>
        <w:t>1．考核方式：</w:t>
      </w:r>
      <w:r>
        <w:rPr>
          <w:szCs w:val="21"/>
        </w:rPr>
        <w:t>考核成绩为百分制。结合所讲的内容，出两个大题，要求学生在指定的时间内完成，成绩计算为百分制。每学期考核一次，四次成绩平均即为该门课程的最终成绩。</w:t>
      </w:r>
    </w:p>
    <w:p>
      <w:pPr>
        <w:adjustRightInd w:val="0"/>
        <w:snapToGrid w:val="0"/>
        <w:spacing w:line="300" w:lineRule="auto"/>
        <w:ind w:firstLine="420" w:firstLineChars="200"/>
        <w:rPr>
          <w:szCs w:val="21"/>
        </w:rPr>
      </w:pPr>
      <w:r>
        <w:t>2．成绩构成：</w:t>
      </w:r>
      <w:r>
        <w:rPr>
          <w:szCs w:val="21"/>
        </w:rPr>
        <w:t>课程最终成绩由平时成绩和课程终结考试成绩构成，平时成绩占总评成绩比例的40%，课程终结考试成绩占总评成绩比例的60%。</w:t>
      </w:r>
    </w:p>
    <w:p>
      <w:pPr>
        <w:adjustRightInd w:val="0"/>
        <w:snapToGrid w:val="0"/>
        <w:spacing w:line="300" w:lineRule="auto"/>
        <w:ind w:firstLine="420" w:firstLineChars="200"/>
      </w:pPr>
      <w:r>
        <w:t>1．考核方式：</w:t>
      </w:r>
      <w:r>
        <w:rPr>
          <w:szCs w:val="21"/>
        </w:rPr>
        <w:t>闭卷笔试，平时表现，作业。</w:t>
      </w:r>
    </w:p>
    <w:p>
      <w:pPr>
        <w:adjustRightInd w:val="0"/>
        <w:snapToGrid w:val="0"/>
        <w:spacing w:line="300" w:lineRule="auto"/>
        <w:ind w:firstLine="420" w:firstLineChars="200"/>
      </w:pPr>
      <w:r>
        <w:t>2．成绩构成：</w:t>
      </w:r>
      <w:r>
        <w:rPr>
          <w:szCs w:val="21"/>
        </w:rPr>
        <w:t>笔试成绩60%，平时成绩40%（课后作业、课堂表现、实验成绩等）。</w:t>
      </w:r>
    </w:p>
    <w:p>
      <w:pPr>
        <w:adjustRightInd w:val="0"/>
        <w:snapToGrid w:val="0"/>
        <w:spacing w:line="300" w:lineRule="auto"/>
        <w:ind w:firstLine="420" w:firstLineChars="200"/>
      </w:pPr>
      <w:r>
        <w:t>3．考核评价标准见表5所示。</w:t>
      </w:r>
    </w:p>
    <w:p>
      <w:pPr>
        <w:adjustRightInd w:val="0"/>
        <w:snapToGrid w:val="0"/>
        <w:spacing w:before="156" w:beforeLines="50" w:line="300" w:lineRule="auto"/>
        <w:ind w:firstLine="361" w:firstLineChars="200"/>
        <w:jc w:val="center"/>
        <w:rPr>
          <w:b/>
          <w:bCs/>
          <w:sz w:val="18"/>
          <w:szCs w:val="18"/>
        </w:rPr>
      </w:pPr>
      <w:r>
        <w:rPr>
          <w:b/>
          <w:bCs/>
          <w:sz w:val="18"/>
          <w:szCs w:val="18"/>
        </w:rPr>
        <w:t>表5教学目标评价标准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649"/>
        <w:gridCol w:w="648"/>
        <w:gridCol w:w="631"/>
        <w:gridCol w:w="532"/>
        <w:gridCol w:w="3491"/>
        <w:gridCol w:w="908"/>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1" w:type="pct"/>
            <w:vAlign w:val="center"/>
          </w:tcPr>
          <w:p>
            <w:pPr>
              <w:adjustRightInd w:val="0"/>
              <w:snapToGrid w:val="0"/>
              <w:spacing w:line="300" w:lineRule="auto"/>
              <w:jc w:val="center"/>
              <w:rPr>
                <w:b/>
                <w:bCs/>
                <w:sz w:val="18"/>
                <w:szCs w:val="18"/>
              </w:rPr>
            </w:pPr>
            <w:r>
              <w:rPr>
                <w:b/>
                <w:bCs/>
                <w:sz w:val="18"/>
                <w:szCs w:val="18"/>
              </w:rPr>
              <w:t>成绩</w:t>
            </w:r>
          </w:p>
          <w:p>
            <w:pPr>
              <w:adjustRightInd w:val="0"/>
              <w:snapToGrid w:val="0"/>
              <w:spacing w:line="300" w:lineRule="auto"/>
              <w:jc w:val="center"/>
              <w:rPr>
                <w:b/>
                <w:bCs/>
                <w:sz w:val="18"/>
                <w:szCs w:val="18"/>
              </w:rPr>
            </w:pPr>
            <w:r>
              <w:rPr>
                <w:b/>
                <w:bCs/>
                <w:sz w:val="18"/>
                <w:szCs w:val="18"/>
              </w:rPr>
              <w:t>类型</w:t>
            </w:r>
          </w:p>
        </w:tc>
        <w:tc>
          <w:tcPr>
            <w:tcW w:w="381" w:type="pct"/>
            <w:vAlign w:val="center"/>
          </w:tcPr>
          <w:p>
            <w:pPr>
              <w:adjustRightInd w:val="0"/>
              <w:snapToGrid w:val="0"/>
              <w:spacing w:line="300" w:lineRule="auto"/>
              <w:jc w:val="center"/>
              <w:rPr>
                <w:b/>
                <w:bCs/>
                <w:sz w:val="18"/>
                <w:szCs w:val="18"/>
              </w:rPr>
            </w:pPr>
            <w:r>
              <w:rPr>
                <w:b/>
                <w:bCs/>
                <w:sz w:val="18"/>
                <w:szCs w:val="18"/>
              </w:rPr>
              <w:t>分值</w:t>
            </w:r>
          </w:p>
        </w:tc>
        <w:tc>
          <w:tcPr>
            <w:tcW w:w="380" w:type="pct"/>
            <w:vAlign w:val="center"/>
          </w:tcPr>
          <w:p>
            <w:pPr>
              <w:adjustRightInd w:val="0"/>
              <w:snapToGrid w:val="0"/>
              <w:spacing w:line="300" w:lineRule="auto"/>
              <w:jc w:val="center"/>
              <w:rPr>
                <w:b/>
                <w:bCs/>
                <w:sz w:val="18"/>
                <w:szCs w:val="18"/>
              </w:rPr>
            </w:pPr>
            <w:r>
              <w:rPr>
                <w:b/>
                <w:bCs/>
                <w:sz w:val="18"/>
                <w:szCs w:val="18"/>
              </w:rPr>
              <w:t>权重</w:t>
            </w:r>
          </w:p>
        </w:tc>
        <w:tc>
          <w:tcPr>
            <w:tcW w:w="370" w:type="pct"/>
            <w:vAlign w:val="center"/>
          </w:tcPr>
          <w:p>
            <w:pPr>
              <w:adjustRightInd w:val="0"/>
              <w:snapToGrid w:val="0"/>
              <w:spacing w:line="300" w:lineRule="auto"/>
              <w:jc w:val="center"/>
              <w:rPr>
                <w:b/>
                <w:bCs/>
                <w:sz w:val="18"/>
                <w:szCs w:val="18"/>
              </w:rPr>
            </w:pPr>
            <w:r>
              <w:rPr>
                <w:b/>
                <w:bCs/>
                <w:sz w:val="18"/>
                <w:szCs w:val="18"/>
              </w:rPr>
              <w:t>类别</w:t>
            </w:r>
          </w:p>
        </w:tc>
        <w:tc>
          <w:tcPr>
            <w:tcW w:w="312" w:type="pct"/>
            <w:vAlign w:val="center"/>
          </w:tcPr>
          <w:p>
            <w:pPr>
              <w:adjustRightInd w:val="0"/>
              <w:snapToGrid w:val="0"/>
              <w:spacing w:line="300" w:lineRule="auto"/>
              <w:jc w:val="center"/>
              <w:rPr>
                <w:b/>
                <w:bCs/>
                <w:sz w:val="18"/>
                <w:szCs w:val="18"/>
              </w:rPr>
            </w:pPr>
            <w:r>
              <w:rPr>
                <w:b/>
                <w:bCs/>
                <w:sz w:val="18"/>
                <w:szCs w:val="18"/>
              </w:rPr>
              <w:t>权重</w:t>
            </w:r>
          </w:p>
        </w:tc>
        <w:tc>
          <w:tcPr>
            <w:tcW w:w="2048" w:type="pct"/>
            <w:vAlign w:val="center"/>
          </w:tcPr>
          <w:p>
            <w:pPr>
              <w:adjustRightInd w:val="0"/>
              <w:snapToGrid w:val="0"/>
              <w:spacing w:line="300" w:lineRule="auto"/>
              <w:jc w:val="center"/>
              <w:rPr>
                <w:b/>
                <w:bCs/>
                <w:sz w:val="18"/>
                <w:szCs w:val="18"/>
              </w:rPr>
            </w:pPr>
            <w:r>
              <w:rPr>
                <w:b/>
                <w:bCs/>
                <w:sz w:val="18"/>
                <w:szCs w:val="18"/>
              </w:rPr>
              <w:t>考核/评价细则</w:t>
            </w:r>
          </w:p>
        </w:tc>
        <w:tc>
          <w:tcPr>
            <w:tcW w:w="533" w:type="pct"/>
            <w:vAlign w:val="center"/>
          </w:tcPr>
          <w:p>
            <w:pPr>
              <w:adjustRightInd w:val="0"/>
              <w:snapToGrid w:val="0"/>
              <w:spacing w:line="300" w:lineRule="auto"/>
              <w:jc w:val="center"/>
              <w:rPr>
                <w:b/>
                <w:bCs/>
                <w:sz w:val="18"/>
                <w:szCs w:val="18"/>
              </w:rPr>
            </w:pPr>
            <w:r>
              <w:rPr>
                <w:b/>
                <w:bCs/>
                <w:sz w:val="18"/>
                <w:szCs w:val="18"/>
              </w:rPr>
              <w:t>课程</w:t>
            </w:r>
          </w:p>
          <w:p>
            <w:pPr>
              <w:adjustRightInd w:val="0"/>
              <w:snapToGrid w:val="0"/>
              <w:spacing w:line="300" w:lineRule="auto"/>
              <w:jc w:val="center"/>
              <w:rPr>
                <w:b/>
                <w:bCs/>
                <w:sz w:val="18"/>
                <w:szCs w:val="18"/>
              </w:rPr>
            </w:pPr>
            <w:r>
              <w:rPr>
                <w:b/>
                <w:bCs/>
                <w:sz w:val="18"/>
                <w:szCs w:val="18"/>
              </w:rPr>
              <w:t>目标</w:t>
            </w:r>
          </w:p>
        </w:tc>
        <w:tc>
          <w:tcPr>
            <w:tcW w:w="595" w:type="pct"/>
            <w:vAlign w:val="center"/>
          </w:tcPr>
          <w:p>
            <w:pPr>
              <w:adjustRightInd w:val="0"/>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81" w:type="pct"/>
            <w:vMerge w:val="restart"/>
            <w:vAlign w:val="center"/>
          </w:tcPr>
          <w:p>
            <w:pPr>
              <w:adjustRightInd w:val="0"/>
              <w:snapToGrid w:val="0"/>
              <w:spacing w:line="300" w:lineRule="auto"/>
              <w:jc w:val="left"/>
              <w:rPr>
                <w:sz w:val="18"/>
                <w:szCs w:val="18"/>
              </w:rPr>
            </w:pPr>
            <w:r>
              <w:rPr>
                <w:sz w:val="18"/>
                <w:szCs w:val="18"/>
              </w:rPr>
              <w:t>平时成绩</w:t>
            </w:r>
          </w:p>
        </w:tc>
        <w:tc>
          <w:tcPr>
            <w:tcW w:w="381" w:type="pct"/>
            <w:vMerge w:val="restart"/>
            <w:vAlign w:val="center"/>
          </w:tcPr>
          <w:p>
            <w:pPr>
              <w:adjustRightInd w:val="0"/>
              <w:snapToGrid w:val="0"/>
              <w:spacing w:line="300" w:lineRule="auto"/>
              <w:jc w:val="center"/>
              <w:rPr>
                <w:sz w:val="18"/>
                <w:szCs w:val="18"/>
              </w:rPr>
            </w:pPr>
            <w:r>
              <w:rPr>
                <w:sz w:val="18"/>
                <w:szCs w:val="18"/>
              </w:rPr>
              <w:t>100</w:t>
            </w:r>
          </w:p>
        </w:tc>
        <w:tc>
          <w:tcPr>
            <w:tcW w:w="380" w:type="pct"/>
            <w:vMerge w:val="restart"/>
            <w:vAlign w:val="center"/>
          </w:tcPr>
          <w:p>
            <w:pPr>
              <w:adjustRightInd w:val="0"/>
              <w:snapToGrid w:val="0"/>
              <w:spacing w:line="300" w:lineRule="auto"/>
              <w:jc w:val="center"/>
              <w:rPr>
                <w:sz w:val="18"/>
                <w:szCs w:val="18"/>
              </w:rPr>
            </w:pPr>
            <w:r>
              <w:rPr>
                <w:sz w:val="18"/>
                <w:szCs w:val="18"/>
              </w:rPr>
              <w:t>0.4</w:t>
            </w:r>
          </w:p>
        </w:tc>
        <w:tc>
          <w:tcPr>
            <w:tcW w:w="370" w:type="pct"/>
            <w:vMerge w:val="restart"/>
            <w:vAlign w:val="center"/>
          </w:tcPr>
          <w:p>
            <w:pPr>
              <w:adjustRightInd w:val="0"/>
              <w:snapToGrid w:val="0"/>
              <w:spacing w:line="300" w:lineRule="auto"/>
              <w:jc w:val="center"/>
              <w:rPr>
                <w:sz w:val="18"/>
                <w:szCs w:val="18"/>
              </w:rPr>
            </w:pPr>
            <w:r>
              <w:rPr>
                <w:sz w:val="18"/>
                <w:szCs w:val="18"/>
              </w:rPr>
              <w:t>课堂表现</w:t>
            </w:r>
          </w:p>
        </w:tc>
        <w:tc>
          <w:tcPr>
            <w:tcW w:w="312" w:type="pct"/>
            <w:vAlign w:val="center"/>
          </w:tcPr>
          <w:p>
            <w:pPr>
              <w:adjustRightInd w:val="0"/>
              <w:snapToGrid w:val="0"/>
              <w:spacing w:line="300" w:lineRule="auto"/>
              <w:jc w:val="center"/>
              <w:rPr>
                <w:sz w:val="18"/>
                <w:szCs w:val="18"/>
              </w:rPr>
            </w:pPr>
            <w:r>
              <w:rPr>
                <w:sz w:val="18"/>
                <w:szCs w:val="18"/>
              </w:rPr>
              <w:t>0.1</w:t>
            </w:r>
          </w:p>
        </w:tc>
        <w:tc>
          <w:tcPr>
            <w:tcW w:w="2048" w:type="pct"/>
            <w:vMerge w:val="restart"/>
            <w:vAlign w:val="center"/>
          </w:tcPr>
          <w:p>
            <w:pPr>
              <w:adjustRightInd w:val="0"/>
              <w:snapToGrid w:val="0"/>
              <w:spacing w:line="300" w:lineRule="auto"/>
              <w:rPr>
                <w:sz w:val="18"/>
                <w:szCs w:val="18"/>
              </w:rPr>
            </w:pPr>
            <w:r>
              <w:rPr>
                <w:sz w:val="18"/>
                <w:szCs w:val="18"/>
              </w:rPr>
              <w:t>根据学生课堂表现打分，</w:t>
            </w:r>
            <w:r>
              <w:rPr>
                <w:rFonts w:hint="eastAsia"/>
                <w:sz w:val="18"/>
                <w:szCs w:val="18"/>
              </w:rPr>
              <w:t>共2次打分，每次</w:t>
            </w:r>
            <w:r>
              <w:rPr>
                <w:sz w:val="18"/>
                <w:szCs w:val="18"/>
              </w:rPr>
              <w:t>满分50</w:t>
            </w:r>
            <w:r>
              <w:rPr>
                <w:rFonts w:hint="eastAsia"/>
                <w:sz w:val="18"/>
                <w:szCs w:val="18"/>
              </w:rPr>
              <w:t>，课堂表现总成绩1</w:t>
            </w:r>
            <w:r>
              <w:rPr>
                <w:sz w:val="18"/>
                <w:szCs w:val="18"/>
              </w:rPr>
              <w:t>00</w:t>
            </w:r>
            <w:r>
              <w:rPr>
                <w:rFonts w:hint="eastAsia"/>
                <w:sz w:val="18"/>
                <w:szCs w:val="18"/>
              </w:rPr>
              <w:t>分</w:t>
            </w:r>
            <w:r>
              <w:rPr>
                <w:sz w:val="18"/>
                <w:szCs w:val="18"/>
              </w:rPr>
              <w:t>。</w:t>
            </w:r>
          </w:p>
        </w:tc>
        <w:tc>
          <w:tcPr>
            <w:tcW w:w="533" w:type="pct"/>
            <w:vAlign w:val="center"/>
          </w:tcPr>
          <w:p>
            <w:pPr>
              <w:adjustRightInd w:val="0"/>
              <w:snapToGrid w:val="0"/>
              <w:spacing w:line="300" w:lineRule="auto"/>
              <w:jc w:val="center"/>
              <w:rPr>
                <w:sz w:val="18"/>
                <w:szCs w:val="18"/>
              </w:rPr>
            </w:pPr>
            <w:r>
              <w:rPr>
                <w:sz w:val="18"/>
                <w:szCs w:val="18"/>
              </w:rPr>
              <w:t>1</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81" w:type="pct"/>
            <w:vMerge w:val="continue"/>
            <w:vAlign w:val="center"/>
          </w:tcPr>
          <w:p>
            <w:pPr>
              <w:adjustRightInd w:val="0"/>
              <w:snapToGrid w:val="0"/>
              <w:spacing w:line="300" w:lineRule="auto"/>
              <w:jc w:val="left"/>
              <w:rPr>
                <w:sz w:val="18"/>
                <w:szCs w:val="18"/>
              </w:rPr>
            </w:pPr>
          </w:p>
        </w:tc>
        <w:tc>
          <w:tcPr>
            <w:tcW w:w="381" w:type="pct"/>
            <w:vMerge w:val="continue"/>
            <w:vAlign w:val="center"/>
          </w:tcPr>
          <w:p>
            <w:pPr>
              <w:adjustRightInd w:val="0"/>
              <w:snapToGrid w:val="0"/>
              <w:spacing w:line="300" w:lineRule="auto"/>
              <w:jc w:val="center"/>
              <w:rPr>
                <w:sz w:val="18"/>
                <w:szCs w:val="18"/>
              </w:rPr>
            </w:pPr>
          </w:p>
        </w:tc>
        <w:tc>
          <w:tcPr>
            <w:tcW w:w="380" w:type="pct"/>
            <w:vMerge w:val="continue"/>
            <w:vAlign w:val="center"/>
          </w:tcPr>
          <w:p>
            <w:pPr>
              <w:adjustRightInd w:val="0"/>
              <w:snapToGrid w:val="0"/>
              <w:spacing w:line="300" w:lineRule="auto"/>
              <w:jc w:val="center"/>
              <w:rPr>
                <w:sz w:val="18"/>
                <w:szCs w:val="18"/>
              </w:rPr>
            </w:pPr>
          </w:p>
        </w:tc>
        <w:tc>
          <w:tcPr>
            <w:tcW w:w="370" w:type="pct"/>
            <w:vMerge w:val="continue"/>
            <w:vAlign w:val="center"/>
          </w:tcPr>
          <w:p>
            <w:pPr>
              <w:adjustRightInd w:val="0"/>
              <w:snapToGrid w:val="0"/>
              <w:spacing w:line="300" w:lineRule="auto"/>
              <w:jc w:val="center"/>
              <w:rPr>
                <w:sz w:val="18"/>
                <w:szCs w:val="18"/>
              </w:rPr>
            </w:pPr>
          </w:p>
        </w:tc>
        <w:tc>
          <w:tcPr>
            <w:tcW w:w="312" w:type="pct"/>
            <w:vAlign w:val="center"/>
          </w:tcPr>
          <w:p>
            <w:pPr>
              <w:adjustRightInd w:val="0"/>
              <w:snapToGrid w:val="0"/>
              <w:spacing w:line="300" w:lineRule="auto"/>
              <w:jc w:val="center"/>
              <w:rPr>
                <w:sz w:val="18"/>
                <w:szCs w:val="18"/>
              </w:rPr>
            </w:pPr>
            <w:r>
              <w:rPr>
                <w:rFonts w:hint="eastAsia"/>
                <w:sz w:val="18"/>
                <w:szCs w:val="18"/>
              </w:rPr>
              <w:t>0</w:t>
            </w:r>
            <w:r>
              <w:rPr>
                <w:sz w:val="18"/>
                <w:szCs w:val="18"/>
              </w:rPr>
              <w:t>.1</w:t>
            </w:r>
          </w:p>
        </w:tc>
        <w:tc>
          <w:tcPr>
            <w:tcW w:w="2048" w:type="pct"/>
            <w:vMerge w:val="continue"/>
            <w:vAlign w:val="center"/>
          </w:tcPr>
          <w:p>
            <w:pPr>
              <w:adjustRightInd w:val="0"/>
              <w:snapToGrid w:val="0"/>
              <w:spacing w:line="300" w:lineRule="auto"/>
              <w:rPr>
                <w:sz w:val="18"/>
                <w:szCs w:val="18"/>
              </w:rPr>
            </w:pPr>
          </w:p>
        </w:tc>
        <w:tc>
          <w:tcPr>
            <w:tcW w:w="533" w:type="pct"/>
            <w:vAlign w:val="center"/>
          </w:tcPr>
          <w:p>
            <w:pPr>
              <w:adjustRightInd w:val="0"/>
              <w:snapToGrid w:val="0"/>
              <w:spacing w:line="300" w:lineRule="auto"/>
              <w:jc w:val="center"/>
              <w:rPr>
                <w:sz w:val="18"/>
                <w:szCs w:val="18"/>
              </w:rPr>
            </w:pPr>
            <w:r>
              <w:rPr>
                <w:rFonts w:hint="eastAsia"/>
                <w:sz w:val="18"/>
                <w:szCs w:val="18"/>
              </w:rPr>
              <w:t>2</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81" w:type="pct"/>
            <w:vMerge w:val="continue"/>
            <w:vAlign w:val="center"/>
          </w:tcPr>
          <w:p>
            <w:pPr>
              <w:adjustRightInd w:val="0"/>
              <w:snapToGrid w:val="0"/>
              <w:spacing w:line="300" w:lineRule="auto"/>
              <w:rPr>
                <w:sz w:val="18"/>
                <w:szCs w:val="18"/>
              </w:rPr>
            </w:pPr>
          </w:p>
        </w:tc>
        <w:tc>
          <w:tcPr>
            <w:tcW w:w="381" w:type="pct"/>
            <w:vMerge w:val="continue"/>
            <w:vAlign w:val="center"/>
          </w:tcPr>
          <w:p>
            <w:pPr>
              <w:adjustRightInd w:val="0"/>
              <w:snapToGrid w:val="0"/>
              <w:spacing w:line="300" w:lineRule="auto"/>
              <w:jc w:val="center"/>
              <w:rPr>
                <w:sz w:val="18"/>
                <w:szCs w:val="18"/>
              </w:rPr>
            </w:pPr>
          </w:p>
        </w:tc>
        <w:tc>
          <w:tcPr>
            <w:tcW w:w="380" w:type="pct"/>
            <w:vMerge w:val="continue"/>
            <w:vAlign w:val="center"/>
          </w:tcPr>
          <w:p>
            <w:pPr>
              <w:adjustRightInd w:val="0"/>
              <w:snapToGrid w:val="0"/>
              <w:spacing w:line="300" w:lineRule="auto"/>
              <w:jc w:val="center"/>
              <w:rPr>
                <w:sz w:val="18"/>
                <w:szCs w:val="18"/>
              </w:rPr>
            </w:pPr>
          </w:p>
        </w:tc>
        <w:tc>
          <w:tcPr>
            <w:tcW w:w="370" w:type="pct"/>
            <w:vMerge w:val="restart"/>
            <w:vAlign w:val="center"/>
          </w:tcPr>
          <w:p>
            <w:pPr>
              <w:adjustRightInd w:val="0"/>
              <w:snapToGrid w:val="0"/>
              <w:spacing w:line="300" w:lineRule="auto"/>
              <w:jc w:val="center"/>
              <w:rPr>
                <w:sz w:val="18"/>
                <w:szCs w:val="18"/>
              </w:rPr>
            </w:pPr>
            <w:r>
              <w:rPr>
                <w:sz w:val="18"/>
                <w:szCs w:val="18"/>
              </w:rPr>
              <w:t>作业</w:t>
            </w:r>
          </w:p>
        </w:tc>
        <w:tc>
          <w:tcPr>
            <w:tcW w:w="312" w:type="pct"/>
            <w:vAlign w:val="center"/>
          </w:tcPr>
          <w:p>
            <w:pPr>
              <w:adjustRightInd w:val="0"/>
              <w:snapToGrid w:val="0"/>
              <w:spacing w:line="300" w:lineRule="auto"/>
              <w:jc w:val="center"/>
              <w:rPr>
                <w:sz w:val="18"/>
                <w:szCs w:val="18"/>
              </w:rPr>
            </w:pPr>
            <w:r>
              <w:rPr>
                <w:sz w:val="18"/>
                <w:szCs w:val="18"/>
              </w:rPr>
              <w:t>0.1</w:t>
            </w:r>
          </w:p>
        </w:tc>
        <w:tc>
          <w:tcPr>
            <w:tcW w:w="2048" w:type="pct"/>
            <w:vMerge w:val="restart"/>
            <w:vAlign w:val="center"/>
          </w:tcPr>
          <w:p>
            <w:pPr>
              <w:adjustRightInd w:val="0"/>
              <w:snapToGrid w:val="0"/>
              <w:spacing w:line="300" w:lineRule="auto"/>
              <w:jc w:val="left"/>
              <w:rPr>
                <w:sz w:val="18"/>
                <w:szCs w:val="18"/>
              </w:rPr>
            </w:pPr>
            <w:r>
              <w:rPr>
                <w:sz w:val="18"/>
                <w:szCs w:val="18"/>
              </w:rPr>
              <w:t>主要考核学生对知识点的理解和掌握程度；</w:t>
            </w:r>
            <w:r>
              <w:rPr>
                <w:rFonts w:hint="eastAsia"/>
                <w:sz w:val="18"/>
                <w:szCs w:val="18"/>
              </w:rPr>
              <w:t>共2次作业，</w:t>
            </w:r>
            <w:r>
              <w:rPr>
                <w:sz w:val="18"/>
                <w:szCs w:val="18"/>
              </w:rPr>
              <w:t>每次作业按50分制单独评分</w:t>
            </w:r>
            <w:r>
              <w:rPr>
                <w:rFonts w:hint="eastAsia"/>
                <w:sz w:val="18"/>
                <w:szCs w:val="18"/>
              </w:rPr>
              <w:t>，作业总成绩1</w:t>
            </w:r>
            <w:r>
              <w:rPr>
                <w:sz w:val="18"/>
                <w:szCs w:val="18"/>
              </w:rPr>
              <w:t>00</w:t>
            </w:r>
            <w:r>
              <w:rPr>
                <w:rFonts w:hint="eastAsia"/>
                <w:sz w:val="18"/>
                <w:szCs w:val="18"/>
              </w:rPr>
              <w:t>分</w:t>
            </w:r>
            <w:r>
              <w:rPr>
                <w:sz w:val="18"/>
                <w:szCs w:val="18"/>
              </w:rPr>
              <w:t>。</w:t>
            </w:r>
          </w:p>
        </w:tc>
        <w:tc>
          <w:tcPr>
            <w:tcW w:w="533" w:type="pct"/>
            <w:vAlign w:val="center"/>
          </w:tcPr>
          <w:p>
            <w:pPr>
              <w:adjustRightInd w:val="0"/>
              <w:snapToGrid w:val="0"/>
              <w:spacing w:line="300" w:lineRule="auto"/>
              <w:jc w:val="center"/>
              <w:rPr>
                <w:sz w:val="18"/>
                <w:szCs w:val="18"/>
              </w:rPr>
            </w:pPr>
            <w:r>
              <w:rPr>
                <w:rFonts w:hint="eastAsia"/>
                <w:sz w:val="18"/>
                <w:szCs w:val="18"/>
              </w:rPr>
              <w:t>1</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81" w:type="pct"/>
            <w:vMerge w:val="continue"/>
            <w:vAlign w:val="center"/>
          </w:tcPr>
          <w:p>
            <w:pPr>
              <w:adjustRightInd w:val="0"/>
              <w:snapToGrid w:val="0"/>
              <w:spacing w:line="300" w:lineRule="auto"/>
              <w:rPr>
                <w:sz w:val="18"/>
                <w:szCs w:val="18"/>
              </w:rPr>
            </w:pPr>
          </w:p>
        </w:tc>
        <w:tc>
          <w:tcPr>
            <w:tcW w:w="381" w:type="pct"/>
            <w:vMerge w:val="continue"/>
            <w:vAlign w:val="center"/>
          </w:tcPr>
          <w:p>
            <w:pPr>
              <w:adjustRightInd w:val="0"/>
              <w:snapToGrid w:val="0"/>
              <w:spacing w:line="300" w:lineRule="auto"/>
              <w:jc w:val="center"/>
              <w:rPr>
                <w:sz w:val="18"/>
                <w:szCs w:val="18"/>
              </w:rPr>
            </w:pPr>
          </w:p>
        </w:tc>
        <w:tc>
          <w:tcPr>
            <w:tcW w:w="380" w:type="pct"/>
            <w:vMerge w:val="continue"/>
            <w:vAlign w:val="center"/>
          </w:tcPr>
          <w:p>
            <w:pPr>
              <w:adjustRightInd w:val="0"/>
              <w:snapToGrid w:val="0"/>
              <w:spacing w:line="300" w:lineRule="auto"/>
              <w:jc w:val="center"/>
              <w:rPr>
                <w:sz w:val="18"/>
                <w:szCs w:val="18"/>
              </w:rPr>
            </w:pPr>
          </w:p>
        </w:tc>
        <w:tc>
          <w:tcPr>
            <w:tcW w:w="370" w:type="pct"/>
            <w:vMerge w:val="continue"/>
            <w:vAlign w:val="center"/>
          </w:tcPr>
          <w:p>
            <w:pPr>
              <w:adjustRightInd w:val="0"/>
              <w:snapToGrid w:val="0"/>
              <w:spacing w:line="300" w:lineRule="auto"/>
              <w:jc w:val="center"/>
              <w:rPr>
                <w:sz w:val="18"/>
                <w:szCs w:val="18"/>
              </w:rPr>
            </w:pPr>
          </w:p>
        </w:tc>
        <w:tc>
          <w:tcPr>
            <w:tcW w:w="312" w:type="pct"/>
            <w:vAlign w:val="center"/>
          </w:tcPr>
          <w:p>
            <w:pPr>
              <w:adjustRightInd w:val="0"/>
              <w:snapToGrid w:val="0"/>
              <w:spacing w:line="300" w:lineRule="auto"/>
              <w:jc w:val="center"/>
              <w:rPr>
                <w:sz w:val="18"/>
                <w:szCs w:val="18"/>
              </w:rPr>
            </w:pPr>
            <w:r>
              <w:rPr>
                <w:rFonts w:hint="eastAsia"/>
                <w:sz w:val="18"/>
                <w:szCs w:val="18"/>
              </w:rPr>
              <w:t>0</w:t>
            </w:r>
            <w:r>
              <w:rPr>
                <w:sz w:val="18"/>
                <w:szCs w:val="18"/>
              </w:rPr>
              <w:t>.1</w:t>
            </w:r>
          </w:p>
        </w:tc>
        <w:tc>
          <w:tcPr>
            <w:tcW w:w="2048" w:type="pct"/>
            <w:vMerge w:val="continue"/>
            <w:vAlign w:val="center"/>
          </w:tcPr>
          <w:p>
            <w:pPr>
              <w:adjustRightInd w:val="0"/>
              <w:snapToGrid w:val="0"/>
              <w:spacing w:line="300" w:lineRule="auto"/>
              <w:jc w:val="left"/>
              <w:rPr>
                <w:sz w:val="18"/>
                <w:szCs w:val="18"/>
              </w:rPr>
            </w:pPr>
          </w:p>
        </w:tc>
        <w:tc>
          <w:tcPr>
            <w:tcW w:w="533" w:type="pct"/>
            <w:vAlign w:val="center"/>
          </w:tcPr>
          <w:p>
            <w:pPr>
              <w:adjustRightInd w:val="0"/>
              <w:snapToGrid w:val="0"/>
              <w:spacing w:line="300" w:lineRule="auto"/>
              <w:jc w:val="center"/>
              <w:rPr>
                <w:sz w:val="18"/>
                <w:szCs w:val="18"/>
              </w:rPr>
            </w:pPr>
            <w:r>
              <w:rPr>
                <w:rFonts w:hint="eastAsia"/>
                <w:sz w:val="18"/>
                <w:szCs w:val="18"/>
              </w:rPr>
              <w:t>2</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381" w:type="pct"/>
            <w:vMerge w:val="restart"/>
            <w:vAlign w:val="center"/>
          </w:tcPr>
          <w:p>
            <w:pPr>
              <w:adjustRightInd w:val="0"/>
              <w:snapToGrid w:val="0"/>
              <w:spacing w:line="300" w:lineRule="auto"/>
              <w:jc w:val="left"/>
              <w:rPr>
                <w:sz w:val="18"/>
                <w:szCs w:val="18"/>
              </w:rPr>
            </w:pPr>
            <w:r>
              <w:rPr>
                <w:sz w:val="18"/>
                <w:szCs w:val="18"/>
              </w:rPr>
              <w:t>期末考试成绩</w:t>
            </w:r>
          </w:p>
        </w:tc>
        <w:tc>
          <w:tcPr>
            <w:tcW w:w="381" w:type="pct"/>
            <w:vMerge w:val="restart"/>
            <w:vAlign w:val="center"/>
          </w:tcPr>
          <w:p>
            <w:pPr>
              <w:adjustRightInd w:val="0"/>
              <w:snapToGrid w:val="0"/>
              <w:spacing w:line="300" w:lineRule="auto"/>
              <w:jc w:val="center"/>
              <w:rPr>
                <w:sz w:val="18"/>
                <w:szCs w:val="18"/>
              </w:rPr>
            </w:pPr>
            <w:r>
              <w:rPr>
                <w:sz w:val="18"/>
                <w:szCs w:val="18"/>
              </w:rPr>
              <w:t>100</w:t>
            </w:r>
          </w:p>
        </w:tc>
        <w:tc>
          <w:tcPr>
            <w:tcW w:w="380" w:type="pct"/>
            <w:vMerge w:val="restart"/>
            <w:vAlign w:val="center"/>
          </w:tcPr>
          <w:p>
            <w:pPr>
              <w:adjustRightInd w:val="0"/>
              <w:snapToGrid w:val="0"/>
              <w:spacing w:line="300" w:lineRule="auto"/>
              <w:jc w:val="center"/>
              <w:rPr>
                <w:sz w:val="18"/>
                <w:szCs w:val="18"/>
              </w:rPr>
            </w:pPr>
            <w:r>
              <w:rPr>
                <w:sz w:val="18"/>
                <w:szCs w:val="18"/>
              </w:rPr>
              <w:t>0.6</w:t>
            </w:r>
          </w:p>
        </w:tc>
        <w:tc>
          <w:tcPr>
            <w:tcW w:w="370" w:type="pct"/>
            <w:vMerge w:val="restart"/>
            <w:vAlign w:val="center"/>
          </w:tcPr>
          <w:p>
            <w:pPr>
              <w:adjustRightInd w:val="0"/>
              <w:snapToGrid w:val="0"/>
              <w:spacing w:line="300" w:lineRule="auto"/>
              <w:jc w:val="left"/>
              <w:rPr>
                <w:sz w:val="18"/>
                <w:szCs w:val="18"/>
              </w:rPr>
            </w:pPr>
            <w:r>
              <w:rPr>
                <w:sz w:val="18"/>
                <w:szCs w:val="18"/>
              </w:rPr>
              <w:t>闭卷考试</w:t>
            </w:r>
          </w:p>
        </w:tc>
        <w:tc>
          <w:tcPr>
            <w:tcW w:w="312" w:type="pct"/>
            <w:vAlign w:val="center"/>
          </w:tcPr>
          <w:p>
            <w:pPr>
              <w:adjustRightInd w:val="0"/>
              <w:snapToGrid w:val="0"/>
              <w:spacing w:line="300" w:lineRule="auto"/>
              <w:jc w:val="center"/>
              <w:rPr>
                <w:sz w:val="18"/>
                <w:szCs w:val="18"/>
              </w:rPr>
            </w:pPr>
            <w:r>
              <w:rPr>
                <w:sz w:val="18"/>
                <w:szCs w:val="18"/>
              </w:rPr>
              <w:t>0.3</w:t>
            </w:r>
          </w:p>
        </w:tc>
        <w:tc>
          <w:tcPr>
            <w:tcW w:w="2048" w:type="pct"/>
            <w:vMerge w:val="restart"/>
            <w:vAlign w:val="center"/>
          </w:tcPr>
          <w:p>
            <w:pPr>
              <w:adjustRightInd w:val="0"/>
              <w:snapToGrid w:val="0"/>
              <w:spacing w:line="300" w:lineRule="auto"/>
              <w:rPr>
                <w:sz w:val="18"/>
                <w:szCs w:val="18"/>
              </w:rPr>
            </w:pPr>
            <w:r>
              <w:rPr>
                <w:sz w:val="18"/>
                <w:szCs w:val="18"/>
              </w:rPr>
              <w:t>(1)每学期考核一次，</w:t>
            </w:r>
            <w:r>
              <w:rPr>
                <w:rFonts w:hint="eastAsia"/>
                <w:sz w:val="18"/>
                <w:szCs w:val="18"/>
              </w:rPr>
              <w:t>每次按照2</w:t>
            </w:r>
            <w:r>
              <w:rPr>
                <w:sz w:val="18"/>
                <w:szCs w:val="18"/>
              </w:rPr>
              <w:t>5</w:t>
            </w:r>
            <w:r>
              <w:rPr>
                <w:rFonts w:hint="eastAsia"/>
                <w:sz w:val="18"/>
                <w:szCs w:val="18"/>
              </w:rPr>
              <w:t>分计算</w:t>
            </w:r>
            <w:r>
              <w:rPr>
                <w:sz w:val="18"/>
                <w:szCs w:val="18"/>
              </w:rPr>
              <w:t>，四次成绩的</w:t>
            </w:r>
            <w:r>
              <w:rPr>
                <w:rFonts w:hint="eastAsia"/>
                <w:sz w:val="18"/>
                <w:szCs w:val="18"/>
              </w:rPr>
              <w:t>总和记为</w:t>
            </w:r>
            <w:r>
              <w:rPr>
                <w:sz w:val="18"/>
                <w:szCs w:val="18"/>
              </w:rPr>
              <w:t>最终成绩。课程</w:t>
            </w:r>
            <w:r>
              <w:rPr>
                <w:rFonts w:hint="eastAsia"/>
                <w:sz w:val="18"/>
                <w:szCs w:val="18"/>
              </w:rPr>
              <w:t>总成绩</w:t>
            </w:r>
            <w:r>
              <w:rPr>
                <w:sz w:val="18"/>
                <w:szCs w:val="18"/>
              </w:rPr>
              <w:t>为100分。成绩按比例计入课程总评成绩。</w:t>
            </w:r>
          </w:p>
          <w:p>
            <w:pPr>
              <w:adjustRightInd w:val="0"/>
              <w:snapToGrid w:val="0"/>
              <w:spacing w:line="300" w:lineRule="auto"/>
              <w:rPr>
                <w:sz w:val="18"/>
                <w:szCs w:val="18"/>
              </w:rPr>
            </w:pPr>
            <w:r>
              <w:rPr>
                <w:sz w:val="18"/>
                <w:szCs w:val="18"/>
              </w:rPr>
              <w:t>(2)考核内容包括： 第1-4章。</w:t>
            </w:r>
          </w:p>
          <w:p>
            <w:pPr>
              <w:adjustRightInd w:val="0"/>
              <w:snapToGrid w:val="0"/>
              <w:spacing w:line="300" w:lineRule="auto"/>
              <w:rPr>
                <w:sz w:val="18"/>
                <w:szCs w:val="18"/>
              </w:rPr>
            </w:pPr>
            <w:r>
              <w:rPr>
                <w:sz w:val="18"/>
                <w:szCs w:val="18"/>
              </w:rPr>
              <w:t>(3) 每学期结合所讲的内容，出两个大题，</w:t>
            </w:r>
            <w:r>
              <w:rPr>
                <w:rFonts w:hint="eastAsia"/>
                <w:sz w:val="18"/>
                <w:szCs w:val="18"/>
              </w:rPr>
              <w:t>每道大题</w:t>
            </w:r>
            <w:r>
              <w:rPr>
                <w:sz w:val="18"/>
                <w:szCs w:val="18"/>
              </w:rPr>
              <w:t>12.5</w:t>
            </w:r>
            <w:r>
              <w:rPr>
                <w:rFonts w:hint="eastAsia"/>
                <w:sz w:val="18"/>
                <w:szCs w:val="18"/>
              </w:rPr>
              <w:t>分，各对应一个课程目标点，</w:t>
            </w:r>
            <w:r>
              <w:rPr>
                <w:sz w:val="18"/>
                <w:szCs w:val="18"/>
              </w:rPr>
              <w:t>要求学生在指定的时间内完成，。</w:t>
            </w:r>
          </w:p>
        </w:tc>
        <w:tc>
          <w:tcPr>
            <w:tcW w:w="533" w:type="pct"/>
            <w:vAlign w:val="center"/>
          </w:tcPr>
          <w:p>
            <w:pPr>
              <w:adjustRightInd w:val="0"/>
              <w:snapToGrid w:val="0"/>
              <w:spacing w:line="300" w:lineRule="auto"/>
              <w:jc w:val="center"/>
              <w:rPr>
                <w:sz w:val="18"/>
                <w:szCs w:val="18"/>
              </w:rPr>
            </w:pPr>
            <w:r>
              <w:rPr>
                <w:sz w:val="18"/>
                <w:szCs w:val="18"/>
              </w:rPr>
              <w:t>1</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381" w:type="pct"/>
            <w:vMerge w:val="continue"/>
            <w:vAlign w:val="center"/>
          </w:tcPr>
          <w:p>
            <w:pPr>
              <w:adjustRightInd w:val="0"/>
              <w:snapToGrid w:val="0"/>
              <w:spacing w:line="300" w:lineRule="auto"/>
              <w:jc w:val="left"/>
              <w:rPr>
                <w:sz w:val="18"/>
                <w:szCs w:val="18"/>
              </w:rPr>
            </w:pPr>
          </w:p>
        </w:tc>
        <w:tc>
          <w:tcPr>
            <w:tcW w:w="381" w:type="pct"/>
            <w:vMerge w:val="continue"/>
            <w:vAlign w:val="center"/>
          </w:tcPr>
          <w:p>
            <w:pPr>
              <w:adjustRightInd w:val="0"/>
              <w:snapToGrid w:val="0"/>
              <w:spacing w:line="300" w:lineRule="auto"/>
              <w:jc w:val="center"/>
              <w:rPr>
                <w:sz w:val="18"/>
                <w:szCs w:val="18"/>
              </w:rPr>
            </w:pPr>
          </w:p>
        </w:tc>
        <w:tc>
          <w:tcPr>
            <w:tcW w:w="380" w:type="pct"/>
            <w:vMerge w:val="continue"/>
            <w:vAlign w:val="center"/>
          </w:tcPr>
          <w:p>
            <w:pPr>
              <w:adjustRightInd w:val="0"/>
              <w:snapToGrid w:val="0"/>
              <w:spacing w:line="300" w:lineRule="auto"/>
              <w:jc w:val="center"/>
              <w:rPr>
                <w:sz w:val="18"/>
                <w:szCs w:val="18"/>
              </w:rPr>
            </w:pPr>
          </w:p>
        </w:tc>
        <w:tc>
          <w:tcPr>
            <w:tcW w:w="370" w:type="pct"/>
            <w:vMerge w:val="continue"/>
            <w:vAlign w:val="center"/>
          </w:tcPr>
          <w:p>
            <w:pPr>
              <w:adjustRightInd w:val="0"/>
              <w:snapToGrid w:val="0"/>
              <w:spacing w:line="300" w:lineRule="auto"/>
              <w:jc w:val="left"/>
              <w:rPr>
                <w:sz w:val="18"/>
                <w:szCs w:val="18"/>
              </w:rPr>
            </w:pPr>
          </w:p>
        </w:tc>
        <w:tc>
          <w:tcPr>
            <w:tcW w:w="312" w:type="pct"/>
            <w:vAlign w:val="center"/>
          </w:tcPr>
          <w:p>
            <w:pPr>
              <w:adjustRightInd w:val="0"/>
              <w:snapToGrid w:val="0"/>
              <w:spacing w:line="300" w:lineRule="auto"/>
              <w:jc w:val="center"/>
              <w:rPr>
                <w:sz w:val="18"/>
                <w:szCs w:val="18"/>
              </w:rPr>
            </w:pPr>
            <w:r>
              <w:rPr>
                <w:rFonts w:hint="eastAsia"/>
                <w:sz w:val="18"/>
                <w:szCs w:val="18"/>
              </w:rPr>
              <w:t>0</w:t>
            </w:r>
            <w:r>
              <w:rPr>
                <w:sz w:val="18"/>
                <w:szCs w:val="18"/>
              </w:rPr>
              <w:t>.3</w:t>
            </w:r>
          </w:p>
        </w:tc>
        <w:tc>
          <w:tcPr>
            <w:tcW w:w="2048" w:type="pct"/>
            <w:vMerge w:val="continue"/>
            <w:vAlign w:val="center"/>
          </w:tcPr>
          <w:p>
            <w:pPr>
              <w:adjustRightInd w:val="0"/>
              <w:snapToGrid w:val="0"/>
              <w:spacing w:line="300" w:lineRule="auto"/>
              <w:rPr>
                <w:sz w:val="18"/>
                <w:szCs w:val="18"/>
              </w:rPr>
            </w:pPr>
          </w:p>
        </w:tc>
        <w:tc>
          <w:tcPr>
            <w:tcW w:w="533" w:type="pct"/>
            <w:vAlign w:val="center"/>
          </w:tcPr>
          <w:p>
            <w:pPr>
              <w:adjustRightInd w:val="0"/>
              <w:snapToGrid w:val="0"/>
              <w:spacing w:line="300" w:lineRule="auto"/>
              <w:jc w:val="center"/>
              <w:rPr>
                <w:sz w:val="18"/>
                <w:szCs w:val="18"/>
              </w:rPr>
            </w:pPr>
            <w:r>
              <w:rPr>
                <w:rFonts w:hint="eastAsia"/>
                <w:sz w:val="18"/>
                <w:szCs w:val="18"/>
              </w:rPr>
              <w:t>2</w:t>
            </w:r>
          </w:p>
        </w:tc>
        <w:tc>
          <w:tcPr>
            <w:tcW w:w="595" w:type="pct"/>
            <w:vAlign w:val="center"/>
          </w:tcPr>
          <w:p>
            <w:pPr>
              <w:adjustRightInd w:val="0"/>
              <w:snapToGrid w:val="0"/>
              <w:spacing w:line="300" w:lineRule="auto"/>
              <w:jc w:val="center"/>
              <w:rPr>
                <w:sz w:val="18"/>
                <w:szCs w:val="18"/>
              </w:rPr>
            </w:pPr>
            <w:r>
              <w:rPr>
                <w:rFonts w:hint="eastAsia"/>
                <w:sz w:val="18"/>
                <w:szCs w:val="18"/>
              </w:rPr>
              <w:t>8</w:t>
            </w:r>
            <w:r>
              <w:rPr>
                <w:sz w:val="18"/>
                <w:szCs w:val="18"/>
              </w:rPr>
              <w:t>.2</w:t>
            </w:r>
          </w:p>
        </w:tc>
      </w:tr>
    </w:tbl>
    <w:p>
      <w:pPr>
        <w:adjustRightInd w:val="0"/>
        <w:snapToGrid w:val="0"/>
        <w:spacing w:before="156" w:beforeLines="50" w:after="156" w:afterLines="50" w:line="300" w:lineRule="auto"/>
        <w:rPr>
          <w:b/>
          <w:sz w:val="24"/>
        </w:rPr>
      </w:pPr>
      <w:r>
        <w:rPr>
          <w:b/>
          <w:sz w:val="24"/>
        </w:rPr>
        <w:t>六、课程教学目标达成度评价</w:t>
      </w:r>
    </w:p>
    <w:p>
      <w:pPr>
        <w:adjustRightInd w:val="0"/>
        <w:snapToGrid w:val="0"/>
        <w:spacing w:line="300" w:lineRule="auto"/>
        <w:ind w:firstLine="420" w:firstLineChars="200"/>
        <w:rPr>
          <w:szCs w:val="21"/>
        </w:rPr>
      </w:pPr>
      <w:r>
        <w:rPr>
          <w:szCs w:val="21"/>
        </w:rPr>
        <w:t>1</w:t>
      </w:r>
      <w:r>
        <w:t>．</w:t>
      </w:r>
      <w:r>
        <w:rPr>
          <w:szCs w:val="21"/>
        </w:rPr>
        <w:t>达成度评价依据和方法</w:t>
      </w:r>
    </w:p>
    <w:p>
      <w:pPr>
        <w:adjustRightInd w:val="0"/>
        <w:snapToGrid w:val="0"/>
        <w:spacing w:line="300" w:lineRule="auto"/>
        <w:ind w:firstLine="420" w:firstLineChars="200"/>
      </w:pPr>
      <w:r>
        <w:t>课程各目标达成情况为该项目学生的平均得分率，其计算公式为：</w:t>
      </w:r>
    </w:p>
    <w:p>
      <w:pPr>
        <w:adjustRightInd w:val="0"/>
        <w:snapToGrid w:val="0"/>
        <w:spacing w:line="300" w:lineRule="auto"/>
        <w:jc w:val="center"/>
      </w:pPr>
      <w:r>
        <w:rPr>
          <w:position w:val="-26"/>
        </w:rPr>
        <w:object>
          <v:shape id="_x0000_i1237" o:spt="75" type="#_x0000_t75" style="height:30pt;width:360pt;" o:ole="t" filled="f" o:preferrelative="t" stroked="f" coordsize="21600,21600">
            <v:path/>
            <v:fill on="f" focussize="0,0"/>
            <v:stroke on="f" joinstyle="miter"/>
            <v:imagedata r:id="rId36" o:title=""/>
            <o:lock v:ext="edit" aspectratio="t"/>
            <w10:wrap type="none"/>
            <w10:anchorlock/>
          </v:shape>
          <o:OLEObject Type="Embed" ProgID="Equation.3" ShapeID="_x0000_i1237" DrawAspect="Content" ObjectID="_1468075935" r:id="rId267">
            <o:LockedField>false</o:LockedField>
          </o:OLEObject>
        </w:object>
      </w:r>
    </w:p>
    <w:p>
      <w:pPr>
        <w:adjustRightInd w:val="0"/>
        <w:snapToGrid w:val="0"/>
        <w:spacing w:line="300" w:lineRule="auto"/>
        <w:ind w:firstLine="420" w:firstLineChars="200"/>
      </w:pPr>
      <w:r>
        <w:t>课程总目标达成情况为2个课程目标的加权得分率，其计算公式为：</w:t>
      </w:r>
    </w:p>
    <w:p>
      <w:pPr>
        <w:adjustRightInd w:val="0"/>
        <w:snapToGrid w:val="0"/>
        <w:spacing w:line="300" w:lineRule="auto"/>
        <w:jc w:val="center"/>
      </w:pPr>
      <w:r>
        <w:t xml:space="preserve"> </w:t>
      </w:r>
      <w:r>
        <w:rPr>
          <w:position w:val="-12"/>
        </w:rPr>
        <w:object>
          <v:shape id="_x0000_i1238" o:spt="75" type="#_x0000_t75" style="height:18.75pt;width:263.25pt;" o:ole="t" filled="f" o:preferrelative="t" stroked="f" coordsize="21600,21600">
            <v:path/>
            <v:fill on="f" focussize="0,0"/>
            <v:stroke on="f" joinstyle="miter"/>
            <v:imagedata r:id="rId269" o:title=""/>
            <o:lock v:ext="edit" aspectratio="t"/>
            <w10:wrap type="none"/>
            <w10:anchorlock/>
          </v:shape>
          <o:OLEObject Type="Embed" ProgID="Equation.DSMT4" ShapeID="_x0000_i1238" DrawAspect="Content" ObjectID="_1468075936" r:id="rId268">
            <o:LockedField>false</o:LockedField>
          </o:OLEObject>
        </w:object>
      </w:r>
    </w:p>
    <w:p>
      <w:pPr>
        <w:adjustRightInd w:val="0"/>
        <w:snapToGrid w:val="0"/>
        <w:spacing w:line="300" w:lineRule="auto"/>
      </w:pPr>
      <w:r>
        <w:t>其中权重系数按照表6设定。</w:t>
      </w:r>
    </w:p>
    <w:p>
      <w:pPr>
        <w:adjustRightInd w:val="0"/>
        <w:snapToGrid w:val="0"/>
        <w:spacing w:before="156" w:beforeLines="50" w:line="300" w:lineRule="auto"/>
        <w:jc w:val="center"/>
        <w:rPr>
          <w:b/>
          <w:bCs/>
          <w:sz w:val="18"/>
          <w:szCs w:val="18"/>
        </w:rPr>
      </w:pPr>
      <w:r>
        <w:rPr>
          <w:b/>
          <w:bCs/>
          <w:sz w:val="18"/>
          <w:szCs w:val="18"/>
        </w:rPr>
        <w:t>表6课程目标权重系数</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561"/>
        <w:gridCol w:w="2707"/>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511" w:type="pct"/>
            <w:shd w:val="clear" w:color="auto" w:fill="auto"/>
            <w:vAlign w:val="center"/>
          </w:tcPr>
          <w:p>
            <w:pPr>
              <w:adjustRightInd w:val="0"/>
              <w:snapToGrid w:val="0"/>
              <w:spacing w:line="300" w:lineRule="auto"/>
              <w:jc w:val="center"/>
              <w:rPr>
                <w:b/>
                <w:bCs/>
                <w:sz w:val="18"/>
                <w:szCs w:val="18"/>
              </w:rPr>
            </w:pPr>
            <w:r>
              <w:rPr>
                <w:b/>
                <w:bCs/>
                <w:sz w:val="18"/>
                <w:szCs w:val="18"/>
              </w:rPr>
              <w:t>课程目标</w:t>
            </w:r>
          </w:p>
        </w:tc>
        <w:tc>
          <w:tcPr>
            <w:tcW w:w="1597" w:type="pct"/>
            <w:shd w:val="clear" w:color="auto" w:fill="auto"/>
            <w:vAlign w:val="center"/>
          </w:tcPr>
          <w:p>
            <w:pPr>
              <w:adjustRightInd w:val="0"/>
              <w:snapToGrid w:val="0"/>
              <w:spacing w:line="300" w:lineRule="auto"/>
              <w:jc w:val="center"/>
              <w:rPr>
                <w:sz w:val="18"/>
                <w:szCs w:val="18"/>
              </w:rPr>
            </w:pPr>
            <w:r>
              <w:rPr>
                <w:sz w:val="18"/>
                <w:szCs w:val="18"/>
              </w:rPr>
              <w:t>1</w:t>
            </w:r>
          </w:p>
        </w:tc>
        <w:tc>
          <w:tcPr>
            <w:tcW w:w="1892" w:type="pct"/>
            <w:shd w:val="clear" w:color="auto" w:fill="auto"/>
            <w:vAlign w:val="center"/>
          </w:tcPr>
          <w:p>
            <w:pPr>
              <w:adjustRightInd w:val="0"/>
              <w:snapToGrid w:val="0"/>
              <w:spacing w:line="300" w:lineRule="auto"/>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511" w:type="pct"/>
            <w:shd w:val="clear" w:color="auto" w:fill="auto"/>
            <w:vAlign w:val="center"/>
          </w:tcPr>
          <w:p>
            <w:pPr>
              <w:adjustRightInd w:val="0"/>
              <w:snapToGrid w:val="0"/>
              <w:spacing w:line="300" w:lineRule="auto"/>
              <w:jc w:val="center"/>
              <w:rPr>
                <w:b/>
                <w:bCs/>
                <w:sz w:val="18"/>
                <w:szCs w:val="18"/>
              </w:rPr>
            </w:pPr>
            <w:r>
              <w:rPr>
                <w:b/>
                <w:bCs/>
                <w:sz w:val="18"/>
                <w:szCs w:val="18"/>
              </w:rPr>
              <w:t>权重系数</w:t>
            </w:r>
          </w:p>
        </w:tc>
        <w:tc>
          <w:tcPr>
            <w:tcW w:w="1597" w:type="pct"/>
            <w:shd w:val="clear" w:color="auto" w:fill="auto"/>
            <w:vAlign w:val="center"/>
          </w:tcPr>
          <w:p>
            <w:pPr>
              <w:adjustRightInd w:val="0"/>
              <w:snapToGrid w:val="0"/>
              <w:spacing w:line="300" w:lineRule="auto"/>
              <w:jc w:val="center"/>
              <w:rPr>
                <w:sz w:val="18"/>
                <w:szCs w:val="18"/>
              </w:rPr>
            </w:pPr>
            <w:r>
              <w:rPr>
                <w:sz w:val="18"/>
                <w:szCs w:val="18"/>
              </w:rPr>
              <w:t>0.5</w:t>
            </w:r>
          </w:p>
        </w:tc>
        <w:tc>
          <w:tcPr>
            <w:tcW w:w="1892" w:type="pct"/>
            <w:shd w:val="clear" w:color="auto" w:fill="auto"/>
            <w:vAlign w:val="center"/>
          </w:tcPr>
          <w:p>
            <w:pPr>
              <w:adjustRightInd w:val="0"/>
              <w:snapToGrid w:val="0"/>
              <w:spacing w:line="300" w:lineRule="auto"/>
              <w:jc w:val="center"/>
              <w:rPr>
                <w:sz w:val="18"/>
                <w:szCs w:val="18"/>
              </w:rPr>
            </w:pPr>
            <w:r>
              <w:rPr>
                <w:sz w:val="18"/>
                <w:szCs w:val="18"/>
              </w:rPr>
              <w:t>0.5</w:t>
            </w:r>
          </w:p>
        </w:tc>
      </w:tr>
    </w:tbl>
    <w:p>
      <w:pPr>
        <w:adjustRightInd w:val="0"/>
        <w:snapToGrid w:val="0"/>
        <w:spacing w:line="300" w:lineRule="auto"/>
      </w:pPr>
      <w:r>
        <w:t>课程毕业要求指标点达成情况评价：</w:t>
      </w:r>
    </w:p>
    <w:p>
      <w:pPr>
        <w:adjustRightInd w:val="0"/>
        <w:snapToGrid w:val="0"/>
        <w:spacing w:line="300" w:lineRule="auto"/>
        <w:ind w:firstLine="420" w:firstLineChars="200"/>
      </w:pPr>
      <w:r>
        <w:t>课程支撑毕业要求指标点的达成情况为对应的课程目标达成情况的加权值，其计算公式为：</w:t>
      </w:r>
    </w:p>
    <w:p>
      <w:pPr>
        <w:adjustRightInd w:val="0"/>
        <w:snapToGrid w:val="0"/>
        <w:spacing w:line="300" w:lineRule="auto"/>
        <w:jc w:val="center"/>
      </w:pPr>
      <w:r>
        <w:object>
          <v:shape id="_x0000_i1239" o:spt="75" type="#_x0000_t75" style="height:18.75pt;width:282pt;" o:ole="t" filled="f" o:preferrelative="t" stroked="f" coordsize="21600,21600">
            <v:path/>
            <v:fill on="f" focussize="0,0"/>
            <v:stroke on="f" joinstyle="miter"/>
            <v:imagedata r:id="rId40" o:title=""/>
            <o:lock v:ext="edit" aspectratio="t"/>
            <w10:wrap type="none"/>
            <w10:anchorlock/>
          </v:shape>
          <o:OLEObject Type="Embed" ProgID="Equation.3" ShapeID="_x0000_i1239" DrawAspect="Content" ObjectID="_1468075937" r:id="rId270">
            <o:LockedField>false</o:LockedField>
          </o:OLEObject>
        </w:object>
      </w:r>
    </w:p>
    <w:p>
      <w:pPr>
        <w:adjustRightInd w:val="0"/>
        <w:snapToGrid w:val="0"/>
        <w:spacing w:line="300" w:lineRule="auto"/>
        <w:ind w:firstLine="420" w:firstLineChars="200"/>
        <w:rPr>
          <w:szCs w:val="21"/>
        </w:rPr>
      </w:pPr>
      <w:r>
        <w:rPr>
          <w:szCs w:val="21"/>
        </w:rPr>
        <w:t>2</w:t>
      </w:r>
      <w:r>
        <w:t>．</w:t>
      </w:r>
      <w:r>
        <w:rPr>
          <w:szCs w:val="21"/>
        </w:rPr>
        <w:t>课程总结要求</w:t>
      </w:r>
    </w:p>
    <w:p>
      <w:pPr>
        <w:adjustRightInd w:val="0"/>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b/>
          <w:sz w:val="24"/>
        </w:rPr>
      </w:pPr>
      <w:r>
        <w:rPr>
          <w:b/>
          <w:sz w:val="24"/>
        </w:rPr>
        <w:t>七、教材及参考资料</w:t>
      </w:r>
    </w:p>
    <w:p>
      <w:pPr>
        <w:adjustRightInd w:val="0"/>
        <w:snapToGrid w:val="0"/>
        <w:spacing w:line="300" w:lineRule="auto"/>
        <w:ind w:firstLine="420" w:firstLineChars="200"/>
      </w:pPr>
      <w:r>
        <w:t>1．教材</w:t>
      </w:r>
    </w:p>
    <w:p>
      <w:pPr>
        <w:adjustRightInd w:val="0"/>
        <w:snapToGrid w:val="0"/>
        <w:spacing w:line="300" w:lineRule="auto"/>
        <w:ind w:left="840"/>
      </w:pPr>
      <w:r>
        <w:rPr>
          <w:szCs w:val="21"/>
        </w:rPr>
        <w:t>无</w:t>
      </w:r>
    </w:p>
    <w:p>
      <w:pPr>
        <w:adjustRightInd w:val="0"/>
        <w:snapToGrid w:val="0"/>
        <w:spacing w:line="300" w:lineRule="auto"/>
        <w:ind w:firstLine="420" w:firstLineChars="200"/>
      </w:pPr>
      <w:r>
        <w:t>2．参考资料</w:t>
      </w:r>
    </w:p>
    <w:p>
      <w:pPr>
        <w:numPr>
          <w:ilvl w:val="0"/>
          <w:numId w:val="96"/>
        </w:numPr>
        <w:adjustRightInd w:val="0"/>
        <w:snapToGrid w:val="0"/>
        <w:spacing w:line="300" w:lineRule="auto"/>
      </w:pPr>
      <w:r>
        <w:rPr>
          <w:szCs w:val="21"/>
        </w:rPr>
        <w:t>中华人民共和国国务院新闻办公室：《中国特色社会主义法律体系》，人民出版社，2011年。</w:t>
      </w:r>
    </w:p>
    <w:p>
      <w:pPr>
        <w:numPr>
          <w:ilvl w:val="0"/>
          <w:numId w:val="96"/>
        </w:numPr>
        <w:adjustRightInd w:val="0"/>
        <w:snapToGrid w:val="0"/>
        <w:spacing w:line="300" w:lineRule="auto"/>
      </w:pPr>
      <w:r>
        <w:rPr>
          <w:szCs w:val="21"/>
        </w:rPr>
        <w:t>习近平：《青年要自觉践行社会主义核心价值观》，《习近平谈治国理政》，外文出版社，2014年。</w:t>
      </w:r>
    </w:p>
    <w:p>
      <w:pPr>
        <w:numPr>
          <w:ilvl w:val="0"/>
          <w:numId w:val="96"/>
        </w:numPr>
        <w:adjustRightInd w:val="0"/>
        <w:snapToGrid w:val="0"/>
        <w:spacing w:line="300" w:lineRule="auto"/>
      </w:pPr>
      <w:r>
        <w:rPr>
          <w:szCs w:val="21"/>
        </w:rPr>
        <w:t>习近平：《在第十二届全国人民代表大会第一次会议上的讲话》，《习近平谈治国理政》，外文出版社，2014年。</w:t>
      </w:r>
    </w:p>
    <w:p>
      <w:pPr>
        <w:numPr>
          <w:ilvl w:val="0"/>
          <w:numId w:val="96"/>
        </w:numPr>
        <w:adjustRightInd w:val="0"/>
        <w:snapToGrid w:val="0"/>
        <w:spacing w:line="300" w:lineRule="auto"/>
      </w:pPr>
      <w:r>
        <w:rPr>
          <w:szCs w:val="21"/>
        </w:rPr>
        <w:t>《(治国若干重大问题的决定）辅导读本》，人民出版社，2014年。</w:t>
      </w:r>
    </w:p>
    <w:p>
      <w:pPr>
        <w:numPr>
          <w:ilvl w:val="0"/>
          <w:numId w:val="96"/>
        </w:numPr>
        <w:adjustRightInd w:val="0"/>
        <w:snapToGrid w:val="0"/>
        <w:spacing w:line="300" w:lineRule="auto"/>
      </w:pPr>
      <w:r>
        <w:rPr>
          <w:szCs w:val="21"/>
        </w:rPr>
        <w:t>习近平：《（中共中央关于全面推进依法治国若干重大问题的决定）的说明》，《（中共中央关于全面推进依法治国若干重大问题的决定）辅导读本》，人民出版社，2014年。</w:t>
      </w:r>
    </w:p>
    <w:p>
      <w:pPr>
        <w:numPr>
          <w:ilvl w:val="0"/>
          <w:numId w:val="96"/>
        </w:numPr>
        <w:adjustRightInd w:val="0"/>
        <w:snapToGrid w:val="0"/>
        <w:spacing w:line="300" w:lineRule="auto"/>
      </w:pPr>
      <w:r>
        <w:rPr>
          <w:szCs w:val="21"/>
        </w:rPr>
        <w:t>习近平：《坚持法治国家、法治政府、法治社会一体建设》，《习近平谈治国理政》，外文出版社，2014年。</w:t>
      </w:r>
    </w:p>
    <w:p>
      <w:pPr>
        <w:numPr>
          <w:ilvl w:val="0"/>
          <w:numId w:val="96"/>
        </w:numPr>
        <w:adjustRightInd w:val="0"/>
        <w:snapToGrid w:val="0"/>
        <w:spacing w:line="300" w:lineRule="auto"/>
      </w:pPr>
      <w:r>
        <w:rPr>
          <w:szCs w:val="21"/>
        </w:rPr>
        <w:t>郑有荃:《大国信仰：社会主义理想信念读本》，北京：人民日报出版社，2015年。</w:t>
      </w:r>
    </w:p>
    <w:p>
      <w:pPr>
        <w:numPr>
          <w:ilvl w:val="0"/>
          <w:numId w:val="96"/>
        </w:numPr>
        <w:adjustRightInd w:val="0"/>
        <w:snapToGrid w:val="0"/>
        <w:spacing w:line="300" w:lineRule="auto"/>
      </w:pPr>
      <w:r>
        <w:rPr>
          <w:szCs w:val="21"/>
        </w:rPr>
        <w:t>工业和信息化部文化发展中心：《工匠精神—中国制造品质革命之魂》，北京：人民出版社，2016年。</w:t>
      </w:r>
    </w:p>
    <w:p>
      <w:pPr>
        <w:numPr>
          <w:ilvl w:val="0"/>
          <w:numId w:val="96"/>
        </w:numPr>
        <w:adjustRightInd w:val="0"/>
        <w:snapToGrid w:val="0"/>
        <w:spacing w:line="300" w:lineRule="auto"/>
      </w:pPr>
      <w:r>
        <w:rPr>
          <w:szCs w:val="21"/>
        </w:rPr>
        <w:t>高放，高哲，张书杰：《马克思恩格斯要论精选》—增订本，北京：中央编译出版社，2016年。</w:t>
      </w:r>
    </w:p>
    <w:p>
      <w:pPr>
        <w:numPr>
          <w:ilvl w:val="0"/>
          <w:numId w:val="96"/>
        </w:numPr>
        <w:adjustRightInd w:val="0"/>
        <w:snapToGrid w:val="0"/>
        <w:spacing w:line="300" w:lineRule="auto"/>
      </w:pPr>
      <w:r>
        <w:rPr>
          <w:szCs w:val="21"/>
        </w:rPr>
        <w:t>人民日报评论部：《习近平讲故事》，北京：人民出版社，2017年。</w:t>
      </w:r>
    </w:p>
    <w:p>
      <w:pPr>
        <w:numPr>
          <w:ilvl w:val="0"/>
          <w:numId w:val="96"/>
        </w:numPr>
        <w:adjustRightInd w:val="0"/>
        <w:snapToGrid w:val="0"/>
        <w:spacing w:line="300" w:lineRule="auto"/>
      </w:pPr>
      <w:r>
        <w:rPr>
          <w:szCs w:val="21"/>
        </w:rPr>
        <w:t>马克思，恩格斯，中共中央马克思恩格斯列宁斯大林著作编译局编译：《共产党宣言》，北京：人民出版社，2017年。</w:t>
      </w:r>
    </w:p>
    <w:p>
      <w:pPr>
        <w:numPr>
          <w:ilvl w:val="0"/>
          <w:numId w:val="96"/>
        </w:numPr>
        <w:adjustRightInd w:val="0"/>
        <w:snapToGrid w:val="0"/>
        <w:spacing w:line="300" w:lineRule="auto"/>
      </w:pPr>
      <w:r>
        <w:rPr>
          <w:szCs w:val="21"/>
        </w:rPr>
        <w:t>人民网：</w:t>
      </w:r>
      <w:r>
        <w:fldChar w:fldCharType="begin"/>
      </w:r>
      <w:r>
        <w:instrText xml:space="preserve"> HYPERLINK "http://www.people.com.cn/" </w:instrText>
      </w:r>
      <w:r>
        <w:fldChar w:fldCharType="separate"/>
      </w:r>
      <w:r>
        <w:rPr>
          <w:szCs w:val="21"/>
          <w:u w:val="single"/>
        </w:rPr>
        <w:t>http://www.people.com.cn/</w:t>
      </w:r>
      <w:r>
        <w:rPr>
          <w:szCs w:val="21"/>
          <w:u w:val="single"/>
        </w:rPr>
        <w:fldChar w:fldCharType="end"/>
      </w:r>
    </w:p>
    <w:p>
      <w:pPr>
        <w:numPr>
          <w:ilvl w:val="0"/>
          <w:numId w:val="96"/>
        </w:numPr>
        <w:adjustRightInd w:val="0"/>
        <w:snapToGrid w:val="0"/>
        <w:spacing w:line="300" w:lineRule="auto"/>
      </w:pPr>
      <w:r>
        <w:rPr>
          <w:szCs w:val="21"/>
        </w:rPr>
        <w:t>新华网：</w:t>
      </w:r>
      <w:r>
        <w:fldChar w:fldCharType="begin"/>
      </w:r>
      <w:r>
        <w:instrText xml:space="preserve"> HYPERLINK "http://www.xinhuanet.com/" </w:instrText>
      </w:r>
      <w:r>
        <w:fldChar w:fldCharType="separate"/>
      </w:r>
      <w:r>
        <w:rPr>
          <w:szCs w:val="21"/>
          <w:u w:val="single"/>
        </w:rPr>
        <w:t>http://www.xinhuanet.com/</w:t>
      </w:r>
      <w:r>
        <w:rPr>
          <w:szCs w:val="21"/>
          <w:u w:val="single"/>
        </w:rPr>
        <w:fldChar w:fldCharType="end"/>
      </w:r>
    </w:p>
    <w:p>
      <w:pPr>
        <w:numPr>
          <w:ilvl w:val="0"/>
          <w:numId w:val="96"/>
        </w:numPr>
        <w:adjustRightInd w:val="0"/>
        <w:snapToGrid w:val="0"/>
        <w:spacing w:line="300" w:lineRule="auto"/>
      </w:pPr>
      <w:r>
        <w:rPr>
          <w:szCs w:val="21"/>
        </w:rPr>
        <w:t>光明网：</w:t>
      </w:r>
      <w:r>
        <w:fldChar w:fldCharType="begin"/>
      </w:r>
      <w:r>
        <w:instrText xml:space="preserve"> HYPERLINK "http://www.gmw.cn/" </w:instrText>
      </w:r>
      <w:r>
        <w:fldChar w:fldCharType="separate"/>
      </w:r>
      <w:r>
        <w:rPr>
          <w:szCs w:val="21"/>
          <w:u w:val="single"/>
        </w:rPr>
        <w:t>http://www.gmw.cn/</w:t>
      </w:r>
      <w:r>
        <w:rPr>
          <w:szCs w:val="21"/>
          <w:u w:val="single"/>
        </w:rPr>
        <w:fldChar w:fldCharType="end"/>
      </w:r>
    </w:p>
    <w:tbl>
      <w:tblPr>
        <w:tblStyle w:val="65"/>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3" w:hRule="atLeast"/>
        </w:trPr>
        <w:tc>
          <w:tcPr>
            <w:tcW w:w="8217" w:type="dxa"/>
          </w:tcPr>
          <w:p>
            <w:pPr>
              <w:snapToGrid w:val="0"/>
              <w:spacing w:line="300" w:lineRule="auto"/>
              <w:jc w:val="right"/>
              <w:rPr>
                <w:rFonts w:ascii="Times New Roman" w:hAnsi="Times New Roman" w:cs="Times New Roman"/>
                <w:szCs w:val="21"/>
              </w:rPr>
            </w:pPr>
            <w:r>
              <w:rPr>
                <w:rFonts w:ascii="Times New Roman" w:hAnsi="Times New Roman" w:cs="Times New Roman"/>
                <w:szCs w:val="21"/>
              </w:rPr>
              <w:t xml:space="preserve">日  期： </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pStyle w:val="3"/>
        <w:jc w:val="center"/>
        <w:rPr>
          <w:rFonts w:ascii="Times New Roman" w:hAnsi="Times New Roman" w:eastAsia="宋体" w:cs="Times New Roman"/>
        </w:rPr>
      </w:pPr>
      <w:bookmarkStart w:id="360" w:name="_Toc1013"/>
      <w:bookmarkStart w:id="361" w:name="_Toc4723"/>
      <w:r>
        <w:rPr>
          <w:rFonts w:hint="eastAsia" w:ascii="Times New Roman" w:hAnsi="Times New Roman" w:eastAsia="宋体" w:cs="Times New Roman"/>
        </w:rPr>
        <w:t>28300000</w:t>
      </w:r>
      <w:r>
        <w:rPr>
          <w:rFonts w:ascii="Times New Roman" w:hAnsi="Times New Roman" w:eastAsia="宋体" w:cs="Times New Roman"/>
        </w:rPr>
        <w:t>《</w:t>
      </w:r>
      <w:r>
        <w:rPr>
          <w:rFonts w:hint="eastAsia" w:ascii="Times New Roman" w:hAnsi="Times New Roman" w:eastAsia="宋体" w:cs="Times New Roman"/>
        </w:rPr>
        <w:t>马克思主义中国化进程与青年学生使命担当</w:t>
      </w:r>
      <w:r>
        <w:rPr>
          <w:rFonts w:ascii="Times New Roman" w:hAnsi="Times New Roman" w:eastAsia="宋体" w:cs="Times New Roman"/>
        </w:rPr>
        <w:t>》课程教学大纲</w:t>
      </w:r>
      <w:bookmarkEnd w:id="360"/>
      <w:bookmarkEnd w:id="361"/>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28300000</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马克思主义中国化进程与青年学生使命担当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人文社会科学类</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shd w:val="clear" w:color="auto" w:fill="auto"/>
            <w:vAlign w:val="center"/>
          </w:tcPr>
          <w:p>
            <w:pPr>
              <w:rPr>
                <w:rFonts w:ascii="Times New Roman" w:hAnsi="Times New Roman" w:eastAsia="宋体" w:cs="Times New Roman"/>
                <w:kern w:val="0"/>
                <w:szCs w:val="21"/>
              </w:rPr>
            </w:pPr>
            <w:r>
              <w:rPr>
                <w:rFonts w:hint="eastAsia" w:ascii="Times New Roman" w:hAnsi="Times New Roman" w:eastAsia="宋体" w:cs="Times New Roman"/>
                <w:szCs w:val="21"/>
              </w:rPr>
              <w:t>Sinicization of Marxism and the Mission of Young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 22（2）</w:t>
            </w:r>
          </w:p>
        </w:tc>
        <w:tc>
          <w:tcPr>
            <w:tcW w:w="1198"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张玉屏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企业专家</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曾耿滨</w:t>
            </w:r>
          </w:p>
        </w:tc>
        <w:tc>
          <w:tcPr>
            <w:tcW w:w="1198"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行业专家</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张玉屏</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全体本科专业</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snapToGrid w:val="0"/>
        <w:spacing w:before="156" w:beforeLines="50" w:after="156" w:afterLines="50" w:line="30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马克思主义中国化进程与青年学生使命担当》是根据广东省教育厅要求开设的指定选修课。本课程着重讲授马克思主义自诞生以来不同时代的特点、马克思主义在中国的发展，不同时代青年的责任担当，重点讲授习近平新时代中国特色社会主义思想、中国特色社会主义进入新时代青年学生的使命担当。</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通过运用马克思主义基本原理，结合历史资料和鲜活案例，引导学生认识到新时代催生新思想、新思想引领新时代，理解和把握习近平新时代中国特色社会主义思想是马克思主义中国化最新成果，是当代中国马克思主义、21世纪马克思主义，新时代学习和实践马克思主义，就是要学习和实践习近平新时代中国特色社会主义思想；引导学生认识到新时代赋予新使命、新使命要求新作为。</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本课程的具体教学目标如下： </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增强使命担当。当代青年学生身处中国特色社会主义新时代，肩负的使命就是坚持中国共产党的领导，同人民一道，为实现“两个一百年”奋斗目标，实现中华民族伟大复兴的中国梦而奋斗。</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8.1</w:t>
      </w:r>
      <w:r>
        <w:rPr>
          <w:rFonts w:ascii="Times New Roman" w:hAnsi="Times New Roman" w:eastAsia="宋体" w:cs="Times New Roman"/>
          <w:kern w:val="0"/>
          <w:szCs w:val="21"/>
        </w:rPr>
        <w:t>]</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w:t>
      </w:r>
      <w:r>
        <w:rPr>
          <w:rFonts w:hint="eastAsia" w:ascii="Times New Roman" w:hAnsi="Times New Roman" w:eastAsia="宋体" w:cs="Times New Roman"/>
          <w:kern w:val="0"/>
          <w:szCs w:val="21"/>
        </w:rPr>
        <w:t>增强“四个自信”。引导青年学生增强中国特色社会主义道路自信、理论自信、制度自信、文化自信</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8.1</w:t>
      </w:r>
      <w:r>
        <w:rPr>
          <w:rFonts w:ascii="Times New Roman" w:hAnsi="Times New Roman" w:eastAsia="宋体" w:cs="Times New Roman"/>
          <w:kern w:val="0"/>
          <w:szCs w:val="21"/>
        </w:rPr>
        <w:t>]</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w:t>
      </w:r>
      <w:r>
        <w:rPr>
          <w:rFonts w:hint="eastAsia" w:ascii="Times New Roman" w:hAnsi="Times New Roman" w:eastAsia="宋体" w:cs="Times New Roman"/>
          <w:kern w:val="0"/>
          <w:szCs w:val="21"/>
        </w:rPr>
        <w:t>自觉报效祖国。自觉融入坚持和发展中国特色社会主义事业、建设社会主义现代化强国。</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8.1</w:t>
      </w:r>
      <w:r>
        <w:rPr>
          <w:rFonts w:ascii="Times New Roman" w:hAnsi="Times New Roman" w:eastAsia="宋体" w:cs="Times New Roman"/>
          <w:kern w:val="0"/>
          <w:szCs w:val="21"/>
        </w:rPr>
        <w:t>]</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539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81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39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818" w:type="dxa"/>
            <w:vAlign w:val="center"/>
          </w:tcPr>
          <w:p>
            <w:pPr>
              <w:snapToGrid w:val="0"/>
              <w:spacing w:line="300" w:lineRule="auto"/>
              <w:jc w:val="left"/>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8．职业规范</w:t>
            </w:r>
          </w:p>
        </w:tc>
        <w:tc>
          <w:tcPr>
            <w:tcW w:w="5390" w:type="dxa"/>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sz w:val="18"/>
                <w:szCs w:val="18"/>
              </w:rPr>
              <w:t>8.1</w:t>
            </w:r>
            <w:r>
              <w:rPr>
                <w:rFonts w:hint="eastAsia"/>
                <w:sz w:val="18"/>
                <w:szCs w:val="18"/>
              </w:rPr>
              <w:t>坚持以德立身、以德立学，树立正确的人生观、民族观、国家观和价值观，具有良好的人文社会科学素养和社会责任感。</w:t>
            </w:r>
          </w:p>
        </w:tc>
        <w:tc>
          <w:tcPr>
            <w:tcW w:w="818" w:type="dxa"/>
            <w:vAlign w:val="center"/>
          </w:tcPr>
          <w:p>
            <w:pPr>
              <w:widowControl/>
              <w:adjustRightInd w:val="0"/>
              <w:snapToGrid w:val="0"/>
              <w:spacing w:line="300" w:lineRule="auto"/>
              <w:jc w:val="center"/>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r>
              <w:rPr>
                <w:rFonts w:hint="eastAsia" w:ascii="Times New Roman" w:hAnsi="Times New Roman" w:eastAsia="宋体" w:cs="Times New Roman"/>
                <w:sz w:val="18"/>
                <w:szCs w:val="18"/>
                <w:shd w:val="clear" w:color="auto" w:fill="FEFEFF"/>
              </w:rPr>
              <w:t>，2，3</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2"/>
        <w:gridCol w:w="2076"/>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4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076"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86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w:t>
            </w:r>
            <w:r>
              <w:rPr>
                <w:rFonts w:hint="eastAsia" w:ascii="Times New Roman" w:hAnsi="Times New Roman" w:eastAsia="宋体" w:cs="Times New Roman"/>
                <w:sz w:val="18"/>
                <w:szCs w:val="18"/>
                <w:shd w:val="clear" w:color="auto" w:fill="FEFEFF"/>
              </w:rPr>
              <w:t>增强使命担当。当代青年学生身处中国特色社会主义新时代，肩负的使命就是坚持中国共产党的领导，同人民一道，为实现“两个一百年”奋斗目标，实现中华民族伟大复兴的中国梦而奋斗。</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w:t>
            </w:r>
            <w:r>
              <w:rPr>
                <w:rFonts w:hint="eastAsia" w:ascii="Times New Roman" w:hAnsi="Times New Roman" w:eastAsia="宋体" w:cs="Times New Roman"/>
                <w:sz w:val="18"/>
                <w:szCs w:val="18"/>
                <w:shd w:val="clear" w:color="auto" w:fill="FEFEFF"/>
              </w:rPr>
              <w:t>增强“四个自信”。引导青年学生增强中国特色社会主义道路自信、理论自信、制度自信、文化自信</w:t>
            </w:r>
            <w:r>
              <w:rPr>
                <w:rFonts w:ascii="Times New Roman" w:hAnsi="Times New Roman" w:eastAsia="宋体" w:cs="Times New Roman"/>
                <w:sz w:val="18"/>
                <w:szCs w:val="18"/>
                <w:shd w:val="clear" w:color="auto" w:fill="FEFEFF"/>
              </w:rPr>
              <w:t>。</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7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w:t>
            </w:r>
            <w:r>
              <w:rPr>
                <w:rFonts w:hint="eastAsia" w:ascii="Times New Roman" w:hAnsi="Times New Roman" w:eastAsia="宋体" w:cs="Times New Roman"/>
                <w:sz w:val="18"/>
                <w:szCs w:val="18"/>
                <w:shd w:val="clear" w:color="auto" w:fill="FEFEFF"/>
              </w:rPr>
              <w:t>自觉报效祖国。自觉融入坚持和发展中国特色社会主义事业、建设社会主义现代化强国</w:t>
            </w:r>
            <w:r>
              <w:rPr>
                <w:rFonts w:ascii="Times New Roman" w:hAnsi="Times New Roman" w:eastAsia="宋体" w:cs="Times New Roman"/>
                <w:sz w:val="18"/>
                <w:szCs w:val="18"/>
                <w:shd w:val="clear" w:color="auto" w:fill="FEFEFF"/>
              </w:rPr>
              <w:t>。</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通过课堂讲授与作业、讨论等达成。</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课堂表现、作业与考试。</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1．课堂讲授为主，网络多媒体教学为辅，注重案例教学，案例由浅入深，结合课程中的相应知识点进行分析。</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2．根据课程特点采用启发式教学、案例教学法进行教学方法创新。</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3．树立新的学习理念，培养优良学风。认识当代大学生的历史使命。明确当代大学生的成才目标。塑造当代大学生的崭新形象。</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060"/>
        <w:gridCol w:w="4271"/>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6" w:type="dxa"/>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060" w:type="dxa"/>
            <w:vAlign w:val="center"/>
          </w:tcPr>
          <w:p>
            <w:pPr>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271"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 </w:t>
            </w:r>
            <w:r>
              <w:rPr>
                <w:rFonts w:hint="eastAsia" w:ascii="Times New Roman" w:hAnsi="Times New Roman" w:eastAsia="宋体" w:cs="Times New Roman"/>
                <w:kern w:val="0"/>
                <w:sz w:val="18"/>
                <w:szCs w:val="18"/>
              </w:rPr>
              <w:t>19世纪科学社会主义的创立与青年使命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1.1</w:t>
            </w:r>
            <w:r>
              <w:rPr>
                <w:rFonts w:hint="eastAsia" w:ascii="Times New Roman" w:hAnsi="Times New Roman" w:eastAsia="宋体" w:cs="Times New Roman"/>
                <w:kern w:val="0"/>
                <w:sz w:val="18"/>
                <w:szCs w:val="18"/>
              </w:rPr>
              <w:t>青年马克思面临的社会客观条件</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r>
              <w:rPr>
                <w:rFonts w:hint="eastAsia" w:ascii="Times New Roman" w:hAnsi="Times New Roman" w:eastAsia="宋体" w:cs="Times New Roman"/>
                <w:kern w:val="0"/>
                <w:sz w:val="18"/>
                <w:szCs w:val="18"/>
              </w:rPr>
              <w:t>青年马克思的人生境界</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r>
              <w:rPr>
                <w:rFonts w:hint="eastAsia" w:ascii="Times New Roman" w:hAnsi="Times New Roman" w:eastAsia="宋体" w:cs="Times New Roman"/>
                <w:kern w:val="0"/>
                <w:sz w:val="18"/>
                <w:szCs w:val="18"/>
              </w:rPr>
              <w:t>马克思主义的当代价值与青年使命</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科学社会主义产生的内在逻辑与时代特征; 青年马克思成长的境界和追求。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科学社会主义产生的时代背景; 青年马克思的理论选择与实践方向; 马克思的人生四境界; 中国特色社会主义新时代的青年如何学习马克思, 担当起时代赋予的责任。</w:t>
            </w:r>
          </w:p>
          <w:p>
            <w:pPr>
              <w:widowControl/>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sz w:val="18"/>
                <w:szCs w:val="18"/>
                <w:shd w:val="clear" w:color="auto" w:fill="FEFEFF"/>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以“如果我出生在‘双元革命’时期, 我愿意做什么样的人”为主题进行演讲</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p>
            <w:pPr>
              <w:adjustRightInd w:val="0"/>
              <w:snapToGrid w:val="0"/>
              <w:spacing w:line="300" w:lineRule="auto"/>
              <w:jc w:val="center"/>
              <w:rPr>
                <w:rFonts w:ascii="Times New Roman" w:hAnsi="Times New Roman" w:eastAsia="宋体" w:cs="Times New Roman"/>
                <w:kern w:val="0"/>
                <w:sz w:val="18"/>
                <w:szCs w:val="18"/>
              </w:rPr>
            </w:pP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r>
              <w:rPr>
                <w:rFonts w:hint="eastAsia" w:ascii="Times New Roman" w:hAnsi="Times New Roman" w:eastAsia="宋体" w:cs="Times New Roman"/>
                <w:kern w:val="0"/>
                <w:sz w:val="18"/>
                <w:szCs w:val="18"/>
              </w:rPr>
              <w:t>五四精神与当代青年使命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2.1</w:t>
            </w:r>
            <w:r>
              <w:rPr>
                <w:rFonts w:hint="eastAsia" w:ascii="Times New Roman" w:hAnsi="Times New Roman" w:eastAsia="宋体" w:cs="Times New Roman"/>
                <w:kern w:val="0"/>
                <w:sz w:val="18"/>
                <w:szCs w:val="18"/>
              </w:rPr>
              <w:t>百年前那个时代</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r>
              <w:rPr>
                <w:rFonts w:hint="eastAsia" w:ascii="Times New Roman" w:hAnsi="Times New Roman" w:eastAsia="宋体" w:cs="Times New Roman"/>
                <w:kern w:val="0"/>
                <w:sz w:val="18"/>
                <w:szCs w:val="18"/>
              </w:rPr>
              <w:t>百年前那代青年</w:t>
            </w:r>
          </w:p>
          <w:p>
            <w:pP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r>
              <w:rPr>
                <w:rFonts w:hint="eastAsia" w:ascii="Times New Roman" w:hAnsi="Times New Roman" w:eastAsia="宋体" w:cs="Times New Roman"/>
                <w:kern w:val="0"/>
                <w:sz w:val="18"/>
                <w:szCs w:val="18"/>
              </w:rPr>
              <w:t>那个时代理论与实践</w:t>
            </w:r>
          </w:p>
          <w:p>
            <w:pP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2.4这个时代与青年作为</w:t>
            </w:r>
          </w:p>
          <w:p>
            <w:pPr>
              <w:adjustRightInd w:val="0"/>
              <w:snapToGrid w:val="0"/>
              <w:spacing w:line="300" w:lineRule="auto"/>
              <w:rPr>
                <w:rFonts w:ascii="Times New Roman" w:hAnsi="Times New Roman" w:eastAsia="宋体" w:cs="Times New Roman"/>
                <w:kern w:val="0"/>
                <w:sz w:val="18"/>
                <w:szCs w:val="18"/>
              </w:rPr>
            </w:pP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五四精神百年传承的内在逻辑与时代特征; 不同时代青年历史使命的本质联系与表现区别</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五四革命传统的精神实质以及决定这一精神实质的时代背景；五四时期青年的理论选择与实践方向；马克思主义在中国传播与中国共产党成立的历史逻辑；中国特色社会主义新时代的主题与特征, 中国特色社会主义新时代青年使命与担当的具体内容</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（1）完成</w:t>
            </w:r>
            <w:r>
              <w:rPr>
                <w:rFonts w:hint="eastAsia" w:ascii="Times New Roman" w:hAnsi="Times New Roman" w:eastAsia="宋体" w:cs="Times New Roman"/>
                <w:kern w:val="0"/>
                <w:sz w:val="18"/>
                <w:szCs w:val="18"/>
              </w:rPr>
              <w:t>“我与五四”微视频展示活动</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r>
              <w:rPr>
                <w:rFonts w:hint="eastAsia" w:ascii="Times New Roman" w:hAnsi="Times New Roman" w:eastAsia="宋体" w:cs="Times New Roman"/>
                <w:kern w:val="0"/>
                <w:sz w:val="18"/>
                <w:szCs w:val="18"/>
              </w:rPr>
              <w:t>新中国建立、 社会主义建设与青年使命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3.1</w:t>
            </w:r>
            <w:r>
              <w:rPr>
                <w:rFonts w:hint="eastAsia" w:ascii="Times New Roman" w:hAnsi="Times New Roman" w:eastAsia="宋体" w:cs="Times New Roman"/>
                <w:kern w:val="0"/>
                <w:sz w:val="18"/>
                <w:szCs w:val="18"/>
              </w:rPr>
              <w:t>新中国建立的奋进者</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3.2</w:t>
            </w:r>
            <w:r>
              <w:rPr>
                <w:rFonts w:hint="eastAsia" w:ascii="Times New Roman" w:hAnsi="Times New Roman" w:eastAsia="宋体" w:cs="Times New Roman"/>
                <w:kern w:val="0"/>
                <w:sz w:val="18"/>
                <w:szCs w:val="18"/>
              </w:rPr>
              <w:t>社会主义建设的生力军</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了解中国共产党领导中国革命和建设的历史进程, 把握历史规律, 明确每一代青年有每一代青年的历史担当</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不同历史阶段青年学生在中国人民“站起来”过程中的突出贡献和光辉作用，青年学生以前辈青年为师, 牢记初心使命, 弘扬革命传统, 共同助力国家和民族“强起来”。</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观看中央电视台大型政论专题片：《必由之路》 第1集</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r>
              <w:rPr>
                <w:rFonts w:hint="eastAsia" w:ascii="Times New Roman" w:hAnsi="Times New Roman" w:eastAsia="宋体" w:cs="Times New Roman"/>
                <w:kern w:val="0"/>
                <w:sz w:val="18"/>
                <w:szCs w:val="18"/>
              </w:rPr>
              <w:t>改革开放时代与青年使命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4.1</w:t>
            </w:r>
            <w:r>
              <w:rPr>
                <w:rFonts w:hint="eastAsia" w:ascii="Times New Roman" w:hAnsi="Times New Roman" w:eastAsia="宋体" w:cs="Times New Roman"/>
                <w:kern w:val="0"/>
                <w:sz w:val="18"/>
                <w:szCs w:val="18"/>
              </w:rPr>
              <w:t>改革开放的时代背景</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4.2</w:t>
            </w:r>
            <w:r>
              <w:rPr>
                <w:rFonts w:hint="eastAsia" w:ascii="Times New Roman" w:hAnsi="Times New Roman" w:eastAsia="宋体" w:cs="Times New Roman"/>
                <w:kern w:val="0"/>
                <w:sz w:val="18"/>
                <w:szCs w:val="18"/>
              </w:rPr>
              <w:t>改革开放与邓小平理论的形成</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4.3</w:t>
            </w:r>
            <w:r>
              <w:rPr>
                <w:rFonts w:hint="eastAsia" w:ascii="Times New Roman" w:hAnsi="Times New Roman" w:eastAsia="宋体" w:cs="Times New Roman"/>
                <w:kern w:val="0"/>
                <w:sz w:val="18"/>
                <w:szCs w:val="18"/>
              </w:rPr>
              <w:t>改革开放的重大意义</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4.4改革开放过程中的青年担当</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4.5改革开放的青年使命</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（1）了解并掌握</w:t>
            </w:r>
            <w:r>
              <w:rPr>
                <w:rFonts w:hint="eastAsia" w:ascii="Times New Roman" w:hAnsi="Times New Roman" w:eastAsia="宋体" w:cs="Times New Roman"/>
                <w:kern w:val="0"/>
                <w:sz w:val="18"/>
                <w:szCs w:val="18"/>
              </w:rPr>
              <w:t>了解改革开放的伟大实践, 认清改</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革开放的时代特点、 伟大成就和历史意义，邓小平理论形成与改革开放实践的关系, 让学生领会和感受不同时代产生不同理论。</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青年在改革开放过程中的作用, 认清不同时代的青年有不同的担当, 从而明确自己肩负的时代责任和使命。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观看电视剧：《历史转折中的邓小平》</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r>
              <w:rPr>
                <w:rFonts w:hint="eastAsia" w:ascii="Times New Roman" w:hAnsi="Times New Roman" w:eastAsia="宋体" w:cs="Times New Roman"/>
                <w:kern w:val="0"/>
                <w:sz w:val="18"/>
                <w:szCs w:val="18"/>
              </w:rPr>
              <w:t>中国特色社会主义新时代与时代新人</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5.1</w:t>
            </w:r>
            <w:r>
              <w:rPr>
                <w:rFonts w:hint="eastAsia" w:ascii="Times New Roman" w:hAnsi="Times New Roman" w:eastAsia="宋体" w:cs="Times New Roman"/>
                <w:kern w:val="0"/>
                <w:sz w:val="18"/>
                <w:szCs w:val="18"/>
              </w:rPr>
              <w:t>走进新时代∶ 中国特色社会主义的时空方位</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5.2</w:t>
            </w:r>
            <w:r>
              <w:rPr>
                <w:rFonts w:hint="eastAsia" w:ascii="Times New Roman" w:hAnsi="Times New Roman" w:eastAsia="宋体" w:cs="Times New Roman"/>
                <w:kern w:val="0"/>
                <w:sz w:val="18"/>
                <w:szCs w:val="18"/>
              </w:rPr>
              <w:t>读懂新时代∶ 中国特色社会主义新时代的核心内涵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5.3</w:t>
            </w:r>
            <w:r>
              <w:rPr>
                <w:rFonts w:hint="eastAsia" w:ascii="Times New Roman" w:hAnsi="Times New Roman" w:eastAsia="宋体" w:cs="Times New Roman"/>
                <w:kern w:val="0"/>
                <w:sz w:val="18"/>
                <w:szCs w:val="18"/>
              </w:rPr>
              <w:t>做时代新人∶ 中国特色社会主义的青年使命</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5.4建功新时代∶ 中国特色社会主义的青年担当</w:t>
            </w:r>
          </w:p>
          <w:p>
            <w:pPr>
              <w:adjustRightInd w:val="0"/>
              <w:snapToGrid w:val="0"/>
              <w:spacing w:line="300" w:lineRule="auto"/>
              <w:rPr>
                <w:rFonts w:ascii="Times New Roman" w:hAnsi="Times New Roman" w:eastAsia="宋体" w:cs="Times New Roman"/>
                <w:kern w:val="0"/>
                <w:sz w:val="18"/>
                <w:szCs w:val="18"/>
              </w:rPr>
            </w:pP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中国特色社会主义进人新时代的客观依据和深刻内涵。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中国特色社会主义进人新时代对青年提出的新要求</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校园红色基因挖掘</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r>
              <w:rPr>
                <w:rFonts w:hint="eastAsia" w:ascii="Times New Roman" w:hAnsi="Times New Roman" w:eastAsia="宋体" w:cs="Times New Roman"/>
                <w:kern w:val="0"/>
                <w:sz w:val="18"/>
                <w:szCs w:val="18"/>
              </w:rPr>
              <w:t>新时代我国社会主要矛盾与青年担当</w:t>
            </w:r>
            <w:r>
              <w:rPr>
                <w:rFonts w:ascii="Times New Roman" w:hAnsi="Times New Roman" w:eastAsia="宋体" w:cs="Times New Roman"/>
                <w:kern w:val="0"/>
                <w:sz w:val="18"/>
                <w:szCs w:val="18"/>
              </w:rPr>
              <w:tab/>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6.1</w:t>
            </w:r>
            <w:r>
              <w:rPr>
                <w:rFonts w:hint="eastAsia" w:ascii="Times New Roman" w:hAnsi="Times New Roman" w:eastAsia="宋体" w:cs="Times New Roman"/>
                <w:kern w:val="0"/>
                <w:sz w:val="18"/>
                <w:szCs w:val="18"/>
              </w:rPr>
              <w:t>新时代中国社会主要矛盾的历史转化</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6.2</w:t>
            </w:r>
            <w:r>
              <w:rPr>
                <w:rFonts w:hint="eastAsia" w:ascii="Times New Roman" w:hAnsi="Times New Roman" w:eastAsia="宋体" w:cs="Times New Roman"/>
                <w:kern w:val="0"/>
                <w:sz w:val="18"/>
                <w:szCs w:val="18"/>
              </w:rPr>
              <w:t>新时代中国社会主要矛盾的特征表现</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6.3</w:t>
            </w:r>
            <w:r>
              <w:rPr>
                <w:rFonts w:hint="eastAsia" w:ascii="Times New Roman" w:hAnsi="Times New Roman" w:eastAsia="宋体" w:cs="Times New Roman"/>
                <w:kern w:val="0"/>
                <w:sz w:val="18"/>
                <w:szCs w:val="18"/>
              </w:rPr>
              <w:t>新时代社会主要矛盾转化中的青年担当</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新时代社会主要矛盾的变化依据、 主要矛盾与基本矛盾的关系以及新时代中国社会的“变”与 “不变”</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新时代社会主要矛盾的新变化与新时代青年使命担当之 间的逻辑关系</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观看中央电视台大型政论专题片: 《不忘初心 继续前进》，第2集 《人民至上》</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r>
              <w:rPr>
                <w:rFonts w:hint="eastAsia" w:ascii="Times New Roman" w:hAnsi="Times New Roman" w:eastAsia="宋体" w:cs="Times New Roman"/>
                <w:kern w:val="0"/>
                <w:sz w:val="18"/>
                <w:szCs w:val="18"/>
              </w:rPr>
              <w:t>建设美丽中国与青年使命担当</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7.1 </w:t>
            </w:r>
            <w:r>
              <w:rPr>
                <w:rFonts w:hint="eastAsia" w:ascii="Times New Roman" w:hAnsi="Times New Roman" w:eastAsia="宋体" w:cs="Times New Roman"/>
                <w:kern w:val="0"/>
                <w:sz w:val="18"/>
                <w:szCs w:val="18"/>
              </w:rPr>
              <w:t>美丽之问：生态危机与生态文明</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7.2 </w:t>
            </w:r>
            <w:r>
              <w:rPr>
                <w:rFonts w:hint="eastAsia" w:ascii="Times New Roman" w:hAnsi="Times New Roman" w:eastAsia="宋体" w:cs="Times New Roman"/>
                <w:kern w:val="0"/>
                <w:sz w:val="18"/>
                <w:szCs w:val="18"/>
              </w:rPr>
              <w:t>美丽之答：中国特色社会主义生态文明的基本内涵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7.3 </w:t>
            </w:r>
            <w:r>
              <w:rPr>
                <w:rFonts w:hint="eastAsia" w:ascii="Times New Roman" w:hAnsi="Times New Roman" w:eastAsia="宋体" w:cs="Times New Roman"/>
                <w:kern w:val="0"/>
                <w:sz w:val="18"/>
                <w:szCs w:val="18"/>
              </w:rPr>
              <w:t>美丽之路：新时代中国生态文明建设的实践探索</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中国特色社会主义生态文明思想的演进逻辑与时代意义</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中国特色社会主义生态文明建设的基本内涵和重要意义；中国特色社会主义生态文明建设的历史进程、理论内涵和实践探索；青年建设美丽中国的使命担当。</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阅读习近平: 《生态兴则文明兴---推进生态建设打造“绿色浙江”》</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r>
              <w:rPr>
                <w:rFonts w:hint="eastAsia" w:ascii="Times New Roman" w:hAnsi="Times New Roman" w:eastAsia="宋体" w:cs="Times New Roman"/>
                <w:kern w:val="0"/>
                <w:sz w:val="18"/>
                <w:szCs w:val="18"/>
              </w:rPr>
              <w:t>中国特色社会主义文化自信与大学生文化素养</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8.1</w:t>
            </w:r>
            <w:r>
              <w:rPr>
                <w:rFonts w:hint="eastAsia" w:ascii="Times New Roman" w:hAnsi="Times New Roman" w:eastAsia="宋体" w:cs="Times New Roman"/>
                <w:kern w:val="0"/>
                <w:sz w:val="18"/>
                <w:szCs w:val="18"/>
              </w:rPr>
              <w:t>文化自信是民族生存和发展的重要力量∶ 文化自信何以“信”</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8.2</w:t>
            </w:r>
            <w:r>
              <w:rPr>
                <w:rFonts w:hint="eastAsia" w:ascii="Times New Roman" w:hAnsi="Times New Roman" w:eastAsia="宋体" w:cs="Times New Roman"/>
                <w:kern w:val="0"/>
                <w:sz w:val="18"/>
                <w:szCs w:val="18"/>
              </w:rPr>
              <w:t>文化自信的历史进程∶ 文化自信“信”什么</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8.3</w:t>
            </w:r>
            <w:r>
              <w:rPr>
                <w:rFonts w:hint="eastAsia" w:ascii="Times New Roman" w:hAnsi="Times New Roman" w:eastAsia="宋体" w:cs="Times New Roman"/>
                <w:kern w:val="0"/>
                <w:sz w:val="18"/>
                <w:szCs w:val="18"/>
              </w:rPr>
              <w:t>新时代文化自信意识的构建∶文化自信如何“信”</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8.4大学生文化自信的培育与养成∶文化自信躬自“信”</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社会主义文化自信与大学生文化素养培育的内在关联</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文化自信的内涵与文化自信建设的重要意义; 文化自信与社会主义文化优越性的必然联系。</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阅读习近平: 《要有高度的文化自信》, 《习近平谈治国理政》 第 2 卷，外文出版社2017年版</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9</w:t>
            </w:r>
            <w:r>
              <w:rPr>
                <w:rFonts w:hint="eastAsia" w:ascii="Times New Roman" w:hAnsi="Times New Roman" w:eastAsia="宋体" w:cs="Times New Roman"/>
                <w:kern w:val="0"/>
                <w:sz w:val="18"/>
                <w:szCs w:val="18"/>
              </w:rPr>
              <w:t>构建人类命运共同体与青年新担当</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9.1</w:t>
            </w:r>
            <w:r>
              <w:rPr>
                <w:rFonts w:hint="eastAsia" w:ascii="Times New Roman" w:hAnsi="Times New Roman" w:eastAsia="宋体" w:cs="Times New Roman"/>
                <w:kern w:val="0"/>
                <w:sz w:val="18"/>
                <w:szCs w:val="18"/>
              </w:rPr>
              <w:t>构建人类命运共同体的基本内涵</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9.2</w:t>
            </w:r>
            <w:r>
              <w:rPr>
                <w:rFonts w:hint="eastAsia" w:ascii="Times New Roman" w:hAnsi="Times New Roman" w:eastAsia="宋体" w:cs="Times New Roman"/>
                <w:kern w:val="0"/>
                <w:sz w:val="18"/>
                <w:szCs w:val="18"/>
              </w:rPr>
              <w:t>构建人类命运共同体的缘由</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9.3</w:t>
            </w:r>
            <w:r>
              <w:rPr>
                <w:rFonts w:hint="eastAsia" w:ascii="Times New Roman" w:hAnsi="Times New Roman" w:eastAsia="宋体" w:cs="Times New Roman"/>
                <w:kern w:val="0"/>
                <w:sz w:val="18"/>
                <w:szCs w:val="18"/>
              </w:rPr>
              <w:t>构建人类命运共同体的时代价值</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9.4构建人类命运共同体与新时代大学生的使命担当</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世界变局与构建人类命运共同体的辩证关系</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构建人类命运共同体中青年学生的历史使命和时代担当</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分组</w:t>
            </w:r>
            <w:r>
              <w:rPr>
                <w:rFonts w:ascii="Times New Roman" w:hAnsi="Times New Roman" w:eastAsia="宋体" w:cs="Times New Roman"/>
                <w:kern w:val="0"/>
                <w:sz w:val="18"/>
                <w:szCs w:val="18"/>
              </w:rPr>
              <w:t>完成</w:t>
            </w:r>
            <w:r>
              <w:rPr>
                <w:rFonts w:hint="eastAsia" w:ascii="Times New Roman" w:hAnsi="Times New Roman" w:eastAsia="宋体" w:cs="Times New Roman"/>
                <w:kern w:val="0"/>
                <w:sz w:val="18"/>
                <w:szCs w:val="18"/>
              </w:rPr>
              <w:t>实践：对外国来华学生、 国际友人进行采访, 了解国际社会对构建人类命运共同体的态度和意见</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p>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2060"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r>
              <w:rPr>
                <w:rFonts w:hint="eastAsia" w:ascii="Times New Roman" w:hAnsi="Times New Roman" w:eastAsia="宋体" w:cs="Times New Roman"/>
                <w:kern w:val="0"/>
                <w:sz w:val="18"/>
                <w:szCs w:val="18"/>
              </w:rPr>
              <w:t>中国共产党领导与青年的政治使命</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10.1</w:t>
            </w:r>
            <w:r>
              <w:rPr>
                <w:rFonts w:hint="eastAsia" w:ascii="Times New Roman" w:hAnsi="Times New Roman" w:eastAsia="宋体" w:cs="Times New Roman"/>
                <w:kern w:val="0"/>
                <w:sz w:val="18"/>
                <w:szCs w:val="18"/>
              </w:rPr>
              <w:t>中国共产党与中国青年运动</w:t>
            </w:r>
            <w:r>
              <w:rPr>
                <w:rFonts w:ascii="Times New Roman" w:hAnsi="Times New Roman" w:eastAsia="宋体" w:cs="Times New Roman"/>
                <w:kern w:val="0"/>
                <w:sz w:val="18"/>
                <w:szCs w:val="18"/>
              </w:rPr>
              <w:t xml:space="preserve">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10.2</w:t>
            </w:r>
            <w:r>
              <w:rPr>
                <w:rFonts w:hint="eastAsia" w:ascii="Times New Roman" w:hAnsi="Times New Roman" w:eastAsia="宋体" w:cs="Times New Roman"/>
                <w:kern w:val="0"/>
                <w:sz w:val="18"/>
                <w:szCs w:val="18"/>
              </w:rPr>
              <w:t>党的领导是中国特色社会主义最本质的特征和最大优势</w:t>
            </w:r>
            <w:r>
              <w:rPr>
                <w:rFonts w:ascii="Times New Roman" w:hAnsi="Times New Roman" w:eastAsia="宋体" w:cs="Times New Roman"/>
                <w:kern w:val="0"/>
                <w:sz w:val="18"/>
                <w:szCs w:val="18"/>
              </w:rPr>
              <w:t xml:space="preserve">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10.3</w:t>
            </w:r>
            <w:r>
              <w:rPr>
                <w:rFonts w:hint="eastAsia" w:ascii="Times New Roman" w:hAnsi="Times New Roman" w:eastAsia="宋体" w:cs="Times New Roman"/>
                <w:kern w:val="0"/>
                <w:sz w:val="18"/>
                <w:szCs w:val="18"/>
              </w:rPr>
              <w:t xml:space="preserve">“跟党走”是新时代对中国青年的基本要求 </w:t>
            </w:r>
          </w:p>
          <w:p>
            <w:pPr>
              <w:adjustRightInd w:val="0"/>
              <w:snapToGrid w:val="0"/>
              <w:spacing w:line="30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10.4在学习实践中引导当代青年自觉增强政治使命感</w:t>
            </w:r>
          </w:p>
        </w:tc>
        <w:tc>
          <w:tcPr>
            <w:tcW w:w="4271" w:type="dxa"/>
            <w:vAlign w:val="center"/>
          </w:tcPr>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1.要求</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（1）了解</w:t>
            </w:r>
            <w:r>
              <w:rPr>
                <w:rFonts w:hint="eastAsia" w:ascii="Times New Roman" w:hAnsi="Times New Roman" w:eastAsia="宋体" w:cs="Times New Roman"/>
                <w:kern w:val="0"/>
                <w:sz w:val="18"/>
                <w:szCs w:val="18"/>
              </w:rPr>
              <w:t>五四运动以来的中国青年运动史, 就是一代代中国青年在中国共产党领导下为实现中华民族伟大复兴的斗争史、 奋进史</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（2）重点掌握</w:t>
            </w:r>
            <w:r>
              <w:rPr>
                <w:rFonts w:hint="eastAsia" w:ascii="Times New Roman" w:hAnsi="Times New Roman" w:eastAsia="宋体" w:cs="Times New Roman"/>
                <w:kern w:val="0"/>
                <w:sz w:val="18"/>
                <w:szCs w:val="18"/>
              </w:rPr>
              <w:t>中国共产党的领导是中国特色社会主义最本质的特征和最大优势，自觉树立“跟党走“的信念</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2.作业内容</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r>
              <w:rPr>
                <w:rFonts w:hint="eastAsia" w:ascii="Times New Roman" w:hAnsi="Times New Roman" w:eastAsia="宋体" w:cs="Times New Roman"/>
                <w:kern w:val="0"/>
                <w:sz w:val="18"/>
                <w:szCs w:val="18"/>
              </w:rPr>
              <w:t>分小组进行 " 时代青年与中国共产党" 微视频展示活动</w:t>
            </w:r>
            <w:r>
              <w:rPr>
                <w:rFonts w:ascii="Times New Roman" w:hAnsi="Times New Roman" w:eastAsia="宋体" w:cs="Times New Roman"/>
                <w:kern w:val="0"/>
                <w:sz w:val="18"/>
                <w:szCs w:val="18"/>
              </w:rPr>
              <w:t>。</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3.教学方法 </w:t>
            </w:r>
          </w:p>
          <w:p>
            <w:pPr>
              <w:adjustRightInd w:val="0"/>
              <w:snapToGrid w:val="0"/>
              <w:spacing w:line="30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讲授式、讨论式、案例式与启发式相结合。</w:t>
            </w:r>
          </w:p>
        </w:tc>
        <w:tc>
          <w:tcPr>
            <w:tcW w:w="734"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30" w:type="dxa"/>
            <w:vAlign w:val="center"/>
          </w:tcPr>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p>
          <w:p>
            <w:pPr>
              <w:adjustRightInd w:val="0"/>
              <w:snapToGrid w:val="0"/>
              <w:spacing w:line="300" w:lineRule="auto"/>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bl>
    <w:p>
      <w:pPr>
        <w:adjustRightInd w:val="0"/>
        <w:snapToGrid w:val="0"/>
        <w:spacing w:before="156" w:beforeLines="50" w:after="156" w:afterLines="50" w:line="300" w:lineRule="auto"/>
        <w:ind w:firstLine="420" w:firstLineChars="200"/>
        <w:jc w:val="left"/>
        <w:rPr>
          <w:rFonts w:ascii="Times New Roman" w:hAnsi="Times New Roman" w:eastAsia="宋体" w:cs="Times New Roman"/>
          <w:b/>
          <w:bCs/>
          <w:sz w:val="18"/>
          <w:szCs w:val="20"/>
        </w:rPr>
      </w:pPr>
      <w:r>
        <w:rPr>
          <w:rFonts w:ascii="Times New Roman" w:hAnsi="Times New Roman" w:eastAsia="宋体" w:cs="Times New Roman"/>
        </w:rPr>
        <w:t>专题辅导内容见表4所示。</w:t>
      </w:r>
    </w:p>
    <w:p>
      <w:pPr>
        <w:adjustRightInd w:val="0"/>
        <w:snapToGrid w:val="0"/>
        <w:spacing w:before="156" w:beforeLines="50" w:line="300" w:lineRule="auto"/>
        <w:jc w:val="center"/>
        <w:rPr>
          <w:rFonts w:ascii="Times New Roman" w:hAnsi="Times New Roman" w:eastAsia="宋体" w:cs="Times New Roman"/>
          <w:b/>
          <w:bCs/>
          <w:sz w:val="18"/>
          <w:szCs w:val="20"/>
        </w:rPr>
      </w:pPr>
      <w:r>
        <w:rPr>
          <w:rFonts w:ascii="Times New Roman" w:hAnsi="Times New Roman" w:eastAsia="宋体" w:cs="Times New Roman"/>
          <w:b/>
          <w:bCs/>
          <w:sz w:val="18"/>
          <w:szCs w:val="20"/>
        </w:rPr>
        <w:t>表4 专题辅导安排情况</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400"/>
        <w:gridCol w:w="2623"/>
        <w:gridCol w:w="728"/>
        <w:gridCol w:w="728"/>
        <w:gridCol w:w="729"/>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序号</w:t>
            </w:r>
          </w:p>
        </w:tc>
        <w:tc>
          <w:tcPr>
            <w:tcW w:w="24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专题辅导项目名称</w:t>
            </w:r>
          </w:p>
        </w:tc>
        <w:tc>
          <w:tcPr>
            <w:tcW w:w="26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专题辅导的要求</w:t>
            </w:r>
          </w:p>
        </w:tc>
        <w:tc>
          <w:tcPr>
            <w:tcW w:w="7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学时分配</w:t>
            </w:r>
          </w:p>
        </w:tc>
        <w:tc>
          <w:tcPr>
            <w:tcW w:w="7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实验类型</w:t>
            </w:r>
          </w:p>
        </w:tc>
        <w:tc>
          <w:tcPr>
            <w:tcW w:w="7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必开选开</w:t>
            </w:r>
          </w:p>
        </w:tc>
        <w:tc>
          <w:tcPr>
            <w:tcW w:w="661"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4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rPr>
                <w:rFonts w:ascii="Times New Roman" w:hAnsi="Times New Roman" w:eastAsia="宋体" w:cs="Times New Roman"/>
                <w:b/>
                <w:sz w:val="18"/>
                <w:szCs w:val="18"/>
              </w:rPr>
            </w:pPr>
            <w:r>
              <w:rPr>
                <w:rFonts w:ascii="Times New Roman" w:hAnsi="Times New Roman" w:eastAsia="宋体" w:cs="Times New Roman"/>
                <w:sz w:val="18"/>
                <w:szCs w:val="18"/>
              </w:rPr>
              <w:t>当代大学生的使命与担当</w:t>
            </w:r>
          </w:p>
        </w:tc>
        <w:tc>
          <w:tcPr>
            <w:tcW w:w="262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理解当代大学生的使命与担当</w:t>
            </w:r>
          </w:p>
        </w:tc>
        <w:tc>
          <w:tcPr>
            <w:tcW w:w="7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72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sz w:val="18"/>
                <w:szCs w:val="18"/>
              </w:rPr>
              <w:t>专题辅导</w:t>
            </w:r>
          </w:p>
        </w:tc>
        <w:tc>
          <w:tcPr>
            <w:tcW w:w="7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必开</w:t>
            </w:r>
          </w:p>
        </w:tc>
        <w:tc>
          <w:tcPr>
            <w:tcW w:w="66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kern w:val="0"/>
                <w:sz w:val="18"/>
                <w:szCs w:val="18"/>
              </w:rPr>
              <w:t>1，2，3</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w:t>
      </w:r>
      <w:r>
        <w:rPr>
          <w:rFonts w:hint="eastAsia" w:ascii="Times New Roman" w:hAnsi="Times New Roman" w:eastAsia="宋体" w:cs="Times New Roman"/>
        </w:rPr>
        <w:t>实践专题调研论文</w:t>
      </w:r>
      <w:r>
        <w:rPr>
          <w:rFonts w:ascii="Times New Roman" w:hAnsi="Times New Roman" w:eastAsia="宋体" w:cs="Times New Roman"/>
        </w:rPr>
        <w:t>，平时作业。</w:t>
      </w:r>
    </w:p>
    <w:p>
      <w:pPr>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w:t>
      </w:r>
      <w:r>
        <w:rPr>
          <w:rFonts w:hint="eastAsia" w:ascii="Times New Roman" w:hAnsi="Times New Roman" w:eastAsia="宋体" w:cs="Times New Roman"/>
        </w:rPr>
        <w:t>调研论文</w:t>
      </w:r>
      <w:r>
        <w:rPr>
          <w:rFonts w:ascii="Times New Roman" w:hAnsi="Times New Roman" w:eastAsia="宋体" w:cs="Times New Roman"/>
        </w:rPr>
        <w:t>50%，平时成绩50%（课后作业、课堂表现等）。</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3．考核评价标准见表5所示。</w:t>
      </w:r>
    </w:p>
    <w:p>
      <w:pPr>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7"/>
        <w:gridCol w:w="657"/>
        <w:gridCol w:w="640"/>
        <w:gridCol w:w="539"/>
        <w:gridCol w:w="3541"/>
        <w:gridCol w:w="92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4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3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54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2"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平时</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640" w:type="dxa"/>
          </w:tcPr>
          <w:p>
            <w:r>
              <w:rPr>
                <w:rFonts w:hint="eastAsia"/>
              </w:rPr>
              <w:t>课堂考勤</w:t>
            </w:r>
          </w:p>
        </w:tc>
        <w:tc>
          <w:tcPr>
            <w:tcW w:w="539" w:type="dxa"/>
          </w:tcPr>
          <w:p>
            <w:r>
              <w:rPr>
                <w:rFonts w:hint="eastAsia"/>
              </w:rPr>
              <w:t>0.2</w:t>
            </w:r>
          </w:p>
        </w:tc>
        <w:tc>
          <w:tcPr>
            <w:tcW w:w="3541" w:type="dxa"/>
          </w:tcPr>
          <w:p>
            <w:r>
              <w:rPr>
                <w:rFonts w:hint="eastAsia"/>
              </w:rPr>
              <w:t>根据学生课堂表现打分，满分100。</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tcPr>
          <w:p>
            <w:r>
              <w:rPr>
                <w:rFonts w:hint="eastAsia"/>
              </w:rPr>
              <w:t>讨论</w:t>
            </w:r>
          </w:p>
        </w:tc>
        <w:tc>
          <w:tcPr>
            <w:tcW w:w="539" w:type="dxa"/>
          </w:tcPr>
          <w:p>
            <w:r>
              <w:rPr>
                <w:rFonts w:hint="eastAsia"/>
              </w:rPr>
              <w:t>0.3</w:t>
            </w:r>
          </w:p>
        </w:tc>
        <w:tc>
          <w:tcPr>
            <w:tcW w:w="3541" w:type="dxa"/>
          </w:tcPr>
          <w:p>
            <w:r>
              <w:rPr>
                <w:rFonts w:hint="eastAsia"/>
              </w:rPr>
              <w:t>根据学生课堂讨论的表现打分，满分100。</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56"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40" w:type="dxa"/>
          </w:tcPr>
          <w:p>
            <w:r>
              <w:rPr>
                <w:rFonts w:hint="eastAsia"/>
              </w:rPr>
              <w:t>作业</w:t>
            </w:r>
          </w:p>
        </w:tc>
        <w:tc>
          <w:tcPr>
            <w:tcW w:w="539" w:type="dxa"/>
          </w:tcPr>
          <w:p>
            <w:r>
              <w:rPr>
                <w:rFonts w:hint="eastAsia"/>
              </w:rPr>
              <w:t>0.5</w:t>
            </w:r>
          </w:p>
        </w:tc>
        <w:tc>
          <w:tcPr>
            <w:tcW w:w="3541" w:type="dxa"/>
          </w:tcPr>
          <w:p>
            <w:r>
              <w:rPr>
                <w:rFonts w:hint="eastAsia"/>
              </w:rPr>
              <w:t>主要考核学生对每章节知识点的理解和掌握程度；每次作业按100分制单独评分，取各次成绩的平均值作为书面作业成绩。</w:t>
            </w:r>
          </w:p>
        </w:tc>
        <w:tc>
          <w:tcPr>
            <w:tcW w:w="92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56"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考试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640"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实践专题调研论文</w:t>
            </w:r>
          </w:p>
        </w:tc>
        <w:tc>
          <w:tcPr>
            <w:tcW w:w="5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4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(1)满分100分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(2)考核依据： 课程考核以教学大纲为依据，能重视考核学生对基本概念、基本理论和基本技能的掌握程度，也能注重考核学生综合应用所学知识、解决问题的能力。</w:t>
            </w:r>
          </w:p>
        </w:tc>
        <w:tc>
          <w:tcPr>
            <w:tcW w:w="922" w:type="dxa"/>
            <w:vAlign w:val="center"/>
          </w:tcPr>
          <w:p>
            <w:pPr>
              <w:adjustRightInd w:val="0"/>
              <w:snapToGrid w:val="0"/>
              <w:spacing w:line="300" w:lineRule="auto"/>
              <w:jc w:val="left"/>
              <w:rPr>
                <w:rFonts w:ascii="Times New Roman" w:hAnsi="Times New Roman" w:eastAsia="宋体" w:cs="Times New Roman"/>
                <w:color w:val="FF0000"/>
                <w:sz w:val="18"/>
                <w:szCs w:val="18"/>
              </w:rPr>
            </w:pPr>
            <w:r>
              <w:rPr>
                <w:rFonts w:ascii="Times New Roman" w:hAnsi="Times New Roman" w:eastAsia="宋体" w:cs="Times New Roman"/>
                <w:sz w:val="18"/>
                <w:szCs w:val="18"/>
              </w:rPr>
              <w:t>1，2，3</w:t>
            </w:r>
          </w:p>
        </w:tc>
        <w:tc>
          <w:tcPr>
            <w:tcW w:w="1030"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8.1</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40"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40" DrawAspect="Content" ObjectID="_1468075938" r:id="rId271">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课程总目标达成情况为3个课程目标的加权得分率，其计算公式为：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41"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41" DrawAspect="Content" ObjectID="_1468075939" r:id="rId272">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其中权重系数按照表6设定。</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表6课程目标权重系数</w:t>
      </w:r>
    </w:p>
    <w:tbl>
      <w:tblPr>
        <w:tblStyle w:val="22"/>
        <w:tblW w:w="6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9"/>
        <w:gridCol w:w="1584"/>
        <w:gridCol w:w="187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49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58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7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5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49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58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87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85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42"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42" DrawAspect="Content" ObjectID="_1468075940" r:id="rId273">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1．参考资料</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[1] </w:t>
      </w:r>
      <w:r>
        <w:rPr>
          <w:rFonts w:hint="eastAsia" w:ascii="Times New Roman" w:hAnsi="Times New Roman" w:eastAsia="宋体" w:cs="Times New Roman"/>
          <w:szCs w:val="21"/>
        </w:rPr>
        <w:t>《马克思恩格斯文集》第1 -10卷[M]. 北京：人民出版社,2009。</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 xml:space="preserve">[2] </w:t>
      </w:r>
      <w:r>
        <w:rPr>
          <w:rFonts w:hint="eastAsia" w:ascii="Times New Roman" w:hAnsi="Times New Roman" w:eastAsia="宋体" w:cs="Times New Roman"/>
          <w:szCs w:val="21"/>
        </w:rPr>
        <w:t>《列宁专题文集》第1 -5卷[M]. 北京：人民出版社,2009</w:t>
      </w:r>
      <w:r>
        <w:rPr>
          <w:rFonts w:ascii="Times New Roman" w:hAnsi="Times New Roman" w:eastAsia="宋体" w:cs="Times New Roman"/>
          <w:szCs w:val="21"/>
        </w:rPr>
        <w:t>。</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《毛泽东选集》第 1 -4卷[M]. 北京：人民出版社,1991 年。</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《邓小平文选》第1 -3卷[M]. 北京：人民出版社,1994,1993 年。</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《江泽民文选》第 1 -3卷[M]. 北京：人民出版社,2006 年。</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6</w:t>
      </w:r>
      <w:r>
        <w:rPr>
          <w:rFonts w:ascii="Times New Roman" w:hAnsi="Times New Roman" w:eastAsia="宋体" w:cs="Times New Roman"/>
          <w:szCs w:val="21"/>
        </w:rPr>
        <w:t>]</w:t>
      </w:r>
      <w:r>
        <w:rPr>
          <w:rFonts w:hint="eastAsia" w:ascii="Times New Roman" w:hAnsi="Times New Roman" w:eastAsia="宋体" w:cs="Times New Roman"/>
          <w:szCs w:val="21"/>
        </w:rPr>
        <w:t>《胡锦涛文选》第 1 -3卷[M]. 北京：人民出版社,2016 年。</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7</w:t>
      </w:r>
      <w:r>
        <w:rPr>
          <w:rFonts w:ascii="Times New Roman" w:hAnsi="Times New Roman" w:eastAsia="宋体" w:cs="Times New Roman"/>
          <w:szCs w:val="21"/>
        </w:rPr>
        <w:t>]</w:t>
      </w:r>
      <w:r>
        <w:rPr>
          <w:rFonts w:ascii="Times New Roman" w:hAnsi="Times New Roman" w:eastAsia="宋体" w:cs="Times New Roman"/>
          <w:szCs w:val="20"/>
        </w:rPr>
        <w:t>习近平谈治国理政</w:t>
      </w:r>
      <w:r>
        <w:rPr>
          <w:rFonts w:ascii="Times New Roman" w:hAnsi="Times New Roman" w:eastAsia="宋体" w:cs="Times New Roman"/>
          <w:szCs w:val="21"/>
        </w:rPr>
        <w:t xml:space="preserve">[M]. </w:t>
      </w:r>
      <w:r>
        <w:rPr>
          <w:rFonts w:ascii="Times New Roman" w:hAnsi="Times New Roman" w:eastAsia="宋体" w:cs="Times New Roman"/>
          <w:bCs/>
          <w:szCs w:val="21"/>
        </w:rPr>
        <w:t>北京：</w:t>
      </w:r>
      <w:r>
        <w:rPr>
          <w:rFonts w:ascii="Times New Roman" w:hAnsi="Times New Roman" w:eastAsia="宋体" w:cs="Times New Roman"/>
          <w:szCs w:val="21"/>
        </w:rPr>
        <w:t>长安出版社,2009。</w:t>
      </w:r>
    </w:p>
    <w:p>
      <w:pPr>
        <w:adjustRightInd w:val="0"/>
        <w:snapToGrid w:val="0"/>
        <w:spacing w:line="300" w:lineRule="auto"/>
        <w:ind w:firstLine="42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8</w:t>
      </w:r>
      <w:r>
        <w:rPr>
          <w:rFonts w:ascii="Times New Roman" w:hAnsi="Times New Roman" w:eastAsia="宋体" w:cs="Times New Roman"/>
          <w:szCs w:val="21"/>
        </w:rPr>
        <w:t>]</w:t>
      </w:r>
      <w:r>
        <w:rPr>
          <w:rFonts w:ascii="Times New Roman" w:hAnsi="Times New Roman" w:eastAsia="宋体" w:cs="Times New Roman"/>
          <w:szCs w:val="20"/>
        </w:rPr>
        <w:t>习近平谈治国理政（第一、二卷）</w:t>
      </w:r>
      <w:r>
        <w:rPr>
          <w:rFonts w:ascii="Times New Roman" w:hAnsi="Times New Roman" w:eastAsia="宋体" w:cs="Times New Roman"/>
          <w:szCs w:val="21"/>
        </w:rPr>
        <w:t>[M].</w:t>
      </w:r>
      <w:r>
        <w:rPr>
          <w:rFonts w:ascii="Times New Roman" w:hAnsi="Times New Roman" w:eastAsia="宋体" w:cs="Times New Roman"/>
          <w:bCs/>
          <w:szCs w:val="21"/>
        </w:rPr>
        <w:t xml:space="preserve"> 北京：</w:t>
      </w:r>
      <w:r>
        <w:rPr>
          <w:rFonts w:ascii="Times New Roman" w:hAnsi="Times New Roman" w:eastAsia="宋体" w:cs="Times New Roman"/>
          <w:szCs w:val="21"/>
        </w:rPr>
        <w:t>外文出版社,2014</w:t>
      </w:r>
      <w:r>
        <w:rPr>
          <w:rFonts w:hint="eastAsia" w:ascii="Times New Roman" w:hAnsi="Times New Roman" w:eastAsia="宋体" w:cs="Times New Roman"/>
          <w:szCs w:val="21"/>
        </w:rPr>
        <w:t>,</w:t>
      </w:r>
      <w:r>
        <w:rPr>
          <w:rFonts w:ascii="Times New Roman" w:hAnsi="Times New Roman" w:eastAsia="宋体" w:cs="Times New Roman"/>
          <w:szCs w:val="21"/>
        </w:rPr>
        <w:t>2017。</w:t>
      </w:r>
    </w:p>
    <w:p>
      <w:pPr>
        <w:adjustRightInd w:val="0"/>
        <w:snapToGrid w:val="0"/>
        <w:spacing w:line="300" w:lineRule="auto"/>
        <w:ind w:firstLine="420"/>
        <w:rPr>
          <w:rFonts w:ascii="Times New Roman" w:hAnsi="Times New Roman" w:eastAsia="宋体" w:cs="Times New Roman"/>
          <w:szCs w:val="21"/>
        </w:rPr>
      </w:pPr>
    </w:p>
    <w:tbl>
      <w:tblPr>
        <w:tblStyle w:val="22"/>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w:t>
            </w:r>
            <w:r>
              <w:rPr>
                <w:rFonts w:ascii="Times New Roman" w:hAnsi="Times New Roman" w:eastAsia="宋体" w:cs="Times New Roman"/>
                <w:szCs w:val="21"/>
              </w:rPr>
              <w:t xml:space="preserve"> </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p>
            <w:pPr>
              <w:snapToGrid w:val="0"/>
              <w:spacing w:line="300" w:lineRule="auto"/>
              <w:jc w:val="right"/>
              <w:rPr>
                <w:rFonts w:ascii="Times New Roman" w:hAnsi="Times New Roman" w:eastAsia="宋体" w:cs="Times New Roman"/>
                <w:kern w:val="0"/>
                <w:sz w:val="20"/>
                <w:szCs w:val="21"/>
              </w:rPr>
            </w:pPr>
          </w:p>
        </w:tc>
      </w:tr>
    </w:tbl>
    <w:p>
      <w:pPr>
        <w:spacing w:line="276" w:lineRule="auto"/>
        <w:rPr>
          <w:rFonts w:ascii="Times New Roman" w:hAnsi="Times New Roman" w:eastAsia="宋体" w:cs="Times New Roman"/>
          <w:b/>
          <w:bCs/>
          <w:kern w:val="36"/>
          <w:sz w:val="32"/>
          <w:szCs w:val="38"/>
        </w:rPr>
      </w:pPr>
    </w:p>
    <w:p>
      <w:pPr>
        <w:jc w:val="center"/>
        <w:rPr>
          <w:rFonts w:ascii="Times New Roman" w:hAnsi="Times New Roman" w:eastAsia="宋体" w:cs="Times New Roman"/>
        </w:rPr>
      </w:pPr>
      <w:bookmarkStart w:id="362" w:name="_Toc38126083"/>
      <w:bookmarkStart w:id="363" w:name="_Toc46489629"/>
      <w:bookmarkStart w:id="364" w:name="_Toc47719722"/>
      <w:bookmarkStart w:id="365" w:name="_Toc47774679"/>
      <w:bookmarkStart w:id="366" w:name="_Toc47718750"/>
      <w:r>
        <w:rPr>
          <w:rFonts w:ascii="Times New Roman" w:hAnsi="Times New Roman" w:eastAsia="宋体" w:cs="Times New Roman"/>
        </w:rPr>
        <w:br w:type="page"/>
      </w:r>
    </w:p>
    <w:p>
      <w:pPr>
        <w:pStyle w:val="3"/>
        <w:jc w:val="center"/>
        <w:rPr>
          <w:rFonts w:ascii="Times New Roman" w:hAnsi="Times New Roman" w:eastAsia="宋体" w:cs="Times New Roman"/>
        </w:rPr>
      </w:pPr>
      <w:bookmarkStart w:id="367" w:name="_Toc5486"/>
      <w:bookmarkStart w:id="368" w:name="_Toc29748"/>
      <w:r>
        <w:rPr>
          <w:rFonts w:ascii="Times New Roman" w:hAnsi="Times New Roman" w:eastAsia="宋体" w:cs="Times New Roman"/>
        </w:rPr>
        <w:t>56011106《军事理论》课程教学大纲</w:t>
      </w:r>
      <w:bookmarkEnd w:id="362"/>
      <w:bookmarkEnd w:id="363"/>
      <w:bookmarkEnd w:id="364"/>
      <w:bookmarkEnd w:id="365"/>
      <w:bookmarkEnd w:id="366"/>
      <w:bookmarkEnd w:id="367"/>
      <w:bookmarkEnd w:id="368"/>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课程编号</w:t>
            </w:r>
          </w:p>
        </w:tc>
        <w:tc>
          <w:tcPr>
            <w:tcW w:w="34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56011106</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课程名称</w:t>
            </w:r>
          </w:p>
        </w:tc>
        <w:tc>
          <w:tcPr>
            <w:tcW w:w="2695"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军事理论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shd w:val="clear" w:color="auto" w:fill="auto"/>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人文社会科学类</w:t>
            </w:r>
          </w:p>
        </w:tc>
        <w:tc>
          <w:tcPr>
            <w:tcW w:w="1198"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英文名称</w:t>
            </w:r>
          </w:p>
        </w:tc>
        <w:tc>
          <w:tcPr>
            <w:tcW w:w="269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Military Theory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学分学时</w:t>
            </w:r>
          </w:p>
        </w:tc>
        <w:tc>
          <w:tcPr>
            <w:tcW w:w="3441"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2</w:t>
            </w:r>
            <w:r>
              <w:rPr>
                <w:rFonts w:ascii="Times New Roman" w:hAnsi="Times New Roman" w:eastAsia="宋体" w:cs="Times New Roman"/>
                <w:kern w:val="0"/>
                <w:szCs w:val="21"/>
              </w:rPr>
              <w:t xml:space="preserve"> : </w:t>
            </w:r>
            <w:r>
              <w:rPr>
                <w:rFonts w:ascii="Times New Roman" w:hAnsi="Times New Roman" w:eastAsia="宋体" w:cs="Times New Roman"/>
                <w:bCs/>
                <w:kern w:val="0"/>
                <w:szCs w:val="21"/>
              </w:rPr>
              <w:t>36（8）</w:t>
            </w:r>
          </w:p>
        </w:tc>
        <w:tc>
          <w:tcPr>
            <w:tcW w:w="1198"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任课教师</w:t>
            </w:r>
          </w:p>
        </w:tc>
        <w:tc>
          <w:tcPr>
            <w:tcW w:w="2695" w:type="dxa"/>
            <w:shd w:val="clear" w:color="auto" w:fill="auto"/>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朱剑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cs="Times New Roman"/>
                <w:bCs/>
                <w:szCs w:val="21"/>
              </w:rPr>
              <w:t>企业专家</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cs="Times New Roman"/>
                <w:szCs w:val="21"/>
              </w:rPr>
              <w:t>曾耿滨</w:t>
            </w:r>
          </w:p>
        </w:tc>
        <w:tc>
          <w:tcPr>
            <w:tcW w:w="1198" w:type="dxa"/>
            <w:shd w:val="clear" w:color="auto" w:fill="auto"/>
            <w:vAlign w:val="center"/>
          </w:tcPr>
          <w:p>
            <w:pPr>
              <w:jc w:val="center"/>
              <w:rPr>
                <w:rFonts w:ascii="Times New Roman" w:hAnsi="Times New Roman" w:eastAsia="宋体" w:cs="Times New Roman"/>
                <w:bCs/>
                <w:kern w:val="0"/>
                <w:szCs w:val="21"/>
              </w:rPr>
            </w:pPr>
            <w:r>
              <w:rPr>
                <w:rFonts w:ascii="Times New Roman" w:hAnsi="Times New Roman" w:cs="Times New Roman"/>
                <w:bCs/>
                <w:szCs w:val="21"/>
              </w:rPr>
              <w:t>行业专家</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执笔教师</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朱剑</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责任教授</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tc>
          <w:tcPr>
            <w:tcW w:w="1347"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适用专业</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电子信息工程</w:t>
            </w:r>
          </w:p>
        </w:tc>
        <w:tc>
          <w:tcPr>
            <w:tcW w:w="1198"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适用对象</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347" w:type="dxa"/>
            <w:shd w:val="clear" w:color="auto" w:fill="auto"/>
            <w:vAlign w:val="center"/>
          </w:tcPr>
          <w:p>
            <w:pPr>
              <w:jc w:val="center"/>
              <w:rPr>
                <w:rFonts w:ascii="Times New Roman" w:hAnsi="Times New Roman" w:eastAsia="宋体" w:cs="Times New Roman"/>
                <w:b/>
                <w:kern w:val="0"/>
                <w:szCs w:val="21"/>
              </w:rPr>
            </w:pPr>
            <w:r>
              <w:rPr>
                <w:rFonts w:ascii="Times New Roman" w:hAnsi="Times New Roman" w:eastAsia="宋体" w:cs="Times New Roman"/>
                <w:kern w:val="0"/>
                <w:szCs w:val="21"/>
              </w:rPr>
              <w:t>先修课程</w:t>
            </w:r>
          </w:p>
        </w:tc>
        <w:tc>
          <w:tcPr>
            <w:tcW w:w="3441" w:type="dxa"/>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b/>
                <w:kern w:val="0"/>
                <w:szCs w:val="21"/>
              </w:rPr>
            </w:pPr>
            <w:r>
              <w:rPr>
                <w:rFonts w:ascii="Times New Roman" w:hAnsi="Times New Roman" w:eastAsia="宋体" w:cs="Times New Roman"/>
                <w:kern w:val="0"/>
                <w:szCs w:val="21"/>
              </w:rPr>
              <w:t>同修课程</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347" w:type="dxa"/>
            <w:shd w:val="clear" w:color="auto" w:fill="auto"/>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排斥课程</w:t>
            </w:r>
          </w:p>
        </w:tc>
        <w:tc>
          <w:tcPr>
            <w:tcW w:w="3441"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1198" w:type="dxa"/>
            <w:shd w:val="clear" w:color="auto" w:fill="auto"/>
            <w:vAlign w:val="center"/>
          </w:tcPr>
          <w:p>
            <w:pPr>
              <w:snapToGrid w:val="0"/>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定稿日期</w:t>
            </w:r>
          </w:p>
        </w:tc>
        <w:tc>
          <w:tcPr>
            <w:tcW w:w="2695" w:type="dxa"/>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军事课程是普通高等学校本、专科学生的必修课。军事课程以马列主义、毛泽东思想、邓小平理论和“三个代表”重要思想为指导，贯彻和落实科学发展观，按照教育要面向现代化、面向世界、面向未来的要求，适应我国人才培养的战略目标和加强国防后备力量建设的需要，为培养高素质的社会主义事业的建设者和保卫者服务。</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军事课程以国防教育为主线，以军事理论教育为重点，通过军事教学，使大学生掌握基本军事理论与军事技能，增强国防观念和国家安全意识，强化爱国主义、集体主义观念，加强组织纪律性，促进综合素质的提高，为中国人民解放军训练储备合格后备兵员和培养预备役军官打下坚实基础的目的。</w:t>
      </w:r>
    </w:p>
    <w:p>
      <w:pPr>
        <w:widowControl/>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本课程的具体教学目标如下：</w:t>
      </w:r>
    </w:p>
    <w:p>
      <w:pPr>
        <w:widowControl/>
        <w:numPr>
          <w:ilvl w:val="0"/>
          <w:numId w:val="97"/>
        </w:num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推动大学生掌握基本军事理论与军事技能，增强国防观念和国家安全意识，</w:t>
      </w:r>
      <w:r>
        <w:rPr>
          <w:rFonts w:hint="eastAsia" w:ascii="Times New Roman" w:hAnsi="Times New Roman" w:eastAsia="宋体" w:cs="Times New Roman"/>
          <w:szCs w:val="21"/>
        </w:rPr>
        <w:t>理解军事思想</w:t>
      </w:r>
      <w:r>
        <w:rPr>
          <w:szCs w:val="21"/>
        </w:rPr>
        <w:t>对社会、健康、安全、法律以及文化的影响，勇于承担</w:t>
      </w:r>
      <w:r>
        <w:rPr>
          <w:rFonts w:hint="eastAsia"/>
          <w:szCs w:val="21"/>
        </w:rPr>
        <w:t>社会</w:t>
      </w:r>
      <w:r>
        <w:rPr>
          <w:szCs w:val="21"/>
        </w:rPr>
        <w:t>责任</w:t>
      </w:r>
      <w:r>
        <w:rPr>
          <w:rFonts w:ascii="Times New Roman" w:hAnsi="Times New Roman" w:eastAsia="宋体" w:cs="Times New Roman"/>
          <w:szCs w:val="21"/>
        </w:rPr>
        <w:t>。[6</w:t>
      </w:r>
      <w:r>
        <w:rPr>
          <w:rFonts w:hint="eastAsia" w:ascii="Times New Roman" w:hAnsi="Times New Roman" w:eastAsia="宋体" w:cs="Times New Roman"/>
          <w:szCs w:val="21"/>
        </w:rPr>
        <w:t>.</w:t>
      </w:r>
      <w:r>
        <w:rPr>
          <w:rFonts w:ascii="Times New Roman" w:hAnsi="Times New Roman" w:eastAsia="宋体" w:cs="Times New Roman"/>
          <w:szCs w:val="21"/>
        </w:rPr>
        <w:t>1]</w:t>
      </w:r>
    </w:p>
    <w:p>
      <w:pPr>
        <w:widowControl/>
        <w:numPr>
          <w:ilvl w:val="0"/>
          <w:numId w:val="97"/>
        </w:numPr>
        <w:snapToGrid w:val="0"/>
        <w:spacing w:line="300" w:lineRule="auto"/>
        <w:ind w:firstLine="420" w:firstLineChars="200"/>
        <w:rPr>
          <w:rFonts w:ascii="Times New Roman" w:hAnsi="Times New Roman" w:eastAsia="宋体" w:cs="Times New Roman"/>
          <w:szCs w:val="21"/>
        </w:rPr>
      </w:pPr>
      <w:r>
        <w:rPr>
          <w:rFonts w:hint="eastAsia"/>
          <w:szCs w:val="21"/>
        </w:rPr>
        <w:t>提高大学生</w:t>
      </w:r>
      <w:r>
        <w:rPr>
          <w:szCs w:val="21"/>
        </w:rPr>
        <w:t>自觉遵守职业道德和规范</w:t>
      </w:r>
      <w:r>
        <w:rPr>
          <w:rFonts w:hint="eastAsia"/>
          <w:szCs w:val="21"/>
        </w:rPr>
        <w:t>、</w:t>
      </w:r>
      <w:r>
        <w:rPr>
          <w:szCs w:val="21"/>
        </w:rPr>
        <w:t>履行责任</w:t>
      </w:r>
      <w:r>
        <w:rPr>
          <w:rFonts w:hint="eastAsia"/>
          <w:szCs w:val="21"/>
        </w:rPr>
        <w:t>的意识</w:t>
      </w:r>
      <w:r>
        <w:rPr>
          <w:szCs w:val="21"/>
        </w:rPr>
        <w:t>，</w:t>
      </w:r>
      <w:r>
        <w:rPr>
          <w:rFonts w:hint="eastAsia"/>
          <w:szCs w:val="21"/>
        </w:rPr>
        <w:t>强化学生</w:t>
      </w:r>
      <w:r>
        <w:rPr>
          <w:rFonts w:hint="eastAsia" w:ascii="Arial" w:hAnsi="Arial" w:cs="Arial"/>
          <w:szCs w:val="21"/>
          <w:shd w:val="clear" w:color="auto" w:fill="FFFFFF"/>
        </w:rPr>
        <w:t>成为中国特色社会主义事业建设者的使命感与自豪感</w:t>
      </w:r>
      <w:r>
        <w:rPr>
          <w:szCs w:val="21"/>
        </w:rPr>
        <w:t>。</w:t>
      </w:r>
      <w:r>
        <w:rPr>
          <w:rFonts w:ascii="Times New Roman" w:hAnsi="Times New Roman" w:eastAsia="宋体" w:cs="Times New Roman"/>
          <w:szCs w:val="21"/>
        </w:rPr>
        <w:t>[</w:t>
      </w:r>
      <w:r>
        <w:rPr>
          <w:rFonts w:hint="eastAsia" w:ascii="Times New Roman" w:hAnsi="Times New Roman" w:eastAsia="宋体" w:cs="Times New Roman"/>
          <w:szCs w:val="21"/>
        </w:rPr>
        <w:t>8.</w:t>
      </w:r>
      <w:r>
        <w:rPr>
          <w:rFonts w:ascii="Times New Roman" w:hAnsi="Times New Roman" w:eastAsia="宋体" w:cs="Times New Roman"/>
          <w:szCs w:val="21"/>
        </w:rPr>
        <w:t>2]</w:t>
      </w:r>
    </w:p>
    <w:p>
      <w:pPr>
        <w:widowControl/>
        <w:numPr>
          <w:ilvl w:val="0"/>
          <w:numId w:val="97"/>
        </w:num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强化爱国主义、集体主义观念，加强组织纪律性和团队合作精神</w:t>
      </w:r>
      <w:r>
        <w:rPr>
          <w:szCs w:val="21"/>
        </w:rPr>
        <w:t>，</w:t>
      </w:r>
      <w:r>
        <w:rPr>
          <w:rFonts w:hint="eastAsia"/>
          <w:szCs w:val="21"/>
        </w:rPr>
        <w:t>培养学生的</w:t>
      </w:r>
      <w:r>
        <w:rPr>
          <w:szCs w:val="21"/>
        </w:rPr>
        <w:t>团队合作意识和精神。</w:t>
      </w:r>
      <w:r>
        <w:rPr>
          <w:rFonts w:hint="eastAsia" w:ascii="Times New Roman" w:hAnsi="Times New Roman" w:eastAsia="宋体" w:cs="Times New Roman"/>
          <w:szCs w:val="21"/>
        </w:rPr>
        <w:t xml:space="preserve"> </w:t>
      </w:r>
      <w:r>
        <w:rPr>
          <w:rFonts w:ascii="Times New Roman" w:hAnsi="Times New Roman" w:eastAsia="宋体" w:cs="Times New Roman"/>
          <w:szCs w:val="21"/>
        </w:rPr>
        <w:t>[</w:t>
      </w:r>
      <w:r>
        <w:rPr>
          <w:rFonts w:hint="eastAsia" w:ascii="Times New Roman" w:hAnsi="Times New Roman" w:eastAsia="宋体" w:cs="Times New Roman"/>
          <w:szCs w:val="21"/>
        </w:rPr>
        <w:t>9.</w:t>
      </w:r>
      <w:r>
        <w:rPr>
          <w:rFonts w:ascii="Times New Roman" w:hAnsi="Times New Roman" w:eastAsia="宋体" w:cs="Times New Roman"/>
          <w:szCs w:val="21"/>
        </w:rPr>
        <w:t>2]</w:t>
      </w:r>
    </w:p>
    <w:p>
      <w:pPr>
        <w:widowControl/>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 培养学生自我完善能力和提高身体素质和不断学习能力。[12</w:t>
      </w:r>
      <w:r>
        <w:rPr>
          <w:rFonts w:hint="eastAsia" w:ascii="Times New Roman" w:hAnsi="Times New Roman" w:eastAsia="宋体" w:cs="Times New Roman"/>
          <w:szCs w:val="21"/>
        </w:rPr>
        <w:t>.</w:t>
      </w:r>
      <w:r>
        <w:rPr>
          <w:rFonts w:ascii="Times New Roman" w:hAnsi="Times New Roman" w:eastAsia="宋体" w:cs="Times New Roman"/>
          <w:szCs w:val="21"/>
        </w:rPr>
        <w:t>2]</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snapToGrid w:val="0"/>
        <w:spacing w:before="156" w:beforeLines="50" w:line="300" w:lineRule="auto"/>
        <w:ind w:firstLine="422" w:firstLineChars="200"/>
        <w:jc w:val="center"/>
        <w:rPr>
          <w:rFonts w:ascii="Times New Roman" w:hAnsi="Times New Roman" w:eastAsia="宋体" w:cs="Times New Roman"/>
          <w:b/>
          <w:bCs/>
          <w:szCs w:val="21"/>
        </w:rPr>
      </w:pPr>
      <w:r>
        <w:rPr>
          <w:rFonts w:ascii="Times New Roman" w:hAnsi="Times New Roman" w:eastAsia="宋体" w:cs="Times New Roman"/>
          <w:b/>
          <w:bCs/>
          <w:szCs w:val="21"/>
        </w:rPr>
        <w:t>表1 毕业要求指标点实现矩阵</w:t>
      </w:r>
    </w:p>
    <w:p>
      <w:pPr>
        <w:widowControl/>
        <w:tabs>
          <w:tab w:val="left" w:pos="426"/>
          <w:tab w:val="left" w:pos="5245"/>
          <w:tab w:val="left" w:pos="5387"/>
        </w:tabs>
        <w:snapToGrid w:val="0"/>
        <w:spacing w:before="156" w:beforeLines="50" w:line="300" w:lineRule="auto"/>
        <w:ind w:firstLine="422" w:firstLineChars="200"/>
        <w:jc w:val="center"/>
        <w:rPr>
          <w:rFonts w:ascii="Times New Roman" w:hAnsi="Times New Roman" w:eastAsia="宋体" w:cs="Times New Roman"/>
          <w:b/>
          <w:bCs/>
          <w:szCs w:val="21"/>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727"/>
        <w:gridCol w:w="67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848" w:type="pct"/>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3360" w:type="pct"/>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395" w:type="pct"/>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395" w:type="pct"/>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8" w:type="pct"/>
            <w:vAlign w:val="center"/>
          </w:tcPr>
          <w:p>
            <w:pPr>
              <w:snapToGrid w:val="0"/>
              <w:spacing w:line="300" w:lineRule="auto"/>
              <w:rPr>
                <w:rFonts w:ascii="Times New Roman" w:hAnsi="Times New Roman" w:eastAsia="宋体" w:cs="Times New Roman"/>
                <w:sz w:val="18"/>
                <w:szCs w:val="18"/>
              </w:rPr>
            </w:pPr>
            <w:r>
              <w:rPr>
                <w:rFonts w:ascii="Times New Roman" w:hAnsi="Times New Roman" w:cs="Times New Roman"/>
                <w:sz w:val="18"/>
                <w:szCs w:val="18"/>
              </w:rPr>
              <w:t>6．工程与社会</w:t>
            </w:r>
          </w:p>
        </w:tc>
        <w:tc>
          <w:tcPr>
            <w:tcW w:w="3360" w:type="pct"/>
            <w:vAlign w:val="center"/>
          </w:tcPr>
          <w:p>
            <w:pPr>
              <w:snapToGrid w:val="0"/>
              <w:spacing w:line="300" w:lineRule="auto"/>
              <w:rPr>
                <w:rFonts w:ascii="Times New Roman" w:hAnsi="Times New Roman" w:eastAsia="宋体" w:cs="Times New Roman"/>
                <w:sz w:val="18"/>
                <w:szCs w:val="18"/>
              </w:rPr>
            </w:pPr>
            <w:r>
              <w:rPr>
                <w:rFonts w:ascii="Times New Roman" w:hAnsi="Times New Roman" w:cs="Times New Roman"/>
                <w:sz w:val="18"/>
                <w:szCs w:val="18"/>
              </w:rPr>
              <w:t>6</w:t>
            </w:r>
            <w:r>
              <w:rPr>
                <w:rFonts w:hint="eastAsia" w:ascii="Times New Roman" w:hAnsi="Times New Roman" w:cs="Times New Roman"/>
                <w:sz w:val="18"/>
                <w:szCs w:val="18"/>
              </w:rPr>
              <w:t>.</w:t>
            </w:r>
            <w:r>
              <w:rPr>
                <w:rFonts w:ascii="Times New Roman" w:hAnsi="Times New Roman" w:cs="Times New Roman"/>
                <w:sz w:val="18"/>
                <w:szCs w:val="18"/>
              </w:rPr>
              <w:t>1具有工程实践经历，了解电子信息行业相关的技术标准、知识产权、产业政策和法律法规，了解工程实践和电子信息行业新产品、新技术的开发和应用与社会、健康、安全、法律以及文化的关系。</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8" w:type="pct"/>
            <w:vAlign w:val="center"/>
          </w:tcPr>
          <w:p>
            <w:pPr>
              <w:numPr>
                <w:ilvl w:val="0"/>
                <w:numId w:val="98"/>
              </w:numPr>
              <w:snapToGrid w:val="0"/>
              <w:spacing w:line="300" w:lineRule="auto"/>
              <w:rPr>
                <w:rFonts w:ascii="Times New Roman" w:hAnsi="Times New Roman" w:cs="Times New Roman"/>
                <w:sz w:val="18"/>
                <w:szCs w:val="18"/>
              </w:rPr>
            </w:pPr>
            <w:r>
              <w:rPr>
                <w:rFonts w:hint="eastAsia" w:ascii="Times New Roman" w:hAnsi="Times New Roman" w:cs="Times New Roman"/>
                <w:sz w:val="18"/>
                <w:szCs w:val="18"/>
              </w:rPr>
              <w:t>职业规范</w:t>
            </w:r>
          </w:p>
        </w:tc>
        <w:tc>
          <w:tcPr>
            <w:tcW w:w="3360" w:type="pct"/>
            <w:vAlign w:val="center"/>
          </w:tcPr>
          <w:p>
            <w:pPr>
              <w:snapToGrid w:val="0"/>
              <w:spacing w:line="300" w:lineRule="auto"/>
              <w:rPr>
                <w:rFonts w:ascii="Times New Roman" w:hAnsi="Times New Roman" w:cs="Times New Roman"/>
                <w:sz w:val="18"/>
                <w:szCs w:val="18"/>
              </w:rPr>
            </w:pPr>
            <w:r>
              <w:rPr>
                <w:rFonts w:hint="eastAsia" w:ascii="Times New Roman" w:hAnsi="Times New Roman" w:cs="Times New Roman"/>
                <w:sz w:val="18"/>
                <w:szCs w:val="18"/>
              </w:rPr>
              <w:t>8.2理解工程师的职业道德规范，在工程实践中能自觉遵守职业道德和规范，履行责任，成为中国特色社会主义事业合格的建设者，成为中国特色社会主义事业合格的建设者</w:t>
            </w:r>
            <w:r>
              <w:rPr>
                <w:rFonts w:ascii="Times New Roman" w:hAnsi="Times New Roman" w:cs="Times New Roman"/>
                <w:sz w:val="18"/>
                <w:szCs w:val="18"/>
              </w:rPr>
              <w:t>。</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8" w:type="pct"/>
            <w:vAlign w:val="center"/>
          </w:tcPr>
          <w:p>
            <w:pPr>
              <w:numPr>
                <w:ilvl w:val="0"/>
                <w:numId w:val="99"/>
              </w:numPr>
              <w:snapToGrid w:val="0"/>
              <w:spacing w:line="300" w:lineRule="auto"/>
              <w:rPr>
                <w:rFonts w:ascii="Times New Roman" w:hAnsi="Times New Roman" w:cs="Times New Roman"/>
                <w:sz w:val="18"/>
                <w:szCs w:val="18"/>
              </w:rPr>
            </w:pPr>
            <w:r>
              <w:rPr>
                <w:rFonts w:hint="eastAsia" w:ascii="Times New Roman" w:hAnsi="Times New Roman" w:cs="Times New Roman"/>
                <w:sz w:val="18"/>
                <w:szCs w:val="18"/>
              </w:rPr>
              <w:t>个人和团队</w:t>
            </w:r>
          </w:p>
          <w:p>
            <w:pPr>
              <w:snapToGrid w:val="0"/>
              <w:spacing w:line="300" w:lineRule="auto"/>
              <w:rPr>
                <w:rFonts w:ascii="Times New Roman" w:hAnsi="Times New Roman" w:cs="Times New Roman"/>
                <w:sz w:val="18"/>
                <w:szCs w:val="18"/>
              </w:rPr>
            </w:pPr>
          </w:p>
        </w:tc>
        <w:tc>
          <w:tcPr>
            <w:tcW w:w="3360" w:type="pct"/>
            <w:vAlign w:val="center"/>
          </w:tcPr>
          <w:p>
            <w:pPr>
              <w:snapToGrid w:val="0"/>
              <w:spacing w:line="300" w:lineRule="auto"/>
              <w:rPr>
                <w:rFonts w:ascii="Times New Roman" w:hAnsi="Times New Roman" w:cs="Times New Roman"/>
                <w:sz w:val="18"/>
                <w:szCs w:val="18"/>
              </w:rPr>
            </w:pPr>
            <w:r>
              <w:rPr>
                <w:rFonts w:hint="eastAsia" w:ascii="Times New Roman" w:hAnsi="Times New Roman" w:cs="Times New Roman"/>
                <w:sz w:val="18"/>
                <w:szCs w:val="18"/>
              </w:rPr>
              <w:t>9.2</w:t>
            </w:r>
            <w:r>
              <w:rPr>
                <w:rFonts w:ascii="Times New Roman" w:hAnsi="Times New Roman" w:cs="Times New Roman"/>
                <w:sz w:val="18"/>
                <w:szCs w:val="18"/>
              </w:rPr>
              <w:t>能够在多学科备选下的团队中胜任团队负责人或成员角色，具有团队合作意识和精神。</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8" w:type="pct"/>
            <w:vAlign w:val="center"/>
          </w:tcPr>
          <w:p>
            <w:pPr>
              <w:snapToGrid w:val="0"/>
              <w:spacing w:line="300" w:lineRule="auto"/>
              <w:rPr>
                <w:rFonts w:ascii="Times New Roman" w:hAnsi="Times New Roman" w:eastAsia="宋体" w:cs="Times New Roman"/>
                <w:sz w:val="18"/>
                <w:szCs w:val="18"/>
              </w:rPr>
            </w:pPr>
            <w:r>
              <w:rPr>
                <w:rFonts w:ascii="Times New Roman" w:hAnsi="Times New Roman" w:cs="Times New Roman"/>
                <w:sz w:val="18"/>
                <w:szCs w:val="18"/>
              </w:rPr>
              <w:t>12．终身学习</w:t>
            </w:r>
          </w:p>
        </w:tc>
        <w:tc>
          <w:tcPr>
            <w:tcW w:w="3360" w:type="pct"/>
            <w:vAlign w:val="center"/>
          </w:tcPr>
          <w:p>
            <w:pPr>
              <w:snapToGrid w:val="0"/>
              <w:spacing w:line="300" w:lineRule="auto"/>
              <w:rPr>
                <w:rFonts w:ascii="Times New Roman" w:hAnsi="Times New Roman" w:eastAsia="宋体" w:cs="Times New Roman"/>
                <w:sz w:val="18"/>
                <w:szCs w:val="18"/>
              </w:rPr>
            </w:pPr>
            <w:r>
              <w:rPr>
                <w:rFonts w:ascii="Times New Roman" w:hAnsi="Times New Roman" w:cs="Times New Roman"/>
                <w:sz w:val="18"/>
                <w:szCs w:val="18"/>
              </w:rPr>
              <w:t>12</w:t>
            </w:r>
            <w:r>
              <w:rPr>
                <w:rFonts w:hint="eastAsia" w:ascii="Times New Roman" w:hAnsi="Times New Roman" w:cs="Times New Roman"/>
                <w:sz w:val="18"/>
                <w:szCs w:val="18"/>
              </w:rPr>
              <w:t>.</w:t>
            </w:r>
            <w:r>
              <w:rPr>
                <w:rFonts w:ascii="Times New Roman" w:hAnsi="Times New Roman" w:cs="Times New Roman"/>
                <w:sz w:val="18"/>
                <w:szCs w:val="18"/>
              </w:rPr>
              <w:t>2针对个人和职业发展的需求，具有不断学习、自我完善能力和可持续发展的身体素质和学习能力。</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c>
          <w:tcPr>
            <w:tcW w:w="395"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2585"/>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 推动大学生掌握基本军事理论与军事技能，增强国防观念和国家安全意识，强化爱国主义、集体主义观念，加强组织纪律性和团队合作精神</w:t>
            </w:r>
            <w:r>
              <w:rPr>
                <w:rFonts w:hint="eastAsia" w:ascii="Times New Roman" w:hAnsi="Times New Roman" w:eastAsia="宋体" w:cs="Times New Roman"/>
                <w:sz w:val="18"/>
                <w:szCs w:val="18"/>
                <w:shd w:val="clear" w:color="auto" w:fill="FEFEFF"/>
              </w:rPr>
              <w:t>，理解军事思想</w:t>
            </w:r>
            <w:r>
              <w:rPr>
                <w:rFonts w:ascii="Times New Roman" w:hAnsi="Times New Roman" w:eastAsia="宋体" w:cs="Times New Roman"/>
                <w:sz w:val="18"/>
                <w:szCs w:val="18"/>
                <w:shd w:val="clear" w:color="auto" w:fill="FEFEFF"/>
              </w:rPr>
              <w:t>对社会、健康、安全、法律以及文化的影响，勇于承担</w:t>
            </w:r>
            <w:r>
              <w:rPr>
                <w:rFonts w:hint="eastAsia" w:ascii="Times New Roman" w:hAnsi="Times New Roman" w:eastAsia="宋体" w:cs="Times New Roman"/>
                <w:sz w:val="18"/>
                <w:szCs w:val="18"/>
                <w:shd w:val="clear" w:color="auto" w:fill="FEFEFF"/>
              </w:rPr>
              <w:t>社会</w:t>
            </w:r>
            <w:r>
              <w:rPr>
                <w:rFonts w:ascii="Times New Roman" w:hAnsi="Times New Roman" w:eastAsia="宋体" w:cs="Times New Roman"/>
                <w:sz w:val="18"/>
                <w:szCs w:val="18"/>
                <w:shd w:val="clear" w:color="auto" w:fill="FEFEFF"/>
              </w:rPr>
              <w:t>责任</w:t>
            </w:r>
            <w:r>
              <w:rPr>
                <w:rFonts w:hint="eastAsia" w:ascii="Times New Roman" w:hAnsi="Times New Roman" w:eastAsia="宋体" w:cs="Times New Roman"/>
                <w:sz w:val="18"/>
                <w:szCs w:val="18"/>
                <w:shd w:val="clear" w:color="auto" w:fill="FEFEFF"/>
              </w:rPr>
              <w:t>。</w:t>
            </w:r>
          </w:p>
        </w:tc>
        <w:tc>
          <w:tcPr>
            <w:tcW w:w="25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以课堂讲授为主，采用多媒体现代化辅助教学手段，授课过程采取讨论式和启发式教学。</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课堂讨论和出勤、理论考核。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numPr>
                <w:ilvl w:val="0"/>
                <w:numId w:val="100"/>
              </w:numPr>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提高大学生</w:t>
            </w:r>
            <w:r>
              <w:rPr>
                <w:rFonts w:ascii="Times New Roman" w:hAnsi="Times New Roman" w:eastAsia="宋体" w:cs="Times New Roman"/>
                <w:sz w:val="18"/>
                <w:szCs w:val="18"/>
                <w:shd w:val="clear" w:color="auto" w:fill="FEFEFF"/>
              </w:rPr>
              <w:t>自觉遵守职业道德和规范</w:t>
            </w:r>
            <w:r>
              <w:rPr>
                <w:rFonts w:hint="eastAsia" w:ascii="Times New Roman" w:hAnsi="Times New Roman" w:eastAsia="宋体" w:cs="Times New Roman"/>
                <w:sz w:val="18"/>
                <w:szCs w:val="18"/>
                <w:shd w:val="clear" w:color="auto" w:fill="FEFEFF"/>
              </w:rPr>
              <w:t>、</w:t>
            </w:r>
            <w:r>
              <w:rPr>
                <w:rFonts w:ascii="Times New Roman" w:hAnsi="Times New Roman" w:eastAsia="宋体" w:cs="Times New Roman"/>
                <w:sz w:val="18"/>
                <w:szCs w:val="18"/>
                <w:shd w:val="clear" w:color="auto" w:fill="FEFEFF"/>
              </w:rPr>
              <w:t>履行责任</w:t>
            </w:r>
            <w:r>
              <w:rPr>
                <w:rFonts w:hint="eastAsia" w:ascii="Times New Roman" w:hAnsi="Times New Roman" w:eastAsia="宋体" w:cs="Times New Roman"/>
                <w:sz w:val="18"/>
                <w:szCs w:val="18"/>
                <w:shd w:val="clear" w:color="auto" w:fill="FEFEFF"/>
              </w:rPr>
              <w:t>的意识</w:t>
            </w:r>
            <w:r>
              <w:rPr>
                <w:rFonts w:ascii="Times New Roman" w:hAnsi="Times New Roman" w:eastAsia="宋体" w:cs="Times New Roman"/>
                <w:sz w:val="18"/>
                <w:szCs w:val="18"/>
                <w:shd w:val="clear" w:color="auto" w:fill="FEFEFF"/>
              </w:rPr>
              <w:t>，</w:t>
            </w:r>
            <w:r>
              <w:rPr>
                <w:rFonts w:hint="eastAsia" w:ascii="Times New Roman" w:hAnsi="Times New Roman" w:eastAsia="宋体" w:cs="Times New Roman"/>
                <w:sz w:val="18"/>
                <w:szCs w:val="18"/>
                <w:shd w:val="clear" w:color="auto" w:fill="FEFEFF"/>
              </w:rPr>
              <w:t>强化学生成为中国特色社会主义事业建设者的使命感与自豪感</w:t>
            </w:r>
            <w:r>
              <w:rPr>
                <w:rFonts w:ascii="Times New Roman" w:hAnsi="Times New Roman" w:eastAsia="宋体" w:cs="Times New Roman"/>
                <w:sz w:val="18"/>
                <w:szCs w:val="18"/>
                <w:shd w:val="clear" w:color="auto" w:fill="FEFEFF"/>
              </w:rPr>
              <w:t>。</w:t>
            </w:r>
          </w:p>
        </w:tc>
        <w:tc>
          <w:tcPr>
            <w:tcW w:w="25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以课堂讲授为主，采用多媒体现代化辅助教学手段，授课过程采取讨论式和启发式教学。</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课堂讨论和出勤、理论考核。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numPr>
                <w:ilvl w:val="0"/>
                <w:numId w:val="100"/>
              </w:numPr>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强化爱国主义、集体主义观念，加强组织纪律性和团队合作精神，</w:t>
            </w:r>
            <w:r>
              <w:rPr>
                <w:rFonts w:hint="eastAsia" w:ascii="Times New Roman" w:hAnsi="Times New Roman" w:eastAsia="宋体" w:cs="Times New Roman"/>
                <w:sz w:val="18"/>
                <w:szCs w:val="18"/>
                <w:shd w:val="clear" w:color="auto" w:fill="FEFEFF"/>
              </w:rPr>
              <w:t>培养学生的</w:t>
            </w:r>
            <w:r>
              <w:rPr>
                <w:rFonts w:ascii="Times New Roman" w:hAnsi="Times New Roman" w:eastAsia="宋体" w:cs="Times New Roman"/>
                <w:sz w:val="18"/>
                <w:szCs w:val="18"/>
                <w:shd w:val="clear" w:color="auto" w:fill="FEFEFF"/>
              </w:rPr>
              <w:t>团队合作意识和精神。</w:t>
            </w:r>
          </w:p>
        </w:tc>
        <w:tc>
          <w:tcPr>
            <w:tcW w:w="25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以课堂讲授为主，采用多媒体现代化辅助教学手段，授课过程采取讨论式和启发式教学。</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课堂讨论和出勤、理论考核。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shd w:val="clear" w:color="auto" w:fill="FEFEFF"/>
              </w:rPr>
              <w:t>4</w:t>
            </w:r>
            <w:r>
              <w:rPr>
                <w:rFonts w:ascii="Times New Roman" w:hAnsi="Times New Roman" w:eastAsia="宋体" w:cs="Times New Roman"/>
                <w:sz w:val="18"/>
                <w:szCs w:val="18"/>
                <w:shd w:val="clear" w:color="auto" w:fill="FEFEFF"/>
              </w:rPr>
              <w:t>. 培养学生自我完善能力和提高身体素质和不断学习能力。</w:t>
            </w:r>
          </w:p>
        </w:tc>
        <w:tc>
          <w:tcPr>
            <w:tcW w:w="25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以课堂讲授为主，采用多媒体现代化辅助教学手段，授课过程采取讨论式和启发式教学。</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课堂讨论和出勤、理论考核。</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632"/>
        <w:gridCol w:w="4696"/>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1632" w:type="dxa"/>
            <w:vAlign w:val="center"/>
          </w:tcPr>
          <w:p>
            <w:pPr>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696" w:type="dxa"/>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中国国防</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了解我国国防历史和国防建设的现状及发展趋势，熟悉国防法规和国防政策的基本内容，明确我军的性质、任务和军队建设指导思想，掌握国防建设和国防动员的主要内容，增强依法建设国防的观念。</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军事思想</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了解军事思想的形成与发展过程，熟悉我国现代军事思想的主要内容、地位作用及科学含义，树立科学的战争观和方法论。</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国际战略环境与国际战略格局</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了解国际战略格局的现状、特点和发展趋势，正确认识我国的周边环境现状和安全策略，增强国家安全意识。</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中国周边安全环境</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了解中国地缘环境的基本情况，理解中国周边安全存在的主要问题，掌握正确分析中国周边安全环境。</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军事高技术</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了解军事高技术的内涵、分类、发展趋势及对现代战争的影响，熟悉高技术在军事上的应用范围，掌握高技术与新军事变革的关系，激发学习科学技术的热情。</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9" w:type="dxa"/>
            <w:tcMar>
              <w:left w:w="57" w:type="dxa"/>
              <w:right w:w="57" w:type="dxa"/>
            </w:tcMar>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632"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信息化战争</w:t>
            </w:r>
          </w:p>
        </w:tc>
        <w:tc>
          <w:tcPr>
            <w:tcW w:w="4696"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了解信息化战争的形成、发展趋势和与国防建设的关系，熟悉信息化战争的特征，树立打赢信息化战争的信心。</w:t>
            </w:r>
          </w:p>
        </w:tc>
        <w:tc>
          <w:tcPr>
            <w:tcW w:w="734"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，3，4</w:t>
            </w:r>
          </w:p>
        </w:tc>
      </w:tr>
    </w:tbl>
    <w:p>
      <w:pPr>
        <w:adjustRightInd w:val="0"/>
        <w:snapToGrid w:val="0"/>
        <w:spacing w:before="156" w:beforeLines="50" w:line="300" w:lineRule="auto"/>
        <w:ind w:firstLine="420" w:firstLineChars="200"/>
        <w:rPr>
          <w:rFonts w:ascii="Times New Roman" w:hAnsi="Times New Roman" w:eastAsia="宋体" w:cs="Times New Roman"/>
        </w:rPr>
      </w:pPr>
      <w:r>
        <w:rPr>
          <w:rFonts w:ascii="Times New Roman" w:hAnsi="Times New Roman" w:eastAsia="宋体" w:cs="Times New Roman"/>
        </w:rPr>
        <w:t>实践内容见表4所示。</w:t>
      </w:r>
    </w:p>
    <w:p>
      <w:pPr>
        <w:adjustRightInd w:val="0"/>
        <w:snapToGrid w:val="0"/>
        <w:spacing w:before="156" w:beforeLines="50" w:line="300" w:lineRule="auto"/>
        <w:jc w:val="center"/>
        <w:rPr>
          <w:rFonts w:ascii="Times New Roman" w:hAnsi="Times New Roman" w:eastAsia="宋体" w:cs="Times New Roman"/>
          <w:b/>
          <w:bCs/>
          <w:sz w:val="18"/>
          <w:szCs w:val="18"/>
        </w:rPr>
      </w:pPr>
    </w:p>
    <w:p>
      <w:pPr>
        <w:adjustRightInd w:val="0"/>
        <w:snapToGrid w:val="0"/>
        <w:spacing w:before="156" w:beforeLines="50" w:line="300" w:lineRule="auto"/>
        <w:jc w:val="center"/>
        <w:rPr>
          <w:rFonts w:ascii="Times New Roman" w:hAnsi="Times New Roman" w:eastAsia="宋体" w:cs="Times New Roman"/>
          <w:b/>
          <w:bCs/>
          <w:sz w:val="18"/>
          <w:szCs w:val="18"/>
        </w:rPr>
      </w:pP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 实践安排表</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60"/>
        <w:gridCol w:w="2255"/>
        <w:gridCol w:w="752"/>
        <w:gridCol w:w="752"/>
        <w:gridCol w:w="752"/>
        <w:gridCol w:w="75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706" w:type="dxa"/>
            <w:vAlign w:val="center"/>
          </w:tcPr>
          <w:p>
            <w:pPr>
              <w:adjustRightInd w:val="0"/>
              <w:snapToGrid w:val="0"/>
              <w:spacing w:line="300" w:lineRule="auto"/>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序号</w:t>
            </w:r>
          </w:p>
        </w:tc>
        <w:tc>
          <w:tcPr>
            <w:tcW w:w="196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实践项目名称</w:t>
            </w:r>
          </w:p>
        </w:tc>
        <w:tc>
          <w:tcPr>
            <w:tcW w:w="225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目的要求</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学时</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kern w:val="0"/>
                <w:sz w:val="18"/>
                <w:szCs w:val="18"/>
              </w:rPr>
              <w:t>分配</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实践</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类型</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每组</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人数</w:t>
            </w:r>
          </w:p>
        </w:tc>
        <w:tc>
          <w:tcPr>
            <w:tcW w:w="752" w:type="dxa"/>
            <w:vAlign w:val="center"/>
          </w:tcPr>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必开</w:t>
            </w:r>
          </w:p>
          <w:p>
            <w:pPr>
              <w:adjustRightInd w:val="0"/>
              <w:snapToGrid w:val="0"/>
              <w:spacing w:line="30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选开</w:t>
            </w:r>
          </w:p>
        </w:tc>
        <w:tc>
          <w:tcPr>
            <w:tcW w:w="752" w:type="dxa"/>
            <w:vAlign w:val="center"/>
          </w:tcPr>
          <w:p>
            <w:pPr>
              <w:adjustRightInd w:val="0"/>
              <w:snapToGrid w:val="0"/>
              <w:spacing w:line="300" w:lineRule="auto"/>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课程</w:t>
            </w:r>
          </w:p>
          <w:p>
            <w:pPr>
              <w:adjustRightInd w:val="0"/>
              <w:snapToGrid w:val="0"/>
              <w:spacing w:line="300" w:lineRule="auto"/>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960"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参观军事馆</w:t>
            </w:r>
          </w:p>
        </w:tc>
        <w:tc>
          <w:tcPr>
            <w:tcW w:w="2255" w:type="dxa"/>
            <w:vAlign w:val="center"/>
          </w:tcPr>
          <w:p>
            <w:pPr>
              <w:adjustRightInd w:val="0"/>
              <w:snapToGrid w:val="0"/>
              <w:spacing w:line="300" w:lineRule="auto"/>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了解军事思想和军事技术</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验证</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52" w:type="dxa"/>
            <w:vAlign w:val="center"/>
          </w:tcPr>
          <w:p>
            <w:pPr>
              <w:adjustRightInd w:val="0"/>
              <w:snapToGrid w:val="0"/>
              <w:spacing w:line="30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必开</w:t>
            </w:r>
          </w:p>
        </w:tc>
        <w:tc>
          <w:tcPr>
            <w:tcW w:w="7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，3，4</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1．考核方式：开卷考试。</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2．成绩构成：平时成绩和期末成绩组成，课堂平时表现占30%，期末考试70%。</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3．考核评价标准见表5所示。</w:t>
      </w:r>
    </w:p>
    <w:p>
      <w:pPr>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7"/>
        <w:gridCol w:w="657"/>
        <w:gridCol w:w="639"/>
        <w:gridCol w:w="726"/>
        <w:gridCol w:w="3354"/>
        <w:gridCol w:w="92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7"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3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72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354"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2"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30" w:type="dxa"/>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7"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平时</w:t>
            </w:r>
          </w:p>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成绩</w:t>
            </w:r>
          </w:p>
        </w:tc>
        <w:tc>
          <w:tcPr>
            <w:tcW w:w="657"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639"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3354"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30" w:type="dxa"/>
            <w:vMerge w:val="restar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，8.2，9.2，12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7" w:type="dxa"/>
            <w:vMerge w:val="continue"/>
            <w:vAlign w:val="center"/>
          </w:tcPr>
          <w:p>
            <w:pPr>
              <w:snapToGrid w:val="0"/>
              <w:spacing w:line="300" w:lineRule="auto"/>
              <w:jc w:val="left"/>
            </w:pPr>
          </w:p>
        </w:tc>
        <w:tc>
          <w:tcPr>
            <w:tcW w:w="657" w:type="dxa"/>
            <w:vMerge w:val="continue"/>
            <w:vAlign w:val="center"/>
          </w:tcPr>
          <w:p>
            <w:pPr>
              <w:snapToGrid w:val="0"/>
              <w:spacing w:line="300" w:lineRule="auto"/>
              <w:jc w:val="left"/>
            </w:pPr>
          </w:p>
        </w:tc>
        <w:tc>
          <w:tcPr>
            <w:tcW w:w="657" w:type="dxa"/>
            <w:vMerge w:val="continue"/>
            <w:vAlign w:val="center"/>
          </w:tcPr>
          <w:p>
            <w:pPr>
              <w:snapToGrid w:val="0"/>
              <w:spacing w:line="300" w:lineRule="auto"/>
              <w:jc w:val="left"/>
            </w:pPr>
          </w:p>
        </w:tc>
        <w:tc>
          <w:tcPr>
            <w:tcW w:w="639" w:type="dxa"/>
            <w:vMerge w:val="continue"/>
            <w:vAlign w:val="center"/>
          </w:tcPr>
          <w:p>
            <w:pPr>
              <w:snapToGrid w:val="0"/>
              <w:spacing w:line="300" w:lineRule="auto"/>
              <w:jc w:val="left"/>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3354" w:type="dxa"/>
            <w:vMerge w:val="continue"/>
            <w:vAlign w:val="center"/>
          </w:tcPr>
          <w:p>
            <w:pPr>
              <w:snapToGrid w:val="0"/>
              <w:spacing w:line="300" w:lineRule="auto"/>
              <w:jc w:val="left"/>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30" w:type="dxa"/>
            <w:vMerge w:val="continue"/>
            <w:vAlign w:val="center"/>
          </w:tcPr>
          <w:p>
            <w:pPr>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snapToGrid w:val="0"/>
              <w:spacing w:line="300" w:lineRule="auto"/>
              <w:jc w:val="left"/>
              <w:rPr>
                <w:rFonts w:ascii="Times New Roman" w:hAnsi="Times New Roman" w:eastAsia="宋体" w:cs="Times New Roman"/>
                <w:sz w:val="18"/>
                <w:szCs w:val="18"/>
              </w:rPr>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354" w:type="dxa"/>
            <w:vMerge w:val="continue"/>
            <w:vAlign w:val="center"/>
          </w:tcPr>
          <w:p>
            <w:pPr>
              <w:snapToGrid w:val="0"/>
              <w:spacing w:line="300" w:lineRule="auto"/>
              <w:jc w:val="left"/>
              <w:rPr>
                <w:rFonts w:ascii="Times New Roman" w:hAnsi="Times New Roman" w:eastAsia="宋体" w:cs="Times New Roman"/>
                <w:sz w:val="18"/>
                <w:szCs w:val="18"/>
              </w:rPr>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30" w:type="dxa"/>
            <w:vMerge w:val="continue"/>
            <w:vAlign w:val="center"/>
          </w:tcPr>
          <w:p>
            <w:pPr>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57" w:type="dxa"/>
            <w:vMerge w:val="continue"/>
            <w:vAlign w:val="center"/>
          </w:tcPr>
          <w:p>
            <w:pPr>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snapToGrid w:val="0"/>
              <w:spacing w:line="300" w:lineRule="auto"/>
              <w:jc w:val="left"/>
              <w:rPr>
                <w:rFonts w:ascii="Times New Roman" w:hAnsi="Times New Roman" w:eastAsia="宋体" w:cs="Times New Roman"/>
                <w:sz w:val="18"/>
                <w:szCs w:val="18"/>
              </w:rPr>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0.05</w:t>
            </w:r>
          </w:p>
        </w:tc>
        <w:tc>
          <w:tcPr>
            <w:tcW w:w="3354" w:type="dxa"/>
            <w:vMerge w:val="continue"/>
            <w:vAlign w:val="center"/>
          </w:tcPr>
          <w:p>
            <w:pPr>
              <w:snapToGrid w:val="0"/>
              <w:spacing w:line="300" w:lineRule="auto"/>
              <w:jc w:val="left"/>
              <w:rPr>
                <w:rFonts w:ascii="Times New Roman" w:hAnsi="Times New Roman" w:eastAsia="宋体" w:cs="Times New Roman"/>
                <w:sz w:val="18"/>
                <w:szCs w:val="18"/>
              </w:rPr>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c>
          <w:tcPr>
            <w:tcW w:w="1030" w:type="dxa"/>
            <w:vMerge w:val="continue"/>
            <w:vAlign w:val="center"/>
          </w:tcPr>
          <w:p>
            <w:pPr>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57" w:type="dxa"/>
            <w:vMerge w:val="restart"/>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657"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7"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639"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开卷考试</w:t>
            </w: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w:t>
            </w:r>
          </w:p>
        </w:tc>
        <w:tc>
          <w:tcPr>
            <w:tcW w:w="3354" w:type="dxa"/>
            <w:vMerge w:val="restart"/>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卷面成绩100分。卷面成绩按比例计入课程总评成绩。</w:t>
            </w: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30" w:type="dxa"/>
            <w:vMerge w:val="restart"/>
            <w:vAlign w:val="center"/>
          </w:tcPr>
          <w:p>
            <w:pPr>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，8.2，9.2，12</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57" w:type="dxa"/>
            <w:vMerge w:val="continue"/>
            <w:vAlign w:val="center"/>
          </w:tcPr>
          <w:p>
            <w:pPr>
              <w:snapToGrid w:val="0"/>
              <w:spacing w:line="300" w:lineRule="auto"/>
              <w:jc w:val="center"/>
            </w:pPr>
          </w:p>
        </w:tc>
        <w:tc>
          <w:tcPr>
            <w:tcW w:w="657" w:type="dxa"/>
            <w:vMerge w:val="continue"/>
            <w:vAlign w:val="center"/>
          </w:tcPr>
          <w:p>
            <w:pPr>
              <w:snapToGrid w:val="0"/>
              <w:spacing w:line="300" w:lineRule="auto"/>
              <w:jc w:val="center"/>
            </w:pPr>
          </w:p>
        </w:tc>
        <w:tc>
          <w:tcPr>
            <w:tcW w:w="657" w:type="dxa"/>
            <w:vMerge w:val="continue"/>
            <w:vAlign w:val="center"/>
          </w:tcPr>
          <w:p>
            <w:pPr>
              <w:snapToGrid w:val="0"/>
              <w:spacing w:line="300" w:lineRule="auto"/>
              <w:jc w:val="center"/>
            </w:pPr>
          </w:p>
        </w:tc>
        <w:tc>
          <w:tcPr>
            <w:tcW w:w="639" w:type="dxa"/>
            <w:vMerge w:val="continue"/>
            <w:vAlign w:val="center"/>
          </w:tcPr>
          <w:p>
            <w:pPr>
              <w:snapToGrid w:val="0"/>
              <w:spacing w:line="300" w:lineRule="auto"/>
              <w:jc w:val="center"/>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0.3</w:t>
            </w:r>
          </w:p>
        </w:tc>
        <w:tc>
          <w:tcPr>
            <w:tcW w:w="3354" w:type="dxa"/>
            <w:vMerge w:val="continue"/>
            <w:vAlign w:val="center"/>
          </w:tcPr>
          <w:p>
            <w:pPr>
              <w:snapToGrid w:val="0"/>
              <w:spacing w:line="300" w:lineRule="auto"/>
              <w:jc w:val="center"/>
              <w:rPr>
                <w:rFonts w:ascii="Times New Roman" w:hAnsi="Times New Roman" w:eastAsia="宋体" w:cs="Times New Roman"/>
                <w:sz w:val="18"/>
                <w:szCs w:val="18"/>
              </w:rPr>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30" w:type="dxa"/>
            <w:vMerge w:val="continue"/>
            <w:vAlign w:val="center"/>
          </w:tcPr>
          <w:p>
            <w:pPr>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39"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0.15</w:t>
            </w:r>
          </w:p>
        </w:tc>
        <w:tc>
          <w:tcPr>
            <w:tcW w:w="3354" w:type="dxa"/>
            <w:vMerge w:val="continue"/>
            <w:vAlign w:val="center"/>
          </w:tcPr>
          <w:p>
            <w:pPr>
              <w:snapToGrid w:val="0"/>
              <w:spacing w:line="300" w:lineRule="auto"/>
              <w:jc w:val="center"/>
              <w:rPr>
                <w:rFonts w:ascii="Times New Roman" w:hAnsi="Times New Roman" w:eastAsia="宋体" w:cs="Times New Roman"/>
                <w:sz w:val="18"/>
                <w:szCs w:val="18"/>
              </w:rPr>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30" w:type="dxa"/>
            <w:vMerge w:val="continue"/>
            <w:vAlign w:val="center"/>
          </w:tcPr>
          <w:p>
            <w:pPr>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7"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39" w:type="dxa"/>
            <w:vMerge w:val="continue"/>
            <w:vAlign w:val="center"/>
          </w:tcPr>
          <w:p>
            <w:pPr>
              <w:snapToGrid w:val="0"/>
              <w:spacing w:line="300" w:lineRule="auto"/>
              <w:jc w:val="center"/>
              <w:rPr>
                <w:rFonts w:ascii="Times New Roman" w:hAnsi="Times New Roman" w:eastAsia="宋体" w:cs="Times New Roman"/>
                <w:sz w:val="18"/>
                <w:szCs w:val="18"/>
              </w:rPr>
            </w:pPr>
          </w:p>
        </w:tc>
        <w:tc>
          <w:tcPr>
            <w:tcW w:w="726"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0.15</w:t>
            </w:r>
          </w:p>
        </w:tc>
        <w:tc>
          <w:tcPr>
            <w:tcW w:w="3354" w:type="dxa"/>
            <w:vMerge w:val="continue"/>
            <w:vAlign w:val="center"/>
          </w:tcPr>
          <w:p>
            <w:pPr>
              <w:snapToGrid w:val="0"/>
              <w:spacing w:line="300" w:lineRule="auto"/>
              <w:jc w:val="center"/>
              <w:rPr>
                <w:rFonts w:ascii="Times New Roman" w:hAnsi="Times New Roman" w:eastAsia="宋体" w:cs="Times New Roman"/>
                <w:sz w:val="18"/>
                <w:szCs w:val="18"/>
              </w:rPr>
            </w:pPr>
          </w:p>
        </w:tc>
        <w:tc>
          <w:tcPr>
            <w:tcW w:w="92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c>
          <w:tcPr>
            <w:tcW w:w="1030" w:type="dxa"/>
            <w:vMerge w:val="continue"/>
            <w:vAlign w:val="center"/>
          </w:tcPr>
          <w:p>
            <w:pPr>
              <w:snapToGrid w:val="0"/>
              <w:spacing w:line="300" w:lineRule="auto"/>
              <w:jc w:val="center"/>
              <w:rPr>
                <w:rFonts w:ascii="Times New Roman" w:hAnsi="Times New Roman" w:eastAsia="宋体" w:cs="Times New Roman"/>
                <w:sz w:val="18"/>
                <w:szCs w:val="18"/>
              </w:rPr>
            </w:pP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课程目标由课程考核获得的数据进行评价，课程目标达成度为该课程目标学生的平均得分率，其计算公式为：</w:t>
      </w:r>
    </w:p>
    <w:p>
      <w:pPr>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43"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43" DrawAspect="Content" ObjectID="_1468075941" r:id="rId274">
            <o:LockedField>false</o:LockedField>
          </o:OLEObject>
        </w:object>
      </w:r>
    </w:p>
    <w:p>
      <w:pPr>
        <w:snapToGrid w:val="0"/>
        <w:spacing w:line="300" w:lineRule="auto"/>
        <w:jc w:val="left"/>
        <w:rPr>
          <w:rFonts w:ascii="Times New Roman" w:hAnsi="Times New Roman" w:eastAsia="宋体" w:cs="Times New Roman"/>
          <w:szCs w:val="21"/>
        </w:rPr>
      </w:pPr>
      <w:r>
        <w:rPr>
          <w:rFonts w:ascii="Times New Roman" w:hAnsi="Times New Roman" w:eastAsia="宋体" w:cs="Times New Roman"/>
          <w:szCs w:val="21"/>
        </w:rPr>
        <w:t>课程支撑毕业要求指标点的评价方式</w:t>
      </w:r>
    </w:p>
    <w:p>
      <w:pPr>
        <w:snapToGrid w:val="0"/>
        <w:spacing w:line="300" w:lineRule="auto"/>
        <w:ind w:firstLine="420" w:firstLineChars="200"/>
        <w:jc w:val="left"/>
        <w:rPr>
          <w:rFonts w:ascii="Times New Roman" w:hAnsi="Times New Roman" w:eastAsia="宋体" w:cs="Times New Roman"/>
          <w:bCs/>
        </w:rPr>
      </w:pPr>
      <w:r>
        <w:rPr>
          <w:rFonts w:ascii="Times New Roman" w:hAnsi="Times New Roman" w:eastAsia="宋体" w:cs="Times New Roman"/>
          <w:bCs/>
        </w:rPr>
        <w:t>课程支撑毕业要求指标点的达成度为对应的课程目标达成度的加权值，其计算公式及系数为：</w:t>
      </w:r>
    </w:p>
    <w:p>
      <w:pPr>
        <w:snapToGrid w:val="0"/>
        <w:spacing w:line="300" w:lineRule="auto"/>
        <w:jc w:val="center"/>
        <w:rPr>
          <w:rFonts w:ascii="Times New Roman" w:hAnsi="Times New Roman" w:eastAsia="宋体" w:cs="Times New Roman"/>
          <w:bCs/>
        </w:rPr>
      </w:pPr>
      <w:r>
        <w:rPr>
          <w:rFonts w:hint="eastAsia" w:ascii="Times New Roman" w:hAnsi="Times New Roman" w:eastAsia="宋体" w:cs="Times New Roman"/>
          <w:position w:val="-10"/>
        </w:rPr>
        <w:object>
          <v:shape id="_x0000_i1244"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44" DrawAspect="Content" ObjectID="_1468075942" r:id="rId275">
            <o:LockedField>false</o:LockedField>
          </o:OLEObject>
        </w:object>
      </w:r>
    </w:p>
    <w:p>
      <w:pPr>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其中权重系数按照表6设定。</w:t>
      </w:r>
    </w:p>
    <w:p>
      <w:pPr>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表6课程目标权重系数</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619"/>
        <w:gridCol w:w="1712"/>
        <w:gridCol w:w="1714"/>
        <w:gridCol w:w="171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955" w:type="pct"/>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10" w:type="pc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955" w:type="pct"/>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010" w:type="pc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20</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4</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0.20</w:t>
            </w:r>
          </w:p>
        </w:tc>
        <w:tc>
          <w:tcPr>
            <w:tcW w:w="1011" w:type="pct"/>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0.20</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45"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45" DrawAspect="Content" ObjectID="_1468075943" r:id="rId276">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2" w:firstLineChars="200"/>
        <w:rPr>
          <w:rFonts w:ascii="Times New Roman" w:hAnsi="Times New Roman" w:eastAsia="宋体" w:cs="Times New Roman"/>
          <w:b/>
        </w:rPr>
      </w:pPr>
      <w:r>
        <w:rPr>
          <w:rFonts w:ascii="Times New Roman" w:hAnsi="Times New Roman" w:eastAsia="宋体" w:cs="Times New Roman"/>
          <w:b/>
        </w:rPr>
        <w:t>本课程选用教材：</w:t>
      </w:r>
    </w:p>
    <w:p>
      <w:pPr>
        <w:snapToGrid w:val="0"/>
        <w:spacing w:line="300" w:lineRule="auto"/>
        <w:ind w:firstLine="420" w:firstLineChars="200"/>
        <w:rPr>
          <w:rFonts w:ascii="Times New Roman" w:hAnsi="Times New Roman" w:eastAsia="宋体" w:cs="Times New Roman"/>
          <w:b/>
          <w:szCs w:val="21"/>
        </w:rPr>
      </w:pPr>
      <w:r>
        <w:rPr>
          <w:rFonts w:ascii="Times New Roman" w:hAnsi="Times New Roman" w:eastAsia="宋体" w:cs="Times New Roman"/>
          <w:szCs w:val="21"/>
        </w:rPr>
        <w:t>[1] 张正明.军事理论教程[M].西安:西安交通大学出版社,2011。</w:t>
      </w:r>
    </w:p>
    <w:p>
      <w:pPr>
        <w:snapToGrid w:val="0"/>
        <w:spacing w:line="300" w:lineRule="auto"/>
        <w:ind w:firstLine="422" w:firstLineChars="200"/>
        <w:rPr>
          <w:rFonts w:ascii="Times New Roman" w:hAnsi="Times New Roman" w:eastAsia="宋体" w:cs="Times New Roman"/>
          <w:b/>
        </w:rPr>
      </w:pPr>
      <w:r>
        <w:rPr>
          <w:rFonts w:ascii="Times New Roman" w:hAnsi="Times New Roman" w:eastAsia="宋体" w:cs="Times New Roman"/>
          <w:b/>
        </w:rPr>
        <w:t>本课程推荐参考书：</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郝翔.国防教育概论[M].北京:高等教育出版社,2002.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杨建军.国防教育[M].北京:机械工业出版社,2002.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吴温暖,匡壁民.军事理论教程[M].北京:高等教育出版社,2002.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雷激.国防教育教程[M].重庆:西南师范大学出版社社,1997.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中华人民共和国兵役法.1984.</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中华人民共和国国防法.1997.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中华人民共和国国防教育法.2001.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武登春.军事理论教程[M].北京:北京航空航天大学出版社,2000.</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《国防知识教程》：吴亚菲,吴亚男，解放军出版社 1999.</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军事科学院.孙子兵法新注[M].北京:中华书局,1977.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袁德金.毛泽东军事思想教程[M].北京:军事科学出版社,2000.</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滕纯主.邓小平军事思想研究[M].沈阳：辽宁人民出版社，1992.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温宗仁.“三个代表”思想与新世纪军队建设[M].北京:军事科学出版社,2001.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《2002版战略评估》：罗源，军事科学出版社2002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罗援.2002版战略评估[M].北京:军事科学出版社,2002.</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王湘江.军事军事年鉴[M].北京:解放军出版社,2001.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中国科学院外国军事研究部.俄联邦军事基本情况[M].北京：军事科学出版社，1997.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中国科学院外国军事研究部.美国军事基本情况[M].北京：军事科学出版社，1997.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中国科学院外国军事研究部.日本军事基本情况[M].北京：军事科学出版社，1997.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军事科学院世界军事研究部.美国军事基本情况[M].北京：军事科学出版社，2005.</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军事科学院世界军事研究部.俄罗斯军事基本情况[M].北京：军事科学出版社，2005.</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《军事科技与新军事变革》：顾伟 复旦大学出版社 2004.</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《现代军事技术知识手册》：许忠敬  军事科学出版社 1995.</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《跨越——从机械化战争走向信息化战争》：徐根初 军事科学出版社 2004.</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《军事科技与新军事变革》：顾伟 复旦大学出版社 2004.</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总参军训部. 军事高技术知识教材[M]. 北京：解放军出版社，1995.</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张莉，吕一兵. 无敌闪电——激光武器[M]. 北京：解放军出版社，2001.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邹丕盛，宋家启. 高技术武器装备图库[M]. 北京：海潮出版社，1999.</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谭凯家，余同杰. 空天精尖武器[M]. 北京：西苑出版社，2001.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贾俊明，李力刚. 太空武器与战争[M]. 北京：国防工业出版社，1997.</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钟华，李自力. 隐身技术[M]. 北京：国防工业出版社，1999.</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任振杰，等. 通信技术自动化[M]. 北京：军事谊文出版社，2001.</w:t>
      </w:r>
    </w:p>
    <w:p>
      <w:pPr>
        <w:numPr>
          <w:ilvl w:val="0"/>
          <w:numId w:val="101"/>
        </w:numPr>
        <w:snapToGrid w:val="0"/>
        <w:spacing w:line="300" w:lineRule="auto"/>
        <w:rPr>
          <w:rFonts w:ascii="Times New Roman" w:hAnsi="Times New Roman" w:eastAsia="宋体" w:cs="Times New Roman"/>
          <w:szCs w:val="21"/>
        </w:rPr>
      </w:pPr>
      <w:r>
        <w:rPr>
          <w:rFonts w:ascii="Times New Roman" w:hAnsi="Times New Roman" w:eastAsia="宋体" w:cs="Times New Roman"/>
          <w:szCs w:val="21"/>
        </w:rPr>
        <w:t>《现代军事》，《中国航天》等期刊.</w:t>
      </w:r>
    </w:p>
    <w:tbl>
      <w:tblPr>
        <w:tblStyle w:val="22"/>
        <w:tblpPr w:leftFromText="180" w:rightFromText="180" w:vertAnchor="text" w:horzAnchor="page" w:tblpX="1837" w:tblpY="195"/>
        <w:tblOverlap w:val="never"/>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shd w:val="clear" w:color="auto" w:fill="auto"/>
          </w:tcPr>
          <w:p>
            <w:pPr>
              <w:snapToGrid w:val="0"/>
              <w:spacing w:line="300" w:lineRule="auto"/>
              <w:ind w:right="630" w:firstLine="404" w:firstLineChars="202"/>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shd w:val="clear" w:color="auto" w:fill="auto"/>
          </w:tcPr>
          <w:p>
            <w:pPr>
              <w:snapToGrid w:val="0"/>
              <w:spacing w:line="300" w:lineRule="auto"/>
              <w:ind w:right="42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r>
              <w:rPr>
                <w:rFonts w:ascii="Times New Roman" w:hAnsi="Times New Roman" w:eastAsia="宋体" w:cs="Times New Roman"/>
                <w:kern w:val="0"/>
                <w:sz w:val="20"/>
                <w:szCs w:val="21"/>
              </w:rPr>
              <w:t>日 期：202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shd w:val="clear" w:color="auto" w:fill="auto"/>
          </w:tcPr>
          <w:p>
            <w:pPr>
              <w:snapToGrid w:val="0"/>
              <w:spacing w:line="300" w:lineRule="auto"/>
              <w:ind w:right="200"/>
              <w:jc w:val="right"/>
              <w:rPr>
                <w:rFonts w:ascii="Times New Roman" w:hAnsi="Times New Roman" w:eastAsia="宋体" w:cs="Times New Roman"/>
                <w:kern w:val="0"/>
                <w:sz w:val="20"/>
                <w:szCs w:val="21"/>
              </w:rPr>
            </w:pPr>
          </w:p>
        </w:tc>
      </w:tr>
    </w:tbl>
    <w:p>
      <w:pPr>
        <w:snapToGrid w:val="0"/>
        <w:spacing w:line="300" w:lineRule="auto"/>
        <w:ind w:firstLine="420" w:firstLineChars="200"/>
        <w:rPr>
          <w:rFonts w:ascii="Times New Roman" w:hAnsi="Times New Roman" w:eastAsia="宋体" w:cs="Times New Roman"/>
          <w:szCs w:val="21"/>
        </w:rPr>
      </w:pPr>
    </w:p>
    <w:p>
      <w:pPr>
        <w:snapToGrid w:val="0"/>
        <w:spacing w:line="300" w:lineRule="auto"/>
        <w:ind w:firstLine="420" w:firstLineChars="200"/>
        <w:rPr>
          <w:rFonts w:ascii="Times New Roman" w:hAnsi="Times New Roman" w:eastAsia="宋体" w:cs="Times New Roman"/>
          <w:szCs w:val="21"/>
        </w:rPr>
      </w:pPr>
    </w:p>
    <w:p>
      <w:pPr>
        <w:widowControl/>
        <w:jc w:val="left"/>
        <w:rPr>
          <w:rFonts w:ascii="Times New Roman" w:hAnsi="Times New Roman" w:eastAsia="宋体" w:cs="Times New Roman"/>
          <w:b/>
          <w:sz w:val="32"/>
        </w:rPr>
      </w:pPr>
      <w:bookmarkStart w:id="369" w:name="_Toc46489630"/>
      <w:bookmarkStart w:id="370" w:name="_Toc47774680"/>
      <w:bookmarkStart w:id="371" w:name="_Toc47718751"/>
      <w:bookmarkStart w:id="372" w:name="_Toc38126084"/>
      <w:bookmarkStart w:id="373" w:name="_Toc47719723"/>
      <w:r>
        <w:rPr>
          <w:rFonts w:ascii="Times New Roman" w:hAnsi="Times New Roman" w:eastAsia="宋体" w:cs="Times New Roman"/>
        </w:rPr>
        <w:br w:type="page"/>
      </w:r>
    </w:p>
    <w:p>
      <w:pPr>
        <w:pStyle w:val="3"/>
        <w:jc w:val="center"/>
        <w:rPr>
          <w:rFonts w:ascii="Times New Roman" w:hAnsi="Times New Roman" w:eastAsia="宋体" w:cs="Times New Roman"/>
        </w:rPr>
      </w:pPr>
      <w:bookmarkStart w:id="374" w:name="_Toc3126"/>
      <w:bookmarkStart w:id="375" w:name="_Toc24907"/>
      <w:r>
        <w:rPr>
          <w:rFonts w:ascii="Times New Roman" w:hAnsi="Times New Roman" w:eastAsia="宋体" w:cs="Times New Roman"/>
        </w:rPr>
        <w:t>56011107《青年学生健康教育》课程教学大纲</w:t>
      </w:r>
      <w:bookmarkEnd w:id="369"/>
      <w:bookmarkEnd w:id="370"/>
      <w:bookmarkEnd w:id="371"/>
      <w:bookmarkEnd w:id="372"/>
      <w:bookmarkEnd w:id="373"/>
      <w:bookmarkEnd w:id="374"/>
      <w:bookmarkEnd w:id="375"/>
    </w:p>
    <w:tbl>
      <w:tblPr>
        <w:tblStyle w:val="64"/>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3441" w:type="dxa"/>
            <w:vAlign w:val="center"/>
          </w:tcPr>
          <w:p>
            <w:pPr>
              <w:jc w:val="center"/>
              <w:rPr>
                <w:rFonts w:ascii="Times New Roman" w:hAnsi="Times New Roman" w:cs="Times New Roman"/>
                <w:szCs w:val="21"/>
              </w:rPr>
            </w:pPr>
            <w:r>
              <w:rPr>
                <w:rFonts w:ascii="Times New Roman" w:hAnsi="Times New Roman" w:cs="Times New Roman"/>
                <w:szCs w:val="21"/>
              </w:rPr>
              <w:t>56011107</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2695" w:type="dxa"/>
            <w:vAlign w:val="center"/>
          </w:tcPr>
          <w:p>
            <w:pPr>
              <w:jc w:val="center"/>
              <w:rPr>
                <w:rFonts w:ascii="Times New Roman" w:hAnsi="Times New Roman" w:cs="Times New Roman"/>
                <w:szCs w:val="21"/>
              </w:rPr>
            </w:pPr>
            <w:r>
              <w:rPr>
                <w:rFonts w:ascii="Times New Roman" w:hAnsi="Times New Roman" w:cs="Times New Roman"/>
                <w:szCs w:val="21"/>
              </w:rPr>
              <w:t>青年学生健康教育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3441"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2695" w:type="dxa"/>
            <w:vAlign w:val="center"/>
          </w:tcPr>
          <w:p>
            <w:pPr>
              <w:jc w:val="center"/>
              <w:rPr>
                <w:rFonts w:ascii="Times New Roman" w:hAnsi="Times New Roman" w:cs="Times New Roman"/>
                <w:bCs/>
                <w:szCs w:val="21"/>
              </w:rPr>
            </w:pPr>
            <w:r>
              <w:rPr>
                <w:rFonts w:ascii="Times New Roman" w:hAnsi="Times New Roman" w:cs="Times New Roman"/>
                <w:szCs w:val="21"/>
              </w:rPr>
              <w:t>The Health Education of the Youth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3441" w:type="dxa"/>
            <w:vAlign w:val="center"/>
          </w:tcPr>
          <w:p>
            <w:pPr>
              <w:jc w:val="center"/>
              <w:rPr>
                <w:rFonts w:ascii="Times New Roman" w:hAnsi="Times New Roman" w:cs="Times New Roman"/>
                <w:szCs w:val="21"/>
              </w:rPr>
            </w:pPr>
            <w:r>
              <w:rPr>
                <w:rFonts w:ascii="Times New Roman" w:hAnsi="Times New Roman" w:cs="Times New Roman"/>
                <w:bCs/>
                <w:szCs w:val="21"/>
              </w:rPr>
              <w:t>0.5</w:t>
            </w:r>
            <w:r>
              <w:rPr>
                <w:rFonts w:ascii="Times New Roman" w:hAnsi="Times New Roman" w:cs="Times New Roman"/>
                <w:szCs w:val="21"/>
              </w:rPr>
              <w:t xml:space="preserve"> : 8（0）</w:t>
            </w:r>
          </w:p>
        </w:tc>
        <w:tc>
          <w:tcPr>
            <w:tcW w:w="1198"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2695" w:type="dxa"/>
            <w:vAlign w:val="center"/>
          </w:tcPr>
          <w:p>
            <w:pPr>
              <w:jc w:val="center"/>
              <w:rPr>
                <w:rFonts w:ascii="Times New Roman" w:hAnsi="Times New Roman" w:cs="Times New Roman"/>
                <w:szCs w:val="21"/>
              </w:rPr>
            </w:pPr>
            <w:r>
              <w:rPr>
                <w:rFonts w:ascii="Times New Roman" w:hAnsi="Times New Roman" w:cs="Times New Roman"/>
                <w:szCs w:val="21"/>
              </w:rPr>
              <w:t>健康教育教研室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ascii="Times New Roman" w:hAnsi="Times New Roman" w:cs="Times New Roman"/>
                <w:bCs/>
                <w:szCs w:val="21"/>
              </w:rPr>
            </w:pPr>
            <w:r>
              <w:rPr>
                <w:rFonts w:ascii="Times New Roman" w:hAnsi="Times New Roman" w:cs="Times New Roman"/>
                <w:bCs/>
                <w:szCs w:val="21"/>
              </w:rPr>
              <w:t>企业专家</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曾耿滨</w:t>
            </w:r>
          </w:p>
        </w:tc>
        <w:tc>
          <w:tcPr>
            <w:tcW w:w="1198" w:type="dxa"/>
            <w:vAlign w:val="center"/>
          </w:tcPr>
          <w:p>
            <w:pPr>
              <w:jc w:val="center"/>
              <w:rPr>
                <w:rFonts w:ascii="Times New Roman" w:hAnsi="Times New Roman" w:cs="Times New Roman"/>
                <w:bCs/>
                <w:szCs w:val="21"/>
              </w:rPr>
            </w:pPr>
            <w:r>
              <w:rPr>
                <w:rFonts w:ascii="Times New Roman" w:hAnsi="Times New Roman" w:cs="Times New Roman"/>
                <w:bCs/>
                <w:szCs w:val="21"/>
              </w:rPr>
              <w:t>行业专家</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覃艳华</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电子信息工程</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3441"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无</w:t>
            </w:r>
          </w:p>
        </w:tc>
        <w:tc>
          <w:tcPr>
            <w:tcW w:w="1198" w:type="dxa"/>
            <w:vAlign w:val="center"/>
          </w:tcPr>
          <w:p>
            <w:pPr>
              <w:snapToGrid w:val="0"/>
              <w:spacing w:line="300" w:lineRule="auto"/>
              <w:jc w:val="center"/>
              <w:rPr>
                <w:rFonts w:ascii="Times New Roman" w:hAnsi="Times New Roman" w:cs="Times New Roman"/>
                <w:b/>
                <w:szCs w:val="21"/>
              </w:rPr>
            </w:pPr>
            <w:r>
              <w:rPr>
                <w:rFonts w:ascii="Times New Roman" w:hAnsi="Times New Roman" w:cs="Times New Roman"/>
                <w:szCs w:val="21"/>
              </w:rPr>
              <w:t>同修课程</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198" w:type="dxa"/>
            <w:vAlign w:val="center"/>
          </w:tcPr>
          <w:p>
            <w:pPr>
              <w:snapToGrid w:val="0"/>
              <w:spacing w:line="300" w:lineRule="auto"/>
              <w:jc w:val="center"/>
              <w:rPr>
                <w:rFonts w:ascii="Times New Roman" w:hAnsi="Times New Roman" w:cs="Times New Roman"/>
                <w:szCs w:val="21"/>
              </w:rPr>
            </w:pPr>
            <w:r>
              <w:rPr>
                <w:rFonts w:ascii="Times New Roman" w:hAnsi="Times New Roman" w:cs="Times New Roman"/>
                <w:szCs w:val="21"/>
              </w:rPr>
              <w:t>定稿日期</w:t>
            </w:r>
          </w:p>
        </w:tc>
        <w:tc>
          <w:tcPr>
            <w:tcW w:w="2695"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snapToGrid w:val="0"/>
        <w:spacing w:before="156" w:beforeLines="50" w:after="156" w:afterLines="50" w:line="300" w:lineRule="auto"/>
        <w:rPr>
          <w:b/>
          <w:sz w:val="24"/>
        </w:rPr>
      </w:pPr>
      <w:r>
        <w:rPr>
          <w:b/>
          <w:sz w:val="24"/>
        </w:rPr>
        <w:t>一、课程简介</w:t>
      </w:r>
    </w:p>
    <w:p>
      <w:pPr>
        <w:snapToGrid w:val="0"/>
        <w:spacing w:line="300" w:lineRule="auto"/>
        <w:ind w:firstLine="420" w:firstLineChars="200"/>
        <w:rPr>
          <w:szCs w:val="21"/>
        </w:rPr>
      </w:pPr>
      <w:r>
        <w:rPr>
          <w:szCs w:val="21"/>
        </w:rPr>
        <w:t>根据《普通高等学校健康教育指导纲要》要求，《青年学生健康教育》课授课内容主要包括健康生活方式、疾病预防、心理健康、性与生殖健康、安全应急与避险五个方面，帮助学生树立健康意识，掌握维护健康的知识和技能，形成文明、健康生活方式，提高自身健康管理能力，增强维护全民健康的社会责任感，促进学生身心健康和全面发展。</w:t>
      </w:r>
    </w:p>
    <w:p>
      <w:pPr>
        <w:snapToGrid w:val="0"/>
        <w:spacing w:before="156" w:beforeLines="50" w:after="156" w:afterLines="50" w:line="300" w:lineRule="auto"/>
        <w:rPr>
          <w:b/>
          <w:sz w:val="24"/>
        </w:rPr>
      </w:pPr>
      <w:r>
        <w:rPr>
          <w:b/>
          <w:sz w:val="24"/>
        </w:rPr>
        <w:t>二、课程教学目标</w:t>
      </w:r>
    </w:p>
    <w:p>
      <w:pPr>
        <w:widowControl/>
        <w:snapToGrid w:val="0"/>
        <w:spacing w:line="300" w:lineRule="auto"/>
        <w:ind w:firstLine="420" w:firstLineChars="200"/>
        <w:rPr>
          <w:szCs w:val="21"/>
        </w:rPr>
      </w:pPr>
      <w:r>
        <w:rPr>
          <w:szCs w:val="21"/>
        </w:rPr>
        <w:t>青年期是一个人由家庭走向社会、由青涩走向成熟的转型时期。在这一时期中，情感与社会的碰撞，身体机能的发展，常常会导致青年学生心理情感的冲突；事业、职业的选择，就业和生存的压力，容易聚集为强烈的挫败感，使青年学生形成心身不适；健康与保健知识的不足、疾病防治与急救知识的缺乏，常常使青年学生们遇到问题时束手无策。针对青年学生面临的这些问题，从健康生活方式、疾病预防、心理健康、性与生殖健康、安全应急与避险五个方面介绍相关的健康与保健知识。通过学习，使青年学生了解健康的概念和标准，了解青年人的生理与心理特征，了解饮食的科学性，懂得常见疾病的防治方法，使青年学生能镇定应对疾病，知晓突发状况的处理措施，从容处理紧急状况，在事业征途求索中，懂得有效地调节自我，良好地适应社会，做一个真正健康的人。本课程的具体教学目标如下：</w:t>
      </w:r>
    </w:p>
    <w:p>
      <w:pPr>
        <w:snapToGrid w:val="0"/>
        <w:spacing w:line="300" w:lineRule="auto"/>
        <w:ind w:firstLine="420" w:firstLineChars="200"/>
        <w:rPr>
          <w:szCs w:val="21"/>
          <w:shd w:val="clear" w:color="auto" w:fill="FEFEFF"/>
        </w:rPr>
      </w:pPr>
      <w:r>
        <w:rPr>
          <w:szCs w:val="21"/>
          <w:shd w:val="clear" w:color="auto" w:fill="FEFEFF"/>
        </w:rPr>
        <w:t>1．学生能够</w:t>
      </w:r>
      <w:r>
        <w:rPr>
          <w:szCs w:val="21"/>
        </w:rPr>
        <w:t>树立现代健康意识，掌握健康管理和健康决策的基本方法，养成文明健康的生活方式，提高自觉规避、有效应对健康风险的能力。</w:t>
      </w:r>
      <w:r>
        <w:rPr>
          <w:szCs w:val="21"/>
          <w:shd w:val="clear" w:color="auto" w:fill="FEFEFF"/>
        </w:rPr>
        <w:t>[7</w:t>
      </w:r>
      <w:r>
        <w:rPr>
          <w:rFonts w:hint="eastAsia"/>
          <w:szCs w:val="21"/>
          <w:shd w:val="clear" w:color="auto" w:fill="FEFEFF"/>
        </w:rPr>
        <w:t>.</w:t>
      </w:r>
      <w:r>
        <w:rPr>
          <w:szCs w:val="21"/>
          <w:shd w:val="clear" w:color="auto" w:fill="FEFEFF"/>
        </w:rPr>
        <w:t>2]</w:t>
      </w:r>
    </w:p>
    <w:p>
      <w:pPr>
        <w:snapToGrid w:val="0"/>
        <w:spacing w:line="300" w:lineRule="auto"/>
        <w:ind w:firstLine="420" w:firstLineChars="200"/>
        <w:rPr>
          <w:szCs w:val="21"/>
          <w:shd w:val="clear" w:color="auto" w:fill="FEFEFF"/>
        </w:rPr>
      </w:pPr>
      <w:r>
        <w:rPr>
          <w:szCs w:val="21"/>
          <w:shd w:val="clear" w:color="auto" w:fill="FEFEFF"/>
        </w:rPr>
        <w:t>2．学生能够</w:t>
      </w:r>
      <w:r>
        <w:rPr>
          <w:szCs w:val="21"/>
        </w:rPr>
        <w:t>树立自觉维护心理健康的意识，掌握正确应对学业、人际关系等方面的不良情绪和心理压力必需的相关技能，提高心理适应能力。</w:t>
      </w:r>
      <w:r>
        <w:rPr>
          <w:szCs w:val="21"/>
          <w:shd w:val="clear" w:color="auto" w:fill="FEFEFF"/>
        </w:rPr>
        <w:t>[7</w:t>
      </w:r>
      <w:r>
        <w:rPr>
          <w:rFonts w:hint="eastAsia"/>
          <w:szCs w:val="21"/>
          <w:shd w:val="clear" w:color="auto" w:fill="FEFEFF"/>
        </w:rPr>
        <w:t>.</w:t>
      </w:r>
      <w:r>
        <w:rPr>
          <w:szCs w:val="21"/>
          <w:shd w:val="clear" w:color="auto" w:fill="FEFEFF"/>
        </w:rPr>
        <w:t>2]</w:t>
      </w:r>
    </w:p>
    <w:p>
      <w:pPr>
        <w:snapToGrid w:val="0"/>
        <w:spacing w:line="300" w:lineRule="auto"/>
        <w:ind w:firstLine="420" w:firstLineChars="200"/>
        <w:rPr>
          <w:szCs w:val="21"/>
          <w:shd w:val="clear" w:color="auto" w:fill="FEFEFF"/>
        </w:rPr>
      </w:pPr>
      <w:r>
        <w:rPr>
          <w:szCs w:val="21"/>
          <w:shd w:val="clear" w:color="auto" w:fill="FEFEFF"/>
        </w:rPr>
        <w:t>3． 学生能够</w:t>
      </w:r>
      <w:r>
        <w:rPr>
          <w:szCs w:val="21"/>
        </w:rPr>
        <w:t>树立自我保健意识，掌握维护性与生殖健康的知识和技能，提高维护性与生殖健康的能力。</w:t>
      </w:r>
      <w:r>
        <w:rPr>
          <w:szCs w:val="21"/>
          <w:shd w:val="clear" w:color="auto" w:fill="FEFEFF"/>
        </w:rPr>
        <w:t>[7</w:t>
      </w:r>
      <w:r>
        <w:rPr>
          <w:rFonts w:hint="eastAsia"/>
          <w:szCs w:val="21"/>
          <w:shd w:val="clear" w:color="auto" w:fill="FEFEFF"/>
        </w:rPr>
        <w:t>.</w:t>
      </w:r>
      <w:r>
        <w:rPr>
          <w:szCs w:val="21"/>
          <w:shd w:val="clear" w:color="auto" w:fill="FEFEFF"/>
        </w:rPr>
        <w:t>2]</w:t>
      </w:r>
    </w:p>
    <w:p>
      <w:pPr>
        <w:snapToGrid w:val="0"/>
        <w:spacing w:line="300" w:lineRule="auto"/>
        <w:ind w:firstLine="420" w:firstLineChars="200"/>
        <w:rPr>
          <w:szCs w:val="21"/>
          <w:shd w:val="clear" w:color="auto" w:fill="FEFEFF"/>
        </w:rPr>
      </w:pPr>
      <w:r>
        <w:rPr>
          <w:szCs w:val="21"/>
          <w:shd w:val="clear" w:color="auto" w:fill="FEFEFF"/>
        </w:rPr>
        <w:t>4． 学生能够</w:t>
      </w:r>
      <w:r>
        <w:rPr>
          <w:szCs w:val="21"/>
        </w:rPr>
        <w:t>增强防病意识，掌握常见疾病的预防原则和常规措施，提高防控传染病和慢性非传染性疾病的能力。</w:t>
      </w:r>
      <w:r>
        <w:rPr>
          <w:szCs w:val="21"/>
          <w:shd w:val="clear" w:color="auto" w:fill="FEFEFF"/>
        </w:rPr>
        <w:t>[7</w:t>
      </w:r>
      <w:r>
        <w:rPr>
          <w:rFonts w:hint="eastAsia"/>
          <w:szCs w:val="21"/>
          <w:shd w:val="clear" w:color="auto" w:fill="FEFEFF"/>
        </w:rPr>
        <w:t>.</w:t>
      </w:r>
      <w:r>
        <w:rPr>
          <w:szCs w:val="21"/>
          <w:shd w:val="clear" w:color="auto" w:fill="FEFEFF"/>
        </w:rPr>
        <w:t>2]</w:t>
      </w:r>
    </w:p>
    <w:p>
      <w:pPr>
        <w:snapToGrid w:val="0"/>
        <w:spacing w:line="300" w:lineRule="auto"/>
        <w:ind w:firstLine="420" w:firstLineChars="200"/>
        <w:rPr>
          <w:szCs w:val="21"/>
          <w:shd w:val="clear" w:color="auto" w:fill="FEFEFF"/>
        </w:rPr>
      </w:pPr>
      <w:r>
        <w:rPr>
          <w:szCs w:val="21"/>
          <w:shd w:val="clear" w:color="auto" w:fill="FEFEFF"/>
        </w:rPr>
        <w:t>5．学生能够</w:t>
      </w:r>
      <w:r>
        <w:rPr>
          <w:szCs w:val="21"/>
        </w:rPr>
        <w:t>树立安全避险意识，掌握常见突发事件和伤害的应急处置方法，提高自救与互救能力。</w:t>
      </w:r>
      <w:r>
        <w:rPr>
          <w:szCs w:val="21"/>
          <w:shd w:val="clear" w:color="auto" w:fill="FEFEFF"/>
        </w:rPr>
        <w:t>[7</w:t>
      </w:r>
      <w:r>
        <w:rPr>
          <w:rFonts w:hint="eastAsia"/>
          <w:szCs w:val="21"/>
          <w:shd w:val="clear" w:color="auto" w:fill="FEFEFF"/>
        </w:rPr>
        <w:t>.</w:t>
      </w:r>
      <w:r>
        <w:rPr>
          <w:szCs w:val="21"/>
          <w:shd w:val="clear" w:color="auto" w:fill="FEFEFF"/>
        </w:rPr>
        <w:t>2]</w:t>
      </w:r>
    </w:p>
    <w:p>
      <w:pPr>
        <w:snapToGrid w:val="0"/>
        <w:spacing w:line="300" w:lineRule="auto"/>
        <w:ind w:firstLine="420" w:firstLineChars="200"/>
        <w:rPr>
          <w:szCs w:val="21"/>
        </w:rPr>
      </w:pPr>
      <w:r>
        <w:rPr>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b/>
          <w:sz w:val="18"/>
          <w:szCs w:val="18"/>
        </w:rPr>
      </w:pPr>
      <w:r>
        <w:rPr>
          <w:b/>
          <w:kern w:val="0"/>
          <w:sz w:val="18"/>
          <w:szCs w:val="18"/>
        </w:rPr>
        <w:t>表1 毕业要求指标点实现矩阵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6219"/>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922" w:type="pct"/>
            <w:vAlign w:val="center"/>
          </w:tcPr>
          <w:p>
            <w:pPr>
              <w:snapToGrid w:val="0"/>
              <w:spacing w:line="300" w:lineRule="auto"/>
              <w:rPr>
                <w:b/>
                <w:bCs/>
                <w:sz w:val="18"/>
                <w:szCs w:val="18"/>
              </w:rPr>
            </w:pPr>
            <w:r>
              <w:rPr>
                <w:b/>
                <w:bCs/>
                <w:sz w:val="18"/>
                <w:szCs w:val="18"/>
              </w:rPr>
              <w:t>毕业要求</w:t>
            </w:r>
          </w:p>
        </w:tc>
        <w:tc>
          <w:tcPr>
            <w:tcW w:w="3649" w:type="pct"/>
            <w:vAlign w:val="center"/>
          </w:tcPr>
          <w:p>
            <w:pPr>
              <w:snapToGrid w:val="0"/>
              <w:spacing w:line="300" w:lineRule="auto"/>
              <w:jc w:val="center"/>
              <w:rPr>
                <w:b/>
                <w:bCs/>
                <w:sz w:val="18"/>
                <w:szCs w:val="18"/>
              </w:rPr>
            </w:pPr>
            <w:r>
              <w:rPr>
                <w:b/>
                <w:bCs/>
                <w:sz w:val="18"/>
                <w:szCs w:val="18"/>
              </w:rPr>
              <w:t>毕业要求指标点</w:t>
            </w:r>
          </w:p>
        </w:tc>
        <w:tc>
          <w:tcPr>
            <w:tcW w:w="429" w:type="pct"/>
            <w:vAlign w:val="center"/>
          </w:tcPr>
          <w:p>
            <w:pPr>
              <w:snapToGrid w:val="0"/>
              <w:spacing w:line="300" w:lineRule="auto"/>
              <w:jc w:val="left"/>
              <w:rPr>
                <w:b/>
                <w:bCs/>
                <w:sz w:val="18"/>
                <w:szCs w:val="18"/>
              </w:rPr>
            </w:pPr>
            <w:r>
              <w:rPr>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pPr>
              <w:snapToGrid w:val="0"/>
              <w:spacing w:line="300" w:lineRule="auto"/>
              <w:rPr>
                <w:sz w:val="18"/>
                <w:szCs w:val="18"/>
              </w:rPr>
            </w:pPr>
            <w:r>
              <w:rPr>
                <w:sz w:val="18"/>
                <w:szCs w:val="18"/>
              </w:rPr>
              <w:t>7．环境和可持续发展</w:t>
            </w:r>
          </w:p>
        </w:tc>
        <w:tc>
          <w:tcPr>
            <w:tcW w:w="3649" w:type="pct"/>
          </w:tcPr>
          <w:p>
            <w:pPr>
              <w:snapToGrid w:val="0"/>
              <w:spacing w:line="300" w:lineRule="auto"/>
              <w:rPr>
                <w:sz w:val="18"/>
                <w:szCs w:val="18"/>
              </w:rPr>
            </w:pPr>
            <w:r>
              <w:rPr>
                <w:sz w:val="18"/>
                <w:szCs w:val="18"/>
              </w:rPr>
              <w:t>7</w:t>
            </w:r>
            <w:r>
              <w:rPr>
                <w:rFonts w:hint="eastAsia"/>
                <w:sz w:val="18"/>
                <w:szCs w:val="18"/>
              </w:rPr>
              <w:t>.</w:t>
            </w:r>
            <w:r>
              <w:rPr>
                <w:sz w:val="18"/>
                <w:szCs w:val="18"/>
              </w:rPr>
              <w:t>2</w:t>
            </w:r>
            <w:r>
              <w:rPr>
                <w:rFonts w:hint="eastAsia"/>
                <w:sz w:val="18"/>
                <w:szCs w:val="18"/>
              </w:rPr>
              <w:t>能够理解和评价电子信息领域复杂工程问题对环境、社会可持续发展的影响</w:t>
            </w:r>
            <w:r>
              <w:rPr>
                <w:sz w:val="18"/>
                <w:szCs w:val="18"/>
              </w:rPr>
              <w:t>。</w:t>
            </w:r>
          </w:p>
        </w:tc>
        <w:tc>
          <w:tcPr>
            <w:tcW w:w="429" w:type="pct"/>
            <w:vAlign w:val="center"/>
          </w:tcPr>
          <w:p>
            <w:pPr>
              <w:snapToGrid w:val="0"/>
              <w:spacing w:line="300" w:lineRule="auto"/>
              <w:rPr>
                <w:sz w:val="18"/>
                <w:szCs w:val="18"/>
              </w:rPr>
            </w:pPr>
            <w:r>
              <w:rPr>
                <w:rFonts w:hint="eastAsia"/>
                <w:sz w:val="18"/>
                <w:szCs w:val="18"/>
              </w:rPr>
              <w:t>1，2，3，4，5</w:t>
            </w:r>
          </w:p>
        </w:tc>
      </w:tr>
    </w:tbl>
    <w:p>
      <w:pPr>
        <w:snapToGrid w:val="0"/>
        <w:spacing w:before="156" w:beforeLines="50" w:after="156" w:afterLines="50" w:line="300" w:lineRule="auto"/>
        <w:rPr>
          <w:b/>
          <w:sz w:val="24"/>
        </w:rPr>
      </w:pPr>
      <w:r>
        <w:rPr>
          <w:b/>
          <w:sz w:val="24"/>
        </w:rPr>
        <w:t>三、课程教学目标达成途径（或教学设计）</w:t>
      </w:r>
    </w:p>
    <w:p>
      <w:pPr>
        <w:widowControl/>
        <w:snapToGrid w:val="0"/>
        <w:spacing w:before="156" w:beforeLines="50" w:line="300" w:lineRule="auto"/>
        <w:jc w:val="center"/>
        <w:rPr>
          <w:b/>
          <w:bCs/>
          <w:sz w:val="18"/>
          <w:szCs w:val="18"/>
          <w:shd w:val="clear" w:color="auto" w:fill="FEFEFF"/>
        </w:rPr>
      </w:pPr>
      <w:r>
        <w:rPr>
          <w:b/>
          <w:bCs/>
          <w:sz w:val="18"/>
          <w:szCs w:val="18"/>
          <w:shd w:val="clear" w:color="auto" w:fill="FEFEFF"/>
        </w:rPr>
        <w:t>表2 教学目标达成途径</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0"/>
        <w:gridCol w:w="218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jc w:val="center"/>
              <w:rPr>
                <w:b/>
                <w:sz w:val="18"/>
                <w:szCs w:val="18"/>
              </w:rPr>
            </w:pPr>
            <w:r>
              <w:rPr>
                <w:b/>
                <w:sz w:val="18"/>
                <w:szCs w:val="18"/>
              </w:rPr>
              <w:t>课程教学目标</w:t>
            </w:r>
          </w:p>
        </w:tc>
        <w:tc>
          <w:tcPr>
            <w:tcW w:w="12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jc w:val="center"/>
              <w:rPr>
                <w:b/>
                <w:sz w:val="18"/>
                <w:szCs w:val="18"/>
              </w:rPr>
            </w:pPr>
            <w:r>
              <w:rPr>
                <w:b/>
                <w:sz w:val="18"/>
                <w:szCs w:val="18"/>
              </w:rPr>
              <w:t>达成途径</w:t>
            </w:r>
          </w:p>
        </w:tc>
        <w:tc>
          <w:tcPr>
            <w:tcW w:w="10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rPr>
                <w:b/>
                <w:sz w:val="18"/>
                <w:szCs w:val="18"/>
              </w:rPr>
            </w:pPr>
            <w:r>
              <w:rPr>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1．学生能够</w:t>
            </w:r>
            <w:r>
              <w:rPr>
                <w:sz w:val="18"/>
                <w:szCs w:val="18"/>
              </w:rPr>
              <w:t>树立现代健康意识，掌握健康管理和健康决策的基本方法,养成文明健康的生活方式，提高自觉规避、有效应对健康风险的能力。</w:t>
            </w:r>
          </w:p>
        </w:tc>
        <w:tc>
          <w:tcPr>
            <w:tcW w:w="12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通过课堂讲授、学生学习（查阅资料）等达成。</w:t>
            </w:r>
          </w:p>
        </w:tc>
        <w:tc>
          <w:tcPr>
            <w:tcW w:w="107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课堂表现、课外作业与专题报告。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2．学生能够</w:t>
            </w:r>
            <w:r>
              <w:rPr>
                <w:sz w:val="18"/>
                <w:szCs w:val="18"/>
              </w:rPr>
              <w:t>增强防病意识，掌握常见疾病的预防原则和常规措施，提高防控传染病和慢性非传染性疾病的能力。</w:t>
            </w:r>
          </w:p>
        </w:tc>
        <w:tc>
          <w:tcPr>
            <w:tcW w:w="12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通过课堂讲授、学生学习（查阅资料）等达成。</w:t>
            </w:r>
          </w:p>
        </w:tc>
        <w:tc>
          <w:tcPr>
            <w:tcW w:w="107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课堂表现、课外作业与专题报告。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64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3．学生能够</w:t>
            </w:r>
            <w:r>
              <w:rPr>
                <w:sz w:val="18"/>
                <w:szCs w:val="18"/>
              </w:rPr>
              <w:t>树立自觉维护心理健康的意识，掌握正确应对学业、人际关系等方面的不良情绪和心理压力必需的相关技能，提高心理适应能力。</w:t>
            </w:r>
          </w:p>
        </w:tc>
        <w:tc>
          <w:tcPr>
            <w:tcW w:w="12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通过课堂讲授、学生学习（查阅资料）等达成。</w:t>
            </w:r>
          </w:p>
        </w:tc>
        <w:tc>
          <w:tcPr>
            <w:tcW w:w="107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课堂表现、课外作业与专题报告。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64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4．学生能够</w:t>
            </w:r>
            <w:r>
              <w:rPr>
                <w:sz w:val="18"/>
                <w:szCs w:val="18"/>
              </w:rPr>
              <w:t>树立自我保健意识，掌握维护性与生殖健康的知识和技能，提高维护性与生殖健康的能力。</w:t>
            </w:r>
          </w:p>
        </w:tc>
        <w:tc>
          <w:tcPr>
            <w:tcW w:w="12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通过课堂讲授、学生学习（查阅资料）等达成。</w:t>
            </w:r>
          </w:p>
        </w:tc>
        <w:tc>
          <w:tcPr>
            <w:tcW w:w="107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课堂表现、课外作业与专题报告。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646" w:type="pct"/>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00" w:lineRule="auto"/>
              <w:rPr>
                <w:sz w:val="18"/>
                <w:szCs w:val="18"/>
                <w:shd w:val="clear" w:color="auto" w:fill="FEFEFF"/>
              </w:rPr>
            </w:pPr>
            <w:r>
              <w:rPr>
                <w:sz w:val="18"/>
                <w:szCs w:val="18"/>
                <w:shd w:val="clear" w:color="auto" w:fill="FEFEFF"/>
              </w:rPr>
              <w:t>5．学生能够</w:t>
            </w:r>
            <w:r>
              <w:rPr>
                <w:sz w:val="18"/>
                <w:szCs w:val="18"/>
              </w:rPr>
              <w:t>树立安全避险意识，掌握常见突发事件和伤害的应急处置方法，提高自救与互救能力。</w:t>
            </w:r>
          </w:p>
        </w:tc>
        <w:tc>
          <w:tcPr>
            <w:tcW w:w="1281"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通过课堂讲授、学生学习（查阅资料）等达成。</w:t>
            </w:r>
          </w:p>
        </w:tc>
        <w:tc>
          <w:tcPr>
            <w:tcW w:w="107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rPr>
                <w:sz w:val="18"/>
                <w:szCs w:val="18"/>
                <w:shd w:val="clear" w:color="auto" w:fill="FEFEFF"/>
              </w:rPr>
            </w:pPr>
            <w:r>
              <w:rPr>
                <w:sz w:val="18"/>
                <w:szCs w:val="18"/>
                <w:shd w:val="clear" w:color="auto" w:fill="FEFEFF"/>
              </w:rPr>
              <w:t>课堂表现、课外作业与专题报告。</w:t>
            </w:r>
          </w:p>
        </w:tc>
      </w:tr>
    </w:tbl>
    <w:p>
      <w:pPr>
        <w:snapToGrid w:val="0"/>
        <w:spacing w:before="156" w:beforeLines="50" w:after="156" w:afterLines="50" w:line="300" w:lineRule="auto"/>
        <w:rPr>
          <w:b/>
          <w:sz w:val="24"/>
        </w:rPr>
      </w:pPr>
      <w:r>
        <w:rPr>
          <w:b/>
          <w:sz w:val="24"/>
        </w:rPr>
        <w:t>四、课程教学内容、教与学的要求</w:t>
      </w:r>
    </w:p>
    <w:p>
      <w:pPr>
        <w:snapToGrid w:val="0"/>
        <w:spacing w:line="300" w:lineRule="auto"/>
        <w:ind w:firstLine="420"/>
        <w:rPr>
          <w:szCs w:val="21"/>
        </w:rPr>
      </w:pPr>
      <w:r>
        <w:rPr>
          <w:szCs w:val="21"/>
        </w:rPr>
        <w:t>本课程以理论教学为主，通过课堂讲授、课外作业以及专题报告的形式达成教学目标。</w:t>
      </w:r>
    </w:p>
    <w:p>
      <w:pPr>
        <w:snapToGrid w:val="0"/>
        <w:spacing w:line="300" w:lineRule="auto"/>
        <w:ind w:firstLine="420" w:firstLineChars="200"/>
        <w:rPr>
          <w:szCs w:val="21"/>
        </w:rPr>
      </w:pPr>
      <w:r>
        <w:rPr>
          <w:szCs w:val="21"/>
        </w:rPr>
        <w:t>本课程理论教学内容与教学要求见表3。</w:t>
      </w:r>
    </w:p>
    <w:p>
      <w:pPr>
        <w:snapToGrid w:val="0"/>
        <w:spacing w:before="156" w:beforeLines="50" w:line="300" w:lineRule="auto"/>
        <w:jc w:val="center"/>
        <w:rPr>
          <w:sz w:val="18"/>
          <w:szCs w:val="18"/>
        </w:rPr>
      </w:pPr>
      <w:r>
        <w:rPr>
          <w:b/>
          <w:bCs/>
          <w:sz w:val="18"/>
          <w:szCs w:val="18"/>
        </w:rPr>
        <w:t>表3教学内容与教学要求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449"/>
        <w:gridCol w:w="4729"/>
        <w:gridCol w:w="717"/>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339" w:type="pct"/>
            <w:shd w:val="clear" w:color="auto" w:fill="auto"/>
            <w:tcMar>
              <w:left w:w="57" w:type="dxa"/>
              <w:right w:w="57" w:type="dxa"/>
            </w:tcMar>
            <w:vAlign w:val="center"/>
          </w:tcPr>
          <w:p>
            <w:pPr>
              <w:snapToGrid w:val="0"/>
              <w:spacing w:line="300" w:lineRule="auto"/>
              <w:jc w:val="center"/>
              <w:rPr>
                <w:b/>
                <w:bCs/>
                <w:sz w:val="18"/>
                <w:szCs w:val="18"/>
              </w:rPr>
            </w:pPr>
            <w:r>
              <w:rPr>
                <w:b/>
                <w:bCs/>
                <w:sz w:val="18"/>
                <w:szCs w:val="18"/>
              </w:rPr>
              <w:t>序号</w:t>
            </w:r>
          </w:p>
        </w:tc>
        <w:tc>
          <w:tcPr>
            <w:tcW w:w="855" w:type="pct"/>
            <w:shd w:val="clear" w:color="auto" w:fill="auto"/>
            <w:vAlign w:val="center"/>
          </w:tcPr>
          <w:p>
            <w:pPr>
              <w:snapToGrid w:val="0"/>
              <w:spacing w:line="300" w:lineRule="auto"/>
              <w:ind w:firstLine="361" w:firstLineChars="200"/>
              <w:rPr>
                <w:b/>
                <w:bCs/>
                <w:sz w:val="18"/>
                <w:szCs w:val="18"/>
              </w:rPr>
            </w:pPr>
            <w:r>
              <w:rPr>
                <w:b/>
                <w:bCs/>
                <w:sz w:val="18"/>
                <w:szCs w:val="18"/>
              </w:rPr>
              <w:t>教学内容</w:t>
            </w:r>
          </w:p>
        </w:tc>
        <w:tc>
          <w:tcPr>
            <w:tcW w:w="2791" w:type="pct"/>
            <w:shd w:val="clear" w:color="auto" w:fill="auto"/>
            <w:vAlign w:val="center"/>
          </w:tcPr>
          <w:p>
            <w:pPr>
              <w:snapToGrid w:val="0"/>
              <w:spacing w:line="300" w:lineRule="auto"/>
              <w:ind w:firstLine="361" w:firstLineChars="200"/>
              <w:jc w:val="center"/>
              <w:rPr>
                <w:b/>
                <w:bCs/>
                <w:sz w:val="18"/>
                <w:szCs w:val="18"/>
              </w:rPr>
            </w:pPr>
            <w:r>
              <w:rPr>
                <w:b/>
                <w:bCs/>
                <w:sz w:val="18"/>
                <w:szCs w:val="18"/>
              </w:rPr>
              <w:t>教与学的要求</w:t>
            </w:r>
          </w:p>
        </w:tc>
        <w:tc>
          <w:tcPr>
            <w:tcW w:w="423" w:type="pct"/>
            <w:shd w:val="clear" w:color="auto" w:fill="auto"/>
            <w:vAlign w:val="center"/>
          </w:tcPr>
          <w:p>
            <w:pPr>
              <w:snapToGrid w:val="0"/>
              <w:spacing w:line="300" w:lineRule="auto"/>
              <w:jc w:val="center"/>
              <w:rPr>
                <w:b/>
                <w:bCs/>
                <w:sz w:val="18"/>
                <w:szCs w:val="18"/>
              </w:rPr>
            </w:pPr>
            <w:r>
              <w:rPr>
                <w:b/>
                <w:bCs/>
                <w:sz w:val="18"/>
                <w:szCs w:val="18"/>
              </w:rPr>
              <w:t>学时</w:t>
            </w:r>
          </w:p>
        </w:tc>
        <w:tc>
          <w:tcPr>
            <w:tcW w:w="592" w:type="pct"/>
            <w:shd w:val="clear" w:color="auto" w:fill="auto"/>
            <w:vAlign w:val="center"/>
          </w:tcPr>
          <w:p>
            <w:pPr>
              <w:snapToGrid w:val="0"/>
              <w:spacing w:line="300" w:lineRule="auto"/>
              <w:jc w:val="center"/>
              <w:rPr>
                <w:b/>
                <w:bCs/>
                <w:sz w:val="18"/>
                <w:szCs w:val="18"/>
              </w:rPr>
            </w:pPr>
            <w:r>
              <w:rPr>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tcMar>
              <w:left w:w="57" w:type="dxa"/>
              <w:right w:w="57" w:type="dxa"/>
            </w:tcMar>
            <w:vAlign w:val="center"/>
          </w:tcPr>
          <w:p>
            <w:pPr>
              <w:snapToGrid w:val="0"/>
              <w:spacing w:line="300" w:lineRule="auto"/>
              <w:jc w:val="center"/>
              <w:rPr>
                <w:sz w:val="18"/>
                <w:szCs w:val="18"/>
              </w:rPr>
            </w:pPr>
            <w:r>
              <w:rPr>
                <w:sz w:val="18"/>
                <w:szCs w:val="18"/>
              </w:rPr>
              <w:t>1</w:t>
            </w:r>
          </w:p>
        </w:tc>
        <w:tc>
          <w:tcPr>
            <w:tcW w:w="855" w:type="pct"/>
            <w:vAlign w:val="center"/>
          </w:tcPr>
          <w:p>
            <w:pPr>
              <w:snapToGrid w:val="0"/>
              <w:spacing w:line="300" w:lineRule="auto"/>
              <w:rPr>
                <w:sz w:val="18"/>
                <w:szCs w:val="18"/>
              </w:rPr>
            </w:pPr>
            <w:r>
              <w:rPr>
                <w:sz w:val="18"/>
                <w:szCs w:val="18"/>
              </w:rPr>
              <w:t>1</w:t>
            </w:r>
            <w:r>
              <w:rPr>
                <w:kern w:val="0"/>
                <w:sz w:val="18"/>
                <w:szCs w:val="18"/>
              </w:rPr>
              <w:t>人体解剖与生理基础知识</w:t>
            </w:r>
          </w:p>
          <w:p>
            <w:pPr>
              <w:snapToGrid w:val="0"/>
              <w:spacing w:line="300" w:lineRule="auto"/>
              <w:rPr>
                <w:sz w:val="18"/>
                <w:szCs w:val="18"/>
              </w:rPr>
            </w:pPr>
            <w:r>
              <w:rPr>
                <w:sz w:val="18"/>
                <w:szCs w:val="18"/>
              </w:rPr>
              <w:t>人体外形的分部；运动、呼吸、循环、消化等系统的组成及功能；血液的成分和无偿献血的意义；血压的生理和功能。1.4单位冲激函数</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了解人体解剖和系统分类，了解人体基本生理和功能。</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（1）如何理解无偿献血不仅是人类文明的表现，还能利国、利己、利家人？</w:t>
            </w:r>
          </w:p>
          <w:p>
            <w:pPr>
              <w:snapToGrid w:val="0"/>
              <w:spacing w:line="300" w:lineRule="auto"/>
              <w:rPr>
                <w:sz w:val="18"/>
                <w:szCs w:val="18"/>
              </w:rPr>
            </w:pPr>
            <w:r>
              <w:rPr>
                <w:sz w:val="18"/>
                <w:szCs w:val="18"/>
              </w:rPr>
              <w:t>（2）网上查阅相关资料，写出一篇500字文章。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0.5</w:t>
            </w:r>
          </w:p>
        </w:tc>
        <w:tc>
          <w:tcPr>
            <w:tcW w:w="592" w:type="pct"/>
            <w:vAlign w:val="center"/>
          </w:tcPr>
          <w:p>
            <w:pPr>
              <w:snapToGrid w:val="0"/>
              <w:spacing w:line="300" w:lineRule="auto"/>
              <w:jc w:val="left"/>
              <w:rPr>
                <w:sz w:val="18"/>
                <w:szCs w:val="18"/>
              </w:rPr>
            </w:pPr>
            <w:r>
              <w:rPr>
                <w:sz w:val="18"/>
                <w:szCs w:val="1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2</w:t>
            </w:r>
          </w:p>
        </w:tc>
        <w:tc>
          <w:tcPr>
            <w:tcW w:w="855" w:type="pct"/>
            <w:vAlign w:val="center"/>
          </w:tcPr>
          <w:p>
            <w:pPr>
              <w:snapToGrid w:val="0"/>
              <w:spacing w:line="300" w:lineRule="auto"/>
              <w:rPr>
                <w:sz w:val="18"/>
                <w:szCs w:val="18"/>
              </w:rPr>
            </w:pPr>
            <w:r>
              <w:rPr>
                <w:sz w:val="18"/>
                <w:szCs w:val="18"/>
              </w:rPr>
              <w:t>2</w:t>
            </w:r>
            <w:r>
              <w:rPr>
                <w:kern w:val="0"/>
                <w:sz w:val="18"/>
                <w:szCs w:val="18"/>
              </w:rPr>
              <w:t>健康概念与健康促进</w:t>
            </w:r>
          </w:p>
          <w:p>
            <w:pPr>
              <w:snapToGrid w:val="0"/>
              <w:spacing w:line="300" w:lineRule="auto"/>
              <w:rPr>
                <w:sz w:val="18"/>
                <w:szCs w:val="18"/>
              </w:rPr>
            </w:pPr>
            <w:r>
              <w:rPr>
                <w:sz w:val="18"/>
                <w:szCs w:val="18"/>
              </w:rPr>
              <w:t>现代</w:t>
            </w:r>
            <w:r>
              <w:rPr>
                <w:kern w:val="0"/>
                <w:sz w:val="18"/>
                <w:szCs w:val="18"/>
              </w:rPr>
              <w:t>健康的概念、内容及影响健康的因素；饮食行为与健康、睡眠与健康、运动与健康、烟草危害及戒烟策略、毒品危害及禁毒、物质滥用的危害及防范；环境卫生与健康。</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rPr>
                <w:sz w:val="18"/>
                <w:szCs w:val="18"/>
              </w:rPr>
            </w:pPr>
            <w:r>
              <w:rPr>
                <w:sz w:val="18"/>
                <w:szCs w:val="18"/>
              </w:rPr>
              <w:t>了解现代健康的概念；了解大学生健康教育的重要意义。</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（1）什么是现代健康？当前大学生存在的健康问题有哪些？危害健康的行为有哪些？</w:t>
            </w:r>
          </w:p>
          <w:p>
            <w:pPr>
              <w:snapToGrid w:val="0"/>
              <w:spacing w:line="300" w:lineRule="auto"/>
              <w:rPr>
                <w:sz w:val="18"/>
                <w:szCs w:val="18"/>
              </w:rPr>
            </w:pPr>
            <w:r>
              <w:rPr>
                <w:sz w:val="18"/>
                <w:szCs w:val="18"/>
              </w:rPr>
              <w:t>（2）烟草中含有哪些有害成分？吸烟可能引起哪些疾病？日常生活中，如何拒绝烟草？</w:t>
            </w:r>
          </w:p>
          <w:p>
            <w:pPr>
              <w:snapToGrid w:val="0"/>
              <w:spacing w:line="300" w:lineRule="auto"/>
              <w:rPr>
                <w:sz w:val="18"/>
                <w:szCs w:val="18"/>
              </w:rPr>
            </w:pPr>
            <w:r>
              <w:rPr>
                <w:sz w:val="18"/>
                <w:szCs w:val="18"/>
              </w:rPr>
              <w:t>（3）现在大学生经常叫外卖，食品是否营养和安全？</w:t>
            </w:r>
          </w:p>
          <w:p>
            <w:pPr>
              <w:snapToGrid w:val="0"/>
              <w:spacing w:line="300" w:lineRule="auto"/>
              <w:rPr>
                <w:sz w:val="18"/>
                <w:szCs w:val="18"/>
              </w:rPr>
            </w:pPr>
            <w:r>
              <w:rPr>
                <w:sz w:val="18"/>
                <w:szCs w:val="18"/>
              </w:rPr>
              <w:t>（4）日常学习、生活中，我们如何保护自己的视力？</w:t>
            </w:r>
          </w:p>
          <w:p>
            <w:pPr>
              <w:snapToGrid w:val="0"/>
              <w:spacing w:line="300" w:lineRule="auto"/>
              <w:rPr>
                <w:sz w:val="18"/>
                <w:szCs w:val="18"/>
              </w:rPr>
            </w:pPr>
            <w:r>
              <w:rPr>
                <w:sz w:val="18"/>
                <w:szCs w:val="18"/>
              </w:rPr>
              <w:t>（5）谈谈合理作息制度对健康的意义。</w:t>
            </w:r>
          </w:p>
          <w:p>
            <w:pPr>
              <w:snapToGrid w:val="0"/>
              <w:spacing w:line="300" w:lineRule="auto"/>
              <w:rPr>
                <w:sz w:val="18"/>
                <w:szCs w:val="18"/>
              </w:rPr>
            </w:pPr>
            <w:r>
              <w:rPr>
                <w:sz w:val="18"/>
                <w:szCs w:val="18"/>
              </w:rPr>
              <w:t>（6）王同学身高170cm，体重85Kg，王同学是否属于标准体重？肥胖发生的原因有哪些？如何选择饮食与体力运动，控制体重？</w:t>
            </w:r>
          </w:p>
          <w:p>
            <w:pPr>
              <w:snapToGrid w:val="0"/>
              <w:spacing w:line="300" w:lineRule="auto"/>
              <w:rPr>
                <w:sz w:val="18"/>
                <w:szCs w:val="18"/>
              </w:rPr>
            </w:pPr>
            <w:r>
              <w:rPr>
                <w:sz w:val="18"/>
                <w:szCs w:val="18"/>
              </w:rPr>
              <w:t>（7）简述中国人饮食“金字塔”结构。</w:t>
            </w:r>
          </w:p>
          <w:p>
            <w:pPr>
              <w:snapToGrid w:val="0"/>
              <w:spacing w:line="300" w:lineRule="auto"/>
              <w:rPr>
                <w:sz w:val="18"/>
                <w:szCs w:val="18"/>
              </w:rPr>
            </w:pPr>
            <w:r>
              <w:rPr>
                <w:sz w:val="18"/>
                <w:szCs w:val="18"/>
              </w:rPr>
              <w:t>（8）在学校，你喜欢从事哪项体育活动，结合自身说出该项活动的健身作用？</w:t>
            </w:r>
          </w:p>
          <w:p>
            <w:pPr>
              <w:snapToGrid w:val="0"/>
              <w:spacing w:line="300" w:lineRule="auto"/>
              <w:rPr>
                <w:sz w:val="18"/>
                <w:szCs w:val="18"/>
              </w:rPr>
            </w:pPr>
            <w:r>
              <w:rPr>
                <w:sz w:val="18"/>
                <w:szCs w:val="18"/>
              </w:rPr>
              <w:t>（9）某同学在打篮球时不慎扭伤右脚踝关节，局部红肿、疼痛，不能行走，在同学的帮助下立即使用正骨水并局部按揉，请问该做法对否？正确的应如何处理？</w:t>
            </w:r>
          </w:p>
          <w:p>
            <w:pPr>
              <w:snapToGrid w:val="0"/>
              <w:spacing w:line="300" w:lineRule="auto"/>
              <w:rPr>
                <w:sz w:val="18"/>
                <w:szCs w:val="18"/>
              </w:rPr>
            </w:pPr>
            <w:r>
              <w:rPr>
                <w:sz w:val="18"/>
                <w:szCs w:val="18"/>
              </w:rPr>
              <w:t>（10）某学生参加一场足球比赛后，立即喝了冰镇可乐一杯，不久出现恶心、呕吐、腹痛等症状，被同学送往医院治疗。该同学为什么会出现此类症状？在体育运动中，我们还应注意哪里些生理卫生问题？</w:t>
            </w:r>
          </w:p>
          <w:p>
            <w:pPr>
              <w:snapToGrid w:val="0"/>
              <w:spacing w:line="300" w:lineRule="auto"/>
              <w:rPr>
                <w:sz w:val="18"/>
                <w:szCs w:val="18"/>
              </w:rPr>
            </w:pPr>
            <w:r>
              <w:rPr>
                <w:sz w:val="18"/>
                <w:szCs w:val="18"/>
              </w:rPr>
              <w:t>（11）网上查阅相关资料，写出一篇500字文章。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1.5</w:t>
            </w:r>
          </w:p>
        </w:tc>
        <w:tc>
          <w:tcPr>
            <w:tcW w:w="592" w:type="pct"/>
            <w:vAlign w:val="center"/>
          </w:tcPr>
          <w:p>
            <w:pPr>
              <w:snapToGrid w:val="0"/>
              <w:spacing w:line="300" w:lineRule="auto"/>
              <w:jc w:val="left"/>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3</w:t>
            </w:r>
          </w:p>
        </w:tc>
        <w:tc>
          <w:tcPr>
            <w:tcW w:w="855" w:type="pct"/>
            <w:vAlign w:val="center"/>
          </w:tcPr>
          <w:p>
            <w:pPr>
              <w:spacing w:line="300" w:lineRule="auto"/>
              <w:rPr>
                <w:sz w:val="18"/>
                <w:szCs w:val="18"/>
              </w:rPr>
            </w:pPr>
            <w:r>
              <w:rPr>
                <w:sz w:val="18"/>
                <w:szCs w:val="18"/>
              </w:rPr>
              <w:t>3</w:t>
            </w:r>
            <w:r>
              <w:rPr>
                <w:kern w:val="0"/>
                <w:sz w:val="18"/>
                <w:szCs w:val="18"/>
              </w:rPr>
              <w:t>青年学生的生理、心理特征及心理卫生</w:t>
            </w:r>
          </w:p>
          <w:p>
            <w:pPr>
              <w:snapToGrid w:val="0"/>
              <w:spacing w:line="300" w:lineRule="auto"/>
              <w:rPr>
                <w:sz w:val="18"/>
                <w:szCs w:val="18"/>
              </w:rPr>
            </w:pPr>
            <w:r>
              <w:rPr>
                <w:kern w:val="0"/>
                <w:sz w:val="18"/>
                <w:szCs w:val="18"/>
              </w:rPr>
              <w:t>青年学生的生理、心理特征；心理健康概念；青年学生的心理卫生；</w:t>
            </w:r>
            <w:r>
              <w:rPr>
                <w:sz w:val="18"/>
                <w:szCs w:val="18"/>
              </w:rPr>
              <w:t>心理咨询与服务利用，常见心理问题或危机的辨识与求助；珍爱生命。</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ind w:firstLine="360" w:firstLineChars="200"/>
              <w:rPr>
                <w:sz w:val="18"/>
                <w:szCs w:val="18"/>
              </w:rPr>
            </w:pPr>
            <w:r>
              <w:rPr>
                <w:sz w:val="18"/>
                <w:szCs w:val="18"/>
              </w:rPr>
              <w:t>了解青年学生的生理、心理特征；认识心理健康的标准及基本要求；了解心理卫生知识，按照心理卫生原则，培养健康的心理活动，形成开朗、健全的性格、积极主动地维护身心健康。</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（1）近年来，大学生心理障碍的发生率呈逐年上升趋势，心理障碍或精神疾病已成为在校大学生因病休退学的主要原因。请你谈谈大学生应如何维护和保持心理？</w:t>
            </w:r>
          </w:p>
          <w:p>
            <w:pPr>
              <w:snapToGrid w:val="0"/>
              <w:spacing w:line="300" w:lineRule="auto"/>
              <w:rPr>
                <w:sz w:val="18"/>
                <w:szCs w:val="18"/>
              </w:rPr>
            </w:pPr>
            <w:r>
              <w:rPr>
                <w:sz w:val="18"/>
                <w:szCs w:val="18"/>
              </w:rPr>
              <w:t>（2）小胡大学毕业后，工作表现一直很优秀。自一次事故后，当工作压力比较大的时候就会精神恍惚，你认为他还属于健康吗？在我们日常工作、生活时，应如何维护和保持心理健康？</w:t>
            </w:r>
          </w:p>
          <w:p>
            <w:pPr>
              <w:snapToGrid w:val="0"/>
              <w:spacing w:line="300" w:lineRule="auto"/>
              <w:rPr>
                <w:sz w:val="18"/>
                <w:szCs w:val="18"/>
              </w:rPr>
            </w:pPr>
            <w:r>
              <w:rPr>
                <w:sz w:val="18"/>
                <w:szCs w:val="18"/>
              </w:rPr>
              <w:t>（3）网上查阅相关资料，写出一篇500字文章。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w:t>
            </w:r>
          </w:p>
        </w:tc>
        <w:tc>
          <w:tcPr>
            <w:tcW w:w="592" w:type="pct"/>
            <w:vAlign w:val="center"/>
          </w:tcPr>
          <w:p>
            <w:pPr>
              <w:snapToGrid w:val="0"/>
              <w:spacing w:line="300" w:lineRule="auto"/>
              <w:jc w:val="left"/>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4</w:t>
            </w:r>
          </w:p>
        </w:tc>
        <w:tc>
          <w:tcPr>
            <w:tcW w:w="855" w:type="pct"/>
            <w:vAlign w:val="center"/>
          </w:tcPr>
          <w:p>
            <w:pPr>
              <w:spacing w:line="300" w:lineRule="auto"/>
              <w:rPr>
                <w:sz w:val="18"/>
                <w:szCs w:val="18"/>
              </w:rPr>
            </w:pPr>
            <w:r>
              <w:rPr>
                <w:sz w:val="18"/>
                <w:szCs w:val="18"/>
              </w:rPr>
              <w:t>4</w:t>
            </w:r>
            <w:r>
              <w:rPr>
                <w:kern w:val="0"/>
                <w:sz w:val="18"/>
                <w:szCs w:val="18"/>
              </w:rPr>
              <w:t>性知识、性生理与性传播疾病、性与优生</w:t>
            </w:r>
          </w:p>
          <w:p>
            <w:pPr>
              <w:snapToGrid w:val="0"/>
              <w:spacing w:line="300" w:lineRule="auto"/>
              <w:rPr>
                <w:sz w:val="18"/>
                <w:szCs w:val="18"/>
              </w:rPr>
            </w:pPr>
            <w:r>
              <w:rPr>
                <w:kern w:val="0"/>
                <w:sz w:val="18"/>
                <w:szCs w:val="18"/>
              </w:rPr>
              <w:t>男、女性器官及其功能，遗精、月经期卫生，遗传与优生，生育与避孕知识。淋病、梅毒、艾滋病的传播途径及防治方法。</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ind w:firstLine="360" w:firstLineChars="200"/>
              <w:rPr>
                <w:sz w:val="18"/>
                <w:szCs w:val="18"/>
              </w:rPr>
            </w:pPr>
            <w:r>
              <w:rPr>
                <w:kern w:val="0"/>
                <w:sz w:val="18"/>
                <w:szCs w:val="18"/>
              </w:rPr>
              <w:t>使学生了解性知识，正常性生理功能和生理卫生，了解性传播疾病的传播途径及防止传播的有关知识。</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（1）什么是艾滋病？目前艾滋病流行状况如何？如何预防控制？</w:t>
            </w:r>
          </w:p>
          <w:p>
            <w:pPr>
              <w:snapToGrid w:val="0"/>
              <w:spacing w:line="300" w:lineRule="auto"/>
              <w:rPr>
                <w:sz w:val="18"/>
                <w:szCs w:val="18"/>
              </w:rPr>
            </w:pPr>
            <w:r>
              <w:rPr>
                <w:sz w:val="18"/>
                <w:szCs w:val="18"/>
              </w:rPr>
              <w:t>（2）如果艾滋病学生成了你的同学 你会接纳他吗？</w:t>
            </w:r>
          </w:p>
          <w:p>
            <w:pPr>
              <w:snapToGrid w:val="0"/>
              <w:spacing w:line="300" w:lineRule="auto"/>
              <w:rPr>
                <w:sz w:val="18"/>
                <w:szCs w:val="18"/>
              </w:rPr>
            </w:pPr>
            <w:r>
              <w:rPr>
                <w:sz w:val="18"/>
                <w:szCs w:val="18"/>
              </w:rPr>
              <w:t>（3）什么是性传播疾病？常见性传播疾病有哪些？如何控制性传播疾病？</w:t>
            </w:r>
          </w:p>
          <w:p>
            <w:pPr>
              <w:snapToGrid w:val="0"/>
              <w:spacing w:line="300" w:lineRule="auto"/>
              <w:rPr>
                <w:sz w:val="18"/>
                <w:szCs w:val="18"/>
              </w:rPr>
            </w:pPr>
            <w:r>
              <w:rPr>
                <w:sz w:val="18"/>
                <w:szCs w:val="18"/>
              </w:rPr>
              <w:t>（4）网上查阅相关资料，写出一篇500字文章。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w:t>
            </w:r>
          </w:p>
        </w:tc>
        <w:tc>
          <w:tcPr>
            <w:tcW w:w="592" w:type="pct"/>
            <w:vAlign w:val="center"/>
          </w:tcPr>
          <w:p>
            <w:pPr>
              <w:snapToGrid w:val="0"/>
              <w:spacing w:line="300" w:lineRule="auto"/>
              <w:jc w:val="left"/>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5</w:t>
            </w:r>
          </w:p>
        </w:tc>
        <w:tc>
          <w:tcPr>
            <w:tcW w:w="855" w:type="pct"/>
            <w:vAlign w:val="center"/>
          </w:tcPr>
          <w:p>
            <w:pPr>
              <w:spacing w:line="300" w:lineRule="auto"/>
              <w:rPr>
                <w:sz w:val="18"/>
                <w:szCs w:val="18"/>
              </w:rPr>
            </w:pPr>
            <w:r>
              <w:rPr>
                <w:sz w:val="18"/>
                <w:szCs w:val="18"/>
              </w:rPr>
              <w:t>5</w:t>
            </w:r>
            <w:r>
              <w:rPr>
                <w:kern w:val="0"/>
                <w:sz w:val="18"/>
                <w:szCs w:val="18"/>
              </w:rPr>
              <w:t>传染病</w:t>
            </w:r>
          </w:p>
          <w:p>
            <w:pPr>
              <w:snapToGrid w:val="0"/>
              <w:spacing w:line="300" w:lineRule="auto"/>
              <w:rPr>
                <w:sz w:val="18"/>
                <w:szCs w:val="18"/>
              </w:rPr>
            </w:pPr>
            <w:r>
              <w:rPr>
                <w:kern w:val="0"/>
                <w:sz w:val="18"/>
                <w:szCs w:val="18"/>
              </w:rPr>
              <w:t>传染病概念、特征、传播方式及预防措施。学校中常见传染病如病毒性肝炎、肺结核、登革热、流行性感冒等呼吸道、肠道传染病等。</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ind w:firstLine="360" w:firstLineChars="200"/>
              <w:rPr>
                <w:sz w:val="18"/>
                <w:szCs w:val="18"/>
              </w:rPr>
            </w:pPr>
            <w:r>
              <w:rPr>
                <w:sz w:val="18"/>
                <w:szCs w:val="18"/>
              </w:rPr>
              <w:t>使学生了解传染病的概念、特征、传播方式及预防措施，常见传染病防控。</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某同学连续两周以上出现咳嗽、咳痰，或痰中带有血丝等类似于感冒的症状，排除在医院进行常规检查得出炎症或感冒等原因外，医生怀疑患了肺结核，建议排胸片。请你谈谈什么是肺结核？通过哪些传播途径？如何预防？</w:t>
            </w:r>
          </w:p>
          <w:p>
            <w:pPr>
              <w:snapToGrid w:val="0"/>
              <w:spacing w:line="300" w:lineRule="auto"/>
              <w:rPr>
                <w:sz w:val="18"/>
                <w:szCs w:val="18"/>
              </w:rPr>
            </w:pPr>
            <w:r>
              <w:rPr>
                <w:sz w:val="18"/>
                <w:szCs w:val="18"/>
              </w:rPr>
              <w:t>（2）以流行性感冒为例，说说常见呼吸道传染病的预防措施？</w:t>
            </w:r>
          </w:p>
          <w:p>
            <w:pPr>
              <w:snapToGrid w:val="0"/>
              <w:spacing w:line="300" w:lineRule="auto"/>
              <w:rPr>
                <w:sz w:val="18"/>
                <w:szCs w:val="18"/>
              </w:rPr>
            </w:pPr>
            <w:r>
              <w:rPr>
                <w:sz w:val="18"/>
                <w:szCs w:val="18"/>
              </w:rPr>
              <w:t>（3）简述传染病的预防措施？</w:t>
            </w:r>
          </w:p>
          <w:p>
            <w:pPr>
              <w:snapToGrid w:val="0"/>
              <w:spacing w:line="300" w:lineRule="auto"/>
              <w:rPr>
                <w:sz w:val="18"/>
                <w:szCs w:val="18"/>
              </w:rPr>
            </w:pPr>
            <w:r>
              <w:rPr>
                <w:sz w:val="18"/>
                <w:szCs w:val="18"/>
              </w:rPr>
              <w:t>（4）简述登革热的预防措施？</w:t>
            </w:r>
          </w:p>
          <w:p>
            <w:pPr>
              <w:snapToGrid w:val="0"/>
              <w:spacing w:line="300" w:lineRule="auto"/>
              <w:rPr>
                <w:sz w:val="18"/>
                <w:szCs w:val="18"/>
              </w:rPr>
            </w:pPr>
            <w:r>
              <w:rPr>
                <w:sz w:val="18"/>
                <w:szCs w:val="18"/>
              </w:rPr>
              <w:t>（5）网上查阅相关资料，写出一篇500字文章。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w:t>
            </w:r>
          </w:p>
        </w:tc>
        <w:tc>
          <w:tcPr>
            <w:tcW w:w="592" w:type="pct"/>
            <w:vAlign w:val="center"/>
          </w:tcPr>
          <w:p>
            <w:pPr>
              <w:snapToGrid w:val="0"/>
              <w:spacing w:line="300" w:lineRule="auto"/>
              <w:jc w:val="left"/>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6</w:t>
            </w:r>
          </w:p>
        </w:tc>
        <w:tc>
          <w:tcPr>
            <w:tcW w:w="855" w:type="pct"/>
            <w:vAlign w:val="center"/>
          </w:tcPr>
          <w:p>
            <w:pPr>
              <w:spacing w:line="300" w:lineRule="auto"/>
              <w:rPr>
                <w:sz w:val="18"/>
                <w:szCs w:val="18"/>
              </w:rPr>
            </w:pPr>
            <w:r>
              <w:rPr>
                <w:sz w:val="18"/>
                <w:szCs w:val="18"/>
              </w:rPr>
              <w:t>6</w:t>
            </w:r>
            <w:r>
              <w:rPr>
                <w:kern w:val="0"/>
                <w:sz w:val="18"/>
                <w:szCs w:val="18"/>
              </w:rPr>
              <w:t>常见症状及常见病防治</w:t>
            </w:r>
          </w:p>
          <w:p>
            <w:pPr>
              <w:snapToGrid w:val="0"/>
              <w:spacing w:line="300" w:lineRule="auto"/>
              <w:rPr>
                <w:sz w:val="18"/>
                <w:szCs w:val="18"/>
              </w:rPr>
            </w:pPr>
            <w:r>
              <w:rPr>
                <w:kern w:val="0"/>
                <w:sz w:val="18"/>
                <w:szCs w:val="18"/>
              </w:rPr>
              <w:t>常见症状的意义（头痛、发热、咳嗽、腹痛、便秘）及初步处理。常见病的防治（结膜炎、慢性鼻炎&lt;过敏性鼻炎&gt;、急性扁桃体炎、急性上呼吸道感染、急性支气管炎、肺炎、功能性消化不良、肠易激惹综合征、急性胃炎及急性胃肠炎、食物中毒与细菌性食物中毒、消化性溃疡、尿道感染、尿路结石、急性阑尾炎、脑震荡、痒肿、荨麻疹、癣、月经失调等）</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ind w:firstLine="360" w:firstLineChars="200"/>
              <w:rPr>
                <w:sz w:val="18"/>
                <w:szCs w:val="18"/>
              </w:rPr>
            </w:pPr>
            <w:r>
              <w:rPr>
                <w:sz w:val="18"/>
                <w:szCs w:val="18"/>
              </w:rPr>
              <w:t>使学生了解学校常见病及其防治知识。了解药物的概念，抗生素滥用对健康的危害。</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（1）夏秋季是急性胃肠炎高发季节，如何预防和治疗？</w:t>
            </w:r>
          </w:p>
          <w:p>
            <w:pPr>
              <w:snapToGrid w:val="0"/>
              <w:spacing w:line="300" w:lineRule="auto"/>
              <w:rPr>
                <w:sz w:val="18"/>
                <w:szCs w:val="18"/>
              </w:rPr>
            </w:pPr>
            <w:r>
              <w:rPr>
                <w:sz w:val="18"/>
                <w:szCs w:val="18"/>
              </w:rPr>
              <w:t>（2）夏秋季是食物中毒与细菌性食物中毒的高发期，请你谈谈什么是食物中毒？如何预防？</w:t>
            </w:r>
          </w:p>
          <w:p>
            <w:pPr>
              <w:snapToGrid w:val="0"/>
              <w:spacing w:line="300" w:lineRule="auto"/>
              <w:rPr>
                <w:sz w:val="18"/>
                <w:szCs w:val="18"/>
              </w:rPr>
            </w:pPr>
            <w:r>
              <w:rPr>
                <w:sz w:val="18"/>
                <w:szCs w:val="18"/>
              </w:rPr>
              <w:t>（3）谈谈尿路结石的病因、临床表现、防治方法及预防措施。</w:t>
            </w:r>
          </w:p>
          <w:p>
            <w:pPr>
              <w:snapToGrid w:val="0"/>
              <w:spacing w:line="300" w:lineRule="auto"/>
              <w:rPr>
                <w:sz w:val="18"/>
                <w:szCs w:val="18"/>
              </w:rPr>
            </w:pPr>
            <w:r>
              <w:rPr>
                <w:sz w:val="18"/>
                <w:szCs w:val="18"/>
              </w:rPr>
              <w:t>（4）某同学特别喜好踢足球，尤其每日下午5：30在晚餐后运动约1小时，某日突然感腹部疼痛，开始以上腹部为主，3-4小时候疼痛转移并固定于右下腹，该同学最可能患的是什么病？简述该病的病因、临床表现及预防治疗方法。</w:t>
            </w:r>
          </w:p>
          <w:p>
            <w:pPr>
              <w:snapToGrid w:val="0"/>
              <w:spacing w:line="300" w:lineRule="auto"/>
              <w:rPr>
                <w:sz w:val="18"/>
                <w:szCs w:val="18"/>
              </w:rPr>
            </w:pPr>
            <w:r>
              <w:rPr>
                <w:sz w:val="18"/>
                <w:szCs w:val="18"/>
              </w:rPr>
              <w:t>（5）李同学患了病毒性感冒到某医院就诊，医生给他开了抗病毒口服液（抗病毒治疗）和头孢类的抗生素（消炎治疗），这种做法合理吗？为什么？</w:t>
            </w:r>
          </w:p>
          <w:p>
            <w:pPr>
              <w:snapToGrid w:val="0"/>
              <w:spacing w:line="300" w:lineRule="auto"/>
              <w:rPr>
                <w:sz w:val="18"/>
                <w:szCs w:val="18"/>
              </w:rPr>
            </w:pPr>
            <w:r>
              <w:rPr>
                <w:sz w:val="18"/>
                <w:szCs w:val="18"/>
              </w:rPr>
              <w:t>（6）李同学患了病毒性感冒，自行到某药店购买了抗感冒药和头孢类的抗生素服用，这种做法合适吗？药店能卖给他抗生素类药物吗？为什么？</w:t>
            </w:r>
          </w:p>
          <w:p>
            <w:pPr>
              <w:snapToGrid w:val="0"/>
              <w:spacing w:line="300" w:lineRule="auto"/>
              <w:rPr>
                <w:sz w:val="18"/>
                <w:szCs w:val="18"/>
              </w:rPr>
            </w:pPr>
            <w:r>
              <w:rPr>
                <w:sz w:val="18"/>
                <w:szCs w:val="18"/>
              </w:rPr>
              <w:t>（7）网上查阅相关资料，写出一篇500字文章。</w:t>
            </w:r>
          </w:p>
          <w:p>
            <w:pPr>
              <w:snapToGrid w:val="0"/>
              <w:spacing w:line="300" w:lineRule="auto"/>
              <w:rPr>
                <w:sz w:val="18"/>
                <w:szCs w:val="18"/>
              </w:rPr>
            </w:pPr>
            <w:r>
              <w:rPr>
                <w:sz w:val="18"/>
                <w:szCs w:val="18"/>
              </w:rPr>
              <w:t xml:space="preserve">3.教学方法 </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1</w:t>
            </w:r>
          </w:p>
        </w:tc>
        <w:tc>
          <w:tcPr>
            <w:tcW w:w="592" w:type="pct"/>
            <w:vAlign w:val="center"/>
          </w:tcPr>
          <w:p>
            <w:pPr>
              <w:snapToGrid w:val="0"/>
              <w:spacing w:line="300" w:lineRule="auto"/>
              <w:jc w:val="left"/>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39" w:type="pct"/>
            <w:tcMar>
              <w:left w:w="57" w:type="dxa"/>
              <w:right w:w="57" w:type="dxa"/>
            </w:tcMar>
            <w:vAlign w:val="center"/>
          </w:tcPr>
          <w:p>
            <w:pPr>
              <w:snapToGrid w:val="0"/>
              <w:spacing w:line="300" w:lineRule="auto"/>
              <w:jc w:val="center"/>
              <w:rPr>
                <w:sz w:val="18"/>
                <w:szCs w:val="18"/>
              </w:rPr>
            </w:pPr>
            <w:r>
              <w:rPr>
                <w:sz w:val="18"/>
                <w:szCs w:val="18"/>
              </w:rPr>
              <w:t>7</w:t>
            </w:r>
          </w:p>
        </w:tc>
        <w:tc>
          <w:tcPr>
            <w:tcW w:w="855" w:type="pct"/>
            <w:vAlign w:val="center"/>
          </w:tcPr>
          <w:p>
            <w:pPr>
              <w:snapToGrid w:val="0"/>
              <w:spacing w:line="300" w:lineRule="auto"/>
              <w:rPr>
                <w:sz w:val="18"/>
                <w:szCs w:val="18"/>
              </w:rPr>
            </w:pPr>
            <w:r>
              <w:rPr>
                <w:sz w:val="18"/>
                <w:szCs w:val="18"/>
              </w:rPr>
              <w:t>7</w:t>
            </w:r>
            <w:r>
              <w:rPr>
                <w:kern w:val="0"/>
                <w:sz w:val="18"/>
                <w:szCs w:val="18"/>
              </w:rPr>
              <w:t>安全应急与避险</w:t>
            </w:r>
          </w:p>
          <w:p>
            <w:pPr>
              <w:snapToGrid w:val="0"/>
              <w:spacing w:line="300" w:lineRule="auto"/>
              <w:rPr>
                <w:sz w:val="18"/>
                <w:szCs w:val="18"/>
              </w:rPr>
            </w:pPr>
            <w:r>
              <w:rPr>
                <w:kern w:val="0"/>
                <w:sz w:val="18"/>
                <w:szCs w:val="18"/>
              </w:rPr>
              <w:t>创伤的急救方法（止血、包扎、固定、搬运）；心肺复苏；几种意外伤害的预防、自救与互救。</w:t>
            </w:r>
          </w:p>
        </w:tc>
        <w:tc>
          <w:tcPr>
            <w:tcW w:w="2791" w:type="pct"/>
            <w:vAlign w:val="center"/>
          </w:tcPr>
          <w:p>
            <w:pPr>
              <w:snapToGrid w:val="0"/>
              <w:spacing w:line="300" w:lineRule="auto"/>
              <w:rPr>
                <w:sz w:val="18"/>
                <w:szCs w:val="18"/>
              </w:rPr>
            </w:pPr>
            <w:r>
              <w:rPr>
                <w:sz w:val="18"/>
                <w:szCs w:val="18"/>
              </w:rPr>
              <w:t>1.要求</w:t>
            </w:r>
          </w:p>
          <w:p>
            <w:pPr>
              <w:snapToGrid w:val="0"/>
              <w:spacing w:line="300" w:lineRule="auto"/>
              <w:ind w:firstLine="360" w:firstLineChars="200"/>
              <w:rPr>
                <w:sz w:val="18"/>
                <w:szCs w:val="18"/>
              </w:rPr>
            </w:pPr>
            <w:r>
              <w:rPr>
                <w:sz w:val="18"/>
                <w:szCs w:val="18"/>
              </w:rPr>
              <w:t>树立安全避险意识，掌握常见突发事件和伤害的应急处置方法，提高自救与互救能力。</w:t>
            </w:r>
          </w:p>
          <w:p>
            <w:pPr>
              <w:snapToGrid w:val="0"/>
              <w:spacing w:line="300" w:lineRule="auto"/>
              <w:rPr>
                <w:sz w:val="18"/>
                <w:szCs w:val="18"/>
              </w:rPr>
            </w:pPr>
            <w:r>
              <w:rPr>
                <w:sz w:val="18"/>
                <w:szCs w:val="18"/>
              </w:rPr>
              <w:t>2.作业内容</w:t>
            </w:r>
          </w:p>
          <w:p>
            <w:pPr>
              <w:snapToGrid w:val="0"/>
              <w:spacing w:line="300" w:lineRule="auto"/>
              <w:rPr>
                <w:sz w:val="18"/>
                <w:szCs w:val="18"/>
              </w:rPr>
            </w:pPr>
            <w:r>
              <w:rPr>
                <w:sz w:val="18"/>
                <w:szCs w:val="18"/>
              </w:rPr>
              <w:t>（1）某同学在打球时，突然摔倒了，下肢疼痛难忍，无法移动，见出血，应如何处理？</w:t>
            </w:r>
          </w:p>
          <w:p>
            <w:pPr>
              <w:snapToGrid w:val="0"/>
              <w:spacing w:line="300" w:lineRule="auto"/>
              <w:rPr>
                <w:sz w:val="18"/>
                <w:szCs w:val="18"/>
              </w:rPr>
            </w:pPr>
            <w:r>
              <w:rPr>
                <w:sz w:val="18"/>
                <w:szCs w:val="18"/>
              </w:rPr>
              <w:t>（2）简述外伤急救四项救护技术？</w:t>
            </w:r>
          </w:p>
          <w:p>
            <w:pPr>
              <w:snapToGrid w:val="0"/>
              <w:spacing w:line="300" w:lineRule="auto"/>
            </w:pPr>
            <w:r>
              <w:rPr>
                <w:sz w:val="18"/>
                <w:szCs w:val="18"/>
              </w:rPr>
              <w:t>（3）湛江是亚热带地区，每年入夏，骄阳似火，闷热难当，在校学生中暑的情况时有发生。请你根据症状介绍不同类型的中暑特点，并告诉我们发生中暑后应如何处理？日常生活中，我们应该怎样防暑？</w:t>
            </w:r>
          </w:p>
          <w:p>
            <w:pPr>
              <w:snapToGrid w:val="0"/>
              <w:spacing w:line="300" w:lineRule="auto"/>
              <w:rPr>
                <w:sz w:val="18"/>
                <w:szCs w:val="18"/>
              </w:rPr>
            </w:pPr>
            <w:r>
              <w:rPr>
                <w:sz w:val="18"/>
                <w:szCs w:val="18"/>
              </w:rPr>
              <w:t>（4）在一个炎热的夏天，某同学在上完厕所站立时突感头晕、眼发黑，随之晕倒失去知觉，周围同学马上扶起来并背到校医院治疗，请问该做法对否？正确的应该如何处理？并简述晕厥的病因及症状。</w:t>
            </w:r>
          </w:p>
          <w:p>
            <w:pPr>
              <w:snapToGrid w:val="0"/>
              <w:spacing w:line="300" w:lineRule="auto"/>
              <w:rPr>
                <w:sz w:val="18"/>
                <w:szCs w:val="18"/>
              </w:rPr>
            </w:pPr>
            <w:r>
              <w:rPr>
                <w:sz w:val="18"/>
                <w:szCs w:val="18"/>
              </w:rPr>
              <w:t>（5）在救助一位游泳池溺水的学生时，你发现他脸色苍白没有反应，周围没有其他人可帮忙，你应该怎么办？</w:t>
            </w:r>
          </w:p>
          <w:p>
            <w:pPr>
              <w:snapToGrid w:val="0"/>
              <w:spacing w:line="300" w:lineRule="auto"/>
              <w:rPr>
                <w:sz w:val="18"/>
                <w:szCs w:val="18"/>
              </w:rPr>
            </w:pPr>
            <w:r>
              <w:rPr>
                <w:sz w:val="18"/>
                <w:szCs w:val="18"/>
              </w:rPr>
              <w:t>（6）遇到呼吸、</w:t>
            </w:r>
            <w:r>
              <w:rPr>
                <w:rFonts w:hint="eastAsia"/>
                <w:sz w:val="18"/>
                <w:szCs w:val="18"/>
              </w:rPr>
              <w:t>心搏骤停</w:t>
            </w:r>
            <w:r>
              <w:rPr>
                <w:sz w:val="18"/>
                <w:szCs w:val="18"/>
              </w:rPr>
              <w:t>的伤病员，如何通过人工呼吸和胸外心脏按压急救？</w:t>
            </w:r>
          </w:p>
          <w:p>
            <w:pPr>
              <w:snapToGrid w:val="0"/>
              <w:spacing w:line="300" w:lineRule="auto"/>
              <w:rPr>
                <w:sz w:val="18"/>
                <w:szCs w:val="18"/>
              </w:rPr>
            </w:pPr>
            <w:r>
              <w:rPr>
                <w:sz w:val="18"/>
                <w:szCs w:val="18"/>
              </w:rPr>
              <w:t>（7）在上学的路上，你发现一成年人突然倒下，他脸色苍白没有反应，周围没有其他人，这时你应该怎么办？</w:t>
            </w:r>
          </w:p>
          <w:p>
            <w:pPr>
              <w:snapToGrid w:val="0"/>
              <w:spacing w:line="300" w:lineRule="auto"/>
              <w:rPr>
                <w:sz w:val="18"/>
                <w:szCs w:val="18"/>
              </w:rPr>
            </w:pPr>
            <w:r>
              <w:rPr>
                <w:sz w:val="18"/>
                <w:szCs w:val="18"/>
              </w:rPr>
              <w:t>（8）网上查阅相关资料，写出一篇500字文章。</w:t>
            </w:r>
          </w:p>
          <w:p>
            <w:pPr>
              <w:snapToGrid w:val="0"/>
              <w:spacing w:line="300" w:lineRule="auto"/>
              <w:rPr>
                <w:sz w:val="18"/>
                <w:szCs w:val="18"/>
              </w:rPr>
            </w:pPr>
            <w:r>
              <w:rPr>
                <w:sz w:val="18"/>
                <w:szCs w:val="18"/>
              </w:rPr>
              <w:t>校医院提供人体模型，供班级学生实际操练。</w:t>
            </w:r>
          </w:p>
          <w:p>
            <w:pPr>
              <w:snapToGrid w:val="0"/>
              <w:spacing w:line="300" w:lineRule="auto"/>
              <w:rPr>
                <w:sz w:val="18"/>
                <w:szCs w:val="18"/>
              </w:rPr>
            </w:pPr>
            <w:r>
              <w:rPr>
                <w:sz w:val="18"/>
                <w:szCs w:val="18"/>
              </w:rPr>
              <w:t>3.教学方法：</w:t>
            </w:r>
          </w:p>
          <w:p>
            <w:pPr>
              <w:snapToGrid w:val="0"/>
              <w:spacing w:line="300" w:lineRule="auto"/>
              <w:ind w:firstLine="360" w:firstLineChars="200"/>
              <w:rPr>
                <w:sz w:val="18"/>
                <w:szCs w:val="18"/>
              </w:rPr>
            </w:pPr>
            <w:r>
              <w:rPr>
                <w:sz w:val="18"/>
                <w:szCs w:val="18"/>
              </w:rPr>
              <w:t>讲授式、讨论式与启发式相结合。</w:t>
            </w:r>
          </w:p>
        </w:tc>
        <w:tc>
          <w:tcPr>
            <w:tcW w:w="423" w:type="pct"/>
            <w:vAlign w:val="center"/>
          </w:tcPr>
          <w:p>
            <w:pPr>
              <w:snapToGrid w:val="0"/>
              <w:spacing w:line="300" w:lineRule="auto"/>
              <w:jc w:val="center"/>
              <w:rPr>
                <w:sz w:val="18"/>
                <w:szCs w:val="18"/>
              </w:rPr>
            </w:pPr>
            <w:r>
              <w:rPr>
                <w:sz w:val="18"/>
                <w:szCs w:val="18"/>
              </w:rPr>
              <w:t>2</w:t>
            </w:r>
          </w:p>
        </w:tc>
        <w:tc>
          <w:tcPr>
            <w:tcW w:w="592" w:type="pct"/>
            <w:vAlign w:val="center"/>
          </w:tcPr>
          <w:p>
            <w:pPr>
              <w:snapToGrid w:val="0"/>
              <w:spacing w:line="300" w:lineRule="auto"/>
              <w:jc w:val="left"/>
              <w:rPr>
                <w:sz w:val="18"/>
                <w:szCs w:val="18"/>
              </w:rPr>
            </w:pPr>
            <w:r>
              <w:rPr>
                <w:sz w:val="18"/>
                <w:szCs w:val="18"/>
              </w:rPr>
              <w:t>5</w:t>
            </w:r>
          </w:p>
        </w:tc>
      </w:tr>
    </w:tbl>
    <w:p>
      <w:pPr>
        <w:snapToGrid w:val="0"/>
        <w:spacing w:before="156" w:beforeLines="50" w:after="156" w:afterLines="50" w:line="300" w:lineRule="auto"/>
        <w:rPr>
          <w:b/>
          <w:sz w:val="24"/>
        </w:rPr>
      </w:pPr>
      <w:r>
        <w:rPr>
          <w:b/>
          <w:sz w:val="24"/>
        </w:rPr>
        <w:t>五、课程考核及成绩评定</w:t>
      </w:r>
    </w:p>
    <w:p>
      <w:pPr>
        <w:snapToGrid w:val="0"/>
        <w:spacing w:line="300" w:lineRule="auto"/>
        <w:ind w:firstLine="420" w:firstLineChars="200"/>
      </w:pPr>
      <w:r>
        <w:t>1．考核方式：</w:t>
      </w:r>
      <w:r>
        <w:rPr>
          <w:szCs w:val="21"/>
        </w:rPr>
        <w:t>课程论文，课堂考勤和讨论以及作业。</w:t>
      </w:r>
    </w:p>
    <w:p>
      <w:pPr>
        <w:snapToGrid w:val="0"/>
        <w:spacing w:line="300" w:lineRule="auto"/>
        <w:ind w:firstLine="420" w:firstLineChars="200"/>
      </w:pPr>
      <w:r>
        <w:t>2．成绩构成：</w:t>
      </w:r>
      <w:r>
        <w:rPr>
          <w:szCs w:val="21"/>
        </w:rPr>
        <w:t>课程论文70%，平时成绩30%（课堂考勤、讨论以及作业）。</w:t>
      </w:r>
    </w:p>
    <w:p>
      <w:pPr>
        <w:snapToGrid w:val="0"/>
        <w:spacing w:line="300" w:lineRule="auto"/>
        <w:ind w:firstLine="420" w:firstLineChars="200"/>
      </w:pPr>
      <w:r>
        <w:t>3．考核评价标准见表4所示。</w:t>
      </w:r>
    </w:p>
    <w:p>
      <w:pPr>
        <w:snapToGrid w:val="0"/>
        <w:spacing w:before="156" w:beforeLines="50" w:line="300" w:lineRule="auto"/>
        <w:ind w:firstLine="361" w:firstLineChars="200"/>
        <w:jc w:val="center"/>
        <w:rPr>
          <w:b/>
          <w:bCs/>
          <w:sz w:val="18"/>
          <w:szCs w:val="18"/>
        </w:rPr>
      </w:pPr>
      <w:r>
        <w:rPr>
          <w:b/>
          <w:bCs/>
          <w:sz w:val="18"/>
          <w:szCs w:val="18"/>
        </w:rPr>
        <w:t>表4教学目标评价标准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634"/>
        <w:gridCol w:w="631"/>
        <w:gridCol w:w="615"/>
        <w:gridCol w:w="637"/>
        <w:gridCol w:w="3475"/>
        <w:gridCol w:w="895"/>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72" w:type="pct"/>
            <w:vAlign w:val="center"/>
          </w:tcPr>
          <w:p>
            <w:pPr>
              <w:snapToGrid w:val="0"/>
              <w:spacing w:line="300" w:lineRule="auto"/>
              <w:jc w:val="center"/>
              <w:rPr>
                <w:b/>
                <w:bCs/>
                <w:sz w:val="18"/>
                <w:szCs w:val="18"/>
              </w:rPr>
            </w:pPr>
            <w:r>
              <w:rPr>
                <w:b/>
                <w:bCs/>
                <w:sz w:val="18"/>
                <w:szCs w:val="18"/>
              </w:rPr>
              <w:t>成绩</w:t>
            </w:r>
          </w:p>
          <w:p>
            <w:pPr>
              <w:snapToGrid w:val="0"/>
              <w:spacing w:line="300" w:lineRule="auto"/>
              <w:jc w:val="center"/>
              <w:rPr>
                <w:b/>
                <w:bCs/>
                <w:sz w:val="18"/>
                <w:szCs w:val="18"/>
              </w:rPr>
            </w:pPr>
            <w:r>
              <w:rPr>
                <w:b/>
                <w:bCs/>
                <w:sz w:val="18"/>
                <w:szCs w:val="18"/>
              </w:rPr>
              <w:t>类型</w:t>
            </w:r>
          </w:p>
        </w:tc>
        <w:tc>
          <w:tcPr>
            <w:tcW w:w="372" w:type="pct"/>
            <w:vAlign w:val="center"/>
          </w:tcPr>
          <w:p>
            <w:pPr>
              <w:snapToGrid w:val="0"/>
              <w:spacing w:line="300" w:lineRule="auto"/>
              <w:jc w:val="center"/>
              <w:rPr>
                <w:b/>
                <w:bCs/>
                <w:sz w:val="18"/>
                <w:szCs w:val="18"/>
              </w:rPr>
            </w:pPr>
            <w:r>
              <w:rPr>
                <w:b/>
                <w:bCs/>
                <w:sz w:val="18"/>
                <w:szCs w:val="18"/>
              </w:rPr>
              <w:t>分值</w:t>
            </w:r>
          </w:p>
        </w:tc>
        <w:tc>
          <w:tcPr>
            <w:tcW w:w="370" w:type="pct"/>
            <w:vAlign w:val="center"/>
          </w:tcPr>
          <w:p>
            <w:pPr>
              <w:snapToGrid w:val="0"/>
              <w:spacing w:line="300" w:lineRule="auto"/>
              <w:jc w:val="center"/>
              <w:rPr>
                <w:b/>
                <w:bCs/>
                <w:sz w:val="18"/>
                <w:szCs w:val="18"/>
              </w:rPr>
            </w:pPr>
            <w:r>
              <w:rPr>
                <w:b/>
                <w:bCs/>
                <w:sz w:val="18"/>
                <w:szCs w:val="18"/>
              </w:rPr>
              <w:t>权重</w:t>
            </w:r>
          </w:p>
        </w:tc>
        <w:tc>
          <w:tcPr>
            <w:tcW w:w="361" w:type="pct"/>
            <w:vAlign w:val="center"/>
          </w:tcPr>
          <w:p>
            <w:pPr>
              <w:snapToGrid w:val="0"/>
              <w:spacing w:line="300" w:lineRule="auto"/>
              <w:jc w:val="center"/>
              <w:rPr>
                <w:b/>
                <w:bCs/>
                <w:sz w:val="18"/>
                <w:szCs w:val="18"/>
              </w:rPr>
            </w:pPr>
            <w:r>
              <w:rPr>
                <w:b/>
                <w:bCs/>
                <w:sz w:val="18"/>
                <w:szCs w:val="18"/>
              </w:rPr>
              <w:t>类别</w:t>
            </w:r>
          </w:p>
        </w:tc>
        <w:tc>
          <w:tcPr>
            <w:tcW w:w="374" w:type="pct"/>
            <w:vAlign w:val="center"/>
          </w:tcPr>
          <w:p>
            <w:pPr>
              <w:snapToGrid w:val="0"/>
              <w:spacing w:line="300" w:lineRule="auto"/>
              <w:jc w:val="center"/>
              <w:rPr>
                <w:b/>
                <w:bCs/>
                <w:sz w:val="18"/>
                <w:szCs w:val="18"/>
              </w:rPr>
            </w:pPr>
            <w:r>
              <w:rPr>
                <w:b/>
                <w:bCs/>
                <w:sz w:val="18"/>
                <w:szCs w:val="18"/>
              </w:rPr>
              <w:t>权重</w:t>
            </w:r>
          </w:p>
        </w:tc>
        <w:tc>
          <w:tcPr>
            <w:tcW w:w="2039" w:type="pct"/>
            <w:vAlign w:val="center"/>
          </w:tcPr>
          <w:p>
            <w:pPr>
              <w:snapToGrid w:val="0"/>
              <w:spacing w:line="300" w:lineRule="auto"/>
              <w:jc w:val="center"/>
              <w:rPr>
                <w:b/>
                <w:bCs/>
                <w:sz w:val="18"/>
                <w:szCs w:val="18"/>
              </w:rPr>
            </w:pPr>
            <w:r>
              <w:rPr>
                <w:b/>
                <w:bCs/>
                <w:sz w:val="18"/>
                <w:szCs w:val="18"/>
              </w:rPr>
              <w:t>考核/评价细则</w:t>
            </w:r>
          </w:p>
        </w:tc>
        <w:tc>
          <w:tcPr>
            <w:tcW w:w="525" w:type="pct"/>
            <w:vAlign w:val="center"/>
          </w:tcPr>
          <w:p>
            <w:pPr>
              <w:snapToGrid w:val="0"/>
              <w:spacing w:line="300" w:lineRule="auto"/>
              <w:jc w:val="center"/>
              <w:rPr>
                <w:b/>
                <w:bCs/>
                <w:sz w:val="18"/>
                <w:szCs w:val="18"/>
              </w:rPr>
            </w:pPr>
            <w:r>
              <w:rPr>
                <w:b/>
                <w:bCs/>
                <w:sz w:val="18"/>
                <w:szCs w:val="18"/>
              </w:rPr>
              <w:t>课程</w:t>
            </w:r>
          </w:p>
          <w:p>
            <w:pPr>
              <w:snapToGrid w:val="0"/>
              <w:spacing w:line="300" w:lineRule="auto"/>
              <w:jc w:val="center"/>
              <w:rPr>
                <w:b/>
                <w:bCs/>
                <w:sz w:val="18"/>
                <w:szCs w:val="18"/>
              </w:rPr>
            </w:pPr>
            <w:r>
              <w:rPr>
                <w:b/>
                <w:bCs/>
                <w:sz w:val="18"/>
                <w:szCs w:val="18"/>
              </w:rPr>
              <w:t>目标</w:t>
            </w:r>
          </w:p>
        </w:tc>
        <w:tc>
          <w:tcPr>
            <w:tcW w:w="587" w:type="pct"/>
            <w:vAlign w:val="center"/>
          </w:tcPr>
          <w:p>
            <w:pPr>
              <w:snapToGrid w:val="0"/>
              <w:spacing w:line="300" w:lineRule="auto"/>
              <w:jc w:val="center"/>
              <w:rPr>
                <w:b/>
                <w:bCs/>
                <w:sz w:val="18"/>
                <w:szCs w:val="18"/>
              </w:rPr>
            </w:pPr>
            <w:r>
              <w:rPr>
                <w:rFonts w:hint="eastAsia"/>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372" w:type="pct"/>
            <w:vMerge w:val="restart"/>
            <w:vAlign w:val="center"/>
          </w:tcPr>
          <w:p>
            <w:pPr>
              <w:snapToGrid w:val="0"/>
              <w:spacing w:line="300" w:lineRule="auto"/>
              <w:jc w:val="left"/>
              <w:rPr>
                <w:sz w:val="18"/>
                <w:szCs w:val="18"/>
              </w:rPr>
            </w:pPr>
            <w:r>
              <w:rPr>
                <w:sz w:val="18"/>
                <w:szCs w:val="18"/>
              </w:rPr>
              <w:t>平时成绩</w:t>
            </w:r>
          </w:p>
        </w:tc>
        <w:tc>
          <w:tcPr>
            <w:tcW w:w="372" w:type="pct"/>
            <w:vMerge w:val="restart"/>
            <w:vAlign w:val="center"/>
          </w:tcPr>
          <w:p>
            <w:pPr>
              <w:snapToGrid w:val="0"/>
              <w:spacing w:line="300" w:lineRule="auto"/>
              <w:jc w:val="center"/>
              <w:rPr>
                <w:sz w:val="18"/>
                <w:szCs w:val="18"/>
              </w:rPr>
            </w:pPr>
            <w:r>
              <w:rPr>
                <w:sz w:val="18"/>
                <w:szCs w:val="18"/>
              </w:rPr>
              <w:t>100</w:t>
            </w:r>
          </w:p>
        </w:tc>
        <w:tc>
          <w:tcPr>
            <w:tcW w:w="370" w:type="pct"/>
            <w:vMerge w:val="restart"/>
            <w:vAlign w:val="center"/>
          </w:tcPr>
          <w:p>
            <w:pPr>
              <w:snapToGrid w:val="0"/>
              <w:spacing w:line="300" w:lineRule="auto"/>
              <w:jc w:val="center"/>
              <w:rPr>
                <w:sz w:val="18"/>
                <w:szCs w:val="18"/>
              </w:rPr>
            </w:pPr>
            <w:r>
              <w:rPr>
                <w:sz w:val="18"/>
                <w:szCs w:val="18"/>
              </w:rPr>
              <w:t>0.3</w:t>
            </w:r>
          </w:p>
        </w:tc>
        <w:tc>
          <w:tcPr>
            <w:tcW w:w="361" w:type="pct"/>
            <w:vMerge w:val="restart"/>
            <w:vAlign w:val="center"/>
          </w:tcPr>
          <w:p>
            <w:pPr>
              <w:snapToGrid w:val="0"/>
              <w:spacing w:line="300" w:lineRule="auto"/>
              <w:jc w:val="center"/>
              <w:rPr>
                <w:sz w:val="18"/>
                <w:szCs w:val="18"/>
              </w:rPr>
            </w:pPr>
            <w:r>
              <w:rPr>
                <w:sz w:val="18"/>
                <w:szCs w:val="18"/>
              </w:rPr>
              <w:t>课堂考勤</w:t>
            </w:r>
          </w:p>
        </w:tc>
        <w:tc>
          <w:tcPr>
            <w:tcW w:w="374" w:type="pct"/>
            <w:vAlign w:val="center"/>
          </w:tcPr>
          <w:p>
            <w:pPr>
              <w:snapToGrid w:val="0"/>
              <w:spacing w:line="300" w:lineRule="auto"/>
              <w:jc w:val="center"/>
              <w:rPr>
                <w:sz w:val="18"/>
                <w:szCs w:val="18"/>
              </w:rPr>
            </w:pPr>
            <w:r>
              <w:rPr>
                <w:sz w:val="18"/>
                <w:szCs w:val="18"/>
              </w:rPr>
              <w:t>0.012</w:t>
            </w:r>
          </w:p>
        </w:tc>
        <w:tc>
          <w:tcPr>
            <w:tcW w:w="2039" w:type="pct"/>
            <w:vMerge w:val="restart"/>
            <w:vAlign w:val="center"/>
          </w:tcPr>
          <w:p>
            <w:pPr>
              <w:snapToGrid w:val="0"/>
              <w:spacing w:line="300" w:lineRule="auto"/>
              <w:rPr>
                <w:sz w:val="18"/>
                <w:szCs w:val="18"/>
              </w:rPr>
            </w:pPr>
            <w:r>
              <w:rPr>
                <w:sz w:val="18"/>
                <w:szCs w:val="18"/>
              </w:rPr>
              <w:t>根据学生课堂表现打分，</w:t>
            </w:r>
            <w:r>
              <w:rPr>
                <w:rFonts w:hint="eastAsia"/>
                <w:sz w:val="18"/>
                <w:szCs w:val="18"/>
              </w:rPr>
              <w:t>共5次打分，每次</w:t>
            </w:r>
            <w:r>
              <w:rPr>
                <w:sz w:val="18"/>
                <w:szCs w:val="18"/>
              </w:rPr>
              <w:t>满分20</w:t>
            </w:r>
            <w:r>
              <w:rPr>
                <w:rFonts w:hint="eastAsia"/>
                <w:sz w:val="18"/>
                <w:szCs w:val="18"/>
              </w:rPr>
              <w:t>，课堂考勤总成绩1</w:t>
            </w:r>
            <w:r>
              <w:rPr>
                <w:sz w:val="18"/>
                <w:szCs w:val="18"/>
              </w:rPr>
              <w:t>00</w:t>
            </w:r>
            <w:r>
              <w:rPr>
                <w:rFonts w:hint="eastAsia"/>
                <w:sz w:val="18"/>
                <w:szCs w:val="18"/>
              </w:rPr>
              <w:t>分</w:t>
            </w:r>
            <w:r>
              <w:rPr>
                <w:sz w:val="18"/>
                <w:szCs w:val="18"/>
              </w:rPr>
              <w:t>。</w:t>
            </w:r>
          </w:p>
        </w:tc>
        <w:tc>
          <w:tcPr>
            <w:tcW w:w="525" w:type="pct"/>
            <w:vAlign w:val="center"/>
          </w:tcPr>
          <w:p>
            <w:pPr>
              <w:snapToGrid w:val="0"/>
              <w:spacing w:line="300" w:lineRule="auto"/>
              <w:jc w:val="center"/>
              <w:rPr>
                <w:sz w:val="18"/>
                <w:szCs w:val="18"/>
              </w:rPr>
            </w:pPr>
            <w:r>
              <w:rPr>
                <w:sz w:val="18"/>
                <w:szCs w:val="18"/>
              </w:rPr>
              <w:t>1</w:t>
            </w:r>
          </w:p>
        </w:tc>
        <w:tc>
          <w:tcPr>
            <w:tcW w:w="587" w:type="pct"/>
            <w:vMerge w:val="restart"/>
            <w:vAlign w:val="center"/>
          </w:tcPr>
          <w:p>
            <w:pPr>
              <w:snapToGrid w:val="0"/>
              <w:spacing w:line="300" w:lineRule="auto"/>
              <w:jc w:val="center"/>
              <w:rPr>
                <w:sz w:val="18"/>
                <w:szCs w:val="18"/>
              </w:rPr>
            </w:pPr>
            <w:r>
              <w:rPr>
                <w:rFonts w:hint="eastAsia"/>
                <w:sz w:val="18"/>
                <w:szCs w:val="18"/>
              </w:rPr>
              <w:t>7</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0.012</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2</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0.012</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3</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0.012</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4</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0.012</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5</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restart"/>
            <w:vAlign w:val="center"/>
          </w:tcPr>
          <w:p>
            <w:pPr>
              <w:snapToGrid w:val="0"/>
              <w:spacing w:line="300" w:lineRule="auto"/>
              <w:jc w:val="center"/>
              <w:rPr>
                <w:sz w:val="18"/>
                <w:szCs w:val="18"/>
              </w:rPr>
            </w:pPr>
            <w:r>
              <w:rPr>
                <w:sz w:val="18"/>
                <w:szCs w:val="18"/>
              </w:rPr>
              <w:t>讨论</w:t>
            </w:r>
          </w:p>
        </w:tc>
        <w:tc>
          <w:tcPr>
            <w:tcW w:w="374" w:type="pct"/>
            <w:vAlign w:val="center"/>
          </w:tcPr>
          <w:p>
            <w:pPr>
              <w:snapToGrid w:val="0"/>
              <w:spacing w:line="300" w:lineRule="auto"/>
              <w:jc w:val="center"/>
              <w:rPr>
                <w:sz w:val="18"/>
                <w:szCs w:val="18"/>
              </w:rPr>
            </w:pPr>
            <w:r>
              <w:rPr>
                <w:sz w:val="18"/>
                <w:szCs w:val="18"/>
              </w:rPr>
              <w:t>0.018</w:t>
            </w:r>
          </w:p>
        </w:tc>
        <w:tc>
          <w:tcPr>
            <w:tcW w:w="2039" w:type="pct"/>
            <w:vMerge w:val="restart"/>
            <w:vAlign w:val="center"/>
          </w:tcPr>
          <w:p>
            <w:pPr>
              <w:snapToGrid w:val="0"/>
              <w:spacing w:line="300" w:lineRule="auto"/>
              <w:jc w:val="left"/>
              <w:rPr>
                <w:sz w:val="18"/>
                <w:szCs w:val="18"/>
              </w:rPr>
            </w:pPr>
            <w:r>
              <w:rPr>
                <w:sz w:val="18"/>
                <w:szCs w:val="18"/>
              </w:rPr>
              <w:t>根据学生课堂讨论的表现打分，</w:t>
            </w:r>
            <w:r>
              <w:rPr>
                <w:rFonts w:hint="eastAsia"/>
                <w:sz w:val="18"/>
                <w:szCs w:val="18"/>
              </w:rPr>
              <w:t>共5次讨论，每次讨论</w:t>
            </w:r>
            <w:r>
              <w:rPr>
                <w:sz w:val="18"/>
                <w:szCs w:val="18"/>
              </w:rPr>
              <w:t>满分20</w:t>
            </w:r>
            <w:r>
              <w:rPr>
                <w:rFonts w:hint="eastAsia"/>
                <w:sz w:val="18"/>
                <w:szCs w:val="18"/>
              </w:rPr>
              <w:t>，讨论总成绩1</w:t>
            </w:r>
            <w:r>
              <w:rPr>
                <w:sz w:val="18"/>
                <w:szCs w:val="18"/>
              </w:rPr>
              <w:t>00</w:t>
            </w:r>
            <w:r>
              <w:rPr>
                <w:rFonts w:hint="eastAsia"/>
                <w:sz w:val="18"/>
                <w:szCs w:val="18"/>
              </w:rPr>
              <w:t>分</w:t>
            </w:r>
            <w:r>
              <w:rPr>
                <w:sz w:val="18"/>
                <w:szCs w:val="18"/>
              </w:rPr>
              <w:t>。</w:t>
            </w:r>
          </w:p>
        </w:tc>
        <w:tc>
          <w:tcPr>
            <w:tcW w:w="525" w:type="pct"/>
            <w:vAlign w:val="center"/>
          </w:tcPr>
          <w:p>
            <w:pPr>
              <w:snapToGrid w:val="0"/>
              <w:spacing w:line="300" w:lineRule="auto"/>
              <w:jc w:val="center"/>
              <w:rPr>
                <w:sz w:val="18"/>
                <w:szCs w:val="18"/>
              </w:rPr>
            </w:pPr>
            <w:r>
              <w:rPr>
                <w:sz w:val="18"/>
                <w:szCs w:val="18"/>
              </w:rPr>
              <w:t>1</w:t>
            </w:r>
          </w:p>
        </w:tc>
        <w:tc>
          <w:tcPr>
            <w:tcW w:w="587" w:type="pct"/>
            <w:vMerge w:val="restart"/>
            <w:vAlign w:val="center"/>
          </w:tcPr>
          <w:p>
            <w:pPr>
              <w:snapToGrid w:val="0"/>
              <w:spacing w:line="300" w:lineRule="auto"/>
              <w:jc w:val="center"/>
              <w:rPr>
                <w:sz w:val="18"/>
                <w:szCs w:val="18"/>
              </w:rPr>
            </w:pPr>
            <w:r>
              <w:rPr>
                <w:rFonts w:hint="eastAsia"/>
                <w:sz w:val="18"/>
                <w:szCs w:val="18"/>
              </w:rPr>
              <w:t>7</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0.018</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2</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0.018</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3</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0.018</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4</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0.018</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5</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restart"/>
            <w:vAlign w:val="center"/>
          </w:tcPr>
          <w:p>
            <w:pPr>
              <w:snapToGrid w:val="0"/>
              <w:spacing w:line="300" w:lineRule="auto"/>
              <w:jc w:val="center"/>
              <w:rPr>
                <w:sz w:val="18"/>
                <w:szCs w:val="18"/>
              </w:rPr>
            </w:pPr>
            <w:r>
              <w:rPr>
                <w:sz w:val="18"/>
                <w:szCs w:val="18"/>
              </w:rPr>
              <w:t>作业</w:t>
            </w:r>
          </w:p>
        </w:tc>
        <w:tc>
          <w:tcPr>
            <w:tcW w:w="374" w:type="pct"/>
            <w:vAlign w:val="center"/>
          </w:tcPr>
          <w:p>
            <w:pPr>
              <w:snapToGrid w:val="0"/>
              <w:spacing w:line="300" w:lineRule="auto"/>
              <w:jc w:val="center"/>
              <w:rPr>
                <w:sz w:val="18"/>
                <w:szCs w:val="18"/>
              </w:rPr>
            </w:pPr>
            <w:r>
              <w:rPr>
                <w:sz w:val="18"/>
                <w:szCs w:val="18"/>
              </w:rPr>
              <w:t>0.03</w:t>
            </w:r>
          </w:p>
        </w:tc>
        <w:tc>
          <w:tcPr>
            <w:tcW w:w="2039" w:type="pct"/>
            <w:vMerge w:val="restart"/>
            <w:vAlign w:val="center"/>
          </w:tcPr>
          <w:p>
            <w:pPr>
              <w:snapToGrid w:val="0"/>
              <w:spacing w:line="300" w:lineRule="auto"/>
              <w:jc w:val="left"/>
              <w:rPr>
                <w:sz w:val="18"/>
                <w:szCs w:val="18"/>
              </w:rPr>
            </w:pPr>
            <w:r>
              <w:rPr>
                <w:rFonts w:hint="eastAsia"/>
                <w:sz w:val="18"/>
                <w:szCs w:val="18"/>
              </w:rPr>
              <w:t>根据</w:t>
            </w:r>
            <w:r>
              <w:rPr>
                <w:sz w:val="18"/>
                <w:szCs w:val="18"/>
              </w:rPr>
              <w:t>学生对知识点的理解和掌握程度</w:t>
            </w:r>
            <w:r>
              <w:rPr>
                <w:rFonts w:hint="eastAsia"/>
                <w:sz w:val="18"/>
                <w:szCs w:val="18"/>
              </w:rPr>
              <w:t>评分</w:t>
            </w:r>
            <w:r>
              <w:rPr>
                <w:sz w:val="18"/>
                <w:szCs w:val="18"/>
              </w:rPr>
              <w:t>；</w:t>
            </w:r>
            <w:r>
              <w:rPr>
                <w:rFonts w:hint="eastAsia"/>
                <w:sz w:val="18"/>
                <w:szCs w:val="18"/>
              </w:rPr>
              <w:t>共5次作业，</w:t>
            </w:r>
            <w:r>
              <w:rPr>
                <w:sz w:val="18"/>
                <w:szCs w:val="18"/>
              </w:rPr>
              <w:t>每次作业</w:t>
            </w:r>
            <w:r>
              <w:rPr>
                <w:rFonts w:hint="eastAsia"/>
                <w:sz w:val="18"/>
                <w:szCs w:val="18"/>
              </w:rPr>
              <w:t>满分</w:t>
            </w:r>
            <w:r>
              <w:rPr>
                <w:sz w:val="18"/>
                <w:szCs w:val="18"/>
              </w:rPr>
              <w:t>20分</w:t>
            </w:r>
            <w:r>
              <w:rPr>
                <w:rFonts w:hint="eastAsia"/>
                <w:sz w:val="18"/>
                <w:szCs w:val="18"/>
              </w:rPr>
              <w:t>，作业总成绩1</w:t>
            </w:r>
            <w:r>
              <w:rPr>
                <w:sz w:val="18"/>
                <w:szCs w:val="18"/>
              </w:rPr>
              <w:t>00</w:t>
            </w:r>
            <w:r>
              <w:rPr>
                <w:rFonts w:hint="eastAsia"/>
                <w:sz w:val="18"/>
                <w:szCs w:val="18"/>
              </w:rPr>
              <w:t>分。</w:t>
            </w:r>
          </w:p>
        </w:tc>
        <w:tc>
          <w:tcPr>
            <w:tcW w:w="525" w:type="pct"/>
            <w:vAlign w:val="center"/>
          </w:tcPr>
          <w:p>
            <w:pPr>
              <w:snapToGrid w:val="0"/>
              <w:spacing w:line="300" w:lineRule="auto"/>
              <w:jc w:val="center"/>
              <w:rPr>
                <w:sz w:val="18"/>
                <w:szCs w:val="18"/>
              </w:rPr>
            </w:pPr>
            <w:r>
              <w:rPr>
                <w:sz w:val="18"/>
                <w:szCs w:val="18"/>
              </w:rPr>
              <w:t>1</w:t>
            </w:r>
          </w:p>
        </w:tc>
        <w:tc>
          <w:tcPr>
            <w:tcW w:w="587" w:type="pct"/>
            <w:vMerge w:val="restart"/>
            <w:vAlign w:val="center"/>
          </w:tcPr>
          <w:p>
            <w:pPr>
              <w:snapToGrid w:val="0"/>
              <w:spacing w:line="300" w:lineRule="auto"/>
              <w:jc w:val="center"/>
              <w:rPr>
                <w:sz w:val="18"/>
                <w:szCs w:val="18"/>
              </w:rPr>
            </w:pPr>
            <w:r>
              <w:rPr>
                <w:rFonts w:hint="eastAsia"/>
                <w:sz w:val="18"/>
                <w:szCs w:val="18"/>
              </w:rPr>
              <w:t>7</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0.03</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2</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0.03</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3</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0.03</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4</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72" w:type="pct"/>
            <w:vMerge w:val="continue"/>
            <w:vAlign w:val="center"/>
          </w:tcPr>
          <w:p>
            <w:pPr>
              <w:snapToGrid w:val="0"/>
              <w:spacing w:line="300" w:lineRule="auto"/>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center"/>
              <w:rPr>
                <w:sz w:val="18"/>
                <w:szCs w:val="18"/>
              </w:rPr>
            </w:pPr>
          </w:p>
        </w:tc>
        <w:tc>
          <w:tcPr>
            <w:tcW w:w="374" w:type="pct"/>
            <w:vAlign w:val="center"/>
          </w:tcPr>
          <w:p>
            <w:pPr>
              <w:snapToGrid w:val="0"/>
              <w:spacing w:line="300" w:lineRule="auto"/>
              <w:jc w:val="center"/>
              <w:rPr>
                <w:sz w:val="18"/>
                <w:szCs w:val="18"/>
              </w:rPr>
            </w:pPr>
            <w:r>
              <w:rPr>
                <w:sz w:val="18"/>
                <w:szCs w:val="18"/>
              </w:rPr>
              <w:t>0.03</w:t>
            </w:r>
          </w:p>
        </w:tc>
        <w:tc>
          <w:tcPr>
            <w:tcW w:w="2039" w:type="pct"/>
            <w:vMerge w:val="continue"/>
            <w:vAlign w:val="center"/>
          </w:tcPr>
          <w:p>
            <w:pPr>
              <w:snapToGrid w:val="0"/>
              <w:spacing w:line="300" w:lineRule="auto"/>
              <w:jc w:val="left"/>
              <w:rPr>
                <w:sz w:val="18"/>
                <w:szCs w:val="18"/>
              </w:rPr>
            </w:pPr>
          </w:p>
        </w:tc>
        <w:tc>
          <w:tcPr>
            <w:tcW w:w="525" w:type="pct"/>
            <w:vAlign w:val="center"/>
          </w:tcPr>
          <w:p>
            <w:pPr>
              <w:snapToGrid w:val="0"/>
              <w:spacing w:line="300" w:lineRule="auto"/>
              <w:jc w:val="center"/>
              <w:rPr>
                <w:sz w:val="18"/>
                <w:szCs w:val="18"/>
              </w:rPr>
            </w:pPr>
            <w:r>
              <w:rPr>
                <w:rFonts w:hint="eastAsia"/>
                <w:sz w:val="18"/>
                <w:szCs w:val="18"/>
              </w:rPr>
              <w:t>5</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72" w:type="pct"/>
            <w:vMerge w:val="restart"/>
            <w:vAlign w:val="center"/>
          </w:tcPr>
          <w:p>
            <w:pPr>
              <w:snapToGrid w:val="0"/>
              <w:spacing w:line="300" w:lineRule="auto"/>
              <w:jc w:val="left"/>
              <w:rPr>
                <w:sz w:val="18"/>
                <w:szCs w:val="18"/>
              </w:rPr>
            </w:pPr>
            <w:r>
              <w:rPr>
                <w:sz w:val="18"/>
                <w:szCs w:val="18"/>
              </w:rPr>
              <w:t>期末考试成绩</w:t>
            </w:r>
          </w:p>
        </w:tc>
        <w:tc>
          <w:tcPr>
            <w:tcW w:w="372" w:type="pct"/>
            <w:vMerge w:val="restart"/>
            <w:vAlign w:val="center"/>
          </w:tcPr>
          <w:p>
            <w:pPr>
              <w:snapToGrid w:val="0"/>
              <w:spacing w:line="300" w:lineRule="auto"/>
              <w:jc w:val="center"/>
              <w:rPr>
                <w:sz w:val="18"/>
                <w:szCs w:val="18"/>
              </w:rPr>
            </w:pPr>
            <w:r>
              <w:rPr>
                <w:sz w:val="18"/>
                <w:szCs w:val="18"/>
              </w:rPr>
              <w:t>100</w:t>
            </w:r>
          </w:p>
        </w:tc>
        <w:tc>
          <w:tcPr>
            <w:tcW w:w="370" w:type="pct"/>
            <w:vMerge w:val="restart"/>
            <w:vAlign w:val="center"/>
          </w:tcPr>
          <w:p>
            <w:pPr>
              <w:snapToGrid w:val="0"/>
              <w:spacing w:line="300" w:lineRule="auto"/>
              <w:jc w:val="center"/>
              <w:rPr>
                <w:sz w:val="18"/>
                <w:szCs w:val="18"/>
              </w:rPr>
            </w:pPr>
            <w:r>
              <w:rPr>
                <w:sz w:val="18"/>
                <w:szCs w:val="18"/>
              </w:rPr>
              <w:t>0.7</w:t>
            </w:r>
          </w:p>
        </w:tc>
        <w:tc>
          <w:tcPr>
            <w:tcW w:w="361" w:type="pct"/>
            <w:vMerge w:val="restart"/>
            <w:vAlign w:val="center"/>
          </w:tcPr>
          <w:p>
            <w:pPr>
              <w:snapToGrid w:val="0"/>
              <w:spacing w:line="300" w:lineRule="auto"/>
              <w:jc w:val="left"/>
              <w:rPr>
                <w:sz w:val="18"/>
                <w:szCs w:val="18"/>
              </w:rPr>
            </w:pPr>
            <w:r>
              <w:rPr>
                <w:sz w:val="18"/>
                <w:szCs w:val="18"/>
              </w:rPr>
              <w:t>课程论文</w:t>
            </w:r>
          </w:p>
        </w:tc>
        <w:tc>
          <w:tcPr>
            <w:tcW w:w="374" w:type="pct"/>
            <w:vAlign w:val="center"/>
          </w:tcPr>
          <w:p>
            <w:pPr>
              <w:snapToGrid w:val="0"/>
              <w:spacing w:line="300" w:lineRule="auto"/>
              <w:jc w:val="center"/>
              <w:rPr>
                <w:sz w:val="18"/>
                <w:szCs w:val="18"/>
              </w:rPr>
            </w:pPr>
            <w:r>
              <w:rPr>
                <w:sz w:val="18"/>
                <w:szCs w:val="18"/>
              </w:rPr>
              <w:t>0.14</w:t>
            </w:r>
          </w:p>
        </w:tc>
        <w:tc>
          <w:tcPr>
            <w:tcW w:w="2039" w:type="pct"/>
            <w:vMerge w:val="restart"/>
            <w:vAlign w:val="center"/>
          </w:tcPr>
          <w:p>
            <w:pPr>
              <w:snapToGrid w:val="0"/>
              <w:spacing w:line="300" w:lineRule="auto"/>
              <w:rPr>
                <w:sz w:val="18"/>
                <w:szCs w:val="18"/>
              </w:rPr>
            </w:pPr>
            <w:r>
              <w:rPr>
                <w:sz w:val="18"/>
                <w:szCs w:val="18"/>
              </w:rPr>
              <w:t>依据每一章课后作业中的课程论文，</w:t>
            </w:r>
            <w:r>
              <w:rPr>
                <w:rFonts w:hint="eastAsia"/>
                <w:sz w:val="18"/>
                <w:szCs w:val="18"/>
              </w:rPr>
              <w:t>共5个课程论文，</w:t>
            </w:r>
            <w:r>
              <w:rPr>
                <w:sz w:val="18"/>
                <w:szCs w:val="18"/>
              </w:rPr>
              <w:t>每次课程论文按20分制单独评分</w:t>
            </w:r>
            <w:r>
              <w:rPr>
                <w:rFonts w:hint="eastAsia"/>
                <w:sz w:val="18"/>
                <w:szCs w:val="18"/>
              </w:rPr>
              <w:t>，课程论文总成绩1</w:t>
            </w:r>
            <w:r>
              <w:rPr>
                <w:sz w:val="18"/>
                <w:szCs w:val="18"/>
              </w:rPr>
              <w:t>00</w:t>
            </w:r>
            <w:r>
              <w:rPr>
                <w:rFonts w:hint="eastAsia"/>
                <w:sz w:val="18"/>
                <w:szCs w:val="18"/>
              </w:rPr>
              <w:t>分</w:t>
            </w:r>
            <w:r>
              <w:rPr>
                <w:sz w:val="18"/>
                <w:szCs w:val="18"/>
              </w:rPr>
              <w:t>。</w:t>
            </w:r>
          </w:p>
        </w:tc>
        <w:tc>
          <w:tcPr>
            <w:tcW w:w="525" w:type="pct"/>
            <w:vAlign w:val="center"/>
          </w:tcPr>
          <w:p>
            <w:pPr>
              <w:snapToGrid w:val="0"/>
              <w:spacing w:line="300" w:lineRule="auto"/>
              <w:jc w:val="center"/>
              <w:rPr>
                <w:sz w:val="18"/>
                <w:szCs w:val="18"/>
              </w:rPr>
            </w:pPr>
            <w:r>
              <w:rPr>
                <w:sz w:val="18"/>
                <w:szCs w:val="18"/>
              </w:rPr>
              <w:t>1</w:t>
            </w:r>
          </w:p>
        </w:tc>
        <w:tc>
          <w:tcPr>
            <w:tcW w:w="587" w:type="pct"/>
            <w:vMerge w:val="restart"/>
            <w:vAlign w:val="center"/>
          </w:tcPr>
          <w:p>
            <w:pPr>
              <w:snapToGrid w:val="0"/>
              <w:spacing w:line="300" w:lineRule="auto"/>
              <w:jc w:val="center"/>
              <w:rPr>
                <w:sz w:val="18"/>
                <w:szCs w:val="18"/>
              </w:rPr>
            </w:pPr>
            <w:r>
              <w:rPr>
                <w:rFonts w:hint="eastAsia"/>
                <w:sz w:val="18"/>
                <w:szCs w:val="18"/>
              </w:rPr>
              <w:t>7</w:t>
            </w: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left"/>
              <w:rPr>
                <w:sz w:val="18"/>
                <w:szCs w:val="18"/>
              </w:rPr>
            </w:pPr>
          </w:p>
        </w:tc>
        <w:tc>
          <w:tcPr>
            <w:tcW w:w="374" w:type="pct"/>
            <w:vAlign w:val="center"/>
          </w:tcPr>
          <w:p>
            <w:pPr>
              <w:snapToGrid w:val="0"/>
              <w:spacing w:line="300" w:lineRule="auto"/>
              <w:jc w:val="center"/>
              <w:rPr>
                <w:sz w:val="18"/>
                <w:szCs w:val="18"/>
              </w:rPr>
            </w:pPr>
            <w:r>
              <w:rPr>
                <w:sz w:val="18"/>
                <w:szCs w:val="18"/>
              </w:rPr>
              <w:t>0.14</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2</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left"/>
              <w:rPr>
                <w:sz w:val="18"/>
                <w:szCs w:val="18"/>
              </w:rPr>
            </w:pPr>
          </w:p>
        </w:tc>
        <w:tc>
          <w:tcPr>
            <w:tcW w:w="374" w:type="pct"/>
            <w:vAlign w:val="center"/>
          </w:tcPr>
          <w:p>
            <w:pPr>
              <w:snapToGrid w:val="0"/>
              <w:spacing w:line="300" w:lineRule="auto"/>
              <w:jc w:val="center"/>
              <w:rPr>
                <w:sz w:val="18"/>
                <w:szCs w:val="18"/>
              </w:rPr>
            </w:pPr>
            <w:r>
              <w:rPr>
                <w:sz w:val="18"/>
                <w:szCs w:val="18"/>
              </w:rPr>
              <w:t>0.14</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3</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left"/>
              <w:rPr>
                <w:sz w:val="18"/>
                <w:szCs w:val="18"/>
              </w:rPr>
            </w:pPr>
          </w:p>
        </w:tc>
        <w:tc>
          <w:tcPr>
            <w:tcW w:w="374" w:type="pct"/>
            <w:vAlign w:val="center"/>
          </w:tcPr>
          <w:p>
            <w:pPr>
              <w:snapToGrid w:val="0"/>
              <w:spacing w:line="300" w:lineRule="auto"/>
              <w:jc w:val="center"/>
              <w:rPr>
                <w:sz w:val="18"/>
                <w:szCs w:val="18"/>
              </w:rPr>
            </w:pPr>
            <w:r>
              <w:rPr>
                <w:sz w:val="18"/>
                <w:szCs w:val="18"/>
              </w:rPr>
              <w:t>0.14</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4</w:t>
            </w:r>
          </w:p>
        </w:tc>
        <w:tc>
          <w:tcPr>
            <w:tcW w:w="587" w:type="pct"/>
            <w:vMerge w:val="continue"/>
            <w:vAlign w:val="center"/>
          </w:tcPr>
          <w:p>
            <w:pPr>
              <w:snapToGrid w:val="0"/>
              <w:spacing w:line="30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72" w:type="pct"/>
            <w:vMerge w:val="continue"/>
            <w:vAlign w:val="center"/>
          </w:tcPr>
          <w:p>
            <w:pPr>
              <w:snapToGrid w:val="0"/>
              <w:spacing w:line="300" w:lineRule="auto"/>
              <w:jc w:val="left"/>
              <w:rPr>
                <w:sz w:val="18"/>
                <w:szCs w:val="18"/>
              </w:rPr>
            </w:pPr>
          </w:p>
        </w:tc>
        <w:tc>
          <w:tcPr>
            <w:tcW w:w="372" w:type="pct"/>
            <w:vMerge w:val="continue"/>
            <w:vAlign w:val="center"/>
          </w:tcPr>
          <w:p>
            <w:pPr>
              <w:snapToGrid w:val="0"/>
              <w:spacing w:line="300" w:lineRule="auto"/>
              <w:jc w:val="center"/>
              <w:rPr>
                <w:sz w:val="18"/>
                <w:szCs w:val="18"/>
              </w:rPr>
            </w:pPr>
          </w:p>
        </w:tc>
        <w:tc>
          <w:tcPr>
            <w:tcW w:w="370" w:type="pct"/>
            <w:vMerge w:val="continue"/>
            <w:vAlign w:val="center"/>
          </w:tcPr>
          <w:p>
            <w:pPr>
              <w:snapToGrid w:val="0"/>
              <w:spacing w:line="300" w:lineRule="auto"/>
              <w:jc w:val="center"/>
              <w:rPr>
                <w:sz w:val="18"/>
                <w:szCs w:val="18"/>
              </w:rPr>
            </w:pPr>
          </w:p>
        </w:tc>
        <w:tc>
          <w:tcPr>
            <w:tcW w:w="361" w:type="pct"/>
            <w:vMerge w:val="continue"/>
            <w:vAlign w:val="center"/>
          </w:tcPr>
          <w:p>
            <w:pPr>
              <w:snapToGrid w:val="0"/>
              <w:spacing w:line="300" w:lineRule="auto"/>
              <w:jc w:val="left"/>
              <w:rPr>
                <w:sz w:val="18"/>
                <w:szCs w:val="18"/>
              </w:rPr>
            </w:pPr>
          </w:p>
        </w:tc>
        <w:tc>
          <w:tcPr>
            <w:tcW w:w="374" w:type="pct"/>
            <w:vAlign w:val="center"/>
          </w:tcPr>
          <w:p>
            <w:pPr>
              <w:snapToGrid w:val="0"/>
              <w:spacing w:line="300" w:lineRule="auto"/>
              <w:jc w:val="center"/>
              <w:rPr>
                <w:sz w:val="18"/>
                <w:szCs w:val="18"/>
              </w:rPr>
            </w:pPr>
            <w:r>
              <w:rPr>
                <w:sz w:val="18"/>
                <w:szCs w:val="18"/>
              </w:rPr>
              <w:t>0.14</w:t>
            </w:r>
          </w:p>
        </w:tc>
        <w:tc>
          <w:tcPr>
            <w:tcW w:w="2039" w:type="pct"/>
            <w:vMerge w:val="continue"/>
            <w:vAlign w:val="center"/>
          </w:tcPr>
          <w:p>
            <w:pPr>
              <w:snapToGrid w:val="0"/>
              <w:spacing w:line="300" w:lineRule="auto"/>
              <w:rPr>
                <w:sz w:val="18"/>
                <w:szCs w:val="18"/>
              </w:rPr>
            </w:pPr>
          </w:p>
        </w:tc>
        <w:tc>
          <w:tcPr>
            <w:tcW w:w="525" w:type="pct"/>
            <w:vAlign w:val="center"/>
          </w:tcPr>
          <w:p>
            <w:pPr>
              <w:snapToGrid w:val="0"/>
              <w:spacing w:line="300" w:lineRule="auto"/>
              <w:jc w:val="center"/>
              <w:rPr>
                <w:sz w:val="18"/>
                <w:szCs w:val="18"/>
              </w:rPr>
            </w:pPr>
            <w:r>
              <w:rPr>
                <w:rFonts w:hint="eastAsia"/>
                <w:sz w:val="18"/>
                <w:szCs w:val="18"/>
              </w:rPr>
              <w:t>5</w:t>
            </w:r>
          </w:p>
        </w:tc>
        <w:tc>
          <w:tcPr>
            <w:tcW w:w="587" w:type="pct"/>
            <w:vMerge w:val="continue"/>
            <w:vAlign w:val="center"/>
          </w:tcPr>
          <w:p>
            <w:pPr>
              <w:snapToGrid w:val="0"/>
              <w:spacing w:line="300" w:lineRule="auto"/>
              <w:jc w:val="center"/>
              <w:rPr>
                <w:sz w:val="18"/>
                <w:szCs w:val="18"/>
              </w:rPr>
            </w:pPr>
          </w:p>
        </w:tc>
      </w:tr>
    </w:tbl>
    <w:p>
      <w:pPr>
        <w:snapToGrid w:val="0"/>
        <w:spacing w:before="156" w:beforeLines="50" w:after="156" w:afterLines="50" w:line="300" w:lineRule="auto"/>
        <w:rPr>
          <w:b/>
          <w:sz w:val="24"/>
        </w:rPr>
      </w:pPr>
      <w:r>
        <w:rPr>
          <w:b/>
          <w:sz w:val="24"/>
        </w:rPr>
        <w:t>六、课程教学目标达成度评价</w:t>
      </w:r>
    </w:p>
    <w:p>
      <w:pPr>
        <w:snapToGrid w:val="0"/>
        <w:spacing w:line="300" w:lineRule="auto"/>
        <w:ind w:firstLine="420" w:firstLineChars="200"/>
        <w:rPr>
          <w:szCs w:val="21"/>
        </w:rPr>
      </w:pPr>
      <w:r>
        <w:rPr>
          <w:szCs w:val="21"/>
        </w:rPr>
        <w:t>1</w:t>
      </w:r>
      <w:r>
        <w:t>．</w:t>
      </w:r>
      <w:r>
        <w:rPr>
          <w:szCs w:val="21"/>
        </w:rPr>
        <w:t>达成度评价依据和方法</w:t>
      </w:r>
    </w:p>
    <w:p>
      <w:pPr>
        <w:snapToGrid w:val="0"/>
        <w:spacing w:line="300" w:lineRule="auto"/>
        <w:ind w:firstLine="420" w:firstLineChars="200"/>
      </w:pPr>
      <w:r>
        <w:t>课程各目标达成情况为该项目学生的平均得分率，其计算公式为：</w:t>
      </w:r>
    </w:p>
    <w:p>
      <w:pPr>
        <w:snapToGrid w:val="0"/>
        <w:spacing w:line="300" w:lineRule="auto"/>
        <w:jc w:val="center"/>
      </w:pPr>
      <w:r>
        <w:rPr>
          <w:position w:val="-26"/>
        </w:rPr>
        <w:object>
          <v:shape id="_x0000_i1246" o:spt="75" type="#_x0000_t75" style="height:30pt;width:363pt;" o:ole="t" filled="f" o:preferrelative="t" stroked="f" coordsize="21600,21600">
            <v:path/>
            <v:fill on="f" focussize="0,0"/>
            <v:stroke on="f" joinstyle="miter"/>
            <v:imagedata r:id="rId36" o:title=""/>
            <o:lock v:ext="edit" aspectratio="t"/>
            <w10:wrap type="none"/>
            <w10:anchorlock/>
          </v:shape>
          <o:OLEObject Type="Embed" ProgID="Equation.3" ShapeID="_x0000_i1246" DrawAspect="Content" ObjectID="_1468075944" r:id="rId277">
            <o:LockedField>false</o:LockedField>
          </o:OLEObject>
        </w:object>
      </w:r>
    </w:p>
    <w:p>
      <w:pPr>
        <w:snapToGrid w:val="0"/>
        <w:spacing w:line="300" w:lineRule="auto"/>
        <w:ind w:firstLine="420" w:firstLineChars="200"/>
      </w:pPr>
      <w:r>
        <w:t>课程总目标达成情况为5个课程目标的加权得分率，其计算公式为：</w:t>
      </w:r>
    </w:p>
    <w:p>
      <w:pPr>
        <w:snapToGrid w:val="0"/>
        <w:spacing w:line="300" w:lineRule="auto"/>
        <w:jc w:val="center"/>
      </w:pPr>
      <w:r>
        <w:t xml:space="preserve"> </w:t>
      </w:r>
      <w:r>
        <w:object>
          <v:shape id="_x0000_i1247" o:spt="75" type="#_x0000_t75" style="height:18.75pt;width:281.25pt;" o:ole="t" filled="f" o:preferrelative="t" stroked="f" coordsize="21600,21600">
            <v:path/>
            <v:fill on="f" focussize="0,0"/>
            <v:stroke on="f" joinstyle="miter"/>
            <v:imagedata r:id="rId38" o:title=""/>
            <o:lock v:ext="edit" aspectratio="t"/>
            <w10:wrap type="none"/>
            <w10:anchorlock/>
          </v:shape>
          <o:OLEObject Type="Embed" ProgID="Equation.DSMT4" ShapeID="_x0000_i1247" DrawAspect="Content" ObjectID="_1468075945" r:id="rId278">
            <o:LockedField>false</o:LockedField>
          </o:OLEObject>
        </w:object>
      </w:r>
    </w:p>
    <w:p>
      <w:pPr>
        <w:snapToGrid w:val="0"/>
        <w:spacing w:line="300" w:lineRule="auto"/>
      </w:pPr>
      <w:r>
        <w:t>其中权重系数按照表5设定。</w:t>
      </w:r>
    </w:p>
    <w:p>
      <w:pPr>
        <w:snapToGrid w:val="0"/>
        <w:spacing w:before="156" w:beforeLines="50" w:line="300" w:lineRule="auto"/>
        <w:jc w:val="center"/>
        <w:rPr>
          <w:b/>
          <w:bCs/>
          <w:sz w:val="18"/>
          <w:szCs w:val="18"/>
        </w:rPr>
      </w:pPr>
      <w:r>
        <w:rPr>
          <w:b/>
          <w:bCs/>
          <w:sz w:val="18"/>
          <w:szCs w:val="18"/>
        </w:rPr>
        <w:t>表5课程目标权重系数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236"/>
        <w:gridCol w:w="1306"/>
        <w:gridCol w:w="1547"/>
        <w:gridCol w:w="1531"/>
        <w:gridCol w:w="153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236" w:type="dxa"/>
            <w:shd w:val="clear" w:color="auto" w:fill="auto"/>
            <w:vAlign w:val="center"/>
          </w:tcPr>
          <w:p>
            <w:pPr>
              <w:snapToGrid w:val="0"/>
              <w:spacing w:line="300" w:lineRule="auto"/>
              <w:jc w:val="center"/>
              <w:rPr>
                <w:b/>
                <w:bCs/>
                <w:sz w:val="18"/>
                <w:szCs w:val="18"/>
              </w:rPr>
            </w:pPr>
            <w:r>
              <w:rPr>
                <w:b/>
                <w:bCs/>
                <w:sz w:val="18"/>
                <w:szCs w:val="18"/>
              </w:rPr>
              <w:t>课程目标</w:t>
            </w:r>
          </w:p>
        </w:tc>
        <w:tc>
          <w:tcPr>
            <w:tcW w:w="1306" w:type="dxa"/>
            <w:shd w:val="clear" w:color="auto" w:fill="auto"/>
            <w:vAlign w:val="center"/>
          </w:tcPr>
          <w:p>
            <w:pPr>
              <w:snapToGrid w:val="0"/>
              <w:spacing w:line="300" w:lineRule="auto"/>
              <w:jc w:val="center"/>
              <w:rPr>
                <w:sz w:val="18"/>
                <w:szCs w:val="18"/>
              </w:rPr>
            </w:pPr>
            <w:r>
              <w:rPr>
                <w:sz w:val="18"/>
                <w:szCs w:val="18"/>
              </w:rPr>
              <w:t>1</w:t>
            </w:r>
          </w:p>
        </w:tc>
        <w:tc>
          <w:tcPr>
            <w:tcW w:w="1547" w:type="dxa"/>
            <w:shd w:val="clear" w:color="auto" w:fill="auto"/>
            <w:vAlign w:val="center"/>
          </w:tcPr>
          <w:p>
            <w:pPr>
              <w:snapToGrid w:val="0"/>
              <w:spacing w:line="300" w:lineRule="auto"/>
              <w:jc w:val="center"/>
              <w:rPr>
                <w:sz w:val="18"/>
                <w:szCs w:val="18"/>
              </w:rPr>
            </w:pPr>
            <w:r>
              <w:rPr>
                <w:sz w:val="18"/>
                <w:szCs w:val="18"/>
              </w:rPr>
              <w:t>2</w:t>
            </w:r>
          </w:p>
        </w:tc>
        <w:tc>
          <w:tcPr>
            <w:tcW w:w="1531" w:type="dxa"/>
            <w:shd w:val="clear" w:color="auto" w:fill="auto"/>
            <w:vAlign w:val="center"/>
          </w:tcPr>
          <w:p>
            <w:pPr>
              <w:snapToGrid w:val="0"/>
              <w:spacing w:line="300" w:lineRule="auto"/>
              <w:jc w:val="center"/>
              <w:rPr>
                <w:sz w:val="18"/>
                <w:szCs w:val="18"/>
              </w:rPr>
            </w:pPr>
            <w:r>
              <w:rPr>
                <w:sz w:val="18"/>
                <w:szCs w:val="18"/>
              </w:rPr>
              <w:t>3</w:t>
            </w:r>
          </w:p>
        </w:tc>
        <w:tc>
          <w:tcPr>
            <w:tcW w:w="1531" w:type="dxa"/>
          </w:tcPr>
          <w:p>
            <w:pPr>
              <w:snapToGrid w:val="0"/>
              <w:spacing w:line="300" w:lineRule="auto"/>
              <w:jc w:val="center"/>
              <w:rPr>
                <w:sz w:val="18"/>
                <w:szCs w:val="18"/>
              </w:rPr>
            </w:pPr>
            <w:r>
              <w:rPr>
                <w:sz w:val="18"/>
                <w:szCs w:val="18"/>
              </w:rPr>
              <w:t>4</w:t>
            </w:r>
          </w:p>
        </w:tc>
        <w:tc>
          <w:tcPr>
            <w:tcW w:w="1530" w:type="dxa"/>
          </w:tcPr>
          <w:p>
            <w:pPr>
              <w:snapToGrid w:val="0"/>
              <w:spacing w:line="30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236" w:type="dxa"/>
            <w:shd w:val="clear" w:color="auto" w:fill="auto"/>
            <w:vAlign w:val="center"/>
          </w:tcPr>
          <w:p>
            <w:pPr>
              <w:snapToGrid w:val="0"/>
              <w:spacing w:line="300" w:lineRule="auto"/>
              <w:jc w:val="center"/>
              <w:rPr>
                <w:b/>
                <w:bCs/>
                <w:sz w:val="18"/>
                <w:szCs w:val="18"/>
              </w:rPr>
            </w:pPr>
            <w:r>
              <w:rPr>
                <w:b/>
                <w:bCs/>
                <w:sz w:val="18"/>
                <w:szCs w:val="18"/>
              </w:rPr>
              <w:t>权重系数</w:t>
            </w:r>
          </w:p>
        </w:tc>
        <w:tc>
          <w:tcPr>
            <w:tcW w:w="1306" w:type="dxa"/>
            <w:shd w:val="clear" w:color="auto" w:fill="auto"/>
            <w:vAlign w:val="center"/>
          </w:tcPr>
          <w:p>
            <w:pPr>
              <w:snapToGrid w:val="0"/>
              <w:spacing w:line="300" w:lineRule="auto"/>
              <w:jc w:val="center"/>
              <w:rPr>
                <w:sz w:val="18"/>
                <w:szCs w:val="18"/>
              </w:rPr>
            </w:pPr>
            <w:r>
              <w:rPr>
                <w:sz w:val="18"/>
                <w:szCs w:val="18"/>
              </w:rPr>
              <w:t>0.2</w:t>
            </w:r>
          </w:p>
        </w:tc>
        <w:tc>
          <w:tcPr>
            <w:tcW w:w="1547" w:type="dxa"/>
            <w:shd w:val="clear" w:color="auto" w:fill="auto"/>
            <w:vAlign w:val="center"/>
          </w:tcPr>
          <w:p>
            <w:pPr>
              <w:snapToGrid w:val="0"/>
              <w:spacing w:line="300" w:lineRule="auto"/>
              <w:jc w:val="center"/>
              <w:rPr>
                <w:sz w:val="18"/>
                <w:szCs w:val="18"/>
              </w:rPr>
            </w:pPr>
            <w:r>
              <w:rPr>
                <w:sz w:val="18"/>
                <w:szCs w:val="18"/>
              </w:rPr>
              <w:t>0.2</w:t>
            </w:r>
          </w:p>
        </w:tc>
        <w:tc>
          <w:tcPr>
            <w:tcW w:w="1531" w:type="dxa"/>
            <w:shd w:val="clear" w:color="auto" w:fill="auto"/>
            <w:vAlign w:val="center"/>
          </w:tcPr>
          <w:p>
            <w:pPr>
              <w:snapToGrid w:val="0"/>
              <w:spacing w:line="300" w:lineRule="auto"/>
              <w:jc w:val="center"/>
              <w:rPr>
                <w:sz w:val="18"/>
                <w:szCs w:val="18"/>
              </w:rPr>
            </w:pPr>
            <w:r>
              <w:rPr>
                <w:sz w:val="18"/>
                <w:szCs w:val="18"/>
              </w:rPr>
              <w:t>0.2</w:t>
            </w:r>
          </w:p>
        </w:tc>
        <w:tc>
          <w:tcPr>
            <w:tcW w:w="1531" w:type="dxa"/>
            <w:vAlign w:val="center"/>
          </w:tcPr>
          <w:p>
            <w:pPr>
              <w:snapToGrid w:val="0"/>
              <w:spacing w:line="300" w:lineRule="auto"/>
              <w:jc w:val="center"/>
              <w:rPr>
                <w:sz w:val="18"/>
                <w:szCs w:val="18"/>
              </w:rPr>
            </w:pPr>
            <w:r>
              <w:rPr>
                <w:sz w:val="18"/>
                <w:szCs w:val="18"/>
              </w:rPr>
              <w:t>0.2</w:t>
            </w:r>
          </w:p>
        </w:tc>
        <w:tc>
          <w:tcPr>
            <w:tcW w:w="1530" w:type="dxa"/>
            <w:vAlign w:val="center"/>
          </w:tcPr>
          <w:p>
            <w:pPr>
              <w:snapToGrid w:val="0"/>
              <w:spacing w:line="300" w:lineRule="auto"/>
              <w:jc w:val="center"/>
              <w:rPr>
                <w:sz w:val="18"/>
                <w:szCs w:val="18"/>
              </w:rPr>
            </w:pPr>
            <w:r>
              <w:rPr>
                <w:sz w:val="18"/>
                <w:szCs w:val="18"/>
              </w:rPr>
              <w:t>0.2</w:t>
            </w:r>
          </w:p>
        </w:tc>
      </w:tr>
    </w:tbl>
    <w:p>
      <w:pPr>
        <w:snapToGrid w:val="0"/>
        <w:spacing w:line="300" w:lineRule="auto"/>
      </w:pPr>
      <w:r>
        <w:t>课程毕业要求指标点达成情况评价：</w:t>
      </w:r>
    </w:p>
    <w:p>
      <w:pPr>
        <w:snapToGrid w:val="0"/>
        <w:spacing w:line="300" w:lineRule="auto"/>
        <w:ind w:firstLine="420" w:firstLineChars="200"/>
      </w:pPr>
      <w:r>
        <w:t>课程支撑毕业要求指标点的达成情况为对应的课程目标达成情况的加权值，其计算公式为：</w:t>
      </w:r>
    </w:p>
    <w:p>
      <w:pPr>
        <w:snapToGrid w:val="0"/>
        <w:spacing w:line="300" w:lineRule="auto"/>
        <w:jc w:val="center"/>
      </w:pPr>
      <w:r>
        <w:object>
          <v:shape id="_x0000_i1248" o:spt="75" type="#_x0000_t75" style="height:18.75pt;width:282.75pt;" o:ole="t" filled="f" o:preferrelative="t" stroked="f" coordsize="21600,21600">
            <v:path/>
            <v:fill on="f" focussize="0,0"/>
            <v:stroke on="f" joinstyle="miter"/>
            <v:imagedata r:id="rId40" o:title=""/>
            <o:lock v:ext="edit" aspectratio="t"/>
            <w10:wrap type="none"/>
            <w10:anchorlock/>
          </v:shape>
          <o:OLEObject Type="Embed" ProgID="Equation.3" ShapeID="_x0000_i1248" DrawAspect="Content" ObjectID="_1468075946" r:id="rId279">
            <o:LockedField>false</o:LockedField>
          </o:OLEObject>
        </w:object>
      </w:r>
    </w:p>
    <w:p>
      <w:pPr>
        <w:snapToGrid w:val="0"/>
        <w:spacing w:line="300" w:lineRule="auto"/>
        <w:ind w:firstLine="420" w:firstLineChars="200"/>
        <w:rPr>
          <w:szCs w:val="21"/>
        </w:rPr>
      </w:pPr>
      <w:r>
        <w:rPr>
          <w:szCs w:val="21"/>
        </w:rPr>
        <w:t>2</w:t>
      </w:r>
      <w:r>
        <w:t>．</w:t>
      </w:r>
      <w:r>
        <w:rPr>
          <w:szCs w:val="21"/>
        </w:rPr>
        <w:t>课程总结要求</w:t>
      </w:r>
    </w:p>
    <w:p>
      <w:pPr>
        <w:snapToGrid w:val="0"/>
        <w:spacing w:line="300" w:lineRule="auto"/>
        <w:ind w:firstLine="420" w:firstLineChars="200"/>
        <w:rPr>
          <w:szCs w:val="21"/>
        </w:rPr>
      </w:pPr>
      <w:r>
        <w:rPr>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b/>
          <w:sz w:val="24"/>
        </w:rPr>
      </w:pPr>
      <w:r>
        <w:rPr>
          <w:b/>
          <w:sz w:val="24"/>
        </w:rPr>
        <w:t>七、教材及参考资料</w:t>
      </w:r>
    </w:p>
    <w:p>
      <w:pPr>
        <w:snapToGrid w:val="0"/>
        <w:spacing w:line="300" w:lineRule="auto"/>
        <w:ind w:firstLine="420" w:firstLineChars="200"/>
      </w:pPr>
      <w:r>
        <w:t>1．教材</w:t>
      </w:r>
    </w:p>
    <w:p>
      <w:pPr>
        <w:numPr>
          <w:ilvl w:val="0"/>
          <w:numId w:val="102"/>
        </w:numPr>
        <w:snapToGrid w:val="0"/>
        <w:spacing w:line="300" w:lineRule="auto"/>
      </w:pPr>
      <w:r>
        <w:rPr>
          <w:szCs w:val="21"/>
        </w:rPr>
        <w:t>廖碧珠主编．青年学生健康教育[M]</w:t>
      </w:r>
      <w:r>
        <w:t>．广州：</w:t>
      </w:r>
      <w:r>
        <w:rPr>
          <w:szCs w:val="21"/>
        </w:rPr>
        <w:t>广东高等教育出版社</w:t>
      </w:r>
      <w:r>
        <w:t>，</w:t>
      </w:r>
      <w:r>
        <w:rPr>
          <w:szCs w:val="21"/>
        </w:rPr>
        <w:t>2012年8月。</w:t>
      </w:r>
    </w:p>
    <w:p>
      <w:pPr>
        <w:snapToGrid w:val="0"/>
        <w:spacing w:line="300" w:lineRule="auto"/>
        <w:ind w:firstLine="420" w:firstLineChars="200"/>
      </w:pPr>
      <w:r>
        <w:t>2．参考资料</w:t>
      </w:r>
    </w:p>
    <w:p>
      <w:pPr>
        <w:snapToGrid w:val="0"/>
        <w:spacing w:line="300" w:lineRule="auto"/>
        <w:ind w:left="840"/>
      </w:pPr>
      <w:r>
        <w:rPr>
          <w:szCs w:val="21"/>
        </w:rPr>
        <w:t>无</w:t>
      </w:r>
      <w:r>
        <w:rPr>
          <w:szCs w:val="21"/>
          <w:shd w:val="clear" w:color="auto" w:fill="FFFFFF"/>
        </w:rPr>
        <w:t xml:space="preserve"> </w:t>
      </w:r>
    </w:p>
    <w:tbl>
      <w:tblPr>
        <w:tblStyle w:val="63"/>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bookmarkStart w:id="376" w:name="_Hlk36227118"/>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jc w:val="right"/>
              <w:rPr>
                <w:rFonts w:ascii="Times New Roman" w:hAnsi="Times New Roman" w:cs="Times New Roman"/>
                <w:szCs w:val="21"/>
              </w:rPr>
            </w:pPr>
            <w:r>
              <w:rPr>
                <w:rFonts w:ascii="Times New Roman" w:hAnsi="Times New Roman"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bookmarkEnd w:id="376"/>
    </w:tbl>
    <w:p>
      <w:pPr>
        <w:pStyle w:val="3"/>
        <w:jc w:val="center"/>
        <w:rPr>
          <w:rFonts w:ascii="Times New Roman" w:hAnsi="Times New Roman" w:eastAsia="宋体" w:cs="Times New Roman"/>
        </w:rPr>
      </w:pPr>
      <w:bookmarkStart w:id="377" w:name="_Toc47719724"/>
      <w:bookmarkStart w:id="378" w:name="_Toc46489631"/>
      <w:bookmarkStart w:id="379" w:name="_Toc47774681"/>
      <w:bookmarkStart w:id="380" w:name="_Toc38126085"/>
      <w:bookmarkStart w:id="381" w:name="_Toc47718752"/>
      <w:r>
        <w:rPr>
          <w:rFonts w:ascii="Times New Roman" w:hAnsi="Times New Roman" w:eastAsia="宋体" w:cs="Times New Roman"/>
        </w:rPr>
        <w:br w:type="page"/>
      </w:r>
      <w:bookmarkStart w:id="382" w:name="_Toc3400"/>
      <w:bookmarkStart w:id="383" w:name="_Toc1237"/>
      <w:r>
        <w:rPr>
          <w:rFonts w:ascii="Times New Roman" w:hAnsi="Times New Roman" w:eastAsia="宋体" w:cs="Times New Roman"/>
        </w:rPr>
        <w:t>56011109《大学生心理健康教育》课程教学大纲</w:t>
      </w:r>
      <w:bookmarkEnd w:id="377"/>
      <w:bookmarkEnd w:id="378"/>
      <w:bookmarkEnd w:id="379"/>
      <w:bookmarkEnd w:id="380"/>
      <w:bookmarkEnd w:id="381"/>
      <w:bookmarkEnd w:id="382"/>
      <w:bookmarkEnd w:id="383"/>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3441" w:type="dxa"/>
            <w:vAlign w:val="center"/>
          </w:tcPr>
          <w:p>
            <w:pPr>
              <w:jc w:val="center"/>
              <w:rPr>
                <w:rFonts w:ascii="Times New Roman" w:hAnsi="Times New Roman" w:cs="Times New Roman"/>
                <w:szCs w:val="21"/>
              </w:rPr>
            </w:pPr>
            <w:r>
              <w:rPr>
                <w:rFonts w:ascii="Times New Roman" w:hAnsi="Times New Roman" w:cs="Times New Roman"/>
                <w:bCs/>
                <w:szCs w:val="21"/>
              </w:rPr>
              <w:t>56011109</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2695" w:type="dxa"/>
            <w:vAlign w:val="center"/>
          </w:tcPr>
          <w:p>
            <w:pPr>
              <w:jc w:val="center"/>
              <w:rPr>
                <w:rFonts w:ascii="Times New Roman" w:hAnsi="Times New Roman" w:cs="Times New Roman"/>
                <w:szCs w:val="21"/>
              </w:rPr>
            </w:pPr>
            <w:r>
              <w:rPr>
                <w:rFonts w:ascii="Times New Roman" w:hAnsi="Times New Roman" w:cs="Times New Roman"/>
                <w:bCs/>
                <w:szCs w:val="21"/>
              </w:rPr>
              <w:t>大学生心理健康教育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3441"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2695" w:type="dxa"/>
            <w:vAlign w:val="center"/>
          </w:tcPr>
          <w:p>
            <w:pPr>
              <w:jc w:val="center"/>
              <w:rPr>
                <w:rFonts w:ascii="Times New Roman" w:hAnsi="Times New Roman" w:cs="Times New Roman"/>
                <w:bCs/>
                <w:szCs w:val="21"/>
              </w:rPr>
            </w:pPr>
            <w:r>
              <w:rPr>
                <w:rFonts w:ascii="Times New Roman" w:hAnsi="Times New Roman" w:cs="Times New Roman"/>
                <w:bCs/>
                <w:szCs w:val="21"/>
              </w:rPr>
              <w:t>College Students’ Mental Health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3441" w:type="dxa"/>
            <w:vAlign w:val="center"/>
          </w:tcPr>
          <w:p>
            <w:pPr>
              <w:jc w:val="center"/>
              <w:rPr>
                <w:rFonts w:ascii="Times New Roman" w:hAnsi="Times New Roman" w:cs="Times New Roman"/>
                <w:szCs w:val="21"/>
              </w:rPr>
            </w:pPr>
            <w:r>
              <w:rPr>
                <w:rFonts w:ascii="Times New Roman" w:hAnsi="Times New Roman" w:cs="Times New Roman"/>
                <w:bCs/>
                <w:szCs w:val="21"/>
              </w:rPr>
              <w:t>1</w:t>
            </w:r>
            <w:r>
              <w:rPr>
                <w:rFonts w:ascii="Times New Roman" w:hAnsi="Times New Roman" w:cs="Times New Roman"/>
                <w:szCs w:val="21"/>
              </w:rPr>
              <w:t xml:space="preserve"> : 16（0）</w:t>
            </w:r>
          </w:p>
        </w:tc>
        <w:tc>
          <w:tcPr>
            <w:tcW w:w="1198"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2695" w:type="dxa"/>
            <w:vAlign w:val="center"/>
          </w:tcPr>
          <w:p>
            <w:pPr>
              <w:jc w:val="center"/>
              <w:rPr>
                <w:rFonts w:ascii="Times New Roman" w:hAnsi="Times New Roman" w:cs="Times New Roman"/>
                <w:szCs w:val="21"/>
                <w:highlight w:val="yellow"/>
              </w:rPr>
            </w:pPr>
            <w:r>
              <w:rPr>
                <w:rFonts w:ascii="Times New Roman" w:hAnsi="Times New Roman" w:cs="Times New Roman"/>
                <w:szCs w:val="21"/>
              </w:rPr>
              <w:t>杨苗苗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ascii="Times New Roman" w:hAnsi="Times New Roman" w:cs="Times New Roman"/>
                <w:bCs/>
                <w:szCs w:val="21"/>
              </w:rPr>
            </w:pPr>
            <w:r>
              <w:rPr>
                <w:rFonts w:ascii="Times New Roman" w:hAnsi="Times New Roman" w:cs="Times New Roman"/>
                <w:bCs/>
                <w:szCs w:val="21"/>
              </w:rPr>
              <w:t>企业专家</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曾耿滨</w:t>
            </w:r>
          </w:p>
        </w:tc>
        <w:tc>
          <w:tcPr>
            <w:tcW w:w="1198" w:type="dxa"/>
            <w:vAlign w:val="center"/>
          </w:tcPr>
          <w:p>
            <w:pPr>
              <w:jc w:val="center"/>
              <w:rPr>
                <w:rFonts w:ascii="Times New Roman" w:hAnsi="Times New Roman" w:cs="Times New Roman"/>
                <w:bCs/>
                <w:szCs w:val="21"/>
              </w:rPr>
            </w:pPr>
            <w:r>
              <w:rPr>
                <w:rFonts w:ascii="Times New Roman" w:hAnsi="Times New Roman" w:cs="Times New Roman"/>
                <w:bCs/>
                <w:szCs w:val="21"/>
              </w:rPr>
              <w:t>行业专家</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杨苗苗</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王林召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各专业</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47"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3441" w:type="dxa"/>
            <w:vAlign w:val="center"/>
          </w:tcPr>
          <w:p>
            <w:pPr>
              <w:widowControl/>
              <w:jc w:val="center"/>
              <w:rPr>
                <w:rFonts w:ascii="Times New Roman" w:hAnsi="Times New Roman" w:cs="Times New Roman"/>
                <w:bCs/>
                <w:szCs w:val="21"/>
              </w:rPr>
            </w:pPr>
            <w:r>
              <w:rPr>
                <w:rFonts w:ascii="Times New Roman" w:hAnsi="Times New Roman" w:cs="Times New Roman"/>
                <w:szCs w:val="21"/>
              </w:rPr>
              <w:t>无</w:t>
            </w:r>
          </w:p>
        </w:tc>
        <w:tc>
          <w:tcPr>
            <w:tcW w:w="1198" w:type="dxa"/>
            <w:vAlign w:val="center"/>
          </w:tcPr>
          <w:p>
            <w:pPr>
              <w:snapToGrid w:val="0"/>
              <w:jc w:val="center"/>
              <w:rPr>
                <w:rFonts w:ascii="Times New Roman" w:hAnsi="Times New Roman" w:cs="Times New Roman"/>
                <w:b/>
                <w:szCs w:val="21"/>
              </w:rPr>
            </w:pPr>
            <w:r>
              <w:rPr>
                <w:rFonts w:ascii="Times New Roman" w:hAnsi="Times New Roman" w:cs="Times New Roman"/>
                <w:szCs w:val="21"/>
              </w:rPr>
              <w:t>同修课程</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198" w:type="dxa"/>
            <w:vAlign w:val="center"/>
          </w:tcPr>
          <w:p>
            <w:pPr>
              <w:snapToGrid w:val="0"/>
              <w:jc w:val="center"/>
              <w:rPr>
                <w:rFonts w:ascii="Times New Roman" w:hAnsi="Times New Roman" w:cs="Times New Roman"/>
                <w:szCs w:val="21"/>
              </w:rPr>
            </w:pPr>
            <w:r>
              <w:rPr>
                <w:rFonts w:ascii="Times New Roman" w:hAnsi="Times New Roman" w:cs="Times New Roman"/>
                <w:szCs w:val="21"/>
              </w:rPr>
              <w:t>定稿日期</w:t>
            </w:r>
          </w:p>
        </w:tc>
        <w:tc>
          <w:tcPr>
            <w:tcW w:w="2695"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大学生心理健康教育》课程是全面落实教育规划纲要、促进学生健康成长、培养造就高级专门人才的重要途径，是全面贯彻党的教育方针、建设人力资源强国的重要举措，是全面提高高等教育质量、加强和改进大学生思想政治教育的重要任务；是面向新生开设的一门公共必修课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旨在使学生明确心理健康的标准及意义，增强自我心理保健意识和心理危机预防意识，掌握并应用心理健康知识，培养自我认知能力、自我调节能力、人际沟通能力，切实提高心理素质，促进学生全面发展。</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通过课程教学，使学生了解心理学的有关理论和基本概念，明确心理健康的标准及意义，了解大学生的心理发展特征及异常表现，了解自我调适的基本知识。通过课程的学习，学生可以掌握自我探索技能、心理调适技能，进而形成理性平和、自强不息的心理健康素质。本课程具体课程教学目标如下：</w:t>
      </w:r>
    </w:p>
    <w:p>
      <w:pPr>
        <w:adjustRightInd w:val="0"/>
        <w:snapToGrid w:val="0"/>
        <w:spacing w:line="300" w:lineRule="auto"/>
        <w:ind w:left="420"/>
        <w:rPr>
          <w:rFonts w:ascii="Times New Roman" w:hAnsi="Times New Roman" w:cs="Times New Roman"/>
          <w:szCs w:val="21"/>
        </w:rPr>
      </w:pPr>
      <w:r>
        <w:rPr>
          <w:rFonts w:ascii="Times New Roman" w:hAnsi="Times New Roman" w:cs="Times New Roman"/>
          <w:szCs w:val="21"/>
        </w:rPr>
        <w:t>1. 了解心理学的有关理论和基本概念，明确心理健康的标准及意义；[8</w:t>
      </w:r>
      <w:r>
        <w:rPr>
          <w:rFonts w:hint="eastAsia" w:ascii="Times New Roman" w:hAnsi="Times New Roman" w:cs="Times New Roman"/>
          <w:szCs w:val="21"/>
        </w:rPr>
        <w:t>.</w:t>
      </w:r>
      <w:r>
        <w:rPr>
          <w:rFonts w:ascii="Times New Roman" w:hAnsi="Times New Roman" w:cs="Times New Roman"/>
          <w:szCs w:val="21"/>
        </w:rPr>
        <w:t>2]</w:t>
      </w:r>
    </w:p>
    <w:p>
      <w:pPr>
        <w:adjustRightInd w:val="0"/>
        <w:snapToGrid w:val="0"/>
        <w:spacing w:line="300" w:lineRule="auto"/>
        <w:ind w:left="420"/>
        <w:rPr>
          <w:rFonts w:ascii="Times New Roman" w:hAnsi="Times New Roman" w:eastAsia="宋体" w:cs="Times New Roman"/>
          <w:szCs w:val="21"/>
        </w:rPr>
      </w:pPr>
      <w:r>
        <w:rPr>
          <w:rFonts w:ascii="Times New Roman" w:hAnsi="Times New Roman" w:eastAsia="宋体" w:cs="Times New Roman"/>
          <w:szCs w:val="21"/>
        </w:rPr>
        <w:t>2. 了解大学生的心理发展特征及异常表现，了解自我调适的基本知识；</w:t>
      </w:r>
      <w:r>
        <w:rPr>
          <w:rFonts w:ascii="Times New Roman" w:hAnsi="Times New Roman" w:cs="Times New Roman"/>
          <w:szCs w:val="21"/>
        </w:rPr>
        <w:t>[8</w:t>
      </w:r>
      <w:r>
        <w:rPr>
          <w:rFonts w:hint="eastAsia" w:ascii="Times New Roman" w:hAnsi="Times New Roman" w:cs="Times New Roman"/>
          <w:szCs w:val="21"/>
        </w:rPr>
        <w:t>.</w:t>
      </w:r>
      <w:r>
        <w:rPr>
          <w:rFonts w:ascii="Times New Roman" w:hAnsi="Times New Roman" w:cs="Times New Roman"/>
          <w:szCs w:val="21"/>
        </w:rPr>
        <w:t>2]</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w:t>
      </w:r>
      <w:r>
        <w:rPr>
          <w:rFonts w:ascii="Times New Roman" w:hAnsi="Times New Roman" w:eastAsia="宋体" w:cs="Times New Roman"/>
          <w:szCs w:val="21"/>
          <w:shd w:val="clear" w:color="auto" w:fill="FEFEFF"/>
        </w:rPr>
        <w:t xml:space="preserve">． </w:t>
      </w:r>
      <w:r>
        <w:rPr>
          <w:rFonts w:ascii="Times New Roman" w:hAnsi="Times New Roman" w:eastAsia="宋体" w:cs="Times New Roman"/>
          <w:szCs w:val="21"/>
        </w:rPr>
        <w:t>掌握自我探索技能、心理调适技能，进而形成理性平和、自强不息的心理健康素质；</w:t>
      </w:r>
      <w:r>
        <w:rPr>
          <w:rFonts w:ascii="Times New Roman" w:hAnsi="Times New Roman" w:cs="Times New Roman"/>
          <w:szCs w:val="21"/>
        </w:rPr>
        <w:t>[8</w:t>
      </w:r>
      <w:r>
        <w:rPr>
          <w:rFonts w:hint="eastAsia" w:ascii="Times New Roman" w:hAnsi="Times New Roman" w:cs="Times New Roman"/>
          <w:szCs w:val="21"/>
        </w:rPr>
        <w:t>.</w:t>
      </w:r>
      <w:r>
        <w:rPr>
          <w:rFonts w:ascii="Times New Roman" w:hAnsi="Times New Roman" w:cs="Times New Roman"/>
          <w:szCs w:val="21"/>
        </w:rPr>
        <w:t>2]</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541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92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412"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2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8．职业规范</w:t>
            </w:r>
          </w:p>
        </w:tc>
        <w:tc>
          <w:tcPr>
            <w:tcW w:w="541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理解工程师的职业道德规范，在工程实践中能自觉遵守职业道德和规范，履行责任，成为中国特色社会主义事业合格的建设者</w:t>
            </w:r>
            <w:r>
              <w:rPr>
                <w:rFonts w:ascii="Times New Roman" w:hAnsi="Times New Roman" w:eastAsia="宋体" w:cs="Times New Roman"/>
                <w:sz w:val="18"/>
                <w:szCs w:val="18"/>
              </w:rPr>
              <w:t>。</w:t>
            </w:r>
          </w:p>
        </w:tc>
        <w:tc>
          <w:tcPr>
            <w:tcW w:w="68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r>
              <w:rPr>
                <w:rFonts w:ascii="Times New Roman" w:hAnsi="Times New Roman" w:eastAsia="宋体" w:cs="Times New Roman"/>
                <w:sz w:val="18"/>
                <w:szCs w:val="18"/>
              </w:rPr>
              <w:t>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7"/>
        <w:gridCol w:w="2735"/>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1.了解心理学的有关理论和基本概念，明确心理健康的标准及意义；</w:t>
            </w:r>
          </w:p>
        </w:tc>
        <w:tc>
          <w:tcPr>
            <w:tcW w:w="27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2.了解大学生的心理发展特征及异常表现，了解自我调适的基本知识；</w:t>
            </w:r>
          </w:p>
        </w:tc>
        <w:tc>
          <w:tcPr>
            <w:tcW w:w="27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3.掌握自我探索技能、心理调适技能，进而形成理性平和、自强不息的心理健康素质；</w:t>
            </w:r>
          </w:p>
        </w:tc>
        <w:tc>
          <w:tcPr>
            <w:tcW w:w="27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抽查提问、课堂讨论、课程论文</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理论联系实际，注重案例教学：本门课程知识点涉及大学生生活的方方面面，教师以课堂讲授为主的同时应该引导学生多从自身的角度出发去反观和内省，此外，还应该注重案例教学，理论联系实际，加深学生对知识点的理解。</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2.组织课堂小组讨论，提高课堂教学服务水平：鉴于本门课程知识点与大学生实际日常生活紧密联系的特点，教师应在课堂上组织和引导学生进行小组讨论，</w:t>
      </w:r>
      <w:r>
        <w:rPr>
          <w:rFonts w:hint="eastAsia" w:ascii="Times New Roman" w:hAnsi="Times New Roman" w:eastAsia="宋体" w:cs="Times New Roman"/>
          <w:szCs w:val="21"/>
        </w:rPr>
        <w:t>各抒己见</w:t>
      </w:r>
      <w:r>
        <w:rPr>
          <w:rFonts w:ascii="Times New Roman" w:hAnsi="Times New Roman" w:eastAsia="宋体" w:cs="Times New Roman"/>
          <w:szCs w:val="21"/>
        </w:rPr>
        <w:t>，让学生敞开心扉了解自己、认识他人。</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061"/>
        <w:gridCol w:w="4268"/>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8" w:type="dxa"/>
            <w:shd w:val="clear" w:color="auto" w:fill="auto"/>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061" w:type="dxa"/>
            <w:shd w:val="clear" w:color="auto" w:fill="auto"/>
            <w:vAlign w:val="center"/>
          </w:tcPr>
          <w:p>
            <w:pPr>
              <w:adjustRightInd w:val="0"/>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4268" w:type="dxa"/>
            <w:shd w:val="clear" w:color="auto" w:fill="auto"/>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734"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030"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 大学生心理健康教育概述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1.1心理学基础</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（1）心理现象</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（2）心理学的定义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（3）心理学的研究领域</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（4）大学生心理特点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1.2大学生心理健康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（1）心理健康概念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（2）大学生心理健康教育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（3）大学生心理咨询</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1）了解人类心理活动的主要表现，心理健康的标准，以及心理健康教育的内容和形式。</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2）理解心理学的定义及其实质，心理咨询、心理治疗等基本概念。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3）掌握心理健康的概念和自我意识的概念及分类，并能初步分析自己的自我意识特点。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（1）心理测试：抑郁自评量表（SDS）、焦虑自评量表（SAS）。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（2）心理训练：自信心训练。</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3、讨论内容：什么是科学的心理学观？如何评价自身的心理健康状况？写出自己的所有优点与所有不足（含可改变的和不可改变的），并请熟悉你的人评价。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（1）《心理学导论》：梁宁建.上海：华东师范大学出版社, 2013.</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（2）《弗洛伊德论自我意识》：西格蒙德·弗洛伊德著.石磊译. 北京：中国商业出版社, 2016.</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  大学生的自我意识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2.1自我意识概述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（1）自我意识的概念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（2）自我意识的结构</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（3）自我意识的发展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（4）自我意识的信息来源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2.2大学生自我意识发展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（1）大学生自我意识的发展过程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（2）大学生自我意识的发展特点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（3）大学生自我意识发展的偏差</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2.3塑造健康自我意识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（1）大学生自我意识健全的标准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（2）塑造健康自我意识的途径与方法</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（1）了解自我意识的概念、结构与发展过程；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（2）理解大学生群体中存在的自我意识发展的偏差，对自身存在的自我意识偏差有所察觉；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（3）掌握塑造健康自我意识的途径与方法，实现自我意识的协调统一。</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（1）思考题：请尽量写出20个“我是谁”，想到什么就写下什么，不要有顾虑，例如“我是一个诚实的人”“我是自私的”等。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思考题：请分别写下“父亲眼中的我”、“母亲眼中的我”、“朋友眼中的我”、“老师眼中的我”、“同学眼中的我”分别是什么样的。在写完之后，感受重新审视之后，“镜中我”是不是很新鲜？像一个全新的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（3）心理测试：罗森伯格自尊量表。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（1）《弗洛伊德论自我意识》：西格蒙德·弗洛伊德著.石磊译. 北京：中国商业出版社, 2016.</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（2）《我是谁——意象对话解读自我》：朱建军. 合肥：安徽人民出版社, 2009.</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大学生情绪和压力调节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3.1大学生情绪情感</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（1）情绪情感概述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（2）大学生的情感特点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（3）大学生情感教育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3.2大学生心理压力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（1）心理压力概述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（2）大学生学习心理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（3）大学生职业心理</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（1）了解大学生情感教育的途径和方式，以及大学生职业心理特点，并学会自我规划。</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（2）理解情绪、情感的定义和大学生学习心理的特点、规律。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（3）掌握大学生的情感特点及心理压力的概念。2、作业内容：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（1）心理测试：心理测验：防御方式问卷、应付方式问卷。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（2）心理训练：放松训练。</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3、讨论内容：表述自己的情绪特征，并谈谈你平时是如何保持好心情的？试用理性情绪理论对自己的一个负性事件进行分析。如何合理利用挫折防御方式？如何提高自己的应付能力？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（1）《情绪心理学》：孟昭兰. 北京：北京大学出版社, 2005.</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（2）《走出抑郁症：一个抑郁症患者的成功自救》：王宇. 北京:机械工业出版社, 2015.</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大学生人格教育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4.1人格概述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（1）人格的含义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（2）大学生常见的人格缺陷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（3）大学生健康人格的培养</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4.2做气质的主人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（1）气质的含义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（2）气质的类型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（3）合理运用自己的气质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4.3性格及其优化</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（1）性格的含义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（2）大学生不良性格的表现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（3）大学生性格优化</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（1）了解人格的含义及基本特征和大学生中常见的人格缺陷。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（2）理解气质的调节和应用，性格的优化。</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（3）掌握气质与性格的概念及类型，并能基本了解自己的性格和气质类型。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（1）心理测验：气质问卷、艾森克个性问卷。</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（2）心理训练：“个性探索”——我是一个独特的人。我的长处是：</w:t>
            </w:r>
            <w:r>
              <w:rPr>
                <w:rFonts w:ascii="Times New Roman" w:hAnsi="Times New Roman" w:eastAsia="宋体" w:cs="Times New Roman"/>
                <w:sz w:val="18"/>
                <w:szCs w:val="18"/>
                <w:u w:val="single"/>
              </w:rPr>
              <w:t xml:space="preserve">    </w:t>
            </w:r>
            <w:r>
              <w:rPr>
                <w:rFonts w:ascii="Times New Roman" w:hAnsi="Times New Roman" w:eastAsia="宋体" w:cs="Times New Roman"/>
                <w:sz w:val="18"/>
                <w:szCs w:val="18"/>
              </w:rPr>
              <w:t>。我的限制是：</w:t>
            </w:r>
            <w:r>
              <w:rPr>
                <w:rFonts w:ascii="Times New Roman" w:hAnsi="Times New Roman" w:eastAsia="宋体" w:cs="Times New Roman"/>
                <w:sz w:val="18"/>
                <w:szCs w:val="18"/>
                <w:u w:val="single"/>
              </w:rPr>
              <w:t xml:space="preserve">     </w:t>
            </w:r>
            <w:r>
              <w:rPr>
                <w:rFonts w:ascii="Times New Roman" w:hAnsi="Times New Roman" w:eastAsia="宋体" w:cs="Times New Roman"/>
                <w:sz w:val="18"/>
                <w:szCs w:val="18"/>
              </w:rPr>
              <w:t>。当我清楚我的长处和限制以后，我的感受是：</w:t>
            </w:r>
            <w:r>
              <w:rPr>
                <w:rFonts w:ascii="Times New Roman" w:hAnsi="Times New Roman" w:eastAsia="宋体" w:cs="Times New Roman"/>
                <w:sz w:val="18"/>
                <w:szCs w:val="18"/>
                <w:u w:val="single"/>
              </w:rPr>
              <w:t xml:space="preserve">     </w:t>
            </w:r>
            <w:r>
              <w:rPr>
                <w:rFonts w:ascii="Times New Roman" w:hAnsi="Times New Roman" w:eastAsia="宋体" w:cs="Times New Roman"/>
                <w:sz w:val="18"/>
                <w:szCs w:val="18"/>
              </w:rPr>
              <w:t>。</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3、讨论内容：你的气质类型是什么，如何合理运用？你身上最鲜明的性格特征是什么，请用三四个最贴切的形容词加以描述；你性格中最优秀的个性品质是什么？最需要改善的个性品质有哪些？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（1）《人格研究》：郭永玉.上海：华东师范大学出版社, 2016.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（2）《神经质人格——人类心灵痛苦的密码》：刘翔平. 北京：北京师范大学出版社, 2010.</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 大学生人际心理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5.1 人际心理概述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（1）人际关系与人际交往</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（2）大学生人际交往的特点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（3）人际交往对大学生发展的意义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5.2 大学生人际交往的影响因素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（1）人际吸引的影响因素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（2）人际交往的影响因素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5.3 大学生人际交往心理困惑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（1）大学生人际交往心理困惑表现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（2）大学生人际交往心理困惑类型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5.4 大学生人际交往能力培养</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（1）人际交往的基本原则</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（2）人际交往的基本技巧</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（1）了解人际关系与人际交往的基本概念,人际交往对大学生发展的积极意义,以及人际交往心理困惑的表现。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（2）理解大学生人际交往的特点与基本原则,能够解释人际吸引和人际交往的影响因素。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（3）掌握大学生群体在人际交往方面常见的心理困惑,并运用学到的人际交往的基本技巧化解此类心理困惑。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2、作业内容：心理测试：请完成教材185页的人际关系量表,并据此评价自己的人际关系状况。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（1）你认为高中生与大学生的人际交往存在哪些不同？</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（2）你发现自己在人际交往中有哪些问题？你会尝试采取哪些方法解决？</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（1）《人际关系与沟通》：曾仕强,刘君政. 北京：清华大学出版社, 2005.</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（2）《人际关系心理学》：彭贤, 李海青. 北京：北京交通大学出版社, 2013.</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 大学生恋爱心理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6.1 恋爱心理概述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（1）爱情的定义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（2）爱情的实质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6.2 大学生恋爱心理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（1）大学生恋爱的动因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（2）大学生恋爱的特点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（3）大学生恋爱心理困惑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（4）大学生爱的能力培养</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6.3 大学生性心理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（1）性心理概述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（2）大学生性心理特点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（3）大学生性心理困惑</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（1）了解大学生恋爱的动因与特点,大学生常见的恋爱心理困惑,弗洛伊德的性心理发展理论,性心理健康的评定标准,以及大学生常见的性心理困惑。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（2）理解爱情的内涵与实,爱情相关的各种理论,以及大学生性心理困惑的成因。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（3）掌握培养爱的能力的方式与方法,学会化解常见的性心理困惑。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2、作业内容：心理测试：完成教材197页的男性、女性魅力测试,据此评价自身对于异性的魅力水平。</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（1）思考题：根据本讲学到的内容,谈一谈爱情与友谊的相同点与不同点。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（2）思考题：结合喜欢的爱情题材的小说、戏剧、电影或电视剧,谈谈爱情包含哪些元素。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（1）《恋爱、婚姻与职业——大学生心理学16讲》：程晓玲. 杭州：浙江大学出版社, 2008.</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（2）《性心理与性健康——大学生性健康教育读本》：王慧,萧会军.北京：第二军医大学出版社, 2003.</w:t>
            </w:r>
          </w:p>
          <w:p>
            <w:pPr>
              <w:adjustRightInd w:val="0"/>
              <w:snapToGrid w:val="0"/>
              <w:spacing w:line="300" w:lineRule="auto"/>
              <w:rPr>
                <w:rFonts w:ascii="Times New Roman" w:hAnsi="Times New Roman" w:eastAsia="宋体" w:cs="Times New Roman"/>
                <w:sz w:val="18"/>
                <w:szCs w:val="18"/>
              </w:rPr>
            </w:pP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 大学生职业生涯规划</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7.1 大学生职业生涯规划</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（1）职业生涯规划概述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（2）择业理念与择业过程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（3）大学生职业生涯规划的基本环节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（4）成功地个人职业生涯的开发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7.2 大学生求职择业心理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（1）大学生择业心理分析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（2）大学生择业困惑及心理冲突</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（3）大学生择业问题的原因分析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（4）大学生择业问题的对策分析</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（1）了解职业生涯规划的概念、择业观念与择业过程，对大学生职业生涯规划的基本环节有所知悉。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（2）理解大学生择业过程的心理活动，对可能遇到的择业困惑及心理冲突做好心理准备。</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（3）能够分析择业问题或困惑出现背后的深层次原因，并掌握战胜职业心理压力的方法，学会自我调适，树立自信心。</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2、作业内容：心理测试：霍兰德职业兴趣测试。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（1）思考题：请对自己的职业价值观、职业兴趣、职业性向、职业气质进行自我剖析和综合评估，并确定自己的职业方向</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（2）思考题：你如何看待在求职过程中的危机、困境、挫折和失败的？你打算如何将危机变成转机？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（1）《我的生涯手册》：吴芝仪. 北京：经济日报出版社, 2008.</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（2）《大学生职业生涯规划咨询案例教程》：方伟. 北京：北京大学出版社, 2015.</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061"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 大学生生命教育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8.1大学生生命教育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（1）认识生命</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（2）生命的意义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8.2大学生心理危机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（1）心理危机概述</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（2）大学生心理危机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（3）大学生自杀</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8.3大学生心理危机干预</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（1）心理危机的预防</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（2）心理危机的干预</w:t>
            </w:r>
          </w:p>
        </w:tc>
        <w:tc>
          <w:tcPr>
            <w:tcW w:w="426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（1）了解生命的界定与特性,心理危机的特点,以及大学生心理危机的类型。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（2）理解生命的意义,引发大学生自杀的因素,能够解释现实生活中自杀事件的深层次原因。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（3）掌握常见的大学生心理危机事件,在现实生活中敏锐捕捉自己身边可能出现的心理危机事件,并掌握心理危机的预防策略以及干预原则和方式。2、作业内容：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（1）思考题：结合本讲内容,谈谈你认为生命的意义是什么。</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（2）思考题：回顾自己的成长历程,分析你是如何应对危机的？你的耐挫力如何？应当往哪个方向改进。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（3）思考题：结合最近发生的一起大学生自杀事件,试解释为什么他/她会这样做。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（1）《假如给我三天光明》：海伦·凯勒著. 高晓慧译. 北京：北京工业大学出版社, 2014.</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（2）《我很重要》：毕淑敏. 桂林：漓江出版社,2016.</w:t>
            </w:r>
          </w:p>
        </w:tc>
        <w:tc>
          <w:tcPr>
            <w:tcW w:w="734"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（1）考核性质：考查</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（2）具体考核方式：期末课程论文考核与平时成绩（包括考勤、作业及课堂表现等）相结合</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2.成绩构成：课堂平时表现占30%，课程论文占70%。</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3.考核评价标准见表4所示：。</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8"/>
        <w:gridCol w:w="656"/>
        <w:gridCol w:w="639"/>
        <w:gridCol w:w="745"/>
        <w:gridCol w:w="3335"/>
        <w:gridCol w:w="921"/>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65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3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74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33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2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restart"/>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平时成绩</w:t>
            </w:r>
          </w:p>
        </w:tc>
        <w:tc>
          <w:tcPr>
            <w:tcW w:w="65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100</w:t>
            </w:r>
          </w:p>
        </w:tc>
        <w:tc>
          <w:tcPr>
            <w:tcW w:w="656"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0.3</w:t>
            </w:r>
          </w:p>
        </w:tc>
        <w:tc>
          <w:tcPr>
            <w:tcW w:w="63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03</w:t>
            </w:r>
          </w:p>
        </w:tc>
        <w:tc>
          <w:tcPr>
            <w:tcW w:w="3335"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根据学生课堂表现打分（满分100分 ）</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745" w:type="dxa"/>
            <w:vAlign w:val="center"/>
          </w:tcPr>
          <w:p>
            <w:pPr>
              <w:adjustRightInd w:val="0"/>
              <w:snapToGrid w:val="0"/>
              <w:spacing w:line="300" w:lineRule="auto"/>
              <w:jc w:val="center"/>
            </w:pPr>
            <w:r>
              <w:rPr>
                <w:rFonts w:hint="eastAsia" w:ascii="Times New Roman" w:hAnsi="Times New Roman" w:eastAsia="宋体" w:cs="Times New Roman"/>
                <w:sz w:val="18"/>
                <w:szCs w:val="18"/>
              </w:rPr>
              <w:t>0.03</w:t>
            </w:r>
          </w:p>
        </w:tc>
        <w:tc>
          <w:tcPr>
            <w:tcW w:w="333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0.06</w:t>
            </w:r>
          </w:p>
        </w:tc>
        <w:tc>
          <w:tcPr>
            <w:tcW w:w="333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0.045</w:t>
            </w:r>
          </w:p>
        </w:tc>
        <w:tc>
          <w:tcPr>
            <w:tcW w:w="3335"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主要考核学生对每章节知识点的理解和掌握程度；每次作业按百分制单独评分，取各次成绩的平均值作为书面作业成绩（满分100分）</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745" w:type="dxa"/>
            <w:vAlign w:val="center"/>
          </w:tcPr>
          <w:p>
            <w:pPr>
              <w:adjustRightInd w:val="0"/>
              <w:snapToGrid w:val="0"/>
              <w:spacing w:line="300" w:lineRule="auto"/>
              <w:jc w:val="center"/>
            </w:pPr>
            <w:r>
              <w:rPr>
                <w:rFonts w:hint="eastAsia" w:ascii="Times New Roman" w:hAnsi="Times New Roman" w:eastAsia="宋体" w:cs="Times New Roman"/>
                <w:sz w:val="18"/>
                <w:szCs w:val="18"/>
              </w:rPr>
              <w:t>0.045</w:t>
            </w:r>
          </w:p>
        </w:tc>
        <w:tc>
          <w:tcPr>
            <w:tcW w:w="333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0.09</w:t>
            </w:r>
          </w:p>
        </w:tc>
        <w:tc>
          <w:tcPr>
            <w:tcW w:w="333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期末成绩</w:t>
            </w:r>
          </w:p>
        </w:tc>
        <w:tc>
          <w:tcPr>
            <w:tcW w:w="65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639"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课程论文</w:t>
            </w: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0.175</w:t>
            </w:r>
          </w:p>
        </w:tc>
        <w:tc>
          <w:tcPr>
            <w:tcW w:w="3335"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(1)满分100分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(2)考核依据</w:t>
            </w:r>
            <w:r>
              <w:rPr>
                <w:rFonts w:hint="eastAsia" w:ascii="Times New Roman" w:hAnsi="Times New Roman" w:eastAsia="宋体" w:cs="Times New Roman"/>
                <w:sz w:val="18"/>
                <w:szCs w:val="18"/>
              </w:rPr>
              <w:t>：</w:t>
            </w:r>
            <w:r>
              <w:rPr>
                <w:rFonts w:ascii="Times New Roman" w:hAnsi="Times New Roman" w:eastAsia="宋体" w:cs="Times New Roman"/>
                <w:sz w:val="18"/>
                <w:szCs w:val="18"/>
              </w:rPr>
              <w:t>课程考核以教学大纲为依据，能重视考核学生对基本概念、基本理论和基本技能的掌握程度，也能注重考核学生综合应用所学知识、解决问题的能力。</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0.175</w:t>
            </w:r>
          </w:p>
        </w:tc>
        <w:tc>
          <w:tcPr>
            <w:tcW w:w="333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745"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0.35</w:t>
            </w:r>
          </w:p>
        </w:tc>
        <w:tc>
          <w:tcPr>
            <w:tcW w:w="333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bl>
    <w:p>
      <w:pPr>
        <w:adjustRightInd w:val="0"/>
        <w:snapToGrid w:val="0"/>
        <w:spacing w:before="156" w:beforeLines="50" w:after="156" w:afterLines="50" w:line="300" w:lineRule="auto"/>
        <w:rPr>
          <w:rFonts w:ascii="Times New Roman" w:hAnsi="Times New Roman" w:eastAsia="宋体" w:cs="Times New Roman"/>
          <w:b/>
          <w:sz w:val="24"/>
        </w:rPr>
      </w:pP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49" o:spt="75" type="#_x0000_t75" style="height:32.25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49" DrawAspect="Content" ObjectID="_1468075947" r:id="rId280">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课程总目标达成情况为3个课程目标的加权得分率，其计算公式为：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50"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50" DrawAspect="Content" ObjectID="_1468075948" r:id="rId281">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910"/>
        <w:gridCol w:w="2016"/>
        <w:gridCol w:w="2389"/>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910"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201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389"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36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910"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201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2389"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236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51" o:spt="75" type="#_x0000_t75" style="height:22.5pt;width:264pt;" o:ole="t" filled="f" o:preferrelative="t" stroked="f" coordsize="21600,21600">
            <v:path/>
            <v:fill on="f" focussize="0,0"/>
            <v:stroke on="f" joinstyle="miter"/>
            <v:imagedata r:id="rId61" o:title=""/>
            <o:lock v:ext="edit" aspectratio="t"/>
            <w10:wrap type="none"/>
            <w10:anchorlock/>
          </v:shape>
          <o:OLEObject Type="Embed" ProgID="Equation.DSMT4" ShapeID="_x0000_i1251" DrawAspect="Content" ObjectID="_1468075949" r:id="rId282">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numPr>
          <w:ilvl w:val="0"/>
          <w:numId w:val="103"/>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刘国华、王婧主编. 大学生心理健康教育[M]. 武汉:武汉大学出版社,2013.</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邱鸿钟主编. 大学生心理卫生[M]. 广州:广东高等教育出版社, 2000.</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韦彦凌等. 大学生生心理健康与咨询[M]. 北京:中国经济出版社, 1995.</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马绍斌著. 心理保健[M]. 广州:暨南大学出版社, 1995.</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徐光兴. 学校心理学——心理辅导与咨询[M]. 上海:华东师范大学出版社,2000.</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崔丽娟. 心理学是什么[M]. 北京:北京大学出版社,2002.</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宋专茂. 心理健康测量[M]. 广州:暨南大学出版社,1999.</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张厚粲. 大学心理学[M]. 北京:北京师大出版社,2001.</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王登峰. 大学生心理卫生与咨询[M]. 北京:北京大学出版社,1992.</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王登峰. 临床心理学[M]. 北京:北京人民教育出版社,1999.</w:t>
      </w:r>
    </w:p>
    <w:p>
      <w:pPr>
        <w:numPr>
          <w:ilvl w:val="0"/>
          <w:numId w:val="104"/>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马建青.大学生心理卫生[M]. 杭州:浙江大学出版社,1992.</w:t>
      </w:r>
    </w:p>
    <w:tbl>
      <w:tblPr>
        <w:tblStyle w:val="40"/>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cs="Times New Roman"/>
                <w:szCs w:val="21"/>
              </w:rPr>
            </w:pPr>
            <w:r>
              <w:rPr>
                <w:rFonts w:ascii="Times New Roman" w:hAnsi="Times New Roman"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ind w:firstLine="420" w:firstLineChars="200"/>
        <w:rPr>
          <w:rFonts w:ascii="Times New Roman" w:hAnsi="Times New Roman" w:eastAsia="宋体" w:cs="Times New Roman"/>
          <w:szCs w:val="21"/>
          <w:shd w:val="clear" w:color="auto" w:fill="FEFEFF"/>
        </w:rPr>
      </w:pPr>
    </w:p>
    <w:p>
      <w:pPr>
        <w:snapToGrid w:val="0"/>
        <w:spacing w:line="300" w:lineRule="auto"/>
        <w:rPr>
          <w:rFonts w:ascii="Times New Roman" w:hAnsi="Times New Roman" w:eastAsia="宋体" w:cs="Times New Roman"/>
          <w:szCs w:val="21"/>
          <w:shd w:val="clear" w:color="auto" w:fill="FEFEFF"/>
        </w:rPr>
      </w:pPr>
    </w:p>
    <w:p>
      <w:pPr>
        <w:widowControl/>
        <w:jc w:val="left"/>
        <w:rPr>
          <w:rFonts w:ascii="Times New Roman" w:hAnsi="Times New Roman" w:eastAsia="宋体" w:cs="Times New Roman"/>
          <w:b/>
          <w:sz w:val="32"/>
        </w:rPr>
      </w:pPr>
      <w:bookmarkStart w:id="384" w:name="_Toc47774682"/>
      <w:bookmarkStart w:id="385" w:name="_Toc38126086"/>
      <w:bookmarkStart w:id="386" w:name="_Toc46489632"/>
      <w:bookmarkStart w:id="387" w:name="_Toc47719725"/>
      <w:bookmarkStart w:id="388" w:name="_Toc47718753"/>
      <w:r>
        <w:rPr>
          <w:rFonts w:ascii="Times New Roman" w:hAnsi="Times New Roman" w:eastAsia="宋体" w:cs="Times New Roman"/>
        </w:rPr>
        <w:br w:type="page"/>
      </w:r>
    </w:p>
    <w:p>
      <w:pPr>
        <w:pStyle w:val="3"/>
        <w:jc w:val="center"/>
        <w:rPr>
          <w:rFonts w:ascii="Times New Roman" w:hAnsi="Times New Roman" w:eastAsia="宋体" w:cs="Times New Roman"/>
        </w:rPr>
      </w:pPr>
      <w:bookmarkStart w:id="389" w:name="_Toc12213"/>
      <w:bookmarkStart w:id="390" w:name="_Toc26950"/>
      <w:r>
        <w:rPr>
          <w:rFonts w:ascii="Times New Roman" w:hAnsi="Times New Roman" w:eastAsia="宋体" w:cs="Times New Roman"/>
        </w:rPr>
        <w:t>56011103《大学生职业发展与就业指导》课程教学大纲</w:t>
      </w:r>
      <w:bookmarkEnd w:id="384"/>
      <w:bookmarkEnd w:id="385"/>
      <w:bookmarkEnd w:id="386"/>
      <w:bookmarkEnd w:id="387"/>
      <w:bookmarkEnd w:id="388"/>
      <w:bookmarkEnd w:id="389"/>
      <w:bookmarkEnd w:id="390"/>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247"/>
        <w:gridCol w:w="1186"/>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3247" w:type="dxa"/>
            <w:vAlign w:val="center"/>
          </w:tcPr>
          <w:p>
            <w:pPr>
              <w:jc w:val="center"/>
              <w:rPr>
                <w:rFonts w:ascii="Times New Roman" w:hAnsi="Times New Roman" w:cs="Times New Roman"/>
                <w:szCs w:val="21"/>
              </w:rPr>
            </w:pPr>
            <w:r>
              <w:rPr>
                <w:rFonts w:ascii="Times New Roman" w:hAnsi="Times New Roman" w:cs="Times New Roman"/>
                <w:bCs/>
                <w:szCs w:val="21"/>
              </w:rPr>
              <w:t>56011103</w:t>
            </w:r>
          </w:p>
        </w:tc>
        <w:tc>
          <w:tcPr>
            <w:tcW w:w="1186"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2901" w:type="dxa"/>
            <w:vAlign w:val="center"/>
          </w:tcPr>
          <w:p>
            <w:pPr>
              <w:jc w:val="center"/>
              <w:rPr>
                <w:rFonts w:ascii="Times New Roman" w:hAnsi="Times New Roman" w:cs="Times New Roman"/>
                <w:szCs w:val="21"/>
              </w:rPr>
            </w:pPr>
            <w:r>
              <w:rPr>
                <w:rFonts w:ascii="Times New Roman" w:hAnsi="Times New Roman" w:cs="Times New Roman"/>
                <w:bCs/>
                <w:szCs w:val="21"/>
              </w:rPr>
              <w:t>大学生职业发展与就业指导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3247"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186"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2901" w:type="dxa"/>
            <w:vAlign w:val="center"/>
          </w:tcPr>
          <w:p>
            <w:pPr>
              <w:jc w:val="center"/>
              <w:rPr>
                <w:rFonts w:ascii="Times New Roman" w:hAnsi="Times New Roman" w:cs="Times New Roman"/>
                <w:bCs/>
                <w:szCs w:val="21"/>
              </w:rPr>
            </w:pPr>
            <w:r>
              <w:rPr>
                <w:rFonts w:ascii="Times New Roman" w:hAnsi="Times New Roman" w:cs="Times New Roman"/>
                <w:bCs/>
                <w:szCs w:val="21"/>
              </w:rPr>
              <w:t>Career</w:t>
            </w:r>
            <w:r>
              <w:rPr>
                <w:rFonts w:hint="eastAsia" w:ascii="Times New Roman" w:hAnsi="Times New Roman" w:cs="Times New Roman"/>
                <w:bCs/>
                <w:szCs w:val="21"/>
              </w:rPr>
              <w:t xml:space="preserve"> Development and Employment </w:t>
            </w:r>
            <w:r>
              <w:rPr>
                <w:rFonts w:ascii="Times New Roman" w:hAnsi="Times New Roman" w:cs="Times New Roman"/>
                <w:bCs/>
                <w:szCs w:val="21"/>
              </w:rPr>
              <w:t>Guidance</w:t>
            </w:r>
            <w:r>
              <w:rPr>
                <w:rFonts w:hint="eastAsia" w:ascii="Times New Roman" w:hAnsi="Times New Roman" w:cs="Times New Roman"/>
                <w:bCs/>
                <w:szCs w:val="21"/>
              </w:rPr>
              <w:t xml:space="preserve"> for College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3247" w:type="dxa"/>
            <w:vAlign w:val="center"/>
          </w:tcPr>
          <w:p>
            <w:pPr>
              <w:jc w:val="center"/>
              <w:rPr>
                <w:rFonts w:ascii="Times New Roman" w:hAnsi="Times New Roman" w:cs="Times New Roman"/>
                <w:szCs w:val="21"/>
              </w:rPr>
            </w:pPr>
            <w:r>
              <w:rPr>
                <w:rFonts w:ascii="Times New Roman" w:hAnsi="Times New Roman" w:cs="Times New Roman"/>
                <w:bCs/>
                <w:szCs w:val="21"/>
              </w:rPr>
              <w:t>1</w:t>
            </w:r>
            <w:r>
              <w:rPr>
                <w:rFonts w:ascii="Times New Roman" w:hAnsi="Times New Roman" w:cs="Times New Roman"/>
                <w:szCs w:val="21"/>
              </w:rPr>
              <w:t xml:space="preserve"> : 16（0）</w:t>
            </w:r>
          </w:p>
        </w:tc>
        <w:tc>
          <w:tcPr>
            <w:tcW w:w="1186"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2901" w:type="dxa"/>
            <w:vAlign w:val="center"/>
          </w:tcPr>
          <w:p>
            <w:pPr>
              <w:jc w:val="center"/>
              <w:rPr>
                <w:rFonts w:ascii="Times New Roman" w:hAnsi="Times New Roman" w:cs="Times New Roman"/>
                <w:szCs w:val="21"/>
                <w:highlight w:val="yellow"/>
              </w:rPr>
            </w:pPr>
            <w:r>
              <w:rPr>
                <w:rFonts w:ascii="Times New Roman" w:hAnsi="Times New Roman" w:cs="Times New Roman"/>
                <w:szCs w:val="21"/>
              </w:rPr>
              <w:t>秦红明、孔沛球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Align w:val="center"/>
          </w:tcPr>
          <w:p>
            <w:pPr>
              <w:jc w:val="center"/>
              <w:rPr>
                <w:rFonts w:ascii="Times New Roman" w:hAnsi="Times New Roman" w:cs="Times New Roman"/>
                <w:bCs/>
                <w:szCs w:val="21"/>
              </w:rPr>
            </w:pPr>
            <w:r>
              <w:rPr>
                <w:rFonts w:ascii="Times New Roman" w:hAnsi="Times New Roman" w:cs="Times New Roman"/>
                <w:bCs/>
                <w:szCs w:val="21"/>
              </w:rPr>
              <w:t>企业专家</w:t>
            </w:r>
          </w:p>
        </w:tc>
        <w:tc>
          <w:tcPr>
            <w:tcW w:w="3247" w:type="dxa"/>
            <w:vAlign w:val="center"/>
          </w:tcPr>
          <w:p>
            <w:pPr>
              <w:widowControl/>
              <w:jc w:val="center"/>
              <w:rPr>
                <w:rFonts w:ascii="Times New Roman" w:hAnsi="Times New Roman" w:cs="Times New Roman"/>
                <w:szCs w:val="21"/>
              </w:rPr>
            </w:pPr>
            <w:r>
              <w:rPr>
                <w:rFonts w:ascii="Times New Roman" w:hAnsi="Times New Roman" w:cs="Times New Roman"/>
                <w:szCs w:val="21"/>
              </w:rPr>
              <w:t>曾耿滨</w:t>
            </w:r>
          </w:p>
        </w:tc>
        <w:tc>
          <w:tcPr>
            <w:tcW w:w="1186" w:type="dxa"/>
            <w:vAlign w:val="center"/>
          </w:tcPr>
          <w:p>
            <w:pPr>
              <w:jc w:val="center"/>
              <w:rPr>
                <w:rFonts w:ascii="Times New Roman" w:hAnsi="Times New Roman" w:cs="Times New Roman"/>
                <w:bCs/>
                <w:szCs w:val="21"/>
              </w:rPr>
            </w:pPr>
            <w:r>
              <w:rPr>
                <w:rFonts w:ascii="Times New Roman" w:hAnsi="Times New Roman" w:cs="Times New Roman"/>
                <w:bCs/>
                <w:szCs w:val="21"/>
              </w:rPr>
              <w:t>行业专家</w:t>
            </w:r>
          </w:p>
        </w:tc>
        <w:tc>
          <w:tcPr>
            <w:tcW w:w="2901" w:type="dxa"/>
            <w:vAlign w:val="center"/>
          </w:tcPr>
          <w:p>
            <w:pPr>
              <w:widowControl/>
              <w:jc w:val="center"/>
              <w:rPr>
                <w:rFonts w:ascii="Times New Roman" w:hAnsi="Times New Roman" w:cs="Times New Roman"/>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3247" w:type="dxa"/>
            <w:vAlign w:val="center"/>
          </w:tcPr>
          <w:p>
            <w:pPr>
              <w:widowControl/>
              <w:jc w:val="center"/>
              <w:rPr>
                <w:rFonts w:ascii="Times New Roman" w:hAnsi="Times New Roman" w:cs="Times New Roman"/>
                <w:szCs w:val="21"/>
              </w:rPr>
            </w:pPr>
            <w:r>
              <w:rPr>
                <w:rFonts w:ascii="Times New Roman" w:hAnsi="Times New Roman" w:cs="Times New Roman"/>
                <w:szCs w:val="21"/>
              </w:rPr>
              <w:t>秦红明、孔沛球</w:t>
            </w:r>
          </w:p>
        </w:tc>
        <w:tc>
          <w:tcPr>
            <w:tcW w:w="1186"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2901" w:type="dxa"/>
            <w:vAlign w:val="center"/>
          </w:tcPr>
          <w:p>
            <w:pPr>
              <w:widowControl/>
              <w:jc w:val="center"/>
              <w:rPr>
                <w:rFonts w:ascii="Times New Roman" w:hAnsi="Times New Roman" w:cs="Times New Roman"/>
                <w:szCs w:val="21"/>
              </w:rPr>
            </w:pPr>
            <w:r>
              <w:rPr>
                <w:rFonts w:ascii="Times New Roman" w:hAnsi="Times New Roman" w:cs="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3247" w:type="dxa"/>
            <w:vAlign w:val="center"/>
          </w:tcPr>
          <w:p>
            <w:pPr>
              <w:widowControl/>
              <w:jc w:val="center"/>
              <w:rPr>
                <w:rFonts w:ascii="Times New Roman" w:hAnsi="Times New Roman" w:cs="Times New Roman"/>
                <w:szCs w:val="21"/>
              </w:rPr>
            </w:pPr>
            <w:r>
              <w:rPr>
                <w:rFonts w:ascii="Times New Roman" w:hAnsi="Times New Roman" w:cs="Times New Roman"/>
                <w:szCs w:val="21"/>
              </w:rPr>
              <w:t>各专业</w:t>
            </w:r>
          </w:p>
        </w:tc>
        <w:tc>
          <w:tcPr>
            <w:tcW w:w="1186"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2901" w:type="dxa"/>
            <w:vAlign w:val="center"/>
          </w:tcPr>
          <w:p>
            <w:pPr>
              <w:widowControl/>
              <w:jc w:val="center"/>
              <w:rPr>
                <w:rFonts w:ascii="Times New Roman" w:hAnsi="Times New Roman" w:cs="Times New Roman"/>
                <w:szCs w:val="21"/>
              </w:rPr>
            </w:pPr>
            <w:r>
              <w:rPr>
                <w:rFonts w:ascii="Times New Roman" w:hAnsi="Times New Roman" w:cs="Times New Roman"/>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47"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3247" w:type="dxa"/>
            <w:vAlign w:val="center"/>
          </w:tcPr>
          <w:p>
            <w:pPr>
              <w:widowControl/>
              <w:jc w:val="center"/>
              <w:rPr>
                <w:rFonts w:ascii="Times New Roman" w:hAnsi="Times New Roman" w:cs="Times New Roman"/>
                <w:bCs/>
                <w:szCs w:val="21"/>
              </w:rPr>
            </w:pPr>
            <w:r>
              <w:rPr>
                <w:rFonts w:ascii="Times New Roman" w:hAnsi="Times New Roman" w:cs="Times New Roman"/>
                <w:szCs w:val="21"/>
              </w:rPr>
              <w:t>无</w:t>
            </w:r>
          </w:p>
        </w:tc>
        <w:tc>
          <w:tcPr>
            <w:tcW w:w="1186" w:type="dxa"/>
            <w:vAlign w:val="center"/>
          </w:tcPr>
          <w:p>
            <w:pPr>
              <w:snapToGrid w:val="0"/>
              <w:jc w:val="center"/>
              <w:rPr>
                <w:rFonts w:ascii="Times New Roman" w:hAnsi="Times New Roman" w:cs="Times New Roman"/>
                <w:b/>
                <w:szCs w:val="21"/>
              </w:rPr>
            </w:pPr>
            <w:r>
              <w:rPr>
                <w:rFonts w:ascii="Times New Roman" w:hAnsi="Times New Roman" w:cs="Times New Roman"/>
                <w:szCs w:val="21"/>
              </w:rPr>
              <w:t>同修课程</w:t>
            </w:r>
          </w:p>
        </w:tc>
        <w:tc>
          <w:tcPr>
            <w:tcW w:w="2901"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3247"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186" w:type="dxa"/>
            <w:vAlign w:val="center"/>
          </w:tcPr>
          <w:p>
            <w:pPr>
              <w:snapToGrid w:val="0"/>
              <w:jc w:val="center"/>
              <w:rPr>
                <w:rFonts w:ascii="Times New Roman" w:hAnsi="Times New Roman" w:cs="Times New Roman"/>
                <w:szCs w:val="21"/>
              </w:rPr>
            </w:pPr>
            <w:r>
              <w:rPr>
                <w:rFonts w:ascii="Times New Roman" w:hAnsi="Times New Roman" w:cs="Times New Roman"/>
                <w:szCs w:val="21"/>
              </w:rPr>
              <w:t>定稿日期</w:t>
            </w:r>
          </w:p>
        </w:tc>
        <w:tc>
          <w:tcPr>
            <w:tcW w:w="2901"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大学生职业发展与就业指导课程是全体本科生的一门必修课。本课程根据大学阶段的学习特点，分阶段、分重点对职业生涯规划理论、职业素质拓展、就业指导等内容进行介绍，帮助大学生以国家有关法律、法规及相关政策为依据，结合当前我国毕业生就业形势和特点，树立正确的职业观和就业观，科学规划自己的大学学习和生活，提前为就业和未来职业发展做好准备。</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本课程包含职业认知、职业生涯规划、求职准备与心理调试、求职技巧等内容，是贯穿大学生本科学习全程的教育教学活动。  </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本课程的任务是：指导学生系统学习职业自我认知、职业观、职业生涯规划、了解企业文化、掌握就业技能、提高就业竞争力、实现充分就业。</w:t>
      </w:r>
    </w:p>
    <w:p>
      <w:pPr>
        <w:widowControl/>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本课程具体课程教学目标如下：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1. </w:t>
      </w:r>
      <w:r>
        <w:rPr>
          <w:rFonts w:hint="eastAsia" w:ascii="Times New Roman" w:hAnsi="Times New Roman" w:eastAsia="宋体" w:cs="Times New Roman"/>
          <w:szCs w:val="21"/>
        </w:rPr>
        <w:t>掌握</w:t>
      </w:r>
      <w:r>
        <w:rPr>
          <w:rFonts w:ascii="Times New Roman" w:hAnsi="Times New Roman" w:eastAsia="宋体" w:cs="Times New Roman"/>
          <w:szCs w:val="21"/>
        </w:rPr>
        <w:t>职业生涯规划的基本知识</w:t>
      </w:r>
      <w:r>
        <w:rPr>
          <w:rFonts w:hint="eastAsia" w:ascii="Times New Roman" w:hAnsi="Times New Roman" w:eastAsia="宋体" w:cs="Times New Roman"/>
          <w:szCs w:val="21"/>
        </w:rPr>
        <w:t>，</w:t>
      </w:r>
      <w:r>
        <w:rPr>
          <w:rFonts w:ascii="Times New Roman" w:hAnsi="Times New Roman" w:eastAsia="宋体" w:cs="Times New Roman"/>
          <w:szCs w:val="21"/>
        </w:rPr>
        <w:t>学会个人的职业定位与职业生涯规划实务；了解具体的职业要求，有针对性地提高自身素质和职业需要的技能，以胜任未来的工作；</w:t>
      </w:r>
      <w:r>
        <w:rPr>
          <w:rFonts w:hint="eastAsia" w:ascii="Times New Roman" w:hAnsi="Times New Roman" w:eastAsia="宋体" w:cs="Times New Roman"/>
          <w:szCs w:val="21"/>
        </w:rPr>
        <w:t>[12.1]</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了解</w:t>
      </w:r>
      <w:r>
        <w:rPr>
          <w:rFonts w:ascii="Times New Roman" w:hAnsi="Times New Roman" w:eastAsia="宋体" w:cs="Times New Roman"/>
          <w:szCs w:val="21"/>
        </w:rPr>
        <w:t>自我探索技能、信息搜索与管理技能、生涯决策技能、求职技能和各种通用技能</w:t>
      </w:r>
      <w:r>
        <w:rPr>
          <w:rFonts w:hint="eastAsia" w:ascii="Times New Roman" w:hAnsi="Times New Roman" w:eastAsia="宋体" w:cs="Times New Roman"/>
          <w:szCs w:val="21"/>
        </w:rPr>
        <w:t>；掌握</w:t>
      </w:r>
      <w:r>
        <w:rPr>
          <w:rFonts w:ascii="Times New Roman" w:hAnsi="Times New Roman" w:eastAsia="宋体" w:cs="Times New Roman"/>
          <w:szCs w:val="21"/>
        </w:rPr>
        <w:t>目标职业对通用技能的要求；识别并评价自己的通用技能；掌握通用技能的提高方法；</w:t>
      </w:r>
      <w:r>
        <w:rPr>
          <w:rFonts w:hint="eastAsia" w:ascii="Times New Roman" w:hAnsi="Times New Roman" w:eastAsia="宋体" w:cs="Times New Roman"/>
          <w:szCs w:val="21"/>
        </w:rPr>
        <w:t>[12.1]</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掌握就业求职面试的基本方法和技巧巧，学会依法维护劳动权益；了解学习与工作的不同、学校与职场的区别，引导学生顺利适应生涯角色的转换，为职业发展奠定良好的基础。</w:t>
      </w:r>
      <w:r>
        <w:rPr>
          <w:rFonts w:hint="eastAsia" w:ascii="Times New Roman" w:hAnsi="Times New Roman" w:eastAsia="宋体" w:cs="Times New Roman"/>
          <w:szCs w:val="21"/>
        </w:rPr>
        <w:t>[12.1]</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5856"/>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8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8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80"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12．终身学习</w:t>
            </w:r>
          </w:p>
        </w:tc>
        <w:tc>
          <w:tcPr>
            <w:tcW w:w="5856"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12.1具有自主学习和终身学习的意识，掌握拓展知识和能力的基本方法和途径。</w:t>
            </w:r>
          </w:p>
        </w:tc>
        <w:tc>
          <w:tcPr>
            <w:tcW w:w="68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239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3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1.职业生涯规划的基本知识：学会个人的职业定位与职业生涯规划实务；</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2.就业能力：了解具体的职业要求，有针对性地提高自身素质和职业需要的技能，以胜任未来的工作；</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3.自我探索技能、信息搜索与管理技能、生涯决策技能、求职技能和各种通用技能：目标职业对通用技能的要求；识别并评价自己的通用技能；掌握通用技能的提高方法；</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4.职业素质：全面提高自身的职业素质；</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5.求职技巧和方法：掌握就业求职面试的基本方法和技巧巧，学会依法维护劳动权益；</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6.职场适应能力：了解学习与工作的不同、学校与职场的区别，引导学生顺利适应生涯角色的转换，为职业发展奠定良好的基础；</w:t>
            </w:r>
          </w:p>
        </w:tc>
        <w:tc>
          <w:tcPr>
            <w:tcW w:w="23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课堂讲授、案例研讨、小组讨论、指定阅读、网络学习等</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shd w:val="clear" w:color="auto" w:fill="FEFEFF"/>
              </w:rPr>
              <w:t>抽查提问、课堂讨论、期末考试</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理论联系实际，注重案例教学：本门课程知识点实用性高、针对性强，教师以课堂讲授为主的同时应该引导学生多联系自身情况和社会现状进行职业规划和调整，此外，还应该注重案例教学，理论联系实际，引导学生讲所学知识点应用到实际生活当中。</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2.组织课堂小组讨论，提高课堂教学服务水平：鉴于本门课程知识点是每一个即将步入社会的大学生都要面临的问题，教师应在课堂上组织和引导学生进行小组讨论，让学生多方位思考问题，</w:t>
      </w:r>
      <w:r>
        <w:rPr>
          <w:rFonts w:hint="eastAsia" w:ascii="Times New Roman" w:hAnsi="Times New Roman" w:eastAsia="宋体" w:cs="Times New Roman"/>
          <w:szCs w:val="21"/>
        </w:rPr>
        <w:t>各抒己见</w:t>
      </w:r>
      <w:r>
        <w:rPr>
          <w:rFonts w:ascii="Times New Roman" w:hAnsi="Times New Roman" w:eastAsia="宋体" w:cs="Times New Roman"/>
          <w:szCs w:val="21"/>
        </w:rPr>
        <w:t>，扬长避短，开阔视野。</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line="300" w:lineRule="auto"/>
        <w:ind w:firstLine="420" w:firstLineChars="200"/>
        <w:rPr>
          <w:rFonts w:ascii="Times New Roman" w:hAnsi="Times New Roman" w:eastAsia="宋体" w:cs="Times New Roman"/>
          <w:szCs w:val="21"/>
        </w:rPr>
      </w:pP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2"/>
        <w:gridCol w:w="4299"/>
        <w:gridCol w:w="2818"/>
        <w:gridCol w:w="449"/>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92" w:type="dxa"/>
            <w:shd w:val="clear" w:color="auto" w:fill="auto"/>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4299" w:type="dxa"/>
            <w:shd w:val="clear" w:color="auto" w:fill="auto"/>
            <w:vAlign w:val="center"/>
          </w:tcPr>
          <w:p>
            <w:pPr>
              <w:adjustRightInd w:val="0"/>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2818" w:type="dxa"/>
            <w:shd w:val="clear" w:color="auto" w:fill="auto"/>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449"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886"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1建立生涯与职业意识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1.1职业发展与规划导论</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（1）职业对个体生活的重要意义、高校毕业生就业形势；  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（2）所学专业对应的职业类别，以及相关职业和行业的就业形势；（3）职业发展与生涯规划的基本概念；</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（4）生涯规划与未来生活的关系； 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（5）职业角色与其他生活角色的关系； 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（6）大学生活（专业学习、社会活动、课外兼职等）对职业生涯发展的影响。</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1.2影响职业规划的因素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（1）影响职业生涯与发展决策的自身因素；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（2）影响职业生涯与发展决策的职业因素；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（3）影响职业生涯与发展决策的环境因素。</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通过本部分的学习，使大学生意识到确立自身发展目标的重要性，了解职业的特性，思考未来理想职业与所学专业的关系，逐步确立长远而稳定的发展目标，增强大学学习的目的性、积极性。</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3、讨论内容：谈谈大学学习与未来职业发展的关系</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《人生发展与职业生涯规划》 团结出版社；2003年版；程社明、卜欣欣、戴洁编著</w:t>
            </w: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 职业发展规划</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2.1认识自我 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（1）能力与技能的概念；能力、技能与职业的关系；个人能力与技能的评定方法；  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（2）兴趣的概念；兴趣与职业的关系；兴趣的评定方法；  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（3）人格的概念；人格与职业的关系；人格的评定方法； 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（4）需要和价值观的概念；价值观与职业的关系；价值观的评定方法； 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（5）整合以上特性，形成初步的职业期望。2.2了解职业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（1）我国对产业、行业的划分及概述；我国劳动力市场的基本状况；国内外职业分类方法；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（2）影响劳动力市场的因素； 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（3）根据设定的职业发展目标确定职业探索的方向； 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（4）职业信息的内容：工作内容、工作环境、能力和技能要求、从业人员共有的人格特征、未来发展前景、薪资待遇、对生活的影响等；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（5）搜集职业信息的方法：可利用学校、社区、家庭、朋友等资源。</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2.3了解环境 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（1）探索学校、院系、家庭以及朋友等构成的小环境中的可利用资源； 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（2）了解国家、社会、地方区域等大环境中的相关政策法规、经济形势，探索其对个人职业发展的意义和价值。</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2.4职业发展决策 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（1）决策类型；职业生涯与发展决策的影响因素（教育程度、工作 及家庭对决策的影响，个人因素及环境因素）； 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（2）决策相关理论；决策模型在职业生涯与发展决策过程中的应用；</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（3）做出决策并制定个人行动计划；  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（4）识别决策过程中的影响因素，提高问题解决技能； 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（5）识别决策过程中的消极思维，构建积极的自我对话。</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通过本部分的学习，使学生了解自我、了解职业，学习决策方法，形成初步的职业发展规划，确定人生不同阶段的职业目标及其对应的生活模式。2、作业内容：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尝试使用吉讯生涯系统，对自己进行职业测评。</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提高就业能力</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3.1目标职业对专业技能的要求；这些技能与所学专业课程的关系；评价个人目前所掌握的专业技能水平； 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3.2目标职业对通用技能（表达沟通、人际交往、分析判断、问题解决、创新能力、团队合作、组织管理、客户服务等）的要求；识别并评价自己的通用技能；掌握通用技能的提高方法； 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3.3目标职业对个人素质（自信、自立、责任心、诚信、时间管理、主动、勤奋等）的要求；了解个人的素质特征；制定提高个人素质的实施计划； 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3.4根据目标职业要求，制定大学期间的学业规划。 </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通过本部分的学习，使学生了解具体的职业要求，具体分析已确定职业和该职业需要的专业技能、通用技能，以及对个人素质的要求，有针对性地提高自身素质和并学会通过各种途径来有效地提高这些技能，以胜任未来的工作。</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撰写一份电子版的个人生涯规划报告书。</w:t>
            </w:r>
          </w:p>
          <w:p>
            <w:pPr>
              <w:numPr>
                <w:ilvl w:val="0"/>
                <w:numId w:val="105"/>
              </w:num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求职过程指导</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4.1搜集就业信息 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（1）了解就业信息； 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（2）搜集就业信息； 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（3）分析与利用就业信息。 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4.2简历撰写与面试技巧 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（1）简历制作的注意事项； 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（2）求职礼仪； 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（3）面试基本类型与应对技巧； 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（4）面试后注意事项。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4.3心理调适 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（1）求职过程中常见的心理问题； 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（2）心理调适的作用与方法； 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（3）建立个性化的心理调适方法。 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4.4就业权益保护 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（1）求职过程中常见的侵权、违法行为； 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（2）就业协议与劳动合同的签订； 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（3）违约责任与劳动争议； 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（4）社会保险的有关知识。</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通过本部分的学习，使学生提高求职技能，增进心理调适能力，维护个人合法权益，进而有效地管理求职过程。</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撰写一份电子版的个人求职简历。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 就业形势、政策和就业程序 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5.1大学生就业环境与就业制度 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（1）大学生就业环境现状与前景 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（2）现行的就业政策 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5.2大学生就业的程序</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（1）签约  </w:t>
            </w:r>
          </w:p>
          <w:p>
            <w:pPr>
              <w:numPr>
                <w:ilvl w:val="0"/>
                <w:numId w:val="106"/>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签约的内涵和基本流程 </w:t>
            </w:r>
          </w:p>
          <w:p>
            <w:pPr>
              <w:numPr>
                <w:ilvl w:val="0"/>
                <w:numId w:val="106"/>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签约各方的权利和义务 </w:t>
            </w:r>
          </w:p>
          <w:p>
            <w:pPr>
              <w:numPr>
                <w:ilvl w:val="0"/>
                <w:numId w:val="106"/>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就业协议书与劳动合同 </w:t>
            </w:r>
          </w:p>
          <w:p>
            <w:pPr>
              <w:numPr>
                <w:ilvl w:val="0"/>
                <w:numId w:val="106"/>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违约责任及办理手续 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（2）派遣  </w:t>
            </w:r>
          </w:p>
          <w:p>
            <w:pPr>
              <w:numPr>
                <w:ilvl w:val="0"/>
                <w:numId w:val="107"/>
              </w:num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派遣方案的制订依据 </w:t>
            </w:r>
          </w:p>
          <w:p>
            <w:pPr>
              <w:numPr>
                <w:ilvl w:val="0"/>
                <w:numId w:val="107"/>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报到证的作用 </w:t>
            </w:r>
          </w:p>
          <w:p>
            <w:pPr>
              <w:numPr>
                <w:ilvl w:val="0"/>
                <w:numId w:val="107"/>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改派的制度和程序 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（3）报到  </w:t>
            </w:r>
          </w:p>
          <w:p>
            <w:pPr>
              <w:numPr>
                <w:ilvl w:val="0"/>
                <w:numId w:val="108"/>
              </w:num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报到的规定和基本程序      </w:t>
            </w:r>
          </w:p>
          <w:p>
            <w:pPr>
              <w:numPr>
                <w:ilvl w:val="0"/>
                <w:numId w:val="108"/>
              </w:numPr>
              <w:adjustRightInd w:val="0"/>
              <w:snapToGrid w:val="0"/>
              <w:spacing w:line="300" w:lineRule="auto"/>
              <w:ind w:firstLine="360" w:firstLineChars="200"/>
              <w:rPr>
                <w:rFonts w:ascii="Times New Roman" w:hAnsi="Times New Roman" w:eastAsia="宋体" w:cs="Times New Roman"/>
                <w:sz w:val="18"/>
                <w:szCs w:val="18"/>
              </w:rPr>
            </w:pPr>
            <w:r>
              <w:rPr>
                <w:rFonts w:ascii="Times New Roman" w:hAnsi="Times New Roman" w:eastAsia="宋体" w:cs="Times New Roman"/>
                <w:sz w:val="18"/>
                <w:szCs w:val="18"/>
              </w:rPr>
              <w:t>人事代理制度 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5.3大学生就业的形式</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通过本课题的教学，使学生了解当前就业形势，了解现行大学生就业的政策和制度，熟悉就业的基本程序，把握求职机遇，并能维护自身的合法权益；使学生了解签约、派遣和报到的基本要求和程序，树立法律意识和诚信观念，做到享受权益和承担责任的统一。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阅读《就业指导简明手册》。</w:t>
            </w: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92"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29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 职业适应与发展</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6.1从学生到职业人的过渡 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（1）学校和职场的差别；学生和职业人的差别 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（2）初入职场可能会面临的问题以及解决方式。</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6.2工作中应注意的因素 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（1）影响职业成功的因素——所需知识、技能及态度的变化； 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（2）有效的工作态度及行为； 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（3）工作中的人际沟通；</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（4）职业道德培养。  </w:t>
            </w:r>
          </w:p>
        </w:tc>
        <w:tc>
          <w:tcPr>
            <w:tcW w:w="281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1、目标及要求：</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通过本部分学习，使学生了解学习与工作的不同、学校与职场的区别，引导学生顺利适应生涯角色的转换，为职业发展奠定良好的基础。</w:t>
            </w:r>
          </w:p>
          <w:p>
            <w:pPr>
              <w:numPr>
                <w:ilvl w:val="0"/>
                <w:numId w:val="109"/>
              </w:num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作业内容：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3、讨论内容：</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分组讨论个人职场发展规划。</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4、自学拓展：</w:t>
            </w:r>
          </w:p>
        </w:tc>
        <w:tc>
          <w:tcPr>
            <w:tcW w:w="44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886" w:type="dxa"/>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1.考核方式：期末闭卷考试与平时成绩（包括考勤、作业及课堂表现等）相结合</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2.成绩构成：课堂平时表现占30%，期末考试占70%。</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3.考核评价标准见表4所示：。</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8"/>
        <w:gridCol w:w="656"/>
        <w:gridCol w:w="639"/>
        <w:gridCol w:w="855"/>
        <w:gridCol w:w="3225"/>
        <w:gridCol w:w="921"/>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3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85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22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2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restart"/>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平时成绩</w:t>
            </w:r>
          </w:p>
        </w:tc>
        <w:tc>
          <w:tcPr>
            <w:tcW w:w="65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100</w:t>
            </w:r>
          </w:p>
        </w:tc>
        <w:tc>
          <w:tcPr>
            <w:tcW w:w="656"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0.3</w:t>
            </w:r>
          </w:p>
        </w:tc>
        <w:tc>
          <w:tcPr>
            <w:tcW w:w="63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8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0.024</w:t>
            </w:r>
          </w:p>
        </w:tc>
        <w:tc>
          <w:tcPr>
            <w:tcW w:w="3225"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w:t>
            </w:r>
            <w:r>
              <w:rPr>
                <w:rFonts w:hint="eastAsia" w:ascii="Times New Roman" w:hAnsi="Times New Roman" w:eastAsia="宋体" w:cs="Times New Roman"/>
                <w:sz w:val="18"/>
                <w:szCs w:val="18"/>
              </w:rPr>
              <w:t>考勤和</w:t>
            </w:r>
            <w:r>
              <w:rPr>
                <w:rFonts w:ascii="Times New Roman" w:hAnsi="Times New Roman" w:eastAsia="宋体" w:cs="Times New Roman"/>
                <w:sz w:val="18"/>
                <w:szCs w:val="18"/>
              </w:rPr>
              <w:t>学生课堂表现打分（满分100分 ）</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855" w:type="dxa"/>
            <w:vAlign w:val="center"/>
          </w:tcPr>
          <w:p>
            <w:pPr>
              <w:adjustRightInd w:val="0"/>
              <w:snapToGrid w:val="0"/>
              <w:spacing w:line="300" w:lineRule="auto"/>
              <w:jc w:val="center"/>
              <w:rPr>
                <w:rFonts w:ascii="Times New Roman" w:hAnsi="Times New Roman" w:cs="Times New Roman"/>
                <w:sz w:val="18"/>
                <w:szCs w:val="18"/>
              </w:rPr>
            </w:pPr>
            <w:r>
              <w:rPr>
                <w:rFonts w:ascii="Times New Roman" w:hAnsi="Times New Roman" w:cs="Times New Roman"/>
                <w:sz w:val="18"/>
                <w:szCs w:val="18"/>
              </w:rPr>
              <w:t>0.048</w:t>
            </w:r>
          </w:p>
        </w:tc>
        <w:tc>
          <w:tcPr>
            <w:tcW w:w="322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8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0.048</w:t>
            </w:r>
          </w:p>
        </w:tc>
        <w:tc>
          <w:tcPr>
            <w:tcW w:w="322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8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0.036</w:t>
            </w:r>
          </w:p>
        </w:tc>
        <w:tc>
          <w:tcPr>
            <w:tcW w:w="3225"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主要考核学生对每章节知识点的理解和掌握程度；每次作业按百分制单独评分，取各次成绩的平均值作为书面作业成绩（满分100分）</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855" w:type="dxa"/>
            <w:vAlign w:val="center"/>
          </w:tcPr>
          <w:p>
            <w:pPr>
              <w:adjustRightInd w:val="0"/>
              <w:snapToGrid w:val="0"/>
              <w:spacing w:line="300" w:lineRule="auto"/>
              <w:jc w:val="center"/>
              <w:rPr>
                <w:rFonts w:ascii="Times New Roman" w:hAnsi="Times New Roman" w:cs="Times New Roman"/>
                <w:sz w:val="18"/>
                <w:szCs w:val="18"/>
              </w:rPr>
            </w:pPr>
            <w:r>
              <w:rPr>
                <w:rFonts w:ascii="Times New Roman" w:hAnsi="Times New Roman" w:cs="Times New Roman"/>
                <w:sz w:val="18"/>
                <w:szCs w:val="18"/>
              </w:rPr>
              <w:t>0.072</w:t>
            </w:r>
          </w:p>
        </w:tc>
        <w:tc>
          <w:tcPr>
            <w:tcW w:w="322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8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0.072</w:t>
            </w:r>
          </w:p>
        </w:tc>
        <w:tc>
          <w:tcPr>
            <w:tcW w:w="322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期末成绩</w:t>
            </w:r>
          </w:p>
        </w:tc>
        <w:tc>
          <w:tcPr>
            <w:tcW w:w="65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639"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课程论文</w:t>
            </w:r>
          </w:p>
        </w:tc>
        <w:tc>
          <w:tcPr>
            <w:tcW w:w="855" w:type="dxa"/>
            <w:vAlign w:val="center"/>
          </w:tcPr>
          <w:p>
            <w:pPr>
              <w:adjustRightInd w:val="0"/>
              <w:snapToGrid w:val="0"/>
              <w:spacing w:line="300" w:lineRule="auto"/>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0.14</w:t>
            </w:r>
          </w:p>
        </w:tc>
        <w:tc>
          <w:tcPr>
            <w:tcW w:w="3225" w:type="dxa"/>
            <w:vMerge w:val="restart"/>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(1)满分100分</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(2)考核依据： 课程考核以教学大纲为依据，能重视考核学生对基本概念、基本理论和基本技能的掌握程度，也能注重考核学生综合应用所学知识、解决问题的能力。</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029"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continue"/>
            <w:vAlign w:val="center"/>
          </w:tcPr>
          <w:p>
            <w:pPr>
              <w:adjustRightInd w:val="0"/>
              <w:snapToGrid w:val="0"/>
              <w:spacing w:line="300" w:lineRule="auto"/>
              <w:jc w:val="left"/>
            </w:pPr>
          </w:p>
        </w:tc>
        <w:tc>
          <w:tcPr>
            <w:tcW w:w="658" w:type="dxa"/>
            <w:vMerge w:val="continue"/>
            <w:vAlign w:val="center"/>
          </w:tcPr>
          <w:p>
            <w:pPr>
              <w:adjustRightInd w:val="0"/>
              <w:snapToGrid w:val="0"/>
              <w:spacing w:line="300" w:lineRule="auto"/>
              <w:jc w:val="left"/>
            </w:pPr>
          </w:p>
        </w:tc>
        <w:tc>
          <w:tcPr>
            <w:tcW w:w="656" w:type="dxa"/>
            <w:vMerge w:val="continue"/>
            <w:vAlign w:val="center"/>
          </w:tcPr>
          <w:p>
            <w:pPr>
              <w:adjustRightInd w:val="0"/>
              <w:snapToGrid w:val="0"/>
              <w:spacing w:line="300" w:lineRule="auto"/>
              <w:jc w:val="left"/>
            </w:pPr>
          </w:p>
        </w:tc>
        <w:tc>
          <w:tcPr>
            <w:tcW w:w="639" w:type="dxa"/>
            <w:vMerge w:val="continue"/>
            <w:vAlign w:val="center"/>
          </w:tcPr>
          <w:p>
            <w:pPr>
              <w:adjustRightInd w:val="0"/>
              <w:snapToGrid w:val="0"/>
              <w:spacing w:line="300" w:lineRule="auto"/>
              <w:jc w:val="left"/>
            </w:pPr>
          </w:p>
        </w:tc>
        <w:tc>
          <w:tcPr>
            <w:tcW w:w="855" w:type="dxa"/>
            <w:vAlign w:val="center"/>
          </w:tcPr>
          <w:p>
            <w:pPr>
              <w:adjustRightInd w:val="0"/>
              <w:snapToGrid w:val="0"/>
              <w:spacing w:line="300" w:lineRule="auto"/>
              <w:jc w:val="center"/>
              <w:rPr>
                <w:rFonts w:ascii="Times New Roman" w:hAnsi="Times New Roman" w:cs="Times New Roman"/>
                <w:sz w:val="18"/>
                <w:szCs w:val="18"/>
              </w:rPr>
            </w:pPr>
            <w:r>
              <w:rPr>
                <w:rFonts w:ascii="Times New Roman" w:hAnsi="Times New Roman" w:cs="Times New Roman"/>
                <w:sz w:val="18"/>
                <w:szCs w:val="18"/>
              </w:rPr>
              <w:t>0.28</w:t>
            </w:r>
          </w:p>
        </w:tc>
        <w:tc>
          <w:tcPr>
            <w:tcW w:w="3225" w:type="dxa"/>
            <w:vMerge w:val="continue"/>
            <w:vAlign w:val="center"/>
          </w:tcPr>
          <w:p>
            <w:pPr>
              <w:adjustRightInd w:val="0"/>
              <w:snapToGrid w:val="0"/>
              <w:spacing w:line="300" w:lineRule="auto"/>
              <w:jc w:val="left"/>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5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63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85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0.28</w:t>
            </w:r>
          </w:p>
        </w:tc>
        <w:tc>
          <w:tcPr>
            <w:tcW w:w="3225"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029" w:type="dxa"/>
            <w:vMerge w:val="continue"/>
            <w:vAlign w:val="center"/>
          </w:tcPr>
          <w:p>
            <w:pPr>
              <w:adjustRightInd w:val="0"/>
              <w:snapToGrid w:val="0"/>
              <w:spacing w:line="300" w:lineRule="auto"/>
              <w:jc w:val="left"/>
              <w:rPr>
                <w:rFonts w:ascii="Times New Roman" w:hAnsi="Times New Roman" w:eastAsia="宋体" w:cs="Times New Roman"/>
                <w:sz w:val="18"/>
                <w:szCs w:val="18"/>
              </w:rPr>
            </w:pPr>
          </w:p>
        </w:tc>
      </w:tr>
    </w:tbl>
    <w:p>
      <w:pPr>
        <w:adjustRightInd w:val="0"/>
        <w:snapToGrid w:val="0"/>
        <w:spacing w:before="156" w:beforeLines="50" w:after="156" w:afterLines="50" w:line="300" w:lineRule="auto"/>
        <w:rPr>
          <w:rFonts w:ascii="Times New Roman" w:hAnsi="Times New Roman" w:eastAsia="宋体" w:cs="Times New Roman"/>
          <w:b/>
          <w:sz w:val="24"/>
        </w:rPr>
      </w:pP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52"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52" DrawAspect="Content" ObjectID="_1468075950" r:id="rId283">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课程总目标达成情况为6个课程目标的加权得分率，其计算公式为：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53"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53" DrawAspect="Content" ObjectID="_1468075951" r:id="rId284">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line="300" w:lineRule="auto"/>
        <w:rPr>
          <w:rFonts w:ascii="Times New Roman" w:hAnsi="Times New Roman" w:eastAsia="宋体" w:cs="Times New Roman"/>
        </w:rPr>
      </w:pP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4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57"/>
        <w:gridCol w:w="1115"/>
        <w:gridCol w:w="132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057"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115"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321"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307"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057"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115"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321"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4</w:t>
            </w:r>
          </w:p>
        </w:tc>
        <w:tc>
          <w:tcPr>
            <w:tcW w:w="1307"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4</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54"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54" DrawAspect="Content" ObjectID="_1468075952" r:id="rId285">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本课程目前没有统一征订教材，由授课老师根据教学大纲结合专业特点，自编讲义进行授课，差异性较大。建议组织校内骨干教师编写校本教材，规范教学内容和要求。</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110"/>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程良越、谢珊.大学生职业生涯发展.高校就业指导课基础教材.广东高等教育出版社 2011.8</w:t>
      </w:r>
    </w:p>
    <w:p>
      <w:pPr>
        <w:numPr>
          <w:ilvl w:val="0"/>
          <w:numId w:val="110"/>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李涛编著.中华人民共和国就业促进法实施手册.中国法律出版社.</w:t>
      </w:r>
    </w:p>
    <w:p>
      <w:pPr>
        <w:numPr>
          <w:ilvl w:val="0"/>
          <w:numId w:val="110"/>
        </w:numPr>
        <w:adjustRightInd w:val="0"/>
        <w:snapToGrid w:val="0"/>
        <w:spacing w:line="300" w:lineRule="auto"/>
        <w:rPr>
          <w:rFonts w:ascii="Times New Roman" w:hAnsi="Times New Roman" w:eastAsia="宋体" w:cs="Times New Roman"/>
        </w:rPr>
      </w:pPr>
      <w:r>
        <w:rPr>
          <w:rFonts w:ascii="Times New Roman" w:hAnsi="Times New Roman" w:eastAsia="宋体" w:cs="Times New Roman"/>
        </w:rPr>
        <w:t>2019年超星尔雅学习通《大学生职业发展和就业指导</w:t>
      </w:r>
      <w:r>
        <w:rPr>
          <w:rFonts w:hint="eastAsia" w:ascii="Times New Roman" w:hAnsi="Times New Roman" w:eastAsia="宋体" w:cs="Times New Roman"/>
        </w:rPr>
        <w:t>》</w:t>
      </w:r>
      <w:r>
        <w:rPr>
          <w:rFonts w:ascii="Times New Roman" w:hAnsi="Times New Roman" w:eastAsia="宋体" w:cs="Times New Roman"/>
        </w:rPr>
        <w:t>.</w:t>
      </w:r>
    </w:p>
    <w:tbl>
      <w:tblPr>
        <w:tblStyle w:val="63"/>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jc w:val="right"/>
              <w:rPr>
                <w:rFonts w:ascii="Times New Roman" w:hAnsi="Times New Roman" w:cs="Times New Roman"/>
                <w:szCs w:val="21"/>
              </w:rPr>
            </w:pPr>
            <w:r>
              <w:rPr>
                <w:rFonts w:ascii="Times New Roman" w:hAnsi="Times New Roman" w:cs="Times New Roman"/>
                <w:szCs w:val="21"/>
              </w:rPr>
              <w:t xml:space="preserve">日  期： </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adjustRightInd w:val="0"/>
        <w:snapToGrid w:val="0"/>
        <w:spacing w:line="300" w:lineRule="auto"/>
        <w:rPr>
          <w:rFonts w:ascii="Times New Roman" w:hAnsi="Times New Roman" w:eastAsia="宋体" w:cs="Times New Roman"/>
        </w:rPr>
      </w:pPr>
    </w:p>
    <w:p>
      <w:pPr>
        <w:adjustRightInd w:val="0"/>
        <w:snapToGrid w:val="0"/>
        <w:spacing w:line="300" w:lineRule="auto"/>
        <w:rPr>
          <w:rFonts w:ascii="Times New Roman" w:hAnsi="Times New Roman" w:eastAsia="宋体" w:cs="Times New Roman"/>
        </w:rPr>
      </w:pPr>
    </w:p>
    <w:p>
      <w:pPr>
        <w:adjustRightInd w:val="0"/>
        <w:snapToGrid w:val="0"/>
        <w:spacing w:line="300" w:lineRule="auto"/>
        <w:rPr>
          <w:rFonts w:ascii="Times New Roman" w:hAnsi="Times New Roman" w:eastAsia="宋体" w:cs="Times New Roman"/>
        </w:rPr>
      </w:pPr>
    </w:p>
    <w:p>
      <w:pPr>
        <w:adjustRightInd w:val="0"/>
        <w:snapToGrid w:val="0"/>
        <w:spacing w:line="300" w:lineRule="auto"/>
        <w:rPr>
          <w:rFonts w:ascii="Times New Roman" w:hAnsi="Times New Roman" w:eastAsia="宋体" w:cs="Times New Roman"/>
        </w:rPr>
      </w:pPr>
    </w:p>
    <w:p>
      <w:pPr>
        <w:adjustRightInd w:val="0"/>
        <w:snapToGrid w:val="0"/>
        <w:spacing w:line="300" w:lineRule="auto"/>
        <w:rPr>
          <w:rFonts w:ascii="Times New Roman" w:hAnsi="Times New Roman" w:eastAsia="宋体" w:cs="Times New Roman"/>
        </w:rPr>
      </w:pPr>
    </w:p>
    <w:p>
      <w:pPr>
        <w:pStyle w:val="3"/>
        <w:jc w:val="center"/>
        <w:rPr>
          <w:rFonts w:ascii="Times New Roman" w:hAnsi="Times New Roman" w:eastAsia="宋体" w:cs="Times New Roman"/>
        </w:rPr>
      </w:pPr>
      <w:bookmarkStart w:id="391" w:name="_Toc29824977"/>
      <w:bookmarkStart w:id="392" w:name="_Toc38126087"/>
      <w:bookmarkStart w:id="393" w:name="_Toc18782"/>
      <w:bookmarkStart w:id="394" w:name="_Toc47718754"/>
      <w:bookmarkStart w:id="395" w:name="_Toc47774683"/>
      <w:bookmarkStart w:id="396" w:name="_Toc11465"/>
      <w:bookmarkStart w:id="397" w:name="_Toc46489633"/>
      <w:bookmarkStart w:id="398" w:name="_Toc47719726"/>
      <w:bookmarkStart w:id="399" w:name="_Toc28941"/>
      <w:r>
        <w:rPr>
          <w:rFonts w:ascii="Times New Roman" w:hAnsi="Times New Roman" w:eastAsia="宋体" w:cs="Times New Roman"/>
        </w:rPr>
        <w:t>57000000《创新创业教育》课程教学大纲</w:t>
      </w:r>
      <w:bookmarkEnd w:id="391"/>
      <w:bookmarkEnd w:id="392"/>
      <w:bookmarkEnd w:id="393"/>
      <w:bookmarkEnd w:id="394"/>
      <w:bookmarkEnd w:id="395"/>
      <w:bookmarkEnd w:id="396"/>
      <w:bookmarkEnd w:id="397"/>
      <w:bookmarkEnd w:id="398"/>
      <w:bookmarkEnd w:id="399"/>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356"/>
        <w:gridCol w:w="1484"/>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2356" w:type="dxa"/>
            <w:vAlign w:val="center"/>
          </w:tcPr>
          <w:p>
            <w:pPr>
              <w:jc w:val="center"/>
              <w:rPr>
                <w:rFonts w:ascii="Times New Roman" w:hAnsi="Times New Roman" w:cs="Times New Roman"/>
                <w:szCs w:val="21"/>
              </w:rPr>
            </w:pPr>
            <w:r>
              <w:rPr>
                <w:rFonts w:ascii="Times New Roman" w:hAnsi="Times New Roman" w:cs="Times New Roman"/>
                <w:szCs w:val="21"/>
              </w:rPr>
              <w:t>57000000</w:t>
            </w:r>
          </w:p>
        </w:tc>
        <w:tc>
          <w:tcPr>
            <w:tcW w:w="1484"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3493" w:type="dxa"/>
            <w:vAlign w:val="center"/>
          </w:tcPr>
          <w:p>
            <w:pPr>
              <w:jc w:val="center"/>
              <w:rPr>
                <w:rFonts w:ascii="Times New Roman" w:hAnsi="Times New Roman" w:cs="Times New Roman"/>
                <w:szCs w:val="21"/>
              </w:rPr>
            </w:pPr>
            <w:r>
              <w:rPr>
                <w:rFonts w:ascii="Times New Roman" w:hAnsi="Times New Roman" w:cs="Times New Roman"/>
                <w:szCs w:val="21"/>
              </w:rPr>
              <w:t>创新创业教育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2356"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484"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3493" w:type="dxa"/>
            <w:vAlign w:val="center"/>
          </w:tcPr>
          <w:p>
            <w:pPr>
              <w:jc w:val="center"/>
              <w:rPr>
                <w:rFonts w:ascii="Times New Roman" w:hAnsi="Times New Roman" w:cs="Times New Roman"/>
                <w:szCs w:val="21"/>
              </w:rPr>
            </w:pPr>
            <w:r>
              <w:rPr>
                <w:rFonts w:hint="eastAsia" w:ascii="Times New Roman" w:hAnsi="Times New Roman" w:cs="Times New Roman"/>
                <w:szCs w:val="21"/>
              </w:rPr>
              <w:t>Innovation and Entrepreneurship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2356" w:type="dxa"/>
            <w:vAlign w:val="center"/>
          </w:tcPr>
          <w:p>
            <w:pPr>
              <w:jc w:val="center"/>
              <w:rPr>
                <w:rFonts w:ascii="Times New Roman" w:hAnsi="Times New Roman" w:cs="Times New Roman"/>
                <w:szCs w:val="21"/>
              </w:rPr>
            </w:pPr>
            <w:r>
              <w:rPr>
                <w:rFonts w:ascii="Times New Roman" w:hAnsi="Times New Roman" w:cs="Times New Roman"/>
                <w:bCs/>
                <w:szCs w:val="21"/>
              </w:rPr>
              <w:t>2 : 32（0）</w:t>
            </w:r>
          </w:p>
        </w:tc>
        <w:tc>
          <w:tcPr>
            <w:tcW w:w="1484"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3493" w:type="dxa"/>
            <w:vAlign w:val="center"/>
          </w:tcPr>
          <w:p>
            <w:pPr>
              <w:widowControl/>
              <w:jc w:val="center"/>
              <w:rPr>
                <w:rFonts w:ascii="Times New Roman" w:hAnsi="Times New Roman" w:cs="Times New Roman"/>
                <w:szCs w:val="21"/>
              </w:rPr>
            </w:pPr>
            <w:r>
              <w:rPr>
                <w:rFonts w:ascii="Times New Roman" w:hAnsi="Times New Roman" w:cs="Times New Roman"/>
                <w:szCs w:val="21"/>
              </w:rPr>
              <w:t>左利华、吴鋆、朱晓闻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8" w:type="dxa"/>
            <w:vAlign w:val="center"/>
          </w:tcPr>
          <w:p>
            <w:pPr>
              <w:jc w:val="center"/>
              <w:rPr>
                <w:rFonts w:ascii="Times New Roman" w:hAnsi="Times New Roman" w:cs="Times New Roman"/>
                <w:bCs/>
                <w:szCs w:val="21"/>
              </w:rPr>
            </w:pPr>
            <w:r>
              <w:rPr>
                <w:rFonts w:ascii="Times New Roman" w:hAnsi="Times New Roman" w:cs="Times New Roman"/>
                <w:bCs/>
                <w:szCs w:val="21"/>
              </w:rPr>
              <w:t>企业专家</w:t>
            </w:r>
          </w:p>
        </w:tc>
        <w:tc>
          <w:tcPr>
            <w:tcW w:w="2356" w:type="dxa"/>
            <w:vAlign w:val="center"/>
          </w:tcPr>
          <w:p>
            <w:pPr>
              <w:widowControl/>
              <w:jc w:val="center"/>
              <w:rPr>
                <w:rFonts w:ascii="Times New Roman" w:hAnsi="Times New Roman" w:cs="Times New Roman"/>
                <w:szCs w:val="21"/>
              </w:rPr>
            </w:pPr>
            <w:r>
              <w:rPr>
                <w:rFonts w:ascii="Times New Roman" w:hAnsi="Times New Roman" w:cs="Times New Roman"/>
                <w:szCs w:val="21"/>
              </w:rPr>
              <w:t>曾耿滨</w:t>
            </w:r>
          </w:p>
        </w:tc>
        <w:tc>
          <w:tcPr>
            <w:tcW w:w="1484" w:type="dxa"/>
            <w:vAlign w:val="center"/>
          </w:tcPr>
          <w:p>
            <w:pPr>
              <w:jc w:val="center"/>
              <w:rPr>
                <w:rFonts w:ascii="Times New Roman" w:hAnsi="Times New Roman" w:cs="Times New Roman"/>
                <w:bCs/>
                <w:szCs w:val="21"/>
              </w:rPr>
            </w:pPr>
            <w:r>
              <w:rPr>
                <w:rFonts w:ascii="Times New Roman" w:hAnsi="Times New Roman" w:cs="Times New Roman"/>
                <w:bCs/>
                <w:szCs w:val="21"/>
              </w:rPr>
              <w:t>行业专家</w:t>
            </w:r>
          </w:p>
        </w:tc>
        <w:tc>
          <w:tcPr>
            <w:tcW w:w="3493" w:type="dxa"/>
            <w:vAlign w:val="center"/>
          </w:tcPr>
          <w:p>
            <w:pPr>
              <w:widowControl/>
              <w:jc w:val="center"/>
              <w:rPr>
                <w:rFonts w:ascii="Times New Roman" w:hAnsi="Times New Roman" w:cs="Times New Roman"/>
                <w:szCs w:val="21"/>
              </w:rPr>
            </w:pPr>
            <w:r>
              <w:rPr>
                <w:rFonts w:ascii="Times New Roman" w:hAnsi="Times New Roman" w:cs="Times New Roman"/>
                <w:szCs w:val="21"/>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2356" w:type="dxa"/>
            <w:vAlign w:val="center"/>
          </w:tcPr>
          <w:p>
            <w:pPr>
              <w:widowControl/>
              <w:jc w:val="center"/>
              <w:rPr>
                <w:rFonts w:ascii="Times New Roman" w:hAnsi="Times New Roman" w:cs="Times New Roman"/>
                <w:szCs w:val="21"/>
              </w:rPr>
            </w:pPr>
            <w:r>
              <w:rPr>
                <w:rFonts w:ascii="Times New Roman" w:hAnsi="Times New Roman" w:cs="Times New Roman"/>
                <w:szCs w:val="21"/>
              </w:rPr>
              <w:t>吴鋆</w:t>
            </w:r>
          </w:p>
        </w:tc>
        <w:tc>
          <w:tcPr>
            <w:tcW w:w="1484"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3493" w:type="dxa"/>
            <w:vAlign w:val="center"/>
          </w:tcPr>
          <w:p>
            <w:pPr>
              <w:widowControl/>
              <w:jc w:val="center"/>
              <w:rPr>
                <w:rFonts w:ascii="Times New Roman" w:hAnsi="Times New Roman" w:cs="Times New Roman"/>
                <w:szCs w:val="21"/>
              </w:rPr>
            </w:pPr>
            <w:r>
              <w:rPr>
                <w:rFonts w:ascii="Times New Roman" w:hAnsi="Times New Roman" w:cs="Times New Roman"/>
                <w:szCs w:val="21"/>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2356" w:type="dxa"/>
            <w:vAlign w:val="center"/>
          </w:tcPr>
          <w:p>
            <w:pPr>
              <w:widowControl/>
              <w:jc w:val="center"/>
              <w:rPr>
                <w:rFonts w:ascii="Times New Roman" w:hAnsi="Times New Roman" w:cs="Times New Roman"/>
                <w:szCs w:val="21"/>
              </w:rPr>
            </w:pPr>
            <w:r>
              <w:rPr>
                <w:rFonts w:ascii="Times New Roman" w:hAnsi="Times New Roman" w:cs="Times New Roman"/>
                <w:szCs w:val="21"/>
              </w:rPr>
              <w:t>全校</w:t>
            </w:r>
          </w:p>
        </w:tc>
        <w:tc>
          <w:tcPr>
            <w:tcW w:w="1484"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3493" w:type="dxa"/>
            <w:vAlign w:val="center"/>
          </w:tcPr>
          <w:p>
            <w:pPr>
              <w:widowControl/>
              <w:jc w:val="center"/>
              <w:rPr>
                <w:rFonts w:ascii="Times New Roman" w:hAnsi="Times New Roman" w:cs="Times New Roman"/>
                <w:szCs w:val="21"/>
              </w:rPr>
            </w:pPr>
            <w:r>
              <w:rPr>
                <w:rFonts w:ascii="Times New Roman" w:hAnsi="Times New Roman" w:cs="Times New Roman"/>
                <w:szCs w:val="21"/>
              </w:rPr>
              <w:t>全体本科生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8"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2356"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无</w:t>
            </w:r>
          </w:p>
        </w:tc>
        <w:tc>
          <w:tcPr>
            <w:tcW w:w="1484" w:type="dxa"/>
            <w:vAlign w:val="center"/>
          </w:tcPr>
          <w:p>
            <w:pPr>
              <w:snapToGrid w:val="0"/>
              <w:spacing w:line="300" w:lineRule="auto"/>
              <w:jc w:val="center"/>
              <w:rPr>
                <w:rFonts w:ascii="Times New Roman" w:hAnsi="Times New Roman" w:cs="Times New Roman"/>
                <w:b/>
                <w:szCs w:val="21"/>
              </w:rPr>
            </w:pPr>
            <w:r>
              <w:rPr>
                <w:rFonts w:ascii="Times New Roman" w:hAnsi="Times New Roman" w:cs="Times New Roman"/>
                <w:szCs w:val="21"/>
              </w:rPr>
              <w:t>同修课程</w:t>
            </w:r>
          </w:p>
        </w:tc>
        <w:tc>
          <w:tcPr>
            <w:tcW w:w="3493"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8"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2356"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484" w:type="dxa"/>
            <w:vAlign w:val="center"/>
          </w:tcPr>
          <w:p>
            <w:pPr>
              <w:snapToGrid w:val="0"/>
              <w:spacing w:line="300" w:lineRule="auto"/>
              <w:jc w:val="center"/>
              <w:rPr>
                <w:rFonts w:ascii="Times New Roman" w:hAnsi="Times New Roman" w:cs="Times New Roman"/>
                <w:szCs w:val="21"/>
              </w:rPr>
            </w:pPr>
            <w:r>
              <w:rPr>
                <w:rFonts w:ascii="Times New Roman" w:hAnsi="Times New Roman" w:cs="Times New Roman"/>
                <w:szCs w:val="21"/>
              </w:rPr>
              <w:t>定稿日期</w:t>
            </w:r>
          </w:p>
        </w:tc>
        <w:tc>
          <w:tcPr>
            <w:tcW w:w="3493"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kern w:val="0"/>
          <w:szCs w:val="20"/>
        </w:rPr>
        <w:t>创新创业教育是以培养具有创业基本素质和开创型个性的人才为目标，不仅仅是以培育在校学生的创业意识、创新精神、创新创业能力为主的教育，而是要面向全社会，针对那些打算创业、已经创业、成功创业的创业群体，分阶段分层次的进行创新思维培养和创业能力锻炼的教育。创新创业教育本质上是一种实用教育。</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kern w:val="0"/>
          <w:szCs w:val="20"/>
        </w:rPr>
        <w:t>通过开展创新创业教育教学课程，激发学生的创业意识，提高学生的创新精神和创业能力，使学生掌握创业的基础知识和基本理论，熟悉创业的基本流程和基本方法，了解创业的法律法规和相关政策，学会创业过程中的财务管理计划，促进学生创业就业和全面发展。</w:t>
      </w:r>
      <w:r>
        <w:rPr>
          <w:rFonts w:ascii="Times New Roman" w:hAnsi="Times New Roman" w:eastAsia="宋体" w:cs="Times New Roman"/>
          <w:szCs w:val="21"/>
        </w:rPr>
        <w:t>讲授过程植入创新创业史上杰出学者工匠精神，国内企业学者爱国与担当精神。旨在培育学生创新精神，使学生的学习能力提升的同时，精神层面也得到升华。</w:t>
      </w:r>
    </w:p>
    <w:p>
      <w:pPr>
        <w:widowControl/>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1．创新型人才的素质要求，了解创业的概念、要素与特征等，使学生掌握开展创业活动所需要的基本知识。[6</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p>
    <w:p>
      <w:pPr>
        <w:widowControl/>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2．培养学生的批判性思维、洞察力、决策力、组织协调能力与领导力等各项创新创业素质，使学生具备必要的创业能力。[</w:t>
      </w:r>
      <w:r>
        <w:rPr>
          <w:rFonts w:hint="eastAsia" w:ascii="Times New Roman" w:hAnsi="Times New Roman" w:eastAsia="宋体" w:cs="Times New Roman"/>
          <w:kern w:val="0"/>
          <w:szCs w:val="21"/>
        </w:rPr>
        <w:t>8.</w:t>
      </w:r>
      <w:r>
        <w:rPr>
          <w:rFonts w:ascii="Times New Roman" w:hAnsi="Times New Roman" w:eastAsia="宋体" w:cs="Times New Roman"/>
          <w:kern w:val="0"/>
          <w:szCs w:val="21"/>
        </w:rPr>
        <w:t>1]</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3．认知当今企业及行业环境，了解创业机会，把握创业风险，掌握商业模式开发的过程，设计策略及技巧等。[9</w:t>
      </w:r>
      <w:r>
        <w:rPr>
          <w:rFonts w:hint="eastAsia" w:ascii="Times New Roman" w:hAnsi="Times New Roman" w:eastAsia="宋体" w:cs="Times New Roman"/>
          <w:szCs w:val="21"/>
        </w:rPr>
        <w:t>.</w:t>
      </w:r>
      <w:r>
        <w:rPr>
          <w:rFonts w:ascii="Times New Roman" w:hAnsi="Times New Roman" w:eastAsia="宋体" w:cs="Times New Roman"/>
          <w:szCs w:val="21"/>
        </w:rPr>
        <w:t>1]</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4．通过创业计划书撰写、模拟实践活动开展等，鼓励学生体验创业准备的各个环节，包括创业市场评估、创业融资、创办企业流程与风险管理等。[11</w:t>
      </w:r>
      <w:r>
        <w:rPr>
          <w:rFonts w:hint="eastAsia" w:ascii="Times New Roman" w:hAnsi="Times New Roman" w:eastAsia="宋体" w:cs="Times New Roman"/>
          <w:szCs w:val="21"/>
        </w:rPr>
        <w:t>.</w:t>
      </w:r>
      <w:r>
        <w:rPr>
          <w:rFonts w:ascii="Times New Roman" w:hAnsi="Times New Roman" w:eastAsia="宋体" w:cs="Times New Roman"/>
          <w:szCs w:val="21"/>
        </w:rPr>
        <w:t>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5856"/>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80"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8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6工程与社会</w:t>
            </w:r>
          </w:p>
        </w:tc>
        <w:tc>
          <w:tcPr>
            <w:tcW w:w="5856" w:type="dxa"/>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6.1具有工程实践经历，了解电子信息行业相关的技术标准、知识产权、产业政策和法律法规，了解工程实践和电子信息行业新产品、新技术的开发和应用与社会、健康、安全、法律以及文化的关系。</w:t>
            </w:r>
          </w:p>
        </w:tc>
        <w:tc>
          <w:tcPr>
            <w:tcW w:w="68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656"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48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8职业规范</w:t>
            </w:r>
          </w:p>
        </w:tc>
        <w:tc>
          <w:tcPr>
            <w:tcW w:w="5856" w:type="dxa"/>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8.1</w:t>
            </w:r>
            <w:r>
              <w:rPr>
                <w:rFonts w:hint="eastAsia" w:ascii="Times New Roman" w:hAnsi="Times New Roman" w:eastAsia="宋体" w:cs="Times New Roman"/>
                <w:sz w:val="18"/>
                <w:szCs w:val="18"/>
              </w:rPr>
              <w:t>坚持以德立身、以德立学，树立正确的人生观、民族观、国家观和价值观，具有良好的人文社会科学素养和社会责任感</w:t>
            </w:r>
            <w:r>
              <w:rPr>
                <w:rFonts w:ascii="Times New Roman" w:hAnsi="Times New Roman" w:eastAsia="宋体" w:cs="Times New Roman"/>
                <w:sz w:val="18"/>
                <w:szCs w:val="18"/>
              </w:rPr>
              <w:t>。</w:t>
            </w:r>
          </w:p>
        </w:tc>
        <w:tc>
          <w:tcPr>
            <w:tcW w:w="68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656" w:type="dxa"/>
            <w:vAlign w:val="center"/>
          </w:tcPr>
          <w:p>
            <w:pPr>
              <w:widowControl/>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8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9个人与团队</w:t>
            </w:r>
          </w:p>
        </w:tc>
        <w:tc>
          <w:tcPr>
            <w:tcW w:w="5856"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9.1 能够在多学科背景下的团队中分担任务，并承担责任。</w:t>
            </w:r>
          </w:p>
        </w:tc>
        <w:tc>
          <w:tcPr>
            <w:tcW w:w="68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656"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480"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11项目管理</w:t>
            </w:r>
          </w:p>
        </w:tc>
        <w:tc>
          <w:tcPr>
            <w:tcW w:w="5856"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11.1理解工程实践中工程管理的基本原理与经济决策方法。</w:t>
            </w:r>
          </w:p>
        </w:tc>
        <w:tc>
          <w:tcPr>
            <w:tcW w:w="68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656"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bl>
    <w:p>
      <w:pPr>
        <w:adjustRightInd w:val="0"/>
        <w:snapToGrid w:val="0"/>
        <w:spacing w:line="300" w:lineRule="auto"/>
        <w:rPr>
          <w:rFonts w:ascii="Times New Roman" w:hAnsi="Times New Roman" w:eastAsia="宋体" w:cs="Times New Roman"/>
          <w:kern w:val="0"/>
          <w:szCs w:val="20"/>
        </w:rPr>
      </w:pPr>
    </w:p>
    <w:p>
      <w:pPr>
        <w:widowControl/>
        <w:adjustRightInd w:val="0"/>
        <w:snapToGrid w:val="0"/>
        <w:spacing w:line="300" w:lineRule="auto"/>
        <w:jc w:val="left"/>
        <w:rPr>
          <w:rFonts w:ascii="Times New Roman" w:hAnsi="Times New Roman" w:eastAsia="宋体" w:cs="Times New Roman"/>
          <w:b/>
          <w:bCs/>
          <w:kern w:val="0"/>
          <w:szCs w:val="21"/>
        </w:rPr>
      </w:pPr>
      <w:r>
        <w:rPr>
          <w:rFonts w:ascii="Times New Roman" w:hAnsi="Times New Roman" w:eastAsia="宋体" w:cs="Times New Roman"/>
          <w:b/>
          <w:kern w:val="0"/>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2"/>
        <w:gridCol w:w="2141"/>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1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1．创新型人才的素质要求，了解创业的概念、要素与特征等，使学生掌握开展创业活动所需要的基本知识</w:t>
            </w:r>
          </w:p>
        </w:tc>
        <w:tc>
          <w:tcPr>
            <w:tcW w:w="21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课堂表现、习题作业与考试。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2．培养学生的批判性思维、洞察力、决策力、组织协调能力与领导力等各项创新创业素质，使学生具备必要的创业能力。</w:t>
            </w:r>
          </w:p>
        </w:tc>
        <w:tc>
          <w:tcPr>
            <w:tcW w:w="21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通过课堂讲授与学生实验,作业等达成。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9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3．认知当今企业及行业环境，了解创业机会，把握创业风险，掌握商业模式开发的过程，设计策略及技巧等。</w:t>
            </w:r>
          </w:p>
        </w:tc>
        <w:tc>
          <w:tcPr>
            <w:tcW w:w="214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讲授、作业等达成。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课堂表现、习题作业与方案报告。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19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4．通过创业计划书撰写、模拟实践活动开展等，鼓励学生体验创业准备的各个环节，包括创业市场评估、创业融资、创办企业流程与风险管理等。</w:t>
            </w:r>
          </w:p>
        </w:tc>
        <w:tc>
          <w:tcPr>
            <w:tcW w:w="2141"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通过课堂讲授与学生学习（小组讨论、案例研讨）等达成。</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课堂表现、习题作业与方案报告。</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1．课堂讲授为主，网络多媒体教学、课程独立网站（含教学视频）以及“雨课堂”同步学习为辅，注重与专业相关工程实践教学环节和场景配合的案例教学。</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2．根据课程特点采用启发式教学、任务驱动教学、案例教学法进行教学方法创新；核心能力知识点采用“原理描述-方法分析-应用案例展示”相互呼应的教学模式。</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采用项目为载体、任务驱动的教学模式，以专业岗位能力为培养目标，选择项目构建合适的学习载体，项目源于复杂电子信息工程问题，教学目标定位为阶段性单项（单元）能力养成基础之上的综合应用能力培养，教学设计体现完成典型电子信息工程工作任务的、完整清晰的技术路径和教学实施途径。</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0"/>
        <w:gridCol w:w="3706"/>
        <w:gridCol w:w="3264"/>
        <w:gridCol w:w="445"/>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590" w:type="dxa"/>
            <w:shd w:val="clear" w:color="auto" w:fill="auto"/>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3706" w:type="dxa"/>
            <w:shd w:val="clear" w:color="auto" w:fill="auto"/>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3264" w:type="dxa"/>
            <w:shd w:val="clear" w:color="auto" w:fill="auto"/>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445"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890"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w:t>
            </w:r>
          </w:p>
        </w:tc>
        <w:tc>
          <w:tcPr>
            <w:tcW w:w="3706"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 创业与创业项目</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1.1创业概述</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创业的内涵及其基本要素分析；大学生创业的意义；海洋经济背景下大学生创业形势剖析；</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1.2  大学生创业机会的识别创业机会的内涵与来源；深蓝经济背景下创业机会分类型解读；蓝色创业机会的评估；</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1.3 大学生创业机会的风险评估</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风险的定义与分类；风险的评估与规避策略；学习国内著名企业家荣毅仁的爱国事迹。</w:t>
            </w:r>
          </w:p>
        </w:tc>
        <w:tc>
          <w:tcPr>
            <w:tcW w:w="3264"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了解创业的含义及我国创业形势；掌握创业机会的来源、 创业项目的形成、 创业的评估与判断、风险管控。</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构思一个创业项目，并且评估项目的风险。3.教学方法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课堂讲授、案例分析、小组讨论、实践调查等</w:t>
            </w:r>
          </w:p>
        </w:tc>
        <w:tc>
          <w:tcPr>
            <w:tcW w:w="445"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8</w:t>
            </w:r>
          </w:p>
        </w:tc>
        <w:tc>
          <w:tcPr>
            <w:tcW w:w="890"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3706"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 创业团队与创业准备</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2.1 大学生创业团队的建立</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创业团队的基础理论；创业团队的组建；创业团队的管理；</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2.2商业模式的构建</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商业模式的内涵与外延；深蓝经济与商业模式；商业模式的设计；</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2.3大学生创业融资途径</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融资基础：融资方式、背景等分析；融资渠道与资本结构分析；风险投资与贷款；</w:t>
            </w:r>
          </w:p>
        </w:tc>
        <w:tc>
          <w:tcPr>
            <w:tcW w:w="3264"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了解组建创业团队方法、整合创业资源技巧；掌握各种不同创业项目的商业模式建立；了解创业前期的准备工作。</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完善自己的创业资源清单，阐述创业项目的商业模式。</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课堂讲授、案例分析、小组讨论、实践调查等</w:t>
            </w:r>
          </w:p>
        </w:tc>
        <w:tc>
          <w:tcPr>
            <w:tcW w:w="445"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8</w:t>
            </w:r>
          </w:p>
        </w:tc>
        <w:tc>
          <w:tcPr>
            <w:tcW w:w="890"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c>
          <w:tcPr>
            <w:tcW w:w="3706"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3 创业项目的建立与成长</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3.1新创企业的建立与管理</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新创企业的组建；新创企业的管理：人员、财务、风险管理等；涉海企业的建立；</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3.2 新创企业的成长与发展</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新创企业的成长路径；新创企业的发展规划；新创企业的危机应对；</w:t>
            </w:r>
          </w:p>
        </w:tc>
        <w:tc>
          <w:tcPr>
            <w:tcW w:w="3264"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了解创业项目成立的相关流程，认识企业管理相关方法，做好企业短、中、长期规划。</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拟定自己企业的发展规划。</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课堂讲授、案例分析、小组讨论、实践调查等</w:t>
            </w:r>
          </w:p>
        </w:tc>
        <w:tc>
          <w:tcPr>
            <w:tcW w:w="445"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8</w:t>
            </w:r>
          </w:p>
        </w:tc>
        <w:tc>
          <w:tcPr>
            <w:tcW w:w="890"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90" w:type="dxa"/>
            <w:tcMar>
              <w:left w:w="57" w:type="dxa"/>
              <w:right w:w="57" w:type="dxa"/>
            </w:tcMar>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4</w:t>
            </w:r>
          </w:p>
        </w:tc>
        <w:tc>
          <w:tcPr>
            <w:tcW w:w="3706"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4商业计划书的撰写</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4.1大学生创新创业项目简介；</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4.2大学生创业计划书的内容分析；</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4.3大学生创业计划书的编制；</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4.4大学生蓝色创业实践案例汇编；</w:t>
            </w:r>
          </w:p>
        </w:tc>
        <w:tc>
          <w:tcPr>
            <w:tcW w:w="3264" w:type="dxa"/>
            <w:vAlign w:val="center"/>
          </w:tcPr>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1.要求</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了解商业计划书的撰写方法。</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2.作业内容</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拟定一份完整的商业计划书。3.教学方法 </w:t>
            </w:r>
          </w:p>
          <w:p>
            <w:pPr>
              <w:adjustRightInd w:val="0"/>
              <w:snapToGrid w:val="0"/>
              <w:spacing w:line="300" w:lineRule="auto"/>
              <w:rPr>
                <w:rFonts w:ascii="Times New Roman" w:hAnsi="Times New Roman" w:eastAsia="宋体" w:cs="Times New Roman"/>
                <w:bCs/>
                <w:sz w:val="18"/>
                <w:szCs w:val="18"/>
              </w:rPr>
            </w:pPr>
            <w:r>
              <w:rPr>
                <w:rFonts w:ascii="Times New Roman" w:hAnsi="Times New Roman" w:eastAsia="宋体" w:cs="Times New Roman"/>
                <w:bCs/>
                <w:sz w:val="18"/>
                <w:szCs w:val="18"/>
              </w:rPr>
              <w:t>课堂讲授、案例分析、小组讨论、实践调查、现场展示等</w:t>
            </w:r>
          </w:p>
        </w:tc>
        <w:tc>
          <w:tcPr>
            <w:tcW w:w="445"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8</w:t>
            </w:r>
          </w:p>
        </w:tc>
        <w:tc>
          <w:tcPr>
            <w:tcW w:w="890" w:type="dxa"/>
            <w:vAlign w:val="center"/>
          </w:tcPr>
          <w:p>
            <w:pPr>
              <w:adjustRightInd w:val="0"/>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4</w:t>
            </w:r>
          </w:p>
        </w:tc>
      </w:tr>
    </w:tbl>
    <w:p>
      <w:pPr>
        <w:widowControl/>
        <w:adjustRightInd w:val="0"/>
        <w:snapToGrid w:val="0"/>
        <w:spacing w:before="156" w:beforeLines="50" w:after="156" w:afterLines="50" w:line="300" w:lineRule="auto"/>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五、课程考核与成绩评定</w:t>
      </w:r>
    </w:p>
    <w:p>
      <w:pPr>
        <w:widowControl/>
        <w:adjustRightInd w:val="0"/>
        <w:snapToGrid w:val="0"/>
        <w:spacing w:line="300" w:lineRule="auto"/>
        <w:ind w:firstLine="422" w:firstLineChars="200"/>
        <w:jc w:val="left"/>
        <w:rPr>
          <w:rFonts w:ascii="Times New Roman" w:hAnsi="Times New Roman" w:eastAsia="宋体" w:cs="Times New Roman"/>
          <w:b/>
          <w:bCs/>
          <w:kern w:val="0"/>
          <w:szCs w:val="21"/>
        </w:rPr>
      </w:pPr>
      <w:r>
        <w:rPr>
          <w:rFonts w:ascii="Times New Roman" w:hAnsi="Times New Roman" w:eastAsia="宋体" w:cs="Times New Roman"/>
          <w:b/>
          <w:bCs/>
          <w:kern w:val="0"/>
          <w:szCs w:val="21"/>
        </w:rPr>
        <w:t>1.考核方式</w:t>
      </w:r>
    </w:p>
    <w:p>
      <w:pPr>
        <w:widowControl/>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开卷考试或完成一份商业计划书。</w:t>
      </w:r>
    </w:p>
    <w:p>
      <w:pPr>
        <w:widowControl/>
        <w:adjustRightInd w:val="0"/>
        <w:snapToGrid w:val="0"/>
        <w:spacing w:line="300" w:lineRule="auto"/>
        <w:ind w:firstLine="422" w:firstLineChars="200"/>
        <w:jc w:val="left"/>
        <w:rPr>
          <w:rFonts w:ascii="Times New Roman" w:hAnsi="Times New Roman" w:eastAsia="宋体" w:cs="Times New Roman"/>
          <w:b/>
          <w:bCs/>
          <w:kern w:val="0"/>
          <w:szCs w:val="21"/>
        </w:rPr>
      </w:pPr>
      <w:r>
        <w:rPr>
          <w:rFonts w:ascii="Times New Roman" w:hAnsi="Times New Roman" w:eastAsia="宋体" w:cs="Times New Roman"/>
          <w:b/>
          <w:bCs/>
          <w:kern w:val="0"/>
          <w:szCs w:val="21"/>
        </w:rPr>
        <w:t>2.成绩评定</w:t>
      </w:r>
    </w:p>
    <w:p>
      <w:pPr>
        <w:widowControl/>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平时成绩占30%，考试成绩占70%。</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78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4"/>
        <w:gridCol w:w="388"/>
        <w:gridCol w:w="518"/>
        <w:gridCol w:w="775"/>
        <w:gridCol w:w="388"/>
        <w:gridCol w:w="4408"/>
        <w:gridCol w:w="715"/>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right"/>
        </w:trPr>
        <w:tc>
          <w:tcPr>
            <w:tcW w:w="514"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38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51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77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38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440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715"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07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514"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平时成绩</w:t>
            </w:r>
          </w:p>
        </w:tc>
        <w:tc>
          <w:tcPr>
            <w:tcW w:w="38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1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77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440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1，2，4</w:t>
            </w:r>
          </w:p>
        </w:tc>
        <w:tc>
          <w:tcPr>
            <w:tcW w:w="107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w:t>
            </w:r>
            <w:r>
              <w:rPr>
                <w:rFonts w:ascii="Times New Roman" w:hAnsi="Times New Roman" w:eastAsia="宋体" w:cs="Times New Roman"/>
                <w:sz w:val="18"/>
                <w:szCs w:val="18"/>
              </w:rPr>
              <w:t>.1</w:t>
            </w:r>
            <w:r>
              <w:rPr>
                <w:rFonts w:hint="eastAsia" w:ascii="Times New Roman" w:hAnsi="Times New Roman" w:eastAsia="宋体" w:cs="Times New Roman"/>
                <w:sz w:val="18"/>
                <w:szCs w:val="18"/>
              </w:rPr>
              <w:t>，11</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right"/>
        </w:trPr>
        <w:tc>
          <w:tcPr>
            <w:tcW w:w="51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38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1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77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作业</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440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主要考核学生对每章节知识点的理解和掌握程度；每次作业按100分制单独评分，取各次成绩的平均值作为书面作业成绩。</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07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6.1，8</w:t>
            </w:r>
            <w:r>
              <w:rPr>
                <w:rFonts w:ascii="Times New Roman" w:hAnsi="Times New Roman" w:eastAsia="宋体" w:cs="Times New Roman"/>
                <w:sz w:val="18"/>
                <w:szCs w:val="18"/>
              </w:rPr>
              <w:t>.1</w:t>
            </w:r>
            <w:r>
              <w:rPr>
                <w:rFonts w:hint="eastAsia" w:ascii="Times New Roman" w:hAnsi="Times New Roman" w:eastAsia="宋体" w:cs="Times New Roman"/>
                <w:sz w:val="18"/>
                <w:szCs w:val="18"/>
              </w:rPr>
              <w:t>，9</w:t>
            </w:r>
            <w:r>
              <w:rPr>
                <w:rFonts w:ascii="Times New Roman" w:hAnsi="Times New Roman" w:eastAsia="宋体" w:cs="Times New Roman"/>
                <w:sz w:val="18"/>
                <w:szCs w:val="18"/>
              </w:rPr>
              <w:t>.1</w:t>
            </w:r>
            <w:r>
              <w:rPr>
                <w:rFonts w:hint="eastAsia" w:ascii="Times New Roman" w:hAnsi="Times New Roman" w:eastAsia="宋体" w:cs="Times New Roman"/>
                <w:sz w:val="18"/>
                <w:szCs w:val="18"/>
              </w:rPr>
              <w:t>，11</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51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38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1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77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报告</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440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根据报告完成质量，以及实验报告质量评分，满分100分。</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107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.1</w:t>
            </w:r>
            <w:r>
              <w:rPr>
                <w:rFonts w:hint="eastAsia" w:ascii="Times New Roman" w:hAnsi="Times New Roman" w:eastAsia="宋体" w:cs="Times New Roman"/>
                <w:sz w:val="18"/>
                <w:szCs w:val="18"/>
              </w:rPr>
              <w:t>，11</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right"/>
        </w:trPr>
        <w:tc>
          <w:tcPr>
            <w:tcW w:w="51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38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1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77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平时测验</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440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做两三次平时测验，每次满分100分。</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07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jc w:val="right"/>
        </w:trPr>
        <w:tc>
          <w:tcPr>
            <w:tcW w:w="514"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38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51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775"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项目研究</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440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以小组为单位选题，并撰写报告，设计PPT，最高分100分。</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7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11</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jc w:val="right"/>
        </w:trPr>
        <w:tc>
          <w:tcPr>
            <w:tcW w:w="514"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38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5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0.7</w:t>
            </w:r>
          </w:p>
        </w:tc>
        <w:tc>
          <w:tcPr>
            <w:tcW w:w="77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开卷考试</w:t>
            </w:r>
          </w:p>
        </w:tc>
        <w:tc>
          <w:tcPr>
            <w:tcW w:w="38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408"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(1)卷面成绩100分。卷面成绩按比例计入课程总评成绩。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(2)考核内容包括： 第1-12章，第16章。</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(3)建议考试题型包括：选择题、填空题、分析判断、实例分析等其中某几种题型。</w:t>
            </w:r>
          </w:p>
        </w:tc>
        <w:tc>
          <w:tcPr>
            <w:tcW w:w="715"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1，2，3，4</w:t>
            </w:r>
          </w:p>
        </w:tc>
        <w:tc>
          <w:tcPr>
            <w:tcW w:w="1078"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w:t>
            </w:r>
            <w:r>
              <w:rPr>
                <w:rFonts w:ascii="Times New Roman" w:hAnsi="Times New Roman" w:eastAsia="宋体" w:cs="Times New Roman"/>
                <w:sz w:val="18"/>
                <w:szCs w:val="18"/>
              </w:rPr>
              <w:t>.1</w:t>
            </w:r>
            <w:r>
              <w:rPr>
                <w:rFonts w:hint="eastAsia" w:ascii="Times New Roman" w:hAnsi="Times New Roman" w:eastAsia="宋体" w:cs="Times New Roman"/>
                <w:sz w:val="18"/>
                <w:szCs w:val="18"/>
              </w:rPr>
              <w:t>，9</w:t>
            </w:r>
            <w:r>
              <w:rPr>
                <w:rFonts w:ascii="Times New Roman" w:hAnsi="Times New Roman" w:eastAsia="宋体" w:cs="Times New Roman"/>
                <w:sz w:val="18"/>
                <w:szCs w:val="18"/>
              </w:rPr>
              <w:t>.1</w:t>
            </w:r>
            <w:r>
              <w:rPr>
                <w:rFonts w:hint="eastAsia" w:ascii="Times New Roman" w:hAnsi="Times New Roman" w:eastAsia="宋体" w:cs="Times New Roman"/>
                <w:sz w:val="18"/>
                <w:szCs w:val="18"/>
              </w:rPr>
              <w:t>，11</w:t>
            </w:r>
            <w:r>
              <w:rPr>
                <w:rFonts w:ascii="Times New Roman" w:hAnsi="Times New Roman" w:eastAsia="宋体" w:cs="Times New Roman"/>
                <w:sz w:val="18"/>
                <w:szCs w:val="18"/>
              </w:rPr>
              <w:t>.1</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课程各目标达成情况为该项目学生的平均得分率，其计算公式为：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55"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55" DrawAspect="Content" ObjectID="_1468075953" r:id="rId286">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课程总目标达成情况为4个课程目标的加权得分率，其计算公式为：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56"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56" DrawAspect="Content" ObjectID="_1468075954" r:id="rId287">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7"/>
        <w:gridCol w:w="1584"/>
        <w:gridCol w:w="1875"/>
        <w:gridCol w:w="1858"/>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trPr>
        <w:tc>
          <w:tcPr>
            <w:tcW w:w="1497"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58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75"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58"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86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trPr>
        <w:tc>
          <w:tcPr>
            <w:tcW w:w="1497"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58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1875"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858"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186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57"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57" DrawAspect="Content" ObjectID="_1468075955" r:id="rId288">
            <o:LockedField>false</o:LockedField>
          </o:OLEObject>
        </w:objec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adjustRightInd w:val="0"/>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szCs w:val="21"/>
        </w:rPr>
        <w:t xml:space="preserve">[1] </w:t>
      </w:r>
      <w:r>
        <w:rPr>
          <w:rFonts w:ascii="Times New Roman" w:hAnsi="Times New Roman" w:eastAsia="宋体" w:cs="Times New Roman"/>
          <w:kern w:val="0"/>
          <w:szCs w:val="21"/>
        </w:rPr>
        <w:t>李家华主编，创业基础，清华大学出版社，2015年第2版。</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szCs w:val="21"/>
        </w:rPr>
        <w:t xml:space="preserve">[1] </w:t>
      </w:r>
      <w:r>
        <w:rPr>
          <w:rFonts w:ascii="Times New Roman" w:hAnsi="Times New Roman" w:eastAsia="宋体" w:cs="Times New Roman"/>
          <w:kern w:val="0"/>
          <w:szCs w:val="21"/>
        </w:rPr>
        <w:t>李家华主编，创业基础，北京师范大学出版社2013版。</w:t>
      </w:r>
    </w:p>
    <w:p>
      <w:pPr>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szCs w:val="21"/>
        </w:rPr>
        <w:t xml:space="preserve">[2] </w:t>
      </w:r>
      <w:r>
        <w:rPr>
          <w:rFonts w:ascii="Times New Roman" w:hAnsi="Times New Roman" w:eastAsia="宋体" w:cs="Times New Roman"/>
          <w:kern w:val="0"/>
          <w:szCs w:val="21"/>
        </w:rPr>
        <w:t>王艳茹主编，创业资源，清华大学出版社2014版。</w:t>
      </w:r>
    </w:p>
    <w:p>
      <w:pPr>
        <w:adjustRightInd w:val="0"/>
        <w:snapToGrid w:val="0"/>
        <w:spacing w:line="30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szCs w:val="21"/>
        </w:rPr>
        <w:t xml:space="preserve">[3] </w:t>
      </w:r>
      <w:r>
        <w:rPr>
          <w:rFonts w:ascii="Times New Roman" w:hAnsi="Times New Roman" w:eastAsia="宋体" w:cs="Times New Roman"/>
          <w:kern w:val="0"/>
          <w:szCs w:val="21"/>
        </w:rPr>
        <w:t>王艳茹编著，创业基础课堂操作示范，北京师范大学出版社2014版。</w:t>
      </w:r>
    </w:p>
    <w:p>
      <w:pPr>
        <w:snapToGrid w:val="0"/>
        <w:spacing w:line="300" w:lineRule="auto"/>
        <w:rPr>
          <w:rFonts w:ascii="Times New Roman" w:hAnsi="Times New Roman" w:eastAsia="宋体" w:cs="Times New Roman"/>
          <w:szCs w:val="21"/>
        </w:rPr>
      </w:pPr>
    </w:p>
    <w:tbl>
      <w:tblPr>
        <w:tblStyle w:val="40"/>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cs="Times New Roman"/>
                <w:szCs w:val="21"/>
              </w:rPr>
            </w:pPr>
            <w:r>
              <w:rPr>
                <w:rFonts w:ascii="Times New Roman" w:hAnsi="Times New Roman"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pStyle w:val="3"/>
        <w:jc w:val="center"/>
        <w:rPr>
          <w:rFonts w:ascii="Times New Roman" w:hAnsi="Times New Roman" w:cs="Times New Roman"/>
        </w:rPr>
        <w:sectPr>
          <w:footerReference r:id="rId20" w:type="default"/>
          <w:pgSz w:w="11906" w:h="16838"/>
          <w:pgMar w:top="1440" w:right="1800" w:bottom="1440" w:left="1800" w:header="851" w:footer="992" w:gutter="0"/>
          <w:cols w:space="425" w:num="1"/>
          <w:docGrid w:type="lines" w:linePitch="312" w:charSpace="0"/>
        </w:sectPr>
      </w:pPr>
      <w:bookmarkStart w:id="400" w:name="_Toc27443"/>
      <w:bookmarkStart w:id="401" w:name="_Toc47774684"/>
      <w:bookmarkStart w:id="402" w:name="_Toc46489634"/>
      <w:bookmarkStart w:id="403" w:name="_Toc47718755"/>
      <w:bookmarkStart w:id="404" w:name="_Toc47719727"/>
      <w:bookmarkStart w:id="405" w:name="_Toc38126088"/>
    </w:p>
    <w:bookmarkEnd w:id="400"/>
    <w:p>
      <w:pPr>
        <w:pStyle w:val="3"/>
        <w:jc w:val="center"/>
        <w:rPr>
          <w:rFonts w:ascii="Times New Roman" w:hAnsi="Times New Roman" w:eastAsia="宋体" w:cs="Times New Roman"/>
        </w:rPr>
      </w:pPr>
      <w:bookmarkStart w:id="406" w:name="_Toc20748"/>
      <w:bookmarkStart w:id="407" w:name="_Toc18590"/>
      <w:r>
        <w:rPr>
          <w:rFonts w:ascii="Times New Roman" w:hAnsi="Times New Roman" w:eastAsia="宋体" w:cs="Times New Roman"/>
        </w:rPr>
        <w:t>23112301《大学英语读写（І,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eastAsia="宋体" w:cs="Times New Roman"/>
        </w:rPr>
        <w:t>）》课程教学大纲</w:t>
      </w:r>
      <w:bookmarkEnd w:id="401"/>
      <w:bookmarkEnd w:id="402"/>
      <w:bookmarkEnd w:id="403"/>
      <w:bookmarkEnd w:id="404"/>
      <w:bookmarkEnd w:id="405"/>
      <w:bookmarkEnd w:id="406"/>
      <w:bookmarkEnd w:id="407"/>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3441" w:type="dxa"/>
            <w:vAlign w:val="center"/>
          </w:tcPr>
          <w:p>
            <w:pPr>
              <w:jc w:val="center"/>
              <w:rPr>
                <w:rFonts w:ascii="Times New Roman" w:hAnsi="Times New Roman" w:cs="Times New Roman"/>
                <w:szCs w:val="21"/>
              </w:rPr>
            </w:pPr>
            <w:r>
              <w:rPr>
                <w:rFonts w:ascii="Times New Roman" w:hAnsi="Times New Roman" w:cs="Times New Roman"/>
                <w:bCs/>
                <w:szCs w:val="21"/>
              </w:rPr>
              <w:t>23112301</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2695" w:type="dxa"/>
            <w:vAlign w:val="center"/>
          </w:tcPr>
          <w:p>
            <w:pPr>
              <w:jc w:val="center"/>
              <w:rPr>
                <w:rFonts w:ascii="Times New Roman" w:hAnsi="Times New Roman" w:cs="Times New Roman"/>
                <w:szCs w:val="21"/>
              </w:rPr>
            </w:pPr>
            <w:r>
              <w:rPr>
                <w:rFonts w:ascii="Times New Roman" w:hAnsi="Times New Roman" w:cs="Times New Roman"/>
                <w:szCs w:val="21"/>
              </w:rPr>
              <w:t>大学英语读写（</w:t>
            </w:r>
            <w:r>
              <w:rPr>
                <w:rFonts w:ascii="Times New Roman" w:hAnsi="Times New Roman" w:eastAsia="宋体" w:cs="Times New Roman"/>
              </w:rPr>
              <w:t>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3441"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2695" w:type="dxa"/>
            <w:vAlign w:val="center"/>
          </w:tcPr>
          <w:p>
            <w:pPr>
              <w:jc w:val="center"/>
              <w:rPr>
                <w:rFonts w:ascii="Times New Roman" w:hAnsi="Times New Roman" w:cs="Times New Roman"/>
                <w:bCs/>
                <w:szCs w:val="21"/>
              </w:rPr>
            </w:pPr>
            <w:r>
              <w:rPr>
                <w:rFonts w:ascii="Times New Roman" w:hAnsi="Times New Roman" w:cs="Times New Roman"/>
                <w:bCs/>
                <w:szCs w:val="21"/>
              </w:rPr>
              <w:t>College English Reading &amp; Writing（</w:t>
            </w:r>
            <w:r>
              <w:rPr>
                <w:rFonts w:ascii="Times New Roman" w:hAnsi="Times New Roman" w:eastAsia="宋体" w:cs="Times New Roman"/>
              </w:rPr>
              <w:t>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3441" w:type="dxa"/>
            <w:vAlign w:val="center"/>
          </w:tcPr>
          <w:p>
            <w:pPr>
              <w:jc w:val="center"/>
              <w:rPr>
                <w:rFonts w:ascii="Times New Roman" w:hAnsi="Times New Roman" w:cs="Times New Roman"/>
                <w:szCs w:val="21"/>
              </w:rPr>
            </w:pPr>
            <w:r>
              <w:rPr>
                <w:rFonts w:ascii="Times New Roman" w:hAnsi="Times New Roman" w:cs="Times New Roman"/>
                <w:szCs w:val="21"/>
              </w:rPr>
              <w:t>8.5 : 136（0）</w:t>
            </w:r>
          </w:p>
        </w:tc>
        <w:tc>
          <w:tcPr>
            <w:tcW w:w="1198"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2695" w:type="dxa"/>
            <w:vAlign w:val="center"/>
          </w:tcPr>
          <w:p>
            <w:pPr>
              <w:jc w:val="center"/>
              <w:rPr>
                <w:rFonts w:ascii="Times New Roman" w:hAnsi="Times New Roman" w:cs="Times New Roman"/>
                <w:szCs w:val="21"/>
              </w:rPr>
            </w:pPr>
            <w:r>
              <w:rPr>
                <w:rFonts w:ascii="Times New Roman" w:hAnsi="Times New Roman" w:cs="Times New Roman"/>
                <w:szCs w:val="21"/>
              </w:rPr>
              <w:t>黄丽娴、冯巧丽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黄丽娴</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何谦卫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本科各专业</w:t>
            </w:r>
          </w:p>
          <w:p>
            <w:pPr>
              <w:widowControl/>
              <w:jc w:val="center"/>
              <w:rPr>
                <w:rFonts w:ascii="Times New Roman" w:hAnsi="Times New Roman" w:cs="Times New Roman"/>
                <w:szCs w:val="21"/>
              </w:rPr>
            </w:pPr>
            <w:r>
              <w:rPr>
                <w:rFonts w:ascii="Times New Roman" w:hAnsi="Times New Roman" w:cs="Times New Roman"/>
                <w:szCs w:val="21"/>
              </w:rPr>
              <w:t>（不含英语、日语、艺体类专业）</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全日制本科生（不含英语、日语、</w:t>
            </w:r>
            <w:r>
              <w:rPr>
                <w:rFonts w:ascii="Times New Roman" w:hAnsi="Times New Roman" w:cs="Times New Roman"/>
                <w:bCs/>
                <w:szCs w:val="21"/>
              </w:rPr>
              <w:t>艺体类</w:t>
            </w:r>
            <w:r>
              <w:rPr>
                <w:rFonts w:ascii="Times New Roman" w:hAnsi="Times New Roman" w:cs="Times New Roman"/>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3441" w:type="dxa"/>
            <w:vAlign w:val="center"/>
          </w:tcPr>
          <w:p>
            <w:pPr>
              <w:widowControl/>
              <w:snapToGrid w:val="0"/>
              <w:spacing w:line="300" w:lineRule="auto"/>
              <w:jc w:val="center"/>
              <w:rPr>
                <w:rFonts w:ascii="Times New Roman" w:hAnsi="Times New Roman" w:cs="Times New Roman"/>
                <w:bCs/>
                <w:szCs w:val="21"/>
              </w:rPr>
            </w:pPr>
            <w:r>
              <w:rPr>
                <w:rFonts w:ascii="Times New Roman" w:hAnsi="Times New Roman" w:cs="Times New Roman"/>
                <w:bCs/>
                <w:szCs w:val="21"/>
              </w:rPr>
              <w:t>无</w:t>
            </w:r>
          </w:p>
        </w:tc>
        <w:tc>
          <w:tcPr>
            <w:tcW w:w="1198" w:type="dxa"/>
            <w:vAlign w:val="center"/>
          </w:tcPr>
          <w:p>
            <w:pPr>
              <w:snapToGrid w:val="0"/>
              <w:spacing w:line="300" w:lineRule="auto"/>
              <w:jc w:val="center"/>
              <w:rPr>
                <w:rFonts w:ascii="Times New Roman" w:hAnsi="Times New Roman" w:cs="Times New Roman"/>
                <w:b/>
                <w:szCs w:val="21"/>
              </w:rPr>
            </w:pPr>
            <w:r>
              <w:rPr>
                <w:rFonts w:ascii="Times New Roman" w:hAnsi="Times New Roman" w:cs="Times New Roman"/>
                <w:szCs w:val="21"/>
              </w:rPr>
              <w:t>同修课程</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198" w:type="dxa"/>
            <w:vAlign w:val="center"/>
          </w:tcPr>
          <w:p>
            <w:pPr>
              <w:snapToGrid w:val="0"/>
              <w:spacing w:line="300" w:lineRule="auto"/>
              <w:jc w:val="center"/>
              <w:rPr>
                <w:rFonts w:ascii="Times New Roman" w:hAnsi="Times New Roman" w:cs="Times New Roman"/>
                <w:szCs w:val="21"/>
              </w:rPr>
            </w:pPr>
            <w:r>
              <w:rPr>
                <w:rFonts w:ascii="Times New Roman" w:hAnsi="Times New Roman" w:cs="Times New Roman"/>
                <w:szCs w:val="21"/>
              </w:rPr>
              <w:t>定稿日期</w:t>
            </w:r>
          </w:p>
        </w:tc>
        <w:tc>
          <w:tcPr>
            <w:tcW w:w="2695"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本门课程为非英语、日语</w:t>
      </w:r>
      <w:r>
        <w:rPr>
          <w:rFonts w:ascii="Times New Roman" w:hAnsi="Times New Roman" w:eastAsia="宋体" w:cs="Times New Roman"/>
          <w:bCs/>
          <w:szCs w:val="21"/>
        </w:rPr>
        <w:t>、艺体</w:t>
      </w:r>
      <w:r>
        <w:rPr>
          <w:rFonts w:ascii="Times New Roman" w:hAnsi="Times New Roman" w:eastAsia="宋体" w:cs="Times New Roman"/>
          <w:szCs w:val="21"/>
        </w:rPr>
        <w:t>专业本科生的</w:t>
      </w:r>
      <w:r>
        <w:rPr>
          <w:rFonts w:ascii="Times New Roman" w:hAnsi="Times New Roman" w:eastAsia="宋体" w:cs="Times New Roman"/>
          <w:bCs/>
          <w:szCs w:val="21"/>
        </w:rPr>
        <w:t>公共必修课，</w:t>
      </w:r>
      <w:r>
        <w:rPr>
          <w:rFonts w:ascii="Times New Roman" w:hAnsi="Times New Roman" w:eastAsia="宋体" w:cs="Times New Roman"/>
          <w:szCs w:val="21"/>
        </w:rPr>
        <w:t>是以英语语言知识与应用技能、学习策略和跨文化交际为主要内容，以外语教学理论为指导，并集多种教学模式和教学手段为一体的教学体系。教学目标是培养学生英语综合应用能力，使他们在今后工作和社会交往中能用英语有效地进行口头和书面的信息交流，同时增强其自主学习能力，提高综合文化素养。</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该课程的设置以教育部最新颁布的《大学英语课程教学要求》中的教改精神为依托，结合</w:t>
      </w:r>
      <w:r>
        <w:rPr>
          <w:rFonts w:ascii="Times New Roman" w:hAnsi="Times New Roman" w:eastAsia="宋体" w:cs="Times New Roman"/>
          <w:bCs/>
          <w:szCs w:val="21"/>
        </w:rPr>
        <w:t>我校</w:t>
      </w:r>
      <w:r>
        <w:rPr>
          <w:rFonts w:ascii="Times New Roman" w:hAnsi="Times New Roman" w:eastAsia="宋体" w:cs="Times New Roman"/>
          <w:szCs w:val="21"/>
        </w:rPr>
        <w:t>人才培养模式的定位</w:t>
      </w:r>
      <w:r>
        <w:rPr>
          <w:rFonts w:ascii="Times New Roman" w:hAnsi="Times New Roman" w:eastAsia="宋体" w:cs="Times New Roman"/>
          <w:bCs/>
          <w:szCs w:val="21"/>
        </w:rPr>
        <w:t>、教学实际情况</w:t>
      </w:r>
      <w:r>
        <w:rPr>
          <w:rFonts w:ascii="Times New Roman" w:hAnsi="Times New Roman" w:eastAsia="宋体" w:cs="Times New Roman"/>
          <w:szCs w:val="21"/>
        </w:rPr>
        <w:t>以及学生的具体情况而制定，作为我校大学英语教学的指导依据，着重强调英语应用能力的培养，特别是在教学中突出听说能力的训练和提高学生使用语言的能力，确立学生在教学中的主体地位，以现代信息技术，特别是网络技术为支撑的，逐步体现并达到学生个性化学习和自主式学习的新模式。</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snapToGrid w:val="0"/>
        <w:spacing w:line="300" w:lineRule="auto"/>
        <w:ind w:firstLine="420" w:firstLineChars="200"/>
        <w:rPr>
          <w:rFonts w:ascii="Times New Roman" w:hAnsi="Times New Roman" w:eastAsia="宋体" w:cs="Times New Roman"/>
          <w:b/>
          <w:bCs/>
          <w:szCs w:val="21"/>
        </w:rPr>
      </w:pPr>
      <w:r>
        <w:rPr>
          <w:rFonts w:ascii="Times New Roman" w:hAnsi="Times New Roman" w:eastAsia="宋体" w:cs="Times New Roman"/>
          <w:szCs w:val="21"/>
        </w:rPr>
        <w:t>大学英语教学着重培养、提高学生的综合人文素养，使学生具有较好的语言功底和较强的跨文化意识，以适应我国社会发展对人才素质要求的不断提升。本课程的教学对象是高等学校非英语专业的本科生，通过本课程的学习，使学生达到《大学英语课程教学要求》所规定的英语水平要求，并掌握良好的学习方法，打下扎实的语言基础，具备一定的语言运用能力，使英语成为学生交流专业信息、发挥专业特长的有力工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课程目标及能力要求具体如下：</w:t>
      </w:r>
    </w:p>
    <w:p>
      <w:pPr>
        <w:widowControl/>
        <w:numPr>
          <w:ilvl w:val="0"/>
          <w:numId w:val="111"/>
        </w:numPr>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能阅读并正确理解语言难度中等的一般题材的文章，掌握中心大意，能在阅读中使用有效的阅读方法。能完成一般性写作任务，内容基本完整，用词恰当，语意连贯。能掌握基本的写作技能。能借助词典对题材熟悉的文章进行英汉互译，译文基本流畅，能在翻译时使用适当的翻译技巧。学生能够在认知的基础上学会熟练运用一定词汇量，包括口头和书面表达两个方面，培养学生的国际视野和外语应用能力。[10</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p>
    <w:p>
      <w:pPr>
        <w:widowControl/>
        <w:numPr>
          <w:ilvl w:val="0"/>
          <w:numId w:val="111"/>
        </w:numPr>
        <w:snapToGrid w:val="0"/>
        <w:spacing w:line="30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培养学生自主学习和终身学习能力。[12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kern w:val="0"/>
          <w:sz w:val="18"/>
          <w:szCs w:val="18"/>
        </w:rPr>
      </w:pP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kern w:val="0"/>
          <w:sz w:val="18"/>
          <w:szCs w:val="18"/>
        </w:rPr>
      </w:pPr>
    </w:p>
    <w:p>
      <w:pPr>
        <w:widowControl/>
        <w:tabs>
          <w:tab w:val="left" w:pos="426"/>
          <w:tab w:val="left" w:pos="5245"/>
          <w:tab w:val="left" w:pos="5387"/>
        </w:tabs>
        <w:snapToGrid w:val="0"/>
        <w:spacing w:before="156" w:beforeLines="50" w:line="300" w:lineRule="auto"/>
        <w:ind w:firstLine="361" w:firstLineChars="200"/>
        <w:jc w:val="center"/>
        <w:rPr>
          <w:rFonts w:ascii="Times New Roman" w:hAnsi="Times New Roman" w:eastAsia="宋体" w:cs="Times New Roman"/>
          <w:b/>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6006"/>
        <w:gridCol w:w="68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33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600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8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65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10．沟通</w:t>
            </w:r>
          </w:p>
        </w:tc>
        <w:tc>
          <w:tcPr>
            <w:tcW w:w="6006" w:type="dxa"/>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具有一定的国际视野，能够了解专业领域的国际发展趋势与新的研究热点，并能在跨文化背景下使用一门外语清晰的陈述和回答问题，解释和尊重世界不同文化的差异性和多样性。</w:t>
            </w:r>
          </w:p>
        </w:tc>
        <w:tc>
          <w:tcPr>
            <w:tcW w:w="6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30"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12．终身学习</w:t>
            </w:r>
          </w:p>
        </w:tc>
        <w:tc>
          <w:tcPr>
            <w:tcW w:w="6006"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具有自主学习和终身学习的意识，掌握拓展知识和能力的基本方法和途径。</w:t>
            </w:r>
          </w:p>
        </w:tc>
        <w:tc>
          <w:tcPr>
            <w:tcW w:w="68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4"/>
        <w:gridCol w:w="2288"/>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能阅读并正确理解语言难度中等的一般题材的文章，掌握中心大意，能在阅读中使用有效的阅读方法。能完成一般性写作任务，内容基本完整，用词恰当，语意连贯。能掌握基本的写作技能。能借助词典对题材熟悉的文章进行英汉互译，译文基本流畅，能在翻译时使用适当的翻译技巧。学生能够在认知的基础上学会熟练运用一定词汇量，包括口头和书面表达两个方面，培养学生的国际视野和外语应用能力。</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授课方法：讲授式，讨论式，研究式教学方法；授课手段：板书，多媒体，视频，网络。</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口语话题、考勤、作业、课堂表现、小测，闭卷考试。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2．培养学生自主学习和终身学习能力。</w:t>
            </w:r>
          </w:p>
        </w:tc>
        <w:tc>
          <w:tcPr>
            <w:tcW w:w="2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授课方法：讲授式，讨论式，研究式教学方法；授课手段：板书，多媒体，视频，网络。</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口语话题、考勤、作业、课堂表现、小测，闭卷考试。</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967"/>
        <w:gridCol w:w="2458"/>
        <w:gridCol w:w="125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886" w:type="dxa"/>
            <w:shd w:val="clear" w:color="auto" w:fill="auto"/>
            <w:tcMar>
              <w:left w:w="57" w:type="dxa"/>
              <w:right w:w="57" w:type="dxa"/>
            </w:tcMar>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967" w:type="dxa"/>
            <w:shd w:val="clear" w:color="auto" w:fill="auto"/>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2458" w:type="dxa"/>
            <w:shd w:val="clear" w:color="auto" w:fill="auto"/>
            <w:vAlign w:val="center"/>
          </w:tcPr>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1252" w:type="dxa"/>
            <w:shd w:val="clear" w:color="auto" w:fill="auto"/>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118" w:type="dxa"/>
            <w:shd w:val="clear" w:color="auto" w:fill="auto"/>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1</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新生大学英语导学及语音、音标，Fresh Start</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2</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Loving Parents, Loving Children</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3</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Digital Campus</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4</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Heroes of Our Time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5</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Winning Is Not Everything</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6</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Earn as You Learn?</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  Unit 7</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Hoping for the better</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1</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Language in Mission</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2</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College－The Ladder to Success?</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2967" w:type="dxa"/>
            <w:vAlign w:val="center"/>
          </w:tcPr>
          <w:p>
            <w:pPr>
              <w:widowControl/>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3</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Discovery of a New Life Stage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4</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Dance with Love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5</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The Money Game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6</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Less Is More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  Unit 7</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Women：Making a Difference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0（自学）</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1</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The Way to Success</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2</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Beat Your Fear</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3</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Life Stories</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4</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Let’s Go</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5</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When Work Is Pleasure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6</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War and Peace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86"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2967"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Book III  Unit 7</w:t>
            </w:r>
          </w:p>
        </w:tc>
        <w:tc>
          <w:tcPr>
            <w:tcW w:w="245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Economy：Power Behind Everyday Life</w:t>
            </w:r>
          </w:p>
        </w:tc>
        <w:tc>
          <w:tcPr>
            <w:tcW w:w="1252"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0（自学）</w:t>
            </w:r>
          </w:p>
        </w:tc>
        <w:tc>
          <w:tcPr>
            <w:tcW w:w="111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1．考核方式：</w:t>
      </w:r>
      <w:r>
        <w:rPr>
          <w:rFonts w:ascii="Times New Roman" w:hAnsi="Times New Roman" w:eastAsia="宋体" w:cs="Times New Roman"/>
          <w:szCs w:val="21"/>
        </w:rPr>
        <w:t>课程为考试课，期末考试采用闭卷考试的形式。</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2．成绩构成：</w:t>
      </w:r>
      <w:r>
        <w:rPr>
          <w:rFonts w:ascii="Times New Roman" w:hAnsi="Times New Roman" w:eastAsia="宋体" w:cs="Times New Roman"/>
          <w:szCs w:val="21"/>
        </w:rPr>
        <w:t>成绩由平时成绩和期末考试成绩构成，平时成绩占40%、期末考试成绩占60%。平时成绩由口语话题、考勤、作业、课堂表现和小测构成。</w:t>
      </w:r>
    </w:p>
    <w:p>
      <w:pPr>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8"/>
        <w:gridCol w:w="656"/>
        <w:gridCol w:w="639"/>
        <w:gridCol w:w="540"/>
        <w:gridCol w:w="3540"/>
        <w:gridCol w:w="92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类型</w:t>
            </w:r>
          </w:p>
        </w:tc>
        <w:tc>
          <w:tcPr>
            <w:tcW w:w="658"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6"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39"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54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540"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1" w:type="dxa"/>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912" w:type="dxa"/>
            <w:vAlign w:val="center"/>
          </w:tcPr>
          <w:p>
            <w:pPr>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平时成绩</w:t>
            </w:r>
          </w:p>
        </w:tc>
        <w:tc>
          <w:tcPr>
            <w:tcW w:w="658"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Merge w:val="restart"/>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63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54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0" w:type="dxa"/>
            <w:vAlign w:val="center"/>
          </w:tcPr>
          <w:p>
            <w:pPr>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学生在课堂上的口头参与（课堂讨论、回答或提出问题及其他形式的口头交际情况）、学习态度、与教师和同学交往的情况等。鼓励学生积极参与课堂教学，其评价对象可以包括但不限于学生出勤、参与课堂学习过程如回答问题、课堂讨论等。</w:t>
            </w:r>
          </w:p>
        </w:tc>
        <w:tc>
          <w:tcPr>
            <w:tcW w:w="92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59" w:type="dxa"/>
            <w:vMerge w:val="continue"/>
            <w:vAlign w:val="center"/>
          </w:tcPr>
          <w:p>
            <w:pPr>
              <w:snapToGrid w:val="0"/>
              <w:spacing w:line="300" w:lineRule="auto"/>
              <w:rPr>
                <w:rFonts w:ascii="Times New Roman" w:hAnsi="Times New Roman" w:eastAsia="宋体" w:cs="Times New Roman"/>
                <w:sz w:val="18"/>
                <w:szCs w:val="18"/>
              </w:rPr>
            </w:pPr>
          </w:p>
        </w:tc>
        <w:tc>
          <w:tcPr>
            <w:tcW w:w="65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3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随堂测验</w:t>
            </w:r>
          </w:p>
        </w:tc>
        <w:tc>
          <w:tcPr>
            <w:tcW w:w="54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54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在上课时间内任课教师对学生进行的非正式的测验。及时检查学生对课程知识掌握情况，促进学生的课前预习与课堂听课。</w:t>
            </w:r>
          </w:p>
        </w:tc>
        <w:tc>
          <w:tcPr>
            <w:tcW w:w="92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snapToGrid w:val="0"/>
              <w:spacing w:line="300" w:lineRule="auto"/>
              <w:rPr>
                <w:rFonts w:ascii="Times New Roman" w:hAnsi="Times New Roman" w:eastAsia="宋体" w:cs="Times New Roman"/>
                <w:sz w:val="18"/>
                <w:szCs w:val="18"/>
              </w:rPr>
            </w:pPr>
          </w:p>
        </w:tc>
        <w:tc>
          <w:tcPr>
            <w:tcW w:w="65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39"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bCs/>
                <w:sz w:val="18"/>
                <w:szCs w:val="18"/>
              </w:rPr>
              <w:t>平时作业</w:t>
            </w:r>
          </w:p>
        </w:tc>
        <w:tc>
          <w:tcPr>
            <w:tcW w:w="54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354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sz w:val="18"/>
                <w:szCs w:val="18"/>
              </w:rPr>
              <w:t>主要考核学生对知识点的理解和掌握程度；每次作业按20分制单独评分，评改参考四级标准，取各次成绩的平均值作为平时成绩。</w:t>
            </w:r>
          </w:p>
        </w:tc>
        <w:tc>
          <w:tcPr>
            <w:tcW w:w="92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snapToGrid w:val="0"/>
              <w:spacing w:line="300" w:lineRule="auto"/>
              <w:rPr>
                <w:rFonts w:ascii="Times New Roman" w:hAnsi="Times New Roman" w:eastAsia="宋体" w:cs="Times New Roman"/>
                <w:sz w:val="18"/>
                <w:szCs w:val="18"/>
              </w:rPr>
            </w:pPr>
          </w:p>
        </w:tc>
        <w:tc>
          <w:tcPr>
            <w:tcW w:w="658"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snapToGrid w:val="0"/>
              <w:spacing w:line="300" w:lineRule="auto"/>
              <w:jc w:val="center"/>
              <w:rPr>
                <w:rFonts w:ascii="Times New Roman" w:hAnsi="Times New Roman" w:eastAsia="宋体" w:cs="Times New Roman"/>
                <w:sz w:val="18"/>
                <w:szCs w:val="18"/>
              </w:rPr>
            </w:pPr>
          </w:p>
        </w:tc>
        <w:tc>
          <w:tcPr>
            <w:tcW w:w="639" w:type="dxa"/>
            <w:vAlign w:val="center"/>
          </w:tcPr>
          <w:p>
            <w:pPr>
              <w:snapToGrid w:val="0"/>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口语</w:t>
            </w:r>
          </w:p>
        </w:tc>
        <w:tc>
          <w:tcPr>
            <w:tcW w:w="54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3540"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sz w:val="18"/>
                <w:szCs w:val="18"/>
              </w:rPr>
              <w:t>根据学生口语表达能力评分，满分10分</w:t>
            </w:r>
          </w:p>
        </w:tc>
        <w:tc>
          <w:tcPr>
            <w:tcW w:w="92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659"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658"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639" w:type="dxa"/>
            <w:vAlign w:val="center"/>
          </w:tcPr>
          <w:p>
            <w:pPr>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540"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40" w:type="dxa"/>
            <w:vAlign w:val="center"/>
          </w:tcPr>
          <w:p>
            <w:pPr>
              <w:snapToGrid w:val="0"/>
              <w:spacing w:line="300" w:lineRule="auto"/>
              <w:rPr>
                <w:rFonts w:ascii="Times New Roman" w:hAnsi="Times New Roman" w:eastAsia="宋体" w:cs="Times New Roman"/>
                <w:bCs/>
                <w:sz w:val="18"/>
                <w:szCs w:val="18"/>
              </w:rPr>
            </w:pPr>
            <w:r>
              <w:rPr>
                <w:rFonts w:ascii="Times New Roman" w:hAnsi="Times New Roman" w:eastAsia="宋体" w:cs="Times New Roman"/>
                <w:sz w:val="18"/>
                <w:szCs w:val="18"/>
              </w:rPr>
              <w:t>卷面成绩100分。卷面成绩按比例计入课程总评成绩。</w:t>
            </w:r>
            <w:r>
              <w:rPr>
                <w:rFonts w:ascii="Times New Roman" w:hAnsi="Times New Roman" w:eastAsia="宋体" w:cs="Times New Roman"/>
                <w:bCs/>
                <w:sz w:val="18"/>
                <w:szCs w:val="18"/>
              </w:rPr>
              <w:t>考核内容包括：听力能力、阅读能力、翻译能力及写作能力。</w:t>
            </w:r>
          </w:p>
          <w:p>
            <w:pPr>
              <w:snapToGrid w:val="0"/>
              <w:spacing w:line="300" w:lineRule="auto"/>
              <w:rPr>
                <w:rFonts w:ascii="Times New Roman" w:hAnsi="Times New Roman" w:eastAsia="宋体" w:cs="Times New Roman"/>
                <w:sz w:val="18"/>
                <w:szCs w:val="18"/>
              </w:rPr>
            </w:pPr>
          </w:p>
        </w:tc>
        <w:tc>
          <w:tcPr>
            <w:tcW w:w="921"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bl>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szCs w:val="21"/>
        </w:rPr>
        <w:t>课程目标达成度评价包括课程分目标达成度评价，以及课程总目标达成度评价，具体计算方法如下：</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position w:val="-16"/>
        </w:rPr>
        <w:object>
          <v:shape id="_x0000_i1258"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58" DrawAspect="Content" ObjectID="_1468075956" r:id="rId289">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课程总目标达成度为1个课程目标的加权得分率，其计算公式为：</w:t>
      </w:r>
    </w:p>
    <w:p>
      <w:pPr>
        <w:snapToGrid w:val="0"/>
        <w:spacing w:line="300" w:lineRule="auto"/>
        <w:jc w:val="center"/>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position w:val="-10"/>
        </w:rPr>
        <w:object>
          <v:shape id="_x0000_i1259"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59" DrawAspect="Content" ObjectID="_1468075957" r:id="rId290">
            <o:LockedField>false</o:LockedField>
          </o:OLEObject>
        </w:object>
      </w:r>
    </w:p>
    <w:p>
      <w:pPr>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789"/>
        <w:gridCol w:w="2946"/>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2789" w:type="dxa"/>
            <w:shd w:val="clear" w:color="auto" w:fill="auto"/>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2946" w:type="dxa"/>
            <w:shd w:val="clear" w:color="auto" w:fill="auto"/>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94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2789" w:type="dxa"/>
            <w:shd w:val="clear" w:color="auto" w:fill="auto"/>
            <w:vAlign w:val="center"/>
          </w:tcPr>
          <w:p>
            <w:pPr>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2946" w:type="dxa"/>
            <w:shd w:val="clear" w:color="auto" w:fill="auto"/>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2946" w:type="dxa"/>
            <w:vAlign w:val="center"/>
          </w:tcPr>
          <w:p>
            <w:pPr>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60"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60" DrawAspect="Content" ObjectID="_1468075958" r:id="rId291">
            <o:LockedField>false</o:LockedField>
          </o:OLEObject>
        </w:object>
      </w:r>
    </w:p>
    <w:p>
      <w:pPr>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rPr>
        <w:t>．</w:t>
      </w:r>
      <w:r>
        <w:rPr>
          <w:rFonts w:ascii="Times New Roman" w:hAnsi="Times New Roman" w:eastAsia="宋体" w:cs="Times New Roman"/>
          <w:szCs w:val="21"/>
        </w:rPr>
        <w:t>课程总结要求</w:t>
      </w:r>
    </w:p>
    <w:p>
      <w:pPr>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七、教材及参考资料</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1．教材</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[1]《新视野大学英语教师参考书》（第1-3册） 外语教学与研究出版社</w:t>
      </w:r>
    </w:p>
    <w:p>
      <w:pPr>
        <w:snapToGrid w:val="0"/>
        <w:spacing w:line="300" w:lineRule="auto"/>
        <w:ind w:firstLine="420" w:firstLineChars="200"/>
        <w:rPr>
          <w:rFonts w:ascii="Times New Roman" w:hAnsi="Times New Roman" w:eastAsia="宋体" w:cs="Times New Roman"/>
          <w:bCs/>
        </w:rPr>
      </w:pPr>
      <w:r>
        <w:rPr>
          <w:rFonts w:ascii="Times New Roman" w:hAnsi="Times New Roman" w:eastAsia="宋体" w:cs="Times New Roman"/>
        </w:rPr>
        <w:t>[2]</w:t>
      </w:r>
      <w:r>
        <w:rPr>
          <w:rFonts w:ascii="Times New Roman" w:hAnsi="Times New Roman" w:eastAsia="宋体" w:cs="Times New Roman"/>
          <w:bCs/>
        </w:rPr>
        <w:t>《大学英语通用词汇表》 高等教育出版社</w:t>
      </w:r>
    </w:p>
    <w:p>
      <w:pPr>
        <w:snapToGrid w:val="0"/>
        <w:spacing w:line="300" w:lineRule="auto"/>
        <w:ind w:firstLine="420" w:firstLineChars="200"/>
        <w:rPr>
          <w:rFonts w:ascii="Times New Roman" w:hAnsi="Times New Roman" w:eastAsia="宋体" w:cs="Times New Roman"/>
          <w:bCs/>
        </w:rPr>
      </w:pPr>
      <w:r>
        <w:rPr>
          <w:rFonts w:ascii="Times New Roman" w:hAnsi="Times New Roman" w:eastAsia="宋体" w:cs="Times New Roman"/>
        </w:rPr>
        <w:t>[3]</w:t>
      </w:r>
      <w:r>
        <w:rPr>
          <w:rFonts w:ascii="Times New Roman" w:hAnsi="Times New Roman" w:eastAsia="宋体" w:cs="Times New Roman"/>
          <w:bCs/>
        </w:rPr>
        <w:t>《跨文化交际口语教程》（第1、2册） 上海外语教育出版社，2016</w:t>
      </w:r>
    </w:p>
    <w:p>
      <w:pPr>
        <w:snapToGrid w:val="0"/>
        <w:spacing w:line="300" w:lineRule="auto"/>
        <w:ind w:firstLine="420" w:firstLineChars="200"/>
        <w:rPr>
          <w:rFonts w:ascii="Times New Roman" w:hAnsi="Times New Roman" w:eastAsia="宋体" w:cs="Times New Roman"/>
          <w:bCs/>
        </w:rPr>
      </w:pPr>
      <w:r>
        <w:rPr>
          <w:rFonts w:ascii="Times New Roman" w:hAnsi="Times New Roman" w:eastAsia="宋体" w:cs="Times New Roman"/>
          <w:bCs/>
        </w:rPr>
        <w:t>[4]《</w:t>
      </w:r>
      <w:r>
        <w:rPr>
          <w:rFonts w:ascii="Times New Roman" w:hAnsi="Times New Roman" w:eastAsia="宋体" w:cs="Times New Roman"/>
        </w:rPr>
        <w:t>全新版大学进阶英语视听说教程》（第1-3册） 上海外语教育出版社，2017</w:t>
      </w:r>
    </w:p>
    <w:p>
      <w:pPr>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2．参考资料</w:t>
      </w:r>
    </w:p>
    <w:p>
      <w:pPr>
        <w:numPr>
          <w:ilvl w:val="0"/>
          <w:numId w:val="95"/>
        </w:numPr>
        <w:snapToGrid w:val="0"/>
        <w:spacing w:line="300" w:lineRule="auto"/>
        <w:rPr>
          <w:rFonts w:ascii="Times New Roman" w:hAnsi="Times New Roman" w:eastAsia="宋体" w:cs="Times New Roman"/>
        </w:rPr>
      </w:pPr>
      <w:r>
        <w:rPr>
          <w:rFonts w:ascii="Times New Roman" w:hAnsi="Times New Roman" w:eastAsia="宋体" w:cs="Times New Roman"/>
        </w:rPr>
        <w:t>《大学英语课程教学要求（试行）》 教育部高等教育司上海外语教育出版社出版 ，2007</w:t>
      </w:r>
    </w:p>
    <w:p>
      <w:pPr>
        <w:numPr>
          <w:ilvl w:val="0"/>
          <w:numId w:val="95"/>
        </w:numPr>
        <w:snapToGrid w:val="0"/>
        <w:spacing w:line="300" w:lineRule="auto"/>
        <w:rPr>
          <w:rFonts w:ascii="Times New Roman" w:hAnsi="Times New Roman" w:eastAsia="宋体" w:cs="Times New Roman"/>
        </w:rPr>
      </w:pPr>
      <w:r>
        <w:rPr>
          <w:rFonts w:ascii="Times New Roman" w:hAnsi="Times New Roman" w:eastAsia="宋体" w:cs="Times New Roman"/>
        </w:rPr>
        <w:t>四.六级考试模拟题及真题</w:t>
      </w:r>
    </w:p>
    <w:p>
      <w:pPr>
        <w:snapToGrid w:val="0"/>
        <w:spacing w:line="300" w:lineRule="auto"/>
        <w:ind w:left="420"/>
        <w:rPr>
          <w:rFonts w:ascii="Times New Roman" w:hAnsi="Times New Roman" w:eastAsia="宋体" w:cs="Times New Roman"/>
        </w:rPr>
      </w:pPr>
      <w:r>
        <w:rPr>
          <w:rFonts w:ascii="Times New Roman" w:hAnsi="Times New Roman" w:eastAsia="宋体" w:cs="Times New Roman"/>
        </w:rPr>
        <w:t>3．学习相关网站：</w:t>
      </w:r>
    </w:p>
    <w:p>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[1] 中国外语教育网站（www.tefl.com.cn）</w:t>
      </w:r>
    </w:p>
    <w:p>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[2] 中国外语教育研究中心网站（www.sinotefl.com）</w:t>
      </w:r>
    </w:p>
    <w:p>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[3] 英语教学网站（www.teachingenglish.org.uk）</w:t>
      </w:r>
    </w:p>
    <w:p>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[4] 上外外语世界网（www.Yeworld.net）</w:t>
      </w:r>
    </w:p>
    <w:p>
      <w:pPr>
        <w:snapToGrid w:val="0"/>
        <w:spacing w:line="300" w:lineRule="auto"/>
        <w:rPr>
          <w:rFonts w:ascii="Times New Roman" w:hAnsi="Times New Roman" w:eastAsia="宋体" w:cs="Times New Roman"/>
        </w:rPr>
      </w:pPr>
      <w:r>
        <w:rPr>
          <w:rFonts w:ascii="Times New Roman" w:hAnsi="Times New Roman" w:eastAsia="宋体" w:cs="Times New Roman"/>
        </w:rPr>
        <w:t xml:space="preserve"> </w:t>
      </w:r>
    </w:p>
    <w:tbl>
      <w:tblPr>
        <w:tblStyle w:val="40"/>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cs="Times New Roman"/>
                <w:szCs w:val="21"/>
              </w:rPr>
            </w:pPr>
            <w:r>
              <w:rPr>
                <w:rFonts w:ascii="Times New Roman" w:hAnsi="Times New Roman"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pStyle w:val="3"/>
        <w:jc w:val="center"/>
        <w:rPr>
          <w:rFonts w:ascii="Times New Roman" w:hAnsi="Times New Roman" w:eastAsia="宋体" w:cs="Times New Roman"/>
        </w:rPr>
      </w:pPr>
      <w:bookmarkStart w:id="408" w:name="_Toc47719728"/>
      <w:bookmarkStart w:id="409" w:name="_Toc30095"/>
      <w:bookmarkStart w:id="410" w:name="_Toc47774685"/>
      <w:bookmarkStart w:id="411" w:name="_Toc38126089"/>
      <w:bookmarkStart w:id="412" w:name="_Toc22368"/>
      <w:bookmarkStart w:id="413" w:name="_Toc46489635"/>
      <w:bookmarkStart w:id="414" w:name="_Toc47718756"/>
      <w:r>
        <w:rPr>
          <w:rFonts w:ascii="Times New Roman" w:hAnsi="Times New Roman" w:eastAsia="宋体" w:cs="Times New Roman"/>
        </w:rPr>
        <w:t>23112401《大学英语听说（І,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eastAsia="宋体" w:cs="Times New Roman"/>
        </w:rPr>
        <w:t>）》课程教学大纲</w:t>
      </w:r>
      <w:bookmarkEnd w:id="408"/>
      <w:bookmarkEnd w:id="409"/>
      <w:bookmarkEnd w:id="410"/>
      <w:bookmarkEnd w:id="411"/>
      <w:bookmarkEnd w:id="412"/>
      <w:bookmarkEnd w:id="413"/>
      <w:bookmarkEnd w:id="414"/>
    </w:p>
    <w:tbl>
      <w:tblPr>
        <w:tblStyle w:val="23"/>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1"/>
        <w:gridCol w:w="119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课程编号</w:t>
            </w:r>
          </w:p>
        </w:tc>
        <w:tc>
          <w:tcPr>
            <w:tcW w:w="3441" w:type="dxa"/>
            <w:vAlign w:val="center"/>
          </w:tcPr>
          <w:p>
            <w:pPr>
              <w:jc w:val="center"/>
              <w:rPr>
                <w:rFonts w:ascii="Times New Roman" w:hAnsi="Times New Roman" w:cs="Times New Roman"/>
                <w:szCs w:val="21"/>
              </w:rPr>
            </w:pPr>
            <w:r>
              <w:rPr>
                <w:rFonts w:ascii="Times New Roman" w:hAnsi="Times New Roman" w:cs="Times New Roman"/>
                <w:szCs w:val="21"/>
              </w:rPr>
              <w:t>23112401</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课程名称</w:t>
            </w:r>
          </w:p>
        </w:tc>
        <w:tc>
          <w:tcPr>
            <w:tcW w:w="2695" w:type="dxa"/>
            <w:vAlign w:val="center"/>
          </w:tcPr>
          <w:p>
            <w:pPr>
              <w:jc w:val="center"/>
              <w:rPr>
                <w:rFonts w:ascii="Times New Roman" w:hAnsi="Times New Roman" w:cs="Times New Roman"/>
                <w:szCs w:val="21"/>
              </w:rPr>
            </w:pPr>
            <w:r>
              <w:rPr>
                <w:rFonts w:ascii="Times New Roman" w:hAnsi="Times New Roman" w:cs="Times New Roman"/>
                <w:szCs w:val="21"/>
              </w:rPr>
              <w:t>大学英语听说（</w:t>
            </w:r>
            <w:r>
              <w:rPr>
                <w:rFonts w:ascii="Times New Roman" w:hAnsi="Times New Roman" w:eastAsia="宋体" w:cs="Times New Roman"/>
              </w:rPr>
              <w:t>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课程性质*</w:t>
            </w:r>
          </w:p>
        </w:tc>
        <w:tc>
          <w:tcPr>
            <w:tcW w:w="3441" w:type="dxa"/>
            <w:vAlign w:val="center"/>
          </w:tcPr>
          <w:p>
            <w:pPr>
              <w:jc w:val="center"/>
              <w:rPr>
                <w:rFonts w:ascii="Times New Roman" w:hAnsi="Times New Roman" w:cs="Times New Roman"/>
                <w:szCs w:val="21"/>
              </w:rPr>
            </w:pPr>
            <w:r>
              <w:rPr>
                <w:rFonts w:hint="eastAsia" w:ascii="Times New Roman" w:hAnsi="Times New Roman" w:eastAsia="宋体" w:cs="Times New Roman"/>
                <w:szCs w:val="21"/>
              </w:rPr>
              <w:t>人文社会科学类</w:t>
            </w:r>
          </w:p>
        </w:tc>
        <w:tc>
          <w:tcPr>
            <w:tcW w:w="1198" w:type="dxa"/>
            <w:vAlign w:val="center"/>
          </w:tcPr>
          <w:p>
            <w:pPr>
              <w:jc w:val="center"/>
              <w:rPr>
                <w:rFonts w:ascii="Times New Roman" w:hAnsi="Times New Roman" w:cs="Times New Roman"/>
                <w:szCs w:val="21"/>
              </w:rPr>
            </w:pPr>
            <w:r>
              <w:rPr>
                <w:rFonts w:ascii="Times New Roman" w:hAnsi="Times New Roman" w:cs="Times New Roman"/>
                <w:szCs w:val="21"/>
              </w:rPr>
              <w:t>英文名称</w:t>
            </w:r>
          </w:p>
        </w:tc>
        <w:tc>
          <w:tcPr>
            <w:tcW w:w="2695" w:type="dxa"/>
            <w:vAlign w:val="center"/>
          </w:tcPr>
          <w:p>
            <w:pPr>
              <w:jc w:val="center"/>
              <w:rPr>
                <w:rFonts w:ascii="Times New Roman" w:hAnsi="Times New Roman" w:cs="Times New Roman"/>
                <w:bCs/>
                <w:szCs w:val="21"/>
              </w:rPr>
            </w:pPr>
            <w:r>
              <w:rPr>
                <w:rFonts w:ascii="Times New Roman" w:hAnsi="Times New Roman" w:cs="Times New Roman"/>
                <w:szCs w:val="21"/>
              </w:rPr>
              <w:t>College English Listening &amp; Speaking（</w:t>
            </w:r>
            <w:r>
              <w:rPr>
                <w:rFonts w:ascii="Times New Roman" w:hAnsi="Times New Roman" w:eastAsia="宋体" w:cs="Times New Roman"/>
              </w:rPr>
              <w:t>І,</w:t>
            </w:r>
            <w:r>
              <w:rPr>
                <w:rFonts w:hint="eastAsia" w:ascii="Times New Roman" w:hAnsi="Times New Roman" w:eastAsia="宋体" w:cs="Times New Roman"/>
              </w:rPr>
              <w:t>Ⅱ</w:t>
            </w:r>
            <w:r>
              <w:rPr>
                <w:rFonts w:ascii="Times New Roman" w:hAnsi="Times New Roman" w:eastAsia="宋体" w:cs="Times New Roman"/>
              </w:rPr>
              <w:t>,</w:t>
            </w:r>
            <w:r>
              <w:rPr>
                <w:rFonts w:hint="eastAsia" w:ascii="Times New Roman" w:hAnsi="Times New Roman" w:eastAsia="宋体" w:cs="Times New Roman"/>
              </w:rPr>
              <w:t>Ⅲ</w:t>
            </w: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学分学时</w:t>
            </w:r>
          </w:p>
        </w:tc>
        <w:tc>
          <w:tcPr>
            <w:tcW w:w="3441" w:type="dxa"/>
            <w:vAlign w:val="center"/>
          </w:tcPr>
          <w:p>
            <w:pPr>
              <w:jc w:val="center"/>
              <w:rPr>
                <w:rFonts w:ascii="Times New Roman" w:hAnsi="Times New Roman" w:cs="Times New Roman"/>
                <w:szCs w:val="21"/>
              </w:rPr>
            </w:pPr>
            <w:r>
              <w:rPr>
                <w:rFonts w:ascii="Times New Roman" w:hAnsi="Times New Roman" w:cs="Times New Roman"/>
                <w:bCs/>
                <w:szCs w:val="21"/>
              </w:rPr>
              <w:t>2.5</w:t>
            </w:r>
            <w:r>
              <w:rPr>
                <w:rFonts w:ascii="Times New Roman" w:hAnsi="Times New Roman" w:cs="Times New Roman"/>
                <w:szCs w:val="21"/>
              </w:rPr>
              <w:t xml:space="preserve"> : 70（0）</w:t>
            </w:r>
          </w:p>
        </w:tc>
        <w:tc>
          <w:tcPr>
            <w:tcW w:w="1198" w:type="dxa"/>
            <w:vAlign w:val="center"/>
          </w:tcPr>
          <w:p>
            <w:pPr>
              <w:jc w:val="center"/>
              <w:rPr>
                <w:rFonts w:ascii="Times New Roman" w:hAnsi="Times New Roman" w:cs="Times New Roman"/>
                <w:szCs w:val="21"/>
                <w:highlight w:val="yellow"/>
              </w:rPr>
            </w:pPr>
            <w:r>
              <w:rPr>
                <w:rFonts w:ascii="Times New Roman" w:hAnsi="Times New Roman" w:cs="Times New Roman"/>
                <w:szCs w:val="21"/>
              </w:rPr>
              <w:t>任课教师</w:t>
            </w:r>
          </w:p>
        </w:tc>
        <w:tc>
          <w:tcPr>
            <w:tcW w:w="2695" w:type="dxa"/>
            <w:vAlign w:val="center"/>
          </w:tcPr>
          <w:p>
            <w:pPr>
              <w:jc w:val="center"/>
              <w:rPr>
                <w:rFonts w:ascii="Times New Roman" w:hAnsi="Times New Roman" w:cs="Times New Roman"/>
                <w:szCs w:val="21"/>
                <w:highlight w:val="yellow"/>
              </w:rPr>
            </w:pPr>
            <w:r>
              <w:rPr>
                <w:rFonts w:ascii="Times New Roman" w:hAnsi="Times New Roman" w:cs="Times New Roman"/>
                <w:szCs w:val="21"/>
              </w:rPr>
              <w:t>韩华、冯巧丽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执笔教师</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王爱云</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责任教授</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何谦卫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47"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适用专业</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本科各专业</w:t>
            </w:r>
          </w:p>
          <w:p>
            <w:pPr>
              <w:widowControl/>
              <w:jc w:val="center"/>
              <w:rPr>
                <w:rFonts w:ascii="Times New Roman" w:hAnsi="Times New Roman" w:cs="Times New Roman"/>
                <w:szCs w:val="21"/>
              </w:rPr>
            </w:pPr>
            <w:r>
              <w:rPr>
                <w:rFonts w:ascii="Times New Roman" w:hAnsi="Times New Roman" w:cs="Times New Roman"/>
                <w:szCs w:val="21"/>
              </w:rPr>
              <w:t>（除英语、日语、艺体类专业）</w:t>
            </w:r>
          </w:p>
        </w:tc>
        <w:tc>
          <w:tcPr>
            <w:tcW w:w="1198" w:type="dxa"/>
            <w:vAlign w:val="center"/>
          </w:tcPr>
          <w:p>
            <w:pPr>
              <w:widowControl/>
              <w:jc w:val="center"/>
              <w:rPr>
                <w:rFonts w:ascii="Times New Roman" w:hAnsi="Times New Roman" w:cs="Times New Roman"/>
                <w:bCs/>
                <w:szCs w:val="21"/>
              </w:rPr>
            </w:pPr>
            <w:r>
              <w:rPr>
                <w:rFonts w:ascii="Times New Roman" w:hAnsi="Times New Roman" w:cs="Times New Roman"/>
                <w:bCs/>
                <w:szCs w:val="21"/>
              </w:rPr>
              <w:t>适用对象</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全日制本科生（不含英语、日语、艺体类专业）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47" w:type="dxa"/>
            <w:vAlign w:val="center"/>
          </w:tcPr>
          <w:p>
            <w:pPr>
              <w:jc w:val="center"/>
              <w:rPr>
                <w:rFonts w:ascii="Times New Roman" w:hAnsi="Times New Roman" w:cs="Times New Roman"/>
                <w:b/>
                <w:szCs w:val="21"/>
              </w:rPr>
            </w:pPr>
            <w:r>
              <w:rPr>
                <w:rFonts w:ascii="Times New Roman" w:hAnsi="Times New Roman" w:cs="Times New Roman"/>
                <w:szCs w:val="21"/>
              </w:rPr>
              <w:t>先修课程</w:t>
            </w:r>
          </w:p>
        </w:tc>
        <w:tc>
          <w:tcPr>
            <w:tcW w:w="3441" w:type="dxa"/>
            <w:vAlign w:val="center"/>
          </w:tcPr>
          <w:p>
            <w:pPr>
              <w:widowControl/>
              <w:jc w:val="center"/>
              <w:rPr>
                <w:rFonts w:ascii="Times New Roman" w:hAnsi="Times New Roman" w:cs="Times New Roman"/>
                <w:bCs/>
                <w:szCs w:val="21"/>
              </w:rPr>
            </w:pPr>
            <w:r>
              <w:rPr>
                <w:rFonts w:ascii="Times New Roman" w:hAnsi="Times New Roman" w:cs="Times New Roman"/>
                <w:szCs w:val="21"/>
              </w:rPr>
              <w:t>无</w:t>
            </w:r>
          </w:p>
        </w:tc>
        <w:tc>
          <w:tcPr>
            <w:tcW w:w="1198" w:type="dxa"/>
            <w:vAlign w:val="center"/>
          </w:tcPr>
          <w:p>
            <w:pPr>
              <w:snapToGrid w:val="0"/>
              <w:spacing w:line="300" w:lineRule="auto"/>
              <w:jc w:val="center"/>
              <w:rPr>
                <w:rFonts w:ascii="Times New Roman" w:hAnsi="Times New Roman" w:cs="Times New Roman"/>
                <w:b/>
                <w:szCs w:val="21"/>
              </w:rPr>
            </w:pPr>
            <w:r>
              <w:rPr>
                <w:rFonts w:ascii="Times New Roman" w:hAnsi="Times New Roman" w:cs="Times New Roman"/>
                <w:szCs w:val="21"/>
              </w:rPr>
              <w:t>同修课程</w:t>
            </w:r>
          </w:p>
        </w:tc>
        <w:tc>
          <w:tcPr>
            <w:tcW w:w="2695"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47" w:type="dxa"/>
            <w:vAlign w:val="center"/>
          </w:tcPr>
          <w:p>
            <w:pPr>
              <w:jc w:val="center"/>
              <w:rPr>
                <w:rFonts w:ascii="Times New Roman" w:hAnsi="Times New Roman" w:cs="Times New Roman"/>
                <w:szCs w:val="21"/>
              </w:rPr>
            </w:pPr>
            <w:r>
              <w:rPr>
                <w:rFonts w:ascii="Times New Roman" w:hAnsi="Times New Roman" w:cs="Times New Roman"/>
                <w:szCs w:val="21"/>
              </w:rPr>
              <w:t>排斥课程</w:t>
            </w:r>
          </w:p>
        </w:tc>
        <w:tc>
          <w:tcPr>
            <w:tcW w:w="3441" w:type="dxa"/>
            <w:vAlign w:val="center"/>
          </w:tcPr>
          <w:p>
            <w:pPr>
              <w:widowControl/>
              <w:jc w:val="center"/>
              <w:rPr>
                <w:rFonts w:ascii="Times New Roman" w:hAnsi="Times New Roman" w:cs="Times New Roman"/>
                <w:szCs w:val="21"/>
              </w:rPr>
            </w:pPr>
            <w:r>
              <w:rPr>
                <w:rFonts w:ascii="Times New Roman" w:hAnsi="Times New Roman" w:cs="Times New Roman"/>
                <w:szCs w:val="21"/>
              </w:rPr>
              <w:t>无</w:t>
            </w:r>
          </w:p>
        </w:tc>
        <w:tc>
          <w:tcPr>
            <w:tcW w:w="1198" w:type="dxa"/>
            <w:vAlign w:val="center"/>
          </w:tcPr>
          <w:p>
            <w:pPr>
              <w:snapToGrid w:val="0"/>
              <w:spacing w:line="300" w:lineRule="auto"/>
              <w:jc w:val="center"/>
              <w:rPr>
                <w:rFonts w:ascii="Times New Roman" w:hAnsi="Times New Roman" w:cs="Times New Roman"/>
                <w:szCs w:val="21"/>
              </w:rPr>
            </w:pPr>
            <w:r>
              <w:rPr>
                <w:rFonts w:ascii="Times New Roman" w:hAnsi="Times New Roman" w:cs="Times New Roman"/>
                <w:szCs w:val="21"/>
              </w:rPr>
              <w:t>定稿日期</w:t>
            </w:r>
          </w:p>
        </w:tc>
        <w:tc>
          <w:tcPr>
            <w:tcW w:w="2695" w:type="dxa"/>
            <w:vAlign w:val="center"/>
          </w:tcPr>
          <w:p>
            <w:pPr>
              <w:widowControl/>
              <w:jc w:val="center"/>
              <w:rPr>
                <w:rFonts w:ascii="Times New Roman" w:hAnsi="Times New Roman"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数学与自然科学类、工程基础类、专业基础类、专业类、工程实践与毕业设计（论文）、人文社会科学类；学分学时处（）内为实验学时</w:t>
      </w:r>
      <w:r>
        <w:rPr>
          <w:rFonts w:ascii="Times New Roman" w:hAnsi="Times New Roman" w:eastAsia="宋体" w:cs="Times New Roman"/>
          <w:sz w:val="18"/>
          <w:szCs w:val="18"/>
        </w:rPr>
        <w:t>。</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一、课程简介</w:t>
      </w:r>
    </w:p>
    <w:p>
      <w:pPr>
        <w:adjustRightInd w:val="0"/>
        <w:snapToGrid w:val="0"/>
        <w:spacing w:line="300" w:lineRule="auto"/>
        <w:ind w:firstLine="420" w:firstLineChars="200"/>
        <w:rPr>
          <w:rFonts w:ascii="Times New Roman" w:hAnsi="Times New Roman" w:eastAsia="宋体" w:cs="Times New Roman"/>
          <w:b/>
          <w:szCs w:val="21"/>
        </w:rPr>
      </w:pPr>
      <w:r>
        <w:rPr>
          <w:rFonts w:ascii="Times New Roman" w:hAnsi="Times New Roman" w:eastAsia="宋体" w:cs="Times New Roman"/>
          <w:szCs w:val="21"/>
        </w:rPr>
        <w:t>本门课程为非英语</w:t>
      </w:r>
      <w:r>
        <w:rPr>
          <w:rFonts w:ascii="Times New Roman" w:hAnsi="Times New Roman" w:eastAsia="宋体" w:cs="Times New Roman"/>
          <w:bCs/>
          <w:szCs w:val="21"/>
        </w:rPr>
        <w:t>、艺术、体育</w:t>
      </w:r>
      <w:r>
        <w:rPr>
          <w:rFonts w:ascii="Times New Roman" w:hAnsi="Times New Roman" w:eastAsia="宋体" w:cs="Times New Roman"/>
          <w:szCs w:val="21"/>
        </w:rPr>
        <w:t>专业本科生的</w:t>
      </w:r>
      <w:r>
        <w:rPr>
          <w:rFonts w:ascii="Times New Roman" w:hAnsi="Times New Roman" w:eastAsia="宋体" w:cs="Times New Roman"/>
          <w:bCs/>
          <w:szCs w:val="21"/>
        </w:rPr>
        <w:t>公共必修课</w:t>
      </w:r>
      <w:r>
        <w:rPr>
          <w:rFonts w:ascii="Times New Roman" w:hAnsi="Times New Roman" w:eastAsia="宋体" w:cs="Times New Roman"/>
          <w:szCs w:val="21"/>
        </w:rPr>
        <w:t>。该课程的设置以教育部最新颁布的《大学英语课程教学要求》中的教改精神为依托，结合</w:t>
      </w:r>
      <w:r>
        <w:rPr>
          <w:rFonts w:ascii="Times New Roman" w:hAnsi="Times New Roman" w:eastAsia="宋体" w:cs="Times New Roman"/>
          <w:bCs/>
          <w:szCs w:val="21"/>
        </w:rPr>
        <w:t>我校</w:t>
      </w:r>
      <w:r>
        <w:rPr>
          <w:rFonts w:ascii="Times New Roman" w:hAnsi="Times New Roman" w:eastAsia="宋体" w:cs="Times New Roman"/>
          <w:szCs w:val="21"/>
        </w:rPr>
        <w:t>人才培养模式的定位</w:t>
      </w:r>
      <w:r>
        <w:rPr>
          <w:rFonts w:ascii="Times New Roman" w:hAnsi="Times New Roman" w:eastAsia="宋体" w:cs="Times New Roman"/>
          <w:bCs/>
          <w:szCs w:val="21"/>
        </w:rPr>
        <w:t>、教学实际情况</w:t>
      </w:r>
      <w:r>
        <w:rPr>
          <w:rFonts w:ascii="Times New Roman" w:hAnsi="Times New Roman" w:eastAsia="宋体" w:cs="Times New Roman"/>
          <w:szCs w:val="21"/>
        </w:rPr>
        <w:t>以及学生的具体情况而制定，作为我校大学英语听说教学的指导依据，着重强调英语应用能力的培养，特别是在教学中突出听说能力的训练和提高学生使用语言的能力。确立学生在教学中的主体地位，以现代信息技术，特别是网络技术为支撑的，逐步体现并达到学生个性化学习和自主式学习的新模式。</w:t>
      </w:r>
    </w:p>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 xml:space="preserve">1. </w:t>
      </w:r>
      <w:r>
        <w:rPr>
          <w:rFonts w:hint="eastAsia" w:ascii="Times New Roman" w:hAnsi="Times New Roman" w:eastAsia="宋体" w:cs="Times New Roman"/>
          <w:bCs/>
          <w:color w:val="000000" w:themeColor="text1"/>
          <w:szCs w:val="21"/>
          <w14:textFill>
            <w14:solidFill>
              <w14:schemeClr w14:val="tx1"/>
            </w14:solidFill>
          </w14:textFill>
        </w:rPr>
        <w:t>通过本课程的学习，使学生能进行日常会话，能就教材内容展开讨论和复述，能就熟悉的话题展开谈话，能够掌握一定的会话策略，能基本表达个人意见、情感、观点等，能基本陈述事实、事件、理由等，语音、语调基本正确。使学生掌握良好的听力技巧，沟通能力，打下扎实的语言基础。培养学生国际视野和外语应用能力。</w:t>
      </w: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14:textFill>
            <w14:solidFill>
              <w14:schemeClr w14:val="tx1"/>
            </w14:solidFill>
          </w14:textFill>
        </w:rPr>
        <w:t>10</w:t>
      </w:r>
      <w:r>
        <w:rPr>
          <w:rFonts w:ascii="Times New Roman" w:hAnsi="Times New Roman" w:eastAsia="宋体" w:cs="Times New Roman"/>
          <w:bCs/>
          <w:color w:val="000000" w:themeColor="text1"/>
          <w:szCs w:val="21"/>
          <w14:textFill>
            <w14:solidFill>
              <w14:schemeClr w14:val="tx1"/>
            </w14:solidFill>
          </w14:textFill>
        </w:rPr>
        <w:t>.2]</w:t>
      </w:r>
    </w:p>
    <w:p>
      <w:pPr>
        <w:adjustRightInd w:val="0"/>
        <w:snapToGrid w:val="0"/>
        <w:spacing w:line="30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 大学英语听说教学着重培养、提高学生的综合人文素养，使学生具有较好的语言功底和较强的跨文化意识，以适应我国社会发展对人才素质要求的不断提升。培养学生自主学习和终身学习能力。</w:t>
      </w:r>
      <w:r>
        <w:rPr>
          <w:rFonts w:hint="eastAsia" w:ascii="Times New Roman" w:hAnsi="Times New Roman" w:eastAsia="宋体" w:cs="Times New Roman"/>
          <w:bCs/>
          <w:szCs w:val="21"/>
        </w:rPr>
        <w:t>[12.1]</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课程教学目标与毕业要求的对应关系见表1：</w:t>
      </w:r>
    </w:p>
    <w:p>
      <w:pPr>
        <w:widowControl/>
        <w:tabs>
          <w:tab w:val="left" w:pos="426"/>
          <w:tab w:val="left" w:pos="5245"/>
          <w:tab w:val="left" w:pos="5387"/>
        </w:tabs>
        <w:adjustRightInd w:val="0"/>
        <w:snapToGrid w:val="0"/>
        <w:spacing w:before="156" w:beforeLines="50" w:line="300" w:lineRule="auto"/>
        <w:ind w:firstLine="361" w:firstLineChars="20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表1 毕业要求指标点实现矩阵</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5728"/>
        <w:gridCol w:w="651"/>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47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w:t>
            </w:r>
          </w:p>
        </w:tc>
        <w:tc>
          <w:tcPr>
            <w:tcW w:w="572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毕业要求指标点</w:t>
            </w:r>
          </w:p>
        </w:tc>
        <w:tc>
          <w:tcPr>
            <w:tcW w:w="65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823"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10．沟通</w:t>
            </w:r>
          </w:p>
        </w:tc>
        <w:tc>
          <w:tcPr>
            <w:tcW w:w="5728" w:type="dxa"/>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10</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具有一定的国际视野，能够了解专业领域的国际发展趋势与新的研究热点，并能在跨文化背景下使用一门外语清晰的陈述和回答问题，解释和尊重世界不同文化的差异性和多样性</w:t>
            </w:r>
            <w:r>
              <w:rPr>
                <w:rFonts w:ascii="Times New Roman" w:hAnsi="Times New Roman" w:eastAsia="宋体" w:cs="Times New Roman"/>
                <w:sz w:val="18"/>
                <w:szCs w:val="18"/>
              </w:rPr>
              <w:t>。</w:t>
            </w:r>
          </w:p>
        </w:tc>
        <w:tc>
          <w:tcPr>
            <w:tcW w:w="65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823"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47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12．终身学习</w:t>
            </w:r>
          </w:p>
        </w:tc>
        <w:tc>
          <w:tcPr>
            <w:tcW w:w="5728"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具有自主学习和终身学习的意识，掌握拓展知识和能力的基本方法和途径。</w:t>
            </w:r>
          </w:p>
        </w:tc>
        <w:tc>
          <w:tcPr>
            <w:tcW w:w="65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823"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三、课程教学目标达成途径（或教学设计）</w:t>
      </w: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p>
    <w:p>
      <w:pPr>
        <w:widowControl/>
        <w:adjustRightInd w:val="0"/>
        <w:snapToGrid w:val="0"/>
        <w:spacing w:before="156" w:beforeLines="50" w:line="300" w:lineRule="auto"/>
        <w:jc w:val="center"/>
        <w:rPr>
          <w:rFonts w:ascii="Times New Roman" w:hAnsi="Times New Roman" w:eastAsia="宋体" w:cs="Times New Roman"/>
          <w:b/>
          <w:bCs/>
          <w:sz w:val="18"/>
          <w:szCs w:val="18"/>
          <w:shd w:val="clear" w:color="auto" w:fill="FEFEFF"/>
        </w:rPr>
      </w:pPr>
      <w:r>
        <w:rPr>
          <w:rFonts w:ascii="Times New Roman" w:hAnsi="Times New Roman" w:eastAsia="宋体" w:cs="Times New Roman"/>
          <w:b/>
          <w:bCs/>
          <w:sz w:val="18"/>
          <w:szCs w:val="18"/>
          <w:shd w:val="clear" w:color="auto" w:fill="FEFEFF"/>
        </w:rPr>
        <w:t>表2 教学目标达成途径</w:t>
      </w:r>
    </w:p>
    <w:tbl>
      <w:tblPr>
        <w:tblStyle w:val="2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9"/>
        <w:gridCol w:w="199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课程教学目标</w:t>
            </w:r>
          </w:p>
        </w:tc>
        <w:tc>
          <w:tcPr>
            <w:tcW w:w="1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达成途径</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 通过本课程的学习，使学生能进行日常会话，能就教材内容展开讨论和复述，能就熟悉的话题展开谈话，能够掌握一定的会话策略，能基本表达个人意见、情感、观点等，能基本陈述事实、事件、理由等，语音、语调基本正确。 .使学生掌握良好的听力技巧，沟通能力，打下扎实的语言基础。培养学生国际视野和外语应用能力。</w:t>
            </w:r>
          </w:p>
        </w:tc>
        <w:tc>
          <w:tcPr>
            <w:tcW w:w="19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板书，多媒体，视频，网络，教师引导，学生视听练习与口语实践为主。</w:t>
            </w:r>
          </w:p>
        </w:tc>
        <w:tc>
          <w:tcPr>
            <w:tcW w:w="17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听力考核与口语考核。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 大学英语听说教学着重培养、提高学生的综合人文素养，使学生具有较好的语言功底和较强的跨文化意识，以适应我国社会发展对人才素质要求的不断提升。培养学生自主学习和终身学习能力。</w:t>
            </w:r>
          </w:p>
        </w:tc>
        <w:tc>
          <w:tcPr>
            <w:tcW w:w="1993"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sz w:val="18"/>
                <w:szCs w:val="18"/>
              </w:rPr>
              <w:t>板书，多媒体，视频，网络，教师引导，学生视听练习与口语实践为主。</w:t>
            </w:r>
          </w:p>
        </w:tc>
        <w:tc>
          <w:tcPr>
            <w:tcW w:w="1799" w:type="dxa"/>
            <w:tcBorders>
              <w:top w:val="single" w:color="auto" w:sz="4" w:space="0"/>
              <w:left w:val="single" w:color="auto" w:sz="4" w:space="0"/>
              <w:bottom w:val="single" w:color="auto" w:sz="4" w:space="0"/>
              <w:right w:val="single" w:color="auto" w:sz="4" w:space="0"/>
            </w:tcBorders>
            <w:shd w:val="clear" w:color="auto" w:fill="FFFFFF"/>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听力考核与口语考核。</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本课程理论教学内容与教学要求见表3。</w:t>
      </w:r>
    </w:p>
    <w:p>
      <w:pPr>
        <w:adjustRightInd w:val="0"/>
        <w:snapToGrid w:val="0"/>
        <w:spacing w:before="156" w:beforeLines="50" w:line="300" w:lineRule="auto"/>
        <w:jc w:val="center"/>
        <w:rPr>
          <w:rFonts w:ascii="Times New Roman" w:hAnsi="Times New Roman" w:eastAsia="宋体" w:cs="Times New Roman"/>
          <w:sz w:val="18"/>
          <w:szCs w:val="18"/>
        </w:rPr>
      </w:pPr>
      <w:r>
        <w:rPr>
          <w:rFonts w:ascii="Times New Roman" w:hAnsi="Times New Roman" w:eastAsia="宋体" w:cs="Times New Roman"/>
          <w:b/>
          <w:bCs/>
          <w:sz w:val="18"/>
          <w:szCs w:val="18"/>
        </w:rPr>
        <w:t>表3教学内容与教学要求</w:t>
      </w:r>
    </w:p>
    <w:tbl>
      <w:tblPr>
        <w:tblStyle w:val="22"/>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061"/>
        <w:gridCol w:w="3872"/>
        <w:gridCol w:w="891"/>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88" w:type="dxa"/>
            <w:shd w:val="clear" w:color="auto" w:fill="auto"/>
            <w:tcMar>
              <w:left w:w="57"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2061" w:type="dxa"/>
            <w:shd w:val="clear" w:color="auto" w:fill="auto"/>
            <w:vAlign w:val="center"/>
          </w:tcPr>
          <w:p>
            <w:pPr>
              <w:adjustRightInd w:val="0"/>
              <w:snapToGrid w:val="0"/>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教学内容</w:t>
            </w:r>
          </w:p>
        </w:tc>
        <w:tc>
          <w:tcPr>
            <w:tcW w:w="3872" w:type="dxa"/>
            <w:shd w:val="clear" w:color="auto" w:fill="auto"/>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教与学的要求</w:t>
            </w:r>
          </w:p>
        </w:tc>
        <w:tc>
          <w:tcPr>
            <w:tcW w:w="891"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学时</w:t>
            </w:r>
          </w:p>
        </w:tc>
        <w:tc>
          <w:tcPr>
            <w:tcW w:w="1269"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061" w:type="dxa"/>
            <w:vAlign w:val="center"/>
          </w:tcPr>
          <w:p>
            <w:pPr>
              <w:adjustRightInd w:val="0"/>
              <w:snapToGrid w:val="0"/>
              <w:spacing w:line="300" w:lineRule="auto"/>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新生大学英语导学及语音、音标</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20个元音及28个辅音的发音部位及技巧，字母组合发音规律</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061" w:type="dxa"/>
            <w:vAlign w:val="center"/>
          </w:tcPr>
          <w:p>
            <w:pPr>
              <w:adjustRightInd w:val="0"/>
              <w:snapToGrid w:val="0"/>
              <w:spacing w:line="300" w:lineRule="auto"/>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Unit 1 Identity</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Unit 2 Sports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Unit 3 The Night</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4 Fashion</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TEST 1</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TEST 1</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5 Homes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6 Buying &amp; Selling</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7 Weather</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Unit8 Mysteries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TEST 2</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TEST 2</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 xml:space="preserve">Final Exam </w:t>
            </w:r>
          </w:p>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kern w:val="0"/>
                <w:sz w:val="18"/>
                <w:szCs w:val="18"/>
              </w:rPr>
              <w:t>口语及听力测试</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Final Exam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口语及听力测试</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1 Education</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2 Water</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3  Food</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4  Festivals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TEST 1</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TEST 1</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听力期中测试</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大学英语四级考试听力模拟题</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5  Cities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6 Jobs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7  Music</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8 Journey</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TEST 2</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TEST 2</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配音</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主题角色扮演</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期末考试</w:t>
            </w:r>
          </w:p>
        </w:tc>
        <w:tc>
          <w:tcPr>
            <w:tcW w:w="3872" w:type="dxa"/>
            <w:vAlign w:val="center"/>
          </w:tcPr>
          <w:p>
            <w:pPr>
              <w:tabs>
                <w:tab w:val="left" w:pos="5580"/>
              </w:tabs>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Final Exam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口语测试</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期末考试</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Final Exam </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听力测试</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27</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1 Family</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2 Nature</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29</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3  Happiness</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4  Conservation</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31</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TEST 1</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TEST 1</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听力期中测试</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大学英语四级考试听力模拟题</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33</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5  Friendship</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6 Fear</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35</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7  Health</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Unit 8 Change</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1.Listening A &amp;B 2.Listening skills</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 Video</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4. Expansion activity</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37</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TEST 2</w:t>
            </w:r>
          </w:p>
        </w:tc>
        <w:tc>
          <w:tcPr>
            <w:tcW w:w="3872"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bCs/>
                <w:sz w:val="18"/>
                <w:szCs w:val="18"/>
              </w:rPr>
              <w:t>TEST 2</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配音</w:t>
            </w:r>
          </w:p>
        </w:tc>
        <w:tc>
          <w:tcPr>
            <w:tcW w:w="387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主题角色扮演</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39</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期末考试</w:t>
            </w:r>
          </w:p>
        </w:tc>
        <w:tc>
          <w:tcPr>
            <w:tcW w:w="387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Final Exam</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88" w:type="dxa"/>
            <w:tcMar>
              <w:left w:w="57"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2061" w:type="dxa"/>
            <w:vAlign w:val="center"/>
          </w:tcPr>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大学英语听说III</w:t>
            </w:r>
          </w:p>
          <w:p>
            <w:pPr>
              <w:adjustRightInd w:val="0"/>
              <w:snapToGrid w:val="0"/>
              <w:spacing w:line="300" w:lineRule="auto"/>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期末考试</w:t>
            </w:r>
          </w:p>
        </w:tc>
        <w:tc>
          <w:tcPr>
            <w:tcW w:w="3872"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口语测试</w:t>
            </w:r>
          </w:p>
        </w:tc>
        <w:tc>
          <w:tcPr>
            <w:tcW w:w="89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6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1．考核方式：</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（1）听力考核</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 课程为考查课，听力期中、期末考试由任课老师根据大学英语四、六级考试题型提供在线组题、考核，学生将答案写在练习本上，教师评分，登记在册。</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 测试的目的是为了强化学生自主学习能力，将事先布置给学生在课外练习的内容作为测试的主要内容。</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 因实习、病假、事假没能参加平时小测试的学生，凭所在学院证明，给予补测；没能参加期中、期末测试的学生凭其所在学院证明，经公英部主任同意后，给予补考机会，或将平时小测试中的平均成绩视为期中、期末测试成绩。</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（2）口语考核</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 口语成绩主要根据课堂回答问题、小组讨论、小测试等确定，登记在册成绩每学期不少于三次；</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 口语评分标准：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优秀（90分以上）：说话速度正常，语法错误很少，语调自然，发音准确，交流自然，思辨能力强，表达观点清晰。</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良好（80-89分）：语速较正常，基本句型正确，语法错误少，词汇量够用，发音基本准确，交流较自然，能够表达出自己的观点。</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中等（70-79分）：说话有些停顿，基本句型比较准确，有一些语法错误，词汇量勉强够用，语调不够自然，发音带有明显的地方口音，但基本上可以听懂，交流基本没有障碍。</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及格（60-69分）：说话经常停顿，严重的语法错误导致表达困难，词汇量十分有限，语音、语调较差，交流有点困难。</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不及格（60分以下）： 基本上无法参与交流。</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 xml:space="preserve"> 2．成绩构成：</w:t>
      </w:r>
      <w:r>
        <w:rPr>
          <w:rFonts w:ascii="Times New Roman" w:hAnsi="Times New Roman" w:eastAsia="宋体" w:cs="Times New Roman"/>
          <w:szCs w:val="21"/>
        </w:rPr>
        <w:t>1）由平时成绩和期末考试成绩构成，平时成绩占40%、期末考试成绩占60%。</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平时成绩由口语话题、考勤、作业、课堂表现和小测构成。该课程由任课教师根据学生的出勤情况、作业、讨论、小测试、课堂回答问题等情况进行考核，确定该课程的最终成绩。</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听说课程总成绩   T = L (30%) + S (30%) + P (40%)</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T (Total): 总成绩   L (Listening): 听  S (Speaking ):说   P ( Performance): 平时表现</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听力成绩    L (30%) = Q1 (15%) + Q2 (15%)</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Q (Quiz ): 测试       Q1: 期中测试       Q2: 期末测试</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2）.平时成绩</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 出勤（15分）：学生迟到、早退、事假、旷课等行为由任课教师酌情扣分。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 课堂纪律（10分）：课堂主动提问、积极参与课堂讨论、回单教师问题等，每次酌情加分；上课交头接耳、喧哗、玩耍、吃零食、玩手机、睡觉等或其它影响课堂教学行为，每次酌情扣分。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 平时作业（15分）：未交作业、未能按时完成或完成质量不高的，由任课教师酌情扣分。</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3．考核评价标准见表4所示。</w:t>
      </w:r>
    </w:p>
    <w:p>
      <w:pPr>
        <w:adjustRightInd w:val="0"/>
        <w:snapToGrid w:val="0"/>
        <w:spacing w:before="156" w:beforeLines="50" w:line="300" w:lineRule="auto"/>
        <w:ind w:firstLine="361" w:firstLineChars="20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表4教学目标评价标准</w:t>
      </w:r>
    </w:p>
    <w:tbl>
      <w:tblPr>
        <w:tblStyle w:val="22"/>
        <w:tblW w:w="852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8"/>
        <w:gridCol w:w="656"/>
        <w:gridCol w:w="639"/>
        <w:gridCol w:w="457"/>
        <w:gridCol w:w="3623"/>
        <w:gridCol w:w="92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right"/>
        </w:trPr>
        <w:tc>
          <w:tcPr>
            <w:tcW w:w="65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成绩</w:t>
            </w:r>
          </w:p>
        </w:tc>
        <w:tc>
          <w:tcPr>
            <w:tcW w:w="658"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分值</w:t>
            </w:r>
          </w:p>
        </w:tc>
        <w:tc>
          <w:tcPr>
            <w:tcW w:w="656"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639"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457"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w:t>
            </w:r>
          </w:p>
        </w:tc>
        <w:tc>
          <w:tcPr>
            <w:tcW w:w="3623"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考核/评价细则</w:t>
            </w:r>
          </w:p>
        </w:tc>
        <w:tc>
          <w:tcPr>
            <w:tcW w:w="921"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912" w:type="dxa"/>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59" w:type="dxa"/>
            <w:vMerge w:val="restart"/>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平时成绩</w:t>
            </w:r>
          </w:p>
        </w:tc>
        <w:tc>
          <w:tcPr>
            <w:tcW w:w="658"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Merge w:val="restart"/>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6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课堂表现</w:t>
            </w:r>
          </w:p>
        </w:tc>
        <w:tc>
          <w:tcPr>
            <w:tcW w:w="4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362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根据学生课堂表现打分，满分100。</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10.2，12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right"/>
        </w:trPr>
        <w:tc>
          <w:tcPr>
            <w:tcW w:w="659"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听力</w:t>
            </w:r>
          </w:p>
        </w:tc>
        <w:tc>
          <w:tcPr>
            <w:tcW w:w="4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62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口语成绩主要根据课堂回答问题、小组讨论、小测试等确定，登记在册成绩每学期不少于三次，满分100分。</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59" w:type="dxa"/>
            <w:vMerge w:val="continue"/>
            <w:vAlign w:val="center"/>
          </w:tcPr>
          <w:p>
            <w:pPr>
              <w:adjustRightInd w:val="0"/>
              <w:snapToGrid w:val="0"/>
              <w:spacing w:line="300" w:lineRule="auto"/>
              <w:rPr>
                <w:rFonts w:ascii="Times New Roman" w:hAnsi="Times New Roman" w:eastAsia="宋体" w:cs="Times New Roman"/>
                <w:sz w:val="18"/>
                <w:szCs w:val="18"/>
              </w:rPr>
            </w:pPr>
          </w:p>
        </w:tc>
        <w:tc>
          <w:tcPr>
            <w:tcW w:w="658"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56" w:type="dxa"/>
            <w:vMerge w:val="continue"/>
            <w:vAlign w:val="center"/>
          </w:tcPr>
          <w:p>
            <w:pPr>
              <w:adjustRightInd w:val="0"/>
              <w:snapToGrid w:val="0"/>
              <w:spacing w:line="300" w:lineRule="auto"/>
              <w:jc w:val="center"/>
              <w:rPr>
                <w:rFonts w:ascii="Times New Roman" w:hAnsi="Times New Roman" w:eastAsia="宋体" w:cs="Times New Roman"/>
                <w:sz w:val="18"/>
                <w:szCs w:val="18"/>
              </w:rPr>
            </w:pPr>
          </w:p>
        </w:tc>
        <w:tc>
          <w:tcPr>
            <w:tcW w:w="639"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口语</w:t>
            </w:r>
          </w:p>
        </w:tc>
        <w:tc>
          <w:tcPr>
            <w:tcW w:w="4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3623"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bCs/>
                <w:sz w:val="18"/>
                <w:szCs w:val="18"/>
              </w:rPr>
              <w:t>由任课老师根据大学英语四、六级考试题型提供在线组题、考核，学生将答案写在练习本上，教师评分，登记在册，</w:t>
            </w:r>
            <w:r>
              <w:rPr>
                <w:rFonts w:ascii="Times New Roman" w:hAnsi="Times New Roman" w:eastAsia="宋体" w:cs="Times New Roman"/>
                <w:sz w:val="18"/>
                <w:szCs w:val="18"/>
              </w:rPr>
              <w:t>满分100分</w:t>
            </w:r>
            <w:r>
              <w:rPr>
                <w:rFonts w:ascii="Times New Roman" w:hAnsi="Times New Roman" w:eastAsia="宋体" w:cs="Times New Roman"/>
                <w:bCs/>
                <w:sz w:val="18"/>
                <w:szCs w:val="18"/>
              </w:rPr>
              <w:t>。</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right"/>
        </w:trPr>
        <w:tc>
          <w:tcPr>
            <w:tcW w:w="659"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期末考试成绩</w:t>
            </w:r>
          </w:p>
        </w:tc>
        <w:tc>
          <w:tcPr>
            <w:tcW w:w="658"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656"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639" w:type="dxa"/>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闭卷考试</w:t>
            </w:r>
          </w:p>
        </w:tc>
        <w:tc>
          <w:tcPr>
            <w:tcW w:w="457"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623" w:type="dxa"/>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卷面成绩100分。卷面成绩按比例计入课程总评成绩。</w:t>
            </w:r>
          </w:p>
        </w:tc>
        <w:tc>
          <w:tcPr>
            <w:tcW w:w="921" w:type="dxa"/>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912" w:type="dxa"/>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r>
              <w:rPr>
                <w:rFonts w:ascii="Times New Roman" w:hAnsi="Times New Roman" w:eastAsia="宋体" w:cs="Times New Roman"/>
                <w:sz w:val="18"/>
                <w:szCs w:val="18"/>
              </w:rPr>
              <w:t>.2</w:t>
            </w:r>
            <w:r>
              <w:rPr>
                <w:rFonts w:hint="eastAsia" w:ascii="Times New Roman" w:hAnsi="Times New Roman" w:eastAsia="宋体" w:cs="Times New Roman"/>
                <w:sz w:val="18"/>
                <w:szCs w:val="18"/>
              </w:rPr>
              <w:t>，12</w:t>
            </w:r>
            <w:r>
              <w:rPr>
                <w:rFonts w:ascii="Times New Roman" w:hAnsi="Times New Roman" w:eastAsia="宋体" w:cs="Times New Roman"/>
                <w:sz w:val="18"/>
                <w:szCs w:val="18"/>
              </w:rPr>
              <w:t>.1</w:t>
            </w:r>
          </w:p>
        </w:tc>
      </w:tr>
    </w:tbl>
    <w:p>
      <w:pPr>
        <w:adjustRightInd w:val="0"/>
        <w:snapToGrid w:val="0"/>
        <w:spacing w:before="156" w:beforeLines="50" w:after="156" w:afterLines="50" w:line="300" w:lineRule="auto"/>
        <w:rPr>
          <w:rFonts w:ascii="Times New Roman" w:hAnsi="Times New Roman" w:eastAsia="宋体" w:cs="Times New Roman"/>
          <w:b/>
          <w:sz w:val="24"/>
        </w:rPr>
      </w:pPr>
      <w:r>
        <w:rPr>
          <w:rFonts w:ascii="Times New Roman" w:hAnsi="Times New Roman" w:eastAsia="宋体" w:cs="Times New Roman"/>
          <w:b/>
          <w:sz w:val="24"/>
        </w:rPr>
        <w:t>六、</w:t>
      </w:r>
      <w:r>
        <w:rPr>
          <w:rFonts w:hint="eastAsia" w:ascii="Times New Roman" w:hAnsi="Times New Roman" w:eastAsia="宋体" w:cs="Times New Roman"/>
          <w:b/>
          <w:sz w:val="24"/>
        </w:rPr>
        <w:t>课程教学目标达成情况评价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w:t>
      </w:r>
      <w:r>
        <w:rPr>
          <w:rFonts w:hint="eastAsia" w:ascii="Times New Roman" w:hAnsi="Times New Roman" w:eastAsia="宋体" w:cs="Times New Roman"/>
          <w:szCs w:val="21"/>
        </w:rPr>
        <w:t>评价依据和方法</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课程目标达成度评价包括课程分目标达成度评价，以及课程总目标达成度评价，具体计算方法如下：</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6"/>
        </w:rPr>
        <w:object>
          <v:shape id="_x0000_i1261" o:spt="75" type="#_x0000_t75" style="height:33pt;width:369.75pt;" o:ole="t" filled="f" o:preferrelative="t" stroked="f" coordsize="21600,21600">
            <v:path/>
            <v:fill on="f" focussize="0,0"/>
            <v:stroke on="f" joinstyle="miter"/>
            <v:imagedata r:id="rId57" o:title=""/>
            <o:lock v:ext="edit" aspectratio="t"/>
            <w10:wrap type="none"/>
            <w10:anchorlock/>
          </v:shape>
          <o:OLEObject Type="Embed" ProgID="Equation.DSMT4" ShapeID="_x0000_i1261" DrawAspect="Content" ObjectID="_1468075959" r:id="rId292">
            <o:LockedField>false</o:LockedField>
          </o:OLEObject>
        </w:objec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课程总目标达成度为5个课程目标的加权得分率，其计算公式为：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62" o:spt="75" type="#_x0000_t75" style="height:21.75pt;width:243pt;" o:ole="t" filled="f" o:preferrelative="t" stroked="f" coordsize="21600,21600">
            <v:path/>
            <v:fill on="f" focussize="0,0"/>
            <v:stroke on="f" joinstyle="miter"/>
            <v:imagedata r:id="rId59" o:title=""/>
            <o:lock v:ext="edit" aspectratio="t"/>
            <w10:wrap type="none"/>
            <w10:anchorlock/>
          </v:shape>
          <o:OLEObject Type="Embed" ProgID="Equation.DSMT4" ShapeID="_x0000_i1262" DrawAspect="Content" ObjectID="_1468075960" r:id="rId293">
            <o:LockedField>false</o:LockedField>
          </o:OLEObject>
        </w:object>
      </w:r>
    </w:p>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其中权重系数按照表5设定。</w:t>
      </w:r>
    </w:p>
    <w:p>
      <w:pPr>
        <w:adjustRightInd w:val="0"/>
        <w:snapToGrid w:val="0"/>
        <w:spacing w:before="156" w:beforeLines="50"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表5课程目标权重系数</w:t>
      </w:r>
    </w:p>
    <w:tbl>
      <w:tblPr>
        <w:tblStyle w:val="22"/>
        <w:tblW w:w="5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093"/>
        <w:gridCol w:w="1854"/>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2093"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课程目标</w:t>
            </w:r>
          </w:p>
        </w:tc>
        <w:tc>
          <w:tcPr>
            <w:tcW w:w="185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75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2093" w:type="dxa"/>
            <w:shd w:val="clear" w:color="auto" w:fill="auto"/>
            <w:vAlign w:val="center"/>
          </w:tcPr>
          <w:p>
            <w:pPr>
              <w:adjustRightInd w:val="0"/>
              <w:snapToGrid w:val="0"/>
              <w:spacing w:line="300" w:lineRule="auto"/>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权重系数</w:t>
            </w:r>
          </w:p>
        </w:tc>
        <w:tc>
          <w:tcPr>
            <w:tcW w:w="1854"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c>
          <w:tcPr>
            <w:tcW w:w="1756" w:type="dxa"/>
            <w:shd w:val="clear" w:color="auto" w:fill="auto"/>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5</w:t>
            </w:r>
          </w:p>
        </w:tc>
      </w:tr>
    </w:tbl>
    <w:p>
      <w:pPr>
        <w:adjustRightInd w:val="0"/>
        <w:snapToGrid w:val="0"/>
        <w:spacing w:line="300" w:lineRule="auto"/>
        <w:rPr>
          <w:rFonts w:ascii="Times New Roman" w:hAnsi="Times New Roman" w:eastAsia="宋体" w:cs="Times New Roman"/>
        </w:rPr>
      </w:pPr>
      <w:r>
        <w:rPr>
          <w:rFonts w:ascii="Times New Roman" w:hAnsi="Times New Roman" w:eastAsia="宋体" w:cs="Times New Roman"/>
        </w:rPr>
        <w:t>课程毕业要求指标点达成情况评价：</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课程支撑毕业要求指标点的达成情况为对应的课程目标达成情况的加权值，其计算公式为：</w:t>
      </w:r>
    </w:p>
    <w:p>
      <w:pPr>
        <w:adjustRightInd w:val="0"/>
        <w:snapToGrid w:val="0"/>
        <w:spacing w:line="300" w:lineRule="auto"/>
        <w:jc w:val="center"/>
        <w:rPr>
          <w:rFonts w:ascii="Times New Roman" w:hAnsi="Times New Roman" w:eastAsia="宋体" w:cs="Times New Roman"/>
        </w:rPr>
      </w:pPr>
      <w:r>
        <w:rPr>
          <w:rFonts w:hint="eastAsia" w:ascii="Times New Roman" w:hAnsi="Times New Roman" w:eastAsia="宋体" w:cs="Times New Roman"/>
          <w:position w:val="-10"/>
        </w:rPr>
        <w:object>
          <v:shape id="_x0000_i1263" o:spt="75" type="#_x0000_t75" style="height:22.5pt;width:263.25pt;" o:ole="t" filled="f" o:preferrelative="t" stroked="f" coordsize="21600,21600">
            <v:path/>
            <v:fill on="f" focussize="0,0"/>
            <v:stroke on="f" joinstyle="miter"/>
            <v:imagedata r:id="rId61" o:title=""/>
            <o:lock v:ext="edit" aspectratio="t"/>
            <w10:wrap type="none"/>
            <w10:anchorlock/>
          </v:shape>
          <o:OLEObject Type="Embed" ProgID="Equation.DSMT4" ShapeID="_x0000_i1263" DrawAspect="Content" ObjectID="_1468075961" r:id="rId294">
            <o:LockedField>false</o:LockedField>
          </o:OLEObject>
        </w:object>
      </w:r>
    </w:p>
    <w:p>
      <w:pPr>
        <w:adjustRightInd w:val="0"/>
        <w:snapToGrid w:val="0"/>
        <w:spacing w:before="156" w:beforeLines="50"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依据达成情况评价</w:t>
      </w:r>
      <w:r>
        <w:rPr>
          <w:rFonts w:ascii="Times New Roman" w:hAnsi="Times New Roman" w:eastAsia="宋体" w:cs="Times New Roman"/>
          <w:szCs w:val="21"/>
        </w:rPr>
        <w:t>、教师自评、学生评价，以及课程教学情况、考试情况，对课程进行有针对性的总结，每学年撰写试卷分析、课程总结与自我评价表，提出持续改进课程教学的措施。</w:t>
      </w:r>
    </w:p>
    <w:p>
      <w:pPr>
        <w:adjustRightInd w:val="0"/>
        <w:snapToGrid w:val="0"/>
        <w:spacing w:before="156" w:beforeLines="50" w:after="156" w:afterLines="50" w:line="300" w:lineRule="auto"/>
        <w:rPr>
          <w:rFonts w:ascii="Times New Roman" w:hAnsi="Times New Roman" w:eastAsia="宋体" w:cs="Times New Roman"/>
          <w:b/>
          <w:szCs w:val="21"/>
        </w:rPr>
      </w:pPr>
      <w:r>
        <w:rPr>
          <w:rFonts w:ascii="Times New Roman" w:hAnsi="Times New Roman" w:eastAsia="宋体" w:cs="Times New Roman"/>
          <w:b/>
          <w:szCs w:val="21"/>
        </w:rPr>
        <w:t>七、教材及参考资料</w:t>
      </w:r>
    </w:p>
    <w:p>
      <w:pPr>
        <w:adjustRightInd w:val="0"/>
        <w:snapToGrid w:val="0"/>
        <w:spacing w:line="30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1．教材</w:t>
      </w:r>
    </w:p>
    <w:p>
      <w:pPr>
        <w:widowControl/>
        <w:adjustRightInd w:val="0"/>
        <w:snapToGrid w:val="0"/>
        <w:spacing w:line="300" w:lineRule="auto"/>
        <w:ind w:left="735" w:leftChars="200" w:hanging="315" w:hangingChars="150"/>
        <w:rPr>
          <w:rFonts w:ascii="Times New Roman" w:hAnsi="Times New Roman" w:eastAsia="宋体" w:cs="Times New Roman"/>
          <w:bCs/>
          <w:kern w:val="0"/>
          <w:szCs w:val="21"/>
        </w:rPr>
      </w:pPr>
      <w:r>
        <w:rPr>
          <w:rFonts w:ascii="Times New Roman" w:hAnsi="Times New Roman" w:eastAsia="宋体" w:cs="Times New Roman"/>
          <w:bCs/>
          <w:kern w:val="0"/>
          <w:szCs w:val="21"/>
        </w:rPr>
        <w:t>[1] 孔庆炎、李霄翔、贾国栋. 大学体验英语综合教程1-3（第三版）[M]. 北京：高等教育出版社，2014。</w:t>
      </w:r>
    </w:p>
    <w:p>
      <w:pPr>
        <w:widowControl/>
        <w:adjustRightInd w:val="0"/>
        <w:snapToGrid w:val="0"/>
        <w:spacing w:line="300" w:lineRule="auto"/>
        <w:ind w:left="735" w:leftChars="200" w:hanging="315" w:hangingChars="150"/>
        <w:rPr>
          <w:rFonts w:ascii="Times New Roman" w:hAnsi="Times New Roman" w:eastAsia="宋体" w:cs="Times New Roman"/>
          <w:bCs/>
          <w:kern w:val="0"/>
          <w:szCs w:val="21"/>
        </w:rPr>
      </w:pPr>
      <w:r>
        <w:rPr>
          <w:rFonts w:ascii="Times New Roman" w:hAnsi="Times New Roman" w:eastAsia="宋体" w:cs="Times New Roman"/>
          <w:bCs/>
          <w:kern w:val="0"/>
          <w:szCs w:val="21"/>
        </w:rPr>
        <w:t>[2] 张敬源、张虹. 大学体验英语视听说教程1-3（第二版）[M]. 北京：高等教育出版社，2014。</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2．参考资料</w:t>
      </w:r>
    </w:p>
    <w:p>
      <w:pPr>
        <w:numPr>
          <w:ilvl w:val="0"/>
          <w:numId w:val="28"/>
        </w:numPr>
        <w:adjustRightInd w:val="0"/>
        <w:snapToGrid w:val="0"/>
        <w:spacing w:line="300" w:lineRule="auto"/>
        <w:rPr>
          <w:rFonts w:ascii="Times New Roman" w:hAnsi="Times New Roman" w:eastAsia="宋体" w:cs="Times New Roman"/>
          <w:bCs/>
          <w:szCs w:val="21"/>
        </w:rPr>
      </w:pPr>
      <w:r>
        <w:rPr>
          <w:rFonts w:ascii="Times New Roman" w:hAnsi="Times New Roman" w:eastAsia="宋体" w:cs="Times New Roman"/>
          <w:bCs/>
          <w:szCs w:val="21"/>
        </w:rPr>
        <w:t>郑树棠.大学英语新要求词汇手册[M]. 北京：外语教学与研究出版社，2005。</w:t>
      </w:r>
    </w:p>
    <w:p>
      <w:pPr>
        <w:numPr>
          <w:ilvl w:val="0"/>
          <w:numId w:val="28"/>
        </w:numPr>
        <w:adjustRightInd w:val="0"/>
        <w:snapToGrid w:val="0"/>
        <w:spacing w:line="300" w:lineRule="auto"/>
        <w:rPr>
          <w:rFonts w:ascii="Times New Roman" w:hAnsi="Times New Roman" w:eastAsia="宋体" w:cs="Times New Roman"/>
          <w:szCs w:val="21"/>
        </w:rPr>
      </w:pPr>
      <w:r>
        <w:rPr>
          <w:rFonts w:ascii="Times New Roman" w:hAnsi="Times New Roman" w:eastAsia="宋体" w:cs="Times New Roman"/>
          <w:bCs/>
          <w:szCs w:val="21"/>
        </w:rPr>
        <w:t>吴树敬等. 大学体验英语一课一练1-3（第二版）[M]. 北京：高等教育出版社，2014。</w:t>
      </w:r>
    </w:p>
    <w:tbl>
      <w:tblPr>
        <w:tblStyle w:val="40"/>
        <w:tblpPr w:leftFromText="180" w:rightFromText="180" w:vertAnchor="text" w:horzAnchor="margin" w:tblpX="-39" w:tblpY="266"/>
        <w:tblW w:w="821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21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83" w:hRule="atLeast"/>
        </w:trPr>
        <w:tc>
          <w:tcPr>
            <w:tcW w:w="8217" w:type="dxa"/>
          </w:tcPr>
          <w:p>
            <w:pPr>
              <w:snapToGrid w:val="0"/>
              <w:spacing w:line="300" w:lineRule="auto"/>
              <w:ind w:right="630" w:firstLine="424" w:firstLineChars="202"/>
              <w:jc w:val="right"/>
              <w:rPr>
                <w:rFonts w:ascii="Times New Roman" w:hAnsi="Times New Roman" w:cs="Times New Roman"/>
                <w:szCs w:val="21"/>
              </w:rPr>
            </w:pPr>
            <w:r>
              <w:rPr>
                <w:rFonts w:ascii="Times New Roman" w:hAnsi="Times New Roman" w:cs="Times New Roman"/>
                <w:szCs w:val="21"/>
              </w:rPr>
              <w:t>审定人：王骥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1" w:hRule="atLeast"/>
        </w:trPr>
        <w:tc>
          <w:tcPr>
            <w:tcW w:w="8217" w:type="dxa"/>
          </w:tcPr>
          <w:p>
            <w:pPr>
              <w:snapToGrid w:val="0"/>
              <w:spacing w:line="300" w:lineRule="auto"/>
              <w:ind w:right="420"/>
              <w:jc w:val="right"/>
              <w:rPr>
                <w:rFonts w:ascii="Times New Roman" w:hAnsi="Times New Roman" w:cs="Times New Roman"/>
                <w:szCs w:val="21"/>
              </w:rPr>
            </w:pPr>
            <w:r>
              <w:rPr>
                <w:rFonts w:ascii="Times New Roman" w:hAnsi="Times New Roman" w:cs="Times New Roman"/>
                <w:szCs w:val="21"/>
              </w:rPr>
              <w:t>批准人：张炎生</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73" w:hRule="atLeast"/>
        </w:trPr>
        <w:tc>
          <w:tcPr>
            <w:tcW w:w="8217" w:type="dxa"/>
          </w:tcPr>
          <w:p>
            <w:pPr>
              <w:snapToGrid w:val="0"/>
              <w:spacing w:line="300" w:lineRule="auto"/>
              <w:ind w:right="200"/>
              <w:jc w:val="right"/>
              <w:rPr>
                <w:rFonts w:ascii="Times New Roman" w:hAnsi="Times New Roman" w:cs="Times New Roman"/>
                <w:szCs w:val="21"/>
              </w:rPr>
            </w:pPr>
            <w:r>
              <w:rPr>
                <w:rFonts w:ascii="Times New Roman" w:hAnsi="Times New Roman" w:cs="Times New Roman"/>
                <w:szCs w:val="21"/>
              </w:rPr>
              <w:t>日 期：</w:t>
            </w:r>
            <w:r>
              <w:rPr>
                <w:rFonts w:ascii="Times New Roman" w:hAnsi="Times New Roman" w:eastAsia="宋体" w:cs="Times New Roman"/>
                <w:kern w:val="0"/>
                <w:sz w:val="20"/>
                <w:szCs w:val="21"/>
              </w:rPr>
              <w:t>202</w:t>
            </w: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4</w:t>
            </w:r>
            <w:r>
              <w:rPr>
                <w:rFonts w:ascii="Times New Roman" w:hAnsi="Times New Roman" w:eastAsia="宋体" w:cs="Times New Roman"/>
                <w:kern w:val="0"/>
                <w:sz w:val="20"/>
                <w:szCs w:val="21"/>
              </w:rPr>
              <w:t>.2</w:t>
            </w:r>
            <w:r>
              <w:rPr>
                <w:rFonts w:hint="eastAsia" w:ascii="Times New Roman" w:hAnsi="Times New Roman" w:eastAsia="宋体" w:cs="Times New Roman"/>
                <w:kern w:val="0"/>
                <w:sz w:val="20"/>
                <w:szCs w:val="21"/>
              </w:rPr>
              <w:t>0</w:t>
            </w:r>
          </w:p>
        </w:tc>
      </w:tr>
    </w:tbl>
    <w:p>
      <w:pPr>
        <w:spacing w:line="360" w:lineRule="exact"/>
        <w:jc w:val="center"/>
        <w:rPr>
          <w:rFonts w:ascii="Times New Roman" w:hAnsi="Times New Roman" w:eastAsia="宋体" w:cs="Times New Roman"/>
          <w:b/>
          <w:sz w:val="32"/>
          <w:szCs w:val="32"/>
        </w:rPr>
      </w:pPr>
    </w:p>
    <w:p>
      <w:pPr>
        <w:spacing w:line="360" w:lineRule="exact"/>
        <w:jc w:val="center"/>
        <w:rPr>
          <w:rFonts w:ascii="Times New Roman" w:hAnsi="Times New Roman" w:eastAsia="宋体" w:cs="Times New Roman"/>
          <w:b/>
          <w:sz w:val="32"/>
          <w:szCs w:val="32"/>
        </w:rPr>
      </w:pPr>
    </w:p>
    <w:p>
      <w:pPr>
        <w:spacing w:line="360" w:lineRule="exact"/>
        <w:jc w:val="center"/>
        <w:rPr>
          <w:rFonts w:ascii="Times New Roman" w:hAnsi="Times New Roman" w:eastAsia="宋体" w:cs="Times New Roman"/>
          <w:b/>
          <w:sz w:val="32"/>
          <w:szCs w:val="32"/>
        </w:rPr>
      </w:pPr>
    </w:p>
    <w:p>
      <w:pPr>
        <w:pStyle w:val="3"/>
        <w:jc w:val="center"/>
        <w:rPr>
          <w:rFonts w:ascii="Times New Roman" w:hAnsi="Times New Roman" w:eastAsia="宋体" w:cs="Times New Roman"/>
        </w:rPr>
      </w:pPr>
      <w:bookmarkStart w:id="415" w:name="_Toc29193"/>
      <w:bookmarkStart w:id="416" w:name="_Toc31502"/>
      <w:r>
        <w:rPr>
          <w:rFonts w:hint="eastAsia" w:ascii="Times New Roman" w:hAnsi="Times New Roman" w:eastAsia="宋体" w:cs="Times New Roman"/>
          <w:kern w:val="0"/>
          <w:szCs w:val="21"/>
        </w:rPr>
        <w:t>33431506</w:t>
      </w:r>
      <w:r>
        <w:rPr>
          <w:rFonts w:hint="eastAsia" w:ascii="Times New Roman" w:hAnsi="Times New Roman" w:eastAsia="宋体" w:cs="Times New Roman"/>
        </w:rPr>
        <w:t>《管理经济学概论》课程教学大纲</w:t>
      </w:r>
      <w:bookmarkEnd w:id="415"/>
      <w:bookmarkEnd w:id="416"/>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443"/>
        <w:gridCol w:w="1199"/>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课程编号</w:t>
            </w:r>
          </w:p>
        </w:tc>
        <w:tc>
          <w:tcPr>
            <w:tcW w:w="34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33431506</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课程名称</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管理经济学概论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课程性质</w:t>
            </w:r>
            <w:r>
              <w:rPr>
                <w:rFonts w:ascii="Times New Roman" w:hAnsi="Times New Roman" w:eastAsia="宋体" w:cs="Times New Roman"/>
                <w:kern w:val="0"/>
                <w:sz w:val="20"/>
                <w:szCs w:val="20"/>
              </w:rPr>
              <w:t>*</w:t>
            </w:r>
          </w:p>
        </w:tc>
        <w:tc>
          <w:tcPr>
            <w:tcW w:w="34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szCs w:val="21"/>
              </w:rPr>
              <w:t>通识教育选修课</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英文名称</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rPr>
                <w:rFonts w:ascii="Times New Roman" w:hAnsi="Times New Roman" w:cs="Times New Roman"/>
                <w:szCs w:val="21"/>
              </w:rPr>
              <w:t>Introduction to management Economics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学分学时</w:t>
            </w:r>
          </w:p>
        </w:tc>
        <w:tc>
          <w:tcPr>
            <w:tcW w:w="34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2</w:t>
            </w:r>
            <w:r>
              <w:rPr>
                <w:rFonts w:ascii="Times New Roman" w:hAnsi="Times New Roman" w:eastAsia="宋体" w:cs="Times New Roman"/>
                <w:kern w:val="0"/>
                <w:szCs w:val="21"/>
              </w:rPr>
              <w:t xml:space="preserve"> : </w:t>
            </w:r>
            <w:r>
              <w:rPr>
                <w:rFonts w:ascii="Times New Roman" w:hAnsi="Times New Roman" w:eastAsia="宋体" w:cs="Times New Roman"/>
                <w:szCs w:val="21"/>
              </w:rPr>
              <w:t>32</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任课教师</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highlight w:val="yellow"/>
              </w:rPr>
            </w:pPr>
            <w:r>
              <w:rPr>
                <w:rFonts w:hint="eastAsia" w:ascii="宋体" w:hAnsi="宋体" w:eastAsia="宋体" w:cs="宋体"/>
                <w:color w:val="000000"/>
                <w:kern w:val="0"/>
                <w:szCs w:val="21"/>
                <w:lang w:bidi="ar"/>
              </w:rPr>
              <w:t>杜军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kern w:val="0"/>
                <w:szCs w:val="20"/>
              </w:rPr>
              <w:t>企业专家</w:t>
            </w:r>
          </w:p>
        </w:tc>
        <w:tc>
          <w:tcPr>
            <w:tcW w:w="34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宋体" w:hAnsi="宋体" w:eastAsia="宋体" w:cs="宋体"/>
                <w:color w:val="000000"/>
                <w:kern w:val="0"/>
                <w:szCs w:val="21"/>
                <w:lang w:bidi="ar"/>
              </w:rPr>
              <w:t>曾耿滨</w:t>
            </w:r>
          </w:p>
        </w:tc>
        <w:tc>
          <w:tcPr>
            <w:tcW w:w="11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kern w:val="0"/>
                <w:szCs w:val="20"/>
              </w:rPr>
              <w:t>行业专家</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宋体" w:hAnsi="宋体" w:eastAsia="宋体" w:cs="宋体"/>
                <w:color w:val="000000"/>
                <w:kern w:val="0"/>
                <w:szCs w:val="21"/>
                <w:lang w:bidi="ar"/>
              </w:rPr>
              <w:t>闫敬文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执笔教师</w:t>
            </w:r>
          </w:p>
        </w:tc>
        <w:tc>
          <w:tcPr>
            <w:tcW w:w="34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刘畅</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责任教授</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宋体" w:hAnsi="宋体" w:eastAsia="宋体" w:cs="宋体"/>
                <w:color w:val="000000"/>
                <w:kern w:val="0"/>
                <w:szCs w:val="21"/>
                <w:lang w:bidi="ar"/>
              </w:rPr>
              <w:t>王骥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适用专业</w:t>
            </w:r>
          </w:p>
        </w:tc>
        <w:tc>
          <w:tcPr>
            <w:tcW w:w="34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电子信息工程</w:t>
            </w:r>
          </w:p>
        </w:tc>
        <w:tc>
          <w:tcPr>
            <w:tcW w:w="11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适用对象</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kern w:val="0"/>
                <w:szCs w:val="21"/>
              </w:rPr>
            </w:pPr>
            <w:r>
              <w:rPr>
                <w:rFonts w:hint="eastAsia" w:ascii="Times New Roman" w:hAnsi="Times New Roman" w:eastAsia="宋体" w:cs="Times New Roman"/>
                <w:kern w:val="0"/>
                <w:szCs w:val="21"/>
              </w:rPr>
              <w:t>先修课程</w:t>
            </w:r>
          </w:p>
        </w:tc>
        <w:tc>
          <w:tcPr>
            <w:tcW w:w="34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szCs w:val="21"/>
              </w:rPr>
              <w:t>高等数学</w:t>
            </w:r>
          </w:p>
        </w:tc>
        <w:tc>
          <w:tcPr>
            <w:tcW w:w="119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b/>
                <w:kern w:val="0"/>
                <w:szCs w:val="21"/>
              </w:rPr>
            </w:pPr>
            <w:r>
              <w:rPr>
                <w:rFonts w:hint="eastAsia" w:ascii="Times New Roman" w:hAnsi="Times New Roman" w:eastAsia="宋体" w:cs="Times New Roman"/>
                <w:kern w:val="0"/>
                <w:szCs w:val="21"/>
              </w:rPr>
              <w:t>同修课程</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排斥课程</w:t>
            </w:r>
          </w:p>
        </w:tc>
        <w:tc>
          <w:tcPr>
            <w:tcW w:w="34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tc>
        <w:tc>
          <w:tcPr>
            <w:tcW w:w="119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定稿日期</w:t>
            </w:r>
          </w:p>
        </w:tc>
        <w:tc>
          <w:tcPr>
            <w:tcW w:w="2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202</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10</w:t>
            </w:r>
          </w:p>
        </w:tc>
      </w:tr>
    </w:tbl>
    <w:p>
      <w:pPr>
        <w:snapToGrid w:val="0"/>
        <w:spacing w:line="300" w:lineRule="auto"/>
        <w:ind w:firstLine="480"/>
        <w:rPr>
          <w:rFonts w:ascii="Times New Roman" w:hAnsi="Times New Roman" w:eastAsia="宋体" w:cs="Times New Roman"/>
          <w:szCs w:val="21"/>
        </w:rPr>
      </w:pPr>
      <w:r>
        <w:rPr>
          <w:rFonts w:ascii="Times New Roman" w:hAnsi="Times New Roman" w:eastAsia="宋体" w:cs="Times New Roman"/>
          <w:kern w:val="0"/>
          <w:szCs w:val="20"/>
        </w:rPr>
        <w:t>*</w:t>
      </w:r>
      <w:r>
        <w:rPr>
          <w:rFonts w:hint="eastAsia" w:ascii="Times New Roman" w:hAnsi="Times New Roman" w:eastAsia="宋体" w:cs="Times New Roman"/>
          <w:sz w:val="18"/>
          <w:szCs w:val="18"/>
        </w:rPr>
        <w:t>通识教育核心课、跨学科基础课、通识教育选修课、专业教育核心课、学科专业拓展课、通识实践、专业综合实践；学分学时处（）内为实验学时。</w:t>
      </w:r>
    </w:p>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一、课程简介</w:t>
      </w:r>
    </w:p>
    <w:p>
      <w:pPr>
        <w:snapToGrid w:val="0"/>
        <w:spacing w:before="156" w:beforeLines="50" w:after="156" w:afterLines="50"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管理经济学概论》是电子信息工程专业学生的一门通识选修课，它是一门把微观经济学原理和分析方法用于企业经济管理决策的课程。其教学目的，一是通过本门课程的学习，使学生掌握管理经济学的基本知识和基本理论，为企业的管理决策实践提供经济理论和经济分析的思想框架；二是使学生了解企业在市场经济体制中的地位，使企业的决策能够更好地适应于市场体系。</w:t>
      </w:r>
    </w:p>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二、课程教学目标</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通过本课程的学习，使学生了解外国资本</w:t>
      </w:r>
      <w:r>
        <w:rPr>
          <w:rFonts w:ascii="Times New Roman" w:hAnsi="Times New Roman" w:eastAsia="宋体" w:cs="Times New Roman"/>
          <w:bCs/>
          <w:szCs w:val="21"/>
        </w:rPr>
        <w:t>—</w:t>
      </w:r>
      <w:r>
        <w:rPr>
          <w:rFonts w:hint="eastAsia" w:ascii="Times New Roman" w:hAnsi="Times New Roman" w:eastAsia="宋体" w:cs="Times New Roman"/>
          <w:bCs/>
          <w:szCs w:val="21"/>
        </w:rPr>
        <w:t>帝国主义入侵中国及其与中国封建势力相结合给中华民族和中国人民带来的深重苦难，了解近代以来中国所面临的争取民族独立、人民解放和实现国家富强、人民富裕这两项历史任务；懂得必须首先推翻半殖民地半封建的社会制度，争得民族独立、人民解放，才能为集中力量进行现代化建设开辟道路，认识革命的必要性、正义性、进步性；自觉地继承近代以来中国人民的爱国主义传统和革命传统，发扬中华民族的民族精神，进一步增强民族自尊心、自信心和自豪感。</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kern w:val="0"/>
          <w:szCs w:val="21"/>
        </w:rPr>
        <w:t>本课程的具体教学目标如下：</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理解管理经济学在现代企业经营管理和现代公共管理中的理论意义与实践意义，形成正确的历史观、国情观和人生观。紧密结合我国经济实际，通过对有关历史进程、事件和人物的分析，提高运用科学的历史观和方法论分析问题、辨别是非的能力。</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了解管理经济学的基本知识：资源的稀缺性、资源有效配置和资源利用问题，经济学与管理经济学的关系，消费者行为与需求理论，成本理论、成本的经济性质和短期与长期成本分析，市场结构与市场竞争及企业生产决策的一般原理，风险与决策资本预算，技术进步与创新等。</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理解管理经济学的基本理论：需求、供给与市场均衡，市场需求及其规律，市场供给及其规律，市场均衡，市场机制的作用，政府干预与价格政策分析，需求和供给弹性分析，短期生产函数、边际报酬递减规律与短期生产决策，长期生产函数、边际技术替代递减规律、生产要素的最优组合规模与收益的关系及长期生产决策。</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4．掌握政府对经济进行干预的理论、政策、方法及其后果，初步掌握在现代市场经济和政府宏观调控条件下，进行企业管理和公共事业管理分析的能力。</w:t>
      </w:r>
    </w:p>
    <w:p>
      <w:pPr>
        <w:adjustRightInd w:val="0"/>
        <w:snapToGrid w:val="0"/>
        <w:spacing w:line="30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课程教学目标与毕业要求的对应关系见表</w:t>
      </w:r>
      <w:r>
        <w:rPr>
          <w:rFonts w:ascii="Times New Roman" w:hAnsi="Times New Roman" w:eastAsia="宋体" w:cs="Times New Roman"/>
          <w:bCs/>
          <w:szCs w:val="21"/>
        </w:rPr>
        <w:t>1</w:t>
      </w:r>
      <w:r>
        <w:rPr>
          <w:rFonts w:hint="eastAsia" w:ascii="Times New Roman" w:hAnsi="Times New Roman" w:eastAsia="宋体" w:cs="Times New Roman"/>
          <w:bCs/>
          <w:szCs w:val="21"/>
        </w:rPr>
        <w:t>：</w:t>
      </w:r>
    </w:p>
    <w:p>
      <w:pPr>
        <w:widowControl/>
        <w:tabs>
          <w:tab w:val="left" w:pos="426"/>
          <w:tab w:val="left" w:pos="5245"/>
          <w:tab w:val="left" w:pos="5387"/>
        </w:tabs>
        <w:adjustRightInd w:val="0"/>
        <w:snapToGrid w:val="0"/>
        <w:spacing w:line="300" w:lineRule="auto"/>
        <w:ind w:firstLine="361" w:firstLineChars="200"/>
        <w:jc w:val="center"/>
        <w:rPr>
          <w:rFonts w:ascii="Times New Roman" w:hAnsi="Times New Roman" w:eastAsia="宋体" w:cs="Times New Roman"/>
          <w:b/>
          <w:sz w:val="18"/>
          <w:szCs w:val="18"/>
        </w:rPr>
      </w:pPr>
      <w:r>
        <w:rPr>
          <w:rFonts w:hint="eastAsia" w:ascii="Times New Roman" w:hAnsi="Times New Roman" w:eastAsia="宋体" w:cs="Times New Roman"/>
          <w:b/>
          <w:kern w:val="0"/>
          <w:sz w:val="18"/>
          <w:szCs w:val="18"/>
        </w:rPr>
        <w:t>表</w:t>
      </w:r>
      <w:r>
        <w:rPr>
          <w:rFonts w:ascii="Times New Roman" w:hAnsi="Times New Roman" w:eastAsia="宋体" w:cs="Times New Roman"/>
          <w:b/>
          <w:kern w:val="0"/>
          <w:sz w:val="18"/>
          <w:szCs w:val="18"/>
        </w:rPr>
        <w:t xml:space="preserve">1 </w:t>
      </w:r>
      <w:r>
        <w:rPr>
          <w:rFonts w:hint="eastAsia" w:ascii="Times New Roman" w:hAnsi="Times New Roman" w:eastAsia="宋体" w:cs="Times New Roman"/>
          <w:b/>
          <w:kern w:val="0"/>
          <w:sz w:val="18"/>
          <w:szCs w:val="18"/>
        </w:rPr>
        <w:t>毕业要求指标点实现矩阵</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5192"/>
        <w:gridCol w:w="1189"/>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w:t>
            </w:r>
          </w:p>
        </w:tc>
        <w:tc>
          <w:tcPr>
            <w:tcW w:w="51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毕业要求指标点</w:t>
            </w:r>
          </w:p>
        </w:tc>
        <w:tc>
          <w:tcPr>
            <w:tcW w:w="1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职业规范</w:t>
            </w:r>
          </w:p>
        </w:tc>
        <w:tc>
          <w:tcPr>
            <w:tcW w:w="51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8.</w:t>
            </w:r>
            <w:r>
              <w:rPr>
                <w:rFonts w:ascii="Times New Roman" w:hAnsi="Times New Roman" w:eastAsia="宋体" w:cs="Times New Roman"/>
                <w:sz w:val="18"/>
                <w:szCs w:val="18"/>
              </w:rPr>
              <w:t>1</w:t>
            </w:r>
            <w:r>
              <w:rPr>
                <w:rFonts w:hint="eastAsia" w:ascii="Times New Roman" w:hAnsi="Times New Roman" w:eastAsia="宋体" w:cs="Times New Roman"/>
                <w:sz w:val="18"/>
                <w:szCs w:val="18"/>
              </w:rPr>
              <w:t>坚持以德立身、以德立学，树立</w:t>
            </w:r>
            <w:r>
              <w:rPr>
                <w:rFonts w:ascii="Times New Roman" w:hAnsi="Times New Roman" w:eastAsia="宋体" w:cs="Times New Roman"/>
                <w:sz w:val="18"/>
                <w:szCs w:val="18"/>
              </w:rPr>
              <w:t>正确的人生观、</w:t>
            </w:r>
            <w:r>
              <w:rPr>
                <w:rFonts w:hint="eastAsia" w:ascii="Times New Roman" w:hAnsi="Times New Roman" w:eastAsia="宋体" w:cs="Times New Roman"/>
                <w:sz w:val="18"/>
                <w:szCs w:val="18"/>
              </w:rPr>
              <w:t>民族观、国家观和</w:t>
            </w:r>
            <w:r>
              <w:rPr>
                <w:rFonts w:ascii="Times New Roman" w:hAnsi="Times New Roman" w:eastAsia="宋体" w:cs="Times New Roman"/>
                <w:sz w:val="18"/>
                <w:szCs w:val="18"/>
              </w:rPr>
              <w:t>价值观</w:t>
            </w:r>
            <w:r>
              <w:rPr>
                <w:rFonts w:hint="eastAsia" w:ascii="Times New Roman" w:hAnsi="Times New Roman" w:eastAsia="宋体" w:cs="Times New Roman"/>
                <w:sz w:val="18"/>
                <w:szCs w:val="18"/>
              </w:rPr>
              <w:t>，具有</w:t>
            </w:r>
            <w:r>
              <w:rPr>
                <w:rFonts w:ascii="Times New Roman" w:hAnsi="Times New Roman" w:eastAsia="宋体" w:cs="Times New Roman"/>
                <w:sz w:val="18"/>
                <w:szCs w:val="18"/>
              </w:rPr>
              <w:t>良好的人文社会科学素养和社会责任感</w:t>
            </w:r>
          </w:p>
        </w:tc>
        <w:tc>
          <w:tcPr>
            <w:tcW w:w="1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629" w:type="dxa"/>
            <w:vMerge w:val="restart"/>
            <w:tcBorders>
              <w:top w:val="single" w:color="auto" w:sz="4" w:space="0"/>
              <w:left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w:t>
            </w:r>
            <w:r>
              <w:rPr>
                <w:rFonts w:hint="eastAsia" w:ascii="Times New Roman" w:hAnsi="Times New Roman" w:eastAsia="宋体" w:cs="Times New Roman"/>
                <w:sz w:val="18"/>
                <w:szCs w:val="18"/>
              </w:rPr>
              <w:t>.</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项目管理</w:t>
            </w:r>
          </w:p>
        </w:tc>
        <w:tc>
          <w:tcPr>
            <w:tcW w:w="51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w:t>
            </w: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1理解</w:t>
            </w:r>
            <w:r>
              <w:rPr>
                <w:rFonts w:hint="eastAsia" w:ascii="Times New Roman" w:hAnsi="Times New Roman" w:eastAsia="宋体" w:cs="Times New Roman"/>
                <w:sz w:val="18"/>
                <w:szCs w:val="18"/>
              </w:rPr>
              <w:t>并掌握</w:t>
            </w:r>
            <w:r>
              <w:rPr>
                <w:rFonts w:ascii="Times New Roman" w:hAnsi="Times New Roman" w:eastAsia="宋体" w:cs="Times New Roman"/>
                <w:sz w:val="18"/>
                <w:szCs w:val="18"/>
              </w:rPr>
              <w:t>工程实践中工程管理的基本原理与经济决策方法。</w:t>
            </w:r>
          </w:p>
        </w:tc>
        <w:tc>
          <w:tcPr>
            <w:tcW w:w="1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2</w:t>
            </w:r>
            <w:r>
              <w:rPr>
                <w:rFonts w:ascii="Times New Roman" w:hAnsi="Times New Roman" w:eastAsia="宋体" w:cs="Times New Roman"/>
                <w:sz w:val="18"/>
                <w:szCs w:val="18"/>
              </w:rPr>
              <w:t>,3</w:t>
            </w:r>
          </w:p>
        </w:tc>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w:t>
            </w: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629" w:type="dxa"/>
            <w:vMerge w:val="continue"/>
            <w:tcBorders>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p>
        </w:tc>
        <w:tc>
          <w:tcPr>
            <w:tcW w:w="51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2能够在多学科环境中应用工程管理原理与经济决策方法。</w:t>
            </w:r>
          </w:p>
        </w:tc>
        <w:tc>
          <w:tcPr>
            <w:tcW w:w="1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p>
        </w:tc>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终身学习</w:t>
            </w:r>
          </w:p>
        </w:tc>
        <w:tc>
          <w:tcPr>
            <w:tcW w:w="51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12</w:t>
            </w:r>
            <w:r>
              <w:rPr>
                <w:rFonts w:hint="eastAsia" w:ascii="Times New Roman" w:hAnsi="Times New Roman" w:eastAsia="宋体" w:cs="Times New Roman"/>
                <w:sz w:val="18"/>
                <w:szCs w:val="18"/>
              </w:rPr>
              <w:t>.</w:t>
            </w:r>
            <w:r>
              <w:rPr>
                <w:rFonts w:ascii="Times New Roman" w:hAnsi="Times New Roman" w:eastAsia="宋体" w:cs="Times New Roman"/>
                <w:sz w:val="18"/>
                <w:szCs w:val="18"/>
              </w:rPr>
              <w:t>1具有自主学习和终身学习的意识，掌握拓展知识和能力的基本方法和途径</w:t>
            </w:r>
            <w:r>
              <w:rPr>
                <w:rFonts w:hint="eastAsia" w:ascii="Times New Roman" w:hAnsi="Times New Roman" w:eastAsia="宋体" w:cs="Times New Roman"/>
                <w:sz w:val="18"/>
                <w:szCs w:val="18"/>
              </w:rPr>
              <w:t>。</w:t>
            </w:r>
          </w:p>
        </w:tc>
        <w:tc>
          <w:tcPr>
            <w:tcW w:w="1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bl>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三、课程教学目标达成途径（或教学设计）</w:t>
      </w:r>
    </w:p>
    <w:p>
      <w:pPr>
        <w:widowControl/>
        <w:adjustRightInd w:val="0"/>
        <w:snapToGrid w:val="0"/>
        <w:spacing w:line="300" w:lineRule="auto"/>
        <w:jc w:val="center"/>
        <w:rPr>
          <w:rFonts w:ascii="Times New Roman" w:hAnsi="Times New Roman" w:eastAsia="宋体" w:cs="Times New Roman"/>
          <w:b/>
          <w:bCs/>
          <w:sz w:val="18"/>
          <w:szCs w:val="18"/>
          <w:shd w:val="clear" w:color="auto" w:fill="FEFEFF"/>
        </w:rPr>
      </w:pPr>
      <w:r>
        <w:rPr>
          <w:rFonts w:hint="eastAsia" w:ascii="Times New Roman" w:hAnsi="Times New Roman" w:eastAsia="宋体" w:cs="Times New Roman"/>
          <w:b/>
          <w:bCs/>
          <w:sz w:val="18"/>
          <w:szCs w:val="18"/>
          <w:shd w:val="clear" w:color="auto" w:fill="FEFEFF"/>
        </w:rPr>
        <w:t>表</w:t>
      </w:r>
      <w:r>
        <w:rPr>
          <w:rFonts w:ascii="Times New Roman" w:hAnsi="Times New Roman" w:eastAsia="宋体" w:cs="Times New Roman"/>
          <w:b/>
          <w:bCs/>
          <w:sz w:val="18"/>
          <w:szCs w:val="18"/>
          <w:shd w:val="clear" w:color="auto" w:fill="FEFEFF"/>
        </w:rPr>
        <w:t xml:space="preserve">2 </w:t>
      </w:r>
      <w:r>
        <w:rPr>
          <w:rFonts w:hint="eastAsia" w:ascii="Times New Roman" w:hAnsi="Times New Roman" w:eastAsia="宋体" w:cs="Times New Roman"/>
          <w:b/>
          <w:bCs/>
          <w:sz w:val="18"/>
          <w:szCs w:val="18"/>
          <w:shd w:val="clear" w:color="auto" w:fill="FEFEFF"/>
        </w:rPr>
        <w:t>教学目标达成途径</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5"/>
        <w:gridCol w:w="1116"/>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课程教学目标</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达成途径</w:t>
            </w:r>
          </w:p>
        </w:tc>
        <w:tc>
          <w:tcPr>
            <w:tcW w:w="102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 xml:space="preserve">1. </w:t>
            </w:r>
            <w:r>
              <w:rPr>
                <w:rFonts w:hint="eastAsia" w:ascii="Times New Roman" w:hAnsi="Times New Roman" w:eastAsia="宋体" w:cs="Times New Roman"/>
                <w:kern w:val="0"/>
                <w:sz w:val="18"/>
                <w:szCs w:val="18"/>
              </w:rPr>
              <w:t>理解管理经济学在现代企业经营管理和现代公共管理中的理论意义与实践意义，形成正确的历史观、国情观和人生观。紧密结合我国经济实际，通过对有关历史进程、事件和人物的分析，提高运用科学的历史观和方法论分析问题、辨别是非的能力。</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kern w:val="0"/>
                <w:sz w:val="18"/>
                <w:szCs w:val="18"/>
              </w:rPr>
              <w:t>过程考核与理论考核。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 xml:space="preserve">2. </w:t>
            </w:r>
            <w:r>
              <w:rPr>
                <w:rFonts w:hint="eastAsia" w:ascii="Times New Roman" w:hAnsi="Times New Roman" w:eastAsia="宋体" w:cs="Times New Roman"/>
                <w:kern w:val="0"/>
                <w:sz w:val="18"/>
                <w:szCs w:val="18"/>
              </w:rPr>
              <w:t>了解管理经济学的基本知识：资源的稀缺性、资源有效配置和资源利用问题，经济学与管理经济学的关系，消费者行为与需求理论，成本理论、成本的经济性质和短期与长期成本分析，市场结构与市场竞争及企业生产决策的一般原理，风险与决策资本预算，技术进步与创新等。</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kern w:val="0"/>
                <w:sz w:val="18"/>
                <w:szCs w:val="18"/>
              </w:rPr>
              <w:t>过程考核与理论考核。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 xml:space="preserve">3. </w:t>
            </w:r>
            <w:r>
              <w:rPr>
                <w:rFonts w:hint="eastAsia" w:ascii="Times New Roman" w:hAnsi="Times New Roman" w:eastAsia="宋体" w:cs="Times New Roman"/>
                <w:kern w:val="0"/>
                <w:sz w:val="18"/>
                <w:szCs w:val="18"/>
              </w:rPr>
              <w:t>理解管理经济学的基本理论： 需求、供给与市场均衡，市场需求及其规律，市场供给及其规律，市场均衡，市场机制的作用，政府干预与价格政策分析，需求和供给弹性分析，短期生产函数、边际报酬递减规律与短期生产决策，长期生产函数、边际技术替代递减规律、生产要素的最优组合规模与收益的关系及长期生产决策。</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kern w:val="0"/>
                <w:sz w:val="18"/>
                <w:szCs w:val="18"/>
              </w:rPr>
              <w:t>过程考核与理论考核。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54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300" w:lineRule="auto"/>
              <w:jc w:val="left"/>
              <w:rPr>
                <w:rFonts w:ascii="Times New Roman" w:hAnsi="Times New Roman" w:eastAsia="宋体" w:cs="Times New Roman"/>
                <w:sz w:val="18"/>
                <w:szCs w:val="18"/>
                <w:shd w:val="clear" w:color="auto" w:fill="FEFEFF"/>
              </w:rPr>
            </w:pPr>
            <w:r>
              <w:rPr>
                <w:rFonts w:ascii="Times New Roman" w:hAnsi="Times New Roman" w:eastAsia="宋体" w:cs="Times New Roman"/>
                <w:kern w:val="0"/>
                <w:sz w:val="18"/>
                <w:szCs w:val="18"/>
              </w:rPr>
              <w:t xml:space="preserve">4. </w:t>
            </w:r>
            <w:r>
              <w:rPr>
                <w:rFonts w:hint="eastAsia" w:ascii="Times New Roman" w:hAnsi="Times New Roman" w:eastAsia="宋体" w:cs="Times New Roman"/>
                <w:kern w:val="0"/>
                <w:sz w:val="18"/>
                <w:szCs w:val="18"/>
              </w:rPr>
              <w:t>掌握政府对经济进行干预的理论、政策、方法及其后果，初步掌握在现代市场经济和政府宏观调控条件下，进行企业管理和公共事业管理分析的能力。</w:t>
            </w:r>
          </w:p>
        </w:tc>
        <w:tc>
          <w:tcPr>
            <w:tcW w:w="111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sz w:val="18"/>
                <w:szCs w:val="18"/>
              </w:rPr>
              <w:t>课堂讲授、多媒体演示、讨论。</w:t>
            </w:r>
          </w:p>
        </w:tc>
        <w:tc>
          <w:tcPr>
            <w:tcW w:w="10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spacing w:line="300" w:lineRule="auto"/>
              <w:jc w:val="left"/>
              <w:rPr>
                <w:rFonts w:ascii="Times New Roman" w:hAnsi="Times New Roman" w:eastAsia="宋体" w:cs="Times New Roman"/>
                <w:sz w:val="18"/>
                <w:szCs w:val="18"/>
                <w:shd w:val="clear" w:color="auto" w:fill="FEFEFF"/>
              </w:rPr>
            </w:pPr>
            <w:r>
              <w:rPr>
                <w:rFonts w:hint="eastAsia" w:ascii="Times New Roman" w:hAnsi="Times New Roman" w:eastAsia="宋体" w:cs="Times New Roman"/>
                <w:kern w:val="0"/>
                <w:sz w:val="18"/>
                <w:szCs w:val="18"/>
              </w:rPr>
              <w:t>过程考核与理论考核。</w:t>
            </w:r>
          </w:p>
        </w:tc>
      </w:tr>
    </w:tbl>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四、课程教学内容、教与学的要求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本课程理论教学内容与教学要求见表</w:t>
      </w:r>
      <w:r>
        <w:rPr>
          <w:rFonts w:ascii="Times New Roman" w:hAnsi="Times New Roman" w:eastAsia="宋体" w:cs="Times New Roman"/>
          <w:szCs w:val="21"/>
        </w:rPr>
        <w:t>3</w:t>
      </w:r>
      <w:r>
        <w:rPr>
          <w:rFonts w:hint="eastAsia" w:ascii="Times New Roman" w:hAnsi="Times New Roman" w:eastAsia="宋体" w:cs="Times New Roman"/>
          <w:szCs w:val="21"/>
        </w:rPr>
        <w:t>。</w:t>
      </w:r>
    </w:p>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b/>
          <w:bCs/>
          <w:sz w:val="18"/>
          <w:szCs w:val="18"/>
        </w:rPr>
        <w:t>表</w:t>
      </w:r>
      <w:r>
        <w:rPr>
          <w:rFonts w:ascii="Times New Roman" w:hAnsi="Times New Roman" w:eastAsia="宋体" w:cs="Times New Roman"/>
          <w:b/>
          <w:bCs/>
          <w:sz w:val="18"/>
          <w:szCs w:val="18"/>
        </w:rPr>
        <w:t>3</w:t>
      </w:r>
      <w:r>
        <w:rPr>
          <w:rFonts w:hint="eastAsia" w:ascii="Times New Roman" w:hAnsi="Times New Roman" w:eastAsia="宋体" w:cs="Times New Roman"/>
          <w:b/>
          <w:bCs/>
          <w:sz w:val="18"/>
          <w:szCs w:val="18"/>
        </w:rPr>
        <w:t>教学内容与教学要求</w:t>
      </w:r>
    </w:p>
    <w:tbl>
      <w:tblPr>
        <w:tblStyle w:val="22"/>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561"/>
        <w:gridCol w:w="2770"/>
        <w:gridCol w:w="734"/>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序号</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教学内容</w:t>
            </w: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教与学的要求</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学时</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第一章 绪论</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对经济学的初步认识</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一、人类社会面临的基本矛盾：资源的稀缺性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二、基本经济问题</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三、资源有效配置</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四、资源利用问题</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五、基本经济问题的解决方式：经济制度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 经济学与管理经济学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一、经济学概述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二、经济学的基本研究方法</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三、管理经济学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 现代经济中的市场、企业与政府</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一、市场与市场机制</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二、企业与企业制度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三、政府的经济作用</w:t>
            </w:r>
          </w:p>
          <w:p>
            <w:pPr>
              <w:adjustRightInd w:val="0"/>
              <w:snapToGrid w:val="0"/>
              <w:spacing w:line="300" w:lineRule="auto"/>
              <w:rPr>
                <w:rFonts w:ascii="Times New Roman" w:hAnsi="Times New Roman" w:eastAsia="宋体" w:cs="Times New Roman"/>
                <w:sz w:val="18"/>
                <w:szCs w:val="18"/>
              </w:rPr>
            </w:pP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1）了解经济学、微观经济学与管理经济学的关系；</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2）了解管理经济学和经济体制；</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3）掌握机会成本的概念与计算；</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4）理解管理经济学研究方法：抽象分析法、均衡分析法、边际分析法、数量经济模型。</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需求、供给与市场均衡——为重点章节之一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市场需求及其规律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一、需求的基本概念</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二、需求表、需求函数与需求曲线</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三、决定需求的因素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四、需求曲线移动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 市场供给及其规律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一、供给的基本概念</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二、供给表、供给函数与供给曲线</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三、决定供给因素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四、供给曲线的移动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市场均衡——为教学难点之一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一、市场均衡与市场价格的形成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二、市场机制的作用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三、市场均衡的波动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四、政府干预与价格政策分析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第四节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需求和供给弹性分析——为教学难点之一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一、需求弹性的定义</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二、需求价格弹性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三、需求的收入弹性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四、需求的交叉价格弹性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五、供给的价格弹性</w:t>
            </w:r>
          </w:p>
          <w:p>
            <w:pPr>
              <w:adjustRightInd w:val="0"/>
              <w:snapToGrid w:val="0"/>
              <w:spacing w:line="300" w:lineRule="auto"/>
              <w:rPr>
                <w:rFonts w:ascii="Times New Roman" w:hAnsi="Times New Roman" w:eastAsia="宋体" w:cs="Times New Roman"/>
                <w:sz w:val="18"/>
                <w:szCs w:val="18"/>
              </w:rPr>
            </w:pP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1）掌握需求量及其影响因素；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2）掌握供给量及其影响因素；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3）理解供求法则；</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4）掌握需求—供给分析；</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消费者行为与需求理论</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消费者行为</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一、效用与边际效用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二、边际效用递减规律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三、效用最大化与消费者均衡条件</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四、边际替代率递减规律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五、完全替代品和完全互补品</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六、管理决策的启示</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七、替代效应与收入效应</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八、外部连带效应</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九、信息不完全的影响</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需求估计与需求预测</w:t>
            </w:r>
          </w:p>
          <w:p>
            <w:pPr>
              <w:adjustRightInd w:val="0"/>
              <w:snapToGrid w:val="0"/>
              <w:spacing w:line="300" w:lineRule="auto"/>
              <w:rPr>
                <w:rFonts w:ascii="Times New Roman" w:hAnsi="Times New Roman" w:eastAsia="宋体" w:cs="Times New Roman"/>
                <w:sz w:val="18"/>
                <w:szCs w:val="18"/>
              </w:rPr>
            </w:pP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1）了解弹性的概念；</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2）理解需求的价格弹性；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3）理解需求的收入弹性；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4）理解需求的交叉价格弹性；</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第四章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生产理论——为重点章节之一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 生产函数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一、生产函数及其基本特征</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二、投入要素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三、短期生产和长期生产</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短期生产决策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一、短期生产函数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二、总产量、平均产量、边际产量的相互关系——为教学难点之一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三、边际报酬递减规律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四、短期生产的三个阶段</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长期生产决策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一、长期生产函数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二、等产量曲线</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三、边际技术替代递减规律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四、等成本曲线</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第四节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生产要素的最优组合</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一、一定成本下产量最大的投入组合</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二、一定产量下成本最小的投入组合</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三、投入要素最优组合的一般原理</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第五节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规模与收益的关系</w:t>
            </w:r>
          </w:p>
          <w:p>
            <w:pPr>
              <w:adjustRightInd w:val="0"/>
              <w:snapToGrid w:val="0"/>
              <w:spacing w:line="300" w:lineRule="auto"/>
              <w:rPr>
                <w:rFonts w:ascii="Times New Roman" w:hAnsi="Times New Roman" w:eastAsia="宋体" w:cs="Times New Roman"/>
                <w:sz w:val="18"/>
                <w:szCs w:val="18"/>
              </w:rPr>
            </w:pP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1）掌握生产要素与生产函数；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2）掌握短期生产函数,边际收益递减规律，单一可变投入要素的最优利用；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3）掌握等产量函数与等成本函数，多种可变投入要素的最优组合；</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4）理解技术进步；</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5）了解规模收益的类型及判断；</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第五章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成本理论——为教学难点之一</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成本的经济性质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一、成本的不同含义</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二、成本与利润</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三、生产与成本</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短期成本分析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一、固定成本、变动成本与总成本</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二、平均成本与边际成本</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三、总成本、平均成本与边际成本之间的关系</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长期成本分析与规模经济</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一、产量曲线与成本曲线的关系</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二、长期总成本、长期平均成本与长期边际成本</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三、长期平均成本、短期平均成本与企业规模的选择</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四、规模经济性及其主要原因</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五、适度规模与最低有效规模</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六、外在经济性与范围经济性</w:t>
            </w: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1）理解成本的含义；</w:t>
            </w:r>
          </w:p>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2）掌握短期成本函数；</w:t>
            </w:r>
          </w:p>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3）掌握长期成本函数；</w:t>
            </w:r>
          </w:p>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4）了解规模经济、学习效应、范围经济；</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kern w:val="0"/>
                <w:sz w:val="18"/>
                <w:szCs w:val="18"/>
              </w:rPr>
              <w:t>5）掌握成本函数的分析应用（贡献分析法、盈亏平衡分析法）；</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第六章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市场结构与市场竞争</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市场结构及特点</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一、市场结构及其划分</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二、市场运行规则</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三、企业生产决策的一般原理</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完全竞争市场分析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完全垄断市场分析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第四节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垄断竞争市场的分析</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第五节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寡头垄断市场分析</w:t>
            </w: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1）了解市场结构；</w:t>
            </w:r>
          </w:p>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2）理解完全竞争市场的特征、短期均衡与长期均衡的条件；</w:t>
            </w:r>
          </w:p>
          <w:p>
            <w:pPr>
              <w:adjustRightInd w:val="0"/>
              <w:snapToGrid w:val="0"/>
              <w:spacing w:line="300" w:lineRule="auto"/>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3）理解完全垄断市场的特征、成因及均衡条件；</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kern w:val="0"/>
                <w:sz w:val="18"/>
                <w:szCs w:val="18"/>
              </w:rPr>
              <w:t>4）理解垄断竞争市场的短期与长期决策、产品的差异化竞争；</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第七章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长期计划决策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风险与决策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资本预算</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技术进步与创新</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一、技术进步的含义和类型</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二、技术进步与生产效率</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三、技术进步与市场结构</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四、现代企业的技术创新</w:t>
            </w:r>
          </w:p>
          <w:p>
            <w:pPr>
              <w:adjustRightInd w:val="0"/>
              <w:snapToGrid w:val="0"/>
              <w:spacing w:line="300" w:lineRule="auto"/>
              <w:rPr>
                <w:rFonts w:ascii="Times New Roman" w:hAnsi="Times New Roman" w:eastAsia="宋体" w:cs="Times New Roman"/>
                <w:sz w:val="18"/>
                <w:szCs w:val="18"/>
              </w:rPr>
            </w:pPr>
          </w:p>
        </w:tc>
        <w:tc>
          <w:tcPr>
            <w:tcW w:w="2770" w:type="dxa"/>
            <w:tcBorders>
              <w:top w:val="single" w:color="auto" w:sz="4" w:space="0"/>
              <w:left w:val="single" w:color="auto" w:sz="4" w:space="0"/>
              <w:bottom w:val="single" w:color="auto" w:sz="4" w:space="0"/>
              <w:right w:val="single" w:color="auto" w:sz="4" w:space="0"/>
            </w:tcBorders>
            <w:vAlign w:val="center"/>
          </w:tcPr>
          <w:p>
            <w:pPr>
              <w:pStyle w:val="38"/>
              <w:numPr>
                <w:ilvl w:val="0"/>
                <w:numId w:val="112"/>
              </w:numPr>
              <w:adjustRightInd w:val="0"/>
              <w:snapToGrid w:val="0"/>
              <w:spacing w:line="300" w:lineRule="auto"/>
              <w:ind w:firstLineChars="0"/>
              <w:rPr>
                <w:bCs/>
                <w:kern w:val="0"/>
                <w:sz w:val="18"/>
                <w:szCs w:val="18"/>
              </w:rPr>
            </w:pPr>
            <w:r>
              <w:rPr>
                <w:rFonts w:hint="eastAsia"/>
                <w:bCs/>
                <w:kern w:val="0"/>
                <w:sz w:val="18"/>
                <w:szCs w:val="18"/>
              </w:rPr>
              <w:t>了解风险与决策</w:t>
            </w:r>
          </w:p>
          <w:p>
            <w:pPr>
              <w:pStyle w:val="38"/>
              <w:numPr>
                <w:ilvl w:val="0"/>
                <w:numId w:val="112"/>
              </w:numPr>
              <w:adjustRightInd w:val="0"/>
              <w:snapToGrid w:val="0"/>
              <w:spacing w:line="300" w:lineRule="auto"/>
              <w:ind w:firstLineChars="0"/>
              <w:rPr>
                <w:sz w:val="18"/>
                <w:szCs w:val="18"/>
              </w:rPr>
            </w:pPr>
            <w:r>
              <w:rPr>
                <w:rFonts w:hint="eastAsia"/>
                <w:sz w:val="18"/>
                <w:szCs w:val="18"/>
              </w:rPr>
              <w:t>理解资本预算</w:t>
            </w:r>
          </w:p>
          <w:p>
            <w:pPr>
              <w:pStyle w:val="38"/>
              <w:numPr>
                <w:ilvl w:val="0"/>
                <w:numId w:val="112"/>
              </w:numPr>
              <w:adjustRightInd w:val="0"/>
              <w:snapToGrid w:val="0"/>
              <w:spacing w:line="300" w:lineRule="auto"/>
              <w:ind w:firstLineChars="0"/>
              <w:rPr>
                <w:sz w:val="18"/>
                <w:szCs w:val="18"/>
              </w:rPr>
            </w:pPr>
            <w:r>
              <w:rPr>
                <w:rFonts w:hint="eastAsia"/>
                <w:sz w:val="18"/>
                <w:szCs w:val="18"/>
              </w:rPr>
              <w:t>理解技术进步的含义、类型、生产效率、市场结构和技术创新的概念。</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9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35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第八章</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市场失灵与政府对经济的干预</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第一节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市场失灵</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第二节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市场失灵和政府的作用</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一、市场势力与政府管制</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二、信息不完全性与对策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三、外部经济效应与对策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四、公共物品</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第三节</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政府的宏观经济政策</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一、宏观经济政策的目标</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二、宏观经济政策的工具</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三、宏观经济政策的选择</w:t>
            </w:r>
            <w:r>
              <w:rPr>
                <w:rFonts w:ascii="Times New Roman" w:hAnsi="Times New Roman" w:eastAsia="宋体" w:cs="Times New Roman"/>
                <w:sz w:val="18"/>
                <w:szCs w:val="18"/>
              </w:rPr>
              <w:t xml:space="preserve">   </w:t>
            </w:r>
          </w:p>
        </w:tc>
        <w:tc>
          <w:tcPr>
            <w:tcW w:w="27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bCs/>
                <w:kern w:val="0"/>
                <w:sz w:val="18"/>
                <w:szCs w:val="18"/>
              </w:rPr>
              <w:t>1）掌握</w:t>
            </w:r>
            <w:r>
              <w:rPr>
                <w:rFonts w:hint="eastAsia" w:ascii="Times New Roman" w:hAnsi="Times New Roman" w:eastAsia="宋体" w:cs="Times New Roman"/>
                <w:sz w:val="18"/>
                <w:szCs w:val="18"/>
              </w:rPr>
              <w:t>市场失灵的概念，表现；</w:t>
            </w:r>
            <w:r>
              <w:rPr>
                <w:rFonts w:ascii="Times New Roman" w:hAnsi="Times New Roman" w:eastAsia="宋体" w:cs="Times New Roman"/>
                <w:sz w:val="18"/>
                <w:szCs w:val="18"/>
              </w:rPr>
              <w:t xml:space="preserve"> </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2）理解政府对经济的干预手段，方法、对策等；</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3</w:t>
            </w:r>
            <w:r>
              <w:rPr>
                <w:rFonts w:hint="eastAsia" w:ascii="Times New Roman" w:hAnsi="Times New Roman" w:eastAsia="宋体" w:cs="Times New Roman"/>
                <w:sz w:val="18"/>
                <w:szCs w:val="18"/>
              </w:rPr>
              <w:t>）理解宏观经济政策的目标</w:t>
            </w:r>
          </w:p>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4）掌握宏观经济政策的工具和选择。</w:t>
            </w:r>
          </w:p>
        </w:tc>
        <w:tc>
          <w:tcPr>
            <w:tcW w:w="7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0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，4</w:t>
            </w:r>
          </w:p>
        </w:tc>
      </w:tr>
    </w:tbl>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五、课程考核及成绩评定</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．考核方式：</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课程考核：分</w:t>
      </w:r>
      <w:r>
        <w:rPr>
          <w:rFonts w:ascii="Times New Roman" w:hAnsi="Times New Roman" w:eastAsia="宋体" w:cs="Times New Roman"/>
          <w:szCs w:val="21"/>
        </w:rPr>
        <w:t>“</w:t>
      </w:r>
      <w:r>
        <w:rPr>
          <w:rFonts w:hint="eastAsia" w:ascii="Times New Roman" w:hAnsi="Times New Roman" w:eastAsia="宋体" w:cs="Times New Roman"/>
          <w:szCs w:val="21"/>
        </w:rPr>
        <w:t>过程考核</w:t>
      </w:r>
      <w:r>
        <w:rPr>
          <w:rFonts w:ascii="Times New Roman" w:hAnsi="Times New Roman" w:eastAsia="宋体" w:cs="Times New Roman"/>
          <w:szCs w:val="21"/>
        </w:rPr>
        <w:t>”</w:t>
      </w:r>
      <w:r>
        <w:rPr>
          <w:rFonts w:hint="eastAsia" w:ascii="Times New Roman" w:hAnsi="Times New Roman" w:eastAsia="宋体" w:cs="Times New Roman"/>
          <w:szCs w:val="21"/>
        </w:rPr>
        <w:t>与</w:t>
      </w:r>
      <w:r>
        <w:rPr>
          <w:rFonts w:ascii="Times New Roman" w:hAnsi="Times New Roman" w:eastAsia="宋体" w:cs="Times New Roman"/>
          <w:szCs w:val="21"/>
        </w:rPr>
        <w:t>“</w:t>
      </w:r>
      <w:r>
        <w:rPr>
          <w:rFonts w:hint="eastAsia" w:ascii="Times New Roman" w:hAnsi="Times New Roman" w:eastAsia="宋体" w:cs="Times New Roman"/>
          <w:szCs w:val="21"/>
        </w:rPr>
        <w:t>理论考核</w:t>
      </w:r>
      <w:r>
        <w:rPr>
          <w:rFonts w:ascii="Times New Roman" w:hAnsi="Times New Roman" w:eastAsia="宋体" w:cs="Times New Roman"/>
          <w:szCs w:val="21"/>
        </w:rPr>
        <w:t>”</w:t>
      </w:r>
      <w:r>
        <w:rPr>
          <w:rFonts w:hint="eastAsia" w:ascii="Times New Roman" w:hAnsi="Times New Roman" w:eastAsia="宋体" w:cs="Times New Roman"/>
          <w:szCs w:val="21"/>
        </w:rPr>
        <w:t>两部分构成。过程考核，由学生自主学习考核和平时课堂表现考核予以体现，主要包括语言表达、课堂展示等内容；目标考核，以理论教学考核为主要内容，考察学生对课程教学内容的基本知识、基本理论的掌握与理解程度。</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）理论教学考核</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第一、课程考核依据，依据本课程的总体教学目标和对学生的培养目标和要求，依据广东海洋大学考试规定，结合本课程的性质和特点。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第二、课程考核性质，目标考核，考察学生对课程教学内容的基本知识、基本理论的掌握与理解程度，考察学生的知识结构、人文素养、理论水平。</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第三、具体的考核方式为课程论文。</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）学生自主学习考核</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第一、课程考核依据</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第二、课程考核性质</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过程考核，考察学生的实践能力、逻辑分析能力。</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第三、具体的考核方式</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学生课外搜集资料、社会调研，撰写一篇课程论文或实践报告。论文或报告字数不得少于</w:t>
      </w:r>
      <w:r>
        <w:rPr>
          <w:rFonts w:ascii="Times New Roman" w:hAnsi="Times New Roman" w:eastAsia="宋体" w:cs="Times New Roman"/>
          <w:szCs w:val="21"/>
        </w:rPr>
        <w:t>5000</w:t>
      </w:r>
      <w:r>
        <w:rPr>
          <w:rFonts w:hint="eastAsia" w:ascii="Times New Roman" w:hAnsi="Times New Roman" w:eastAsia="宋体" w:cs="Times New Roman"/>
          <w:szCs w:val="21"/>
        </w:rPr>
        <w:t>字，不能网上抄袭。论文雷同者一经发现，成绩减分。</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）课上考核</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第一、课程考核依据，依据本课程的总体教学目标和对学生的培养目标和要求，依据广东海洋大学考试规定，结合本课程的性质和特点。</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第二课程考核性质，过程考核，考察学生出勤率、学习态度、语言表达能力。</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第三、具体的考核方式，统计学生的出勤、课堂发言、互动等情况。旷课</w:t>
      </w:r>
      <w:r>
        <w:rPr>
          <w:rFonts w:ascii="Times New Roman" w:hAnsi="Times New Roman" w:eastAsia="宋体" w:cs="Times New Roman"/>
          <w:szCs w:val="21"/>
        </w:rPr>
        <w:t>3</w:t>
      </w:r>
      <w:r>
        <w:rPr>
          <w:rFonts w:hint="eastAsia" w:ascii="Times New Roman" w:hAnsi="Times New Roman" w:eastAsia="宋体" w:cs="Times New Roman"/>
          <w:szCs w:val="21"/>
        </w:rPr>
        <w:t>次以上，本项成绩为</w:t>
      </w:r>
      <w:r>
        <w:rPr>
          <w:rFonts w:ascii="Times New Roman" w:hAnsi="Times New Roman" w:eastAsia="宋体" w:cs="Times New Roman"/>
          <w:szCs w:val="21"/>
        </w:rPr>
        <w:t>0</w:t>
      </w:r>
      <w:r>
        <w:rPr>
          <w:rFonts w:hint="eastAsia" w:ascii="Times New Roman" w:hAnsi="Times New Roman" w:eastAsia="宋体" w:cs="Times New Roman"/>
          <w:szCs w:val="21"/>
        </w:rPr>
        <w:t>分；迟到或旷课</w:t>
      </w:r>
      <w:r>
        <w:rPr>
          <w:rFonts w:ascii="Times New Roman" w:hAnsi="Times New Roman" w:eastAsia="宋体" w:cs="Times New Roman"/>
          <w:szCs w:val="21"/>
        </w:rPr>
        <w:t>1-2</w:t>
      </w:r>
      <w:r>
        <w:rPr>
          <w:rFonts w:hint="eastAsia" w:ascii="Times New Roman" w:hAnsi="Times New Roman" w:eastAsia="宋体" w:cs="Times New Roman"/>
          <w:szCs w:val="21"/>
        </w:rPr>
        <w:t>次，酌情扣分。</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rPr>
        <w:t xml:space="preserve"> 2</w:t>
      </w:r>
      <w:r>
        <w:rPr>
          <w:rFonts w:hint="eastAsia" w:ascii="Times New Roman" w:hAnsi="Times New Roman" w:eastAsia="宋体" w:cs="Times New Roman"/>
        </w:rPr>
        <w:t>．成绩构成：</w:t>
      </w:r>
      <w:r>
        <w:rPr>
          <w:rFonts w:hint="eastAsia" w:ascii="Times New Roman" w:hAnsi="Times New Roman" w:eastAsia="宋体" w:cs="Times New Roman"/>
          <w:szCs w:val="21"/>
        </w:rPr>
        <w:t>课程考核总成绩由平时成绩和论文组成，平时成绩占</w:t>
      </w:r>
      <w:r>
        <w:rPr>
          <w:rFonts w:ascii="Times New Roman" w:hAnsi="Times New Roman" w:eastAsia="宋体" w:cs="Times New Roman"/>
          <w:szCs w:val="21"/>
        </w:rPr>
        <w:t>40%</w:t>
      </w:r>
      <w:r>
        <w:rPr>
          <w:rFonts w:hint="eastAsia" w:ascii="Times New Roman" w:hAnsi="Times New Roman" w:eastAsia="宋体" w:cs="Times New Roman"/>
          <w:szCs w:val="21"/>
        </w:rPr>
        <w:t>，包括课堂表现占总成绩的</w:t>
      </w:r>
      <w:r>
        <w:rPr>
          <w:rFonts w:ascii="Times New Roman" w:hAnsi="Times New Roman" w:eastAsia="宋体" w:cs="Times New Roman"/>
          <w:szCs w:val="21"/>
        </w:rPr>
        <w:t>20%</w:t>
      </w:r>
      <w:r>
        <w:rPr>
          <w:rFonts w:hint="eastAsia" w:ascii="Times New Roman" w:hAnsi="Times New Roman" w:eastAsia="宋体" w:cs="Times New Roman"/>
          <w:szCs w:val="21"/>
        </w:rPr>
        <w:t>，平时表现成绩占总成绩的</w:t>
      </w:r>
      <w:r>
        <w:rPr>
          <w:rFonts w:ascii="Times New Roman" w:hAnsi="Times New Roman" w:eastAsia="宋体" w:cs="Times New Roman"/>
          <w:szCs w:val="21"/>
        </w:rPr>
        <w:t>20%</w:t>
      </w:r>
      <w:r>
        <w:rPr>
          <w:rFonts w:hint="eastAsia" w:ascii="Times New Roman" w:hAnsi="Times New Roman" w:eastAsia="宋体" w:cs="Times New Roman"/>
          <w:szCs w:val="21"/>
        </w:rPr>
        <w:t>，期末论文成绩占</w:t>
      </w:r>
      <w:r>
        <w:rPr>
          <w:rFonts w:ascii="Times New Roman" w:hAnsi="Times New Roman" w:eastAsia="宋体" w:cs="Times New Roman"/>
          <w:szCs w:val="21"/>
        </w:rPr>
        <w:t>60%</w:t>
      </w:r>
      <w:r>
        <w:rPr>
          <w:rFonts w:hint="eastAsia" w:ascii="Times New Roman" w:hAnsi="Times New Roman" w:eastAsia="宋体" w:cs="Times New Roman"/>
          <w:szCs w:val="21"/>
        </w:rPr>
        <w:t>。</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．考核评价标准见表</w:t>
      </w:r>
      <w:r>
        <w:rPr>
          <w:rFonts w:ascii="Times New Roman" w:hAnsi="Times New Roman" w:eastAsia="宋体" w:cs="Times New Roman"/>
        </w:rPr>
        <w:t>5</w:t>
      </w:r>
      <w:r>
        <w:rPr>
          <w:rFonts w:hint="eastAsia" w:ascii="Times New Roman" w:hAnsi="Times New Roman" w:eastAsia="宋体" w:cs="Times New Roman"/>
        </w:rPr>
        <w:t>所示。</w:t>
      </w:r>
    </w:p>
    <w:p>
      <w:pPr>
        <w:adjustRightInd w:val="0"/>
        <w:snapToGrid w:val="0"/>
        <w:spacing w:line="300" w:lineRule="auto"/>
        <w:ind w:firstLine="361" w:firstLineChars="200"/>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表</w:t>
      </w:r>
      <w:r>
        <w:rPr>
          <w:rFonts w:ascii="Times New Roman" w:hAnsi="Times New Roman" w:eastAsia="宋体" w:cs="Times New Roman"/>
          <w:b/>
          <w:bCs/>
          <w:sz w:val="18"/>
          <w:szCs w:val="18"/>
        </w:rPr>
        <w:t>5</w:t>
      </w:r>
      <w:r>
        <w:rPr>
          <w:rFonts w:hint="eastAsia" w:ascii="Times New Roman" w:hAnsi="Times New Roman" w:eastAsia="宋体" w:cs="Times New Roman"/>
          <w:b/>
          <w:bCs/>
          <w:sz w:val="18"/>
          <w:szCs w:val="18"/>
        </w:rPr>
        <w:t>教学目标评价标准</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720"/>
        <w:gridCol w:w="719"/>
        <w:gridCol w:w="701"/>
        <w:gridCol w:w="792"/>
        <w:gridCol w:w="3808"/>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9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成绩</w:t>
            </w:r>
          </w:p>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类型</w:t>
            </w:r>
          </w:p>
        </w:tc>
        <w:tc>
          <w:tcPr>
            <w:tcW w:w="7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分值</w:t>
            </w:r>
          </w:p>
        </w:tc>
        <w:tc>
          <w:tcPr>
            <w:tcW w:w="7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类别</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w:t>
            </w:r>
          </w:p>
        </w:tc>
        <w:tc>
          <w:tcPr>
            <w:tcW w:w="3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考核</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评价细则</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平时</w:t>
            </w:r>
          </w:p>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成绩</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w:t>
            </w: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课堂表现</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hint="eastAsia" w:ascii="Times New Roman" w:hAnsi="Times New Roman" w:eastAsia="宋体" w:cs="Times New Roman"/>
                <w:sz w:val="18"/>
                <w:szCs w:val="18"/>
              </w:rPr>
              <w:t>根据学生课堂表现打分，考查</w:t>
            </w:r>
            <w:r>
              <w:rPr>
                <w:rFonts w:hint="eastAsia" w:ascii="Times New Roman" w:hAnsi="Times New Roman" w:eastAsia="宋体" w:cs="Times New Roman"/>
                <w:bCs/>
                <w:sz w:val="18"/>
                <w:szCs w:val="18"/>
              </w:rPr>
              <w:t>课堂沟通和表达能力等</w:t>
            </w:r>
            <w:r>
              <w:rPr>
                <w:rFonts w:hint="eastAsia" w:ascii="Times New Roman" w:hAnsi="Times New Roman" w:eastAsia="宋体" w:cs="Times New Roman"/>
                <w:sz w:val="18"/>
                <w:szCs w:val="18"/>
              </w:rPr>
              <w:t>，满分</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t>。</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作业</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w:t>
            </w:r>
          </w:p>
        </w:tc>
        <w:tc>
          <w:tcPr>
            <w:tcW w:w="3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bCs/>
                <w:sz w:val="18"/>
                <w:szCs w:val="18"/>
              </w:rPr>
              <w:t>主要考查对各章知识点的理解程度，学习态度，</w:t>
            </w:r>
            <w:r>
              <w:rPr>
                <w:rFonts w:hint="eastAsia" w:ascii="Times New Roman" w:hAnsi="Times New Roman" w:eastAsia="宋体" w:cs="Times New Roman"/>
                <w:sz w:val="18"/>
                <w:szCs w:val="18"/>
              </w:rPr>
              <w:t>对相关知识、概念的总体认识和把握，满分</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t>分。</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出勤</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3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bCs/>
                <w:sz w:val="18"/>
                <w:szCs w:val="18"/>
              </w:rPr>
              <w:t>考查平时出勤情况，满分</w:t>
            </w:r>
            <w:r>
              <w:rPr>
                <w:rFonts w:ascii="Times New Roman" w:hAnsi="Times New Roman" w:eastAsia="宋体" w:cs="Times New Roman"/>
                <w:bCs/>
                <w:sz w:val="18"/>
                <w:szCs w:val="18"/>
              </w:rPr>
              <w:t>100</w:t>
            </w:r>
            <w:r>
              <w:rPr>
                <w:rFonts w:hint="eastAsia" w:ascii="Times New Roman" w:hAnsi="Times New Roman" w:eastAsia="宋体" w:cs="Times New Roman"/>
                <w:bCs/>
                <w:sz w:val="18"/>
                <w:szCs w:val="18"/>
              </w:rPr>
              <w:t>分。</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期末考试成绩</w:t>
            </w:r>
          </w:p>
        </w:tc>
        <w:tc>
          <w:tcPr>
            <w:tcW w:w="7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7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w:t>
            </w:r>
          </w:p>
        </w:tc>
        <w:tc>
          <w:tcPr>
            <w:tcW w:w="7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课程论文</w:t>
            </w:r>
          </w:p>
        </w:tc>
        <w:tc>
          <w:tcPr>
            <w:tcW w:w="7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3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论文成绩</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t>分。论文成绩按比例计入课程总评成绩。</w:t>
            </w:r>
          </w:p>
          <w:p>
            <w:pPr>
              <w:adjustRightInd w:val="0"/>
              <w:snapToGri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(2)</w:t>
            </w:r>
            <w:r>
              <w:rPr>
                <w:rFonts w:hint="eastAsia" w:ascii="Times New Roman" w:hAnsi="Times New Roman" w:eastAsia="宋体" w:cs="Times New Roman"/>
                <w:sz w:val="18"/>
                <w:szCs w:val="18"/>
              </w:rPr>
              <w:t>考核内容：格式标准，选题难易适中，论点及论据准确，论文结构完整，有逻辑性。</w:t>
            </w:r>
          </w:p>
        </w:tc>
        <w:tc>
          <w:tcPr>
            <w:tcW w:w="10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3</w:t>
            </w:r>
            <w:r>
              <w:rPr>
                <w:rFonts w:hint="eastAsia" w:ascii="Times New Roman" w:hAnsi="Times New Roman" w:eastAsia="宋体" w:cs="Times New Roman"/>
                <w:sz w:val="18"/>
                <w:szCs w:val="18"/>
              </w:rPr>
              <w:t>，</w:t>
            </w:r>
            <w:r>
              <w:rPr>
                <w:rFonts w:ascii="Times New Roman" w:hAnsi="Times New Roman" w:eastAsia="宋体" w:cs="Times New Roman"/>
                <w:sz w:val="18"/>
                <w:szCs w:val="18"/>
              </w:rPr>
              <w:t>4</w:t>
            </w:r>
          </w:p>
        </w:tc>
      </w:tr>
    </w:tbl>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六、课程教学目标达成度评价</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rPr>
        <w:t>．</w:t>
      </w:r>
      <w:r>
        <w:rPr>
          <w:rFonts w:hint="eastAsia" w:ascii="Times New Roman" w:hAnsi="Times New Roman" w:eastAsia="宋体" w:cs="Times New Roman"/>
          <w:szCs w:val="21"/>
        </w:rPr>
        <w:t>达成度评价依据和方法</w:t>
      </w:r>
    </w:p>
    <w:p>
      <w:pPr>
        <w:adjustRightInd w:val="0"/>
        <w:snapToGrid w:val="0"/>
        <w:spacing w:line="300" w:lineRule="auto"/>
        <w:ind w:firstLine="420" w:firstLineChars="200"/>
        <w:rPr>
          <w:rFonts w:ascii="Times New Roman" w:hAnsi="Times New Roman" w:eastAsia="宋体" w:cs="Times New Roman"/>
        </w:rPr>
      </w:pPr>
      <w:r>
        <w:rPr>
          <w:rFonts w:hint="eastAsia" w:ascii="Times New Roman" w:hAnsi="Times New Roman" w:eastAsia="宋体" w:cs="Times New Roman"/>
        </w:rPr>
        <w:t>课程目标由课程考核获得的数据进行评价，课程目标达成度为该课程目标学生的平均得分率，其计算公式为：</w:t>
      </w:r>
    </w:p>
    <w:p>
      <w:pPr>
        <w:adjustRightInd w:val="0"/>
        <w:snapToGrid w:val="0"/>
        <w:spacing w:line="300" w:lineRule="auto"/>
        <w:jc w:val="center"/>
        <w:rPr>
          <w:rFonts w:ascii="Times New Roman" w:hAnsi="Times New Roman" w:eastAsia="宋体" w:cs="Times New Roman"/>
        </w:rPr>
      </w:pPr>
      <w:r>
        <w:rPr>
          <w:rFonts w:ascii="Times New Roman" w:hAnsi="Times New Roman" w:eastAsia="宋体" w:cs="Times New Roman"/>
          <w:position w:val="-26"/>
        </w:rPr>
        <w:object>
          <v:shape id="_x0000_i1264" o:spt="75" type="#_x0000_t75" style="height:28.5pt;width:361.5pt;" o:ole="t" filled="f" o:preferrelative="t" stroked="f" coordsize="21600,21600">
            <v:path/>
            <v:fill on="f" focussize="0,0"/>
            <v:stroke on="f" joinstyle="miter"/>
            <v:imagedata r:id="rId36" o:title=""/>
            <o:lock v:ext="edit" aspectratio="t"/>
            <w10:wrap type="none"/>
            <w10:anchorlock/>
          </v:shape>
          <o:OLEObject Type="Embed" ProgID="Equation.3" ShapeID="_x0000_i1264" DrawAspect="Content" ObjectID="_1468075962" r:id="rId295">
            <o:LockedField>false</o:LockedField>
          </o:OLEObject>
        </w:object>
      </w:r>
    </w:p>
    <w:p>
      <w:pPr>
        <w:adjustRightInd w:val="0"/>
        <w:snapToGrid w:val="0"/>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课程支撑毕业要求指标点的评价方式</w:t>
      </w:r>
    </w:p>
    <w:p>
      <w:pPr>
        <w:adjustRightInd w:val="0"/>
        <w:snapToGrid w:val="0"/>
        <w:spacing w:line="300" w:lineRule="auto"/>
        <w:ind w:firstLine="420" w:firstLineChars="200"/>
        <w:jc w:val="left"/>
        <w:rPr>
          <w:rFonts w:ascii="Times New Roman" w:hAnsi="Times New Roman" w:eastAsia="宋体" w:cs="Times New Roman"/>
          <w:bCs/>
        </w:rPr>
      </w:pPr>
      <w:r>
        <w:rPr>
          <w:rFonts w:hint="eastAsia" w:ascii="Times New Roman" w:hAnsi="Times New Roman" w:eastAsia="宋体" w:cs="Times New Roman"/>
          <w:bCs/>
        </w:rPr>
        <w:t>课程支撑毕业要求指标点的达成度为对应的课程目标达成度的加权值，其计算公式及系数为：</w:t>
      </w:r>
    </w:p>
    <w:p>
      <w:pPr>
        <w:adjustRightInd w:val="0"/>
        <w:snapToGrid w:val="0"/>
        <w:spacing w:line="300" w:lineRule="auto"/>
        <w:jc w:val="center"/>
        <w:rPr>
          <w:rFonts w:ascii="Times New Roman" w:hAnsi="Times New Roman" w:eastAsia="宋体" w:cs="Times New Roman"/>
          <w:bCs/>
        </w:rPr>
      </w:pPr>
      <w:r>
        <w:rPr>
          <w:rFonts w:ascii="Times New Roman" w:hAnsi="Times New Roman" w:eastAsia="宋体" w:cs="Times New Roman"/>
          <w:position w:val="-14"/>
        </w:rPr>
        <w:object>
          <v:shape id="_x0000_i1265" o:spt="75" type="#_x0000_t75" style="height:20.25pt;width:298.5pt;" o:ole="t" filled="f" o:preferrelative="t" stroked="f" coordsize="21600,21600">
            <v:path/>
            <v:fill on="f" focussize="0,0"/>
            <v:stroke on="f" joinstyle="miter"/>
            <v:imagedata r:id="rId297" o:title=""/>
            <o:lock v:ext="edit" aspectratio="t"/>
            <w10:wrap type="none"/>
            <w10:anchorlock/>
          </v:shape>
          <o:OLEObject Type="Embed" ProgID="Equation.DSMT4" ShapeID="_x0000_i1265" DrawAspect="Content" ObjectID="_1468075963" r:id="rId296">
            <o:LockedField>false</o:LockedField>
          </o:OLEObject>
        </w:object>
      </w:r>
    </w:p>
    <w:p>
      <w:pPr>
        <w:adjustRightInd w:val="0"/>
        <w:snapToGrid w:val="0"/>
        <w:spacing w:line="300" w:lineRule="auto"/>
        <w:rPr>
          <w:rFonts w:ascii="Times New Roman" w:hAnsi="Times New Roman" w:eastAsia="宋体" w:cs="Times New Roman"/>
        </w:rPr>
      </w:pPr>
      <w:r>
        <w:rPr>
          <w:rFonts w:hint="eastAsia" w:ascii="Times New Roman" w:hAnsi="Times New Roman" w:eastAsia="宋体" w:cs="Times New Roman"/>
        </w:rPr>
        <w:t>其中权重系数按照表</w:t>
      </w:r>
      <w:r>
        <w:rPr>
          <w:rFonts w:ascii="Times New Roman" w:hAnsi="Times New Roman" w:eastAsia="宋体" w:cs="Times New Roman"/>
        </w:rPr>
        <w:t>5</w:t>
      </w:r>
      <w:r>
        <w:rPr>
          <w:rFonts w:hint="eastAsia" w:ascii="Times New Roman" w:hAnsi="Times New Roman" w:eastAsia="宋体" w:cs="Times New Roman"/>
        </w:rPr>
        <w:t>设定。</w:t>
      </w:r>
    </w:p>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表</w:t>
      </w:r>
      <w:r>
        <w:rPr>
          <w:rFonts w:ascii="Times New Roman" w:hAnsi="Times New Roman" w:eastAsia="宋体" w:cs="Times New Roman"/>
          <w:b/>
          <w:bCs/>
          <w:sz w:val="18"/>
          <w:szCs w:val="18"/>
        </w:rPr>
        <w:t>5</w:t>
      </w:r>
      <w:r>
        <w:rPr>
          <w:rFonts w:hint="eastAsia" w:ascii="Times New Roman" w:hAnsi="Times New Roman" w:eastAsia="宋体" w:cs="Times New Roman"/>
          <w:b/>
          <w:bCs/>
          <w:sz w:val="18"/>
          <w:szCs w:val="18"/>
        </w:rPr>
        <w:t>课程目标权重系数</w:t>
      </w:r>
    </w:p>
    <w:tbl>
      <w:tblPr>
        <w:tblStyle w:val="2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98"/>
        <w:gridCol w:w="1585"/>
        <w:gridCol w:w="1877"/>
        <w:gridCol w:w="1859"/>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5" w:hRule="atLeast"/>
          <w:jc w:val="center"/>
        </w:trPr>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课程目标</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8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5" w:hRule="atLeast"/>
          <w:jc w:val="center"/>
        </w:trPr>
        <w:tc>
          <w:tcPr>
            <w:tcW w:w="14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权重系数</w:t>
            </w:r>
          </w:p>
        </w:tc>
        <w:tc>
          <w:tcPr>
            <w:tcW w:w="1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c>
          <w:tcPr>
            <w:tcW w:w="18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8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0.3</w:t>
            </w:r>
          </w:p>
        </w:tc>
        <w:tc>
          <w:tcPr>
            <w:tcW w:w="18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w:t>
            </w:r>
          </w:p>
        </w:tc>
      </w:tr>
    </w:tbl>
    <w:p>
      <w:pPr>
        <w:adjustRightInd w:val="0"/>
        <w:snapToGrid w:val="0"/>
        <w:spacing w:line="300" w:lineRule="auto"/>
        <w:jc w:val="center"/>
        <w:rPr>
          <w:rFonts w:ascii="Times New Roman" w:hAnsi="Times New Roman" w:eastAsia="宋体" w:cs="Times New Roman"/>
        </w:rPr>
      </w:pP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rPr>
        <w:t>．</w:t>
      </w:r>
      <w:r>
        <w:rPr>
          <w:rFonts w:hint="eastAsia" w:ascii="Times New Roman" w:hAnsi="Times New Roman" w:eastAsia="宋体" w:cs="Times New Roman"/>
          <w:szCs w:val="21"/>
        </w:rPr>
        <w:t>课程总结要求</w:t>
      </w:r>
    </w:p>
    <w:p>
      <w:pPr>
        <w:adjustRightInd w:val="0"/>
        <w:snapToGrid w:val="0"/>
        <w:spacing w:line="30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依据达成度评价、教师自评、学生评价，以及课程教学情况、考试情况，对课程进行有针对性的总结，每学年撰写试卷分析、课程总结与自我评价表，提出持续改进课程教学的措施。</w:t>
      </w:r>
    </w:p>
    <w:p>
      <w:pPr>
        <w:snapToGrid w:val="0"/>
        <w:spacing w:before="156" w:beforeLines="50" w:after="156" w:afterLines="50" w:line="300" w:lineRule="auto"/>
        <w:rPr>
          <w:rFonts w:ascii="Times New Roman" w:hAnsi="Times New Roman" w:eastAsia="宋体" w:cs="Times New Roman"/>
          <w:b/>
          <w:sz w:val="24"/>
        </w:rPr>
      </w:pPr>
      <w:r>
        <w:rPr>
          <w:rFonts w:hint="eastAsia" w:ascii="Times New Roman" w:hAnsi="Times New Roman" w:eastAsia="宋体" w:cs="Times New Roman"/>
          <w:b/>
          <w:sz w:val="24"/>
        </w:rPr>
        <w:t>七、教材及参考资料</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．教材</w:t>
      </w:r>
    </w:p>
    <w:p>
      <w:pPr>
        <w:adjustRightInd w:val="0"/>
        <w:snapToGrid w:val="0"/>
        <w:spacing w:line="300" w:lineRule="auto"/>
        <w:ind w:firstLine="424" w:firstLineChars="202"/>
        <w:rPr>
          <w:rFonts w:ascii="Times New Roman" w:hAnsi="Times New Roman" w:eastAsia="宋体" w:cs="Times New Roman"/>
          <w:bCs/>
          <w:szCs w:val="21"/>
        </w:rPr>
      </w:pPr>
      <w:r>
        <w:rPr>
          <w:rFonts w:hint="eastAsia" w:ascii="Times New Roman" w:hAnsi="Times New Roman" w:eastAsia="宋体" w:cs="Times New Roman"/>
          <w:bCs/>
          <w:szCs w:val="21"/>
        </w:rPr>
        <w:t>管理经济学（第7版），吴德庆等，人民大学出版社，</w:t>
      </w:r>
      <w:r>
        <w:rPr>
          <w:rFonts w:ascii="Times New Roman" w:hAnsi="Times New Roman" w:eastAsia="宋体" w:cs="Times New Roman"/>
          <w:bCs/>
          <w:szCs w:val="21"/>
        </w:rPr>
        <w:t>2018</w:t>
      </w:r>
      <w:r>
        <w:rPr>
          <w:rFonts w:hint="eastAsia" w:ascii="Times New Roman" w:hAnsi="Times New Roman" w:eastAsia="宋体" w:cs="Times New Roman"/>
          <w:bCs/>
          <w:szCs w:val="21"/>
        </w:rPr>
        <w:t>年。</w:t>
      </w:r>
    </w:p>
    <w:p>
      <w:pPr>
        <w:adjustRightInd w:val="0"/>
        <w:snapToGrid w:val="0"/>
        <w:spacing w:line="300" w:lineRule="auto"/>
        <w:ind w:firstLine="420" w:firstLineChars="200"/>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．参考资料</w:t>
      </w:r>
    </w:p>
    <w:p>
      <w:pPr>
        <w:adjustRightInd w:val="0"/>
        <w:snapToGrid w:val="0"/>
        <w:spacing w:line="300" w:lineRule="auto"/>
        <w:ind w:firstLine="424" w:firstLineChars="202"/>
        <w:rPr>
          <w:rFonts w:ascii="Times New Roman" w:hAnsi="Times New Roman" w:eastAsia="宋体" w:cs="Times New Roman"/>
          <w:bCs/>
          <w:szCs w:val="21"/>
        </w:rPr>
      </w:pPr>
      <w:r>
        <w:rPr>
          <w:rFonts w:ascii="Times New Roman" w:hAnsi="Times New Roman" w:eastAsia="宋体" w:cs="Times New Roman"/>
          <w:bCs/>
          <w:szCs w:val="21"/>
        </w:rPr>
        <w:t>西方经济学</w:t>
      </w:r>
      <w:r>
        <w:rPr>
          <w:rFonts w:hint="eastAsia" w:ascii="Times New Roman" w:hAnsi="Times New Roman" w:eastAsia="宋体" w:cs="Times New Roman"/>
          <w:bCs/>
          <w:szCs w:val="21"/>
        </w:rPr>
        <w:t>（宏观部分），高鸿业，人民大学出版社，</w:t>
      </w:r>
      <w:r>
        <w:rPr>
          <w:rFonts w:ascii="Times New Roman" w:hAnsi="Times New Roman" w:eastAsia="宋体" w:cs="Times New Roman"/>
          <w:bCs/>
          <w:szCs w:val="21"/>
        </w:rPr>
        <w:t>2018</w:t>
      </w:r>
      <w:r>
        <w:rPr>
          <w:rFonts w:hint="eastAsia" w:ascii="Times New Roman" w:hAnsi="Times New Roman" w:eastAsia="宋体" w:cs="Times New Roman"/>
          <w:bCs/>
          <w:szCs w:val="21"/>
        </w:rPr>
        <w:t>年。</w:t>
      </w:r>
    </w:p>
    <w:p>
      <w:pPr>
        <w:adjustRightInd w:val="0"/>
        <w:snapToGrid w:val="0"/>
        <w:spacing w:line="300" w:lineRule="auto"/>
        <w:ind w:firstLine="424" w:firstLineChars="202"/>
        <w:rPr>
          <w:rFonts w:ascii="Times New Roman" w:hAnsi="Times New Roman" w:eastAsia="宋体" w:cs="Times New Roman"/>
        </w:rPr>
      </w:pPr>
      <w:r>
        <w:rPr>
          <w:rFonts w:ascii="Times New Roman" w:hAnsi="Times New Roman" w:eastAsia="宋体" w:cs="Times New Roman"/>
          <w:bCs/>
          <w:szCs w:val="21"/>
        </w:rPr>
        <w:t>西方经济学</w:t>
      </w:r>
      <w:r>
        <w:rPr>
          <w:rFonts w:hint="eastAsia" w:ascii="Times New Roman" w:hAnsi="Times New Roman" w:eastAsia="宋体" w:cs="Times New Roman"/>
          <w:bCs/>
          <w:szCs w:val="21"/>
        </w:rPr>
        <w:t>（微观部分），高鸿业，人民大学出版社，</w:t>
      </w:r>
      <w:r>
        <w:rPr>
          <w:rFonts w:ascii="Times New Roman" w:hAnsi="Times New Roman" w:eastAsia="宋体" w:cs="Times New Roman"/>
          <w:bCs/>
          <w:szCs w:val="21"/>
        </w:rPr>
        <w:t>2018</w:t>
      </w:r>
      <w:r>
        <w:rPr>
          <w:rFonts w:hint="eastAsia" w:ascii="Times New Roman" w:hAnsi="Times New Roman" w:eastAsia="宋体" w:cs="Times New Roman"/>
          <w:bCs/>
          <w:szCs w:val="21"/>
        </w:rPr>
        <w:t>年。</w:t>
      </w:r>
    </w:p>
    <w:p>
      <w:pPr>
        <w:adjustRightInd w:val="0"/>
        <w:snapToGrid w:val="0"/>
        <w:spacing w:line="300" w:lineRule="auto"/>
        <w:ind w:firstLine="420" w:firstLineChars="200"/>
        <w:rPr>
          <w:rFonts w:ascii="Times New Roman" w:hAnsi="Times New Roman" w:eastAsia="宋体" w:cs="Times New Roman"/>
        </w:rPr>
      </w:pPr>
    </w:p>
    <w:p>
      <w:pPr>
        <w:adjustRightInd w:val="0"/>
        <w:snapToGrid w:val="0"/>
        <w:spacing w:line="300" w:lineRule="auto"/>
        <w:ind w:firstLine="5565" w:firstLineChars="2650"/>
        <w:jc w:val="right"/>
        <w:rPr>
          <w:rFonts w:ascii="Times New Roman" w:hAnsi="Times New Roman" w:eastAsia="宋体" w:cs="Times New Roman"/>
        </w:rPr>
      </w:pPr>
      <w:r>
        <w:rPr>
          <w:rFonts w:hint="eastAsia" w:ascii="Times New Roman" w:hAnsi="Times New Roman" w:eastAsia="宋体" w:cs="Times New Roman"/>
        </w:rPr>
        <w:t>审定人：王骥</w:t>
      </w:r>
    </w:p>
    <w:p>
      <w:pPr>
        <w:adjustRightInd w:val="0"/>
        <w:snapToGrid w:val="0"/>
        <w:spacing w:line="300" w:lineRule="auto"/>
        <w:ind w:firstLine="5565" w:firstLineChars="2650"/>
        <w:jc w:val="right"/>
        <w:rPr>
          <w:rFonts w:ascii="Times New Roman" w:hAnsi="Times New Roman" w:eastAsia="宋体" w:cs="Times New Roman"/>
        </w:rPr>
      </w:pPr>
      <w:r>
        <w:rPr>
          <w:rFonts w:hint="eastAsia" w:ascii="Times New Roman" w:hAnsi="Times New Roman" w:eastAsia="宋体" w:cs="Times New Roman"/>
        </w:rPr>
        <w:t>批准人：张炎生</w:t>
      </w:r>
    </w:p>
    <w:p>
      <w:pPr>
        <w:adjustRightInd w:val="0"/>
        <w:snapToGrid w:val="0"/>
        <w:spacing w:line="300" w:lineRule="auto"/>
        <w:ind w:firstLine="5565" w:firstLineChars="2650"/>
        <w:jc w:val="right"/>
        <w:rPr>
          <w:rFonts w:ascii="Times New Roman" w:hAnsi="Times New Roman" w:eastAsia="宋体" w:cs="Times New Roman"/>
        </w:rPr>
      </w:pPr>
      <w:r>
        <w:rPr>
          <w:rFonts w:hint="eastAsia" w:ascii="Times New Roman" w:hAnsi="Times New Roman" w:eastAsia="宋体" w:cs="Times New Roman"/>
        </w:rPr>
        <w:t>日 期：2022.04.</w:t>
      </w:r>
      <w:r>
        <w:rPr>
          <w:rFonts w:ascii="Times New Roman" w:hAnsi="Times New Roman" w:eastAsia="宋体" w:cs="Times New Roman"/>
        </w:rPr>
        <w:t>2</w:t>
      </w:r>
      <w:r>
        <w:rPr>
          <w:rFonts w:hint="eastAsia" w:ascii="Times New Roman" w:hAnsi="Times New Roman" w:eastAsia="宋体" w:cs="Times New Roman"/>
        </w:rPr>
        <w:t>0</w:t>
      </w:r>
    </w:p>
    <w:p>
      <w:pPr>
        <w:pStyle w:val="2"/>
        <w:numPr>
          <w:ilvl w:val="0"/>
          <w:numId w:val="0"/>
        </w:numPr>
        <w:spacing w:before="0" w:after="0" w:line="360" w:lineRule="auto"/>
        <w:ind w:left="284"/>
        <w:rPr>
          <w:rFonts w:ascii="Times New Roman" w:hAnsi="Times New Roman" w:cs="Times New Roman"/>
          <w:sz w:val="32"/>
          <w:szCs w:val="32"/>
        </w:rPr>
        <w:sectPr>
          <w:pgSz w:w="11906" w:h="16838"/>
          <w:pgMar w:top="1440" w:right="1800" w:bottom="1440" w:left="1800" w:header="851" w:footer="992" w:gutter="0"/>
          <w:cols w:space="425" w:num="1"/>
          <w:docGrid w:type="lines" w:linePitch="312" w:charSpace="0"/>
        </w:sectPr>
      </w:pPr>
    </w:p>
    <w:p/>
    <w:sectPr>
      <w:footerReference r:id="rId2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Song">
    <w:altName w:val="宋体"/>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III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III</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312</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16205" cy="1397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386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1pt;width:9.15pt;mso-position-horizontal:center;mso-position-horizontal-relative:margin;mso-wrap-style:none;z-index:251673600;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F4ko0gAAAAMBAAAPAAAAAAAAAAEAIAAAACIAAABkcnMvZG93bnJldi54bWxQ&#10;SwECFAAUAAAACACHTuJAhZrjKDYCAABhBAAADgAAAAAAAAABACAAAAAhAQAAZHJzL2Uyb0RvYy54&#10;bWxQSwUGAAAAAAYABgBZAQAAy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386</w:t>
                    </w:r>
                    <w:r>
                      <w:rPr>
                        <w:rFonts w:hint="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396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396</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397</w:t>
                    </w:r>
                    <w:r>
                      <w:rPr>
                        <w:rFonts w:hint="eastAsia"/>
                      </w:rPr>
                      <w:fldChar w:fldCharType="end"/>
                    </w:r>
                  </w:p>
                </w:txbxContent>
              </v:textbox>
            </v:shape>
          </w:pict>
        </mc:Fallback>
      </mc:AlternateContent>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480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480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FDsm8M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MXAPCu0PCwqWfjDpCTcVwToXRtFN5Ef68l6yn/2j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EUOybwwEAAI8DAAAOAAAAAAAAAAEAIAAAAB4BAABkcnMvZTJvRG9jLnhtbFBL&#10;BQYAAAAABgAGAFkBAABT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PAGE   \* MERGEFORMAT</w:instrText>
                          </w:r>
                          <w:r>
                            <w:fldChar w:fldCharType="separate"/>
                          </w:r>
                          <w:r>
                            <w:rPr>
                              <w:lang w:val="zh-CN"/>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37</w:t>
                    </w:r>
                    <w:r>
                      <w:fldChar w:fldCharType="end"/>
                    </w:r>
                  </w:p>
                </w:txbxContent>
              </v:textbox>
            </v:shape>
          </w:pict>
        </mc:Fallback>
      </mc:AlternateContent>
    </w:r>
  </w:p>
  <w:p>
    <w:pPr>
      <w:pStyle w:val="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162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162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F2EBE"/>
    <w:multiLevelType w:val="singleLevel"/>
    <w:tmpl w:val="800F2EBE"/>
    <w:lvl w:ilvl="0" w:tentative="0">
      <w:start w:val="1"/>
      <w:numFmt w:val="decimal"/>
      <w:suff w:val="nothing"/>
      <w:lvlText w:val="%1．"/>
      <w:lvlJc w:val="left"/>
    </w:lvl>
  </w:abstractNum>
  <w:abstractNum w:abstractNumId="1">
    <w:nsid w:val="82F92323"/>
    <w:multiLevelType w:val="singleLevel"/>
    <w:tmpl w:val="82F92323"/>
    <w:lvl w:ilvl="0" w:tentative="0">
      <w:start w:val="1"/>
      <w:numFmt w:val="decimal"/>
      <w:lvlText w:val="%1."/>
      <w:lvlJc w:val="left"/>
      <w:pPr>
        <w:tabs>
          <w:tab w:val="left" w:pos="312"/>
        </w:tabs>
        <w:ind w:left="51" w:firstLine="0"/>
      </w:pPr>
    </w:lvl>
  </w:abstractNum>
  <w:abstractNum w:abstractNumId="2">
    <w:nsid w:val="8A0FDEBC"/>
    <w:multiLevelType w:val="singleLevel"/>
    <w:tmpl w:val="8A0FDEBC"/>
    <w:lvl w:ilvl="0" w:tentative="0">
      <w:start w:val="4"/>
      <w:numFmt w:val="decimal"/>
      <w:suff w:val="space"/>
      <w:lvlText w:val="第%1章"/>
      <w:lvlJc w:val="left"/>
    </w:lvl>
  </w:abstractNum>
  <w:abstractNum w:abstractNumId="3">
    <w:nsid w:val="8A35FCD4"/>
    <w:multiLevelType w:val="multilevel"/>
    <w:tmpl w:val="8A35FCD4"/>
    <w:lvl w:ilvl="0" w:tentative="0">
      <w:start w:val="3"/>
      <w:numFmt w:val="decimal"/>
      <w:suff w:val="space"/>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948B3166"/>
    <w:multiLevelType w:val="singleLevel"/>
    <w:tmpl w:val="948B3166"/>
    <w:lvl w:ilvl="0" w:tentative="0">
      <w:start w:val="1"/>
      <w:numFmt w:val="decimal"/>
      <w:suff w:val="nothing"/>
      <w:lvlText w:val="%1、"/>
      <w:lvlJc w:val="left"/>
    </w:lvl>
  </w:abstractNum>
  <w:abstractNum w:abstractNumId="5">
    <w:nsid w:val="96612B9B"/>
    <w:multiLevelType w:val="singleLevel"/>
    <w:tmpl w:val="96612B9B"/>
    <w:lvl w:ilvl="0" w:tentative="0">
      <w:start w:val="1"/>
      <w:numFmt w:val="decimal"/>
      <w:suff w:val="space"/>
      <w:lvlText w:val="%1."/>
      <w:lvlJc w:val="left"/>
    </w:lvl>
  </w:abstractNum>
  <w:abstractNum w:abstractNumId="6">
    <w:nsid w:val="9A349DFE"/>
    <w:multiLevelType w:val="singleLevel"/>
    <w:tmpl w:val="9A349DFE"/>
    <w:lvl w:ilvl="0" w:tentative="0">
      <w:start w:val="1"/>
      <w:numFmt w:val="decimal"/>
      <w:suff w:val="nothing"/>
      <w:lvlText w:val="（%1）"/>
      <w:lvlJc w:val="left"/>
    </w:lvl>
  </w:abstractNum>
  <w:abstractNum w:abstractNumId="7">
    <w:nsid w:val="9AC359DD"/>
    <w:multiLevelType w:val="singleLevel"/>
    <w:tmpl w:val="9AC359DD"/>
    <w:lvl w:ilvl="0" w:tentative="0">
      <w:start w:val="2"/>
      <w:numFmt w:val="decimal"/>
      <w:suff w:val="nothing"/>
      <w:lvlText w:val="%1、"/>
      <w:lvlJc w:val="left"/>
    </w:lvl>
  </w:abstractNum>
  <w:abstractNum w:abstractNumId="8">
    <w:nsid w:val="A4377BCC"/>
    <w:multiLevelType w:val="singleLevel"/>
    <w:tmpl w:val="A4377BCC"/>
    <w:lvl w:ilvl="0" w:tentative="0">
      <w:start w:val="7"/>
      <w:numFmt w:val="chineseCounting"/>
      <w:suff w:val="nothing"/>
      <w:lvlText w:val="%1、"/>
      <w:lvlJc w:val="left"/>
      <w:rPr>
        <w:rFonts w:hint="eastAsia"/>
      </w:rPr>
    </w:lvl>
  </w:abstractNum>
  <w:abstractNum w:abstractNumId="9">
    <w:nsid w:val="AB3A16B4"/>
    <w:multiLevelType w:val="singleLevel"/>
    <w:tmpl w:val="AB3A16B4"/>
    <w:lvl w:ilvl="0" w:tentative="0">
      <w:start w:val="3"/>
      <w:numFmt w:val="chineseCounting"/>
      <w:suff w:val="space"/>
      <w:lvlText w:val="第%1章"/>
      <w:lvlJc w:val="left"/>
      <w:rPr>
        <w:rFonts w:hint="eastAsia"/>
      </w:rPr>
    </w:lvl>
  </w:abstractNum>
  <w:abstractNum w:abstractNumId="10">
    <w:nsid w:val="ACE222C2"/>
    <w:multiLevelType w:val="multilevel"/>
    <w:tmpl w:val="ACE222C2"/>
    <w:lvl w:ilvl="0" w:tentative="0">
      <w:start w:val="5"/>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BD3EBA98"/>
    <w:multiLevelType w:val="singleLevel"/>
    <w:tmpl w:val="BD3EBA98"/>
    <w:lvl w:ilvl="0" w:tentative="0">
      <w:start w:val="1"/>
      <w:numFmt w:val="decimal"/>
      <w:suff w:val="space"/>
      <w:lvlText w:val="%1."/>
      <w:lvlJc w:val="left"/>
    </w:lvl>
  </w:abstractNum>
  <w:abstractNum w:abstractNumId="12">
    <w:nsid w:val="C954C268"/>
    <w:multiLevelType w:val="singleLevel"/>
    <w:tmpl w:val="C954C268"/>
    <w:lvl w:ilvl="0" w:tentative="0">
      <w:start w:val="1"/>
      <w:numFmt w:val="decimalEnclosedCircleChinese"/>
      <w:suff w:val="nothing"/>
      <w:lvlText w:val="%1　"/>
      <w:lvlJc w:val="left"/>
      <w:pPr>
        <w:ind w:left="0" w:firstLine="400"/>
      </w:pPr>
      <w:rPr>
        <w:rFonts w:hint="eastAsia"/>
      </w:rPr>
    </w:lvl>
  </w:abstractNum>
  <w:abstractNum w:abstractNumId="13">
    <w:nsid w:val="DE8942DD"/>
    <w:multiLevelType w:val="singleLevel"/>
    <w:tmpl w:val="DE8942DD"/>
    <w:lvl w:ilvl="0" w:tentative="0">
      <w:start w:val="1"/>
      <w:numFmt w:val="decimalEnclosedCircleChinese"/>
      <w:suff w:val="nothing"/>
      <w:lvlText w:val="%1　"/>
      <w:lvlJc w:val="left"/>
      <w:pPr>
        <w:ind w:left="0" w:firstLine="400"/>
      </w:pPr>
      <w:rPr>
        <w:rFonts w:hint="eastAsia"/>
      </w:rPr>
    </w:lvl>
  </w:abstractNum>
  <w:abstractNum w:abstractNumId="14">
    <w:nsid w:val="E896A657"/>
    <w:multiLevelType w:val="singleLevel"/>
    <w:tmpl w:val="E896A657"/>
    <w:lvl w:ilvl="0" w:tentative="0">
      <w:start w:val="10"/>
      <w:numFmt w:val="decimal"/>
      <w:suff w:val="space"/>
      <w:lvlText w:val="%1."/>
      <w:lvlJc w:val="left"/>
    </w:lvl>
  </w:abstractNum>
  <w:abstractNum w:abstractNumId="15">
    <w:nsid w:val="EA03741D"/>
    <w:multiLevelType w:val="singleLevel"/>
    <w:tmpl w:val="EA03741D"/>
    <w:lvl w:ilvl="0" w:tentative="0">
      <w:start w:val="1"/>
      <w:numFmt w:val="decimal"/>
      <w:suff w:val="nothing"/>
      <w:lvlText w:val="%1．"/>
      <w:lvlJc w:val="left"/>
    </w:lvl>
  </w:abstractNum>
  <w:abstractNum w:abstractNumId="16">
    <w:nsid w:val="EFA33AA6"/>
    <w:multiLevelType w:val="singleLevel"/>
    <w:tmpl w:val="EFA33AA6"/>
    <w:lvl w:ilvl="0" w:tentative="0">
      <w:start w:val="1"/>
      <w:numFmt w:val="decimal"/>
      <w:suff w:val="nothing"/>
      <w:lvlText w:val="（%1）"/>
      <w:lvlJc w:val="left"/>
    </w:lvl>
  </w:abstractNum>
  <w:abstractNum w:abstractNumId="17">
    <w:nsid w:val="F0011CCA"/>
    <w:multiLevelType w:val="singleLevel"/>
    <w:tmpl w:val="F0011CCA"/>
    <w:lvl w:ilvl="0" w:tentative="0">
      <w:start w:val="1"/>
      <w:numFmt w:val="decimal"/>
      <w:lvlText w:val="%1."/>
      <w:lvlJc w:val="left"/>
      <w:pPr>
        <w:tabs>
          <w:tab w:val="left" w:pos="312"/>
        </w:tabs>
      </w:pPr>
    </w:lvl>
  </w:abstractNum>
  <w:abstractNum w:abstractNumId="18">
    <w:nsid w:val="F7BE9FC7"/>
    <w:multiLevelType w:val="singleLevel"/>
    <w:tmpl w:val="F7BE9FC7"/>
    <w:lvl w:ilvl="0" w:tentative="0">
      <w:start w:val="1"/>
      <w:numFmt w:val="decimal"/>
      <w:suff w:val="nothing"/>
      <w:lvlText w:val="（%1）"/>
      <w:lvlJc w:val="left"/>
    </w:lvl>
  </w:abstractNum>
  <w:abstractNum w:abstractNumId="19">
    <w:nsid w:val="F9889382"/>
    <w:multiLevelType w:val="singleLevel"/>
    <w:tmpl w:val="F9889382"/>
    <w:lvl w:ilvl="0" w:tentative="0">
      <w:start w:val="9"/>
      <w:numFmt w:val="decimal"/>
      <w:lvlText w:val="%1."/>
      <w:lvlJc w:val="left"/>
      <w:pPr>
        <w:tabs>
          <w:tab w:val="left" w:pos="312"/>
        </w:tabs>
      </w:pPr>
    </w:lvl>
  </w:abstractNum>
  <w:abstractNum w:abstractNumId="20">
    <w:nsid w:val="F9EE4E1D"/>
    <w:multiLevelType w:val="singleLevel"/>
    <w:tmpl w:val="F9EE4E1D"/>
    <w:lvl w:ilvl="0" w:tentative="0">
      <w:start w:val="1"/>
      <w:numFmt w:val="decimal"/>
      <w:suff w:val="space"/>
      <w:lvlText w:val="%1."/>
      <w:lvlJc w:val="left"/>
    </w:lvl>
  </w:abstractNum>
  <w:abstractNum w:abstractNumId="21">
    <w:nsid w:val="010841FC"/>
    <w:multiLevelType w:val="multilevel"/>
    <w:tmpl w:val="010841F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03DC48D5"/>
    <w:multiLevelType w:val="multilevel"/>
    <w:tmpl w:val="03DC48D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044A3FE7"/>
    <w:multiLevelType w:val="multilevel"/>
    <w:tmpl w:val="044A3FE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08F310FA"/>
    <w:multiLevelType w:val="multilevel"/>
    <w:tmpl w:val="08F310F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090F88B9"/>
    <w:multiLevelType w:val="singleLevel"/>
    <w:tmpl w:val="090F88B9"/>
    <w:lvl w:ilvl="0" w:tentative="0">
      <w:start w:val="1"/>
      <w:numFmt w:val="decimal"/>
      <w:suff w:val="space"/>
      <w:lvlText w:val="%1."/>
      <w:lvlJc w:val="left"/>
    </w:lvl>
  </w:abstractNum>
  <w:abstractNum w:abstractNumId="26">
    <w:nsid w:val="0A80A0E0"/>
    <w:multiLevelType w:val="singleLevel"/>
    <w:tmpl w:val="0A80A0E0"/>
    <w:lvl w:ilvl="0" w:tentative="0">
      <w:start w:val="1"/>
      <w:numFmt w:val="decimal"/>
      <w:lvlText w:val="%1."/>
      <w:lvlJc w:val="left"/>
      <w:pPr>
        <w:tabs>
          <w:tab w:val="left" w:pos="312"/>
        </w:tabs>
      </w:pPr>
    </w:lvl>
  </w:abstractNum>
  <w:abstractNum w:abstractNumId="27">
    <w:nsid w:val="0D117BCA"/>
    <w:multiLevelType w:val="multilevel"/>
    <w:tmpl w:val="0D117BC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0D1922CB"/>
    <w:multiLevelType w:val="multilevel"/>
    <w:tmpl w:val="0D1922C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0D397A4B"/>
    <w:multiLevelType w:val="multilevel"/>
    <w:tmpl w:val="0D397A4B"/>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0">
    <w:nsid w:val="0E020643"/>
    <w:multiLevelType w:val="multilevel"/>
    <w:tmpl w:val="0E02064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1">
    <w:nsid w:val="0E185828"/>
    <w:multiLevelType w:val="multilevel"/>
    <w:tmpl w:val="0E18582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12BF696B"/>
    <w:multiLevelType w:val="multilevel"/>
    <w:tmpl w:val="12BF696B"/>
    <w:lvl w:ilvl="0" w:tentative="0">
      <w:start w:val="9"/>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3">
    <w:nsid w:val="12D10197"/>
    <w:multiLevelType w:val="multilevel"/>
    <w:tmpl w:val="12D10197"/>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4">
    <w:nsid w:val="163D465F"/>
    <w:multiLevelType w:val="multilevel"/>
    <w:tmpl w:val="163D465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16D5239D"/>
    <w:multiLevelType w:val="multilevel"/>
    <w:tmpl w:val="16D5239D"/>
    <w:lvl w:ilvl="0" w:tentative="0">
      <w:start w:val="1"/>
      <w:numFmt w:val="japaneseCounting"/>
      <w:lvlText w:val="%1、"/>
      <w:lvlJc w:val="left"/>
      <w:pPr>
        <w:ind w:left="360" w:hanging="360"/>
      </w:pPr>
      <w:rPr>
        <w:rFonts w:hint="default" w:ascii="Times New Roman" w:hAnsi="Times New Roman"/>
        <w:b w:val="0"/>
        <w:sz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6DD2F7E"/>
    <w:multiLevelType w:val="singleLevel"/>
    <w:tmpl w:val="16DD2F7E"/>
    <w:lvl w:ilvl="0" w:tentative="0">
      <w:start w:val="1"/>
      <w:numFmt w:val="decimal"/>
      <w:lvlText w:val="(%1)"/>
      <w:lvlJc w:val="left"/>
      <w:pPr>
        <w:tabs>
          <w:tab w:val="left" w:pos="312"/>
        </w:tabs>
      </w:pPr>
    </w:lvl>
  </w:abstractNum>
  <w:abstractNum w:abstractNumId="37">
    <w:nsid w:val="17CF2629"/>
    <w:multiLevelType w:val="multilevel"/>
    <w:tmpl w:val="17CF262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8">
    <w:nsid w:val="1913327D"/>
    <w:multiLevelType w:val="multilevel"/>
    <w:tmpl w:val="1913327D"/>
    <w:lvl w:ilvl="0" w:tentative="0">
      <w:start w:val="7"/>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9">
    <w:nsid w:val="19563C5A"/>
    <w:multiLevelType w:val="multilevel"/>
    <w:tmpl w:val="19563C5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0">
    <w:nsid w:val="1AF561E1"/>
    <w:multiLevelType w:val="multilevel"/>
    <w:tmpl w:val="1AF561E1"/>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1">
    <w:nsid w:val="1B7E6BF9"/>
    <w:multiLevelType w:val="multilevel"/>
    <w:tmpl w:val="1B7E6BF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2">
    <w:nsid w:val="1D61430C"/>
    <w:multiLevelType w:val="multilevel"/>
    <w:tmpl w:val="1D61430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3">
    <w:nsid w:val="1DCD0442"/>
    <w:multiLevelType w:val="multilevel"/>
    <w:tmpl w:val="1DCD044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4">
    <w:nsid w:val="20173CA9"/>
    <w:multiLevelType w:val="multilevel"/>
    <w:tmpl w:val="20173CA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5">
    <w:nsid w:val="203009BC"/>
    <w:multiLevelType w:val="multilevel"/>
    <w:tmpl w:val="203009BC"/>
    <w:lvl w:ilvl="0" w:tentative="0">
      <w:start w:val="1"/>
      <w:numFmt w:val="decimal"/>
      <w:lvlText w:val="（%1）"/>
      <w:lvlJc w:val="left"/>
      <w:pPr>
        <w:ind w:left="1004" w:hanging="720"/>
      </w:pPr>
      <w:rPr>
        <w:rFonts w:hint="default"/>
        <w:lang w:val="zh-C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6">
    <w:nsid w:val="22014347"/>
    <w:multiLevelType w:val="singleLevel"/>
    <w:tmpl w:val="22014347"/>
    <w:lvl w:ilvl="0" w:tentative="0">
      <w:start w:val="1"/>
      <w:numFmt w:val="decimal"/>
      <w:suff w:val="space"/>
      <w:lvlText w:val="%1."/>
      <w:lvlJc w:val="left"/>
    </w:lvl>
  </w:abstractNum>
  <w:abstractNum w:abstractNumId="47">
    <w:nsid w:val="22AB3973"/>
    <w:multiLevelType w:val="multilevel"/>
    <w:tmpl w:val="22AB3973"/>
    <w:lvl w:ilvl="0" w:tentative="0">
      <w:start w:val="8"/>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8">
    <w:nsid w:val="239F5133"/>
    <w:multiLevelType w:val="multilevel"/>
    <w:tmpl w:val="239F513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25C071F0"/>
    <w:multiLevelType w:val="multilevel"/>
    <w:tmpl w:val="25C071F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0">
    <w:nsid w:val="2756A567"/>
    <w:multiLevelType w:val="singleLevel"/>
    <w:tmpl w:val="2756A567"/>
    <w:lvl w:ilvl="0" w:tentative="0">
      <w:start w:val="1"/>
      <w:numFmt w:val="decimal"/>
      <w:suff w:val="space"/>
      <w:lvlText w:val="%1."/>
      <w:lvlJc w:val="left"/>
    </w:lvl>
  </w:abstractNum>
  <w:abstractNum w:abstractNumId="51">
    <w:nsid w:val="277B57CF"/>
    <w:multiLevelType w:val="multilevel"/>
    <w:tmpl w:val="277B57CF"/>
    <w:lvl w:ilvl="0" w:tentative="0">
      <w:start w:val="1"/>
      <w:numFmt w:val="decimal"/>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83B0A52"/>
    <w:multiLevelType w:val="multilevel"/>
    <w:tmpl w:val="283B0A52"/>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53">
    <w:nsid w:val="2877241D"/>
    <w:multiLevelType w:val="multilevel"/>
    <w:tmpl w:val="2877241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4">
    <w:nsid w:val="293D32CD"/>
    <w:multiLevelType w:val="multilevel"/>
    <w:tmpl w:val="293D32C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2B8F5B5C"/>
    <w:multiLevelType w:val="multilevel"/>
    <w:tmpl w:val="2B8F5B5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6">
    <w:nsid w:val="2BAF242C"/>
    <w:multiLevelType w:val="multilevel"/>
    <w:tmpl w:val="2BAF242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7">
    <w:nsid w:val="2BEF2E5C"/>
    <w:multiLevelType w:val="multilevel"/>
    <w:tmpl w:val="2BEF2E5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8">
    <w:nsid w:val="2D87614E"/>
    <w:multiLevelType w:val="multilevel"/>
    <w:tmpl w:val="2D87614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9">
    <w:nsid w:val="2DBE1972"/>
    <w:multiLevelType w:val="multilevel"/>
    <w:tmpl w:val="2DBE197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0">
    <w:nsid w:val="2DFCAFAF"/>
    <w:multiLevelType w:val="singleLevel"/>
    <w:tmpl w:val="2DFCAFAF"/>
    <w:lvl w:ilvl="0" w:tentative="0">
      <w:start w:val="1"/>
      <w:numFmt w:val="decimal"/>
      <w:suff w:val="space"/>
      <w:lvlText w:val="%1."/>
      <w:lvlJc w:val="left"/>
    </w:lvl>
  </w:abstractNum>
  <w:abstractNum w:abstractNumId="61">
    <w:nsid w:val="2E441CD8"/>
    <w:multiLevelType w:val="multilevel"/>
    <w:tmpl w:val="2E441CD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2">
    <w:nsid w:val="2E5C3606"/>
    <w:multiLevelType w:val="multilevel"/>
    <w:tmpl w:val="2E5C36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2F4100BE"/>
    <w:multiLevelType w:val="multilevel"/>
    <w:tmpl w:val="2F4100BE"/>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64">
    <w:nsid w:val="320A741D"/>
    <w:multiLevelType w:val="multilevel"/>
    <w:tmpl w:val="320A741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5">
    <w:nsid w:val="332FD02E"/>
    <w:multiLevelType w:val="singleLevel"/>
    <w:tmpl w:val="332FD02E"/>
    <w:lvl w:ilvl="0" w:tentative="0">
      <w:start w:val="1"/>
      <w:numFmt w:val="chineseCounting"/>
      <w:suff w:val="nothing"/>
      <w:lvlText w:val="%1、"/>
      <w:lvlJc w:val="left"/>
      <w:rPr>
        <w:rFonts w:hint="eastAsia"/>
      </w:rPr>
    </w:lvl>
  </w:abstractNum>
  <w:abstractNum w:abstractNumId="66">
    <w:nsid w:val="345C5C83"/>
    <w:multiLevelType w:val="multilevel"/>
    <w:tmpl w:val="345C5C8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7">
    <w:nsid w:val="3495792C"/>
    <w:multiLevelType w:val="multilevel"/>
    <w:tmpl w:val="3495792C"/>
    <w:lvl w:ilvl="0" w:tentative="0">
      <w:start w:val="1"/>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68">
    <w:nsid w:val="37A47B09"/>
    <w:multiLevelType w:val="singleLevel"/>
    <w:tmpl w:val="37A47B09"/>
    <w:lvl w:ilvl="0" w:tentative="0">
      <w:start w:val="1"/>
      <w:numFmt w:val="decimalEnclosedCircleChinese"/>
      <w:suff w:val="nothing"/>
      <w:lvlText w:val="%1　"/>
      <w:lvlJc w:val="left"/>
      <w:pPr>
        <w:ind w:left="0" w:firstLine="400"/>
      </w:pPr>
      <w:rPr>
        <w:rFonts w:hint="eastAsia"/>
      </w:rPr>
    </w:lvl>
  </w:abstractNum>
  <w:abstractNum w:abstractNumId="69">
    <w:nsid w:val="3801384D"/>
    <w:multiLevelType w:val="multilevel"/>
    <w:tmpl w:val="3801384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0">
    <w:nsid w:val="3FF60A30"/>
    <w:multiLevelType w:val="multilevel"/>
    <w:tmpl w:val="3FF60A3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1">
    <w:nsid w:val="409A1758"/>
    <w:multiLevelType w:val="singleLevel"/>
    <w:tmpl w:val="409A1758"/>
    <w:lvl w:ilvl="0" w:tentative="0">
      <w:start w:val="1"/>
      <w:numFmt w:val="decimal"/>
      <w:lvlText w:val="%1."/>
      <w:lvlJc w:val="left"/>
      <w:pPr>
        <w:tabs>
          <w:tab w:val="left" w:pos="312"/>
        </w:tabs>
      </w:pPr>
    </w:lvl>
  </w:abstractNum>
  <w:abstractNum w:abstractNumId="72">
    <w:nsid w:val="414777A1"/>
    <w:multiLevelType w:val="multilevel"/>
    <w:tmpl w:val="414777A1"/>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44BCF1A2"/>
    <w:multiLevelType w:val="singleLevel"/>
    <w:tmpl w:val="44BCF1A2"/>
    <w:lvl w:ilvl="0" w:tentative="0">
      <w:start w:val="1"/>
      <w:numFmt w:val="decimal"/>
      <w:lvlText w:val="%1."/>
      <w:lvlJc w:val="left"/>
      <w:pPr>
        <w:tabs>
          <w:tab w:val="left" w:pos="312"/>
        </w:tabs>
      </w:pPr>
    </w:lvl>
  </w:abstractNum>
  <w:abstractNum w:abstractNumId="74">
    <w:nsid w:val="47A96ED4"/>
    <w:multiLevelType w:val="multilevel"/>
    <w:tmpl w:val="47A96ED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5">
    <w:nsid w:val="483B3705"/>
    <w:multiLevelType w:val="multilevel"/>
    <w:tmpl w:val="483B370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6">
    <w:nsid w:val="49661FFB"/>
    <w:multiLevelType w:val="multilevel"/>
    <w:tmpl w:val="49661FF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7">
    <w:nsid w:val="4BB0661A"/>
    <w:multiLevelType w:val="multilevel"/>
    <w:tmpl w:val="4BB0661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8">
    <w:nsid w:val="4C161D47"/>
    <w:multiLevelType w:val="multilevel"/>
    <w:tmpl w:val="4C161D4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9">
    <w:nsid w:val="4C47766E"/>
    <w:multiLevelType w:val="multilevel"/>
    <w:tmpl w:val="4C47766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0">
    <w:nsid w:val="4D78455B"/>
    <w:multiLevelType w:val="multilevel"/>
    <w:tmpl w:val="4D78455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1">
    <w:nsid w:val="4ECB0CE0"/>
    <w:multiLevelType w:val="singleLevel"/>
    <w:tmpl w:val="4ECB0CE0"/>
    <w:lvl w:ilvl="0" w:tentative="0">
      <w:start w:val="8"/>
      <w:numFmt w:val="decimal"/>
      <w:suff w:val="space"/>
      <w:lvlText w:val="%1."/>
      <w:lvlJc w:val="left"/>
    </w:lvl>
  </w:abstractNum>
  <w:abstractNum w:abstractNumId="82">
    <w:nsid w:val="502F52B3"/>
    <w:multiLevelType w:val="multilevel"/>
    <w:tmpl w:val="502F52B3"/>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83">
    <w:nsid w:val="51C52CA6"/>
    <w:multiLevelType w:val="multilevel"/>
    <w:tmpl w:val="51C52CA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4">
    <w:nsid w:val="51C66E04"/>
    <w:multiLevelType w:val="multilevel"/>
    <w:tmpl w:val="51C66E0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5">
    <w:nsid w:val="546A23DA"/>
    <w:multiLevelType w:val="multilevel"/>
    <w:tmpl w:val="546A23DA"/>
    <w:lvl w:ilvl="0" w:tentative="0">
      <w:start w:val="10"/>
      <w:numFmt w:val="decimal"/>
      <w:lvlText w:val="%1"/>
      <w:lvlJc w:val="left"/>
      <w:pPr>
        <w:ind w:left="384" w:hanging="384"/>
      </w:pPr>
      <w:rPr>
        <w:rFonts w:hint="default"/>
      </w:rPr>
    </w:lvl>
    <w:lvl w:ilvl="1" w:tentative="0">
      <w:start w:val="1"/>
      <w:numFmt w:val="decimal"/>
      <w:lvlText w:val="%1.%2"/>
      <w:lvlJc w:val="left"/>
      <w:pPr>
        <w:ind w:left="384" w:hanging="384"/>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86">
    <w:nsid w:val="56746F2E"/>
    <w:multiLevelType w:val="multilevel"/>
    <w:tmpl w:val="56746F2E"/>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87">
    <w:nsid w:val="57995213"/>
    <w:multiLevelType w:val="singleLevel"/>
    <w:tmpl w:val="57995213"/>
    <w:lvl w:ilvl="0" w:tentative="0">
      <w:start w:val="2"/>
      <w:numFmt w:val="decimal"/>
      <w:suff w:val="space"/>
      <w:lvlText w:val="[%1]"/>
      <w:lvlJc w:val="left"/>
    </w:lvl>
  </w:abstractNum>
  <w:abstractNum w:abstractNumId="88">
    <w:nsid w:val="5A71C742"/>
    <w:multiLevelType w:val="singleLevel"/>
    <w:tmpl w:val="5A71C742"/>
    <w:lvl w:ilvl="0" w:tentative="0">
      <w:start w:val="3"/>
      <w:numFmt w:val="decimal"/>
      <w:suff w:val="nothing"/>
      <w:lvlText w:val="%1、"/>
      <w:lvlJc w:val="left"/>
    </w:lvl>
  </w:abstractNum>
  <w:abstractNum w:abstractNumId="89">
    <w:nsid w:val="5CAE58E9"/>
    <w:multiLevelType w:val="multilevel"/>
    <w:tmpl w:val="5CAE58E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0">
    <w:nsid w:val="5CB26C0A"/>
    <w:multiLevelType w:val="multilevel"/>
    <w:tmpl w:val="5CB26C0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1">
    <w:nsid w:val="61123534"/>
    <w:multiLevelType w:val="multilevel"/>
    <w:tmpl w:val="6112353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2">
    <w:nsid w:val="62F46B27"/>
    <w:multiLevelType w:val="multilevel"/>
    <w:tmpl w:val="62F46B2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3">
    <w:nsid w:val="6BA93C2E"/>
    <w:multiLevelType w:val="singleLevel"/>
    <w:tmpl w:val="6BA93C2E"/>
    <w:lvl w:ilvl="0" w:tentative="0">
      <w:start w:val="3"/>
      <w:numFmt w:val="decimal"/>
      <w:suff w:val="space"/>
      <w:lvlText w:val="%1."/>
      <w:lvlJc w:val="left"/>
    </w:lvl>
  </w:abstractNum>
  <w:abstractNum w:abstractNumId="94">
    <w:nsid w:val="6D6347CF"/>
    <w:multiLevelType w:val="multilevel"/>
    <w:tmpl w:val="6D6347CF"/>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95">
    <w:nsid w:val="70041330"/>
    <w:multiLevelType w:val="multilevel"/>
    <w:tmpl w:val="70041330"/>
    <w:lvl w:ilvl="0" w:tentative="0">
      <w:start w:val="6"/>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6">
    <w:nsid w:val="70B51DE4"/>
    <w:multiLevelType w:val="multilevel"/>
    <w:tmpl w:val="70B51DE4"/>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7">
    <w:nsid w:val="716635C1"/>
    <w:multiLevelType w:val="multilevel"/>
    <w:tmpl w:val="716635C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8">
    <w:nsid w:val="71C4EDDE"/>
    <w:multiLevelType w:val="singleLevel"/>
    <w:tmpl w:val="71C4EDDE"/>
    <w:lvl w:ilvl="0" w:tentative="0">
      <w:start w:val="1"/>
      <w:numFmt w:val="decimal"/>
      <w:suff w:val="nothing"/>
      <w:lvlText w:val="%1．"/>
      <w:lvlJc w:val="left"/>
    </w:lvl>
  </w:abstractNum>
  <w:abstractNum w:abstractNumId="99">
    <w:nsid w:val="742915E1"/>
    <w:multiLevelType w:val="multilevel"/>
    <w:tmpl w:val="742915E1"/>
    <w:lvl w:ilvl="0" w:tentative="0">
      <w:start w:val="1"/>
      <w:numFmt w:val="decimal"/>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00">
    <w:nsid w:val="759A3EFF"/>
    <w:multiLevelType w:val="singleLevel"/>
    <w:tmpl w:val="759A3EFF"/>
    <w:lvl w:ilvl="0" w:tentative="0">
      <w:start w:val="1"/>
      <w:numFmt w:val="decimal"/>
      <w:lvlText w:val="%1."/>
      <w:lvlJc w:val="left"/>
      <w:pPr>
        <w:tabs>
          <w:tab w:val="left" w:pos="312"/>
        </w:tabs>
      </w:pPr>
    </w:lvl>
  </w:abstractNum>
  <w:abstractNum w:abstractNumId="101">
    <w:nsid w:val="76921EA2"/>
    <w:multiLevelType w:val="multilevel"/>
    <w:tmpl w:val="76921EA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2">
    <w:nsid w:val="772B09A3"/>
    <w:multiLevelType w:val="multilevel"/>
    <w:tmpl w:val="772B09A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3">
    <w:nsid w:val="775307AA"/>
    <w:multiLevelType w:val="multilevel"/>
    <w:tmpl w:val="775307A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4">
    <w:nsid w:val="77887023"/>
    <w:multiLevelType w:val="multilevel"/>
    <w:tmpl w:val="7788702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5">
    <w:nsid w:val="7798446A"/>
    <w:multiLevelType w:val="multilevel"/>
    <w:tmpl w:val="7798446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6">
    <w:nsid w:val="77E72CD3"/>
    <w:multiLevelType w:val="multilevel"/>
    <w:tmpl w:val="77E72CD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7">
    <w:nsid w:val="7C006395"/>
    <w:multiLevelType w:val="multilevel"/>
    <w:tmpl w:val="7C00639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7C7A29A1"/>
    <w:multiLevelType w:val="multilevel"/>
    <w:tmpl w:val="7C7A29A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9">
    <w:nsid w:val="7E7D8B20"/>
    <w:multiLevelType w:val="multilevel"/>
    <w:tmpl w:val="7E7D8B20"/>
    <w:lvl w:ilvl="0" w:tentative="0">
      <w:start w:val="1"/>
      <w:numFmt w:val="decimal"/>
      <w:pStyle w:val="2"/>
      <w:suff w:val="space"/>
      <w:lvlText w:val="%1"/>
      <w:lvlJc w:val="left"/>
      <w:pPr>
        <w:tabs>
          <w:tab w:val="left" w:pos="0"/>
        </w:tabs>
        <w:ind w:left="425" w:hanging="425"/>
      </w:pPr>
      <w:rPr>
        <w:rFonts w:hint="default" w:ascii="宋体" w:hAnsi="宋体" w:eastAsia="宋体" w:cs="宋体"/>
      </w:rPr>
    </w:lvl>
    <w:lvl w:ilvl="1" w:tentative="0">
      <w:start w:val="1"/>
      <w:numFmt w:val="decimal"/>
      <w:suff w:val="space"/>
      <w:lvlText w:val="%1.%2"/>
      <w:lvlJc w:val="left"/>
      <w:pPr>
        <w:tabs>
          <w:tab w:val="left" w:pos="420"/>
        </w:tabs>
        <w:ind w:left="567" w:hanging="567"/>
      </w:pPr>
      <w:rPr>
        <w:rFonts w:hint="default" w:ascii="宋体" w:hAnsi="宋体" w:eastAsia="宋体" w:cs="宋体"/>
      </w:rPr>
    </w:lvl>
    <w:lvl w:ilvl="2" w:tentative="0">
      <w:start w:val="1"/>
      <w:numFmt w:val="decimal"/>
      <w:pStyle w:val="4"/>
      <w:suff w:val="space"/>
      <w:lvlText w:val="%1.%2.%3"/>
      <w:lvlJc w:val="left"/>
      <w:pPr>
        <w:tabs>
          <w:tab w:val="left" w:pos="420"/>
        </w:tabs>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0">
    <w:nsid w:val="7EF84603"/>
    <w:multiLevelType w:val="singleLevel"/>
    <w:tmpl w:val="7EF84603"/>
    <w:lvl w:ilvl="0" w:tentative="0">
      <w:start w:val="2"/>
      <w:numFmt w:val="decimal"/>
      <w:suff w:val="space"/>
      <w:lvlText w:val="%1."/>
      <w:lvlJc w:val="left"/>
    </w:lvl>
  </w:abstractNum>
  <w:abstractNum w:abstractNumId="111">
    <w:nsid w:val="7FA52F6F"/>
    <w:multiLevelType w:val="multilevel"/>
    <w:tmpl w:val="7FA52F6F"/>
    <w:lvl w:ilvl="0" w:tentative="0">
      <w:start w:val="11"/>
      <w:numFmt w:val="decimal"/>
      <w:lvlText w:val="%1"/>
      <w:lvlJc w:val="left"/>
      <w:pPr>
        <w:ind w:left="372" w:hanging="372"/>
      </w:pPr>
      <w:rPr>
        <w:rFonts w:hint="default"/>
      </w:rPr>
    </w:lvl>
    <w:lvl w:ilvl="1" w:tentative="0">
      <w:start w:val="1"/>
      <w:numFmt w:val="decimal"/>
      <w:lvlText w:val="%1.%2"/>
      <w:lvlJc w:val="left"/>
      <w:pPr>
        <w:ind w:left="372" w:hanging="372"/>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109"/>
  </w:num>
  <w:num w:numId="2">
    <w:abstractNumId w:val="107"/>
  </w:num>
  <w:num w:numId="3">
    <w:abstractNumId w:val="53"/>
  </w:num>
  <w:num w:numId="4">
    <w:abstractNumId w:val="39"/>
  </w:num>
  <w:num w:numId="5">
    <w:abstractNumId w:val="54"/>
  </w:num>
  <w:num w:numId="6">
    <w:abstractNumId w:val="45"/>
  </w:num>
  <w:num w:numId="7">
    <w:abstractNumId w:val="99"/>
  </w:num>
  <w:num w:numId="8">
    <w:abstractNumId w:val="51"/>
  </w:num>
  <w:num w:numId="9">
    <w:abstractNumId w:val="82"/>
  </w:num>
  <w:num w:numId="10">
    <w:abstractNumId w:val="63"/>
  </w:num>
  <w:num w:numId="11">
    <w:abstractNumId w:val="86"/>
  </w:num>
  <w:num w:numId="12">
    <w:abstractNumId w:val="52"/>
  </w:num>
  <w:num w:numId="13">
    <w:abstractNumId w:val="94"/>
  </w:num>
  <w:num w:numId="14">
    <w:abstractNumId w:val="65"/>
  </w:num>
  <w:num w:numId="15">
    <w:abstractNumId w:val="50"/>
  </w:num>
  <w:num w:numId="16">
    <w:abstractNumId w:val="4"/>
  </w:num>
  <w:num w:numId="17">
    <w:abstractNumId w:val="67"/>
  </w:num>
  <w:num w:numId="18">
    <w:abstractNumId w:val="29"/>
  </w:num>
  <w:num w:numId="19">
    <w:abstractNumId w:val="96"/>
  </w:num>
  <w:num w:numId="20">
    <w:abstractNumId w:val="33"/>
  </w:num>
  <w:num w:numId="21">
    <w:abstractNumId w:val="40"/>
  </w:num>
  <w:num w:numId="22">
    <w:abstractNumId w:val="95"/>
  </w:num>
  <w:num w:numId="23">
    <w:abstractNumId w:val="38"/>
  </w:num>
  <w:num w:numId="24">
    <w:abstractNumId w:val="47"/>
  </w:num>
  <w:num w:numId="25">
    <w:abstractNumId w:val="32"/>
  </w:num>
  <w:num w:numId="26">
    <w:abstractNumId w:val="85"/>
  </w:num>
  <w:num w:numId="27">
    <w:abstractNumId w:val="111"/>
  </w:num>
  <w:num w:numId="28">
    <w:abstractNumId w:val="103"/>
  </w:num>
  <w:num w:numId="29">
    <w:abstractNumId w:val="91"/>
  </w:num>
  <w:num w:numId="30">
    <w:abstractNumId w:val="104"/>
  </w:num>
  <w:num w:numId="31">
    <w:abstractNumId w:val="77"/>
  </w:num>
  <w:num w:numId="32">
    <w:abstractNumId w:val="83"/>
  </w:num>
  <w:num w:numId="33">
    <w:abstractNumId w:val="44"/>
  </w:num>
  <w:num w:numId="34">
    <w:abstractNumId w:val="97"/>
  </w:num>
  <w:num w:numId="35">
    <w:abstractNumId w:val="75"/>
  </w:num>
  <w:num w:numId="36">
    <w:abstractNumId w:val="64"/>
  </w:num>
  <w:num w:numId="37">
    <w:abstractNumId w:val="78"/>
  </w:num>
  <w:num w:numId="38">
    <w:abstractNumId w:val="56"/>
  </w:num>
  <w:num w:numId="39">
    <w:abstractNumId w:val="90"/>
  </w:num>
  <w:num w:numId="40">
    <w:abstractNumId w:val="74"/>
  </w:num>
  <w:num w:numId="41">
    <w:abstractNumId w:val="28"/>
  </w:num>
  <w:num w:numId="42">
    <w:abstractNumId w:val="34"/>
  </w:num>
  <w:num w:numId="43">
    <w:abstractNumId w:val="87"/>
  </w:num>
  <w:num w:numId="44">
    <w:abstractNumId w:val="102"/>
  </w:num>
  <w:num w:numId="45">
    <w:abstractNumId w:val="48"/>
  </w:num>
  <w:num w:numId="46">
    <w:abstractNumId w:val="41"/>
  </w:num>
  <w:num w:numId="47">
    <w:abstractNumId w:val="22"/>
  </w:num>
  <w:num w:numId="48">
    <w:abstractNumId w:val="84"/>
  </w:num>
  <w:num w:numId="4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4"/>
  </w:num>
  <w:num w:numId="53">
    <w:abstractNumId w:val="79"/>
  </w:num>
  <w:num w:numId="54">
    <w:abstractNumId w:val="23"/>
  </w:num>
  <w:num w:numId="55">
    <w:abstractNumId w:val="98"/>
  </w:num>
  <w:num w:numId="56">
    <w:abstractNumId w:val="36"/>
  </w:num>
  <w:num w:numId="57">
    <w:abstractNumId w:val="57"/>
  </w:num>
  <w:num w:numId="58">
    <w:abstractNumId w:val="108"/>
  </w:num>
  <w:num w:numId="59">
    <w:abstractNumId w:val="66"/>
  </w:num>
  <w:num w:numId="60">
    <w:abstractNumId w:val="58"/>
  </w:num>
  <w:num w:numId="61">
    <w:abstractNumId w:val="43"/>
  </w:num>
  <w:num w:numId="62">
    <w:abstractNumId w:val="10"/>
  </w:num>
  <w:num w:numId="63">
    <w:abstractNumId w:val="100"/>
  </w:num>
  <w:num w:numId="64">
    <w:abstractNumId w:val="18"/>
  </w:num>
  <w:num w:numId="65">
    <w:abstractNumId w:val="2"/>
  </w:num>
  <w:num w:numId="66">
    <w:abstractNumId w:val="26"/>
  </w:num>
  <w:num w:numId="67">
    <w:abstractNumId w:val="16"/>
  </w:num>
  <w:num w:numId="68">
    <w:abstractNumId w:val="71"/>
  </w:num>
  <w:num w:numId="69">
    <w:abstractNumId w:val="6"/>
  </w:num>
  <w:num w:numId="70">
    <w:abstractNumId w:val="21"/>
  </w:num>
  <w:num w:numId="71">
    <w:abstractNumId w:val="92"/>
  </w:num>
  <w:num w:numId="72">
    <w:abstractNumId w:val="30"/>
  </w:num>
  <w:num w:numId="73">
    <w:abstractNumId w:val="69"/>
  </w:num>
  <w:num w:numId="74">
    <w:abstractNumId w:val="42"/>
  </w:num>
  <w:num w:numId="75">
    <w:abstractNumId w:val="106"/>
  </w:num>
  <w:num w:numId="76">
    <w:abstractNumId w:val="55"/>
  </w:num>
  <w:num w:numId="77">
    <w:abstractNumId w:val="61"/>
  </w:num>
  <w:num w:numId="78">
    <w:abstractNumId w:val="9"/>
  </w:num>
  <w:num w:numId="79">
    <w:abstractNumId w:val="35"/>
  </w:num>
  <w:num w:numId="80">
    <w:abstractNumId w:val="15"/>
  </w:num>
  <w:num w:numId="81">
    <w:abstractNumId w:val="72"/>
  </w:num>
  <w:num w:numId="82">
    <w:abstractNumId w:val="14"/>
  </w:num>
  <w:num w:numId="83">
    <w:abstractNumId w:val="17"/>
  </w:num>
  <w:num w:numId="84">
    <w:abstractNumId w:val="1"/>
  </w:num>
  <w:num w:numId="85">
    <w:abstractNumId w:val="73"/>
  </w:num>
  <w:num w:numId="86">
    <w:abstractNumId w:val="8"/>
  </w:num>
  <w:num w:numId="87">
    <w:abstractNumId w:val="0"/>
  </w:num>
  <w:num w:numId="88">
    <w:abstractNumId w:val="46"/>
  </w:num>
  <w:num w:numId="89">
    <w:abstractNumId w:val="60"/>
  </w:num>
  <w:num w:numId="90">
    <w:abstractNumId w:val="93"/>
  </w:num>
  <w:num w:numId="91">
    <w:abstractNumId w:val="3"/>
  </w:num>
  <w:num w:numId="92">
    <w:abstractNumId w:val="5"/>
  </w:num>
  <w:num w:numId="93">
    <w:abstractNumId w:val="25"/>
  </w:num>
  <w:num w:numId="94">
    <w:abstractNumId w:val="76"/>
  </w:num>
  <w:num w:numId="95">
    <w:abstractNumId w:val="101"/>
  </w:num>
  <w:num w:numId="96">
    <w:abstractNumId w:val="89"/>
  </w:num>
  <w:num w:numId="97">
    <w:abstractNumId w:val="11"/>
  </w:num>
  <w:num w:numId="98">
    <w:abstractNumId w:val="81"/>
  </w:num>
  <w:num w:numId="99">
    <w:abstractNumId w:val="19"/>
  </w:num>
  <w:num w:numId="100">
    <w:abstractNumId w:val="110"/>
  </w:num>
  <w:num w:numId="101">
    <w:abstractNumId w:val="31"/>
  </w:num>
  <w:num w:numId="102">
    <w:abstractNumId w:val="59"/>
  </w:num>
  <w:num w:numId="103">
    <w:abstractNumId w:val="80"/>
  </w:num>
  <w:num w:numId="104">
    <w:abstractNumId w:val="49"/>
  </w:num>
  <w:num w:numId="105">
    <w:abstractNumId w:val="88"/>
  </w:num>
  <w:num w:numId="106">
    <w:abstractNumId w:val="68"/>
  </w:num>
  <w:num w:numId="107">
    <w:abstractNumId w:val="13"/>
  </w:num>
  <w:num w:numId="108">
    <w:abstractNumId w:val="12"/>
  </w:num>
  <w:num w:numId="109">
    <w:abstractNumId w:val="7"/>
  </w:num>
  <w:num w:numId="110">
    <w:abstractNumId w:val="70"/>
  </w:num>
  <w:num w:numId="111">
    <w:abstractNumId w:val="20"/>
  </w:num>
  <w:num w:numId="11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wMzhjZDk3YzcxOWVhZWI4ZDEyMjE4ZWJlOWMzZjUifQ=="/>
  </w:docVars>
  <w:rsids>
    <w:rsidRoot w:val="0F685DF1"/>
    <w:rsid w:val="00014EDC"/>
    <w:rsid w:val="00021FA5"/>
    <w:rsid w:val="000442DF"/>
    <w:rsid w:val="000742C5"/>
    <w:rsid w:val="0008487B"/>
    <w:rsid w:val="000C1CE7"/>
    <w:rsid w:val="000D1117"/>
    <w:rsid w:val="000D3207"/>
    <w:rsid w:val="000F0A42"/>
    <w:rsid w:val="001232A6"/>
    <w:rsid w:val="00170E70"/>
    <w:rsid w:val="0017324D"/>
    <w:rsid w:val="0018044C"/>
    <w:rsid w:val="0019519C"/>
    <w:rsid w:val="00196214"/>
    <w:rsid w:val="001B188B"/>
    <w:rsid w:val="001C0C30"/>
    <w:rsid w:val="001C27AA"/>
    <w:rsid w:val="00216943"/>
    <w:rsid w:val="002216CA"/>
    <w:rsid w:val="002253F9"/>
    <w:rsid w:val="00264724"/>
    <w:rsid w:val="00277D21"/>
    <w:rsid w:val="002B66D1"/>
    <w:rsid w:val="002C0F94"/>
    <w:rsid w:val="002D1FDF"/>
    <w:rsid w:val="002F0C3B"/>
    <w:rsid w:val="00331CA4"/>
    <w:rsid w:val="00345496"/>
    <w:rsid w:val="003B3DD1"/>
    <w:rsid w:val="003C4F0E"/>
    <w:rsid w:val="003E3E7B"/>
    <w:rsid w:val="003E4938"/>
    <w:rsid w:val="003E5C78"/>
    <w:rsid w:val="00402E73"/>
    <w:rsid w:val="004353CF"/>
    <w:rsid w:val="0044558C"/>
    <w:rsid w:val="004665F8"/>
    <w:rsid w:val="004678E8"/>
    <w:rsid w:val="00474724"/>
    <w:rsid w:val="00474B66"/>
    <w:rsid w:val="004762B0"/>
    <w:rsid w:val="004A6506"/>
    <w:rsid w:val="004B5028"/>
    <w:rsid w:val="004E0AFB"/>
    <w:rsid w:val="004E5913"/>
    <w:rsid w:val="005377AB"/>
    <w:rsid w:val="005D6EB1"/>
    <w:rsid w:val="005E6EA1"/>
    <w:rsid w:val="00601DC4"/>
    <w:rsid w:val="006049C2"/>
    <w:rsid w:val="00607FA6"/>
    <w:rsid w:val="006121C9"/>
    <w:rsid w:val="006121FF"/>
    <w:rsid w:val="006162AA"/>
    <w:rsid w:val="00632CBC"/>
    <w:rsid w:val="00637F1A"/>
    <w:rsid w:val="00644C03"/>
    <w:rsid w:val="00654CE4"/>
    <w:rsid w:val="00657A60"/>
    <w:rsid w:val="00675262"/>
    <w:rsid w:val="006879CD"/>
    <w:rsid w:val="006A068E"/>
    <w:rsid w:val="006A3076"/>
    <w:rsid w:val="006D35DC"/>
    <w:rsid w:val="0073214A"/>
    <w:rsid w:val="00750D2A"/>
    <w:rsid w:val="00760478"/>
    <w:rsid w:val="00761F0B"/>
    <w:rsid w:val="00773330"/>
    <w:rsid w:val="007822FD"/>
    <w:rsid w:val="007B4BDE"/>
    <w:rsid w:val="007D2573"/>
    <w:rsid w:val="007D4713"/>
    <w:rsid w:val="008029DC"/>
    <w:rsid w:val="008319B4"/>
    <w:rsid w:val="00875AFB"/>
    <w:rsid w:val="00890A28"/>
    <w:rsid w:val="008A20FE"/>
    <w:rsid w:val="008B34F5"/>
    <w:rsid w:val="008D035A"/>
    <w:rsid w:val="009266C4"/>
    <w:rsid w:val="00931324"/>
    <w:rsid w:val="00936067"/>
    <w:rsid w:val="0094194C"/>
    <w:rsid w:val="00953F85"/>
    <w:rsid w:val="00970939"/>
    <w:rsid w:val="00995CD7"/>
    <w:rsid w:val="009A49EA"/>
    <w:rsid w:val="009C511C"/>
    <w:rsid w:val="009C52A3"/>
    <w:rsid w:val="00A071DE"/>
    <w:rsid w:val="00A10C67"/>
    <w:rsid w:val="00A36399"/>
    <w:rsid w:val="00A366FC"/>
    <w:rsid w:val="00A51B88"/>
    <w:rsid w:val="00A52359"/>
    <w:rsid w:val="00A72178"/>
    <w:rsid w:val="00AC1458"/>
    <w:rsid w:val="00AC5838"/>
    <w:rsid w:val="00B36570"/>
    <w:rsid w:val="00B82CBF"/>
    <w:rsid w:val="00B832A1"/>
    <w:rsid w:val="00B97439"/>
    <w:rsid w:val="00BD6338"/>
    <w:rsid w:val="00BF16F0"/>
    <w:rsid w:val="00C4470F"/>
    <w:rsid w:val="00C645DB"/>
    <w:rsid w:val="00C710F3"/>
    <w:rsid w:val="00C80C2C"/>
    <w:rsid w:val="00C96A25"/>
    <w:rsid w:val="00CA6159"/>
    <w:rsid w:val="00CD04F7"/>
    <w:rsid w:val="00D020FF"/>
    <w:rsid w:val="00D04A5E"/>
    <w:rsid w:val="00D075F1"/>
    <w:rsid w:val="00D14C37"/>
    <w:rsid w:val="00D40C36"/>
    <w:rsid w:val="00E050D3"/>
    <w:rsid w:val="00E13D35"/>
    <w:rsid w:val="00E16554"/>
    <w:rsid w:val="00E456EE"/>
    <w:rsid w:val="00E47DC0"/>
    <w:rsid w:val="00E50B79"/>
    <w:rsid w:val="00E56B97"/>
    <w:rsid w:val="00E95087"/>
    <w:rsid w:val="00EB236C"/>
    <w:rsid w:val="00EC4540"/>
    <w:rsid w:val="00F843C2"/>
    <w:rsid w:val="00FB116C"/>
    <w:rsid w:val="00FF6150"/>
    <w:rsid w:val="016B06BD"/>
    <w:rsid w:val="01D04CD7"/>
    <w:rsid w:val="02840B53"/>
    <w:rsid w:val="035A3445"/>
    <w:rsid w:val="04D23D88"/>
    <w:rsid w:val="05317CD3"/>
    <w:rsid w:val="06C97DDC"/>
    <w:rsid w:val="06CC3F4C"/>
    <w:rsid w:val="06EF61C4"/>
    <w:rsid w:val="091A79B3"/>
    <w:rsid w:val="0A6C728C"/>
    <w:rsid w:val="0B70658E"/>
    <w:rsid w:val="0B8A5F8B"/>
    <w:rsid w:val="0BF619E8"/>
    <w:rsid w:val="0CAE3FF7"/>
    <w:rsid w:val="0CF95D2E"/>
    <w:rsid w:val="0F685DF1"/>
    <w:rsid w:val="11446957"/>
    <w:rsid w:val="12044E8A"/>
    <w:rsid w:val="1248609D"/>
    <w:rsid w:val="12903D9B"/>
    <w:rsid w:val="141A717A"/>
    <w:rsid w:val="158B25F3"/>
    <w:rsid w:val="15C93F9B"/>
    <w:rsid w:val="17413E4C"/>
    <w:rsid w:val="18D5623A"/>
    <w:rsid w:val="19706AFE"/>
    <w:rsid w:val="1A181C04"/>
    <w:rsid w:val="1BC20431"/>
    <w:rsid w:val="1C186D50"/>
    <w:rsid w:val="1EF85033"/>
    <w:rsid w:val="1F714447"/>
    <w:rsid w:val="20CE2649"/>
    <w:rsid w:val="228A1463"/>
    <w:rsid w:val="22CE6A66"/>
    <w:rsid w:val="234E7125"/>
    <w:rsid w:val="23AB26D9"/>
    <w:rsid w:val="27154F79"/>
    <w:rsid w:val="27E76F73"/>
    <w:rsid w:val="27ED2998"/>
    <w:rsid w:val="2871070E"/>
    <w:rsid w:val="2A517A9E"/>
    <w:rsid w:val="2AD55B72"/>
    <w:rsid w:val="2B8C25C4"/>
    <w:rsid w:val="2E233E32"/>
    <w:rsid w:val="2EC15276"/>
    <w:rsid w:val="2EDA4B87"/>
    <w:rsid w:val="31C2798E"/>
    <w:rsid w:val="32A27AB4"/>
    <w:rsid w:val="34AB6B09"/>
    <w:rsid w:val="34B2574F"/>
    <w:rsid w:val="34FA6AF3"/>
    <w:rsid w:val="378E2D5F"/>
    <w:rsid w:val="37D152D9"/>
    <w:rsid w:val="39700EA9"/>
    <w:rsid w:val="3B0639D4"/>
    <w:rsid w:val="3E7416ED"/>
    <w:rsid w:val="3F711EEE"/>
    <w:rsid w:val="4194512E"/>
    <w:rsid w:val="427C011E"/>
    <w:rsid w:val="428A2D95"/>
    <w:rsid w:val="440243EB"/>
    <w:rsid w:val="45B20AF8"/>
    <w:rsid w:val="467D6716"/>
    <w:rsid w:val="483A2FF5"/>
    <w:rsid w:val="4C1E3A34"/>
    <w:rsid w:val="4DF94E97"/>
    <w:rsid w:val="4E1F0E7A"/>
    <w:rsid w:val="4EC13A8A"/>
    <w:rsid w:val="4F064DDE"/>
    <w:rsid w:val="50D20A33"/>
    <w:rsid w:val="51FE31E8"/>
    <w:rsid w:val="52872478"/>
    <w:rsid w:val="54B621CD"/>
    <w:rsid w:val="55A948CD"/>
    <w:rsid w:val="561C483F"/>
    <w:rsid w:val="58B557B9"/>
    <w:rsid w:val="58CE3279"/>
    <w:rsid w:val="5C70519E"/>
    <w:rsid w:val="5CCD3518"/>
    <w:rsid w:val="5D4C433C"/>
    <w:rsid w:val="5DCC493E"/>
    <w:rsid w:val="5F2574D5"/>
    <w:rsid w:val="62C5380B"/>
    <w:rsid w:val="62E80B43"/>
    <w:rsid w:val="656A4B04"/>
    <w:rsid w:val="674656B8"/>
    <w:rsid w:val="677B2D0B"/>
    <w:rsid w:val="6AB9714F"/>
    <w:rsid w:val="6CC27AE1"/>
    <w:rsid w:val="6D4D18F2"/>
    <w:rsid w:val="6E12021B"/>
    <w:rsid w:val="6E192868"/>
    <w:rsid w:val="6F50310A"/>
    <w:rsid w:val="70BA073A"/>
    <w:rsid w:val="7147520C"/>
    <w:rsid w:val="73217CF1"/>
    <w:rsid w:val="7B227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0" w:name="toc 3"/>
    <w:lsdException w:qFormat="1"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link w:val="32"/>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3"/>
    <w:unhideWhenUsed/>
    <w:qFormat/>
    <w:uiPriority w:val="0"/>
    <w:pPr>
      <w:keepNext/>
      <w:keepLines/>
      <w:numPr>
        <w:ilvl w:val="2"/>
        <w:numId w:val="1"/>
      </w:numPr>
      <w:tabs>
        <w:tab w:val="left" w:pos="0"/>
      </w:tabs>
      <w:spacing w:before="260" w:after="260" w:line="413" w:lineRule="auto"/>
      <w:outlineLvl w:val="2"/>
    </w:pPr>
    <w:rPr>
      <w:b/>
      <w:sz w:val="32"/>
    </w:rPr>
  </w:style>
  <w:style w:type="paragraph" w:styleId="5">
    <w:name w:val="heading 4"/>
    <w:basedOn w:val="1"/>
    <w:next w:val="1"/>
    <w:link w:val="3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6">
    <w:name w:val="caption"/>
    <w:basedOn w:val="1"/>
    <w:next w:val="1"/>
    <w:qFormat/>
    <w:uiPriority w:val="35"/>
    <w:rPr>
      <w:rFonts w:ascii="Cambria" w:hAnsi="Cambria" w:eastAsia="黑体" w:cs="Times New Roman"/>
      <w:sz w:val="20"/>
      <w:szCs w:val="20"/>
    </w:rPr>
  </w:style>
  <w:style w:type="paragraph" w:styleId="7">
    <w:name w:val="annotation text"/>
    <w:basedOn w:val="1"/>
    <w:link w:val="35"/>
    <w:qFormat/>
    <w:uiPriority w:val="99"/>
    <w:pPr>
      <w:jc w:val="left"/>
    </w:pPr>
    <w:rPr>
      <w:rFonts w:ascii="Times New Roman" w:hAnsi="Times New Roman" w:eastAsia="宋体" w:cs="Times New Roman"/>
      <w:sz w:val="24"/>
    </w:rPr>
  </w:style>
  <w:style w:type="paragraph" w:styleId="8">
    <w:name w:val="Body Text"/>
    <w:basedOn w:val="1"/>
    <w:link w:val="84"/>
    <w:qFormat/>
    <w:uiPriority w:val="0"/>
    <w:pPr>
      <w:spacing w:after="120"/>
    </w:pPr>
    <w:rPr>
      <w:rFonts w:ascii="Times New Roman" w:hAnsi="Times New Roman" w:eastAsia="宋体" w:cs="Times New Roman"/>
    </w:rPr>
  </w:style>
  <w:style w:type="paragraph" w:styleId="9">
    <w:name w:val="Body Text Indent"/>
    <w:basedOn w:val="1"/>
    <w:link w:val="85"/>
    <w:qFormat/>
    <w:uiPriority w:val="0"/>
    <w:pPr>
      <w:spacing w:line="440" w:lineRule="exact"/>
      <w:ind w:right="-31" w:rightChars="-15" w:firstLine="2"/>
    </w:pPr>
    <w:rPr>
      <w:rFonts w:ascii="宋体" w:hAnsi="宋体" w:eastAsia="宋体" w:cs="Times New Roman"/>
      <w:sz w:val="24"/>
      <w:szCs w:val="20"/>
    </w:rPr>
  </w:style>
  <w:style w:type="paragraph" w:styleId="10">
    <w:name w:val="toc 3"/>
    <w:basedOn w:val="1"/>
    <w:next w:val="1"/>
    <w:semiHidden/>
    <w:unhideWhenUsed/>
    <w:qFormat/>
    <w:uiPriority w:val="0"/>
    <w:pPr>
      <w:ind w:left="840" w:leftChars="400"/>
    </w:pPr>
  </w:style>
  <w:style w:type="paragraph" w:styleId="11">
    <w:name w:val="Plain Text"/>
    <w:basedOn w:val="1"/>
    <w:link w:val="86"/>
    <w:qFormat/>
    <w:uiPriority w:val="99"/>
    <w:rPr>
      <w:rFonts w:ascii="宋体" w:hAnsi="Courier New" w:eastAsia="宋体" w:cs="Courier New"/>
      <w:szCs w:val="21"/>
    </w:rPr>
  </w:style>
  <w:style w:type="paragraph" w:styleId="12">
    <w:name w:val="Date"/>
    <w:basedOn w:val="1"/>
    <w:next w:val="1"/>
    <w:qFormat/>
    <w:uiPriority w:val="0"/>
    <w:pPr>
      <w:ind w:left="100" w:leftChars="2500"/>
    </w:pPr>
    <w:rPr>
      <w:rFonts w:eastAsia="华文中宋"/>
      <w:sz w:val="32"/>
    </w:rPr>
  </w:style>
  <w:style w:type="paragraph" w:styleId="13">
    <w:name w:val="Balloon Text"/>
    <w:basedOn w:val="1"/>
    <w:link w:val="47"/>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toc 4"/>
    <w:basedOn w:val="1"/>
    <w:next w:val="1"/>
    <w:semiHidden/>
    <w:unhideWhenUsed/>
    <w:qFormat/>
    <w:uiPriority w:val="0"/>
    <w:pPr>
      <w:ind w:left="1260" w:leftChars="600"/>
    </w:pPr>
  </w:style>
  <w:style w:type="paragraph" w:styleId="18">
    <w:name w:val="footnote text"/>
    <w:basedOn w:val="1"/>
    <w:link w:val="36"/>
    <w:qFormat/>
    <w:uiPriority w:val="99"/>
    <w:rPr>
      <w:sz w:val="24"/>
    </w:rPr>
  </w:style>
  <w:style w:type="paragraph" w:styleId="19">
    <w:name w:val="toc 2"/>
    <w:basedOn w:val="1"/>
    <w:next w:val="1"/>
    <w:qFormat/>
    <w:uiPriority w:val="39"/>
    <w:pPr>
      <w:ind w:left="420" w:leftChars="200"/>
    </w:pPr>
  </w:style>
  <w:style w:type="paragraph" w:styleId="20">
    <w:name w:val="Normal (Web)"/>
    <w:basedOn w:val="1"/>
    <w:link w:val="60"/>
    <w:qFormat/>
    <w:uiPriority w:val="99"/>
    <w:pPr>
      <w:widowControl/>
      <w:spacing w:before="100" w:beforeAutospacing="1" w:after="100" w:afterAutospacing="1"/>
      <w:jc w:val="left"/>
    </w:pPr>
    <w:rPr>
      <w:rFonts w:ascii="宋体" w:hAnsi="宋体"/>
      <w:sz w:val="24"/>
      <w:szCs w:val="22"/>
    </w:rPr>
  </w:style>
  <w:style w:type="paragraph" w:styleId="21">
    <w:name w:val="annotation subject"/>
    <w:basedOn w:val="7"/>
    <w:next w:val="7"/>
    <w:link w:val="51"/>
    <w:qFormat/>
    <w:uiPriority w:val="0"/>
    <w:rPr>
      <w:rFonts w:ascii="Calibri" w:hAnsi="Calibri"/>
      <w:b/>
      <w:bCs/>
      <w:sz w:val="21"/>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bCs/>
    </w:rPr>
  </w:style>
  <w:style w:type="character" w:styleId="26">
    <w:name w:val="Hyperlink"/>
    <w:basedOn w:val="24"/>
    <w:qFormat/>
    <w:uiPriority w:val="99"/>
    <w:rPr>
      <w:color w:val="0000FF"/>
      <w:u w:val="single"/>
    </w:rPr>
  </w:style>
  <w:style w:type="character" w:styleId="27">
    <w:name w:val="annotation reference"/>
    <w:qFormat/>
    <w:uiPriority w:val="99"/>
    <w:rPr>
      <w:sz w:val="21"/>
      <w:szCs w:val="21"/>
    </w:rPr>
  </w:style>
  <w:style w:type="character" w:styleId="28">
    <w:name w:val="footnote reference"/>
    <w:qFormat/>
    <w:uiPriority w:val="99"/>
    <w:rPr>
      <w:vertAlign w:val="superscript"/>
    </w:rPr>
  </w:style>
  <w:style w:type="paragraph" w:customStyle="1" w:styleId="29">
    <w:name w:val="样式2"/>
    <w:basedOn w:val="3"/>
    <w:next w:val="1"/>
    <w:qFormat/>
    <w:uiPriority w:val="0"/>
    <w:pPr>
      <w:tabs>
        <w:tab w:val="left" w:pos="420"/>
      </w:tabs>
      <w:spacing w:before="50" w:after="50"/>
      <w:ind w:left="567" w:hanging="567"/>
    </w:pPr>
    <w:rPr>
      <w:sz w:val="28"/>
      <w:szCs w:val="32"/>
    </w:rPr>
  </w:style>
  <w:style w:type="character" w:customStyle="1" w:styleId="30">
    <w:name w:val="标题 2 Char"/>
    <w:qFormat/>
    <w:uiPriority w:val="0"/>
    <w:rPr>
      <w:rFonts w:ascii="Arial" w:hAnsi="Arial" w:eastAsia="黑体"/>
      <w:b/>
      <w:sz w:val="32"/>
    </w:rPr>
  </w:style>
  <w:style w:type="character" w:customStyle="1" w:styleId="31">
    <w:name w:val="标题 1 Char"/>
    <w:link w:val="2"/>
    <w:qFormat/>
    <w:uiPriority w:val="0"/>
    <w:rPr>
      <w:rFonts w:asciiTheme="minorHAnsi" w:hAnsiTheme="minorHAnsi" w:eastAsiaTheme="minorEastAsia" w:cstheme="minorBidi"/>
      <w:b/>
      <w:kern w:val="44"/>
      <w:sz w:val="44"/>
      <w:szCs w:val="24"/>
    </w:rPr>
  </w:style>
  <w:style w:type="character" w:customStyle="1" w:styleId="32">
    <w:name w:val="标题 2 Char1"/>
    <w:link w:val="3"/>
    <w:qFormat/>
    <w:uiPriority w:val="0"/>
    <w:rPr>
      <w:rFonts w:ascii="Arial" w:hAnsi="Arial" w:eastAsia="黑体"/>
      <w:b/>
      <w:kern w:val="2"/>
      <w:sz w:val="32"/>
      <w:szCs w:val="24"/>
    </w:rPr>
  </w:style>
  <w:style w:type="character" w:customStyle="1" w:styleId="33">
    <w:name w:val="标题 3 Char"/>
    <w:basedOn w:val="24"/>
    <w:link w:val="4"/>
    <w:qFormat/>
    <w:uiPriority w:val="0"/>
    <w:rPr>
      <w:rFonts w:asciiTheme="minorHAnsi" w:hAnsiTheme="minorHAnsi" w:eastAsiaTheme="minorEastAsia" w:cstheme="minorBidi"/>
      <w:b/>
      <w:kern w:val="2"/>
      <w:sz w:val="32"/>
      <w:szCs w:val="24"/>
    </w:rPr>
  </w:style>
  <w:style w:type="character" w:customStyle="1" w:styleId="34">
    <w:name w:val="标题 4 Char"/>
    <w:basedOn w:val="24"/>
    <w:link w:val="5"/>
    <w:qFormat/>
    <w:uiPriority w:val="0"/>
    <w:rPr>
      <w:rFonts w:asciiTheme="majorHAnsi" w:hAnsiTheme="majorHAnsi" w:eastAsiaTheme="majorEastAsia" w:cstheme="majorBidi"/>
      <w:b/>
      <w:bCs/>
      <w:kern w:val="2"/>
      <w:sz w:val="28"/>
      <w:szCs w:val="28"/>
    </w:rPr>
  </w:style>
  <w:style w:type="character" w:customStyle="1" w:styleId="35">
    <w:name w:val="批注文字 Char2"/>
    <w:basedOn w:val="24"/>
    <w:link w:val="7"/>
    <w:qFormat/>
    <w:uiPriority w:val="0"/>
    <w:rPr>
      <w:rFonts w:ascii="Times New Roman" w:hAnsi="Times New Roman" w:eastAsia="宋体" w:cs="Times New Roman"/>
      <w:kern w:val="2"/>
      <w:sz w:val="24"/>
      <w:szCs w:val="24"/>
    </w:rPr>
  </w:style>
  <w:style w:type="character" w:customStyle="1" w:styleId="36">
    <w:name w:val="脚注文本 Char"/>
    <w:basedOn w:val="24"/>
    <w:link w:val="18"/>
    <w:qFormat/>
    <w:uiPriority w:val="99"/>
    <w:rPr>
      <w:kern w:val="2"/>
      <w:sz w:val="24"/>
      <w:szCs w:val="24"/>
    </w:rPr>
  </w:style>
  <w:style w:type="table" w:customStyle="1" w:styleId="37">
    <w:name w:val="网格型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qFormat/>
    <w:uiPriority w:val="34"/>
    <w:pPr>
      <w:ind w:firstLine="420" w:firstLineChars="200"/>
    </w:pPr>
    <w:rPr>
      <w:rFonts w:ascii="Times New Roman" w:hAnsi="Times New Roman" w:eastAsia="宋体" w:cs="Times New Roman"/>
    </w:rPr>
  </w:style>
  <w:style w:type="table" w:customStyle="1" w:styleId="39">
    <w:name w:val="网格型浅色21"/>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40">
    <w:name w:val="网格型浅色2"/>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41">
    <w:name w:val="网格型3"/>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网格型浅色23"/>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43">
    <w:name w:val="网格型4"/>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网格型浅色24"/>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_Style 19"/>
    <w:basedOn w:val="1"/>
    <w:next w:val="38"/>
    <w:qFormat/>
    <w:uiPriority w:val="34"/>
    <w:pPr>
      <w:ind w:firstLine="420" w:firstLineChars="200"/>
    </w:pPr>
    <w:rPr>
      <w:rFonts w:ascii="Times New Roman" w:hAnsi="Times New Roman" w:eastAsia="宋体" w:cs="Times New Roman"/>
    </w:rPr>
  </w:style>
  <w:style w:type="character" w:customStyle="1" w:styleId="47">
    <w:name w:val="批注框文本 Char"/>
    <w:basedOn w:val="24"/>
    <w:link w:val="13"/>
    <w:qFormat/>
    <w:uiPriority w:val="0"/>
    <w:rPr>
      <w:kern w:val="2"/>
      <w:sz w:val="18"/>
      <w:szCs w:val="18"/>
    </w:rPr>
  </w:style>
  <w:style w:type="table" w:customStyle="1" w:styleId="48">
    <w:name w:val="网格型2"/>
    <w:basedOn w:val="2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
    <w:name w:val="网格型浅色22"/>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50">
    <w:name w:val="网格型浅色25"/>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51">
    <w:name w:val="批注主题 Char"/>
    <w:basedOn w:val="35"/>
    <w:link w:val="21"/>
    <w:qFormat/>
    <w:uiPriority w:val="0"/>
    <w:rPr>
      <w:rFonts w:ascii="Calibri" w:hAnsi="Calibri" w:eastAsia="宋体" w:cs="Times New Roman"/>
      <w:b/>
      <w:bCs/>
      <w:kern w:val="2"/>
      <w:sz w:val="21"/>
      <w:szCs w:val="24"/>
    </w:rPr>
  </w:style>
  <w:style w:type="character" w:customStyle="1" w:styleId="52">
    <w:name w:val="批注文字 Char1"/>
    <w:basedOn w:val="24"/>
    <w:qFormat/>
    <w:uiPriority w:val="0"/>
    <w:rPr>
      <w:rFonts w:ascii="Times New Roman" w:hAnsi="Times New Roman" w:eastAsia="宋体" w:cs="Times New Roman"/>
      <w:kern w:val="2"/>
      <w:sz w:val="24"/>
      <w:szCs w:val="24"/>
    </w:rPr>
  </w:style>
  <w:style w:type="paragraph" w:customStyle="1" w:styleId="53">
    <w:name w:val="2级标题"/>
    <w:basedOn w:val="1"/>
    <w:qFormat/>
    <w:uiPriority w:val="0"/>
    <w:pPr>
      <w:adjustRightInd w:val="0"/>
      <w:snapToGrid w:val="0"/>
      <w:spacing w:beforeLines="50" w:afterLines="50" w:line="360" w:lineRule="auto"/>
      <w:jc w:val="left"/>
    </w:pPr>
    <w:rPr>
      <w:rFonts w:ascii="黑体" w:hAnsi="Calibri" w:eastAsia="黑体" w:cs="黑体"/>
      <w:b/>
      <w:bCs/>
      <w:spacing w:val="5"/>
      <w:kern w:val="0"/>
      <w:sz w:val="28"/>
      <w:szCs w:val="28"/>
    </w:rPr>
  </w:style>
  <w:style w:type="paragraph" w:customStyle="1" w:styleId="54">
    <w:name w:val="1级标题"/>
    <w:basedOn w:val="2"/>
    <w:qFormat/>
    <w:uiPriority w:val="0"/>
    <w:pPr>
      <w:spacing w:beforeLines="50" w:afterLines="50" w:line="360" w:lineRule="auto"/>
    </w:pPr>
    <w:rPr>
      <w:rFonts w:ascii="黑体" w:hAnsi="黑体" w:eastAsia="黑体" w:cs="黑体"/>
      <w:sz w:val="32"/>
      <w:szCs w:val="32"/>
    </w:rPr>
  </w:style>
  <w:style w:type="paragraph" w:customStyle="1" w:styleId="55">
    <w:name w:val="Table Paragraph"/>
    <w:basedOn w:val="1"/>
    <w:qFormat/>
    <w:uiPriority w:val="1"/>
    <w:rPr>
      <w:rFonts w:ascii="宋体" w:hAnsi="宋体" w:eastAsia="宋体" w:cs="宋体"/>
      <w:lang w:val="zh-CN" w:bidi="zh-CN"/>
    </w:rPr>
  </w:style>
  <w:style w:type="paragraph" w:customStyle="1" w:styleId="56">
    <w:name w:val="附录表标题"/>
    <w:basedOn w:val="6"/>
    <w:qFormat/>
    <w:uiPriority w:val="0"/>
    <w:pPr>
      <w:spacing w:line="480" w:lineRule="auto"/>
      <w:jc w:val="center"/>
    </w:pPr>
    <w:rPr>
      <w:b/>
    </w:rPr>
  </w:style>
  <w:style w:type="character" w:customStyle="1" w:styleId="57">
    <w:name w:val="批注文字 Char"/>
    <w:qFormat/>
    <w:uiPriority w:val="99"/>
    <w:rPr>
      <w:kern w:val="2"/>
      <w:sz w:val="21"/>
      <w:szCs w:val="24"/>
    </w:rPr>
  </w:style>
  <w:style w:type="table" w:customStyle="1" w:styleId="58">
    <w:name w:val="网格型1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网格型11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0">
    <w:name w:val="普通(网站) Char"/>
    <w:link w:val="20"/>
    <w:qFormat/>
    <w:locked/>
    <w:uiPriority w:val="0"/>
    <w:rPr>
      <w:rFonts w:ascii="宋体" w:hAnsi="宋体"/>
      <w:kern w:val="2"/>
      <w:sz w:val="24"/>
      <w:szCs w:val="22"/>
    </w:rPr>
  </w:style>
  <w:style w:type="table" w:customStyle="1" w:styleId="61">
    <w:name w:val="网格型112"/>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5"/>
    <w:basedOn w:val="2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浅色26"/>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64">
    <w:name w:val="网格型6"/>
    <w:basedOn w:val="22"/>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浅色27"/>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66">
    <w:name w:val="网格型7"/>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12"/>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浅色211"/>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69">
    <w:name w:val="网格型浅色28"/>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0">
    <w:name w:val="网格型3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
    <w:name w:val="网格型浅色231"/>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2">
    <w:name w:val="网格型4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
    <w:name w:val="网格型浅色241"/>
    <w:basedOn w:val="22"/>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4">
    <w:name w:val="网格型21"/>
    <w:basedOn w:val="22"/>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
    <w:name w:val="网格型浅色221"/>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6">
    <w:name w:val="网格型浅色251"/>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7">
    <w:name w:val="网格型113"/>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网格型51"/>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9">
    <w:name w:val="_Style 30"/>
    <w:basedOn w:val="1"/>
    <w:next w:val="38"/>
    <w:qFormat/>
    <w:uiPriority w:val="34"/>
    <w:pPr>
      <w:ind w:firstLine="420" w:firstLineChars="200"/>
    </w:pPr>
    <w:rPr>
      <w:rFonts w:ascii="Times New Roman" w:hAnsi="Times New Roman" w:eastAsia="宋体" w:cs="Times New Roman"/>
    </w:rPr>
  </w:style>
  <w:style w:type="table" w:customStyle="1" w:styleId="80">
    <w:name w:val="网格型浅色1"/>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81">
    <w:name w:val="网格型13"/>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网格型8"/>
    <w:basedOn w:val="2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网格型浅色29"/>
    <w:basedOn w:val="22"/>
    <w:qFormat/>
    <w:uiPriority w:val="40"/>
    <w:rPr>
      <w:rFonts w:ascii="Times New Roman" w:hAnsi="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84">
    <w:name w:val="正文文本 Char"/>
    <w:basedOn w:val="24"/>
    <w:link w:val="8"/>
    <w:qFormat/>
    <w:uiPriority w:val="0"/>
    <w:rPr>
      <w:rFonts w:ascii="Times New Roman" w:hAnsi="Times New Roman"/>
      <w:kern w:val="2"/>
      <w:sz w:val="21"/>
      <w:szCs w:val="24"/>
    </w:rPr>
  </w:style>
  <w:style w:type="character" w:customStyle="1" w:styleId="85">
    <w:name w:val="正文文本缩进 Char"/>
    <w:basedOn w:val="24"/>
    <w:link w:val="9"/>
    <w:qFormat/>
    <w:uiPriority w:val="0"/>
    <w:rPr>
      <w:rFonts w:ascii="宋体" w:hAnsi="宋体"/>
      <w:kern w:val="2"/>
      <w:sz w:val="24"/>
    </w:rPr>
  </w:style>
  <w:style w:type="character" w:customStyle="1" w:styleId="86">
    <w:name w:val="纯文本 Char"/>
    <w:basedOn w:val="24"/>
    <w:link w:val="11"/>
    <w:qFormat/>
    <w:uiPriority w:val="99"/>
    <w:rPr>
      <w:rFonts w:ascii="宋体" w:hAnsi="Courier New" w:cs="Courier New"/>
      <w:kern w:val="2"/>
      <w:sz w:val="21"/>
      <w:szCs w:val="21"/>
    </w:rPr>
  </w:style>
  <w:style w:type="paragraph" w:customStyle="1" w:styleId="87">
    <w:name w:val="表格正文"/>
    <w:basedOn w:val="1"/>
    <w:qFormat/>
    <w:uiPriority w:val="0"/>
    <w:pPr>
      <w:tabs>
        <w:tab w:val="left" w:pos="4678"/>
      </w:tabs>
    </w:pPr>
    <w:rPr>
      <w:rFonts w:ascii="Times New Roman" w:hAnsi="Times New Roman" w:eastAsia="宋体" w:cs="Times New Roman"/>
      <w:bCs/>
      <w:spacing w:val="5"/>
    </w:rPr>
  </w:style>
  <w:style w:type="paragraph" w:customStyle="1" w:styleId="88">
    <w:name w:val="p0"/>
    <w:basedOn w:val="1"/>
    <w:qFormat/>
    <w:uiPriority w:val="0"/>
    <w:pPr>
      <w:widowControl/>
    </w:pPr>
    <w:rPr>
      <w:rFonts w:ascii="Times New Roman" w:hAnsi="Times New Roman" w:eastAsia="宋体" w:cs="Times New Roman"/>
      <w:kern w:val="0"/>
      <w:szCs w:val="21"/>
    </w:rPr>
  </w:style>
  <w:style w:type="character" w:customStyle="1" w:styleId="89">
    <w:name w:val="纯文本 Char1"/>
    <w:semiHidden/>
    <w:qFormat/>
    <w:uiPriority w:val="0"/>
    <w:rPr>
      <w:rFonts w:ascii="宋体" w:hAnsi="Courier New" w:eastAsia="宋体" w:cs="Courier New"/>
      <w:sz w:val="21"/>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62.bin"/><Relationship Id="rId98" Type="http://schemas.openxmlformats.org/officeDocument/2006/relationships/oleObject" Target="embeddings/oleObject61.bin"/><Relationship Id="rId97" Type="http://schemas.openxmlformats.org/officeDocument/2006/relationships/oleObject" Target="embeddings/oleObject60.bin"/><Relationship Id="rId96" Type="http://schemas.openxmlformats.org/officeDocument/2006/relationships/oleObject" Target="embeddings/oleObject59.bin"/><Relationship Id="rId95" Type="http://schemas.openxmlformats.org/officeDocument/2006/relationships/oleObject" Target="embeddings/oleObject58.bin"/><Relationship Id="rId94" Type="http://schemas.openxmlformats.org/officeDocument/2006/relationships/image" Target="media/image15.wmf"/><Relationship Id="rId93" Type="http://schemas.openxmlformats.org/officeDocument/2006/relationships/oleObject" Target="embeddings/oleObject57.bin"/><Relationship Id="rId92" Type="http://schemas.openxmlformats.org/officeDocument/2006/relationships/image" Target="media/image14.wmf"/><Relationship Id="rId91" Type="http://schemas.openxmlformats.org/officeDocument/2006/relationships/oleObject" Target="embeddings/oleObject56.bin"/><Relationship Id="rId90" Type="http://schemas.openxmlformats.org/officeDocument/2006/relationships/image" Target="media/image13.wmf"/><Relationship Id="rId9" Type="http://schemas.openxmlformats.org/officeDocument/2006/relationships/footer" Target="footer5.xml"/><Relationship Id="rId89" Type="http://schemas.openxmlformats.org/officeDocument/2006/relationships/oleObject" Target="embeddings/oleObject55.bin"/><Relationship Id="rId88" Type="http://schemas.openxmlformats.org/officeDocument/2006/relationships/oleObject" Target="embeddings/oleObject54.bin"/><Relationship Id="rId87" Type="http://schemas.openxmlformats.org/officeDocument/2006/relationships/oleObject" Target="embeddings/oleObject53.bin"/><Relationship Id="rId86" Type="http://schemas.openxmlformats.org/officeDocument/2006/relationships/oleObject" Target="embeddings/oleObject52.bin"/><Relationship Id="rId85" Type="http://schemas.openxmlformats.org/officeDocument/2006/relationships/oleObject" Target="embeddings/oleObject51.bin"/><Relationship Id="rId84" Type="http://schemas.openxmlformats.org/officeDocument/2006/relationships/oleObject" Target="embeddings/oleObject50.bin"/><Relationship Id="rId83" Type="http://schemas.openxmlformats.org/officeDocument/2006/relationships/oleObject" Target="embeddings/oleObject49.bin"/><Relationship Id="rId82" Type="http://schemas.openxmlformats.org/officeDocument/2006/relationships/oleObject" Target="embeddings/oleObject48.bin"/><Relationship Id="rId81" Type="http://schemas.openxmlformats.org/officeDocument/2006/relationships/oleObject" Target="embeddings/oleObject47.bin"/><Relationship Id="rId80" Type="http://schemas.openxmlformats.org/officeDocument/2006/relationships/oleObject" Target="embeddings/oleObject46.bin"/><Relationship Id="rId8" Type="http://schemas.openxmlformats.org/officeDocument/2006/relationships/footer" Target="footer4.xml"/><Relationship Id="rId79" Type="http://schemas.openxmlformats.org/officeDocument/2006/relationships/oleObject" Target="embeddings/oleObject45.bin"/><Relationship Id="rId78" Type="http://schemas.openxmlformats.org/officeDocument/2006/relationships/oleObject" Target="embeddings/oleObject44.bin"/><Relationship Id="rId77" Type="http://schemas.openxmlformats.org/officeDocument/2006/relationships/oleObject" Target="embeddings/oleObject43.bin"/><Relationship Id="rId76" Type="http://schemas.openxmlformats.org/officeDocument/2006/relationships/oleObject" Target="embeddings/oleObject42.bin"/><Relationship Id="rId75" Type="http://schemas.openxmlformats.org/officeDocument/2006/relationships/oleObject" Target="embeddings/oleObject41.bin"/><Relationship Id="rId74" Type="http://schemas.openxmlformats.org/officeDocument/2006/relationships/oleObject" Target="embeddings/oleObject40.bin"/><Relationship Id="rId73" Type="http://schemas.openxmlformats.org/officeDocument/2006/relationships/oleObject" Target="embeddings/oleObject39.bin"/><Relationship Id="rId72" Type="http://schemas.openxmlformats.org/officeDocument/2006/relationships/oleObject" Target="embeddings/oleObject38.bin"/><Relationship Id="rId71" Type="http://schemas.openxmlformats.org/officeDocument/2006/relationships/oleObject" Target="embeddings/oleObject37.bin"/><Relationship Id="rId70" Type="http://schemas.openxmlformats.org/officeDocument/2006/relationships/oleObject" Target="embeddings/oleObject36.bin"/><Relationship Id="rId7" Type="http://schemas.openxmlformats.org/officeDocument/2006/relationships/footer" Target="footer3.xml"/><Relationship Id="rId69" Type="http://schemas.openxmlformats.org/officeDocument/2006/relationships/oleObject" Target="embeddings/oleObject35.bin"/><Relationship Id="rId68" Type="http://schemas.openxmlformats.org/officeDocument/2006/relationships/oleObject" Target="embeddings/oleObject34.bin"/><Relationship Id="rId67" Type="http://schemas.openxmlformats.org/officeDocument/2006/relationships/oleObject" Target="embeddings/oleObject33.bin"/><Relationship Id="rId66" Type="http://schemas.openxmlformats.org/officeDocument/2006/relationships/oleObject" Target="embeddings/oleObject32.bin"/><Relationship Id="rId65" Type="http://schemas.openxmlformats.org/officeDocument/2006/relationships/image" Target="media/image12.png"/><Relationship Id="rId64" Type="http://schemas.openxmlformats.org/officeDocument/2006/relationships/oleObject" Target="embeddings/oleObject31.bin"/><Relationship Id="rId63" Type="http://schemas.openxmlformats.org/officeDocument/2006/relationships/oleObject" Target="embeddings/oleObject30.bin"/><Relationship Id="rId62" Type="http://schemas.openxmlformats.org/officeDocument/2006/relationships/oleObject" Target="embeddings/oleObject29.bin"/><Relationship Id="rId61" Type="http://schemas.openxmlformats.org/officeDocument/2006/relationships/image" Target="media/image11.wmf"/><Relationship Id="rId60" Type="http://schemas.openxmlformats.org/officeDocument/2006/relationships/oleObject" Target="embeddings/oleObject28.bin"/><Relationship Id="rId6" Type="http://schemas.openxmlformats.org/officeDocument/2006/relationships/footer" Target="footer2.xml"/><Relationship Id="rId59" Type="http://schemas.openxmlformats.org/officeDocument/2006/relationships/image" Target="media/image10.wmf"/><Relationship Id="rId58" Type="http://schemas.openxmlformats.org/officeDocument/2006/relationships/oleObject" Target="embeddings/oleObject27.bin"/><Relationship Id="rId57" Type="http://schemas.openxmlformats.org/officeDocument/2006/relationships/image" Target="media/image9.wmf"/><Relationship Id="rId56" Type="http://schemas.openxmlformats.org/officeDocument/2006/relationships/oleObject" Target="embeddings/oleObject26.bin"/><Relationship Id="rId55" Type="http://schemas.openxmlformats.org/officeDocument/2006/relationships/oleObject" Target="embeddings/oleObject25.bin"/><Relationship Id="rId54" Type="http://schemas.openxmlformats.org/officeDocument/2006/relationships/oleObject" Target="embeddings/oleObject24.bin"/><Relationship Id="rId53" Type="http://schemas.openxmlformats.org/officeDocument/2006/relationships/oleObject" Target="embeddings/oleObject23.bin"/><Relationship Id="rId52" Type="http://schemas.openxmlformats.org/officeDocument/2006/relationships/oleObject" Target="embeddings/oleObject22.bin"/><Relationship Id="rId51" Type="http://schemas.openxmlformats.org/officeDocument/2006/relationships/oleObject" Target="embeddings/oleObject21.bin"/><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oleObject" Target="embeddings/oleObject19.bin"/><Relationship Id="rId48" Type="http://schemas.openxmlformats.org/officeDocument/2006/relationships/oleObject" Target="embeddings/oleObject18.bin"/><Relationship Id="rId47" Type="http://schemas.openxmlformats.org/officeDocument/2006/relationships/oleObject" Target="embeddings/oleObject17.bin"/><Relationship Id="rId46" Type="http://schemas.openxmlformats.org/officeDocument/2006/relationships/oleObject" Target="embeddings/oleObject16.bin"/><Relationship Id="rId45" Type="http://schemas.openxmlformats.org/officeDocument/2006/relationships/oleObject" Target="embeddings/oleObject15.bin"/><Relationship Id="rId44" Type="http://schemas.openxmlformats.org/officeDocument/2006/relationships/oleObject" Target="embeddings/oleObject14.bin"/><Relationship Id="rId43" Type="http://schemas.openxmlformats.org/officeDocument/2006/relationships/oleObject" Target="embeddings/oleObject13.bin"/><Relationship Id="rId42" Type="http://schemas.openxmlformats.org/officeDocument/2006/relationships/oleObject" Target="embeddings/oleObject12.bin"/><Relationship Id="rId41" Type="http://schemas.openxmlformats.org/officeDocument/2006/relationships/oleObject" Target="embeddings/oleObject11.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7.wmf"/><Relationship Id="rId37" Type="http://schemas.openxmlformats.org/officeDocument/2006/relationships/oleObject" Target="embeddings/oleObject9.bin"/><Relationship Id="rId36" Type="http://schemas.openxmlformats.org/officeDocument/2006/relationships/image" Target="media/image6.wmf"/><Relationship Id="rId35" Type="http://schemas.openxmlformats.org/officeDocument/2006/relationships/oleObject" Target="embeddings/oleObject8.bin"/><Relationship Id="rId34" Type="http://schemas.openxmlformats.org/officeDocument/2006/relationships/oleObject" Target="embeddings/oleObject7.bin"/><Relationship Id="rId33" Type="http://schemas.openxmlformats.org/officeDocument/2006/relationships/oleObject" Target="embeddings/oleObject6.bin"/><Relationship Id="rId32" Type="http://schemas.openxmlformats.org/officeDocument/2006/relationships/image" Target="media/image5.wmf"/><Relationship Id="rId31" Type="http://schemas.openxmlformats.org/officeDocument/2006/relationships/oleObject" Target="embeddings/oleObject5.bin"/><Relationship Id="rId301" Type="http://schemas.openxmlformats.org/officeDocument/2006/relationships/fontTable" Target="fontTable.xml"/><Relationship Id="rId300" Type="http://schemas.openxmlformats.org/officeDocument/2006/relationships/customXml" Target="../customXml/item2.xml"/><Relationship Id="rId30" Type="http://schemas.openxmlformats.org/officeDocument/2006/relationships/image" Target="media/image4.wmf"/><Relationship Id="rId3" Type="http://schemas.openxmlformats.org/officeDocument/2006/relationships/header" Target="header1.xml"/><Relationship Id="rId299" Type="http://schemas.openxmlformats.org/officeDocument/2006/relationships/numbering" Target="numbering.xml"/><Relationship Id="rId298" Type="http://schemas.openxmlformats.org/officeDocument/2006/relationships/customXml" Target="../customXml/item1.xml"/><Relationship Id="rId297" Type="http://schemas.openxmlformats.org/officeDocument/2006/relationships/image" Target="media/image36.wmf"/><Relationship Id="rId296" Type="http://schemas.openxmlformats.org/officeDocument/2006/relationships/oleObject" Target="embeddings/oleObject239.bin"/><Relationship Id="rId295" Type="http://schemas.openxmlformats.org/officeDocument/2006/relationships/oleObject" Target="embeddings/oleObject238.bin"/><Relationship Id="rId294" Type="http://schemas.openxmlformats.org/officeDocument/2006/relationships/oleObject" Target="embeddings/oleObject237.bin"/><Relationship Id="rId293" Type="http://schemas.openxmlformats.org/officeDocument/2006/relationships/oleObject" Target="embeddings/oleObject236.bin"/><Relationship Id="rId292" Type="http://schemas.openxmlformats.org/officeDocument/2006/relationships/oleObject" Target="embeddings/oleObject235.bin"/><Relationship Id="rId291" Type="http://schemas.openxmlformats.org/officeDocument/2006/relationships/oleObject" Target="embeddings/oleObject234.bin"/><Relationship Id="rId290" Type="http://schemas.openxmlformats.org/officeDocument/2006/relationships/oleObject" Target="embeddings/oleObject233.bin"/><Relationship Id="rId29" Type="http://schemas.openxmlformats.org/officeDocument/2006/relationships/oleObject" Target="embeddings/oleObject4.bin"/><Relationship Id="rId289" Type="http://schemas.openxmlformats.org/officeDocument/2006/relationships/oleObject" Target="embeddings/oleObject232.bin"/><Relationship Id="rId288" Type="http://schemas.openxmlformats.org/officeDocument/2006/relationships/oleObject" Target="embeddings/oleObject231.bin"/><Relationship Id="rId287" Type="http://schemas.openxmlformats.org/officeDocument/2006/relationships/oleObject" Target="embeddings/oleObject230.bin"/><Relationship Id="rId286" Type="http://schemas.openxmlformats.org/officeDocument/2006/relationships/oleObject" Target="embeddings/oleObject229.bin"/><Relationship Id="rId285" Type="http://schemas.openxmlformats.org/officeDocument/2006/relationships/oleObject" Target="embeddings/oleObject228.bin"/><Relationship Id="rId284" Type="http://schemas.openxmlformats.org/officeDocument/2006/relationships/oleObject" Target="embeddings/oleObject227.bin"/><Relationship Id="rId283" Type="http://schemas.openxmlformats.org/officeDocument/2006/relationships/oleObject" Target="embeddings/oleObject226.bin"/><Relationship Id="rId282" Type="http://schemas.openxmlformats.org/officeDocument/2006/relationships/oleObject" Target="embeddings/oleObject225.bin"/><Relationship Id="rId281" Type="http://schemas.openxmlformats.org/officeDocument/2006/relationships/oleObject" Target="embeddings/oleObject224.bin"/><Relationship Id="rId280" Type="http://schemas.openxmlformats.org/officeDocument/2006/relationships/oleObject" Target="embeddings/oleObject223.bin"/><Relationship Id="rId28" Type="http://schemas.openxmlformats.org/officeDocument/2006/relationships/image" Target="media/image3.wmf"/><Relationship Id="rId279" Type="http://schemas.openxmlformats.org/officeDocument/2006/relationships/oleObject" Target="embeddings/oleObject222.bin"/><Relationship Id="rId278" Type="http://schemas.openxmlformats.org/officeDocument/2006/relationships/oleObject" Target="embeddings/oleObject221.bin"/><Relationship Id="rId277" Type="http://schemas.openxmlformats.org/officeDocument/2006/relationships/oleObject" Target="embeddings/oleObject220.bin"/><Relationship Id="rId276" Type="http://schemas.openxmlformats.org/officeDocument/2006/relationships/oleObject" Target="embeddings/oleObject219.bin"/><Relationship Id="rId275" Type="http://schemas.openxmlformats.org/officeDocument/2006/relationships/oleObject" Target="embeddings/oleObject218.bin"/><Relationship Id="rId274" Type="http://schemas.openxmlformats.org/officeDocument/2006/relationships/oleObject" Target="embeddings/oleObject217.bin"/><Relationship Id="rId273" Type="http://schemas.openxmlformats.org/officeDocument/2006/relationships/oleObject" Target="embeddings/oleObject216.bin"/><Relationship Id="rId272" Type="http://schemas.openxmlformats.org/officeDocument/2006/relationships/oleObject" Target="embeddings/oleObject215.bin"/><Relationship Id="rId271" Type="http://schemas.openxmlformats.org/officeDocument/2006/relationships/oleObject" Target="embeddings/oleObject214.bin"/><Relationship Id="rId270" Type="http://schemas.openxmlformats.org/officeDocument/2006/relationships/oleObject" Target="embeddings/oleObject213.bin"/><Relationship Id="rId27" Type="http://schemas.openxmlformats.org/officeDocument/2006/relationships/oleObject" Target="embeddings/oleObject3.bin"/><Relationship Id="rId269" Type="http://schemas.openxmlformats.org/officeDocument/2006/relationships/image" Target="media/image35.wmf"/><Relationship Id="rId268" Type="http://schemas.openxmlformats.org/officeDocument/2006/relationships/oleObject" Target="embeddings/oleObject212.bin"/><Relationship Id="rId267" Type="http://schemas.openxmlformats.org/officeDocument/2006/relationships/oleObject" Target="embeddings/oleObject211.bin"/><Relationship Id="rId266" Type="http://schemas.openxmlformats.org/officeDocument/2006/relationships/oleObject" Target="embeddings/oleObject210.bin"/><Relationship Id="rId265" Type="http://schemas.openxmlformats.org/officeDocument/2006/relationships/oleObject" Target="embeddings/oleObject209.bin"/><Relationship Id="rId264" Type="http://schemas.openxmlformats.org/officeDocument/2006/relationships/oleObject" Target="embeddings/oleObject208.bin"/><Relationship Id="rId263" Type="http://schemas.openxmlformats.org/officeDocument/2006/relationships/oleObject" Target="embeddings/oleObject207.bin"/><Relationship Id="rId262" Type="http://schemas.openxmlformats.org/officeDocument/2006/relationships/oleObject" Target="embeddings/oleObject206.bin"/><Relationship Id="rId261" Type="http://schemas.openxmlformats.org/officeDocument/2006/relationships/oleObject" Target="embeddings/oleObject205.bin"/><Relationship Id="rId260" Type="http://schemas.openxmlformats.org/officeDocument/2006/relationships/oleObject" Target="embeddings/oleObject204.bin"/><Relationship Id="rId26" Type="http://schemas.openxmlformats.org/officeDocument/2006/relationships/image" Target="media/image2.wmf"/><Relationship Id="rId259" Type="http://schemas.openxmlformats.org/officeDocument/2006/relationships/oleObject" Target="embeddings/oleObject203.bin"/><Relationship Id="rId258" Type="http://schemas.openxmlformats.org/officeDocument/2006/relationships/oleObject" Target="embeddings/oleObject202.bin"/><Relationship Id="rId257" Type="http://schemas.openxmlformats.org/officeDocument/2006/relationships/oleObject" Target="embeddings/oleObject201.bin"/><Relationship Id="rId256" Type="http://schemas.openxmlformats.org/officeDocument/2006/relationships/oleObject" Target="embeddings/oleObject200.bin"/><Relationship Id="rId255" Type="http://schemas.openxmlformats.org/officeDocument/2006/relationships/oleObject" Target="embeddings/oleObject199.bin"/><Relationship Id="rId254" Type="http://schemas.openxmlformats.org/officeDocument/2006/relationships/oleObject" Target="embeddings/oleObject198.bin"/><Relationship Id="rId253" Type="http://schemas.openxmlformats.org/officeDocument/2006/relationships/oleObject" Target="embeddings/oleObject197.bin"/><Relationship Id="rId252" Type="http://schemas.openxmlformats.org/officeDocument/2006/relationships/oleObject" Target="embeddings/oleObject196.bin"/><Relationship Id="rId251" Type="http://schemas.openxmlformats.org/officeDocument/2006/relationships/oleObject" Target="embeddings/oleObject195.bin"/><Relationship Id="rId250" Type="http://schemas.openxmlformats.org/officeDocument/2006/relationships/oleObject" Target="embeddings/oleObject194.bin"/><Relationship Id="rId25" Type="http://schemas.openxmlformats.org/officeDocument/2006/relationships/oleObject" Target="embeddings/oleObject2.bin"/><Relationship Id="rId249" Type="http://schemas.openxmlformats.org/officeDocument/2006/relationships/oleObject" Target="embeddings/oleObject193.bin"/><Relationship Id="rId248" Type="http://schemas.openxmlformats.org/officeDocument/2006/relationships/oleObject" Target="embeddings/oleObject192.bin"/><Relationship Id="rId247" Type="http://schemas.openxmlformats.org/officeDocument/2006/relationships/image" Target="media/image34.wmf"/><Relationship Id="rId246" Type="http://schemas.openxmlformats.org/officeDocument/2006/relationships/oleObject" Target="embeddings/oleObject191.bin"/><Relationship Id="rId245" Type="http://schemas.openxmlformats.org/officeDocument/2006/relationships/image" Target="media/image33.wmf"/><Relationship Id="rId244" Type="http://schemas.openxmlformats.org/officeDocument/2006/relationships/oleObject" Target="embeddings/oleObject190.bin"/><Relationship Id="rId243" Type="http://schemas.openxmlformats.org/officeDocument/2006/relationships/oleObject" Target="embeddings/oleObject189.bin"/><Relationship Id="rId242" Type="http://schemas.openxmlformats.org/officeDocument/2006/relationships/oleObject" Target="embeddings/oleObject188.bin"/><Relationship Id="rId241" Type="http://schemas.openxmlformats.org/officeDocument/2006/relationships/oleObject" Target="embeddings/oleObject187.bin"/><Relationship Id="rId240" Type="http://schemas.openxmlformats.org/officeDocument/2006/relationships/oleObject" Target="embeddings/oleObject186.bin"/><Relationship Id="rId24" Type="http://schemas.openxmlformats.org/officeDocument/2006/relationships/image" Target="media/image1.wmf"/><Relationship Id="rId239" Type="http://schemas.openxmlformats.org/officeDocument/2006/relationships/oleObject" Target="embeddings/oleObject185.bin"/><Relationship Id="rId238" Type="http://schemas.openxmlformats.org/officeDocument/2006/relationships/oleObject" Target="embeddings/oleObject184.bin"/><Relationship Id="rId237" Type="http://schemas.openxmlformats.org/officeDocument/2006/relationships/oleObject" Target="embeddings/oleObject183.bin"/><Relationship Id="rId236" Type="http://schemas.openxmlformats.org/officeDocument/2006/relationships/oleObject" Target="embeddings/oleObject182.bin"/><Relationship Id="rId235" Type="http://schemas.openxmlformats.org/officeDocument/2006/relationships/oleObject" Target="embeddings/oleObject181.bin"/><Relationship Id="rId234" Type="http://schemas.openxmlformats.org/officeDocument/2006/relationships/image" Target="media/image32.wmf"/><Relationship Id="rId233" Type="http://schemas.openxmlformats.org/officeDocument/2006/relationships/oleObject" Target="embeddings/oleObject180.bin"/><Relationship Id="rId232" Type="http://schemas.openxmlformats.org/officeDocument/2006/relationships/oleObject" Target="embeddings/oleObject179.bin"/><Relationship Id="rId231" Type="http://schemas.openxmlformats.org/officeDocument/2006/relationships/oleObject" Target="embeddings/oleObject178.bin"/><Relationship Id="rId230" Type="http://schemas.openxmlformats.org/officeDocument/2006/relationships/oleObject" Target="embeddings/oleObject177.bin"/><Relationship Id="rId23" Type="http://schemas.openxmlformats.org/officeDocument/2006/relationships/oleObject" Target="embeddings/oleObject1.bin"/><Relationship Id="rId229" Type="http://schemas.openxmlformats.org/officeDocument/2006/relationships/oleObject" Target="embeddings/oleObject176.bin"/><Relationship Id="rId228" Type="http://schemas.openxmlformats.org/officeDocument/2006/relationships/oleObject" Target="embeddings/oleObject175.bin"/><Relationship Id="rId227" Type="http://schemas.openxmlformats.org/officeDocument/2006/relationships/oleObject" Target="embeddings/oleObject174.bin"/><Relationship Id="rId226" Type="http://schemas.openxmlformats.org/officeDocument/2006/relationships/oleObject" Target="embeddings/oleObject173.bin"/><Relationship Id="rId225" Type="http://schemas.openxmlformats.org/officeDocument/2006/relationships/oleObject" Target="embeddings/oleObject172.bin"/><Relationship Id="rId224" Type="http://schemas.openxmlformats.org/officeDocument/2006/relationships/oleObject" Target="embeddings/oleObject171.bin"/><Relationship Id="rId223" Type="http://schemas.openxmlformats.org/officeDocument/2006/relationships/oleObject" Target="embeddings/oleObject170.bin"/><Relationship Id="rId222" Type="http://schemas.openxmlformats.org/officeDocument/2006/relationships/oleObject" Target="embeddings/oleObject169.bin"/><Relationship Id="rId221" Type="http://schemas.openxmlformats.org/officeDocument/2006/relationships/oleObject" Target="embeddings/oleObject168.bin"/><Relationship Id="rId220" Type="http://schemas.openxmlformats.org/officeDocument/2006/relationships/oleObject" Target="embeddings/oleObject167.bin"/><Relationship Id="rId22" Type="http://schemas.openxmlformats.org/officeDocument/2006/relationships/theme" Target="theme/theme1.xml"/><Relationship Id="rId219" Type="http://schemas.openxmlformats.org/officeDocument/2006/relationships/oleObject" Target="embeddings/oleObject166.bin"/><Relationship Id="rId218" Type="http://schemas.openxmlformats.org/officeDocument/2006/relationships/oleObject" Target="embeddings/oleObject165.bin"/><Relationship Id="rId217" Type="http://schemas.openxmlformats.org/officeDocument/2006/relationships/oleObject" Target="embeddings/oleObject164.bin"/><Relationship Id="rId216" Type="http://schemas.openxmlformats.org/officeDocument/2006/relationships/oleObject" Target="embeddings/oleObject163.bin"/><Relationship Id="rId215" Type="http://schemas.openxmlformats.org/officeDocument/2006/relationships/oleObject" Target="embeddings/oleObject162.bin"/><Relationship Id="rId214" Type="http://schemas.openxmlformats.org/officeDocument/2006/relationships/oleObject" Target="embeddings/oleObject161.bin"/><Relationship Id="rId213" Type="http://schemas.openxmlformats.org/officeDocument/2006/relationships/oleObject" Target="embeddings/oleObject160.bin"/><Relationship Id="rId212" Type="http://schemas.openxmlformats.org/officeDocument/2006/relationships/oleObject" Target="embeddings/oleObject159.bin"/><Relationship Id="rId211" Type="http://schemas.openxmlformats.org/officeDocument/2006/relationships/oleObject" Target="embeddings/oleObject158.bin"/><Relationship Id="rId210" Type="http://schemas.openxmlformats.org/officeDocument/2006/relationships/oleObject" Target="embeddings/oleObject157.bin"/><Relationship Id="rId21" Type="http://schemas.openxmlformats.org/officeDocument/2006/relationships/footer" Target="footer17.xml"/><Relationship Id="rId209" Type="http://schemas.openxmlformats.org/officeDocument/2006/relationships/image" Target="media/image31.wmf"/><Relationship Id="rId208" Type="http://schemas.openxmlformats.org/officeDocument/2006/relationships/oleObject" Target="embeddings/oleObject156.bin"/><Relationship Id="rId207" Type="http://schemas.openxmlformats.org/officeDocument/2006/relationships/image" Target="media/image30.wmf"/><Relationship Id="rId206" Type="http://schemas.openxmlformats.org/officeDocument/2006/relationships/oleObject" Target="embeddings/oleObject155.bin"/><Relationship Id="rId205" Type="http://schemas.openxmlformats.org/officeDocument/2006/relationships/image" Target="media/image29.wmf"/><Relationship Id="rId204" Type="http://schemas.openxmlformats.org/officeDocument/2006/relationships/oleObject" Target="embeddings/oleObject154.bin"/><Relationship Id="rId203" Type="http://schemas.openxmlformats.org/officeDocument/2006/relationships/image" Target="media/image28.wmf"/><Relationship Id="rId202" Type="http://schemas.openxmlformats.org/officeDocument/2006/relationships/oleObject" Target="embeddings/oleObject153.bin"/><Relationship Id="rId201" Type="http://schemas.openxmlformats.org/officeDocument/2006/relationships/image" Target="media/image27.wmf"/><Relationship Id="rId200" Type="http://schemas.openxmlformats.org/officeDocument/2006/relationships/oleObject" Target="embeddings/oleObject152.bin"/><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26.wmf"/><Relationship Id="rId198" Type="http://schemas.openxmlformats.org/officeDocument/2006/relationships/oleObject" Target="embeddings/oleObject151.bin"/><Relationship Id="rId197" Type="http://schemas.openxmlformats.org/officeDocument/2006/relationships/oleObject" Target="embeddings/oleObject150.bin"/><Relationship Id="rId196" Type="http://schemas.openxmlformats.org/officeDocument/2006/relationships/oleObject" Target="embeddings/oleObject149.bin"/><Relationship Id="rId195" Type="http://schemas.openxmlformats.org/officeDocument/2006/relationships/oleObject" Target="embeddings/oleObject148.bin"/><Relationship Id="rId194" Type="http://schemas.openxmlformats.org/officeDocument/2006/relationships/oleObject" Target="embeddings/oleObject147.bin"/><Relationship Id="rId193" Type="http://schemas.openxmlformats.org/officeDocument/2006/relationships/oleObject" Target="embeddings/oleObject146.bin"/><Relationship Id="rId192" Type="http://schemas.openxmlformats.org/officeDocument/2006/relationships/oleObject" Target="embeddings/oleObject145.bin"/><Relationship Id="rId191" Type="http://schemas.openxmlformats.org/officeDocument/2006/relationships/oleObject" Target="embeddings/oleObject144.bin"/><Relationship Id="rId190" Type="http://schemas.openxmlformats.org/officeDocument/2006/relationships/oleObject" Target="embeddings/oleObject143.bin"/><Relationship Id="rId19" Type="http://schemas.openxmlformats.org/officeDocument/2006/relationships/footer" Target="footer15.xml"/><Relationship Id="rId189" Type="http://schemas.openxmlformats.org/officeDocument/2006/relationships/oleObject" Target="embeddings/oleObject142.bin"/><Relationship Id="rId188" Type="http://schemas.openxmlformats.org/officeDocument/2006/relationships/oleObject" Target="embeddings/oleObject141.bin"/><Relationship Id="rId187" Type="http://schemas.openxmlformats.org/officeDocument/2006/relationships/oleObject" Target="embeddings/oleObject140.bin"/><Relationship Id="rId186" Type="http://schemas.openxmlformats.org/officeDocument/2006/relationships/oleObject" Target="embeddings/oleObject139.bin"/><Relationship Id="rId185" Type="http://schemas.openxmlformats.org/officeDocument/2006/relationships/oleObject" Target="embeddings/oleObject138.bin"/><Relationship Id="rId184" Type="http://schemas.openxmlformats.org/officeDocument/2006/relationships/oleObject" Target="embeddings/oleObject137.bin"/><Relationship Id="rId183" Type="http://schemas.openxmlformats.org/officeDocument/2006/relationships/oleObject" Target="embeddings/oleObject136.bin"/><Relationship Id="rId182" Type="http://schemas.openxmlformats.org/officeDocument/2006/relationships/oleObject" Target="embeddings/oleObject135.bin"/><Relationship Id="rId181" Type="http://schemas.openxmlformats.org/officeDocument/2006/relationships/oleObject" Target="embeddings/oleObject134.bin"/><Relationship Id="rId180" Type="http://schemas.openxmlformats.org/officeDocument/2006/relationships/oleObject" Target="embeddings/oleObject133.bin"/><Relationship Id="rId18" Type="http://schemas.openxmlformats.org/officeDocument/2006/relationships/footer" Target="footer14.xml"/><Relationship Id="rId179" Type="http://schemas.openxmlformats.org/officeDocument/2006/relationships/oleObject" Target="embeddings/oleObject132.bin"/><Relationship Id="rId178" Type="http://schemas.openxmlformats.org/officeDocument/2006/relationships/oleObject" Target="embeddings/oleObject131.bin"/><Relationship Id="rId177" Type="http://schemas.openxmlformats.org/officeDocument/2006/relationships/oleObject" Target="embeddings/oleObject130.bin"/><Relationship Id="rId176" Type="http://schemas.openxmlformats.org/officeDocument/2006/relationships/oleObject" Target="embeddings/oleObject129.bin"/><Relationship Id="rId175" Type="http://schemas.openxmlformats.org/officeDocument/2006/relationships/oleObject" Target="embeddings/oleObject128.bin"/><Relationship Id="rId174" Type="http://schemas.openxmlformats.org/officeDocument/2006/relationships/oleObject" Target="embeddings/oleObject127.bin"/><Relationship Id="rId173" Type="http://schemas.openxmlformats.org/officeDocument/2006/relationships/oleObject" Target="embeddings/oleObject126.bin"/><Relationship Id="rId172" Type="http://schemas.openxmlformats.org/officeDocument/2006/relationships/oleObject" Target="embeddings/oleObject125.bin"/><Relationship Id="rId171" Type="http://schemas.openxmlformats.org/officeDocument/2006/relationships/oleObject" Target="embeddings/oleObject124.bin"/><Relationship Id="rId170" Type="http://schemas.openxmlformats.org/officeDocument/2006/relationships/oleObject" Target="embeddings/oleObject123.bin"/><Relationship Id="rId17" Type="http://schemas.openxmlformats.org/officeDocument/2006/relationships/footer" Target="footer13.xml"/><Relationship Id="rId169" Type="http://schemas.openxmlformats.org/officeDocument/2006/relationships/oleObject" Target="embeddings/oleObject122.bin"/><Relationship Id="rId168" Type="http://schemas.openxmlformats.org/officeDocument/2006/relationships/oleObject" Target="embeddings/oleObject121.bin"/><Relationship Id="rId167" Type="http://schemas.openxmlformats.org/officeDocument/2006/relationships/oleObject" Target="embeddings/oleObject120.bin"/><Relationship Id="rId166" Type="http://schemas.openxmlformats.org/officeDocument/2006/relationships/oleObject" Target="embeddings/oleObject119.bin"/><Relationship Id="rId165" Type="http://schemas.openxmlformats.org/officeDocument/2006/relationships/oleObject" Target="embeddings/oleObject118.bin"/><Relationship Id="rId164" Type="http://schemas.openxmlformats.org/officeDocument/2006/relationships/oleObject" Target="embeddings/oleObject117.bin"/><Relationship Id="rId163" Type="http://schemas.openxmlformats.org/officeDocument/2006/relationships/oleObject" Target="embeddings/oleObject116.bin"/><Relationship Id="rId162" Type="http://schemas.openxmlformats.org/officeDocument/2006/relationships/image" Target="media/image25.wmf"/><Relationship Id="rId161" Type="http://schemas.openxmlformats.org/officeDocument/2006/relationships/image" Target="media/image24.wmf"/><Relationship Id="rId160" Type="http://schemas.openxmlformats.org/officeDocument/2006/relationships/image" Target="media/image23.wmf"/><Relationship Id="rId16" Type="http://schemas.openxmlformats.org/officeDocument/2006/relationships/footer" Target="footer12.xml"/><Relationship Id="rId159" Type="http://schemas.openxmlformats.org/officeDocument/2006/relationships/image" Target="media/image22.wmf"/><Relationship Id="rId158" Type="http://schemas.openxmlformats.org/officeDocument/2006/relationships/image" Target="media/image21.wmf"/><Relationship Id="rId157" Type="http://schemas.openxmlformats.org/officeDocument/2006/relationships/image" Target="media/image20.wmf"/><Relationship Id="rId156" Type="http://schemas.openxmlformats.org/officeDocument/2006/relationships/oleObject" Target="embeddings/oleObject115.bin"/><Relationship Id="rId155" Type="http://schemas.openxmlformats.org/officeDocument/2006/relationships/oleObject" Target="embeddings/oleObject114.bin"/><Relationship Id="rId154" Type="http://schemas.openxmlformats.org/officeDocument/2006/relationships/oleObject" Target="embeddings/oleObject113.bin"/><Relationship Id="rId153" Type="http://schemas.openxmlformats.org/officeDocument/2006/relationships/oleObject" Target="embeddings/oleObject112.bin"/><Relationship Id="rId152" Type="http://schemas.openxmlformats.org/officeDocument/2006/relationships/oleObject" Target="embeddings/oleObject111.bin"/><Relationship Id="rId151" Type="http://schemas.openxmlformats.org/officeDocument/2006/relationships/oleObject" Target="embeddings/oleObject110.bin"/><Relationship Id="rId150" Type="http://schemas.openxmlformats.org/officeDocument/2006/relationships/oleObject" Target="embeddings/oleObject109.bin"/><Relationship Id="rId15" Type="http://schemas.openxmlformats.org/officeDocument/2006/relationships/footer" Target="footer11.xml"/><Relationship Id="rId149" Type="http://schemas.openxmlformats.org/officeDocument/2006/relationships/oleObject" Target="embeddings/oleObject108.bin"/><Relationship Id="rId148" Type="http://schemas.openxmlformats.org/officeDocument/2006/relationships/oleObject" Target="embeddings/oleObject107.bin"/><Relationship Id="rId147" Type="http://schemas.openxmlformats.org/officeDocument/2006/relationships/image" Target="media/image19.wmf"/><Relationship Id="rId146" Type="http://schemas.openxmlformats.org/officeDocument/2006/relationships/oleObject" Target="embeddings/oleObject106.bin"/><Relationship Id="rId145" Type="http://schemas.openxmlformats.org/officeDocument/2006/relationships/oleObject" Target="embeddings/oleObject105.bin"/><Relationship Id="rId144" Type="http://schemas.openxmlformats.org/officeDocument/2006/relationships/oleObject" Target="embeddings/oleObject104.bin"/><Relationship Id="rId143" Type="http://schemas.openxmlformats.org/officeDocument/2006/relationships/oleObject" Target="embeddings/oleObject103.bin"/><Relationship Id="rId142" Type="http://schemas.openxmlformats.org/officeDocument/2006/relationships/oleObject" Target="embeddings/oleObject102.bin"/><Relationship Id="rId141" Type="http://schemas.openxmlformats.org/officeDocument/2006/relationships/oleObject" Target="embeddings/oleObject101.bin"/><Relationship Id="rId140" Type="http://schemas.openxmlformats.org/officeDocument/2006/relationships/oleObject" Target="embeddings/oleObject100.bin"/><Relationship Id="rId14" Type="http://schemas.openxmlformats.org/officeDocument/2006/relationships/footer" Target="footer10.xml"/><Relationship Id="rId139" Type="http://schemas.openxmlformats.org/officeDocument/2006/relationships/oleObject" Target="embeddings/oleObject99.bin"/><Relationship Id="rId138" Type="http://schemas.openxmlformats.org/officeDocument/2006/relationships/oleObject" Target="embeddings/oleObject98.bin"/><Relationship Id="rId137" Type="http://schemas.openxmlformats.org/officeDocument/2006/relationships/oleObject" Target="embeddings/oleObject97.bin"/><Relationship Id="rId136" Type="http://schemas.openxmlformats.org/officeDocument/2006/relationships/oleObject" Target="embeddings/oleObject96.bin"/><Relationship Id="rId135" Type="http://schemas.openxmlformats.org/officeDocument/2006/relationships/oleObject" Target="embeddings/oleObject95.bin"/><Relationship Id="rId134" Type="http://schemas.openxmlformats.org/officeDocument/2006/relationships/oleObject" Target="embeddings/oleObject94.bin"/><Relationship Id="rId133" Type="http://schemas.openxmlformats.org/officeDocument/2006/relationships/oleObject" Target="embeddings/oleObject93.bin"/><Relationship Id="rId132" Type="http://schemas.openxmlformats.org/officeDocument/2006/relationships/oleObject" Target="embeddings/oleObject92.bin"/><Relationship Id="rId131" Type="http://schemas.openxmlformats.org/officeDocument/2006/relationships/oleObject" Target="embeddings/oleObject91.bin"/><Relationship Id="rId130" Type="http://schemas.openxmlformats.org/officeDocument/2006/relationships/image" Target="media/image18.wmf"/><Relationship Id="rId13" Type="http://schemas.openxmlformats.org/officeDocument/2006/relationships/footer" Target="footer9.xml"/><Relationship Id="rId129" Type="http://schemas.openxmlformats.org/officeDocument/2006/relationships/oleObject" Target="embeddings/oleObject90.bin"/><Relationship Id="rId128" Type="http://schemas.openxmlformats.org/officeDocument/2006/relationships/oleObject" Target="embeddings/oleObject89.bin"/><Relationship Id="rId127" Type="http://schemas.openxmlformats.org/officeDocument/2006/relationships/oleObject" Target="embeddings/oleObject88.bin"/><Relationship Id="rId126" Type="http://schemas.openxmlformats.org/officeDocument/2006/relationships/oleObject" Target="embeddings/oleObject87.bin"/><Relationship Id="rId125" Type="http://schemas.openxmlformats.org/officeDocument/2006/relationships/oleObject" Target="embeddings/oleObject86.bin"/><Relationship Id="rId124" Type="http://schemas.openxmlformats.org/officeDocument/2006/relationships/oleObject" Target="embeddings/oleObject85.bin"/><Relationship Id="rId123" Type="http://schemas.openxmlformats.org/officeDocument/2006/relationships/oleObject" Target="embeddings/oleObject84.bin"/><Relationship Id="rId122" Type="http://schemas.openxmlformats.org/officeDocument/2006/relationships/oleObject" Target="embeddings/oleObject83.bin"/><Relationship Id="rId121" Type="http://schemas.openxmlformats.org/officeDocument/2006/relationships/oleObject" Target="embeddings/oleObject82.bin"/><Relationship Id="rId120" Type="http://schemas.openxmlformats.org/officeDocument/2006/relationships/oleObject" Target="embeddings/oleObject81.bin"/><Relationship Id="rId12" Type="http://schemas.openxmlformats.org/officeDocument/2006/relationships/footer" Target="footer8.xml"/><Relationship Id="rId119" Type="http://schemas.openxmlformats.org/officeDocument/2006/relationships/oleObject" Target="embeddings/oleObject80.bin"/><Relationship Id="rId118" Type="http://schemas.openxmlformats.org/officeDocument/2006/relationships/image" Target="media/image17.png"/><Relationship Id="rId117" Type="http://schemas.openxmlformats.org/officeDocument/2006/relationships/image" Target="media/image16.png"/><Relationship Id="rId116" Type="http://schemas.openxmlformats.org/officeDocument/2006/relationships/oleObject" Target="embeddings/oleObject79.bin"/><Relationship Id="rId115" Type="http://schemas.openxmlformats.org/officeDocument/2006/relationships/oleObject" Target="embeddings/oleObject78.bin"/><Relationship Id="rId114" Type="http://schemas.openxmlformats.org/officeDocument/2006/relationships/oleObject" Target="embeddings/oleObject77.bin"/><Relationship Id="rId113" Type="http://schemas.openxmlformats.org/officeDocument/2006/relationships/oleObject" Target="embeddings/oleObject76.bin"/><Relationship Id="rId112" Type="http://schemas.openxmlformats.org/officeDocument/2006/relationships/oleObject" Target="embeddings/oleObject75.bin"/><Relationship Id="rId111" Type="http://schemas.openxmlformats.org/officeDocument/2006/relationships/oleObject" Target="embeddings/oleObject74.bin"/><Relationship Id="rId110" Type="http://schemas.openxmlformats.org/officeDocument/2006/relationships/oleObject" Target="embeddings/oleObject73.bin"/><Relationship Id="rId11" Type="http://schemas.openxmlformats.org/officeDocument/2006/relationships/footer" Target="footer7.xml"/><Relationship Id="rId109" Type="http://schemas.openxmlformats.org/officeDocument/2006/relationships/oleObject" Target="embeddings/oleObject72.bin"/><Relationship Id="rId108" Type="http://schemas.openxmlformats.org/officeDocument/2006/relationships/oleObject" Target="embeddings/oleObject71.bin"/><Relationship Id="rId107" Type="http://schemas.openxmlformats.org/officeDocument/2006/relationships/oleObject" Target="embeddings/oleObject70.bin"/><Relationship Id="rId106" Type="http://schemas.openxmlformats.org/officeDocument/2006/relationships/oleObject" Target="embeddings/oleObject69.bin"/><Relationship Id="rId105" Type="http://schemas.openxmlformats.org/officeDocument/2006/relationships/oleObject" Target="embeddings/oleObject68.bin"/><Relationship Id="rId104" Type="http://schemas.openxmlformats.org/officeDocument/2006/relationships/oleObject" Target="embeddings/oleObject67.bin"/><Relationship Id="rId103" Type="http://schemas.openxmlformats.org/officeDocument/2006/relationships/oleObject" Target="embeddings/oleObject66.bin"/><Relationship Id="rId102" Type="http://schemas.openxmlformats.org/officeDocument/2006/relationships/oleObject" Target="embeddings/oleObject65.bin"/><Relationship Id="rId101" Type="http://schemas.openxmlformats.org/officeDocument/2006/relationships/oleObject" Target="embeddings/oleObject64.bin"/><Relationship Id="rId100" Type="http://schemas.openxmlformats.org/officeDocument/2006/relationships/oleObject" Target="embeddings/oleObject63.bin"/><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9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4B5801-834A-486F-8F63-61E44922E5FB}">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482</Pages>
  <Words>382344</Words>
  <Characters>416051</Characters>
  <Lines>3317</Lines>
  <Paragraphs>933</Paragraphs>
  <TotalTime>16</TotalTime>
  <ScaleCrop>false</ScaleCrop>
  <LinksUpToDate>false</LinksUpToDate>
  <CharactersWithSpaces>421709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2021-06-18T02:21:00Z</dcterms:created>
  <dc:creator>lwj</dc:creator>
  <cp:lastModifiedBy>firei</cp:lastModifiedBy>
  <dcterms:modified xsi:type="dcterms:W3CDTF">2023-05-10T15:35:06Z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1024CD25AD714E2BA17E3EE0A171BECB</vt:lpwstr>
  </property>
</Properties>
</file>